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header1.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694CD" w14:textId="77777777" w:rsidR="009B4044" w:rsidRPr="001B0EA3" w:rsidRDefault="00937754" w:rsidP="00D07AC4">
      <w:pPr>
        <w:spacing w:before="120"/>
        <w:ind w:firstLine="0"/>
        <w:jc w:val="center"/>
        <w:rPr>
          <w:b/>
          <w:color w:val="000000"/>
        </w:rPr>
      </w:pPr>
      <w:r w:rsidRPr="001B0EA3">
        <w:rPr>
          <w:noProof/>
          <w:lang w:eastAsia="bg-BG"/>
        </w:rPr>
        <w:drawing>
          <wp:inline distT="0" distB="0" distL="0" distR="0" wp14:anchorId="1413F813" wp14:editId="5D20AD98">
            <wp:extent cx="1042670" cy="857250"/>
            <wp:effectExtent l="0" t="0" r="5080" b="0"/>
            <wp:docPr id="870"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2670" cy="857250"/>
                    </a:xfrm>
                    <a:prstGeom prst="rect">
                      <a:avLst/>
                    </a:prstGeom>
                    <a:noFill/>
                    <a:ln>
                      <a:noFill/>
                    </a:ln>
                  </pic:spPr>
                </pic:pic>
              </a:graphicData>
            </a:graphic>
          </wp:inline>
        </w:drawing>
      </w:r>
    </w:p>
    <w:p w14:paraId="027732E0" w14:textId="77777777" w:rsidR="009B4044" w:rsidRPr="001B0EA3" w:rsidRDefault="009B4044" w:rsidP="009B4044">
      <w:pPr>
        <w:tabs>
          <w:tab w:val="center" w:pos="4536"/>
          <w:tab w:val="right" w:pos="9072"/>
        </w:tabs>
        <w:rPr>
          <w:rFonts w:ascii="Arial" w:hAnsi="Arial"/>
          <w:lang w:eastAsia="bg-BG"/>
        </w:rPr>
      </w:pPr>
    </w:p>
    <w:p w14:paraId="31E769E8" w14:textId="77777777" w:rsidR="009B4044" w:rsidRPr="001B0EA3" w:rsidRDefault="009B4044" w:rsidP="009B4044">
      <w:pPr>
        <w:tabs>
          <w:tab w:val="center" w:pos="4536"/>
          <w:tab w:val="right" w:pos="9072"/>
        </w:tabs>
        <w:rPr>
          <w:rFonts w:ascii="Arial" w:hAnsi="Arial"/>
          <w:lang w:eastAsia="bg-BG"/>
        </w:rPr>
      </w:pPr>
    </w:p>
    <w:p w14:paraId="15D6BB68" w14:textId="77777777" w:rsidR="009B4044" w:rsidRPr="001B0EA3" w:rsidRDefault="009B4044" w:rsidP="00FD44D7">
      <w:pPr>
        <w:ind w:firstLine="0"/>
        <w:jc w:val="center"/>
        <w:rPr>
          <w:b/>
          <w:snapToGrid w:val="0"/>
          <w:color w:val="000000"/>
          <w:szCs w:val="24"/>
          <w:lang w:eastAsia="en-US"/>
        </w:rPr>
      </w:pPr>
      <w:r w:rsidRPr="001B0EA3">
        <w:rPr>
          <w:b/>
          <w:snapToGrid w:val="0"/>
          <w:color w:val="000000"/>
          <w:szCs w:val="24"/>
          <w:lang w:eastAsia="en-US"/>
        </w:rPr>
        <w:t>Р Е П У Б Л И К А   Б Ъ Л Г А Р И Я</w:t>
      </w:r>
    </w:p>
    <w:p w14:paraId="69E05241" w14:textId="77777777" w:rsidR="009B4044" w:rsidRPr="001B0EA3" w:rsidRDefault="00D34044" w:rsidP="00D34044">
      <w:pPr>
        <w:ind w:firstLine="0"/>
        <w:jc w:val="center"/>
        <w:rPr>
          <w:b/>
          <w:snapToGrid w:val="0"/>
          <w:color w:val="000000"/>
          <w:szCs w:val="24"/>
          <w:lang w:eastAsia="en-US"/>
        </w:rPr>
      </w:pPr>
      <w:r>
        <w:rPr>
          <w:b/>
          <w:snapToGrid w:val="0"/>
          <w:color w:val="000000"/>
          <w:szCs w:val="24"/>
          <w:lang w:eastAsia="en-US"/>
        </w:rPr>
        <w:t xml:space="preserve">МИНИСТЕРСТВО НА ТРАНСПОРТА </w:t>
      </w:r>
      <w:r w:rsidR="009B4044" w:rsidRPr="001B0EA3">
        <w:rPr>
          <w:b/>
          <w:snapToGrid w:val="0"/>
          <w:color w:val="000000"/>
          <w:szCs w:val="24"/>
          <w:lang w:eastAsia="en-US"/>
        </w:rPr>
        <w:t>И СЪОБЩЕНИЯТА</w:t>
      </w:r>
    </w:p>
    <w:p w14:paraId="5DC080C5" w14:textId="77777777" w:rsidR="009B4044" w:rsidRPr="001B0EA3" w:rsidRDefault="009B4044" w:rsidP="00FD44D7">
      <w:pPr>
        <w:spacing w:before="120"/>
        <w:ind w:firstLine="0"/>
        <w:rPr>
          <w:b/>
          <w:color w:val="000000"/>
        </w:rPr>
      </w:pPr>
    </w:p>
    <w:p w14:paraId="3D18FAC1" w14:textId="77777777" w:rsidR="009B4044" w:rsidRPr="001B0EA3" w:rsidRDefault="009B4044" w:rsidP="00FD44D7">
      <w:pPr>
        <w:ind w:firstLine="0"/>
        <w:rPr>
          <w:b/>
          <w:sz w:val="48"/>
          <w:szCs w:val="48"/>
        </w:rPr>
      </w:pPr>
    </w:p>
    <w:p w14:paraId="02589B41" w14:textId="77777777" w:rsidR="009B4044" w:rsidRPr="001B0EA3" w:rsidRDefault="009B4044" w:rsidP="00FD44D7">
      <w:pPr>
        <w:ind w:firstLine="0"/>
        <w:rPr>
          <w:b/>
          <w:sz w:val="48"/>
          <w:szCs w:val="48"/>
        </w:rPr>
      </w:pPr>
    </w:p>
    <w:p w14:paraId="1C48B7A0" w14:textId="77777777" w:rsidR="009B4044" w:rsidRPr="001B0EA3" w:rsidRDefault="009B4044" w:rsidP="00FD44D7">
      <w:pPr>
        <w:pStyle w:val="Heading1"/>
        <w:ind w:firstLine="0"/>
        <w:jc w:val="center"/>
        <w:rPr>
          <w:b w:val="0"/>
          <w:sz w:val="44"/>
          <w:szCs w:val="44"/>
        </w:rPr>
      </w:pPr>
      <w:bookmarkStart w:id="0" w:name="_Toc140150142"/>
      <w:r w:rsidRPr="001B0EA3">
        <w:rPr>
          <w:b w:val="0"/>
          <w:sz w:val="44"/>
          <w:szCs w:val="44"/>
        </w:rPr>
        <w:t>ПРОЦЕДУРЕН НАРЪЧНИК</w:t>
      </w:r>
      <w:bookmarkEnd w:id="0"/>
    </w:p>
    <w:p w14:paraId="2CB932A5" w14:textId="77777777" w:rsidR="009B4044" w:rsidRPr="001B0EA3" w:rsidRDefault="009B4044" w:rsidP="00FD44D7">
      <w:pPr>
        <w:ind w:firstLine="0"/>
        <w:jc w:val="center"/>
        <w:rPr>
          <w:b/>
          <w:sz w:val="44"/>
          <w:szCs w:val="44"/>
        </w:rPr>
      </w:pPr>
      <w:r w:rsidRPr="001B0EA3">
        <w:rPr>
          <w:b/>
          <w:sz w:val="44"/>
          <w:szCs w:val="44"/>
        </w:rPr>
        <w:t>за управление и изпълнение на</w:t>
      </w:r>
    </w:p>
    <w:p w14:paraId="57D8B34A" w14:textId="77777777" w:rsidR="009B4044" w:rsidRPr="001B0EA3" w:rsidRDefault="009B4044" w:rsidP="00FD44D7">
      <w:pPr>
        <w:ind w:firstLine="0"/>
        <w:jc w:val="center"/>
        <w:rPr>
          <w:rFonts w:ascii="Arial" w:hAnsi="Arial" w:cs="Arial"/>
          <w:b/>
          <w:sz w:val="44"/>
          <w:szCs w:val="44"/>
        </w:rPr>
      </w:pPr>
      <w:r w:rsidRPr="001B0EA3">
        <w:rPr>
          <w:b/>
          <w:sz w:val="44"/>
          <w:szCs w:val="44"/>
        </w:rPr>
        <w:t>Оперативна програма „Транспорт  и транспортна инфраструктура”</w:t>
      </w:r>
    </w:p>
    <w:p w14:paraId="2F63056F" w14:textId="77777777" w:rsidR="009B4044" w:rsidRPr="001B0EA3" w:rsidRDefault="009B4044" w:rsidP="00FD44D7">
      <w:pPr>
        <w:ind w:firstLine="0"/>
        <w:jc w:val="center"/>
        <w:rPr>
          <w:b/>
          <w:sz w:val="44"/>
          <w:szCs w:val="44"/>
        </w:rPr>
      </w:pPr>
      <w:r w:rsidRPr="001B0EA3">
        <w:rPr>
          <w:b/>
          <w:sz w:val="44"/>
          <w:szCs w:val="44"/>
        </w:rPr>
        <w:t>2014-2020 г.</w:t>
      </w:r>
    </w:p>
    <w:p w14:paraId="04D44E37" w14:textId="77777777" w:rsidR="009B4044" w:rsidRPr="001B0EA3" w:rsidRDefault="009B4044" w:rsidP="00FD44D7">
      <w:pPr>
        <w:ind w:firstLine="0"/>
        <w:jc w:val="center"/>
        <w:rPr>
          <w:b/>
          <w:sz w:val="44"/>
          <w:szCs w:val="44"/>
        </w:rPr>
      </w:pPr>
      <w:r w:rsidRPr="001B0EA3">
        <w:rPr>
          <w:b/>
          <w:sz w:val="44"/>
          <w:szCs w:val="44"/>
        </w:rPr>
        <w:t>(консолидирана версия)</w:t>
      </w:r>
    </w:p>
    <w:p w14:paraId="5FC9541E" w14:textId="77777777" w:rsidR="009B4044" w:rsidRPr="001B0EA3" w:rsidRDefault="009B4044" w:rsidP="00FD44D7">
      <w:pPr>
        <w:ind w:firstLine="0"/>
        <w:rPr>
          <w:b/>
          <w:sz w:val="44"/>
          <w:szCs w:val="44"/>
        </w:rPr>
      </w:pPr>
    </w:p>
    <w:p w14:paraId="49ACEF52" w14:textId="77777777" w:rsidR="009B4044" w:rsidRPr="001B0EA3" w:rsidRDefault="009B4044" w:rsidP="00FD44D7">
      <w:pPr>
        <w:ind w:firstLine="0"/>
        <w:jc w:val="left"/>
        <w:rPr>
          <w:b/>
          <w:color w:val="000000"/>
        </w:rPr>
      </w:pPr>
    </w:p>
    <w:p w14:paraId="0A65F043" w14:textId="77777777" w:rsidR="009B4044" w:rsidRPr="001B0EA3" w:rsidRDefault="009B4044" w:rsidP="00FD44D7">
      <w:pPr>
        <w:spacing w:before="120"/>
        <w:ind w:firstLine="0"/>
        <w:rPr>
          <w:b/>
          <w:color w:val="000000"/>
        </w:rPr>
      </w:pPr>
    </w:p>
    <w:p w14:paraId="03BEFB28" w14:textId="77777777" w:rsidR="009B4044" w:rsidRPr="001B0EA3" w:rsidRDefault="009B4044" w:rsidP="00FD44D7">
      <w:pPr>
        <w:spacing w:before="120"/>
        <w:ind w:firstLine="0"/>
        <w:rPr>
          <w:b/>
          <w:color w:val="000000"/>
        </w:rPr>
      </w:pPr>
    </w:p>
    <w:p w14:paraId="50B5E594" w14:textId="77777777" w:rsidR="009B4044" w:rsidRPr="001B0EA3" w:rsidRDefault="009B4044" w:rsidP="009B4044">
      <w:pPr>
        <w:spacing w:before="120"/>
        <w:rPr>
          <w:b/>
          <w:color w:val="000000"/>
        </w:rPr>
      </w:pPr>
    </w:p>
    <w:tbl>
      <w:tblPr>
        <w:tblW w:w="9649" w:type="dxa"/>
        <w:jc w:val="center"/>
        <w:tblLayout w:type="fixed"/>
        <w:tblLook w:val="0000" w:firstRow="0" w:lastRow="0" w:firstColumn="0" w:lastColumn="0" w:noHBand="0" w:noVBand="0"/>
      </w:tblPr>
      <w:tblGrid>
        <w:gridCol w:w="2547"/>
        <w:gridCol w:w="4394"/>
        <w:gridCol w:w="2708"/>
      </w:tblGrid>
      <w:tr w:rsidR="009B4044" w:rsidRPr="001B0EA3" w14:paraId="2593095D" w14:textId="77777777" w:rsidTr="00D30462">
        <w:trPr>
          <w:trHeight w:val="698"/>
          <w:jc w:val="center"/>
        </w:trPr>
        <w:tc>
          <w:tcPr>
            <w:tcW w:w="2547" w:type="dxa"/>
            <w:tcBorders>
              <w:top w:val="single" w:sz="4" w:space="0" w:color="999999"/>
              <w:left w:val="single" w:sz="4" w:space="0" w:color="999999"/>
              <w:bottom w:val="single" w:sz="4" w:space="0" w:color="999999"/>
              <w:right w:val="single" w:sz="4" w:space="0" w:color="999999"/>
            </w:tcBorders>
            <w:vAlign w:val="center"/>
          </w:tcPr>
          <w:p w14:paraId="6D353382" w14:textId="77777777" w:rsidR="009B4044" w:rsidRPr="001B0EA3" w:rsidRDefault="009B4044" w:rsidP="008A4483">
            <w:pPr>
              <w:ind w:firstLine="22"/>
              <w:jc w:val="center"/>
              <w:rPr>
                <w:rFonts w:ascii="Arial" w:hAnsi="Arial" w:cs="Arial"/>
                <w:i/>
                <w:sz w:val="10"/>
                <w:szCs w:val="10"/>
              </w:rPr>
            </w:pPr>
          </w:p>
          <w:p w14:paraId="2D05ECC7" w14:textId="77777777" w:rsidR="009B4044" w:rsidRPr="001B0EA3" w:rsidRDefault="009B4044" w:rsidP="008A4483">
            <w:pPr>
              <w:ind w:firstLine="22"/>
              <w:jc w:val="center"/>
              <w:rPr>
                <w:rFonts w:ascii="Arial" w:hAnsi="Arial" w:cs="Arial"/>
                <w:i/>
                <w:sz w:val="10"/>
                <w:szCs w:val="10"/>
              </w:rPr>
            </w:pPr>
          </w:p>
          <w:p w14:paraId="57594D28" w14:textId="77777777" w:rsidR="009B4044" w:rsidRPr="001B0EA3" w:rsidRDefault="009B4044" w:rsidP="008A4483">
            <w:pPr>
              <w:ind w:firstLine="22"/>
              <w:jc w:val="center"/>
              <w:rPr>
                <w:rFonts w:ascii="Arial" w:hAnsi="Arial" w:cs="Arial"/>
                <w:i/>
                <w:color w:val="0070C0"/>
                <w:sz w:val="10"/>
                <w:szCs w:val="10"/>
              </w:rPr>
            </w:pPr>
            <w:r w:rsidRPr="001B0EA3">
              <w:rPr>
                <w:rFonts w:ascii="Arial" w:hAnsi="Arial" w:cs="Arial"/>
                <w:i/>
                <w:color w:val="0070C0"/>
                <w:sz w:val="10"/>
                <w:szCs w:val="10"/>
              </w:rPr>
              <w:t>Инвестираме във Вашето бъдеще</w:t>
            </w:r>
          </w:p>
          <w:p w14:paraId="17F1E095" w14:textId="77777777" w:rsidR="009B4044" w:rsidRPr="001B0EA3" w:rsidRDefault="00937754" w:rsidP="008A4483">
            <w:pPr>
              <w:spacing w:before="120"/>
              <w:ind w:firstLine="22"/>
              <w:jc w:val="center"/>
              <w:rPr>
                <w:sz w:val="16"/>
                <w:szCs w:val="16"/>
              </w:rPr>
            </w:pPr>
            <w:r w:rsidRPr="001B0EA3">
              <w:rPr>
                <w:rFonts w:cs="OWBUTZ+HelenBg-Regular"/>
                <w:noProof/>
                <w:color w:val="000000"/>
                <w:sz w:val="19"/>
                <w:szCs w:val="19"/>
                <w:lang w:eastAsia="bg-BG"/>
              </w:rPr>
              <w:drawing>
                <wp:inline distT="0" distB="0" distL="0" distR="0" wp14:anchorId="41B68A00" wp14:editId="12D8F194">
                  <wp:extent cx="1060450" cy="808355"/>
                  <wp:effectExtent l="0" t="0" r="0" b="0"/>
                  <wp:docPr id="5" name="Picture 1787" descr="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descr="EU FLA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0450" cy="808355"/>
                          </a:xfrm>
                          <a:prstGeom prst="rect">
                            <a:avLst/>
                          </a:prstGeom>
                          <a:noFill/>
                          <a:ln>
                            <a:noFill/>
                          </a:ln>
                        </pic:spPr>
                      </pic:pic>
                    </a:graphicData>
                  </a:graphic>
                </wp:inline>
              </w:drawing>
            </w:r>
          </w:p>
          <w:p w14:paraId="354180EE" w14:textId="77777777" w:rsidR="009B4044" w:rsidRPr="001B0EA3" w:rsidRDefault="009B4044" w:rsidP="008A4483">
            <w:pPr>
              <w:ind w:firstLine="22"/>
              <w:jc w:val="center"/>
              <w:rPr>
                <w:sz w:val="16"/>
                <w:szCs w:val="16"/>
              </w:rPr>
            </w:pPr>
          </w:p>
          <w:p w14:paraId="2CFC0B45" w14:textId="77777777" w:rsidR="009B4044" w:rsidRPr="001B0EA3" w:rsidRDefault="009B4044" w:rsidP="008A4483">
            <w:pPr>
              <w:ind w:firstLine="22"/>
              <w:jc w:val="center"/>
              <w:rPr>
                <w:rFonts w:ascii="Arial" w:hAnsi="Arial" w:cs="Arial"/>
                <w:b/>
                <w:sz w:val="16"/>
                <w:szCs w:val="16"/>
              </w:rPr>
            </w:pPr>
            <w:r w:rsidRPr="001B0EA3">
              <w:rPr>
                <w:rFonts w:ascii="Arial" w:hAnsi="Arial" w:cs="Arial"/>
                <w:b/>
                <w:sz w:val="16"/>
                <w:szCs w:val="16"/>
              </w:rPr>
              <w:t>ЕВРОПЕЙСКИ СЪЮЗ</w:t>
            </w:r>
          </w:p>
          <w:p w14:paraId="5C49239E" w14:textId="77777777" w:rsidR="009B4044" w:rsidRPr="001B0EA3" w:rsidRDefault="009B4044" w:rsidP="008A4483">
            <w:pPr>
              <w:ind w:firstLine="22"/>
              <w:jc w:val="center"/>
              <w:rPr>
                <w:rFonts w:ascii="Arial" w:hAnsi="Arial" w:cs="Arial"/>
                <w:b/>
                <w:sz w:val="14"/>
                <w:szCs w:val="14"/>
              </w:rPr>
            </w:pPr>
            <w:r w:rsidRPr="001B0EA3">
              <w:rPr>
                <w:rFonts w:ascii="Arial" w:hAnsi="Arial" w:cs="Arial"/>
                <w:b/>
                <w:sz w:val="14"/>
                <w:szCs w:val="14"/>
              </w:rPr>
              <w:t>ЕВРОПЕЙСКИ ФОНД</w:t>
            </w:r>
          </w:p>
          <w:p w14:paraId="7CE83E29" w14:textId="77777777" w:rsidR="009B4044" w:rsidRPr="001B0EA3" w:rsidRDefault="009B4044" w:rsidP="008A4483">
            <w:pPr>
              <w:tabs>
                <w:tab w:val="left" w:pos="1725"/>
              </w:tabs>
              <w:ind w:firstLine="22"/>
              <w:jc w:val="center"/>
              <w:rPr>
                <w:rFonts w:ascii="Arial" w:hAnsi="Arial" w:cs="Arial"/>
                <w:b/>
                <w:sz w:val="14"/>
                <w:szCs w:val="14"/>
              </w:rPr>
            </w:pPr>
            <w:r w:rsidRPr="001B0EA3">
              <w:rPr>
                <w:rFonts w:ascii="Arial" w:hAnsi="Arial" w:cs="Arial"/>
                <w:b/>
                <w:sz w:val="14"/>
                <w:szCs w:val="14"/>
              </w:rPr>
              <w:t>ЗА РЕГИОНАЛНО РАЗВИТИЕ</w:t>
            </w:r>
          </w:p>
          <w:p w14:paraId="74A59BF5" w14:textId="77777777" w:rsidR="009B4044" w:rsidRPr="001B0EA3" w:rsidRDefault="009B4044" w:rsidP="008A4483">
            <w:pPr>
              <w:tabs>
                <w:tab w:val="left" w:pos="1725"/>
              </w:tabs>
              <w:ind w:firstLine="22"/>
              <w:jc w:val="center"/>
              <w:rPr>
                <w:rFonts w:ascii="Arial" w:hAnsi="Arial" w:cs="Arial"/>
                <w:b/>
                <w:sz w:val="14"/>
                <w:szCs w:val="14"/>
              </w:rPr>
            </w:pPr>
            <w:r w:rsidRPr="001B0EA3">
              <w:rPr>
                <w:rFonts w:ascii="Arial" w:hAnsi="Arial" w:cs="Arial"/>
                <w:b/>
                <w:sz w:val="14"/>
                <w:szCs w:val="14"/>
              </w:rPr>
              <w:t>КОХЕЗИОНЕН ФОНД</w:t>
            </w:r>
          </w:p>
          <w:p w14:paraId="105D09F5" w14:textId="77777777" w:rsidR="009B4044" w:rsidRPr="001B0EA3" w:rsidRDefault="009B4044" w:rsidP="008A4483">
            <w:pPr>
              <w:ind w:firstLine="22"/>
              <w:jc w:val="center"/>
              <w:rPr>
                <w:rFonts w:ascii="Arial" w:hAnsi="Arial" w:cs="Arial"/>
                <w:sz w:val="12"/>
                <w:szCs w:val="12"/>
              </w:rPr>
            </w:pPr>
          </w:p>
        </w:tc>
        <w:tc>
          <w:tcPr>
            <w:tcW w:w="4394" w:type="dxa"/>
            <w:tcBorders>
              <w:top w:val="single" w:sz="4" w:space="0" w:color="999999"/>
              <w:left w:val="single" w:sz="4" w:space="0" w:color="999999"/>
              <w:bottom w:val="single" w:sz="4" w:space="0" w:color="999999"/>
              <w:right w:val="single" w:sz="4" w:space="0" w:color="999999"/>
            </w:tcBorders>
            <w:vAlign w:val="center"/>
          </w:tcPr>
          <w:p w14:paraId="5C53AA88" w14:textId="77777777" w:rsidR="009B4044" w:rsidRPr="001B0EA3" w:rsidRDefault="009B4044" w:rsidP="008A4483">
            <w:pPr>
              <w:ind w:firstLine="0"/>
              <w:jc w:val="center"/>
              <w:rPr>
                <w:b/>
                <w:color w:val="000000"/>
              </w:rPr>
            </w:pPr>
          </w:p>
          <w:p w14:paraId="10C21BE5" w14:textId="77777777" w:rsidR="009B4044" w:rsidRPr="001B0EA3" w:rsidRDefault="009B4044" w:rsidP="008A4483">
            <w:pPr>
              <w:ind w:firstLine="0"/>
              <w:jc w:val="center"/>
              <w:rPr>
                <w:b/>
                <w:color w:val="000000"/>
              </w:rPr>
            </w:pPr>
            <w:r w:rsidRPr="001B0EA3">
              <w:rPr>
                <w:b/>
                <w:color w:val="000000"/>
              </w:rPr>
              <w:t>Дирекция „Координация на програми и проекти” –</w:t>
            </w:r>
          </w:p>
          <w:p w14:paraId="01B4D6AB" w14:textId="77777777" w:rsidR="009B4044" w:rsidRPr="001B0EA3" w:rsidRDefault="009B4044" w:rsidP="008A4483">
            <w:pPr>
              <w:ind w:firstLine="0"/>
              <w:jc w:val="center"/>
              <w:rPr>
                <w:b/>
                <w:color w:val="000000"/>
              </w:rPr>
            </w:pPr>
          </w:p>
          <w:p w14:paraId="119C13A0" w14:textId="77777777" w:rsidR="009B4044" w:rsidRPr="001B0EA3" w:rsidRDefault="009B4044" w:rsidP="008A4483">
            <w:pPr>
              <w:ind w:firstLine="0"/>
              <w:jc w:val="center"/>
              <w:rPr>
                <w:b/>
                <w:color w:val="000000"/>
              </w:rPr>
            </w:pPr>
            <w:r w:rsidRPr="001B0EA3">
              <w:rPr>
                <w:b/>
                <w:color w:val="000000"/>
              </w:rPr>
              <w:t>Управляващия орган на Оперативна програма „Транспорт и транспортна инфраструктура” 2014-2020 г.</w:t>
            </w:r>
          </w:p>
          <w:p w14:paraId="2BA988C4" w14:textId="77777777" w:rsidR="009B4044" w:rsidRPr="001B0EA3" w:rsidRDefault="009B4044" w:rsidP="008A4483">
            <w:pPr>
              <w:ind w:firstLine="0"/>
              <w:jc w:val="center"/>
              <w:rPr>
                <w:szCs w:val="24"/>
              </w:rPr>
            </w:pPr>
          </w:p>
        </w:tc>
        <w:tc>
          <w:tcPr>
            <w:tcW w:w="2708" w:type="dxa"/>
            <w:tcBorders>
              <w:top w:val="single" w:sz="4" w:space="0" w:color="999999"/>
              <w:left w:val="single" w:sz="4" w:space="0" w:color="999999"/>
              <w:bottom w:val="single" w:sz="4" w:space="0" w:color="999999"/>
              <w:right w:val="single" w:sz="4" w:space="0" w:color="999999"/>
            </w:tcBorders>
            <w:vAlign w:val="center"/>
          </w:tcPr>
          <w:p w14:paraId="21F0950E" w14:textId="77777777" w:rsidR="009B4044" w:rsidRPr="001B0EA3" w:rsidRDefault="009B4044" w:rsidP="008A4483">
            <w:pPr>
              <w:ind w:firstLine="0"/>
              <w:jc w:val="center"/>
              <w:rPr>
                <w:rFonts w:ascii="Arial" w:hAnsi="Arial" w:cs="Arial"/>
                <w:b/>
                <w:sz w:val="18"/>
                <w:szCs w:val="18"/>
              </w:rPr>
            </w:pPr>
            <w:r w:rsidRPr="001B0EA3">
              <w:rPr>
                <w:rFonts w:ascii="Arial" w:hAnsi="Arial" w:cs="Arial"/>
              </w:rPr>
              <w:object w:dxaOrig="8536" w:dyaOrig="4741" w14:anchorId="45D9C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93.75pt" o:ole="">
                  <v:imagedata r:id="rId10" o:title=""/>
                </v:shape>
                <o:OLEObject Type="Embed" ProgID="PBrush" ShapeID="_x0000_i1025" DrawAspect="Content" ObjectID="_1751357470" r:id="rId11"/>
              </w:object>
            </w:r>
          </w:p>
        </w:tc>
      </w:tr>
      <w:tr w:rsidR="009B4044" w:rsidRPr="001B0EA3" w14:paraId="7FF54F27" w14:textId="77777777" w:rsidTr="00D30462">
        <w:trPr>
          <w:trHeight w:val="698"/>
          <w:jc w:val="center"/>
        </w:trPr>
        <w:tc>
          <w:tcPr>
            <w:tcW w:w="2547" w:type="dxa"/>
            <w:tcBorders>
              <w:top w:val="single" w:sz="4" w:space="0" w:color="999999"/>
              <w:left w:val="single" w:sz="4" w:space="0" w:color="999999"/>
              <w:bottom w:val="single" w:sz="4" w:space="0" w:color="999999"/>
              <w:right w:val="single" w:sz="4" w:space="0" w:color="999999"/>
            </w:tcBorders>
            <w:vAlign w:val="center"/>
          </w:tcPr>
          <w:p w14:paraId="14DAEF02" w14:textId="77777777" w:rsidR="009B4044" w:rsidRPr="001B0EA3" w:rsidRDefault="006035A9" w:rsidP="008A4483">
            <w:pPr>
              <w:ind w:firstLine="0"/>
              <w:jc w:val="center"/>
              <w:rPr>
                <w:szCs w:val="24"/>
              </w:rPr>
            </w:pPr>
            <w:hyperlink r:id="rId12" w:history="1">
              <w:r w:rsidR="009B4044" w:rsidRPr="001B0EA3">
                <w:rPr>
                  <w:color w:val="0000FF"/>
                  <w:szCs w:val="24"/>
                  <w:u w:val="single"/>
                </w:rPr>
                <w:t>www.eufunds.bg</w:t>
              </w:r>
            </w:hyperlink>
          </w:p>
        </w:tc>
        <w:tc>
          <w:tcPr>
            <w:tcW w:w="4394" w:type="dxa"/>
            <w:tcBorders>
              <w:top w:val="single" w:sz="4" w:space="0" w:color="999999"/>
              <w:left w:val="single" w:sz="4" w:space="0" w:color="999999"/>
              <w:bottom w:val="single" w:sz="4" w:space="0" w:color="999999"/>
              <w:right w:val="single" w:sz="4" w:space="0" w:color="999999"/>
            </w:tcBorders>
            <w:vAlign w:val="center"/>
          </w:tcPr>
          <w:p w14:paraId="2E0FD860" w14:textId="7F9331B3" w:rsidR="009B4044" w:rsidRPr="001B0EA3" w:rsidRDefault="009B4044" w:rsidP="00D36C88">
            <w:pPr>
              <w:ind w:firstLine="0"/>
              <w:jc w:val="center"/>
              <w:rPr>
                <w:szCs w:val="24"/>
              </w:rPr>
            </w:pPr>
            <w:r w:rsidRPr="00515F25">
              <w:rPr>
                <w:szCs w:val="24"/>
              </w:rPr>
              <w:t>Версия 4</w:t>
            </w:r>
            <w:r w:rsidR="00BD0F60" w:rsidRPr="00515F25">
              <w:rPr>
                <w:szCs w:val="24"/>
                <w:lang w:val="en-US"/>
              </w:rPr>
              <w:t>.</w:t>
            </w:r>
            <w:r w:rsidR="00286B9F">
              <w:rPr>
                <w:szCs w:val="24"/>
              </w:rPr>
              <w:t>7</w:t>
            </w:r>
            <w:r w:rsidR="009F783F" w:rsidRPr="00515F25">
              <w:rPr>
                <w:szCs w:val="24"/>
              </w:rPr>
              <w:t xml:space="preserve"> </w:t>
            </w:r>
            <w:r w:rsidRPr="00515F25">
              <w:rPr>
                <w:szCs w:val="24"/>
              </w:rPr>
              <w:t xml:space="preserve">от </w:t>
            </w:r>
            <w:r w:rsidR="00286B9F">
              <w:rPr>
                <w:szCs w:val="24"/>
              </w:rPr>
              <w:t>юли</w:t>
            </w:r>
            <w:r w:rsidR="009F783F" w:rsidRPr="00515F25">
              <w:rPr>
                <w:szCs w:val="24"/>
              </w:rPr>
              <w:t xml:space="preserve"> 202</w:t>
            </w:r>
            <w:r w:rsidR="007C23C2">
              <w:rPr>
                <w:szCs w:val="24"/>
              </w:rPr>
              <w:t>3</w:t>
            </w:r>
            <w:r w:rsidR="009F783F" w:rsidRPr="00515F25">
              <w:rPr>
                <w:szCs w:val="24"/>
              </w:rPr>
              <w:t xml:space="preserve"> </w:t>
            </w:r>
            <w:r w:rsidRPr="00515F25">
              <w:rPr>
                <w:szCs w:val="24"/>
              </w:rPr>
              <w:t>г.</w:t>
            </w:r>
          </w:p>
        </w:tc>
        <w:tc>
          <w:tcPr>
            <w:tcW w:w="2708" w:type="dxa"/>
            <w:tcBorders>
              <w:top w:val="single" w:sz="4" w:space="0" w:color="999999"/>
              <w:left w:val="single" w:sz="4" w:space="0" w:color="999999"/>
              <w:bottom w:val="single" w:sz="4" w:space="0" w:color="999999"/>
              <w:right w:val="single" w:sz="4" w:space="0" w:color="999999"/>
            </w:tcBorders>
            <w:vAlign w:val="center"/>
          </w:tcPr>
          <w:p w14:paraId="30EC9AA4" w14:textId="77777777" w:rsidR="009B4044" w:rsidRPr="00842ECC" w:rsidRDefault="006035A9" w:rsidP="00D36C88">
            <w:pPr>
              <w:ind w:firstLine="0"/>
              <w:jc w:val="center"/>
              <w:rPr>
                <w:szCs w:val="24"/>
              </w:rPr>
            </w:pPr>
            <w:hyperlink r:id="rId13" w:history="1">
              <w:r w:rsidR="00D64D5A" w:rsidRPr="000441D0">
                <w:rPr>
                  <w:rStyle w:val="Hyperlink"/>
                  <w:szCs w:val="24"/>
                </w:rPr>
                <w:t>https://www.eufunds.bg/bg/optti</w:t>
              </w:r>
            </w:hyperlink>
            <w:r w:rsidR="00D64D5A" w:rsidRPr="00842ECC">
              <w:rPr>
                <w:color w:val="000000"/>
                <w:szCs w:val="24"/>
              </w:rPr>
              <w:t xml:space="preserve"> </w:t>
            </w:r>
          </w:p>
        </w:tc>
      </w:tr>
    </w:tbl>
    <w:p w14:paraId="00EA999C" w14:textId="77777777" w:rsidR="00D603F5" w:rsidRPr="001B0EA3" w:rsidRDefault="00D603F5" w:rsidP="00660856">
      <w:pPr>
        <w:rPr>
          <w:b/>
          <w:color w:val="000000"/>
        </w:rPr>
      </w:pPr>
    </w:p>
    <w:p w14:paraId="4313B4B0" w14:textId="77777777" w:rsidR="009B4044" w:rsidRPr="001B0EA3" w:rsidRDefault="009B4044">
      <w:pPr>
        <w:jc w:val="left"/>
        <w:rPr>
          <w:b/>
          <w:color w:val="000000"/>
        </w:rPr>
      </w:pPr>
      <w:r w:rsidRPr="001B0EA3">
        <w:rPr>
          <w:b/>
          <w:color w:val="000000"/>
        </w:rPr>
        <w:br w:type="page"/>
      </w:r>
    </w:p>
    <w:p w14:paraId="6607948F" w14:textId="77777777" w:rsidR="00D603F5" w:rsidRPr="001B0EA3" w:rsidRDefault="00D603F5" w:rsidP="00660856">
      <w:pPr>
        <w:spacing w:before="120"/>
        <w:rPr>
          <w:b/>
          <w:color w:val="000000"/>
        </w:rPr>
      </w:pP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639"/>
      </w:tblGrid>
      <w:tr w:rsidR="00D603F5" w:rsidRPr="001B0EA3" w14:paraId="790688D1" w14:textId="77777777" w:rsidTr="00D30462">
        <w:trPr>
          <w:trHeight w:val="698"/>
          <w:jc w:val="center"/>
        </w:trPr>
        <w:tc>
          <w:tcPr>
            <w:tcW w:w="9611" w:type="dxa"/>
            <w:gridSpan w:val="2"/>
          </w:tcPr>
          <w:p w14:paraId="4BDB2856" w14:textId="77777777" w:rsidR="00D603F5" w:rsidRPr="00515F25" w:rsidRDefault="00D603F5" w:rsidP="008A4483">
            <w:pPr>
              <w:ind w:firstLine="0"/>
              <w:jc w:val="center"/>
              <w:rPr>
                <w:szCs w:val="24"/>
                <w:lang w:eastAsia="bg-BG"/>
              </w:rPr>
            </w:pPr>
            <w:r w:rsidRPr="00515F25">
              <w:rPr>
                <w:szCs w:val="24"/>
                <w:lang w:eastAsia="bg-BG"/>
              </w:rPr>
              <w:t>ОПЕРАТИВНА ПРОГРАМА</w:t>
            </w:r>
          </w:p>
          <w:p w14:paraId="31A744C8" w14:textId="77777777" w:rsidR="00D603F5" w:rsidRPr="001B0EA3" w:rsidRDefault="00D603F5" w:rsidP="008A4483">
            <w:pPr>
              <w:ind w:firstLine="0"/>
              <w:jc w:val="center"/>
              <w:rPr>
                <w:szCs w:val="24"/>
                <w:lang w:eastAsia="bg-BG"/>
              </w:rPr>
            </w:pPr>
            <w:r w:rsidRPr="00515F25">
              <w:rPr>
                <w:szCs w:val="24"/>
                <w:lang w:eastAsia="bg-BG"/>
              </w:rPr>
              <w:t>ПО ЦЕЛ „ИНВЕСТИЦИИ ЗА РАСТЕЖ И РАБОТНИ МЕСТА“</w:t>
            </w:r>
          </w:p>
        </w:tc>
      </w:tr>
      <w:tr w:rsidR="00D603F5" w:rsidRPr="001B0EA3" w14:paraId="014EAA3E" w14:textId="77777777" w:rsidTr="00D30462">
        <w:trPr>
          <w:trHeight w:val="698"/>
          <w:jc w:val="center"/>
        </w:trPr>
        <w:tc>
          <w:tcPr>
            <w:tcW w:w="2972" w:type="dxa"/>
            <w:vAlign w:val="center"/>
          </w:tcPr>
          <w:p w14:paraId="0ABBA3CE" w14:textId="77777777" w:rsidR="00D603F5" w:rsidRPr="001B0EA3" w:rsidRDefault="00D603F5" w:rsidP="00F70D13">
            <w:pPr>
              <w:ind w:firstLine="0"/>
            </w:pPr>
            <w:r w:rsidRPr="001B0EA3">
              <w:t>Държава членка:</w:t>
            </w:r>
          </w:p>
        </w:tc>
        <w:tc>
          <w:tcPr>
            <w:tcW w:w="6639" w:type="dxa"/>
            <w:vAlign w:val="center"/>
          </w:tcPr>
          <w:p w14:paraId="5B87BC46" w14:textId="77777777" w:rsidR="00D603F5" w:rsidRPr="001B0EA3" w:rsidRDefault="00D603F5" w:rsidP="008A4483">
            <w:pPr>
              <w:ind w:firstLine="0"/>
              <w:jc w:val="left"/>
              <w:rPr>
                <w:szCs w:val="24"/>
                <w:lang w:eastAsia="bg-BG"/>
              </w:rPr>
            </w:pPr>
            <w:r w:rsidRPr="001B0EA3">
              <w:rPr>
                <w:szCs w:val="24"/>
                <w:lang w:eastAsia="bg-BG"/>
              </w:rPr>
              <w:t>България</w:t>
            </w:r>
          </w:p>
        </w:tc>
      </w:tr>
      <w:tr w:rsidR="00D603F5" w:rsidRPr="001B0EA3" w14:paraId="427E668F" w14:textId="77777777" w:rsidTr="00D30462">
        <w:trPr>
          <w:trHeight w:val="698"/>
          <w:jc w:val="center"/>
        </w:trPr>
        <w:tc>
          <w:tcPr>
            <w:tcW w:w="2972" w:type="dxa"/>
            <w:vAlign w:val="center"/>
          </w:tcPr>
          <w:p w14:paraId="41E5B3B6" w14:textId="77777777" w:rsidR="00D603F5" w:rsidRPr="001B0EA3" w:rsidRDefault="00D603F5" w:rsidP="008A4483">
            <w:pPr>
              <w:ind w:firstLine="0"/>
              <w:jc w:val="left"/>
              <w:rPr>
                <w:szCs w:val="24"/>
              </w:rPr>
            </w:pPr>
            <w:r w:rsidRPr="001B0EA3">
              <w:rPr>
                <w:szCs w:val="24"/>
              </w:rPr>
              <w:t>CCI:</w:t>
            </w:r>
          </w:p>
          <w:p w14:paraId="242C26E2" w14:textId="77777777" w:rsidR="00D603F5" w:rsidRPr="001B0EA3" w:rsidRDefault="00D603F5" w:rsidP="008A4483">
            <w:pPr>
              <w:ind w:firstLine="0"/>
              <w:jc w:val="left"/>
              <w:rPr>
                <w:szCs w:val="24"/>
              </w:rPr>
            </w:pPr>
            <w:r w:rsidRPr="001B0EA3">
              <w:rPr>
                <w:szCs w:val="24"/>
              </w:rPr>
              <w:t>(Единен идентификационен код)</w:t>
            </w:r>
          </w:p>
        </w:tc>
        <w:tc>
          <w:tcPr>
            <w:tcW w:w="6639" w:type="dxa"/>
            <w:vAlign w:val="center"/>
          </w:tcPr>
          <w:p w14:paraId="4CDC8245" w14:textId="77777777" w:rsidR="00D603F5" w:rsidRPr="001B0EA3" w:rsidRDefault="00D603F5" w:rsidP="008A4483">
            <w:pPr>
              <w:ind w:firstLine="0"/>
              <w:jc w:val="left"/>
              <w:rPr>
                <w:i/>
                <w:color w:val="8DB3E2"/>
                <w:szCs w:val="24"/>
              </w:rPr>
            </w:pPr>
            <w:r w:rsidRPr="001B0EA3">
              <w:rPr>
                <w:szCs w:val="24"/>
                <w:lang w:eastAsia="bg-BG"/>
              </w:rPr>
              <w:t>2014BG16M1OP001</w:t>
            </w:r>
          </w:p>
        </w:tc>
      </w:tr>
      <w:tr w:rsidR="00D603F5" w:rsidRPr="001B0EA3" w14:paraId="2418665F" w14:textId="77777777" w:rsidTr="00D30462">
        <w:trPr>
          <w:trHeight w:val="856"/>
          <w:jc w:val="center"/>
        </w:trPr>
        <w:tc>
          <w:tcPr>
            <w:tcW w:w="2972" w:type="dxa"/>
            <w:vAlign w:val="center"/>
          </w:tcPr>
          <w:p w14:paraId="06315F75" w14:textId="77777777" w:rsidR="00D603F5" w:rsidRPr="001B0EA3" w:rsidRDefault="00D603F5" w:rsidP="008A4483">
            <w:pPr>
              <w:ind w:firstLine="0"/>
              <w:jc w:val="left"/>
              <w:rPr>
                <w:szCs w:val="24"/>
              </w:rPr>
            </w:pPr>
            <w:r w:rsidRPr="001B0EA3">
              <w:rPr>
                <w:szCs w:val="24"/>
              </w:rPr>
              <w:t>Наименование на оперативната програма:</w:t>
            </w:r>
          </w:p>
        </w:tc>
        <w:tc>
          <w:tcPr>
            <w:tcW w:w="6639" w:type="dxa"/>
            <w:vAlign w:val="center"/>
          </w:tcPr>
          <w:p w14:paraId="2F27C75F" w14:textId="77777777" w:rsidR="00D603F5" w:rsidRPr="001B0EA3" w:rsidRDefault="00D603F5" w:rsidP="00E55392">
            <w:pPr>
              <w:ind w:firstLine="0"/>
              <w:jc w:val="left"/>
              <w:rPr>
                <w:szCs w:val="24"/>
              </w:rPr>
            </w:pPr>
            <w:r w:rsidRPr="001B0EA3">
              <w:rPr>
                <w:szCs w:val="24"/>
              </w:rPr>
              <w:t>Оперативна програма „Транспорт и транспортна инфраструктура” 2014-2020 г.</w:t>
            </w:r>
          </w:p>
        </w:tc>
      </w:tr>
      <w:tr w:rsidR="00D603F5" w:rsidRPr="001B0EA3" w14:paraId="68DC6FF1" w14:textId="77777777" w:rsidTr="00D30462">
        <w:trPr>
          <w:trHeight w:val="843"/>
          <w:jc w:val="center"/>
        </w:trPr>
        <w:tc>
          <w:tcPr>
            <w:tcW w:w="2972" w:type="dxa"/>
            <w:vAlign w:val="center"/>
          </w:tcPr>
          <w:p w14:paraId="571C22B4" w14:textId="77777777" w:rsidR="00D603F5" w:rsidRPr="001B0EA3" w:rsidRDefault="00D603F5" w:rsidP="008A4483">
            <w:pPr>
              <w:ind w:firstLine="0"/>
              <w:jc w:val="left"/>
              <w:rPr>
                <w:szCs w:val="24"/>
              </w:rPr>
            </w:pPr>
            <w:r w:rsidRPr="001B0EA3">
              <w:rPr>
                <w:szCs w:val="24"/>
              </w:rPr>
              <w:t>Управляващ орган:</w:t>
            </w:r>
          </w:p>
        </w:tc>
        <w:tc>
          <w:tcPr>
            <w:tcW w:w="6639" w:type="dxa"/>
            <w:vAlign w:val="center"/>
          </w:tcPr>
          <w:p w14:paraId="6D6C2536" w14:textId="77777777" w:rsidR="00D603F5" w:rsidRPr="001B0EA3" w:rsidRDefault="00D603F5" w:rsidP="008A4483">
            <w:pPr>
              <w:ind w:firstLine="0"/>
              <w:rPr>
                <w:color w:val="8DB3E2"/>
                <w:szCs w:val="24"/>
              </w:rPr>
            </w:pPr>
            <w:r w:rsidRPr="001B0EA3">
              <w:rPr>
                <w:szCs w:val="24"/>
              </w:rPr>
              <w:t xml:space="preserve">Дирекция „Координация на програми и проекти“ в </w:t>
            </w:r>
            <w:r w:rsidR="00BB6BF6">
              <w:rPr>
                <w:szCs w:val="24"/>
              </w:rPr>
              <w:t>Министерство на транспорта и съобщенията</w:t>
            </w:r>
          </w:p>
        </w:tc>
      </w:tr>
      <w:tr w:rsidR="00D603F5" w:rsidRPr="001B0EA3" w14:paraId="71C45E6C" w14:textId="77777777" w:rsidTr="00D30462">
        <w:trPr>
          <w:trHeight w:val="840"/>
          <w:jc w:val="center"/>
        </w:trPr>
        <w:tc>
          <w:tcPr>
            <w:tcW w:w="2972" w:type="dxa"/>
            <w:vAlign w:val="center"/>
          </w:tcPr>
          <w:p w14:paraId="6BBF5CF8" w14:textId="77777777" w:rsidR="00D603F5" w:rsidRPr="001B0EA3" w:rsidRDefault="00D603F5" w:rsidP="008A4483">
            <w:pPr>
              <w:ind w:firstLine="0"/>
              <w:jc w:val="left"/>
              <w:rPr>
                <w:szCs w:val="24"/>
              </w:rPr>
            </w:pPr>
            <w:r w:rsidRPr="001B0EA3">
              <w:rPr>
                <w:szCs w:val="24"/>
              </w:rPr>
              <w:t>Лице за контакт:</w:t>
            </w:r>
          </w:p>
        </w:tc>
        <w:tc>
          <w:tcPr>
            <w:tcW w:w="6639" w:type="dxa"/>
            <w:vAlign w:val="center"/>
          </w:tcPr>
          <w:p w14:paraId="275E8FEE" w14:textId="77777777" w:rsidR="00D603F5" w:rsidRPr="001B0EA3" w:rsidRDefault="007C23C2" w:rsidP="008A4483">
            <w:pPr>
              <w:ind w:firstLine="0"/>
              <w:rPr>
                <w:color w:val="8DB3E2"/>
                <w:szCs w:val="24"/>
              </w:rPr>
            </w:pPr>
            <w:r>
              <w:rPr>
                <w:b/>
                <w:szCs w:val="24"/>
              </w:rPr>
              <w:t>Мартин Георгиев</w:t>
            </w:r>
            <w:r w:rsidR="00D603F5" w:rsidRPr="001B0EA3">
              <w:rPr>
                <w:szCs w:val="24"/>
              </w:rPr>
              <w:t xml:space="preserve">, директор на Дирекция „Координация на програми и проекти“ в </w:t>
            </w:r>
            <w:r w:rsidR="00BB6BF6">
              <w:rPr>
                <w:szCs w:val="24"/>
              </w:rPr>
              <w:t>Министерство на транспорта и съобщенията</w:t>
            </w:r>
          </w:p>
        </w:tc>
      </w:tr>
      <w:tr w:rsidR="00D603F5" w:rsidRPr="001B0EA3" w14:paraId="36037949" w14:textId="77777777" w:rsidTr="00D30462">
        <w:trPr>
          <w:trHeight w:val="697"/>
          <w:jc w:val="center"/>
        </w:trPr>
        <w:tc>
          <w:tcPr>
            <w:tcW w:w="2972" w:type="dxa"/>
            <w:vAlign w:val="center"/>
          </w:tcPr>
          <w:p w14:paraId="15674195" w14:textId="77777777" w:rsidR="00D603F5" w:rsidRPr="001B0EA3" w:rsidRDefault="00D603F5" w:rsidP="008A4483">
            <w:pPr>
              <w:ind w:firstLine="0"/>
              <w:jc w:val="left"/>
              <w:rPr>
                <w:szCs w:val="24"/>
              </w:rPr>
            </w:pPr>
            <w:r w:rsidRPr="001B0EA3">
              <w:rPr>
                <w:szCs w:val="24"/>
              </w:rPr>
              <w:t>Контакт:</w:t>
            </w:r>
          </w:p>
        </w:tc>
        <w:tc>
          <w:tcPr>
            <w:tcW w:w="6639" w:type="dxa"/>
            <w:vAlign w:val="center"/>
          </w:tcPr>
          <w:p w14:paraId="354BBDC8" w14:textId="77777777" w:rsidR="00D603F5" w:rsidRPr="001B0EA3" w:rsidRDefault="00D603F5" w:rsidP="008A4483">
            <w:pPr>
              <w:ind w:firstLine="0"/>
              <w:jc w:val="left"/>
              <w:rPr>
                <w:color w:val="000000"/>
                <w:szCs w:val="24"/>
              </w:rPr>
            </w:pPr>
            <w:r w:rsidRPr="001B0EA3">
              <w:rPr>
                <w:color w:val="000000"/>
                <w:szCs w:val="24"/>
              </w:rPr>
              <w:t xml:space="preserve">гр. София, 1000, </w:t>
            </w:r>
          </w:p>
          <w:p w14:paraId="35BC7487" w14:textId="77777777" w:rsidR="00D603F5" w:rsidRPr="001B0EA3" w:rsidRDefault="00D603F5" w:rsidP="008A4483">
            <w:pPr>
              <w:ind w:firstLine="0"/>
              <w:jc w:val="left"/>
              <w:rPr>
                <w:color w:val="000000"/>
                <w:szCs w:val="24"/>
              </w:rPr>
            </w:pPr>
            <w:r w:rsidRPr="001B0EA3">
              <w:rPr>
                <w:color w:val="000000"/>
                <w:szCs w:val="24"/>
              </w:rPr>
              <w:t>ул. „</w:t>
            </w:r>
            <w:r w:rsidRPr="00E61139">
              <w:rPr>
                <w:color w:val="000000"/>
                <w:szCs w:val="24"/>
              </w:rPr>
              <w:t xml:space="preserve">Дякон Игнатий” </w:t>
            </w:r>
            <w:r w:rsidR="00370C72" w:rsidRPr="00911B4E">
              <w:rPr>
                <w:color w:val="000000"/>
                <w:szCs w:val="24"/>
              </w:rPr>
              <w:t xml:space="preserve">№ </w:t>
            </w:r>
            <w:r w:rsidRPr="00E61139">
              <w:rPr>
                <w:color w:val="000000"/>
                <w:szCs w:val="24"/>
              </w:rPr>
              <w:t>9</w:t>
            </w:r>
          </w:p>
          <w:p w14:paraId="19CF34D7" w14:textId="77777777" w:rsidR="00D603F5" w:rsidRPr="001B0EA3" w:rsidRDefault="00D603F5" w:rsidP="008A4483">
            <w:pPr>
              <w:ind w:firstLine="0"/>
              <w:jc w:val="left"/>
              <w:rPr>
                <w:color w:val="000000"/>
                <w:szCs w:val="24"/>
              </w:rPr>
            </w:pPr>
            <w:r w:rsidRPr="001B0EA3">
              <w:rPr>
                <w:color w:val="000000"/>
                <w:szCs w:val="24"/>
              </w:rPr>
              <w:t>Тел.:  +359 2 9409 421</w:t>
            </w:r>
          </w:p>
          <w:p w14:paraId="3D2ACEC2" w14:textId="77777777" w:rsidR="00D603F5" w:rsidRPr="001B0EA3" w:rsidRDefault="00D603F5" w:rsidP="008A4483">
            <w:pPr>
              <w:ind w:firstLine="0"/>
              <w:jc w:val="left"/>
              <w:rPr>
                <w:color w:val="000000"/>
                <w:szCs w:val="24"/>
              </w:rPr>
            </w:pPr>
            <w:r w:rsidRPr="001B0EA3">
              <w:rPr>
                <w:color w:val="000000"/>
                <w:szCs w:val="24"/>
              </w:rPr>
              <w:t>Факс: +359 2 9409 795</w:t>
            </w:r>
          </w:p>
          <w:p w14:paraId="2E4ABA3A" w14:textId="77777777" w:rsidR="00D603F5" w:rsidRPr="001B0EA3" w:rsidRDefault="00D603F5" w:rsidP="008A4483">
            <w:pPr>
              <w:ind w:firstLine="0"/>
              <w:jc w:val="left"/>
              <w:rPr>
                <w:color w:val="000000"/>
                <w:szCs w:val="24"/>
              </w:rPr>
            </w:pPr>
            <w:r w:rsidRPr="001B0EA3">
              <w:rPr>
                <w:color w:val="000000"/>
                <w:szCs w:val="24"/>
              </w:rPr>
              <w:t xml:space="preserve">Email: </w:t>
            </w:r>
            <w:r w:rsidR="008B0F8E">
              <w:rPr>
                <w:color w:val="000000"/>
                <w:szCs w:val="24"/>
                <w:lang w:val="en-US"/>
              </w:rPr>
              <w:t>mgeorgiev</w:t>
            </w:r>
            <w:r w:rsidRPr="001B0EA3">
              <w:rPr>
                <w:color w:val="000000"/>
                <w:szCs w:val="24"/>
              </w:rPr>
              <w:t>@mtitc.government.bg</w:t>
            </w:r>
          </w:p>
          <w:p w14:paraId="03D6FD12" w14:textId="77777777" w:rsidR="00D603F5" w:rsidRPr="001B0EA3" w:rsidRDefault="006035A9" w:rsidP="008A4483">
            <w:pPr>
              <w:ind w:firstLine="0"/>
              <w:jc w:val="left"/>
              <w:rPr>
                <w:color w:val="000000"/>
                <w:szCs w:val="24"/>
              </w:rPr>
            </w:pPr>
            <w:hyperlink r:id="rId14" w:history="1">
              <w:r w:rsidR="00D603F5" w:rsidRPr="001B0EA3">
                <w:rPr>
                  <w:color w:val="0000FF"/>
                  <w:szCs w:val="24"/>
                  <w:u w:val="single"/>
                </w:rPr>
                <w:t>www.mtitc.government.bg</w:t>
              </w:r>
            </w:hyperlink>
            <w:r w:rsidR="00D603F5" w:rsidRPr="001B0EA3">
              <w:rPr>
                <w:color w:val="000000"/>
                <w:szCs w:val="24"/>
              </w:rPr>
              <w:t xml:space="preserve">   </w:t>
            </w:r>
          </w:p>
          <w:p w14:paraId="69B73F47" w14:textId="4CE69FDB" w:rsidR="00D603F5" w:rsidRPr="001B0EA3" w:rsidRDefault="006035A9" w:rsidP="008A4483">
            <w:pPr>
              <w:ind w:firstLine="0"/>
              <w:jc w:val="left"/>
              <w:rPr>
                <w:color w:val="8DB3E2"/>
                <w:szCs w:val="24"/>
              </w:rPr>
            </w:pPr>
            <w:hyperlink r:id="rId15" w:history="1">
              <w:r w:rsidR="009D6A2A">
                <w:rPr>
                  <w:color w:val="0000FF"/>
                  <w:szCs w:val="24"/>
                  <w:u w:val="single"/>
                </w:rPr>
                <w:t>www.eufunds.bg/optti</w:t>
              </w:r>
            </w:hyperlink>
          </w:p>
        </w:tc>
      </w:tr>
      <w:tr w:rsidR="00D603F5" w:rsidRPr="001B0EA3" w14:paraId="0255C17A" w14:textId="77777777" w:rsidTr="00D30462">
        <w:trPr>
          <w:trHeight w:val="849"/>
          <w:jc w:val="center"/>
        </w:trPr>
        <w:tc>
          <w:tcPr>
            <w:tcW w:w="2972" w:type="dxa"/>
            <w:vAlign w:val="center"/>
          </w:tcPr>
          <w:p w14:paraId="3E50ADFA" w14:textId="77777777" w:rsidR="00D603F5" w:rsidRPr="001B0EA3" w:rsidRDefault="00D603F5" w:rsidP="008A4483">
            <w:pPr>
              <w:ind w:firstLine="0"/>
              <w:jc w:val="left"/>
              <w:rPr>
                <w:szCs w:val="24"/>
              </w:rPr>
            </w:pPr>
            <w:r w:rsidRPr="001B0EA3">
              <w:rPr>
                <w:szCs w:val="24"/>
              </w:rPr>
              <w:t>Предоставената информация е актуална към:</w:t>
            </w:r>
          </w:p>
        </w:tc>
        <w:tc>
          <w:tcPr>
            <w:tcW w:w="6639" w:type="dxa"/>
            <w:shd w:val="clear" w:color="auto" w:fill="auto"/>
            <w:vAlign w:val="center"/>
          </w:tcPr>
          <w:p w14:paraId="382F1C19" w14:textId="17EF2CCF" w:rsidR="00D603F5" w:rsidRPr="006A6D08" w:rsidRDefault="00722873" w:rsidP="00D36C88">
            <w:pPr>
              <w:ind w:firstLine="0"/>
              <w:jc w:val="left"/>
              <w:rPr>
                <w:color w:val="000000"/>
                <w:szCs w:val="24"/>
                <w:highlight w:val="yellow"/>
              </w:rPr>
            </w:pPr>
            <w:r>
              <w:rPr>
                <w:szCs w:val="24"/>
                <w:lang w:val="en-US"/>
              </w:rPr>
              <w:t>19</w:t>
            </w:r>
            <w:r w:rsidR="006E2B09" w:rsidRPr="00722873">
              <w:rPr>
                <w:szCs w:val="24"/>
              </w:rPr>
              <w:t>.</w:t>
            </w:r>
            <w:r w:rsidR="00A76164" w:rsidRPr="00722873">
              <w:rPr>
                <w:szCs w:val="24"/>
              </w:rPr>
              <w:t>0</w:t>
            </w:r>
            <w:r w:rsidR="00C40580" w:rsidRPr="00722873">
              <w:rPr>
                <w:szCs w:val="24"/>
              </w:rPr>
              <w:t>7</w:t>
            </w:r>
            <w:r w:rsidR="00D603F5" w:rsidRPr="00722873">
              <w:rPr>
                <w:szCs w:val="24"/>
              </w:rPr>
              <w:t>.</w:t>
            </w:r>
            <w:r w:rsidR="00260045" w:rsidRPr="00722873">
              <w:rPr>
                <w:szCs w:val="24"/>
              </w:rPr>
              <w:t>202</w:t>
            </w:r>
            <w:r w:rsidR="00884451">
              <w:rPr>
                <w:szCs w:val="24"/>
              </w:rPr>
              <w:t xml:space="preserve">3 </w:t>
            </w:r>
            <w:r w:rsidR="00D603F5" w:rsidRPr="00722873">
              <w:rPr>
                <w:szCs w:val="24"/>
              </w:rPr>
              <w:t>г.</w:t>
            </w:r>
          </w:p>
        </w:tc>
      </w:tr>
    </w:tbl>
    <w:p w14:paraId="2EEC295B" w14:textId="77777777" w:rsidR="00D603F5" w:rsidRPr="001B0EA3" w:rsidRDefault="00D603F5" w:rsidP="00660856">
      <w:pPr>
        <w:spacing w:before="120"/>
        <w:rPr>
          <w:b/>
          <w:color w:val="000000"/>
          <w:szCs w:val="24"/>
        </w:rPr>
      </w:pPr>
    </w:p>
    <w:p w14:paraId="34FB5F34" w14:textId="77777777" w:rsidR="00D603F5" w:rsidRPr="001B0EA3" w:rsidRDefault="00D603F5" w:rsidP="00890B4B">
      <w:pPr>
        <w:pStyle w:val="Normal1"/>
        <w:rPr>
          <w:caps/>
          <w:color w:val="1F497D"/>
          <w:sz w:val="28"/>
          <w:u w:val="single"/>
        </w:rPr>
      </w:pPr>
      <w:r w:rsidRPr="001B0EA3">
        <w:rPr>
          <w:b/>
          <w:color w:val="000000"/>
          <w:lang w:eastAsia="pl-PL"/>
        </w:rPr>
        <w:br w:type="page"/>
      </w:r>
    </w:p>
    <w:sdt>
      <w:sdtPr>
        <w:rPr>
          <w:rFonts w:ascii="Times New Roman" w:hAnsi="Times New Roman"/>
          <w:b w:val="0"/>
          <w:bCs w:val="0"/>
          <w:color w:val="auto"/>
          <w:sz w:val="24"/>
          <w:szCs w:val="24"/>
          <w:lang w:eastAsia="pl-PL"/>
        </w:rPr>
        <w:id w:val="1520515070"/>
        <w:docPartObj>
          <w:docPartGallery w:val="Table of Contents"/>
          <w:docPartUnique/>
        </w:docPartObj>
      </w:sdtPr>
      <w:sdtEndPr>
        <w:rPr>
          <w:szCs w:val="20"/>
        </w:rPr>
      </w:sdtEndPr>
      <w:sdtContent>
        <w:p w14:paraId="2A8021E3" w14:textId="77777777" w:rsidR="005A4D1C" w:rsidRPr="00900106" w:rsidRDefault="005A4D1C" w:rsidP="008A09F4">
          <w:pPr>
            <w:pStyle w:val="TOCHeading"/>
            <w:rPr>
              <w:rFonts w:ascii="Times New Roman" w:hAnsi="Times New Roman"/>
              <w:sz w:val="24"/>
              <w:szCs w:val="24"/>
            </w:rPr>
          </w:pPr>
          <w:r w:rsidRPr="00900106">
            <w:rPr>
              <w:rFonts w:ascii="Times New Roman" w:hAnsi="Times New Roman"/>
              <w:sz w:val="24"/>
              <w:szCs w:val="24"/>
            </w:rPr>
            <w:t>Съдържание</w:t>
          </w:r>
        </w:p>
        <w:p w14:paraId="526EB422" w14:textId="35344F0B" w:rsidR="00F906B6" w:rsidRDefault="005A4D1C">
          <w:pPr>
            <w:pStyle w:val="TOC1"/>
            <w:tabs>
              <w:tab w:val="right" w:leader="dot" w:pos="9487"/>
            </w:tabs>
            <w:rPr>
              <w:rFonts w:eastAsiaTheme="minorEastAsia" w:cstheme="minorBidi"/>
              <w:b w:val="0"/>
              <w:bCs w:val="0"/>
              <w:noProof/>
              <w:sz w:val="22"/>
              <w:szCs w:val="22"/>
              <w:lang w:eastAsia="bg-BG"/>
            </w:rPr>
          </w:pPr>
          <w:r w:rsidRPr="00900106">
            <w:fldChar w:fldCharType="begin"/>
          </w:r>
          <w:r w:rsidRPr="00900106">
            <w:instrText xml:space="preserve"> TOC \o "1-3" \h \z \u </w:instrText>
          </w:r>
          <w:r w:rsidRPr="00900106">
            <w:fldChar w:fldCharType="separate"/>
          </w:r>
          <w:hyperlink w:anchor="_Toc140150142" w:history="1">
            <w:r w:rsidR="00F906B6" w:rsidRPr="00EC23D2">
              <w:rPr>
                <w:rStyle w:val="Hyperlink"/>
                <w:noProof/>
              </w:rPr>
              <w:t>ПРОЦЕДУРЕН НАРЪЧНИК</w:t>
            </w:r>
            <w:r w:rsidR="00F906B6">
              <w:rPr>
                <w:noProof/>
                <w:webHidden/>
              </w:rPr>
              <w:tab/>
            </w:r>
            <w:r w:rsidR="00F906B6">
              <w:rPr>
                <w:noProof/>
                <w:webHidden/>
              </w:rPr>
              <w:fldChar w:fldCharType="begin"/>
            </w:r>
            <w:r w:rsidR="00F906B6">
              <w:rPr>
                <w:noProof/>
                <w:webHidden/>
              </w:rPr>
              <w:instrText xml:space="preserve"> PAGEREF _Toc140150142 \h </w:instrText>
            </w:r>
            <w:r w:rsidR="00F906B6">
              <w:rPr>
                <w:noProof/>
                <w:webHidden/>
              </w:rPr>
            </w:r>
            <w:r w:rsidR="00F906B6">
              <w:rPr>
                <w:noProof/>
                <w:webHidden/>
              </w:rPr>
              <w:fldChar w:fldCharType="separate"/>
            </w:r>
            <w:r w:rsidR="00F906B6">
              <w:rPr>
                <w:noProof/>
                <w:webHidden/>
              </w:rPr>
              <w:t>1</w:t>
            </w:r>
            <w:r w:rsidR="00F906B6">
              <w:rPr>
                <w:noProof/>
                <w:webHidden/>
              </w:rPr>
              <w:fldChar w:fldCharType="end"/>
            </w:r>
          </w:hyperlink>
        </w:p>
        <w:p w14:paraId="7C015CB5" w14:textId="41E525BD" w:rsidR="00F906B6" w:rsidRDefault="006035A9">
          <w:pPr>
            <w:pStyle w:val="TOC1"/>
            <w:tabs>
              <w:tab w:val="right" w:leader="dot" w:pos="9487"/>
            </w:tabs>
            <w:rPr>
              <w:rFonts w:eastAsiaTheme="minorEastAsia" w:cstheme="minorBidi"/>
              <w:b w:val="0"/>
              <w:bCs w:val="0"/>
              <w:noProof/>
              <w:sz w:val="22"/>
              <w:szCs w:val="22"/>
              <w:lang w:eastAsia="bg-BG"/>
            </w:rPr>
          </w:pPr>
          <w:hyperlink w:anchor="_Toc140150143" w:history="1">
            <w:r w:rsidR="00F906B6" w:rsidRPr="00EC23D2">
              <w:rPr>
                <w:rStyle w:val="Hyperlink"/>
                <w:rFonts w:ascii="Times New Roman" w:hAnsi="Times New Roman"/>
                <w:noProof/>
                <w:lang w:eastAsia="bg-BG"/>
              </w:rPr>
              <w:t>СПИСЪК НА СЪКРАЩЕНИЯТА</w:t>
            </w:r>
            <w:r w:rsidR="00F906B6">
              <w:rPr>
                <w:noProof/>
                <w:webHidden/>
              </w:rPr>
              <w:tab/>
            </w:r>
            <w:r w:rsidR="00F906B6">
              <w:rPr>
                <w:noProof/>
                <w:webHidden/>
              </w:rPr>
              <w:fldChar w:fldCharType="begin"/>
            </w:r>
            <w:r w:rsidR="00F906B6">
              <w:rPr>
                <w:noProof/>
                <w:webHidden/>
              </w:rPr>
              <w:instrText xml:space="preserve"> PAGEREF _Toc140150143 \h </w:instrText>
            </w:r>
            <w:r w:rsidR="00F906B6">
              <w:rPr>
                <w:noProof/>
                <w:webHidden/>
              </w:rPr>
            </w:r>
            <w:r w:rsidR="00F906B6">
              <w:rPr>
                <w:noProof/>
                <w:webHidden/>
              </w:rPr>
              <w:fldChar w:fldCharType="separate"/>
            </w:r>
            <w:r w:rsidR="00F906B6">
              <w:rPr>
                <w:noProof/>
                <w:webHidden/>
              </w:rPr>
              <w:t>9</w:t>
            </w:r>
            <w:r w:rsidR="00F906B6">
              <w:rPr>
                <w:noProof/>
                <w:webHidden/>
              </w:rPr>
              <w:fldChar w:fldCharType="end"/>
            </w:r>
          </w:hyperlink>
        </w:p>
        <w:p w14:paraId="5B4E7C38" w14:textId="20B93794" w:rsidR="00F906B6" w:rsidRDefault="006035A9">
          <w:pPr>
            <w:pStyle w:val="TOC1"/>
            <w:tabs>
              <w:tab w:val="right" w:leader="dot" w:pos="9487"/>
            </w:tabs>
            <w:rPr>
              <w:rFonts w:eastAsiaTheme="minorEastAsia" w:cstheme="minorBidi"/>
              <w:b w:val="0"/>
              <w:bCs w:val="0"/>
              <w:noProof/>
              <w:sz w:val="22"/>
              <w:szCs w:val="22"/>
              <w:lang w:eastAsia="bg-BG"/>
            </w:rPr>
          </w:pPr>
          <w:hyperlink w:anchor="_Toc140150144" w:history="1">
            <w:r w:rsidR="00F906B6" w:rsidRPr="00EC23D2">
              <w:rPr>
                <w:rStyle w:val="Hyperlink"/>
                <w:rFonts w:ascii="Times New Roman" w:hAnsi="Times New Roman"/>
                <w:noProof/>
                <w:lang w:eastAsia="bg-BG"/>
              </w:rPr>
              <w:t>ГЛАВА 1 ОБЩИ ПОЛОЖЕНИЯ</w:t>
            </w:r>
            <w:r w:rsidR="00F906B6">
              <w:rPr>
                <w:noProof/>
                <w:webHidden/>
              </w:rPr>
              <w:tab/>
            </w:r>
            <w:r w:rsidR="00F906B6">
              <w:rPr>
                <w:noProof/>
                <w:webHidden/>
              </w:rPr>
              <w:fldChar w:fldCharType="begin"/>
            </w:r>
            <w:r w:rsidR="00F906B6">
              <w:rPr>
                <w:noProof/>
                <w:webHidden/>
              </w:rPr>
              <w:instrText xml:space="preserve"> PAGEREF _Toc140150144 \h </w:instrText>
            </w:r>
            <w:r w:rsidR="00F906B6">
              <w:rPr>
                <w:noProof/>
                <w:webHidden/>
              </w:rPr>
            </w:r>
            <w:r w:rsidR="00F906B6">
              <w:rPr>
                <w:noProof/>
                <w:webHidden/>
              </w:rPr>
              <w:fldChar w:fldCharType="separate"/>
            </w:r>
            <w:r w:rsidR="00F906B6">
              <w:rPr>
                <w:noProof/>
                <w:webHidden/>
              </w:rPr>
              <w:t>11</w:t>
            </w:r>
            <w:r w:rsidR="00F906B6">
              <w:rPr>
                <w:noProof/>
                <w:webHidden/>
              </w:rPr>
              <w:fldChar w:fldCharType="end"/>
            </w:r>
          </w:hyperlink>
        </w:p>
        <w:p w14:paraId="6D0062E8" w14:textId="69B29F93" w:rsidR="00F906B6" w:rsidRDefault="006035A9">
          <w:pPr>
            <w:pStyle w:val="TOC2"/>
            <w:rPr>
              <w:rFonts w:asciiTheme="minorHAnsi" w:eastAsiaTheme="minorEastAsia" w:hAnsiTheme="minorHAnsi" w:cstheme="minorBidi"/>
              <w:iCs w:val="0"/>
              <w:noProof/>
              <w:sz w:val="22"/>
              <w:szCs w:val="22"/>
              <w:lang w:eastAsia="bg-BG"/>
            </w:rPr>
          </w:pPr>
          <w:hyperlink w:anchor="_Toc140150145" w:history="1">
            <w:r w:rsidR="00F906B6" w:rsidRPr="00EC23D2">
              <w:rPr>
                <w:rStyle w:val="Hyperlink"/>
                <w:noProof/>
              </w:rPr>
              <w:t>1.</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ДЕФИНИЦИИ</w:t>
            </w:r>
            <w:r w:rsidR="00F906B6">
              <w:rPr>
                <w:noProof/>
                <w:webHidden/>
              </w:rPr>
              <w:tab/>
            </w:r>
            <w:r w:rsidR="00F906B6">
              <w:rPr>
                <w:noProof/>
                <w:webHidden/>
              </w:rPr>
              <w:fldChar w:fldCharType="begin"/>
            </w:r>
            <w:r w:rsidR="00F906B6">
              <w:rPr>
                <w:noProof/>
                <w:webHidden/>
              </w:rPr>
              <w:instrText xml:space="preserve"> PAGEREF _Toc140150145 \h </w:instrText>
            </w:r>
            <w:r w:rsidR="00F906B6">
              <w:rPr>
                <w:noProof/>
                <w:webHidden/>
              </w:rPr>
            </w:r>
            <w:r w:rsidR="00F906B6">
              <w:rPr>
                <w:noProof/>
                <w:webHidden/>
              </w:rPr>
              <w:fldChar w:fldCharType="separate"/>
            </w:r>
            <w:r w:rsidR="00F906B6">
              <w:rPr>
                <w:noProof/>
                <w:webHidden/>
              </w:rPr>
              <w:t>11</w:t>
            </w:r>
            <w:r w:rsidR="00F906B6">
              <w:rPr>
                <w:noProof/>
                <w:webHidden/>
              </w:rPr>
              <w:fldChar w:fldCharType="end"/>
            </w:r>
          </w:hyperlink>
        </w:p>
        <w:p w14:paraId="42DF5412" w14:textId="0760FA17" w:rsidR="00F906B6" w:rsidRDefault="006035A9">
          <w:pPr>
            <w:pStyle w:val="TOC2"/>
            <w:rPr>
              <w:rFonts w:asciiTheme="minorHAnsi" w:eastAsiaTheme="minorEastAsia" w:hAnsiTheme="minorHAnsi" w:cstheme="minorBidi"/>
              <w:iCs w:val="0"/>
              <w:noProof/>
              <w:sz w:val="22"/>
              <w:szCs w:val="22"/>
              <w:lang w:eastAsia="bg-BG"/>
            </w:rPr>
          </w:pPr>
          <w:hyperlink w:anchor="_Toc140150146" w:history="1">
            <w:r w:rsidR="00F906B6" w:rsidRPr="00EC23D2">
              <w:rPr>
                <w:rStyle w:val="Hyperlink"/>
                <w:noProof/>
              </w:rPr>
              <w:t>2.</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НОРМАТИВНА БАЗА</w:t>
            </w:r>
            <w:r w:rsidR="00F906B6">
              <w:rPr>
                <w:noProof/>
                <w:webHidden/>
              </w:rPr>
              <w:tab/>
            </w:r>
            <w:r w:rsidR="00F906B6">
              <w:rPr>
                <w:noProof/>
                <w:webHidden/>
              </w:rPr>
              <w:fldChar w:fldCharType="begin"/>
            </w:r>
            <w:r w:rsidR="00F906B6">
              <w:rPr>
                <w:noProof/>
                <w:webHidden/>
              </w:rPr>
              <w:instrText xml:space="preserve"> PAGEREF _Toc140150146 \h </w:instrText>
            </w:r>
            <w:r w:rsidR="00F906B6">
              <w:rPr>
                <w:noProof/>
                <w:webHidden/>
              </w:rPr>
            </w:r>
            <w:r w:rsidR="00F906B6">
              <w:rPr>
                <w:noProof/>
                <w:webHidden/>
              </w:rPr>
              <w:fldChar w:fldCharType="separate"/>
            </w:r>
            <w:r w:rsidR="00F906B6">
              <w:rPr>
                <w:noProof/>
                <w:webHidden/>
              </w:rPr>
              <w:t>14</w:t>
            </w:r>
            <w:r w:rsidR="00F906B6">
              <w:rPr>
                <w:noProof/>
                <w:webHidden/>
              </w:rPr>
              <w:fldChar w:fldCharType="end"/>
            </w:r>
          </w:hyperlink>
        </w:p>
        <w:p w14:paraId="0CA8FEB3" w14:textId="2E2725BD" w:rsidR="00F906B6" w:rsidRDefault="006035A9">
          <w:pPr>
            <w:pStyle w:val="TOC3"/>
            <w:tabs>
              <w:tab w:val="left" w:pos="1600"/>
              <w:tab w:val="right" w:leader="dot" w:pos="9487"/>
            </w:tabs>
            <w:rPr>
              <w:rFonts w:eastAsiaTheme="minorEastAsia" w:cstheme="minorBidi"/>
              <w:noProof/>
              <w:sz w:val="22"/>
              <w:szCs w:val="22"/>
              <w:lang w:eastAsia="bg-BG"/>
            </w:rPr>
          </w:pPr>
          <w:hyperlink w:anchor="_Toc140150147" w:history="1">
            <w:r w:rsidR="00F906B6" w:rsidRPr="00EC23D2">
              <w:rPr>
                <w:rStyle w:val="Hyperlink"/>
                <w:noProof/>
              </w:rPr>
              <w:t>2.1.</w:t>
            </w:r>
            <w:r w:rsidR="00F906B6">
              <w:rPr>
                <w:rFonts w:eastAsiaTheme="minorEastAsia" w:cstheme="minorBidi"/>
                <w:noProof/>
                <w:sz w:val="22"/>
                <w:szCs w:val="22"/>
                <w:lang w:eastAsia="bg-BG"/>
              </w:rPr>
              <w:tab/>
            </w:r>
            <w:r w:rsidR="00F906B6" w:rsidRPr="00EC23D2">
              <w:rPr>
                <w:rStyle w:val="Hyperlink"/>
                <w:noProof/>
              </w:rPr>
              <w:t>Стратегически документи</w:t>
            </w:r>
            <w:r w:rsidR="00F906B6">
              <w:rPr>
                <w:noProof/>
                <w:webHidden/>
              </w:rPr>
              <w:tab/>
            </w:r>
            <w:r w:rsidR="00F906B6">
              <w:rPr>
                <w:noProof/>
                <w:webHidden/>
              </w:rPr>
              <w:fldChar w:fldCharType="begin"/>
            </w:r>
            <w:r w:rsidR="00F906B6">
              <w:rPr>
                <w:noProof/>
                <w:webHidden/>
              </w:rPr>
              <w:instrText xml:space="preserve"> PAGEREF _Toc140150147 \h </w:instrText>
            </w:r>
            <w:r w:rsidR="00F906B6">
              <w:rPr>
                <w:noProof/>
                <w:webHidden/>
              </w:rPr>
            </w:r>
            <w:r w:rsidR="00F906B6">
              <w:rPr>
                <w:noProof/>
                <w:webHidden/>
              </w:rPr>
              <w:fldChar w:fldCharType="separate"/>
            </w:r>
            <w:r w:rsidR="00F906B6">
              <w:rPr>
                <w:noProof/>
                <w:webHidden/>
              </w:rPr>
              <w:t>14</w:t>
            </w:r>
            <w:r w:rsidR="00F906B6">
              <w:rPr>
                <w:noProof/>
                <w:webHidden/>
              </w:rPr>
              <w:fldChar w:fldCharType="end"/>
            </w:r>
          </w:hyperlink>
        </w:p>
        <w:p w14:paraId="4A3FC96E" w14:textId="0FD7A459" w:rsidR="00F906B6" w:rsidRDefault="006035A9">
          <w:pPr>
            <w:pStyle w:val="TOC3"/>
            <w:tabs>
              <w:tab w:val="left" w:pos="1600"/>
              <w:tab w:val="right" w:leader="dot" w:pos="9487"/>
            </w:tabs>
            <w:rPr>
              <w:rFonts w:eastAsiaTheme="minorEastAsia" w:cstheme="minorBidi"/>
              <w:noProof/>
              <w:sz w:val="22"/>
              <w:szCs w:val="22"/>
              <w:lang w:eastAsia="bg-BG"/>
            </w:rPr>
          </w:pPr>
          <w:hyperlink w:anchor="_Toc140150148" w:history="1">
            <w:r w:rsidR="00F906B6" w:rsidRPr="00EC23D2">
              <w:rPr>
                <w:rStyle w:val="Hyperlink"/>
                <w:noProof/>
              </w:rPr>
              <w:t>2.2.</w:t>
            </w:r>
            <w:r w:rsidR="00F906B6">
              <w:rPr>
                <w:rFonts w:eastAsiaTheme="minorEastAsia" w:cstheme="minorBidi"/>
                <w:noProof/>
                <w:sz w:val="22"/>
                <w:szCs w:val="22"/>
                <w:lang w:eastAsia="bg-BG"/>
              </w:rPr>
              <w:tab/>
            </w:r>
            <w:r w:rsidR="00F906B6" w:rsidRPr="00EC23D2">
              <w:rPr>
                <w:rStyle w:val="Hyperlink"/>
                <w:noProof/>
              </w:rPr>
              <w:t>Решения на Министерския съвет</w:t>
            </w:r>
            <w:r w:rsidR="00F906B6">
              <w:rPr>
                <w:noProof/>
                <w:webHidden/>
              </w:rPr>
              <w:tab/>
            </w:r>
            <w:r w:rsidR="00F906B6">
              <w:rPr>
                <w:noProof/>
                <w:webHidden/>
              </w:rPr>
              <w:fldChar w:fldCharType="begin"/>
            </w:r>
            <w:r w:rsidR="00F906B6">
              <w:rPr>
                <w:noProof/>
                <w:webHidden/>
              </w:rPr>
              <w:instrText xml:space="preserve"> PAGEREF _Toc140150148 \h </w:instrText>
            </w:r>
            <w:r w:rsidR="00F906B6">
              <w:rPr>
                <w:noProof/>
                <w:webHidden/>
              </w:rPr>
            </w:r>
            <w:r w:rsidR="00F906B6">
              <w:rPr>
                <w:noProof/>
                <w:webHidden/>
              </w:rPr>
              <w:fldChar w:fldCharType="separate"/>
            </w:r>
            <w:r w:rsidR="00F906B6">
              <w:rPr>
                <w:noProof/>
                <w:webHidden/>
              </w:rPr>
              <w:t>14</w:t>
            </w:r>
            <w:r w:rsidR="00F906B6">
              <w:rPr>
                <w:noProof/>
                <w:webHidden/>
              </w:rPr>
              <w:fldChar w:fldCharType="end"/>
            </w:r>
          </w:hyperlink>
        </w:p>
        <w:p w14:paraId="0C1F67D7" w14:textId="41CD0082" w:rsidR="00F906B6" w:rsidRDefault="006035A9">
          <w:pPr>
            <w:pStyle w:val="TOC3"/>
            <w:tabs>
              <w:tab w:val="left" w:pos="1600"/>
              <w:tab w:val="right" w:leader="dot" w:pos="9487"/>
            </w:tabs>
            <w:rPr>
              <w:rFonts w:eastAsiaTheme="minorEastAsia" w:cstheme="minorBidi"/>
              <w:noProof/>
              <w:sz w:val="22"/>
              <w:szCs w:val="22"/>
              <w:lang w:eastAsia="bg-BG"/>
            </w:rPr>
          </w:pPr>
          <w:hyperlink w:anchor="_Toc140150149" w:history="1">
            <w:r w:rsidR="00F906B6" w:rsidRPr="00EC23D2">
              <w:rPr>
                <w:rStyle w:val="Hyperlink"/>
                <w:noProof/>
              </w:rPr>
              <w:t>2.3.</w:t>
            </w:r>
            <w:r w:rsidR="00F906B6">
              <w:rPr>
                <w:rFonts w:eastAsiaTheme="minorEastAsia" w:cstheme="minorBidi"/>
                <w:noProof/>
                <w:sz w:val="22"/>
                <w:szCs w:val="22"/>
                <w:lang w:eastAsia="bg-BG"/>
              </w:rPr>
              <w:tab/>
            </w:r>
            <w:r w:rsidR="00F906B6" w:rsidRPr="00EC23D2">
              <w:rPr>
                <w:rStyle w:val="Hyperlink"/>
                <w:noProof/>
              </w:rPr>
              <w:t>Постановления на Министерския съвет</w:t>
            </w:r>
            <w:r w:rsidR="00F906B6">
              <w:rPr>
                <w:noProof/>
                <w:webHidden/>
              </w:rPr>
              <w:tab/>
            </w:r>
            <w:r w:rsidR="00F906B6">
              <w:rPr>
                <w:noProof/>
                <w:webHidden/>
              </w:rPr>
              <w:fldChar w:fldCharType="begin"/>
            </w:r>
            <w:r w:rsidR="00F906B6">
              <w:rPr>
                <w:noProof/>
                <w:webHidden/>
              </w:rPr>
              <w:instrText xml:space="preserve"> PAGEREF _Toc140150149 \h </w:instrText>
            </w:r>
            <w:r w:rsidR="00F906B6">
              <w:rPr>
                <w:noProof/>
                <w:webHidden/>
              </w:rPr>
            </w:r>
            <w:r w:rsidR="00F906B6">
              <w:rPr>
                <w:noProof/>
                <w:webHidden/>
              </w:rPr>
              <w:fldChar w:fldCharType="separate"/>
            </w:r>
            <w:r w:rsidR="00F906B6">
              <w:rPr>
                <w:noProof/>
                <w:webHidden/>
              </w:rPr>
              <w:t>14</w:t>
            </w:r>
            <w:r w:rsidR="00F906B6">
              <w:rPr>
                <w:noProof/>
                <w:webHidden/>
              </w:rPr>
              <w:fldChar w:fldCharType="end"/>
            </w:r>
          </w:hyperlink>
        </w:p>
        <w:p w14:paraId="2BDF65A5" w14:textId="20A2A174" w:rsidR="00F906B6" w:rsidRDefault="006035A9">
          <w:pPr>
            <w:pStyle w:val="TOC3"/>
            <w:tabs>
              <w:tab w:val="left" w:pos="1600"/>
              <w:tab w:val="right" w:leader="dot" w:pos="9487"/>
            </w:tabs>
            <w:rPr>
              <w:rFonts w:eastAsiaTheme="minorEastAsia" w:cstheme="minorBidi"/>
              <w:noProof/>
              <w:sz w:val="22"/>
              <w:szCs w:val="22"/>
              <w:lang w:eastAsia="bg-BG"/>
            </w:rPr>
          </w:pPr>
          <w:hyperlink w:anchor="_Toc140150150" w:history="1">
            <w:r w:rsidR="00F906B6" w:rsidRPr="00EC23D2">
              <w:rPr>
                <w:rStyle w:val="Hyperlink"/>
                <w:noProof/>
              </w:rPr>
              <w:t>2.4.</w:t>
            </w:r>
            <w:r w:rsidR="00F906B6">
              <w:rPr>
                <w:rFonts w:eastAsiaTheme="minorEastAsia" w:cstheme="minorBidi"/>
                <w:noProof/>
                <w:sz w:val="22"/>
                <w:szCs w:val="22"/>
                <w:lang w:eastAsia="bg-BG"/>
              </w:rPr>
              <w:tab/>
            </w:r>
            <w:r w:rsidR="00F906B6" w:rsidRPr="00EC23D2">
              <w:rPr>
                <w:rStyle w:val="Hyperlink"/>
                <w:noProof/>
              </w:rPr>
              <w:t>Указания и инструкции</w:t>
            </w:r>
            <w:r w:rsidR="00F906B6">
              <w:rPr>
                <w:noProof/>
                <w:webHidden/>
              </w:rPr>
              <w:tab/>
            </w:r>
            <w:r w:rsidR="00F906B6">
              <w:rPr>
                <w:noProof/>
                <w:webHidden/>
              </w:rPr>
              <w:fldChar w:fldCharType="begin"/>
            </w:r>
            <w:r w:rsidR="00F906B6">
              <w:rPr>
                <w:noProof/>
                <w:webHidden/>
              </w:rPr>
              <w:instrText xml:space="preserve"> PAGEREF _Toc140150150 \h </w:instrText>
            </w:r>
            <w:r w:rsidR="00F906B6">
              <w:rPr>
                <w:noProof/>
                <w:webHidden/>
              </w:rPr>
            </w:r>
            <w:r w:rsidR="00F906B6">
              <w:rPr>
                <w:noProof/>
                <w:webHidden/>
              </w:rPr>
              <w:fldChar w:fldCharType="separate"/>
            </w:r>
            <w:r w:rsidR="00F906B6">
              <w:rPr>
                <w:noProof/>
                <w:webHidden/>
              </w:rPr>
              <w:t>15</w:t>
            </w:r>
            <w:r w:rsidR="00F906B6">
              <w:rPr>
                <w:noProof/>
                <w:webHidden/>
              </w:rPr>
              <w:fldChar w:fldCharType="end"/>
            </w:r>
          </w:hyperlink>
        </w:p>
        <w:p w14:paraId="344B29CF" w14:textId="0D7BA027" w:rsidR="00F906B6" w:rsidRDefault="006035A9">
          <w:pPr>
            <w:pStyle w:val="TOC3"/>
            <w:tabs>
              <w:tab w:val="left" w:pos="1600"/>
              <w:tab w:val="right" w:leader="dot" w:pos="9487"/>
            </w:tabs>
            <w:rPr>
              <w:rFonts w:eastAsiaTheme="minorEastAsia" w:cstheme="minorBidi"/>
              <w:noProof/>
              <w:sz w:val="22"/>
              <w:szCs w:val="22"/>
              <w:lang w:eastAsia="bg-BG"/>
            </w:rPr>
          </w:pPr>
          <w:hyperlink w:anchor="_Toc140150151" w:history="1">
            <w:r w:rsidR="00F906B6" w:rsidRPr="00EC23D2">
              <w:rPr>
                <w:rStyle w:val="Hyperlink"/>
                <w:noProof/>
              </w:rPr>
              <w:t>2.5.</w:t>
            </w:r>
            <w:r w:rsidR="00F906B6">
              <w:rPr>
                <w:rFonts w:eastAsiaTheme="minorEastAsia" w:cstheme="minorBidi"/>
                <w:noProof/>
                <w:sz w:val="22"/>
                <w:szCs w:val="22"/>
                <w:lang w:eastAsia="bg-BG"/>
              </w:rPr>
              <w:tab/>
            </w:r>
            <w:r w:rsidR="00F906B6" w:rsidRPr="00EC23D2">
              <w:rPr>
                <w:rStyle w:val="Hyperlink"/>
                <w:noProof/>
              </w:rPr>
              <w:t>Решения на Комисията</w:t>
            </w:r>
            <w:r w:rsidR="00F906B6">
              <w:rPr>
                <w:noProof/>
                <w:webHidden/>
              </w:rPr>
              <w:tab/>
            </w:r>
            <w:r w:rsidR="00F906B6">
              <w:rPr>
                <w:noProof/>
                <w:webHidden/>
              </w:rPr>
              <w:fldChar w:fldCharType="begin"/>
            </w:r>
            <w:r w:rsidR="00F906B6">
              <w:rPr>
                <w:noProof/>
                <w:webHidden/>
              </w:rPr>
              <w:instrText xml:space="preserve"> PAGEREF _Toc140150151 \h </w:instrText>
            </w:r>
            <w:r w:rsidR="00F906B6">
              <w:rPr>
                <w:noProof/>
                <w:webHidden/>
              </w:rPr>
            </w:r>
            <w:r w:rsidR="00F906B6">
              <w:rPr>
                <w:noProof/>
                <w:webHidden/>
              </w:rPr>
              <w:fldChar w:fldCharType="separate"/>
            </w:r>
            <w:r w:rsidR="00F906B6">
              <w:rPr>
                <w:noProof/>
                <w:webHidden/>
              </w:rPr>
              <w:t>16</w:t>
            </w:r>
            <w:r w:rsidR="00F906B6">
              <w:rPr>
                <w:noProof/>
                <w:webHidden/>
              </w:rPr>
              <w:fldChar w:fldCharType="end"/>
            </w:r>
          </w:hyperlink>
        </w:p>
        <w:p w14:paraId="428FACE3" w14:textId="1EB6B893" w:rsidR="00F906B6" w:rsidRDefault="006035A9">
          <w:pPr>
            <w:pStyle w:val="TOC3"/>
            <w:tabs>
              <w:tab w:val="left" w:pos="1600"/>
              <w:tab w:val="right" w:leader="dot" w:pos="9487"/>
            </w:tabs>
            <w:rPr>
              <w:rFonts w:eastAsiaTheme="minorEastAsia" w:cstheme="minorBidi"/>
              <w:noProof/>
              <w:sz w:val="22"/>
              <w:szCs w:val="22"/>
              <w:lang w:eastAsia="bg-BG"/>
            </w:rPr>
          </w:pPr>
          <w:hyperlink w:anchor="_Toc140150152" w:history="1">
            <w:r w:rsidR="00F906B6" w:rsidRPr="00EC23D2">
              <w:rPr>
                <w:rStyle w:val="Hyperlink"/>
                <w:noProof/>
              </w:rPr>
              <w:t>2.6.</w:t>
            </w:r>
            <w:r w:rsidR="00F906B6">
              <w:rPr>
                <w:rFonts w:eastAsiaTheme="minorEastAsia" w:cstheme="minorBidi"/>
                <w:noProof/>
                <w:sz w:val="22"/>
                <w:szCs w:val="22"/>
                <w:lang w:eastAsia="bg-BG"/>
              </w:rPr>
              <w:tab/>
            </w:r>
            <w:r w:rsidR="00F906B6" w:rsidRPr="00EC23D2">
              <w:rPr>
                <w:rStyle w:val="Hyperlink"/>
                <w:noProof/>
              </w:rPr>
              <w:t>Регламенти</w:t>
            </w:r>
            <w:r w:rsidR="00F906B6">
              <w:rPr>
                <w:noProof/>
                <w:webHidden/>
              </w:rPr>
              <w:tab/>
            </w:r>
            <w:r w:rsidR="00F906B6">
              <w:rPr>
                <w:noProof/>
                <w:webHidden/>
              </w:rPr>
              <w:fldChar w:fldCharType="begin"/>
            </w:r>
            <w:r w:rsidR="00F906B6">
              <w:rPr>
                <w:noProof/>
                <w:webHidden/>
              </w:rPr>
              <w:instrText xml:space="preserve"> PAGEREF _Toc140150152 \h </w:instrText>
            </w:r>
            <w:r w:rsidR="00F906B6">
              <w:rPr>
                <w:noProof/>
                <w:webHidden/>
              </w:rPr>
            </w:r>
            <w:r w:rsidR="00F906B6">
              <w:rPr>
                <w:noProof/>
                <w:webHidden/>
              </w:rPr>
              <w:fldChar w:fldCharType="separate"/>
            </w:r>
            <w:r w:rsidR="00F906B6">
              <w:rPr>
                <w:noProof/>
                <w:webHidden/>
              </w:rPr>
              <w:t>17</w:t>
            </w:r>
            <w:r w:rsidR="00F906B6">
              <w:rPr>
                <w:noProof/>
                <w:webHidden/>
              </w:rPr>
              <w:fldChar w:fldCharType="end"/>
            </w:r>
          </w:hyperlink>
        </w:p>
        <w:p w14:paraId="1CE84D45" w14:textId="7C274BC3" w:rsidR="00F906B6" w:rsidRDefault="006035A9">
          <w:pPr>
            <w:pStyle w:val="TOC3"/>
            <w:tabs>
              <w:tab w:val="left" w:pos="1600"/>
              <w:tab w:val="right" w:leader="dot" w:pos="9487"/>
            </w:tabs>
            <w:rPr>
              <w:rFonts w:eastAsiaTheme="minorEastAsia" w:cstheme="minorBidi"/>
              <w:noProof/>
              <w:sz w:val="22"/>
              <w:szCs w:val="22"/>
              <w:lang w:eastAsia="bg-BG"/>
            </w:rPr>
          </w:pPr>
          <w:hyperlink w:anchor="_Toc140150153" w:history="1">
            <w:r w:rsidR="00F906B6" w:rsidRPr="00EC23D2">
              <w:rPr>
                <w:rStyle w:val="Hyperlink"/>
                <w:noProof/>
              </w:rPr>
              <w:t>2.7.</w:t>
            </w:r>
            <w:r w:rsidR="00F906B6">
              <w:rPr>
                <w:rFonts w:eastAsiaTheme="minorEastAsia" w:cstheme="minorBidi"/>
                <w:noProof/>
                <w:sz w:val="22"/>
                <w:szCs w:val="22"/>
                <w:lang w:eastAsia="bg-BG"/>
              </w:rPr>
              <w:tab/>
            </w:r>
            <w:r w:rsidR="00F906B6" w:rsidRPr="00EC23D2">
              <w:rPr>
                <w:rStyle w:val="Hyperlink"/>
                <w:noProof/>
              </w:rPr>
              <w:t>Делегирани Регламенти</w:t>
            </w:r>
            <w:r w:rsidR="00F906B6">
              <w:rPr>
                <w:noProof/>
                <w:webHidden/>
              </w:rPr>
              <w:tab/>
            </w:r>
            <w:r w:rsidR="00F906B6">
              <w:rPr>
                <w:noProof/>
                <w:webHidden/>
              </w:rPr>
              <w:fldChar w:fldCharType="begin"/>
            </w:r>
            <w:r w:rsidR="00F906B6">
              <w:rPr>
                <w:noProof/>
                <w:webHidden/>
              </w:rPr>
              <w:instrText xml:space="preserve"> PAGEREF _Toc140150153 \h </w:instrText>
            </w:r>
            <w:r w:rsidR="00F906B6">
              <w:rPr>
                <w:noProof/>
                <w:webHidden/>
              </w:rPr>
            </w:r>
            <w:r w:rsidR="00F906B6">
              <w:rPr>
                <w:noProof/>
                <w:webHidden/>
              </w:rPr>
              <w:fldChar w:fldCharType="separate"/>
            </w:r>
            <w:r w:rsidR="00F906B6">
              <w:rPr>
                <w:noProof/>
                <w:webHidden/>
              </w:rPr>
              <w:t>18</w:t>
            </w:r>
            <w:r w:rsidR="00F906B6">
              <w:rPr>
                <w:noProof/>
                <w:webHidden/>
              </w:rPr>
              <w:fldChar w:fldCharType="end"/>
            </w:r>
          </w:hyperlink>
        </w:p>
        <w:p w14:paraId="16E90A83" w14:textId="6606111E" w:rsidR="00F906B6" w:rsidRDefault="006035A9">
          <w:pPr>
            <w:pStyle w:val="TOC3"/>
            <w:tabs>
              <w:tab w:val="left" w:pos="1600"/>
              <w:tab w:val="right" w:leader="dot" w:pos="9487"/>
            </w:tabs>
            <w:rPr>
              <w:rFonts w:eastAsiaTheme="minorEastAsia" w:cstheme="minorBidi"/>
              <w:noProof/>
              <w:sz w:val="22"/>
              <w:szCs w:val="22"/>
              <w:lang w:eastAsia="bg-BG"/>
            </w:rPr>
          </w:pPr>
          <w:hyperlink w:anchor="_Toc140150154" w:history="1">
            <w:r w:rsidR="00F906B6" w:rsidRPr="00EC23D2">
              <w:rPr>
                <w:rStyle w:val="Hyperlink"/>
                <w:noProof/>
              </w:rPr>
              <w:t>2.8.</w:t>
            </w:r>
            <w:r w:rsidR="00F906B6">
              <w:rPr>
                <w:rFonts w:eastAsiaTheme="minorEastAsia" w:cstheme="minorBidi"/>
                <w:noProof/>
                <w:sz w:val="22"/>
                <w:szCs w:val="22"/>
                <w:lang w:eastAsia="bg-BG"/>
              </w:rPr>
              <w:tab/>
            </w:r>
            <w:r w:rsidR="00F906B6" w:rsidRPr="00EC23D2">
              <w:rPr>
                <w:rStyle w:val="Hyperlink"/>
                <w:noProof/>
              </w:rPr>
              <w:t>Регламенти за изпълнение</w:t>
            </w:r>
            <w:r w:rsidR="00F906B6">
              <w:rPr>
                <w:noProof/>
                <w:webHidden/>
              </w:rPr>
              <w:tab/>
            </w:r>
            <w:r w:rsidR="00F906B6">
              <w:rPr>
                <w:noProof/>
                <w:webHidden/>
              </w:rPr>
              <w:fldChar w:fldCharType="begin"/>
            </w:r>
            <w:r w:rsidR="00F906B6">
              <w:rPr>
                <w:noProof/>
                <w:webHidden/>
              </w:rPr>
              <w:instrText xml:space="preserve"> PAGEREF _Toc140150154 \h </w:instrText>
            </w:r>
            <w:r w:rsidR="00F906B6">
              <w:rPr>
                <w:noProof/>
                <w:webHidden/>
              </w:rPr>
            </w:r>
            <w:r w:rsidR="00F906B6">
              <w:rPr>
                <w:noProof/>
                <w:webHidden/>
              </w:rPr>
              <w:fldChar w:fldCharType="separate"/>
            </w:r>
            <w:r w:rsidR="00F906B6">
              <w:rPr>
                <w:noProof/>
                <w:webHidden/>
              </w:rPr>
              <w:t>18</w:t>
            </w:r>
            <w:r w:rsidR="00F906B6">
              <w:rPr>
                <w:noProof/>
                <w:webHidden/>
              </w:rPr>
              <w:fldChar w:fldCharType="end"/>
            </w:r>
          </w:hyperlink>
        </w:p>
        <w:p w14:paraId="05451125" w14:textId="318813BD" w:rsidR="00F906B6" w:rsidRDefault="006035A9">
          <w:pPr>
            <w:pStyle w:val="TOC3"/>
            <w:tabs>
              <w:tab w:val="left" w:pos="1600"/>
              <w:tab w:val="right" w:leader="dot" w:pos="9487"/>
            </w:tabs>
            <w:rPr>
              <w:rFonts w:eastAsiaTheme="minorEastAsia" w:cstheme="minorBidi"/>
              <w:noProof/>
              <w:sz w:val="22"/>
              <w:szCs w:val="22"/>
              <w:lang w:eastAsia="bg-BG"/>
            </w:rPr>
          </w:pPr>
          <w:hyperlink w:anchor="_Toc140150155" w:history="1">
            <w:r w:rsidR="00F906B6" w:rsidRPr="00EC23D2">
              <w:rPr>
                <w:rStyle w:val="Hyperlink"/>
                <w:noProof/>
              </w:rPr>
              <w:t>2.9.</w:t>
            </w:r>
            <w:r w:rsidR="00F906B6">
              <w:rPr>
                <w:rFonts w:eastAsiaTheme="minorEastAsia" w:cstheme="minorBidi"/>
                <w:noProof/>
                <w:sz w:val="22"/>
                <w:szCs w:val="22"/>
                <w:lang w:eastAsia="bg-BG"/>
              </w:rPr>
              <w:tab/>
            </w:r>
            <w:r w:rsidR="00F906B6" w:rsidRPr="00EC23D2">
              <w:rPr>
                <w:rStyle w:val="Hyperlink"/>
                <w:noProof/>
              </w:rPr>
              <w:t>Директиви</w:t>
            </w:r>
            <w:r w:rsidR="00F906B6">
              <w:rPr>
                <w:noProof/>
                <w:webHidden/>
              </w:rPr>
              <w:tab/>
            </w:r>
            <w:r w:rsidR="00F906B6">
              <w:rPr>
                <w:noProof/>
                <w:webHidden/>
              </w:rPr>
              <w:fldChar w:fldCharType="begin"/>
            </w:r>
            <w:r w:rsidR="00F906B6">
              <w:rPr>
                <w:noProof/>
                <w:webHidden/>
              </w:rPr>
              <w:instrText xml:space="preserve"> PAGEREF _Toc140150155 \h </w:instrText>
            </w:r>
            <w:r w:rsidR="00F906B6">
              <w:rPr>
                <w:noProof/>
                <w:webHidden/>
              </w:rPr>
            </w:r>
            <w:r w:rsidR="00F906B6">
              <w:rPr>
                <w:noProof/>
                <w:webHidden/>
              </w:rPr>
              <w:fldChar w:fldCharType="separate"/>
            </w:r>
            <w:r w:rsidR="00F906B6">
              <w:rPr>
                <w:noProof/>
                <w:webHidden/>
              </w:rPr>
              <w:t>19</w:t>
            </w:r>
            <w:r w:rsidR="00F906B6">
              <w:rPr>
                <w:noProof/>
                <w:webHidden/>
              </w:rPr>
              <w:fldChar w:fldCharType="end"/>
            </w:r>
          </w:hyperlink>
        </w:p>
        <w:p w14:paraId="45AF6BD8" w14:textId="51043C11"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156" w:history="1">
            <w:r w:rsidR="00F906B6" w:rsidRPr="00EC23D2">
              <w:rPr>
                <w:rStyle w:val="Hyperlink"/>
                <w:noProof/>
              </w:rPr>
              <w:t>2.10.</w:t>
            </w:r>
            <w:r w:rsidR="00F906B6">
              <w:rPr>
                <w:rFonts w:eastAsiaTheme="minorEastAsia" w:cstheme="minorBidi"/>
                <w:noProof/>
                <w:sz w:val="22"/>
                <w:szCs w:val="22"/>
                <w:lang w:eastAsia="bg-BG"/>
              </w:rPr>
              <w:tab/>
            </w:r>
            <w:r w:rsidR="00F906B6" w:rsidRPr="00EC23D2">
              <w:rPr>
                <w:rStyle w:val="Hyperlink"/>
                <w:noProof/>
              </w:rPr>
              <w:t>Закони</w:t>
            </w:r>
            <w:r w:rsidR="00F906B6">
              <w:rPr>
                <w:noProof/>
                <w:webHidden/>
              </w:rPr>
              <w:tab/>
            </w:r>
            <w:r w:rsidR="00F906B6">
              <w:rPr>
                <w:noProof/>
                <w:webHidden/>
              </w:rPr>
              <w:fldChar w:fldCharType="begin"/>
            </w:r>
            <w:r w:rsidR="00F906B6">
              <w:rPr>
                <w:noProof/>
                <w:webHidden/>
              </w:rPr>
              <w:instrText xml:space="preserve"> PAGEREF _Toc140150156 \h </w:instrText>
            </w:r>
            <w:r w:rsidR="00F906B6">
              <w:rPr>
                <w:noProof/>
                <w:webHidden/>
              </w:rPr>
            </w:r>
            <w:r w:rsidR="00F906B6">
              <w:rPr>
                <w:noProof/>
                <w:webHidden/>
              </w:rPr>
              <w:fldChar w:fldCharType="separate"/>
            </w:r>
            <w:r w:rsidR="00F906B6">
              <w:rPr>
                <w:noProof/>
                <w:webHidden/>
              </w:rPr>
              <w:t>20</w:t>
            </w:r>
            <w:r w:rsidR="00F906B6">
              <w:rPr>
                <w:noProof/>
                <w:webHidden/>
              </w:rPr>
              <w:fldChar w:fldCharType="end"/>
            </w:r>
          </w:hyperlink>
        </w:p>
        <w:p w14:paraId="75C9082B" w14:textId="31CA1AAF"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157" w:history="1">
            <w:r w:rsidR="00F906B6" w:rsidRPr="00EC23D2">
              <w:rPr>
                <w:rStyle w:val="Hyperlink"/>
                <w:noProof/>
              </w:rPr>
              <w:t>2.11.</w:t>
            </w:r>
            <w:r w:rsidR="00F906B6">
              <w:rPr>
                <w:rFonts w:eastAsiaTheme="minorEastAsia" w:cstheme="minorBidi"/>
                <w:noProof/>
                <w:sz w:val="22"/>
                <w:szCs w:val="22"/>
                <w:lang w:eastAsia="bg-BG"/>
              </w:rPr>
              <w:tab/>
            </w:r>
            <w:r w:rsidR="00F906B6" w:rsidRPr="00EC23D2">
              <w:rPr>
                <w:rStyle w:val="Hyperlink"/>
                <w:noProof/>
              </w:rPr>
              <w:t>Устройствени правилници</w:t>
            </w:r>
            <w:r w:rsidR="00F906B6">
              <w:rPr>
                <w:noProof/>
                <w:webHidden/>
              </w:rPr>
              <w:tab/>
            </w:r>
            <w:r w:rsidR="00F906B6">
              <w:rPr>
                <w:noProof/>
                <w:webHidden/>
              </w:rPr>
              <w:fldChar w:fldCharType="begin"/>
            </w:r>
            <w:r w:rsidR="00F906B6">
              <w:rPr>
                <w:noProof/>
                <w:webHidden/>
              </w:rPr>
              <w:instrText xml:space="preserve"> PAGEREF _Toc140150157 \h </w:instrText>
            </w:r>
            <w:r w:rsidR="00F906B6">
              <w:rPr>
                <w:noProof/>
                <w:webHidden/>
              </w:rPr>
            </w:r>
            <w:r w:rsidR="00F906B6">
              <w:rPr>
                <w:noProof/>
                <w:webHidden/>
              </w:rPr>
              <w:fldChar w:fldCharType="separate"/>
            </w:r>
            <w:r w:rsidR="00F906B6">
              <w:rPr>
                <w:noProof/>
                <w:webHidden/>
              </w:rPr>
              <w:t>20</w:t>
            </w:r>
            <w:r w:rsidR="00F906B6">
              <w:rPr>
                <w:noProof/>
                <w:webHidden/>
              </w:rPr>
              <w:fldChar w:fldCharType="end"/>
            </w:r>
          </w:hyperlink>
        </w:p>
        <w:p w14:paraId="3C4B5D7F" w14:textId="0A4BD923"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158" w:history="1">
            <w:r w:rsidR="00F906B6" w:rsidRPr="00EC23D2">
              <w:rPr>
                <w:rStyle w:val="Hyperlink"/>
                <w:noProof/>
              </w:rPr>
              <w:t>2.12.</w:t>
            </w:r>
            <w:r w:rsidR="00F906B6">
              <w:rPr>
                <w:rFonts w:eastAsiaTheme="minorEastAsia" w:cstheme="minorBidi"/>
                <w:noProof/>
                <w:sz w:val="22"/>
                <w:szCs w:val="22"/>
                <w:lang w:eastAsia="bg-BG"/>
              </w:rPr>
              <w:tab/>
            </w:r>
            <w:r w:rsidR="00F906B6" w:rsidRPr="00EC23D2">
              <w:rPr>
                <w:rStyle w:val="Hyperlink"/>
                <w:noProof/>
              </w:rPr>
              <w:t>Друга подзаконова нормативна уредба</w:t>
            </w:r>
            <w:r w:rsidR="00F906B6">
              <w:rPr>
                <w:noProof/>
                <w:webHidden/>
              </w:rPr>
              <w:tab/>
            </w:r>
            <w:r w:rsidR="00F906B6">
              <w:rPr>
                <w:noProof/>
                <w:webHidden/>
              </w:rPr>
              <w:fldChar w:fldCharType="begin"/>
            </w:r>
            <w:r w:rsidR="00F906B6">
              <w:rPr>
                <w:noProof/>
                <w:webHidden/>
              </w:rPr>
              <w:instrText xml:space="preserve"> PAGEREF _Toc140150158 \h </w:instrText>
            </w:r>
            <w:r w:rsidR="00F906B6">
              <w:rPr>
                <w:noProof/>
                <w:webHidden/>
              </w:rPr>
            </w:r>
            <w:r w:rsidR="00F906B6">
              <w:rPr>
                <w:noProof/>
                <w:webHidden/>
              </w:rPr>
              <w:fldChar w:fldCharType="separate"/>
            </w:r>
            <w:r w:rsidR="00F906B6">
              <w:rPr>
                <w:noProof/>
                <w:webHidden/>
              </w:rPr>
              <w:t>20</w:t>
            </w:r>
            <w:r w:rsidR="00F906B6">
              <w:rPr>
                <w:noProof/>
                <w:webHidden/>
              </w:rPr>
              <w:fldChar w:fldCharType="end"/>
            </w:r>
          </w:hyperlink>
        </w:p>
        <w:p w14:paraId="324E9EFD" w14:textId="70FC4FF1"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159" w:history="1">
            <w:r w:rsidR="00F906B6" w:rsidRPr="00EC23D2">
              <w:rPr>
                <w:rStyle w:val="Hyperlink"/>
                <w:noProof/>
              </w:rPr>
              <w:t>2.13.</w:t>
            </w:r>
            <w:r w:rsidR="00F906B6">
              <w:rPr>
                <w:rFonts w:eastAsiaTheme="minorEastAsia" w:cstheme="minorBidi"/>
                <w:noProof/>
                <w:sz w:val="22"/>
                <w:szCs w:val="22"/>
                <w:lang w:eastAsia="bg-BG"/>
              </w:rPr>
              <w:tab/>
            </w:r>
            <w:r w:rsidR="00F906B6" w:rsidRPr="00EC23D2">
              <w:rPr>
                <w:rStyle w:val="Hyperlink"/>
                <w:noProof/>
              </w:rPr>
              <w:t>Меморандуми</w:t>
            </w:r>
            <w:r w:rsidR="00F906B6">
              <w:rPr>
                <w:noProof/>
                <w:webHidden/>
              </w:rPr>
              <w:tab/>
            </w:r>
            <w:r w:rsidR="00F906B6">
              <w:rPr>
                <w:noProof/>
                <w:webHidden/>
              </w:rPr>
              <w:fldChar w:fldCharType="begin"/>
            </w:r>
            <w:r w:rsidR="00F906B6">
              <w:rPr>
                <w:noProof/>
                <w:webHidden/>
              </w:rPr>
              <w:instrText xml:space="preserve"> PAGEREF _Toc140150159 \h </w:instrText>
            </w:r>
            <w:r w:rsidR="00F906B6">
              <w:rPr>
                <w:noProof/>
                <w:webHidden/>
              </w:rPr>
            </w:r>
            <w:r w:rsidR="00F906B6">
              <w:rPr>
                <w:noProof/>
                <w:webHidden/>
              </w:rPr>
              <w:fldChar w:fldCharType="separate"/>
            </w:r>
            <w:r w:rsidR="00F906B6">
              <w:rPr>
                <w:noProof/>
                <w:webHidden/>
              </w:rPr>
              <w:t>21</w:t>
            </w:r>
            <w:r w:rsidR="00F906B6">
              <w:rPr>
                <w:noProof/>
                <w:webHidden/>
              </w:rPr>
              <w:fldChar w:fldCharType="end"/>
            </w:r>
          </w:hyperlink>
        </w:p>
        <w:p w14:paraId="0D361F30" w14:textId="2E2369B1"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160" w:history="1">
            <w:r w:rsidR="00F906B6" w:rsidRPr="00EC23D2">
              <w:rPr>
                <w:rStyle w:val="Hyperlink"/>
                <w:noProof/>
              </w:rPr>
              <w:t>2.14.</w:t>
            </w:r>
            <w:r w:rsidR="00F906B6">
              <w:rPr>
                <w:rFonts w:eastAsiaTheme="minorEastAsia" w:cstheme="minorBidi"/>
                <w:noProof/>
                <w:sz w:val="22"/>
                <w:szCs w:val="22"/>
                <w:lang w:eastAsia="bg-BG"/>
              </w:rPr>
              <w:tab/>
            </w:r>
            <w:r w:rsidR="00F906B6" w:rsidRPr="00EC23D2">
              <w:rPr>
                <w:rStyle w:val="Hyperlink"/>
                <w:noProof/>
              </w:rPr>
              <w:t>Други</w:t>
            </w:r>
            <w:r w:rsidR="00F906B6">
              <w:rPr>
                <w:noProof/>
                <w:webHidden/>
              </w:rPr>
              <w:tab/>
            </w:r>
            <w:r w:rsidR="00F906B6">
              <w:rPr>
                <w:noProof/>
                <w:webHidden/>
              </w:rPr>
              <w:fldChar w:fldCharType="begin"/>
            </w:r>
            <w:r w:rsidR="00F906B6">
              <w:rPr>
                <w:noProof/>
                <w:webHidden/>
              </w:rPr>
              <w:instrText xml:space="preserve"> PAGEREF _Toc140150160 \h </w:instrText>
            </w:r>
            <w:r w:rsidR="00F906B6">
              <w:rPr>
                <w:noProof/>
                <w:webHidden/>
              </w:rPr>
            </w:r>
            <w:r w:rsidR="00F906B6">
              <w:rPr>
                <w:noProof/>
                <w:webHidden/>
              </w:rPr>
              <w:fldChar w:fldCharType="separate"/>
            </w:r>
            <w:r w:rsidR="00F906B6">
              <w:rPr>
                <w:noProof/>
                <w:webHidden/>
              </w:rPr>
              <w:t>21</w:t>
            </w:r>
            <w:r w:rsidR="00F906B6">
              <w:rPr>
                <w:noProof/>
                <w:webHidden/>
              </w:rPr>
              <w:fldChar w:fldCharType="end"/>
            </w:r>
          </w:hyperlink>
        </w:p>
        <w:p w14:paraId="70572EA7" w14:textId="558E5BB2" w:rsidR="00F906B6" w:rsidRDefault="006035A9">
          <w:pPr>
            <w:pStyle w:val="TOC2"/>
            <w:rPr>
              <w:rFonts w:asciiTheme="minorHAnsi" w:eastAsiaTheme="minorEastAsia" w:hAnsiTheme="minorHAnsi" w:cstheme="minorBidi"/>
              <w:iCs w:val="0"/>
              <w:noProof/>
              <w:sz w:val="22"/>
              <w:szCs w:val="22"/>
              <w:lang w:eastAsia="bg-BG"/>
            </w:rPr>
          </w:pPr>
          <w:hyperlink w:anchor="_Toc140150161" w:history="1">
            <w:r w:rsidR="00F906B6" w:rsidRPr="00EC23D2">
              <w:rPr>
                <w:rStyle w:val="Hyperlink"/>
                <w:noProof/>
              </w:rPr>
              <w:t>3.</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ЦЕЛ, СЪЩНОСТ И ПРОМЯНА НА ПРОЦЕДУРНИЯ НАРЪЧНИК</w:t>
            </w:r>
            <w:r w:rsidR="00F906B6">
              <w:rPr>
                <w:noProof/>
                <w:webHidden/>
              </w:rPr>
              <w:tab/>
            </w:r>
            <w:r w:rsidR="00F906B6">
              <w:rPr>
                <w:noProof/>
                <w:webHidden/>
              </w:rPr>
              <w:fldChar w:fldCharType="begin"/>
            </w:r>
            <w:r w:rsidR="00F906B6">
              <w:rPr>
                <w:noProof/>
                <w:webHidden/>
              </w:rPr>
              <w:instrText xml:space="preserve"> PAGEREF _Toc140150161 \h </w:instrText>
            </w:r>
            <w:r w:rsidR="00F906B6">
              <w:rPr>
                <w:noProof/>
                <w:webHidden/>
              </w:rPr>
            </w:r>
            <w:r w:rsidR="00F906B6">
              <w:rPr>
                <w:noProof/>
                <w:webHidden/>
              </w:rPr>
              <w:fldChar w:fldCharType="separate"/>
            </w:r>
            <w:r w:rsidR="00F906B6">
              <w:rPr>
                <w:noProof/>
                <w:webHidden/>
              </w:rPr>
              <w:t>21</w:t>
            </w:r>
            <w:r w:rsidR="00F906B6">
              <w:rPr>
                <w:noProof/>
                <w:webHidden/>
              </w:rPr>
              <w:fldChar w:fldCharType="end"/>
            </w:r>
          </w:hyperlink>
        </w:p>
        <w:p w14:paraId="5BA5C20A" w14:textId="4B203F50" w:rsidR="00F906B6" w:rsidRDefault="006035A9">
          <w:pPr>
            <w:pStyle w:val="TOC3"/>
            <w:tabs>
              <w:tab w:val="left" w:pos="1600"/>
              <w:tab w:val="right" w:leader="dot" w:pos="9487"/>
            </w:tabs>
            <w:rPr>
              <w:rFonts w:eastAsiaTheme="minorEastAsia" w:cstheme="minorBidi"/>
              <w:noProof/>
              <w:sz w:val="22"/>
              <w:szCs w:val="22"/>
              <w:lang w:eastAsia="bg-BG"/>
            </w:rPr>
          </w:pPr>
          <w:hyperlink w:anchor="_Toc140150162" w:history="1">
            <w:r w:rsidR="00F906B6" w:rsidRPr="00EC23D2">
              <w:rPr>
                <w:rStyle w:val="Hyperlink"/>
                <w:noProof/>
              </w:rPr>
              <w:t>3.1.</w:t>
            </w:r>
            <w:r w:rsidR="00F906B6">
              <w:rPr>
                <w:rFonts w:eastAsiaTheme="minorEastAsia" w:cstheme="minorBidi"/>
                <w:noProof/>
                <w:sz w:val="22"/>
                <w:szCs w:val="22"/>
                <w:lang w:eastAsia="bg-BG"/>
              </w:rPr>
              <w:tab/>
            </w:r>
            <w:r w:rsidR="00F906B6" w:rsidRPr="00EC23D2">
              <w:rPr>
                <w:rStyle w:val="Hyperlink"/>
                <w:noProof/>
              </w:rPr>
              <w:t>Цел и същност на процедурния наръчник</w:t>
            </w:r>
            <w:r w:rsidR="00F906B6">
              <w:rPr>
                <w:noProof/>
                <w:webHidden/>
              </w:rPr>
              <w:tab/>
            </w:r>
            <w:r w:rsidR="00F906B6">
              <w:rPr>
                <w:noProof/>
                <w:webHidden/>
              </w:rPr>
              <w:fldChar w:fldCharType="begin"/>
            </w:r>
            <w:r w:rsidR="00F906B6">
              <w:rPr>
                <w:noProof/>
                <w:webHidden/>
              </w:rPr>
              <w:instrText xml:space="preserve"> PAGEREF _Toc140150162 \h </w:instrText>
            </w:r>
            <w:r w:rsidR="00F906B6">
              <w:rPr>
                <w:noProof/>
                <w:webHidden/>
              </w:rPr>
            </w:r>
            <w:r w:rsidR="00F906B6">
              <w:rPr>
                <w:noProof/>
                <w:webHidden/>
              </w:rPr>
              <w:fldChar w:fldCharType="separate"/>
            </w:r>
            <w:r w:rsidR="00F906B6">
              <w:rPr>
                <w:noProof/>
                <w:webHidden/>
              </w:rPr>
              <w:t>21</w:t>
            </w:r>
            <w:r w:rsidR="00F906B6">
              <w:rPr>
                <w:noProof/>
                <w:webHidden/>
              </w:rPr>
              <w:fldChar w:fldCharType="end"/>
            </w:r>
          </w:hyperlink>
        </w:p>
        <w:p w14:paraId="0111DFC4" w14:textId="4181014C" w:rsidR="00F906B6" w:rsidRDefault="006035A9">
          <w:pPr>
            <w:pStyle w:val="TOC3"/>
            <w:tabs>
              <w:tab w:val="left" w:pos="1600"/>
              <w:tab w:val="right" w:leader="dot" w:pos="9487"/>
            </w:tabs>
            <w:rPr>
              <w:rFonts w:eastAsiaTheme="minorEastAsia" w:cstheme="minorBidi"/>
              <w:noProof/>
              <w:sz w:val="22"/>
              <w:szCs w:val="22"/>
              <w:lang w:eastAsia="bg-BG"/>
            </w:rPr>
          </w:pPr>
          <w:hyperlink w:anchor="_Toc140150163" w:history="1">
            <w:r w:rsidR="00F906B6" w:rsidRPr="00EC23D2">
              <w:rPr>
                <w:rStyle w:val="Hyperlink"/>
                <w:noProof/>
              </w:rPr>
              <w:t>3.2.</w:t>
            </w:r>
            <w:r w:rsidR="00F906B6">
              <w:rPr>
                <w:rFonts w:eastAsiaTheme="minorEastAsia" w:cstheme="minorBidi"/>
                <w:noProof/>
                <w:sz w:val="22"/>
                <w:szCs w:val="22"/>
                <w:lang w:eastAsia="bg-BG"/>
              </w:rPr>
              <w:tab/>
            </w:r>
            <w:r w:rsidR="00F906B6" w:rsidRPr="00EC23D2">
              <w:rPr>
                <w:rStyle w:val="Hyperlink"/>
                <w:noProof/>
              </w:rPr>
              <w:t>Запознаване с Процедурния наръчник</w:t>
            </w:r>
            <w:r w:rsidR="00F906B6">
              <w:rPr>
                <w:noProof/>
                <w:webHidden/>
              </w:rPr>
              <w:tab/>
            </w:r>
            <w:r w:rsidR="00F906B6">
              <w:rPr>
                <w:noProof/>
                <w:webHidden/>
              </w:rPr>
              <w:fldChar w:fldCharType="begin"/>
            </w:r>
            <w:r w:rsidR="00F906B6">
              <w:rPr>
                <w:noProof/>
                <w:webHidden/>
              </w:rPr>
              <w:instrText xml:space="preserve"> PAGEREF _Toc140150163 \h </w:instrText>
            </w:r>
            <w:r w:rsidR="00F906B6">
              <w:rPr>
                <w:noProof/>
                <w:webHidden/>
              </w:rPr>
            </w:r>
            <w:r w:rsidR="00F906B6">
              <w:rPr>
                <w:noProof/>
                <w:webHidden/>
              </w:rPr>
              <w:fldChar w:fldCharType="separate"/>
            </w:r>
            <w:r w:rsidR="00F906B6">
              <w:rPr>
                <w:noProof/>
                <w:webHidden/>
              </w:rPr>
              <w:t>22</w:t>
            </w:r>
            <w:r w:rsidR="00F906B6">
              <w:rPr>
                <w:noProof/>
                <w:webHidden/>
              </w:rPr>
              <w:fldChar w:fldCharType="end"/>
            </w:r>
          </w:hyperlink>
        </w:p>
        <w:p w14:paraId="25C2056C" w14:textId="7E5F4F5E" w:rsidR="00F906B6" w:rsidRDefault="006035A9">
          <w:pPr>
            <w:pStyle w:val="TOC3"/>
            <w:tabs>
              <w:tab w:val="left" w:pos="1600"/>
              <w:tab w:val="right" w:leader="dot" w:pos="9487"/>
            </w:tabs>
            <w:rPr>
              <w:rFonts w:eastAsiaTheme="minorEastAsia" w:cstheme="minorBidi"/>
              <w:noProof/>
              <w:sz w:val="22"/>
              <w:szCs w:val="22"/>
              <w:lang w:eastAsia="bg-BG"/>
            </w:rPr>
          </w:pPr>
          <w:hyperlink w:anchor="_Toc140150164" w:history="1">
            <w:r w:rsidR="00F906B6" w:rsidRPr="00EC23D2">
              <w:rPr>
                <w:rStyle w:val="Hyperlink"/>
                <w:noProof/>
              </w:rPr>
              <w:t>3.3.</w:t>
            </w:r>
            <w:r w:rsidR="00F906B6">
              <w:rPr>
                <w:rFonts w:eastAsiaTheme="minorEastAsia" w:cstheme="minorBidi"/>
                <w:noProof/>
                <w:sz w:val="22"/>
                <w:szCs w:val="22"/>
                <w:lang w:eastAsia="bg-BG"/>
              </w:rPr>
              <w:tab/>
            </w:r>
            <w:r w:rsidR="00F906B6" w:rsidRPr="00EC23D2">
              <w:rPr>
                <w:rStyle w:val="Hyperlink"/>
                <w:noProof/>
              </w:rPr>
              <w:t>Промяна на процедурния наръчник</w:t>
            </w:r>
            <w:r w:rsidR="00F906B6">
              <w:rPr>
                <w:noProof/>
                <w:webHidden/>
              </w:rPr>
              <w:tab/>
            </w:r>
            <w:r w:rsidR="00F906B6">
              <w:rPr>
                <w:noProof/>
                <w:webHidden/>
              </w:rPr>
              <w:fldChar w:fldCharType="begin"/>
            </w:r>
            <w:r w:rsidR="00F906B6">
              <w:rPr>
                <w:noProof/>
                <w:webHidden/>
              </w:rPr>
              <w:instrText xml:space="preserve"> PAGEREF _Toc140150164 \h </w:instrText>
            </w:r>
            <w:r w:rsidR="00F906B6">
              <w:rPr>
                <w:noProof/>
                <w:webHidden/>
              </w:rPr>
            </w:r>
            <w:r w:rsidR="00F906B6">
              <w:rPr>
                <w:noProof/>
                <w:webHidden/>
              </w:rPr>
              <w:fldChar w:fldCharType="separate"/>
            </w:r>
            <w:r w:rsidR="00F906B6">
              <w:rPr>
                <w:noProof/>
                <w:webHidden/>
              </w:rPr>
              <w:t>23</w:t>
            </w:r>
            <w:r w:rsidR="00F906B6">
              <w:rPr>
                <w:noProof/>
                <w:webHidden/>
              </w:rPr>
              <w:fldChar w:fldCharType="end"/>
            </w:r>
          </w:hyperlink>
        </w:p>
        <w:p w14:paraId="1F56C1F3" w14:textId="237A7FBB" w:rsidR="00F906B6" w:rsidRDefault="006035A9">
          <w:pPr>
            <w:pStyle w:val="TOC2"/>
            <w:rPr>
              <w:rFonts w:asciiTheme="minorHAnsi" w:eastAsiaTheme="minorEastAsia" w:hAnsiTheme="minorHAnsi" w:cstheme="minorBidi"/>
              <w:iCs w:val="0"/>
              <w:noProof/>
              <w:sz w:val="22"/>
              <w:szCs w:val="22"/>
              <w:lang w:eastAsia="bg-BG"/>
            </w:rPr>
          </w:pPr>
          <w:hyperlink w:anchor="_Toc140150165" w:history="1">
            <w:r w:rsidR="00F906B6" w:rsidRPr="00EC23D2">
              <w:rPr>
                <w:rStyle w:val="Hyperlink"/>
                <w:noProof/>
              </w:rPr>
              <w:t>4.</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СИСТЕМИ ЗА УПРАВЛЕНИЕ И КОНТРОЛ</w:t>
            </w:r>
            <w:r w:rsidR="00F906B6">
              <w:rPr>
                <w:noProof/>
                <w:webHidden/>
              </w:rPr>
              <w:tab/>
            </w:r>
            <w:r w:rsidR="00F906B6">
              <w:rPr>
                <w:noProof/>
                <w:webHidden/>
              </w:rPr>
              <w:fldChar w:fldCharType="begin"/>
            </w:r>
            <w:r w:rsidR="00F906B6">
              <w:rPr>
                <w:noProof/>
                <w:webHidden/>
              </w:rPr>
              <w:instrText xml:space="preserve"> PAGEREF _Toc140150165 \h </w:instrText>
            </w:r>
            <w:r w:rsidR="00F906B6">
              <w:rPr>
                <w:noProof/>
                <w:webHidden/>
              </w:rPr>
            </w:r>
            <w:r w:rsidR="00F906B6">
              <w:rPr>
                <w:noProof/>
                <w:webHidden/>
              </w:rPr>
              <w:fldChar w:fldCharType="separate"/>
            </w:r>
            <w:r w:rsidR="00F906B6">
              <w:rPr>
                <w:noProof/>
                <w:webHidden/>
              </w:rPr>
              <w:t>26</w:t>
            </w:r>
            <w:r w:rsidR="00F906B6">
              <w:rPr>
                <w:noProof/>
                <w:webHidden/>
              </w:rPr>
              <w:fldChar w:fldCharType="end"/>
            </w:r>
          </w:hyperlink>
        </w:p>
        <w:p w14:paraId="5E5B51B8" w14:textId="6C79DE60" w:rsidR="00F906B6" w:rsidRDefault="006035A9">
          <w:pPr>
            <w:pStyle w:val="TOC3"/>
            <w:tabs>
              <w:tab w:val="left" w:pos="1600"/>
              <w:tab w:val="right" w:leader="dot" w:pos="9487"/>
            </w:tabs>
            <w:rPr>
              <w:rFonts w:eastAsiaTheme="minorEastAsia" w:cstheme="minorBidi"/>
              <w:noProof/>
              <w:sz w:val="22"/>
              <w:szCs w:val="22"/>
              <w:lang w:eastAsia="bg-BG"/>
            </w:rPr>
          </w:pPr>
          <w:hyperlink w:anchor="_Toc140150166" w:history="1">
            <w:r w:rsidR="00F906B6" w:rsidRPr="00EC23D2">
              <w:rPr>
                <w:rStyle w:val="Hyperlink"/>
                <w:noProof/>
              </w:rPr>
              <w:t>4.1.</w:t>
            </w:r>
            <w:r w:rsidR="00F906B6">
              <w:rPr>
                <w:rFonts w:eastAsiaTheme="minorEastAsia" w:cstheme="minorBidi"/>
                <w:noProof/>
                <w:sz w:val="22"/>
                <w:szCs w:val="22"/>
                <w:lang w:eastAsia="bg-BG"/>
              </w:rPr>
              <w:tab/>
            </w:r>
            <w:r w:rsidR="00F906B6" w:rsidRPr="00EC23D2">
              <w:rPr>
                <w:rStyle w:val="Hyperlink"/>
                <w:noProof/>
              </w:rPr>
              <w:t>Институционална рамка</w:t>
            </w:r>
            <w:r w:rsidR="00F906B6">
              <w:rPr>
                <w:noProof/>
                <w:webHidden/>
              </w:rPr>
              <w:tab/>
            </w:r>
            <w:r w:rsidR="00F906B6">
              <w:rPr>
                <w:noProof/>
                <w:webHidden/>
              </w:rPr>
              <w:fldChar w:fldCharType="begin"/>
            </w:r>
            <w:r w:rsidR="00F906B6">
              <w:rPr>
                <w:noProof/>
                <w:webHidden/>
              </w:rPr>
              <w:instrText xml:space="preserve"> PAGEREF _Toc140150166 \h </w:instrText>
            </w:r>
            <w:r w:rsidR="00F906B6">
              <w:rPr>
                <w:noProof/>
                <w:webHidden/>
              </w:rPr>
            </w:r>
            <w:r w:rsidR="00F906B6">
              <w:rPr>
                <w:noProof/>
                <w:webHidden/>
              </w:rPr>
              <w:fldChar w:fldCharType="separate"/>
            </w:r>
            <w:r w:rsidR="00F906B6">
              <w:rPr>
                <w:noProof/>
                <w:webHidden/>
              </w:rPr>
              <w:t>28</w:t>
            </w:r>
            <w:r w:rsidR="00F906B6">
              <w:rPr>
                <w:noProof/>
                <w:webHidden/>
              </w:rPr>
              <w:fldChar w:fldCharType="end"/>
            </w:r>
          </w:hyperlink>
        </w:p>
        <w:p w14:paraId="705AD825" w14:textId="4E0D9133" w:rsidR="00F906B6" w:rsidRDefault="006035A9">
          <w:pPr>
            <w:pStyle w:val="TOC3"/>
            <w:tabs>
              <w:tab w:val="left" w:pos="1600"/>
              <w:tab w:val="right" w:leader="dot" w:pos="9487"/>
            </w:tabs>
            <w:rPr>
              <w:rFonts w:eastAsiaTheme="minorEastAsia" w:cstheme="minorBidi"/>
              <w:noProof/>
              <w:sz w:val="22"/>
              <w:szCs w:val="22"/>
              <w:lang w:eastAsia="bg-BG"/>
            </w:rPr>
          </w:pPr>
          <w:hyperlink w:anchor="_Toc140150167" w:history="1">
            <w:r w:rsidR="00F906B6" w:rsidRPr="00EC23D2">
              <w:rPr>
                <w:rStyle w:val="Hyperlink"/>
                <w:noProof/>
              </w:rPr>
              <w:t>4.2.</w:t>
            </w:r>
            <w:r w:rsidR="00F906B6">
              <w:rPr>
                <w:rFonts w:eastAsiaTheme="minorEastAsia" w:cstheme="minorBidi"/>
                <w:noProof/>
                <w:sz w:val="22"/>
                <w:szCs w:val="22"/>
                <w:lang w:eastAsia="bg-BG"/>
              </w:rPr>
              <w:tab/>
            </w:r>
            <w:r w:rsidR="00F906B6" w:rsidRPr="00EC23D2">
              <w:rPr>
                <w:rStyle w:val="Hyperlink"/>
                <w:noProof/>
              </w:rPr>
              <w:t>Принцип на управление и контрол на ОПТТИ</w:t>
            </w:r>
            <w:r w:rsidR="00F906B6">
              <w:rPr>
                <w:noProof/>
                <w:webHidden/>
              </w:rPr>
              <w:tab/>
            </w:r>
            <w:r w:rsidR="00F906B6">
              <w:rPr>
                <w:noProof/>
                <w:webHidden/>
              </w:rPr>
              <w:fldChar w:fldCharType="begin"/>
            </w:r>
            <w:r w:rsidR="00F906B6">
              <w:rPr>
                <w:noProof/>
                <w:webHidden/>
              </w:rPr>
              <w:instrText xml:space="preserve"> PAGEREF _Toc140150167 \h </w:instrText>
            </w:r>
            <w:r w:rsidR="00F906B6">
              <w:rPr>
                <w:noProof/>
                <w:webHidden/>
              </w:rPr>
            </w:r>
            <w:r w:rsidR="00F906B6">
              <w:rPr>
                <w:noProof/>
                <w:webHidden/>
              </w:rPr>
              <w:fldChar w:fldCharType="separate"/>
            </w:r>
            <w:r w:rsidR="00F906B6">
              <w:rPr>
                <w:noProof/>
                <w:webHidden/>
              </w:rPr>
              <w:t>53</w:t>
            </w:r>
            <w:r w:rsidR="00F906B6">
              <w:rPr>
                <w:noProof/>
                <w:webHidden/>
              </w:rPr>
              <w:fldChar w:fldCharType="end"/>
            </w:r>
          </w:hyperlink>
        </w:p>
        <w:p w14:paraId="6822F2EF" w14:textId="1BAF3BA6" w:rsidR="00F906B6" w:rsidRDefault="006035A9">
          <w:pPr>
            <w:pStyle w:val="TOC2"/>
            <w:rPr>
              <w:rFonts w:asciiTheme="minorHAnsi" w:eastAsiaTheme="minorEastAsia" w:hAnsiTheme="minorHAnsi" w:cstheme="minorBidi"/>
              <w:iCs w:val="0"/>
              <w:noProof/>
              <w:sz w:val="22"/>
              <w:szCs w:val="22"/>
              <w:lang w:eastAsia="bg-BG"/>
            </w:rPr>
          </w:pPr>
          <w:hyperlink w:anchor="_Toc140150168" w:history="1">
            <w:r w:rsidR="00F906B6" w:rsidRPr="00EC23D2">
              <w:rPr>
                <w:rStyle w:val="Hyperlink"/>
                <w:noProof/>
              </w:rPr>
              <w:t>5.</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ХОРИЗОНТАЛНИ ПРИНЦИПИ И ЦЕЛИ НА ПОЛИТИКАТА ЗА ИЗПЪЛНЕНИЕ НА ЕВРОПЕЙСКИТЕ СТРУКТУРНИ ИНВЕСТИЦИОННИ ФОНДОВЕ</w:t>
            </w:r>
            <w:r w:rsidR="00F906B6">
              <w:rPr>
                <w:noProof/>
                <w:webHidden/>
              </w:rPr>
              <w:tab/>
            </w:r>
            <w:r w:rsidR="00F906B6">
              <w:rPr>
                <w:noProof/>
                <w:webHidden/>
              </w:rPr>
              <w:fldChar w:fldCharType="begin"/>
            </w:r>
            <w:r w:rsidR="00F906B6">
              <w:rPr>
                <w:noProof/>
                <w:webHidden/>
              </w:rPr>
              <w:instrText xml:space="preserve"> PAGEREF _Toc140150168 \h </w:instrText>
            </w:r>
            <w:r w:rsidR="00F906B6">
              <w:rPr>
                <w:noProof/>
                <w:webHidden/>
              </w:rPr>
            </w:r>
            <w:r w:rsidR="00F906B6">
              <w:rPr>
                <w:noProof/>
                <w:webHidden/>
              </w:rPr>
              <w:fldChar w:fldCharType="separate"/>
            </w:r>
            <w:r w:rsidR="00F906B6">
              <w:rPr>
                <w:noProof/>
                <w:webHidden/>
              </w:rPr>
              <w:t>59</w:t>
            </w:r>
            <w:r w:rsidR="00F906B6">
              <w:rPr>
                <w:noProof/>
                <w:webHidden/>
              </w:rPr>
              <w:fldChar w:fldCharType="end"/>
            </w:r>
          </w:hyperlink>
        </w:p>
        <w:p w14:paraId="1FCE9F75" w14:textId="0A886975" w:rsidR="00F906B6" w:rsidRDefault="006035A9">
          <w:pPr>
            <w:pStyle w:val="TOC3"/>
            <w:tabs>
              <w:tab w:val="left" w:pos="1600"/>
              <w:tab w:val="right" w:leader="dot" w:pos="9487"/>
            </w:tabs>
            <w:rPr>
              <w:rFonts w:eastAsiaTheme="minorEastAsia" w:cstheme="minorBidi"/>
              <w:noProof/>
              <w:sz w:val="22"/>
              <w:szCs w:val="22"/>
              <w:lang w:eastAsia="bg-BG"/>
            </w:rPr>
          </w:pPr>
          <w:hyperlink w:anchor="_Toc140150169" w:history="1">
            <w:r w:rsidR="00F906B6" w:rsidRPr="00EC23D2">
              <w:rPr>
                <w:rStyle w:val="Hyperlink"/>
                <w:noProof/>
                <w:lang w:eastAsia="bg-BG"/>
              </w:rPr>
              <w:t>5.1.</w:t>
            </w:r>
            <w:r w:rsidR="00F906B6">
              <w:rPr>
                <w:rFonts w:eastAsiaTheme="minorEastAsia" w:cstheme="minorBidi"/>
                <w:noProof/>
                <w:sz w:val="22"/>
                <w:szCs w:val="22"/>
                <w:lang w:eastAsia="bg-BG"/>
              </w:rPr>
              <w:tab/>
            </w:r>
            <w:r w:rsidR="00F906B6" w:rsidRPr="00EC23D2">
              <w:rPr>
                <w:rStyle w:val="Hyperlink"/>
                <w:noProof/>
                <w:lang w:eastAsia="bg-BG"/>
              </w:rPr>
              <w:t>Принцип на партньорство</w:t>
            </w:r>
            <w:r w:rsidR="00F906B6">
              <w:rPr>
                <w:noProof/>
                <w:webHidden/>
              </w:rPr>
              <w:tab/>
            </w:r>
            <w:r w:rsidR="00F906B6">
              <w:rPr>
                <w:noProof/>
                <w:webHidden/>
              </w:rPr>
              <w:fldChar w:fldCharType="begin"/>
            </w:r>
            <w:r w:rsidR="00F906B6">
              <w:rPr>
                <w:noProof/>
                <w:webHidden/>
              </w:rPr>
              <w:instrText xml:space="preserve"> PAGEREF _Toc140150169 \h </w:instrText>
            </w:r>
            <w:r w:rsidR="00F906B6">
              <w:rPr>
                <w:noProof/>
                <w:webHidden/>
              </w:rPr>
            </w:r>
            <w:r w:rsidR="00F906B6">
              <w:rPr>
                <w:noProof/>
                <w:webHidden/>
              </w:rPr>
              <w:fldChar w:fldCharType="separate"/>
            </w:r>
            <w:r w:rsidR="00F906B6">
              <w:rPr>
                <w:noProof/>
                <w:webHidden/>
              </w:rPr>
              <w:t>59</w:t>
            </w:r>
            <w:r w:rsidR="00F906B6">
              <w:rPr>
                <w:noProof/>
                <w:webHidden/>
              </w:rPr>
              <w:fldChar w:fldCharType="end"/>
            </w:r>
          </w:hyperlink>
        </w:p>
        <w:p w14:paraId="54C7FCCE" w14:textId="44BE799A" w:rsidR="00F906B6" w:rsidRDefault="006035A9">
          <w:pPr>
            <w:pStyle w:val="TOC3"/>
            <w:tabs>
              <w:tab w:val="left" w:pos="1600"/>
              <w:tab w:val="right" w:leader="dot" w:pos="9487"/>
            </w:tabs>
            <w:rPr>
              <w:rFonts w:eastAsiaTheme="minorEastAsia" w:cstheme="minorBidi"/>
              <w:noProof/>
              <w:sz w:val="22"/>
              <w:szCs w:val="22"/>
              <w:lang w:eastAsia="bg-BG"/>
            </w:rPr>
          </w:pPr>
          <w:hyperlink w:anchor="_Toc140150170" w:history="1">
            <w:r w:rsidR="00F906B6" w:rsidRPr="00EC23D2">
              <w:rPr>
                <w:rStyle w:val="Hyperlink"/>
                <w:noProof/>
                <w:lang w:eastAsia="bg-BG"/>
              </w:rPr>
              <w:t>5.2.</w:t>
            </w:r>
            <w:r w:rsidR="00F906B6">
              <w:rPr>
                <w:rFonts w:eastAsiaTheme="minorEastAsia" w:cstheme="minorBidi"/>
                <w:noProof/>
                <w:sz w:val="22"/>
                <w:szCs w:val="22"/>
                <w:lang w:eastAsia="bg-BG"/>
              </w:rPr>
              <w:tab/>
            </w:r>
            <w:r w:rsidR="00F906B6" w:rsidRPr="00EC23D2">
              <w:rPr>
                <w:rStyle w:val="Hyperlink"/>
                <w:noProof/>
                <w:lang w:eastAsia="bg-BG"/>
              </w:rPr>
              <w:t>Равни възможности и недопускане на дискриминация</w:t>
            </w:r>
            <w:r w:rsidR="00F906B6">
              <w:rPr>
                <w:noProof/>
                <w:webHidden/>
              </w:rPr>
              <w:tab/>
            </w:r>
            <w:r w:rsidR="00F906B6">
              <w:rPr>
                <w:noProof/>
                <w:webHidden/>
              </w:rPr>
              <w:fldChar w:fldCharType="begin"/>
            </w:r>
            <w:r w:rsidR="00F906B6">
              <w:rPr>
                <w:noProof/>
                <w:webHidden/>
              </w:rPr>
              <w:instrText xml:space="preserve"> PAGEREF _Toc140150170 \h </w:instrText>
            </w:r>
            <w:r w:rsidR="00F906B6">
              <w:rPr>
                <w:noProof/>
                <w:webHidden/>
              </w:rPr>
            </w:r>
            <w:r w:rsidR="00F906B6">
              <w:rPr>
                <w:noProof/>
                <w:webHidden/>
              </w:rPr>
              <w:fldChar w:fldCharType="separate"/>
            </w:r>
            <w:r w:rsidR="00F906B6">
              <w:rPr>
                <w:noProof/>
                <w:webHidden/>
              </w:rPr>
              <w:t>60</w:t>
            </w:r>
            <w:r w:rsidR="00F906B6">
              <w:rPr>
                <w:noProof/>
                <w:webHidden/>
              </w:rPr>
              <w:fldChar w:fldCharType="end"/>
            </w:r>
          </w:hyperlink>
        </w:p>
        <w:p w14:paraId="173A589C" w14:textId="4482FF0A" w:rsidR="00F906B6" w:rsidRDefault="006035A9">
          <w:pPr>
            <w:pStyle w:val="TOC3"/>
            <w:tabs>
              <w:tab w:val="left" w:pos="1600"/>
              <w:tab w:val="right" w:leader="dot" w:pos="9487"/>
            </w:tabs>
            <w:rPr>
              <w:rFonts w:eastAsiaTheme="minorEastAsia" w:cstheme="minorBidi"/>
              <w:noProof/>
              <w:sz w:val="22"/>
              <w:szCs w:val="22"/>
              <w:lang w:eastAsia="bg-BG"/>
            </w:rPr>
          </w:pPr>
          <w:hyperlink w:anchor="_Toc140150171" w:history="1">
            <w:r w:rsidR="00F906B6" w:rsidRPr="00EC23D2">
              <w:rPr>
                <w:rStyle w:val="Hyperlink"/>
                <w:noProof/>
                <w:lang w:eastAsia="bg-BG"/>
              </w:rPr>
              <w:t>5.3.</w:t>
            </w:r>
            <w:r w:rsidR="00F906B6">
              <w:rPr>
                <w:rFonts w:eastAsiaTheme="minorEastAsia" w:cstheme="minorBidi"/>
                <w:noProof/>
                <w:sz w:val="22"/>
                <w:szCs w:val="22"/>
                <w:lang w:eastAsia="bg-BG"/>
              </w:rPr>
              <w:tab/>
            </w:r>
            <w:r w:rsidR="00F906B6" w:rsidRPr="00EC23D2">
              <w:rPr>
                <w:rStyle w:val="Hyperlink"/>
                <w:noProof/>
                <w:lang w:eastAsia="bg-BG"/>
              </w:rPr>
              <w:t>Равенство между половете</w:t>
            </w:r>
            <w:r w:rsidR="00F906B6">
              <w:rPr>
                <w:noProof/>
                <w:webHidden/>
              </w:rPr>
              <w:tab/>
            </w:r>
            <w:r w:rsidR="00F906B6">
              <w:rPr>
                <w:noProof/>
                <w:webHidden/>
              </w:rPr>
              <w:fldChar w:fldCharType="begin"/>
            </w:r>
            <w:r w:rsidR="00F906B6">
              <w:rPr>
                <w:noProof/>
                <w:webHidden/>
              </w:rPr>
              <w:instrText xml:space="preserve"> PAGEREF _Toc140150171 \h </w:instrText>
            </w:r>
            <w:r w:rsidR="00F906B6">
              <w:rPr>
                <w:noProof/>
                <w:webHidden/>
              </w:rPr>
            </w:r>
            <w:r w:rsidR="00F906B6">
              <w:rPr>
                <w:noProof/>
                <w:webHidden/>
              </w:rPr>
              <w:fldChar w:fldCharType="separate"/>
            </w:r>
            <w:r w:rsidR="00F906B6">
              <w:rPr>
                <w:noProof/>
                <w:webHidden/>
              </w:rPr>
              <w:t>62</w:t>
            </w:r>
            <w:r w:rsidR="00F906B6">
              <w:rPr>
                <w:noProof/>
                <w:webHidden/>
              </w:rPr>
              <w:fldChar w:fldCharType="end"/>
            </w:r>
          </w:hyperlink>
        </w:p>
        <w:p w14:paraId="3466101F" w14:textId="016CD2B6" w:rsidR="00F906B6" w:rsidRDefault="006035A9">
          <w:pPr>
            <w:pStyle w:val="TOC3"/>
            <w:tabs>
              <w:tab w:val="left" w:pos="1600"/>
              <w:tab w:val="right" w:leader="dot" w:pos="9487"/>
            </w:tabs>
            <w:rPr>
              <w:rFonts w:eastAsiaTheme="minorEastAsia" w:cstheme="minorBidi"/>
              <w:noProof/>
              <w:sz w:val="22"/>
              <w:szCs w:val="22"/>
              <w:lang w:eastAsia="bg-BG"/>
            </w:rPr>
          </w:pPr>
          <w:hyperlink w:anchor="_Toc140150172" w:history="1">
            <w:r w:rsidR="00F906B6" w:rsidRPr="00EC23D2">
              <w:rPr>
                <w:rStyle w:val="Hyperlink"/>
                <w:noProof/>
                <w:lang w:eastAsia="bg-BG"/>
              </w:rPr>
              <w:t>5.4.</w:t>
            </w:r>
            <w:r w:rsidR="00F906B6">
              <w:rPr>
                <w:rFonts w:eastAsiaTheme="minorEastAsia" w:cstheme="minorBidi"/>
                <w:noProof/>
                <w:sz w:val="22"/>
                <w:szCs w:val="22"/>
                <w:lang w:eastAsia="bg-BG"/>
              </w:rPr>
              <w:tab/>
            </w:r>
            <w:r w:rsidR="00F906B6" w:rsidRPr="00EC23D2">
              <w:rPr>
                <w:rStyle w:val="Hyperlink"/>
                <w:noProof/>
                <w:lang w:eastAsia="bg-BG"/>
              </w:rPr>
              <w:t>Устойчиво развитие</w:t>
            </w:r>
            <w:r w:rsidR="00F906B6">
              <w:rPr>
                <w:noProof/>
                <w:webHidden/>
              </w:rPr>
              <w:tab/>
            </w:r>
            <w:r w:rsidR="00F906B6">
              <w:rPr>
                <w:noProof/>
                <w:webHidden/>
              </w:rPr>
              <w:fldChar w:fldCharType="begin"/>
            </w:r>
            <w:r w:rsidR="00F906B6">
              <w:rPr>
                <w:noProof/>
                <w:webHidden/>
              </w:rPr>
              <w:instrText xml:space="preserve"> PAGEREF _Toc140150172 \h </w:instrText>
            </w:r>
            <w:r w:rsidR="00F906B6">
              <w:rPr>
                <w:noProof/>
                <w:webHidden/>
              </w:rPr>
            </w:r>
            <w:r w:rsidR="00F906B6">
              <w:rPr>
                <w:noProof/>
                <w:webHidden/>
              </w:rPr>
              <w:fldChar w:fldCharType="separate"/>
            </w:r>
            <w:r w:rsidR="00F906B6">
              <w:rPr>
                <w:noProof/>
                <w:webHidden/>
              </w:rPr>
              <w:t>63</w:t>
            </w:r>
            <w:r w:rsidR="00F906B6">
              <w:rPr>
                <w:noProof/>
                <w:webHidden/>
              </w:rPr>
              <w:fldChar w:fldCharType="end"/>
            </w:r>
          </w:hyperlink>
        </w:p>
        <w:p w14:paraId="4A85389F" w14:textId="64992F61" w:rsidR="00F906B6" w:rsidRDefault="006035A9">
          <w:pPr>
            <w:pStyle w:val="TOC3"/>
            <w:tabs>
              <w:tab w:val="left" w:pos="1600"/>
              <w:tab w:val="right" w:leader="dot" w:pos="9487"/>
            </w:tabs>
            <w:rPr>
              <w:rFonts w:eastAsiaTheme="minorEastAsia" w:cstheme="minorBidi"/>
              <w:noProof/>
              <w:sz w:val="22"/>
              <w:szCs w:val="22"/>
              <w:lang w:eastAsia="bg-BG"/>
            </w:rPr>
          </w:pPr>
          <w:hyperlink w:anchor="_Toc140150173" w:history="1">
            <w:r w:rsidR="00F906B6" w:rsidRPr="00EC23D2">
              <w:rPr>
                <w:rStyle w:val="Hyperlink"/>
                <w:noProof/>
                <w:lang w:eastAsia="bg-BG"/>
              </w:rPr>
              <w:t>5.5.</w:t>
            </w:r>
            <w:r w:rsidR="00F906B6">
              <w:rPr>
                <w:rFonts w:eastAsiaTheme="minorEastAsia" w:cstheme="minorBidi"/>
                <w:noProof/>
                <w:sz w:val="22"/>
                <w:szCs w:val="22"/>
                <w:lang w:eastAsia="bg-BG"/>
              </w:rPr>
              <w:tab/>
            </w:r>
            <w:r w:rsidR="00F906B6" w:rsidRPr="00EC23D2">
              <w:rPr>
                <w:rStyle w:val="Hyperlink"/>
                <w:noProof/>
                <w:lang w:eastAsia="bg-BG"/>
              </w:rPr>
              <w:t>Достъпност</w:t>
            </w:r>
            <w:r w:rsidR="00F906B6">
              <w:rPr>
                <w:noProof/>
                <w:webHidden/>
              </w:rPr>
              <w:tab/>
            </w:r>
            <w:r w:rsidR="00F906B6">
              <w:rPr>
                <w:noProof/>
                <w:webHidden/>
              </w:rPr>
              <w:fldChar w:fldCharType="begin"/>
            </w:r>
            <w:r w:rsidR="00F906B6">
              <w:rPr>
                <w:noProof/>
                <w:webHidden/>
              </w:rPr>
              <w:instrText xml:space="preserve"> PAGEREF _Toc140150173 \h </w:instrText>
            </w:r>
            <w:r w:rsidR="00F906B6">
              <w:rPr>
                <w:noProof/>
                <w:webHidden/>
              </w:rPr>
            </w:r>
            <w:r w:rsidR="00F906B6">
              <w:rPr>
                <w:noProof/>
                <w:webHidden/>
              </w:rPr>
              <w:fldChar w:fldCharType="separate"/>
            </w:r>
            <w:r w:rsidR="00F906B6">
              <w:rPr>
                <w:noProof/>
                <w:webHidden/>
              </w:rPr>
              <w:t>65</w:t>
            </w:r>
            <w:r w:rsidR="00F906B6">
              <w:rPr>
                <w:noProof/>
                <w:webHidden/>
              </w:rPr>
              <w:fldChar w:fldCharType="end"/>
            </w:r>
          </w:hyperlink>
        </w:p>
        <w:p w14:paraId="73DA10E9" w14:textId="6EDFC281" w:rsidR="00F906B6" w:rsidRDefault="006035A9">
          <w:pPr>
            <w:pStyle w:val="TOC1"/>
            <w:tabs>
              <w:tab w:val="right" w:leader="dot" w:pos="9487"/>
            </w:tabs>
            <w:rPr>
              <w:rFonts w:eastAsiaTheme="minorEastAsia" w:cstheme="minorBidi"/>
              <w:b w:val="0"/>
              <w:bCs w:val="0"/>
              <w:noProof/>
              <w:sz w:val="22"/>
              <w:szCs w:val="22"/>
              <w:lang w:eastAsia="bg-BG"/>
            </w:rPr>
          </w:pPr>
          <w:hyperlink w:anchor="_Toc140150174" w:history="1">
            <w:r w:rsidR="00F906B6" w:rsidRPr="00EC23D2">
              <w:rPr>
                <w:rStyle w:val="Hyperlink"/>
                <w:rFonts w:ascii="Times New Roman" w:hAnsi="Times New Roman"/>
                <w:noProof/>
                <w:lang w:eastAsia="bg-BG"/>
              </w:rPr>
              <w:t>ГЛАВА 2 ДЪРЖАВНИ ПОМОЩИ</w:t>
            </w:r>
            <w:r w:rsidR="00F906B6">
              <w:rPr>
                <w:noProof/>
                <w:webHidden/>
              </w:rPr>
              <w:tab/>
            </w:r>
            <w:r w:rsidR="00F906B6">
              <w:rPr>
                <w:noProof/>
                <w:webHidden/>
              </w:rPr>
              <w:fldChar w:fldCharType="begin"/>
            </w:r>
            <w:r w:rsidR="00F906B6">
              <w:rPr>
                <w:noProof/>
                <w:webHidden/>
              </w:rPr>
              <w:instrText xml:space="preserve"> PAGEREF _Toc140150174 \h </w:instrText>
            </w:r>
            <w:r w:rsidR="00F906B6">
              <w:rPr>
                <w:noProof/>
                <w:webHidden/>
              </w:rPr>
            </w:r>
            <w:r w:rsidR="00F906B6">
              <w:rPr>
                <w:noProof/>
                <w:webHidden/>
              </w:rPr>
              <w:fldChar w:fldCharType="separate"/>
            </w:r>
            <w:r w:rsidR="00F906B6">
              <w:rPr>
                <w:noProof/>
                <w:webHidden/>
              </w:rPr>
              <w:t>66</w:t>
            </w:r>
            <w:r w:rsidR="00F906B6">
              <w:rPr>
                <w:noProof/>
                <w:webHidden/>
              </w:rPr>
              <w:fldChar w:fldCharType="end"/>
            </w:r>
          </w:hyperlink>
        </w:p>
        <w:p w14:paraId="0FC7C318" w14:textId="372AC839" w:rsidR="00F906B6" w:rsidRDefault="006035A9">
          <w:pPr>
            <w:pStyle w:val="TOC2"/>
            <w:rPr>
              <w:rFonts w:asciiTheme="minorHAnsi" w:eastAsiaTheme="minorEastAsia" w:hAnsiTheme="minorHAnsi" w:cstheme="minorBidi"/>
              <w:iCs w:val="0"/>
              <w:noProof/>
              <w:sz w:val="22"/>
              <w:szCs w:val="22"/>
              <w:lang w:eastAsia="bg-BG"/>
            </w:rPr>
          </w:pPr>
          <w:hyperlink w:anchor="_Toc140150175" w:history="1">
            <w:r w:rsidR="00F906B6" w:rsidRPr="00EC23D2">
              <w:rPr>
                <w:rStyle w:val="Hyperlink"/>
                <w:noProof/>
              </w:rPr>
              <w:t>6.</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Общи положения</w:t>
            </w:r>
            <w:r w:rsidR="00F906B6">
              <w:rPr>
                <w:noProof/>
                <w:webHidden/>
              </w:rPr>
              <w:tab/>
            </w:r>
            <w:r w:rsidR="00F906B6">
              <w:rPr>
                <w:noProof/>
                <w:webHidden/>
              </w:rPr>
              <w:fldChar w:fldCharType="begin"/>
            </w:r>
            <w:r w:rsidR="00F906B6">
              <w:rPr>
                <w:noProof/>
                <w:webHidden/>
              </w:rPr>
              <w:instrText xml:space="preserve"> PAGEREF _Toc140150175 \h </w:instrText>
            </w:r>
            <w:r w:rsidR="00F906B6">
              <w:rPr>
                <w:noProof/>
                <w:webHidden/>
              </w:rPr>
            </w:r>
            <w:r w:rsidR="00F906B6">
              <w:rPr>
                <w:noProof/>
                <w:webHidden/>
              </w:rPr>
              <w:fldChar w:fldCharType="separate"/>
            </w:r>
            <w:r w:rsidR="00F906B6">
              <w:rPr>
                <w:noProof/>
                <w:webHidden/>
              </w:rPr>
              <w:t>66</w:t>
            </w:r>
            <w:r w:rsidR="00F906B6">
              <w:rPr>
                <w:noProof/>
                <w:webHidden/>
              </w:rPr>
              <w:fldChar w:fldCharType="end"/>
            </w:r>
          </w:hyperlink>
        </w:p>
        <w:p w14:paraId="7D941A59" w14:textId="42A24251" w:rsidR="00F906B6" w:rsidRDefault="006035A9">
          <w:pPr>
            <w:pStyle w:val="TOC3"/>
            <w:tabs>
              <w:tab w:val="left" w:pos="1600"/>
              <w:tab w:val="right" w:leader="dot" w:pos="9487"/>
            </w:tabs>
            <w:rPr>
              <w:rFonts w:eastAsiaTheme="minorEastAsia" w:cstheme="minorBidi"/>
              <w:noProof/>
              <w:sz w:val="22"/>
              <w:szCs w:val="22"/>
              <w:lang w:eastAsia="bg-BG"/>
            </w:rPr>
          </w:pPr>
          <w:hyperlink w:anchor="_Toc140150176" w:history="1">
            <w:r w:rsidR="00F906B6" w:rsidRPr="00EC23D2">
              <w:rPr>
                <w:rStyle w:val="Hyperlink"/>
                <w:noProof/>
                <w:lang w:eastAsia="bg-BG"/>
              </w:rPr>
              <w:t>6.1.</w:t>
            </w:r>
            <w:r w:rsidR="00F906B6">
              <w:rPr>
                <w:rFonts w:eastAsiaTheme="minorEastAsia" w:cstheme="minorBidi"/>
                <w:noProof/>
                <w:sz w:val="22"/>
                <w:szCs w:val="22"/>
                <w:lang w:eastAsia="bg-BG"/>
              </w:rPr>
              <w:tab/>
            </w:r>
            <w:r w:rsidR="00F906B6" w:rsidRPr="00EC23D2">
              <w:rPr>
                <w:rStyle w:val="Hyperlink"/>
                <w:noProof/>
                <w:lang w:eastAsia="bg-BG"/>
              </w:rPr>
              <w:t>Специфични разпоредби</w:t>
            </w:r>
            <w:r w:rsidR="00F906B6">
              <w:rPr>
                <w:noProof/>
                <w:webHidden/>
              </w:rPr>
              <w:tab/>
            </w:r>
            <w:r w:rsidR="00F906B6">
              <w:rPr>
                <w:noProof/>
                <w:webHidden/>
              </w:rPr>
              <w:fldChar w:fldCharType="begin"/>
            </w:r>
            <w:r w:rsidR="00F906B6">
              <w:rPr>
                <w:noProof/>
                <w:webHidden/>
              </w:rPr>
              <w:instrText xml:space="preserve"> PAGEREF _Toc140150176 \h </w:instrText>
            </w:r>
            <w:r w:rsidR="00F906B6">
              <w:rPr>
                <w:noProof/>
                <w:webHidden/>
              </w:rPr>
            </w:r>
            <w:r w:rsidR="00F906B6">
              <w:rPr>
                <w:noProof/>
                <w:webHidden/>
              </w:rPr>
              <w:fldChar w:fldCharType="separate"/>
            </w:r>
            <w:r w:rsidR="00F906B6">
              <w:rPr>
                <w:noProof/>
                <w:webHidden/>
              </w:rPr>
              <w:t>66</w:t>
            </w:r>
            <w:r w:rsidR="00F906B6">
              <w:rPr>
                <w:noProof/>
                <w:webHidden/>
              </w:rPr>
              <w:fldChar w:fldCharType="end"/>
            </w:r>
          </w:hyperlink>
        </w:p>
        <w:p w14:paraId="35C3D619" w14:textId="33E22BFC" w:rsidR="00F906B6" w:rsidRDefault="006035A9">
          <w:pPr>
            <w:pStyle w:val="TOC3"/>
            <w:tabs>
              <w:tab w:val="left" w:pos="1600"/>
              <w:tab w:val="right" w:leader="dot" w:pos="9487"/>
            </w:tabs>
            <w:rPr>
              <w:rFonts w:eastAsiaTheme="minorEastAsia" w:cstheme="minorBidi"/>
              <w:noProof/>
              <w:sz w:val="22"/>
              <w:szCs w:val="22"/>
              <w:lang w:eastAsia="bg-BG"/>
            </w:rPr>
          </w:pPr>
          <w:hyperlink w:anchor="_Toc140150177" w:history="1">
            <w:r w:rsidR="00F906B6" w:rsidRPr="00EC23D2">
              <w:rPr>
                <w:rStyle w:val="Hyperlink"/>
                <w:noProof/>
                <w:lang w:eastAsia="bg-BG"/>
              </w:rPr>
              <w:t>6.2.</w:t>
            </w:r>
            <w:r w:rsidR="00F906B6">
              <w:rPr>
                <w:rFonts w:eastAsiaTheme="minorEastAsia" w:cstheme="minorBidi"/>
                <w:noProof/>
                <w:sz w:val="22"/>
                <w:szCs w:val="22"/>
                <w:lang w:eastAsia="bg-BG"/>
              </w:rPr>
              <w:tab/>
            </w:r>
            <w:r w:rsidR="00F906B6" w:rsidRPr="00EC23D2">
              <w:rPr>
                <w:rStyle w:val="Hyperlink"/>
                <w:noProof/>
                <w:lang w:eastAsia="bg-BG"/>
              </w:rPr>
              <w:t>Основни понятия</w:t>
            </w:r>
            <w:r w:rsidR="00F906B6">
              <w:rPr>
                <w:noProof/>
                <w:webHidden/>
              </w:rPr>
              <w:tab/>
            </w:r>
            <w:r w:rsidR="00F906B6">
              <w:rPr>
                <w:noProof/>
                <w:webHidden/>
              </w:rPr>
              <w:fldChar w:fldCharType="begin"/>
            </w:r>
            <w:r w:rsidR="00F906B6">
              <w:rPr>
                <w:noProof/>
                <w:webHidden/>
              </w:rPr>
              <w:instrText xml:space="preserve"> PAGEREF _Toc140150177 \h </w:instrText>
            </w:r>
            <w:r w:rsidR="00F906B6">
              <w:rPr>
                <w:noProof/>
                <w:webHidden/>
              </w:rPr>
            </w:r>
            <w:r w:rsidR="00F906B6">
              <w:rPr>
                <w:noProof/>
                <w:webHidden/>
              </w:rPr>
              <w:fldChar w:fldCharType="separate"/>
            </w:r>
            <w:r w:rsidR="00F906B6">
              <w:rPr>
                <w:noProof/>
                <w:webHidden/>
              </w:rPr>
              <w:t>67</w:t>
            </w:r>
            <w:r w:rsidR="00F906B6">
              <w:rPr>
                <w:noProof/>
                <w:webHidden/>
              </w:rPr>
              <w:fldChar w:fldCharType="end"/>
            </w:r>
          </w:hyperlink>
        </w:p>
        <w:p w14:paraId="34F94A09" w14:textId="057990EF" w:rsidR="00F906B6" w:rsidRDefault="006035A9">
          <w:pPr>
            <w:pStyle w:val="TOC2"/>
            <w:rPr>
              <w:rFonts w:asciiTheme="minorHAnsi" w:eastAsiaTheme="minorEastAsia" w:hAnsiTheme="minorHAnsi" w:cstheme="minorBidi"/>
              <w:iCs w:val="0"/>
              <w:noProof/>
              <w:sz w:val="22"/>
              <w:szCs w:val="22"/>
              <w:lang w:eastAsia="bg-BG"/>
            </w:rPr>
          </w:pPr>
          <w:hyperlink w:anchor="_Toc140150178" w:history="1">
            <w:r w:rsidR="00F906B6" w:rsidRPr="00EC23D2">
              <w:rPr>
                <w:rStyle w:val="Hyperlink"/>
                <w:noProof/>
              </w:rPr>
              <w:t>7.</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Определяне на приложимостта на чл. 107, параграф 1 от ДФЕС при програмиране и  разработване на мерки</w:t>
            </w:r>
            <w:r w:rsidR="00F906B6">
              <w:rPr>
                <w:noProof/>
                <w:webHidden/>
              </w:rPr>
              <w:tab/>
            </w:r>
            <w:r w:rsidR="00F906B6">
              <w:rPr>
                <w:noProof/>
                <w:webHidden/>
              </w:rPr>
              <w:fldChar w:fldCharType="begin"/>
            </w:r>
            <w:r w:rsidR="00F906B6">
              <w:rPr>
                <w:noProof/>
                <w:webHidden/>
              </w:rPr>
              <w:instrText xml:space="preserve"> PAGEREF _Toc140150178 \h </w:instrText>
            </w:r>
            <w:r w:rsidR="00F906B6">
              <w:rPr>
                <w:noProof/>
                <w:webHidden/>
              </w:rPr>
            </w:r>
            <w:r w:rsidR="00F906B6">
              <w:rPr>
                <w:noProof/>
                <w:webHidden/>
              </w:rPr>
              <w:fldChar w:fldCharType="separate"/>
            </w:r>
            <w:r w:rsidR="00F906B6">
              <w:rPr>
                <w:noProof/>
                <w:webHidden/>
              </w:rPr>
              <w:t>69</w:t>
            </w:r>
            <w:r w:rsidR="00F906B6">
              <w:rPr>
                <w:noProof/>
                <w:webHidden/>
              </w:rPr>
              <w:fldChar w:fldCharType="end"/>
            </w:r>
          </w:hyperlink>
        </w:p>
        <w:p w14:paraId="5A9A03A6" w14:textId="360AD4A8" w:rsidR="00F906B6" w:rsidRDefault="006035A9">
          <w:pPr>
            <w:pStyle w:val="TOC3"/>
            <w:tabs>
              <w:tab w:val="left" w:pos="1600"/>
              <w:tab w:val="right" w:leader="dot" w:pos="9487"/>
            </w:tabs>
            <w:rPr>
              <w:rFonts w:eastAsiaTheme="minorEastAsia" w:cstheme="minorBidi"/>
              <w:noProof/>
              <w:sz w:val="22"/>
              <w:szCs w:val="22"/>
              <w:lang w:eastAsia="bg-BG"/>
            </w:rPr>
          </w:pPr>
          <w:hyperlink w:anchor="_Toc140150179" w:history="1">
            <w:r w:rsidR="00F906B6" w:rsidRPr="00EC23D2">
              <w:rPr>
                <w:rStyle w:val="Hyperlink"/>
                <w:noProof/>
                <w:lang w:eastAsia="bg-BG"/>
              </w:rPr>
              <w:t>7.1.</w:t>
            </w:r>
            <w:r w:rsidR="00F906B6">
              <w:rPr>
                <w:rFonts w:eastAsiaTheme="minorEastAsia" w:cstheme="minorBidi"/>
                <w:noProof/>
                <w:sz w:val="22"/>
                <w:szCs w:val="22"/>
                <w:lang w:eastAsia="bg-BG"/>
              </w:rPr>
              <w:tab/>
            </w:r>
            <w:r w:rsidR="00F906B6" w:rsidRPr="00EC23D2">
              <w:rPr>
                <w:rStyle w:val="Hyperlink"/>
                <w:noProof/>
                <w:lang w:eastAsia="bg-BG"/>
              </w:rPr>
              <w:t>Тест за ДП</w:t>
            </w:r>
            <w:r w:rsidR="00F906B6">
              <w:rPr>
                <w:noProof/>
                <w:webHidden/>
              </w:rPr>
              <w:tab/>
            </w:r>
            <w:r w:rsidR="00F906B6">
              <w:rPr>
                <w:noProof/>
                <w:webHidden/>
              </w:rPr>
              <w:fldChar w:fldCharType="begin"/>
            </w:r>
            <w:r w:rsidR="00F906B6">
              <w:rPr>
                <w:noProof/>
                <w:webHidden/>
              </w:rPr>
              <w:instrText xml:space="preserve"> PAGEREF _Toc140150179 \h </w:instrText>
            </w:r>
            <w:r w:rsidR="00F906B6">
              <w:rPr>
                <w:noProof/>
                <w:webHidden/>
              </w:rPr>
            </w:r>
            <w:r w:rsidR="00F906B6">
              <w:rPr>
                <w:noProof/>
                <w:webHidden/>
              </w:rPr>
              <w:fldChar w:fldCharType="separate"/>
            </w:r>
            <w:r w:rsidR="00F906B6">
              <w:rPr>
                <w:noProof/>
                <w:webHidden/>
              </w:rPr>
              <w:t>69</w:t>
            </w:r>
            <w:r w:rsidR="00F906B6">
              <w:rPr>
                <w:noProof/>
                <w:webHidden/>
              </w:rPr>
              <w:fldChar w:fldCharType="end"/>
            </w:r>
          </w:hyperlink>
        </w:p>
        <w:p w14:paraId="618AE2FA" w14:textId="04AC91C5" w:rsidR="00F906B6" w:rsidRDefault="006035A9">
          <w:pPr>
            <w:pStyle w:val="TOC3"/>
            <w:tabs>
              <w:tab w:val="left" w:pos="1600"/>
              <w:tab w:val="right" w:leader="dot" w:pos="9487"/>
            </w:tabs>
            <w:rPr>
              <w:rFonts w:eastAsiaTheme="minorEastAsia" w:cstheme="minorBidi"/>
              <w:noProof/>
              <w:sz w:val="22"/>
              <w:szCs w:val="22"/>
              <w:lang w:eastAsia="bg-BG"/>
            </w:rPr>
          </w:pPr>
          <w:hyperlink w:anchor="_Toc140150180" w:history="1">
            <w:r w:rsidR="00F906B6" w:rsidRPr="00EC23D2">
              <w:rPr>
                <w:rStyle w:val="Hyperlink"/>
                <w:noProof/>
                <w:lang w:eastAsia="bg-BG"/>
              </w:rPr>
              <w:t>7.2.</w:t>
            </w:r>
            <w:r w:rsidR="00F906B6">
              <w:rPr>
                <w:rFonts w:eastAsiaTheme="minorEastAsia" w:cstheme="minorBidi"/>
                <w:noProof/>
                <w:sz w:val="22"/>
                <w:szCs w:val="22"/>
                <w:lang w:eastAsia="bg-BG"/>
              </w:rPr>
              <w:tab/>
            </w:r>
            <w:r w:rsidR="00F906B6" w:rsidRPr="00EC23D2">
              <w:rPr>
                <w:rStyle w:val="Hyperlink"/>
                <w:noProof/>
                <w:lang w:eastAsia="bg-BG"/>
              </w:rPr>
              <w:t>Определяне на приложим режим на съвместими с вътрешния пазар ДП</w:t>
            </w:r>
            <w:r w:rsidR="00F906B6">
              <w:rPr>
                <w:noProof/>
                <w:webHidden/>
              </w:rPr>
              <w:tab/>
            </w:r>
            <w:r w:rsidR="00F906B6">
              <w:rPr>
                <w:noProof/>
                <w:webHidden/>
              </w:rPr>
              <w:fldChar w:fldCharType="begin"/>
            </w:r>
            <w:r w:rsidR="00F906B6">
              <w:rPr>
                <w:noProof/>
                <w:webHidden/>
              </w:rPr>
              <w:instrText xml:space="preserve"> PAGEREF _Toc140150180 \h </w:instrText>
            </w:r>
            <w:r w:rsidR="00F906B6">
              <w:rPr>
                <w:noProof/>
                <w:webHidden/>
              </w:rPr>
            </w:r>
            <w:r w:rsidR="00F906B6">
              <w:rPr>
                <w:noProof/>
                <w:webHidden/>
              </w:rPr>
              <w:fldChar w:fldCharType="separate"/>
            </w:r>
            <w:r w:rsidR="00F906B6">
              <w:rPr>
                <w:noProof/>
                <w:webHidden/>
              </w:rPr>
              <w:t>80</w:t>
            </w:r>
            <w:r w:rsidR="00F906B6">
              <w:rPr>
                <w:noProof/>
                <w:webHidden/>
              </w:rPr>
              <w:fldChar w:fldCharType="end"/>
            </w:r>
          </w:hyperlink>
        </w:p>
        <w:p w14:paraId="28326B56" w14:textId="49D478A8" w:rsidR="00F906B6" w:rsidRDefault="006035A9">
          <w:pPr>
            <w:pStyle w:val="TOC3"/>
            <w:tabs>
              <w:tab w:val="left" w:pos="1600"/>
              <w:tab w:val="right" w:leader="dot" w:pos="9487"/>
            </w:tabs>
            <w:rPr>
              <w:rFonts w:eastAsiaTheme="minorEastAsia" w:cstheme="minorBidi"/>
              <w:noProof/>
              <w:sz w:val="22"/>
              <w:szCs w:val="22"/>
              <w:lang w:eastAsia="bg-BG"/>
            </w:rPr>
          </w:pPr>
          <w:hyperlink w:anchor="_Toc140150181" w:history="1">
            <w:r w:rsidR="00F906B6" w:rsidRPr="00EC23D2">
              <w:rPr>
                <w:rStyle w:val="Hyperlink"/>
                <w:noProof/>
                <w:lang w:eastAsia="bg-BG"/>
              </w:rPr>
              <w:t>7.3.</w:t>
            </w:r>
            <w:r w:rsidR="00F906B6">
              <w:rPr>
                <w:rFonts w:eastAsiaTheme="minorEastAsia" w:cstheme="minorBidi"/>
                <w:noProof/>
                <w:sz w:val="22"/>
                <w:szCs w:val="22"/>
                <w:lang w:eastAsia="bg-BG"/>
              </w:rPr>
              <w:tab/>
            </w:r>
            <w:r w:rsidR="00F906B6" w:rsidRPr="00EC23D2">
              <w:rPr>
                <w:rStyle w:val="Hyperlink"/>
                <w:noProof/>
                <w:lang w:eastAsia="bg-BG"/>
              </w:rPr>
              <w:t>Определяне на условията за прилагане на конкретна мярка по приложим режим на съвместима ДП</w:t>
            </w:r>
            <w:r w:rsidR="00F906B6">
              <w:rPr>
                <w:noProof/>
                <w:webHidden/>
              </w:rPr>
              <w:tab/>
            </w:r>
            <w:r w:rsidR="00F906B6">
              <w:rPr>
                <w:noProof/>
                <w:webHidden/>
              </w:rPr>
              <w:fldChar w:fldCharType="begin"/>
            </w:r>
            <w:r w:rsidR="00F906B6">
              <w:rPr>
                <w:noProof/>
                <w:webHidden/>
              </w:rPr>
              <w:instrText xml:space="preserve"> PAGEREF _Toc140150181 \h </w:instrText>
            </w:r>
            <w:r w:rsidR="00F906B6">
              <w:rPr>
                <w:noProof/>
                <w:webHidden/>
              </w:rPr>
            </w:r>
            <w:r w:rsidR="00F906B6">
              <w:rPr>
                <w:noProof/>
                <w:webHidden/>
              </w:rPr>
              <w:fldChar w:fldCharType="separate"/>
            </w:r>
            <w:r w:rsidR="00F906B6">
              <w:rPr>
                <w:noProof/>
                <w:webHidden/>
              </w:rPr>
              <w:t>87</w:t>
            </w:r>
            <w:r w:rsidR="00F906B6">
              <w:rPr>
                <w:noProof/>
                <w:webHidden/>
              </w:rPr>
              <w:fldChar w:fldCharType="end"/>
            </w:r>
          </w:hyperlink>
        </w:p>
        <w:p w14:paraId="314C85E7" w14:textId="27B973BD" w:rsidR="00F906B6" w:rsidRDefault="006035A9">
          <w:pPr>
            <w:pStyle w:val="TOC2"/>
            <w:rPr>
              <w:rFonts w:asciiTheme="minorHAnsi" w:eastAsiaTheme="minorEastAsia" w:hAnsiTheme="minorHAnsi" w:cstheme="minorBidi"/>
              <w:iCs w:val="0"/>
              <w:noProof/>
              <w:sz w:val="22"/>
              <w:szCs w:val="22"/>
              <w:lang w:eastAsia="bg-BG"/>
            </w:rPr>
          </w:pPr>
          <w:hyperlink w:anchor="_Toc140150182" w:history="1">
            <w:r w:rsidR="00F906B6" w:rsidRPr="00EC23D2">
              <w:rPr>
                <w:rStyle w:val="Hyperlink"/>
                <w:noProof/>
              </w:rPr>
              <w:t>8.</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Осигуряване на процедурно съответствие и изпълнение на задълженията на администраторите, свързани с режима и законодателството по държавните помощи</w:t>
            </w:r>
            <w:r w:rsidR="00F906B6">
              <w:rPr>
                <w:noProof/>
                <w:webHidden/>
              </w:rPr>
              <w:tab/>
            </w:r>
            <w:r w:rsidR="00F906B6">
              <w:rPr>
                <w:noProof/>
                <w:webHidden/>
              </w:rPr>
              <w:fldChar w:fldCharType="begin"/>
            </w:r>
            <w:r w:rsidR="00F906B6">
              <w:rPr>
                <w:noProof/>
                <w:webHidden/>
              </w:rPr>
              <w:instrText xml:space="preserve"> PAGEREF _Toc140150182 \h </w:instrText>
            </w:r>
            <w:r w:rsidR="00F906B6">
              <w:rPr>
                <w:noProof/>
                <w:webHidden/>
              </w:rPr>
            </w:r>
            <w:r w:rsidR="00F906B6">
              <w:rPr>
                <w:noProof/>
                <w:webHidden/>
              </w:rPr>
              <w:fldChar w:fldCharType="separate"/>
            </w:r>
            <w:r w:rsidR="00F906B6">
              <w:rPr>
                <w:noProof/>
                <w:webHidden/>
              </w:rPr>
              <w:t>88</w:t>
            </w:r>
            <w:r w:rsidR="00F906B6">
              <w:rPr>
                <w:noProof/>
                <w:webHidden/>
              </w:rPr>
              <w:fldChar w:fldCharType="end"/>
            </w:r>
          </w:hyperlink>
        </w:p>
        <w:p w14:paraId="5FB9C994" w14:textId="6BDFB1EA" w:rsidR="00F906B6" w:rsidRDefault="006035A9">
          <w:pPr>
            <w:pStyle w:val="TOC3"/>
            <w:tabs>
              <w:tab w:val="left" w:pos="1600"/>
              <w:tab w:val="right" w:leader="dot" w:pos="9487"/>
            </w:tabs>
            <w:rPr>
              <w:rFonts w:eastAsiaTheme="minorEastAsia" w:cstheme="minorBidi"/>
              <w:noProof/>
              <w:sz w:val="22"/>
              <w:szCs w:val="22"/>
              <w:lang w:eastAsia="bg-BG"/>
            </w:rPr>
          </w:pPr>
          <w:hyperlink w:anchor="_Toc140150183" w:history="1">
            <w:r w:rsidR="00F906B6" w:rsidRPr="00EC23D2">
              <w:rPr>
                <w:rStyle w:val="Hyperlink"/>
                <w:noProof/>
                <w:lang w:eastAsia="bg-BG"/>
              </w:rPr>
              <w:t>8.1.</w:t>
            </w:r>
            <w:r w:rsidR="00F906B6">
              <w:rPr>
                <w:rFonts w:eastAsiaTheme="minorEastAsia" w:cstheme="minorBidi"/>
                <w:noProof/>
                <w:sz w:val="22"/>
                <w:szCs w:val="22"/>
                <w:lang w:eastAsia="bg-BG"/>
              </w:rPr>
              <w:tab/>
            </w:r>
            <w:r w:rsidR="00F906B6" w:rsidRPr="00EC23D2">
              <w:rPr>
                <w:rStyle w:val="Hyperlink"/>
                <w:noProof/>
                <w:lang w:eastAsia="bg-BG"/>
              </w:rPr>
              <w:t>Предварително уведомление и съгласуване с МФ</w:t>
            </w:r>
            <w:r w:rsidR="00F906B6">
              <w:rPr>
                <w:noProof/>
                <w:webHidden/>
              </w:rPr>
              <w:tab/>
            </w:r>
            <w:r w:rsidR="00F906B6">
              <w:rPr>
                <w:noProof/>
                <w:webHidden/>
              </w:rPr>
              <w:fldChar w:fldCharType="begin"/>
            </w:r>
            <w:r w:rsidR="00F906B6">
              <w:rPr>
                <w:noProof/>
                <w:webHidden/>
              </w:rPr>
              <w:instrText xml:space="preserve"> PAGEREF _Toc140150183 \h </w:instrText>
            </w:r>
            <w:r w:rsidR="00F906B6">
              <w:rPr>
                <w:noProof/>
                <w:webHidden/>
              </w:rPr>
            </w:r>
            <w:r w:rsidR="00F906B6">
              <w:rPr>
                <w:noProof/>
                <w:webHidden/>
              </w:rPr>
              <w:fldChar w:fldCharType="separate"/>
            </w:r>
            <w:r w:rsidR="00F906B6">
              <w:rPr>
                <w:noProof/>
                <w:webHidden/>
              </w:rPr>
              <w:t>89</w:t>
            </w:r>
            <w:r w:rsidR="00F906B6">
              <w:rPr>
                <w:noProof/>
                <w:webHidden/>
              </w:rPr>
              <w:fldChar w:fldCharType="end"/>
            </w:r>
          </w:hyperlink>
        </w:p>
        <w:p w14:paraId="75772AB9" w14:textId="72A354F5" w:rsidR="00F906B6" w:rsidRDefault="006035A9">
          <w:pPr>
            <w:pStyle w:val="TOC3"/>
            <w:tabs>
              <w:tab w:val="left" w:pos="1600"/>
              <w:tab w:val="right" w:leader="dot" w:pos="9487"/>
            </w:tabs>
            <w:rPr>
              <w:rFonts w:eastAsiaTheme="minorEastAsia" w:cstheme="minorBidi"/>
              <w:noProof/>
              <w:sz w:val="22"/>
              <w:szCs w:val="22"/>
              <w:lang w:eastAsia="bg-BG"/>
            </w:rPr>
          </w:pPr>
          <w:hyperlink w:anchor="_Toc140150184" w:history="1">
            <w:r w:rsidR="00F906B6" w:rsidRPr="00EC23D2">
              <w:rPr>
                <w:rStyle w:val="Hyperlink"/>
                <w:noProof/>
                <w:lang w:eastAsia="bg-BG"/>
              </w:rPr>
              <w:t>8.2.</w:t>
            </w:r>
            <w:r w:rsidR="00F906B6">
              <w:rPr>
                <w:rFonts w:eastAsiaTheme="minorEastAsia" w:cstheme="minorBidi"/>
                <w:noProof/>
                <w:sz w:val="22"/>
                <w:szCs w:val="22"/>
                <w:lang w:eastAsia="bg-BG"/>
              </w:rPr>
              <w:tab/>
            </w:r>
            <w:r w:rsidR="00F906B6" w:rsidRPr="00EC23D2">
              <w:rPr>
                <w:rStyle w:val="Hyperlink"/>
                <w:noProof/>
                <w:lang w:eastAsia="bg-BG"/>
              </w:rPr>
              <w:t>Съгласуване с МФ</w:t>
            </w:r>
            <w:r w:rsidR="00F906B6">
              <w:rPr>
                <w:noProof/>
                <w:webHidden/>
              </w:rPr>
              <w:tab/>
            </w:r>
            <w:r w:rsidR="00F906B6">
              <w:rPr>
                <w:noProof/>
                <w:webHidden/>
              </w:rPr>
              <w:fldChar w:fldCharType="begin"/>
            </w:r>
            <w:r w:rsidR="00F906B6">
              <w:rPr>
                <w:noProof/>
                <w:webHidden/>
              </w:rPr>
              <w:instrText xml:space="preserve"> PAGEREF _Toc140150184 \h </w:instrText>
            </w:r>
            <w:r w:rsidR="00F906B6">
              <w:rPr>
                <w:noProof/>
                <w:webHidden/>
              </w:rPr>
            </w:r>
            <w:r w:rsidR="00F906B6">
              <w:rPr>
                <w:noProof/>
                <w:webHidden/>
              </w:rPr>
              <w:fldChar w:fldCharType="separate"/>
            </w:r>
            <w:r w:rsidR="00F906B6">
              <w:rPr>
                <w:noProof/>
                <w:webHidden/>
              </w:rPr>
              <w:t>92</w:t>
            </w:r>
            <w:r w:rsidR="00F906B6">
              <w:rPr>
                <w:noProof/>
                <w:webHidden/>
              </w:rPr>
              <w:fldChar w:fldCharType="end"/>
            </w:r>
          </w:hyperlink>
        </w:p>
        <w:p w14:paraId="77AEF3FD" w14:textId="48B190D8" w:rsidR="00F906B6" w:rsidRDefault="006035A9">
          <w:pPr>
            <w:pStyle w:val="TOC2"/>
            <w:rPr>
              <w:rFonts w:asciiTheme="minorHAnsi" w:eastAsiaTheme="minorEastAsia" w:hAnsiTheme="minorHAnsi" w:cstheme="minorBidi"/>
              <w:iCs w:val="0"/>
              <w:noProof/>
              <w:sz w:val="22"/>
              <w:szCs w:val="22"/>
              <w:lang w:eastAsia="bg-BG"/>
            </w:rPr>
          </w:pPr>
          <w:hyperlink w:anchor="_Toc140150185" w:history="1">
            <w:r w:rsidR="00F906B6" w:rsidRPr="00EC23D2">
              <w:rPr>
                <w:rStyle w:val="Hyperlink"/>
                <w:noProof/>
              </w:rPr>
              <w:t>9.</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Осигуряване на прозрачност за предоставените държавни помощи</w:t>
            </w:r>
            <w:r w:rsidR="00F906B6">
              <w:rPr>
                <w:noProof/>
                <w:webHidden/>
              </w:rPr>
              <w:tab/>
            </w:r>
            <w:r w:rsidR="00F906B6">
              <w:rPr>
                <w:noProof/>
                <w:webHidden/>
              </w:rPr>
              <w:fldChar w:fldCharType="begin"/>
            </w:r>
            <w:r w:rsidR="00F906B6">
              <w:rPr>
                <w:noProof/>
                <w:webHidden/>
              </w:rPr>
              <w:instrText xml:space="preserve"> PAGEREF _Toc140150185 \h </w:instrText>
            </w:r>
            <w:r w:rsidR="00F906B6">
              <w:rPr>
                <w:noProof/>
                <w:webHidden/>
              </w:rPr>
            </w:r>
            <w:r w:rsidR="00F906B6">
              <w:rPr>
                <w:noProof/>
                <w:webHidden/>
              </w:rPr>
              <w:fldChar w:fldCharType="separate"/>
            </w:r>
            <w:r w:rsidR="00F906B6">
              <w:rPr>
                <w:noProof/>
                <w:webHidden/>
              </w:rPr>
              <w:t>95</w:t>
            </w:r>
            <w:r w:rsidR="00F906B6">
              <w:rPr>
                <w:noProof/>
                <w:webHidden/>
              </w:rPr>
              <w:fldChar w:fldCharType="end"/>
            </w:r>
          </w:hyperlink>
        </w:p>
        <w:p w14:paraId="0DD3299F" w14:textId="36D7DD56" w:rsidR="00F906B6" w:rsidRDefault="006035A9">
          <w:pPr>
            <w:pStyle w:val="TOC2"/>
            <w:rPr>
              <w:rFonts w:asciiTheme="minorHAnsi" w:eastAsiaTheme="minorEastAsia" w:hAnsiTheme="minorHAnsi" w:cstheme="minorBidi"/>
              <w:iCs w:val="0"/>
              <w:noProof/>
              <w:sz w:val="22"/>
              <w:szCs w:val="22"/>
              <w:lang w:eastAsia="bg-BG"/>
            </w:rPr>
          </w:pPr>
          <w:hyperlink w:anchor="_Toc140150186" w:history="1">
            <w:r w:rsidR="00F906B6" w:rsidRPr="00EC23D2">
              <w:rPr>
                <w:rStyle w:val="Hyperlink"/>
                <w:noProof/>
              </w:rPr>
              <w:t>10.</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Осигуряване на съвместимост на равнище индивидуален проект /бенефициент/партньор</w:t>
            </w:r>
            <w:r w:rsidR="00F906B6">
              <w:rPr>
                <w:noProof/>
                <w:webHidden/>
              </w:rPr>
              <w:tab/>
            </w:r>
            <w:r w:rsidR="00F906B6">
              <w:rPr>
                <w:noProof/>
                <w:webHidden/>
              </w:rPr>
              <w:fldChar w:fldCharType="begin"/>
            </w:r>
            <w:r w:rsidR="00F906B6">
              <w:rPr>
                <w:noProof/>
                <w:webHidden/>
              </w:rPr>
              <w:instrText xml:space="preserve"> PAGEREF _Toc140150186 \h </w:instrText>
            </w:r>
            <w:r w:rsidR="00F906B6">
              <w:rPr>
                <w:noProof/>
                <w:webHidden/>
              </w:rPr>
            </w:r>
            <w:r w:rsidR="00F906B6">
              <w:rPr>
                <w:noProof/>
                <w:webHidden/>
              </w:rPr>
              <w:fldChar w:fldCharType="separate"/>
            </w:r>
            <w:r w:rsidR="00F906B6">
              <w:rPr>
                <w:noProof/>
                <w:webHidden/>
              </w:rPr>
              <w:t>96</w:t>
            </w:r>
            <w:r w:rsidR="00F906B6">
              <w:rPr>
                <w:noProof/>
                <w:webHidden/>
              </w:rPr>
              <w:fldChar w:fldCharType="end"/>
            </w:r>
          </w:hyperlink>
        </w:p>
        <w:p w14:paraId="78F08436" w14:textId="58A142F0" w:rsidR="00F906B6" w:rsidRDefault="006035A9">
          <w:pPr>
            <w:pStyle w:val="TOC2"/>
            <w:rPr>
              <w:rFonts w:asciiTheme="minorHAnsi" w:eastAsiaTheme="minorEastAsia" w:hAnsiTheme="minorHAnsi" w:cstheme="minorBidi"/>
              <w:iCs w:val="0"/>
              <w:noProof/>
              <w:sz w:val="22"/>
              <w:szCs w:val="22"/>
              <w:lang w:eastAsia="bg-BG"/>
            </w:rPr>
          </w:pPr>
          <w:hyperlink w:anchor="_Toc140150187" w:history="1">
            <w:r w:rsidR="00F906B6" w:rsidRPr="00EC23D2">
              <w:rPr>
                <w:rStyle w:val="Hyperlink"/>
                <w:noProof/>
              </w:rPr>
              <w:t>11.</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Възстановяване на неправомерно предоставена и несъвместима държавна помощ</w:t>
            </w:r>
            <w:r w:rsidR="00F906B6">
              <w:rPr>
                <w:noProof/>
                <w:webHidden/>
              </w:rPr>
              <w:tab/>
            </w:r>
            <w:r w:rsidR="00F906B6">
              <w:rPr>
                <w:noProof/>
                <w:webHidden/>
              </w:rPr>
              <w:fldChar w:fldCharType="begin"/>
            </w:r>
            <w:r w:rsidR="00F906B6">
              <w:rPr>
                <w:noProof/>
                <w:webHidden/>
              </w:rPr>
              <w:instrText xml:space="preserve"> PAGEREF _Toc140150187 \h </w:instrText>
            </w:r>
            <w:r w:rsidR="00F906B6">
              <w:rPr>
                <w:noProof/>
                <w:webHidden/>
              </w:rPr>
            </w:r>
            <w:r w:rsidR="00F906B6">
              <w:rPr>
                <w:noProof/>
                <w:webHidden/>
              </w:rPr>
              <w:fldChar w:fldCharType="separate"/>
            </w:r>
            <w:r w:rsidR="00F906B6">
              <w:rPr>
                <w:noProof/>
                <w:webHidden/>
              </w:rPr>
              <w:t>97</w:t>
            </w:r>
            <w:r w:rsidR="00F906B6">
              <w:rPr>
                <w:noProof/>
                <w:webHidden/>
              </w:rPr>
              <w:fldChar w:fldCharType="end"/>
            </w:r>
          </w:hyperlink>
        </w:p>
        <w:p w14:paraId="3E0D0873" w14:textId="2E2EFD53"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188" w:history="1">
            <w:r w:rsidR="00F906B6" w:rsidRPr="00EC23D2">
              <w:rPr>
                <w:rStyle w:val="Hyperlink"/>
                <w:noProof/>
                <w:lang w:eastAsia="en-US"/>
              </w:rPr>
              <w:t>11.1.</w:t>
            </w:r>
            <w:r w:rsidR="00F906B6">
              <w:rPr>
                <w:rFonts w:eastAsiaTheme="minorEastAsia" w:cstheme="minorBidi"/>
                <w:noProof/>
                <w:sz w:val="22"/>
                <w:szCs w:val="22"/>
                <w:lang w:eastAsia="bg-BG"/>
              </w:rPr>
              <w:tab/>
            </w:r>
            <w:r w:rsidR="00F906B6" w:rsidRPr="00EC23D2">
              <w:rPr>
                <w:rStyle w:val="Hyperlink"/>
                <w:noProof/>
                <w:lang w:eastAsia="en-US"/>
              </w:rPr>
              <w:t>По отношение на неправомерно получената минимална помощ или ДП, освободена от задължението за уведомяване с акт на Съвета на Европейския съюз или на Европейската комисия се прилагат разпорадбите на чл. 37 от ЗДП.</w:t>
            </w:r>
            <w:r w:rsidR="00F906B6">
              <w:rPr>
                <w:noProof/>
                <w:webHidden/>
              </w:rPr>
              <w:tab/>
            </w:r>
            <w:r w:rsidR="00F906B6">
              <w:rPr>
                <w:noProof/>
                <w:webHidden/>
              </w:rPr>
              <w:fldChar w:fldCharType="begin"/>
            </w:r>
            <w:r w:rsidR="00F906B6">
              <w:rPr>
                <w:noProof/>
                <w:webHidden/>
              </w:rPr>
              <w:instrText xml:space="preserve"> PAGEREF _Toc140150188 \h </w:instrText>
            </w:r>
            <w:r w:rsidR="00F906B6">
              <w:rPr>
                <w:noProof/>
                <w:webHidden/>
              </w:rPr>
            </w:r>
            <w:r w:rsidR="00F906B6">
              <w:rPr>
                <w:noProof/>
                <w:webHidden/>
              </w:rPr>
              <w:fldChar w:fldCharType="separate"/>
            </w:r>
            <w:r w:rsidR="00F906B6">
              <w:rPr>
                <w:noProof/>
                <w:webHidden/>
              </w:rPr>
              <w:t>97</w:t>
            </w:r>
            <w:r w:rsidR="00F906B6">
              <w:rPr>
                <w:noProof/>
                <w:webHidden/>
              </w:rPr>
              <w:fldChar w:fldCharType="end"/>
            </w:r>
          </w:hyperlink>
        </w:p>
        <w:p w14:paraId="1509EEEF" w14:textId="0793ABD2"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189" w:history="1">
            <w:r w:rsidR="00F906B6" w:rsidRPr="00EC23D2">
              <w:rPr>
                <w:rStyle w:val="Hyperlink"/>
                <w:noProof/>
                <w:lang w:val="x-none" w:eastAsia="en-US"/>
              </w:rPr>
              <w:t>11.2.</w:t>
            </w:r>
            <w:r w:rsidR="00F906B6">
              <w:rPr>
                <w:rFonts w:eastAsiaTheme="minorEastAsia" w:cstheme="minorBidi"/>
                <w:noProof/>
                <w:sz w:val="22"/>
                <w:szCs w:val="22"/>
                <w:lang w:eastAsia="bg-BG"/>
              </w:rPr>
              <w:tab/>
            </w:r>
            <w:r w:rsidR="00F906B6" w:rsidRPr="00EC23D2">
              <w:rPr>
                <w:rStyle w:val="Hyperlink"/>
                <w:noProof/>
                <w:lang w:val="x-none" w:eastAsia="en-US"/>
              </w:rPr>
              <w:t xml:space="preserve">По </w:t>
            </w:r>
            <w:r w:rsidR="00F906B6" w:rsidRPr="00EC23D2">
              <w:rPr>
                <w:rStyle w:val="Hyperlink"/>
                <w:noProof/>
                <w:lang w:eastAsia="en-US"/>
              </w:rPr>
              <w:t>отношение</w:t>
            </w:r>
            <w:r w:rsidR="00F906B6" w:rsidRPr="00EC23D2">
              <w:rPr>
                <w:rStyle w:val="Hyperlink"/>
                <w:noProof/>
                <w:lang w:val="x-none" w:eastAsia="en-US"/>
              </w:rPr>
              <w:t xml:space="preserve"> възтановяване на неправомерн</w:t>
            </w:r>
            <w:r w:rsidR="00F906B6" w:rsidRPr="00EC23D2">
              <w:rPr>
                <w:rStyle w:val="Hyperlink"/>
                <w:noProof/>
                <w:lang w:eastAsia="en-US"/>
              </w:rPr>
              <w:t xml:space="preserve">а и несъвместима </w:t>
            </w:r>
            <w:r w:rsidR="00F906B6" w:rsidRPr="00EC23D2">
              <w:rPr>
                <w:rStyle w:val="Hyperlink"/>
                <w:noProof/>
                <w:lang w:val="x-none" w:eastAsia="en-US"/>
              </w:rPr>
              <w:t>ДП</w:t>
            </w:r>
            <w:r w:rsidR="00F906B6" w:rsidRPr="00EC23D2">
              <w:rPr>
                <w:rStyle w:val="Hyperlink"/>
                <w:noProof/>
                <w:lang w:eastAsia="en-US"/>
              </w:rPr>
              <w:t xml:space="preserve"> по решение на ЕК се прилагат разпоредбите на глава шеста от ЗДП.</w:t>
            </w:r>
            <w:r w:rsidR="00F906B6">
              <w:rPr>
                <w:noProof/>
                <w:webHidden/>
              </w:rPr>
              <w:tab/>
            </w:r>
            <w:r w:rsidR="00F906B6">
              <w:rPr>
                <w:noProof/>
                <w:webHidden/>
              </w:rPr>
              <w:fldChar w:fldCharType="begin"/>
            </w:r>
            <w:r w:rsidR="00F906B6">
              <w:rPr>
                <w:noProof/>
                <w:webHidden/>
              </w:rPr>
              <w:instrText xml:space="preserve"> PAGEREF _Toc140150189 \h </w:instrText>
            </w:r>
            <w:r w:rsidR="00F906B6">
              <w:rPr>
                <w:noProof/>
                <w:webHidden/>
              </w:rPr>
            </w:r>
            <w:r w:rsidR="00F906B6">
              <w:rPr>
                <w:noProof/>
                <w:webHidden/>
              </w:rPr>
              <w:fldChar w:fldCharType="separate"/>
            </w:r>
            <w:r w:rsidR="00F906B6">
              <w:rPr>
                <w:noProof/>
                <w:webHidden/>
              </w:rPr>
              <w:t>97</w:t>
            </w:r>
            <w:r w:rsidR="00F906B6">
              <w:rPr>
                <w:noProof/>
                <w:webHidden/>
              </w:rPr>
              <w:fldChar w:fldCharType="end"/>
            </w:r>
          </w:hyperlink>
        </w:p>
        <w:p w14:paraId="3920016B" w14:textId="1EBEFC60" w:rsidR="00F906B6" w:rsidRDefault="006035A9">
          <w:pPr>
            <w:pStyle w:val="TOC2"/>
            <w:rPr>
              <w:rFonts w:asciiTheme="minorHAnsi" w:eastAsiaTheme="minorEastAsia" w:hAnsiTheme="minorHAnsi" w:cstheme="minorBidi"/>
              <w:iCs w:val="0"/>
              <w:noProof/>
              <w:sz w:val="22"/>
              <w:szCs w:val="22"/>
              <w:lang w:eastAsia="bg-BG"/>
            </w:rPr>
          </w:pPr>
          <w:hyperlink w:anchor="_Toc140150190" w:history="1">
            <w:r w:rsidR="00F906B6" w:rsidRPr="00EC23D2">
              <w:rPr>
                <w:rStyle w:val="Hyperlink"/>
                <w:noProof/>
              </w:rPr>
              <w:t>12.</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Оспорване по съдебен път</w:t>
            </w:r>
            <w:r w:rsidR="00F906B6">
              <w:rPr>
                <w:noProof/>
                <w:webHidden/>
              </w:rPr>
              <w:tab/>
            </w:r>
            <w:r w:rsidR="00F906B6">
              <w:rPr>
                <w:noProof/>
                <w:webHidden/>
              </w:rPr>
              <w:fldChar w:fldCharType="begin"/>
            </w:r>
            <w:r w:rsidR="00F906B6">
              <w:rPr>
                <w:noProof/>
                <w:webHidden/>
              </w:rPr>
              <w:instrText xml:space="preserve"> PAGEREF _Toc140150190 \h </w:instrText>
            </w:r>
            <w:r w:rsidR="00F906B6">
              <w:rPr>
                <w:noProof/>
                <w:webHidden/>
              </w:rPr>
            </w:r>
            <w:r w:rsidR="00F906B6">
              <w:rPr>
                <w:noProof/>
                <w:webHidden/>
              </w:rPr>
              <w:fldChar w:fldCharType="separate"/>
            </w:r>
            <w:r w:rsidR="00F906B6">
              <w:rPr>
                <w:noProof/>
                <w:webHidden/>
              </w:rPr>
              <w:t>98</w:t>
            </w:r>
            <w:r w:rsidR="00F906B6">
              <w:rPr>
                <w:noProof/>
                <w:webHidden/>
              </w:rPr>
              <w:fldChar w:fldCharType="end"/>
            </w:r>
          </w:hyperlink>
        </w:p>
        <w:p w14:paraId="1BE3415C" w14:textId="702E08EF" w:rsidR="00F906B6" w:rsidRDefault="006035A9">
          <w:pPr>
            <w:pStyle w:val="TOC2"/>
            <w:rPr>
              <w:rFonts w:asciiTheme="minorHAnsi" w:eastAsiaTheme="minorEastAsia" w:hAnsiTheme="minorHAnsi" w:cstheme="minorBidi"/>
              <w:iCs w:val="0"/>
              <w:noProof/>
              <w:sz w:val="22"/>
              <w:szCs w:val="22"/>
              <w:lang w:eastAsia="bg-BG"/>
            </w:rPr>
          </w:pPr>
          <w:hyperlink w:anchor="_Toc140150191" w:history="1">
            <w:r w:rsidR="00F906B6" w:rsidRPr="00EC23D2">
              <w:rPr>
                <w:rStyle w:val="Hyperlink"/>
                <w:noProof/>
              </w:rPr>
              <w:t>13.</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Поддържане на капацитет и информираност относно правилата по държавните помощи, вкл. за обучение на персонала, участващ в привеждането на ЕСИФ в действие</w:t>
            </w:r>
            <w:r w:rsidR="00F906B6">
              <w:rPr>
                <w:noProof/>
                <w:webHidden/>
              </w:rPr>
              <w:tab/>
            </w:r>
            <w:r w:rsidR="00F906B6">
              <w:rPr>
                <w:noProof/>
                <w:webHidden/>
              </w:rPr>
              <w:fldChar w:fldCharType="begin"/>
            </w:r>
            <w:r w:rsidR="00F906B6">
              <w:rPr>
                <w:noProof/>
                <w:webHidden/>
              </w:rPr>
              <w:instrText xml:space="preserve"> PAGEREF _Toc140150191 \h </w:instrText>
            </w:r>
            <w:r w:rsidR="00F906B6">
              <w:rPr>
                <w:noProof/>
                <w:webHidden/>
              </w:rPr>
            </w:r>
            <w:r w:rsidR="00F906B6">
              <w:rPr>
                <w:noProof/>
                <w:webHidden/>
              </w:rPr>
              <w:fldChar w:fldCharType="separate"/>
            </w:r>
            <w:r w:rsidR="00F906B6">
              <w:rPr>
                <w:noProof/>
                <w:webHidden/>
              </w:rPr>
              <w:t>99</w:t>
            </w:r>
            <w:r w:rsidR="00F906B6">
              <w:rPr>
                <w:noProof/>
                <w:webHidden/>
              </w:rPr>
              <w:fldChar w:fldCharType="end"/>
            </w:r>
          </w:hyperlink>
        </w:p>
        <w:p w14:paraId="784F37F1" w14:textId="17B7AABF" w:rsidR="00F906B6" w:rsidRDefault="006035A9">
          <w:pPr>
            <w:pStyle w:val="TOC1"/>
            <w:tabs>
              <w:tab w:val="right" w:leader="dot" w:pos="9487"/>
            </w:tabs>
            <w:rPr>
              <w:rFonts w:eastAsiaTheme="minorEastAsia" w:cstheme="minorBidi"/>
              <w:b w:val="0"/>
              <w:bCs w:val="0"/>
              <w:noProof/>
              <w:sz w:val="22"/>
              <w:szCs w:val="22"/>
              <w:lang w:eastAsia="bg-BG"/>
            </w:rPr>
          </w:pPr>
          <w:hyperlink w:anchor="_Toc140150192" w:history="1">
            <w:r w:rsidR="00F906B6" w:rsidRPr="00EC23D2">
              <w:rPr>
                <w:rStyle w:val="Hyperlink"/>
                <w:rFonts w:ascii="Times New Roman" w:hAnsi="Times New Roman"/>
                <w:noProof/>
                <w:lang w:eastAsia="bg-BG"/>
              </w:rPr>
              <w:t>ГЛАВА 3 ПРОГРАМИРАНЕ</w:t>
            </w:r>
            <w:r w:rsidR="00F906B6">
              <w:rPr>
                <w:noProof/>
                <w:webHidden/>
              </w:rPr>
              <w:tab/>
            </w:r>
            <w:r w:rsidR="00F906B6">
              <w:rPr>
                <w:noProof/>
                <w:webHidden/>
              </w:rPr>
              <w:fldChar w:fldCharType="begin"/>
            </w:r>
            <w:r w:rsidR="00F906B6">
              <w:rPr>
                <w:noProof/>
                <w:webHidden/>
              </w:rPr>
              <w:instrText xml:space="preserve"> PAGEREF _Toc140150192 \h </w:instrText>
            </w:r>
            <w:r w:rsidR="00F906B6">
              <w:rPr>
                <w:noProof/>
                <w:webHidden/>
              </w:rPr>
            </w:r>
            <w:r w:rsidR="00F906B6">
              <w:rPr>
                <w:noProof/>
                <w:webHidden/>
              </w:rPr>
              <w:fldChar w:fldCharType="separate"/>
            </w:r>
            <w:r w:rsidR="00F906B6">
              <w:rPr>
                <w:noProof/>
                <w:webHidden/>
              </w:rPr>
              <w:t>100</w:t>
            </w:r>
            <w:r w:rsidR="00F906B6">
              <w:rPr>
                <w:noProof/>
                <w:webHidden/>
              </w:rPr>
              <w:fldChar w:fldCharType="end"/>
            </w:r>
          </w:hyperlink>
        </w:p>
        <w:p w14:paraId="12220A5F" w14:textId="5A191D7B" w:rsidR="00F906B6" w:rsidRDefault="006035A9">
          <w:pPr>
            <w:pStyle w:val="TOC2"/>
            <w:rPr>
              <w:rFonts w:asciiTheme="minorHAnsi" w:eastAsiaTheme="minorEastAsia" w:hAnsiTheme="minorHAnsi" w:cstheme="minorBidi"/>
              <w:iCs w:val="0"/>
              <w:noProof/>
              <w:sz w:val="22"/>
              <w:szCs w:val="22"/>
              <w:lang w:eastAsia="bg-BG"/>
            </w:rPr>
          </w:pPr>
          <w:hyperlink w:anchor="_Toc140150193" w:history="1">
            <w:r w:rsidR="00F906B6" w:rsidRPr="00EC23D2">
              <w:rPr>
                <w:rStyle w:val="Hyperlink"/>
                <w:noProof/>
              </w:rPr>
              <w:t>14.</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ОБХВАТ НА ПОДКРЕПАТА ПО ОПЕРАТИВНА ПРОГРАМА „ТРАНСПОРТ И ТРАНСПОРТНА ИНФРАСТРУКТУРА“ 2014-2020 г.</w:t>
            </w:r>
            <w:r w:rsidR="00F906B6">
              <w:rPr>
                <w:noProof/>
                <w:webHidden/>
              </w:rPr>
              <w:tab/>
            </w:r>
            <w:r w:rsidR="00F906B6">
              <w:rPr>
                <w:noProof/>
                <w:webHidden/>
              </w:rPr>
              <w:fldChar w:fldCharType="begin"/>
            </w:r>
            <w:r w:rsidR="00F906B6">
              <w:rPr>
                <w:noProof/>
                <w:webHidden/>
              </w:rPr>
              <w:instrText xml:space="preserve"> PAGEREF _Toc140150193 \h </w:instrText>
            </w:r>
            <w:r w:rsidR="00F906B6">
              <w:rPr>
                <w:noProof/>
                <w:webHidden/>
              </w:rPr>
            </w:r>
            <w:r w:rsidR="00F906B6">
              <w:rPr>
                <w:noProof/>
                <w:webHidden/>
              </w:rPr>
              <w:fldChar w:fldCharType="separate"/>
            </w:r>
            <w:r w:rsidR="00F906B6">
              <w:rPr>
                <w:noProof/>
                <w:webHidden/>
              </w:rPr>
              <w:t>100</w:t>
            </w:r>
            <w:r w:rsidR="00F906B6">
              <w:rPr>
                <w:noProof/>
                <w:webHidden/>
              </w:rPr>
              <w:fldChar w:fldCharType="end"/>
            </w:r>
          </w:hyperlink>
        </w:p>
        <w:p w14:paraId="3EF48EB1" w14:textId="5FFC5C07"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194" w:history="1">
            <w:r w:rsidR="00F906B6" w:rsidRPr="00EC23D2">
              <w:rPr>
                <w:rStyle w:val="Hyperlink"/>
                <w:noProof/>
              </w:rPr>
              <w:t>14.1.</w:t>
            </w:r>
            <w:r w:rsidR="00F906B6">
              <w:rPr>
                <w:rFonts w:eastAsiaTheme="minorEastAsia" w:cstheme="minorBidi"/>
                <w:noProof/>
                <w:sz w:val="22"/>
                <w:szCs w:val="22"/>
                <w:lang w:eastAsia="bg-BG"/>
              </w:rPr>
              <w:tab/>
            </w:r>
            <w:r w:rsidR="00F906B6" w:rsidRPr="00EC23D2">
              <w:rPr>
                <w:rStyle w:val="Hyperlink"/>
                <w:noProof/>
              </w:rPr>
              <w:t>Приоритетни оси по Оперативна програма „Транспорт и транспортна инфраструктура“ 2014-2020 г.</w:t>
            </w:r>
            <w:r w:rsidR="00F906B6">
              <w:rPr>
                <w:noProof/>
                <w:webHidden/>
              </w:rPr>
              <w:tab/>
            </w:r>
            <w:r w:rsidR="00F906B6">
              <w:rPr>
                <w:noProof/>
                <w:webHidden/>
              </w:rPr>
              <w:fldChar w:fldCharType="begin"/>
            </w:r>
            <w:r w:rsidR="00F906B6">
              <w:rPr>
                <w:noProof/>
                <w:webHidden/>
              </w:rPr>
              <w:instrText xml:space="preserve"> PAGEREF _Toc140150194 \h </w:instrText>
            </w:r>
            <w:r w:rsidR="00F906B6">
              <w:rPr>
                <w:noProof/>
                <w:webHidden/>
              </w:rPr>
            </w:r>
            <w:r w:rsidR="00F906B6">
              <w:rPr>
                <w:noProof/>
                <w:webHidden/>
              </w:rPr>
              <w:fldChar w:fldCharType="separate"/>
            </w:r>
            <w:r w:rsidR="00F906B6">
              <w:rPr>
                <w:noProof/>
                <w:webHidden/>
              </w:rPr>
              <w:t>100</w:t>
            </w:r>
            <w:r w:rsidR="00F906B6">
              <w:rPr>
                <w:noProof/>
                <w:webHidden/>
              </w:rPr>
              <w:fldChar w:fldCharType="end"/>
            </w:r>
          </w:hyperlink>
        </w:p>
        <w:p w14:paraId="4712EE46" w14:textId="34E36DAD"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195" w:history="1">
            <w:r w:rsidR="00F906B6" w:rsidRPr="00EC23D2">
              <w:rPr>
                <w:rStyle w:val="Hyperlink"/>
                <w:noProof/>
              </w:rPr>
              <w:t>14.2.</w:t>
            </w:r>
            <w:r w:rsidR="00F906B6">
              <w:rPr>
                <w:rFonts w:eastAsiaTheme="minorEastAsia" w:cstheme="minorBidi"/>
                <w:noProof/>
                <w:sz w:val="22"/>
                <w:szCs w:val="22"/>
                <w:lang w:eastAsia="bg-BG"/>
              </w:rPr>
              <w:tab/>
            </w:r>
            <w:r w:rsidR="00F906B6" w:rsidRPr="00EC23D2">
              <w:rPr>
                <w:rStyle w:val="Hyperlink"/>
                <w:noProof/>
              </w:rPr>
              <w:t>Допустими дейности по Оперативна програма „Транспорт и транспортна инфраструктура“ 2014-2020 г.</w:t>
            </w:r>
            <w:r w:rsidR="00F906B6">
              <w:rPr>
                <w:noProof/>
                <w:webHidden/>
              </w:rPr>
              <w:tab/>
            </w:r>
            <w:r w:rsidR="00F906B6">
              <w:rPr>
                <w:noProof/>
                <w:webHidden/>
              </w:rPr>
              <w:fldChar w:fldCharType="begin"/>
            </w:r>
            <w:r w:rsidR="00F906B6">
              <w:rPr>
                <w:noProof/>
                <w:webHidden/>
              </w:rPr>
              <w:instrText xml:space="preserve"> PAGEREF _Toc140150195 \h </w:instrText>
            </w:r>
            <w:r w:rsidR="00F906B6">
              <w:rPr>
                <w:noProof/>
                <w:webHidden/>
              </w:rPr>
            </w:r>
            <w:r w:rsidR="00F906B6">
              <w:rPr>
                <w:noProof/>
                <w:webHidden/>
              </w:rPr>
              <w:fldChar w:fldCharType="separate"/>
            </w:r>
            <w:r w:rsidR="00F906B6">
              <w:rPr>
                <w:noProof/>
                <w:webHidden/>
              </w:rPr>
              <w:t>101</w:t>
            </w:r>
            <w:r w:rsidR="00F906B6">
              <w:rPr>
                <w:noProof/>
                <w:webHidden/>
              </w:rPr>
              <w:fldChar w:fldCharType="end"/>
            </w:r>
          </w:hyperlink>
        </w:p>
        <w:p w14:paraId="3C4BC254" w14:textId="40896A41"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196" w:history="1">
            <w:r w:rsidR="00F906B6" w:rsidRPr="00EC23D2">
              <w:rPr>
                <w:rStyle w:val="Hyperlink"/>
                <w:noProof/>
              </w:rPr>
              <w:t>14.3.</w:t>
            </w:r>
            <w:r w:rsidR="00F906B6">
              <w:rPr>
                <w:rFonts w:eastAsiaTheme="minorEastAsia" w:cstheme="minorBidi"/>
                <w:noProof/>
                <w:sz w:val="22"/>
                <w:szCs w:val="22"/>
                <w:lang w:eastAsia="bg-BG"/>
              </w:rPr>
              <w:tab/>
            </w:r>
            <w:r w:rsidR="00F906B6" w:rsidRPr="00EC23D2">
              <w:rPr>
                <w:rStyle w:val="Hyperlink"/>
                <w:noProof/>
              </w:rPr>
              <w:t>Допустимост на разходите по Оперативна програма „Транспорт и транспортна инфраструктура“ 2014-2020 г.</w:t>
            </w:r>
            <w:r w:rsidR="00F906B6">
              <w:rPr>
                <w:noProof/>
                <w:webHidden/>
              </w:rPr>
              <w:tab/>
            </w:r>
            <w:r w:rsidR="00F906B6">
              <w:rPr>
                <w:noProof/>
                <w:webHidden/>
              </w:rPr>
              <w:fldChar w:fldCharType="begin"/>
            </w:r>
            <w:r w:rsidR="00F906B6">
              <w:rPr>
                <w:noProof/>
                <w:webHidden/>
              </w:rPr>
              <w:instrText xml:space="preserve"> PAGEREF _Toc140150196 \h </w:instrText>
            </w:r>
            <w:r w:rsidR="00F906B6">
              <w:rPr>
                <w:noProof/>
                <w:webHidden/>
              </w:rPr>
            </w:r>
            <w:r w:rsidR="00F906B6">
              <w:rPr>
                <w:noProof/>
                <w:webHidden/>
              </w:rPr>
              <w:fldChar w:fldCharType="separate"/>
            </w:r>
            <w:r w:rsidR="00F906B6">
              <w:rPr>
                <w:noProof/>
                <w:webHidden/>
              </w:rPr>
              <w:t>106</w:t>
            </w:r>
            <w:r w:rsidR="00F906B6">
              <w:rPr>
                <w:noProof/>
                <w:webHidden/>
              </w:rPr>
              <w:fldChar w:fldCharType="end"/>
            </w:r>
          </w:hyperlink>
        </w:p>
        <w:p w14:paraId="416AF49F" w14:textId="0342C5EE"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197" w:history="1">
            <w:r w:rsidR="00F906B6" w:rsidRPr="00EC23D2">
              <w:rPr>
                <w:rStyle w:val="Hyperlink"/>
                <w:noProof/>
              </w:rPr>
              <w:t>14.4.</w:t>
            </w:r>
            <w:r w:rsidR="00F906B6">
              <w:rPr>
                <w:rFonts w:eastAsiaTheme="minorEastAsia" w:cstheme="minorBidi"/>
                <w:noProof/>
                <w:sz w:val="22"/>
                <w:szCs w:val="22"/>
                <w:lang w:eastAsia="bg-BG"/>
              </w:rPr>
              <w:tab/>
            </w:r>
            <w:r w:rsidR="00F906B6" w:rsidRPr="00EC23D2">
              <w:rPr>
                <w:rStyle w:val="Hyperlink"/>
                <w:noProof/>
              </w:rPr>
              <w:t>Правила за изменение на Оперативна програма „Транспорт и транспортна инфраструктура“ 2014-2020 г.</w:t>
            </w:r>
            <w:r w:rsidR="00F906B6">
              <w:rPr>
                <w:noProof/>
                <w:webHidden/>
              </w:rPr>
              <w:tab/>
            </w:r>
            <w:r w:rsidR="00F906B6">
              <w:rPr>
                <w:noProof/>
                <w:webHidden/>
              </w:rPr>
              <w:fldChar w:fldCharType="begin"/>
            </w:r>
            <w:r w:rsidR="00F906B6">
              <w:rPr>
                <w:noProof/>
                <w:webHidden/>
              </w:rPr>
              <w:instrText xml:space="preserve"> PAGEREF _Toc140150197 \h </w:instrText>
            </w:r>
            <w:r w:rsidR="00F906B6">
              <w:rPr>
                <w:noProof/>
                <w:webHidden/>
              </w:rPr>
            </w:r>
            <w:r w:rsidR="00F906B6">
              <w:rPr>
                <w:noProof/>
                <w:webHidden/>
              </w:rPr>
              <w:fldChar w:fldCharType="separate"/>
            </w:r>
            <w:r w:rsidR="00F906B6">
              <w:rPr>
                <w:noProof/>
                <w:webHidden/>
              </w:rPr>
              <w:t>108</w:t>
            </w:r>
            <w:r w:rsidR="00F906B6">
              <w:rPr>
                <w:noProof/>
                <w:webHidden/>
              </w:rPr>
              <w:fldChar w:fldCharType="end"/>
            </w:r>
          </w:hyperlink>
        </w:p>
        <w:p w14:paraId="3F374503" w14:textId="16E831E6"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198" w:history="1">
            <w:r w:rsidR="00F906B6" w:rsidRPr="00EC23D2">
              <w:rPr>
                <w:rStyle w:val="Hyperlink"/>
                <w:noProof/>
                <w:lang w:eastAsia="bg-BG"/>
              </w:rPr>
              <w:t>14.5.</w:t>
            </w:r>
            <w:r w:rsidR="00F906B6">
              <w:rPr>
                <w:rFonts w:eastAsiaTheme="minorEastAsia" w:cstheme="minorBidi"/>
                <w:noProof/>
                <w:sz w:val="22"/>
                <w:szCs w:val="22"/>
                <w:lang w:eastAsia="bg-BG"/>
              </w:rPr>
              <w:tab/>
            </w:r>
            <w:r w:rsidR="00F906B6" w:rsidRPr="00EC23D2">
              <w:rPr>
                <w:rStyle w:val="Hyperlink"/>
                <w:noProof/>
              </w:rPr>
              <w:t>Финансови инструменти, допълващи инвестициите по Оперативна програма „Транспорт и транспортна инфраструктура“ 2014-2020 г.</w:t>
            </w:r>
            <w:r w:rsidR="00F906B6">
              <w:rPr>
                <w:noProof/>
                <w:webHidden/>
              </w:rPr>
              <w:tab/>
            </w:r>
            <w:r w:rsidR="00F906B6">
              <w:rPr>
                <w:noProof/>
                <w:webHidden/>
              </w:rPr>
              <w:fldChar w:fldCharType="begin"/>
            </w:r>
            <w:r w:rsidR="00F906B6">
              <w:rPr>
                <w:noProof/>
                <w:webHidden/>
              </w:rPr>
              <w:instrText xml:space="preserve"> PAGEREF _Toc140150198 \h </w:instrText>
            </w:r>
            <w:r w:rsidR="00F906B6">
              <w:rPr>
                <w:noProof/>
                <w:webHidden/>
              </w:rPr>
            </w:r>
            <w:r w:rsidR="00F906B6">
              <w:rPr>
                <w:noProof/>
                <w:webHidden/>
              </w:rPr>
              <w:fldChar w:fldCharType="separate"/>
            </w:r>
            <w:r w:rsidR="00F906B6">
              <w:rPr>
                <w:noProof/>
                <w:webHidden/>
              </w:rPr>
              <w:t>111</w:t>
            </w:r>
            <w:r w:rsidR="00F906B6">
              <w:rPr>
                <w:noProof/>
                <w:webHidden/>
              </w:rPr>
              <w:fldChar w:fldCharType="end"/>
            </w:r>
          </w:hyperlink>
        </w:p>
        <w:p w14:paraId="465F6858" w14:textId="7D8D4F48" w:rsidR="00F906B6" w:rsidRDefault="006035A9">
          <w:pPr>
            <w:pStyle w:val="TOC2"/>
            <w:rPr>
              <w:rFonts w:asciiTheme="minorHAnsi" w:eastAsiaTheme="minorEastAsia" w:hAnsiTheme="minorHAnsi" w:cstheme="minorBidi"/>
              <w:iCs w:val="0"/>
              <w:noProof/>
              <w:sz w:val="22"/>
              <w:szCs w:val="22"/>
              <w:lang w:eastAsia="bg-BG"/>
            </w:rPr>
          </w:pPr>
          <w:hyperlink w:anchor="_Toc140150199" w:history="1">
            <w:r w:rsidR="00F906B6" w:rsidRPr="00EC23D2">
              <w:rPr>
                <w:rStyle w:val="Hyperlink"/>
                <w:noProof/>
              </w:rPr>
              <w:t>15.</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ИНДИКАТИВНА ГОДИШНА РАБОТНА ПРОГРАМА НА ОПЕРАТИВНА ПРОГРАМА „ТРАНСПОРТ И ТРАНСПОРТНА ИНФРАСТРУКТУРА“ 2014-2020 Г.</w:t>
            </w:r>
            <w:r w:rsidR="00F906B6">
              <w:rPr>
                <w:noProof/>
                <w:webHidden/>
              </w:rPr>
              <w:tab/>
            </w:r>
            <w:r w:rsidR="00F906B6">
              <w:rPr>
                <w:noProof/>
                <w:webHidden/>
              </w:rPr>
              <w:fldChar w:fldCharType="begin"/>
            </w:r>
            <w:r w:rsidR="00F906B6">
              <w:rPr>
                <w:noProof/>
                <w:webHidden/>
              </w:rPr>
              <w:instrText xml:space="preserve"> PAGEREF _Toc140150199 \h </w:instrText>
            </w:r>
            <w:r w:rsidR="00F906B6">
              <w:rPr>
                <w:noProof/>
                <w:webHidden/>
              </w:rPr>
            </w:r>
            <w:r w:rsidR="00F906B6">
              <w:rPr>
                <w:noProof/>
                <w:webHidden/>
              </w:rPr>
              <w:fldChar w:fldCharType="separate"/>
            </w:r>
            <w:r w:rsidR="00F906B6">
              <w:rPr>
                <w:noProof/>
                <w:webHidden/>
              </w:rPr>
              <w:t>113</w:t>
            </w:r>
            <w:r w:rsidR="00F906B6">
              <w:rPr>
                <w:noProof/>
                <w:webHidden/>
              </w:rPr>
              <w:fldChar w:fldCharType="end"/>
            </w:r>
          </w:hyperlink>
        </w:p>
        <w:p w14:paraId="5532D328" w14:textId="4BEFE198"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00" w:history="1">
            <w:r w:rsidR="00F906B6" w:rsidRPr="00EC23D2">
              <w:rPr>
                <w:rStyle w:val="Hyperlink"/>
                <w:noProof/>
                <w:lang w:eastAsia="bg-BG"/>
              </w:rPr>
              <w:t>15.1.</w:t>
            </w:r>
            <w:r w:rsidR="00F906B6">
              <w:rPr>
                <w:rFonts w:eastAsiaTheme="minorEastAsia" w:cstheme="minorBidi"/>
                <w:noProof/>
                <w:sz w:val="22"/>
                <w:szCs w:val="22"/>
                <w:lang w:eastAsia="bg-BG"/>
              </w:rPr>
              <w:tab/>
            </w:r>
            <w:r w:rsidR="00F906B6" w:rsidRPr="00EC23D2">
              <w:rPr>
                <w:rStyle w:val="Hyperlink"/>
                <w:noProof/>
                <w:lang w:eastAsia="bg-BG"/>
              </w:rPr>
              <w:t>Процедура за изготвяне на Индикативната годишна програма</w:t>
            </w:r>
            <w:r w:rsidR="00F906B6">
              <w:rPr>
                <w:noProof/>
                <w:webHidden/>
              </w:rPr>
              <w:tab/>
            </w:r>
            <w:r w:rsidR="00F906B6">
              <w:rPr>
                <w:noProof/>
                <w:webHidden/>
              </w:rPr>
              <w:fldChar w:fldCharType="begin"/>
            </w:r>
            <w:r w:rsidR="00F906B6">
              <w:rPr>
                <w:noProof/>
                <w:webHidden/>
              </w:rPr>
              <w:instrText xml:space="preserve"> PAGEREF _Toc140150200 \h </w:instrText>
            </w:r>
            <w:r w:rsidR="00F906B6">
              <w:rPr>
                <w:noProof/>
                <w:webHidden/>
              </w:rPr>
            </w:r>
            <w:r w:rsidR="00F906B6">
              <w:rPr>
                <w:noProof/>
                <w:webHidden/>
              </w:rPr>
              <w:fldChar w:fldCharType="separate"/>
            </w:r>
            <w:r w:rsidR="00F906B6">
              <w:rPr>
                <w:noProof/>
                <w:webHidden/>
              </w:rPr>
              <w:t>114</w:t>
            </w:r>
            <w:r w:rsidR="00F906B6">
              <w:rPr>
                <w:noProof/>
                <w:webHidden/>
              </w:rPr>
              <w:fldChar w:fldCharType="end"/>
            </w:r>
          </w:hyperlink>
        </w:p>
        <w:p w14:paraId="19DB818C" w14:textId="227B32E4"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01" w:history="1">
            <w:r w:rsidR="00F906B6" w:rsidRPr="00EC23D2">
              <w:rPr>
                <w:rStyle w:val="Hyperlink"/>
                <w:noProof/>
                <w:lang w:eastAsia="bg-BG"/>
              </w:rPr>
              <w:t>15.2.</w:t>
            </w:r>
            <w:r w:rsidR="00F906B6">
              <w:rPr>
                <w:rFonts w:eastAsiaTheme="minorEastAsia" w:cstheme="minorBidi"/>
                <w:noProof/>
                <w:sz w:val="22"/>
                <w:szCs w:val="22"/>
                <w:lang w:eastAsia="bg-BG"/>
              </w:rPr>
              <w:tab/>
            </w:r>
            <w:r w:rsidR="00F906B6" w:rsidRPr="00EC23D2">
              <w:rPr>
                <w:rStyle w:val="Hyperlink"/>
                <w:noProof/>
                <w:lang w:eastAsia="bg-BG"/>
              </w:rPr>
              <w:t>Процедура за изменение на Индикативната годишна работна програма</w:t>
            </w:r>
            <w:r w:rsidR="00F906B6">
              <w:rPr>
                <w:noProof/>
                <w:webHidden/>
              </w:rPr>
              <w:tab/>
            </w:r>
            <w:r w:rsidR="00F906B6">
              <w:rPr>
                <w:noProof/>
                <w:webHidden/>
              </w:rPr>
              <w:fldChar w:fldCharType="begin"/>
            </w:r>
            <w:r w:rsidR="00F906B6">
              <w:rPr>
                <w:noProof/>
                <w:webHidden/>
              </w:rPr>
              <w:instrText xml:space="preserve"> PAGEREF _Toc140150201 \h </w:instrText>
            </w:r>
            <w:r w:rsidR="00F906B6">
              <w:rPr>
                <w:noProof/>
                <w:webHidden/>
              </w:rPr>
            </w:r>
            <w:r w:rsidR="00F906B6">
              <w:rPr>
                <w:noProof/>
                <w:webHidden/>
              </w:rPr>
              <w:fldChar w:fldCharType="separate"/>
            </w:r>
            <w:r w:rsidR="00F906B6">
              <w:rPr>
                <w:noProof/>
                <w:webHidden/>
              </w:rPr>
              <w:t>115</w:t>
            </w:r>
            <w:r w:rsidR="00F906B6">
              <w:rPr>
                <w:noProof/>
                <w:webHidden/>
              </w:rPr>
              <w:fldChar w:fldCharType="end"/>
            </w:r>
          </w:hyperlink>
        </w:p>
        <w:p w14:paraId="15058D70" w14:textId="29632791" w:rsidR="00F906B6" w:rsidRDefault="006035A9">
          <w:pPr>
            <w:pStyle w:val="TOC2"/>
            <w:rPr>
              <w:rFonts w:asciiTheme="minorHAnsi" w:eastAsiaTheme="minorEastAsia" w:hAnsiTheme="minorHAnsi" w:cstheme="minorBidi"/>
              <w:iCs w:val="0"/>
              <w:noProof/>
              <w:sz w:val="22"/>
              <w:szCs w:val="22"/>
              <w:lang w:eastAsia="bg-BG"/>
            </w:rPr>
          </w:pPr>
          <w:hyperlink w:anchor="_Toc140150202" w:history="1">
            <w:r w:rsidR="00F906B6" w:rsidRPr="00EC23D2">
              <w:rPr>
                <w:rStyle w:val="Hyperlink"/>
                <w:noProof/>
              </w:rPr>
              <w:t>16.</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ПОДГОТОВКА НА ПРОЕКТИ</w:t>
            </w:r>
            <w:r w:rsidR="00F906B6">
              <w:rPr>
                <w:noProof/>
                <w:webHidden/>
              </w:rPr>
              <w:tab/>
            </w:r>
            <w:r w:rsidR="00F906B6">
              <w:rPr>
                <w:noProof/>
                <w:webHidden/>
              </w:rPr>
              <w:fldChar w:fldCharType="begin"/>
            </w:r>
            <w:r w:rsidR="00F906B6">
              <w:rPr>
                <w:noProof/>
                <w:webHidden/>
              </w:rPr>
              <w:instrText xml:space="preserve"> PAGEREF _Toc140150202 \h </w:instrText>
            </w:r>
            <w:r w:rsidR="00F906B6">
              <w:rPr>
                <w:noProof/>
                <w:webHidden/>
              </w:rPr>
            </w:r>
            <w:r w:rsidR="00F906B6">
              <w:rPr>
                <w:noProof/>
                <w:webHidden/>
              </w:rPr>
              <w:fldChar w:fldCharType="separate"/>
            </w:r>
            <w:r w:rsidR="00F906B6">
              <w:rPr>
                <w:noProof/>
                <w:webHidden/>
              </w:rPr>
              <w:t>116</w:t>
            </w:r>
            <w:r w:rsidR="00F906B6">
              <w:rPr>
                <w:noProof/>
                <w:webHidden/>
              </w:rPr>
              <w:fldChar w:fldCharType="end"/>
            </w:r>
          </w:hyperlink>
        </w:p>
        <w:p w14:paraId="110FB04C" w14:textId="321F4DD5"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03" w:history="1">
            <w:r w:rsidR="00F906B6" w:rsidRPr="00EC23D2">
              <w:rPr>
                <w:rStyle w:val="Hyperlink"/>
                <w:noProof/>
                <w:lang w:eastAsia="bg-BG"/>
              </w:rPr>
              <w:t>16.1.</w:t>
            </w:r>
            <w:r w:rsidR="00F906B6">
              <w:rPr>
                <w:rFonts w:eastAsiaTheme="minorEastAsia" w:cstheme="minorBidi"/>
                <w:noProof/>
                <w:sz w:val="22"/>
                <w:szCs w:val="22"/>
                <w:lang w:eastAsia="bg-BG"/>
              </w:rPr>
              <w:tab/>
            </w:r>
            <w:r w:rsidR="00F906B6" w:rsidRPr="00EC23D2">
              <w:rPr>
                <w:rStyle w:val="Hyperlink"/>
                <w:noProof/>
                <w:lang w:eastAsia="bg-BG"/>
              </w:rPr>
              <w:t>Цикъл на проекта</w:t>
            </w:r>
            <w:r w:rsidR="00F906B6">
              <w:rPr>
                <w:noProof/>
                <w:webHidden/>
              </w:rPr>
              <w:tab/>
            </w:r>
            <w:r w:rsidR="00F906B6">
              <w:rPr>
                <w:noProof/>
                <w:webHidden/>
              </w:rPr>
              <w:fldChar w:fldCharType="begin"/>
            </w:r>
            <w:r w:rsidR="00F906B6">
              <w:rPr>
                <w:noProof/>
                <w:webHidden/>
              </w:rPr>
              <w:instrText xml:space="preserve"> PAGEREF _Toc140150203 \h </w:instrText>
            </w:r>
            <w:r w:rsidR="00F906B6">
              <w:rPr>
                <w:noProof/>
                <w:webHidden/>
              </w:rPr>
            </w:r>
            <w:r w:rsidR="00F906B6">
              <w:rPr>
                <w:noProof/>
                <w:webHidden/>
              </w:rPr>
              <w:fldChar w:fldCharType="separate"/>
            </w:r>
            <w:r w:rsidR="00F906B6">
              <w:rPr>
                <w:noProof/>
                <w:webHidden/>
              </w:rPr>
              <w:t>116</w:t>
            </w:r>
            <w:r w:rsidR="00F906B6">
              <w:rPr>
                <w:noProof/>
                <w:webHidden/>
              </w:rPr>
              <w:fldChar w:fldCharType="end"/>
            </w:r>
          </w:hyperlink>
        </w:p>
        <w:p w14:paraId="21EB0657" w14:textId="5B2B32DD"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04" w:history="1">
            <w:r w:rsidR="00F906B6" w:rsidRPr="00EC23D2">
              <w:rPr>
                <w:rStyle w:val="Hyperlink"/>
                <w:noProof/>
                <w:lang w:eastAsia="bg-BG"/>
              </w:rPr>
              <w:t>16.2.</w:t>
            </w:r>
            <w:r w:rsidR="00F906B6">
              <w:rPr>
                <w:rFonts w:eastAsiaTheme="minorEastAsia" w:cstheme="minorBidi"/>
                <w:noProof/>
                <w:sz w:val="22"/>
                <w:szCs w:val="22"/>
                <w:lang w:eastAsia="bg-BG"/>
              </w:rPr>
              <w:tab/>
            </w:r>
            <w:r w:rsidR="00F906B6" w:rsidRPr="00EC23D2">
              <w:rPr>
                <w:rStyle w:val="Hyperlink"/>
                <w:noProof/>
                <w:lang w:eastAsia="bg-BG"/>
              </w:rPr>
              <w:t>Обобщена схема за подготовка на проекти</w:t>
            </w:r>
            <w:r w:rsidR="00F906B6">
              <w:rPr>
                <w:noProof/>
                <w:webHidden/>
              </w:rPr>
              <w:tab/>
            </w:r>
            <w:r w:rsidR="00F906B6">
              <w:rPr>
                <w:noProof/>
                <w:webHidden/>
              </w:rPr>
              <w:fldChar w:fldCharType="begin"/>
            </w:r>
            <w:r w:rsidR="00F906B6">
              <w:rPr>
                <w:noProof/>
                <w:webHidden/>
              </w:rPr>
              <w:instrText xml:space="preserve"> PAGEREF _Toc140150204 \h </w:instrText>
            </w:r>
            <w:r w:rsidR="00F906B6">
              <w:rPr>
                <w:noProof/>
                <w:webHidden/>
              </w:rPr>
            </w:r>
            <w:r w:rsidR="00F906B6">
              <w:rPr>
                <w:noProof/>
                <w:webHidden/>
              </w:rPr>
              <w:fldChar w:fldCharType="separate"/>
            </w:r>
            <w:r w:rsidR="00F906B6">
              <w:rPr>
                <w:noProof/>
                <w:webHidden/>
              </w:rPr>
              <w:t>117</w:t>
            </w:r>
            <w:r w:rsidR="00F906B6">
              <w:rPr>
                <w:noProof/>
                <w:webHidden/>
              </w:rPr>
              <w:fldChar w:fldCharType="end"/>
            </w:r>
          </w:hyperlink>
        </w:p>
        <w:p w14:paraId="505EE9F5" w14:textId="615765CA" w:rsidR="00F906B6" w:rsidRDefault="006035A9">
          <w:pPr>
            <w:pStyle w:val="TOC2"/>
            <w:rPr>
              <w:rFonts w:asciiTheme="minorHAnsi" w:eastAsiaTheme="minorEastAsia" w:hAnsiTheme="minorHAnsi" w:cstheme="minorBidi"/>
              <w:iCs w:val="0"/>
              <w:noProof/>
              <w:sz w:val="22"/>
              <w:szCs w:val="22"/>
              <w:lang w:eastAsia="bg-BG"/>
            </w:rPr>
          </w:pPr>
          <w:hyperlink w:anchor="_Toc140150205" w:history="1">
            <w:r w:rsidR="00F906B6" w:rsidRPr="00EC23D2">
              <w:rPr>
                <w:rStyle w:val="Hyperlink"/>
                <w:noProof/>
              </w:rPr>
              <w:t>17.</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ОБЩИ ПОЛОЖЕНИЯ НА ПРОЦЕДУРАТА НА ДИРЕКТНО ПРЕДОСТАВЯНЕ НА БФП</w:t>
            </w:r>
            <w:r w:rsidR="00F906B6">
              <w:rPr>
                <w:noProof/>
                <w:webHidden/>
              </w:rPr>
              <w:tab/>
            </w:r>
            <w:r w:rsidR="00F906B6">
              <w:rPr>
                <w:noProof/>
                <w:webHidden/>
              </w:rPr>
              <w:fldChar w:fldCharType="begin"/>
            </w:r>
            <w:r w:rsidR="00F906B6">
              <w:rPr>
                <w:noProof/>
                <w:webHidden/>
              </w:rPr>
              <w:instrText xml:space="preserve"> PAGEREF _Toc140150205 \h </w:instrText>
            </w:r>
            <w:r w:rsidR="00F906B6">
              <w:rPr>
                <w:noProof/>
                <w:webHidden/>
              </w:rPr>
            </w:r>
            <w:r w:rsidR="00F906B6">
              <w:rPr>
                <w:noProof/>
                <w:webHidden/>
              </w:rPr>
              <w:fldChar w:fldCharType="separate"/>
            </w:r>
            <w:r w:rsidR="00F906B6">
              <w:rPr>
                <w:noProof/>
                <w:webHidden/>
              </w:rPr>
              <w:t>119</w:t>
            </w:r>
            <w:r w:rsidR="00F906B6">
              <w:rPr>
                <w:noProof/>
                <w:webHidden/>
              </w:rPr>
              <w:fldChar w:fldCharType="end"/>
            </w:r>
          </w:hyperlink>
        </w:p>
        <w:p w14:paraId="6442383D" w14:textId="3D491CB9"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06" w:history="1">
            <w:r w:rsidR="00F906B6" w:rsidRPr="00EC23D2">
              <w:rPr>
                <w:rStyle w:val="Hyperlink"/>
                <w:noProof/>
              </w:rPr>
              <w:t>17.1.</w:t>
            </w:r>
            <w:r w:rsidR="00F906B6">
              <w:rPr>
                <w:rFonts w:eastAsiaTheme="minorEastAsia" w:cstheme="minorBidi"/>
                <w:noProof/>
                <w:sz w:val="22"/>
                <w:szCs w:val="22"/>
                <w:lang w:eastAsia="bg-BG"/>
              </w:rPr>
              <w:tab/>
            </w:r>
            <w:r w:rsidR="00F906B6" w:rsidRPr="00EC23D2">
              <w:rPr>
                <w:rStyle w:val="Hyperlink"/>
                <w:noProof/>
              </w:rPr>
              <w:t xml:space="preserve">Фази на процедурата </w:t>
            </w:r>
            <w:r w:rsidR="00F906B6" w:rsidRPr="00EC23D2">
              <w:rPr>
                <w:rStyle w:val="Hyperlink"/>
                <w:noProof/>
                <w:lang w:eastAsia="bg-BG"/>
              </w:rPr>
              <w:t>на директно предоставяне</w:t>
            </w:r>
            <w:r w:rsidR="00F906B6">
              <w:rPr>
                <w:noProof/>
                <w:webHidden/>
              </w:rPr>
              <w:tab/>
            </w:r>
            <w:r w:rsidR="00F906B6">
              <w:rPr>
                <w:noProof/>
                <w:webHidden/>
              </w:rPr>
              <w:fldChar w:fldCharType="begin"/>
            </w:r>
            <w:r w:rsidR="00F906B6">
              <w:rPr>
                <w:noProof/>
                <w:webHidden/>
              </w:rPr>
              <w:instrText xml:space="preserve"> PAGEREF _Toc140150206 \h </w:instrText>
            </w:r>
            <w:r w:rsidR="00F906B6">
              <w:rPr>
                <w:noProof/>
                <w:webHidden/>
              </w:rPr>
            </w:r>
            <w:r w:rsidR="00F906B6">
              <w:rPr>
                <w:noProof/>
                <w:webHidden/>
              </w:rPr>
              <w:fldChar w:fldCharType="separate"/>
            </w:r>
            <w:r w:rsidR="00F906B6">
              <w:rPr>
                <w:noProof/>
                <w:webHidden/>
              </w:rPr>
              <w:t>119</w:t>
            </w:r>
            <w:r w:rsidR="00F906B6">
              <w:rPr>
                <w:noProof/>
                <w:webHidden/>
              </w:rPr>
              <w:fldChar w:fldCharType="end"/>
            </w:r>
          </w:hyperlink>
        </w:p>
        <w:p w14:paraId="5B746D00" w14:textId="73B95858"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07" w:history="1">
            <w:r w:rsidR="00F906B6" w:rsidRPr="00EC23D2">
              <w:rPr>
                <w:rStyle w:val="Hyperlink"/>
                <w:noProof/>
                <w:lang w:eastAsia="bg-BG"/>
              </w:rPr>
              <w:t>17.2.</w:t>
            </w:r>
            <w:r w:rsidR="00F906B6">
              <w:rPr>
                <w:rFonts w:eastAsiaTheme="minorEastAsia" w:cstheme="minorBidi"/>
                <w:noProof/>
                <w:sz w:val="22"/>
                <w:szCs w:val="22"/>
                <w:lang w:eastAsia="bg-BG"/>
              </w:rPr>
              <w:tab/>
            </w:r>
            <w:r w:rsidR="00F906B6" w:rsidRPr="00EC23D2">
              <w:rPr>
                <w:rStyle w:val="Hyperlink"/>
                <w:noProof/>
                <w:lang w:eastAsia="bg-BG"/>
              </w:rPr>
              <w:t>Принцип на схема на процедурите за кандидатстване, оценка и предоставяне на безвъзмездна финансова помощ за изпълнение на проекти</w:t>
            </w:r>
            <w:r w:rsidR="00F906B6">
              <w:rPr>
                <w:noProof/>
                <w:webHidden/>
              </w:rPr>
              <w:tab/>
            </w:r>
            <w:r w:rsidR="00F906B6">
              <w:rPr>
                <w:noProof/>
                <w:webHidden/>
              </w:rPr>
              <w:fldChar w:fldCharType="begin"/>
            </w:r>
            <w:r w:rsidR="00F906B6">
              <w:rPr>
                <w:noProof/>
                <w:webHidden/>
              </w:rPr>
              <w:instrText xml:space="preserve"> PAGEREF _Toc140150207 \h </w:instrText>
            </w:r>
            <w:r w:rsidR="00F906B6">
              <w:rPr>
                <w:noProof/>
                <w:webHidden/>
              </w:rPr>
            </w:r>
            <w:r w:rsidR="00F906B6">
              <w:rPr>
                <w:noProof/>
                <w:webHidden/>
              </w:rPr>
              <w:fldChar w:fldCharType="separate"/>
            </w:r>
            <w:r w:rsidR="00F906B6">
              <w:rPr>
                <w:noProof/>
                <w:webHidden/>
              </w:rPr>
              <w:t>119</w:t>
            </w:r>
            <w:r w:rsidR="00F906B6">
              <w:rPr>
                <w:noProof/>
                <w:webHidden/>
              </w:rPr>
              <w:fldChar w:fldCharType="end"/>
            </w:r>
          </w:hyperlink>
        </w:p>
        <w:p w14:paraId="1C8687F9" w14:textId="5EF35BE4"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08" w:history="1">
            <w:r w:rsidR="00F906B6" w:rsidRPr="00EC23D2">
              <w:rPr>
                <w:rStyle w:val="Hyperlink"/>
                <w:noProof/>
                <w:lang w:eastAsia="bg-BG"/>
              </w:rPr>
              <w:t>17.3.</w:t>
            </w:r>
            <w:r w:rsidR="00F906B6">
              <w:rPr>
                <w:rFonts w:eastAsiaTheme="minorEastAsia" w:cstheme="minorBidi"/>
                <w:noProof/>
                <w:sz w:val="22"/>
                <w:szCs w:val="22"/>
                <w:lang w:eastAsia="bg-BG"/>
              </w:rPr>
              <w:tab/>
            </w:r>
            <w:r w:rsidR="00F906B6" w:rsidRPr="00EC23D2">
              <w:rPr>
                <w:rStyle w:val="Hyperlink"/>
                <w:noProof/>
                <w:lang w:eastAsia="bg-BG"/>
              </w:rPr>
              <w:t>Насоки за кандидатстване по ОПТТИ</w:t>
            </w:r>
            <w:r w:rsidR="00F906B6">
              <w:rPr>
                <w:noProof/>
                <w:webHidden/>
              </w:rPr>
              <w:tab/>
            </w:r>
            <w:r w:rsidR="00F906B6">
              <w:rPr>
                <w:noProof/>
                <w:webHidden/>
              </w:rPr>
              <w:fldChar w:fldCharType="begin"/>
            </w:r>
            <w:r w:rsidR="00F906B6">
              <w:rPr>
                <w:noProof/>
                <w:webHidden/>
              </w:rPr>
              <w:instrText xml:space="preserve"> PAGEREF _Toc140150208 \h </w:instrText>
            </w:r>
            <w:r w:rsidR="00F906B6">
              <w:rPr>
                <w:noProof/>
                <w:webHidden/>
              </w:rPr>
            </w:r>
            <w:r w:rsidR="00F906B6">
              <w:rPr>
                <w:noProof/>
                <w:webHidden/>
              </w:rPr>
              <w:fldChar w:fldCharType="separate"/>
            </w:r>
            <w:r w:rsidR="00F906B6">
              <w:rPr>
                <w:noProof/>
                <w:webHidden/>
              </w:rPr>
              <w:t>122</w:t>
            </w:r>
            <w:r w:rsidR="00F906B6">
              <w:rPr>
                <w:noProof/>
                <w:webHidden/>
              </w:rPr>
              <w:fldChar w:fldCharType="end"/>
            </w:r>
          </w:hyperlink>
        </w:p>
        <w:p w14:paraId="701B0F4E" w14:textId="74539CF5"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09" w:history="1">
            <w:r w:rsidR="00F906B6" w:rsidRPr="00EC23D2">
              <w:rPr>
                <w:rStyle w:val="Hyperlink"/>
                <w:noProof/>
                <w:lang w:eastAsia="bg-BG"/>
              </w:rPr>
              <w:t>17.4.</w:t>
            </w:r>
            <w:r w:rsidR="00F906B6">
              <w:rPr>
                <w:rFonts w:eastAsiaTheme="minorEastAsia" w:cstheme="minorBidi"/>
                <w:noProof/>
                <w:sz w:val="22"/>
                <w:szCs w:val="22"/>
                <w:lang w:eastAsia="bg-BG"/>
              </w:rPr>
              <w:tab/>
            </w:r>
            <w:r w:rsidR="00F906B6" w:rsidRPr="00EC23D2">
              <w:rPr>
                <w:rStyle w:val="Hyperlink"/>
                <w:noProof/>
                <w:lang w:eastAsia="bg-BG"/>
              </w:rPr>
              <w:t>Формуляри за кандидатстване</w:t>
            </w:r>
            <w:r w:rsidR="00F906B6">
              <w:rPr>
                <w:noProof/>
                <w:webHidden/>
              </w:rPr>
              <w:tab/>
            </w:r>
            <w:r w:rsidR="00F906B6">
              <w:rPr>
                <w:noProof/>
                <w:webHidden/>
              </w:rPr>
              <w:fldChar w:fldCharType="begin"/>
            </w:r>
            <w:r w:rsidR="00F906B6">
              <w:rPr>
                <w:noProof/>
                <w:webHidden/>
              </w:rPr>
              <w:instrText xml:space="preserve"> PAGEREF _Toc140150209 \h </w:instrText>
            </w:r>
            <w:r w:rsidR="00F906B6">
              <w:rPr>
                <w:noProof/>
                <w:webHidden/>
              </w:rPr>
            </w:r>
            <w:r w:rsidR="00F906B6">
              <w:rPr>
                <w:noProof/>
                <w:webHidden/>
              </w:rPr>
              <w:fldChar w:fldCharType="separate"/>
            </w:r>
            <w:r w:rsidR="00F906B6">
              <w:rPr>
                <w:noProof/>
                <w:webHidden/>
              </w:rPr>
              <w:t>125</w:t>
            </w:r>
            <w:r w:rsidR="00F906B6">
              <w:rPr>
                <w:noProof/>
                <w:webHidden/>
              </w:rPr>
              <w:fldChar w:fldCharType="end"/>
            </w:r>
          </w:hyperlink>
        </w:p>
        <w:p w14:paraId="592717D9" w14:textId="058F0213"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10" w:history="1">
            <w:r w:rsidR="00F906B6" w:rsidRPr="00EC23D2">
              <w:rPr>
                <w:rStyle w:val="Hyperlink"/>
                <w:noProof/>
                <w:lang w:eastAsia="bg-BG"/>
              </w:rPr>
              <w:t>17.5.</w:t>
            </w:r>
            <w:r w:rsidR="00F906B6">
              <w:rPr>
                <w:rFonts w:eastAsiaTheme="minorEastAsia" w:cstheme="minorBidi"/>
                <w:noProof/>
                <w:sz w:val="22"/>
                <w:szCs w:val="22"/>
                <w:lang w:eastAsia="bg-BG"/>
              </w:rPr>
              <w:tab/>
            </w:r>
            <w:r w:rsidR="00F906B6" w:rsidRPr="00EC23D2">
              <w:rPr>
                <w:rStyle w:val="Hyperlink"/>
                <w:noProof/>
                <w:lang w:eastAsia="bg-BG"/>
              </w:rPr>
              <w:t>Прекратяване на процедурата на директно предоставяне</w:t>
            </w:r>
            <w:r w:rsidR="00F906B6">
              <w:rPr>
                <w:noProof/>
                <w:webHidden/>
              </w:rPr>
              <w:tab/>
            </w:r>
            <w:r w:rsidR="00F906B6">
              <w:rPr>
                <w:noProof/>
                <w:webHidden/>
              </w:rPr>
              <w:fldChar w:fldCharType="begin"/>
            </w:r>
            <w:r w:rsidR="00F906B6">
              <w:rPr>
                <w:noProof/>
                <w:webHidden/>
              </w:rPr>
              <w:instrText xml:space="preserve"> PAGEREF _Toc140150210 \h </w:instrText>
            </w:r>
            <w:r w:rsidR="00F906B6">
              <w:rPr>
                <w:noProof/>
                <w:webHidden/>
              </w:rPr>
            </w:r>
            <w:r w:rsidR="00F906B6">
              <w:rPr>
                <w:noProof/>
                <w:webHidden/>
              </w:rPr>
              <w:fldChar w:fldCharType="separate"/>
            </w:r>
            <w:r w:rsidR="00F906B6">
              <w:rPr>
                <w:noProof/>
                <w:webHidden/>
              </w:rPr>
              <w:t>129</w:t>
            </w:r>
            <w:r w:rsidR="00F906B6">
              <w:rPr>
                <w:noProof/>
                <w:webHidden/>
              </w:rPr>
              <w:fldChar w:fldCharType="end"/>
            </w:r>
          </w:hyperlink>
        </w:p>
        <w:p w14:paraId="4BCACB0E" w14:textId="1F157923" w:rsidR="00F906B6" w:rsidRDefault="006035A9">
          <w:pPr>
            <w:pStyle w:val="TOC2"/>
            <w:rPr>
              <w:rFonts w:asciiTheme="minorHAnsi" w:eastAsiaTheme="minorEastAsia" w:hAnsiTheme="minorHAnsi" w:cstheme="minorBidi"/>
              <w:iCs w:val="0"/>
              <w:noProof/>
              <w:sz w:val="22"/>
              <w:szCs w:val="22"/>
              <w:lang w:eastAsia="bg-BG"/>
            </w:rPr>
          </w:pPr>
          <w:hyperlink w:anchor="_Toc140150211" w:history="1">
            <w:r w:rsidR="00F906B6" w:rsidRPr="00EC23D2">
              <w:rPr>
                <w:rStyle w:val="Hyperlink"/>
                <w:noProof/>
              </w:rPr>
              <w:t>18.</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ПРОЦЕС НА ОЦЕНКА НА ПРОЕКТНИ ПРЕДЛОЖЕНИЯ</w:t>
            </w:r>
            <w:r w:rsidR="00F906B6">
              <w:rPr>
                <w:noProof/>
                <w:webHidden/>
              </w:rPr>
              <w:tab/>
            </w:r>
            <w:r w:rsidR="00F906B6">
              <w:rPr>
                <w:noProof/>
                <w:webHidden/>
              </w:rPr>
              <w:fldChar w:fldCharType="begin"/>
            </w:r>
            <w:r w:rsidR="00F906B6">
              <w:rPr>
                <w:noProof/>
                <w:webHidden/>
              </w:rPr>
              <w:instrText xml:space="preserve"> PAGEREF _Toc140150211 \h </w:instrText>
            </w:r>
            <w:r w:rsidR="00F906B6">
              <w:rPr>
                <w:noProof/>
                <w:webHidden/>
              </w:rPr>
            </w:r>
            <w:r w:rsidR="00F906B6">
              <w:rPr>
                <w:noProof/>
                <w:webHidden/>
              </w:rPr>
              <w:fldChar w:fldCharType="separate"/>
            </w:r>
            <w:r w:rsidR="00F906B6">
              <w:rPr>
                <w:noProof/>
                <w:webHidden/>
              </w:rPr>
              <w:t>129</w:t>
            </w:r>
            <w:r w:rsidR="00F906B6">
              <w:rPr>
                <w:noProof/>
                <w:webHidden/>
              </w:rPr>
              <w:fldChar w:fldCharType="end"/>
            </w:r>
          </w:hyperlink>
        </w:p>
        <w:p w14:paraId="3DDCAF27" w14:textId="68B21674"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12" w:history="1">
            <w:r w:rsidR="00F906B6" w:rsidRPr="00EC23D2">
              <w:rPr>
                <w:rStyle w:val="Hyperlink"/>
                <w:noProof/>
              </w:rPr>
              <w:t>18.1.</w:t>
            </w:r>
            <w:r w:rsidR="00F906B6">
              <w:rPr>
                <w:rFonts w:eastAsiaTheme="minorEastAsia" w:cstheme="minorBidi"/>
                <w:noProof/>
                <w:sz w:val="22"/>
                <w:szCs w:val="22"/>
                <w:lang w:eastAsia="bg-BG"/>
              </w:rPr>
              <w:tab/>
            </w:r>
            <w:r w:rsidR="00F906B6" w:rsidRPr="00EC23D2">
              <w:rPr>
                <w:rStyle w:val="Hyperlink"/>
                <w:noProof/>
              </w:rPr>
              <w:t>Общи положения при оценка на проектни предложения</w:t>
            </w:r>
            <w:r w:rsidR="00F906B6">
              <w:rPr>
                <w:noProof/>
                <w:webHidden/>
              </w:rPr>
              <w:tab/>
            </w:r>
            <w:r w:rsidR="00F906B6">
              <w:rPr>
                <w:noProof/>
                <w:webHidden/>
              </w:rPr>
              <w:fldChar w:fldCharType="begin"/>
            </w:r>
            <w:r w:rsidR="00F906B6">
              <w:rPr>
                <w:noProof/>
                <w:webHidden/>
              </w:rPr>
              <w:instrText xml:space="preserve"> PAGEREF _Toc140150212 \h </w:instrText>
            </w:r>
            <w:r w:rsidR="00F906B6">
              <w:rPr>
                <w:noProof/>
                <w:webHidden/>
              </w:rPr>
            </w:r>
            <w:r w:rsidR="00F906B6">
              <w:rPr>
                <w:noProof/>
                <w:webHidden/>
              </w:rPr>
              <w:fldChar w:fldCharType="separate"/>
            </w:r>
            <w:r w:rsidR="00F906B6">
              <w:rPr>
                <w:noProof/>
                <w:webHidden/>
              </w:rPr>
              <w:t>129</w:t>
            </w:r>
            <w:r w:rsidR="00F906B6">
              <w:rPr>
                <w:noProof/>
                <w:webHidden/>
              </w:rPr>
              <w:fldChar w:fldCharType="end"/>
            </w:r>
          </w:hyperlink>
        </w:p>
        <w:p w14:paraId="5638478E" w14:textId="5BAA5A8D"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13" w:history="1">
            <w:r w:rsidR="00F906B6" w:rsidRPr="00EC23D2">
              <w:rPr>
                <w:rStyle w:val="Hyperlink"/>
                <w:noProof/>
              </w:rPr>
              <w:t>18.2.</w:t>
            </w:r>
            <w:r w:rsidR="00F906B6">
              <w:rPr>
                <w:rFonts w:eastAsiaTheme="minorEastAsia" w:cstheme="minorBidi"/>
                <w:noProof/>
                <w:sz w:val="22"/>
                <w:szCs w:val="22"/>
                <w:lang w:eastAsia="bg-BG"/>
              </w:rPr>
              <w:tab/>
            </w:r>
            <w:r w:rsidR="00F906B6" w:rsidRPr="00EC23D2">
              <w:rPr>
                <w:rStyle w:val="Hyperlink"/>
                <w:noProof/>
              </w:rPr>
              <w:t>Подаване на проектни предложения</w:t>
            </w:r>
            <w:r w:rsidR="00F906B6">
              <w:rPr>
                <w:noProof/>
                <w:webHidden/>
              </w:rPr>
              <w:tab/>
            </w:r>
            <w:r w:rsidR="00F906B6">
              <w:rPr>
                <w:noProof/>
                <w:webHidden/>
              </w:rPr>
              <w:fldChar w:fldCharType="begin"/>
            </w:r>
            <w:r w:rsidR="00F906B6">
              <w:rPr>
                <w:noProof/>
                <w:webHidden/>
              </w:rPr>
              <w:instrText xml:space="preserve"> PAGEREF _Toc140150213 \h </w:instrText>
            </w:r>
            <w:r w:rsidR="00F906B6">
              <w:rPr>
                <w:noProof/>
                <w:webHidden/>
              </w:rPr>
            </w:r>
            <w:r w:rsidR="00F906B6">
              <w:rPr>
                <w:noProof/>
                <w:webHidden/>
              </w:rPr>
              <w:fldChar w:fldCharType="separate"/>
            </w:r>
            <w:r w:rsidR="00F906B6">
              <w:rPr>
                <w:noProof/>
                <w:webHidden/>
              </w:rPr>
              <w:t>131</w:t>
            </w:r>
            <w:r w:rsidR="00F906B6">
              <w:rPr>
                <w:noProof/>
                <w:webHidden/>
              </w:rPr>
              <w:fldChar w:fldCharType="end"/>
            </w:r>
          </w:hyperlink>
        </w:p>
        <w:p w14:paraId="481DEB00" w14:textId="3F5DCCAD"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14" w:history="1">
            <w:r w:rsidR="00F906B6" w:rsidRPr="00EC23D2">
              <w:rPr>
                <w:rStyle w:val="Hyperlink"/>
                <w:noProof/>
                <w:lang w:eastAsia="bg-BG"/>
              </w:rPr>
              <w:t>18.3.</w:t>
            </w:r>
            <w:r w:rsidR="00F906B6">
              <w:rPr>
                <w:rFonts w:eastAsiaTheme="minorEastAsia" w:cstheme="minorBidi"/>
                <w:noProof/>
                <w:sz w:val="22"/>
                <w:szCs w:val="22"/>
                <w:lang w:eastAsia="bg-BG"/>
              </w:rPr>
              <w:tab/>
            </w:r>
            <w:r w:rsidR="00F906B6" w:rsidRPr="00EC23D2">
              <w:rPr>
                <w:rStyle w:val="Hyperlink"/>
                <w:noProof/>
                <w:lang w:eastAsia="bg-BG"/>
              </w:rPr>
              <w:t>Сформиране на оценителна комисия</w:t>
            </w:r>
            <w:r w:rsidR="00F906B6">
              <w:rPr>
                <w:noProof/>
                <w:webHidden/>
              </w:rPr>
              <w:tab/>
            </w:r>
            <w:r w:rsidR="00F906B6">
              <w:rPr>
                <w:noProof/>
                <w:webHidden/>
              </w:rPr>
              <w:fldChar w:fldCharType="begin"/>
            </w:r>
            <w:r w:rsidR="00F906B6">
              <w:rPr>
                <w:noProof/>
                <w:webHidden/>
              </w:rPr>
              <w:instrText xml:space="preserve"> PAGEREF _Toc140150214 \h </w:instrText>
            </w:r>
            <w:r w:rsidR="00F906B6">
              <w:rPr>
                <w:noProof/>
                <w:webHidden/>
              </w:rPr>
            </w:r>
            <w:r w:rsidR="00F906B6">
              <w:rPr>
                <w:noProof/>
                <w:webHidden/>
              </w:rPr>
              <w:fldChar w:fldCharType="separate"/>
            </w:r>
            <w:r w:rsidR="00F906B6">
              <w:rPr>
                <w:noProof/>
                <w:webHidden/>
              </w:rPr>
              <w:t>135</w:t>
            </w:r>
            <w:r w:rsidR="00F906B6">
              <w:rPr>
                <w:noProof/>
                <w:webHidden/>
              </w:rPr>
              <w:fldChar w:fldCharType="end"/>
            </w:r>
          </w:hyperlink>
        </w:p>
        <w:p w14:paraId="3ECD45BA" w14:textId="156566D9"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15" w:history="1">
            <w:r w:rsidR="00F906B6" w:rsidRPr="00EC23D2">
              <w:rPr>
                <w:rStyle w:val="Hyperlink"/>
                <w:noProof/>
                <w:lang w:eastAsia="bg-BG"/>
              </w:rPr>
              <w:t>18.4.</w:t>
            </w:r>
            <w:r w:rsidR="00F906B6">
              <w:rPr>
                <w:rFonts w:eastAsiaTheme="minorEastAsia" w:cstheme="minorBidi"/>
                <w:noProof/>
                <w:sz w:val="22"/>
                <w:szCs w:val="22"/>
                <w:lang w:eastAsia="bg-BG"/>
              </w:rPr>
              <w:tab/>
            </w:r>
            <w:r w:rsidR="00F906B6" w:rsidRPr="00EC23D2">
              <w:rPr>
                <w:rStyle w:val="Hyperlink"/>
                <w:noProof/>
                <w:lang w:eastAsia="bg-BG"/>
              </w:rPr>
              <w:t>Видове процедури на директно предоставяне при оценка на проектни предложения</w:t>
            </w:r>
            <w:r w:rsidR="00F906B6">
              <w:rPr>
                <w:noProof/>
                <w:webHidden/>
              </w:rPr>
              <w:tab/>
            </w:r>
            <w:r w:rsidR="00F906B6">
              <w:rPr>
                <w:noProof/>
                <w:webHidden/>
              </w:rPr>
              <w:fldChar w:fldCharType="begin"/>
            </w:r>
            <w:r w:rsidR="00F906B6">
              <w:rPr>
                <w:noProof/>
                <w:webHidden/>
              </w:rPr>
              <w:instrText xml:space="preserve"> PAGEREF _Toc140150215 \h </w:instrText>
            </w:r>
            <w:r w:rsidR="00F906B6">
              <w:rPr>
                <w:noProof/>
                <w:webHidden/>
              </w:rPr>
            </w:r>
            <w:r w:rsidR="00F906B6">
              <w:rPr>
                <w:noProof/>
                <w:webHidden/>
              </w:rPr>
              <w:fldChar w:fldCharType="separate"/>
            </w:r>
            <w:r w:rsidR="00F906B6">
              <w:rPr>
                <w:noProof/>
                <w:webHidden/>
              </w:rPr>
              <w:t>141</w:t>
            </w:r>
            <w:r w:rsidR="00F906B6">
              <w:rPr>
                <w:noProof/>
                <w:webHidden/>
              </w:rPr>
              <w:fldChar w:fldCharType="end"/>
            </w:r>
          </w:hyperlink>
        </w:p>
        <w:p w14:paraId="63F8CB88" w14:textId="3D8E4F0D"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16" w:history="1">
            <w:r w:rsidR="00F906B6" w:rsidRPr="00EC23D2">
              <w:rPr>
                <w:rStyle w:val="Hyperlink"/>
                <w:noProof/>
              </w:rPr>
              <w:t>18.5.</w:t>
            </w:r>
            <w:r w:rsidR="00F906B6">
              <w:rPr>
                <w:rFonts w:eastAsiaTheme="minorEastAsia" w:cstheme="minorBidi"/>
                <w:noProof/>
                <w:sz w:val="22"/>
                <w:szCs w:val="22"/>
                <w:lang w:eastAsia="bg-BG"/>
              </w:rPr>
              <w:tab/>
            </w:r>
            <w:r w:rsidR="00F906B6" w:rsidRPr="00EC23D2">
              <w:rPr>
                <w:rStyle w:val="Hyperlink"/>
                <w:noProof/>
              </w:rPr>
              <w:t>Обобщена процедура за оценка на проектни предложения</w:t>
            </w:r>
            <w:r w:rsidR="00F906B6">
              <w:rPr>
                <w:noProof/>
                <w:webHidden/>
              </w:rPr>
              <w:tab/>
            </w:r>
            <w:r w:rsidR="00F906B6">
              <w:rPr>
                <w:noProof/>
                <w:webHidden/>
              </w:rPr>
              <w:fldChar w:fldCharType="begin"/>
            </w:r>
            <w:r w:rsidR="00F906B6">
              <w:rPr>
                <w:noProof/>
                <w:webHidden/>
              </w:rPr>
              <w:instrText xml:space="preserve"> PAGEREF _Toc140150216 \h </w:instrText>
            </w:r>
            <w:r w:rsidR="00F906B6">
              <w:rPr>
                <w:noProof/>
                <w:webHidden/>
              </w:rPr>
            </w:r>
            <w:r w:rsidR="00F906B6">
              <w:rPr>
                <w:noProof/>
                <w:webHidden/>
              </w:rPr>
              <w:fldChar w:fldCharType="separate"/>
            </w:r>
            <w:r w:rsidR="00F906B6">
              <w:rPr>
                <w:noProof/>
                <w:webHidden/>
              </w:rPr>
              <w:t>142</w:t>
            </w:r>
            <w:r w:rsidR="00F906B6">
              <w:rPr>
                <w:noProof/>
                <w:webHidden/>
              </w:rPr>
              <w:fldChar w:fldCharType="end"/>
            </w:r>
          </w:hyperlink>
        </w:p>
        <w:p w14:paraId="5AA50DE0" w14:textId="1EC78B6E"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17" w:history="1">
            <w:r w:rsidR="00F906B6" w:rsidRPr="00EC23D2">
              <w:rPr>
                <w:rStyle w:val="Hyperlink"/>
                <w:noProof/>
              </w:rPr>
              <w:t>18.6.</w:t>
            </w:r>
            <w:r w:rsidR="00F906B6">
              <w:rPr>
                <w:rFonts w:eastAsiaTheme="minorEastAsia" w:cstheme="minorBidi"/>
                <w:noProof/>
                <w:sz w:val="22"/>
                <w:szCs w:val="22"/>
                <w:lang w:eastAsia="bg-BG"/>
              </w:rPr>
              <w:tab/>
            </w:r>
            <w:r w:rsidR="00F906B6" w:rsidRPr="00EC23D2">
              <w:rPr>
                <w:rStyle w:val="Hyperlink"/>
                <w:noProof/>
              </w:rPr>
              <w:t>Описание на процеса на оценка на проектни предложения</w:t>
            </w:r>
            <w:r w:rsidR="00F906B6">
              <w:rPr>
                <w:noProof/>
                <w:webHidden/>
              </w:rPr>
              <w:tab/>
            </w:r>
            <w:r w:rsidR="00F906B6">
              <w:rPr>
                <w:noProof/>
                <w:webHidden/>
              </w:rPr>
              <w:fldChar w:fldCharType="begin"/>
            </w:r>
            <w:r w:rsidR="00F906B6">
              <w:rPr>
                <w:noProof/>
                <w:webHidden/>
              </w:rPr>
              <w:instrText xml:space="preserve"> PAGEREF _Toc140150217 \h </w:instrText>
            </w:r>
            <w:r w:rsidR="00F906B6">
              <w:rPr>
                <w:noProof/>
                <w:webHidden/>
              </w:rPr>
            </w:r>
            <w:r w:rsidR="00F906B6">
              <w:rPr>
                <w:noProof/>
                <w:webHidden/>
              </w:rPr>
              <w:fldChar w:fldCharType="separate"/>
            </w:r>
            <w:r w:rsidR="00F906B6">
              <w:rPr>
                <w:noProof/>
                <w:webHidden/>
              </w:rPr>
              <w:t>144</w:t>
            </w:r>
            <w:r w:rsidR="00F906B6">
              <w:rPr>
                <w:noProof/>
                <w:webHidden/>
              </w:rPr>
              <w:fldChar w:fldCharType="end"/>
            </w:r>
          </w:hyperlink>
        </w:p>
        <w:p w14:paraId="091232AE" w14:textId="69FC3766"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18" w:history="1">
            <w:r w:rsidR="00F906B6" w:rsidRPr="00EC23D2">
              <w:rPr>
                <w:rStyle w:val="Hyperlink"/>
                <w:noProof/>
                <w:lang w:eastAsia="bg-BG"/>
              </w:rPr>
              <w:t>18.7.</w:t>
            </w:r>
            <w:r w:rsidR="00F906B6">
              <w:rPr>
                <w:rFonts w:eastAsiaTheme="minorEastAsia" w:cstheme="minorBidi"/>
                <w:noProof/>
                <w:sz w:val="22"/>
                <w:szCs w:val="22"/>
                <w:lang w:eastAsia="bg-BG"/>
              </w:rPr>
              <w:tab/>
            </w:r>
            <w:r w:rsidR="00F906B6" w:rsidRPr="00EC23D2">
              <w:rPr>
                <w:rStyle w:val="Hyperlink"/>
                <w:noProof/>
                <w:lang w:eastAsia="bg-BG"/>
              </w:rPr>
              <w:t>Процедура за оценка на инвестиционни/ инфраструктурни проекти,  включително и осигуряване на информацията от УО на ОПТТИ по чл. 101 на Регламент (ЕС) № 1303/2013 г. за „големи проекти“</w:t>
            </w:r>
            <w:r w:rsidR="00F906B6">
              <w:rPr>
                <w:noProof/>
                <w:webHidden/>
              </w:rPr>
              <w:tab/>
            </w:r>
            <w:r w:rsidR="00F906B6">
              <w:rPr>
                <w:noProof/>
                <w:webHidden/>
              </w:rPr>
              <w:fldChar w:fldCharType="begin"/>
            </w:r>
            <w:r w:rsidR="00F906B6">
              <w:rPr>
                <w:noProof/>
                <w:webHidden/>
              </w:rPr>
              <w:instrText xml:space="preserve"> PAGEREF _Toc140150218 \h </w:instrText>
            </w:r>
            <w:r w:rsidR="00F906B6">
              <w:rPr>
                <w:noProof/>
                <w:webHidden/>
              </w:rPr>
            </w:r>
            <w:r w:rsidR="00F906B6">
              <w:rPr>
                <w:noProof/>
                <w:webHidden/>
              </w:rPr>
              <w:fldChar w:fldCharType="separate"/>
            </w:r>
            <w:r w:rsidR="00F906B6">
              <w:rPr>
                <w:noProof/>
                <w:webHidden/>
              </w:rPr>
              <w:t>152</w:t>
            </w:r>
            <w:r w:rsidR="00F906B6">
              <w:rPr>
                <w:noProof/>
                <w:webHidden/>
              </w:rPr>
              <w:fldChar w:fldCharType="end"/>
            </w:r>
          </w:hyperlink>
        </w:p>
        <w:p w14:paraId="1A2EEAB2" w14:textId="5A04A99D"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19" w:history="1">
            <w:r w:rsidR="00F906B6" w:rsidRPr="00EC23D2">
              <w:rPr>
                <w:rStyle w:val="Hyperlink"/>
                <w:noProof/>
                <w:lang w:eastAsia="bg-BG"/>
              </w:rPr>
              <w:t>18.8.</w:t>
            </w:r>
            <w:r w:rsidR="00F906B6">
              <w:rPr>
                <w:rFonts w:eastAsiaTheme="minorEastAsia" w:cstheme="minorBidi"/>
                <w:noProof/>
                <w:sz w:val="22"/>
                <w:szCs w:val="22"/>
                <w:lang w:eastAsia="bg-BG"/>
              </w:rPr>
              <w:tab/>
            </w:r>
            <w:r w:rsidR="00F906B6" w:rsidRPr="00EC23D2">
              <w:rPr>
                <w:rStyle w:val="Hyperlink"/>
                <w:noProof/>
                <w:lang w:eastAsia="bg-BG"/>
              </w:rPr>
              <w:t>Процедура за оценка от УО на ОПТТИ на проектни предложения за „големи проекти” и извършване на „преглед на качеството“ от независими експерти</w:t>
            </w:r>
            <w:r w:rsidR="00F906B6">
              <w:rPr>
                <w:noProof/>
                <w:webHidden/>
              </w:rPr>
              <w:tab/>
            </w:r>
            <w:r w:rsidR="00F906B6">
              <w:rPr>
                <w:noProof/>
                <w:webHidden/>
              </w:rPr>
              <w:fldChar w:fldCharType="begin"/>
            </w:r>
            <w:r w:rsidR="00F906B6">
              <w:rPr>
                <w:noProof/>
                <w:webHidden/>
              </w:rPr>
              <w:instrText xml:space="preserve"> PAGEREF _Toc140150219 \h </w:instrText>
            </w:r>
            <w:r w:rsidR="00F906B6">
              <w:rPr>
                <w:noProof/>
                <w:webHidden/>
              </w:rPr>
            </w:r>
            <w:r w:rsidR="00F906B6">
              <w:rPr>
                <w:noProof/>
                <w:webHidden/>
              </w:rPr>
              <w:fldChar w:fldCharType="separate"/>
            </w:r>
            <w:r w:rsidR="00F906B6">
              <w:rPr>
                <w:noProof/>
                <w:webHidden/>
              </w:rPr>
              <w:t>159</w:t>
            </w:r>
            <w:r w:rsidR="00F906B6">
              <w:rPr>
                <w:noProof/>
                <w:webHidden/>
              </w:rPr>
              <w:fldChar w:fldCharType="end"/>
            </w:r>
          </w:hyperlink>
        </w:p>
        <w:p w14:paraId="14EE6BF5" w14:textId="24295CBC"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20" w:history="1">
            <w:r w:rsidR="00F906B6" w:rsidRPr="00EC23D2">
              <w:rPr>
                <w:rStyle w:val="Hyperlink"/>
                <w:noProof/>
                <w:lang w:eastAsia="bg-BG"/>
              </w:rPr>
              <w:t>18.9.</w:t>
            </w:r>
            <w:r w:rsidR="00F906B6">
              <w:rPr>
                <w:rFonts w:eastAsiaTheme="minorEastAsia" w:cstheme="minorBidi"/>
                <w:noProof/>
                <w:sz w:val="22"/>
                <w:szCs w:val="22"/>
                <w:lang w:eastAsia="bg-BG"/>
              </w:rPr>
              <w:tab/>
            </w:r>
            <w:r w:rsidR="00F906B6" w:rsidRPr="00EC23D2">
              <w:rPr>
                <w:rStyle w:val="Hyperlink"/>
                <w:noProof/>
                <w:lang w:eastAsia="bg-BG"/>
              </w:rPr>
              <w:t>Процедура за оценка на проектни предложения за техническа помощ, включително техническа помощ за подготовка на инвестиционни/инфраструктурни проекти</w:t>
            </w:r>
            <w:r w:rsidR="00F906B6">
              <w:rPr>
                <w:noProof/>
                <w:webHidden/>
              </w:rPr>
              <w:tab/>
            </w:r>
            <w:r w:rsidR="00F906B6">
              <w:rPr>
                <w:noProof/>
                <w:webHidden/>
              </w:rPr>
              <w:fldChar w:fldCharType="begin"/>
            </w:r>
            <w:r w:rsidR="00F906B6">
              <w:rPr>
                <w:noProof/>
                <w:webHidden/>
              </w:rPr>
              <w:instrText xml:space="preserve"> PAGEREF _Toc140150220 \h </w:instrText>
            </w:r>
            <w:r w:rsidR="00F906B6">
              <w:rPr>
                <w:noProof/>
                <w:webHidden/>
              </w:rPr>
            </w:r>
            <w:r w:rsidR="00F906B6">
              <w:rPr>
                <w:noProof/>
                <w:webHidden/>
              </w:rPr>
              <w:fldChar w:fldCharType="separate"/>
            </w:r>
            <w:r w:rsidR="00F906B6">
              <w:rPr>
                <w:noProof/>
                <w:webHidden/>
              </w:rPr>
              <w:t>162</w:t>
            </w:r>
            <w:r w:rsidR="00F906B6">
              <w:rPr>
                <w:noProof/>
                <w:webHidden/>
              </w:rPr>
              <w:fldChar w:fldCharType="end"/>
            </w:r>
          </w:hyperlink>
        </w:p>
        <w:p w14:paraId="19B05FD0" w14:textId="61C3235C" w:rsidR="00F906B6" w:rsidRDefault="006035A9">
          <w:pPr>
            <w:pStyle w:val="TOC3"/>
            <w:tabs>
              <w:tab w:val="left" w:pos="1821"/>
              <w:tab w:val="right" w:leader="dot" w:pos="9487"/>
            </w:tabs>
            <w:rPr>
              <w:rFonts w:eastAsiaTheme="minorEastAsia" w:cstheme="minorBidi"/>
              <w:noProof/>
              <w:sz w:val="22"/>
              <w:szCs w:val="22"/>
              <w:lang w:eastAsia="bg-BG"/>
            </w:rPr>
          </w:pPr>
          <w:hyperlink w:anchor="_Toc140150221" w:history="1">
            <w:r w:rsidR="00F906B6" w:rsidRPr="00EC23D2">
              <w:rPr>
                <w:rStyle w:val="Hyperlink"/>
                <w:noProof/>
                <w:lang w:eastAsia="bg-BG"/>
              </w:rPr>
              <w:t>18.10.</w:t>
            </w:r>
            <w:r w:rsidR="00F906B6">
              <w:rPr>
                <w:rFonts w:eastAsiaTheme="minorEastAsia" w:cstheme="minorBidi"/>
                <w:noProof/>
                <w:sz w:val="22"/>
                <w:szCs w:val="22"/>
                <w:lang w:eastAsia="bg-BG"/>
              </w:rPr>
              <w:tab/>
            </w:r>
            <w:r w:rsidR="00F906B6" w:rsidRPr="00EC23D2">
              <w:rPr>
                <w:rStyle w:val="Hyperlink"/>
                <w:noProof/>
                <w:lang w:eastAsia="bg-BG"/>
              </w:rPr>
              <w:t>Процедура за оценка на бюджетна линия</w:t>
            </w:r>
            <w:r w:rsidR="00F906B6">
              <w:rPr>
                <w:noProof/>
                <w:webHidden/>
              </w:rPr>
              <w:tab/>
            </w:r>
            <w:r w:rsidR="00F906B6">
              <w:rPr>
                <w:noProof/>
                <w:webHidden/>
              </w:rPr>
              <w:fldChar w:fldCharType="begin"/>
            </w:r>
            <w:r w:rsidR="00F906B6">
              <w:rPr>
                <w:noProof/>
                <w:webHidden/>
              </w:rPr>
              <w:instrText xml:space="preserve"> PAGEREF _Toc140150221 \h </w:instrText>
            </w:r>
            <w:r w:rsidR="00F906B6">
              <w:rPr>
                <w:noProof/>
                <w:webHidden/>
              </w:rPr>
            </w:r>
            <w:r w:rsidR="00F906B6">
              <w:rPr>
                <w:noProof/>
                <w:webHidden/>
              </w:rPr>
              <w:fldChar w:fldCharType="separate"/>
            </w:r>
            <w:r w:rsidR="00F906B6">
              <w:rPr>
                <w:noProof/>
                <w:webHidden/>
              </w:rPr>
              <w:t>164</w:t>
            </w:r>
            <w:r w:rsidR="00F906B6">
              <w:rPr>
                <w:noProof/>
                <w:webHidden/>
              </w:rPr>
              <w:fldChar w:fldCharType="end"/>
            </w:r>
          </w:hyperlink>
        </w:p>
        <w:p w14:paraId="1E585ED2" w14:textId="501C6E4A" w:rsidR="00F906B6" w:rsidRDefault="006035A9">
          <w:pPr>
            <w:pStyle w:val="TOC3"/>
            <w:tabs>
              <w:tab w:val="left" w:pos="1821"/>
              <w:tab w:val="right" w:leader="dot" w:pos="9487"/>
            </w:tabs>
            <w:rPr>
              <w:rFonts w:eastAsiaTheme="minorEastAsia" w:cstheme="minorBidi"/>
              <w:noProof/>
              <w:sz w:val="22"/>
              <w:szCs w:val="22"/>
              <w:lang w:eastAsia="bg-BG"/>
            </w:rPr>
          </w:pPr>
          <w:hyperlink w:anchor="_Toc140150222" w:history="1">
            <w:r w:rsidR="00F906B6" w:rsidRPr="00EC23D2">
              <w:rPr>
                <w:rStyle w:val="Hyperlink"/>
                <w:noProof/>
                <w:lang w:eastAsia="bg-BG"/>
              </w:rPr>
              <w:t>18.11.</w:t>
            </w:r>
            <w:r w:rsidR="00F906B6">
              <w:rPr>
                <w:rFonts w:eastAsiaTheme="minorEastAsia" w:cstheme="minorBidi"/>
                <w:noProof/>
                <w:sz w:val="22"/>
                <w:szCs w:val="22"/>
                <w:lang w:eastAsia="bg-BG"/>
              </w:rPr>
              <w:tab/>
            </w:r>
            <w:r w:rsidR="00F906B6" w:rsidRPr="00EC23D2">
              <w:rPr>
                <w:rStyle w:val="Hyperlink"/>
                <w:noProof/>
                <w:lang w:eastAsia="bg-BG"/>
              </w:rPr>
              <w:t>Ревизиране на проектно предложение</w:t>
            </w:r>
            <w:r w:rsidR="00F906B6">
              <w:rPr>
                <w:noProof/>
                <w:webHidden/>
              </w:rPr>
              <w:tab/>
            </w:r>
            <w:r w:rsidR="00F906B6">
              <w:rPr>
                <w:noProof/>
                <w:webHidden/>
              </w:rPr>
              <w:fldChar w:fldCharType="begin"/>
            </w:r>
            <w:r w:rsidR="00F906B6">
              <w:rPr>
                <w:noProof/>
                <w:webHidden/>
              </w:rPr>
              <w:instrText xml:space="preserve"> PAGEREF _Toc140150222 \h </w:instrText>
            </w:r>
            <w:r w:rsidR="00F906B6">
              <w:rPr>
                <w:noProof/>
                <w:webHidden/>
              </w:rPr>
            </w:r>
            <w:r w:rsidR="00F906B6">
              <w:rPr>
                <w:noProof/>
                <w:webHidden/>
              </w:rPr>
              <w:fldChar w:fldCharType="separate"/>
            </w:r>
            <w:r w:rsidR="00F906B6">
              <w:rPr>
                <w:noProof/>
                <w:webHidden/>
              </w:rPr>
              <w:t>167</w:t>
            </w:r>
            <w:r w:rsidR="00F906B6">
              <w:rPr>
                <w:noProof/>
                <w:webHidden/>
              </w:rPr>
              <w:fldChar w:fldCharType="end"/>
            </w:r>
          </w:hyperlink>
        </w:p>
        <w:p w14:paraId="3F3A50DE" w14:textId="286F7D9E" w:rsidR="00F906B6" w:rsidRDefault="006035A9">
          <w:pPr>
            <w:pStyle w:val="TOC3"/>
            <w:tabs>
              <w:tab w:val="left" w:pos="1821"/>
              <w:tab w:val="right" w:leader="dot" w:pos="9487"/>
            </w:tabs>
            <w:rPr>
              <w:rFonts w:eastAsiaTheme="minorEastAsia" w:cstheme="minorBidi"/>
              <w:noProof/>
              <w:sz w:val="22"/>
              <w:szCs w:val="22"/>
              <w:lang w:eastAsia="bg-BG"/>
            </w:rPr>
          </w:pPr>
          <w:hyperlink w:anchor="_Toc140150223" w:history="1">
            <w:r w:rsidR="00F906B6" w:rsidRPr="00EC23D2">
              <w:rPr>
                <w:rStyle w:val="Hyperlink"/>
                <w:noProof/>
                <w:lang w:eastAsia="bg-BG"/>
              </w:rPr>
              <w:t>18.12.</w:t>
            </w:r>
            <w:r w:rsidR="00F906B6">
              <w:rPr>
                <w:rFonts w:eastAsiaTheme="minorEastAsia" w:cstheme="minorBidi"/>
                <w:noProof/>
                <w:sz w:val="22"/>
                <w:szCs w:val="22"/>
                <w:lang w:eastAsia="bg-BG"/>
              </w:rPr>
              <w:tab/>
            </w:r>
            <w:r w:rsidR="00F906B6" w:rsidRPr="00EC23D2">
              <w:rPr>
                <w:rStyle w:val="Hyperlink"/>
                <w:noProof/>
                <w:lang w:eastAsia="bg-BG"/>
              </w:rPr>
              <w:t>Механизъм за избягване на двойно финансиране</w:t>
            </w:r>
            <w:r w:rsidR="00F906B6">
              <w:rPr>
                <w:noProof/>
                <w:webHidden/>
              </w:rPr>
              <w:tab/>
            </w:r>
            <w:r w:rsidR="00F906B6">
              <w:rPr>
                <w:noProof/>
                <w:webHidden/>
              </w:rPr>
              <w:fldChar w:fldCharType="begin"/>
            </w:r>
            <w:r w:rsidR="00F906B6">
              <w:rPr>
                <w:noProof/>
                <w:webHidden/>
              </w:rPr>
              <w:instrText xml:space="preserve"> PAGEREF _Toc140150223 \h </w:instrText>
            </w:r>
            <w:r w:rsidR="00F906B6">
              <w:rPr>
                <w:noProof/>
                <w:webHidden/>
              </w:rPr>
            </w:r>
            <w:r w:rsidR="00F906B6">
              <w:rPr>
                <w:noProof/>
                <w:webHidden/>
              </w:rPr>
              <w:fldChar w:fldCharType="separate"/>
            </w:r>
            <w:r w:rsidR="00F906B6">
              <w:rPr>
                <w:noProof/>
                <w:webHidden/>
              </w:rPr>
              <w:t>168</w:t>
            </w:r>
            <w:r w:rsidR="00F906B6">
              <w:rPr>
                <w:noProof/>
                <w:webHidden/>
              </w:rPr>
              <w:fldChar w:fldCharType="end"/>
            </w:r>
          </w:hyperlink>
        </w:p>
        <w:p w14:paraId="3B3D1F6D" w14:textId="5A9D2BDC" w:rsidR="00F906B6" w:rsidRDefault="006035A9">
          <w:pPr>
            <w:pStyle w:val="TOC3"/>
            <w:tabs>
              <w:tab w:val="left" w:pos="1821"/>
              <w:tab w:val="right" w:leader="dot" w:pos="9487"/>
            </w:tabs>
            <w:rPr>
              <w:rFonts w:eastAsiaTheme="minorEastAsia" w:cstheme="minorBidi"/>
              <w:noProof/>
              <w:sz w:val="22"/>
              <w:szCs w:val="22"/>
              <w:lang w:eastAsia="bg-BG"/>
            </w:rPr>
          </w:pPr>
          <w:hyperlink w:anchor="_Toc140150224" w:history="1">
            <w:r w:rsidR="00F906B6" w:rsidRPr="00EC23D2">
              <w:rPr>
                <w:rStyle w:val="Hyperlink"/>
                <w:noProof/>
                <w:lang w:eastAsia="bg-BG"/>
              </w:rPr>
              <w:t>18.13.</w:t>
            </w:r>
            <w:r w:rsidR="00F906B6">
              <w:rPr>
                <w:rFonts w:eastAsiaTheme="minorEastAsia" w:cstheme="minorBidi"/>
                <w:noProof/>
                <w:sz w:val="22"/>
                <w:szCs w:val="22"/>
                <w:lang w:eastAsia="bg-BG"/>
              </w:rPr>
              <w:tab/>
            </w:r>
            <w:r w:rsidR="00F906B6" w:rsidRPr="00EC23D2">
              <w:rPr>
                <w:rStyle w:val="Hyperlink"/>
                <w:noProof/>
                <w:lang w:eastAsia="bg-BG"/>
              </w:rPr>
              <w:t>Оценителни таблици</w:t>
            </w:r>
            <w:r w:rsidR="00F906B6">
              <w:rPr>
                <w:noProof/>
                <w:webHidden/>
              </w:rPr>
              <w:tab/>
            </w:r>
            <w:r w:rsidR="00F906B6">
              <w:rPr>
                <w:noProof/>
                <w:webHidden/>
              </w:rPr>
              <w:fldChar w:fldCharType="begin"/>
            </w:r>
            <w:r w:rsidR="00F906B6">
              <w:rPr>
                <w:noProof/>
                <w:webHidden/>
              </w:rPr>
              <w:instrText xml:space="preserve"> PAGEREF _Toc140150224 \h </w:instrText>
            </w:r>
            <w:r w:rsidR="00F906B6">
              <w:rPr>
                <w:noProof/>
                <w:webHidden/>
              </w:rPr>
            </w:r>
            <w:r w:rsidR="00F906B6">
              <w:rPr>
                <w:noProof/>
                <w:webHidden/>
              </w:rPr>
              <w:fldChar w:fldCharType="separate"/>
            </w:r>
            <w:r w:rsidR="00F906B6">
              <w:rPr>
                <w:noProof/>
                <w:webHidden/>
              </w:rPr>
              <w:t>169</w:t>
            </w:r>
            <w:r w:rsidR="00F906B6">
              <w:rPr>
                <w:noProof/>
                <w:webHidden/>
              </w:rPr>
              <w:fldChar w:fldCharType="end"/>
            </w:r>
          </w:hyperlink>
        </w:p>
        <w:p w14:paraId="32EB7D14" w14:textId="496D61F8" w:rsidR="00F906B6" w:rsidRDefault="006035A9">
          <w:pPr>
            <w:pStyle w:val="TOC3"/>
            <w:tabs>
              <w:tab w:val="left" w:pos="1821"/>
              <w:tab w:val="right" w:leader="dot" w:pos="9487"/>
            </w:tabs>
            <w:rPr>
              <w:rFonts w:eastAsiaTheme="minorEastAsia" w:cstheme="minorBidi"/>
              <w:noProof/>
              <w:sz w:val="22"/>
              <w:szCs w:val="22"/>
              <w:lang w:eastAsia="bg-BG"/>
            </w:rPr>
          </w:pPr>
          <w:hyperlink w:anchor="_Toc140150225" w:history="1">
            <w:r w:rsidR="00F906B6" w:rsidRPr="00EC23D2">
              <w:rPr>
                <w:rStyle w:val="Hyperlink"/>
                <w:noProof/>
                <w:lang w:eastAsia="bg-BG"/>
              </w:rPr>
              <w:t>18.14.</w:t>
            </w:r>
            <w:r w:rsidR="00F906B6">
              <w:rPr>
                <w:rFonts w:eastAsiaTheme="minorEastAsia" w:cstheme="minorBidi"/>
                <w:noProof/>
                <w:sz w:val="22"/>
                <w:szCs w:val="22"/>
                <w:lang w:eastAsia="bg-BG"/>
              </w:rPr>
              <w:tab/>
            </w:r>
            <w:r w:rsidR="00F906B6" w:rsidRPr="00EC23D2">
              <w:rPr>
                <w:rStyle w:val="Hyperlink"/>
                <w:noProof/>
                <w:lang w:eastAsia="bg-BG"/>
              </w:rPr>
              <w:t>Доклад на оценителна комисия за извършена оценка на проектно предложение</w:t>
            </w:r>
            <w:r w:rsidR="00F906B6">
              <w:rPr>
                <w:noProof/>
                <w:webHidden/>
              </w:rPr>
              <w:tab/>
            </w:r>
            <w:r w:rsidR="00F906B6">
              <w:rPr>
                <w:noProof/>
                <w:webHidden/>
              </w:rPr>
              <w:fldChar w:fldCharType="begin"/>
            </w:r>
            <w:r w:rsidR="00F906B6">
              <w:rPr>
                <w:noProof/>
                <w:webHidden/>
              </w:rPr>
              <w:instrText xml:space="preserve"> PAGEREF _Toc140150225 \h </w:instrText>
            </w:r>
            <w:r w:rsidR="00F906B6">
              <w:rPr>
                <w:noProof/>
                <w:webHidden/>
              </w:rPr>
            </w:r>
            <w:r w:rsidR="00F906B6">
              <w:rPr>
                <w:noProof/>
                <w:webHidden/>
              </w:rPr>
              <w:fldChar w:fldCharType="separate"/>
            </w:r>
            <w:r w:rsidR="00F906B6">
              <w:rPr>
                <w:noProof/>
                <w:webHidden/>
              </w:rPr>
              <w:t>170</w:t>
            </w:r>
            <w:r w:rsidR="00F906B6">
              <w:rPr>
                <w:noProof/>
                <w:webHidden/>
              </w:rPr>
              <w:fldChar w:fldCharType="end"/>
            </w:r>
          </w:hyperlink>
        </w:p>
        <w:p w14:paraId="0F2A3200" w14:textId="30427F0F" w:rsidR="00F906B6" w:rsidRDefault="006035A9">
          <w:pPr>
            <w:pStyle w:val="TOC2"/>
            <w:rPr>
              <w:rFonts w:asciiTheme="minorHAnsi" w:eastAsiaTheme="minorEastAsia" w:hAnsiTheme="minorHAnsi" w:cstheme="minorBidi"/>
              <w:iCs w:val="0"/>
              <w:noProof/>
              <w:sz w:val="22"/>
              <w:szCs w:val="22"/>
              <w:lang w:eastAsia="bg-BG"/>
            </w:rPr>
          </w:pPr>
          <w:hyperlink w:anchor="_Toc140150226" w:history="1">
            <w:r w:rsidR="00F906B6" w:rsidRPr="00EC23D2">
              <w:rPr>
                <w:rStyle w:val="Hyperlink"/>
                <w:noProof/>
              </w:rPr>
              <w:t>19.</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ПРЕДОСТАВЯНЕ НА БЕЗВЪЗМЕЗДНА ФИНАНСОВА ПОМОЩ</w:t>
            </w:r>
            <w:r w:rsidR="00F906B6">
              <w:rPr>
                <w:noProof/>
                <w:webHidden/>
              </w:rPr>
              <w:tab/>
            </w:r>
            <w:r w:rsidR="00F906B6">
              <w:rPr>
                <w:noProof/>
                <w:webHidden/>
              </w:rPr>
              <w:fldChar w:fldCharType="begin"/>
            </w:r>
            <w:r w:rsidR="00F906B6">
              <w:rPr>
                <w:noProof/>
                <w:webHidden/>
              </w:rPr>
              <w:instrText xml:space="preserve"> PAGEREF _Toc140150226 \h </w:instrText>
            </w:r>
            <w:r w:rsidR="00F906B6">
              <w:rPr>
                <w:noProof/>
                <w:webHidden/>
              </w:rPr>
            </w:r>
            <w:r w:rsidR="00F906B6">
              <w:rPr>
                <w:noProof/>
                <w:webHidden/>
              </w:rPr>
              <w:fldChar w:fldCharType="separate"/>
            </w:r>
            <w:r w:rsidR="00F906B6">
              <w:rPr>
                <w:noProof/>
                <w:webHidden/>
              </w:rPr>
              <w:t>172</w:t>
            </w:r>
            <w:r w:rsidR="00F906B6">
              <w:rPr>
                <w:noProof/>
                <w:webHidden/>
              </w:rPr>
              <w:fldChar w:fldCharType="end"/>
            </w:r>
          </w:hyperlink>
        </w:p>
        <w:p w14:paraId="60CCD349" w14:textId="2CFE41DF"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27" w:history="1">
            <w:r w:rsidR="00F906B6" w:rsidRPr="00EC23D2">
              <w:rPr>
                <w:rStyle w:val="Hyperlink"/>
                <w:noProof/>
                <w:lang w:eastAsia="bg-BG"/>
              </w:rPr>
              <w:t>19.1.</w:t>
            </w:r>
            <w:r w:rsidR="00F906B6">
              <w:rPr>
                <w:rFonts w:eastAsiaTheme="minorEastAsia" w:cstheme="minorBidi"/>
                <w:noProof/>
                <w:sz w:val="22"/>
                <w:szCs w:val="22"/>
                <w:lang w:eastAsia="bg-BG"/>
              </w:rPr>
              <w:tab/>
            </w:r>
            <w:r w:rsidR="00F906B6" w:rsidRPr="00EC23D2">
              <w:rPr>
                <w:rStyle w:val="Hyperlink"/>
                <w:noProof/>
                <w:lang w:eastAsia="bg-BG"/>
              </w:rPr>
              <w:t>Изпращане на нотификация за „голям проект“ до Европейската комисия, след независим преглед на качеството от независими експерти</w:t>
            </w:r>
            <w:r w:rsidR="00F906B6">
              <w:rPr>
                <w:noProof/>
                <w:webHidden/>
              </w:rPr>
              <w:tab/>
            </w:r>
            <w:r w:rsidR="00F906B6">
              <w:rPr>
                <w:noProof/>
                <w:webHidden/>
              </w:rPr>
              <w:fldChar w:fldCharType="begin"/>
            </w:r>
            <w:r w:rsidR="00F906B6">
              <w:rPr>
                <w:noProof/>
                <w:webHidden/>
              </w:rPr>
              <w:instrText xml:space="preserve"> PAGEREF _Toc140150227 \h </w:instrText>
            </w:r>
            <w:r w:rsidR="00F906B6">
              <w:rPr>
                <w:noProof/>
                <w:webHidden/>
              </w:rPr>
            </w:r>
            <w:r w:rsidR="00F906B6">
              <w:rPr>
                <w:noProof/>
                <w:webHidden/>
              </w:rPr>
              <w:fldChar w:fldCharType="separate"/>
            </w:r>
            <w:r w:rsidR="00F906B6">
              <w:rPr>
                <w:noProof/>
                <w:webHidden/>
              </w:rPr>
              <w:t>172</w:t>
            </w:r>
            <w:r w:rsidR="00F906B6">
              <w:rPr>
                <w:noProof/>
                <w:webHidden/>
              </w:rPr>
              <w:fldChar w:fldCharType="end"/>
            </w:r>
          </w:hyperlink>
        </w:p>
        <w:p w14:paraId="2CD27495" w14:textId="4E06940C"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28" w:history="1">
            <w:r w:rsidR="00F906B6" w:rsidRPr="00EC23D2">
              <w:rPr>
                <w:rStyle w:val="Hyperlink"/>
                <w:noProof/>
                <w:lang w:eastAsia="bg-BG"/>
              </w:rPr>
              <w:t>19.2.</w:t>
            </w:r>
            <w:r w:rsidR="00F906B6">
              <w:rPr>
                <w:rFonts w:eastAsiaTheme="minorEastAsia" w:cstheme="minorBidi"/>
                <w:noProof/>
                <w:sz w:val="22"/>
                <w:szCs w:val="22"/>
                <w:lang w:eastAsia="bg-BG"/>
              </w:rPr>
              <w:tab/>
            </w:r>
            <w:r w:rsidR="00F906B6" w:rsidRPr="00EC23D2">
              <w:rPr>
                <w:rStyle w:val="Hyperlink"/>
                <w:noProof/>
                <w:lang w:eastAsia="bg-BG"/>
              </w:rPr>
              <w:t>Изпращане на ФК за „голям проект“ за одобрение от Европейската комисия</w:t>
            </w:r>
            <w:r w:rsidR="00F906B6">
              <w:rPr>
                <w:noProof/>
                <w:webHidden/>
              </w:rPr>
              <w:tab/>
            </w:r>
            <w:r w:rsidR="00F906B6">
              <w:rPr>
                <w:noProof/>
                <w:webHidden/>
              </w:rPr>
              <w:fldChar w:fldCharType="begin"/>
            </w:r>
            <w:r w:rsidR="00F906B6">
              <w:rPr>
                <w:noProof/>
                <w:webHidden/>
              </w:rPr>
              <w:instrText xml:space="preserve"> PAGEREF _Toc140150228 \h </w:instrText>
            </w:r>
            <w:r w:rsidR="00F906B6">
              <w:rPr>
                <w:noProof/>
                <w:webHidden/>
              </w:rPr>
            </w:r>
            <w:r w:rsidR="00F906B6">
              <w:rPr>
                <w:noProof/>
                <w:webHidden/>
              </w:rPr>
              <w:fldChar w:fldCharType="separate"/>
            </w:r>
            <w:r w:rsidR="00F906B6">
              <w:rPr>
                <w:noProof/>
                <w:webHidden/>
              </w:rPr>
              <w:t>172</w:t>
            </w:r>
            <w:r w:rsidR="00F906B6">
              <w:rPr>
                <w:noProof/>
                <w:webHidden/>
              </w:rPr>
              <w:fldChar w:fldCharType="end"/>
            </w:r>
          </w:hyperlink>
        </w:p>
        <w:p w14:paraId="20CF4289" w14:textId="2FBA9472"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29" w:history="1">
            <w:r w:rsidR="00F906B6" w:rsidRPr="00EC23D2">
              <w:rPr>
                <w:rStyle w:val="Hyperlink"/>
                <w:noProof/>
              </w:rPr>
              <w:t>19.3.</w:t>
            </w:r>
            <w:r w:rsidR="00F906B6">
              <w:rPr>
                <w:rFonts w:eastAsiaTheme="minorEastAsia" w:cstheme="minorBidi"/>
                <w:noProof/>
                <w:sz w:val="22"/>
                <w:szCs w:val="22"/>
                <w:lang w:eastAsia="bg-BG"/>
              </w:rPr>
              <w:tab/>
            </w:r>
            <w:r w:rsidR="00F906B6" w:rsidRPr="00EC23D2">
              <w:rPr>
                <w:rStyle w:val="Hyperlink"/>
                <w:noProof/>
                <w:lang w:eastAsia="bg-BG"/>
              </w:rPr>
              <w:t>Вземане на Решение на Ръководителя на УО на ОПТТИ за о</w:t>
            </w:r>
            <w:r w:rsidR="00F906B6" w:rsidRPr="00EC23D2">
              <w:rPr>
                <w:rStyle w:val="Hyperlink"/>
                <w:noProof/>
              </w:rPr>
              <w:t>добрение/ отхвърляне на проектно предложение</w:t>
            </w:r>
            <w:r w:rsidR="00F906B6">
              <w:rPr>
                <w:noProof/>
                <w:webHidden/>
              </w:rPr>
              <w:tab/>
            </w:r>
            <w:r w:rsidR="00F906B6">
              <w:rPr>
                <w:noProof/>
                <w:webHidden/>
              </w:rPr>
              <w:fldChar w:fldCharType="begin"/>
            </w:r>
            <w:r w:rsidR="00F906B6">
              <w:rPr>
                <w:noProof/>
                <w:webHidden/>
              </w:rPr>
              <w:instrText xml:space="preserve"> PAGEREF _Toc140150229 \h </w:instrText>
            </w:r>
            <w:r w:rsidR="00F906B6">
              <w:rPr>
                <w:noProof/>
                <w:webHidden/>
              </w:rPr>
            </w:r>
            <w:r w:rsidR="00F906B6">
              <w:rPr>
                <w:noProof/>
                <w:webHidden/>
              </w:rPr>
              <w:fldChar w:fldCharType="separate"/>
            </w:r>
            <w:r w:rsidR="00F906B6">
              <w:rPr>
                <w:noProof/>
                <w:webHidden/>
              </w:rPr>
              <w:t>174</w:t>
            </w:r>
            <w:r w:rsidR="00F906B6">
              <w:rPr>
                <w:noProof/>
                <w:webHidden/>
              </w:rPr>
              <w:fldChar w:fldCharType="end"/>
            </w:r>
          </w:hyperlink>
        </w:p>
        <w:p w14:paraId="4A384368" w14:textId="287D1E0B"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30" w:history="1">
            <w:r w:rsidR="00F906B6" w:rsidRPr="00EC23D2">
              <w:rPr>
                <w:rStyle w:val="Hyperlink"/>
                <w:noProof/>
                <w:lang w:eastAsia="bg-BG"/>
              </w:rPr>
              <w:t>19.4.</w:t>
            </w:r>
            <w:r w:rsidR="00F906B6">
              <w:rPr>
                <w:rFonts w:eastAsiaTheme="minorEastAsia" w:cstheme="minorBidi"/>
                <w:noProof/>
                <w:sz w:val="22"/>
                <w:szCs w:val="22"/>
                <w:lang w:eastAsia="bg-BG"/>
              </w:rPr>
              <w:tab/>
            </w:r>
            <w:r w:rsidR="00F906B6" w:rsidRPr="00EC23D2">
              <w:rPr>
                <w:rStyle w:val="Hyperlink"/>
                <w:noProof/>
                <w:lang w:eastAsia="bg-BG"/>
              </w:rPr>
              <w:t>Административен договор/ Заповед за предоставяне на БФП</w:t>
            </w:r>
            <w:r w:rsidR="00F906B6">
              <w:rPr>
                <w:noProof/>
                <w:webHidden/>
              </w:rPr>
              <w:tab/>
            </w:r>
            <w:r w:rsidR="00F906B6">
              <w:rPr>
                <w:noProof/>
                <w:webHidden/>
              </w:rPr>
              <w:fldChar w:fldCharType="begin"/>
            </w:r>
            <w:r w:rsidR="00F906B6">
              <w:rPr>
                <w:noProof/>
                <w:webHidden/>
              </w:rPr>
              <w:instrText xml:space="preserve"> PAGEREF _Toc140150230 \h </w:instrText>
            </w:r>
            <w:r w:rsidR="00F906B6">
              <w:rPr>
                <w:noProof/>
                <w:webHidden/>
              </w:rPr>
            </w:r>
            <w:r w:rsidR="00F906B6">
              <w:rPr>
                <w:noProof/>
                <w:webHidden/>
              </w:rPr>
              <w:fldChar w:fldCharType="separate"/>
            </w:r>
            <w:r w:rsidR="00F906B6">
              <w:rPr>
                <w:noProof/>
                <w:webHidden/>
              </w:rPr>
              <w:t>175</w:t>
            </w:r>
            <w:r w:rsidR="00F906B6">
              <w:rPr>
                <w:noProof/>
                <w:webHidden/>
              </w:rPr>
              <w:fldChar w:fldCharType="end"/>
            </w:r>
          </w:hyperlink>
        </w:p>
        <w:p w14:paraId="6B7ECB1D" w14:textId="5D4392A9"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31" w:history="1">
            <w:r w:rsidR="00F906B6" w:rsidRPr="00EC23D2">
              <w:rPr>
                <w:rStyle w:val="Hyperlink"/>
                <w:noProof/>
                <w:lang w:eastAsia="bg-BG"/>
              </w:rPr>
              <w:t>19.5.</w:t>
            </w:r>
            <w:r w:rsidR="00F906B6">
              <w:rPr>
                <w:rFonts w:eastAsiaTheme="minorEastAsia" w:cstheme="minorBidi"/>
                <w:noProof/>
                <w:sz w:val="22"/>
                <w:szCs w:val="22"/>
                <w:lang w:eastAsia="bg-BG"/>
              </w:rPr>
              <w:tab/>
            </w:r>
            <w:r w:rsidR="00F906B6" w:rsidRPr="00EC23D2">
              <w:rPr>
                <w:rStyle w:val="Hyperlink"/>
                <w:noProof/>
                <w:lang w:eastAsia="bg-BG"/>
              </w:rPr>
              <w:t>Изменение на административен договор/заповед за предоставяне на безвъзмездна финансова помощ</w:t>
            </w:r>
            <w:r w:rsidR="00F906B6">
              <w:rPr>
                <w:noProof/>
                <w:webHidden/>
              </w:rPr>
              <w:tab/>
            </w:r>
            <w:r w:rsidR="00F906B6">
              <w:rPr>
                <w:noProof/>
                <w:webHidden/>
              </w:rPr>
              <w:fldChar w:fldCharType="begin"/>
            </w:r>
            <w:r w:rsidR="00F906B6">
              <w:rPr>
                <w:noProof/>
                <w:webHidden/>
              </w:rPr>
              <w:instrText xml:space="preserve"> PAGEREF _Toc140150231 \h </w:instrText>
            </w:r>
            <w:r w:rsidR="00F906B6">
              <w:rPr>
                <w:noProof/>
                <w:webHidden/>
              </w:rPr>
            </w:r>
            <w:r w:rsidR="00F906B6">
              <w:rPr>
                <w:noProof/>
                <w:webHidden/>
              </w:rPr>
              <w:fldChar w:fldCharType="separate"/>
            </w:r>
            <w:r w:rsidR="00F906B6">
              <w:rPr>
                <w:noProof/>
                <w:webHidden/>
              </w:rPr>
              <w:t>179</w:t>
            </w:r>
            <w:r w:rsidR="00F906B6">
              <w:rPr>
                <w:noProof/>
                <w:webHidden/>
              </w:rPr>
              <w:fldChar w:fldCharType="end"/>
            </w:r>
          </w:hyperlink>
        </w:p>
        <w:p w14:paraId="7A430BAC" w14:textId="1B538673"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32" w:history="1">
            <w:r w:rsidR="00F906B6" w:rsidRPr="00EC23D2">
              <w:rPr>
                <w:rStyle w:val="Hyperlink"/>
                <w:noProof/>
                <w:lang w:eastAsia="bg-BG"/>
              </w:rPr>
              <w:t>19.6.</w:t>
            </w:r>
            <w:r w:rsidR="00F906B6">
              <w:rPr>
                <w:rFonts w:eastAsiaTheme="minorEastAsia" w:cstheme="minorBidi"/>
                <w:noProof/>
                <w:sz w:val="22"/>
                <w:szCs w:val="22"/>
                <w:lang w:eastAsia="bg-BG"/>
              </w:rPr>
              <w:tab/>
            </w:r>
            <w:r w:rsidR="00F906B6" w:rsidRPr="00EC23D2">
              <w:rPr>
                <w:rStyle w:val="Hyperlink"/>
                <w:noProof/>
                <w:lang w:eastAsia="bg-BG"/>
              </w:rPr>
              <w:t>Приключване на Административен договор/Заповед за предоставяне на безвъзмездна финансова помощ</w:t>
            </w:r>
            <w:r w:rsidR="00F906B6">
              <w:rPr>
                <w:noProof/>
                <w:webHidden/>
              </w:rPr>
              <w:tab/>
            </w:r>
            <w:r w:rsidR="00F906B6">
              <w:rPr>
                <w:noProof/>
                <w:webHidden/>
              </w:rPr>
              <w:fldChar w:fldCharType="begin"/>
            </w:r>
            <w:r w:rsidR="00F906B6">
              <w:rPr>
                <w:noProof/>
                <w:webHidden/>
              </w:rPr>
              <w:instrText xml:space="preserve"> PAGEREF _Toc140150232 \h </w:instrText>
            </w:r>
            <w:r w:rsidR="00F906B6">
              <w:rPr>
                <w:noProof/>
                <w:webHidden/>
              </w:rPr>
            </w:r>
            <w:r w:rsidR="00F906B6">
              <w:rPr>
                <w:noProof/>
                <w:webHidden/>
              </w:rPr>
              <w:fldChar w:fldCharType="separate"/>
            </w:r>
            <w:r w:rsidR="00F906B6">
              <w:rPr>
                <w:noProof/>
                <w:webHidden/>
              </w:rPr>
              <w:t>182</w:t>
            </w:r>
            <w:r w:rsidR="00F906B6">
              <w:rPr>
                <w:noProof/>
                <w:webHidden/>
              </w:rPr>
              <w:fldChar w:fldCharType="end"/>
            </w:r>
          </w:hyperlink>
        </w:p>
        <w:p w14:paraId="7923B44D" w14:textId="2DFE3D73" w:rsidR="00F906B6" w:rsidRDefault="006035A9">
          <w:pPr>
            <w:pStyle w:val="TOC1"/>
            <w:tabs>
              <w:tab w:val="right" w:leader="dot" w:pos="9487"/>
            </w:tabs>
            <w:rPr>
              <w:rFonts w:eastAsiaTheme="minorEastAsia" w:cstheme="minorBidi"/>
              <w:b w:val="0"/>
              <w:bCs w:val="0"/>
              <w:noProof/>
              <w:sz w:val="22"/>
              <w:szCs w:val="22"/>
              <w:lang w:eastAsia="bg-BG"/>
            </w:rPr>
          </w:pPr>
          <w:hyperlink w:anchor="_Toc140150233" w:history="1">
            <w:r w:rsidR="00F906B6" w:rsidRPr="00EC23D2">
              <w:rPr>
                <w:rStyle w:val="Hyperlink"/>
                <w:rFonts w:ascii="Times New Roman" w:hAnsi="Times New Roman"/>
                <w:noProof/>
                <w:lang w:eastAsia="bg-BG"/>
              </w:rPr>
              <w:t>ГЛАВА 4 ОБЩЕСТВЕНИ ПОРЪЧКИ</w:t>
            </w:r>
            <w:r w:rsidR="00F906B6">
              <w:rPr>
                <w:noProof/>
                <w:webHidden/>
              </w:rPr>
              <w:tab/>
            </w:r>
            <w:r w:rsidR="00F906B6">
              <w:rPr>
                <w:noProof/>
                <w:webHidden/>
              </w:rPr>
              <w:fldChar w:fldCharType="begin"/>
            </w:r>
            <w:r w:rsidR="00F906B6">
              <w:rPr>
                <w:noProof/>
                <w:webHidden/>
              </w:rPr>
              <w:instrText xml:space="preserve"> PAGEREF _Toc140150233 \h </w:instrText>
            </w:r>
            <w:r w:rsidR="00F906B6">
              <w:rPr>
                <w:noProof/>
                <w:webHidden/>
              </w:rPr>
            </w:r>
            <w:r w:rsidR="00F906B6">
              <w:rPr>
                <w:noProof/>
                <w:webHidden/>
              </w:rPr>
              <w:fldChar w:fldCharType="separate"/>
            </w:r>
            <w:r w:rsidR="00F906B6">
              <w:rPr>
                <w:noProof/>
                <w:webHidden/>
              </w:rPr>
              <w:t>184</w:t>
            </w:r>
            <w:r w:rsidR="00F906B6">
              <w:rPr>
                <w:noProof/>
                <w:webHidden/>
              </w:rPr>
              <w:fldChar w:fldCharType="end"/>
            </w:r>
          </w:hyperlink>
        </w:p>
        <w:p w14:paraId="69C8E0B0" w14:textId="2773C99E" w:rsidR="00F906B6" w:rsidRDefault="006035A9">
          <w:pPr>
            <w:pStyle w:val="TOC2"/>
            <w:rPr>
              <w:rFonts w:asciiTheme="minorHAnsi" w:eastAsiaTheme="minorEastAsia" w:hAnsiTheme="minorHAnsi" w:cstheme="minorBidi"/>
              <w:iCs w:val="0"/>
              <w:noProof/>
              <w:sz w:val="22"/>
              <w:szCs w:val="22"/>
              <w:lang w:eastAsia="bg-BG"/>
            </w:rPr>
          </w:pPr>
          <w:hyperlink w:anchor="_Toc140150234" w:history="1">
            <w:r w:rsidR="00F906B6" w:rsidRPr="00EC23D2">
              <w:rPr>
                <w:rStyle w:val="Hyperlink"/>
                <w:noProof/>
              </w:rPr>
              <w:t>20.</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Нормативна уредба в областта на възлагането на обществените поръчки</w:t>
            </w:r>
            <w:r w:rsidR="00F906B6">
              <w:rPr>
                <w:noProof/>
                <w:webHidden/>
              </w:rPr>
              <w:tab/>
            </w:r>
            <w:r w:rsidR="00F906B6">
              <w:rPr>
                <w:noProof/>
                <w:webHidden/>
              </w:rPr>
              <w:fldChar w:fldCharType="begin"/>
            </w:r>
            <w:r w:rsidR="00F906B6">
              <w:rPr>
                <w:noProof/>
                <w:webHidden/>
              </w:rPr>
              <w:instrText xml:space="preserve"> PAGEREF _Toc140150234 \h </w:instrText>
            </w:r>
            <w:r w:rsidR="00F906B6">
              <w:rPr>
                <w:noProof/>
                <w:webHidden/>
              </w:rPr>
            </w:r>
            <w:r w:rsidR="00F906B6">
              <w:rPr>
                <w:noProof/>
                <w:webHidden/>
              </w:rPr>
              <w:fldChar w:fldCharType="separate"/>
            </w:r>
            <w:r w:rsidR="00F906B6">
              <w:rPr>
                <w:noProof/>
                <w:webHidden/>
              </w:rPr>
              <w:t>184</w:t>
            </w:r>
            <w:r w:rsidR="00F906B6">
              <w:rPr>
                <w:noProof/>
                <w:webHidden/>
              </w:rPr>
              <w:fldChar w:fldCharType="end"/>
            </w:r>
          </w:hyperlink>
        </w:p>
        <w:p w14:paraId="5A609D5F" w14:textId="243F65FA" w:rsidR="00F906B6" w:rsidRDefault="006035A9">
          <w:pPr>
            <w:pStyle w:val="TOC2"/>
            <w:rPr>
              <w:rFonts w:asciiTheme="minorHAnsi" w:eastAsiaTheme="minorEastAsia" w:hAnsiTheme="minorHAnsi" w:cstheme="minorBidi"/>
              <w:iCs w:val="0"/>
              <w:noProof/>
              <w:sz w:val="22"/>
              <w:szCs w:val="22"/>
              <w:lang w:eastAsia="bg-BG"/>
            </w:rPr>
          </w:pPr>
          <w:hyperlink w:anchor="_Toc140150235" w:history="1">
            <w:r w:rsidR="00F906B6" w:rsidRPr="00EC23D2">
              <w:rPr>
                <w:rStyle w:val="Hyperlink"/>
                <w:noProof/>
              </w:rPr>
              <w:t>21.</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Осъществяване на контрол от Управляващия орган по Оперативна програма „Транспорт и транспортна инфраструктура”</w:t>
            </w:r>
            <w:r w:rsidR="00F906B6">
              <w:rPr>
                <w:noProof/>
                <w:webHidden/>
              </w:rPr>
              <w:tab/>
            </w:r>
            <w:r w:rsidR="00F906B6">
              <w:rPr>
                <w:noProof/>
                <w:webHidden/>
              </w:rPr>
              <w:fldChar w:fldCharType="begin"/>
            </w:r>
            <w:r w:rsidR="00F906B6">
              <w:rPr>
                <w:noProof/>
                <w:webHidden/>
              </w:rPr>
              <w:instrText xml:space="preserve"> PAGEREF _Toc140150235 \h </w:instrText>
            </w:r>
            <w:r w:rsidR="00F906B6">
              <w:rPr>
                <w:noProof/>
                <w:webHidden/>
              </w:rPr>
            </w:r>
            <w:r w:rsidR="00F906B6">
              <w:rPr>
                <w:noProof/>
                <w:webHidden/>
              </w:rPr>
              <w:fldChar w:fldCharType="separate"/>
            </w:r>
            <w:r w:rsidR="00F906B6">
              <w:rPr>
                <w:noProof/>
                <w:webHidden/>
              </w:rPr>
              <w:t>185</w:t>
            </w:r>
            <w:r w:rsidR="00F906B6">
              <w:rPr>
                <w:noProof/>
                <w:webHidden/>
              </w:rPr>
              <w:fldChar w:fldCharType="end"/>
            </w:r>
          </w:hyperlink>
        </w:p>
        <w:p w14:paraId="478232C2" w14:textId="481B66A0" w:rsidR="00F906B6" w:rsidRDefault="006035A9">
          <w:pPr>
            <w:pStyle w:val="TOC2"/>
            <w:rPr>
              <w:rFonts w:asciiTheme="minorHAnsi" w:eastAsiaTheme="minorEastAsia" w:hAnsiTheme="minorHAnsi" w:cstheme="minorBidi"/>
              <w:iCs w:val="0"/>
              <w:noProof/>
              <w:sz w:val="22"/>
              <w:szCs w:val="22"/>
              <w:lang w:eastAsia="bg-BG"/>
            </w:rPr>
          </w:pPr>
          <w:hyperlink w:anchor="_Toc140150236" w:history="1">
            <w:r w:rsidR="00F906B6" w:rsidRPr="00EC23D2">
              <w:rPr>
                <w:rStyle w:val="Hyperlink"/>
                <w:noProof/>
              </w:rPr>
              <w:t>22.</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Контрол върху документация от проведена обществена поръчка</w:t>
            </w:r>
            <w:r w:rsidR="00F906B6">
              <w:rPr>
                <w:noProof/>
                <w:webHidden/>
              </w:rPr>
              <w:tab/>
            </w:r>
            <w:r w:rsidR="00F906B6">
              <w:rPr>
                <w:noProof/>
                <w:webHidden/>
              </w:rPr>
              <w:fldChar w:fldCharType="begin"/>
            </w:r>
            <w:r w:rsidR="00F906B6">
              <w:rPr>
                <w:noProof/>
                <w:webHidden/>
              </w:rPr>
              <w:instrText xml:space="preserve"> PAGEREF _Toc140150236 \h </w:instrText>
            </w:r>
            <w:r w:rsidR="00F906B6">
              <w:rPr>
                <w:noProof/>
                <w:webHidden/>
              </w:rPr>
            </w:r>
            <w:r w:rsidR="00F906B6">
              <w:rPr>
                <w:noProof/>
                <w:webHidden/>
              </w:rPr>
              <w:fldChar w:fldCharType="separate"/>
            </w:r>
            <w:r w:rsidR="00F906B6">
              <w:rPr>
                <w:noProof/>
                <w:webHidden/>
              </w:rPr>
              <w:t>185</w:t>
            </w:r>
            <w:r w:rsidR="00F906B6">
              <w:rPr>
                <w:noProof/>
                <w:webHidden/>
              </w:rPr>
              <w:fldChar w:fldCharType="end"/>
            </w:r>
          </w:hyperlink>
        </w:p>
        <w:p w14:paraId="68E20FDF" w14:textId="0B89B173"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37" w:history="1">
            <w:r w:rsidR="00F906B6" w:rsidRPr="00EC23D2">
              <w:rPr>
                <w:rStyle w:val="Hyperlink"/>
                <w:noProof/>
              </w:rPr>
              <w:t>22.1.</w:t>
            </w:r>
            <w:r w:rsidR="00F906B6">
              <w:rPr>
                <w:rFonts w:eastAsiaTheme="minorEastAsia" w:cstheme="minorBidi"/>
                <w:noProof/>
                <w:sz w:val="22"/>
                <w:szCs w:val="22"/>
                <w:lang w:eastAsia="bg-BG"/>
              </w:rPr>
              <w:tab/>
            </w:r>
            <w:r w:rsidR="00F906B6" w:rsidRPr="00EC23D2">
              <w:rPr>
                <w:rStyle w:val="Hyperlink"/>
                <w:noProof/>
              </w:rPr>
              <w:t>Контрол за разделяне на поръчка под стойностните прагове на ЗОП</w:t>
            </w:r>
            <w:r w:rsidR="00F906B6">
              <w:rPr>
                <w:noProof/>
                <w:webHidden/>
              </w:rPr>
              <w:tab/>
            </w:r>
            <w:r w:rsidR="00F906B6">
              <w:rPr>
                <w:noProof/>
                <w:webHidden/>
              </w:rPr>
              <w:fldChar w:fldCharType="begin"/>
            </w:r>
            <w:r w:rsidR="00F906B6">
              <w:rPr>
                <w:noProof/>
                <w:webHidden/>
              </w:rPr>
              <w:instrText xml:space="preserve"> PAGEREF _Toc140150237 \h </w:instrText>
            </w:r>
            <w:r w:rsidR="00F906B6">
              <w:rPr>
                <w:noProof/>
                <w:webHidden/>
              </w:rPr>
            </w:r>
            <w:r w:rsidR="00F906B6">
              <w:rPr>
                <w:noProof/>
                <w:webHidden/>
              </w:rPr>
              <w:fldChar w:fldCharType="separate"/>
            </w:r>
            <w:r w:rsidR="00F906B6">
              <w:rPr>
                <w:noProof/>
                <w:webHidden/>
              </w:rPr>
              <w:t>187</w:t>
            </w:r>
            <w:r w:rsidR="00F906B6">
              <w:rPr>
                <w:noProof/>
                <w:webHidden/>
              </w:rPr>
              <w:fldChar w:fldCharType="end"/>
            </w:r>
          </w:hyperlink>
        </w:p>
        <w:p w14:paraId="4387BE38" w14:textId="3DD0FF83"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38" w:history="1">
            <w:r w:rsidR="00F906B6" w:rsidRPr="00EC23D2">
              <w:rPr>
                <w:rStyle w:val="Hyperlink"/>
                <w:noProof/>
              </w:rPr>
              <w:t>22.2.</w:t>
            </w:r>
            <w:r w:rsidR="00F906B6">
              <w:rPr>
                <w:rFonts w:eastAsiaTheme="minorEastAsia" w:cstheme="minorBidi"/>
                <w:noProof/>
                <w:sz w:val="22"/>
                <w:szCs w:val="22"/>
                <w:lang w:eastAsia="bg-BG"/>
              </w:rPr>
              <w:tab/>
            </w:r>
            <w:r w:rsidR="00F906B6" w:rsidRPr="00EC23D2">
              <w:rPr>
                <w:rStyle w:val="Hyperlink"/>
                <w:noProof/>
              </w:rPr>
              <w:t>Контрол от страна на УО на измененията на договор за обществена поръчка</w:t>
            </w:r>
            <w:r w:rsidR="00F906B6">
              <w:rPr>
                <w:noProof/>
                <w:webHidden/>
              </w:rPr>
              <w:tab/>
            </w:r>
            <w:r w:rsidR="00F906B6">
              <w:rPr>
                <w:noProof/>
                <w:webHidden/>
              </w:rPr>
              <w:fldChar w:fldCharType="begin"/>
            </w:r>
            <w:r w:rsidR="00F906B6">
              <w:rPr>
                <w:noProof/>
                <w:webHidden/>
              </w:rPr>
              <w:instrText xml:space="preserve"> PAGEREF _Toc140150238 \h </w:instrText>
            </w:r>
            <w:r w:rsidR="00F906B6">
              <w:rPr>
                <w:noProof/>
                <w:webHidden/>
              </w:rPr>
            </w:r>
            <w:r w:rsidR="00F906B6">
              <w:rPr>
                <w:noProof/>
                <w:webHidden/>
              </w:rPr>
              <w:fldChar w:fldCharType="separate"/>
            </w:r>
            <w:r w:rsidR="00F906B6">
              <w:rPr>
                <w:noProof/>
                <w:webHidden/>
              </w:rPr>
              <w:t>188</w:t>
            </w:r>
            <w:r w:rsidR="00F906B6">
              <w:rPr>
                <w:noProof/>
                <w:webHidden/>
              </w:rPr>
              <w:fldChar w:fldCharType="end"/>
            </w:r>
          </w:hyperlink>
        </w:p>
        <w:p w14:paraId="49994CE0" w14:textId="294BC17F"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39" w:history="1">
            <w:r w:rsidR="00F906B6" w:rsidRPr="00EC23D2">
              <w:rPr>
                <w:rStyle w:val="Hyperlink"/>
                <w:noProof/>
              </w:rPr>
              <w:t>22.3.</w:t>
            </w:r>
            <w:r w:rsidR="00F906B6">
              <w:rPr>
                <w:rFonts w:eastAsiaTheme="minorEastAsia" w:cstheme="minorBidi"/>
                <w:noProof/>
                <w:sz w:val="22"/>
                <w:szCs w:val="22"/>
                <w:lang w:eastAsia="bg-BG"/>
              </w:rPr>
              <w:tab/>
            </w:r>
            <w:r w:rsidR="00F906B6" w:rsidRPr="00EC23D2">
              <w:rPr>
                <w:rStyle w:val="Hyperlink"/>
                <w:noProof/>
              </w:rPr>
              <w:t>Избягване на конфликт на интереси в обществените поръчки</w:t>
            </w:r>
            <w:r w:rsidR="00F906B6">
              <w:rPr>
                <w:noProof/>
                <w:webHidden/>
              </w:rPr>
              <w:tab/>
            </w:r>
            <w:r w:rsidR="00F906B6">
              <w:rPr>
                <w:noProof/>
                <w:webHidden/>
              </w:rPr>
              <w:fldChar w:fldCharType="begin"/>
            </w:r>
            <w:r w:rsidR="00F906B6">
              <w:rPr>
                <w:noProof/>
                <w:webHidden/>
              </w:rPr>
              <w:instrText xml:space="preserve"> PAGEREF _Toc140150239 \h </w:instrText>
            </w:r>
            <w:r w:rsidR="00F906B6">
              <w:rPr>
                <w:noProof/>
                <w:webHidden/>
              </w:rPr>
            </w:r>
            <w:r w:rsidR="00F906B6">
              <w:rPr>
                <w:noProof/>
                <w:webHidden/>
              </w:rPr>
              <w:fldChar w:fldCharType="separate"/>
            </w:r>
            <w:r w:rsidR="00F906B6">
              <w:rPr>
                <w:noProof/>
                <w:webHidden/>
              </w:rPr>
              <w:t>189</w:t>
            </w:r>
            <w:r w:rsidR="00F906B6">
              <w:rPr>
                <w:noProof/>
                <w:webHidden/>
              </w:rPr>
              <w:fldChar w:fldCharType="end"/>
            </w:r>
          </w:hyperlink>
        </w:p>
        <w:p w14:paraId="192701BF" w14:textId="4BD43B6B" w:rsidR="00F906B6" w:rsidRDefault="006035A9">
          <w:pPr>
            <w:pStyle w:val="TOC3"/>
            <w:tabs>
              <w:tab w:val="left" w:pos="1881"/>
              <w:tab w:val="right" w:leader="dot" w:pos="9487"/>
            </w:tabs>
            <w:rPr>
              <w:rFonts w:eastAsiaTheme="minorEastAsia" w:cstheme="minorBidi"/>
              <w:noProof/>
              <w:sz w:val="22"/>
              <w:szCs w:val="22"/>
              <w:lang w:eastAsia="bg-BG"/>
            </w:rPr>
          </w:pPr>
          <w:hyperlink w:anchor="_Toc140150240" w:history="1">
            <w:r w:rsidR="00F906B6" w:rsidRPr="00EC23D2">
              <w:rPr>
                <w:rStyle w:val="Hyperlink"/>
                <w:noProof/>
              </w:rPr>
              <w:t>22.3.1.</w:t>
            </w:r>
            <w:r w:rsidR="00F906B6">
              <w:rPr>
                <w:rFonts w:eastAsiaTheme="minorEastAsia" w:cstheme="minorBidi"/>
                <w:noProof/>
                <w:sz w:val="22"/>
                <w:szCs w:val="22"/>
                <w:lang w:eastAsia="bg-BG"/>
              </w:rPr>
              <w:tab/>
            </w:r>
            <w:r w:rsidR="00F906B6" w:rsidRPr="00EC23D2">
              <w:rPr>
                <w:rStyle w:val="Hyperlink"/>
                <w:noProof/>
              </w:rPr>
              <w:t>Видове проверки</w:t>
            </w:r>
            <w:r w:rsidR="00F906B6">
              <w:rPr>
                <w:noProof/>
                <w:webHidden/>
              </w:rPr>
              <w:tab/>
            </w:r>
            <w:r w:rsidR="00F906B6">
              <w:rPr>
                <w:noProof/>
                <w:webHidden/>
              </w:rPr>
              <w:fldChar w:fldCharType="begin"/>
            </w:r>
            <w:r w:rsidR="00F906B6">
              <w:rPr>
                <w:noProof/>
                <w:webHidden/>
              </w:rPr>
              <w:instrText xml:space="preserve"> PAGEREF _Toc140150240 \h </w:instrText>
            </w:r>
            <w:r w:rsidR="00F906B6">
              <w:rPr>
                <w:noProof/>
                <w:webHidden/>
              </w:rPr>
            </w:r>
            <w:r w:rsidR="00F906B6">
              <w:rPr>
                <w:noProof/>
                <w:webHidden/>
              </w:rPr>
              <w:fldChar w:fldCharType="separate"/>
            </w:r>
            <w:r w:rsidR="00F906B6">
              <w:rPr>
                <w:noProof/>
                <w:webHidden/>
              </w:rPr>
              <w:t>189</w:t>
            </w:r>
            <w:r w:rsidR="00F906B6">
              <w:rPr>
                <w:noProof/>
                <w:webHidden/>
              </w:rPr>
              <w:fldChar w:fldCharType="end"/>
            </w:r>
          </w:hyperlink>
        </w:p>
        <w:p w14:paraId="087AC419" w14:textId="59334B3D" w:rsidR="00F906B6" w:rsidRDefault="006035A9">
          <w:pPr>
            <w:pStyle w:val="TOC3"/>
            <w:tabs>
              <w:tab w:val="left" w:pos="1881"/>
              <w:tab w:val="right" w:leader="dot" w:pos="9487"/>
            </w:tabs>
            <w:rPr>
              <w:rFonts w:eastAsiaTheme="minorEastAsia" w:cstheme="minorBidi"/>
              <w:noProof/>
              <w:sz w:val="22"/>
              <w:szCs w:val="22"/>
              <w:lang w:eastAsia="bg-BG"/>
            </w:rPr>
          </w:pPr>
          <w:hyperlink w:anchor="_Toc140150241" w:history="1">
            <w:r w:rsidR="00F906B6" w:rsidRPr="00EC23D2">
              <w:rPr>
                <w:rStyle w:val="Hyperlink"/>
                <w:noProof/>
              </w:rPr>
              <w:t>22.3.2.</w:t>
            </w:r>
            <w:r w:rsidR="00F906B6">
              <w:rPr>
                <w:rFonts w:eastAsiaTheme="minorEastAsia" w:cstheme="minorBidi"/>
                <w:noProof/>
                <w:sz w:val="22"/>
                <w:szCs w:val="22"/>
                <w:lang w:eastAsia="bg-BG"/>
              </w:rPr>
              <w:tab/>
            </w:r>
            <w:r w:rsidR="00F906B6" w:rsidRPr="00EC23D2">
              <w:rPr>
                <w:rStyle w:val="Hyperlink"/>
                <w:noProof/>
              </w:rPr>
              <w:t>Процедура по самоотвод на експерти, осъществяващи последващ контрол на ОП в УО</w:t>
            </w:r>
            <w:r w:rsidR="00F906B6">
              <w:rPr>
                <w:noProof/>
                <w:webHidden/>
              </w:rPr>
              <w:tab/>
            </w:r>
            <w:r w:rsidR="00F906B6">
              <w:rPr>
                <w:noProof/>
                <w:webHidden/>
              </w:rPr>
              <w:fldChar w:fldCharType="begin"/>
            </w:r>
            <w:r w:rsidR="00F906B6">
              <w:rPr>
                <w:noProof/>
                <w:webHidden/>
              </w:rPr>
              <w:instrText xml:space="preserve"> PAGEREF _Toc140150241 \h </w:instrText>
            </w:r>
            <w:r w:rsidR="00F906B6">
              <w:rPr>
                <w:noProof/>
                <w:webHidden/>
              </w:rPr>
            </w:r>
            <w:r w:rsidR="00F906B6">
              <w:rPr>
                <w:noProof/>
                <w:webHidden/>
              </w:rPr>
              <w:fldChar w:fldCharType="separate"/>
            </w:r>
            <w:r w:rsidR="00F906B6">
              <w:rPr>
                <w:noProof/>
                <w:webHidden/>
              </w:rPr>
              <w:t>189</w:t>
            </w:r>
            <w:r w:rsidR="00F906B6">
              <w:rPr>
                <w:noProof/>
                <w:webHidden/>
              </w:rPr>
              <w:fldChar w:fldCharType="end"/>
            </w:r>
          </w:hyperlink>
        </w:p>
        <w:p w14:paraId="68C1A009" w14:textId="39253993" w:rsidR="00F906B6" w:rsidRDefault="006035A9">
          <w:pPr>
            <w:pStyle w:val="TOC2"/>
            <w:rPr>
              <w:rFonts w:asciiTheme="minorHAnsi" w:eastAsiaTheme="minorEastAsia" w:hAnsiTheme="minorHAnsi" w:cstheme="minorBidi"/>
              <w:iCs w:val="0"/>
              <w:noProof/>
              <w:sz w:val="22"/>
              <w:szCs w:val="22"/>
              <w:lang w:eastAsia="bg-BG"/>
            </w:rPr>
          </w:pPr>
          <w:hyperlink w:anchor="_Toc140150242" w:history="1">
            <w:r w:rsidR="00F906B6" w:rsidRPr="00EC23D2">
              <w:rPr>
                <w:rStyle w:val="Hyperlink"/>
                <w:noProof/>
              </w:rPr>
              <w:t>23.</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Основни контролни дейности при възлагане на обществени поръчки за проекти по ОПТТИ, при които бенефициент по проектите е Управляващият орган</w:t>
            </w:r>
            <w:r w:rsidR="00F906B6">
              <w:rPr>
                <w:noProof/>
                <w:webHidden/>
              </w:rPr>
              <w:tab/>
            </w:r>
            <w:r w:rsidR="00F906B6">
              <w:rPr>
                <w:noProof/>
                <w:webHidden/>
              </w:rPr>
              <w:fldChar w:fldCharType="begin"/>
            </w:r>
            <w:r w:rsidR="00F906B6">
              <w:rPr>
                <w:noProof/>
                <w:webHidden/>
              </w:rPr>
              <w:instrText xml:space="preserve"> PAGEREF _Toc140150242 \h </w:instrText>
            </w:r>
            <w:r w:rsidR="00F906B6">
              <w:rPr>
                <w:noProof/>
                <w:webHidden/>
              </w:rPr>
            </w:r>
            <w:r w:rsidR="00F906B6">
              <w:rPr>
                <w:noProof/>
                <w:webHidden/>
              </w:rPr>
              <w:fldChar w:fldCharType="separate"/>
            </w:r>
            <w:r w:rsidR="00F906B6">
              <w:rPr>
                <w:noProof/>
                <w:webHidden/>
              </w:rPr>
              <w:t>190</w:t>
            </w:r>
            <w:r w:rsidR="00F906B6">
              <w:rPr>
                <w:noProof/>
                <w:webHidden/>
              </w:rPr>
              <w:fldChar w:fldCharType="end"/>
            </w:r>
          </w:hyperlink>
        </w:p>
        <w:p w14:paraId="672578DF" w14:textId="2DC61036"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43" w:history="1">
            <w:r w:rsidR="00F906B6" w:rsidRPr="00EC23D2">
              <w:rPr>
                <w:rStyle w:val="Hyperlink"/>
                <w:noProof/>
              </w:rPr>
              <w:t>23.1.</w:t>
            </w:r>
            <w:r w:rsidR="00F906B6">
              <w:rPr>
                <w:rFonts w:eastAsiaTheme="minorEastAsia" w:cstheme="minorBidi"/>
                <w:noProof/>
                <w:sz w:val="22"/>
                <w:szCs w:val="22"/>
                <w:lang w:eastAsia="bg-BG"/>
              </w:rPr>
              <w:tab/>
            </w:r>
            <w:r w:rsidR="00F906B6" w:rsidRPr="00EC23D2">
              <w:rPr>
                <w:rStyle w:val="Hyperlink"/>
                <w:noProof/>
              </w:rPr>
              <w:t>Контрол върху документацията от проведената обществена поръчка</w:t>
            </w:r>
            <w:r w:rsidR="00F906B6">
              <w:rPr>
                <w:noProof/>
                <w:webHidden/>
              </w:rPr>
              <w:tab/>
            </w:r>
            <w:r w:rsidR="00F906B6">
              <w:rPr>
                <w:noProof/>
                <w:webHidden/>
              </w:rPr>
              <w:fldChar w:fldCharType="begin"/>
            </w:r>
            <w:r w:rsidR="00F906B6">
              <w:rPr>
                <w:noProof/>
                <w:webHidden/>
              </w:rPr>
              <w:instrText xml:space="preserve"> PAGEREF _Toc140150243 \h </w:instrText>
            </w:r>
            <w:r w:rsidR="00F906B6">
              <w:rPr>
                <w:noProof/>
                <w:webHidden/>
              </w:rPr>
            </w:r>
            <w:r w:rsidR="00F906B6">
              <w:rPr>
                <w:noProof/>
                <w:webHidden/>
              </w:rPr>
              <w:fldChar w:fldCharType="separate"/>
            </w:r>
            <w:r w:rsidR="00F906B6">
              <w:rPr>
                <w:noProof/>
                <w:webHidden/>
              </w:rPr>
              <w:t>190</w:t>
            </w:r>
            <w:r w:rsidR="00F906B6">
              <w:rPr>
                <w:noProof/>
                <w:webHidden/>
              </w:rPr>
              <w:fldChar w:fldCharType="end"/>
            </w:r>
          </w:hyperlink>
        </w:p>
        <w:p w14:paraId="239AE9AA" w14:textId="292A9E81"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44" w:history="1">
            <w:r w:rsidR="00F906B6" w:rsidRPr="00EC23D2">
              <w:rPr>
                <w:rStyle w:val="Hyperlink"/>
                <w:noProof/>
              </w:rPr>
              <w:t>23.2.</w:t>
            </w:r>
            <w:r w:rsidR="00F906B6">
              <w:rPr>
                <w:rFonts w:eastAsiaTheme="minorEastAsia" w:cstheme="minorBidi"/>
                <w:noProof/>
                <w:sz w:val="22"/>
                <w:szCs w:val="22"/>
                <w:lang w:eastAsia="bg-BG"/>
              </w:rPr>
              <w:tab/>
            </w:r>
            <w:r w:rsidR="00F906B6" w:rsidRPr="00EC23D2">
              <w:rPr>
                <w:rStyle w:val="Hyperlink"/>
                <w:noProof/>
              </w:rPr>
              <w:t>Контрол от страна на УО на измененията на договор за обществена поръчка</w:t>
            </w:r>
            <w:r w:rsidR="00F906B6">
              <w:rPr>
                <w:noProof/>
                <w:webHidden/>
              </w:rPr>
              <w:tab/>
            </w:r>
            <w:r w:rsidR="00F906B6">
              <w:rPr>
                <w:noProof/>
                <w:webHidden/>
              </w:rPr>
              <w:fldChar w:fldCharType="begin"/>
            </w:r>
            <w:r w:rsidR="00F906B6">
              <w:rPr>
                <w:noProof/>
                <w:webHidden/>
              </w:rPr>
              <w:instrText xml:space="preserve"> PAGEREF _Toc140150244 \h </w:instrText>
            </w:r>
            <w:r w:rsidR="00F906B6">
              <w:rPr>
                <w:noProof/>
                <w:webHidden/>
              </w:rPr>
            </w:r>
            <w:r w:rsidR="00F906B6">
              <w:rPr>
                <w:noProof/>
                <w:webHidden/>
              </w:rPr>
              <w:fldChar w:fldCharType="separate"/>
            </w:r>
            <w:r w:rsidR="00F906B6">
              <w:rPr>
                <w:noProof/>
                <w:webHidden/>
              </w:rPr>
              <w:t>191</w:t>
            </w:r>
            <w:r w:rsidR="00F906B6">
              <w:rPr>
                <w:noProof/>
                <w:webHidden/>
              </w:rPr>
              <w:fldChar w:fldCharType="end"/>
            </w:r>
          </w:hyperlink>
        </w:p>
        <w:p w14:paraId="0902F2C2" w14:textId="38248F16" w:rsidR="00F906B6" w:rsidRDefault="006035A9">
          <w:pPr>
            <w:pStyle w:val="TOC2"/>
            <w:rPr>
              <w:rFonts w:asciiTheme="minorHAnsi" w:eastAsiaTheme="minorEastAsia" w:hAnsiTheme="minorHAnsi" w:cstheme="minorBidi"/>
              <w:iCs w:val="0"/>
              <w:noProof/>
              <w:sz w:val="22"/>
              <w:szCs w:val="22"/>
              <w:lang w:eastAsia="bg-BG"/>
            </w:rPr>
          </w:pPr>
          <w:hyperlink w:anchor="_Toc140150245" w:history="1">
            <w:r w:rsidR="00F906B6" w:rsidRPr="00EC23D2">
              <w:rPr>
                <w:rStyle w:val="Hyperlink"/>
                <w:noProof/>
              </w:rPr>
              <w:t>24.</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Резултати от контрола на обществените поръчки</w:t>
            </w:r>
            <w:r w:rsidR="00F906B6">
              <w:rPr>
                <w:noProof/>
                <w:webHidden/>
              </w:rPr>
              <w:tab/>
            </w:r>
            <w:r w:rsidR="00F906B6">
              <w:rPr>
                <w:noProof/>
                <w:webHidden/>
              </w:rPr>
              <w:fldChar w:fldCharType="begin"/>
            </w:r>
            <w:r w:rsidR="00F906B6">
              <w:rPr>
                <w:noProof/>
                <w:webHidden/>
              </w:rPr>
              <w:instrText xml:space="preserve"> PAGEREF _Toc140150245 \h </w:instrText>
            </w:r>
            <w:r w:rsidR="00F906B6">
              <w:rPr>
                <w:noProof/>
                <w:webHidden/>
              </w:rPr>
            </w:r>
            <w:r w:rsidR="00F906B6">
              <w:rPr>
                <w:noProof/>
                <w:webHidden/>
              </w:rPr>
              <w:fldChar w:fldCharType="separate"/>
            </w:r>
            <w:r w:rsidR="00F906B6">
              <w:rPr>
                <w:noProof/>
                <w:webHidden/>
              </w:rPr>
              <w:t>192</w:t>
            </w:r>
            <w:r w:rsidR="00F906B6">
              <w:rPr>
                <w:noProof/>
                <w:webHidden/>
              </w:rPr>
              <w:fldChar w:fldCharType="end"/>
            </w:r>
          </w:hyperlink>
        </w:p>
        <w:p w14:paraId="5127A157" w14:textId="2435B83B" w:rsidR="00F906B6" w:rsidRDefault="006035A9">
          <w:pPr>
            <w:pStyle w:val="TOC1"/>
            <w:tabs>
              <w:tab w:val="right" w:leader="dot" w:pos="9487"/>
            </w:tabs>
            <w:rPr>
              <w:rFonts w:eastAsiaTheme="minorEastAsia" w:cstheme="minorBidi"/>
              <w:b w:val="0"/>
              <w:bCs w:val="0"/>
              <w:noProof/>
              <w:sz w:val="22"/>
              <w:szCs w:val="22"/>
              <w:lang w:eastAsia="bg-BG"/>
            </w:rPr>
          </w:pPr>
          <w:hyperlink w:anchor="_Toc140150246" w:history="1">
            <w:r w:rsidR="00F906B6" w:rsidRPr="00EC23D2">
              <w:rPr>
                <w:rStyle w:val="Hyperlink"/>
                <w:rFonts w:ascii="Times New Roman" w:hAnsi="Times New Roman"/>
                <w:noProof/>
                <w:lang w:eastAsia="bg-BG"/>
              </w:rPr>
              <w:t>ГЛАВА 5 ФИНАНСОВО УПРАВЛЕНИЕ</w:t>
            </w:r>
            <w:r w:rsidR="00F906B6">
              <w:rPr>
                <w:noProof/>
                <w:webHidden/>
              </w:rPr>
              <w:tab/>
            </w:r>
            <w:r w:rsidR="00F906B6">
              <w:rPr>
                <w:noProof/>
                <w:webHidden/>
              </w:rPr>
              <w:fldChar w:fldCharType="begin"/>
            </w:r>
            <w:r w:rsidR="00F906B6">
              <w:rPr>
                <w:noProof/>
                <w:webHidden/>
              </w:rPr>
              <w:instrText xml:space="preserve"> PAGEREF _Toc140150246 \h </w:instrText>
            </w:r>
            <w:r w:rsidR="00F906B6">
              <w:rPr>
                <w:noProof/>
                <w:webHidden/>
              </w:rPr>
            </w:r>
            <w:r w:rsidR="00F906B6">
              <w:rPr>
                <w:noProof/>
                <w:webHidden/>
              </w:rPr>
              <w:fldChar w:fldCharType="separate"/>
            </w:r>
            <w:r w:rsidR="00F906B6">
              <w:rPr>
                <w:noProof/>
                <w:webHidden/>
              </w:rPr>
              <w:t>193</w:t>
            </w:r>
            <w:r w:rsidR="00F906B6">
              <w:rPr>
                <w:noProof/>
                <w:webHidden/>
              </w:rPr>
              <w:fldChar w:fldCharType="end"/>
            </w:r>
          </w:hyperlink>
        </w:p>
        <w:p w14:paraId="78656E87" w14:textId="6414A5C8" w:rsidR="00F906B6" w:rsidRDefault="006035A9">
          <w:pPr>
            <w:pStyle w:val="TOC2"/>
            <w:rPr>
              <w:rFonts w:asciiTheme="minorHAnsi" w:eastAsiaTheme="minorEastAsia" w:hAnsiTheme="minorHAnsi" w:cstheme="minorBidi"/>
              <w:iCs w:val="0"/>
              <w:noProof/>
              <w:sz w:val="22"/>
              <w:szCs w:val="22"/>
              <w:lang w:eastAsia="bg-BG"/>
            </w:rPr>
          </w:pPr>
          <w:hyperlink w:anchor="_Toc140150247" w:history="1">
            <w:r w:rsidR="00F906B6" w:rsidRPr="00EC23D2">
              <w:rPr>
                <w:rStyle w:val="Hyperlink"/>
                <w:noProof/>
              </w:rPr>
              <w:t>25.</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ФИНАНСОВО УПРАВЛЕНИЕ</w:t>
            </w:r>
            <w:r w:rsidR="00F906B6">
              <w:rPr>
                <w:noProof/>
                <w:webHidden/>
              </w:rPr>
              <w:tab/>
            </w:r>
            <w:r w:rsidR="00F906B6">
              <w:rPr>
                <w:noProof/>
                <w:webHidden/>
              </w:rPr>
              <w:fldChar w:fldCharType="begin"/>
            </w:r>
            <w:r w:rsidR="00F906B6">
              <w:rPr>
                <w:noProof/>
                <w:webHidden/>
              </w:rPr>
              <w:instrText xml:space="preserve"> PAGEREF _Toc140150247 \h </w:instrText>
            </w:r>
            <w:r w:rsidR="00F906B6">
              <w:rPr>
                <w:noProof/>
                <w:webHidden/>
              </w:rPr>
            </w:r>
            <w:r w:rsidR="00F906B6">
              <w:rPr>
                <w:noProof/>
                <w:webHidden/>
              </w:rPr>
              <w:fldChar w:fldCharType="separate"/>
            </w:r>
            <w:r w:rsidR="00F906B6">
              <w:rPr>
                <w:noProof/>
                <w:webHidden/>
              </w:rPr>
              <w:t>193</w:t>
            </w:r>
            <w:r w:rsidR="00F906B6">
              <w:rPr>
                <w:noProof/>
                <w:webHidden/>
              </w:rPr>
              <w:fldChar w:fldCharType="end"/>
            </w:r>
          </w:hyperlink>
        </w:p>
        <w:p w14:paraId="664E2EC5" w14:textId="28DD1790"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48" w:history="1">
            <w:r w:rsidR="00F906B6" w:rsidRPr="00EC23D2">
              <w:rPr>
                <w:rStyle w:val="Hyperlink"/>
                <w:noProof/>
                <w:lang w:eastAsia="bg-BG"/>
              </w:rPr>
              <w:t>25.1.</w:t>
            </w:r>
            <w:r w:rsidR="00F906B6">
              <w:rPr>
                <w:rFonts w:eastAsiaTheme="minorEastAsia" w:cstheme="minorBidi"/>
                <w:noProof/>
                <w:sz w:val="22"/>
                <w:szCs w:val="22"/>
                <w:lang w:eastAsia="bg-BG"/>
              </w:rPr>
              <w:tab/>
            </w:r>
            <w:r w:rsidR="00F906B6" w:rsidRPr="00EC23D2">
              <w:rPr>
                <w:rStyle w:val="Hyperlink"/>
                <w:noProof/>
                <w:lang w:eastAsia="bg-BG"/>
              </w:rPr>
              <w:t>Нива на отговорности в УО в процеса по верификация на разходите</w:t>
            </w:r>
            <w:r w:rsidR="00F906B6">
              <w:rPr>
                <w:noProof/>
                <w:webHidden/>
              </w:rPr>
              <w:tab/>
            </w:r>
            <w:r w:rsidR="00F906B6">
              <w:rPr>
                <w:noProof/>
                <w:webHidden/>
              </w:rPr>
              <w:fldChar w:fldCharType="begin"/>
            </w:r>
            <w:r w:rsidR="00F906B6">
              <w:rPr>
                <w:noProof/>
                <w:webHidden/>
              </w:rPr>
              <w:instrText xml:space="preserve"> PAGEREF _Toc140150248 \h </w:instrText>
            </w:r>
            <w:r w:rsidR="00F906B6">
              <w:rPr>
                <w:noProof/>
                <w:webHidden/>
              </w:rPr>
            </w:r>
            <w:r w:rsidR="00F906B6">
              <w:rPr>
                <w:noProof/>
                <w:webHidden/>
              </w:rPr>
              <w:fldChar w:fldCharType="separate"/>
            </w:r>
            <w:r w:rsidR="00F906B6">
              <w:rPr>
                <w:noProof/>
                <w:webHidden/>
              </w:rPr>
              <w:t>193</w:t>
            </w:r>
            <w:r w:rsidR="00F906B6">
              <w:rPr>
                <w:noProof/>
                <w:webHidden/>
              </w:rPr>
              <w:fldChar w:fldCharType="end"/>
            </w:r>
          </w:hyperlink>
        </w:p>
        <w:p w14:paraId="606533F9" w14:textId="7EB1EA46"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49" w:history="1">
            <w:r w:rsidR="00F906B6" w:rsidRPr="00EC23D2">
              <w:rPr>
                <w:rStyle w:val="Hyperlink"/>
                <w:noProof/>
                <w:lang w:eastAsia="bg-BG"/>
              </w:rPr>
              <w:t>25.2.</w:t>
            </w:r>
            <w:r w:rsidR="00F906B6">
              <w:rPr>
                <w:rFonts w:eastAsiaTheme="minorEastAsia" w:cstheme="minorBidi"/>
                <w:noProof/>
                <w:sz w:val="22"/>
                <w:szCs w:val="22"/>
                <w:lang w:eastAsia="bg-BG"/>
              </w:rPr>
              <w:tab/>
            </w:r>
            <w:r w:rsidR="00F906B6" w:rsidRPr="00EC23D2">
              <w:rPr>
                <w:rStyle w:val="Hyperlink"/>
                <w:noProof/>
                <w:lang w:eastAsia="bg-BG"/>
              </w:rPr>
              <w:t>Разделение на отговорностите в процеса по верификация на разходите</w:t>
            </w:r>
            <w:r w:rsidR="00F906B6">
              <w:rPr>
                <w:noProof/>
                <w:webHidden/>
              </w:rPr>
              <w:tab/>
            </w:r>
            <w:r w:rsidR="00F906B6">
              <w:rPr>
                <w:noProof/>
                <w:webHidden/>
              </w:rPr>
              <w:fldChar w:fldCharType="begin"/>
            </w:r>
            <w:r w:rsidR="00F906B6">
              <w:rPr>
                <w:noProof/>
                <w:webHidden/>
              </w:rPr>
              <w:instrText xml:space="preserve"> PAGEREF _Toc140150249 \h </w:instrText>
            </w:r>
            <w:r w:rsidR="00F906B6">
              <w:rPr>
                <w:noProof/>
                <w:webHidden/>
              </w:rPr>
            </w:r>
            <w:r w:rsidR="00F906B6">
              <w:rPr>
                <w:noProof/>
                <w:webHidden/>
              </w:rPr>
              <w:fldChar w:fldCharType="separate"/>
            </w:r>
            <w:r w:rsidR="00F906B6">
              <w:rPr>
                <w:noProof/>
                <w:webHidden/>
              </w:rPr>
              <w:t>194</w:t>
            </w:r>
            <w:r w:rsidR="00F906B6">
              <w:rPr>
                <w:noProof/>
                <w:webHidden/>
              </w:rPr>
              <w:fldChar w:fldCharType="end"/>
            </w:r>
          </w:hyperlink>
        </w:p>
        <w:p w14:paraId="2587D3B1" w14:textId="041C290A"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50" w:history="1">
            <w:r w:rsidR="00F906B6" w:rsidRPr="00EC23D2">
              <w:rPr>
                <w:rStyle w:val="Hyperlink"/>
                <w:noProof/>
                <w:lang w:eastAsia="bg-BG"/>
              </w:rPr>
              <w:t>25.3.</w:t>
            </w:r>
            <w:r w:rsidR="00F906B6">
              <w:rPr>
                <w:rFonts w:eastAsiaTheme="minorEastAsia" w:cstheme="minorBidi"/>
                <w:noProof/>
                <w:sz w:val="22"/>
                <w:szCs w:val="22"/>
                <w:lang w:eastAsia="bg-BG"/>
              </w:rPr>
              <w:tab/>
            </w:r>
            <w:r w:rsidR="00F906B6" w:rsidRPr="00EC23D2">
              <w:rPr>
                <w:rStyle w:val="Hyperlink"/>
                <w:noProof/>
                <w:lang w:eastAsia="bg-BG"/>
              </w:rPr>
              <w:t>Процес на верифициране/сертифициране на разходи по ОПТТИ</w:t>
            </w:r>
            <w:r w:rsidR="00F906B6">
              <w:rPr>
                <w:noProof/>
                <w:webHidden/>
              </w:rPr>
              <w:tab/>
            </w:r>
            <w:r w:rsidR="00F906B6">
              <w:rPr>
                <w:noProof/>
                <w:webHidden/>
              </w:rPr>
              <w:fldChar w:fldCharType="begin"/>
            </w:r>
            <w:r w:rsidR="00F906B6">
              <w:rPr>
                <w:noProof/>
                <w:webHidden/>
              </w:rPr>
              <w:instrText xml:space="preserve"> PAGEREF _Toc140150250 \h </w:instrText>
            </w:r>
            <w:r w:rsidR="00F906B6">
              <w:rPr>
                <w:noProof/>
                <w:webHidden/>
              </w:rPr>
            </w:r>
            <w:r w:rsidR="00F906B6">
              <w:rPr>
                <w:noProof/>
                <w:webHidden/>
              </w:rPr>
              <w:fldChar w:fldCharType="separate"/>
            </w:r>
            <w:r w:rsidR="00F906B6">
              <w:rPr>
                <w:noProof/>
                <w:webHidden/>
              </w:rPr>
              <w:t>196</w:t>
            </w:r>
            <w:r w:rsidR="00F906B6">
              <w:rPr>
                <w:noProof/>
                <w:webHidden/>
              </w:rPr>
              <w:fldChar w:fldCharType="end"/>
            </w:r>
          </w:hyperlink>
        </w:p>
        <w:p w14:paraId="66D0E6EB" w14:textId="1C54420E"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51" w:history="1">
            <w:r w:rsidR="00F906B6" w:rsidRPr="00EC23D2">
              <w:rPr>
                <w:rStyle w:val="Hyperlink"/>
                <w:noProof/>
                <w:lang w:eastAsia="bg-BG"/>
              </w:rPr>
              <w:t>25.4.</w:t>
            </w:r>
            <w:r w:rsidR="00F906B6">
              <w:rPr>
                <w:rFonts w:eastAsiaTheme="minorEastAsia" w:cstheme="minorBidi"/>
                <w:noProof/>
                <w:sz w:val="22"/>
                <w:szCs w:val="22"/>
                <w:lang w:eastAsia="bg-BG"/>
              </w:rPr>
              <w:tab/>
            </w:r>
            <w:r w:rsidR="00F906B6" w:rsidRPr="00EC23D2">
              <w:rPr>
                <w:rStyle w:val="Hyperlink"/>
                <w:noProof/>
                <w:lang w:eastAsia="bg-BG"/>
              </w:rPr>
              <w:t>Общо описание на процеса, по изплащане на БФП</w:t>
            </w:r>
            <w:r w:rsidR="00F906B6">
              <w:rPr>
                <w:noProof/>
                <w:webHidden/>
              </w:rPr>
              <w:tab/>
            </w:r>
            <w:r w:rsidR="00F906B6">
              <w:rPr>
                <w:noProof/>
                <w:webHidden/>
              </w:rPr>
              <w:fldChar w:fldCharType="begin"/>
            </w:r>
            <w:r w:rsidR="00F906B6">
              <w:rPr>
                <w:noProof/>
                <w:webHidden/>
              </w:rPr>
              <w:instrText xml:space="preserve"> PAGEREF _Toc140150251 \h </w:instrText>
            </w:r>
            <w:r w:rsidR="00F906B6">
              <w:rPr>
                <w:noProof/>
                <w:webHidden/>
              </w:rPr>
            </w:r>
            <w:r w:rsidR="00F906B6">
              <w:rPr>
                <w:noProof/>
                <w:webHidden/>
              </w:rPr>
              <w:fldChar w:fldCharType="separate"/>
            </w:r>
            <w:r w:rsidR="00F906B6">
              <w:rPr>
                <w:noProof/>
                <w:webHidden/>
              </w:rPr>
              <w:t>214</w:t>
            </w:r>
            <w:r w:rsidR="00F906B6">
              <w:rPr>
                <w:noProof/>
                <w:webHidden/>
              </w:rPr>
              <w:fldChar w:fldCharType="end"/>
            </w:r>
          </w:hyperlink>
        </w:p>
        <w:p w14:paraId="7737B95B" w14:textId="7E405E3F"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52" w:history="1">
            <w:r w:rsidR="00F906B6" w:rsidRPr="00EC23D2">
              <w:rPr>
                <w:rStyle w:val="Hyperlink"/>
                <w:noProof/>
                <w:lang w:eastAsia="bg-BG"/>
              </w:rPr>
              <w:t>25.5.</w:t>
            </w:r>
            <w:r w:rsidR="00F906B6">
              <w:rPr>
                <w:rFonts w:eastAsiaTheme="minorEastAsia" w:cstheme="minorBidi"/>
                <w:noProof/>
                <w:sz w:val="22"/>
                <w:szCs w:val="22"/>
                <w:lang w:eastAsia="bg-BG"/>
              </w:rPr>
              <w:tab/>
            </w:r>
            <w:r w:rsidR="00F906B6" w:rsidRPr="00EC23D2">
              <w:rPr>
                <w:rStyle w:val="Hyperlink"/>
                <w:noProof/>
                <w:lang w:eastAsia="bg-BG"/>
              </w:rPr>
              <w:t>Общи условия при изготвяне на искания за плащане от бенефициенти по ОПТТИ</w:t>
            </w:r>
            <w:r w:rsidR="00F906B6">
              <w:rPr>
                <w:noProof/>
                <w:webHidden/>
              </w:rPr>
              <w:tab/>
            </w:r>
            <w:r w:rsidR="00F906B6">
              <w:rPr>
                <w:noProof/>
                <w:webHidden/>
              </w:rPr>
              <w:fldChar w:fldCharType="begin"/>
            </w:r>
            <w:r w:rsidR="00F906B6">
              <w:rPr>
                <w:noProof/>
                <w:webHidden/>
              </w:rPr>
              <w:instrText xml:space="preserve"> PAGEREF _Toc140150252 \h </w:instrText>
            </w:r>
            <w:r w:rsidR="00F906B6">
              <w:rPr>
                <w:noProof/>
                <w:webHidden/>
              </w:rPr>
            </w:r>
            <w:r w:rsidR="00F906B6">
              <w:rPr>
                <w:noProof/>
                <w:webHidden/>
              </w:rPr>
              <w:fldChar w:fldCharType="separate"/>
            </w:r>
            <w:r w:rsidR="00F906B6">
              <w:rPr>
                <w:noProof/>
                <w:webHidden/>
              </w:rPr>
              <w:t>218</w:t>
            </w:r>
            <w:r w:rsidR="00F906B6">
              <w:rPr>
                <w:noProof/>
                <w:webHidden/>
              </w:rPr>
              <w:fldChar w:fldCharType="end"/>
            </w:r>
          </w:hyperlink>
        </w:p>
        <w:p w14:paraId="2FCEDF28" w14:textId="172EEC29"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53" w:history="1">
            <w:r w:rsidR="00F906B6" w:rsidRPr="00EC23D2">
              <w:rPr>
                <w:rStyle w:val="Hyperlink"/>
                <w:noProof/>
                <w:lang w:eastAsia="bg-BG"/>
              </w:rPr>
              <w:t>25.6.</w:t>
            </w:r>
            <w:r w:rsidR="00F906B6">
              <w:rPr>
                <w:rFonts w:eastAsiaTheme="minorEastAsia" w:cstheme="minorBidi"/>
                <w:noProof/>
                <w:sz w:val="22"/>
                <w:szCs w:val="22"/>
                <w:lang w:eastAsia="bg-BG"/>
              </w:rPr>
              <w:tab/>
            </w:r>
            <w:r w:rsidR="00F906B6" w:rsidRPr="00EC23D2">
              <w:rPr>
                <w:rStyle w:val="Hyperlink"/>
                <w:noProof/>
                <w:lang w:eastAsia="bg-BG"/>
              </w:rPr>
              <w:t>Доклади по сертификация и Декларации за допустимите разходи на УО към СО</w:t>
            </w:r>
            <w:r w:rsidR="00F906B6">
              <w:rPr>
                <w:noProof/>
                <w:webHidden/>
              </w:rPr>
              <w:tab/>
            </w:r>
            <w:r w:rsidR="00F906B6">
              <w:rPr>
                <w:noProof/>
                <w:webHidden/>
              </w:rPr>
              <w:fldChar w:fldCharType="begin"/>
            </w:r>
            <w:r w:rsidR="00F906B6">
              <w:rPr>
                <w:noProof/>
                <w:webHidden/>
              </w:rPr>
              <w:instrText xml:space="preserve"> PAGEREF _Toc140150253 \h </w:instrText>
            </w:r>
            <w:r w:rsidR="00F906B6">
              <w:rPr>
                <w:noProof/>
                <w:webHidden/>
              </w:rPr>
            </w:r>
            <w:r w:rsidR="00F906B6">
              <w:rPr>
                <w:noProof/>
                <w:webHidden/>
              </w:rPr>
              <w:fldChar w:fldCharType="separate"/>
            </w:r>
            <w:r w:rsidR="00F906B6">
              <w:rPr>
                <w:noProof/>
                <w:webHidden/>
              </w:rPr>
              <w:t>221</w:t>
            </w:r>
            <w:r w:rsidR="00F906B6">
              <w:rPr>
                <w:noProof/>
                <w:webHidden/>
              </w:rPr>
              <w:fldChar w:fldCharType="end"/>
            </w:r>
          </w:hyperlink>
        </w:p>
        <w:p w14:paraId="2E53C831" w14:textId="79509673"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54" w:history="1">
            <w:r w:rsidR="00F906B6" w:rsidRPr="00EC23D2">
              <w:rPr>
                <w:rStyle w:val="Hyperlink"/>
                <w:noProof/>
                <w:lang w:eastAsia="bg-BG"/>
              </w:rPr>
              <w:t>25.7.</w:t>
            </w:r>
            <w:r w:rsidR="00F906B6">
              <w:rPr>
                <w:rFonts w:eastAsiaTheme="minorEastAsia" w:cstheme="minorBidi"/>
                <w:noProof/>
                <w:sz w:val="22"/>
                <w:szCs w:val="22"/>
                <w:lang w:eastAsia="bg-BG"/>
              </w:rPr>
              <w:tab/>
            </w:r>
            <w:r w:rsidR="00F906B6" w:rsidRPr="00EC23D2">
              <w:rPr>
                <w:rStyle w:val="Hyperlink"/>
                <w:noProof/>
                <w:lang w:eastAsia="bg-BG"/>
              </w:rPr>
              <w:t>Финансови корекции от страна на българските власти</w:t>
            </w:r>
            <w:r w:rsidR="00F906B6">
              <w:rPr>
                <w:noProof/>
                <w:webHidden/>
              </w:rPr>
              <w:tab/>
            </w:r>
            <w:r w:rsidR="00F906B6">
              <w:rPr>
                <w:noProof/>
                <w:webHidden/>
              </w:rPr>
              <w:fldChar w:fldCharType="begin"/>
            </w:r>
            <w:r w:rsidR="00F906B6">
              <w:rPr>
                <w:noProof/>
                <w:webHidden/>
              </w:rPr>
              <w:instrText xml:space="preserve"> PAGEREF _Toc140150254 \h </w:instrText>
            </w:r>
            <w:r w:rsidR="00F906B6">
              <w:rPr>
                <w:noProof/>
                <w:webHidden/>
              </w:rPr>
            </w:r>
            <w:r w:rsidR="00F906B6">
              <w:rPr>
                <w:noProof/>
                <w:webHidden/>
              </w:rPr>
              <w:fldChar w:fldCharType="separate"/>
            </w:r>
            <w:r w:rsidR="00F906B6">
              <w:rPr>
                <w:noProof/>
                <w:webHidden/>
              </w:rPr>
              <w:t>223</w:t>
            </w:r>
            <w:r w:rsidR="00F906B6">
              <w:rPr>
                <w:noProof/>
                <w:webHidden/>
              </w:rPr>
              <w:fldChar w:fldCharType="end"/>
            </w:r>
          </w:hyperlink>
        </w:p>
        <w:p w14:paraId="5F33BE4A" w14:textId="0E2C667F"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55" w:history="1">
            <w:r w:rsidR="00F906B6" w:rsidRPr="00EC23D2">
              <w:rPr>
                <w:rStyle w:val="Hyperlink"/>
                <w:noProof/>
                <w:lang w:eastAsia="bg-BG"/>
              </w:rPr>
              <w:t>25.8.</w:t>
            </w:r>
            <w:r w:rsidR="00F906B6">
              <w:rPr>
                <w:rFonts w:eastAsiaTheme="minorEastAsia" w:cstheme="minorBidi"/>
                <w:noProof/>
                <w:sz w:val="22"/>
                <w:szCs w:val="22"/>
                <w:lang w:eastAsia="bg-BG"/>
              </w:rPr>
              <w:tab/>
            </w:r>
            <w:r w:rsidR="00F906B6" w:rsidRPr="00EC23D2">
              <w:rPr>
                <w:rStyle w:val="Hyperlink"/>
                <w:noProof/>
                <w:lang w:eastAsia="bg-BG"/>
              </w:rPr>
              <w:t>Възстановяване и отписване на неправомерни разходи.</w:t>
            </w:r>
            <w:r w:rsidR="00F906B6">
              <w:rPr>
                <w:noProof/>
                <w:webHidden/>
              </w:rPr>
              <w:tab/>
            </w:r>
            <w:r w:rsidR="00F906B6">
              <w:rPr>
                <w:noProof/>
                <w:webHidden/>
              </w:rPr>
              <w:fldChar w:fldCharType="begin"/>
            </w:r>
            <w:r w:rsidR="00F906B6">
              <w:rPr>
                <w:noProof/>
                <w:webHidden/>
              </w:rPr>
              <w:instrText xml:space="preserve"> PAGEREF _Toc140150255 \h </w:instrText>
            </w:r>
            <w:r w:rsidR="00F906B6">
              <w:rPr>
                <w:noProof/>
                <w:webHidden/>
              </w:rPr>
            </w:r>
            <w:r w:rsidR="00F906B6">
              <w:rPr>
                <w:noProof/>
                <w:webHidden/>
              </w:rPr>
              <w:fldChar w:fldCharType="separate"/>
            </w:r>
            <w:r w:rsidR="00F906B6">
              <w:rPr>
                <w:noProof/>
                <w:webHidden/>
              </w:rPr>
              <w:t>224</w:t>
            </w:r>
            <w:r w:rsidR="00F906B6">
              <w:rPr>
                <w:noProof/>
                <w:webHidden/>
              </w:rPr>
              <w:fldChar w:fldCharType="end"/>
            </w:r>
          </w:hyperlink>
        </w:p>
        <w:p w14:paraId="5F180974" w14:textId="000890C3"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56" w:history="1">
            <w:r w:rsidR="00F906B6" w:rsidRPr="00EC23D2">
              <w:rPr>
                <w:rStyle w:val="Hyperlink"/>
                <w:noProof/>
                <w:lang w:eastAsia="bg-BG"/>
              </w:rPr>
              <w:t>25.9.</w:t>
            </w:r>
            <w:r w:rsidR="00F906B6">
              <w:rPr>
                <w:rFonts w:eastAsiaTheme="minorEastAsia" w:cstheme="minorBidi"/>
                <w:noProof/>
                <w:sz w:val="22"/>
                <w:szCs w:val="22"/>
                <w:lang w:eastAsia="bg-BG"/>
              </w:rPr>
              <w:tab/>
            </w:r>
            <w:r w:rsidR="00F906B6" w:rsidRPr="00EC23D2">
              <w:rPr>
                <w:rStyle w:val="Hyperlink"/>
                <w:noProof/>
                <w:lang w:eastAsia="bg-BG"/>
              </w:rPr>
              <w:t>Плащания</w:t>
            </w:r>
            <w:r w:rsidR="00F906B6">
              <w:rPr>
                <w:noProof/>
                <w:webHidden/>
              </w:rPr>
              <w:tab/>
            </w:r>
            <w:r w:rsidR="00F906B6">
              <w:rPr>
                <w:noProof/>
                <w:webHidden/>
              </w:rPr>
              <w:fldChar w:fldCharType="begin"/>
            </w:r>
            <w:r w:rsidR="00F906B6">
              <w:rPr>
                <w:noProof/>
                <w:webHidden/>
              </w:rPr>
              <w:instrText xml:space="preserve"> PAGEREF _Toc140150256 \h </w:instrText>
            </w:r>
            <w:r w:rsidR="00F906B6">
              <w:rPr>
                <w:noProof/>
                <w:webHidden/>
              </w:rPr>
            </w:r>
            <w:r w:rsidR="00F906B6">
              <w:rPr>
                <w:noProof/>
                <w:webHidden/>
              </w:rPr>
              <w:fldChar w:fldCharType="separate"/>
            </w:r>
            <w:r w:rsidR="00F906B6">
              <w:rPr>
                <w:noProof/>
                <w:webHidden/>
              </w:rPr>
              <w:t>224</w:t>
            </w:r>
            <w:r w:rsidR="00F906B6">
              <w:rPr>
                <w:noProof/>
                <w:webHidden/>
              </w:rPr>
              <w:fldChar w:fldCharType="end"/>
            </w:r>
          </w:hyperlink>
        </w:p>
        <w:p w14:paraId="382F888C" w14:textId="54B4B3FA" w:rsidR="00F906B6" w:rsidRDefault="006035A9">
          <w:pPr>
            <w:pStyle w:val="TOC3"/>
            <w:tabs>
              <w:tab w:val="left" w:pos="1821"/>
              <w:tab w:val="right" w:leader="dot" w:pos="9487"/>
            </w:tabs>
            <w:rPr>
              <w:rFonts w:eastAsiaTheme="minorEastAsia" w:cstheme="minorBidi"/>
              <w:noProof/>
              <w:sz w:val="22"/>
              <w:szCs w:val="22"/>
              <w:lang w:eastAsia="bg-BG"/>
            </w:rPr>
          </w:pPr>
          <w:hyperlink w:anchor="_Toc140150257" w:history="1">
            <w:r w:rsidR="00F906B6" w:rsidRPr="00EC23D2">
              <w:rPr>
                <w:rStyle w:val="Hyperlink"/>
                <w:noProof/>
              </w:rPr>
              <w:t>25.10.</w:t>
            </w:r>
            <w:r w:rsidR="00F906B6">
              <w:rPr>
                <w:rFonts w:eastAsiaTheme="minorEastAsia" w:cstheme="minorBidi"/>
                <w:noProof/>
                <w:sz w:val="22"/>
                <w:szCs w:val="22"/>
                <w:lang w:eastAsia="bg-BG"/>
              </w:rPr>
              <w:tab/>
            </w:r>
            <w:r w:rsidR="00F906B6" w:rsidRPr="00EC23D2">
              <w:rPr>
                <w:rStyle w:val="Hyperlink"/>
                <w:noProof/>
              </w:rPr>
              <w:t>Счетоводство</w:t>
            </w:r>
            <w:r w:rsidR="00F906B6">
              <w:rPr>
                <w:noProof/>
                <w:webHidden/>
              </w:rPr>
              <w:tab/>
            </w:r>
            <w:r w:rsidR="00F906B6">
              <w:rPr>
                <w:noProof/>
                <w:webHidden/>
              </w:rPr>
              <w:fldChar w:fldCharType="begin"/>
            </w:r>
            <w:r w:rsidR="00F906B6">
              <w:rPr>
                <w:noProof/>
                <w:webHidden/>
              </w:rPr>
              <w:instrText xml:space="preserve"> PAGEREF _Toc140150257 \h </w:instrText>
            </w:r>
            <w:r w:rsidR="00F906B6">
              <w:rPr>
                <w:noProof/>
                <w:webHidden/>
              </w:rPr>
            </w:r>
            <w:r w:rsidR="00F906B6">
              <w:rPr>
                <w:noProof/>
                <w:webHidden/>
              </w:rPr>
              <w:fldChar w:fldCharType="separate"/>
            </w:r>
            <w:r w:rsidR="00F906B6">
              <w:rPr>
                <w:noProof/>
                <w:webHidden/>
              </w:rPr>
              <w:t>227</w:t>
            </w:r>
            <w:r w:rsidR="00F906B6">
              <w:rPr>
                <w:noProof/>
                <w:webHidden/>
              </w:rPr>
              <w:fldChar w:fldCharType="end"/>
            </w:r>
          </w:hyperlink>
        </w:p>
        <w:p w14:paraId="129641CC" w14:textId="2FF0D777" w:rsidR="00F906B6" w:rsidRDefault="006035A9">
          <w:pPr>
            <w:pStyle w:val="TOC3"/>
            <w:tabs>
              <w:tab w:val="left" w:pos="1821"/>
              <w:tab w:val="right" w:leader="dot" w:pos="9487"/>
            </w:tabs>
            <w:rPr>
              <w:rFonts w:eastAsiaTheme="minorEastAsia" w:cstheme="minorBidi"/>
              <w:noProof/>
              <w:sz w:val="22"/>
              <w:szCs w:val="22"/>
              <w:lang w:eastAsia="bg-BG"/>
            </w:rPr>
          </w:pPr>
          <w:hyperlink w:anchor="_Toc140150258" w:history="1">
            <w:r w:rsidR="00F906B6" w:rsidRPr="00EC23D2">
              <w:rPr>
                <w:rStyle w:val="Hyperlink"/>
                <w:noProof/>
              </w:rPr>
              <w:t>25.11.</w:t>
            </w:r>
            <w:r w:rsidR="00F906B6">
              <w:rPr>
                <w:rFonts w:eastAsiaTheme="minorEastAsia" w:cstheme="minorBidi"/>
                <w:noProof/>
                <w:sz w:val="22"/>
                <w:szCs w:val="22"/>
                <w:lang w:eastAsia="bg-BG"/>
              </w:rPr>
              <w:tab/>
            </w:r>
            <w:r w:rsidR="00F906B6" w:rsidRPr="00EC23D2">
              <w:rPr>
                <w:rStyle w:val="Hyperlink"/>
                <w:noProof/>
              </w:rPr>
              <w:t>Счетоводна отчетност</w:t>
            </w:r>
            <w:r w:rsidR="00F906B6">
              <w:rPr>
                <w:noProof/>
                <w:webHidden/>
              </w:rPr>
              <w:tab/>
            </w:r>
            <w:r w:rsidR="00F906B6">
              <w:rPr>
                <w:noProof/>
                <w:webHidden/>
              </w:rPr>
              <w:fldChar w:fldCharType="begin"/>
            </w:r>
            <w:r w:rsidR="00F906B6">
              <w:rPr>
                <w:noProof/>
                <w:webHidden/>
              </w:rPr>
              <w:instrText xml:space="preserve"> PAGEREF _Toc140150258 \h </w:instrText>
            </w:r>
            <w:r w:rsidR="00F906B6">
              <w:rPr>
                <w:noProof/>
                <w:webHidden/>
              </w:rPr>
            </w:r>
            <w:r w:rsidR="00F906B6">
              <w:rPr>
                <w:noProof/>
                <w:webHidden/>
              </w:rPr>
              <w:fldChar w:fldCharType="separate"/>
            </w:r>
            <w:r w:rsidR="00F906B6">
              <w:rPr>
                <w:noProof/>
                <w:webHidden/>
              </w:rPr>
              <w:t>245</w:t>
            </w:r>
            <w:r w:rsidR="00F906B6">
              <w:rPr>
                <w:noProof/>
                <w:webHidden/>
              </w:rPr>
              <w:fldChar w:fldCharType="end"/>
            </w:r>
          </w:hyperlink>
        </w:p>
        <w:p w14:paraId="2966E7E8" w14:textId="482E741B" w:rsidR="00F906B6" w:rsidRDefault="006035A9">
          <w:pPr>
            <w:pStyle w:val="TOC3"/>
            <w:tabs>
              <w:tab w:val="left" w:pos="1821"/>
              <w:tab w:val="right" w:leader="dot" w:pos="9487"/>
            </w:tabs>
            <w:rPr>
              <w:rFonts w:eastAsiaTheme="minorEastAsia" w:cstheme="minorBidi"/>
              <w:noProof/>
              <w:sz w:val="22"/>
              <w:szCs w:val="22"/>
              <w:lang w:eastAsia="bg-BG"/>
            </w:rPr>
          </w:pPr>
          <w:hyperlink w:anchor="_Toc140150259" w:history="1">
            <w:r w:rsidR="00F906B6" w:rsidRPr="00EC23D2">
              <w:rPr>
                <w:rStyle w:val="Hyperlink"/>
                <w:noProof/>
              </w:rPr>
              <w:t>25.12.</w:t>
            </w:r>
            <w:r w:rsidR="00F906B6">
              <w:rPr>
                <w:rFonts w:eastAsiaTheme="minorEastAsia" w:cstheme="minorBidi"/>
                <w:noProof/>
                <w:sz w:val="22"/>
                <w:szCs w:val="22"/>
                <w:lang w:eastAsia="bg-BG"/>
              </w:rPr>
              <w:tab/>
            </w:r>
            <w:r w:rsidR="00F906B6" w:rsidRPr="00EC23D2">
              <w:rPr>
                <w:rStyle w:val="Hyperlink"/>
                <w:noProof/>
              </w:rPr>
              <w:t>Интерфейс между SAP и ИСУН 2020</w:t>
            </w:r>
            <w:r w:rsidR="00F906B6">
              <w:rPr>
                <w:noProof/>
                <w:webHidden/>
              </w:rPr>
              <w:tab/>
            </w:r>
            <w:r w:rsidR="00F906B6">
              <w:rPr>
                <w:noProof/>
                <w:webHidden/>
              </w:rPr>
              <w:fldChar w:fldCharType="begin"/>
            </w:r>
            <w:r w:rsidR="00F906B6">
              <w:rPr>
                <w:noProof/>
                <w:webHidden/>
              </w:rPr>
              <w:instrText xml:space="preserve"> PAGEREF _Toc140150259 \h </w:instrText>
            </w:r>
            <w:r w:rsidR="00F906B6">
              <w:rPr>
                <w:noProof/>
                <w:webHidden/>
              </w:rPr>
            </w:r>
            <w:r w:rsidR="00F906B6">
              <w:rPr>
                <w:noProof/>
                <w:webHidden/>
              </w:rPr>
              <w:fldChar w:fldCharType="separate"/>
            </w:r>
            <w:r w:rsidR="00F906B6">
              <w:rPr>
                <w:noProof/>
                <w:webHidden/>
              </w:rPr>
              <w:t>246</w:t>
            </w:r>
            <w:r w:rsidR="00F906B6">
              <w:rPr>
                <w:noProof/>
                <w:webHidden/>
              </w:rPr>
              <w:fldChar w:fldCharType="end"/>
            </w:r>
          </w:hyperlink>
        </w:p>
        <w:p w14:paraId="6BDB7CFB" w14:textId="234FCC9A" w:rsidR="00F906B6" w:rsidRDefault="006035A9">
          <w:pPr>
            <w:pStyle w:val="TOC3"/>
            <w:tabs>
              <w:tab w:val="left" w:pos="1821"/>
              <w:tab w:val="right" w:leader="dot" w:pos="9487"/>
            </w:tabs>
            <w:rPr>
              <w:rFonts w:eastAsiaTheme="minorEastAsia" w:cstheme="minorBidi"/>
              <w:noProof/>
              <w:sz w:val="22"/>
              <w:szCs w:val="22"/>
              <w:lang w:eastAsia="bg-BG"/>
            </w:rPr>
          </w:pPr>
          <w:hyperlink w:anchor="_Toc140150260" w:history="1">
            <w:r w:rsidR="00F906B6" w:rsidRPr="00EC23D2">
              <w:rPr>
                <w:rStyle w:val="Hyperlink"/>
                <w:noProof/>
              </w:rPr>
              <w:t>25.13.</w:t>
            </w:r>
            <w:r w:rsidR="00F906B6">
              <w:rPr>
                <w:rFonts w:eastAsiaTheme="minorEastAsia" w:cstheme="minorBidi"/>
                <w:noProof/>
                <w:sz w:val="22"/>
                <w:szCs w:val="22"/>
                <w:lang w:eastAsia="bg-BG"/>
              </w:rPr>
              <w:tab/>
            </w:r>
            <w:r w:rsidR="00F906B6" w:rsidRPr="00EC23D2">
              <w:rPr>
                <w:rStyle w:val="Hyperlink"/>
                <w:noProof/>
              </w:rPr>
              <w:t>Процедура за предоставяне на авансово финансиране по реда на  ДДС№06/03.09.2011 г.,/ ДДС 04/30.06.2016 г.</w:t>
            </w:r>
            <w:r w:rsidR="00F906B6">
              <w:rPr>
                <w:noProof/>
                <w:webHidden/>
              </w:rPr>
              <w:tab/>
            </w:r>
            <w:r w:rsidR="00F906B6">
              <w:rPr>
                <w:noProof/>
                <w:webHidden/>
              </w:rPr>
              <w:fldChar w:fldCharType="begin"/>
            </w:r>
            <w:r w:rsidR="00F906B6">
              <w:rPr>
                <w:noProof/>
                <w:webHidden/>
              </w:rPr>
              <w:instrText xml:space="preserve"> PAGEREF _Toc140150260 \h </w:instrText>
            </w:r>
            <w:r w:rsidR="00F906B6">
              <w:rPr>
                <w:noProof/>
                <w:webHidden/>
              </w:rPr>
            </w:r>
            <w:r w:rsidR="00F906B6">
              <w:rPr>
                <w:noProof/>
                <w:webHidden/>
              </w:rPr>
              <w:fldChar w:fldCharType="separate"/>
            </w:r>
            <w:r w:rsidR="00F906B6">
              <w:rPr>
                <w:noProof/>
                <w:webHidden/>
              </w:rPr>
              <w:t>246</w:t>
            </w:r>
            <w:r w:rsidR="00F906B6">
              <w:rPr>
                <w:noProof/>
                <w:webHidden/>
              </w:rPr>
              <w:fldChar w:fldCharType="end"/>
            </w:r>
          </w:hyperlink>
        </w:p>
        <w:p w14:paraId="5E5690E2" w14:textId="18FD28D3" w:rsidR="00F906B6" w:rsidRDefault="006035A9">
          <w:pPr>
            <w:pStyle w:val="TOC1"/>
            <w:tabs>
              <w:tab w:val="right" w:leader="dot" w:pos="9487"/>
            </w:tabs>
            <w:rPr>
              <w:rFonts w:eastAsiaTheme="minorEastAsia" w:cstheme="minorBidi"/>
              <w:b w:val="0"/>
              <w:bCs w:val="0"/>
              <w:noProof/>
              <w:sz w:val="22"/>
              <w:szCs w:val="22"/>
              <w:lang w:eastAsia="bg-BG"/>
            </w:rPr>
          </w:pPr>
          <w:hyperlink w:anchor="_Toc140150261" w:history="1">
            <w:r w:rsidR="00F906B6" w:rsidRPr="00EC23D2">
              <w:rPr>
                <w:rStyle w:val="Hyperlink"/>
                <w:rFonts w:ascii="Times New Roman" w:hAnsi="Times New Roman"/>
                <w:noProof/>
                <w:lang w:eastAsia="bg-BG"/>
              </w:rPr>
              <w:t>ГЛАВА 6 АДМИНИСТРИРАНЕ НА НЕРЕДНОСТИ И ИЗВЪРШВАНЕ НА ФИНАНСОВИ КОРЕКЦИИ</w:t>
            </w:r>
            <w:r w:rsidR="00F906B6">
              <w:rPr>
                <w:noProof/>
                <w:webHidden/>
              </w:rPr>
              <w:tab/>
            </w:r>
            <w:r w:rsidR="00F906B6">
              <w:rPr>
                <w:noProof/>
                <w:webHidden/>
              </w:rPr>
              <w:fldChar w:fldCharType="begin"/>
            </w:r>
            <w:r w:rsidR="00F906B6">
              <w:rPr>
                <w:noProof/>
                <w:webHidden/>
              </w:rPr>
              <w:instrText xml:space="preserve"> PAGEREF _Toc140150261 \h </w:instrText>
            </w:r>
            <w:r w:rsidR="00F906B6">
              <w:rPr>
                <w:noProof/>
                <w:webHidden/>
              </w:rPr>
            </w:r>
            <w:r w:rsidR="00F906B6">
              <w:rPr>
                <w:noProof/>
                <w:webHidden/>
              </w:rPr>
              <w:fldChar w:fldCharType="separate"/>
            </w:r>
            <w:r w:rsidR="00F906B6">
              <w:rPr>
                <w:noProof/>
                <w:webHidden/>
              </w:rPr>
              <w:t>250</w:t>
            </w:r>
            <w:r w:rsidR="00F906B6">
              <w:rPr>
                <w:noProof/>
                <w:webHidden/>
              </w:rPr>
              <w:fldChar w:fldCharType="end"/>
            </w:r>
          </w:hyperlink>
        </w:p>
        <w:p w14:paraId="3A0116ED" w14:textId="54DFE44A" w:rsidR="00F906B6" w:rsidRDefault="006035A9">
          <w:pPr>
            <w:pStyle w:val="TOC2"/>
            <w:rPr>
              <w:rFonts w:asciiTheme="minorHAnsi" w:eastAsiaTheme="minorEastAsia" w:hAnsiTheme="minorHAnsi" w:cstheme="minorBidi"/>
              <w:iCs w:val="0"/>
              <w:noProof/>
              <w:sz w:val="22"/>
              <w:szCs w:val="22"/>
              <w:lang w:eastAsia="bg-BG"/>
            </w:rPr>
          </w:pPr>
          <w:hyperlink w:anchor="_Toc140150262" w:history="1">
            <w:r w:rsidR="00F906B6" w:rsidRPr="00EC23D2">
              <w:rPr>
                <w:rStyle w:val="Hyperlink"/>
                <w:noProof/>
              </w:rPr>
              <w:t>26.</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Вътрешни правила за администриране на нередности на УО на ОПТТИ</w:t>
            </w:r>
            <w:r w:rsidR="00F906B6">
              <w:rPr>
                <w:noProof/>
                <w:webHidden/>
              </w:rPr>
              <w:tab/>
            </w:r>
            <w:r w:rsidR="00F906B6">
              <w:rPr>
                <w:noProof/>
                <w:webHidden/>
              </w:rPr>
              <w:fldChar w:fldCharType="begin"/>
            </w:r>
            <w:r w:rsidR="00F906B6">
              <w:rPr>
                <w:noProof/>
                <w:webHidden/>
              </w:rPr>
              <w:instrText xml:space="preserve"> PAGEREF _Toc140150262 \h </w:instrText>
            </w:r>
            <w:r w:rsidR="00F906B6">
              <w:rPr>
                <w:noProof/>
                <w:webHidden/>
              </w:rPr>
            </w:r>
            <w:r w:rsidR="00F906B6">
              <w:rPr>
                <w:noProof/>
                <w:webHidden/>
              </w:rPr>
              <w:fldChar w:fldCharType="separate"/>
            </w:r>
            <w:r w:rsidR="00F906B6">
              <w:rPr>
                <w:noProof/>
                <w:webHidden/>
              </w:rPr>
              <w:t>250</w:t>
            </w:r>
            <w:r w:rsidR="00F906B6">
              <w:rPr>
                <w:noProof/>
                <w:webHidden/>
              </w:rPr>
              <w:fldChar w:fldCharType="end"/>
            </w:r>
          </w:hyperlink>
        </w:p>
        <w:p w14:paraId="56D9605B" w14:textId="552578E4"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63" w:history="1">
            <w:r w:rsidR="00F906B6" w:rsidRPr="00EC23D2">
              <w:rPr>
                <w:rStyle w:val="Hyperlink"/>
                <w:noProof/>
                <w:lang w:eastAsia="en-US"/>
              </w:rPr>
              <w:t>26.1.</w:t>
            </w:r>
            <w:r w:rsidR="00F906B6">
              <w:rPr>
                <w:rFonts w:eastAsiaTheme="minorEastAsia" w:cstheme="minorBidi"/>
                <w:noProof/>
                <w:sz w:val="22"/>
                <w:szCs w:val="22"/>
                <w:lang w:eastAsia="bg-BG"/>
              </w:rPr>
              <w:tab/>
            </w:r>
            <w:r w:rsidR="00F906B6" w:rsidRPr="00EC23D2">
              <w:rPr>
                <w:rStyle w:val="Hyperlink"/>
                <w:noProof/>
                <w:lang w:eastAsia="en-US"/>
              </w:rPr>
              <w:t>Общи сведения</w:t>
            </w:r>
            <w:r w:rsidR="00F906B6">
              <w:rPr>
                <w:noProof/>
                <w:webHidden/>
              </w:rPr>
              <w:tab/>
            </w:r>
            <w:r w:rsidR="00F906B6">
              <w:rPr>
                <w:noProof/>
                <w:webHidden/>
              </w:rPr>
              <w:fldChar w:fldCharType="begin"/>
            </w:r>
            <w:r w:rsidR="00F906B6">
              <w:rPr>
                <w:noProof/>
                <w:webHidden/>
              </w:rPr>
              <w:instrText xml:space="preserve"> PAGEREF _Toc140150263 \h </w:instrText>
            </w:r>
            <w:r w:rsidR="00F906B6">
              <w:rPr>
                <w:noProof/>
                <w:webHidden/>
              </w:rPr>
            </w:r>
            <w:r w:rsidR="00F906B6">
              <w:rPr>
                <w:noProof/>
                <w:webHidden/>
              </w:rPr>
              <w:fldChar w:fldCharType="separate"/>
            </w:r>
            <w:r w:rsidR="00F906B6">
              <w:rPr>
                <w:noProof/>
                <w:webHidden/>
              </w:rPr>
              <w:t>250</w:t>
            </w:r>
            <w:r w:rsidR="00F906B6">
              <w:rPr>
                <w:noProof/>
                <w:webHidden/>
              </w:rPr>
              <w:fldChar w:fldCharType="end"/>
            </w:r>
          </w:hyperlink>
        </w:p>
        <w:p w14:paraId="6C52703A" w14:textId="714624B2"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64" w:history="1">
            <w:r w:rsidR="00F906B6" w:rsidRPr="00EC23D2">
              <w:rPr>
                <w:rStyle w:val="Hyperlink"/>
                <w:noProof/>
                <w:lang w:eastAsia="en-US"/>
              </w:rPr>
              <w:t>26.2.</w:t>
            </w:r>
            <w:r w:rsidR="00F906B6">
              <w:rPr>
                <w:rFonts w:eastAsiaTheme="minorEastAsia" w:cstheme="minorBidi"/>
                <w:noProof/>
                <w:sz w:val="22"/>
                <w:szCs w:val="22"/>
                <w:lang w:eastAsia="bg-BG"/>
              </w:rPr>
              <w:tab/>
            </w:r>
            <w:r w:rsidR="00F906B6" w:rsidRPr="00EC23D2">
              <w:rPr>
                <w:rStyle w:val="Hyperlink"/>
                <w:noProof/>
                <w:lang w:eastAsia="en-US"/>
              </w:rPr>
              <w:t>Регистриране на сигнал за нередност</w:t>
            </w:r>
            <w:r w:rsidR="00F906B6">
              <w:rPr>
                <w:noProof/>
                <w:webHidden/>
              </w:rPr>
              <w:tab/>
            </w:r>
            <w:r w:rsidR="00F906B6">
              <w:rPr>
                <w:noProof/>
                <w:webHidden/>
              </w:rPr>
              <w:fldChar w:fldCharType="begin"/>
            </w:r>
            <w:r w:rsidR="00F906B6">
              <w:rPr>
                <w:noProof/>
                <w:webHidden/>
              </w:rPr>
              <w:instrText xml:space="preserve"> PAGEREF _Toc140150264 \h </w:instrText>
            </w:r>
            <w:r w:rsidR="00F906B6">
              <w:rPr>
                <w:noProof/>
                <w:webHidden/>
              </w:rPr>
            </w:r>
            <w:r w:rsidR="00F906B6">
              <w:rPr>
                <w:noProof/>
                <w:webHidden/>
              </w:rPr>
              <w:fldChar w:fldCharType="separate"/>
            </w:r>
            <w:r w:rsidR="00F906B6">
              <w:rPr>
                <w:noProof/>
                <w:webHidden/>
              </w:rPr>
              <w:t>250</w:t>
            </w:r>
            <w:r w:rsidR="00F906B6">
              <w:rPr>
                <w:noProof/>
                <w:webHidden/>
              </w:rPr>
              <w:fldChar w:fldCharType="end"/>
            </w:r>
          </w:hyperlink>
        </w:p>
        <w:p w14:paraId="31A853DD" w14:textId="14B00730"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65" w:history="1">
            <w:r w:rsidR="00F906B6" w:rsidRPr="00EC23D2">
              <w:rPr>
                <w:rStyle w:val="Hyperlink"/>
                <w:noProof/>
                <w:lang w:eastAsia="en-US"/>
              </w:rPr>
              <w:t>26.3.</w:t>
            </w:r>
            <w:r w:rsidR="00F906B6">
              <w:rPr>
                <w:rFonts w:eastAsiaTheme="minorEastAsia" w:cstheme="minorBidi"/>
                <w:noProof/>
                <w:sz w:val="22"/>
                <w:szCs w:val="22"/>
                <w:lang w:eastAsia="bg-BG"/>
              </w:rPr>
              <w:tab/>
            </w:r>
            <w:r w:rsidR="00F906B6" w:rsidRPr="00EC23D2">
              <w:rPr>
                <w:rStyle w:val="Hyperlink"/>
                <w:noProof/>
                <w:lang w:eastAsia="en-US"/>
              </w:rPr>
              <w:t>Проверка за установяване на нередност или липса на нередност и издаване на първа писмена оценка за установяване на нередност или липса на нередност</w:t>
            </w:r>
            <w:r w:rsidR="00F906B6">
              <w:rPr>
                <w:noProof/>
                <w:webHidden/>
              </w:rPr>
              <w:tab/>
            </w:r>
            <w:r w:rsidR="00F906B6">
              <w:rPr>
                <w:noProof/>
                <w:webHidden/>
              </w:rPr>
              <w:fldChar w:fldCharType="begin"/>
            </w:r>
            <w:r w:rsidR="00F906B6">
              <w:rPr>
                <w:noProof/>
                <w:webHidden/>
              </w:rPr>
              <w:instrText xml:space="preserve"> PAGEREF _Toc140150265 \h </w:instrText>
            </w:r>
            <w:r w:rsidR="00F906B6">
              <w:rPr>
                <w:noProof/>
                <w:webHidden/>
              </w:rPr>
            </w:r>
            <w:r w:rsidR="00F906B6">
              <w:rPr>
                <w:noProof/>
                <w:webHidden/>
              </w:rPr>
              <w:fldChar w:fldCharType="separate"/>
            </w:r>
            <w:r w:rsidR="00F906B6">
              <w:rPr>
                <w:noProof/>
                <w:webHidden/>
              </w:rPr>
              <w:t>251</w:t>
            </w:r>
            <w:r w:rsidR="00F906B6">
              <w:rPr>
                <w:noProof/>
                <w:webHidden/>
              </w:rPr>
              <w:fldChar w:fldCharType="end"/>
            </w:r>
          </w:hyperlink>
        </w:p>
        <w:p w14:paraId="21A60341" w14:textId="0EBFC802"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66" w:history="1">
            <w:r w:rsidR="00F906B6" w:rsidRPr="00EC23D2">
              <w:rPr>
                <w:rStyle w:val="Hyperlink"/>
                <w:noProof/>
                <w:lang w:eastAsia="en-US"/>
              </w:rPr>
              <w:t>26.4.</w:t>
            </w:r>
            <w:r w:rsidR="00F906B6">
              <w:rPr>
                <w:rFonts w:eastAsiaTheme="minorEastAsia" w:cstheme="minorBidi"/>
                <w:noProof/>
                <w:sz w:val="22"/>
                <w:szCs w:val="22"/>
                <w:lang w:eastAsia="bg-BG"/>
              </w:rPr>
              <w:tab/>
            </w:r>
            <w:r w:rsidR="00F906B6" w:rsidRPr="00EC23D2">
              <w:rPr>
                <w:rStyle w:val="Hyperlink"/>
                <w:noProof/>
                <w:lang w:eastAsia="en-US"/>
              </w:rPr>
              <w:t>Регистриране на нередност</w:t>
            </w:r>
            <w:r w:rsidR="00F906B6">
              <w:rPr>
                <w:noProof/>
                <w:webHidden/>
              </w:rPr>
              <w:tab/>
            </w:r>
            <w:r w:rsidR="00F906B6">
              <w:rPr>
                <w:noProof/>
                <w:webHidden/>
              </w:rPr>
              <w:fldChar w:fldCharType="begin"/>
            </w:r>
            <w:r w:rsidR="00F906B6">
              <w:rPr>
                <w:noProof/>
                <w:webHidden/>
              </w:rPr>
              <w:instrText xml:space="preserve"> PAGEREF _Toc140150266 \h </w:instrText>
            </w:r>
            <w:r w:rsidR="00F906B6">
              <w:rPr>
                <w:noProof/>
                <w:webHidden/>
              </w:rPr>
            </w:r>
            <w:r w:rsidR="00F906B6">
              <w:rPr>
                <w:noProof/>
                <w:webHidden/>
              </w:rPr>
              <w:fldChar w:fldCharType="separate"/>
            </w:r>
            <w:r w:rsidR="00F906B6">
              <w:rPr>
                <w:noProof/>
                <w:webHidden/>
              </w:rPr>
              <w:t>257</w:t>
            </w:r>
            <w:r w:rsidR="00F906B6">
              <w:rPr>
                <w:noProof/>
                <w:webHidden/>
              </w:rPr>
              <w:fldChar w:fldCharType="end"/>
            </w:r>
          </w:hyperlink>
        </w:p>
        <w:p w14:paraId="78D79067" w14:textId="0FB8B5F1"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67" w:history="1">
            <w:r w:rsidR="00F906B6" w:rsidRPr="00EC23D2">
              <w:rPr>
                <w:rStyle w:val="Hyperlink"/>
                <w:noProof/>
                <w:lang w:eastAsia="en-US"/>
              </w:rPr>
              <w:t>26.5.</w:t>
            </w:r>
            <w:r w:rsidR="00F906B6">
              <w:rPr>
                <w:rFonts w:eastAsiaTheme="minorEastAsia" w:cstheme="minorBidi"/>
                <w:noProof/>
                <w:sz w:val="22"/>
                <w:szCs w:val="22"/>
                <w:lang w:eastAsia="bg-BG"/>
              </w:rPr>
              <w:tab/>
            </w:r>
            <w:r w:rsidR="00F906B6" w:rsidRPr="00EC23D2">
              <w:rPr>
                <w:rStyle w:val="Hyperlink"/>
                <w:noProof/>
                <w:lang w:eastAsia="en-US"/>
              </w:rPr>
              <w:t>Докладване на нередност</w:t>
            </w:r>
            <w:r w:rsidR="00F906B6">
              <w:rPr>
                <w:noProof/>
                <w:webHidden/>
              </w:rPr>
              <w:tab/>
            </w:r>
            <w:r w:rsidR="00F906B6">
              <w:rPr>
                <w:noProof/>
                <w:webHidden/>
              </w:rPr>
              <w:fldChar w:fldCharType="begin"/>
            </w:r>
            <w:r w:rsidR="00F906B6">
              <w:rPr>
                <w:noProof/>
                <w:webHidden/>
              </w:rPr>
              <w:instrText xml:space="preserve"> PAGEREF _Toc140150267 \h </w:instrText>
            </w:r>
            <w:r w:rsidR="00F906B6">
              <w:rPr>
                <w:noProof/>
                <w:webHidden/>
              </w:rPr>
            </w:r>
            <w:r w:rsidR="00F906B6">
              <w:rPr>
                <w:noProof/>
                <w:webHidden/>
              </w:rPr>
              <w:fldChar w:fldCharType="separate"/>
            </w:r>
            <w:r w:rsidR="00F906B6">
              <w:rPr>
                <w:noProof/>
                <w:webHidden/>
              </w:rPr>
              <w:t>258</w:t>
            </w:r>
            <w:r w:rsidR="00F906B6">
              <w:rPr>
                <w:noProof/>
                <w:webHidden/>
              </w:rPr>
              <w:fldChar w:fldCharType="end"/>
            </w:r>
          </w:hyperlink>
        </w:p>
        <w:p w14:paraId="00CBBDAD" w14:textId="025957B9"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68" w:history="1">
            <w:r w:rsidR="00F906B6" w:rsidRPr="00EC23D2">
              <w:rPr>
                <w:rStyle w:val="Hyperlink"/>
                <w:noProof/>
                <w:lang w:eastAsia="en-US"/>
              </w:rPr>
              <w:t>26.6.</w:t>
            </w:r>
            <w:r w:rsidR="00F906B6">
              <w:rPr>
                <w:rFonts w:eastAsiaTheme="minorEastAsia" w:cstheme="minorBidi"/>
                <w:noProof/>
                <w:sz w:val="22"/>
                <w:szCs w:val="22"/>
                <w:lang w:eastAsia="bg-BG"/>
              </w:rPr>
              <w:tab/>
            </w:r>
            <w:r w:rsidR="00F906B6" w:rsidRPr="00EC23D2">
              <w:rPr>
                <w:rStyle w:val="Hyperlink"/>
                <w:noProof/>
                <w:lang w:eastAsia="en-US"/>
              </w:rPr>
              <w:t>Корективни действия и последващото им проследяване</w:t>
            </w:r>
            <w:r w:rsidR="00F906B6">
              <w:rPr>
                <w:noProof/>
                <w:webHidden/>
              </w:rPr>
              <w:tab/>
            </w:r>
            <w:r w:rsidR="00F906B6">
              <w:rPr>
                <w:noProof/>
                <w:webHidden/>
              </w:rPr>
              <w:fldChar w:fldCharType="begin"/>
            </w:r>
            <w:r w:rsidR="00F906B6">
              <w:rPr>
                <w:noProof/>
                <w:webHidden/>
              </w:rPr>
              <w:instrText xml:space="preserve"> PAGEREF _Toc140150268 \h </w:instrText>
            </w:r>
            <w:r w:rsidR="00F906B6">
              <w:rPr>
                <w:noProof/>
                <w:webHidden/>
              </w:rPr>
            </w:r>
            <w:r w:rsidR="00F906B6">
              <w:rPr>
                <w:noProof/>
                <w:webHidden/>
              </w:rPr>
              <w:fldChar w:fldCharType="separate"/>
            </w:r>
            <w:r w:rsidR="00F906B6">
              <w:rPr>
                <w:noProof/>
                <w:webHidden/>
              </w:rPr>
              <w:t>260</w:t>
            </w:r>
            <w:r w:rsidR="00F906B6">
              <w:rPr>
                <w:noProof/>
                <w:webHidden/>
              </w:rPr>
              <w:fldChar w:fldCharType="end"/>
            </w:r>
          </w:hyperlink>
        </w:p>
        <w:p w14:paraId="23384BDF" w14:textId="180C6C2B"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69" w:history="1">
            <w:r w:rsidR="00F906B6" w:rsidRPr="00EC23D2">
              <w:rPr>
                <w:rStyle w:val="Hyperlink"/>
                <w:noProof/>
                <w:snapToGrid w:val="0"/>
              </w:rPr>
              <w:t>26.7.</w:t>
            </w:r>
            <w:r w:rsidR="00F906B6">
              <w:rPr>
                <w:rFonts w:eastAsiaTheme="minorEastAsia" w:cstheme="minorBidi"/>
                <w:noProof/>
                <w:sz w:val="22"/>
                <w:szCs w:val="22"/>
                <w:lang w:eastAsia="bg-BG"/>
              </w:rPr>
              <w:tab/>
            </w:r>
            <w:r w:rsidR="00F906B6" w:rsidRPr="00EC23D2">
              <w:rPr>
                <w:rStyle w:val="Hyperlink"/>
                <w:noProof/>
                <w:snapToGrid w:val="0"/>
              </w:rPr>
              <w:t>Приключване на процедурата по администриране на нередност</w:t>
            </w:r>
            <w:r w:rsidR="00F906B6">
              <w:rPr>
                <w:noProof/>
                <w:webHidden/>
              </w:rPr>
              <w:tab/>
            </w:r>
            <w:r w:rsidR="00F906B6">
              <w:rPr>
                <w:noProof/>
                <w:webHidden/>
              </w:rPr>
              <w:fldChar w:fldCharType="begin"/>
            </w:r>
            <w:r w:rsidR="00F906B6">
              <w:rPr>
                <w:noProof/>
                <w:webHidden/>
              </w:rPr>
              <w:instrText xml:space="preserve"> PAGEREF _Toc140150269 \h </w:instrText>
            </w:r>
            <w:r w:rsidR="00F906B6">
              <w:rPr>
                <w:noProof/>
                <w:webHidden/>
              </w:rPr>
            </w:r>
            <w:r w:rsidR="00F906B6">
              <w:rPr>
                <w:noProof/>
                <w:webHidden/>
              </w:rPr>
              <w:fldChar w:fldCharType="separate"/>
            </w:r>
            <w:r w:rsidR="00F906B6">
              <w:rPr>
                <w:noProof/>
                <w:webHidden/>
              </w:rPr>
              <w:t>261</w:t>
            </w:r>
            <w:r w:rsidR="00F906B6">
              <w:rPr>
                <w:noProof/>
                <w:webHidden/>
              </w:rPr>
              <w:fldChar w:fldCharType="end"/>
            </w:r>
          </w:hyperlink>
        </w:p>
        <w:p w14:paraId="41C3826E" w14:textId="4152A31C" w:rsidR="00F906B6" w:rsidRDefault="006035A9">
          <w:pPr>
            <w:pStyle w:val="TOC2"/>
            <w:rPr>
              <w:rFonts w:asciiTheme="minorHAnsi" w:eastAsiaTheme="minorEastAsia" w:hAnsiTheme="minorHAnsi" w:cstheme="minorBidi"/>
              <w:iCs w:val="0"/>
              <w:noProof/>
              <w:sz w:val="22"/>
              <w:szCs w:val="22"/>
              <w:lang w:eastAsia="bg-BG"/>
            </w:rPr>
          </w:pPr>
          <w:hyperlink w:anchor="_Toc140150270" w:history="1">
            <w:r w:rsidR="00F906B6" w:rsidRPr="00EC23D2">
              <w:rPr>
                <w:rStyle w:val="Hyperlink"/>
                <w:noProof/>
              </w:rPr>
              <w:t>27.</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ИЗБЯГВАНЕ НА КОНФЛИКТ НА ИНТЕРЕСИ</w:t>
            </w:r>
            <w:r w:rsidR="00F906B6">
              <w:rPr>
                <w:noProof/>
                <w:webHidden/>
              </w:rPr>
              <w:tab/>
            </w:r>
            <w:r w:rsidR="00F906B6">
              <w:rPr>
                <w:noProof/>
                <w:webHidden/>
              </w:rPr>
              <w:fldChar w:fldCharType="begin"/>
            </w:r>
            <w:r w:rsidR="00F906B6">
              <w:rPr>
                <w:noProof/>
                <w:webHidden/>
              </w:rPr>
              <w:instrText xml:space="preserve"> PAGEREF _Toc140150270 \h </w:instrText>
            </w:r>
            <w:r w:rsidR="00F906B6">
              <w:rPr>
                <w:noProof/>
                <w:webHidden/>
              </w:rPr>
            </w:r>
            <w:r w:rsidR="00F906B6">
              <w:rPr>
                <w:noProof/>
                <w:webHidden/>
              </w:rPr>
              <w:fldChar w:fldCharType="separate"/>
            </w:r>
            <w:r w:rsidR="00F906B6">
              <w:rPr>
                <w:noProof/>
                <w:webHidden/>
              </w:rPr>
              <w:t>263</w:t>
            </w:r>
            <w:r w:rsidR="00F906B6">
              <w:rPr>
                <w:noProof/>
                <w:webHidden/>
              </w:rPr>
              <w:fldChar w:fldCharType="end"/>
            </w:r>
          </w:hyperlink>
        </w:p>
        <w:p w14:paraId="046F81D4" w14:textId="07ED95E3" w:rsidR="00F906B6" w:rsidRDefault="006035A9">
          <w:pPr>
            <w:pStyle w:val="TOC1"/>
            <w:tabs>
              <w:tab w:val="right" w:leader="dot" w:pos="9487"/>
            </w:tabs>
            <w:rPr>
              <w:rFonts w:eastAsiaTheme="minorEastAsia" w:cstheme="minorBidi"/>
              <w:b w:val="0"/>
              <w:bCs w:val="0"/>
              <w:noProof/>
              <w:sz w:val="22"/>
              <w:szCs w:val="22"/>
              <w:lang w:eastAsia="bg-BG"/>
            </w:rPr>
          </w:pPr>
          <w:hyperlink w:anchor="_Toc140150271" w:history="1">
            <w:r w:rsidR="00F906B6" w:rsidRPr="00EC23D2">
              <w:rPr>
                <w:rStyle w:val="Hyperlink"/>
                <w:rFonts w:ascii="Times New Roman" w:hAnsi="Times New Roman"/>
                <w:noProof/>
                <w:lang w:eastAsia="bg-BG"/>
              </w:rPr>
              <w:t>ГЛАВА 7 ИЗПЪЛНЕНИЕ И КООРДИНАЦИЯ</w:t>
            </w:r>
            <w:r w:rsidR="00F906B6">
              <w:rPr>
                <w:noProof/>
                <w:webHidden/>
              </w:rPr>
              <w:tab/>
            </w:r>
            <w:r w:rsidR="00F906B6">
              <w:rPr>
                <w:noProof/>
                <w:webHidden/>
              </w:rPr>
              <w:fldChar w:fldCharType="begin"/>
            </w:r>
            <w:r w:rsidR="00F906B6">
              <w:rPr>
                <w:noProof/>
                <w:webHidden/>
              </w:rPr>
              <w:instrText xml:space="preserve"> PAGEREF _Toc140150271 \h </w:instrText>
            </w:r>
            <w:r w:rsidR="00F906B6">
              <w:rPr>
                <w:noProof/>
                <w:webHidden/>
              </w:rPr>
            </w:r>
            <w:r w:rsidR="00F906B6">
              <w:rPr>
                <w:noProof/>
                <w:webHidden/>
              </w:rPr>
              <w:fldChar w:fldCharType="separate"/>
            </w:r>
            <w:r w:rsidR="00F906B6">
              <w:rPr>
                <w:noProof/>
                <w:webHidden/>
              </w:rPr>
              <w:t>265</w:t>
            </w:r>
            <w:r w:rsidR="00F906B6">
              <w:rPr>
                <w:noProof/>
                <w:webHidden/>
              </w:rPr>
              <w:fldChar w:fldCharType="end"/>
            </w:r>
          </w:hyperlink>
        </w:p>
        <w:p w14:paraId="44D4654D" w14:textId="4FBB1130" w:rsidR="00F906B6" w:rsidRDefault="006035A9">
          <w:pPr>
            <w:pStyle w:val="TOC2"/>
            <w:rPr>
              <w:rFonts w:asciiTheme="minorHAnsi" w:eastAsiaTheme="minorEastAsia" w:hAnsiTheme="minorHAnsi" w:cstheme="minorBidi"/>
              <w:iCs w:val="0"/>
              <w:noProof/>
              <w:sz w:val="22"/>
              <w:szCs w:val="22"/>
              <w:lang w:eastAsia="bg-BG"/>
            </w:rPr>
          </w:pPr>
          <w:hyperlink w:anchor="_Toc140150272" w:history="1">
            <w:r w:rsidR="00F906B6" w:rsidRPr="00EC23D2">
              <w:rPr>
                <w:rStyle w:val="Hyperlink"/>
                <w:noProof/>
              </w:rPr>
              <w:t>28.</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НАБЛЮДЕНИЕ НА ПРОГРАМАТА НА НИВО ПРОЕКТИ</w:t>
            </w:r>
            <w:r w:rsidR="00F906B6">
              <w:rPr>
                <w:noProof/>
                <w:webHidden/>
              </w:rPr>
              <w:tab/>
            </w:r>
            <w:r w:rsidR="00F906B6">
              <w:rPr>
                <w:noProof/>
                <w:webHidden/>
              </w:rPr>
              <w:fldChar w:fldCharType="begin"/>
            </w:r>
            <w:r w:rsidR="00F906B6">
              <w:rPr>
                <w:noProof/>
                <w:webHidden/>
              </w:rPr>
              <w:instrText xml:space="preserve"> PAGEREF _Toc140150272 \h </w:instrText>
            </w:r>
            <w:r w:rsidR="00F906B6">
              <w:rPr>
                <w:noProof/>
                <w:webHidden/>
              </w:rPr>
            </w:r>
            <w:r w:rsidR="00F906B6">
              <w:rPr>
                <w:noProof/>
                <w:webHidden/>
              </w:rPr>
              <w:fldChar w:fldCharType="separate"/>
            </w:r>
            <w:r w:rsidR="00F906B6">
              <w:rPr>
                <w:noProof/>
                <w:webHidden/>
              </w:rPr>
              <w:t>265</w:t>
            </w:r>
            <w:r w:rsidR="00F906B6">
              <w:rPr>
                <w:noProof/>
                <w:webHidden/>
              </w:rPr>
              <w:fldChar w:fldCharType="end"/>
            </w:r>
          </w:hyperlink>
        </w:p>
        <w:p w14:paraId="233F1929" w14:textId="4179CAAC"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73" w:history="1">
            <w:r w:rsidR="00F906B6" w:rsidRPr="00EC23D2">
              <w:rPr>
                <w:rStyle w:val="Hyperlink"/>
                <w:noProof/>
                <w:snapToGrid w:val="0"/>
              </w:rPr>
              <w:t>28.1.</w:t>
            </w:r>
            <w:r w:rsidR="00F906B6">
              <w:rPr>
                <w:rFonts w:eastAsiaTheme="minorEastAsia" w:cstheme="minorBidi"/>
                <w:noProof/>
                <w:sz w:val="22"/>
                <w:szCs w:val="22"/>
                <w:lang w:eastAsia="bg-BG"/>
              </w:rPr>
              <w:tab/>
            </w:r>
            <w:r w:rsidR="00F906B6" w:rsidRPr="00EC23D2">
              <w:rPr>
                <w:rStyle w:val="Hyperlink"/>
                <w:noProof/>
                <w:snapToGrid w:val="0"/>
              </w:rPr>
              <w:t>Докладване на напредъка на проектите</w:t>
            </w:r>
            <w:r w:rsidR="00F906B6">
              <w:rPr>
                <w:noProof/>
                <w:webHidden/>
              </w:rPr>
              <w:tab/>
            </w:r>
            <w:r w:rsidR="00F906B6">
              <w:rPr>
                <w:noProof/>
                <w:webHidden/>
              </w:rPr>
              <w:fldChar w:fldCharType="begin"/>
            </w:r>
            <w:r w:rsidR="00F906B6">
              <w:rPr>
                <w:noProof/>
                <w:webHidden/>
              </w:rPr>
              <w:instrText xml:space="preserve"> PAGEREF _Toc140150273 \h </w:instrText>
            </w:r>
            <w:r w:rsidR="00F906B6">
              <w:rPr>
                <w:noProof/>
                <w:webHidden/>
              </w:rPr>
            </w:r>
            <w:r w:rsidR="00F906B6">
              <w:rPr>
                <w:noProof/>
                <w:webHidden/>
              </w:rPr>
              <w:fldChar w:fldCharType="separate"/>
            </w:r>
            <w:r w:rsidR="00F906B6">
              <w:rPr>
                <w:noProof/>
                <w:webHidden/>
              </w:rPr>
              <w:t>265</w:t>
            </w:r>
            <w:r w:rsidR="00F906B6">
              <w:rPr>
                <w:noProof/>
                <w:webHidden/>
              </w:rPr>
              <w:fldChar w:fldCharType="end"/>
            </w:r>
          </w:hyperlink>
        </w:p>
        <w:p w14:paraId="46B4F9BC" w14:textId="7808031A"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75" w:history="1">
            <w:r w:rsidR="00F906B6" w:rsidRPr="00EC23D2">
              <w:rPr>
                <w:rStyle w:val="Hyperlink"/>
                <w:noProof/>
                <w:snapToGrid w:val="0"/>
              </w:rPr>
              <w:t>28.2.</w:t>
            </w:r>
            <w:r w:rsidR="00F906B6">
              <w:rPr>
                <w:rFonts w:eastAsiaTheme="minorEastAsia" w:cstheme="minorBidi"/>
                <w:noProof/>
                <w:sz w:val="22"/>
                <w:szCs w:val="22"/>
                <w:lang w:eastAsia="bg-BG"/>
              </w:rPr>
              <w:tab/>
            </w:r>
            <w:r w:rsidR="00F906B6" w:rsidRPr="00EC23D2">
              <w:rPr>
                <w:rStyle w:val="Hyperlink"/>
                <w:noProof/>
                <w:snapToGrid w:val="0"/>
              </w:rPr>
              <w:t>Проверки на място</w:t>
            </w:r>
            <w:r w:rsidR="00F906B6">
              <w:rPr>
                <w:noProof/>
                <w:webHidden/>
              </w:rPr>
              <w:tab/>
            </w:r>
            <w:r w:rsidR="00F906B6">
              <w:rPr>
                <w:noProof/>
                <w:webHidden/>
              </w:rPr>
              <w:fldChar w:fldCharType="begin"/>
            </w:r>
            <w:r w:rsidR="00F906B6">
              <w:rPr>
                <w:noProof/>
                <w:webHidden/>
              </w:rPr>
              <w:instrText xml:space="preserve"> PAGEREF _Toc140150275 \h </w:instrText>
            </w:r>
            <w:r w:rsidR="00F906B6">
              <w:rPr>
                <w:noProof/>
                <w:webHidden/>
              </w:rPr>
            </w:r>
            <w:r w:rsidR="00F906B6">
              <w:rPr>
                <w:noProof/>
                <w:webHidden/>
              </w:rPr>
              <w:fldChar w:fldCharType="separate"/>
            </w:r>
            <w:r w:rsidR="00F906B6">
              <w:rPr>
                <w:noProof/>
                <w:webHidden/>
              </w:rPr>
              <w:t>272</w:t>
            </w:r>
            <w:r w:rsidR="00F906B6">
              <w:rPr>
                <w:noProof/>
                <w:webHidden/>
              </w:rPr>
              <w:fldChar w:fldCharType="end"/>
            </w:r>
          </w:hyperlink>
        </w:p>
        <w:p w14:paraId="27DD71D9" w14:textId="639441BF"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76" w:history="1">
            <w:r w:rsidR="00F906B6" w:rsidRPr="00EC23D2">
              <w:rPr>
                <w:rStyle w:val="Hyperlink"/>
                <w:noProof/>
                <w:snapToGrid w:val="0"/>
              </w:rPr>
              <w:t>28.3.</w:t>
            </w:r>
            <w:r w:rsidR="00F906B6">
              <w:rPr>
                <w:rFonts w:eastAsiaTheme="minorEastAsia" w:cstheme="minorBidi"/>
                <w:noProof/>
                <w:sz w:val="22"/>
                <w:szCs w:val="22"/>
                <w:lang w:eastAsia="bg-BG"/>
              </w:rPr>
              <w:tab/>
            </w:r>
            <w:r w:rsidR="00F906B6" w:rsidRPr="00EC23D2">
              <w:rPr>
                <w:rStyle w:val="Hyperlink"/>
                <w:noProof/>
                <w:snapToGrid w:val="0"/>
              </w:rPr>
              <w:t>Наблюдение на проекти, финансирани по приоритетна ос „Техническа помощ” на Оперативна програма „Транспорт и транспортна инфраструктура”, по които УО е бенефициент</w:t>
            </w:r>
            <w:r w:rsidR="00F906B6">
              <w:rPr>
                <w:noProof/>
                <w:webHidden/>
              </w:rPr>
              <w:tab/>
            </w:r>
            <w:r w:rsidR="00F906B6">
              <w:rPr>
                <w:noProof/>
                <w:webHidden/>
              </w:rPr>
              <w:fldChar w:fldCharType="begin"/>
            </w:r>
            <w:r w:rsidR="00F906B6">
              <w:rPr>
                <w:noProof/>
                <w:webHidden/>
              </w:rPr>
              <w:instrText xml:space="preserve"> PAGEREF _Toc140150276 \h </w:instrText>
            </w:r>
            <w:r w:rsidR="00F906B6">
              <w:rPr>
                <w:noProof/>
                <w:webHidden/>
              </w:rPr>
            </w:r>
            <w:r w:rsidR="00F906B6">
              <w:rPr>
                <w:noProof/>
                <w:webHidden/>
              </w:rPr>
              <w:fldChar w:fldCharType="separate"/>
            </w:r>
            <w:r w:rsidR="00F906B6">
              <w:rPr>
                <w:noProof/>
                <w:webHidden/>
              </w:rPr>
              <w:t>284</w:t>
            </w:r>
            <w:r w:rsidR="00F906B6">
              <w:rPr>
                <w:noProof/>
                <w:webHidden/>
              </w:rPr>
              <w:fldChar w:fldCharType="end"/>
            </w:r>
          </w:hyperlink>
        </w:p>
        <w:p w14:paraId="75654F6C" w14:textId="01E6E2FA" w:rsidR="00F906B6" w:rsidRDefault="006035A9">
          <w:pPr>
            <w:pStyle w:val="TOC2"/>
            <w:rPr>
              <w:rFonts w:asciiTheme="minorHAnsi" w:eastAsiaTheme="minorEastAsia" w:hAnsiTheme="minorHAnsi" w:cstheme="minorBidi"/>
              <w:iCs w:val="0"/>
              <w:noProof/>
              <w:sz w:val="22"/>
              <w:szCs w:val="22"/>
              <w:lang w:eastAsia="bg-BG"/>
            </w:rPr>
          </w:pPr>
          <w:hyperlink w:anchor="_Toc140150277" w:history="1">
            <w:r w:rsidR="00F906B6" w:rsidRPr="00EC23D2">
              <w:rPr>
                <w:rStyle w:val="Hyperlink"/>
                <w:noProof/>
              </w:rPr>
              <w:t>29.</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УПРАВЛЕНИЕ НА ДОКУМЕНТООБОРОТА И АРХИВА</w:t>
            </w:r>
            <w:r w:rsidR="00F906B6">
              <w:rPr>
                <w:noProof/>
                <w:webHidden/>
              </w:rPr>
              <w:tab/>
            </w:r>
            <w:r w:rsidR="00F906B6">
              <w:rPr>
                <w:noProof/>
                <w:webHidden/>
              </w:rPr>
              <w:fldChar w:fldCharType="begin"/>
            </w:r>
            <w:r w:rsidR="00F906B6">
              <w:rPr>
                <w:noProof/>
                <w:webHidden/>
              </w:rPr>
              <w:instrText xml:space="preserve"> PAGEREF _Toc140150277 \h </w:instrText>
            </w:r>
            <w:r w:rsidR="00F906B6">
              <w:rPr>
                <w:noProof/>
                <w:webHidden/>
              </w:rPr>
            </w:r>
            <w:r w:rsidR="00F906B6">
              <w:rPr>
                <w:noProof/>
                <w:webHidden/>
              </w:rPr>
              <w:fldChar w:fldCharType="separate"/>
            </w:r>
            <w:r w:rsidR="00F906B6">
              <w:rPr>
                <w:noProof/>
                <w:webHidden/>
              </w:rPr>
              <w:t>288</w:t>
            </w:r>
            <w:r w:rsidR="00F906B6">
              <w:rPr>
                <w:noProof/>
                <w:webHidden/>
              </w:rPr>
              <w:fldChar w:fldCharType="end"/>
            </w:r>
          </w:hyperlink>
        </w:p>
        <w:p w14:paraId="4AA4C7E9" w14:textId="58C8B4E8"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78" w:history="1">
            <w:r w:rsidR="00F906B6" w:rsidRPr="00EC23D2">
              <w:rPr>
                <w:rStyle w:val="Hyperlink"/>
                <w:noProof/>
                <w:snapToGrid w:val="0"/>
              </w:rPr>
              <w:t>29.1.</w:t>
            </w:r>
            <w:r w:rsidR="00F906B6">
              <w:rPr>
                <w:rFonts w:eastAsiaTheme="minorEastAsia" w:cstheme="minorBidi"/>
                <w:noProof/>
                <w:sz w:val="22"/>
                <w:szCs w:val="22"/>
                <w:lang w:eastAsia="bg-BG"/>
              </w:rPr>
              <w:tab/>
            </w:r>
            <w:r w:rsidR="00F906B6" w:rsidRPr="00EC23D2">
              <w:rPr>
                <w:rStyle w:val="Hyperlink"/>
                <w:noProof/>
                <w:snapToGrid w:val="0"/>
              </w:rPr>
              <w:t>Указания за периода, за който документите следва да се съхраняват</w:t>
            </w:r>
            <w:r w:rsidR="00F906B6">
              <w:rPr>
                <w:noProof/>
                <w:webHidden/>
              </w:rPr>
              <w:tab/>
            </w:r>
            <w:r w:rsidR="00F906B6">
              <w:rPr>
                <w:noProof/>
                <w:webHidden/>
              </w:rPr>
              <w:fldChar w:fldCharType="begin"/>
            </w:r>
            <w:r w:rsidR="00F906B6">
              <w:rPr>
                <w:noProof/>
                <w:webHidden/>
              </w:rPr>
              <w:instrText xml:space="preserve"> PAGEREF _Toc140150278 \h </w:instrText>
            </w:r>
            <w:r w:rsidR="00F906B6">
              <w:rPr>
                <w:noProof/>
                <w:webHidden/>
              </w:rPr>
            </w:r>
            <w:r w:rsidR="00F906B6">
              <w:rPr>
                <w:noProof/>
                <w:webHidden/>
              </w:rPr>
              <w:fldChar w:fldCharType="separate"/>
            </w:r>
            <w:r w:rsidR="00F906B6">
              <w:rPr>
                <w:noProof/>
                <w:webHidden/>
              </w:rPr>
              <w:t>289</w:t>
            </w:r>
            <w:r w:rsidR="00F906B6">
              <w:rPr>
                <w:noProof/>
                <w:webHidden/>
              </w:rPr>
              <w:fldChar w:fldCharType="end"/>
            </w:r>
          </w:hyperlink>
        </w:p>
        <w:p w14:paraId="2E962238" w14:textId="2F89D228"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79" w:history="1">
            <w:r w:rsidR="00F906B6" w:rsidRPr="00EC23D2">
              <w:rPr>
                <w:rStyle w:val="Hyperlink"/>
                <w:noProof/>
                <w:snapToGrid w:val="0"/>
              </w:rPr>
              <w:t>29.2.</w:t>
            </w:r>
            <w:r w:rsidR="00F906B6">
              <w:rPr>
                <w:rFonts w:eastAsiaTheme="minorEastAsia" w:cstheme="minorBidi"/>
                <w:noProof/>
                <w:sz w:val="22"/>
                <w:szCs w:val="22"/>
                <w:lang w:eastAsia="bg-BG"/>
              </w:rPr>
              <w:tab/>
            </w:r>
            <w:r w:rsidR="00F906B6" w:rsidRPr="00EC23D2">
              <w:rPr>
                <w:rStyle w:val="Hyperlink"/>
                <w:noProof/>
                <w:snapToGrid w:val="0"/>
              </w:rPr>
              <w:t>Формат, в който следва да се съхраняват документите</w:t>
            </w:r>
            <w:r w:rsidR="00F906B6">
              <w:rPr>
                <w:noProof/>
                <w:webHidden/>
              </w:rPr>
              <w:tab/>
            </w:r>
            <w:r w:rsidR="00F906B6">
              <w:rPr>
                <w:noProof/>
                <w:webHidden/>
              </w:rPr>
              <w:fldChar w:fldCharType="begin"/>
            </w:r>
            <w:r w:rsidR="00F906B6">
              <w:rPr>
                <w:noProof/>
                <w:webHidden/>
              </w:rPr>
              <w:instrText xml:space="preserve"> PAGEREF _Toc140150279 \h </w:instrText>
            </w:r>
            <w:r w:rsidR="00F906B6">
              <w:rPr>
                <w:noProof/>
                <w:webHidden/>
              </w:rPr>
            </w:r>
            <w:r w:rsidR="00F906B6">
              <w:rPr>
                <w:noProof/>
                <w:webHidden/>
              </w:rPr>
              <w:fldChar w:fldCharType="separate"/>
            </w:r>
            <w:r w:rsidR="00F906B6">
              <w:rPr>
                <w:noProof/>
                <w:webHidden/>
              </w:rPr>
              <w:t>290</w:t>
            </w:r>
            <w:r w:rsidR="00F906B6">
              <w:rPr>
                <w:noProof/>
                <w:webHidden/>
              </w:rPr>
              <w:fldChar w:fldCharType="end"/>
            </w:r>
          </w:hyperlink>
        </w:p>
        <w:p w14:paraId="50AB7963" w14:textId="0A4A193C"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80" w:history="1">
            <w:r w:rsidR="00F906B6" w:rsidRPr="00EC23D2">
              <w:rPr>
                <w:rStyle w:val="Hyperlink"/>
                <w:noProof/>
              </w:rPr>
              <w:t>29.3.</w:t>
            </w:r>
            <w:r w:rsidR="00F906B6">
              <w:rPr>
                <w:rFonts w:eastAsiaTheme="minorEastAsia" w:cstheme="minorBidi"/>
                <w:noProof/>
                <w:sz w:val="22"/>
                <w:szCs w:val="22"/>
                <w:lang w:eastAsia="bg-BG"/>
              </w:rPr>
              <w:tab/>
            </w:r>
            <w:r w:rsidR="00F906B6" w:rsidRPr="00EC23D2">
              <w:rPr>
                <w:rStyle w:val="Hyperlink"/>
                <w:noProof/>
                <w:snapToGrid w:val="0"/>
              </w:rPr>
              <w:t>Документооборот към/от Министерството на транспорта и съобщенията</w:t>
            </w:r>
            <w:r w:rsidR="00F906B6">
              <w:rPr>
                <w:noProof/>
                <w:webHidden/>
              </w:rPr>
              <w:tab/>
            </w:r>
            <w:r w:rsidR="00F906B6">
              <w:rPr>
                <w:noProof/>
                <w:webHidden/>
              </w:rPr>
              <w:fldChar w:fldCharType="begin"/>
            </w:r>
            <w:r w:rsidR="00F906B6">
              <w:rPr>
                <w:noProof/>
                <w:webHidden/>
              </w:rPr>
              <w:instrText xml:space="preserve"> PAGEREF _Toc140150280 \h </w:instrText>
            </w:r>
            <w:r w:rsidR="00F906B6">
              <w:rPr>
                <w:noProof/>
                <w:webHidden/>
              </w:rPr>
            </w:r>
            <w:r w:rsidR="00F906B6">
              <w:rPr>
                <w:noProof/>
                <w:webHidden/>
              </w:rPr>
              <w:fldChar w:fldCharType="separate"/>
            </w:r>
            <w:r w:rsidR="00F906B6">
              <w:rPr>
                <w:noProof/>
                <w:webHidden/>
              </w:rPr>
              <w:t>292</w:t>
            </w:r>
            <w:r w:rsidR="00F906B6">
              <w:rPr>
                <w:noProof/>
                <w:webHidden/>
              </w:rPr>
              <w:fldChar w:fldCharType="end"/>
            </w:r>
          </w:hyperlink>
        </w:p>
        <w:p w14:paraId="5D5CA9E6" w14:textId="60D9B252"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81" w:history="1">
            <w:r w:rsidR="00F906B6" w:rsidRPr="00EC23D2">
              <w:rPr>
                <w:rStyle w:val="Hyperlink"/>
                <w:noProof/>
              </w:rPr>
              <w:t>29.4.</w:t>
            </w:r>
            <w:r w:rsidR="00F906B6">
              <w:rPr>
                <w:rFonts w:eastAsiaTheme="minorEastAsia" w:cstheme="minorBidi"/>
                <w:noProof/>
                <w:sz w:val="22"/>
                <w:szCs w:val="22"/>
                <w:lang w:eastAsia="bg-BG"/>
              </w:rPr>
              <w:tab/>
            </w:r>
            <w:r w:rsidR="00F906B6" w:rsidRPr="00EC23D2">
              <w:rPr>
                <w:rStyle w:val="Hyperlink"/>
                <w:noProof/>
              </w:rPr>
              <w:t>Осигуряване на одитна пътека по процедури от компетенциите на отдел „Програмиране”</w:t>
            </w:r>
            <w:r w:rsidR="00F906B6">
              <w:rPr>
                <w:noProof/>
                <w:webHidden/>
              </w:rPr>
              <w:tab/>
            </w:r>
            <w:r w:rsidR="00F906B6">
              <w:rPr>
                <w:noProof/>
                <w:webHidden/>
              </w:rPr>
              <w:fldChar w:fldCharType="begin"/>
            </w:r>
            <w:r w:rsidR="00F906B6">
              <w:rPr>
                <w:noProof/>
                <w:webHidden/>
              </w:rPr>
              <w:instrText xml:space="preserve"> PAGEREF _Toc140150281 \h </w:instrText>
            </w:r>
            <w:r w:rsidR="00F906B6">
              <w:rPr>
                <w:noProof/>
                <w:webHidden/>
              </w:rPr>
            </w:r>
            <w:r w:rsidR="00F906B6">
              <w:rPr>
                <w:noProof/>
                <w:webHidden/>
              </w:rPr>
              <w:fldChar w:fldCharType="separate"/>
            </w:r>
            <w:r w:rsidR="00F906B6">
              <w:rPr>
                <w:noProof/>
                <w:webHidden/>
              </w:rPr>
              <w:t>294</w:t>
            </w:r>
            <w:r w:rsidR="00F906B6">
              <w:rPr>
                <w:noProof/>
                <w:webHidden/>
              </w:rPr>
              <w:fldChar w:fldCharType="end"/>
            </w:r>
          </w:hyperlink>
        </w:p>
        <w:p w14:paraId="46EEBBB7" w14:textId="5CB55BBE"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82" w:history="1">
            <w:r w:rsidR="00F906B6" w:rsidRPr="00EC23D2">
              <w:rPr>
                <w:rStyle w:val="Hyperlink"/>
                <w:noProof/>
              </w:rPr>
              <w:t>29.5.</w:t>
            </w:r>
            <w:r w:rsidR="00F906B6">
              <w:rPr>
                <w:rFonts w:eastAsiaTheme="minorEastAsia" w:cstheme="minorBidi"/>
                <w:noProof/>
                <w:sz w:val="22"/>
                <w:szCs w:val="22"/>
                <w:lang w:eastAsia="bg-BG"/>
              </w:rPr>
              <w:tab/>
            </w:r>
            <w:r w:rsidR="00F906B6" w:rsidRPr="00EC23D2">
              <w:rPr>
                <w:rStyle w:val="Hyperlink"/>
                <w:noProof/>
              </w:rPr>
              <w:t>Осигуряване на одитна пътека по процедури от компетенциите на отдел „Контрол по обществени поръчки”</w:t>
            </w:r>
            <w:r w:rsidR="00F906B6">
              <w:rPr>
                <w:noProof/>
                <w:webHidden/>
              </w:rPr>
              <w:tab/>
            </w:r>
            <w:r w:rsidR="00F906B6">
              <w:rPr>
                <w:noProof/>
                <w:webHidden/>
              </w:rPr>
              <w:fldChar w:fldCharType="begin"/>
            </w:r>
            <w:r w:rsidR="00F906B6">
              <w:rPr>
                <w:noProof/>
                <w:webHidden/>
              </w:rPr>
              <w:instrText xml:space="preserve"> PAGEREF _Toc140150282 \h </w:instrText>
            </w:r>
            <w:r w:rsidR="00F906B6">
              <w:rPr>
                <w:noProof/>
                <w:webHidden/>
              </w:rPr>
            </w:r>
            <w:r w:rsidR="00F906B6">
              <w:rPr>
                <w:noProof/>
                <w:webHidden/>
              </w:rPr>
              <w:fldChar w:fldCharType="separate"/>
            </w:r>
            <w:r w:rsidR="00F906B6">
              <w:rPr>
                <w:noProof/>
                <w:webHidden/>
              </w:rPr>
              <w:t>296</w:t>
            </w:r>
            <w:r w:rsidR="00F906B6">
              <w:rPr>
                <w:noProof/>
                <w:webHidden/>
              </w:rPr>
              <w:fldChar w:fldCharType="end"/>
            </w:r>
          </w:hyperlink>
        </w:p>
        <w:p w14:paraId="4FA4292E" w14:textId="4B12B203"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83" w:history="1">
            <w:r w:rsidR="00F906B6" w:rsidRPr="00EC23D2">
              <w:rPr>
                <w:rStyle w:val="Hyperlink"/>
                <w:noProof/>
              </w:rPr>
              <w:t>29.6.</w:t>
            </w:r>
            <w:r w:rsidR="00F906B6">
              <w:rPr>
                <w:rFonts w:eastAsiaTheme="minorEastAsia" w:cstheme="minorBidi"/>
                <w:noProof/>
                <w:sz w:val="22"/>
                <w:szCs w:val="22"/>
                <w:lang w:eastAsia="bg-BG"/>
              </w:rPr>
              <w:tab/>
            </w:r>
            <w:r w:rsidR="00F906B6" w:rsidRPr="00EC23D2">
              <w:rPr>
                <w:rStyle w:val="Hyperlink"/>
                <w:noProof/>
              </w:rPr>
              <w:t>Осигуряване на одитна пътека по процедури от компетенциите на отдел „Финансово управление”</w:t>
            </w:r>
            <w:r w:rsidR="00F906B6">
              <w:rPr>
                <w:noProof/>
                <w:webHidden/>
              </w:rPr>
              <w:tab/>
            </w:r>
            <w:r w:rsidR="00F906B6">
              <w:rPr>
                <w:noProof/>
                <w:webHidden/>
              </w:rPr>
              <w:fldChar w:fldCharType="begin"/>
            </w:r>
            <w:r w:rsidR="00F906B6">
              <w:rPr>
                <w:noProof/>
                <w:webHidden/>
              </w:rPr>
              <w:instrText xml:space="preserve"> PAGEREF _Toc140150283 \h </w:instrText>
            </w:r>
            <w:r w:rsidR="00F906B6">
              <w:rPr>
                <w:noProof/>
                <w:webHidden/>
              </w:rPr>
            </w:r>
            <w:r w:rsidR="00F906B6">
              <w:rPr>
                <w:noProof/>
                <w:webHidden/>
              </w:rPr>
              <w:fldChar w:fldCharType="separate"/>
            </w:r>
            <w:r w:rsidR="00F906B6">
              <w:rPr>
                <w:noProof/>
                <w:webHidden/>
              </w:rPr>
              <w:t>296</w:t>
            </w:r>
            <w:r w:rsidR="00F906B6">
              <w:rPr>
                <w:noProof/>
                <w:webHidden/>
              </w:rPr>
              <w:fldChar w:fldCharType="end"/>
            </w:r>
          </w:hyperlink>
        </w:p>
        <w:p w14:paraId="67CCB169" w14:textId="49D06CAC"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84" w:history="1">
            <w:r w:rsidR="00F906B6" w:rsidRPr="00EC23D2">
              <w:rPr>
                <w:rStyle w:val="Hyperlink"/>
                <w:noProof/>
              </w:rPr>
              <w:t>29.7.</w:t>
            </w:r>
            <w:r w:rsidR="00F906B6">
              <w:rPr>
                <w:rFonts w:eastAsiaTheme="minorEastAsia" w:cstheme="minorBidi"/>
                <w:noProof/>
                <w:sz w:val="22"/>
                <w:szCs w:val="22"/>
                <w:lang w:eastAsia="bg-BG"/>
              </w:rPr>
              <w:tab/>
            </w:r>
            <w:r w:rsidR="00F906B6" w:rsidRPr="00EC23D2">
              <w:rPr>
                <w:rStyle w:val="Hyperlink"/>
                <w:noProof/>
              </w:rPr>
              <w:t>Осигуряване на одитна пътека по процедури от компетенциите на отдел „Изпълнение и координация”</w:t>
            </w:r>
            <w:r w:rsidR="00F906B6">
              <w:rPr>
                <w:noProof/>
                <w:webHidden/>
              </w:rPr>
              <w:tab/>
            </w:r>
            <w:r w:rsidR="00F906B6">
              <w:rPr>
                <w:noProof/>
                <w:webHidden/>
              </w:rPr>
              <w:fldChar w:fldCharType="begin"/>
            </w:r>
            <w:r w:rsidR="00F906B6">
              <w:rPr>
                <w:noProof/>
                <w:webHidden/>
              </w:rPr>
              <w:instrText xml:space="preserve"> PAGEREF _Toc140150284 \h </w:instrText>
            </w:r>
            <w:r w:rsidR="00F906B6">
              <w:rPr>
                <w:noProof/>
                <w:webHidden/>
              </w:rPr>
            </w:r>
            <w:r w:rsidR="00F906B6">
              <w:rPr>
                <w:noProof/>
                <w:webHidden/>
              </w:rPr>
              <w:fldChar w:fldCharType="separate"/>
            </w:r>
            <w:r w:rsidR="00F906B6">
              <w:rPr>
                <w:noProof/>
                <w:webHidden/>
              </w:rPr>
              <w:t>297</w:t>
            </w:r>
            <w:r w:rsidR="00F906B6">
              <w:rPr>
                <w:noProof/>
                <w:webHidden/>
              </w:rPr>
              <w:fldChar w:fldCharType="end"/>
            </w:r>
          </w:hyperlink>
        </w:p>
        <w:p w14:paraId="32BEF1F8" w14:textId="546AE537"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85" w:history="1">
            <w:r w:rsidR="00F906B6" w:rsidRPr="00EC23D2">
              <w:rPr>
                <w:rStyle w:val="Hyperlink"/>
                <w:noProof/>
              </w:rPr>
              <w:t>29.8.</w:t>
            </w:r>
            <w:r w:rsidR="00F906B6">
              <w:rPr>
                <w:rFonts w:eastAsiaTheme="minorEastAsia" w:cstheme="minorBidi"/>
                <w:noProof/>
                <w:sz w:val="22"/>
                <w:szCs w:val="22"/>
                <w:lang w:eastAsia="bg-BG"/>
              </w:rPr>
              <w:tab/>
            </w:r>
            <w:r w:rsidR="00F906B6" w:rsidRPr="00EC23D2">
              <w:rPr>
                <w:rStyle w:val="Hyperlink"/>
                <w:noProof/>
              </w:rPr>
              <w:t>Осигуряване на одитна пътека по процедури от компетенциите на отдел „Наблюдение и оценка”</w:t>
            </w:r>
            <w:r w:rsidR="00F906B6">
              <w:rPr>
                <w:noProof/>
                <w:webHidden/>
              </w:rPr>
              <w:tab/>
            </w:r>
            <w:r w:rsidR="00F906B6">
              <w:rPr>
                <w:noProof/>
                <w:webHidden/>
              </w:rPr>
              <w:fldChar w:fldCharType="begin"/>
            </w:r>
            <w:r w:rsidR="00F906B6">
              <w:rPr>
                <w:noProof/>
                <w:webHidden/>
              </w:rPr>
              <w:instrText xml:space="preserve"> PAGEREF _Toc140150285 \h </w:instrText>
            </w:r>
            <w:r w:rsidR="00F906B6">
              <w:rPr>
                <w:noProof/>
                <w:webHidden/>
              </w:rPr>
            </w:r>
            <w:r w:rsidR="00F906B6">
              <w:rPr>
                <w:noProof/>
                <w:webHidden/>
              </w:rPr>
              <w:fldChar w:fldCharType="separate"/>
            </w:r>
            <w:r w:rsidR="00F906B6">
              <w:rPr>
                <w:noProof/>
                <w:webHidden/>
              </w:rPr>
              <w:t>298</w:t>
            </w:r>
            <w:r w:rsidR="00F906B6">
              <w:rPr>
                <w:noProof/>
                <w:webHidden/>
              </w:rPr>
              <w:fldChar w:fldCharType="end"/>
            </w:r>
          </w:hyperlink>
        </w:p>
        <w:p w14:paraId="6255955A" w14:textId="17743C28"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87" w:history="1">
            <w:r w:rsidR="00F906B6" w:rsidRPr="00EC23D2">
              <w:rPr>
                <w:rStyle w:val="Hyperlink"/>
                <w:noProof/>
              </w:rPr>
              <w:t>29.9.</w:t>
            </w:r>
            <w:r w:rsidR="00F906B6">
              <w:rPr>
                <w:rFonts w:eastAsiaTheme="minorEastAsia" w:cstheme="minorBidi"/>
                <w:noProof/>
                <w:sz w:val="22"/>
                <w:szCs w:val="22"/>
                <w:lang w:eastAsia="bg-BG"/>
              </w:rPr>
              <w:tab/>
            </w:r>
            <w:r w:rsidR="00F906B6" w:rsidRPr="00EC23D2">
              <w:rPr>
                <w:rStyle w:val="Hyperlink"/>
                <w:noProof/>
              </w:rPr>
              <w:t>Осигуряване на одитна пътека по процедури от компетенциите на отдел „Информация, публичност и техническа помощ”</w:t>
            </w:r>
            <w:r w:rsidR="00F906B6">
              <w:rPr>
                <w:noProof/>
                <w:webHidden/>
              </w:rPr>
              <w:tab/>
            </w:r>
            <w:r w:rsidR="00F906B6">
              <w:rPr>
                <w:noProof/>
                <w:webHidden/>
              </w:rPr>
              <w:fldChar w:fldCharType="begin"/>
            </w:r>
            <w:r w:rsidR="00F906B6">
              <w:rPr>
                <w:noProof/>
                <w:webHidden/>
              </w:rPr>
              <w:instrText xml:space="preserve"> PAGEREF _Toc140150287 \h </w:instrText>
            </w:r>
            <w:r w:rsidR="00F906B6">
              <w:rPr>
                <w:noProof/>
                <w:webHidden/>
              </w:rPr>
            </w:r>
            <w:r w:rsidR="00F906B6">
              <w:rPr>
                <w:noProof/>
                <w:webHidden/>
              </w:rPr>
              <w:fldChar w:fldCharType="separate"/>
            </w:r>
            <w:r w:rsidR="00F906B6">
              <w:rPr>
                <w:noProof/>
                <w:webHidden/>
              </w:rPr>
              <w:t>299</w:t>
            </w:r>
            <w:r w:rsidR="00F906B6">
              <w:rPr>
                <w:noProof/>
                <w:webHidden/>
              </w:rPr>
              <w:fldChar w:fldCharType="end"/>
            </w:r>
          </w:hyperlink>
        </w:p>
        <w:p w14:paraId="084F8ADF" w14:textId="4B9CC03F" w:rsidR="00F906B6" w:rsidRDefault="006035A9">
          <w:pPr>
            <w:pStyle w:val="TOC3"/>
            <w:tabs>
              <w:tab w:val="left" w:pos="1821"/>
              <w:tab w:val="right" w:leader="dot" w:pos="9487"/>
            </w:tabs>
            <w:rPr>
              <w:rFonts w:eastAsiaTheme="minorEastAsia" w:cstheme="minorBidi"/>
              <w:noProof/>
              <w:sz w:val="22"/>
              <w:szCs w:val="22"/>
              <w:lang w:eastAsia="bg-BG"/>
            </w:rPr>
          </w:pPr>
          <w:hyperlink w:anchor="_Toc140150288" w:history="1">
            <w:r w:rsidR="00F906B6" w:rsidRPr="00EC23D2">
              <w:rPr>
                <w:rStyle w:val="Hyperlink"/>
                <w:noProof/>
              </w:rPr>
              <w:t>29.10.</w:t>
            </w:r>
            <w:r w:rsidR="00F906B6">
              <w:rPr>
                <w:rFonts w:eastAsiaTheme="minorEastAsia" w:cstheme="minorBidi"/>
                <w:noProof/>
                <w:sz w:val="22"/>
                <w:szCs w:val="22"/>
                <w:lang w:eastAsia="bg-BG"/>
              </w:rPr>
              <w:tab/>
            </w:r>
            <w:r w:rsidR="00F906B6" w:rsidRPr="00EC23D2">
              <w:rPr>
                <w:rStyle w:val="Hyperlink"/>
                <w:noProof/>
              </w:rPr>
              <w:t>Осигуряване на одитна пътека по процедури от компетенциите на отдел „Управление на риска“</w:t>
            </w:r>
            <w:r w:rsidR="00F906B6">
              <w:rPr>
                <w:noProof/>
                <w:webHidden/>
              </w:rPr>
              <w:tab/>
            </w:r>
            <w:r w:rsidR="00F906B6">
              <w:rPr>
                <w:noProof/>
                <w:webHidden/>
              </w:rPr>
              <w:fldChar w:fldCharType="begin"/>
            </w:r>
            <w:r w:rsidR="00F906B6">
              <w:rPr>
                <w:noProof/>
                <w:webHidden/>
              </w:rPr>
              <w:instrText xml:space="preserve"> PAGEREF _Toc140150288 \h </w:instrText>
            </w:r>
            <w:r w:rsidR="00F906B6">
              <w:rPr>
                <w:noProof/>
                <w:webHidden/>
              </w:rPr>
            </w:r>
            <w:r w:rsidR="00F906B6">
              <w:rPr>
                <w:noProof/>
                <w:webHidden/>
              </w:rPr>
              <w:fldChar w:fldCharType="separate"/>
            </w:r>
            <w:r w:rsidR="00F906B6">
              <w:rPr>
                <w:noProof/>
                <w:webHidden/>
              </w:rPr>
              <w:t>299</w:t>
            </w:r>
            <w:r w:rsidR="00F906B6">
              <w:rPr>
                <w:noProof/>
                <w:webHidden/>
              </w:rPr>
              <w:fldChar w:fldCharType="end"/>
            </w:r>
          </w:hyperlink>
        </w:p>
        <w:p w14:paraId="6E8F3313" w14:textId="45C25D45" w:rsidR="00F906B6" w:rsidRDefault="006035A9">
          <w:pPr>
            <w:pStyle w:val="TOC1"/>
            <w:tabs>
              <w:tab w:val="right" w:leader="dot" w:pos="9487"/>
            </w:tabs>
            <w:rPr>
              <w:rFonts w:eastAsiaTheme="minorEastAsia" w:cstheme="minorBidi"/>
              <w:b w:val="0"/>
              <w:bCs w:val="0"/>
              <w:noProof/>
              <w:sz w:val="22"/>
              <w:szCs w:val="22"/>
              <w:lang w:eastAsia="bg-BG"/>
            </w:rPr>
          </w:pPr>
          <w:hyperlink w:anchor="_Toc140150289" w:history="1">
            <w:r w:rsidR="00F906B6" w:rsidRPr="00EC23D2">
              <w:rPr>
                <w:rStyle w:val="Hyperlink"/>
                <w:rFonts w:ascii="Times New Roman" w:hAnsi="Times New Roman"/>
                <w:noProof/>
                <w:lang w:eastAsia="bg-BG"/>
              </w:rPr>
              <w:t>ГЛАВА 8 УПРАВЛЕНИЕ НА РИСКА</w:t>
            </w:r>
            <w:r w:rsidR="00F906B6">
              <w:rPr>
                <w:noProof/>
                <w:webHidden/>
              </w:rPr>
              <w:tab/>
            </w:r>
            <w:r w:rsidR="00F906B6">
              <w:rPr>
                <w:noProof/>
                <w:webHidden/>
              </w:rPr>
              <w:fldChar w:fldCharType="begin"/>
            </w:r>
            <w:r w:rsidR="00F906B6">
              <w:rPr>
                <w:noProof/>
                <w:webHidden/>
              </w:rPr>
              <w:instrText xml:space="preserve"> PAGEREF _Toc140150289 \h </w:instrText>
            </w:r>
            <w:r w:rsidR="00F906B6">
              <w:rPr>
                <w:noProof/>
                <w:webHidden/>
              </w:rPr>
            </w:r>
            <w:r w:rsidR="00F906B6">
              <w:rPr>
                <w:noProof/>
                <w:webHidden/>
              </w:rPr>
              <w:fldChar w:fldCharType="separate"/>
            </w:r>
            <w:r w:rsidR="00F906B6">
              <w:rPr>
                <w:noProof/>
                <w:webHidden/>
              </w:rPr>
              <w:t>301</w:t>
            </w:r>
            <w:r w:rsidR="00F906B6">
              <w:rPr>
                <w:noProof/>
                <w:webHidden/>
              </w:rPr>
              <w:fldChar w:fldCharType="end"/>
            </w:r>
          </w:hyperlink>
        </w:p>
        <w:p w14:paraId="06A7443C" w14:textId="1CD101DD" w:rsidR="00F906B6" w:rsidRDefault="006035A9">
          <w:pPr>
            <w:pStyle w:val="TOC2"/>
            <w:rPr>
              <w:rFonts w:asciiTheme="minorHAnsi" w:eastAsiaTheme="minorEastAsia" w:hAnsiTheme="minorHAnsi" w:cstheme="minorBidi"/>
              <w:iCs w:val="0"/>
              <w:noProof/>
              <w:sz w:val="22"/>
              <w:szCs w:val="22"/>
              <w:lang w:eastAsia="bg-BG"/>
            </w:rPr>
          </w:pPr>
          <w:hyperlink w:anchor="_Toc140150290" w:history="1">
            <w:r w:rsidR="00F906B6" w:rsidRPr="00EC23D2">
              <w:rPr>
                <w:rStyle w:val="Hyperlink"/>
                <w:noProof/>
              </w:rPr>
              <w:t>30.</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УПРАВЛЕНИЕ НА РИСКА</w:t>
            </w:r>
            <w:r w:rsidR="00F906B6">
              <w:rPr>
                <w:noProof/>
                <w:webHidden/>
              </w:rPr>
              <w:tab/>
            </w:r>
            <w:r w:rsidR="00F906B6">
              <w:rPr>
                <w:noProof/>
                <w:webHidden/>
              </w:rPr>
              <w:fldChar w:fldCharType="begin"/>
            </w:r>
            <w:r w:rsidR="00F906B6">
              <w:rPr>
                <w:noProof/>
                <w:webHidden/>
              </w:rPr>
              <w:instrText xml:space="preserve"> PAGEREF _Toc140150290 \h </w:instrText>
            </w:r>
            <w:r w:rsidR="00F906B6">
              <w:rPr>
                <w:noProof/>
                <w:webHidden/>
              </w:rPr>
            </w:r>
            <w:r w:rsidR="00F906B6">
              <w:rPr>
                <w:noProof/>
                <w:webHidden/>
              </w:rPr>
              <w:fldChar w:fldCharType="separate"/>
            </w:r>
            <w:r w:rsidR="00F906B6">
              <w:rPr>
                <w:noProof/>
                <w:webHidden/>
              </w:rPr>
              <w:t>301</w:t>
            </w:r>
            <w:r w:rsidR="00F906B6">
              <w:rPr>
                <w:noProof/>
                <w:webHidden/>
              </w:rPr>
              <w:fldChar w:fldCharType="end"/>
            </w:r>
          </w:hyperlink>
        </w:p>
        <w:p w14:paraId="59F16DAA" w14:textId="593E9104"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91" w:history="1">
            <w:r w:rsidR="00F906B6" w:rsidRPr="00EC23D2">
              <w:rPr>
                <w:rStyle w:val="Hyperlink"/>
                <w:noProof/>
                <w:lang w:eastAsia="bg-BG"/>
              </w:rPr>
              <w:t>30.1.</w:t>
            </w:r>
            <w:r w:rsidR="00F906B6">
              <w:rPr>
                <w:rFonts w:eastAsiaTheme="minorEastAsia" w:cstheme="minorBidi"/>
                <w:noProof/>
                <w:sz w:val="22"/>
                <w:szCs w:val="22"/>
                <w:lang w:eastAsia="bg-BG"/>
              </w:rPr>
              <w:tab/>
            </w:r>
            <w:r w:rsidR="00F906B6" w:rsidRPr="00EC23D2">
              <w:rPr>
                <w:rStyle w:val="Hyperlink"/>
                <w:noProof/>
              </w:rPr>
              <w:t>Въведение</w:t>
            </w:r>
            <w:r w:rsidR="00F906B6">
              <w:rPr>
                <w:noProof/>
                <w:webHidden/>
              </w:rPr>
              <w:tab/>
            </w:r>
            <w:r w:rsidR="00F906B6">
              <w:rPr>
                <w:noProof/>
                <w:webHidden/>
              </w:rPr>
              <w:fldChar w:fldCharType="begin"/>
            </w:r>
            <w:r w:rsidR="00F906B6">
              <w:rPr>
                <w:noProof/>
                <w:webHidden/>
              </w:rPr>
              <w:instrText xml:space="preserve"> PAGEREF _Toc140150291 \h </w:instrText>
            </w:r>
            <w:r w:rsidR="00F906B6">
              <w:rPr>
                <w:noProof/>
                <w:webHidden/>
              </w:rPr>
            </w:r>
            <w:r w:rsidR="00F906B6">
              <w:rPr>
                <w:noProof/>
                <w:webHidden/>
              </w:rPr>
              <w:fldChar w:fldCharType="separate"/>
            </w:r>
            <w:r w:rsidR="00F906B6">
              <w:rPr>
                <w:noProof/>
                <w:webHidden/>
              </w:rPr>
              <w:t>301</w:t>
            </w:r>
            <w:r w:rsidR="00F906B6">
              <w:rPr>
                <w:noProof/>
                <w:webHidden/>
              </w:rPr>
              <w:fldChar w:fldCharType="end"/>
            </w:r>
          </w:hyperlink>
        </w:p>
        <w:p w14:paraId="1E08F19F" w14:textId="0ED4C57B"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92" w:history="1">
            <w:r w:rsidR="00F906B6" w:rsidRPr="00EC23D2">
              <w:rPr>
                <w:rStyle w:val="Hyperlink"/>
                <w:noProof/>
                <w:lang w:eastAsia="bg-BG"/>
              </w:rPr>
              <w:t>30.2.</w:t>
            </w:r>
            <w:r w:rsidR="00F906B6">
              <w:rPr>
                <w:rFonts w:eastAsiaTheme="minorEastAsia" w:cstheme="minorBidi"/>
                <w:noProof/>
                <w:sz w:val="22"/>
                <w:szCs w:val="22"/>
                <w:lang w:eastAsia="bg-BG"/>
              </w:rPr>
              <w:tab/>
            </w:r>
            <w:r w:rsidR="00F906B6" w:rsidRPr="00EC23D2">
              <w:rPr>
                <w:rStyle w:val="Hyperlink"/>
                <w:noProof/>
              </w:rPr>
              <w:t>Дефиниции</w:t>
            </w:r>
            <w:r w:rsidR="00F906B6">
              <w:rPr>
                <w:noProof/>
                <w:webHidden/>
              </w:rPr>
              <w:tab/>
            </w:r>
            <w:r w:rsidR="00F906B6">
              <w:rPr>
                <w:noProof/>
                <w:webHidden/>
              </w:rPr>
              <w:fldChar w:fldCharType="begin"/>
            </w:r>
            <w:r w:rsidR="00F906B6">
              <w:rPr>
                <w:noProof/>
                <w:webHidden/>
              </w:rPr>
              <w:instrText xml:space="preserve"> PAGEREF _Toc140150292 \h </w:instrText>
            </w:r>
            <w:r w:rsidR="00F906B6">
              <w:rPr>
                <w:noProof/>
                <w:webHidden/>
              </w:rPr>
            </w:r>
            <w:r w:rsidR="00F906B6">
              <w:rPr>
                <w:noProof/>
                <w:webHidden/>
              </w:rPr>
              <w:fldChar w:fldCharType="separate"/>
            </w:r>
            <w:r w:rsidR="00F906B6">
              <w:rPr>
                <w:noProof/>
                <w:webHidden/>
              </w:rPr>
              <w:t>301</w:t>
            </w:r>
            <w:r w:rsidR="00F906B6">
              <w:rPr>
                <w:noProof/>
                <w:webHidden/>
              </w:rPr>
              <w:fldChar w:fldCharType="end"/>
            </w:r>
          </w:hyperlink>
        </w:p>
        <w:p w14:paraId="582A1296" w14:textId="0AA9265E"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93" w:history="1">
            <w:r w:rsidR="00F906B6" w:rsidRPr="00EC23D2">
              <w:rPr>
                <w:rStyle w:val="Hyperlink"/>
                <w:noProof/>
                <w:lang w:eastAsia="bg-BG"/>
              </w:rPr>
              <w:t>30.3.</w:t>
            </w:r>
            <w:r w:rsidR="00F906B6">
              <w:rPr>
                <w:rFonts w:eastAsiaTheme="minorEastAsia" w:cstheme="minorBidi"/>
                <w:noProof/>
                <w:sz w:val="22"/>
                <w:szCs w:val="22"/>
                <w:lang w:eastAsia="bg-BG"/>
              </w:rPr>
              <w:tab/>
            </w:r>
            <w:r w:rsidR="00F906B6" w:rsidRPr="00EC23D2">
              <w:rPr>
                <w:rStyle w:val="Hyperlink"/>
                <w:noProof/>
                <w:lang w:eastAsia="en-US"/>
              </w:rPr>
              <w:t>Източници и видове риск</w:t>
            </w:r>
            <w:r w:rsidR="00F906B6">
              <w:rPr>
                <w:noProof/>
                <w:webHidden/>
              </w:rPr>
              <w:tab/>
            </w:r>
            <w:r w:rsidR="00F906B6">
              <w:rPr>
                <w:noProof/>
                <w:webHidden/>
              </w:rPr>
              <w:fldChar w:fldCharType="begin"/>
            </w:r>
            <w:r w:rsidR="00F906B6">
              <w:rPr>
                <w:noProof/>
                <w:webHidden/>
              </w:rPr>
              <w:instrText xml:space="preserve"> PAGEREF _Toc140150293 \h </w:instrText>
            </w:r>
            <w:r w:rsidR="00F906B6">
              <w:rPr>
                <w:noProof/>
                <w:webHidden/>
              </w:rPr>
            </w:r>
            <w:r w:rsidR="00F906B6">
              <w:rPr>
                <w:noProof/>
                <w:webHidden/>
              </w:rPr>
              <w:fldChar w:fldCharType="separate"/>
            </w:r>
            <w:r w:rsidR="00F906B6">
              <w:rPr>
                <w:noProof/>
                <w:webHidden/>
              </w:rPr>
              <w:t>302</w:t>
            </w:r>
            <w:r w:rsidR="00F906B6">
              <w:rPr>
                <w:noProof/>
                <w:webHidden/>
              </w:rPr>
              <w:fldChar w:fldCharType="end"/>
            </w:r>
          </w:hyperlink>
        </w:p>
        <w:p w14:paraId="6117FCAD" w14:textId="2258BBAA"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94" w:history="1">
            <w:r w:rsidR="00F906B6" w:rsidRPr="00EC23D2">
              <w:rPr>
                <w:rStyle w:val="Hyperlink"/>
                <w:noProof/>
                <w:lang w:eastAsia="bg-BG"/>
              </w:rPr>
              <w:t>30.4.</w:t>
            </w:r>
            <w:r w:rsidR="00F906B6">
              <w:rPr>
                <w:rFonts w:eastAsiaTheme="minorEastAsia" w:cstheme="minorBidi"/>
                <w:noProof/>
                <w:sz w:val="22"/>
                <w:szCs w:val="22"/>
                <w:lang w:eastAsia="bg-BG"/>
              </w:rPr>
              <w:tab/>
            </w:r>
            <w:r w:rsidR="00F906B6" w:rsidRPr="00EC23D2">
              <w:rPr>
                <w:rStyle w:val="Hyperlink"/>
                <w:noProof/>
              </w:rPr>
              <w:t>Рамка за управление на риска на Оперативна програма „Транспорт и транспортна инфраструктура“ 2014 – 2020 г.</w:t>
            </w:r>
            <w:r w:rsidR="00F906B6">
              <w:rPr>
                <w:noProof/>
                <w:webHidden/>
              </w:rPr>
              <w:tab/>
            </w:r>
            <w:r w:rsidR="00F906B6">
              <w:rPr>
                <w:noProof/>
                <w:webHidden/>
              </w:rPr>
              <w:fldChar w:fldCharType="begin"/>
            </w:r>
            <w:r w:rsidR="00F906B6">
              <w:rPr>
                <w:noProof/>
                <w:webHidden/>
              </w:rPr>
              <w:instrText xml:space="preserve"> PAGEREF _Toc140150294 \h </w:instrText>
            </w:r>
            <w:r w:rsidR="00F906B6">
              <w:rPr>
                <w:noProof/>
                <w:webHidden/>
              </w:rPr>
            </w:r>
            <w:r w:rsidR="00F906B6">
              <w:rPr>
                <w:noProof/>
                <w:webHidden/>
              </w:rPr>
              <w:fldChar w:fldCharType="separate"/>
            </w:r>
            <w:r w:rsidR="00F906B6">
              <w:rPr>
                <w:noProof/>
                <w:webHidden/>
              </w:rPr>
              <w:t>302</w:t>
            </w:r>
            <w:r w:rsidR="00F906B6">
              <w:rPr>
                <w:noProof/>
                <w:webHidden/>
              </w:rPr>
              <w:fldChar w:fldCharType="end"/>
            </w:r>
          </w:hyperlink>
        </w:p>
        <w:p w14:paraId="7045602C" w14:textId="3F5083EB"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95" w:history="1">
            <w:r w:rsidR="00F906B6" w:rsidRPr="00EC23D2">
              <w:rPr>
                <w:rStyle w:val="Hyperlink"/>
                <w:noProof/>
                <w:lang w:eastAsia="bg-BG"/>
              </w:rPr>
              <w:t>30.5.</w:t>
            </w:r>
            <w:r w:rsidR="00F906B6">
              <w:rPr>
                <w:rFonts w:eastAsiaTheme="minorEastAsia" w:cstheme="minorBidi"/>
                <w:noProof/>
                <w:sz w:val="22"/>
                <w:szCs w:val="22"/>
                <w:lang w:eastAsia="bg-BG"/>
              </w:rPr>
              <w:tab/>
            </w:r>
            <w:r w:rsidR="00F906B6" w:rsidRPr="00EC23D2">
              <w:rPr>
                <w:rStyle w:val="Hyperlink"/>
                <w:noProof/>
              </w:rPr>
              <w:t>Политика за управление на риска от измама</w:t>
            </w:r>
            <w:r w:rsidR="00F906B6">
              <w:rPr>
                <w:noProof/>
                <w:webHidden/>
              </w:rPr>
              <w:tab/>
            </w:r>
            <w:r w:rsidR="00F906B6">
              <w:rPr>
                <w:noProof/>
                <w:webHidden/>
              </w:rPr>
              <w:fldChar w:fldCharType="begin"/>
            </w:r>
            <w:r w:rsidR="00F906B6">
              <w:rPr>
                <w:noProof/>
                <w:webHidden/>
              </w:rPr>
              <w:instrText xml:space="preserve"> PAGEREF _Toc140150295 \h </w:instrText>
            </w:r>
            <w:r w:rsidR="00F906B6">
              <w:rPr>
                <w:noProof/>
                <w:webHidden/>
              </w:rPr>
            </w:r>
            <w:r w:rsidR="00F906B6">
              <w:rPr>
                <w:noProof/>
                <w:webHidden/>
              </w:rPr>
              <w:fldChar w:fldCharType="separate"/>
            </w:r>
            <w:r w:rsidR="00F906B6">
              <w:rPr>
                <w:noProof/>
                <w:webHidden/>
              </w:rPr>
              <w:t>305</w:t>
            </w:r>
            <w:r w:rsidR="00F906B6">
              <w:rPr>
                <w:noProof/>
                <w:webHidden/>
              </w:rPr>
              <w:fldChar w:fldCharType="end"/>
            </w:r>
          </w:hyperlink>
        </w:p>
        <w:p w14:paraId="30876455" w14:textId="5D7FD143"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96" w:history="1">
            <w:r w:rsidR="00F906B6" w:rsidRPr="00EC23D2">
              <w:rPr>
                <w:rStyle w:val="Hyperlink"/>
                <w:noProof/>
                <w:lang w:eastAsia="bg-BG"/>
              </w:rPr>
              <w:t>30.6.</w:t>
            </w:r>
            <w:r w:rsidR="00F906B6">
              <w:rPr>
                <w:rFonts w:eastAsiaTheme="minorEastAsia" w:cstheme="minorBidi"/>
                <w:noProof/>
                <w:sz w:val="22"/>
                <w:szCs w:val="22"/>
                <w:lang w:eastAsia="bg-BG"/>
              </w:rPr>
              <w:tab/>
            </w:r>
            <w:r w:rsidR="00F906B6" w:rsidRPr="00EC23D2">
              <w:rPr>
                <w:rStyle w:val="Hyperlink"/>
                <w:rFonts w:eastAsia="EUAlbertina-Regu-Identity-H"/>
                <w:noProof/>
                <w:w w:val="103"/>
              </w:rPr>
              <w:t>Общ процес за управление на риска по ОПТТИ</w:t>
            </w:r>
            <w:r w:rsidR="00F906B6">
              <w:rPr>
                <w:noProof/>
                <w:webHidden/>
              </w:rPr>
              <w:tab/>
            </w:r>
            <w:r w:rsidR="00F906B6">
              <w:rPr>
                <w:noProof/>
                <w:webHidden/>
              </w:rPr>
              <w:fldChar w:fldCharType="begin"/>
            </w:r>
            <w:r w:rsidR="00F906B6">
              <w:rPr>
                <w:noProof/>
                <w:webHidden/>
              </w:rPr>
              <w:instrText xml:space="preserve"> PAGEREF _Toc140150296 \h </w:instrText>
            </w:r>
            <w:r w:rsidR="00F906B6">
              <w:rPr>
                <w:noProof/>
                <w:webHidden/>
              </w:rPr>
            </w:r>
            <w:r w:rsidR="00F906B6">
              <w:rPr>
                <w:noProof/>
                <w:webHidden/>
              </w:rPr>
              <w:fldChar w:fldCharType="separate"/>
            </w:r>
            <w:r w:rsidR="00F906B6">
              <w:rPr>
                <w:noProof/>
                <w:webHidden/>
              </w:rPr>
              <w:t>308</w:t>
            </w:r>
            <w:r w:rsidR="00F906B6">
              <w:rPr>
                <w:noProof/>
                <w:webHidden/>
              </w:rPr>
              <w:fldChar w:fldCharType="end"/>
            </w:r>
          </w:hyperlink>
        </w:p>
        <w:p w14:paraId="5520DD88" w14:textId="3910F539"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97" w:history="1">
            <w:r w:rsidR="00F906B6" w:rsidRPr="00EC23D2">
              <w:rPr>
                <w:rStyle w:val="Hyperlink"/>
                <w:noProof/>
                <w:lang w:eastAsia="bg-BG"/>
              </w:rPr>
              <w:t>30.7.</w:t>
            </w:r>
            <w:r w:rsidR="00F906B6">
              <w:rPr>
                <w:rFonts w:eastAsiaTheme="minorEastAsia" w:cstheme="minorBidi"/>
                <w:noProof/>
                <w:sz w:val="22"/>
                <w:szCs w:val="22"/>
                <w:lang w:eastAsia="bg-BG"/>
              </w:rPr>
              <w:tab/>
            </w:r>
            <w:r w:rsidR="00F906B6" w:rsidRPr="00EC23D2">
              <w:rPr>
                <w:rStyle w:val="Hyperlink"/>
                <w:rFonts w:eastAsia="EUAlbertina-Regu-Identity-H"/>
                <w:bCs/>
                <w:noProof/>
                <w:w w:val="103"/>
              </w:rPr>
              <w:t xml:space="preserve">Обмен </w:t>
            </w:r>
            <w:r w:rsidR="00F906B6" w:rsidRPr="00EC23D2">
              <w:rPr>
                <w:rStyle w:val="Hyperlink"/>
                <w:noProof/>
              </w:rPr>
              <w:t>на информация и консултиране</w:t>
            </w:r>
            <w:r w:rsidR="00F906B6">
              <w:rPr>
                <w:noProof/>
                <w:webHidden/>
              </w:rPr>
              <w:tab/>
            </w:r>
            <w:r w:rsidR="00F906B6">
              <w:rPr>
                <w:noProof/>
                <w:webHidden/>
              </w:rPr>
              <w:fldChar w:fldCharType="begin"/>
            </w:r>
            <w:r w:rsidR="00F906B6">
              <w:rPr>
                <w:noProof/>
                <w:webHidden/>
              </w:rPr>
              <w:instrText xml:space="preserve"> PAGEREF _Toc140150297 \h </w:instrText>
            </w:r>
            <w:r w:rsidR="00F906B6">
              <w:rPr>
                <w:noProof/>
                <w:webHidden/>
              </w:rPr>
            </w:r>
            <w:r w:rsidR="00F906B6">
              <w:rPr>
                <w:noProof/>
                <w:webHidden/>
              </w:rPr>
              <w:fldChar w:fldCharType="separate"/>
            </w:r>
            <w:r w:rsidR="00F906B6">
              <w:rPr>
                <w:noProof/>
                <w:webHidden/>
              </w:rPr>
              <w:t>318</w:t>
            </w:r>
            <w:r w:rsidR="00F906B6">
              <w:rPr>
                <w:noProof/>
                <w:webHidden/>
              </w:rPr>
              <w:fldChar w:fldCharType="end"/>
            </w:r>
          </w:hyperlink>
        </w:p>
        <w:p w14:paraId="68DF7D46" w14:textId="28AE9DF1"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98" w:history="1">
            <w:r w:rsidR="00F906B6" w:rsidRPr="00EC23D2">
              <w:rPr>
                <w:rStyle w:val="Hyperlink"/>
                <w:noProof/>
                <w:lang w:eastAsia="bg-BG"/>
              </w:rPr>
              <w:t>30.8.</w:t>
            </w:r>
            <w:r w:rsidR="00F906B6">
              <w:rPr>
                <w:rFonts w:eastAsiaTheme="minorEastAsia" w:cstheme="minorBidi"/>
                <w:noProof/>
                <w:sz w:val="22"/>
                <w:szCs w:val="22"/>
                <w:lang w:eastAsia="bg-BG"/>
              </w:rPr>
              <w:tab/>
            </w:r>
            <w:r w:rsidR="00F906B6" w:rsidRPr="00EC23D2">
              <w:rPr>
                <w:rStyle w:val="Hyperlink"/>
                <w:noProof/>
                <w:lang w:eastAsia="bg-BG"/>
              </w:rPr>
              <w:t>Цикъл на мерките за борба с измамите</w:t>
            </w:r>
            <w:r w:rsidR="00F906B6">
              <w:rPr>
                <w:noProof/>
                <w:webHidden/>
              </w:rPr>
              <w:tab/>
            </w:r>
            <w:r w:rsidR="00F906B6">
              <w:rPr>
                <w:noProof/>
                <w:webHidden/>
              </w:rPr>
              <w:fldChar w:fldCharType="begin"/>
            </w:r>
            <w:r w:rsidR="00F906B6">
              <w:rPr>
                <w:noProof/>
                <w:webHidden/>
              </w:rPr>
              <w:instrText xml:space="preserve"> PAGEREF _Toc140150298 \h </w:instrText>
            </w:r>
            <w:r w:rsidR="00F906B6">
              <w:rPr>
                <w:noProof/>
                <w:webHidden/>
              </w:rPr>
            </w:r>
            <w:r w:rsidR="00F906B6">
              <w:rPr>
                <w:noProof/>
                <w:webHidden/>
              </w:rPr>
              <w:fldChar w:fldCharType="separate"/>
            </w:r>
            <w:r w:rsidR="00F906B6">
              <w:rPr>
                <w:noProof/>
                <w:webHidden/>
              </w:rPr>
              <w:t>318</w:t>
            </w:r>
            <w:r w:rsidR="00F906B6">
              <w:rPr>
                <w:noProof/>
                <w:webHidden/>
              </w:rPr>
              <w:fldChar w:fldCharType="end"/>
            </w:r>
          </w:hyperlink>
        </w:p>
        <w:p w14:paraId="60D5E296" w14:textId="2C3A28DF"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299" w:history="1">
            <w:r w:rsidR="00F906B6" w:rsidRPr="00EC23D2">
              <w:rPr>
                <w:rStyle w:val="Hyperlink"/>
                <w:noProof/>
                <w:lang w:eastAsia="bg-BG"/>
              </w:rPr>
              <w:t>30.9.</w:t>
            </w:r>
            <w:r w:rsidR="00F906B6">
              <w:rPr>
                <w:rFonts w:eastAsiaTheme="minorEastAsia" w:cstheme="minorBidi"/>
                <w:noProof/>
                <w:sz w:val="22"/>
                <w:szCs w:val="22"/>
                <w:lang w:eastAsia="bg-BG"/>
              </w:rPr>
              <w:tab/>
            </w:r>
            <w:r w:rsidR="00F906B6" w:rsidRPr="00EC23D2">
              <w:rPr>
                <w:rStyle w:val="Hyperlink"/>
                <w:noProof/>
              </w:rPr>
              <w:t>Идентифициране на рисковете от измама</w:t>
            </w:r>
            <w:r w:rsidR="00F906B6">
              <w:rPr>
                <w:noProof/>
                <w:webHidden/>
              </w:rPr>
              <w:tab/>
            </w:r>
            <w:r w:rsidR="00F906B6">
              <w:rPr>
                <w:noProof/>
                <w:webHidden/>
              </w:rPr>
              <w:fldChar w:fldCharType="begin"/>
            </w:r>
            <w:r w:rsidR="00F906B6">
              <w:rPr>
                <w:noProof/>
                <w:webHidden/>
              </w:rPr>
              <w:instrText xml:space="preserve"> PAGEREF _Toc140150299 \h </w:instrText>
            </w:r>
            <w:r w:rsidR="00F906B6">
              <w:rPr>
                <w:noProof/>
                <w:webHidden/>
              </w:rPr>
            </w:r>
            <w:r w:rsidR="00F906B6">
              <w:rPr>
                <w:noProof/>
                <w:webHidden/>
              </w:rPr>
              <w:fldChar w:fldCharType="separate"/>
            </w:r>
            <w:r w:rsidR="00F906B6">
              <w:rPr>
                <w:noProof/>
                <w:webHidden/>
              </w:rPr>
              <w:t>319</w:t>
            </w:r>
            <w:r w:rsidR="00F906B6">
              <w:rPr>
                <w:noProof/>
                <w:webHidden/>
              </w:rPr>
              <w:fldChar w:fldCharType="end"/>
            </w:r>
          </w:hyperlink>
        </w:p>
        <w:p w14:paraId="08626D83" w14:textId="072E83D0" w:rsidR="00F906B6" w:rsidRDefault="006035A9">
          <w:pPr>
            <w:pStyle w:val="TOC3"/>
            <w:tabs>
              <w:tab w:val="left" w:pos="1821"/>
              <w:tab w:val="right" w:leader="dot" w:pos="9487"/>
            </w:tabs>
            <w:rPr>
              <w:rFonts w:eastAsiaTheme="minorEastAsia" w:cstheme="minorBidi"/>
              <w:noProof/>
              <w:sz w:val="22"/>
              <w:szCs w:val="22"/>
              <w:lang w:eastAsia="bg-BG"/>
            </w:rPr>
          </w:pPr>
          <w:hyperlink w:anchor="_Toc140150300" w:history="1">
            <w:r w:rsidR="00F906B6" w:rsidRPr="00EC23D2">
              <w:rPr>
                <w:rStyle w:val="Hyperlink"/>
                <w:noProof/>
                <w:lang w:eastAsia="bg-BG"/>
              </w:rPr>
              <w:t>30.10.</w:t>
            </w:r>
            <w:r w:rsidR="00F906B6">
              <w:rPr>
                <w:rFonts w:eastAsiaTheme="minorEastAsia" w:cstheme="minorBidi"/>
                <w:noProof/>
                <w:sz w:val="22"/>
                <w:szCs w:val="22"/>
                <w:lang w:eastAsia="bg-BG"/>
              </w:rPr>
              <w:tab/>
            </w:r>
            <w:r w:rsidR="00F906B6" w:rsidRPr="00EC23D2">
              <w:rPr>
                <w:rStyle w:val="Hyperlink"/>
                <w:noProof/>
              </w:rPr>
              <w:t>Оценка на рисковете от измама</w:t>
            </w:r>
            <w:r w:rsidR="00F906B6">
              <w:rPr>
                <w:noProof/>
                <w:webHidden/>
              </w:rPr>
              <w:tab/>
            </w:r>
            <w:r w:rsidR="00F906B6">
              <w:rPr>
                <w:noProof/>
                <w:webHidden/>
              </w:rPr>
              <w:fldChar w:fldCharType="begin"/>
            </w:r>
            <w:r w:rsidR="00F906B6">
              <w:rPr>
                <w:noProof/>
                <w:webHidden/>
              </w:rPr>
              <w:instrText xml:space="preserve"> PAGEREF _Toc140150300 \h </w:instrText>
            </w:r>
            <w:r w:rsidR="00F906B6">
              <w:rPr>
                <w:noProof/>
                <w:webHidden/>
              </w:rPr>
            </w:r>
            <w:r w:rsidR="00F906B6">
              <w:rPr>
                <w:noProof/>
                <w:webHidden/>
              </w:rPr>
              <w:fldChar w:fldCharType="separate"/>
            </w:r>
            <w:r w:rsidR="00F906B6">
              <w:rPr>
                <w:noProof/>
                <w:webHidden/>
              </w:rPr>
              <w:t>320</w:t>
            </w:r>
            <w:r w:rsidR="00F906B6">
              <w:rPr>
                <w:noProof/>
                <w:webHidden/>
              </w:rPr>
              <w:fldChar w:fldCharType="end"/>
            </w:r>
          </w:hyperlink>
        </w:p>
        <w:p w14:paraId="430FE5F9" w14:textId="7A1FD741" w:rsidR="00F906B6" w:rsidRDefault="006035A9">
          <w:pPr>
            <w:pStyle w:val="TOC3"/>
            <w:tabs>
              <w:tab w:val="left" w:pos="1821"/>
              <w:tab w:val="right" w:leader="dot" w:pos="9487"/>
            </w:tabs>
            <w:rPr>
              <w:rFonts w:eastAsiaTheme="minorEastAsia" w:cstheme="minorBidi"/>
              <w:noProof/>
              <w:sz w:val="22"/>
              <w:szCs w:val="22"/>
              <w:lang w:eastAsia="bg-BG"/>
            </w:rPr>
          </w:pPr>
          <w:hyperlink w:anchor="_Toc140150301" w:history="1">
            <w:r w:rsidR="00F906B6" w:rsidRPr="00EC23D2">
              <w:rPr>
                <w:rStyle w:val="Hyperlink"/>
                <w:noProof/>
              </w:rPr>
              <w:t>30.11.</w:t>
            </w:r>
            <w:r w:rsidR="00F906B6">
              <w:rPr>
                <w:rFonts w:eastAsiaTheme="minorEastAsia" w:cstheme="minorBidi"/>
                <w:noProof/>
                <w:sz w:val="22"/>
                <w:szCs w:val="22"/>
                <w:lang w:eastAsia="bg-BG"/>
              </w:rPr>
              <w:tab/>
            </w:r>
            <w:r w:rsidR="00F906B6" w:rsidRPr="00EC23D2">
              <w:rPr>
                <w:rStyle w:val="Hyperlink"/>
                <w:noProof/>
              </w:rPr>
              <w:t>Самооценка на въведените вътрешни контроли за борба с измамите</w:t>
            </w:r>
            <w:r w:rsidR="00F906B6">
              <w:rPr>
                <w:noProof/>
                <w:webHidden/>
              </w:rPr>
              <w:tab/>
            </w:r>
            <w:r w:rsidR="00F906B6">
              <w:rPr>
                <w:noProof/>
                <w:webHidden/>
              </w:rPr>
              <w:fldChar w:fldCharType="begin"/>
            </w:r>
            <w:r w:rsidR="00F906B6">
              <w:rPr>
                <w:noProof/>
                <w:webHidden/>
              </w:rPr>
              <w:instrText xml:space="preserve"> PAGEREF _Toc140150301 \h </w:instrText>
            </w:r>
            <w:r w:rsidR="00F906B6">
              <w:rPr>
                <w:noProof/>
                <w:webHidden/>
              </w:rPr>
            </w:r>
            <w:r w:rsidR="00F906B6">
              <w:rPr>
                <w:noProof/>
                <w:webHidden/>
              </w:rPr>
              <w:fldChar w:fldCharType="separate"/>
            </w:r>
            <w:r w:rsidR="00F906B6">
              <w:rPr>
                <w:noProof/>
                <w:webHidden/>
              </w:rPr>
              <w:t>321</w:t>
            </w:r>
            <w:r w:rsidR="00F906B6">
              <w:rPr>
                <w:noProof/>
                <w:webHidden/>
              </w:rPr>
              <w:fldChar w:fldCharType="end"/>
            </w:r>
          </w:hyperlink>
        </w:p>
        <w:p w14:paraId="53F661D0" w14:textId="2BFC465F" w:rsidR="00F906B6" w:rsidRDefault="006035A9">
          <w:pPr>
            <w:pStyle w:val="TOC3"/>
            <w:tabs>
              <w:tab w:val="left" w:pos="1821"/>
              <w:tab w:val="right" w:leader="dot" w:pos="9487"/>
            </w:tabs>
            <w:rPr>
              <w:rFonts w:eastAsiaTheme="minorEastAsia" w:cstheme="minorBidi"/>
              <w:noProof/>
              <w:sz w:val="22"/>
              <w:szCs w:val="22"/>
              <w:lang w:eastAsia="bg-BG"/>
            </w:rPr>
          </w:pPr>
          <w:hyperlink w:anchor="_Toc140150302" w:history="1">
            <w:r w:rsidR="00F906B6" w:rsidRPr="00EC23D2">
              <w:rPr>
                <w:rStyle w:val="Hyperlink"/>
                <w:noProof/>
              </w:rPr>
              <w:t>30.12.</w:t>
            </w:r>
            <w:r w:rsidR="00F906B6">
              <w:rPr>
                <w:rFonts w:eastAsiaTheme="minorEastAsia" w:cstheme="minorBidi"/>
                <w:noProof/>
                <w:sz w:val="22"/>
                <w:szCs w:val="22"/>
                <w:lang w:eastAsia="bg-BG"/>
              </w:rPr>
              <w:tab/>
            </w:r>
            <w:r w:rsidR="00F906B6" w:rsidRPr="00EC23D2">
              <w:rPr>
                <w:rStyle w:val="Hyperlink"/>
                <w:noProof/>
              </w:rPr>
              <w:t>Контрол на УО за функционирането на специфичните мерки за борба с риска от измами</w:t>
            </w:r>
            <w:r w:rsidR="00F906B6">
              <w:rPr>
                <w:noProof/>
                <w:webHidden/>
              </w:rPr>
              <w:tab/>
            </w:r>
            <w:r w:rsidR="00F906B6">
              <w:rPr>
                <w:noProof/>
                <w:webHidden/>
              </w:rPr>
              <w:fldChar w:fldCharType="begin"/>
            </w:r>
            <w:r w:rsidR="00F906B6">
              <w:rPr>
                <w:noProof/>
                <w:webHidden/>
              </w:rPr>
              <w:instrText xml:space="preserve"> PAGEREF _Toc140150302 \h </w:instrText>
            </w:r>
            <w:r w:rsidR="00F906B6">
              <w:rPr>
                <w:noProof/>
                <w:webHidden/>
              </w:rPr>
            </w:r>
            <w:r w:rsidR="00F906B6">
              <w:rPr>
                <w:noProof/>
                <w:webHidden/>
              </w:rPr>
              <w:fldChar w:fldCharType="separate"/>
            </w:r>
            <w:r w:rsidR="00F906B6">
              <w:rPr>
                <w:noProof/>
                <w:webHidden/>
              </w:rPr>
              <w:t>323</w:t>
            </w:r>
            <w:r w:rsidR="00F906B6">
              <w:rPr>
                <w:noProof/>
                <w:webHidden/>
              </w:rPr>
              <w:fldChar w:fldCharType="end"/>
            </w:r>
          </w:hyperlink>
        </w:p>
        <w:p w14:paraId="2E135908" w14:textId="5A49789E" w:rsidR="00F906B6" w:rsidRDefault="006035A9">
          <w:pPr>
            <w:pStyle w:val="TOC3"/>
            <w:tabs>
              <w:tab w:val="left" w:pos="1821"/>
              <w:tab w:val="right" w:leader="dot" w:pos="9487"/>
            </w:tabs>
            <w:rPr>
              <w:rFonts w:eastAsiaTheme="minorEastAsia" w:cstheme="minorBidi"/>
              <w:noProof/>
              <w:sz w:val="22"/>
              <w:szCs w:val="22"/>
              <w:lang w:eastAsia="bg-BG"/>
            </w:rPr>
          </w:pPr>
          <w:hyperlink w:anchor="_Toc140150303" w:history="1">
            <w:r w:rsidR="00F906B6" w:rsidRPr="00EC23D2">
              <w:rPr>
                <w:rStyle w:val="Hyperlink"/>
                <w:noProof/>
              </w:rPr>
              <w:t>30.13.</w:t>
            </w:r>
            <w:r w:rsidR="00F906B6">
              <w:rPr>
                <w:rFonts w:eastAsiaTheme="minorEastAsia" w:cstheme="minorBidi"/>
                <w:noProof/>
                <w:sz w:val="22"/>
                <w:szCs w:val="22"/>
                <w:lang w:eastAsia="bg-BG"/>
              </w:rPr>
              <w:tab/>
            </w:r>
            <w:r w:rsidR="00F906B6" w:rsidRPr="00EC23D2">
              <w:rPr>
                <w:rStyle w:val="Hyperlink"/>
                <w:noProof/>
              </w:rPr>
              <w:t>Развитие на процедурите за управление на риска</w:t>
            </w:r>
            <w:r w:rsidR="00F906B6">
              <w:rPr>
                <w:noProof/>
                <w:webHidden/>
              </w:rPr>
              <w:tab/>
            </w:r>
            <w:r w:rsidR="00F906B6">
              <w:rPr>
                <w:noProof/>
                <w:webHidden/>
              </w:rPr>
              <w:fldChar w:fldCharType="begin"/>
            </w:r>
            <w:r w:rsidR="00F906B6">
              <w:rPr>
                <w:noProof/>
                <w:webHidden/>
              </w:rPr>
              <w:instrText xml:space="preserve"> PAGEREF _Toc140150303 \h </w:instrText>
            </w:r>
            <w:r w:rsidR="00F906B6">
              <w:rPr>
                <w:noProof/>
                <w:webHidden/>
              </w:rPr>
            </w:r>
            <w:r w:rsidR="00F906B6">
              <w:rPr>
                <w:noProof/>
                <w:webHidden/>
              </w:rPr>
              <w:fldChar w:fldCharType="separate"/>
            </w:r>
            <w:r w:rsidR="00F906B6">
              <w:rPr>
                <w:noProof/>
                <w:webHidden/>
              </w:rPr>
              <w:t>324</w:t>
            </w:r>
            <w:r w:rsidR="00F906B6">
              <w:rPr>
                <w:noProof/>
                <w:webHidden/>
              </w:rPr>
              <w:fldChar w:fldCharType="end"/>
            </w:r>
          </w:hyperlink>
        </w:p>
        <w:p w14:paraId="374B5409" w14:textId="58D5F947" w:rsidR="00F906B6" w:rsidRDefault="006035A9">
          <w:pPr>
            <w:pStyle w:val="TOC2"/>
            <w:rPr>
              <w:rFonts w:asciiTheme="minorHAnsi" w:eastAsiaTheme="minorEastAsia" w:hAnsiTheme="minorHAnsi" w:cstheme="minorBidi"/>
              <w:iCs w:val="0"/>
              <w:noProof/>
              <w:sz w:val="22"/>
              <w:szCs w:val="22"/>
              <w:lang w:eastAsia="bg-BG"/>
            </w:rPr>
          </w:pPr>
          <w:hyperlink w:anchor="_Toc140150304" w:history="1">
            <w:r w:rsidR="00F906B6" w:rsidRPr="00EC23D2">
              <w:rPr>
                <w:rStyle w:val="Hyperlink"/>
                <w:noProof/>
              </w:rPr>
              <w:t>31.</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ОДИТИ ПО ОПТТИ</w:t>
            </w:r>
            <w:r w:rsidR="00F906B6">
              <w:rPr>
                <w:noProof/>
                <w:webHidden/>
              </w:rPr>
              <w:tab/>
            </w:r>
            <w:r w:rsidR="00F906B6">
              <w:rPr>
                <w:noProof/>
                <w:webHidden/>
              </w:rPr>
              <w:fldChar w:fldCharType="begin"/>
            </w:r>
            <w:r w:rsidR="00F906B6">
              <w:rPr>
                <w:noProof/>
                <w:webHidden/>
              </w:rPr>
              <w:instrText xml:space="preserve"> PAGEREF _Toc140150304 \h </w:instrText>
            </w:r>
            <w:r w:rsidR="00F906B6">
              <w:rPr>
                <w:noProof/>
                <w:webHidden/>
              </w:rPr>
            </w:r>
            <w:r w:rsidR="00F906B6">
              <w:rPr>
                <w:noProof/>
                <w:webHidden/>
              </w:rPr>
              <w:fldChar w:fldCharType="separate"/>
            </w:r>
            <w:r w:rsidR="00F906B6">
              <w:rPr>
                <w:noProof/>
                <w:webHidden/>
              </w:rPr>
              <w:t>324</w:t>
            </w:r>
            <w:r w:rsidR="00F906B6">
              <w:rPr>
                <w:noProof/>
                <w:webHidden/>
              </w:rPr>
              <w:fldChar w:fldCharType="end"/>
            </w:r>
          </w:hyperlink>
        </w:p>
        <w:p w14:paraId="5FE3A5B9" w14:textId="5C40E96F"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305" w:history="1">
            <w:r w:rsidR="00F906B6" w:rsidRPr="00EC23D2">
              <w:rPr>
                <w:rStyle w:val="Hyperlink"/>
                <w:noProof/>
                <w:lang w:eastAsia="bg-BG"/>
              </w:rPr>
              <w:t>31.1.</w:t>
            </w:r>
            <w:r w:rsidR="00F906B6">
              <w:rPr>
                <w:rFonts w:eastAsiaTheme="minorEastAsia" w:cstheme="minorBidi"/>
                <w:noProof/>
                <w:sz w:val="22"/>
                <w:szCs w:val="22"/>
                <w:lang w:eastAsia="bg-BG"/>
              </w:rPr>
              <w:tab/>
            </w:r>
            <w:r w:rsidR="00F906B6" w:rsidRPr="00EC23D2">
              <w:rPr>
                <w:rStyle w:val="Hyperlink"/>
                <w:noProof/>
                <w:lang w:eastAsia="bg-BG"/>
              </w:rPr>
              <w:t>Координация при провеждането на одит по ОПТТИ</w:t>
            </w:r>
            <w:r w:rsidR="00F906B6">
              <w:rPr>
                <w:noProof/>
                <w:webHidden/>
              </w:rPr>
              <w:tab/>
            </w:r>
            <w:r w:rsidR="00F906B6">
              <w:rPr>
                <w:noProof/>
                <w:webHidden/>
              </w:rPr>
              <w:fldChar w:fldCharType="begin"/>
            </w:r>
            <w:r w:rsidR="00F906B6">
              <w:rPr>
                <w:noProof/>
                <w:webHidden/>
              </w:rPr>
              <w:instrText xml:space="preserve"> PAGEREF _Toc140150305 \h </w:instrText>
            </w:r>
            <w:r w:rsidR="00F906B6">
              <w:rPr>
                <w:noProof/>
                <w:webHidden/>
              </w:rPr>
            </w:r>
            <w:r w:rsidR="00F906B6">
              <w:rPr>
                <w:noProof/>
                <w:webHidden/>
              </w:rPr>
              <w:fldChar w:fldCharType="separate"/>
            </w:r>
            <w:r w:rsidR="00F906B6">
              <w:rPr>
                <w:noProof/>
                <w:webHidden/>
              </w:rPr>
              <w:t>324</w:t>
            </w:r>
            <w:r w:rsidR="00F906B6">
              <w:rPr>
                <w:noProof/>
                <w:webHidden/>
              </w:rPr>
              <w:fldChar w:fldCharType="end"/>
            </w:r>
          </w:hyperlink>
        </w:p>
        <w:p w14:paraId="3B599CD9" w14:textId="65BE14DE"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306" w:history="1">
            <w:r w:rsidR="00F906B6" w:rsidRPr="00EC23D2">
              <w:rPr>
                <w:rStyle w:val="Hyperlink"/>
                <w:noProof/>
                <w:lang w:eastAsia="bg-BG"/>
              </w:rPr>
              <w:t>31.2.</w:t>
            </w:r>
            <w:r w:rsidR="00F906B6">
              <w:rPr>
                <w:rFonts w:eastAsiaTheme="minorEastAsia" w:cstheme="minorBidi"/>
                <w:noProof/>
                <w:sz w:val="22"/>
                <w:szCs w:val="22"/>
                <w:lang w:eastAsia="bg-BG"/>
              </w:rPr>
              <w:tab/>
            </w:r>
            <w:r w:rsidR="00F906B6" w:rsidRPr="00EC23D2">
              <w:rPr>
                <w:rStyle w:val="Hyperlink"/>
                <w:noProof/>
                <w:lang w:eastAsia="bg-BG"/>
              </w:rPr>
              <w:t>Координация при финализирането на одитен доклад по ОПТТИ</w:t>
            </w:r>
            <w:r w:rsidR="00F906B6">
              <w:rPr>
                <w:noProof/>
                <w:webHidden/>
              </w:rPr>
              <w:tab/>
            </w:r>
            <w:r w:rsidR="00F906B6">
              <w:rPr>
                <w:noProof/>
                <w:webHidden/>
              </w:rPr>
              <w:fldChar w:fldCharType="begin"/>
            </w:r>
            <w:r w:rsidR="00F906B6">
              <w:rPr>
                <w:noProof/>
                <w:webHidden/>
              </w:rPr>
              <w:instrText xml:space="preserve"> PAGEREF _Toc140150306 \h </w:instrText>
            </w:r>
            <w:r w:rsidR="00F906B6">
              <w:rPr>
                <w:noProof/>
                <w:webHidden/>
              </w:rPr>
            </w:r>
            <w:r w:rsidR="00F906B6">
              <w:rPr>
                <w:noProof/>
                <w:webHidden/>
              </w:rPr>
              <w:fldChar w:fldCharType="separate"/>
            </w:r>
            <w:r w:rsidR="00F906B6">
              <w:rPr>
                <w:noProof/>
                <w:webHidden/>
              </w:rPr>
              <w:t>324</w:t>
            </w:r>
            <w:r w:rsidR="00F906B6">
              <w:rPr>
                <w:noProof/>
                <w:webHidden/>
              </w:rPr>
              <w:fldChar w:fldCharType="end"/>
            </w:r>
          </w:hyperlink>
        </w:p>
        <w:p w14:paraId="77E30739" w14:textId="1AADB577"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307" w:history="1">
            <w:r w:rsidR="00F906B6" w:rsidRPr="00EC23D2">
              <w:rPr>
                <w:rStyle w:val="Hyperlink"/>
                <w:noProof/>
                <w:lang w:eastAsia="bg-BG"/>
              </w:rPr>
              <w:t>31.3.</w:t>
            </w:r>
            <w:r w:rsidR="00F906B6">
              <w:rPr>
                <w:rFonts w:eastAsiaTheme="minorEastAsia" w:cstheme="minorBidi"/>
                <w:noProof/>
                <w:sz w:val="22"/>
                <w:szCs w:val="22"/>
                <w:lang w:eastAsia="bg-BG"/>
              </w:rPr>
              <w:tab/>
            </w:r>
            <w:r w:rsidR="00F906B6" w:rsidRPr="00EC23D2">
              <w:rPr>
                <w:rStyle w:val="Hyperlink"/>
                <w:noProof/>
                <w:lang w:eastAsia="bg-BG"/>
              </w:rPr>
              <w:t>Систематизирана информация (регистър) за одитните констатации и препоръки</w:t>
            </w:r>
            <w:r w:rsidR="00F906B6">
              <w:rPr>
                <w:noProof/>
                <w:webHidden/>
              </w:rPr>
              <w:tab/>
            </w:r>
            <w:r w:rsidR="00F906B6">
              <w:rPr>
                <w:noProof/>
                <w:webHidden/>
              </w:rPr>
              <w:fldChar w:fldCharType="begin"/>
            </w:r>
            <w:r w:rsidR="00F906B6">
              <w:rPr>
                <w:noProof/>
                <w:webHidden/>
              </w:rPr>
              <w:instrText xml:space="preserve"> PAGEREF _Toc140150307 \h </w:instrText>
            </w:r>
            <w:r w:rsidR="00F906B6">
              <w:rPr>
                <w:noProof/>
                <w:webHidden/>
              </w:rPr>
            </w:r>
            <w:r w:rsidR="00F906B6">
              <w:rPr>
                <w:noProof/>
                <w:webHidden/>
              </w:rPr>
              <w:fldChar w:fldCharType="separate"/>
            </w:r>
            <w:r w:rsidR="00F906B6">
              <w:rPr>
                <w:noProof/>
                <w:webHidden/>
              </w:rPr>
              <w:t>325</w:t>
            </w:r>
            <w:r w:rsidR="00F906B6">
              <w:rPr>
                <w:noProof/>
                <w:webHidden/>
              </w:rPr>
              <w:fldChar w:fldCharType="end"/>
            </w:r>
          </w:hyperlink>
        </w:p>
        <w:p w14:paraId="5B99001B" w14:textId="57D5062B"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308" w:history="1">
            <w:r w:rsidR="00F906B6" w:rsidRPr="00EC23D2">
              <w:rPr>
                <w:rStyle w:val="Hyperlink"/>
                <w:noProof/>
                <w:lang w:eastAsia="bg-BG"/>
              </w:rPr>
              <w:t>31.4.</w:t>
            </w:r>
            <w:r w:rsidR="00F906B6">
              <w:rPr>
                <w:rFonts w:eastAsiaTheme="minorEastAsia" w:cstheme="minorBidi"/>
                <w:noProof/>
                <w:sz w:val="22"/>
                <w:szCs w:val="22"/>
                <w:lang w:eastAsia="bg-BG"/>
              </w:rPr>
              <w:tab/>
            </w:r>
            <w:r w:rsidR="00F906B6" w:rsidRPr="00EC23D2">
              <w:rPr>
                <w:rStyle w:val="Hyperlink"/>
                <w:noProof/>
                <w:lang w:eastAsia="bg-BG"/>
              </w:rPr>
              <w:t>Обща схема на извършване на одити на европейско и национално ниво</w:t>
            </w:r>
            <w:r w:rsidR="00F906B6">
              <w:rPr>
                <w:noProof/>
                <w:webHidden/>
              </w:rPr>
              <w:tab/>
            </w:r>
            <w:r w:rsidR="00F906B6">
              <w:rPr>
                <w:noProof/>
                <w:webHidden/>
              </w:rPr>
              <w:fldChar w:fldCharType="begin"/>
            </w:r>
            <w:r w:rsidR="00F906B6">
              <w:rPr>
                <w:noProof/>
                <w:webHidden/>
              </w:rPr>
              <w:instrText xml:space="preserve"> PAGEREF _Toc140150308 \h </w:instrText>
            </w:r>
            <w:r w:rsidR="00F906B6">
              <w:rPr>
                <w:noProof/>
                <w:webHidden/>
              </w:rPr>
            </w:r>
            <w:r w:rsidR="00F906B6">
              <w:rPr>
                <w:noProof/>
                <w:webHidden/>
              </w:rPr>
              <w:fldChar w:fldCharType="separate"/>
            </w:r>
            <w:r w:rsidR="00F906B6">
              <w:rPr>
                <w:noProof/>
                <w:webHidden/>
              </w:rPr>
              <w:t>326</w:t>
            </w:r>
            <w:r w:rsidR="00F906B6">
              <w:rPr>
                <w:noProof/>
                <w:webHidden/>
              </w:rPr>
              <w:fldChar w:fldCharType="end"/>
            </w:r>
          </w:hyperlink>
        </w:p>
        <w:p w14:paraId="17A5E2F4" w14:textId="55DD281D" w:rsidR="00F906B6" w:rsidRDefault="006035A9">
          <w:pPr>
            <w:pStyle w:val="TOC1"/>
            <w:tabs>
              <w:tab w:val="right" w:leader="dot" w:pos="9487"/>
            </w:tabs>
            <w:rPr>
              <w:rFonts w:eastAsiaTheme="minorEastAsia" w:cstheme="minorBidi"/>
              <w:b w:val="0"/>
              <w:bCs w:val="0"/>
              <w:noProof/>
              <w:sz w:val="22"/>
              <w:szCs w:val="22"/>
              <w:lang w:eastAsia="bg-BG"/>
            </w:rPr>
          </w:pPr>
          <w:hyperlink w:anchor="_Toc140150309" w:history="1">
            <w:r w:rsidR="00F906B6" w:rsidRPr="00EC23D2">
              <w:rPr>
                <w:rStyle w:val="Hyperlink"/>
                <w:rFonts w:ascii="Times New Roman" w:hAnsi="Times New Roman"/>
                <w:noProof/>
                <w:lang w:eastAsia="bg-BG"/>
              </w:rPr>
              <w:t>ГЛАВА 9 НАБЛЮДЕНИЕ И ОЦЕНКА</w:t>
            </w:r>
            <w:r w:rsidR="00F906B6">
              <w:rPr>
                <w:noProof/>
                <w:webHidden/>
              </w:rPr>
              <w:tab/>
            </w:r>
            <w:r w:rsidR="00F906B6">
              <w:rPr>
                <w:noProof/>
                <w:webHidden/>
              </w:rPr>
              <w:fldChar w:fldCharType="begin"/>
            </w:r>
            <w:r w:rsidR="00F906B6">
              <w:rPr>
                <w:noProof/>
                <w:webHidden/>
              </w:rPr>
              <w:instrText xml:space="preserve"> PAGEREF _Toc140150309 \h </w:instrText>
            </w:r>
            <w:r w:rsidR="00F906B6">
              <w:rPr>
                <w:noProof/>
                <w:webHidden/>
              </w:rPr>
            </w:r>
            <w:r w:rsidR="00F906B6">
              <w:rPr>
                <w:noProof/>
                <w:webHidden/>
              </w:rPr>
              <w:fldChar w:fldCharType="separate"/>
            </w:r>
            <w:r w:rsidR="00F906B6">
              <w:rPr>
                <w:noProof/>
                <w:webHidden/>
              </w:rPr>
              <w:t>328</w:t>
            </w:r>
            <w:r w:rsidR="00F906B6">
              <w:rPr>
                <w:noProof/>
                <w:webHidden/>
              </w:rPr>
              <w:fldChar w:fldCharType="end"/>
            </w:r>
          </w:hyperlink>
        </w:p>
        <w:p w14:paraId="520067A2" w14:textId="1C5C22CC" w:rsidR="00F906B6" w:rsidRDefault="006035A9">
          <w:pPr>
            <w:pStyle w:val="TOC2"/>
            <w:rPr>
              <w:rFonts w:asciiTheme="minorHAnsi" w:eastAsiaTheme="minorEastAsia" w:hAnsiTheme="minorHAnsi" w:cstheme="minorBidi"/>
              <w:iCs w:val="0"/>
              <w:noProof/>
              <w:sz w:val="22"/>
              <w:szCs w:val="22"/>
              <w:lang w:eastAsia="bg-BG"/>
            </w:rPr>
          </w:pPr>
          <w:hyperlink w:anchor="_Toc140150310" w:history="1">
            <w:r w:rsidR="00F906B6" w:rsidRPr="00EC23D2">
              <w:rPr>
                <w:rStyle w:val="Hyperlink"/>
                <w:noProof/>
              </w:rPr>
              <w:t>32.</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ИНФОРМАЦИОННИ СИСТЕМИ ЗА УПРАВЛЕНИЕ И НАБЛЮДЕНИЕ</w:t>
            </w:r>
            <w:r w:rsidR="00F906B6">
              <w:rPr>
                <w:noProof/>
                <w:webHidden/>
              </w:rPr>
              <w:tab/>
            </w:r>
            <w:r w:rsidR="00F906B6">
              <w:rPr>
                <w:noProof/>
                <w:webHidden/>
              </w:rPr>
              <w:fldChar w:fldCharType="begin"/>
            </w:r>
            <w:r w:rsidR="00F906B6">
              <w:rPr>
                <w:noProof/>
                <w:webHidden/>
              </w:rPr>
              <w:instrText xml:space="preserve"> PAGEREF _Toc140150310 \h </w:instrText>
            </w:r>
            <w:r w:rsidR="00F906B6">
              <w:rPr>
                <w:noProof/>
                <w:webHidden/>
              </w:rPr>
            </w:r>
            <w:r w:rsidR="00F906B6">
              <w:rPr>
                <w:noProof/>
                <w:webHidden/>
              </w:rPr>
              <w:fldChar w:fldCharType="separate"/>
            </w:r>
            <w:r w:rsidR="00F906B6">
              <w:rPr>
                <w:noProof/>
                <w:webHidden/>
              </w:rPr>
              <w:t>329</w:t>
            </w:r>
            <w:r w:rsidR="00F906B6">
              <w:rPr>
                <w:noProof/>
                <w:webHidden/>
              </w:rPr>
              <w:fldChar w:fldCharType="end"/>
            </w:r>
          </w:hyperlink>
        </w:p>
        <w:p w14:paraId="74948625" w14:textId="03327C81"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311" w:history="1">
            <w:r w:rsidR="00F906B6" w:rsidRPr="00EC23D2">
              <w:rPr>
                <w:rStyle w:val="Hyperlink"/>
                <w:noProof/>
              </w:rPr>
              <w:t>32.1.</w:t>
            </w:r>
            <w:r w:rsidR="00F906B6">
              <w:rPr>
                <w:rFonts w:eastAsiaTheme="minorEastAsia" w:cstheme="minorBidi"/>
                <w:noProof/>
                <w:sz w:val="22"/>
                <w:szCs w:val="22"/>
                <w:lang w:eastAsia="bg-BG"/>
              </w:rPr>
              <w:tab/>
            </w:r>
            <w:r w:rsidR="00F906B6" w:rsidRPr="00EC23D2">
              <w:rPr>
                <w:rStyle w:val="Hyperlink"/>
                <w:noProof/>
                <w:lang w:eastAsia="bg-BG"/>
              </w:rPr>
              <w:t>Информационна система за управление и наблюдение за програмния период 2014-2020</w:t>
            </w:r>
            <w:r w:rsidR="00F906B6">
              <w:rPr>
                <w:noProof/>
                <w:webHidden/>
              </w:rPr>
              <w:tab/>
            </w:r>
            <w:r w:rsidR="00F906B6">
              <w:rPr>
                <w:noProof/>
                <w:webHidden/>
              </w:rPr>
              <w:fldChar w:fldCharType="begin"/>
            </w:r>
            <w:r w:rsidR="00F906B6">
              <w:rPr>
                <w:noProof/>
                <w:webHidden/>
              </w:rPr>
              <w:instrText xml:space="preserve"> PAGEREF _Toc140150311 \h </w:instrText>
            </w:r>
            <w:r w:rsidR="00F906B6">
              <w:rPr>
                <w:noProof/>
                <w:webHidden/>
              </w:rPr>
            </w:r>
            <w:r w:rsidR="00F906B6">
              <w:rPr>
                <w:noProof/>
                <w:webHidden/>
              </w:rPr>
              <w:fldChar w:fldCharType="separate"/>
            </w:r>
            <w:r w:rsidR="00F906B6">
              <w:rPr>
                <w:noProof/>
                <w:webHidden/>
              </w:rPr>
              <w:t>329</w:t>
            </w:r>
            <w:r w:rsidR="00F906B6">
              <w:rPr>
                <w:noProof/>
                <w:webHidden/>
              </w:rPr>
              <w:fldChar w:fldCharType="end"/>
            </w:r>
          </w:hyperlink>
        </w:p>
        <w:p w14:paraId="00EB208C" w14:textId="515DD7C5"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312" w:history="1">
            <w:r w:rsidR="00F906B6" w:rsidRPr="00EC23D2">
              <w:rPr>
                <w:rStyle w:val="Hyperlink"/>
                <w:noProof/>
                <w:snapToGrid w:val="0"/>
              </w:rPr>
              <w:t>32.2.</w:t>
            </w:r>
            <w:r w:rsidR="00F906B6">
              <w:rPr>
                <w:rFonts w:eastAsiaTheme="minorEastAsia" w:cstheme="minorBidi"/>
                <w:noProof/>
                <w:sz w:val="22"/>
                <w:szCs w:val="22"/>
                <w:lang w:eastAsia="bg-BG"/>
              </w:rPr>
              <w:tab/>
            </w:r>
            <w:r w:rsidR="00F906B6" w:rsidRPr="00EC23D2">
              <w:rPr>
                <w:rStyle w:val="Hyperlink"/>
                <w:noProof/>
                <w:snapToGrid w:val="0"/>
              </w:rPr>
              <w:t>Системата на Европейската комисия за управление на фондовете SFC 2014</w:t>
            </w:r>
            <w:r w:rsidR="00F906B6">
              <w:rPr>
                <w:noProof/>
                <w:webHidden/>
              </w:rPr>
              <w:tab/>
            </w:r>
            <w:r w:rsidR="00F906B6">
              <w:rPr>
                <w:noProof/>
                <w:webHidden/>
              </w:rPr>
              <w:fldChar w:fldCharType="begin"/>
            </w:r>
            <w:r w:rsidR="00F906B6">
              <w:rPr>
                <w:noProof/>
                <w:webHidden/>
              </w:rPr>
              <w:instrText xml:space="preserve"> PAGEREF _Toc140150312 \h </w:instrText>
            </w:r>
            <w:r w:rsidR="00F906B6">
              <w:rPr>
                <w:noProof/>
                <w:webHidden/>
              </w:rPr>
            </w:r>
            <w:r w:rsidR="00F906B6">
              <w:rPr>
                <w:noProof/>
                <w:webHidden/>
              </w:rPr>
              <w:fldChar w:fldCharType="separate"/>
            </w:r>
            <w:r w:rsidR="00F906B6">
              <w:rPr>
                <w:noProof/>
                <w:webHidden/>
              </w:rPr>
              <w:t>334</w:t>
            </w:r>
            <w:r w:rsidR="00F906B6">
              <w:rPr>
                <w:noProof/>
                <w:webHidden/>
              </w:rPr>
              <w:fldChar w:fldCharType="end"/>
            </w:r>
          </w:hyperlink>
        </w:p>
        <w:p w14:paraId="574C4BF0" w14:textId="60BDE57D" w:rsidR="00F906B6" w:rsidRDefault="006035A9">
          <w:pPr>
            <w:pStyle w:val="TOC2"/>
            <w:rPr>
              <w:rFonts w:asciiTheme="minorHAnsi" w:eastAsiaTheme="minorEastAsia" w:hAnsiTheme="minorHAnsi" w:cstheme="minorBidi"/>
              <w:iCs w:val="0"/>
              <w:noProof/>
              <w:sz w:val="22"/>
              <w:szCs w:val="22"/>
              <w:lang w:eastAsia="bg-BG"/>
            </w:rPr>
          </w:pPr>
          <w:hyperlink w:anchor="_Toc140150313" w:history="1">
            <w:r w:rsidR="00F906B6" w:rsidRPr="00EC23D2">
              <w:rPr>
                <w:rStyle w:val="Hyperlink"/>
                <w:noProof/>
              </w:rPr>
              <w:t>33.</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ДОКЛАДИ ЗА ИЗПЪЛНЕНИЕТО НА ОПТТИ</w:t>
            </w:r>
            <w:r w:rsidR="00F906B6">
              <w:rPr>
                <w:noProof/>
                <w:webHidden/>
              </w:rPr>
              <w:tab/>
            </w:r>
            <w:r w:rsidR="00F906B6">
              <w:rPr>
                <w:noProof/>
                <w:webHidden/>
              </w:rPr>
              <w:fldChar w:fldCharType="begin"/>
            </w:r>
            <w:r w:rsidR="00F906B6">
              <w:rPr>
                <w:noProof/>
                <w:webHidden/>
              </w:rPr>
              <w:instrText xml:space="preserve"> PAGEREF _Toc140150313 \h </w:instrText>
            </w:r>
            <w:r w:rsidR="00F906B6">
              <w:rPr>
                <w:noProof/>
                <w:webHidden/>
              </w:rPr>
            </w:r>
            <w:r w:rsidR="00F906B6">
              <w:rPr>
                <w:noProof/>
                <w:webHidden/>
              </w:rPr>
              <w:fldChar w:fldCharType="separate"/>
            </w:r>
            <w:r w:rsidR="00F906B6">
              <w:rPr>
                <w:noProof/>
                <w:webHidden/>
              </w:rPr>
              <w:t>336</w:t>
            </w:r>
            <w:r w:rsidR="00F906B6">
              <w:rPr>
                <w:noProof/>
                <w:webHidden/>
              </w:rPr>
              <w:fldChar w:fldCharType="end"/>
            </w:r>
          </w:hyperlink>
        </w:p>
        <w:p w14:paraId="250A0F0E" w14:textId="7DB677D4"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314" w:history="1">
            <w:r w:rsidR="00F906B6" w:rsidRPr="00EC23D2">
              <w:rPr>
                <w:rStyle w:val="Hyperlink"/>
                <w:noProof/>
                <w:snapToGrid w:val="0"/>
              </w:rPr>
              <w:t>33.1.</w:t>
            </w:r>
            <w:r w:rsidR="00F906B6">
              <w:rPr>
                <w:rFonts w:eastAsiaTheme="minorEastAsia" w:cstheme="minorBidi"/>
                <w:noProof/>
                <w:sz w:val="22"/>
                <w:szCs w:val="22"/>
                <w:lang w:eastAsia="bg-BG"/>
              </w:rPr>
              <w:tab/>
            </w:r>
            <w:r w:rsidR="00F906B6" w:rsidRPr="00EC23D2">
              <w:rPr>
                <w:rStyle w:val="Hyperlink"/>
                <w:noProof/>
                <w:snapToGrid w:val="0"/>
              </w:rPr>
              <w:t>Доклад за изпълнение на ОПТТИ</w:t>
            </w:r>
            <w:r w:rsidR="00F906B6">
              <w:rPr>
                <w:noProof/>
                <w:webHidden/>
              </w:rPr>
              <w:tab/>
            </w:r>
            <w:r w:rsidR="00F906B6">
              <w:rPr>
                <w:noProof/>
                <w:webHidden/>
              </w:rPr>
              <w:fldChar w:fldCharType="begin"/>
            </w:r>
            <w:r w:rsidR="00F906B6">
              <w:rPr>
                <w:noProof/>
                <w:webHidden/>
              </w:rPr>
              <w:instrText xml:space="preserve"> PAGEREF _Toc140150314 \h </w:instrText>
            </w:r>
            <w:r w:rsidR="00F906B6">
              <w:rPr>
                <w:noProof/>
                <w:webHidden/>
              </w:rPr>
            </w:r>
            <w:r w:rsidR="00F906B6">
              <w:rPr>
                <w:noProof/>
                <w:webHidden/>
              </w:rPr>
              <w:fldChar w:fldCharType="separate"/>
            </w:r>
            <w:r w:rsidR="00F906B6">
              <w:rPr>
                <w:noProof/>
                <w:webHidden/>
              </w:rPr>
              <w:t>336</w:t>
            </w:r>
            <w:r w:rsidR="00F906B6">
              <w:rPr>
                <w:noProof/>
                <w:webHidden/>
              </w:rPr>
              <w:fldChar w:fldCharType="end"/>
            </w:r>
          </w:hyperlink>
        </w:p>
        <w:p w14:paraId="0DF05B5D" w14:textId="798D05CA"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315" w:history="1">
            <w:r w:rsidR="00F906B6" w:rsidRPr="00EC23D2">
              <w:rPr>
                <w:rStyle w:val="Hyperlink"/>
                <w:noProof/>
                <w:snapToGrid w:val="0"/>
              </w:rPr>
              <w:t>33.2.</w:t>
            </w:r>
            <w:r w:rsidR="00F906B6">
              <w:rPr>
                <w:rFonts w:eastAsiaTheme="minorEastAsia" w:cstheme="minorBidi"/>
                <w:noProof/>
                <w:sz w:val="22"/>
                <w:szCs w:val="22"/>
                <w:lang w:eastAsia="bg-BG"/>
              </w:rPr>
              <w:tab/>
            </w:r>
            <w:r w:rsidR="00F906B6" w:rsidRPr="00EC23D2">
              <w:rPr>
                <w:rStyle w:val="Hyperlink"/>
                <w:noProof/>
                <w:snapToGrid w:val="0"/>
              </w:rPr>
              <w:t>Процедура по одобрение на доклада за изпълнение на ОПТТИ</w:t>
            </w:r>
            <w:r w:rsidR="00F906B6">
              <w:rPr>
                <w:noProof/>
                <w:webHidden/>
              </w:rPr>
              <w:tab/>
            </w:r>
            <w:r w:rsidR="00F906B6">
              <w:rPr>
                <w:noProof/>
                <w:webHidden/>
              </w:rPr>
              <w:fldChar w:fldCharType="begin"/>
            </w:r>
            <w:r w:rsidR="00F906B6">
              <w:rPr>
                <w:noProof/>
                <w:webHidden/>
              </w:rPr>
              <w:instrText xml:space="preserve"> PAGEREF _Toc140150315 \h </w:instrText>
            </w:r>
            <w:r w:rsidR="00F906B6">
              <w:rPr>
                <w:noProof/>
                <w:webHidden/>
              </w:rPr>
            </w:r>
            <w:r w:rsidR="00F906B6">
              <w:rPr>
                <w:noProof/>
                <w:webHidden/>
              </w:rPr>
              <w:fldChar w:fldCharType="separate"/>
            </w:r>
            <w:r w:rsidR="00F906B6">
              <w:rPr>
                <w:noProof/>
                <w:webHidden/>
              </w:rPr>
              <w:t>342</w:t>
            </w:r>
            <w:r w:rsidR="00F906B6">
              <w:rPr>
                <w:noProof/>
                <w:webHidden/>
              </w:rPr>
              <w:fldChar w:fldCharType="end"/>
            </w:r>
          </w:hyperlink>
        </w:p>
        <w:p w14:paraId="58EDB901" w14:textId="423E2CDC" w:rsidR="00F906B6" w:rsidRDefault="006035A9">
          <w:pPr>
            <w:pStyle w:val="TOC2"/>
            <w:rPr>
              <w:rFonts w:asciiTheme="minorHAnsi" w:eastAsiaTheme="minorEastAsia" w:hAnsiTheme="minorHAnsi" w:cstheme="minorBidi"/>
              <w:iCs w:val="0"/>
              <w:noProof/>
              <w:sz w:val="22"/>
              <w:szCs w:val="22"/>
              <w:lang w:eastAsia="bg-BG"/>
            </w:rPr>
          </w:pPr>
          <w:hyperlink w:anchor="_Toc140150316" w:history="1">
            <w:r w:rsidR="00F906B6" w:rsidRPr="00EC23D2">
              <w:rPr>
                <w:rStyle w:val="Hyperlink"/>
                <w:noProof/>
              </w:rPr>
              <w:t>34.</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ОЦЕНКИ НА ОПТТИ</w:t>
            </w:r>
            <w:r w:rsidR="00F906B6">
              <w:rPr>
                <w:noProof/>
                <w:webHidden/>
              </w:rPr>
              <w:tab/>
            </w:r>
            <w:r w:rsidR="00F906B6">
              <w:rPr>
                <w:noProof/>
                <w:webHidden/>
              </w:rPr>
              <w:fldChar w:fldCharType="begin"/>
            </w:r>
            <w:r w:rsidR="00F906B6">
              <w:rPr>
                <w:noProof/>
                <w:webHidden/>
              </w:rPr>
              <w:instrText xml:space="preserve"> PAGEREF _Toc140150316 \h </w:instrText>
            </w:r>
            <w:r w:rsidR="00F906B6">
              <w:rPr>
                <w:noProof/>
                <w:webHidden/>
              </w:rPr>
            </w:r>
            <w:r w:rsidR="00F906B6">
              <w:rPr>
                <w:noProof/>
                <w:webHidden/>
              </w:rPr>
              <w:fldChar w:fldCharType="separate"/>
            </w:r>
            <w:r w:rsidR="00F906B6">
              <w:rPr>
                <w:noProof/>
                <w:webHidden/>
              </w:rPr>
              <w:t>343</w:t>
            </w:r>
            <w:r w:rsidR="00F906B6">
              <w:rPr>
                <w:noProof/>
                <w:webHidden/>
              </w:rPr>
              <w:fldChar w:fldCharType="end"/>
            </w:r>
          </w:hyperlink>
        </w:p>
        <w:p w14:paraId="32DF3A60" w14:textId="39484243"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317" w:history="1">
            <w:r w:rsidR="00F906B6" w:rsidRPr="00EC23D2">
              <w:rPr>
                <w:rStyle w:val="Hyperlink"/>
                <w:noProof/>
                <w:snapToGrid w:val="0"/>
              </w:rPr>
              <w:t>34.1.</w:t>
            </w:r>
            <w:r w:rsidR="00F906B6">
              <w:rPr>
                <w:rFonts w:eastAsiaTheme="minorEastAsia" w:cstheme="minorBidi"/>
                <w:noProof/>
                <w:sz w:val="22"/>
                <w:szCs w:val="22"/>
                <w:lang w:eastAsia="bg-BG"/>
              </w:rPr>
              <w:tab/>
            </w:r>
            <w:r w:rsidR="00F906B6" w:rsidRPr="00EC23D2">
              <w:rPr>
                <w:rStyle w:val="Hyperlink"/>
                <w:noProof/>
                <w:snapToGrid w:val="0"/>
              </w:rPr>
              <w:t>Предварителната оценка</w:t>
            </w:r>
            <w:r w:rsidR="00F906B6">
              <w:rPr>
                <w:noProof/>
                <w:webHidden/>
              </w:rPr>
              <w:tab/>
            </w:r>
            <w:r w:rsidR="00F906B6">
              <w:rPr>
                <w:noProof/>
                <w:webHidden/>
              </w:rPr>
              <w:fldChar w:fldCharType="begin"/>
            </w:r>
            <w:r w:rsidR="00F906B6">
              <w:rPr>
                <w:noProof/>
                <w:webHidden/>
              </w:rPr>
              <w:instrText xml:space="preserve"> PAGEREF _Toc140150317 \h </w:instrText>
            </w:r>
            <w:r w:rsidR="00F906B6">
              <w:rPr>
                <w:noProof/>
                <w:webHidden/>
              </w:rPr>
            </w:r>
            <w:r w:rsidR="00F906B6">
              <w:rPr>
                <w:noProof/>
                <w:webHidden/>
              </w:rPr>
              <w:fldChar w:fldCharType="separate"/>
            </w:r>
            <w:r w:rsidR="00F906B6">
              <w:rPr>
                <w:noProof/>
                <w:webHidden/>
              </w:rPr>
              <w:t>343</w:t>
            </w:r>
            <w:r w:rsidR="00F906B6">
              <w:rPr>
                <w:noProof/>
                <w:webHidden/>
              </w:rPr>
              <w:fldChar w:fldCharType="end"/>
            </w:r>
          </w:hyperlink>
        </w:p>
        <w:p w14:paraId="38CF34A4" w14:textId="1FE9794E"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318" w:history="1">
            <w:r w:rsidR="00F906B6" w:rsidRPr="00EC23D2">
              <w:rPr>
                <w:rStyle w:val="Hyperlink"/>
                <w:noProof/>
                <w:snapToGrid w:val="0"/>
              </w:rPr>
              <w:t>34.2.</w:t>
            </w:r>
            <w:r w:rsidR="00F906B6">
              <w:rPr>
                <w:rFonts w:eastAsiaTheme="minorEastAsia" w:cstheme="minorBidi"/>
                <w:noProof/>
                <w:sz w:val="22"/>
                <w:szCs w:val="22"/>
                <w:lang w:eastAsia="bg-BG"/>
              </w:rPr>
              <w:tab/>
            </w:r>
            <w:r w:rsidR="00F906B6" w:rsidRPr="00EC23D2">
              <w:rPr>
                <w:rStyle w:val="Hyperlink"/>
                <w:noProof/>
                <w:snapToGrid w:val="0"/>
              </w:rPr>
              <w:t>Последващата оценка</w:t>
            </w:r>
            <w:r w:rsidR="00F906B6">
              <w:rPr>
                <w:noProof/>
                <w:webHidden/>
              </w:rPr>
              <w:tab/>
            </w:r>
            <w:r w:rsidR="00F906B6">
              <w:rPr>
                <w:noProof/>
                <w:webHidden/>
              </w:rPr>
              <w:fldChar w:fldCharType="begin"/>
            </w:r>
            <w:r w:rsidR="00F906B6">
              <w:rPr>
                <w:noProof/>
                <w:webHidden/>
              </w:rPr>
              <w:instrText xml:space="preserve"> PAGEREF _Toc140150318 \h </w:instrText>
            </w:r>
            <w:r w:rsidR="00F906B6">
              <w:rPr>
                <w:noProof/>
                <w:webHidden/>
              </w:rPr>
            </w:r>
            <w:r w:rsidR="00F906B6">
              <w:rPr>
                <w:noProof/>
                <w:webHidden/>
              </w:rPr>
              <w:fldChar w:fldCharType="separate"/>
            </w:r>
            <w:r w:rsidR="00F906B6">
              <w:rPr>
                <w:noProof/>
                <w:webHidden/>
              </w:rPr>
              <w:t>343</w:t>
            </w:r>
            <w:r w:rsidR="00F906B6">
              <w:rPr>
                <w:noProof/>
                <w:webHidden/>
              </w:rPr>
              <w:fldChar w:fldCharType="end"/>
            </w:r>
          </w:hyperlink>
        </w:p>
        <w:p w14:paraId="00234129" w14:textId="5B4C94B3"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319" w:history="1">
            <w:r w:rsidR="00F906B6" w:rsidRPr="00EC23D2">
              <w:rPr>
                <w:rStyle w:val="Hyperlink"/>
                <w:noProof/>
                <w:snapToGrid w:val="0"/>
              </w:rPr>
              <w:t>34.3.</w:t>
            </w:r>
            <w:r w:rsidR="00F906B6">
              <w:rPr>
                <w:rFonts w:eastAsiaTheme="minorEastAsia" w:cstheme="minorBidi"/>
                <w:noProof/>
                <w:sz w:val="22"/>
                <w:szCs w:val="22"/>
                <w:lang w:eastAsia="bg-BG"/>
              </w:rPr>
              <w:tab/>
            </w:r>
            <w:r w:rsidR="00F906B6" w:rsidRPr="00EC23D2">
              <w:rPr>
                <w:rStyle w:val="Hyperlink"/>
                <w:noProof/>
                <w:snapToGrid w:val="0"/>
              </w:rPr>
              <w:t>План за оценка на ОПТТИ</w:t>
            </w:r>
            <w:r w:rsidR="00F906B6">
              <w:rPr>
                <w:noProof/>
                <w:webHidden/>
              </w:rPr>
              <w:tab/>
            </w:r>
            <w:r w:rsidR="00F906B6">
              <w:rPr>
                <w:noProof/>
                <w:webHidden/>
              </w:rPr>
              <w:fldChar w:fldCharType="begin"/>
            </w:r>
            <w:r w:rsidR="00F906B6">
              <w:rPr>
                <w:noProof/>
                <w:webHidden/>
              </w:rPr>
              <w:instrText xml:space="preserve"> PAGEREF _Toc140150319 \h </w:instrText>
            </w:r>
            <w:r w:rsidR="00F906B6">
              <w:rPr>
                <w:noProof/>
                <w:webHidden/>
              </w:rPr>
            </w:r>
            <w:r w:rsidR="00F906B6">
              <w:rPr>
                <w:noProof/>
                <w:webHidden/>
              </w:rPr>
              <w:fldChar w:fldCharType="separate"/>
            </w:r>
            <w:r w:rsidR="00F906B6">
              <w:rPr>
                <w:noProof/>
                <w:webHidden/>
              </w:rPr>
              <w:t>343</w:t>
            </w:r>
            <w:r w:rsidR="00F906B6">
              <w:rPr>
                <w:noProof/>
                <w:webHidden/>
              </w:rPr>
              <w:fldChar w:fldCharType="end"/>
            </w:r>
          </w:hyperlink>
        </w:p>
        <w:p w14:paraId="6387839B" w14:textId="6B5EA306"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320" w:history="1">
            <w:r w:rsidR="00F906B6" w:rsidRPr="00EC23D2">
              <w:rPr>
                <w:rStyle w:val="Hyperlink"/>
                <w:noProof/>
                <w:snapToGrid w:val="0"/>
              </w:rPr>
              <w:t>34.4.</w:t>
            </w:r>
            <w:r w:rsidR="00F906B6">
              <w:rPr>
                <w:rFonts w:eastAsiaTheme="minorEastAsia" w:cstheme="minorBidi"/>
                <w:noProof/>
                <w:sz w:val="22"/>
                <w:szCs w:val="22"/>
                <w:lang w:eastAsia="bg-BG"/>
              </w:rPr>
              <w:tab/>
            </w:r>
            <w:r w:rsidR="00F906B6" w:rsidRPr="00EC23D2">
              <w:rPr>
                <w:rStyle w:val="Hyperlink"/>
                <w:noProof/>
                <w:snapToGrid w:val="0"/>
              </w:rPr>
              <w:t>Периодична среща за отчитане на напредъка по проектите, изпълнявани по ОПТТИ</w:t>
            </w:r>
            <w:r w:rsidR="00F906B6">
              <w:rPr>
                <w:noProof/>
                <w:webHidden/>
              </w:rPr>
              <w:tab/>
            </w:r>
            <w:r w:rsidR="00F906B6">
              <w:rPr>
                <w:noProof/>
                <w:webHidden/>
              </w:rPr>
              <w:fldChar w:fldCharType="begin"/>
            </w:r>
            <w:r w:rsidR="00F906B6">
              <w:rPr>
                <w:noProof/>
                <w:webHidden/>
              </w:rPr>
              <w:instrText xml:space="preserve"> PAGEREF _Toc140150320 \h </w:instrText>
            </w:r>
            <w:r w:rsidR="00F906B6">
              <w:rPr>
                <w:noProof/>
                <w:webHidden/>
              </w:rPr>
            </w:r>
            <w:r w:rsidR="00F906B6">
              <w:rPr>
                <w:noProof/>
                <w:webHidden/>
              </w:rPr>
              <w:fldChar w:fldCharType="separate"/>
            </w:r>
            <w:r w:rsidR="00F906B6">
              <w:rPr>
                <w:noProof/>
                <w:webHidden/>
              </w:rPr>
              <w:t>344</w:t>
            </w:r>
            <w:r w:rsidR="00F906B6">
              <w:rPr>
                <w:noProof/>
                <w:webHidden/>
              </w:rPr>
              <w:fldChar w:fldCharType="end"/>
            </w:r>
          </w:hyperlink>
        </w:p>
        <w:p w14:paraId="60D0B69D" w14:textId="478B6E60" w:rsidR="00F906B6" w:rsidRDefault="006035A9">
          <w:pPr>
            <w:pStyle w:val="TOC2"/>
            <w:rPr>
              <w:rFonts w:asciiTheme="minorHAnsi" w:eastAsiaTheme="minorEastAsia" w:hAnsiTheme="minorHAnsi" w:cstheme="minorBidi"/>
              <w:iCs w:val="0"/>
              <w:noProof/>
              <w:sz w:val="22"/>
              <w:szCs w:val="22"/>
              <w:lang w:eastAsia="bg-BG"/>
            </w:rPr>
          </w:pPr>
          <w:hyperlink w:anchor="_Toc140150321" w:history="1">
            <w:r w:rsidR="00F906B6" w:rsidRPr="00EC23D2">
              <w:rPr>
                <w:rStyle w:val="Hyperlink"/>
                <w:noProof/>
              </w:rPr>
              <w:t>35. ИНФОРМАЦИЯ, КОМУНИКАЦИЯ И ПУБЛИЧНОСТ</w:t>
            </w:r>
            <w:r w:rsidR="00F906B6">
              <w:rPr>
                <w:noProof/>
                <w:webHidden/>
              </w:rPr>
              <w:tab/>
            </w:r>
            <w:r w:rsidR="00F906B6">
              <w:rPr>
                <w:noProof/>
                <w:webHidden/>
              </w:rPr>
              <w:fldChar w:fldCharType="begin"/>
            </w:r>
            <w:r w:rsidR="00F906B6">
              <w:rPr>
                <w:noProof/>
                <w:webHidden/>
              </w:rPr>
              <w:instrText xml:space="preserve"> PAGEREF _Toc140150321 \h </w:instrText>
            </w:r>
            <w:r w:rsidR="00F906B6">
              <w:rPr>
                <w:noProof/>
                <w:webHidden/>
              </w:rPr>
            </w:r>
            <w:r w:rsidR="00F906B6">
              <w:rPr>
                <w:noProof/>
                <w:webHidden/>
              </w:rPr>
              <w:fldChar w:fldCharType="separate"/>
            </w:r>
            <w:r w:rsidR="00F906B6">
              <w:rPr>
                <w:noProof/>
                <w:webHidden/>
              </w:rPr>
              <w:t>345</w:t>
            </w:r>
            <w:r w:rsidR="00F906B6">
              <w:rPr>
                <w:noProof/>
                <w:webHidden/>
              </w:rPr>
              <w:fldChar w:fldCharType="end"/>
            </w:r>
          </w:hyperlink>
        </w:p>
        <w:p w14:paraId="41FA7D13" w14:textId="55C0535B" w:rsidR="00F906B6" w:rsidRDefault="006035A9">
          <w:pPr>
            <w:pStyle w:val="TOC3"/>
            <w:tabs>
              <w:tab w:val="right" w:leader="dot" w:pos="9487"/>
            </w:tabs>
            <w:rPr>
              <w:rFonts w:eastAsiaTheme="minorEastAsia" w:cstheme="minorBidi"/>
              <w:noProof/>
              <w:sz w:val="22"/>
              <w:szCs w:val="22"/>
              <w:lang w:eastAsia="bg-BG"/>
            </w:rPr>
          </w:pPr>
          <w:hyperlink w:anchor="_Toc140150322" w:history="1">
            <w:r w:rsidR="00F906B6" w:rsidRPr="00EC23D2">
              <w:rPr>
                <w:rStyle w:val="Hyperlink"/>
                <w:noProof/>
                <w:lang w:eastAsia="bg-BG"/>
              </w:rPr>
              <w:t xml:space="preserve">35.1. </w:t>
            </w:r>
            <w:r w:rsidR="00F906B6" w:rsidRPr="00EC23D2">
              <w:rPr>
                <w:rStyle w:val="Hyperlink"/>
                <w:noProof/>
              </w:rPr>
              <w:t>Национални разпоредби и релевантни документи</w:t>
            </w:r>
            <w:r w:rsidR="00F906B6">
              <w:rPr>
                <w:noProof/>
                <w:webHidden/>
              </w:rPr>
              <w:tab/>
            </w:r>
            <w:r w:rsidR="00F906B6">
              <w:rPr>
                <w:noProof/>
                <w:webHidden/>
              </w:rPr>
              <w:fldChar w:fldCharType="begin"/>
            </w:r>
            <w:r w:rsidR="00F906B6">
              <w:rPr>
                <w:noProof/>
                <w:webHidden/>
              </w:rPr>
              <w:instrText xml:space="preserve"> PAGEREF _Toc140150322 \h </w:instrText>
            </w:r>
            <w:r w:rsidR="00F906B6">
              <w:rPr>
                <w:noProof/>
                <w:webHidden/>
              </w:rPr>
            </w:r>
            <w:r w:rsidR="00F906B6">
              <w:rPr>
                <w:noProof/>
                <w:webHidden/>
              </w:rPr>
              <w:fldChar w:fldCharType="separate"/>
            </w:r>
            <w:r w:rsidR="00F906B6">
              <w:rPr>
                <w:noProof/>
                <w:webHidden/>
              </w:rPr>
              <w:t>345</w:t>
            </w:r>
            <w:r w:rsidR="00F906B6">
              <w:rPr>
                <w:noProof/>
                <w:webHidden/>
              </w:rPr>
              <w:fldChar w:fldCharType="end"/>
            </w:r>
          </w:hyperlink>
        </w:p>
        <w:p w14:paraId="419D2C27" w14:textId="78963F03" w:rsidR="00F906B6" w:rsidRDefault="006035A9">
          <w:pPr>
            <w:pStyle w:val="TOC3"/>
            <w:tabs>
              <w:tab w:val="right" w:leader="dot" w:pos="9487"/>
            </w:tabs>
            <w:rPr>
              <w:rFonts w:eastAsiaTheme="minorEastAsia" w:cstheme="minorBidi"/>
              <w:noProof/>
              <w:sz w:val="22"/>
              <w:szCs w:val="22"/>
              <w:lang w:eastAsia="bg-BG"/>
            </w:rPr>
          </w:pPr>
          <w:hyperlink w:anchor="_Toc140150323" w:history="1">
            <w:r w:rsidR="00F906B6" w:rsidRPr="00EC23D2">
              <w:rPr>
                <w:rStyle w:val="Hyperlink"/>
                <w:noProof/>
                <w:snapToGrid w:val="0"/>
              </w:rPr>
              <w:t xml:space="preserve">35.2. </w:t>
            </w:r>
            <w:r w:rsidR="00F906B6" w:rsidRPr="00EC23D2">
              <w:rPr>
                <w:rStyle w:val="Hyperlink"/>
                <w:noProof/>
              </w:rPr>
              <w:t>Роля на Управляващия орган на ОПТТИ</w:t>
            </w:r>
            <w:r w:rsidR="00F906B6">
              <w:rPr>
                <w:noProof/>
                <w:webHidden/>
              </w:rPr>
              <w:tab/>
            </w:r>
            <w:r w:rsidR="00F906B6">
              <w:rPr>
                <w:noProof/>
                <w:webHidden/>
              </w:rPr>
              <w:fldChar w:fldCharType="begin"/>
            </w:r>
            <w:r w:rsidR="00F906B6">
              <w:rPr>
                <w:noProof/>
                <w:webHidden/>
              </w:rPr>
              <w:instrText xml:space="preserve"> PAGEREF _Toc140150323 \h </w:instrText>
            </w:r>
            <w:r w:rsidR="00F906B6">
              <w:rPr>
                <w:noProof/>
                <w:webHidden/>
              </w:rPr>
            </w:r>
            <w:r w:rsidR="00F906B6">
              <w:rPr>
                <w:noProof/>
                <w:webHidden/>
              </w:rPr>
              <w:fldChar w:fldCharType="separate"/>
            </w:r>
            <w:r w:rsidR="00F906B6">
              <w:rPr>
                <w:noProof/>
                <w:webHidden/>
              </w:rPr>
              <w:t>345</w:t>
            </w:r>
            <w:r w:rsidR="00F906B6">
              <w:rPr>
                <w:noProof/>
                <w:webHidden/>
              </w:rPr>
              <w:fldChar w:fldCharType="end"/>
            </w:r>
          </w:hyperlink>
        </w:p>
        <w:p w14:paraId="45B39D5F" w14:textId="236DD92F" w:rsidR="00F906B6" w:rsidRDefault="006035A9">
          <w:pPr>
            <w:pStyle w:val="TOC3"/>
            <w:tabs>
              <w:tab w:val="right" w:leader="dot" w:pos="9487"/>
            </w:tabs>
            <w:rPr>
              <w:rFonts w:eastAsiaTheme="minorEastAsia" w:cstheme="minorBidi"/>
              <w:noProof/>
              <w:sz w:val="22"/>
              <w:szCs w:val="22"/>
              <w:lang w:eastAsia="bg-BG"/>
            </w:rPr>
          </w:pPr>
          <w:hyperlink w:anchor="_Toc140150324" w:history="1">
            <w:r w:rsidR="00F906B6" w:rsidRPr="00EC23D2">
              <w:rPr>
                <w:rStyle w:val="Hyperlink"/>
                <w:noProof/>
              </w:rPr>
              <w:t>35.3. Задължения на бенефициентите на ОПТТИ</w:t>
            </w:r>
            <w:r w:rsidR="00F906B6">
              <w:rPr>
                <w:noProof/>
                <w:webHidden/>
              </w:rPr>
              <w:tab/>
            </w:r>
            <w:r w:rsidR="00F906B6">
              <w:rPr>
                <w:noProof/>
                <w:webHidden/>
              </w:rPr>
              <w:fldChar w:fldCharType="begin"/>
            </w:r>
            <w:r w:rsidR="00F906B6">
              <w:rPr>
                <w:noProof/>
                <w:webHidden/>
              </w:rPr>
              <w:instrText xml:space="preserve"> PAGEREF _Toc140150324 \h </w:instrText>
            </w:r>
            <w:r w:rsidR="00F906B6">
              <w:rPr>
                <w:noProof/>
                <w:webHidden/>
              </w:rPr>
            </w:r>
            <w:r w:rsidR="00F906B6">
              <w:rPr>
                <w:noProof/>
                <w:webHidden/>
              </w:rPr>
              <w:fldChar w:fldCharType="separate"/>
            </w:r>
            <w:r w:rsidR="00F906B6">
              <w:rPr>
                <w:noProof/>
                <w:webHidden/>
              </w:rPr>
              <w:t>348</w:t>
            </w:r>
            <w:r w:rsidR="00F906B6">
              <w:rPr>
                <w:noProof/>
                <w:webHidden/>
              </w:rPr>
              <w:fldChar w:fldCharType="end"/>
            </w:r>
          </w:hyperlink>
        </w:p>
        <w:p w14:paraId="16A9311D" w14:textId="3069695C" w:rsidR="00F906B6" w:rsidRDefault="006035A9">
          <w:pPr>
            <w:pStyle w:val="TOC3"/>
            <w:tabs>
              <w:tab w:val="right" w:leader="dot" w:pos="9487"/>
            </w:tabs>
            <w:rPr>
              <w:rFonts w:eastAsiaTheme="minorEastAsia" w:cstheme="minorBidi"/>
              <w:noProof/>
              <w:sz w:val="22"/>
              <w:szCs w:val="22"/>
              <w:lang w:eastAsia="bg-BG"/>
            </w:rPr>
          </w:pPr>
          <w:hyperlink w:anchor="_Toc140150325" w:history="1">
            <w:r w:rsidR="00F906B6" w:rsidRPr="00EC23D2">
              <w:rPr>
                <w:rStyle w:val="Hyperlink"/>
                <w:noProof/>
                <w:snapToGrid w:val="0"/>
              </w:rPr>
              <w:t>35.4</w:t>
            </w:r>
            <w:r w:rsidR="00F906B6" w:rsidRPr="00EC23D2">
              <w:rPr>
                <w:rStyle w:val="Hyperlink"/>
                <w:noProof/>
              </w:rPr>
              <w:t>. Координация и сътрудничество</w:t>
            </w:r>
            <w:r w:rsidR="00F906B6">
              <w:rPr>
                <w:noProof/>
                <w:webHidden/>
              </w:rPr>
              <w:tab/>
            </w:r>
            <w:r w:rsidR="00F906B6">
              <w:rPr>
                <w:noProof/>
                <w:webHidden/>
              </w:rPr>
              <w:fldChar w:fldCharType="begin"/>
            </w:r>
            <w:r w:rsidR="00F906B6">
              <w:rPr>
                <w:noProof/>
                <w:webHidden/>
              </w:rPr>
              <w:instrText xml:space="preserve"> PAGEREF _Toc140150325 \h </w:instrText>
            </w:r>
            <w:r w:rsidR="00F906B6">
              <w:rPr>
                <w:noProof/>
                <w:webHidden/>
              </w:rPr>
            </w:r>
            <w:r w:rsidR="00F906B6">
              <w:rPr>
                <w:noProof/>
                <w:webHidden/>
              </w:rPr>
              <w:fldChar w:fldCharType="separate"/>
            </w:r>
            <w:r w:rsidR="00F906B6">
              <w:rPr>
                <w:noProof/>
                <w:webHidden/>
              </w:rPr>
              <w:t>350</w:t>
            </w:r>
            <w:r w:rsidR="00F906B6">
              <w:rPr>
                <w:noProof/>
                <w:webHidden/>
              </w:rPr>
              <w:fldChar w:fldCharType="end"/>
            </w:r>
          </w:hyperlink>
        </w:p>
        <w:p w14:paraId="73CDD2B7" w14:textId="2E2B126D" w:rsidR="00F906B6" w:rsidRDefault="006035A9">
          <w:pPr>
            <w:pStyle w:val="TOC3"/>
            <w:tabs>
              <w:tab w:val="right" w:leader="dot" w:pos="9487"/>
            </w:tabs>
            <w:rPr>
              <w:rFonts w:eastAsiaTheme="minorEastAsia" w:cstheme="minorBidi"/>
              <w:noProof/>
              <w:sz w:val="22"/>
              <w:szCs w:val="22"/>
              <w:lang w:eastAsia="bg-BG"/>
            </w:rPr>
          </w:pPr>
          <w:hyperlink w:anchor="_Toc140150326" w:history="1">
            <w:r w:rsidR="00F906B6" w:rsidRPr="00EC23D2">
              <w:rPr>
                <w:rStyle w:val="Hyperlink"/>
                <w:noProof/>
                <w:snapToGrid w:val="0"/>
              </w:rPr>
              <w:t xml:space="preserve">35.5. </w:t>
            </w:r>
            <w:r w:rsidR="00F906B6" w:rsidRPr="00EC23D2">
              <w:rPr>
                <w:rStyle w:val="Hyperlink"/>
                <w:noProof/>
              </w:rPr>
              <w:t>Годишен план за действие  на ОПТТИ</w:t>
            </w:r>
            <w:r w:rsidR="00F906B6">
              <w:rPr>
                <w:noProof/>
                <w:webHidden/>
              </w:rPr>
              <w:tab/>
            </w:r>
            <w:r w:rsidR="00F906B6">
              <w:rPr>
                <w:noProof/>
                <w:webHidden/>
              </w:rPr>
              <w:fldChar w:fldCharType="begin"/>
            </w:r>
            <w:r w:rsidR="00F906B6">
              <w:rPr>
                <w:noProof/>
                <w:webHidden/>
              </w:rPr>
              <w:instrText xml:space="preserve"> PAGEREF _Toc140150326 \h </w:instrText>
            </w:r>
            <w:r w:rsidR="00F906B6">
              <w:rPr>
                <w:noProof/>
                <w:webHidden/>
              </w:rPr>
            </w:r>
            <w:r w:rsidR="00F906B6">
              <w:rPr>
                <w:noProof/>
                <w:webHidden/>
              </w:rPr>
              <w:fldChar w:fldCharType="separate"/>
            </w:r>
            <w:r w:rsidR="00F906B6">
              <w:rPr>
                <w:noProof/>
                <w:webHidden/>
              </w:rPr>
              <w:t>351</w:t>
            </w:r>
            <w:r w:rsidR="00F906B6">
              <w:rPr>
                <w:noProof/>
                <w:webHidden/>
              </w:rPr>
              <w:fldChar w:fldCharType="end"/>
            </w:r>
          </w:hyperlink>
        </w:p>
        <w:p w14:paraId="3A19A4A0" w14:textId="76EBB2AF" w:rsidR="00F906B6" w:rsidRDefault="006035A9">
          <w:pPr>
            <w:pStyle w:val="TOC3"/>
            <w:tabs>
              <w:tab w:val="right" w:leader="dot" w:pos="9487"/>
            </w:tabs>
            <w:rPr>
              <w:rFonts w:eastAsiaTheme="minorEastAsia" w:cstheme="minorBidi"/>
              <w:noProof/>
              <w:sz w:val="22"/>
              <w:szCs w:val="22"/>
              <w:lang w:eastAsia="bg-BG"/>
            </w:rPr>
          </w:pPr>
          <w:hyperlink w:anchor="_Toc140150327" w:history="1">
            <w:r w:rsidR="00F906B6" w:rsidRPr="00EC23D2">
              <w:rPr>
                <w:rStyle w:val="Hyperlink"/>
                <w:noProof/>
                <w:snapToGrid w:val="0"/>
              </w:rPr>
              <w:t xml:space="preserve">35.6. </w:t>
            </w:r>
            <w:r w:rsidR="00F906B6" w:rsidRPr="00EC23D2">
              <w:rPr>
                <w:rStyle w:val="Hyperlink"/>
                <w:noProof/>
              </w:rPr>
              <w:t>Комуникационни дейности по  проекти, предвидени за финансиране от ОПТТИ</w:t>
            </w:r>
            <w:r w:rsidR="00F906B6">
              <w:rPr>
                <w:noProof/>
                <w:webHidden/>
              </w:rPr>
              <w:tab/>
            </w:r>
            <w:r w:rsidR="00F906B6">
              <w:rPr>
                <w:noProof/>
                <w:webHidden/>
              </w:rPr>
              <w:fldChar w:fldCharType="begin"/>
            </w:r>
            <w:r w:rsidR="00F906B6">
              <w:rPr>
                <w:noProof/>
                <w:webHidden/>
              </w:rPr>
              <w:instrText xml:space="preserve"> PAGEREF _Toc140150327 \h </w:instrText>
            </w:r>
            <w:r w:rsidR="00F906B6">
              <w:rPr>
                <w:noProof/>
                <w:webHidden/>
              </w:rPr>
            </w:r>
            <w:r w:rsidR="00F906B6">
              <w:rPr>
                <w:noProof/>
                <w:webHidden/>
              </w:rPr>
              <w:fldChar w:fldCharType="separate"/>
            </w:r>
            <w:r w:rsidR="00F906B6">
              <w:rPr>
                <w:noProof/>
                <w:webHidden/>
              </w:rPr>
              <w:t>352</w:t>
            </w:r>
            <w:r w:rsidR="00F906B6">
              <w:rPr>
                <w:noProof/>
                <w:webHidden/>
              </w:rPr>
              <w:fldChar w:fldCharType="end"/>
            </w:r>
          </w:hyperlink>
        </w:p>
        <w:p w14:paraId="04CD6891" w14:textId="4E313055" w:rsidR="00F906B6" w:rsidRDefault="006035A9">
          <w:pPr>
            <w:pStyle w:val="TOC3"/>
            <w:tabs>
              <w:tab w:val="right" w:leader="dot" w:pos="9487"/>
            </w:tabs>
            <w:rPr>
              <w:rFonts w:eastAsiaTheme="minorEastAsia" w:cstheme="minorBidi"/>
              <w:noProof/>
              <w:sz w:val="22"/>
              <w:szCs w:val="22"/>
              <w:lang w:eastAsia="bg-BG"/>
            </w:rPr>
          </w:pPr>
          <w:hyperlink w:anchor="_Toc140150328" w:history="1">
            <w:r w:rsidR="00F906B6" w:rsidRPr="00EC23D2">
              <w:rPr>
                <w:rStyle w:val="Hyperlink"/>
                <w:noProof/>
                <w:snapToGrid w:val="0"/>
              </w:rPr>
              <w:t>35.7</w:t>
            </w:r>
            <w:r w:rsidR="00F906B6" w:rsidRPr="00EC23D2">
              <w:rPr>
                <w:rStyle w:val="Hyperlink"/>
                <w:noProof/>
              </w:rPr>
              <w:t>. Отчитане на изпълнението на мерките за информация и публичност на инвестиционни проекти, предвидени за финансиране от ОПТТИ</w:t>
            </w:r>
            <w:r w:rsidR="00F906B6">
              <w:rPr>
                <w:noProof/>
                <w:webHidden/>
              </w:rPr>
              <w:tab/>
            </w:r>
            <w:r w:rsidR="00F906B6">
              <w:rPr>
                <w:noProof/>
                <w:webHidden/>
              </w:rPr>
              <w:fldChar w:fldCharType="begin"/>
            </w:r>
            <w:r w:rsidR="00F906B6">
              <w:rPr>
                <w:noProof/>
                <w:webHidden/>
              </w:rPr>
              <w:instrText xml:space="preserve"> PAGEREF _Toc140150328 \h </w:instrText>
            </w:r>
            <w:r w:rsidR="00F906B6">
              <w:rPr>
                <w:noProof/>
                <w:webHidden/>
              </w:rPr>
            </w:r>
            <w:r w:rsidR="00F906B6">
              <w:rPr>
                <w:noProof/>
                <w:webHidden/>
              </w:rPr>
              <w:fldChar w:fldCharType="separate"/>
            </w:r>
            <w:r w:rsidR="00F906B6">
              <w:rPr>
                <w:noProof/>
                <w:webHidden/>
              </w:rPr>
              <w:t>352</w:t>
            </w:r>
            <w:r w:rsidR="00F906B6">
              <w:rPr>
                <w:noProof/>
                <w:webHidden/>
              </w:rPr>
              <w:fldChar w:fldCharType="end"/>
            </w:r>
          </w:hyperlink>
        </w:p>
        <w:p w14:paraId="57313F5E" w14:textId="39CC5606" w:rsidR="00F906B6" w:rsidRDefault="006035A9">
          <w:pPr>
            <w:pStyle w:val="TOC3"/>
            <w:tabs>
              <w:tab w:val="right" w:leader="dot" w:pos="9487"/>
            </w:tabs>
            <w:rPr>
              <w:rFonts w:eastAsiaTheme="minorEastAsia" w:cstheme="minorBidi"/>
              <w:noProof/>
              <w:sz w:val="22"/>
              <w:szCs w:val="22"/>
              <w:lang w:eastAsia="bg-BG"/>
            </w:rPr>
          </w:pPr>
          <w:hyperlink w:anchor="_Toc140150329" w:history="1">
            <w:r w:rsidR="00F906B6" w:rsidRPr="00EC23D2">
              <w:rPr>
                <w:rStyle w:val="Hyperlink"/>
                <w:noProof/>
              </w:rPr>
              <w:t>35.8. Интернет страницата на УО на ОПТТИ</w:t>
            </w:r>
            <w:r w:rsidR="00F906B6">
              <w:rPr>
                <w:noProof/>
                <w:webHidden/>
              </w:rPr>
              <w:tab/>
            </w:r>
            <w:r w:rsidR="00F906B6">
              <w:rPr>
                <w:noProof/>
                <w:webHidden/>
              </w:rPr>
              <w:fldChar w:fldCharType="begin"/>
            </w:r>
            <w:r w:rsidR="00F906B6">
              <w:rPr>
                <w:noProof/>
                <w:webHidden/>
              </w:rPr>
              <w:instrText xml:space="preserve"> PAGEREF _Toc140150329 \h </w:instrText>
            </w:r>
            <w:r w:rsidR="00F906B6">
              <w:rPr>
                <w:noProof/>
                <w:webHidden/>
              </w:rPr>
            </w:r>
            <w:r w:rsidR="00F906B6">
              <w:rPr>
                <w:noProof/>
                <w:webHidden/>
              </w:rPr>
              <w:fldChar w:fldCharType="separate"/>
            </w:r>
            <w:r w:rsidR="00F906B6">
              <w:rPr>
                <w:noProof/>
                <w:webHidden/>
              </w:rPr>
              <w:t>353</w:t>
            </w:r>
            <w:r w:rsidR="00F906B6">
              <w:rPr>
                <w:noProof/>
                <w:webHidden/>
              </w:rPr>
              <w:fldChar w:fldCharType="end"/>
            </w:r>
          </w:hyperlink>
        </w:p>
        <w:p w14:paraId="1758D7EF" w14:textId="294620AD" w:rsidR="00F906B6" w:rsidRDefault="006035A9">
          <w:pPr>
            <w:pStyle w:val="TOC3"/>
            <w:tabs>
              <w:tab w:val="right" w:leader="dot" w:pos="9487"/>
            </w:tabs>
            <w:rPr>
              <w:rFonts w:eastAsiaTheme="minorEastAsia" w:cstheme="minorBidi"/>
              <w:noProof/>
              <w:sz w:val="22"/>
              <w:szCs w:val="22"/>
              <w:lang w:eastAsia="bg-BG"/>
            </w:rPr>
          </w:pPr>
          <w:hyperlink w:anchor="_Toc140150330" w:history="1">
            <w:r w:rsidR="00F906B6" w:rsidRPr="00EC23D2">
              <w:rPr>
                <w:rStyle w:val="Hyperlink"/>
                <w:noProof/>
                <w:lang w:eastAsia="bg-BG"/>
              </w:rPr>
              <w:t xml:space="preserve">35.9. </w:t>
            </w:r>
            <w:r w:rsidR="00F906B6" w:rsidRPr="00EC23D2">
              <w:rPr>
                <w:rStyle w:val="Hyperlink"/>
                <w:noProof/>
              </w:rPr>
              <w:t>Комуникация чрез социални мрежи</w:t>
            </w:r>
            <w:r w:rsidR="00F906B6">
              <w:rPr>
                <w:noProof/>
                <w:webHidden/>
              </w:rPr>
              <w:tab/>
            </w:r>
            <w:r w:rsidR="00F906B6">
              <w:rPr>
                <w:noProof/>
                <w:webHidden/>
              </w:rPr>
              <w:fldChar w:fldCharType="begin"/>
            </w:r>
            <w:r w:rsidR="00F906B6">
              <w:rPr>
                <w:noProof/>
                <w:webHidden/>
              </w:rPr>
              <w:instrText xml:space="preserve"> PAGEREF _Toc140150330 \h </w:instrText>
            </w:r>
            <w:r w:rsidR="00F906B6">
              <w:rPr>
                <w:noProof/>
                <w:webHidden/>
              </w:rPr>
            </w:r>
            <w:r w:rsidR="00F906B6">
              <w:rPr>
                <w:noProof/>
                <w:webHidden/>
              </w:rPr>
              <w:fldChar w:fldCharType="separate"/>
            </w:r>
            <w:r w:rsidR="00F906B6">
              <w:rPr>
                <w:noProof/>
                <w:webHidden/>
              </w:rPr>
              <w:t>354</w:t>
            </w:r>
            <w:r w:rsidR="00F906B6">
              <w:rPr>
                <w:noProof/>
                <w:webHidden/>
              </w:rPr>
              <w:fldChar w:fldCharType="end"/>
            </w:r>
          </w:hyperlink>
        </w:p>
        <w:p w14:paraId="4660BD0C" w14:textId="7835BCF5" w:rsidR="00F906B6" w:rsidRDefault="006035A9">
          <w:pPr>
            <w:pStyle w:val="TOC2"/>
            <w:rPr>
              <w:rFonts w:asciiTheme="minorHAnsi" w:eastAsiaTheme="minorEastAsia" w:hAnsiTheme="minorHAnsi" w:cstheme="minorBidi"/>
              <w:iCs w:val="0"/>
              <w:noProof/>
              <w:sz w:val="22"/>
              <w:szCs w:val="22"/>
              <w:lang w:eastAsia="bg-BG"/>
            </w:rPr>
          </w:pPr>
          <w:hyperlink w:anchor="_Toc140150347" w:history="1">
            <w:r w:rsidR="00F906B6" w:rsidRPr="00EC23D2">
              <w:rPr>
                <w:rStyle w:val="Hyperlink"/>
                <w:noProof/>
              </w:rPr>
              <w:t>36.</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ПРОЦЕДУРА ЗА ИЗГОТВЯНЕ НА ДЕКЛАРАЦИЯТА ЗА УПРАВЛЕНИЕТО И НА ГОДИШНИЯ ОТЧЕТ ЗА ОКОНЧАТЕЛНИТЕ ОДИТНИ ДОКЛАДИ И ОСЪЩЕСТВЕНИЯ КОНТРОЛ</w:t>
            </w:r>
            <w:r w:rsidR="00F906B6">
              <w:rPr>
                <w:noProof/>
                <w:webHidden/>
              </w:rPr>
              <w:tab/>
            </w:r>
            <w:r w:rsidR="00F906B6">
              <w:rPr>
                <w:noProof/>
                <w:webHidden/>
              </w:rPr>
              <w:fldChar w:fldCharType="begin"/>
            </w:r>
            <w:r w:rsidR="00F906B6">
              <w:rPr>
                <w:noProof/>
                <w:webHidden/>
              </w:rPr>
              <w:instrText xml:space="preserve"> PAGEREF _Toc140150347 \h </w:instrText>
            </w:r>
            <w:r w:rsidR="00F906B6">
              <w:rPr>
                <w:noProof/>
                <w:webHidden/>
              </w:rPr>
            </w:r>
            <w:r w:rsidR="00F906B6">
              <w:rPr>
                <w:noProof/>
                <w:webHidden/>
              </w:rPr>
              <w:fldChar w:fldCharType="separate"/>
            </w:r>
            <w:r w:rsidR="00F906B6">
              <w:rPr>
                <w:noProof/>
                <w:webHidden/>
              </w:rPr>
              <w:t>354</w:t>
            </w:r>
            <w:r w:rsidR="00F906B6">
              <w:rPr>
                <w:noProof/>
                <w:webHidden/>
              </w:rPr>
              <w:fldChar w:fldCharType="end"/>
            </w:r>
          </w:hyperlink>
        </w:p>
        <w:p w14:paraId="08414B4E" w14:textId="31016DF7" w:rsidR="00F906B6" w:rsidRDefault="006035A9">
          <w:pPr>
            <w:pStyle w:val="TOC3"/>
            <w:tabs>
              <w:tab w:val="right" w:leader="dot" w:pos="9487"/>
            </w:tabs>
            <w:rPr>
              <w:rFonts w:eastAsiaTheme="minorEastAsia" w:cstheme="minorBidi"/>
              <w:noProof/>
              <w:sz w:val="22"/>
              <w:szCs w:val="22"/>
              <w:lang w:eastAsia="bg-BG"/>
            </w:rPr>
          </w:pPr>
          <w:hyperlink w:anchor="_Toc140150348" w:history="1">
            <w:r w:rsidR="00F906B6" w:rsidRPr="00EC23D2">
              <w:rPr>
                <w:rStyle w:val="Hyperlink"/>
                <w:noProof/>
                <w:lang w:eastAsia="bg-BG"/>
              </w:rPr>
              <w:t>36.1.  Декларация за управлението (член 125, параграф 4, буква д) от Регламент (ЕС) № 1303/2013)</w:t>
            </w:r>
            <w:r w:rsidR="00F906B6">
              <w:rPr>
                <w:noProof/>
                <w:webHidden/>
              </w:rPr>
              <w:tab/>
            </w:r>
            <w:r w:rsidR="00F906B6">
              <w:rPr>
                <w:noProof/>
                <w:webHidden/>
              </w:rPr>
              <w:fldChar w:fldCharType="begin"/>
            </w:r>
            <w:r w:rsidR="00F906B6">
              <w:rPr>
                <w:noProof/>
                <w:webHidden/>
              </w:rPr>
              <w:instrText xml:space="preserve"> PAGEREF _Toc140150348 \h </w:instrText>
            </w:r>
            <w:r w:rsidR="00F906B6">
              <w:rPr>
                <w:noProof/>
                <w:webHidden/>
              </w:rPr>
            </w:r>
            <w:r w:rsidR="00F906B6">
              <w:rPr>
                <w:noProof/>
                <w:webHidden/>
              </w:rPr>
              <w:fldChar w:fldCharType="separate"/>
            </w:r>
            <w:r w:rsidR="00F906B6">
              <w:rPr>
                <w:noProof/>
                <w:webHidden/>
              </w:rPr>
              <w:t>354</w:t>
            </w:r>
            <w:r w:rsidR="00F906B6">
              <w:rPr>
                <w:noProof/>
                <w:webHidden/>
              </w:rPr>
              <w:fldChar w:fldCharType="end"/>
            </w:r>
          </w:hyperlink>
        </w:p>
        <w:p w14:paraId="4BF2AFEC" w14:textId="212F909D" w:rsidR="00F906B6" w:rsidRDefault="006035A9">
          <w:pPr>
            <w:pStyle w:val="TOC3"/>
            <w:tabs>
              <w:tab w:val="right" w:leader="dot" w:pos="9487"/>
            </w:tabs>
            <w:rPr>
              <w:rFonts w:eastAsiaTheme="minorEastAsia" w:cstheme="minorBidi"/>
              <w:noProof/>
              <w:sz w:val="22"/>
              <w:szCs w:val="22"/>
              <w:lang w:eastAsia="bg-BG"/>
            </w:rPr>
          </w:pPr>
          <w:hyperlink w:anchor="_Toc140150349" w:history="1">
            <w:r w:rsidR="00F906B6" w:rsidRPr="00EC23D2">
              <w:rPr>
                <w:rStyle w:val="Hyperlink"/>
                <w:noProof/>
                <w:lang w:eastAsia="bg-BG"/>
              </w:rPr>
              <w:t>36.2.  Годишен отчет за окончателните одитни доклади и за осъществения контрол, включително анализ на естеството и размера на установените грешки и слабости в системите, както и коригиращите действия, които са предприети или планирани. (член 125, параграф 4, буква д) от Регламент (ЕС) № 1303/2013)</w:t>
            </w:r>
            <w:r w:rsidR="00F906B6">
              <w:rPr>
                <w:noProof/>
                <w:webHidden/>
              </w:rPr>
              <w:tab/>
            </w:r>
            <w:r w:rsidR="00F906B6">
              <w:rPr>
                <w:noProof/>
                <w:webHidden/>
              </w:rPr>
              <w:fldChar w:fldCharType="begin"/>
            </w:r>
            <w:r w:rsidR="00F906B6">
              <w:rPr>
                <w:noProof/>
                <w:webHidden/>
              </w:rPr>
              <w:instrText xml:space="preserve"> PAGEREF _Toc140150349 \h </w:instrText>
            </w:r>
            <w:r w:rsidR="00F906B6">
              <w:rPr>
                <w:noProof/>
                <w:webHidden/>
              </w:rPr>
            </w:r>
            <w:r w:rsidR="00F906B6">
              <w:rPr>
                <w:noProof/>
                <w:webHidden/>
              </w:rPr>
              <w:fldChar w:fldCharType="separate"/>
            </w:r>
            <w:r w:rsidR="00F906B6">
              <w:rPr>
                <w:noProof/>
                <w:webHidden/>
              </w:rPr>
              <w:t>355</w:t>
            </w:r>
            <w:r w:rsidR="00F906B6">
              <w:rPr>
                <w:noProof/>
                <w:webHidden/>
              </w:rPr>
              <w:fldChar w:fldCharType="end"/>
            </w:r>
          </w:hyperlink>
        </w:p>
        <w:p w14:paraId="3853E09A" w14:textId="66F028D9" w:rsidR="00F906B6" w:rsidRDefault="006035A9">
          <w:pPr>
            <w:pStyle w:val="TOC1"/>
            <w:tabs>
              <w:tab w:val="right" w:leader="dot" w:pos="9487"/>
            </w:tabs>
            <w:rPr>
              <w:rFonts w:eastAsiaTheme="minorEastAsia" w:cstheme="minorBidi"/>
              <w:b w:val="0"/>
              <w:bCs w:val="0"/>
              <w:noProof/>
              <w:sz w:val="22"/>
              <w:szCs w:val="22"/>
              <w:lang w:eastAsia="bg-BG"/>
            </w:rPr>
          </w:pPr>
          <w:hyperlink w:anchor="_Toc140150350" w:history="1">
            <w:r w:rsidR="00F906B6" w:rsidRPr="00EC23D2">
              <w:rPr>
                <w:rStyle w:val="Hyperlink"/>
                <w:rFonts w:ascii="Times New Roman" w:hAnsi="Times New Roman"/>
                <w:noProof/>
                <w:lang w:eastAsia="bg-BG"/>
              </w:rPr>
              <w:t>ГЛАВА 10 АДМИНИСТРАТИВЕН КАПАЦИТЕТ</w:t>
            </w:r>
            <w:r w:rsidR="00F906B6">
              <w:rPr>
                <w:noProof/>
                <w:webHidden/>
              </w:rPr>
              <w:tab/>
            </w:r>
            <w:r w:rsidR="00F906B6">
              <w:rPr>
                <w:noProof/>
                <w:webHidden/>
              </w:rPr>
              <w:fldChar w:fldCharType="begin"/>
            </w:r>
            <w:r w:rsidR="00F906B6">
              <w:rPr>
                <w:noProof/>
                <w:webHidden/>
              </w:rPr>
              <w:instrText xml:space="preserve"> PAGEREF _Toc140150350 \h </w:instrText>
            </w:r>
            <w:r w:rsidR="00F906B6">
              <w:rPr>
                <w:noProof/>
                <w:webHidden/>
              </w:rPr>
            </w:r>
            <w:r w:rsidR="00F906B6">
              <w:rPr>
                <w:noProof/>
                <w:webHidden/>
              </w:rPr>
              <w:fldChar w:fldCharType="separate"/>
            </w:r>
            <w:r w:rsidR="00F906B6">
              <w:rPr>
                <w:noProof/>
                <w:webHidden/>
              </w:rPr>
              <w:t>359</w:t>
            </w:r>
            <w:r w:rsidR="00F906B6">
              <w:rPr>
                <w:noProof/>
                <w:webHidden/>
              </w:rPr>
              <w:fldChar w:fldCharType="end"/>
            </w:r>
          </w:hyperlink>
        </w:p>
        <w:p w14:paraId="04DC550E" w14:textId="49A49B69" w:rsidR="00F906B6" w:rsidRDefault="006035A9">
          <w:pPr>
            <w:pStyle w:val="TOC2"/>
            <w:rPr>
              <w:rFonts w:asciiTheme="minorHAnsi" w:eastAsiaTheme="minorEastAsia" w:hAnsiTheme="minorHAnsi" w:cstheme="minorBidi"/>
              <w:iCs w:val="0"/>
              <w:noProof/>
              <w:sz w:val="22"/>
              <w:szCs w:val="22"/>
              <w:lang w:eastAsia="bg-BG"/>
            </w:rPr>
          </w:pPr>
          <w:hyperlink w:anchor="_Toc140150351" w:history="1">
            <w:r w:rsidR="00F906B6" w:rsidRPr="00EC23D2">
              <w:rPr>
                <w:rStyle w:val="Hyperlink"/>
                <w:noProof/>
              </w:rPr>
              <w:t>35.</w:t>
            </w:r>
            <w:r w:rsidR="00F906B6">
              <w:rPr>
                <w:rFonts w:asciiTheme="minorHAnsi" w:eastAsiaTheme="minorEastAsia" w:hAnsiTheme="minorHAnsi" w:cstheme="minorBidi"/>
                <w:iCs w:val="0"/>
                <w:noProof/>
                <w:sz w:val="22"/>
                <w:szCs w:val="22"/>
                <w:lang w:eastAsia="bg-BG"/>
              </w:rPr>
              <w:tab/>
            </w:r>
            <w:r w:rsidR="00F906B6" w:rsidRPr="00EC23D2">
              <w:rPr>
                <w:rStyle w:val="Hyperlink"/>
                <w:noProof/>
              </w:rPr>
              <w:t>АДМИНИСТРАТИВЕН КАПАЦИТЕТ В СЕКТОР „ТРАНСПОРТ”</w:t>
            </w:r>
            <w:r w:rsidR="00F906B6">
              <w:rPr>
                <w:noProof/>
                <w:webHidden/>
              </w:rPr>
              <w:tab/>
            </w:r>
            <w:r w:rsidR="00F906B6">
              <w:rPr>
                <w:noProof/>
                <w:webHidden/>
              </w:rPr>
              <w:fldChar w:fldCharType="begin"/>
            </w:r>
            <w:r w:rsidR="00F906B6">
              <w:rPr>
                <w:noProof/>
                <w:webHidden/>
              </w:rPr>
              <w:instrText xml:space="preserve"> PAGEREF _Toc140150351 \h </w:instrText>
            </w:r>
            <w:r w:rsidR="00F906B6">
              <w:rPr>
                <w:noProof/>
                <w:webHidden/>
              </w:rPr>
            </w:r>
            <w:r w:rsidR="00F906B6">
              <w:rPr>
                <w:noProof/>
                <w:webHidden/>
              </w:rPr>
              <w:fldChar w:fldCharType="separate"/>
            </w:r>
            <w:r w:rsidR="00F906B6">
              <w:rPr>
                <w:noProof/>
                <w:webHidden/>
              </w:rPr>
              <w:t>359</w:t>
            </w:r>
            <w:r w:rsidR="00F906B6">
              <w:rPr>
                <w:noProof/>
                <w:webHidden/>
              </w:rPr>
              <w:fldChar w:fldCharType="end"/>
            </w:r>
          </w:hyperlink>
        </w:p>
        <w:p w14:paraId="13B7BD26" w14:textId="5C832E09"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352" w:history="1">
            <w:r w:rsidR="00F906B6" w:rsidRPr="00EC23D2">
              <w:rPr>
                <w:rStyle w:val="Hyperlink"/>
                <w:noProof/>
                <w:snapToGrid w:val="0"/>
              </w:rPr>
              <w:t>35.1.</w:t>
            </w:r>
            <w:r w:rsidR="00F906B6">
              <w:rPr>
                <w:rFonts w:eastAsiaTheme="minorEastAsia" w:cstheme="minorBidi"/>
                <w:noProof/>
                <w:sz w:val="22"/>
                <w:szCs w:val="22"/>
                <w:lang w:eastAsia="bg-BG"/>
              </w:rPr>
              <w:tab/>
            </w:r>
            <w:r w:rsidR="00F906B6" w:rsidRPr="00EC23D2">
              <w:rPr>
                <w:rStyle w:val="Hyperlink"/>
                <w:noProof/>
                <w:snapToGrid w:val="0"/>
              </w:rPr>
              <w:t>Основните резултати са постигнати чрез целенасочени инвестиции от ОПТ 2007-2013 г.</w:t>
            </w:r>
            <w:r w:rsidR="00F906B6">
              <w:rPr>
                <w:noProof/>
                <w:webHidden/>
              </w:rPr>
              <w:tab/>
            </w:r>
            <w:r w:rsidR="00F906B6">
              <w:rPr>
                <w:noProof/>
                <w:webHidden/>
              </w:rPr>
              <w:fldChar w:fldCharType="begin"/>
            </w:r>
            <w:r w:rsidR="00F906B6">
              <w:rPr>
                <w:noProof/>
                <w:webHidden/>
              </w:rPr>
              <w:instrText xml:space="preserve"> PAGEREF _Toc140150352 \h </w:instrText>
            </w:r>
            <w:r w:rsidR="00F906B6">
              <w:rPr>
                <w:noProof/>
                <w:webHidden/>
              </w:rPr>
            </w:r>
            <w:r w:rsidR="00F906B6">
              <w:rPr>
                <w:noProof/>
                <w:webHidden/>
              </w:rPr>
              <w:fldChar w:fldCharType="separate"/>
            </w:r>
            <w:r w:rsidR="00F906B6">
              <w:rPr>
                <w:noProof/>
                <w:webHidden/>
              </w:rPr>
              <w:t>359</w:t>
            </w:r>
            <w:r w:rsidR="00F906B6">
              <w:rPr>
                <w:noProof/>
                <w:webHidden/>
              </w:rPr>
              <w:fldChar w:fldCharType="end"/>
            </w:r>
          </w:hyperlink>
        </w:p>
        <w:p w14:paraId="0AE02417" w14:textId="06AE5838"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353" w:history="1">
            <w:r w:rsidR="00F906B6" w:rsidRPr="00EC23D2">
              <w:rPr>
                <w:rStyle w:val="Hyperlink"/>
                <w:noProof/>
                <w:snapToGrid w:val="0"/>
              </w:rPr>
              <w:t>35.2.</w:t>
            </w:r>
            <w:r w:rsidR="00F906B6">
              <w:rPr>
                <w:rFonts w:eastAsiaTheme="minorEastAsia" w:cstheme="minorBidi"/>
                <w:noProof/>
                <w:sz w:val="22"/>
                <w:szCs w:val="22"/>
                <w:lang w:eastAsia="bg-BG"/>
              </w:rPr>
              <w:tab/>
            </w:r>
            <w:r w:rsidR="00F906B6" w:rsidRPr="00EC23D2">
              <w:rPr>
                <w:rStyle w:val="Hyperlink"/>
                <w:noProof/>
                <w:snapToGrid w:val="0"/>
              </w:rPr>
              <w:t>Изграждане и укрепване на административния капацитет</w:t>
            </w:r>
            <w:r w:rsidR="00F906B6">
              <w:rPr>
                <w:noProof/>
                <w:webHidden/>
              </w:rPr>
              <w:tab/>
            </w:r>
            <w:r w:rsidR="00F906B6">
              <w:rPr>
                <w:noProof/>
                <w:webHidden/>
              </w:rPr>
              <w:fldChar w:fldCharType="begin"/>
            </w:r>
            <w:r w:rsidR="00F906B6">
              <w:rPr>
                <w:noProof/>
                <w:webHidden/>
              </w:rPr>
              <w:instrText xml:space="preserve"> PAGEREF _Toc140150353 \h </w:instrText>
            </w:r>
            <w:r w:rsidR="00F906B6">
              <w:rPr>
                <w:noProof/>
                <w:webHidden/>
              </w:rPr>
            </w:r>
            <w:r w:rsidR="00F906B6">
              <w:rPr>
                <w:noProof/>
                <w:webHidden/>
              </w:rPr>
              <w:fldChar w:fldCharType="separate"/>
            </w:r>
            <w:r w:rsidR="00F906B6">
              <w:rPr>
                <w:noProof/>
                <w:webHidden/>
              </w:rPr>
              <w:t>360</w:t>
            </w:r>
            <w:r w:rsidR="00F906B6">
              <w:rPr>
                <w:noProof/>
                <w:webHidden/>
              </w:rPr>
              <w:fldChar w:fldCharType="end"/>
            </w:r>
          </w:hyperlink>
        </w:p>
        <w:p w14:paraId="53D52C32" w14:textId="46B73D01"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354" w:history="1">
            <w:r w:rsidR="00F906B6" w:rsidRPr="00EC23D2">
              <w:rPr>
                <w:rStyle w:val="Hyperlink"/>
                <w:noProof/>
                <w:snapToGrid w:val="0"/>
              </w:rPr>
              <w:t>35.3.</w:t>
            </w:r>
            <w:r w:rsidR="00F906B6">
              <w:rPr>
                <w:rFonts w:eastAsiaTheme="minorEastAsia" w:cstheme="minorBidi"/>
                <w:noProof/>
                <w:sz w:val="22"/>
                <w:szCs w:val="22"/>
                <w:lang w:eastAsia="bg-BG"/>
              </w:rPr>
              <w:tab/>
            </w:r>
            <w:r w:rsidR="00F906B6" w:rsidRPr="00EC23D2">
              <w:rPr>
                <w:rStyle w:val="Hyperlink"/>
                <w:noProof/>
                <w:snapToGrid w:val="0"/>
              </w:rPr>
              <w:t>Организация на работата в дирекция „Координация на програми и проекти“</w:t>
            </w:r>
            <w:r w:rsidR="00F906B6">
              <w:rPr>
                <w:noProof/>
                <w:webHidden/>
              </w:rPr>
              <w:tab/>
            </w:r>
            <w:r w:rsidR="00F906B6">
              <w:rPr>
                <w:noProof/>
                <w:webHidden/>
              </w:rPr>
              <w:fldChar w:fldCharType="begin"/>
            </w:r>
            <w:r w:rsidR="00F906B6">
              <w:rPr>
                <w:noProof/>
                <w:webHidden/>
              </w:rPr>
              <w:instrText xml:space="preserve"> PAGEREF _Toc140150354 \h </w:instrText>
            </w:r>
            <w:r w:rsidR="00F906B6">
              <w:rPr>
                <w:noProof/>
                <w:webHidden/>
              </w:rPr>
            </w:r>
            <w:r w:rsidR="00F906B6">
              <w:rPr>
                <w:noProof/>
                <w:webHidden/>
              </w:rPr>
              <w:fldChar w:fldCharType="separate"/>
            </w:r>
            <w:r w:rsidR="00F906B6">
              <w:rPr>
                <w:noProof/>
                <w:webHidden/>
              </w:rPr>
              <w:t>364</w:t>
            </w:r>
            <w:r w:rsidR="00F906B6">
              <w:rPr>
                <w:noProof/>
                <w:webHidden/>
              </w:rPr>
              <w:fldChar w:fldCharType="end"/>
            </w:r>
          </w:hyperlink>
        </w:p>
        <w:p w14:paraId="340D4997" w14:textId="14E23B95" w:rsidR="00F906B6" w:rsidRDefault="006035A9">
          <w:pPr>
            <w:pStyle w:val="TOC3"/>
            <w:tabs>
              <w:tab w:val="left" w:pos="1699"/>
              <w:tab w:val="right" w:leader="dot" w:pos="9487"/>
            </w:tabs>
            <w:rPr>
              <w:rFonts w:eastAsiaTheme="minorEastAsia" w:cstheme="minorBidi"/>
              <w:noProof/>
              <w:sz w:val="22"/>
              <w:szCs w:val="22"/>
              <w:lang w:eastAsia="bg-BG"/>
            </w:rPr>
          </w:pPr>
          <w:hyperlink w:anchor="_Toc140150355" w:history="1">
            <w:r w:rsidR="00F906B6" w:rsidRPr="00EC23D2">
              <w:rPr>
                <w:rStyle w:val="Hyperlink"/>
                <w:noProof/>
                <w:snapToGrid w:val="0"/>
              </w:rPr>
              <w:t>35.4.</w:t>
            </w:r>
            <w:r w:rsidR="00F906B6">
              <w:rPr>
                <w:rFonts w:eastAsiaTheme="minorEastAsia" w:cstheme="minorBidi"/>
                <w:noProof/>
                <w:sz w:val="22"/>
                <w:szCs w:val="22"/>
                <w:lang w:eastAsia="bg-BG"/>
              </w:rPr>
              <w:tab/>
            </w:r>
            <w:r w:rsidR="00F906B6" w:rsidRPr="00EC23D2">
              <w:rPr>
                <w:rStyle w:val="Hyperlink"/>
                <w:noProof/>
                <w:snapToGrid w:val="0"/>
              </w:rPr>
              <w:t>Кодекс за поведение</w:t>
            </w:r>
            <w:r w:rsidR="00F906B6">
              <w:rPr>
                <w:noProof/>
                <w:webHidden/>
              </w:rPr>
              <w:tab/>
            </w:r>
            <w:r w:rsidR="00F906B6">
              <w:rPr>
                <w:noProof/>
                <w:webHidden/>
              </w:rPr>
              <w:fldChar w:fldCharType="begin"/>
            </w:r>
            <w:r w:rsidR="00F906B6">
              <w:rPr>
                <w:noProof/>
                <w:webHidden/>
              </w:rPr>
              <w:instrText xml:space="preserve"> PAGEREF _Toc140150355 \h </w:instrText>
            </w:r>
            <w:r w:rsidR="00F906B6">
              <w:rPr>
                <w:noProof/>
                <w:webHidden/>
              </w:rPr>
            </w:r>
            <w:r w:rsidR="00F906B6">
              <w:rPr>
                <w:noProof/>
                <w:webHidden/>
              </w:rPr>
              <w:fldChar w:fldCharType="separate"/>
            </w:r>
            <w:r w:rsidR="00F906B6">
              <w:rPr>
                <w:noProof/>
                <w:webHidden/>
              </w:rPr>
              <w:t>366</w:t>
            </w:r>
            <w:r w:rsidR="00F906B6">
              <w:rPr>
                <w:noProof/>
                <w:webHidden/>
              </w:rPr>
              <w:fldChar w:fldCharType="end"/>
            </w:r>
          </w:hyperlink>
        </w:p>
        <w:p w14:paraId="6986ABC0" w14:textId="77777777" w:rsidR="005A4D1C" w:rsidRDefault="005A4D1C" w:rsidP="008A09F4">
          <w:r w:rsidRPr="00900106">
            <w:rPr>
              <w:b/>
              <w:bCs/>
              <w:szCs w:val="24"/>
            </w:rPr>
            <w:lastRenderedPageBreak/>
            <w:fldChar w:fldCharType="end"/>
          </w:r>
        </w:p>
      </w:sdtContent>
    </w:sdt>
    <w:p w14:paraId="6E77DFC8" w14:textId="6A2180B6" w:rsidR="003C71B3" w:rsidRDefault="003C71B3" w:rsidP="004E3164">
      <w:pPr>
        <w:ind w:firstLine="0"/>
        <w:jc w:val="left"/>
        <w:rPr>
          <w:szCs w:val="24"/>
        </w:rPr>
      </w:pPr>
    </w:p>
    <w:p w14:paraId="07D0DF3D" w14:textId="77777777" w:rsidR="00D603F5" w:rsidRPr="001B0EA3" w:rsidRDefault="00D603F5" w:rsidP="00890B4B">
      <w:pPr>
        <w:pStyle w:val="Title"/>
        <w:spacing w:after="240"/>
        <w:ind w:firstLine="0"/>
        <w:jc w:val="center"/>
        <w:rPr>
          <w:rFonts w:ascii="Times New Roman" w:hAnsi="Times New Roman"/>
          <w:sz w:val="24"/>
          <w:szCs w:val="24"/>
          <w:lang w:eastAsia="bg-BG"/>
        </w:rPr>
      </w:pPr>
      <w:bookmarkStart w:id="1" w:name="_Toc479775525"/>
      <w:bookmarkStart w:id="2" w:name="_Toc140150143"/>
      <w:r w:rsidRPr="001B0EA3">
        <w:rPr>
          <w:rFonts w:ascii="Times New Roman" w:hAnsi="Times New Roman"/>
          <w:sz w:val="24"/>
          <w:szCs w:val="24"/>
          <w:lang w:eastAsia="bg-BG"/>
        </w:rPr>
        <w:t>СПИСЪК НА СЪКРАЩЕНИЯТА</w:t>
      </w:r>
      <w:bookmarkEnd w:id="1"/>
      <w:bookmarkEnd w:id="2"/>
    </w:p>
    <w:p w14:paraId="7310EA11" w14:textId="77777777" w:rsidR="00D603F5" w:rsidRPr="001B0EA3" w:rsidRDefault="00D603F5" w:rsidP="00890B4B">
      <w:pPr>
        <w:jc w:val="left"/>
        <w:rPr>
          <w:b/>
          <w:color w:val="000000"/>
          <w:szCs w:val="24"/>
        </w:rPr>
      </w:pPr>
    </w:p>
    <w:tbl>
      <w:tblPr>
        <w:tblW w:w="0" w:type="auto"/>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8"/>
        <w:gridCol w:w="6521"/>
      </w:tblGrid>
      <w:tr w:rsidR="00D603F5" w:rsidRPr="001B0EA3" w14:paraId="401262A1" w14:textId="77777777" w:rsidTr="009C2448">
        <w:tc>
          <w:tcPr>
            <w:tcW w:w="1968" w:type="dxa"/>
            <w:vAlign w:val="center"/>
          </w:tcPr>
          <w:p w14:paraId="6AF0963E"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АОП</w:t>
            </w:r>
          </w:p>
        </w:tc>
        <w:tc>
          <w:tcPr>
            <w:tcW w:w="6521" w:type="dxa"/>
            <w:vAlign w:val="center"/>
          </w:tcPr>
          <w:p w14:paraId="2AC0C355" w14:textId="77777777" w:rsidR="00D603F5" w:rsidRPr="001B0EA3" w:rsidRDefault="00D603F5" w:rsidP="008A4483">
            <w:pPr>
              <w:pStyle w:val="Normal1"/>
              <w:spacing w:before="134"/>
              <w:ind w:firstLine="0"/>
              <w:jc w:val="left"/>
              <w:rPr>
                <w:b/>
                <w:color w:val="000000"/>
              </w:rPr>
            </w:pPr>
            <w:r w:rsidRPr="001B0EA3">
              <w:rPr>
                <w:color w:val="000000"/>
              </w:rPr>
              <w:t>Агенцията по обществени поръчки</w:t>
            </w:r>
          </w:p>
        </w:tc>
      </w:tr>
      <w:tr w:rsidR="00D603F5" w:rsidRPr="001B0EA3" w14:paraId="22CAC230" w14:textId="77777777" w:rsidTr="009C2448">
        <w:tc>
          <w:tcPr>
            <w:tcW w:w="1968" w:type="dxa"/>
            <w:vAlign w:val="center"/>
          </w:tcPr>
          <w:p w14:paraId="1C5E90A9"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АПИ</w:t>
            </w:r>
          </w:p>
        </w:tc>
        <w:tc>
          <w:tcPr>
            <w:tcW w:w="6521" w:type="dxa"/>
            <w:vAlign w:val="center"/>
          </w:tcPr>
          <w:p w14:paraId="72E05286" w14:textId="77777777" w:rsidR="00D603F5" w:rsidRPr="001B0EA3" w:rsidRDefault="00D603F5" w:rsidP="008A4483">
            <w:pPr>
              <w:pStyle w:val="Normal1"/>
              <w:spacing w:before="134"/>
              <w:ind w:firstLine="0"/>
              <w:jc w:val="left"/>
              <w:rPr>
                <w:b/>
                <w:color w:val="000000"/>
              </w:rPr>
            </w:pPr>
            <w:r w:rsidRPr="001B0EA3">
              <w:rPr>
                <w:color w:val="000000"/>
              </w:rPr>
              <w:t>Агенция „Пътна инфраструктура”</w:t>
            </w:r>
          </w:p>
        </w:tc>
      </w:tr>
      <w:tr w:rsidR="00D603F5" w:rsidRPr="001B0EA3" w14:paraId="5F5E285A" w14:textId="77777777" w:rsidTr="009C2448">
        <w:tc>
          <w:tcPr>
            <w:tcW w:w="1968" w:type="dxa"/>
            <w:vAlign w:val="center"/>
          </w:tcPr>
          <w:p w14:paraId="5788674E"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АРП</w:t>
            </w:r>
          </w:p>
        </w:tc>
        <w:tc>
          <w:tcPr>
            <w:tcW w:w="6521" w:type="dxa"/>
            <w:vAlign w:val="center"/>
          </w:tcPr>
          <w:p w14:paraId="26EFFA32" w14:textId="77777777" w:rsidR="00D603F5" w:rsidRPr="001B0EA3" w:rsidRDefault="00D603F5" w:rsidP="008A4483">
            <w:pPr>
              <w:pStyle w:val="Normal1"/>
              <w:spacing w:before="134"/>
              <w:ind w:firstLine="0"/>
              <w:jc w:val="left"/>
              <w:rPr>
                <w:color w:val="000000"/>
              </w:rPr>
            </w:pPr>
            <w:r w:rsidRPr="001B0EA3">
              <w:t>Анализ „разходи-ползи”</w:t>
            </w:r>
          </w:p>
        </w:tc>
      </w:tr>
      <w:tr w:rsidR="00D603F5" w:rsidRPr="001B0EA3" w14:paraId="2618F129" w14:textId="77777777" w:rsidTr="009C2448">
        <w:tc>
          <w:tcPr>
            <w:tcW w:w="1968" w:type="dxa"/>
            <w:vAlign w:val="center"/>
          </w:tcPr>
          <w:p w14:paraId="3A3EFCE2"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ГДГВА</w:t>
            </w:r>
          </w:p>
        </w:tc>
        <w:tc>
          <w:tcPr>
            <w:tcW w:w="6521" w:type="dxa"/>
            <w:vAlign w:val="center"/>
          </w:tcPr>
          <w:p w14:paraId="1D782B11" w14:textId="77777777" w:rsidR="00D603F5" w:rsidRPr="001B0EA3" w:rsidRDefault="00D603F5" w:rsidP="008A4483">
            <w:pPr>
              <w:pStyle w:val="Normal1"/>
              <w:spacing w:before="134"/>
              <w:ind w:firstLine="0"/>
              <w:jc w:val="left"/>
              <w:rPr>
                <w:color w:val="000000"/>
              </w:rPr>
            </w:pPr>
            <w:r w:rsidRPr="001B0EA3">
              <w:rPr>
                <w:color w:val="000000"/>
              </w:rPr>
              <w:t>Главна дирекция „Гражданска въздухоплавателна администрация”</w:t>
            </w:r>
          </w:p>
        </w:tc>
      </w:tr>
      <w:tr w:rsidR="00D603F5" w:rsidRPr="001B0EA3" w14:paraId="08E26EF3" w14:textId="77777777" w:rsidTr="009C2448">
        <w:tc>
          <w:tcPr>
            <w:tcW w:w="1968" w:type="dxa"/>
            <w:vAlign w:val="center"/>
          </w:tcPr>
          <w:p w14:paraId="25E87E66"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ДФЕС</w:t>
            </w:r>
          </w:p>
        </w:tc>
        <w:tc>
          <w:tcPr>
            <w:tcW w:w="6521" w:type="dxa"/>
            <w:vAlign w:val="center"/>
          </w:tcPr>
          <w:p w14:paraId="6345D3FD" w14:textId="77777777" w:rsidR="00D603F5" w:rsidRPr="001B0EA3" w:rsidRDefault="00D603F5" w:rsidP="008A4483">
            <w:pPr>
              <w:pStyle w:val="Normal1"/>
              <w:spacing w:before="134"/>
              <w:ind w:firstLine="0"/>
              <w:jc w:val="left"/>
              <w:rPr>
                <w:b/>
                <w:color w:val="000000"/>
              </w:rPr>
            </w:pPr>
            <w:r w:rsidRPr="001B0EA3">
              <w:t>Договор за функциониране на Европейски съюз</w:t>
            </w:r>
          </w:p>
        </w:tc>
      </w:tr>
      <w:tr w:rsidR="00D603F5" w:rsidRPr="001B0EA3" w14:paraId="1AF0DCC8" w14:textId="77777777" w:rsidTr="009C2448">
        <w:tc>
          <w:tcPr>
            <w:tcW w:w="1968" w:type="dxa"/>
            <w:vAlign w:val="center"/>
          </w:tcPr>
          <w:p w14:paraId="71C7122D"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ДП</w:t>
            </w:r>
          </w:p>
        </w:tc>
        <w:tc>
          <w:tcPr>
            <w:tcW w:w="6521" w:type="dxa"/>
            <w:vAlign w:val="center"/>
          </w:tcPr>
          <w:p w14:paraId="7D11477F" w14:textId="77777777" w:rsidR="00D603F5" w:rsidRPr="001B0EA3" w:rsidRDefault="00D603F5" w:rsidP="008A4483">
            <w:pPr>
              <w:pStyle w:val="Normal1"/>
              <w:spacing w:before="134"/>
              <w:ind w:firstLine="0"/>
              <w:jc w:val="left"/>
            </w:pPr>
            <w:r w:rsidRPr="001B0EA3">
              <w:t>Държавна помощ</w:t>
            </w:r>
          </w:p>
        </w:tc>
      </w:tr>
      <w:tr w:rsidR="00D603F5" w:rsidRPr="001B0EA3" w14:paraId="548837BD" w14:textId="77777777" w:rsidTr="009C2448">
        <w:tc>
          <w:tcPr>
            <w:tcW w:w="1968" w:type="dxa"/>
            <w:vAlign w:val="center"/>
          </w:tcPr>
          <w:p w14:paraId="2552B20F"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ДППИ</w:t>
            </w:r>
          </w:p>
        </w:tc>
        <w:tc>
          <w:tcPr>
            <w:tcW w:w="6521" w:type="dxa"/>
            <w:vAlign w:val="center"/>
          </w:tcPr>
          <w:p w14:paraId="7085B546" w14:textId="77777777" w:rsidR="00D603F5" w:rsidRPr="001B0EA3" w:rsidRDefault="00D603F5" w:rsidP="008A4483">
            <w:pPr>
              <w:pStyle w:val="Normal1"/>
              <w:spacing w:before="134"/>
              <w:ind w:firstLine="0"/>
              <w:jc w:val="left"/>
            </w:pPr>
            <w:r w:rsidRPr="001B0EA3">
              <w:rPr>
                <w:color w:val="000000"/>
              </w:rPr>
              <w:t>Държавно предприятие „Пристанищна инфраструктура”</w:t>
            </w:r>
          </w:p>
        </w:tc>
      </w:tr>
      <w:tr w:rsidR="00D603F5" w:rsidRPr="001B0EA3" w14:paraId="64249C00" w14:textId="77777777" w:rsidTr="009C2448">
        <w:tc>
          <w:tcPr>
            <w:tcW w:w="1968" w:type="dxa"/>
            <w:vAlign w:val="center"/>
          </w:tcPr>
          <w:p w14:paraId="08CF2A80"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ДПРВД</w:t>
            </w:r>
          </w:p>
        </w:tc>
        <w:tc>
          <w:tcPr>
            <w:tcW w:w="6521" w:type="dxa"/>
            <w:vAlign w:val="center"/>
          </w:tcPr>
          <w:p w14:paraId="0E9E2601" w14:textId="77777777" w:rsidR="00D603F5" w:rsidRPr="001B0EA3" w:rsidRDefault="00D603F5" w:rsidP="008A4483">
            <w:pPr>
              <w:pStyle w:val="Normal1"/>
              <w:spacing w:before="134"/>
              <w:ind w:firstLine="0"/>
              <w:jc w:val="left"/>
              <w:rPr>
                <w:color w:val="000000"/>
              </w:rPr>
            </w:pPr>
            <w:r w:rsidRPr="001B0EA3">
              <w:rPr>
                <w:color w:val="000000"/>
              </w:rPr>
              <w:t>Държавно предприятие „Ръководство на въздушното движение”</w:t>
            </w:r>
          </w:p>
        </w:tc>
      </w:tr>
      <w:tr w:rsidR="00D603F5" w:rsidRPr="001B0EA3" w14:paraId="4F1FFAD6" w14:textId="77777777" w:rsidTr="009C2448">
        <w:tc>
          <w:tcPr>
            <w:tcW w:w="1968" w:type="dxa"/>
            <w:vAlign w:val="center"/>
          </w:tcPr>
          <w:p w14:paraId="6B818935"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Дирекция КПП</w:t>
            </w:r>
          </w:p>
        </w:tc>
        <w:tc>
          <w:tcPr>
            <w:tcW w:w="6521" w:type="dxa"/>
            <w:vAlign w:val="center"/>
          </w:tcPr>
          <w:p w14:paraId="6379B4F5" w14:textId="77777777" w:rsidR="00D603F5" w:rsidRPr="001B0EA3" w:rsidRDefault="00D603F5" w:rsidP="008A4483">
            <w:pPr>
              <w:pStyle w:val="Normal1"/>
              <w:spacing w:before="134"/>
              <w:ind w:firstLine="0"/>
              <w:jc w:val="left"/>
              <w:rPr>
                <w:color w:val="000000"/>
              </w:rPr>
            </w:pPr>
            <w:r w:rsidRPr="001B0EA3">
              <w:rPr>
                <w:color w:val="000000"/>
              </w:rPr>
              <w:t>Дирекция „Координация на програми и проекти”</w:t>
            </w:r>
          </w:p>
        </w:tc>
      </w:tr>
      <w:tr w:rsidR="00D603F5" w:rsidRPr="001B0EA3" w14:paraId="4EF6D40A" w14:textId="77777777" w:rsidTr="009C2448">
        <w:tc>
          <w:tcPr>
            <w:tcW w:w="1968" w:type="dxa"/>
            <w:vAlign w:val="center"/>
          </w:tcPr>
          <w:p w14:paraId="18E6C9CC"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ЕБВР</w:t>
            </w:r>
          </w:p>
        </w:tc>
        <w:tc>
          <w:tcPr>
            <w:tcW w:w="6521" w:type="dxa"/>
            <w:vAlign w:val="center"/>
          </w:tcPr>
          <w:p w14:paraId="68D859B8" w14:textId="77777777" w:rsidR="00D603F5" w:rsidRPr="001B0EA3" w:rsidRDefault="00D603F5" w:rsidP="008A4483">
            <w:pPr>
              <w:pStyle w:val="Normal1"/>
              <w:spacing w:before="134"/>
              <w:ind w:firstLine="0"/>
              <w:jc w:val="left"/>
              <w:rPr>
                <w:color w:val="000000"/>
              </w:rPr>
            </w:pPr>
            <w:r w:rsidRPr="001B0EA3">
              <w:t>Европейската банка за възстановяване и развитие</w:t>
            </w:r>
          </w:p>
        </w:tc>
      </w:tr>
      <w:tr w:rsidR="00D603F5" w:rsidRPr="001B0EA3" w14:paraId="27957DD9" w14:textId="77777777" w:rsidTr="009C2448">
        <w:tc>
          <w:tcPr>
            <w:tcW w:w="1968" w:type="dxa"/>
            <w:vAlign w:val="center"/>
          </w:tcPr>
          <w:p w14:paraId="6E31688F"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ЕИП</w:t>
            </w:r>
          </w:p>
        </w:tc>
        <w:tc>
          <w:tcPr>
            <w:tcW w:w="6521" w:type="dxa"/>
            <w:vAlign w:val="center"/>
          </w:tcPr>
          <w:p w14:paraId="7885297C" w14:textId="77777777" w:rsidR="00D603F5" w:rsidRPr="001B0EA3" w:rsidRDefault="00D603F5" w:rsidP="008A4483">
            <w:pPr>
              <w:pStyle w:val="Normal1"/>
              <w:spacing w:before="134"/>
              <w:ind w:firstLine="0"/>
              <w:jc w:val="left"/>
              <w:rPr>
                <w:color w:val="000000"/>
              </w:rPr>
            </w:pPr>
            <w:r w:rsidRPr="001B0EA3">
              <w:rPr>
                <w:color w:val="000000"/>
              </w:rPr>
              <w:t>Единния информационен портал за обща информация за управлението на Европейските структурни и инвестиционни фондове</w:t>
            </w:r>
          </w:p>
        </w:tc>
      </w:tr>
      <w:tr w:rsidR="00D603F5" w:rsidRPr="001B0EA3" w14:paraId="32F0127A" w14:textId="77777777" w:rsidTr="009C2448">
        <w:tc>
          <w:tcPr>
            <w:tcW w:w="1968" w:type="dxa"/>
            <w:vAlign w:val="center"/>
          </w:tcPr>
          <w:p w14:paraId="2D09B4CA"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ЕИБ</w:t>
            </w:r>
          </w:p>
        </w:tc>
        <w:tc>
          <w:tcPr>
            <w:tcW w:w="6521" w:type="dxa"/>
            <w:vAlign w:val="center"/>
          </w:tcPr>
          <w:p w14:paraId="686983BF" w14:textId="77777777" w:rsidR="00D603F5" w:rsidRPr="001B0EA3" w:rsidRDefault="00D603F5" w:rsidP="008A4483">
            <w:pPr>
              <w:pStyle w:val="Normal1"/>
              <w:spacing w:before="134"/>
              <w:ind w:firstLine="0"/>
              <w:jc w:val="left"/>
              <w:rPr>
                <w:color w:val="000000"/>
              </w:rPr>
            </w:pPr>
            <w:r w:rsidRPr="001B0EA3">
              <w:rPr>
                <w:color w:val="000000"/>
              </w:rPr>
              <w:t>Европейска инвестиционна банка</w:t>
            </w:r>
          </w:p>
        </w:tc>
      </w:tr>
      <w:tr w:rsidR="00D603F5" w:rsidRPr="001B0EA3" w14:paraId="5C4A42D1" w14:textId="77777777" w:rsidTr="009C2448">
        <w:tc>
          <w:tcPr>
            <w:tcW w:w="1968" w:type="dxa"/>
            <w:vAlign w:val="center"/>
          </w:tcPr>
          <w:p w14:paraId="3F018EDD" w14:textId="77777777" w:rsidR="00D603F5" w:rsidRPr="001B0EA3" w:rsidRDefault="00D603F5" w:rsidP="00450979">
            <w:pPr>
              <w:pStyle w:val="Normal1"/>
              <w:spacing w:before="134" w:beforeAutospacing="0" w:after="0" w:afterAutospacing="0"/>
              <w:ind w:firstLine="0"/>
              <w:jc w:val="left"/>
              <w:rPr>
                <w:b/>
                <w:color w:val="000000"/>
              </w:rPr>
            </w:pPr>
            <w:r w:rsidRPr="001B0EA3">
              <w:rPr>
                <w:b/>
              </w:rPr>
              <w:t>ЕСФ</w:t>
            </w:r>
          </w:p>
        </w:tc>
        <w:tc>
          <w:tcPr>
            <w:tcW w:w="6521" w:type="dxa"/>
            <w:vAlign w:val="center"/>
          </w:tcPr>
          <w:p w14:paraId="39D28522" w14:textId="77777777" w:rsidR="00D603F5" w:rsidRPr="001B0EA3" w:rsidRDefault="00D603F5" w:rsidP="008A4483">
            <w:pPr>
              <w:pStyle w:val="Normal1"/>
              <w:spacing w:before="134"/>
              <w:ind w:firstLine="0"/>
              <w:jc w:val="left"/>
            </w:pPr>
            <w:r w:rsidRPr="001B0EA3">
              <w:t>Европейски структурни фондове</w:t>
            </w:r>
          </w:p>
        </w:tc>
      </w:tr>
      <w:tr w:rsidR="00D603F5" w:rsidRPr="001B0EA3" w14:paraId="4504428B" w14:textId="77777777" w:rsidTr="009C2448">
        <w:tc>
          <w:tcPr>
            <w:tcW w:w="1968" w:type="dxa"/>
            <w:vAlign w:val="center"/>
          </w:tcPr>
          <w:p w14:paraId="27F2211F"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ЕС</w:t>
            </w:r>
          </w:p>
        </w:tc>
        <w:tc>
          <w:tcPr>
            <w:tcW w:w="6521" w:type="dxa"/>
            <w:vAlign w:val="center"/>
          </w:tcPr>
          <w:p w14:paraId="0EED69E6" w14:textId="77777777" w:rsidR="00D603F5" w:rsidRPr="001B0EA3" w:rsidRDefault="00D603F5" w:rsidP="008A4483">
            <w:pPr>
              <w:pStyle w:val="Normal1"/>
              <w:spacing w:before="134"/>
              <w:ind w:firstLine="0"/>
              <w:jc w:val="left"/>
              <w:rPr>
                <w:b/>
                <w:color w:val="000000"/>
              </w:rPr>
            </w:pPr>
            <w:r w:rsidRPr="001B0EA3">
              <w:t>Европейски съюз</w:t>
            </w:r>
          </w:p>
        </w:tc>
      </w:tr>
      <w:tr w:rsidR="00D603F5" w:rsidRPr="001B0EA3" w14:paraId="12B8A743" w14:textId="77777777" w:rsidTr="009C2448">
        <w:tc>
          <w:tcPr>
            <w:tcW w:w="1968" w:type="dxa"/>
            <w:vAlign w:val="center"/>
          </w:tcPr>
          <w:p w14:paraId="4F79ABDB"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ЕП</w:t>
            </w:r>
          </w:p>
        </w:tc>
        <w:tc>
          <w:tcPr>
            <w:tcW w:w="6521" w:type="dxa"/>
            <w:vAlign w:val="center"/>
          </w:tcPr>
          <w:p w14:paraId="09C2D6D7" w14:textId="77777777" w:rsidR="00D603F5" w:rsidRPr="001B0EA3" w:rsidRDefault="00D603F5" w:rsidP="008A4483">
            <w:pPr>
              <w:pStyle w:val="Normal1"/>
              <w:spacing w:before="134"/>
              <w:ind w:firstLine="0"/>
              <w:jc w:val="left"/>
              <w:rPr>
                <w:b/>
                <w:color w:val="000000"/>
              </w:rPr>
            </w:pPr>
            <w:r w:rsidRPr="001B0EA3">
              <w:t>Европейски парламент</w:t>
            </w:r>
          </w:p>
        </w:tc>
      </w:tr>
      <w:tr w:rsidR="00D603F5" w:rsidRPr="001B0EA3" w14:paraId="53D63D39" w14:textId="77777777" w:rsidTr="009C2448">
        <w:tc>
          <w:tcPr>
            <w:tcW w:w="1968" w:type="dxa"/>
            <w:vAlign w:val="center"/>
          </w:tcPr>
          <w:p w14:paraId="50F56ECF"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ЗОП</w:t>
            </w:r>
          </w:p>
        </w:tc>
        <w:tc>
          <w:tcPr>
            <w:tcW w:w="6521" w:type="dxa"/>
            <w:vAlign w:val="center"/>
          </w:tcPr>
          <w:p w14:paraId="72A8E140" w14:textId="77777777" w:rsidR="00D603F5" w:rsidRPr="001B0EA3" w:rsidRDefault="00D603F5" w:rsidP="008A4483">
            <w:pPr>
              <w:pStyle w:val="Normal1"/>
              <w:spacing w:before="134"/>
              <w:ind w:firstLine="0"/>
              <w:jc w:val="left"/>
            </w:pPr>
            <w:r w:rsidRPr="001B0EA3">
              <w:t>Закон за обществените поръчки</w:t>
            </w:r>
          </w:p>
        </w:tc>
      </w:tr>
      <w:tr w:rsidR="00D603F5" w:rsidRPr="001B0EA3" w14:paraId="66D0CCE6" w14:textId="77777777" w:rsidTr="009C2448">
        <w:tc>
          <w:tcPr>
            <w:tcW w:w="1968" w:type="dxa"/>
            <w:vAlign w:val="center"/>
          </w:tcPr>
          <w:p w14:paraId="5CF79FFA"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ЗДП</w:t>
            </w:r>
          </w:p>
        </w:tc>
        <w:tc>
          <w:tcPr>
            <w:tcW w:w="6521" w:type="dxa"/>
            <w:vAlign w:val="center"/>
          </w:tcPr>
          <w:p w14:paraId="22C125B8" w14:textId="77777777" w:rsidR="00D603F5" w:rsidRPr="001B0EA3" w:rsidRDefault="00D603F5" w:rsidP="008A4483">
            <w:pPr>
              <w:pStyle w:val="Normal1"/>
              <w:spacing w:before="134"/>
              <w:ind w:firstLine="0"/>
              <w:jc w:val="left"/>
            </w:pPr>
            <w:r w:rsidRPr="001B0EA3">
              <w:t>Закон за държавните помощи</w:t>
            </w:r>
          </w:p>
        </w:tc>
      </w:tr>
      <w:tr w:rsidR="00D603F5" w:rsidRPr="001B0EA3" w14:paraId="0DE91AAD" w14:textId="77777777" w:rsidTr="009C2448">
        <w:tc>
          <w:tcPr>
            <w:tcW w:w="1968" w:type="dxa"/>
            <w:vAlign w:val="center"/>
          </w:tcPr>
          <w:p w14:paraId="73517136"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ЕФРР</w:t>
            </w:r>
          </w:p>
        </w:tc>
        <w:tc>
          <w:tcPr>
            <w:tcW w:w="6521" w:type="dxa"/>
            <w:vAlign w:val="center"/>
          </w:tcPr>
          <w:p w14:paraId="167126C5" w14:textId="77777777" w:rsidR="00D603F5" w:rsidRPr="001B0EA3" w:rsidRDefault="00D603F5" w:rsidP="008A4483">
            <w:pPr>
              <w:pStyle w:val="Normal1"/>
              <w:spacing w:before="134"/>
              <w:ind w:firstLine="0"/>
              <w:jc w:val="left"/>
            </w:pPr>
            <w:r w:rsidRPr="001B0EA3">
              <w:t xml:space="preserve">Европейския фонд за регионално развитие </w:t>
            </w:r>
          </w:p>
        </w:tc>
      </w:tr>
      <w:tr w:rsidR="00D603F5" w:rsidRPr="001B0EA3" w14:paraId="5B660BF0" w14:textId="77777777" w:rsidTr="009C2448">
        <w:tc>
          <w:tcPr>
            <w:tcW w:w="1968" w:type="dxa"/>
            <w:vAlign w:val="center"/>
          </w:tcPr>
          <w:p w14:paraId="42B120C9"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ИАМА</w:t>
            </w:r>
          </w:p>
        </w:tc>
        <w:tc>
          <w:tcPr>
            <w:tcW w:w="6521" w:type="dxa"/>
            <w:vAlign w:val="center"/>
          </w:tcPr>
          <w:p w14:paraId="204392DE" w14:textId="77777777" w:rsidR="00D603F5" w:rsidRPr="001B0EA3" w:rsidRDefault="00D603F5" w:rsidP="008A4483">
            <w:pPr>
              <w:pStyle w:val="Normal1"/>
              <w:spacing w:before="134"/>
              <w:ind w:firstLine="0"/>
              <w:jc w:val="left"/>
            </w:pPr>
            <w:r w:rsidRPr="001B0EA3">
              <w:rPr>
                <w:color w:val="000000"/>
              </w:rPr>
              <w:t>Изпълнителна агенция „Морска администрация”</w:t>
            </w:r>
          </w:p>
        </w:tc>
      </w:tr>
      <w:tr w:rsidR="00D603F5" w:rsidRPr="001B0EA3" w14:paraId="414150CA" w14:textId="77777777" w:rsidTr="009C2448">
        <w:tc>
          <w:tcPr>
            <w:tcW w:w="1968" w:type="dxa"/>
            <w:vAlign w:val="center"/>
          </w:tcPr>
          <w:p w14:paraId="74E4E65A"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ИАППД</w:t>
            </w:r>
          </w:p>
        </w:tc>
        <w:tc>
          <w:tcPr>
            <w:tcW w:w="6521" w:type="dxa"/>
            <w:vAlign w:val="center"/>
          </w:tcPr>
          <w:p w14:paraId="0C6607AE" w14:textId="77777777" w:rsidR="00D603F5" w:rsidRPr="001B0EA3" w:rsidRDefault="00D603F5" w:rsidP="008A4483">
            <w:pPr>
              <w:pStyle w:val="Normal1"/>
              <w:spacing w:before="134"/>
              <w:ind w:firstLine="0"/>
              <w:jc w:val="left"/>
            </w:pPr>
            <w:r w:rsidRPr="001B0EA3">
              <w:rPr>
                <w:color w:val="000000"/>
              </w:rPr>
              <w:t>Изпълнителна агенция „Проучване и поддържане на река Дунав”</w:t>
            </w:r>
          </w:p>
        </w:tc>
      </w:tr>
      <w:tr w:rsidR="00D603F5" w:rsidRPr="001B0EA3" w14:paraId="10C1919C" w14:textId="77777777" w:rsidTr="009C2448">
        <w:tc>
          <w:tcPr>
            <w:tcW w:w="1968" w:type="dxa"/>
            <w:vAlign w:val="center"/>
          </w:tcPr>
          <w:p w14:paraId="01C5202A"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ИА ОСЕС</w:t>
            </w:r>
          </w:p>
        </w:tc>
        <w:tc>
          <w:tcPr>
            <w:tcW w:w="6521" w:type="dxa"/>
            <w:vAlign w:val="center"/>
          </w:tcPr>
          <w:p w14:paraId="026FA961" w14:textId="77777777" w:rsidR="00D603F5" w:rsidRPr="001B0EA3" w:rsidRDefault="00D603F5" w:rsidP="008A4483">
            <w:pPr>
              <w:pStyle w:val="Normal1"/>
              <w:spacing w:before="134"/>
              <w:ind w:firstLine="0"/>
              <w:jc w:val="left"/>
              <w:rPr>
                <w:color w:val="000000"/>
              </w:rPr>
            </w:pPr>
            <w:r w:rsidRPr="001B0EA3">
              <w:rPr>
                <w:color w:val="000000"/>
              </w:rPr>
              <w:t>Изпълнителна агенция „Одит на средствата от Европейския съюз“</w:t>
            </w:r>
          </w:p>
        </w:tc>
      </w:tr>
      <w:tr w:rsidR="00D603F5" w:rsidRPr="001B0EA3" w14:paraId="4096C485" w14:textId="77777777" w:rsidTr="009C2448">
        <w:tc>
          <w:tcPr>
            <w:tcW w:w="1968" w:type="dxa"/>
            <w:vAlign w:val="center"/>
          </w:tcPr>
          <w:p w14:paraId="6CFBCDF4"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ИГРП</w:t>
            </w:r>
          </w:p>
        </w:tc>
        <w:tc>
          <w:tcPr>
            <w:tcW w:w="6521" w:type="dxa"/>
            <w:vAlign w:val="center"/>
          </w:tcPr>
          <w:p w14:paraId="1318FC61" w14:textId="77777777" w:rsidR="00D603F5" w:rsidRPr="001B0EA3" w:rsidRDefault="00D603F5" w:rsidP="008A4483">
            <w:pPr>
              <w:pStyle w:val="Normal1"/>
              <w:spacing w:before="134"/>
              <w:ind w:firstLine="0"/>
              <w:jc w:val="left"/>
              <w:rPr>
                <w:color w:val="000000"/>
              </w:rPr>
            </w:pPr>
            <w:r w:rsidRPr="001B0EA3">
              <w:t>Индикативната годишна работна програма</w:t>
            </w:r>
          </w:p>
        </w:tc>
      </w:tr>
      <w:tr w:rsidR="00D603F5" w:rsidRPr="001B0EA3" w14:paraId="301193E5" w14:textId="77777777" w:rsidTr="00181993">
        <w:tc>
          <w:tcPr>
            <w:tcW w:w="1968" w:type="dxa"/>
          </w:tcPr>
          <w:p w14:paraId="72FDED64"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ИСУН 2020</w:t>
            </w:r>
          </w:p>
        </w:tc>
        <w:tc>
          <w:tcPr>
            <w:tcW w:w="6521" w:type="dxa"/>
          </w:tcPr>
          <w:p w14:paraId="128915AF" w14:textId="77777777" w:rsidR="00D603F5" w:rsidRPr="001B0EA3" w:rsidRDefault="00D603F5" w:rsidP="008A4483">
            <w:pPr>
              <w:pStyle w:val="Normal1"/>
              <w:spacing w:before="134" w:beforeAutospacing="0" w:after="0" w:afterAutospacing="0"/>
              <w:ind w:firstLine="0"/>
              <w:jc w:val="left"/>
              <w:rPr>
                <w:color w:val="000000"/>
              </w:rPr>
            </w:pPr>
            <w:r w:rsidRPr="001B0EA3">
              <w:rPr>
                <w:color w:val="000000"/>
              </w:rPr>
              <w:t>Информационна система за управление и наблюдение на Структурните инструменти на Европейския Съюз в България 2007-2013 и 2014-2020</w:t>
            </w:r>
          </w:p>
        </w:tc>
      </w:tr>
      <w:tr w:rsidR="00D603F5" w:rsidRPr="001B0EA3" w14:paraId="2F7699AC" w14:textId="77777777" w:rsidTr="009C2448">
        <w:tc>
          <w:tcPr>
            <w:tcW w:w="1968" w:type="dxa"/>
            <w:vAlign w:val="center"/>
          </w:tcPr>
          <w:p w14:paraId="2D63904F" w14:textId="77777777" w:rsidR="00D603F5" w:rsidRPr="001B0EA3" w:rsidRDefault="00D603F5" w:rsidP="00450979">
            <w:pPr>
              <w:pStyle w:val="Normal1"/>
              <w:spacing w:before="134" w:beforeAutospacing="0"/>
              <w:ind w:firstLine="0"/>
              <w:jc w:val="left"/>
              <w:rPr>
                <w:b/>
                <w:color w:val="000000"/>
              </w:rPr>
            </w:pPr>
            <w:r w:rsidRPr="001B0EA3">
              <w:rPr>
                <w:b/>
                <w:color w:val="000000"/>
              </w:rPr>
              <w:t>КЛ</w:t>
            </w:r>
          </w:p>
        </w:tc>
        <w:tc>
          <w:tcPr>
            <w:tcW w:w="6521" w:type="dxa"/>
            <w:vAlign w:val="center"/>
          </w:tcPr>
          <w:p w14:paraId="5FA3F18D" w14:textId="77777777" w:rsidR="00D603F5" w:rsidRPr="001B0EA3" w:rsidRDefault="00D603F5" w:rsidP="008A4483">
            <w:pPr>
              <w:pStyle w:val="Normal1"/>
              <w:spacing w:before="134"/>
              <w:ind w:firstLine="0"/>
              <w:jc w:val="left"/>
              <w:rPr>
                <w:color w:val="000000"/>
              </w:rPr>
            </w:pPr>
            <w:r w:rsidRPr="001B0EA3">
              <w:t>Контролен лист</w:t>
            </w:r>
          </w:p>
        </w:tc>
      </w:tr>
      <w:tr w:rsidR="00D603F5" w:rsidRPr="001B0EA3" w14:paraId="4A080390" w14:textId="77777777" w:rsidTr="009C2448">
        <w:tc>
          <w:tcPr>
            <w:tcW w:w="1968" w:type="dxa"/>
            <w:vAlign w:val="center"/>
          </w:tcPr>
          <w:p w14:paraId="73F22117"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КН</w:t>
            </w:r>
          </w:p>
        </w:tc>
        <w:tc>
          <w:tcPr>
            <w:tcW w:w="6521" w:type="dxa"/>
            <w:vAlign w:val="center"/>
          </w:tcPr>
          <w:p w14:paraId="2AEC65BE" w14:textId="77777777" w:rsidR="00D603F5" w:rsidRPr="001B0EA3" w:rsidRDefault="00D603F5" w:rsidP="008A4483">
            <w:pPr>
              <w:pStyle w:val="Normal1"/>
              <w:spacing w:before="134"/>
              <w:ind w:firstLine="0"/>
              <w:jc w:val="left"/>
              <w:rPr>
                <w:color w:val="000000"/>
              </w:rPr>
            </w:pPr>
            <w:r w:rsidRPr="001B0EA3">
              <w:t>Комитет за наблюдение</w:t>
            </w:r>
          </w:p>
        </w:tc>
      </w:tr>
      <w:tr w:rsidR="0008132B" w:rsidRPr="001B0EA3" w14:paraId="094FB61C" w14:textId="77777777" w:rsidTr="009C2448">
        <w:tc>
          <w:tcPr>
            <w:tcW w:w="1968" w:type="dxa"/>
            <w:vAlign w:val="center"/>
          </w:tcPr>
          <w:p w14:paraId="307D877A" w14:textId="77777777" w:rsidR="0008132B" w:rsidRPr="001B0EA3" w:rsidRDefault="0008132B" w:rsidP="00450979">
            <w:pPr>
              <w:pStyle w:val="Normal1"/>
              <w:spacing w:before="134" w:beforeAutospacing="0" w:after="0" w:afterAutospacing="0"/>
              <w:ind w:firstLine="0"/>
              <w:jc w:val="left"/>
              <w:rPr>
                <w:b/>
                <w:color w:val="000000"/>
              </w:rPr>
            </w:pPr>
            <w:r w:rsidRPr="001B0EA3">
              <w:rPr>
                <w:b/>
                <w:color w:val="000000"/>
              </w:rPr>
              <w:t>КН на СПРБ</w:t>
            </w:r>
          </w:p>
        </w:tc>
        <w:tc>
          <w:tcPr>
            <w:tcW w:w="6521" w:type="dxa"/>
            <w:vAlign w:val="center"/>
          </w:tcPr>
          <w:p w14:paraId="5AC316D4" w14:textId="77777777" w:rsidR="0008132B" w:rsidRPr="001B0EA3" w:rsidRDefault="0008132B" w:rsidP="008A4483">
            <w:pPr>
              <w:pStyle w:val="Normal1"/>
              <w:spacing w:before="134"/>
              <w:ind w:firstLine="0"/>
              <w:jc w:val="left"/>
            </w:pPr>
            <w:r w:rsidRPr="001B0EA3">
              <w:t>Комитет за наблюдение на Споразумението за партньорство на Република България</w:t>
            </w:r>
          </w:p>
        </w:tc>
      </w:tr>
      <w:tr w:rsidR="00D603F5" w:rsidRPr="001B0EA3" w14:paraId="1B3CF836" w14:textId="77777777" w:rsidTr="009C2448">
        <w:tc>
          <w:tcPr>
            <w:tcW w:w="1968" w:type="dxa"/>
            <w:vAlign w:val="center"/>
          </w:tcPr>
          <w:p w14:paraId="520A03A6" w14:textId="77777777" w:rsidR="00D603F5" w:rsidRPr="001B0EA3" w:rsidRDefault="00D603F5" w:rsidP="00450979">
            <w:pPr>
              <w:pStyle w:val="Normal1"/>
              <w:spacing w:before="134" w:beforeAutospacing="0" w:after="0" w:afterAutospacing="0"/>
              <w:ind w:firstLine="0"/>
              <w:jc w:val="left"/>
              <w:rPr>
                <w:color w:val="000000"/>
              </w:rPr>
            </w:pPr>
            <w:r w:rsidRPr="001B0EA3">
              <w:rPr>
                <w:b/>
                <w:color w:val="000000"/>
              </w:rPr>
              <w:lastRenderedPageBreak/>
              <w:t>МС</w:t>
            </w:r>
          </w:p>
        </w:tc>
        <w:tc>
          <w:tcPr>
            <w:tcW w:w="6521" w:type="dxa"/>
            <w:vAlign w:val="center"/>
          </w:tcPr>
          <w:p w14:paraId="653AC8F9" w14:textId="77777777" w:rsidR="00D603F5" w:rsidRPr="001B0EA3" w:rsidRDefault="00D603F5" w:rsidP="008A4483">
            <w:pPr>
              <w:pStyle w:val="Normal1"/>
              <w:spacing w:before="134"/>
              <w:ind w:firstLine="0"/>
              <w:jc w:val="left"/>
              <w:rPr>
                <w:color w:val="000000"/>
              </w:rPr>
            </w:pPr>
            <w:r w:rsidRPr="001B0EA3">
              <w:rPr>
                <w:color w:val="000000"/>
              </w:rPr>
              <w:t>Министерски съвет</w:t>
            </w:r>
          </w:p>
        </w:tc>
      </w:tr>
      <w:tr w:rsidR="00D603F5" w:rsidRPr="001B0EA3" w14:paraId="4C233DAF" w14:textId="77777777" w:rsidTr="009C2448">
        <w:tc>
          <w:tcPr>
            <w:tcW w:w="1968" w:type="dxa"/>
            <w:vAlign w:val="center"/>
          </w:tcPr>
          <w:p w14:paraId="0D0AFDD9" w14:textId="77777777" w:rsidR="00D603F5" w:rsidRPr="001B0EA3" w:rsidRDefault="00BB6BF6" w:rsidP="00450979">
            <w:pPr>
              <w:pStyle w:val="Normal1"/>
              <w:spacing w:before="134" w:beforeAutospacing="0" w:after="0" w:afterAutospacing="0"/>
              <w:ind w:firstLine="0"/>
              <w:jc w:val="left"/>
              <w:rPr>
                <w:b/>
                <w:color w:val="000000"/>
              </w:rPr>
            </w:pPr>
            <w:r>
              <w:rPr>
                <w:b/>
                <w:color w:val="000000"/>
              </w:rPr>
              <w:t>МТС</w:t>
            </w:r>
          </w:p>
        </w:tc>
        <w:tc>
          <w:tcPr>
            <w:tcW w:w="6521" w:type="dxa"/>
            <w:vAlign w:val="center"/>
          </w:tcPr>
          <w:p w14:paraId="79B91338" w14:textId="77777777" w:rsidR="00D603F5" w:rsidRPr="001B0EA3" w:rsidRDefault="00BB6BF6" w:rsidP="008A4483">
            <w:pPr>
              <w:pStyle w:val="Normal1"/>
              <w:spacing w:before="134"/>
              <w:ind w:firstLine="0"/>
              <w:jc w:val="left"/>
              <w:rPr>
                <w:color w:val="000000"/>
              </w:rPr>
            </w:pPr>
            <w:r>
              <w:rPr>
                <w:color w:val="000000"/>
              </w:rPr>
              <w:t>Министерство на транспорта и съобщенията</w:t>
            </w:r>
            <w:r w:rsidR="00D603F5" w:rsidRPr="001B0EA3">
              <w:rPr>
                <w:color w:val="000000"/>
              </w:rPr>
              <w:t xml:space="preserve"> </w:t>
            </w:r>
          </w:p>
        </w:tc>
      </w:tr>
      <w:tr w:rsidR="00D603F5" w:rsidRPr="001B0EA3" w14:paraId="34ADF3C1" w14:textId="77777777" w:rsidTr="009C2448">
        <w:tc>
          <w:tcPr>
            <w:tcW w:w="1968" w:type="dxa"/>
            <w:vAlign w:val="center"/>
          </w:tcPr>
          <w:p w14:paraId="7F02439A"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МОСВ</w:t>
            </w:r>
          </w:p>
        </w:tc>
        <w:tc>
          <w:tcPr>
            <w:tcW w:w="6521" w:type="dxa"/>
            <w:vAlign w:val="center"/>
          </w:tcPr>
          <w:p w14:paraId="14E873C4" w14:textId="77777777" w:rsidR="00D603F5" w:rsidRPr="001B0EA3" w:rsidRDefault="00D603F5" w:rsidP="008A4483">
            <w:pPr>
              <w:pStyle w:val="Normal1"/>
              <w:spacing w:before="134"/>
              <w:ind w:firstLine="0"/>
              <w:jc w:val="left"/>
              <w:rPr>
                <w:color w:val="000000"/>
              </w:rPr>
            </w:pPr>
            <w:r w:rsidRPr="001B0EA3">
              <w:rPr>
                <w:color w:val="000000"/>
              </w:rPr>
              <w:t>Министерство на околната среда и водите</w:t>
            </w:r>
          </w:p>
        </w:tc>
      </w:tr>
      <w:tr w:rsidR="00D603F5" w:rsidRPr="001B0EA3" w14:paraId="3DC97290" w14:textId="77777777" w:rsidTr="009C2448">
        <w:tc>
          <w:tcPr>
            <w:tcW w:w="1968" w:type="dxa"/>
            <w:vAlign w:val="center"/>
          </w:tcPr>
          <w:p w14:paraId="106D0CE1"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МСЕ</w:t>
            </w:r>
          </w:p>
        </w:tc>
        <w:tc>
          <w:tcPr>
            <w:tcW w:w="6521" w:type="dxa"/>
            <w:vAlign w:val="center"/>
          </w:tcPr>
          <w:p w14:paraId="4293DE71" w14:textId="77777777" w:rsidR="00D603F5" w:rsidRPr="001B0EA3" w:rsidRDefault="00D603F5" w:rsidP="008A4483">
            <w:pPr>
              <w:pStyle w:val="Normal1"/>
              <w:spacing w:before="134"/>
              <w:ind w:firstLine="0"/>
              <w:jc w:val="left"/>
            </w:pPr>
            <w:r w:rsidRPr="001B0EA3">
              <w:rPr>
                <w:color w:val="000000"/>
              </w:rPr>
              <w:t xml:space="preserve">Механизма за свързване на Европа </w:t>
            </w:r>
            <w:r w:rsidRPr="001B0EA3">
              <w:t>(„Connecting Europe Facility”).</w:t>
            </w:r>
          </w:p>
        </w:tc>
      </w:tr>
      <w:tr w:rsidR="00D603F5" w:rsidRPr="001B0EA3" w14:paraId="2145E024" w14:textId="77777777" w:rsidTr="009C2448">
        <w:tc>
          <w:tcPr>
            <w:tcW w:w="1968" w:type="dxa"/>
            <w:vAlign w:val="center"/>
          </w:tcPr>
          <w:p w14:paraId="743CCC29"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МФ</w:t>
            </w:r>
          </w:p>
        </w:tc>
        <w:tc>
          <w:tcPr>
            <w:tcW w:w="6521" w:type="dxa"/>
            <w:vAlign w:val="center"/>
          </w:tcPr>
          <w:p w14:paraId="5B713688" w14:textId="77777777" w:rsidR="00D603F5" w:rsidRPr="001B0EA3" w:rsidRDefault="00D603F5" w:rsidP="008A4483">
            <w:pPr>
              <w:pStyle w:val="Normal1"/>
              <w:ind w:firstLine="0"/>
              <w:jc w:val="left"/>
            </w:pPr>
            <w:r w:rsidRPr="001B0EA3">
              <w:rPr>
                <w:color w:val="000000"/>
              </w:rPr>
              <w:t>Министерство на финансите</w:t>
            </w:r>
          </w:p>
        </w:tc>
      </w:tr>
      <w:tr w:rsidR="00D603F5" w:rsidRPr="001B0EA3" w14:paraId="409D847C" w14:textId="77777777" w:rsidTr="009C2448">
        <w:tc>
          <w:tcPr>
            <w:tcW w:w="1968" w:type="dxa"/>
            <w:vAlign w:val="center"/>
          </w:tcPr>
          <w:p w14:paraId="10B48BAA"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НАП</w:t>
            </w:r>
          </w:p>
        </w:tc>
        <w:tc>
          <w:tcPr>
            <w:tcW w:w="6521" w:type="dxa"/>
            <w:vAlign w:val="center"/>
          </w:tcPr>
          <w:p w14:paraId="795EB047" w14:textId="77777777" w:rsidR="00D603F5" w:rsidRPr="001B0EA3" w:rsidRDefault="00D603F5" w:rsidP="008A4483">
            <w:pPr>
              <w:pStyle w:val="Normal1"/>
              <w:spacing w:before="134"/>
              <w:ind w:firstLine="0"/>
              <w:jc w:val="left"/>
              <w:rPr>
                <w:color w:val="000000"/>
              </w:rPr>
            </w:pPr>
            <w:r w:rsidRPr="001B0EA3">
              <w:rPr>
                <w:color w:val="000000"/>
              </w:rPr>
              <w:t>Национална агенция за приходите</w:t>
            </w:r>
          </w:p>
        </w:tc>
      </w:tr>
      <w:tr w:rsidR="00D603F5" w:rsidRPr="001B0EA3" w14:paraId="79587DC1" w14:textId="77777777" w:rsidTr="009C2448">
        <w:tc>
          <w:tcPr>
            <w:tcW w:w="1968" w:type="dxa"/>
            <w:vAlign w:val="center"/>
          </w:tcPr>
          <w:p w14:paraId="75F06A13"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НКЖИ</w:t>
            </w:r>
          </w:p>
        </w:tc>
        <w:tc>
          <w:tcPr>
            <w:tcW w:w="6521" w:type="dxa"/>
            <w:vAlign w:val="center"/>
          </w:tcPr>
          <w:p w14:paraId="232263B9" w14:textId="77777777" w:rsidR="00D603F5" w:rsidRPr="001B0EA3" w:rsidRDefault="00D603F5" w:rsidP="008A4483">
            <w:pPr>
              <w:pStyle w:val="Normal1"/>
              <w:spacing w:before="134"/>
              <w:ind w:firstLine="0"/>
              <w:jc w:val="left"/>
              <w:rPr>
                <w:color w:val="000000"/>
              </w:rPr>
            </w:pPr>
            <w:r w:rsidRPr="001B0EA3">
              <w:rPr>
                <w:color w:val="000000"/>
              </w:rPr>
              <w:t>Национална компания „Железопътна инфраструктура”</w:t>
            </w:r>
          </w:p>
        </w:tc>
      </w:tr>
      <w:tr w:rsidR="00D603F5" w:rsidRPr="001B0EA3" w14:paraId="1BC7AC53" w14:textId="77777777" w:rsidTr="009C2448">
        <w:tc>
          <w:tcPr>
            <w:tcW w:w="1968" w:type="dxa"/>
            <w:vAlign w:val="center"/>
          </w:tcPr>
          <w:p w14:paraId="52DD553D"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НКС</w:t>
            </w:r>
          </w:p>
        </w:tc>
        <w:tc>
          <w:tcPr>
            <w:tcW w:w="6521" w:type="dxa"/>
            <w:vAlign w:val="center"/>
          </w:tcPr>
          <w:p w14:paraId="101BF661" w14:textId="77777777" w:rsidR="00D603F5" w:rsidRPr="001B0EA3" w:rsidRDefault="00D603F5" w:rsidP="008A4483">
            <w:pPr>
              <w:pStyle w:val="Normal1"/>
              <w:spacing w:before="134"/>
              <w:ind w:firstLine="0"/>
              <w:jc w:val="left"/>
              <w:rPr>
                <w:color w:val="000000"/>
              </w:rPr>
            </w:pPr>
            <w:r w:rsidRPr="001B0EA3">
              <w:rPr>
                <w:lang w:eastAsia="fr-FR"/>
              </w:rPr>
              <w:t>Национална комуникационна стратегия 2014 – 2020 г.</w:t>
            </w:r>
          </w:p>
        </w:tc>
      </w:tr>
      <w:tr w:rsidR="00D603F5" w:rsidRPr="001B0EA3" w14:paraId="71D4D8D2" w14:textId="77777777" w:rsidTr="009C2448">
        <w:tc>
          <w:tcPr>
            <w:tcW w:w="1968" w:type="dxa"/>
            <w:vAlign w:val="center"/>
          </w:tcPr>
          <w:p w14:paraId="562AB1C2"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НКСИП</w:t>
            </w:r>
          </w:p>
        </w:tc>
        <w:tc>
          <w:tcPr>
            <w:tcW w:w="6521" w:type="dxa"/>
            <w:vAlign w:val="center"/>
          </w:tcPr>
          <w:p w14:paraId="3EF255DD" w14:textId="77777777" w:rsidR="00D603F5" w:rsidRPr="001B0EA3" w:rsidRDefault="00D603F5" w:rsidP="008A4483">
            <w:pPr>
              <w:pStyle w:val="Normal1"/>
              <w:spacing w:before="134"/>
              <w:ind w:firstLine="0"/>
              <w:jc w:val="left"/>
              <w:rPr>
                <w:color w:val="000000"/>
              </w:rPr>
            </w:pPr>
            <w:r w:rsidRPr="001B0EA3">
              <w:rPr>
                <w:color w:val="000000"/>
              </w:rPr>
              <w:t>Национална компания „Стратегически инфраструктурни проекти”</w:t>
            </w:r>
          </w:p>
        </w:tc>
      </w:tr>
      <w:tr w:rsidR="00D603F5" w:rsidRPr="001B0EA3" w14:paraId="412AF828" w14:textId="77777777" w:rsidTr="009C2448">
        <w:tc>
          <w:tcPr>
            <w:tcW w:w="1968" w:type="dxa"/>
            <w:vAlign w:val="center"/>
          </w:tcPr>
          <w:p w14:paraId="0D8EF2D1"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НПР</w:t>
            </w:r>
            <w:r w:rsidRPr="001B0EA3">
              <w:rPr>
                <w:rStyle w:val="FootnoteReference"/>
              </w:rPr>
              <w:footnoteReference w:id="1"/>
            </w:r>
          </w:p>
        </w:tc>
        <w:tc>
          <w:tcPr>
            <w:tcW w:w="6521" w:type="dxa"/>
            <w:vAlign w:val="center"/>
          </w:tcPr>
          <w:p w14:paraId="4005FF96" w14:textId="77777777" w:rsidR="00D603F5" w:rsidRPr="001B0EA3" w:rsidRDefault="00D603F5" w:rsidP="008A4483">
            <w:pPr>
              <w:pStyle w:val="Normal1"/>
              <w:spacing w:before="134"/>
              <w:ind w:firstLine="0"/>
              <w:jc w:val="left"/>
              <w:rPr>
                <w:color w:val="000000"/>
              </w:rPr>
            </w:pPr>
            <w:r w:rsidRPr="001B0EA3">
              <w:t>Националната програма за реформи</w:t>
            </w:r>
          </w:p>
        </w:tc>
      </w:tr>
      <w:tr w:rsidR="00D603F5" w:rsidRPr="001B0EA3" w14:paraId="2894EA7E" w14:textId="77777777" w:rsidTr="009C2448">
        <w:tc>
          <w:tcPr>
            <w:tcW w:w="1968" w:type="dxa"/>
            <w:vAlign w:val="center"/>
          </w:tcPr>
          <w:p w14:paraId="287EE821"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НПР БГ2020</w:t>
            </w:r>
            <w:r w:rsidRPr="001B0EA3">
              <w:rPr>
                <w:rStyle w:val="FootnoteReference"/>
                <w:b/>
                <w:color w:val="000000"/>
              </w:rPr>
              <w:footnoteReference w:id="2"/>
            </w:r>
          </w:p>
        </w:tc>
        <w:tc>
          <w:tcPr>
            <w:tcW w:w="6521" w:type="dxa"/>
            <w:vAlign w:val="center"/>
          </w:tcPr>
          <w:p w14:paraId="279C0C69" w14:textId="77777777" w:rsidR="00D603F5" w:rsidRPr="001B0EA3" w:rsidRDefault="00D603F5" w:rsidP="008A4483">
            <w:pPr>
              <w:pStyle w:val="Normal1"/>
              <w:spacing w:before="134"/>
              <w:ind w:firstLine="0"/>
              <w:jc w:val="left"/>
              <w:rPr>
                <w:color w:val="000000"/>
              </w:rPr>
            </w:pPr>
            <w:r w:rsidRPr="001B0EA3">
              <w:rPr>
                <w:color w:val="000000"/>
              </w:rPr>
              <w:t>Националната програма за развитие: България 2020</w:t>
            </w:r>
          </w:p>
        </w:tc>
      </w:tr>
      <w:tr w:rsidR="00D603F5" w:rsidRPr="001B0EA3" w14:paraId="77078151" w14:textId="77777777" w:rsidTr="009C2448">
        <w:tc>
          <w:tcPr>
            <w:tcW w:w="1968" w:type="dxa"/>
            <w:vAlign w:val="center"/>
          </w:tcPr>
          <w:p w14:paraId="73F4AF26"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ОВОС</w:t>
            </w:r>
          </w:p>
        </w:tc>
        <w:tc>
          <w:tcPr>
            <w:tcW w:w="6521" w:type="dxa"/>
            <w:vAlign w:val="center"/>
          </w:tcPr>
          <w:p w14:paraId="0CF03AAC" w14:textId="77777777" w:rsidR="00D603F5" w:rsidRPr="001B0EA3" w:rsidRDefault="00D603F5" w:rsidP="008A4483">
            <w:pPr>
              <w:pStyle w:val="Normal1"/>
              <w:spacing w:before="134"/>
              <w:ind w:firstLine="0"/>
              <w:jc w:val="left"/>
              <w:rPr>
                <w:color w:val="000000"/>
              </w:rPr>
            </w:pPr>
            <w:r w:rsidRPr="001B0EA3">
              <w:t xml:space="preserve">Оценка на въздействието на околната среда </w:t>
            </w:r>
          </w:p>
        </w:tc>
      </w:tr>
      <w:tr w:rsidR="00D603F5" w:rsidRPr="001B0EA3" w14:paraId="1E18AAB0" w14:textId="77777777" w:rsidTr="009C2448">
        <w:tc>
          <w:tcPr>
            <w:tcW w:w="1968" w:type="dxa"/>
            <w:vAlign w:val="center"/>
          </w:tcPr>
          <w:p w14:paraId="75F90066"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ОК</w:t>
            </w:r>
          </w:p>
        </w:tc>
        <w:tc>
          <w:tcPr>
            <w:tcW w:w="6521" w:type="dxa"/>
            <w:vAlign w:val="center"/>
          </w:tcPr>
          <w:p w14:paraId="6C91528C" w14:textId="77777777" w:rsidR="00D603F5" w:rsidRPr="001B0EA3" w:rsidRDefault="00D603F5" w:rsidP="008A4483">
            <w:pPr>
              <w:pStyle w:val="Normal1"/>
              <w:spacing w:before="134"/>
              <w:ind w:firstLine="0"/>
              <w:jc w:val="left"/>
              <w:rPr>
                <w:color w:val="000000"/>
              </w:rPr>
            </w:pPr>
            <w:r w:rsidRPr="001B0EA3">
              <w:t xml:space="preserve">Оценителна комисия </w:t>
            </w:r>
          </w:p>
        </w:tc>
      </w:tr>
      <w:tr w:rsidR="00D603F5" w:rsidRPr="001B0EA3" w14:paraId="5825B76E" w14:textId="77777777" w:rsidTr="009C2448">
        <w:tc>
          <w:tcPr>
            <w:tcW w:w="1968" w:type="dxa"/>
            <w:vAlign w:val="center"/>
          </w:tcPr>
          <w:p w14:paraId="3358F615"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ОПТТИ</w:t>
            </w:r>
          </w:p>
        </w:tc>
        <w:tc>
          <w:tcPr>
            <w:tcW w:w="6521" w:type="dxa"/>
            <w:vAlign w:val="center"/>
          </w:tcPr>
          <w:p w14:paraId="76E55CCA" w14:textId="77777777" w:rsidR="00D603F5" w:rsidRPr="001B0EA3" w:rsidRDefault="00D603F5" w:rsidP="008A4483">
            <w:pPr>
              <w:pStyle w:val="Normal1"/>
              <w:spacing w:before="134" w:beforeAutospacing="0" w:after="0" w:afterAutospacing="0"/>
              <w:ind w:firstLine="0"/>
              <w:jc w:val="left"/>
              <w:rPr>
                <w:b/>
                <w:color w:val="000000"/>
              </w:rPr>
            </w:pPr>
            <w:r w:rsidRPr="001B0EA3">
              <w:rPr>
                <w:color w:val="000000"/>
              </w:rPr>
              <w:t xml:space="preserve">Оперативна програма „Транспорт и транспортна инфраструктура” </w:t>
            </w:r>
            <w:r w:rsidRPr="001B0EA3">
              <w:t>2014-2020 г.</w:t>
            </w:r>
          </w:p>
        </w:tc>
      </w:tr>
      <w:tr w:rsidR="00D603F5" w:rsidRPr="001B0EA3" w14:paraId="57CFBD3C" w14:textId="77777777" w:rsidTr="009C2448">
        <w:tc>
          <w:tcPr>
            <w:tcW w:w="1968" w:type="dxa"/>
            <w:vAlign w:val="center"/>
          </w:tcPr>
          <w:p w14:paraId="39FACF27"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ПМС</w:t>
            </w:r>
          </w:p>
        </w:tc>
        <w:tc>
          <w:tcPr>
            <w:tcW w:w="6521" w:type="dxa"/>
            <w:vAlign w:val="center"/>
          </w:tcPr>
          <w:p w14:paraId="65E9DCFD" w14:textId="77777777" w:rsidR="00D603F5" w:rsidRPr="001B0EA3" w:rsidRDefault="00D603F5" w:rsidP="008A4483">
            <w:pPr>
              <w:pStyle w:val="Normal1"/>
              <w:spacing w:before="134"/>
              <w:ind w:firstLine="0"/>
              <w:jc w:val="left"/>
              <w:rPr>
                <w:b/>
                <w:color w:val="000000"/>
              </w:rPr>
            </w:pPr>
            <w:r w:rsidRPr="001B0EA3">
              <w:rPr>
                <w:color w:val="000000"/>
              </w:rPr>
              <w:t>Постановление на Министерския съвет</w:t>
            </w:r>
          </w:p>
        </w:tc>
      </w:tr>
      <w:tr w:rsidR="00D603F5" w:rsidRPr="001B0EA3" w14:paraId="7B720ED8" w14:textId="77777777" w:rsidTr="009C2448">
        <w:tc>
          <w:tcPr>
            <w:tcW w:w="1968" w:type="dxa"/>
            <w:vAlign w:val="center"/>
          </w:tcPr>
          <w:p w14:paraId="579B9324"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ПЧП</w:t>
            </w:r>
          </w:p>
        </w:tc>
        <w:tc>
          <w:tcPr>
            <w:tcW w:w="6521" w:type="dxa"/>
            <w:vAlign w:val="center"/>
          </w:tcPr>
          <w:p w14:paraId="0668BEF2" w14:textId="77777777" w:rsidR="00D603F5" w:rsidRPr="001B0EA3" w:rsidRDefault="00D603F5" w:rsidP="008A4483">
            <w:pPr>
              <w:pStyle w:val="Normal1"/>
              <w:spacing w:before="134"/>
              <w:ind w:firstLine="0"/>
              <w:jc w:val="left"/>
              <w:rPr>
                <w:color w:val="000000"/>
              </w:rPr>
            </w:pPr>
            <w:r w:rsidRPr="001B0EA3">
              <w:t>Публично-частно партньорство</w:t>
            </w:r>
          </w:p>
        </w:tc>
      </w:tr>
      <w:tr w:rsidR="00D603F5" w:rsidRPr="001B0EA3" w14:paraId="57412DAB" w14:textId="77777777" w:rsidTr="009C2448">
        <w:tc>
          <w:tcPr>
            <w:tcW w:w="1968" w:type="dxa"/>
            <w:vAlign w:val="center"/>
          </w:tcPr>
          <w:p w14:paraId="61B078DE"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ПО</w:t>
            </w:r>
          </w:p>
        </w:tc>
        <w:tc>
          <w:tcPr>
            <w:tcW w:w="6521" w:type="dxa"/>
            <w:vAlign w:val="center"/>
          </w:tcPr>
          <w:p w14:paraId="4A19B4FD" w14:textId="77777777" w:rsidR="00D603F5" w:rsidRPr="001B0EA3" w:rsidRDefault="00D603F5" w:rsidP="008A4483">
            <w:pPr>
              <w:pStyle w:val="Normal1"/>
              <w:spacing w:before="134"/>
              <w:ind w:firstLine="0"/>
              <w:jc w:val="left"/>
              <w:rPr>
                <w:color w:val="000000"/>
              </w:rPr>
            </w:pPr>
            <w:r w:rsidRPr="001B0EA3">
              <w:rPr>
                <w:color w:val="000000"/>
              </w:rPr>
              <w:t>Приоритетна ос</w:t>
            </w:r>
          </w:p>
        </w:tc>
      </w:tr>
      <w:tr w:rsidR="00D603F5" w:rsidRPr="001B0EA3" w14:paraId="394DC25F" w14:textId="77777777" w:rsidTr="009C2448">
        <w:tc>
          <w:tcPr>
            <w:tcW w:w="1968" w:type="dxa"/>
            <w:vAlign w:val="center"/>
          </w:tcPr>
          <w:p w14:paraId="7A81D834"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РБ</w:t>
            </w:r>
          </w:p>
        </w:tc>
        <w:tc>
          <w:tcPr>
            <w:tcW w:w="6521" w:type="dxa"/>
            <w:vAlign w:val="center"/>
          </w:tcPr>
          <w:p w14:paraId="62502FFC" w14:textId="77777777" w:rsidR="00D603F5" w:rsidRPr="001B0EA3" w:rsidRDefault="00D603F5" w:rsidP="008A4483">
            <w:pPr>
              <w:pStyle w:val="Normal1"/>
              <w:spacing w:before="134"/>
              <w:ind w:firstLine="0"/>
              <w:jc w:val="left"/>
              <w:rPr>
                <w:color w:val="000000"/>
              </w:rPr>
            </w:pPr>
            <w:r w:rsidRPr="001B0EA3">
              <w:rPr>
                <w:color w:val="000000"/>
              </w:rPr>
              <w:t>Република България</w:t>
            </w:r>
          </w:p>
        </w:tc>
      </w:tr>
      <w:tr w:rsidR="00D603F5" w:rsidRPr="001B0EA3" w14:paraId="43A33646" w14:textId="77777777" w:rsidTr="009C2448">
        <w:tc>
          <w:tcPr>
            <w:tcW w:w="1968" w:type="dxa"/>
            <w:vAlign w:val="center"/>
          </w:tcPr>
          <w:p w14:paraId="77267898"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РГ</w:t>
            </w:r>
          </w:p>
        </w:tc>
        <w:tc>
          <w:tcPr>
            <w:tcW w:w="6521" w:type="dxa"/>
            <w:vAlign w:val="center"/>
          </w:tcPr>
          <w:p w14:paraId="19ED675E" w14:textId="77777777" w:rsidR="00D603F5" w:rsidRPr="001B0EA3" w:rsidRDefault="00D603F5" w:rsidP="008A4483">
            <w:pPr>
              <w:pStyle w:val="Normal1"/>
              <w:spacing w:before="134"/>
              <w:ind w:firstLine="0"/>
              <w:jc w:val="left"/>
              <w:rPr>
                <w:color w:val="000000"/>
              </w:rPr>
            </w:pPr>
            <w:r w:rsidRPr="001B0EA3">
              <w:rPr>
                <w:color w:val="000000"/>
              </w:rPr>
              <w:t>Работна група</w:t>
            </w:r>
          </w:p>
        </w:tc>
      </w:tr>
      <w:tr w:rsidR="00D603F5" w:rsidRPr="001B0EA3" w14:paraId="51E9272F" w14:textId="77777777" w:rsidTr="009C2448">
        <w:tc>
          <w:tcPr>
            <w:tcW w:w="1968" w:type="dxa"/>
            <w:vAlign w:val="center"/>
          </w:tcPr>
          <w:p w14:paraId="6765ECF3"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СКУСЕС</w:t>
            </w:r>
          </w:p>
        </w:tc>
        <w:tc>
          <w:tcPr>
            <w:tcW w:w="6521" w:type="dxa"/>
            <w:vAlign w:val="center"/>
          </w:tcPr>
          <w:p w14:paraId="4C401818" w14:textId="77777777" w:rsidR="00D603F5" w:rsidRPr="001B0EA3" w:rsidRDefault="00D603F5" w:rsidP="008A4483">
            <w:pPr>
              <w:pStyle w:val="Normal1"/>
              <w:spacing w:before="134"/>
              <w:ind w:firstLine="0"/>
              <w:jc w:val="left"/>
              <w:rPr>
                <w:color w:val="000000"/>
              </w:rPr>
            </w:pPr>
            <w:r w:rsidRPr="001B0EA3">
              <w:t>Съвета за координация при управлението на средствата от Европейския съюз</w:t>
            </w:r>
          </w:p>
        </w:tc>
      </w:tr>
      <w:tr w:rsidR="00D603F5" w:rsidRPr="001B0EA3" w14:paraId="4C6DAF45" w14:textId="77777777" w:rsidTr="009C2448">
        <w:tc>
          <w:tcPr>
            <w:tcW w:w="1968" w:type="dxa"/>
            <w:vAlign w:val="center"/>
          </w:tcPr>
          <w:p w14:paraId="78912770"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УО</w:t>
            </w:r>
          </w:p>
        </w:tc>
        <w:tc>
          <w:tcPr>
            <w:tcW w:w="6521" w:type="dxa"/>
            <w:vAlign w:val="center"/>
          </w:tcPr>
          <w:p w14:paraId="73A2ED12" w14:textId="77777777" w:rsidR="00D603F5" w:rsidRPr="001B0EA3" w:rsidRDefault="00D603F5" w:rsidP="008A4483">
            <w:pPr>
              <w:pStyle w:val="Normal1"/>
              <w:spacing w:before="134" w:beforeAutospacing="0" w:after="0" w:afterAutospacing="0"/>
              <w:ind w:firstLine="0"/>
              <w:jc w:val="left"/>
              <w:rPr>
                <w:b/>
                <w:color w:val="000000"/>
              </w:rPr>
            </w:pPr>
            <w:r w:rsidRPr="001B0EA3">
              <w:t>Управляващ орган</w:t>
            </w:r>
          </w:p>
        </w:tc>
      </w:tr>
      <w:tr w:rsidR="00D603F5" w:rsidRPr="001B0EA3" w14:paraId="7A180326" w14:textId="77777777" w:rsidTr="009C2448">
        <w:tc>
          <w:tcPr>
            <w:tcW w:w="1968" w:type="dxa"/>
            <w:vAlign w:val="center"/>
          </w:tcPr>
          <w:p w14:paraId="26E9BAEA"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УП</w:t>
            </w:r>
          </w:p>
        </w:tc>
        <w:tc>
          <w:tcPr>
            <w:tcW w:w="6521" w:type="dxa"/>
            <w:vAlign w:val="center"/>
          </w:tcPr>
          <w:p w14:paraId="6FB47C78" w14:textId="77777777" w:rsidR="00D603F5" w:rsidRPr="001B0EA3" w:rsidRDefault="00D603F5" w:rsidP="008A4483">
            <w:pPr>
              <w:pStyle w:val="Normal1"/>
              <w:spacing w:before="134" w:beforeAutospacing="0" w:after="0" w:afterAutospacing="0"/>
              <w:ind w:firstLine="0"/>
              <w:jc w:val="left"/>
            </w:pPr>
            <w:r w:rsidRPr="001B0EA3">
              <w:t>Устройствен правилник</w:t>
            </w:r>
          </w:p>
        </w:tc>
      </w:tr>
      <w:tr w:rsidR="00D603F5" w:rsidRPr="001B0EA3" w14:paraId="1DAE9FC7" w14:textId="77777777" w:rsidTr="009C2448">
        <w:tc>
          <w:tcPr>
            <w:tcW w:w="1968" w:type="dxa"/>
            <w:vAlign w:val="center"/>
          </w:tcPr>
          <w:p w14:paraId="063DB6E1"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ФК</w:t>
            </w:r>
          </w:p>
        </w:tc>
        <w:tc>
          <w:tcPr>
            <w:tcW w:w="6521" w:type="dxa"/>
            <w:vAlign w:val="center"/>
          </w:tcPr>
          <w:p w14:paraId="089D82C6" w14:textId="77777777" w:rsidR="00D603F5" w:rsidRPr="001B0EA3" w:rsidRDefault="00D603F5" w:rsidP="008A4483">
            <w:pPr>
              <w:pStyle w:val="Normal1"/>
              <w:spacing w:before="134" w:beforeAutospacing="0" w:after="0" w:afterAutospacing="0"/>
              <w:ind w:firstLine="0"/>
              <w:jc w:val="left"/>
            </w:pPr>
            <w:r w:rsidRPr="001B0EA3">
              <w:t>Формуляр за кандидатстване</w:t>
            </w:r>
          </w:p>
        </w:tc>
      </w:tr>
      <w:tr w:rsidR="00D603F5" w:rsidRPr="001B0EA3" w14:paraId="3B7E1BDE" w14:textId="77777777" w:rsidTr="009C2448">
        <w:tc>
          <w:tcPr>
            <w:tcW w:w="1968" w:type="dxa"/>
            <w:vAlign w:val="center"/>
          </w:tcPr>
          <w:p w14:paraId="4F345176"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ФП</w:t>
            </w:r>
          </w:p>
        </w:tc>
        <w:tc>
          <w:tcPr>
            <w:tcW w:w="6521" w:type="dxa"/>
            <w:vAlign w:val="center"/>
          </w:tcPr>
          <w:p w14:paraId="2525F03D" w14:textId="77777777" w:rsidR="00D603F5" w:rsidRPr="001B0EA3" w:rsidRDefault="00D603F5" w:rsidP="008A4483">
            <w:pPr>
              <w:pStyle w:val="Normal1"/>
              <w:spacing w:before="134" w:beforeAutospacing="0" w:after="0" w:afterAutospacing="0"/>
              <w:ind w:firstLine="0"/>
              <w:jc w:val="left"/>
            </w:pPr>
            <w:r w:rsidRPr="001B0EA3">
              <w:t>Финансов план</w:t>
            </w:r>
          </w:p>
        </w:tc>
      </w:tr>
      <w:tr w:rsidR="00D603F5" w:rsidRPr="001B0EA3" w14:paraId="5F70509B" w14:textId="77777777" w:rsidTr="009C2448">
        <w:tc>
          <w:tcPr>
            <w:tcW w:w="1968" w:type="dxa"/>
            <w:vAlign w:val="center"/>
          </w:tcPr>
          <w:p w14:paraId="6FFFE6F7"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ЦКЗ</w:t>
            </w:r>
          </w:p>
        </w:tc>
        <w:tc>
          <w:tcPr>
            <w:tcW w:w="6521" w:type="dxa"/>
            <w:vAlign w:val="center"/>
          </w:tcPr>
          <w:p w14:paraId="474C9155" w14:textId="77777777" w:rsidR="00D603F5" w:rsidRPr="001B0EA3" w:rsidRDefault="00D603F5" w:rsidP="008A4483">
            <w:pPr>
              <w:pStyle w:val="Normal1"/>
              <w:spacing w:before="134" w:beforeAutospacing="0" w:after="0" w:afterAutospacing="0"/>
              <w:ind w:firstLine="0"/>
              <w:jc w:val="left"/>
            </w:pPr>
            <w:r w:rsidRPr="001B0EA3">
              <w:t>Централно координационно звено</w:t>
            </w:r>
          </w:p>
        </w:tc>
      </w:tr>
      <w:tr w:rsidR="00D603F5" w:rsidRPr="001B0EA3" w14:paraId="10343126" w14:textId="77777777" w:rsidTr="009C2448">
        <w:tc>
          <w:tcPr>
            <w:tcW w:w="1968" w:type="dxa"/>
            <w:vAlign w:val="center"/>
          </w:tcPr>
          <w:p w14:paraId="72D12545" w14:textId="77777777"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TEN-T</w:t>
            </w:r>
          </w:p>
        </w:tc>
        <w:tc>
          <w:tcPr>
            <w:tcW w:w="6521" w:type="dxa"/>
            <w:vAlign w:val="center"/>
          </w:tcPr>
          <w:p w14:paraId="5C8FB589" w14:textId="77777777" w:rsidR="00D603F5" w:rsidRPr="001B0EA3" w:rsidRDefault="00D603F5" w:rsidP="008A4483">
            <w:pPr>
              <w:pStyle w:val="Normal1"/>
              <w:spacing w:before="134" w:beforeAutospacing="0" w:after="0" w:afterAutospacing="0"/>
              <w:ind w:firstLine="0"/>
              <w:jc w:val="left"/>
              <w:rPr>
                <w:color w:val="000000"/>
              </w:rPr>
            </w:pPr>
            <w:r w:rsidRPr="001B0EA3">
              <w:rPr>
                <w:color w:val="000000"/>
              </w:rPr>
              <w:t>Трансевропейска транспортна мрежа</w:t>
            </w:r>
          </w:p>
        </w:tc>
      </w:tr>
    </w:tbl>
    <w:p w14:paraId="3D4E3341" w14:textId="77777777" w:rsidR="00D603F5" w:rsidRPr="001B0EA3" w:rsidRDefault="00D603F5" w:rsidP="00B15779">
      <w:pPr>
        <w:tabs>
          <w:tab w:val="num" w:pos="900"/>
        </w:tabs>
        <w:spacing w:before="134"/>
        <w:jc w:val="left"/>
        <w:rPr>
          <w:b/>
          <w:szCs w:val="24"/>
          <w:lang w:eastAsia="bg-BG"/>
        </w:rPr>
      </w:pPr>
      <w:bookmarkStart w:id="3" w:name="_Toc264368333"/>
    </w:p>
    <w:p w14:paraId="7C112425" w14:textId="77777777" w:rsidR="00D603F5" w:rsidRPr="001B0EA3" w:rsidRDefault="00D603F5" w:rsidP="00890B4B">
      <w:pPr>
        <w:pStyle w:val="Title"/>
        <w:spacing w:after="240"/>
        <w:ind w:firstLine="0"/>
        <w:jc w:val="center"/>
        <w:rPr>
          <w:rFonts w:ascii="Times New Roman" w:hAnsi="Times New Roman"/>
          <w:sz w:val="24"/>
          <w:szCs w:val="24"/>
          <w:lang w:eastAsia="bg-BG"/>
        </w:rPr>
      </w:pPr>
      <w:r w:rsidRPr="001B0EA3">
        <w:rPr>
          <w:rFonts w:ascii="Times New Roman" w:hAnsi="Times New Roman"/>
          <w:lang w:eastAsia="bg-BG"/>
        </w:rPr>
        <w:br w:type="page"/>
      </w:r>
      <w:bookmarkStart w:id="4" w:name="_Toc479775526"/>
      <w:bookmarkStart w:id="5" w:name="_Toc140150144"/>
      <w:r w:rsidRPr="001B0EA3">
        <w:rPr>
          <w:rFonts w:ascii="Times New Roman" w:hAnsi="Times New Roman"/>
          <w:sz w:val="24"/>
          <w:szCs w:val="24"/>
          <w:lang w:eastAsia="bg-BG"/>
        </w:rPr>
        <w:lastRenderedPageBreak/>
        <w:t>ГЛАВА 1</w:t>
      </w:r>
      <w:r w:rsidRPr="001B0EA3">
        <w:rPr>
          <w:rFonts w:ascii="Times New Roman" w:hAnsi="Times New Roman"/>
          <w:sz w:val="24"/>
          <w:szCs w:val="24"/>
          <w:lang w:eastAsia="bg-BG"/>
        </w:rPr>
        <w:br/>
        <w:t>ОБЩИ ПОЛОЖЕНИЯ</w:t>
      </w:r>
      <w:bookmarkStart w:id="6" w:name="_Ref406156726"/>
      <w:bookmarkEnd w:id="4"/>
      <w:bookmarkEnd w:id="5"/>
    </w:p>
    <w:p w14:paraId="38A48FFC" w14:textId="77777777" w:rsidR="00D603F5" w:rsidRPr="00A110A4" w:rsidRDefault="00D603F5" w:rsidP="00F058E0">
      <w:pPr>
        <w:pStyle w:val="Style1"/>
      </w:pPr>
      <w:bookmarkStart w:id="7" w:name="_Toc479775527"/>
      <w:bookmarkStart w:id="8" w:name="_Toc140150145"/>
      <w:r w:rsidRPr="00A110A4">
        <w:t>ДЕФИНИЦИИ</w:t>
      </w:r>
      <w:bookmarkEnd w:id="3"/>
      <w:bookmarkEnd w:id="6"/>
      <w:bookmarkEnd w:id="7"/>
      <w:bookmarkEnd w:id="8"/>
    </w:p>
    <w:p w14:paraId="1C3489CB" w14:textId="77777777" w:rsidR="002305A7" w:rsidRPr="002305A7" w:rsidRDefault="002305A7" w:rsidP="002305A7">
      <w:pPr>
        <w:pStyle w:val="ListParagraph"/>
        <w:numPr>
          <w:ilvl w:val="0"/>
          <w:numId w:val="433"/>
        </w:numPr>
        <w:ind w:left="0" w:firstLine="851"/>
        <w:rPr>
          <w:shd w:val="clear" w:color="auto" w:fill="FFFFFF"/>
          <w:lang w:eastAsia="bg-BG"/>
        </w:rPr>
      </w:pPr>
      <w:r w:rsidRPr="002305A7">
        <w:rPr>
          <w:b/>
          <w:lang w:eastAsia="bg-BG"/>
        </w:rPr>
        <w:t>„СПОРАЗУМЕНИЕ ЗА ПАРТНЬОРСТВО“</w:t>
      </w:r>
      <w:r w:rsidRPr="001B0EA3">
        <w:rPr>
          <w:lang w:eastAsia="bg-BG"/>
        </w:rPr>
        <w:t xml:space="preserve"> означава документ, изготвен от държава-членка с участието на партньорите в съответствие с подхода на многостепенно управление, в който е определена стратегията на посочената държава-членка, нейните приоритети и организация за ефективното </w:t>
      </w:r>
      <w:r w:rsidRPr="002305A7">
        <w:rPr>
          <w:shd w:val="clear" w:color="auto" w:fill="FFFFFF"/>
          <w:lang w:eastAsia="bg-BG"/>
        </w:rPr>
        <w:t xml:space="preserve">и ефикасно използване на европейските структурни и инвестиционни фондове за целите на изпълнението на стратегията на Съюза за интелигентен, устойчив и приобщаващ растеж и който е одобрен от Комисията след оценка и диалог със съответната държава-членка; </w:t>
      </w:r>
    </w:p>
    <w:p w14:paraId="26970305" w14:textId="77777777" w:rsidR="002305A7" w:rsidRPr="001B0EA3" w:rsidRDefault="002305A7" w:rsidP="002305A7">
      <w:pPr>
        <w:pStyle w:val="ListParagraph"/>
        <w:numPr>
          <w:ilvl w:val="0"/>
          <w:numId w:val="433"/>
        </w:numPr>
        <w:ind w:left="0" w:firstLine="851"/>
        <w:rPr>
          <w:lang w:eastAsia="bg-BG"/>
        </w:rPr>
      </w:pPr>
      <w:r w:rsidRPr="001B0EA3">
        <w:rPr>
          <w:lang w:eastAsia="bg-BG"/>
        </w:rPr>
        <w:t>„</w:t>
      </w:r>
      <w:r w:rsidRPr="002305A7">
        <w:rPr>
          <w:b/>
          <w:lang w:eastAsia="bg-BG"/>
        </w:rPr>
        <w:t>ОПЕРАТИВНА ПРОГРАМА</w:t>
      </w:r>
      <w:r w:rsidRPr="001B0EA3">
        <w:rPr>
          <w:lang w:eastAsia="bg-BG"/>
        </w:rPr>
        <w:t xml:space="preserve">“ означава документ, представен от държава-членка (или от орган, посочен от нея), </w:t>
      </w:r>
      <w:r w:rsidRPr="002305A7">
        <w:rPr>
          <w:shd w:val="clear" w:color="auto" w:fill="FFFFFF"/>
          <w:lang w:eastAsia="bg-BG"/>
        </w:rPr>
        <w:t>допринасящ за стратегията на Съюза за интелигентен, устойчив и приобщаващ растеж и за постигането на икономическо, социално и териториално сближаване,</w:t>
      </w:r>
      <w:r w:rsidRPr="001B0EA3">
        <w:rPr>
          <w:lang w:eastAsia="bg-BG"/>
        </w:rPr>
        <w:t xml:space="preserve"> изготвен в съответствие със споразумението за партньорство, установяващ стратегия за развитие със съгласувани приоритети, която да бъде реализирана с помощта на Европейските структурни и инвестиционни фондове.</w:t>
      </w:r>
    </w:p>
    <w:p w14:paraId="0A5B9B3B" w14:textId="77777777" w:rsidR="002305A7" w:rsidRPr="001B0EA3" w:rsidRDefault="002305A7" w:rsidP="002305A7">
      <w:pPr>
        <w:pStyle w:val="ListParagraph"/>
        <w:numPr>
          <w:ilvl w:val="0"/>
          <w:numId w:val="433"/>
        </w:numPr>
        <w:ind w:left="0" w:firstLine="851"/>
        <w:rPr>
          <w:lang w:eastAsia="bg-BG"/>
        </w:rPr>
      </w:pPr>
      <w:r w:rsidRPr="001B0EA3">
        <w:rPr>
          <w:lang w:eastAsia="bg-BG"/>
        </w:rPr>
        <w:t>„</w:t>
      </w:r>
      <w:r w:rsidRPr="002305A7">
        <w:rPr>
          <w:b/>
          <w:lang w:eastAsia="bg-BG"/>
        </w:rPr>
        <w:t>ПРИОРИТЕТНА ОС</w:t>
      </w:r>
      <w:r w:rsidRPr="001B0EA3">
        <w:rPr>
          <w:lang w:eastAsia="bg-BG"/>
        </w:rPr>
        <w:t>“ означава раздел на оперативната програма, с определени инвестиционни приоритети и съответстващите им специфични цели. Всяка приоритетна ос се отнася до един фонд и до една категория региони, с изключение на Кохезионния фонд, съответства на дадена тематична цел и включва един или повече от инвестиционните приоритети на съответната тематична цел в съответствие с правилата за отделните фондове.</w:t>
      </w:r>
    </w:p>
    <w:p w14:paraId="775ED3B0" w14:textId="77777777" w:rsidR="002305A7" w:rsidRPr="001B0EA3" w:rsidRDefault="002305A7" w:rsidP="002305A7">
      <w:pPr>
        <w:pStyle w:val="ListParagraph"/>
        <w:numPr>
          <w:ilvl w:val="0"/>
          <w:numId w:val="433"/>
        </w:numPr>
        <w:ind w:left="0" w:firstLine="851"/>
        <w:rPr>
          <w:lang w:eastAsia="bg-BG"/>
        </w:rPr>
      </w:pPr>
      <w:r w:rsidRPr="002305A7">
        <w:rPr>
          <w:b/>
          <w:lang w:eastAsia="bg-BG"/>
        </w:rPr>
        <w:t xml:space="preserve">„ПРОГРАМЕН ПЕРИОД” </w:t>
      </w:r>
      <w:r w:rsidRPr="001B0EA3">
        <w:rPr>
          <w:lang w:eastAsia="bg-BG"/>
        </w:rPr>
        <w:t xml:space="preserve">означава периода от 01 януари </w:t>
      </w:r>
      <w:r w:rsidRPr="002305A7">
        <w:rPr>
          <w:shd w:val="clear" w:color="auto" w:fill="FFFFFF"/>
          <w:lang w:eastAsia="bg-BG"/>
        </w:rPr>
        <w:t>2014 г. до 31 декември 2020 г.</w:t>
      </w:r>
    </w:p>
    <w:p w14:paraId="0BEBFC0E" w14:textId="77777777" w:rsidR="002305A7" w:rsidRPr="001B0EA3" w:rsidRDefault="002305A7" w:rsidP="002305A7">
      <w:pPr>
        <w:pStyle w:val="ListParagraph"/>
        <w:numPr>
          <w:ilvl w:val="0"/>
          <w:numId w:val="433"/>
        </w:numPr>
        <w:ind w:left="0" w:firstLine="851"/>
        <w:rPr>
          <w:lang w:eastAsia="bg-BG"/>
        </w:rPr>
      </w:pPr>
      <w:r w:rsidRPr="001B0EA3">
        <w:rPr>
          <w:lang w:eastAsia="bg-BG"/>
        </w:rPr>
        <w:t>„</w:t>
      </w:r>
      <w:r w:rsidRPr="002305A7">
        <w:rPr>
          <w:b/>
          <w:lang w:eastAsia="bg-BG"/>
        </w:rPr>
        <w:t>ОПЕРАЦИЯ“</w:t>
      </w:r>
      <w:r w:rsidRPr="001B0EA3">
        <w:rPr>
          <w:lang w:eastAsia="bg-BG"/>
        </w:rPr>
        <w:t xml:space="preserve"> означава проект, договор, действие или група проекти, избрани от управляващите органи на съответните програми или на тяхна отговорност, които допринасят за целите на приоритета или приоритетите, към които се отнасят; в контекста на финансовите инструменти операцията е съставена от финансовия принос от една програма за финансови инструменти и последващата финансова подкрепа, която тези финансови инструменти предоставят; </w:t>
      </w:r>
    </w:p>
    <w:p w14:paraId="773154F6" w14:textId="77777777" w:rsidR="002305A7" w:rsidRPr="001B0EA3" w:rsidRDefault="002305A7" w:rsidP="002305A7">
      <w:pPr>
        <w:pStyle w:val="ListParagraph"/>
        <w:numPr>
          <w:ilvl w:val="0"/>
          <w:numId w:val="433"/>
        </w:numPr>
        <w:ind w:left="0" w:firstLine="851"/>
        <w:rPr>
          <w:lang w:eastAsia="bg-BG"/>
        </w:rPr>
      </w:pPr>
      <w:r w:rsidRPr="002305A7">
        <w:rPr>
          <w:b/>
          <w:lang w:eastAsia="bg-BG"/>
        </w:rPr>
        <w:t>„ГОЛЯМ ПРОЕКТ“</w:t>
      </w:r>
      <w:r w:rsidRPr="001B0EA3">
        <w:rPr>
          <w:lang w:eastAsia="bg-BG"/>
        </w:rPr>
        <w:t xml:space="preserve"> е операция, съдържаща серия от строителни работи, дейности или услуги, предназначени по своя характер да изпълнят неделима задача от точно икономическо или техническо естество, която има ясно определени цели и общите допустими разходи за която надхвърлят 50 000 000 EUR, а в случая с операции за постигането на тематичната цел по член 9, първа алинея, точка 7 от Регламент (ЕС) № 1303/2014— общите допустими разходи надхвърлят 75 000 000 EUR.  </w:t>
      </w:r>
    </w:p>
    <w:p w14:paraId="3A956431" w14:textId="77777777" w:rsidR="002305A7" w:rsidRPr="001B0EA3" w:rsidRDefault="002305A7" w:rsidP="002305A7">
      <w:pPr>
        <w:pStyle w:val="ListParagraph"/>
        <w:numPr>
          <w:ilvl w:val="0"/>
          <w:numId w:val="433"/>
        </w:numPr>
        <w:ind w:left="0" w:firstLine="851"/>
        <w:rPr>
          <w:lang w:eastAsia="bg-BG"/>
        </w:rPr>
      </w:pPr>
      <w:r w:rsidRPr="002305A7">
        <w:rPr>
          <w:b/>
          <w:lang w:eastAsia="bg-BG"/>
        </w:rPr>
        <w:t>„ПРОЕКТНО ПРЕДЛОЖЕНИЕ“</w:t>
      </w:r>
      <w:r w:rsidRPr="001B0EA3">
        <w:rPr>
          <w:lang w:eastAsia="bg-BG"/>
        </w:rPr>
        <w:t xml:space="preserve"> е предложение за предоставяне на безвъзмездна финансова помощ за изпълнението на определен проект, включващо формуляр за кандидатстване и други придружителни документи.</w:t>
      </w:r>
    </w:p>
    <w:p w14:paraId="10318B56" w14:textId="77777777" w:rsidR="002305A7" w:rsidRPr="001B0EA3" w:rsidRDefault="002305A7" w:rsidP="002305A7">
      <w:pPr>
        <w:pStyle w:val="ListParagraph"/>
        <w:numPr>
          <w:ilvl w:val="0"/>
          <w:numId w:val="433"/>
        </w:numPr>
        <w:ind w:left="0" w:firstLine="851"/>
        <w:rPr>
          <w:lang w:eastAsia="bg-BG"/>
        </w:rPr>
      </w:pPr>
      <w:r w:rsidRPr="002305A7">
        <w:rPr>
          <w:b/>
          <w:lang w:eastAsia="bg-BG"/>
        </w:rPr>
        <w:t>„БЮДЖЕТНАТА ЛИНИЯ“</w:t>
      </w:r>
      <w:r w:rsidRPr="001B0EA3">
        <w:rPr>
          <w:lang w:eastAsia="bg-BG"/>
        </w:rPr>
        <w:t xml:space="preserve"> е опростена форма за предоставяне на БФП с продължителност до 36 месеца на конкретни бенефициенти по ОПТТИ – публични организации/звена, предназначена за финансиране на разходи за обезпечаване на дейностите им по програмиране, наблюдение, управление, контрол, координация, сертифициране, както и дейности по одит и оценка на усвоените средства по техническата помощ по ОПТТИ, финансирани чрез ЕФРР и КФ за програмен период 2014-2020 г.</w:t>
      </w:r>
    </w:p>
    <w:p w14:paraId="57BB2C6C" w14:textId="77777777" w:rsidR="002305A7" w:rsidRPr="001B0EA3" w:rsidRDefault="002305A7" w:rsidP="002305A7">
      <w:pPr>
        <w:pStyle w:val="ListParagraph"/>
        <w:numPr>
          <w:ilvl w:val="0"/>
          <w:numId w:val="433"/>
        </w:numPr>
        <w:ind w:left="0" w:firstLine="851"/>
        <w:rPr>
          <w:lang w:eastAsia="bg-BG"/>
        </w:rPr>
      </w:pPr>
      <w:r w:rsidRPr="001B0EA3">
        <w:rPr>
          <w:lang w:eastAsia="bg-BG"/>
        </w:rPr>
        <w:t>„</w:t>
      </w:r>
      <w:r w:rsidRPr="002305A7">
        <w:rPr>
          <w:b/>
          <w:lang w:eastAsia="bg-BG"/>
        </w:rPr>
        <w:t>БЕНЕФИЦИЕНТ</w:t>
      </w:r>
      <w:r w:rsidRPr="001B0EA3">
        <w:rPr>
          <w:lang w:eastAsia="bg-BG"/>
        </w:rPr>
        <w:t xml:space="preserve">“ означава публична или частна организация, които отговарят за започването или за започването и изпълнението на операции; и в контекста на схемите за държавни помощи съгласно определението в точка 13 от член 2 от Регламент (ЕС) № 1303/2014 – организация, която получава помощта; и в контекста на финансовите </w:t>
      </w:r>
      <w:r w:rsidRPr="001B0EA3">
        <w:rPr>
          <w:lang w:eastAsia="bg-BG"/>
        </w:rPr>
        <w:lastRenderedPageBreak/>
        <w:t xml:space="preserve">инструменти по втора част, дял IV от Регламент (ЕС) – № 1303/2013 организацията, която прилага финансовия инструмент или фонда на фондове, ако е уместно; </w:t>
      </w:r>
    </w:p>
    <w:p w14:paraId="42A3FE54" w14:textId="77777777" w:rsidR="002305A7" w:rsidRPr="001B0EA3" w:rsidRDefault="002305A7" w:rsidP="002305A7">
      <w:pPr>
        <w:pStyle w:val="ListParagraph"/>
        <w:numPr>
          <w:ilvl w:val="0"/>
          <w:numId w:val="433"/>
        </w:numPr>
        <w:ind w:left="0" w:firstLine="851"/>
        <w:rPr>
          <w:lang w:eastAsia="bg-BG"/>
        </w:rPr>
      </w:pPr>
      <w:r w:rsidRPr="001B0EA3">
        <w:rPr>
          <w:lang w:eastAsia="bg-BG"/>
        </w:rPr>
        <w:t>„</w:t>
      </w:r>
      <w:r w:rsidRPr="002305A7">
        <w:rPr>
          <w:b/>
          <w:lang w:eastAsia="bg-BG"/>
        </w:rPr>
        <w:t>КОНКРЕТЕН БЕНЕФИЦИЕНТ НА БЕЗВЪЗМЕЗДНАТА ПОМОЩ”</w:t>
      </w:r>
      <w:r w:rsidRPr="001B0EA3">
        <w:rPr>
          <w:lang w:eastAsia="bg-BG"/>
        </w:rPr>
        <w:t xml:space="preserve"> е организация, институция, административна или друга структура, индивидуално посочена в съответната програма или в документ, одобрен от Комитета й за наблюдение като единствен субект, който може да изготви проектно предложение и да получи безвъзмездна помощ за определена дейност, или която е определена със закон или с подзаконов нормативен акт като правоприемник на такава структура, отговорна за изпълнението на конкретна дейност, и е допустим бенефициент по съответната програма.</w:t>
      </w:r>
    </w:p>
    <w:p w14:paraId="2860C737" w14:textId="77777777" w:rsidR="002305A7" w:rsidRPr="001B0EA3" w:rsidRDefault="002305A7" w:rsidP="002305A7">
      <w:pPr>
        <w:pStyle w:val="ListParagraph"/>
        <w:numPr>
          <w:ilvl w:val="0"/>
          <w:numId w:val="433"/>
        </w:numPr>
        <w:ind w:left="0" w:firstLine="851"/>
        <w:rPr>
          <w:lang w:eastAsia="bg-BG"/>
        </w:rPr>
      </w:pPr>
      <w:r w:rsidRPr="001B0EA3">
        <w:rPr>
          <w:lang w:eastAsia="bg-BG"/>
        </w:rPr>
        <w:t>„</w:t>
      </w:r>
      <w:r w:rsidRPr="002305A7">
        <w:rPr>
          <w:b/>
          <w:lang w:eastAsia="bg-BG"/>
        </w:rPr>
        <w:t>УПРАВЛЯВАЩ ОРГАН</w:t>
      </w:r>
      <w:r w:rsidRPr="001B0EA3">
        <w:rPr>
          <w:lang w:eastAsia="bg-BG"/>
        </w:rPr>
        <w:t>” означава определен от държавата-членка  национален, регионален или местен публичен орган или организация или частна организация, които да отговарят за управлението на оперативната програма в съответствие с принципа на доброто финансово управление;</w:t>
      </w:r>
    </w:p>
    <w:p w14:paraId="23C755A2" w14:textId="77777777" w:rsidR="002305A7" w:rsidRPr="001B0EA3" w:rsidRDefault="002305A7" w:rsidP="002305A7">
      <w:pPr>
        <w:pStyle w:val="ListParagraph"/>
        <w:numPr>
          <w:ilvl w:val="0"/>
          <w:numId w:val="433"/>
        </w:numPr>
        <w:ind w:left="0" w:firstLine="851"/>
        <w:rPr>
          <w:lang w:eastAsia="bg-BG"/>
        </w:rPr>
      </w:pPr>
      <w:r w:rsidRPr="002305A7">
        <w:rPr>
          <w:b/>
          <w:lang w:eastAsia="bg-BG"/>
        </w:rPr>
        <w:t>„СЕРТИФИЦИРАЩ ОРГАН”</w:t>
      </w:r>
      <w:r w:rsidRPr="001B0EA3">
        <w:rPr>
          <w:lang w:eastAsia="bg-BG"/>
        </w:rPr>
        <w:t xml:space="preserve"> означава определен от държавата-членка национален, регионален или местен публичен орган или организация към която Комисията прави плащания и отговарящ за изготвянето и изпращането до Комисията на заявления за плащане.</w:t>
      </w:r>
    </w:p>
    <w:p w14:paraId="312CFAB9" w14:textId="77777777" w:rsidR="002305A7" w:rsidRPr="001B0EA3" w:rsidRDefault="002305A7" w:rsidP="002305A7">
      <w:pPr>
        <w:pStyle w:val="ListParagraph"/>
        <w:numPr>
          <w:ilvl w:val="0"/>
          <w:numId w:val="433"/>
        </w:numPr>
        <w:ind w:left="0" w:firstLine="851"/>
        <w:rPr>
          <w:lang w:eastAsia="bg-BG"/>
        </w:rPr>
      </w:pPr>
      <w:r w:rsidRPr="002305A7">
        <w:rPr>
          <w:b/>
          <w:lang w:eastAsia="bg-BG"/>
        </w:rPr>
        <w:t>„ОДИТНИЯ</w:t>
      </w:r>
      <w:r w:rsidRPr="001B0EA3">
        <w:rPr>
          <w:lang w:eastAsia="bg-BG"/>
        </w:rPr>
        <w:t> </w:t>
      </w:r>
      <w:r w:rsidRPr="002305A7">
        <w:rPr>
          <w:b/>
          <w:lang w:eastAsia="bg-BG"/>
        </w:rPr>
        <w:t>ОРГАН”</w:t>
      </w:r>
      <w:r w:rsidRPr="001B0EA3">
        <w:rPr>
          <w:lang w:eastAsia="bg-BG"/>
        </w:rPr>
        <w:t xml:space="preserve"> означава определен от държавата-членка ,орган осигуряващ извършването на одити на правилното функциониране на системите за управление и контрол на оперативната програма, и функционално независим от управляващия и сертифициращия орган. </w:t>
      </w:r>
    </w:p>
    <w:p w14:paraId="259B6100" w14:textId="77777777" w:rsidR="002305A7" w:rsidRPr="001B0EA3" w:rsidRDefault="002305A7" w:rsidP="002305A7">
      <w:pPr>
        <w:pStyle w:val="ListParagraph"/>
        <w:numPr>
          <w:ilvl w:val="0"/>
          <w:numId w:val="433"/>
        </w:numPr>
        <w:ind w:left="0" w:firstLine="851"/>
        <w:rPr>
          <w:lang w:eastAsia="bg-BG"/>
        </w:rPr>
      </w:pPr>
      <w:r w:rsidRPr="002305A7">
        <w:rPr>
          <w:b/>
          <w:lang w:eastAsia="bg-BG"/>
        </w:rPr>
        <w:t>„ФИНАНСОВИ ИНСТРУМЕНТИ“</w:t>
      </w:r>
      <w:r w:rsidRPr="001B0EA3">
        <w:rPr>
          <w:lang w:eastAsia="bg-BG"/>
        </w:rPr>
        <w:t xml:space="preserve"> означава финансови инструменти, както са определени във Финансовия регламент, освен ако в Регламент (ЕС) – № 1303/2013 не е предвидено друго;</w:t>
      </w:r>
    </w:p>
    <w:p w14:paraId="54E51604" w14:textId="77777777" w:rsidR="002305A7" w:rsidRPr="001B0EA3" w:rsidRDefault="002305A7" w:rsidP="002305A7">
      <w:pPr>
        <w:pStyle w:val="ListParagraph"/>
        <w:numPr>
          <w:ilvl w:val="0"/>
          <w:numId w:val="433"/>
        </w:numPr>
        <w:ind w:left="0" w:firstLine="851"/>
        <w:rPr>
          <w:lang w:eastAsia="bg-BG"/>
        </w:rPr>
      </w:pPr>
      <w:r w:rsidRPr="002305A7">
        <w:rPr>
          <w:b/>
          <w:lang w:eastAsia="bg-BG"/>
        </w:rPr>
        <w:t>„КРАЕН ПОЛУЧАТЕЛ“</w:t>
      </w:r>
      <w:r w:rsidRPr="001B0EA3">
        <w:rPr>
          <w:lang w:eastAsia="bg-BG"/>
        </w:rPr>
        <w:t xml:space="preserve"> означава юридическо или физическо лице, което получава финансова подкрепа от финансов инструмент;</w:t>
      </w:r>
    </w:p>
    <w:p w14:paraId="738A6932" w14:textId="77777777" w:rsidR="002305A7" w:rsidRPr="001B0EA3" w:rsidRDefault="002305A7" w:rsidP="002305A7">
      <w:pPr>
        <w:pStyle w:val="ListParagraph"/>
        <w:numPr>
          <w:ilvl w:val="0"/>
          <w:numId w:val="433"/>
        </w:numPr>
        <w:ind w:left="0" w:firstLine="851"/>
        <w:rPr>
          <w:lang w:eastAsia="bg-BG"/>
        </w:rPr>
      </w:pPr>
      <w:r w:rsidRPr="002305A7">
        <w:rPr>
          <w:b/>
          <w:lang w:eastAsia="bg-BG"/>
        </w:rPr>
        <w:t>„ДЪРЖАВНИ ПОМОЩИ“</w:t>
      </w:r>
      <w:r w:rsidRPr="001B0EA3">
        <w:rPr>
          <w:lang w:eastAsia="bg-BG"/>
        </w:rPr>
        <w:t xml:space="preserve"> означава помощ, която попада в член 107, параграф 1 от ДФЕС, като се счита, че за целите Регламент (ЕС) – № 1303/2013 тя включва и помощта </w:t>
      </w:r>
      <w:r w:rsidRPr="002305A7">
        <w:rPr>
          <w:i/>
          <w:iCs/>
          <w:lang w:eastAsia="bg-BG"/>
        </w:rPr>
        <w:t>de minimis</w:t>
      </w:r>
      <w:r w:rsidRPr="001B0EA3">
        <w:rPr>
          <w:lang w:eastAsia="bg-BG"/>
        </w:rPr>
        <w:t> по смисъла на Регламент (ЕО) № 1998/2006 на Комисията</w:t>
      </w:r>
      <w:hyperlink r:id="rId16" w:anchor="ntr24-L_2013347BG.01032001-E0024" w:history="1">
        <w:r w:rsidRPr="002305A7">
          <w:rPr>
            <w:u w:val="single"/>
            <w:lang w:eastAsia="bg-BG"/>
          </w:rPr>
          <w:t> (</w:t>
        </w:r>
        <w:r w:rsidRPr="002305A7">
          <w:rPr>
            <w:sz w:val="17"/>
            <w:szCs w:val="17"/>
            <w:u w:val="single"/>
            <w:lang w:eastAsia="bg-BG"/>
          </w:rPr>
          <w:t>24</w:t>
        </w:r>
        <w:r w:rsidRPr="002305A7">
          <w:rPr>
            <w:u w:val="single"/>
            <w:lang w:eastAsia="bg-BG"/>
          </w:rPr>
          <w:t>)</w:t>
        </w:r>
      </w:hyperlink>
      <w:r w:rsidRPr="001B0EA3">
        <w:rPr>
          <w:lang w:eastAsia="bg-BG"/>
        </w:rPr>
        <w:t>, Регламент (ЕО) № 1535/2007 на Комисията</w:t>
      </w:r>
      <w:hyperlink r:id="rId17" w:anchor="ntr25-L_2013347BG.01032001-E0025" w:history="1">
        <w:r w:rsidRPr="002305A7">
          <w:rPr>
            <w:u w:val="single"/>
            <w:lang w:eastAsia="bg-BG"/>
          </w:rPr>
          <w:t> (</w:t>
        </w:r>
        <w:r w:rsidRPr="002305A7">
          <w:rPr>
            <w:sz w:val="17"/>
            <w:szCs w:val="17"/>
            <w:u w:val="single"/>
            <w:lang w:eastAsia="bg-BG"/>
          </w:rPr>
          <w:t>25</w:t>
        </w:r>
        <w:r w:rsidRPr="002305A7">
          <w:rPr>
            <w:u w:val="single"/>
            <w:lang w:eastAsia="bg-BG"/>
          </w:rPr>
          <w:t>)</w:t>
        </w:r>
      </w:hyperlink>
      <w:r w:rsidRPr="001B0EA3">
        <w:rPr>
          <w:lang w:eastAsia="bg-BG"/>
        </w:rPr>
        <w:t> и Регламент (ЕО) № 875/2007 на Комисията</w:t>
      </w:r>
      <w:hyperlink r:id="rId18" w:anchor="ntr26-L_2013347BG.01032001-E0026" w:history="1">
        <w:r w:rsidRPr="002305A7">
          <w:rPr>
            <w:u w:val="single"/>
            <w:lang w:eastAsia="bg-BG"/>
          </w:rPr>
          <w:t> (</w:t>
        </w:r>
        <w:r w:rsidRPr="002305A7">
          <w:rPr>
            <w:sz w:val="17"/>
            <w:szCs w:val="17"/>
            <w:u w:val="single"/>
            <w:lang w:eastAsia="bg-BG"/>
          </w:rPr>
          <w:t>26</w:t>
        </w:r>
        <w:r w:rsidRPr="002305A7">
          <w:rPr>
            <w:u w:val="single"/>
            <w:lang w:eastAsia="bg-BG"/>
          </w:rPr>
          <w:t>)</w:t>
        </w:r>
      </w:hyperlink>
      <w:r w:rsidRPr="001B0EA3">
        <w:rPr>
          <w:lang w:eastAsia="bg-BG"/>
        </w:rPr>
        <w:t xml:space="preserve">; </w:t>
      </w:r>
    </w:p>
    <w:p w14:paraId="1FF2A9E3" w14:textId="77777777" w:rsidR="002305A7" w:rsidRPr="001B0EA3" w:rsidRDefault="002305A7" w:rsidP="002305A7">
      <w:pPr>
        <w:pStyle w:val="ListParagraph"/>
        <w:numPr>
          <w:ilvl w:val="0"/>
          <w:numId w:val="433"/>
        </w:numPr>
        <w:ind w:left="0" w:firstLine="851"/>
        <w:rPr>
          <w:lang w:eastAsia="bg-BG"/>
        </w:rPr>
      </w:pPr>
      <w:r w:rsidRPr="002305A7">
        <w:rPr>
          <w:b/>
          <w:lang w:eastAsia="bg-BG"/>
        </w:rPr>
        <w:t>„ПУБЛИЧНИ РАЗХОДИ“</w:t>
      </w:r>
      <w:r w:rsidRPr="001B0EA3">
        <w:rPr>
          <w:lang w:eastAsia="bg-BG"/>
        </w:rPr>
        <w:t xml:space="preserve"> означава всеки публичен принос за финансирането на операции, източникът на които произхожда от бюджета на национален, регионален или местен публичен орган, от свързания с европейските структурни и инвестиционни фондове бюджет на Съюза, от бюджета на публичноправни организации или от бюджета на сдружения на публични органи или публичноправни организации, и за целите на определянето на ставката на съфинансиране за програмите или приоритети по ЕСФ може да включва финансови средства, набрани съвместно от работодатели и работници; </w:t>
      </w:r>
    </w:p>
    <w:p w14:paraId="3B6C33B8" w14:textId="77777777" w:rsidR="002305A7" w:rsidRPr="001B0EA3" w:rsidRDefault="002305A7" w:rsidP="002305A7">
      <w:pPr>
        <w:pStyle w:val="ListParagraph"/>
        <w:numPr>
          <w:ilvl w:val="0"/>
          <w:numId w:val="433"/>
        </w:numPr>
        <w:ind w:left="0" w:firstLine="851"/>
        <w:rPr>
          <w:lang w:eastAsia="bg-BG"/>
        </w:rPr>
      </w:pPr>
      <w:r w:rsidRPr="002305A7">
        <w:rPr>
          <w:b/>
          <w:lang w:eastAsia="bg-BG"/>
        </w:rPr>
        <w:t>„ДОКУМЕНТ“</w:t>
      </w:r>
      <w:r w:rsidRPr="001B0EA3">
        <w:rPr>
          <w:lang w:eastAsia="bg-BG"/>
        </w:rPr>
        <w:t xml:space="preserve"> означава хартиен или електронен носител, съдържащ информация, която е от значение в контекста на настоящия процедурен наръчник; </w:t>
      </w:r>
    </w:p>
    <w:p w14:paraId="4108F3E8" w14:textId="77777777" w:rsidR="002305A7" w:rsidRPr="001B0EA3" w:rsidRDefault="002305A7" w:rsidP="002305A7">
      <w:pPr>
        <w:pStyle w:val="ListParagraph"/>
        <w:numPr>
          <w:ilvl w:val="0"/>
          <w:numId w:val="433"/>
        </w:numPr>
        <w:ind w:left="0" w:firstLine="851"/>
        <w:rPr>
          <w:lang w:eastAsia="bg-BG"/>
        </w:rPr>
      </w:pPr>
      <w:r w:rsidRPr="002305A7">
        <w:rPr>
          <w:b/>
          <w:lang w:eastAsia="bg-BG"/>
        </w:rPr>
        <w:t>„ИСКАНЕ ЗА ПЛАЩАНЕ“</w:t>
      </w:r>
      <w:r w:rsidRPr="001B0EA3">
        <w:rPr>
          <w:lang w:eastAsia="bg-BG"/>
        </w:rPr>
        <w:t xml:space="preserve"> означава заявление за плащане или декларация за разходите, подадени от държавата-членка до Комисията; </w:t>
      </w:r>
    </w:p>
    <w:p w14:paraId="0F81F1DD" w14:textId="77777777" w:rsidR="002305A7" w:rsidRPr="001B0EA3" w:rsidRDefault="002305A7" w:rsidP="002305A7">
      <w:pPr>
        <w:pStyle w:val="ListParagraph"/>
        <w:numPr>
          <w:ilvl w:val="0"/>
          <w:numId w:val="433"/>
        </w:numPr>
        <w:ind w:left="0" w:firstLine="851"/>
        <w:rPr>
          <w:lang w:eastAsia="bg-BG"/>
        </w:rPr>
      </w:pPr>
      <w:r w:rsidRPr="002305A7">
        <w:rPr>
          <w:b/>
          <w:lang w:eastAsia="bg-BG"/>
        </w:rPr>
        <w:t>„ЕИБ“</w:t>
      </w:r>
      <w:r w:rsidRPr="001B0EA3">
        <w:rPr>
          <w:lang w:eastAsia="bg-BG"/>
        </w:rPr>
        <w:t xml:space="preserve"> означава Европейската инвестиционна банка, Европейския инвестиционен фонд или всяка друга дъщерна структура на Европейската инвестиционна банка;</w:t>
      </w:r>
    </w:p>
    <w:p w14:paraId="072851F4" w14:textId="77777777" w:rsidR="002305A7" w:rsidRPr="001B0EA3" w:rsidRDefault="002305A7" w:rsidP="002305A7">
      <w:pPr>
        <w:pStyle w:val="ListParagraph"/>
        <w:numPr>
          <w:ilvl w:val="0"/>
          <w:numId w:val="433"/>
        </w:numPr>
        <w:ind w:left="0" w:firstLine="851"/>
        <w:rPr>
          <w:lang w:eastAsia="bg-BG"/>
        </w:rPr>
      </w:pPr>
      <w:r w:rsidRPr="002305A7">
        <w:rPr>
          <w:b/>
          <w:lang w:eastAsia="bg-BG"/>
        </w:rPr>
        <w:t>„ПУБЛИЧНО-ЧАСТНИ ПАРТНЬОРСТВА“ (ПЧП)</w:t>
      </w:r>
      <w:r w:rsidRPr="001B0EA3">
        <w:rPr>
          <w:lang w:eastAsia="bg-BG"/>
        </w:rPr>
        <w:t xml:space="preserve"> означава форми на сътрудничество между публичноправните организации и частния сектор, чиято цел е да се подобри ефективността на инвестициите в инфраструктурни проекти или други видове операции, които предоставят публични услуги чрез поделяне на рисковете, обединяване на опита и познанията на частния сектор или осигуряване на допълнителни източници на капитал; </w:t>
      </w:r>
    </w:p>
    <w:p w14:paraId="30DCA6A1" w14:textId="77777777" w:rsidR="002305A7" w:rsidRPr="001B0EA3" w:rsidRDefault="002305A7" w:rsidP="002305A7">
      <w:pPr>
        <w:pStyle w:val="ListParagraph"/>
        <w:numPr>
          <w:ilvl w:val="0"/>
          <w:numId w:val="433"/>
        </w:numPr>
        <w:ind w:left="0" w:firstLine="851"/>
        <w:rPr>
          <w:lang w:eastAsia="bg-BG"/>
        </w:rPr>
      </w:pPr>
      <w:r w:rsidRPr="002305A7">
        <w:rPr>
          <w:b/>
          <w:lang w:eastAsia="bg-BG"/>
        </w:rPr>
        <w:t>„СЧЕТОВОДНА ГОДИНА“</w:t>
      </w:r>
      <w:r w:rsidRPr="001B0EA3">
        <w:rPr>
          <w:lang w:eastAsia="bg-BG"/>
        </w:rPr>
        <w:t xml:space="preserve"> означава за целите на трета и четвърта част периодът от 1 юли до 30 юни, с изключение на първата счетоводна година от програмния </w:t>
      </w:r>
      <w:r w:rsidRPr="001B0EA3">
        <w:rPr>
          <w:lang w:eastAsia="bg-BG"/>
        </w:rPr>
        <w:lastRenderedPageBreak/>
        <w:t xml:space="preserve">период, по отношение на която означава периодът от началната дата за допустимостта на разходите до 30 юни 2015 г. Последната счетоводна година е от 1 юли 2023 г. до 30 юни 2024 г.; </w:t>
      </w:r>
    </w:p>
    <w:p w14:paraId="1BF12FAE" w14:textId="77777777" w:rsidR="002305A7" w:rsidRPr="001B0EA3" w:rsidRDefault="002305A7" w:rsidP="002305A7">
      <w:pPr>
        <w:pStyle w:val="ListParagraph"/>
        <w:numPr>
          <w:ilvl w:val="0"/>
          <w:numId w:val="433"/>
        </w:numPr>
        <w:ind w:left="0" w:firstLine="851"/>
        <w:rPr>
          <w:lang w:eastAsia="bg-BG"/>
        </w:rPr>
      </w:pPr>
      <w:r w:rsidRPr="002305A7">
        <w:rPr>
          <w:b/>
          <w:lang w:eastAsia="bg-BG"/>
        </w:rPr>
        <w:t>„ФИНАНСОВА ГОДИНА“</w:t>
      </w:r>
      <w:r w:rsidRPr="001B0EA3">
        <w:rPr>
          <w:lang w:eastAsia="bg-BG"/>
        </w:rPr>
        <w:t xml:space="preserve"> означава — за целите на трета и четвърта част — периодът от 1 януари до 31 декември;</w:t>
      </w:r>
    </w:p>
    <w:p w14:paraId="0EBEDABD" w14:textId="77777777" w:rsidR="002305A7" w:rsidRPr="001B0EA3" w:rsidRDefault="002305A7" w:rsidP="002305A7">
      <w:pPr>
        <w:pStyle w:val="ListParagraph"/>
        <w:numPr>
          <w:ilvl w:val="0"/>
          <w:numId w:val="433"/>
        </w:numPr>
        <w:ind w:left="0" w:firstLine="851"/>
        <w:rPr>
          <w:lang w:eastAsia="bg-BG"/>
        </w:rPr>
      </w:pPr>
      <w:r w:rsidRPr="002305A7">
        <w:rPr>
          <w:b/>
          <w:lang w:eastAsia="bg-BG"/>
        </w:rPr>
        <w:t>„ПРИЛОЖИМО ПРЕДВАРИТЕЛНО УСЛОВИЕ“</w:t>
      </w:r>
      <w:r w:rsidRPr="001B0EA3">
        <w:rPr>
          <w:lang w:eastAsia="bg-BG"/>
        </w:rPr>
        <w:t xml:space="preserve"> означава конкретен и ясно определен предварителен решаващ фактор, който се явява необходима предпоставка и има пряка и реална връзка и директно въздействие върху действителното и ефективно изпълнение на дадена специфична цел за инвестиционен приоритет или приоритет на Съюза; </w:t>
      </w:r>
    </w:p>
    <w:p w14:paraId="4ADA44CC" w14:textId="77777777" w:rsidR="002305A7" w:rsidRPr="001B0EA3" w:rsidRDefault="002305A7" w:rsidP="002305A7">
      <w:pPr>
        <w:pStyle w:val="ListParagraph"/>
        <w:numPr>
          <w:ilvl w:val="0"/>
          <w:numId w:val="433"/>
        </w:numPr>
        <w:ind w:left="0" w:firstLine="851"/>
        <w:rPr>
          <w:lang w:eastAsia="bg-BG"/>
        </w:rPr>
      </w:pPr>
      <w:r w:rsidRPr="002305A7">
        <w:rPr>
          <w:b/>
          <w:lang w:eastAsia="bg-BG"/>
        </w:rPr>
        <w:t>„СПЕЦИФИЧНА ЦЕЛ“</w:t>
      </w:r>
      <w:r w:rsidRPr="001B0EA3">
        <w:rPr>
          <w:lang w:eastAsia="bg-BG"/>
        </w:rPr>
        <w:t xml:space="preserve"> означава резултатът, за който допринася инвестиционен приоритет или приоритет на Съюза в определен национален или регионален контекст чрез действия или мерки, предприети в рамките на такъв приоритет; </w:t>
      </w:r>
    </w:p>
    <w:p w14:paraId="328E3288" w14:textId="77777777" w:rsidR="002305A7" w:rsidRPr="001B0EA3" w:rsidRDefault="002305A7" w:rsidP="002305A7">
      <w:pPr>
        <w:pStyle w:val="ListParagraph"/>
        <w:numPr>
          <w:ilvl w:val="0"/>
          <w:numId w:val="433"/>
        </w:numPr>
        <w:ind w:left="0" w:firstLine="851"/>
        <w:rPr>
          <w:lang w:eastAsia="bg-BG"/>
        </w:rPr>
      </w:pPr>
      <w:r w:rsidRPr="002305A7">
        <w:rPr>
          <w:b/>
        </w:rPr>
        <w:t>„НЕРЕДНОСТ</w:t>
      </w:r>
      <w:r w:rsidRPr="001B0EA3">
        <w:t xml:space="preserve">“, съгласно определението, дадено в чл. 1 пар. 2 от  Регламент на Съвета (ЕО, Евратом) № 2988/95 от 18 декември 1995 г. за закрила на финансовите интереси на Европейските общности, означава </w:t>
      </w:r>
      <w:r w:rsidRPr="002305A7">
        <w:rPr>
          <w:color w:val="000000"/>
          <w:lang w:eastAsia="bg-BG"/>
        </w:rPr>
        <w:t xml:space="preserve">всяко нарушение на разпоредба на правото на Общността в резултат на действие или бездействие от икономически оператор, което е имало или би имало за резултат нарушаването на общия бюджет на Общностите или на бюджетите, управлявани от тях, или посредством намаляването или загубата на приходи, произтичащи от собствени ресурси, които се събират направо от името на Общностите или посредством извършването на неоправдан разход. Специфичните определения за нередност и системна нередност  относно програмите по ЕСИФ са посочени в Регламент </w:t>
      </w:r>
      <w:r w:rsidRPr="002305A7">
        <w:rPr>
          <w:b/>
          <w:i/>
          <w:color w:val="000000"/>
          <w:lang w:eastAsia="bg-BG"/>
        </w:rPr>
        <w:t>№ 1303/2013 г.</w:t>
      </w:r>
    </w:p>
    <w:p w14:paraId="14355EE1" w14:textId="77777777" w:rsidR="002305A7" w:rsidRPr="001B0EA3" w:rsidRDefault="002305A7" w:rsidP="002305A7">
      <w:pPr>
        <w:pStyle w:val="ListParagraph"/>
        <w:numPr>
          <w:ilvl w:val="0"/>
          <w:numId w:val="433"/>
        </w:numPr>
        <w:ind w:left="0" w:firstLine="851"/>
        <w:rPr>
          <w:lang w:eastAsia="bg-BG"/>
        </w:rPr>
      </w:pPr>
      <w:r w:rsidRPr="002305A7">
        <w:rPr>
          <w:b/>
          <w:lang w:eastAsia="bg-BG"/>
        </w:rPr>
        <w:t>„СИГНАЛ ЗА НЕРЕДНОСТ“</w:t>
      </w:r>
      <w:r w:rsidRPr="001B0EA3">
        <w:rPr>
          <w:lang w:eastAsia="bg-BG"/>
        </w:rPr>
        <w:t xml:space="preserve"> е постъпила, включително от анонимен източник, информация за извършена нередност. За да представлява сигнал за нередност, тази информация, като минимум трябва да дава ясна референция за конкретния проект, финансиращата програма, административно звено и описание на нередността.</w:t>
      </w:r>
    </w:p>
    <w:p w14:paraId="5E859E8D" w14:textId="77777777" w:rsidR="002305A7" w:rsidRPr="001B0EA3" w:rsidRDefault="002305A7" w:rsidP="002305A7">
      <w:pPr>
        <w:pStyle w:val="ListParagraph"/>
        <w:numPr>
          <w:ilvl w:val="0"/>
          <w:numId w:val="433"/>
        </w:numPr>
        <w:ind w:left="0" w:firstLine="851"/>
      </w:pPr>
      <w:r w:rsidRPr="002305A7">
        <w:rPr>
          <w:b/>
        </w:rPr>
        <w:t>„СЪМНЕНИЕ ЗА ИЗМАМА“</w:t>
      </w:r>
      <w:r w:rsidRPr="001B0EA3">
        <w:t xml:space="preserve"> е нередност, даваща основание за образуване на административно или съдебно производство на национално ниво, с цел да се определи съществуването на определено умишлено поведение, по-специално измама, така както е посочено в член 1, параграф 1, буква а) от Конвенцията от 26 юли 1995 г., приета на  основание  член К.3 от Договора за Европейския съюз, за защита на финансовите интереси на Европейските общности „по отношение на разходите“ всяко умишлено действие или бездействие, свързано с:</w:t>
      </w:r>
    </w:p>
    <w:p w14:paraId="472065A2" w14:textId="77777777" w:rsidR="002305A7" w:rsidRPr="001B0EA3" w:rsidRDefault="002305A7" w:rsidP="002305A7">
      <w:pPr>
        <w:pStyle w:val="ListParagraph"/>
        <w:numPr>
          <w:ilvl w:val="0"/>
          <w:numId w:val="434"/>
        </w:numPr>
      </w:pPr>
      <w:r w:rsidRPr="001B0EA3">
        <w:t>използването или представянето на фалшиви, неточни или непълни декларации или документи, което води до злоупотреба или незаконно присвояване на средства от общия бюджет на ЕС или от бюджети, управлявани пряко от ЕС или от негово име;</w:t>
      </w:r>
    </w:p>
    <w:p w14:paraId="40E7CC99" w14:textId="77777777" w:rsidR="002305A7" w:rsidRPr="001B0EA3" w:rsidRDefault="002305A7" w:rsidP="002305A7">
      <w:pPr>
        <w:pStyle w:val="ListParagraph"/>
        <w:numPr>
          <w:ilvl w:val="0"/>
          <w:numId w:val="434"/>
        </w:numPr>
      </w:pPr>
      <w:r w:rsidRPr="001B0EA3">
        <w:t>прикриване на информация в нарушение на конкретно задължение, имащо същия ефект;</w:t>
      </w:r>
    </w:p>
    <w:p w14:paraId="17A0CDC5" w14:textId="77777777" w:rsidR="002305A7" w:rsidRPr="001B0EA3" w:rsidRDefault="002305A7" w:rsidP="002305A7">
      <w:pPr>
        <w:pStyle w:val="ListParagraph"/>
        <w:numPr>
          <w:ilvl w:val="0"/>
          <w:numId w:val="434"/>
        </w:numPr>
      </w:pPr>
      <w:r w:rsidRPr="001B0EA3">
        <w:t>разходване на такива средства за цели, различни от тези, за които са били отпуснати първоначално.</w:t>
      </w:r>
    </w:p>
    <w:p w14:paraId="0F02BD49" w14:textId="77777777" w:rsidR="002305A7" w:rsidRPr="001B0EA3" w:rsidRDefault="002305A7" w:rsidP="002305A7">
      <w:pPr>
        <w:pStyle w:val="ListParagraph"/>
        <w:numPr>
          <w:ilvl w:val="0"/>
          <w:numId w:val="433"/>
        </w:numPr>
        <w:ind w:left="0" w:firstLine="851"/>
        <w:rPr>
          <w:lang w:eastAsia="bg-BG"/>
        </w:rPr>
      </w:pPr>
      <w:r w:rsidRPr="002305A7">
        <w:rPr>
          <w:b/>
          <w:lang w:eastAsia="bg-BG"/>
        </w:rPr>
        <w:t>„ИКОНОМИЧЕСКИ ОПЕРАТОР“</w:t>
      </w:r>
      <w:r w:rsidRPr="001B0EA3">
        <w:rPr>
          <w:lang w:eastAsia="bg-BG"/>
        </w:rPr>
        <w:t xml:space="preserve"> означава всяко физическо или юридическо лице или друг субект, които участват в изпълнението на помощта от европейските структурни и инвестиционни фондове, с изключение на държава-членка, която упражнява правомощията си като публичен орган; </w:t>
      </w:r>
    </w:p>
    <w:p w14:paraId="77244E44" w14:textId="77777777" w:rsidR="002305A7" w:rsidRPr="001B0EA3" w:rsidRDefault="002305A7" w:rsidP="002305A7">
      <w:pPr>
        <w:pStyle w:val="ListParagraph"/>
        <w:numPr>
          <w:ilvl w:val="0"/>
          <w:numId w:val="433"/>
        </w:numPr>
        <w:ind w:left="0" w:firstLine="851"/>
        <w:rPr>
          <w:lang w:eastAsia="bg-BG"/>
        </w:rPr>
      </w:pPr>
      <w:r w:rsidRPr="002305A7">
        <w:rPr>
          <w:b/>
          <w:lang w:eastAsia="bg-BG"/>
        </w:rPr>
        <w:t>„СИСТЕМНА НЕРЕДНОСТ“</w:t>
      </w:r>
      <w:r w:rsidRPr="001B0EA3">
        <w:rPr>
          <w:lang w:eastAsia="bg-BG"/>
        </w:rPr>
        <w:t xml:space="preserve"> означава всяка нередност, която може да има повтарящ се характер, с висока степен на вероятност от поява при сходни по вид операции, която се дължи на сериозни недостатъци в ефективното функциониране на дадена система за управление и контрол, включително липса на подходящи процедури, установени в съответствие с Регламент (ЕС) № 1303/2014 и правилата за отделните фондове;</w:t>
      </w:r>
    </w:p>
    <w:p w14:paraId="46DB821C" w14:textId="77777777" w:rsidR="002305A7" w:rsidRPr="00760526" w:rsidRDefault="002305A7" w:rsidP="002305A7">
      <w:pPr>
        <w:pStyle w:val="ListParagraph"/>
        <w:numPr>
          <w:ilvl w:val="0"/>
          <w:numId w:val="433"/>
        </w:numPr>
        <w:ind w:left="0" w:firstLine="851"/>
        <w:rPr>
          <w:lang w:eastAsia="bg-BG"/>
        </w:rPr>
      </w:pPr>
      <w:r w:rsidRPr="001B0EA3">
        <w:rPr>
          <w:lang w:eastAsia="bg-BG"/>
        </w:rPr>
        <w:t>„</w:t>
      </w:r>
      <w:r w:rsidRPr="002305A7">
        <w:rPr>
          <w:b/>
          <w:lang w:eastAsia="bg-BG"/>
        </w:rPr>
        <w:t>КОНФЛИКТ НА ИНТЕРЕСИ</w:t>
      </w:r>
      <w:r w:rsidRPr="001B0EA3">
        <w:rPr>
          <w:lang w:eastAsia="bg-BG"/>
        </w:rPr>
        <w:t xml:space="preserve">“ съществува, когато безпристрастното и обективно упражняване на функциите на финансов участник или друго лице, участващо в изпълнението и управлението на бюджета е опорочено по причини, свързани със </w:t>
      </w:r>
      <w:r w:rsidRPr="001B0EA3">
        <w:rPr>
          <w:lang w:eastAsia="bg-BG"/>
        </w:rPr>
        <w:lastRenderedPageBreak/>
        <w:t>семейството, емоционалния живот, политическата или националната принадлежност, икономически интерес или всякакъв друг интерес, който е общ с този на получателя.“</w:t>
      </w:r>
    </w:p>
    <w:p w14:paraId="6E1B4C4D" w14:textId="77777777" w:rsidR="00760526" w:rsidRDefault="00760526" w:rsidP="000D7AE9">
      <w:bookmarkStart w:id="9" w:name="_Toc479775528"/>
    </w:p>
    <w:p w14:paraId="284B27E6" w14:textId="77777777" w:rsidR="000D7AE9" w:rsidRPr="00760526" w:rsidRDefault="000D7AE9" w:rsidP="000D7AE9"/>
    <w:p w14:paraId="66467B31" w14:textId="77777777" w:rsidR="00760526" w:rsidRPr="00760526" w:rsidRDefault="00D603F5" w:rsidP="00F058E0">
      <w:pPr>
        <w:pStyle w:val="Style1"/>
      </w:pPr>
      <w:bookmarkStart w:id="10" w:name="_Toc140150146"/>
      <w:r w:rsidRPr="00760526">
        <w:t>НОРМАТИВНА БАЗА</w:t>
      </w:r>
      <w:bookmarkEnd w:id="9"/>
      <w:bookmarkEnd w:id="10"/>
    </w:p>
    <w:p w14:paraId="38F1026F" w14:textId="77777777" w:rsidR="00930648" w:rsidRPr="00930648" w:rsidRDefault="00930648" w:rsidP="00930648">
      <w:bookmarkStart w:id="11" w:name="_Toc479775529"/>
    </w:p>
    <w:p w14:paraId="10F72AED" w14:textId="77777777" w:rsidR="00D603F5" w:rsidRPr="005531CD" w:rsidRDefault="00D603F5" w:rsidP="00B502C7">
      <w:pPr>
        <w:pStyle w:val="Style2"/>
      </w:pPr>
      <w:bookmarkStart w:id="12" w:name="_Toc140150147"/>
      <w:r w:rsidRPr="005531CD">
        <w:t>Стратегически документи</w:t>
      </w:r>
      <w:bookmarkEnd w:id="11"/>
      <w:bookmarkEnd w:id="12"/>
    </w:p>
    <w:p w14:paraId="75368E53" w14:textId="77777777" w:rsidR="00D603F5" w:rsidRPr="001B0EA3" w:rsidRDefault="00D603F5" w:rsidP="000D7AE9">
      <w:pPr>
        <w:pStyle w:val="ListParagraph"/>
        <w:numPr>
          <w:ilvl w:val="0"/>
          <w:numId w:val="370"/>
        </w:numPr>
        <w:tabs>
          <w:tab w:val="left" w:pos="1276"/>
        </w:tabs>
        <w:ind w:left="0" w:firstLine="851"/>
      </w:pPr>
      <w:r w:rsidRPr="001B0EA3">
        <w:t>Споразумение за партньорство на Република България, очертаващо помощта на Европейските структурни и инвестиционни фондове за периода 2014-2020 г.</w:t>
      </w:r>
    </w:p>
    <w:p w14:paraId="48FF0A40" w14:textId="77777777" w:rsidR="00D603F5" w:rsidRPr="001B0EA3" w:rsidRDefault="00D603F5" w:rsidP="000D7AE9">
      <w:pPr>
        <w:pStyle w:val="ListParagraph"/>
        <w:numPr>
          <w:ilvl w:val="0"/>
          <w:numId w:val="370"/>
        </w:numPr>
        <w:tabs>
          <w:tab w:val="left" w:pos="1276"/>
        </w:tabs>
        <w:ind w:left="0" w:firstLine="851"/>
      </w:pPr>
      <w:r w:rsidRPr="001B0EA3">
        <w:t>Национална програма за реформи</w:t>
      </w:r>
    </w:p>
    <w:p w14:paraId="7B391C14" w14:textId="77777777" w:rsidR="00D603F5" w:rsidRPr="001B0EA3" w:rsidRDefault="00D603F5" w:rsidP="000D7AE9">
      <w:pPr>
        <w:pStyle w:val="ListParagraph"/>
        <w:numPr>
          <w:ilvl w:val="0"/>
          <w:numId w:val="370"/>
        </w:numPr>
        <w:tabs>
          <w:tab w:val="left" w:pos="1276"/>
        </w:tabs>
        <w:ind w:left="0" w:firstLine="851"/>
      </w:pPr>
      <w:r w:rsidRPr="001B0EA3">
        <w:t>Национална програма за развитие: България 2020;</w:t>
      </w:r>
    </w:p>
    <w:p w14:paraId="58F71B82" w14:textId="77777777" w:rsidR="00D603F5" w:rsidRPr="001B0EA3" w:rsidRDefault="00D603F5" w:rsidP="000D7AE9">
      <w:pPr>
        <w:pStyle w:val="ListParagraph"/>
        <w:numPr>
          <w:ilvl w:val="0"/>
          <w:numId w:val="370"/>
        </w:numPr>
        <w:tabs>
          <w:tab w:val="left" w:pos="1276"/>
        </w:tabs>
        <w:ind w:left="0" w:firstLine="851"/>
      </w:pPr>
      <w:r w:rsidRPr="001B0EA3">
        <w:t>Бялата книга – 2011 г.;</w:t>
      </w:r>
    </w:p>
    <w:p w14:paraId="1AE727F7" w14:textId="77777777" w:rsidR="00D603F5" w:rsidRPr="001B0EA3" w:rsidRDefault="00D603F5" w:rsidP="000D7AE9">
      <w:pPr>
        <w:pStyle w:val="ListParagraph"/>
        <w:numPr>
          <w:ilvl w:val="0"/>
          <w:numId w:val="370"/>
        </w:numPr>
        <w:tabs>
          <w:tab w:val="left" w:pos="1276"/>
        </w:tabs>
        <w:ind w:left="0" w:firstLine="851"/>
      </w:pPr>
      <w:r w:rsidRPr="001B0EA3">
        <w:t xml:space="preserve">Насоки за развитие на Трансевропейската транспортна </w:t>
      </w:r>
      <w:r w:rsidR="00CE0A74" w:rsidRPr="001B0EA3">
        <w:t>мрежа</w:t>
      </w:r>
      <w:r w:rsidRPr="001B0EA3">
        <w:t>;</w:t>
      </w:r>
    </w:p>
    <w:p w14:paraId="30F4EB20" w14:textId="77777777" w:rsidR="00D603F5" w:rsidRPr="001B0EA3" w:rsidRDefault="00D603F5" w:rsidP="000D7AE9">
      <w:pPr>
        <w:pStyle w:val="ListParagraph"/>
        <w:numPr>
          <w:ilvl w:val="0"/>
          <w:numId w:val="370"/>
        </w:numPr>
        <w:tabs>
          <w:tab w:val="left" w:pos="1276"/>
        </w:tabs>
        <w:ind w:left="0" w:firstLine="851"/>
      </w:pPr>
      <w:r w:rsidRPr="001B0EA3">
        <w:t>Стратегия за развитие на транспортната система на Република България до 2020</w:t>
      </w:r>
      <w:r w:rsidR="000D7AE9">
        <w:t> </w:t>
      </w:r>
      <w:r w:rsidRPr="001B0EA3">
        <w:t>г.;</w:t>
      </w:r>
    </w:p>
    <w:p w14:paraId="3EECED89" w14:textId="77777777" w:rsidR="00D603F5" w:rsidRDefault="00D603F5" w:rsidP="000D7AE9">
      <w:pPr>
        <w:pStyle w:val="ListParagraph"/>
        <w:numPr>
          <w:ilvl w:val="0"/>
          <w:numId w:val="370"/>
        </w:numPr>
        <w:tabs>
          <w:tab w:val="left" w:pos="1276"/>
        </w:tabs>
        <w:ind w:left="0" w:firstLine="851"/>
      </w:pPr>
      <w:r w:rsidRPr="001B0EA3">
        <w:t xml:space="preserve">Национална концепция за пространствено развитие 2013-2025 </w:t>
      </w:r>
    </w:p>
    <w:p w14:paraId="2261827A" w14:textId="77777777" w:rsidR="000D7AE9" w:rsidRPr="001B0EA3" w:rsidRDefault="000D7AE9" w:rsidP="000D7AE9">
      <w:pPr>
        <w:tabs>
          <w:tab w:val="left" w:pos="1276"/>
        </w:tabs>
      </w:pPr>
    </w:p>
    <w:p w14:paraId="11D756C5" w14:textId="77777777" w:rsidR="00D603F5" w:rsidRPr="005531CD" w:rsidRDefault="00D603F5" w:rsidP="00B502C7">
      <w:pPr>
        <w:pStyle w:val="Style2"/>
      </w:pPr>
      <w:bookmarkStart w:id="13" w:name="_Toc479775530"/>
      <w:bookmarkStart w:id="14" w:name="_Toc140150148"/>
      <w:r w:rsidRPr="005531CD">
        <w:t>Решения на Министерския съвет</w:t>
      </w:r>
      <w:bookmarkEnd w:id="13"/>
      <w:bookmarkEnd w:id="14"/>
    </w:p>
    <w:p w14:paraId="0D286BE2" w14:textId="77777777" w:rsidR="00D603F5" w:rsidRPr="000D7AE9" w:rsidRDefault="00D603F5" w:rsidP="00C94E51">
      <w:pPr>
        <w:pStyle w:val="ListParagraph"/>
        <w:numPr>
          <w:ilvl w:val="0"/>
          <w:numId w:val="370"/>
        </w:numPr>
        <w:tabs>
          <w:tab w:val="left" w:pos="1276"/>
        </w:tabs>
        <w:ind w:left="0" w:firstLine="851"/>
      </w:pPr>
      <w:r w:rsidRPr="000D7AE9">
        <w:rPr>
          <w:b/>
        </w:rPr>
        <w:t>Решение № 328 от 25 април 2012 година</w:t>
      </w:r>
      <w:r w:rsidRPr="000D7AE9">
        <w:t xml:space="preserve"> на МС за одобряване на списък с тематичните цели, които да бъдат включени в договора за партньорство на Република България за програмния период 2014-2020 г., списък с програми и водещо ведомство за разработването на всяка програма;</w:t>
      </w:r>
    </w:p>
    <w:p w14:paraId="62BF65F0" w14:textId="77777777" w:rsidR="00D603F5" w:rsidRPr="000D7AE9" w:rsidRDefault="00D603F5" w:rsidP="00C94E51">
      <w:pPr>
        <w:pStyle w:val="ListParagraph"/>
        <w:numPr>
          <w:ilvl w:val="0"/>
          <w:numId w:val="370"/>
        </w:numPr>
        <w:tabs>
          <w:tab w:val="left" w:pos="1276"/>
        </w:tabs>
        <w:ind w:left="0" w:firstLine="851"/>
      </w:pPr>
      <w:r w:rsidRPr="000D7AE9">
        <w:rPr>
          <w:b/>
        </w:rPr>
        <w:t>Решение № 668 от 6 август 2012 година</w:t>
      </w:r>
      <w:r w:rsidRPr="000D7AE9">
        <w:t xml:space="preserve"> на МС за одобряване на списък с действия, срокове и отговорни институции за изпълнение на предварителните условности за средствата от Европейския съюз за програмен период 2014 – 2020 г.</w:t>
      </w:r>
    </w:p>
    <w:p w14:paraId="63B681CD" w14:textId="77777777" w:rsidR="00D603F5" w:rsidRPr="000D7AE9" w:rsidRDefault="00D603F5" w:rsidP="00C94E51">
      <w:pPr>
        <w:pStyle w:val="ListParagraph"/>
        <w:numPr>
          <w:ilvl w:val="0"/>
          <w:numId w:val="370"/>
        </w:numPr>
        <w:tabs>
          <w:tab w:val="left" w:pos="1276"/>
        </w:tabs>
        <w:ind w:left="0" w:firstLine="851"/>
      </w:pPr>
      <w:r w:rsidRPr="000D7AE9">
        <w:rPr>
          <w:b/>
        </w:rPr>
        <w:t>Решение № 102 от 14 февруари 2013 година</w:t>
      </w:r>
      <w:r w:rsidRPr="000D7AE9">
        <w:t xml:space="preserve"> на МС за изменение и допълнение на Решение № 668 на МС от 2012 г. за одобряване на списък с действия, срокове и отговорни институции за изпълнение на предварителните условности за средствата от европейския съюз за програмен период 2014 – 2020 г. </w:t>
      </w:r>
    </w:p>
    <w:p w14:paraId="6B9E789A" w14:textId="77777777" w:rsidR="00D603F5" w:rsidRPr="000D7AE9" w:rsidRDefault="00D603F5" w:rsidP="00C94E51">
      <w:pPr>
        <w:pStyle w:val="ListParagraph"/>
        <w:numPr>
          <w:ilvl w:val="0"/>
          <w:numId w:val="370"/>
        </w:numPr>
        <w:tabs>
          <w:tab w:val="left" w:pos="1276"/>
        </w:tabs>
        <w:ind w:left="0" w:firstLine="851"/>
      </w:pPr>
      <w:r w:rsidRPr="000D7AE9">
        <w:rPr>
          <w:b/>
        </w:rPr>
        <w:t>Решение № 597 от  4 октомври  2013 година</w:t>
      </w:r>
      <w:r w:rsidRPr="000D7AE9">
        <w:t xml:space="preserve"> на МС за изменение и допълнение на Решение № 668 на Министерския съвет от 2012 г. за одобряване на списък с действия, срокове и отговорни институции за изпълнение на предварителните условия за средствата от Европейския съюз за програмен период 2014 – 2020 г., </w:t>
      </w:r>
      <w:r w:rsidR="00CE0A74" w:rsidRPr="000D7AE9">
        <w:t>изменено</w:t>
      </w:r>
      <w:r w:rsidRPr="000D7AE9">
        <w:t xml:space="preserve"> и допълнено с Решение № 102 на МС от 2013 г.</w:t>
      </w:r>
    </w:p>
    <w:p w14:paraId="398591B3" w14:textId="77777777" w:rsidR="00D603F5" w:rsidRPr="000D7AE9" w:rsidRDefault="00D603F5" w:rsidP="00C94E51">
      <w:pPr>
        <w:pStyle w:val="ListParagraph"/>
        <w:numPr>
          <w:ilvl w:val="0"/>
          <w:numId w:val="370"/>
        </w:numPr>
        <w:tabs>
          <w:tab w:val="left" w:pos="1276"/>
        </w:tabs>
        <w:ind w:left="0" w:firstLine="851"/>
      </w:pPr>
      <w:r w:rsidRPr="000D7AE9">
        <w:rPr>
          <w:b/>
        </w:rPr>
        <w:t>Решение № 792 от 17 декември 2013 година</w:t>
      </w:r>
      <w:r w:rsidRPr="000D7AE9">
        <w:t xml:space="preserve"> за определяне на органи, отговорни за управлението, контрола, координацията и одита на европейските структурни и инвестиционни фондове и други инструменти и инициативи на европейския съюз през периода 2014-2020 г. </w:t>
      </w:r>
    </w:p>
    <w:p w14:paraId="54334D47" w14:textId="77777777" w:rsidR="00021030" w:rsidRDefault="00021030" w:rsidP="00C94E51">
      <w:pPr>
        <w:pStyle w:val="ListParagraph"/>
        <w:numPr>
          <w:ilvl w:val="0"/>
          <w:numId w:val="370"/>
        </w:numPr>
        <w:tabs>
          <w:tab w:val="left" w:pos="1276"/>
        </w:tabs>
        <w:ind w:left="0" w:firstLine="851"/>
      </w:pPr>
      <w:r w:rsidRPr="000D7AE9">
        <w:rPr>
          <w:b/>
        </w:rPr>
        <w:t>Решение № 18 от 15 януари 2016 година</w:t>
      </w:r>
      <w:r w:rsidRPr="000D7AE9">
        <w:t xml:space="preserve"> за определяне на Управляващ и Сертифициращ орган по Оперативна програма „Транспорт и транспортна инфраструктура” 2014-2020 г.</w:t>
      </w:r>
    </w:p>
    <w:p w14:paraId="4F28810C" w14:textId="77777777" w:rsidR="000D7AE9" w:rsidRPr="000D7AE9" w:rsidRDefault="000D7AE9" w:rsidP="000D7AE9">
      <w:pPr>
        <w:tabs>
          <w:tab w:val="left" w:pos="1276"/>
        </w:tabs>
      </w:pPr>
    </w:p>
    <w:p w14:paraId="5FEB848C" w14:textId="77777777" w:rsidR="00D603F5" w:rsidRPr="001B0EA3" w:rsidRDefault="00D603F5" w:rsidP="00ED358C">
      <w:pPr>
        <w:pStyle w:val="Style2"/>
      </w:pPr>
      <w:bookmarkStart w:id="15" w:name="_Toc479775531"/>
      <w:bookmarkStart w:id="16" w:name="_Toc140150149"/>
      <w:r w:rsidRPr="001B0EA3">
        <w:t>Постановления на Министерския съвет</w:t>
      </w:r>
      <w:bookmarkEnd w:id="15"/>
      <w:bookmarkEnd w:id="16"/>
    </w:p>
    <w:p w14:paraId="6948CADE" w14:textId="77777777"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Постановление № 5 на МС от 18 януари 2012 година</w:t>
      </w:r>
      <w:r w:rsidRPr="001B0EA3">
        <w:rPr>
          <w:lang w:eastAsia="bg-BG"/>
        </w:rPr>
        <w:t xml:space="preserve"> за разработване на стратегическите и програмните документи  на Република България за управление на средствата от фондовете по общата стратегическа рамка на европейския съюз за програмния период 2014-2020 г. </w:t>
      </w:r>
    </w:p>
    <w:p w14:paraId="289BA8F3" w14:textId="77777777"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lastRenderedPageBreak/>
        <w:t>Постановление № 119 на МС от 20 май 2014 година</w:t>
      </w:r>
      <w:r w:rsidRPr="001B0EA3">
        <w:rPr>
          <w:lang w:eastAsia="bg-BG"/>
        </w:rPr>
        <w:t xml:space="preserve"> за приемане на национални правила за допустимост на разходите по оперативните програми, съфинансирани от Европейския фонд за регионално развитие, Европейския социален фонд, Кохезионния фонд на Европейския съюз и от Европейския фонд за морско дело и рибарство, за финансовата рамка 2014-2020 г.</w:t>
      </w:r>
      <w:r w:rsidR="004F4D9E" w:rsidRPr="001B0EA3">
        <w:rPr>
          <w:rStyle w:val="FootnoteReference"/>
          <w:szCs w:val="24"/>
          <w:lang w:eastAsia="bg-BG"/>
        </w:rPr>
        <w:footnoteReference w:id="3"/>
      </w:r>
      <w:r w:rsidRPr="001B0EA3">
        <w:rPr>
          <w:lang w:eastAsia="bg-BG"/>
        </w:rPr>
        <w:t xml:space="preserve"> </w:t>
      </w:r>
    </w:p>
    <w:p w14:paraId="76AD473E" w14:textId="77777777"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Постановление № 118 на МС от 20 май 2014 година</w:t>
      </w:r>
      <w:r w:rsidRPr="001B0EA3">
        <w:rPr>
          <w:lang w:eastAsia="bg-BG"/>
        </w:rPr>
        <w:t xml:space="preserve"> за условията и реда за определяне на изпълнител от страна на бенефициенти на безвъзмездна финансова помощ от Европейския фонд за регионално развитие, Европейския социален фонд, Кохезионния фонд, Европейския фонд за морско дело и рибарство, Финансовия механизъм на европейското икономическо пространство и Норвежкия финансов механизъм. (ОПТТИ не е приложимо – прилага се ЗОП)</w:t>
      </w:r>
    </w:p>
    <w:p w14:paraId="709314F9" w14:textId="77777777"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Постановление № 107 на МС от 10 май 2014 година</w:t>
      </w:r>
      <w:r w:rsidRPr="001B0EA3">
        <w:rPr>
          <w:lang w:eastAsia="bg-BG"/>
        </w:rPr>
        <w:t xml:space="preserve"> за определяне на реда за предоставяне на безвъзмездна финансова помощ по програмите, съфинансирани от Европейския фонд за регионално развитие, европейския социален фонд, Кохезионния фонд на Европейския съюз и Европейския фонд за морско дело и рибарство за периода 2014-2020 г. (</w:t>
      </w:r>
      <w:r w:rsidRPr="000D7AE9">
        <w:rPr>
          <w:i/>
          <w:lang w:eastAsia="bg-BG"/>
        </w:rPr>
        <w:t>предишна нормативна база: Постановление № 121 на Министерския съвет от 2007 г. за определяне на реда за предоставяне на безвъзмездна финансова помощ по оперативните програми, съфинансирани от Структурните фондове и Кохезионния фонд на Европейския съюз.</w:t>
      </w:r>
      <w:r w:rsidRPr="001B0EA3">
        <w:rPr>
          <w:lang w:eastAsia="bg-BG"/>
        </w:rPr>
        <w:t>)</w:t>
      </w:r>
      <w:r w:rsidR="004F4D9E" w:rsidRPr="000D7AE9">
        <w:rPr>
          <w:vertAlign w:val="superscript"/>
          <w:lang w:eastAsia="bg-BG"/>
        </w:rPr>
        <w:t>3</w:t>
      </w:r>
    </w:p>
    <w:p w14:paraId="5598939C" w14:textId="77777777" w:rsidR="00823AF3" w:rsidRPr="000D7AE9" w:rsidRDefault="00823AF3" w:rsidP="00C94E51">
      <w:pPr>
        <w:pStyle w:val="ListParagraph"/>
        <w:numPr>
          <w:ilvl w:val="0"/>
          <w:numId w:val="370"/>
        </w:numPr>
        <w:tabs>
          <w:tab w:val="left" w:pos="1276"/>
        </w:tabs>
        <w:ind w:left="0" w:firstLine="851"/>
        <w:rPr>
          <w:b/>
          <w:color w:val="000000"/>
          <w:lang w:eastAsia="bg-BG"/>
        </w:rPr>
      </w:pPr>
      <w:r w:rsidRPr="000D7AE9">
        <w:rPr>
          <w:b/>
          <w:lang w:eastAsia="bg-BG"/>
        </w:rPr>
        <w:t>Постановление № 162 на МС от 5 юли 2016 година</w:t>
      </w:r>
      <w:r w:rsidRPr="001B0EA3">
        <w:rPr>
          <w:lang w:eastAsia="bg-BG"/>
        </w:rPr>
        <w:t xml:space="preserve"> за</w:t>
      </w:r>
      <w:r w:rsidRPr="001B0EA3">
        <w:t xml:space="preserve"> </w:t>
      </w:r>
      <w:r w:rsidRPr="001B0EA3">
        <w:rPr>
          <w:lang w:eastAsia="bg-BG"/>
        </w:rPr>
        <w:t>определяне на детайлни правила за предоставяне на безвъзмездна финансова помощ по програмите, финансирани от Европейските структурни и инвестиционни фондове за периода 2014-2020 г.</w:t>
      </w:r>
    </w:p>
    <w:p w14:paraId="5963AAF3" w14:textId="77777777" w:rsidR="00823AF3" w:rsidRPr="001B0EA3" w:rsidRDefault="00823AF3" w:rsidP="00C94E51">
      <w:pPr>
        <w:pStyle w:val="ListParagraph"/>
        <w:numPr>
          <w:ilvl w:val="0"/>
          <w:numId w:val="370"/>
        </w:numPr>
        <w:tabs>
          <w:tab w:val="left" w:pos="1276"/>
        </w:tabs>
        <w:ind w:left="0" w:firstLine="851"/>
        <w:rPr>
          <w:lang w:eastAsia="bg-BG"/>
        </w:rPr>
      </w:pPr>
      <w:r w:rsidRPr="000D7AE9">
        <w:rPr>
          <w:b/>
          <w:lang w:eastAsia="bg-BG"/>
        </w:rPr>
        <w:t>Постановление № 189  от 28 юли 2016 г.</w:t>
      </w:r>
      <w:r w:rsidRPr="001B0EA3">
        <w:rPr>
          <w:lang w:eastAsia="bg-BG"/>
        </w:rPr>
        <w:t xml:space="preserve"> за определяне на национални правила за допустимост на разходите по програмите, съфинансирани от Европейските структурни и инвестиционни фондове, за програмен период 2014 – 2020 г.</w:t>
      </w:r>
    </w:p>
    <w:p w14:paraId="5FA21FF7" w14:textId="77777777" w:rsidR="00D603F5" w:rsidRPr="000D7AE9" w:rsidRDefault="00D603F5" w:rsidP="00C94E51">
      <w:pPr>
        <w:pStyle w:val="ListParagraph"/>
        <w:numPr>
          <w:ilvl w:val="0"/>
          <w:numId w:val="370"/>
        </w:numPr>
        <w:tabs>
          <w:tab w:val="left" w:pos="1276"/>
        </w:tabs>
        <w:ind w:left="0" w:firstLine="851"/>
        <w:rPr>
          <w:b/>
          <w:color w:val="000000"/>
          <w:lang w:eastAsia="bg-BG"/>
        </w:rPr>
      </w:pPr>
      <w:r w:rsidRPr="000D7AE9">
        <w:rPr>
          <w:b/>
          <w:lang w:eastAsia="bg-BG"/>
        </w:rPr>
        <w:t>Постановление № 79 на МС от 10 април 2014 година</w:t>
      </w:r>
      <w:r w:rsidRPr="001B0EA3">
        <w:rPr>
          <w:lang w:eastAsia="bg-BG"/>
        </w:rPr>
        <w:t xml:space="preserve"> за създаване на комитети за наблюдение на Споразумението за партньорство на Република България и на програмите, съфинансирани от Европейските структурни и инвестиционни фондове, за програмен период 2014-2020 г. </w:t>
      </w:r>
    </w:p>
    <w:p w14:paraId="69B131F3" w14:textId="77777777"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 xml:space="preserve">Постановление № 70 на МС от 14.04.2010 г. </w:t>
      </w:r>
      <w:r w:rsidRPr="001B0EA3">
        <w:rPr>
          <w:lang w:eastAsia="bg-BG"/>
        </w:rPr>
        <w:t>за координация при управлението на средствата от Европейския съюз</w:t>
      </w:r>
    </w:p>
    <w:p w14:paraId="4DD634B5" w14:textId="77777777"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Постановление № 229 на МС от 23.09.2009 г.</w:t>
      </w:r>
      <w:r w:rsidRPr="001B0EA3">
        <w:rPr>
          <w:lang w:eastAsia="bg-BG"/>
        </w:rPr>
        <w:t xml:space="preserve"> за приемане на Устройствен правилник на Министерския съвет и на неговата администрация;</w:t>
      </w:r>
    </w:p>
    <w:p w14:paraId="2DB0E024" w14:textId="77777777"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Постановление № 18 на МС от 04.02.2003 г.</w:t>
      </w:r>
      <w:r w:rsidRPr="001B0EA3">
        <w:rPr>
          <w:lang w:eastAsia="bg-BG"/>
        </w:rPr>
        <w:t xml:space="preserve"> за създаване на Съвет за координация в борбата с правонарушенията, засягащи финансовите интереси на Европейския съюз;</w:t>
      </w:r>
    </w:p>
    <w:p w14:paraId="75939D7E" w14:textId="77777777" w:rsidR="00D02BDE" w:rsidRPr="001B0EA3" w:rsidRDefault="00D603F5" w:rsidP="00C94E51">
      <w:pPr>
        <w:pStyle w:val="ListParagraph"/>
        <w:numPr>
          <w:ilvl w:val="0"/>
          <w:numId w:val="370"/>
        </w:numPr>
        <w:tabs>
          <w:tab w:val="left" w:pos="1276"/>
        </w:tabs>
        <w:ind w:left="0" w:firstLine="851"/>
        <w:rPr>
          <w:lang w:eastAsia="bg-BG"/>
        </w:rPr>
      </w:pPr>
      <w:r w:rsidRPr="000D7AE9">
        <w:rPr>
          <w:b/>
          <w:lang w:eastAsia="bg-BG"/>
        </w:rPr>
        <w:t xml:space="preserve">Постановление № </w:t>
      </w:r>
      <w:r w:rsidR="004C7F19" w:rsidRPr="000D7AE9">
        <w:rPr>
          <w:b/>
          <w:lang w:eastAsia="bg-BG"/>
        </w:rPr>
        <w:t>173</w:t>
      </w:r>
      <w:r w:rsidRPr="000D7AE9">
        <w:rPr>
          <w:b/>
          <w:lang w:eastAsia="bg-BG"/>
        </w:rPr>
        <w:t xml:space="preserve"> ат </w:t>
      </w:r>
      <w:r w:rsidR="004C7F19" w:rsidRPr="000D7AE9">
        <w:rPr>
          <w:b/>
          <w:lang w:eastAsia="bg-BG"/>
        </w:rPr>
        <w:t>13</w:t>
      </w:r>
      <w:r w:rsidRPr="000D7AE9">
        <w:rPr>
          <w:b/>
          <w:lang w:eastAsia="bg-BG"/>
        </w:rPr>
        <w:t>.</w:t>
      </w:r>
      <w:r w:rsidR="004C7F19" w:rsidRPr="000D7AE9">
        <w:rPr>
          <w:b/>
          <w:lang w:eastAsia="bg-BG"/>
        </w:rPr>
        <w:t>07</w:t>
      </w:r>
      <w:r w:rsidRPr="000D7AE9">
        <w:rPr>
          <w:b/>
          <w:lang w:eastAsia="bg-BG"/>
        </w:rPr>
        <w:t>.20</w:t>
      </w:r>
      <w:r w:rsidR="004C7F19" w:rsidRPr="000D7AE9">
        <w:rPr>
          <w:b/>
          <w:lang w:eastAsia="bg-BG"/>
        </w:rPr>
        <w:t>16</w:t>
      </w:r>
      <w:r w:rsidRPr="000D7AE9">
        <w:rPr>
          <w:b/>
          <w:lang w:eastAsia="bg-BG"/>
        </w:rPr>
        <w:t xml:space="preserve"> г.</w:t>
      </w:r>
      <w:r w:rsidRPr="001B0EA3">
        <w:rPr>
          <w:lang w:eastAsia="bg-BG"/>
        </w:rPr>
        <w:t xml:space="preserve"> за приемане на </w:t>
      </w:r>
      <w:r w:rsidR="004C7F19" w:rsidRPr="001B0EA3">
        <w:rPr>
          <w:lang w:eastAsia="bg-BG"/>
        </w:rPr>
        <w:t>Наредба за администриране на нередности по европейските структурни и инвестиционни фондове</w:t>
      </w:r>
      <w:r w:rsidR="0086155D" w:rsidRPr="001B0EA3">
        <w:rPr>
          <w:lang w:eastAsia="bg-BG"/>
        </w:rPr>
        <w:t>;</w:t>
      </w:r>
    </w:p>
    <w:p w14:paraId="3B0DD180" w14:textId="77777777" w:rsidR="00D603F5" w:rsidRDefault="00D603F5" w:rsidP="00C94E51">
      <w:pPr>
        <w:pStyle w:val="ListParagraph"/>
        <w:numPr>
          <w:ilvl w:val="0"/>
          <w:numId w:val="370"/>
        </w:numPr>
        <w:tabs>
          <w:tab w:val="left" w:pos="1276"/>
        </w:tabs>
        <w:ind w:left="0" w:firstLine="851"/>
        <w:rPr>
          <w:lang w:eastAsia="bg-BG"/>
        </w:rPr>
      </w:pPr>
      <w:r w:rsidRPr="000D7AE9">
        <w:rPr>
          <w:b/>
          <w:lang w:eastAsia="bg-BG"/>
        </w:rPr>
        <w:t xml:space="preserve">Постановление № 134 на МС от 2010 г. </w:t>
      </w:r>
      <w:r w:rsidRPr="001B0EA3">
        <w:rPr>
          <w:lang w:eastAsia="bg-BG"/>
        </w:rPr>
        <w:t>за приемане на Методологията за определяне на финансовите корекции, които се прилагат спрямо разходите, свързани с изпълнението на оперативните програми, съфинансирани от структурните инструменти на ЕС, Европейския земеделски фонд за развитие на селските райони и Европейския фонд за рибарство</w:t>
      </w:r>
      <w:r w:rsidR="0086155D" w:rsidRPr="001B0EA3">
        <w:rPr>
          <w:lang w:eastAsia="bg-BG"/>
        </w:rPr>
        <w:t>;</w:t>
      </w:r>
    </w:p>
    <w:p w14:paraId="1C2AF68A" w14:textId="77777777" w:rsidR="000D7AE9" w:rsidRPr="001B0EA3" w:rsidRDefault="000D7AE9" w:rsidP="000D7AE9">
      <w:pPr>
        <w:tabs>
          <w:tab w:val="left" w:pos="1276"/>
        </w:tabs>
        <w:rPr>
          <w:lang w:eastAsia="bg-BG"/>
        </w:rPr>
      </w:pPr>
    </w:p>
    <w:p w14:paraId="3740DA35" w14:textId="77777777" w:rsidR="00D603F5" w:rsidRPr="001B0EA3" w:rsidRDefault="00D603F5" w:rsidP="00ED358C">
      <w:pPr>
        <w:pStyle w:val="Style2"/>
      </w:pPr>
      <w:bookmarkStart w:id="17" w:name="_Toc479775532"/>
      <w:bookmarkStart w:id="18" w:name="_Toc140150150"/>
      <w:r w:rsidRPr="001B0EA3">
        <w:t>Указания и инструкции</w:t>
      </w:r>
      <w:bookmarkEnd w:id="17"/>
      <w:bookmarkEnd w:id="18"/>
    </w:p>
    <w:p w14:paraId="4E00076F" w14:textId="77777777" w:rsidR="00823AF3" w:rsidRPr="001B0EA3" w:rsidRDefault="00823AF3" w:rsidP="00C94E51">
      <w:pPr>
        <w:pStyle w:val="ListParagraph"/>
        <w:numPr>
          <w:ilvl w:val="0"/>
          <w:numId w:val="370"/>
        </w:numPr>
        <w:tabs>
          <w:tab w:val="left" w:pos="1276"/>
        </w:tabs>
        <w:ind w:left="0" w:firstLine="851"/>
        <w:rPr>
          <w:lang w:eastAsia="bg-BG"/>
        </w:rPr>
      </w:pPr>
      <w:r w:rsidRPr="001B0EA3">
        <w:rPr>
          <w:lang w:eastAsia="bg-BG"/>
        </w:rPr>
        <w:lastRenderedPageBreak/>
        <w:t>Указания № 1 от 15.02.2016 г. на заместник министър-</w:t>
      </w:r>
      <w:r w:rsidR="00CE0A74" w:rsidRPr="001B0EA3">
        <w:rPr>
          <w:lang w:eastAsia="bg-BG"/>
        </w:rPr>
        <w:t>председателя</w:t>
      </w:r>
      <w:r w:rsidRPr="001B0EA3">
        <w:rPr>
          <w:lang w:eastAsia="bg-BG"/>
        </w:rPr>
        <w:t xml:space="preserve"> по европейските фондове  и икономическата политика, по прилагането на чл. 57, ал. 2 от ЗУСЕСИФ;</w:t>
      </w:r>
    </w:p>
    <w:p w14:paraId="722A018A" w14:textId="77777777" w:rsidR="00823AF3" w:rsidRPr="001B0EA3" w:rsidRDefault="00823AF3" w:rsidP="00C94E51">
      <w:pPr>
        <w:pStyle w:val="ListParagraph"/>
        <w:numPr>
          <w:ilvl w:val="0"/>
          <w:numId w:val="370"/>
        </w:numPr>
        <w:tabs>
          <w:tab w:val="left" w:pos="1276"/>
        </w:tabs>
        <w:ind w:left="0" w:firstLine="851"/>
        <w:rPr>
          <w:lang w:eastAsia="bg-BG"/>
        </w:rPr>
      </w:pPr>
      <w:r w:rsidRPr="001B0EA3">
        <w:rPr>
          <w:lang w:eastAsia="bg-BG"/>
        </w:rPr>
        <w:t>Указания № 2 от 07.04.2016 г. на заместник министър-</w:t>
      </w:r>
      <w:r w:rsidR="00CE0A74" w:rsidRPr="001B0EA3">
        <w:rPr>
          <w:lang w:eastAsia="bg-BG"/>
        </w:rPr>
        <w:t>председателя</w:t>
      </w:r>
      <w:r w:rsidRPr="001B0EA3">
        <w:rPr>
          <w:lang w:eastAsia="bg-BG"/>
        </w:rPr>
        <w:t xml:space="preserve"> по европейските фондове  и икономическата политика, по прилагането на чл. 49, ал. 3 от ЗУСЕСИФ;</w:t>
      </w:r>
    </w:p>
    <w:p w14:paraId="508A11A1" w14:textId="77777777" w:rsidR="006269CC" w:rsidRPr="001B0EA3" w:rsidRDefault="006035A9" w:rsidP="00C94E51">
      <w:pPr>
        <w:pStyle w:val="ListParagraph"/>
        <w:numPr>
          <w:ilvl w:val="0"/>
          <w:numId w:val="370"/>
        </w:numPr>
        <w:tabs>
          <w:tab w:val="left" w:pos="1276"/>
        </w:tabs>
        <w:ind w:left="0" w:firstLine="851"/>
        <w:rPr>
          <w:lang w:eastAsia="bg-BG"/>
        </w:rPr>
      </w:pPr>
      <w:hyperlink r:id="rId19" w:history="1">
        <w:r w:rsidR="006269CC" w:rsidRPr="001B0EA3">
          <w:rPr>
            <w:lang w:eastAsia="bg-BG"/>
          </w:rPr>
          <w:t>Указание на министъра на финансите ДНФ 3/23.12.2016 г.</w:t>
        </w:r>
      </w:hyperlink>
      <w:r w:rsidR="006269CC" w:rsidRPr="001B0EA3">
        <w:rPr>
          <w:lang w:eastAsia="bg-BG"/>
        </w:rPr>
        <w:t> за третиране на данък добавена стойност като допустим разход при изпълнение на проекти по оперативните програми, съфинансирани от ЕФРР, ЕСФ, КФ и ЕФМДР за програмен период 2014 - 2020 г.</w:t>
      </w:r>
    </w:p>
    <w:p w14:paraId="5BD32920" w14:textId="77777777" w:rsidR="00D603F5" w:rsidRPr="001B0EA3" w:rsidRDefault="006035A9" w:rsidP="004D5002">
      <w:pPr>
        <w:pStyle w:val="ListParagraph"/>
        <w:numPr>
          <w:ilvl w:val="0"/>
          <w:numId w:val="370"/>
        </w:numPr>
        <w:tabs>
          <w:tab w:val="left" w:pos="1276"/>
        </w:tabs>
        <w:ind w:left="0" w:firstLine="851"/>
        <w:rPr>
          <w:lang w:eastAsia="bg-BG"/>
        </w:rPr>
      </w:pPr>
      <w:hyperlink r:id="rId20" w:history="1">
        <w:r w:rsidR="004D5002" w:rsidRPr="00251D03">
          <w:rPr>
            <w:lang w:eastAsia="bg-BG"/>
          </w:rPr>
          <w:t>Указание на министъра на финансите ДНФ № 2/01.08.2017 г. относнореда и начина за отразяване на информацията за извършените плащания от управляващите органи към бенефициентите със самостоятелни десетразрядни кодове в Системата за електронни бюджетни разплащания</w:t>
        </w:r>
        <w:r w:rsidR="00D603F5" w:rsidRPr="001B0EA3">
          <w:rPr>
            <w:lang w:eastAsia="bg-BG"/>
          </w:rPr>
          <w:t>.</w:t>
        </w:r>
      </w:hyperlink>
    </w:p>
    <w:p w14:paraId="4EDD9015" w14:textId="77777777" w:rsidR="00D603F5" w:rsidRPr="001B0EA3" w:rsidRDefault="00D603F5" w:rsidP="00C94E51">
      <w:pPr>
        <w:pStyle w:val="ListParagraph"/>
        <w:numPr>
          <w:ilvl w:val="0"/>
          <w:numId w:val="370"/>
        </w:numPr>
        <w:tabs>
          <w:tab w:val="left" w:pos="1276"/>
        </w:tabs>
        <w:ind w:left="0" w:firstLine="851"/>
        <w:rPr>
          <w:lang w:eastAsia="bg-BG"/>
        </w:rPr>
      </w:pPr>
      <w:r w:rsidRPr="00251D03">
        <w:rPr>
          <w:lang w:eastAsia="bg-BG"/>
        </w:rPr>
        <w:t>Механизъм</w:t>
      </w:r>
      <w:r w:rsidRPr="001B0EA3">
        <w:rPr>
          <w:lang w:eastAsia="bg-BG"/>
        </w:rPr>
        <w:t xml:space="preserve"> за избор на юридически лица с нестопанска цел за обществено полезна дейност, чиито представители да участват в съставите на Комитетите за наблюдение на Споразумението за партньорство и програмите, съфинансирани от Европейските структурни и инвестиционни фондове, за програмен период 2014-2020 г. </w:t>
      </w:r>
    </w:p>
    <w:p w14:paraId="24ED5F34" w14:textId="77777777" w:rsidR="00D603F5" w:rsidRPr="001B0EA3" w:rsidRDefault="00D603F5" w:rsidP="00C94E51">
      <w:pPr>
        <w:pStyle w:val="ListParagraph"/>
        <w:numPr>
          <w:ilvl w:val="0"/>
          <w:numId w:val="370"/>
        </w:numPr>
        <w:tabs>
          <w:tab w:val="left" w:pos="1276"/>
        </w:tabs>
        <w:ind w:left="0" w:firstLine="851"/>
        <w:rPr>
          <w:lang w:eastAsia="bg-BG"/>
        </w:rPr>
      </w:pPr>
      <w:r w:rsidRPr="001B0EA3">
        <w:rPr>
          <w:lang w:eastAsia="bg-BG"/>
        </w:rPr>
        <w:t xml:space="preserve">Съобщения на институциите, органите, службите и агенциите на Европейския съюз - Европейска комисия - </w:t>
      </w:r>
      <w:r w:rsidRPr="000D7AE9">
        <w:rPr>
          <w:b/>
          <w:lang w:eastAsia="bg-BG"/>
        </w:rPr>
        <w:t>Насоки за регионалната помощ за периода 2014 — 2020 г.</w:t>
      </w:r>
      <w:r w:rsidRPr="001B0EA3">
        <w:rPr>
          <w:lang w:eastAsia="bg-BG"/>
        </w:rPr>
        <w:t xml:space="preserve"> (текст от значение за ЕИП) (2013/c 209/01);</w:t>
      </w:r>
    </w:p>
    <w:p w14:paraId="416A251B" w14:textId="77777777" w:rsidR="00157C4D" w:rsidRPr="001B0EA3" w:rsidRDefault="00157C4D" w:rsidP="00C94E51">
      <w:pPr>
        <w:pStyle w:val="ListParagraph"/>
        <w:numPr>
          <w:ilvl w:val="0"/>
          <w:numId w:val="370"/>
        </w:numPr>
        <w:tabs>
          <w:tab w:val="left" w:pos="1276"/>
        </w:tabs>
        <w:ind w:left="0" w:firstLine="851"/>
        <w:rPr>
          <w:lang w:eastAsia="bg-BG"/>
        </w:rPr>
      </w:pPr>
      <w:r w:rsidRPr="001B0EA3">
        <w:rPr>
          <w:lang w:eastAsia="bg-BG"/>
        </w:rPr>
        <w:t>Информация от институциите, органите, службите и агенциите на Европейския Съюз -  Известие на Комисията относно понятието за държавна помощ, посочено в член 107, параграф 1 от Договора за функционирането на Европейския съюз (2016/С 626/01);</w:t>
      </w:r>
    </w:p>
    <w:p w14:paraId="201E6722" w14:textId="77777777" w:rsidR="00157C4D" w:rsidRPr="001B0EA3" w:rsidRDefault="00157C4D" w:rsidP="00C94E51">
      <w:pPr>
        <w:pStyle w:val="ListParagraph"/>
        <w:numPr>
          <w:ilvl w:val="0"/>
          <w:numId w:val="370"/>
        </w:numPr>
        <w:tabs>
          <w:tab w:val="left" w:pos="1276"/>
        </w:tabs>
        <w:ind w:left="0" w:firstLine="851"/>
        <w:rPr>
          <w:lang w:eastAsia="bg-BG"/>
        </w:rPr>
      </w:pPr>
      <w:r w:rsidRPr="001B0EA3">
        <w:rPr>
          <w:lang w:eastAsia="bg-BG"/>
        </w:rPr>
        <w:t>Съобщение на Комисията за изменение на съобщенията на Комисията, свързани съответно с Насоките на ЕС относно прилагането на правилата за държавна помощ във връзка с бързото разгръщане на широколентови мрежи, Насоките за регионална държавна помощ за периода 2014 — 2020 г., Насоките за държавната помощ за филми и други аудио-визуални произведения, Насоките относно държавните помощи за насърчаване на инвестициите в рисково финансиране и Насоките относно държавните помощи за летища и авиокомпании (2014/С 198/02);</w:t>
      </w:r>
    </w:p>
    <w:p w14:paraId="49675386" w14:textId="77777777" w:rsidR="00D603F5" w:rsidRDefault="00D603F5" w:rsidP="00C94E51">
      <w:pPr>
        <w:pStyle w:val="ListParagraph"/>
        <w:numPr>
          <w:ilvl w:val="0"/>
          <w:numId w:val="370"/>
        </w:numPr>
        <w:tabs>
          <w:tab w:val="left" w:pos="1276"/>
        </w:tabs>
        <w:ind w:left="0" w:firstLine="851"/>
        <w:rPr>
          <w:lang w:eastAsia="bg-BG"/>
        </w:rPr>
      </w:pPr>
      <w:r w:rsidRPr="001B0EA3">
        <w:rPr>
          <w:lang w:eastAsia="bg-BG"/>
        </w:rPr>
        <w:t>Вътрешни правила за дейността на Методически съвет по финансови корекции към Министерския съвет на Република България при разглеждането на конкретни случаи, свързани с определянето и извършването на финансови корекции,</w:t>
      </w:r>
      <w:r w:rsidRPr="001B0EA3">
        <w:t xml:space="preserve"> </w:t>
      </w:r>
      <w:r w:rsidRPr="001B0EA3">
        <w:rPr>
          <w:lang w:eastAsia="bg-BG"/>
        </w:rPr>
        <w:t>утвърдени със Заповед № Р-241 от 01.12.2014 г.</w:t>
      </w:r>
      <w:r w:rsidRPr="001B0EA3">
        <w:t xml:space="preserve"> на </w:t>
      </w:r>
      <w:r w:rsidRPr="001B0EA3">
        <w:rPr>
          <w:lang w:eastAsia="bg-BG"/>
        </w:rPr>
        <w:t>заместник министър-председателя по европейските фондове и икономическата политика;</w:t>
      </w:r>
    </w:p>
    <w:p w14:paraId="1BFC2328" w14:textId="77777777" w:rsidR="000D7AE9" w:rsidRPr="001B0EA3" w:rsidRDefault="000D7AE9" w:rsidP="000D7AE9">
      <w:pPr>
        <w:tabs>
          <w:tab w:val="left" w:pos="1276"/>
        </w:tabs>
        <w:rPr>
          <w:lang w:eastAsia="bg-BG"/>
        </w:rPr>
      </w:pPr>
    </w:p>
    <w:p w14:paraId="32DD8974" w14:textId="77777777" w:rsidR="00D603F5" w:rsidRPr="001B0EA3" w:rsidRDefault="00D603F5" w:rsidP="00ED358C">
      <w:pPr>
        <w:pStyle w:val="Style2"/>
      </w:pPr>
      <w:bookmarkStart w:id="19" w:name="_Toc479775533"/>
      <w:bookmarkStart w:id="20" w:name="_Toc140150151"/>
      <w:r w:rsidRPr="001B0EA3">
        <w:t>Решения на Комисията</w:t>
      </w:r>
      <w:bookmarkEnd w:id="19"/>
      <w:bookmarkEnd w:id="20"/>
    </w:p>
    <w:p w14:paraId="77EEEB66" w14:textId="77777777"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 xml:space="preserve">Решение за изпълнение на Комисията от 18 февруари 2014 година </w:t>
      </w:r>
      <w:r w:rsidRPr="001B0EA3">
        <w:rPr>
          <w:lang w:eastAsia="bg-BG"/>
        </w:rPr>
        <w:t>за определяне на списъка на регионите, които отговарят на критериите за финансиране по Европейския фонд за регионално развитие и Европейския социален фонд, и на държавите членки, които отговарят на критериите за финансиране по Кохезионния фонд за периода 2014—2020 г. (нотифицирано под номер C(2014) 974) - 2014/99/ЕС.</w:t>
      </w:r>
    </w:p>
    <w:p w14:paraId="23C9941A" w14:textId="77777777"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 xml:space="preserve">Решение за изпълнение на Комисията от 3 април 2014 година </w:t>
      </w:r>
      <w:r w:rsidRPr="001B0EA3">
        <w:rPr>
          <w:lang w:eastAsia="bg-BG"/>
        </w:rPr>
        <w:t xml:space="preserve">за определяне на годишното разпределение на глобалните средства по държава членка за Европейския фонд за регионално развитие, Европейския социален фонд и Кохезионния фонд по цели „Инвестиции за растеж и работни места“ и „Европейско териториално сътрудничество“, и на годишното разпределение на специално разпределените средства за инициативата за младежка заетост по държава членка, както и списъка на допустимите региони и размера на средствата, които да се прехвърлят от разпределените на всяка държава членка средства по Кохезионния фонд и структурните фондове към Механизма за свързване на Европа и за </w:t>
      </w:r>
      <w:r w:rsidRPr="001B0EA3">
        <w:rPr>
          <w:lang w:eastAsia="bg-BG"/>
        </w:rPr>
        <w:lastRenderedPageBreak/>
        <w:t>подпомагане на най-нуждаещите се лица за периода 2014—2020 година (нотифицирано под номер С(2014) 2082) - 2014/190/ЕС.</w:t>
      </w:r>
    </w:p>
    <w:p w14:paraId="07438097" w14:textId="77777777"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 xml:space="preserve">Решение на Комисията от 19.12.2013 г. </w:t>
      </w:r>
      <w:r w:rsidRPr="001B0EA3">
        <w:rPr>
          <w:lang w:eastAsia="bg-BG"/>
        </w:rPr>
        <w:t>за установяване и одобряване на насоките за определяне на финансовите корекции от страна на Комисията по отношение на разходите, финансирани от Съюза в рамките на споделеното управление, в случаите на неспазване на правилата за възлагане на обществените поръчки.</w:t>
      </w:r>
    </w:p>
    <w:p w14:paraId="43A8DDD9" w14:textId="77777777"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 xml:space="preserve">Решение на Комисията от 19.10.2011 г. </w:t>
      </w:r>
      <w:r w:rsidRPr="001B0EA3">
        <w:rPr>
          <w:lang w:eastAsia="bg-BG"/>
        </w:rPr>
        <w:t xml:space="preserve">относно одобряване на указания за принципите, критериите и индикативните скали, които се прилагат по отношение на финансовите корекции, извършвани от Комисията по силата на член 99 и член 100 на Регламент на Съвета (ЕО) 1083/2006 от 11 юли 2006 г. </w:t>
      </w:r>
    </w:p>
    <w:p w14:paraId="4053A220" w14:textId="77777777"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Решение на комисията от 20 декември 2011</w:t>
      </w:r>
      <w:r w:rsidRPr="001B0EA3">
        <w:rPr>
          <w:lang w:eastAsia="bg-BG"/>
        </w:rPr>
        <w:t xml:space="preserve"> година относно прилагането на член 106, параграф 2 от Договора за функционирането на Европейския съюз за държавната помощ под формата на компенсация за обществена услуга, предоставена на определени предприятия, натоварени с извършването на услуги от общ икономически интерес (нотифицирано под номер C(2011) 9380)</w:t>
      </w:r>
    </w:p>
    <w:p w14:paraId="637F8CB9" w14:textId="77777777" w:rsidR="00D603F5" w:rsidRPr="001B0EA3" w:rsidRDefault="00D603F5" w:rsidP="00D26A1C">
      <w:pPr>
        <w:spacing w:before="134" w:after="120"/>
        <w:ind w:firstLine="0"/>
        <w:rPr>
          <w:color w:val="000000"/>
          <w:szCs w:val="24"/>
          <w:lang w:eastAsia="bg-BG"/>
        </w:rPr>
      </w:pPr>
    </w:p>
    <w:p w14:paraId="2F469303" w14:textId="77777777" w:rsidR="00D603F5" w:rsidRPr="001B0EA3" w:rsidRDefault="00D603F5" w:rsidP="00ED358C">
      <w:pPr>
        <w:pStyle w:val="Style2"/>
      </w:pPr>
      <w:bookmarkStart w:id="21" w:name="_Toc479775534"/>
      <w:bookmarkStart w:id="22" w:name="_Toc140150152"/>
      <w:r w:rsidRPr="001B0EA3">
        <w:t>Регламенти</w:t>
      </w:r>
      <w:bookmarkEnd w:id="21"/>
      <w:bookmarkEnd w:id="22"/>
    </w:p>
    <w:p w14:paraId="4182B2F4" w14:textId="77777777"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Регламент (ЕС) № 1303/2013</w:t>
      </w:r>
      <w:r w:rsidRPr="001B0EA3">
        <w:rPr>
          <w:lang w:eastAsia="bg-BG"/>
        </w:rPr>
        <w:t xml:space="preserve"> на Европейския парламент (ЕП) и на Съвета от 17 декември 2013 година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w:t>
      </w:r>
    </w:p>
    <w:p w14:paraId="4E1824D0" w14:textId="77777777"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 xml:space="preserve">Регламент (ЕС) № 1300/2013 </w:t>
      </w:r>
      <w:r w:rsidRPr="001B0EA3">
        <w:rPr>
          <w:lang w:eastAsia="bg-BG"/>
        </w:rPr>
        <w:t>на ЕП и на Съвета от 17 декември 2013 година относно Кохезионния фонд и за отмяна на Регламент (ЕО) № 1084/2006 на Съвета;</w:t>
      </w:r>
    </w:p>
    <w:p w14:paraId="0F49282A" w14:textId="77777777" w:rsidR="00D603F5" w:rsidRPr="000D7AE9" w:rsidRDefault="00D603F5" w:rsidP="00C94E51">
      <w:pPr>
        <w:pStyle w:val="ListParagraph"/>
        <w:numPr>
          <w:ilvl w:val="0"/>
          <w:numId w:val="370"/>
        </w:numPr>
        <w:tabs>
          <w:tab w:val="left" w:pos="1276"/>
        </w:tabs>
        <w:ind w:left="0" w:firstLine="851"/>
        <w:rPr>
          <w:b/>
          <w:lang w:eastAsia="bg-BG"/>
        </w:rPr>
      </w:pPr>
      <w:r w:rsidRPr="000D7AE9">
        <w:rPr>
          <w:b/>
          <w:lang w:eastAsia="bg-BG"/>
        </w:rPr>
        <w:t xml:space="preserve">Регламент (ЕС) № 1301/2013 </w:t>
      </w:r>
      <w:r w:rsidRPr="001B0EA3">
        <w:rPr>
          <w:lang w:eastAsia="bg-BG"/>
        </w:rPr>
        <w:t>на ЕП и на Съвета от 17 декември 2013 година относно Европейския фонд за регионално развитие и специални разпоредби по отношение на целта „Инвестиции за растеж и работни места“, и за отмяна на Регламент (ЕО) № 1080/2006</w:t>
      </w:r>
      <w:r w:rsidRPr="000D7AE9">
        <w:rPr>
          <w:b/>
          <w:lang w:eastAsia="bg-BG"/>
        </w:rPr>
        <w:t>;</w:t>
      </w:r>
    </w:p>
    <w:p w14:paraId="04969C9E" w14:textId="77777777"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 xml:space="preserve">Регламент (ЕС) № 1315/2013 </w:t>
      </w:r>
      <w:r w:rsidRPr="001B0EA3">
        <w:rPr>
          <w:lang w:eastAsia="bg-BG"/>
        </w:rPr>
        <w:t>на ЕП и на съвета относно насоките на Съюза за развитието на Транс-европейската транспортна мрежа и за отмяна на Решение № 661/2010/ЕС;</w:t>
      </w:r>
    </w:p>
    <w:p w14:paraId="21030635" w14:textId="77777777" w:rsidR="00D603F5" w:rsidRPr="000D7AE9" w:rsidRDefault="00D603F5" w:rsidP="00C94E51">
      <w:pPr>
        <w:pStyle w:val="ListParagraph"/>
        <w:numPr>
          <w:ilvl w:val="0"/>
          <w:numId w:val="370"/>
        </w:numPr>
        <w:tabs>
          <w:tab w:val="left" w:pos="1276"/>
        </w:tabs>
        <w:ind w:left="0" w:firstLine="851"/>
        <w:rPr>
          <w:b/>
          <w:lang w:eastAsia="bg-BG"/>
        </w:rPr>
      </w:pPr>
      <w:r w:rsidRPr="000D7AE9">
        <w:rPr>
          <w:b/>
          <w:lang w:eastAsia="bg-BG"/>
        </w:rPr>
        <w:t xml:space="preserve">Регламент (ЕС) № 1316/2013 </w:t>
      </w:r>
      <w:r w:rsidRPr="001B0EA3">
        <w:rPr>
          <w:lang w:eastAsia="bg-BG"/>
        </w:rPr>
        <w:t>на ЕП и на Съвета от 11 декември 2013 за създаване на Механизъм за свързване на Европа, за изменение на Регламент (ЕС) № 913/2010 и за отмяна на регламенти (ЕО) № 680/2007 и (ЕО) № 67/2010;</w:t>
      </w:r>
    </w:p>
    <w:p w14:paraId="0C11EA8F" w14:textId="77777777" w:rsidR="00D603F5" w:rsidRPr="000D7AE9" w:rsidRDefault="00D61CEE" w:rsidP="00C94E51">
      <w:pPr>
        <w:pStyle w:val="ListParagraph"/>
        <w:numPr>
          <w:ilvl w:val="0"/>
          <w:numId w:val="370"/>
        </w:numPr>
        <w:tabs>
          <w:tab w:val="left" w:pos="1276"/>
        </w:tabs>
        <w:ind w:left="0" w:firstLine="851"/>
        <w:rPr>
          <w:b/>
          <w:lang w:eastAsia="bg-BG"/>
        </w:rPr>
      </w:pPr>
      <w:r w:rsidRPr="00AF07FA">
        <w:rPr>
          <w:snapToGrid w:val="0"/>
          <w:szCs w:val="24"/>
        </w:rPr>
        <w:t>Регламент (ЕС, Евратом) 2018/1046 на Европейския парламент и на Съвета от 18 юли 2018 година за финансовите правила, приложими за общия бюджет на Съюза, за изменение на регламенти (ЕС) № 1296/2013, (ЕС) № 1301/2013, (ЕС) № 1303/2013, (ЕС) № 1304/2013, (ЕС) № 1309/2013, (ЕС) № 1316/2013, (ЕС) № 223/2014 и (ЕС) № 283/2014 и на Решение № 541/2014/ЕС и за отмяна на Регламент (ЕС, Евратом) № 966/2012</w:t>
      </w:r>
      <w:r w:rsidR="00D603F5" w:rsidRPr="000D7AE9">
        <w:rPr>
          <w:b/>
          <w:lang w:eastAsia="bg-BG"/>
        </w:rPr>
        <w:t>;</w:t>
      </w:r>
    </w:p>
    <w:p w14:paraId="2660387B" w14:textId="77777777" w:rsidR="00D603F5" w:rsidRPr="00D61CEE" w:rsidRDefault="00D603F5" w:rsidP="00D61CEE">
      <w:pPr>
        <w:pStyle w:val="ListParagraph"/>
        <w:numPr>
          <w:ilvl w:val="0"/>
          <w:numId w:val="370"/>
        </w:numPr>
        <w:tabs>
          <w:tab w:val="left" w:pos="1276"/>
        </w:tabs>
        <w:ind w:left="0" w:firstLine="851"/>
        <w:rPr>
          <w:b/>
          <w:lang w:eastAsia="bg-BG"/>
        </w:rPr>
      </w:pPr>
      <w:r w:rsidRPr="00D61CEE">
        <w:rPr>
          <w:b/>
          <w:lang w:eastAsia="bg-BG"/>
        </w:rPr>
        <w:t xml:space="preserve">Регламент (ЕС) № 1407/2013 </w:t>
      </w:r>
      <w:r w:rsidRPr="001B0EA3">
        <w:rPr>
          <w:lang w:eastAsia="bg-BG"/>
        </w:rPr>
        <w:t>на Комисията от 18 декември 2013 година относно прилагането на членове 107 и 108 от Договора за функционирането на Европейския съюз към помощта de minimis;</w:t>
      </w:r>
    </w:p>
    <w:p w14:paraId="546399EE" w14:textId="77777777"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 xml:space="preserve">Регламент (ЕС) № 1297/2013 </w:t>
      </w:r>
      <w:r w:rsidRPr="001B0EA3">
        <w:rPr>
          <w:lang w:eastAsia="bg-BG"/>
        </w:rPr>
        <w:t>на EП и на Съвета от 11 декември 2013 година за изменение на Регламент (ЕО) № 1083/2006 на Съвета по отношение на някои разпоредби относно финансовото управление за определени държави членки, които изпитват или са застрашени от сериозни затруднения с финансовата стабилност, относно правилата за освобождаване на бюджетни задължения по отношение на някои държави членки и относно правилата за плащанията на окончателното салдо;</w:t>
      </w:r>
    </w:p>
    <w:p w14:paraId="0C1511BC" w14:textId="77777777" w:rsidR="00D603F5" w:rsidRPr="000D7AE9" w:rsidRDefault="00D603F5" w:rsidP="00C94E51">
      <w:pPr>
        <w:pStyle w:val="ListParagraph"/>
        <w:numPr>
          <w:ilvl w:val="0"/>
          <w:numId w:val="370"/>
        </w:numPr>
        <w:tabs>
          <w:tab w:val="left" w:pos="1276"/>
        </w:tabs>
        <w:ind w:left="0" w:firstLine="851"/>
        <w:rPr>
          <w:b/>
          <w:lang w:eastAsia="bg-BG"/>
        </w:rPr>
      </w:pPr>
      <w:r w:rsidRPr="000D7AE9">
        <w:rPr>
          <w:b/>
          <w:lang w:eastAsia="bg-BG"/>
        </w:rPr>
        <w:lastRenderedPageBreak/>
        <w:t xml:space="preserve">Регламент (ЕС) № 1299/2013 </w:t>
      </w:r>
      <w:r w:rsidRPr="001B0EA3">
        <w:rPr>
          <w:lang w:eastAsia="bg-BG"/>
        </w:rPr>
        <w:t>на EП и на Съвета от 17 декември 2013 година относно специални разпоредби за подкрепа от Европейския фонд за регионално развитие по цел „Европейско териториално сътрудничество“;</w:t>
      </w:r>
    </w:p>
    <w:p w14:paraId="1F561DB5" w14:textId="77777777" w:rsidR="00D603F5" w:rsidRPr="000D7AE9" w:rsidRDefault="00D603F5" w:rsidP="00C94E51">
      <w:pPr>
        <w:pStyle w:val="ListParagraph"/>
        <w:numPr>
          <w:ilvl w:val="0"/>
          <w:numId w:val="370"/>
        </w:numPr>
        <w:tabs>
          <w:tab w:val="left" w:pos="1276"/>
        </w:tabs>
        <w:ind w:left="0" w:firstLine="851"/>
        <w:rPr>
          <w:b/>
          <w:lang w:eastAsia="bg-BG"/>
        </w:rPr>
      </w:pPr>
      <w:r w:rsidRPr="000D7AE9">
        <w:rPr>
          <w:b/>
          <w:lang w:eastAsia="bg-BG"/>
        </w:rPr>
        <w:t xml:space="preserve">Регламент (ЕО) № 794/2004 </w:t>
      </w:r>
      <w:r w:rsidRPr="001B0EA3">
        <w:rPr>
          <w:lang w:eastAsia="bg-BG"/>
        </w:rPr>
        <w:t>на Комисията от 21 април 2004 година за прилагането от Регламент (ЕО) № 659/1999 на Съвета относно определянето на подробни правила за прилагането на член 93 от Договора за създаване на Европейската общност (Държавни помощи);</w:t>
      </w:r>
    </w:p>
    <w:p w14:paraId="45BE7C60" w14:textId="77777777"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Регламент (</w:t>
      </w:r>
      <w:r w:rsidR="00A049D6" w:rsidRPr="000D7AE9">
        <w:rPr>
          <w:b/>
          <w:lang w:eastAsia="bg-BG"/>
        </w:rPr>
        <w:t xml:space="preserve">ЕС) 2015/1589  </w:t>
      </w:r>
      <w:r w:rsidRPr="001B0EA3">
        <w:rPr>
          <w:lang w:eastAsia="bg-BG"/>
        </w:rPr>
        <w:t xml:space="preserve">на Съвета от </w:t>
      </w:r>
      <w:r w:rsidR="00A049D6">
        <w:rPr>
          <w:lang w:eastAsia="bg-BG"/>
        </w:rPr>
        <w:t>13</w:t>
      </w:r>
      <w:r w:rsidR="00A049D6" w:rsidRPr="001B0EA3">
        <w:rPr>
          <w:lang w:eastAsia="bg-BG"/>
        </w:rPr>
        <w:t xml:space="preserve"> </w:t>
      </w:r>
      <w:r w:rsidRPr="001B0EA3">
        <w:rPr>
          <w:lang w:eastAsia="bg-BG"/>
        </w:rPr>
        <w:t>юли 201</w:t>
      </w:r>
      <w:r w:rsidR="00A049D6">
        <w:rPr>
          <w:lang w:eastAsia="bg-BG"/>
        </w:rPr>
        <w:t>5</w:t>
      </w:r>
      <w:r w:rsidRPr="001B0EA3">
        <w:rPr>
          <w:lang w:eastAsia="bg-BG"/>
        </w:rPr>
        <w:t xml:space="preserve">3 година за установяване на подробни правила за прилагането на член 108 от договора за функционирането на Европейския съюз; </w:t>
      </w:r>
    </w:p>
    <w:p w14:paraId="37B63DA0" w14:textId="77777777" w:rsidR="00D603F5" w:rsidRDefault="00D603F5" w:rsidP="00C94E51">
      <w:pPr>
        <w:pStyle w:val="ListParagraph"/>
        <w:numPr>
          <w:ilvl w:val="0"/>
          <w:numId w:val="370"/>
        </w:numPr>
        <w:tabs>
          <w:tab w:val="left" w:pos="1276"/>
        </w:tabs>
        <w:ind w:left="0" w:firstLine="851"/>
        <w:rPr>
          <w:lang w:eastAsia="bg-BG"/>
        </w:rPr>
      </w:pPr>
      <w:r w:rsidRPr="000D7AE9">
        <w:rPr>
          <w:b/>
          <w:lang w:eastAsia="bg-BG"/>
        </w:rPr>
        <w:t xml:space="preserve">Регламент (ЕО) № 1370/2007 </w:t>
      </w:r>
      <w:r w:rsidRPr="001B0EA3">
        <w:rPr>
          <w:lang w:eastAsia="bg-BG"/>
        </w:rPr>
        <w:t>на Европейския парламент и на Съвета от 23 октомври 2007 година относно обществените услуги за пътнически превоз с железопътен и автомобилен транспорт и за отмяна на регламенти (ЕИО) № 1191/69 и (ЕИО) № 1107/70 на Съвета</w:t>
      </w:r>
      <w:r w:rsidR="00B87858" w:rsidRPr="001B0EA3">
        <w:rPr>
          <w:lang w:eastAsia="bg-BG"/>
        </w:rPr>
        <w:t>.</w:t>
      </w:r>
    </w:p>
    <w:p w14:paraId="6566F94A" w14:textId="77777777" w:rsidR="000D7AE9" w:rsidRPr="001B0EA3" w:rsidRDefault="000D7AE9" w:rsidP="000D7AE9">
      <w:pPr>
        <w:tabs>
          <w:tab w:val="left" w:pos="1276"/>
        </w:tabs>
        <w:rPr>
          <w:lang w:eastAsia="bg-BG"/>
        </w:rPr>
      </w:pPr>
    </w:p>
    <w:p w14:paraId="3A7687BD" w14:textId="77777777" w:rsidR="00D603F5" w:rsidRPr="001B0EA3" w:rsidRDefault="00D603F5" w:rsidP="00ED358C">
      <w:pPr>
        <w:pStyle w:val="Style2"/>
      </w:pPr>
      <w:bookmarkStart w:id="23" w:name="_Toc479775535"/>
      <w:bookmarkStart w:id="24" w:name="_Toc140150153"/>
      <w:r w:rsidRPr="001B0EA3">
        <w:t>Делегирани Регламенти</w:t>
      </w:r>
      <w:bookmarkEnd w:id="23"/>
      <w:bookmarkEnd w:id="24"/>
    </w:p>
    <w:p w14:paraId="7042412A" w14:textId="77777777"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 xml:space="preserve">Делегиран Регламент (ЕС) № 480/2014 на Комисията от 3 март 2014 година </w:t>
      </w:r>
      <w:r w:rsidRPr="001B0EA3">
        <w:rPr>
          <w:lang w:eastAsia="bg-BG"/>
        </w:rPr>
        <w:t xml:space="preserve">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w:t>
      </w:r>
    </w:p>
    <w:p w14:paraId="38CACA7D" w14:textId="77777777"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Делегиран регламент (ЕС) № 240/2014 на Комисията от 7 януари 2014 година</w:t>
      </w:r>
      <w:r w:rsidRPr="001B0EA3">
        <w:rPr>
          <w:lang w:eastAsia="bg-BG"/>
        </w:rPr>
        <w:t xml:space="preserve"> относно Европейски кодекс на поведение за партньорство в рамките на европейските структурни и инвестиционни фондове;</w:t>
      </w:r>
    </w:p>
    <w:p w14:paraId="56C6FC58" w14:textId="77777777" w:rsidR="000D7AE9" w:rsidRPr="001B0EA3" w:rsidRDefault="000D7AE9" w:rsidP="000D7AE9">
      <w:pPr>
        <w:tabs>
          <w:tab w:val="left" w:pos="1276"/>
        </w:tabs>
        <w:rPr>
          <w:lang w:eastAsia="bg-BG"/>
        </w:rPr>
      </w:pPr>
    </w:p>
    <w:p w14:paraId="2ACB9B21" w14:textId="77777777" w:rsidR="00D603F5" w:rsidRPr="001B0EA3" w:rsidRDefault="00D603F5" w:rsidP="00ED358C">
      <w:pPr>
        <w:pStyle w:val="Style2"/>
      </w:pPr>
      <w:bookmarkStart w:id="25" w:name="_Toc479775536"/>
      <w:bookmarkStart w:id="26" w:name="_Toc140150154"/>
      <w:r w:rsidRPr="001B0EA3">
        <w:t>Регламенти за изпълнение</w:t>
      </w:r>
      <w:bookmarkEnd w:id="25"/>
      <w:bookmarkEnd w:id="26"/>
    </w:p>
    <w:p w14:paraId="600B0EB0" w14:textId="77777777" w:rsidR="00D603F5" w:rsidRPr="001B0EA3" w:rsidRDefault="00D603F5" w:rsidP="00C94E51">
      <w:pPr>
        <w:pStyle w:val="ListParagraph"/>
        <w:numPr>
          <w:ilvl w:val="0"/>
          <w:numId w:val="370"/>
        </w:numPr>
        <w:ind w:left="0" w:firstLine="851"/>
        <w:rPr>
          <w:lang w:eastAsia="bg-BG"/>
        </w:rPr>
      </w:pPr>
      <w:r w:rsidRPr="000D7AE9">
        <w:rPr>
          <w:b/>
          <w:lang w:eastAsia="bg-BG"/>
        </w:rPr>
        <w:t>Регламент за изпълнение (ЕС) № 184/2014</w:t>
      </w:r>
      <w:r w:rsidR="002032AB" w:rsidRPr="000D7AE9">
        <w:rPr>
          <w:b/>
          <w:lang w:eastAsia="bg-BG"/>
        </w:rPr>
        <w:t xml:space="preserve"> </w:t>
      </w:r>
      <w:r w:rsidRPr="000D7AE9">
        <w:rPr>
          <w:b/>
          <w:lang w:eastAsia="bg-BG"/>
        </w:rPr>
        <w:t xml:space="preserve">на Комисията от 25 февруари 2014 година </w:t>
      </w:r>
      <w:r w:rsidRPr="001B0EA3">
        <w:rPr>
          <w:lang w:eastAsia="bg-BG"/>
        </w:rPr>
        <w:t>за определяне на условията и реда, приложими за електронната система за обмен на данни между държавите членки и Комисията, съгласно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приемане на номенклатурата на категориите интервенции за подкрепа от Европейския фонд за регионално развитие по цел „Европейско териториално сътрудничество“ съгласно Регламент (ЕС) № 1299/2013 на Европейския парламент и на Съвета относно специални разпоредби за подкрепа от Европейския фонд за регионално развитие по цел „Европейско териториално сътрудничество“;</w:t>
      </w:r>
    </w:p>
    <w:p w14:paraId="233F5DA4" w14:textId="77777777" w:rsidR="00D603F5" w:rsidRPr="001B0EA3" w:rsidRDefault="00D603F5" w:rsidP="00C94E51">
      <w:pPr>
        <w:pStyle w:val="ListParagraph"/>
        <w:numPr>
          <w:ilvl w:val="0"/>
          <w:numId w:val="370"/>
        </w:numPr>
        <w:ind w:left="0" w:firstLine="851"/>
        <w:rPr>
          <w:lang w:eastAsia="bg-BG"/>
        </w:rPr>
      </w:pPr>
      <w:r w:rsidRPr="000D7AE9">
        <w:rPr>
          <w:b/>
          <w:lang w:eastAsia="bg-BG"/>
        </w:rPr>
        <w:t>Регламент за изпълнение (ЕС) № 288/2014</w:t>
      </w:r>
      <w:r w:rsidR="002032AB" w:rsidRPr="000D7AE9">
        <w:rPr>
          <w:b/>
          <w:lang w:eastAsia="bg-BG"/>
        </w:rPr>
        <w:t xml:space="preserve"> </w:t>
      </w:r>
      <w:r w:rsidRPr="000D7AE9">
        <w:rPr>
          <w:b/>
          <w:lang w:eastAsia="bg-BG"/>
        </w:rPr>
        <w:t xml:space="preserve">на Комисията от 25 февруари 2014 година </w:t>
      </w:r>
      <w:r w:rsidRPr="001B0EA3">
        <w:rPr>
          <w:lang w:eastAsia="bg-BG"/>
        </w:rPr>
        <w:t xml:space="preserve">за установяване на правила съгласно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по отношение на образеца на оперативни програми по цел „Инвестиции за растеж и работни места“ и съгласно Регламент (ЕС) № 1299/2013 на Европейския парламент </w:t>
      </w:r>
      <w:r w:rsidRPr="001B0EA3">
        <w:rPr>
          <w:lang w:eastAsia="bg-BG"/>
        </w:rPr>
        <w:lastRenderedPageBreak/>
        <w:t>и на Съвета относно специални разпоредби за подкрепа от Европейския фонд за регионално развитие по цел „Европейско териториално сътрудничество“ по отношение на образеца на програми за сътрудничество по цел „Европейско териториално сътрудничество“;</w:t>
      </w:r>
    </w:p>
    <w:p w14:paraId="50F81F0A" w14:textId="77777777" w:rsidR="00D603F5" w:rsidRPr="001B0EA3" w:rsidRDefault="00D603F5" w:rsidP="00C94E51">
      <w:pPr>
        <w:pStyle w:val="ListParagraph"/>
        <w:numPr>
          <w:ilvl w:val="0"/>
          <w:numId w:val="370"/>
        </w:numPr>
        <w:ind w:left="0" w:firstLine="851"/>
        <w:rPr>
          <w:lang w:eastAsia="bg-BG"/>
        </w:rPr>
      </w:pPr>
      <w:r w:rsidRPr="000D7AE9">
        <w:rPr>
          <w:b/>
          <w:lang w:eastAsia="bg-BG"/>
        </w:rPr>
        <w:t>Регламент за изпълнение (ЕС) № 821/2014</w:t>
      </w:r>
      <w:r w:rsidRPr="001B0EA3">
        <w:rPr>
          <w:lang w:eastAsia="bg-BG"/>
        </w:rPr>
        <w:t xml:space="preserve"> на Комисията от 28 юли 2014 година за определяне на правила за прилагането на Регламент (ЕС) № 1303/2013 на Европейския парламент и на Съвета по отношение на някои подробни разпоредби за прехвърлянето и управлението на приноса от програми, докладването относно финансовите инструменти, техническите характеристики на мерките за информация и комуникация относно операциите и системата за записване и съхранение на данни</w:t>
      </w:r>
    </w:p>
    <w:p w14:paraId="59CBA0E4" w14:textId="77777777" w:rsidR="00D603F5" w:rsidRPr="001B0EA3" w:rsidRDefault="00D603F5" w:rsidP="00C94E51">
      <w:pPr>
        <w:pStyle w:val="ListParagraph"/>
        <w:numPr>
          <w:ilvl w:val="0"/>
          <w:numId w:val="370"/>
        </w:numPr>
        <w:ind w:left="0" w:firstLine="851"/>
        <w:rPr>
          <w:lang w:eastAsia="bg-BG"/>
        </w:rPr>
      </w:pPr>
      <w:r w:rsidRPr="000D7AE9">
        <w:rPr>
          <w:b/>
          <w:lang w:eastAsia="bg-BG"/>
        </w:rPr>
        <w:t>Регламент за изпълнение (ЕС) № 215/2014</w:t>
      </w:r>
      <w:r w:rsidRPr="001B0EA3">
        <w:rPr>
          <w:lang w:eastAsia="bg-BG"/>
        </w:rPr>
        <w:t xml:space="preserve"> на Комисията от 7 март 2014 година за определяне на разпоредби за изпълнение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по отношение на методологиите за подкрепата във връзка с изменението на климата, определянето на етапни и общи цели в рамката на изпълнението и номенклатурата на категориите интервенции за европейските структурни и инвестиционни фондове.</w:t>
      </w:r>
    </w:p>
    <w:p w14:paraId="73E837FF" w14:textId="77777777" w:rsidR="00D603F5" w:rsidRPr="001B0EA3" w:rsidRDefault="00D603F5" w:rsidP="00C94E51">
      <w:pPr>
        <w:pStyle w:val="ListParagraph"/>
        <w:numPr>
          <w:ilvl w:val="0"/>
          <w:numId w:val="370"/>
        </w:numPr>
        <w:ind w:left="0" w:firstLine="851"/>
        <w:rPr>
          <w:lang w:eastAsia="bg-BG"/>
        </w:rPr>
      </w:pPr>
      <w:r w:rsidRPr="000D7AE9">
        <w:rPr>
          <w:b/>
          <w:lang w:eastAsia="bg-BG"/>
        </w:rPr>
        <w:t xml:space="preserve">Регламент за изпълнение (ЕС) № 1011/2014 </w:t>
      </w:r>
      <w:r w:rsidRPr="001B0EA3">
        <w:rPr>
          <w:lang w:eastAsia="bg-BG"/>
        </w:rPr>
        <w:t>на Комисията от 22 септември 2014 година за определяне на подробни правила за прилагането на Регламент (ЕС) № 1303/2013 на Европейския парламент и на Съвета по отношение на образците за предоставяне на определена информация на Комисията и подробни правила за обмен на информация между бенефициентите и управляващите органи, сертифициращите органи, одитните органи и междинните звена.</w:t>
      </w:r>
    </w:p>
    <w:p w14:paraId="2EB9246E" w14:textId="77777777" w:rsidR="002032AB" w:rsidRDefault="002032AB" w:rsidP="00C94E51">
      <w:pPr>
        <w:pStyle w:val="ListParagraph"/>
        <w:numPr>
          <w:ilvl w:val="0"/>
          <w:numId w:val="370"/>
        </w:numPr>
        <w:ind w:left="0" w:firstLine="851"/>
        <w:rPr>
          <w:lang w:eastAsia="bg-BG"/>
        </w:rPr>
      </w:pPr>
      <w:r w:rsidRPr="000D7AE9">
        <w:rPr>
          <w:b/>
          <w:lang w:eastAsia="bg-BG"/>
        </w:rPr>
        <w:t>Регламент за изпълнение (</w:t>
      </w:r>
      <w:r w:rsidR="004C2B93" w:rsidRPr="000D7AE9">
        <w:rPr>
          <w:b/>
          <w:lang w:eastAsia="bg-BG"/>
        </w:rPr>
        <w:t>ЕС</w:t>
      </w:r>
      <w:r w:rsidRPr="000D7AE9">
        <w:rPr>
          <w:b/>
          <w:lang w:eastAsia="bg-BG"/>
        </w:rPr>
        <w:t>)</w:t>
      </w:r>
      <w:r w:rsidR="004C2B93" w:rsidRPr="000D7AE9">
        <w:rPr>
          <w:b/>
          <w:lang w:eastAsia="bg-BG"/>
        </w:rPr>
        <w:t xml:space="preserve"> №</w:t>
      </w:r>
      <w:r w:rsidRPr="000D7AE9">
        <w:rPr>
          <w:b/>
          <w:lang w:eastAsia="bg-BG"/>
        </w:rPr>
        <w:t xml:space="preserve"> 207/2015 </w:t>
      </w:r>
      <w:r w:rsidRPr="001B0EA3">
        <w:rPr>
          <w:lang w:eastAsia="bg-BG"/>
        </w:rPr>
        <w:t>на Комисията от 20 януари 2015 година за определяне на подробни правила за прилагането на Регламент (ЕС) № 1303/2013 на Европейския парламент и на Съвета по отношение на образците за доклад за напредъка, представяне на информация относно голям проект, съвместен план за действие, доклади за изпълнението по цел „Инвестиции за растеж и работни места“, декларация за управлението, одитна стратегия, одитно становище и годишен контролен доклад, както и методология за анализ на разходите и ползите и, в съответствие с Регламент (ЕС) № 1299/2013 на Европейския парламент и на Съвета, по отношение на образеца на доклади за изпълнението по цел „Европейско териториално сътрудничество“</w:t>
      </w:r>
    </w:p>
    <w:p w14:paraId="0FB74DEE" w14:textId="77777777" w:rsidR="000D7AE9" w:rsidRPr="001B0EA3" w:rsidRDefault="000D7AE9" w:rsidP="000D7AE9">
      <w:pPr>
        <w:rPr>
          <w:lang w:eastAsia="bg-BG"/>
        </w:rPr>
      </w:pPr>
    </w:p>
    <w:p w14:paraId="06355F42" w14:textId="77777777" w:rsidR="00D603F5" w:rsidRPr="001B0EA3" w:rsidRDefault="00D603F5" w:rsidP="00ED358C">
      <w:pPr>
        <w:pStyle w:val="Style2"/>
      </w:pPr>
      <w:bookmarkStart w:id="27" w:name="_Toc479775537"/>
      <w:bookmarkStart w:id="28" w:name="_Toc140150155"/>
      <w:r w:rsidRPr="001B0EA3">
        <w:t>Директиви</w:t>
      </w:r>
      <w:bookmarkEnd w:id="27"/>
      <w:bookmarkEnd w:id="28"/>
    </w:p>
    <w:p w14:paraId="48941881" w14:textId="77777777" w:rsidR="00D603F5" w:rsidRPr="001B0EA3" w:rsidRDefault="00D603F5" w:rsidP="00C94E51">
      <w:pPr>
        <w:pStyle w:val="ListParagraph"/>
        <w:numPr>
          <w:ilvl w:val="0"/>
          <w:numId w:val="370"/>
        </w:numPr>
        <w:ind w:left="0" w:firstLine="851"/>
        <w:rPr>
          <w:lang w:eastAsia="bg-BG"/>
        </w:rPr>
      </w:pPr>
      <w:r w:rsidRPr="000D7AE9">
        <w:rPr>
          <w:b/>
          <w:lang w:eastAsia="en-US"/>
        </w:rPr>
        <w:t xml:space="preserve">Директива 2014/24/ЕС на Европейския парламент и на Съвета от 26 февруари 2014 година </w:t>
      </w:r>
      <w:r w:rsidRPr="001B0EA3">
        <w:rPr>
          <w:lang w:eastAsia="en-US"/>
        </w:rPr>
        <w:t>за обществените поръчки и за отмяна на Директива 2004/18/ЕО“ и „Директива 2014/25/ЕС на Европейския парламент и на Съвета от 26 февруари 2014 година относно възлагането на поръчки от възложители, извършващи дейност в секторите на водоснабдяването, енергетиката, транспорта и пощенските услуги и за отмяна на Директива 2004/17/ЕО;</w:t>
      </w:r>
    </w:p>
    <w:p w14:paraId="747CE92C" w14:textId="77777777" w:rsidR="00D603F5" w:rsidRPr="001B0EA3" w:rsidRDefault="00D603F5" w:rsidP="00C94E51">
      <w:pPr>
        <w:pStyle w:val="ListParagraph"/>
        <w:numPr>
          <w:ilvl w:val="0"/>
          <w:numId w:val="370"/>
        </w:numPr>
        <w:ind w:left="0" w:firstLine="851"/>
        <w:rPr>
          <w:lang w:eastAsia="bg-BG"/>
        </w:rPr>
      </w:pPr>
      <w:r w:rsidRPr="000D7AE9">
        <w:rPr>
          <w:b/>
          <w:lang w:eastAsia="bg-BG"/>
        </w:rPr>
        <w:t>Директива 2014/25/ЕС на Европейския парламент и на Съвета от 26 февруари 2014 година</w:t>
      </w:r>
      <w:r w:rsidRPr="001B0EA3">
        <w:rPr>
          <w:lang w:eastAsia="bg-BG"/>
        </w:rPr>
        <w:t xml:space="preserve"> относно възлагането на поръчки от възложители, извършващи дейност в секторите на водоснабдяването, енергетиката, транспорта и пощенските услуги и за отмяна на Директива 2004/17/ЕО</w:t>
      </w:r>
    </w:p>
    <w:p w14:paraId="770A34CB" w14:textId="77777777" w:rsidR="00D603F5" w:rsidRPr="001B0EA3" w:rsidRDefault="00D603F5" w:rsidP="00C94E51">
      <w:pPr>
        <w:pStyle w:val="ListParagraph"/>
        <w:numPr>
          <w:ilvl w:val="0"/>
          <w:numId w:val="370"/>
        </w:numPr>
        <w:ind w:left="0" w:firstLine="851"/>
        <w:rPr>
          <w:lang w:eastAsia="bg-BG"/>
        </w:rPr>
      </w:pPr>
      <w:r w:rsidRPr="000D7AE9">
        <w:rPr>
          <w:b/>
          <w:lang w:eastAsia="bg-BG"/>
        </w:rPr>
        <w:t>Директива 92/43/ЕИО на Съвета от 21 май 1992 година</w:t>
      </w:r>
      <w:r w:rsidRPr="001B0EA3">
        <w:rPr>
          <w:lang w:eastAsia="bg-BG"/>
        </w:rPr>
        <w:t xml:space="preserve"> за опазване на естествените местообитания и на дивата флора и фауна;</w:t>
      </w:r>
    </w:p>
    <w:p w14:paraId="5D983AAB" w14:textId="77777777" w:rsidR="00D603F5" w:rsidRPr="001B0EA3" w:rsidRDefault="00D603F5" w:rsidP="00C94E51">
      <w:pPr>
        <w:pStyle w:val="ListParagraph"/>
        <w:numPr>
          <w:ilvl w:val="0"/>
          <w:numId w:val="370"/>
        </w:numPr>
        <w:ind w:left="0" w:firstLine="851"/>
        <w:rPr>
          <w:lang w:eastAsia="bg-BG"/>
        </w:rPr>
      </w:pPr>
      <w:r w:rsidRPr="000D7AE9">
        <w:rPr>
          <w:b/>
          <w:lang w:eastAsia="bg-BG"/>
        </w:rPr>
        <w:t>Директива 2009/147/ЕО на Европейския парламент и на Съвета от 30 ноември 2009</w:t>
      </w:r>
      <w:r w:rsidRPr="001B0EA3">
        <w:rPr>
          <w:lang w:eastAsia="bg-BG"/>
        </w:rPr>
        <w:t xml:space="preserve"> година относно опазването на дивите птици.</w:t>
      </w:r>
    </w:p>
    <w:p w14:paraId="340F93C1" w14:textId="77777777" w:rsidR="00D603F5" w:rsidRPr="000D7AE9" w:rsidRDefault="00D603F5" w:rsidP="00C94E51">
      <w:pPr>
        <w:pStyle w:val="ListParagraph"/>
        <w:numPr>
          <w:ilvl w:val="0"/>
          <w:numId w:val="370"/>
        </w:numPr>
        <w:ind w:left="0" w:firstLine="851"/>
        <w:rPr>
          <w:color w:val="000000"/>
          <w:lang w:eastAsia="bg-BG"/>
        </w:rPr>
      </w:pPr>
      <w:r w:rsidRPr="000D7AE9">
        <w:rPr>
          <w:b/>
          <w:lang w:eastAsia="en-US"/>
        </w:rPr>
        <w:lastRenderedPageBreak/>
        <w:t xml:space="preserve">Директива  2001/42/ЕО  на  Европейския  парламент  и  на  Съвета от 27 юни 2001 година </w:t>
      </w:r>
      <w:r w:rsidRPr="001B0EA3">
        <w:rPr>
          <w:lang w:eastAsia="bg-BG"/>
        </w:rPr>
        <w:t>относно оценката на последиците на някои планове и програми върху околната среда.</w:t>
      </w:r>
    </w:p>
    <w:p w14:paraId="54A42097" w14:textId="77777777" w:rsidR="000D7AE9" w:rsidRPr="000D7AE9" w:rsidRDefault="000D7AE9" w:rsidP="000D7AE9">
      <w:pPr>
        <w:rPr>
          <w:color w:val="000000"/>
          <w:lang w:eastAsia="bg-BG"/>
        </w:rPr>
      </w:pPr>
    </w:p>
    <w:p w14:paraId="378313A7" w14:textId="77777777" w:rsidR="00D603F5" w:rsidRPr="001B0EA3" w:rsidRDefault="00D603F5" w:rsidP="00ED358C">
      <w:pPr>
        <w:pStyle w:val="Style2"/>
      </w:pPr>
      <w:bookmarkStart w:id="29" w:name="_Toc479775538"/>
      <w:bookmarkStart w:id="30" w:name="_Toc140150156"/>
      <w:r w:rsidRPr="001B0EA3">
        <w:t>Закони</w:t>
      </w:r>
      <w:bookmarkEnd w:id="29"/>
      <w:bookmarkEnd w:id="30"/>
    </w:p>
    <w:p w14:paraId="3A95BC7E" w14:textId="77777777" w:rsidR="00D603F5" w:rsidRPr="001B0EA3" w:rsidRDefault="00D603F5" w:rsidP="00C94E51">
      <w:pPr>
        <w:pStyle w:val="ListParagraph"/>
        <w:numPr>
          <w:ilvl w:val="0"/>
          <w:numId w:val="370"/>
        </w:numPr>
        <w:ind w:left="0" w:firstLine="851"/>
        <w:rPr>
          <w:lang w:eastAsia="bg-BG"/>
        </w:rPr>
      </w:pPr>
      <w:r w:rsidRPr="001B0EA3">
        <w:rPr>
          <w:lang w:eastAsia="bg-BG"/>
        </w:rPr>
        <w:t>Закон за обществените поръчки;</w:t>
      </w:r>
    </w:p>
    <w:p w14:paraId="1D6D0AE9" w14:textId="77777777" w:rsidR="00D603F5" w:rsidRPr="001B0EA3" w:rsidRDefault="00D603F5" w:rsidP="00C94E51">
      <w:pPr>
        <w:pStyle w:val="ListParagraph"/>
        <w:numPr>
          <w:ilvl w:val="0"/>
          <w:numId w:val="370"/>
        </w:numPr>
        <w:ind w:left="0" w:firstLine="851"/>
        <w:rPr>
          <w:lang w:eastAsia="bg-BG"/>
        </w:rPr>
      </w:pPr>
      <w:r w:rsidRPr="001B0EA3">
        <w:rPr>
          <w:lang w:eastAsia="bg-BG"/>
        </w:rPr>
        <w:t>Закон за опазване на околната среда;</w:t>
      </w:r>
    </w:p>
    <w:p w14:paraId="7B485E03" w14:textId="77777777" w:rsidR="00D603F5" w:rsidRPr="001B0EA3" w:rsidRDefault="00D603F5" w:rsidP="00C94E51">
      <w:pPr>
        <w:pStyle w:val="ListParagraph"/>
        <w:numPr>
          <w:ilvl w:val="0"/>
          <w:numId w:val="370"/>
        </w:numPr>
        <w:ind w:left="0" w:firstLine="851"/>
        <w:rPr>
          <w:lang w:eastAsia="bg-BG"/>
        </w:rPr>
      </w:pPr>
      <w:r w:rsidRPr="001B0EA3">
        <w:rPr>
          <w:lang w:eastAsia="bg-BG"/>
        </w:rPr>
        <w:t>Закон за устройство на територията и свързаните с неговото изпълнение нормативни актове;</w:t>
      </w:r>
    </w:p>
    <w:p w14:paraId="224BA356" w14:textId="77777777" w:rsidR="00D603F5" w:rsidRPr="001B0EA3" w:rsidRDefault="00D603F5" w:rsidP="00C94E51">
      <w:pPr>
        <w:pStyle w:val="ListParagraph"/>
        <w:numPr>
          <w:ilvl w:val="0"/>
          <w:numId w:val="370"/>
        </w:numPr>
        <w:ind w:left="0" w:firstLine="851"/>
        <w:rPr>
          <w:lang w:eastAsia="bg-BG"/>
        </w:rPr>
      </w:pPr>
      <w:r w:rsidRPr="001B0EA3">
        <w:rPr>
          <w:lang w:eastAsia="bg-BG"/>
        </w:rPr>
        <w:t>Закон за данъка върху добавената стойност и свързаните с изпълнението му нормативни актове.</w:t>
      </w:r>
    </w:p>
    <w:p w14:paraId="4AC5D2AA" w14:textId="77777777" w:rsidR="00D603F5" w:rsidRPr="001B0EA3" w:rsidRDefault="00D603F5" w:rsidP="00C94E51">
      <w:pPr>
        <w:pStyle w:val="ListParagraph"/>
        <w:numPr>
          <w:ilvl w:val="0"/>
          <w:numId w:val="370"/>
        </w:numPr>
        <w:ind w:left="0" w:firstLine="851"/>
        <w:rPr>
          <w:lang w:eastAsia="bg-BG"/>
        </w:rPr>
      </w:pPr>
      <w:r w:rsidRPr="001B0EA3">
        <w:rPr>
          <w:lang w:eastAsia="bg-BG"/>
        </w:rPr>
        <w:t>Закон за счетоводството; Международни/ Национални счетоводни стандарти; Счетоводни таблици за бюджетни организации.</w:t>
      </w:r>
    </w:p>
    <w:p w14:paraId="222F94FB" w14:textId="77777777" w:rsidR="00D603F5" w:rsidRPr="001B0EA3" w:rsidRDefault="00D603F5" w:rsidP="00C94E51">
      <w:pPr>
        <w:pStyle w:val="ListParagraph"/>
        <w:numPr>
          <w:ilvl w:val="0"/>
          <w:numId w:val="370"/>
        </w:numPr>
        <w:ind w:left="0" w:firstLine="851"/>
        <w:rPr>
          <w:lang w:eastAsia="bg-BG"/>
        </w:rPr>
      </w:pPr>
      <w:r w:rsidRPr="001B0EA3">
        <w:rPr>
          <w:lang w:eastAsia="bg-BG"/>
        </w:rPr>
        <w:t>Закон за държавните помощи;</w:t>
      </w:r>
    </w:p>
    <w:p w14:paraId="16733721" w14:textId="77777777" w:rsidR="00D603F5" w:rsidRPr="001B0EA3" w:rsidRDefault="00D603F5" w:rsidP="00C94E51">
      <w:pPr>
        <w:pStyle w:val="ListParagraph"/>
        <w:numPr>
          <w:ilvl w:val="0"/>
          <w:numId w:val="370"/>
        </w:numPr>
        <w:ind w:left="0" w:firstLine="851"/>
        <w:rPr>
          <w:lang w:eastAsia="bg-BG"/>
        </w:rPr>
      </w:pPr>
      <w:r w:rsidRPr="001B0EA3">
        <w:rPr>
          <w:lang w:eastAsia="bg-BG"/>
        </w:rPr>
        <w:t>Закон за държавната финансова инспекция;</w:t>
      </w:r>
    </w:p>
    <w:p w14:paraId="5D16AD93" w14:textId="77777777" w:rsidR="00D603F5" w:rsidRPr="001B0EA3" w:rsidRDefault="00D603F5" w:rsidP="00C94E51">
      <w:pPr>
        <w:pStyle w:val="ListParagraph"/>
        <w:numPr>
          <w:ilvl w:val="0"/>
          <w:numId w:val="370"/>
        </w:numPr>
        <w:ind w:left="0" w:firstLine="851"/>
        <w:rPr>
          <w:lang w:eastAsia="bg-BG"/>
        </w:rPr>
      </w:pPr>
      <w:r w:rsidRPr="001B0EA3">
        <w:rPr>
          <w:lang w:eastAsia="bg-BG"/>
        </w:rPr>
        <w:t>Закон за вътрешния одит в публичния сектор;</w:t>
      </w:r>
    </w:p>
    <w:p w14:paraId="4A0DD045" w14:textId="77777777" w:rsidR="00D603F5" w:rsidRPr="001B0EA3" w:rsidRDefault="00D603F5" w:rsidP="00C94E51">
      <w:pPr>
        <w:pStyle w:val="ListParagraph"/>
        <w:numPr>
          <w:ilvl w:val="0"/>
          <w:numId w:val="370"/>
        </w:numPr>
        <w:ind w:left="0" w:firstLine="851"/>
        <w:rPr>
          <w:lang w:eastAsia="bg-BG"/>
        </w:rPr>
      </w:pPr>
      <w:r w:rsidRPr="001B0EA3">
        <w:rPr>
          <w:lang w:eastAsia="bg-BG"/>
        </w:rPr>
        <w:t>Годишни закони за държавния бюджет;</w:t>
      </w:r>
    </w:p>
    <w:p w14:paraId="0EFBC82D" w14:textId="77777777" w:rsidR="00D603F5" w:rsidRPr="001B0EA3" w:rsidRDefault="00D603F5" w:rsidP="00C94E51">
      <w:pPr>
        <w:pStyle w:val="ListParagraph"/>
        <w:numPr>
          <w:ilvl w:val="0"/>
          <w:numId w:val="370"/>
        </w:numPr>
        <w:ind w:left="0" w:firstLine="851"/>
        <w:rPr>
          <w:lang w:eastAsia="bg-BG"/>
        </w:rPr>
      </w:pPr>
      <w:r w:rsidRPr="001B0EA3">
        <w:rPr>
          <w:lang w:eastAsia="bg-BG"/>
        </w:rPr>
        <w:t xml:space="preserve">Закон за кредитните институции; </w:t>
      </w:r>
    </w:p>
    <w:p w14:paraId="6C3B2968" w14:textId="77777777" w:rsidR="00B87858" w:rsidRPr="001B0EA3" w:rsidRDefault="00D603F5" w:rsidP="00C94E51">
      <w:pPr>
        <w:pStyle w:val="ListParagraph"/>
        <w:numPr>
          <w:ilvl w:val="0"/>
          <w:numId w:val="370"/>
        </w:numPr>
        <w:ind w:left="0" w:firstLine="851"/>
        <w:rPr>
          <w:lang w:eastAsia="bg-BG"/>
        </w:rPr>
      </w:pPr>
      <w:r w:rsidRPr="001B0EA3">
        <w:rPr>
          <w:lang w:eastAsia="bg-BG"/>
        </w:rPr>
        <w:t>Закон за Българска народна банка.</w:t>
      </w:r>
    </w:p>
    <w:p w14:paraId="34B06A6D" w14:textId="77777777" w:rsidR="00D603F5" w:rsidRPr="001B0EA3" w:rsidRDefault="00D603F5" w:rsidP="00C94E51">
      <w:pPr>
        <w:pStyle w:val="ListParagraph"/>
        <w:numPr>
          <w:ilvl w:val="0"/>
          <w:numId w:val="370"/>
        </w:numPr>
        <w:ind w:left="0" w:firstLine="851"/>
        <w:rPr>
          <w:lang w:eastAsia="bg-BG"/>
        </w:rPr>
      </w:pPr>
      <w:r w:rsidRPr="001B0EA3">
        <w:rPr>
          <w:lang w:eastAsia="bg-BG"/>
        </w:rPr>
        <w:t>Закон за достъпа до обществената информация.</w:t>
      </w:r>
    </w:p>
    <w:p w14:paraId="6EEFA3F2" w14:textId="77777777" w:rsidR="00D603F5" w:rsidRPr="001B0EA3" w:rsidRDefault="00D603F5" w:rsidP="00C94E51">
      <w:pPr>
        <w:pStyle w:val="ListParagraph"/>
        <w:numPr>
          <w:ilvl w:val="0"/>
          <w:numId w:val="370"/>
        </w:numPr>
        <w:ind w:left="0" w:firstLine="851"/>
        <w:rPr>
          <w:lang w:eastAsia="bg-BG"/>
        </w:rPr>
      </w:pPr>
      <w:r w:rsidRPr="001B0EA3">
        <w:rPr>
          <w:lang w:eastAsia="bg-BG"/>
        </w:rPr>
        <w:t>Закона за предотвратяване и установяване на конфликт на интереси;</w:t>
      </w:r>
    </w:p>
    <w:p w14:paraId="7A717EA3" w14:textId="77777777" w:rsidR="00D603F5" w:rsidRPr="001B0EA3" w:rsidRDefault="00D603F5" w:rsidP="00C94E51">
      <w:pPr>
        <w:pStyle w:val="ListParagraph"/>
        <w:numPr>
          <w:ilvl w:val="0"/>
          <w:numId w:val="370"/>
        </w:numPr>
        <w:ind w:left="0" w:firstLine="851"/>
        <w:rPr>
          <w:lang w:eastAsia="bg-BG"/>
        </w:rPr>
      </w:pPr>
      <w:r w:rsidRPr="001B0EA3">
        <w:rPr>
          <w:lang w:eastAsia="bg-BG"/>
        </w:rPr>
        <w:t>Закона за финансовото управление и контрол в публичния сектор;</w:t>
      </w:r>
    </w:p>
    <w:p w14:paraId="6F1419A4" w14:textId="77777777" w:rsidR="00D603F5" w:rsidRPr="001B0EA3" w:rsidRDefault="00D603F5" w:rsidP="00C94E51">
      <w:pPr>
        <w:pStyle w:val="ListParagraph"/>
        <w:numPr>
          <w:ilvl w:val="0"/>
          <w:numId w:val="370"/>
        </w:numPr>
        <w:ind w:left="0" w:firstLine="851"/>
      </w:pPr>
      <w:r w:rsidRPr="001B0EA3">
        <w:t>Закона за електронното управление</w:t>
      </w:r>
    </w:p>
    <w:p w14:paraId="71288E1A" w14:textId="77777777" w:rsidR="00EF1B96" w:rsidRDefault="00AA2688" w:rsidP="00C94E51">
      <w:pPr>
        <w:pStyle w:val="ListParagraph"/>
        <w:numPr>
          <w:ilvl w:val="0"/>
          <w:numId w:val="370"/>
        </w:numPr>
        <w:ind w:left="0" w:firstLine="851"/>
      </w:pPr>
      <w:r w:rsidRPr="001B0EA3">
        <w:t>Закон за управление на средствата от Европейските структурни и инвестиционни фондове</w:t>
      </w:r>
    </w:p>
    <w:p w14:paraId="3BE08072" w14:textId="77777777" w:rsidR="000D7AE9" w:rsidRPr="001B0EA3" w:rsidRDefault="000D7AE9" w:rsidP="000D7AE9"/>
    <w:p w14:paraId="2EAC58C7" w14:textId="77777777" w:rsidR="00D603F5" w:rsidRPr="001B0EA3" w:rsidRDefault="00D603F5" w:rsidP="00ED358C">
      <w:pPr>
        <w:pStyle w:val="Style2"/>
      </w:pPr>
      <w:bookmarkStart w:id="31" w:name="_Toc479775539"/>
      <w:bookmarkStart w:id="32" w:name="_Toc140150157"/>
      <w:r w:rsidRPr="001B0EA3">
        <w:t>Устройствени правилници</w:t>
      </w:r>
      <w:bookmarkEnd w:id="31"/>
      <w:bookmarkEnd w:id="32"/>
    </w:p>
    <w:p w14:paraId="24D68916" w14:textId="77777777" w:rsidR="00D603F5" w:rsidRPr="001B0EA3" w:rsidRDefault="00D603F5" w:rsidP="00C94E51">
      <w:pPr>
        <w:pStyle w:val="ListParagraph"/>
        <w:numPr>
          <w:ilvl w:val="0"/>
          <w:numId w:val="370"/>
        </w:numPr>
        <w:ind w:left="0" w:firstLine="851"/>
        <w:rPr>
          <w:lang w:eastAsia="bg-BG"/>
        </w:rPr>
      </w:pPr>
      <w:r w:rsidRPr="001B0EA3">
        <w:rPr>
          <w:lang w:eastAsia="bg-BG"/>
        </w:rPr>
        <w:t>Устройствен правилник на Министерството на транспорта</w:t>
      </w:r>
      <w:r w:rsidR="00D34044">
        <w:rPr>
          <w:lang w:eastAsia="bg-BG"/>
        </w:rPr>
        <w:t xml:space="preserve"> </w:t>
      </w:r>
      <w:r w:rsidRPr="001B0EA3">
        <w:rPr>
          <w:lang w:eastAsia="bg-BG"/>
        </w:rPr>
        <w:t>и съобщенията;</w:t>
      </w:r>
    </w:p>
    <w:p w14:paraId="5555CCB6" w14:textId="77777777" w:rsidR="00D603F5" w:rsidRPr="001B0EA3" w:rsidRDefault="00D603F5" w:rsidP="00C94E51">
      <w:pPr>
        <w:pStyle w:val="ListParagraph"/>
        <w:numPr>
          <w:ilvl w:val="0"/>
          <w:numId w:val="370"/>
        </w:numPr>
        <w:ind w:left="0" w:firstLine="851"/>
        <w:rPr>
          <w:lang w:eastAsia="bg-BG"/>
        </w:rPr>
      </w:pPr>
      <w:r w:rsidRPr="001B0EA3">
        <w:rPr>
          <w:lang w:eastAsia="bg-BG"/>
        </w:rPr>
        <w:t>Устройствен правилник на Министерския съвет и на неговата администрация;</w:t>
      </w:r>
    </w:p>
    <w:p w14:paraId="579B330A" w14:textId="77777777" w:rsidR="00D603F5" w:rsidRPr="001B0EA3" w:rsidRDefault="00D603F5" w:rsidP="00ED358C">
      <w:pPr>
        <w:pStyle w:val="Style2"/>
      </w:pPr>
      <w:bookmarkStart w:id="33" w:name="_Toc479775540"/>
      <w:bookmarkStart w:id="34" w:name="_Toc140150158"/>
      <w:r w:rsidRPr="001B0EA3">
        <w:t>Друга подзаконова нормативна уредба</w:t>
      </w:r>
      <w:bookmarkEnd w:id="33"/>
      <w:bookmarkEnd w:id="34"/>
    </w:p>
    <w:p w14:paraId="7801E710" w14:textId="77777777" w:rsidR="00B87858" w:rsidRPr="000D7AE9" w:rsidRDefault="00D603F5" w:rsidP="00C94E51">
      <w:pPr>
        <w:pStyle w:val="ListParagraph"/>
        <w:numPr>
          <w:ilvl w:val="0"/>
          <w:numId w:val="370"/>
        </w:numPr>
        <w:ind w:left="0" w:firstLine="851"/>
        <w:rPr>
          <w:b/>
          <w:color w:val="000000"/>
          <w:lang w:eastAsia="bg-BG"/>
        </w:rPr>
      </w:pPr>
      <w:r w:rsidRPr="001B0EA3">
        <w:rPr>
          <w:lang w:eastAsia="bg-BG"/>
        </w:rPr>
        <w:t>Методологията за определяне на финансовите корекции, които се прилагат спрямо разходите, свързани с изпълнението на оперативните програми, съфинансирани от структурните инструменти на ЕС, Европейския земеделски фонд за развитие на селските райони и Европейския фонд за рибарство;</w:t>
      </w:r>
    </w:p>
    <w:p w14:paraId="7C0A483F" w14:textId="77777777" w:rsidR="006D31EC" w:rsidRPr="000D7AE9" w:rsidRDefault="006D31EC" w:rsidP="00C94E51">
      <w:pPr>
        <w:pStyle w:val="ListParagraph"/>
        <w:numPr>
          <w:ilvl w:val="0"/>
          <w:numId w:val="370"/>
        </w:numPr>
        <w:ind w:left="0" w:firstLine="851"/>
        <w:rPr>
          <w:color w:val="000000"/>
          <w:lang w:eastAsia="bg-BG"/>
        </w:rPr>
      </w:pPr>
      <w:r w:rsidRPr="000D7AE9">
        <w:rPr>
          <w:color w:val="000000"/>
          <w:lang w:eastAsia="bg-BG"/>
        </w:rPr>
        <w:t xml:space="preserve">Наредба № Н-3 от </w:t>
      </w:r>
      <w:r w:rsidR="00A049D6" w:rsidRPr="000D7AE9">
        <w:rPr>
          <w:color w:val="000000"/>
          <w:lang w:eastAsia="bg-BG"/>
        </w:rPr>
        <w:t>22.05.2018 г. на министъра на финансите</w:t>
      </w:r>
      <w:r w:rsidRPr="000D7AE9">
        <w:rPr>
          <w:color w:val="000000"/>
          <w:lang w:eastAsia="bg-BG"/>
        </w:rPr>
        <w:t xml:space="preserve"> за определяне на правилата за плащания, за верификация и сертификация на разходите, за възстановяване и отписване на неправомерни разходи  и за осчетоводяване, както и сроковете и правилата за   приключване на счетоводната година по оперативните програми и програмите за европейско териториално сътрудничество.</w:t>
      </w:r>
    </w:p>
    <w:p w14:paraId="31828768" w14:textId="77777777" w:rsidR="005279F6" w:rsidRPr="000D7AE9" w:rsidRDefault="006035A9" w:rsidP="00C94E51">
      <w:pPr>
        <w:pStyle w:val="ListParagraph"/>
        <w:numPr>
          <w:ilvl w:val="0"/>
          <w:numId w:val="370"/>
        </w:numPr>
        <w:ind w:left="0" w:firstLine="851"/>
        <w:rPr>
          <w:color w:val="000000"/>
          <w:lang w:eastAsia="bg-BG"/>
        </w:rPr>
      </w:pPr>
      <w:hyperlink r:id="rId21" w:history="1">
        <w:r w:rsidR="005279F6" w:rsidRPr="000D7AE9">
          <w:rPr>
            <w:color w:val="000000"/>
            <w:lang w:eastAsia="bg-BG"/>
          </w:rPr>
          <w:t>Наредба №</w:t>
        </w:r>
        <w:r w:rsidR="00EF1B96" w:rsidRPr="000D7AE9">
          <w:rPr>
            <w:color w:val="000000"/>
            <w:lang w:eastAsia="bg-BG"/>
          </w:rPr>
          <w:t xml:space="preserve"> </w:t>
        </w:r>
        <w:r w:rsidR="005279F6" w:rsidRPr="000D7AE9">
          <w:rPr>
            <w:color w:val="000000"/>
            <w:lang w:eastAsia="bg-BG"/>
          </w:rPr>
          <w:t>4 от 22.07.2016 г.</w:t>
        </w:r>
      </w:hyperlink>
      <w:r w:rsidR="005279F6" w:rsidRPr="000D7AE9">
        <w:rPr>
          <w:color w:val="000000"/>
          <w:lang w:eastAsia="bg-BG"/>
        </w:rPr>
        <w:t> за определяне на реда за съгласуване на проектите на документи по чл. 26, ал. 1 от Закона за управление на средствата от Европейските структурни и инвестиционни фондове</w:t>
      </w:r>
    </w:p>
    <w:p w14:paraId="7791779F" w14:textId="77777777" w:rsidR="003C5C7F" w:rsidRPr="000D7AE9" w:rsidRDefault="003C5C7F" w:rsidP="00C94E51">
      <w:pPr>
        <w:pStyle w:val="ListParagraph"/>
        <w:numPr>
          <w:ilvl w:val="0"/>
          <w:numId w:val="370"/>
        </w:numPr>
        <w:ind w:left="0" w:firstLine="851"/>
        <w:rPr>
          <w:color w:val="000000"/>
          <w:lang w:eastAsia="bg-BG"/>
        </w:rPr>
      </w:pPr>
      <w:r w:rsidRPr="000D7AE9">
        <w:rPr>
          <w:color w:val="000000"/>
          <w:lang w:eastAsia="bg-BG"/>
        </w:rPr>
        <w:t>Наредба за определяне на условията, реда и механизма за функциониране на Информационната система за управление и наблюдение на средствата от Европейските структурни и инвестиционни фондове (ИСУН) и за провеждане на производства пред управляващите органи посредством ИСУН, приета с ПМС № 243 от 20.09.2016 г., обн., ДВ, бр. 76 от 30.09.2016 г.</w:t>
      </w:r>
    </w:p>
    <w:p w14:paraId="22A6FC9C" w14:textId="77777777" w:rsidR="00DB100E" w:rsidRPr="000D7AE9" w:rsidRDefault="00DB100E" w:rsidP="00C94E51">
      <w:pPr>
        <w:pStyle w:val="ListParagraph"/>
        <w:numPr>
          <w:ilvl w:val="0"/>
          <w:numId w:val="370"/>
        </w:numPr>
        <w:ind w:left="0" w:firstLine="851"/>
        <w:rPr>
          <w:color w:val="000000"/>
          <w:lang w:eastAsia="bg-BG"/>
        </w:rPr>
      </w:pPr>
      <w:r w:rsidRPr="000D7AE9">
        <w:rPr>
          <w:shd w:val="clear" w:color="auto" w:fill="FEFEFE"/>
          <w:lang w:eastAsia="bg-BG"/>
        </w:rPr>
        <w:t>Наредбата за администриране на нередности по европейските структурни и инвестиционни фондове, приета с ПМС № 173 от 13.07.2016 г.</w:t>
      </w:r>
    </w:p>
    <w:p w14:paraId="7B35AB3C" w14:textId="77777777" w:rsidR="00DB100E" w:rsidRPr="000D7AE9" w:rsidRDefault="00DB100E" w:rsidP="00C94E51">
      <w:pPr>
        <w:pStyle w:val="ListParagraph"/>
        <w:numPr>
          <w:ilvl w:val="0"/>
          <w:numId w:val="370"/>
        </w:numPr>
        <w:ind w:left="0" w:firstLine="851"/>
        <w:rPr>
          <w:shd w:val="clear" w:color="auto" w:fill="FEFEFE"/>
          <w:lang w:eastAsia="bg-BG"/>
        </w:rPr>
      </w:pPr>
      <w:r w:rsidRPr="000D7AE9">
        <w:rPr>
          <w:shd w:val="clear" w:color="auto" w:fill="FEFEFE"/>
          <w:lang w:eastAsia="bg-BG"/>
        </w:rPr>
        <w:lastRenderedPageBreak/>
        <w:t>Наредба за посочване на нередности, представляващи основания за извършване на финансови корекции, и процентните показатели за определяне размера на финансовите корекции по реда на Закона за управление на средствата от Европейските структурни и инвестиционни фондове, приета с ПМС № 57 от 28.03.2017 г.</w:t>
      </w:r>
    </w:p>
    <w:p w14:paraId="54F71056" w14:textId="77777777" w:rsidR="00A049D6" w:rsidRDefault="00A049D6" w:rsidP="00C94E51">
      <w:pPr>
        <w:pStyle w:val="ListParagraph"/>
        <w:numPr>
          <w:ilvl w:val="0"/>
          <w:numId w:val="370"/>
        </w:numPr>
        <w:ind w:left="0" w:firstLine="851"/>
        <w:rPr>
          <w:shd w:val="clear" w:color="auto" w:fill="FEFEFE"/>
          <w:lang w:eastAsia="bg-BG"/>
        </w:rPr>
      </w:pPr>
      <w:r w:rsidRPr="000D7AE9">
        <w:rPr>
          <w:shd w:val="clear" w:color="auto" w:fill="FEFEFE"/>
          <w:lang w:eastAsia="bg-BG"/>
        </w:rPr>
        <w:t>Правилник за прилагане на Закона за държавните помощи;</w:t>
      </w:r>
    </w:p>
    <w:p w14:paraId="253A90AE" w14:textId="77777777" w:rsidR="000D7AE9" w:rsidRPr="000D7AE9" w:rsidRDefault="000D7AE9" w:rsidP="000D7AE9">
      <w:pPr>
        <w:rPr>
          <w:shd w:val="clear" w:color="auto" w:fill="FEFEFE"/>
          <w:lang w:eastAsia="bg-BG"/>
        </w:rPr>
      </w:pPr>
    </w:p>
    <w:p w14:paraId="52CD2A18" w14:textId="77777777" w:rsidR="00D603F5" w:rsidRPr="001B0EA3" w:rsidRDefault="00D603F5" w:rsidP="00ED358C">
      <w:pPr>
        <w:pStyle w:val="Style2"/>
      </w:pPr>
      <w:bookmarkStart w:id="35" w:name="_Toc479775541"/>
      <w:bookmarkStart w:id="36" w:name="_Toc140150159"/>
      <w:r w:rsidRPr="001B0EA3">
        <w:t>Меморандуми</w:t>
      </w:r>
      <w:bookmarkEnd w:id="35"/>
      <w:bookmarkEnd w:id="36"/>
    </w:p>
    <w:p w14:paraId="23D4AE1E" w14:textId="77777777" w:rsidR="00D603F5" w:rsidRPr="001B0EA3" w:rsidRDefault="00D603F5" w:rsidP="00C94E51">
      <w:pPr>
        <w:pStyle w:val="ListParagraph"/>
        <w:numPr>
          <w:ilvl w:val="0"/>
          <w:numId w:val="370"/>
        </w:numPr>
        <w:ind w:left="0" w:firstLine="851"/>
        <w:rPr>
          <w:lang w:eastAsia="bg-BG"/>
        </w:rPr>
      </w:pPr>
      <w:r w:rsidRPr="001B0EA3">
        <w:rPr>
          <w:lang w:eastAsia="bg-BG"/>
        </w:rPr>
        <w:t>Меморандум за разбирателство между Правителството на Република България и Световната банка за партньорство и оказване на техническа подкрепа във връзка с изпълнението на Структурните инструменти на Европейския съюз.</w:t>
      </w:r>
    </w:p>
    <w:p w14:paraId="31286EBF" w14:textId="77777777" w:rsidR="00D603F5" w:rsidRDefault="00D603F5" w:rsidP="00C94E51">
      <w:pPr>
        <w:pStyle w:val="ListParagraph"/>
        <w:numPr>
          <w:ilvl w:val="0"/>
          <w:numId w:val="370"/>
        </w:numPr>
        <w:ind w:left="0" w:firstLine="851"/>
        <w:rPr>
          <w:lang w:eastAsia="bg-BG"/>
        </w:rPr>
      </w:pPr>
      <w:r w:rsidRPr="001B0EA3">
        <w:rPr>
          <w:lang w:eastAsia="bg-BG"/>
        </w:rPr>
        <w:t>Меморандум за разбирателство между Република България и Европейската инвестиционна банка за оказване на подкрепа във връзка с изпълнението на проекти, финансирани от Структурните инструменти на Европейския съюз.</w:t>
      </w:r>
    </w:p>
    <w:p w14:paraId="772D518D" w14:textId="77777777" w:rsidR="000D7AE9" w:rsidRPr="001B0EA3" w:rsidRDefault="000D7AE9" w:rsidP="000D7AE9">
      <w:pPr>
        <w:rPr>
          <w:lang w:eastAsia="bg-BG"/>
        </w:rPr>
      </w:pPr>
    </w:p>
    <w:p w14:paraId="209E88F5" w14:textId="77777777" w:rsidR="00D603F5" w:rsidRPr="001B0EA3" w:rsidRDefault="00D603F5" w:rsidP="00ED358C">
      <w:pPr>
        <w:pStyle w:val="Style2"/>
      </w:pPr>
      <w:bookmarkStart w:id="37" w:name="_Toc479775542"/>
      <w:bookmarkStart w:id="38" w:name="_Toc140150160"/>
      <w:r w:rsidRPr="001B0EA3">
        <w:t>Други</w:t>
      </w:r>
      <w:bookmarkEnd w:id="37"/>
      <w:bookmarkEnd w:id="38"/>
    </w:p>
    <w:p w14:paraId="7CF8E6DB" w14:textId="77777777" w:rsidR="00D603F5" w:rsidRPr="001B0EA3" w:rsidRDefault="00D603F5" w:rsidP="00C94E51">
      <w:pPr>
        <w:pStyle w:val="ListParagraph"/>
        <w:numPr>
          <w:ilvl w:val="0"/>
          <w:numId w:val="370"/>
        </w:numPr>
        <w:ind w:left="0" w:firstLine="851"/>
        <w:rPr>
          <w:lang w:eastAsia="bg-BG"/>
        </w:rPr>
      </w:pPr>
      <w:r w:rsidRPr="001B0EA3">
        <w:rPr>
          <w:lang w:eastAsia="bg-BG"/>
        </w:rPr>
        <w:t>Договора за създаване на Европейската общност</w:t>
      </w:r>
      <w:r w:rsidR="00EF1B96" w:rsidRPr="001B0EA3">
        <w:rPr>
          <w:lang w:eastAsia="bg-BG"/>
        </w:rPr>
        <w:t>;</w:t>
      </w:r>
    </w:p>
    <w:p w14:paraId="73BD672D" w14:textId="77777777" w:rsidR="00D603F5" w:rsidRPr="001B0EA3" w:rsidRDefault="00D603F5" w:rsidP="00C94E51">
      <w:pPr>
        <w:pStyle w:val="ListParagraph"/>
        <w:numPr>
          <w:ilvl w:val="0"/>
          <w:numId w:val="370"/>
        </w:numPr>
        <w:ind w:left="0" w:firstLine="851"/>
        <w:rPr>
          <w:lang w:eastAsia="bg-BG"/>
        </w:rPr>
      </w:pPr>
      <w:r w:rsidRPr="001B0EA3">
        <w:rPr>
          <w:lang w:eastAsia="bg-BG"/>
        </w:rPr>
        <w:t>Договора за функциониране на Европейския съюз</w:t>
      </w:r>
      <w:r w:rsidR="00EF1B96" w:rsidRPr="001B0EA3">
        <w:rPr>
          <w:lang w:eastAsia="bg-BG"/>
        </w:rPr>
        <w:t>;</w:t>
      </w:r>
    </w:p>
    <w:p w14:paraId="442C20DC" w14:textId="77777777" w:rsidR="00EF1B96" w:rsidRPr="001B0EA3" w:rsidRDefault="00D603F5" w:rsidP="00C94E51">
      <w:pPr>
        <w:pStyle w:val="ListParagraph"/>
        <w:numPr>
          <w:ilvl w:val="0"/>
          <w:numId w:val="370"/>
        </w:numPr>
        <w:ind w:left="0" w:firstLine="851"/>
      </w:pPr>
      <w:r w:rsidRPr="001B0EA3">
        <w:rPr>
          <w:lang w:eastAsia="bg-BG"/>
        </w:rPr>
        <w:t>Договора за Европейския съюз</w:t>
      </w:r>
      <w:r w:rsidR="00EF1B96" w:rsidRPr="001B0EA3">
        <w:rPr>
          <w:lang w:eastAsia="bg-BG"/>
        </w:rPr>
        <w:t>;</w:t>
      </w:r>
    </w:p>
    <w:p w14:paraId="6BF566F8" w14:textId="77777777" w:rsidR="00D603F5" w:rsidRDefault="00EF1B96" w:rsidP="00C94E51">
      <w:pPr>
        <w:pStyle w:val="ListParagraph"/>
        <w:numPr>
          <w:ilvl w:val="0"/>
          <w:numId w:val="370"/>
        </w:numPr>
        <w:ind w:left="0" w:firstLine="851"/>
      </w:pPr>
      <w:r w:rsidRPr="001B0EA3">
        <w:rPr>
          <w:lang w:eastAsia="en-US"/>
        </w:rPr>
        <w:t>Известие на Комисията (2016/C 262/01) относно понятието за държавна помощ, посочено в член 107, параграф 1 от Договора за функционирането на Европейския съюз</w:t>
      </w:r>
    </w:p>
    <w:p w14:paraId="407C2A23" w14:textId="77777777" w:rsidR="000D7AE9" w:rsidRPr="001B0EA3" w:rsidRDefault="000D7AE9" w:rsidP="000D7AE9"/>
    <w:p w14:paraId="766945DF" w14:textId="77777777" w:rsidR="00D603F5" w:rsidRPr="00A110A4" w:rsidRDefault="00D603F5" w:rsidP="00F058E0">
      <w:pPr>
        <w:pStyle w:val="Style1"/>
      </w:pPr>
      <w:bookmarkStart w:id="39" w:name="_Toc479775543"/>
      <w:bookmarkStart w:id="40" w:name="_Toc140150161"/>
      <w:r w:rsidRPr="00A110A4">
        <w:t>ЦЕЛ, СЪЩНОСТ И ПРОМЯНА НА ПРОЦЕДУРНИЯ НАРЪЧНИК</w:t>
      </w:r>
      <w:bookmarkEnd w:id="39"/>
      <w:bookmarkEnd w:id="40"/>
    </w:p>
    <w:p w14:paraId="3FAA6EF4" w14:textId="77777777" w:rsidR="00D603F5" w:rsidRPr="00842ECC" w:rsidRDefault="00D603F5" w:rsidP="00B502C7">
      <w:pPr>
        <w:pStyle w:val="Style2"/>
        <w:rPr>
          <w:lang w:val="bg-BG"/>
        </w:rPr>
      </w:pPr>
      <w:r w:rsidRPr="00842ECC">
        <w:rPr>
          <w:lang w:val="bg-BG"/>
        </w:rPr>
        <w:t xml:space="preserve"> </w:t>
      </w:r>
      <w:bookmarkStart w:id="41" w:name="_Toc479775544"/>
      <w:bookmarkStart w:id="42" w:name="_Toc140150162"/>
      <w:r w:rsidRPr="00842ECC">
        <w:rPr>
          <w:lang w:val="bg-BG"/>
        </w:rPr>
        <w:t>Цел и същност на процедурния наръчник</w:t>
      </w:r>
      <w:bookmarkEnd w:id="41"/>
      <w:bookmarkEnd w:id="42"/>
    </w:p>
    <w:p w14:paraId="086F52B2" w14:textId="77777777" w:rsidR="00D603F5" w:rsidRPr="001B0EA3" w:rsidRDefault="00D603F5" w:rsidP="006F6777">
      <w:r w:rsidRPr="001B0EA3">
        <w:t>Целта на настоящия Процедурен наръчник за управление и изпълнение на  Оперативна програма „Транспорт  и транспортна инфраструктура” 2014-2020 г. (Процедурен наръчник) е да определи принципите, изискванията и процедурите за управление, изпълнение, контрол, наблюдение и оценка на ОПТТИ за периода 2014-2020 г. Наръчникът е изготвен от дирекция „Координация на програми и проекти” -УО на ОПТТИ и е насочен към различни звена в рамките на УО, както и към бенефициентите и други заинтересовани страни.</w:t>
      </w:r>
    </w:p>
    <w:p w14:paraId="31C43827" w14:textId="77777777" w:rsidR="00D603F5" w:rsidRPr="001B0EA3" w:rsidRDefault="00D603F5" w:rsidP="006F6777">
      <w:r w:rsidRPr="001B0EA3">
        <w:t>Процедурният наръчник описва институционалната организация, включително структурата и отговорностите на УО на ОПТТИ, отговорностите на различните отдели в рамките на УО, взаимоотношенията на УО на ОПТТИ с други звена, ангажирани с управлението и изпълнението на Европейските структурни и инвестиционни фондове.</w:t>
      </w:r>
    </w:p>
    <w:p w14:paraId="4FAB0091" w14:textId="77777777" w:rsidR="00D603F5" w:rsidRPr="001B0EA3" w:rsidRDefault="00D603F5" w:rsidP="006F6777">
      <w:r w:rsidRPr="001B0EA3">
        <w:t>Този Процедурен наръчник допринася за по-добро разбиране на регламентите на ЕК и процедурите на публичната администрация, ангажирана в процеса на управление, изпълнение, контрол, наблюдение и оценка на ОПТТИ. Процедурният наръчник спомага да се идентифицират важните връзки между регламентите и да се разяснят специфични процедури, приети от Комисията за да се постигне съответствие с изискванията на регламентите. Още повече, наръчникът също може да се използва за подпомагане обучаването на нови служители и да бъде източник на публична информация.</w:t>
      </w:r>
    </w:p>
    <w:p w14:paraId="6E4190B1" w14:textId="77777777" w:rsidR="00D603F5" w:rsidRPr="001B0EA3" w:rsidRDefault="00D603F5" w:rsidP="006F6777">
      <w:r w:rsidRPr="001B0EA3">
        <w:t>Процедурният наръчник съдържа основните процедури за управление и контрол при работата с КФ и ЕФРР – програмиране, кандидатстване за финансиране, процедури за одобрение, изпълнение на проекти, обществени поръчки, и плащания, наблюдение и оценка, мерки за публичност, системи за управление и контрол.</w:t>
      </w:r>
    </w:p>
    <w:p w14:paraId="6458C438" w14:textId="77777777" w:rsidR="00621A02" w:rsidRPr="001B0EA3" w:rsidRDefault="00621A02" w:rsidP="006F6777">
      <w:r w:rsidRPr="001B0EA3">
        <w:t xml:space="preserve">В изпълнение на Заповед № РД-08-239/19.05.2014 г. на ръководителя на УО на ОПТТИ сформираната работна група изготви </w:t>
      </w:r>
      <w:r w:rsidR="00C24C0F" w:rsidRPr="001B0EA3">
        <w:t xml:space="preserve">проект на </w:t>
      </w:r>
      <w:r w:rsidRPr="001B0EA3">
        <w:t xml:space="preserve">ПНУИ на ОПТТИ и описание на системите за управление и контрол на ОПТТИ – </w:t>
      </w:r>
      <w:r w:rsidRPr="001B0EA3">
        <w:rPr>
          <w:b/>
        </w:rPr>
        <w:t>версия 1.0</w:t>
      </w:r>
      <w:r w:rsidRPr="001B0EA3">
        <w:t xml:space="preserve">, утвърдена на 16.03.2015 г. </w:t>
      </w:r>
      <w:r w:rsidR="00C24C0F" w:rsidRPr="001B0EA3">
        <w:lastRenderedPageBreak/>
        <w:t xml:space="preserve">Съгласно утвърдените процедури Версия 1.0 на описанието на системите за управление и контрол е изпратено с писмо № 07-00-161/18.03.2015 г. на </w:t>
      </w:r>
      <w:r w:rsidR="00C24C0F" w:rsidRPr="001B0EA3">
        <w:rPr>
          <w:bCs/>
          <w:iCs/>
        </w:rPr>
        <w:t xml:space="preserve">ИА ОСЕС, в качеството им на независим Одитен орган за оценка на съответствието за извършване на одит за получаване на акредитация на органите по ОПТТИ, за да се осигури способността им да изпълняват възложените им отговорности, съответно по чл. 125 и чл. 126 от Регламент (ЕС) № 1303/2013. </w:t>
      </w:r>
      <w:r w:rsidR="00C24C0F" w:rsidRPr="001B0EA3">
        <w:t xml:space="preserve">В предварителния одитен доклад на ИА ОСЕС, получен на 13.08.2015 г. е представена предварителна оценка като са идентифицирани общо 13 препоръки, отразени от УО на ОПТТИ във </w:t>
      </w:r>
      <w:r w:rsidR="00C24C0F" w:rsidRPr="001B0EA3">
        <w:rPr>
          <w:b/>
        </w:rPr>
        <w:t>версия 1.1</w:t>
      </w:r>
      <w:r w:rsidR="00C24C0F" w:rsidRPr="001B0EA3">
        <w:t xml:space="preserve"> на процедурния наръчник.</w:t>
      </w:r>
    </w:p>
    <w:p w14:paraId="3C6C842B" w14:textId="77777777" w:rsidR="00E205CA" w:rsidRPr="001B0EA3" w:rsidRDefault="00BD1359" w:rsidP="006F6777">
      <w:r w:rsidRPr="001B0EA3">
        <w:t>С обнародването на Закона за управление на средствата от европейските структурни и инвестиционни фондове (ЗУСЕСИФ) на 22.12.2015 г. се наложиха  актуализиране на версия 1.1 на Процедурния наръчник за управление и изпълнение на ОПТТИ, с цел привеждане на процедурите, определящи условията за предоставяне на безвъзмездна финансова помощ в съответствие с новата нормативна база. С доклад № 14-00-1432/14.10.2016 г. е одобрена версия 2.0 на наръчника.</w:t>
      </w:r>
    </w:p>
    <w:p w14:paraId="2A1727B6" w14:textId="77777777" w:rsidR="00C24C0F" w:rsidRDefault="00BD1359" w:rsidP="006F6777">
      <w:r w:rsidRPr="001B0EA3">
        <w:t xml:space="preserve"> </w:t>
      </w:r>
      <w:r w:rsidR="00E205CA" w:rsidRPr="001B0EA3">
        <w:t xml:space="preserve">С Доклад № 14-00-1485/26.10.2016 г. е заменено </w:t>
      </w:r>
      <w:hyperlink r:id="rId22" w:tooltip="Декларация за служителите в УО касаеща запознаването им с понятията нередност и измама и реда за докладване на нередности по ОПТТИ" w:history="1">
        <w:r w:rsidR="00CB7CEB" w:rsidRPr="00251D03">
          <w:rPr>
            <w:rStyle w:val="Hyperlink"/>
            <w:i/>
          </w:rPr>
          <w:t>Приложение № 6.01</w:t>
        </w:r>
      </w:hyperlink>
      <w:r w:rsidR="00E205CA" w:rsidRPr="001B0EA3">
        <w:t xml:space="preserve"> „Декларация за служителите в УО, </w:t>
      </w:r>
      <w:r w:rsidR="00CE0A74" w:rsidRPr="001B0EA3">
        <w:t>касаеща</w:t>
      </w:r>
      <w:r w:rsidR="00E205CA" w:rsidRPr="001B0EA3">
        <w:t xml:space="preserve"> запознаването им с понятията нередност и измама и реда за докладване на нередности по ОПТТИ“.</w:t>
      </w:r>
    </w:p>
    <w:p w14:paraId="555B2C89" w14:textId="77777777" w:rsidR="000100F4" w:rsidRPr="000100F4" w:rsidRDefault="000100F4" w:rsidP="000100F4">
      <w:pPr>
        <w:rPr>
          <w:bCs/>
          <w:iCs/>
        </w:rPr>
      </w:pPr>
      <w:r w:rsidRPr="000100F4">
        <w:rPr>
          <w:bCs/>
          <w:iCs/>
        </w:rPr>
        <w:t xml:space="preserve">Версия 3.0 е подготвена в изпълнение на препоръките на Одитния орган, направени с представения с вх. № на </w:t>
      </w:r>
      <w:r w:rsidR="00BB6BF6">
        <w:rPr>
          <w:bCs/>
          <w:iCs/>
        </w:rPr>
        <w:t>МТС</w:t>
      </w:r>
      <w:r w:rsidRPr="000100F4">
        <w:rPr>
          <w:bCs/>
          <w:iCs/>
        </w:rPr>
        <w:t xml:space="preserve"> 07-00-39/01.02.2017 г. окончателен одитен доклад за резултатите от системен одит за увереност относно ефективното функциониране на системите за управление и контрол на Управляващия орган на Оперативна програма „Транспорт и транспортна инфраструктура“. Версия 3.0 на ПНУИ на ОПТТИ е одобрена от Ръководителя на УО на ОПТТИ с доклад № 14-00-577/13.04.2017 г. </w:t>
      </w:r>
    </w:p>
    <w:p w14:paraId="25C85F2F" w14:textId="77777777" w:rsidR="000100F4" w:rsidRPr="000100F4" w:rsidRDefault="000100F4" w:rsidP="000100F4">
      <w:pPr>
        <w:rPr>
          <w:bCs/>
          <w:iCs/>
        </w:rPr>
      </w:pPr>
      <w:r w:rsidRPr="000100F4">
        <w:rPr>
          <w:bCs/>
          <w:iCs/>
        </w:rPr>
        <w:t>В последствие на версия 3.0 са извършени промени както следва следните подверсии:</w:t>
      </w:r>
    </w:p>
    <w:p w14:paraId="12F858A2" w14:textId="77777777" w:rsidR="000100F4" w:rsidRPr="000100F4" w:rsidRDefault="000100F4" w:rsidP="000100F4">
      <w:pPr>
        <w:rPr>
          <w:bCs/>
          <w:iCs/>
        </w:rPr>
      </w:pPr>
      <w:r w:rsidRPr="000100F4">
        <w:rPr>
          <w:bCs/>
          <w:iCs/>
        </w:rPr>
        <w:t>•</w:t>
      </w:r>
      <w:r w:rsidRPr="000100F4">
        <w:rPr>
          <w:bCs/>
          <w:iCs/>
        </w:rPr>
        <w:tab/>
        <w:t>Версия 3.1, одобрена с доклад № 14-00-940/20.07.2017 г., с което към глава „Обществени поръчки“ са създадени четири нови контролни листа за проверка на обществени поръчки.</w:t>
      </w:r>
    </w:p>
    <w:p w14:paraId="5C6CE810" w14:textId="77777777" w:rsidR="000100F4" w:rsidRPr="000100F4" w:rsidRDefault="000100F4" w:rsidP="000100F4">
      <w:pPr>
        <w:rPr>
          <w:bCs/>
          <w:iCs/>
        </w:rPr>
      </w:pPr>
      <w:r w:rsidRPr="000100F4">
        <w:rPr>
          <w:bCs/>
          <w:iCs/>
        </w:rPr>
        <w:t>•</w:t>
      </w:r>
      <w:r w:rsidRPr="000100F4">
        <w:rPr>
          <w:bCs/>
          <w:iCs/>
        </w:rPr>
        <w:tab/>
        <w:t>Версия 3.2, одобрена с доклад № 14-00-1038/22.08.2017 г., към глава „Програмиране“ е актуализиран контролен лист – Приложение № 3.14;</w:t>
      </w:r>
    </w:p>
    <w:p w14:paraId="590F83E7" w14:textId="77777777" w:rsidR="000100F4" w:rsidRPr="000100F4" w:rsidRDefault="000100F4" w:rsidP="000100F4">
      <w:pPr>
        <w:rPr>
          <w:bCs/>
          <w:iCs/>
        </w:rPr>
      </w:pPr>
      <w:r w:rsidRPr="000100F4">
        <w:rPr>
          <w:bCs/>
          <w:iCs/>
        </w:rPr>
        <w:t>•</w:t>
      </w:r>
      <w:r w:rsidRPr="000100F4">
        <w:rPr>
          <w:bCs/>
          <w:iCs/>
        </w:rPr>
        <w:tab/>
        <w:t>Версия 3.2, одобрена с доклад № 14-00-995/07.08.2017 г. във връзка с процедура за изготвяне на Декларация за управлението;</w:t>
      </w:r>
    </w:p>
    <w:p w14:paraId="434429CE" w14:textId="77777777" w:rsidR="000100F4" w:rsidRPr="000100F4" w:rsidRDefault="000100F4" w:rsidP="000100F4">
      <w:pPr>
        <w:rPr>
          <w:bCs/>
          <w:iCs/>
        </w:rPr>
      </w:pPr>
      <w:r w:rsidRPr="000100F4">
        <w:rPr>
          <w:bCs/>
          <w:iCs/>
        </w:rPr>
        <w:t>•</w:t>
      </w:r>
      <w:r w:rsidRPr="000100F4">
        <w:rPr>
          <w:bCs/>
          <w:iCs/>
        </w:rPr>
        <w:tab/>
        <w:t>Версия 3.3, одобрена с доклад № 14-00-1453/29.11.2017 г. с което се създава контролен лист - Приложение 3.09;</w:t>
      </w:r>
    </w:p>
    <w:p w14:paraId="2904AB77" w14:textId="77777777" w:rsidR="000100F4" w:rsidRPr="001B0EA3" w:rsidRDefault="000100F4" w:rsidP="000100F4">
      <w:pPr>
        <w:rPr>
          <w:bCs/>
          <w:iCs/>
        </w:rPr>
      </w:pPr>
      <w:r w:rsidRPr="000100F4">
        <w:rPr>
          <w:bCs/>
          <w:iCs/>
        </w:rPr>
        <w:t>Версия 3.4, одобрена с доклад № 14-00-555/17.04.2018 г. с което се заменят контролни листове Приложение 4.00.01 и следващи от глава „Обществени поръчки“.</w:t>
      </w:r>
    </w:p>
    <w:p w14:paraId="3332AFBA" w14:textId="77777777" w:rsidR="00C24C0F" w:rsidRPr="001B0EA3" w:rsidRDefault="00C24C0F" w:rsidP="00890B4B">
      <w:pPr>
        <w:pStyle w:val="Normal1"/>
        <w:spacing w:before="0" w:beforeAutospacing="0" w:after="0" w:afterAutospacing="0"/>
        <w:rPr>
          <w:color w:val="000000"/>
        </w:rPr>
      </w:pPr>
    </w:p>
    <w:p w14:paraId="3A8C2E97" w14:textId="77777777" w:rsidR="00D603F5" w:rsidRPr="001B0EA3" w:rsidRDefault="00D603F5" w:rsidP="00B502C7">
      <w:pPr>
        <w:pStyle w:val="Style2"/>
      </w:pPr>
      <w:bookmarkStart w:id="43" w:name="_Toc479775545"/>
      <w:bookmarkStart w:id="44" w:name="_Toc140150163"/>
      <w:r w:rsidRPr="001B0EA3">
        <w:t>Запознаване с Процедурния наръчник</w:t>
      </w:r>
      <w:bookmarkEnd w:id="43"/>
      <w:bookmarkEnd w:id="44"/>
    </w:p>
    <w:p w14:paraId="2EE41D4A" w14:textId="77777777" w:rsidR="00D603F5" w:rsidRPr="001B0EA3" w:rsidRDefault="00D603F5" w:rsidP="006F6777">
      <w:r w:rsidRPr="001B0EA3">
        <w:t>Като служители в Управляващия орган на Оперативна програма „Транспорт и транспортна инфраструктура” 2014 – 2020 г. всички служители от дирекция КПП следва в срок до 6 дни от утвърждаването на процедурния наръчник да се запознаят и да спазват установените процедури и правила в него и приложенията му. След като се запознае с наръчника всеки служител се разписва в декларация по образец (</w:t>
      </w:r>
      <w:hyperlink r:id="rId23" w:tooltip="Декларация за запознаване с процедурния наръчник" w:history="1">
        <w:r w:rsidR="00D81EE3" w:rsidRPr="00251D03">
          <w:rPr>
            <w:i/>
            <w:color w:val="0000FF"/>
            <w:szCs w:val="24"/>
            <w:u w:val="single"/>
            <w:lang w:eastAsia="bg-BG"/>
          </w:rPr>
          <w:t>Приложение № 1.01</w:t>
        </w:r>
      </w:hyperlink>
      <w:r w:rsidRPr="001B0EA3">
        <w:t xml:space="preserve">), която се съхранява в досие. </w:t>
      </w:r>
    </w:p>
    <w:p w14:paraId="00446FD6" w14:textId="77777777" w:rsidR="00D603F5" w:rsidRPr="001B0EA3" w:rsidRDefault="00D603F5" w:rsidP="006F6777">
      <w:r w:rsidRPr="001B0EA3">
        <w:t>Всеки новопостъпил служител е длъжен да се запознае с актуалната версия на наръчника и да се подпише декларация по образец (</w:t>
      </w:r>
      <w:hyperlink r:id="rId24" w:tooltip="Декларация за запознаване с процедурния наръчник" w:history="1">
        <w:r w:rsidR="00D81EE3" w:rsidRPr="00251D03">
          <w:rPr>
            <w:i/>
            <w:color w:val="0000FF"/>
            <w:szCs w:val="24"/>
            <w:u w:val="single"/>
            <w:lang w:eastAsia="bg-BG"/>
          </w:rPr>
          <w:t>Приложение № 1.01</w:t>
        </w:r>
      </w:hyperlink>
      <w:r w:rsidRPr="001B0EA3">
        <w:t xml:space="preserve">) в срок от 15 </w:t>
      </w:r>
      <w:r w:rsidR="009523B4" w:rsidRPr="001B0EA3">
        <w:t xml:space="preserve">работни </w:t>
      </w:r>
      <w:r w:rsidRPr="001B0EA3">
        <w:t>дни от датата на назначаването.</w:t>
      </w:r>
    </w:p>
    <w:p w14:paraId="5C8310F3" w14:textId="77777777" w:rsidR="00D15A8B" w:rsidRPr="001B0EA3" w:rsidRDefault="00D15A8B" w:rsidP="006F6777">
      <w:r w:rsidRPr="001B0EA3">
        <w:tab/>
        <w:t xml:space="preserve">В случай, че служител е декларирал, че се е запознал с актуалната версия на </w:t>
      </w:r>
      <w:r w:rsidR="002D37C2" w:rsidRPr="001B0EA3">
        <w:t>Процедурния наръчник</w:t>
      </w:r>
      <w:r w:rsidRPr="001B0EA3">
        <w:t>, за под-верси</w:t>
      </w:r>
      <w:r w:rsidR="002D37C2" w:rsidRPr="001B0EA3">
        <w:t>ите</w:t>
      </w:r>
      <w:r w:rsidRPr="001B0EA3">
        <w:t xml:space="preserve"> на тази версия</w:t>
      </w:r>
      <w:r w:rsidR="002D37C2" w:rsidRPr="001B0EA3">
        <w:t>, до въвеждане на следваща версия</w:t>
      </w:r>
      <w:r w:rsidRPr="001B0EA3">
        <w:t xml:space="preserve"> не е необходимо да се подписва </w:t>
      </w:r>
      <w:r w:rsidR="002D37C2" w:rsidRPr="001B0EA3">
        <w:t xml:space="preserve">нова </w:t>
      </w:r>
      <w:r w:rsidRPr="001B0EA3">
        <w:t>декларация</w:t>
      </w:r>
      <w:r w:rsidR="002D37C2" w:rsidRPr="001B0EA3">
        <w:t xml:space="preserve">. Съгласно текста на </w:t>
      </w:r>
      <w:hyperlink r:id="rId25" w:history="1">
        <w:r w:rsidR="00D81EE3" w:rsidRPr="00C87BD0">
          <w:rPr>
            <w:rStyle w:val="Hyperlink"/>
            <w:i/>
            <w:szCs w:val="24"/>
            <w:lang w:eastAsia="bg-BG"/>
          </w:rPr>
          <w:t>Приложение</w:t>
        </w:r>
      </w:hyperlink>
      <w:r w:rsidR="00D81EE3" w:rsidRPr="00251D03">
        <w:rPr>
          <w:i/>
          <w:color w:val="0000FF"/>
          <w:szCs w:val="24"/>
          <w:u w:val="single"/>
          <w:lang w:eastAsia="bg-BG"/>
        </w:rPr>
        <w:t xml:space="preserve"> № 1.01</w:t>
      </w:r>
      <w:r w:rsidR="002D37C2" w:rsidRPr="001B0EA3">
        <w:t xml:space="preserve"> служителите поемат </w:t>
      </w:r>
      <w:r w:rsidR="00CE0A74" w:rsidRPr="001B0EA3">
        <w:t>задължението</w:t>
      </w:r>
      <w:r w:rsidR="002D37C2" w:rsidRPr="001B0EA3">
        <w:t xml:space="preserve"> предварително да се запознаят и с под-версиите на </w:t>
      </w:r>
      <w:r w:rsidR="002D37C2" w:rsidRPr="001B0EA3">
        <w:lastRenderedPageBreak/>
        <w:t xml:space="preserve">съответната версия. Предвид, че промените в под-версиите са или директна промяна на текстове и приложения, приложени към доклада за промяна или </w:t>
      </w:r>
      <w:r w:rsidR="006D00C8" w:rsidRPr="001B0EA3">
        <w:t xml:space="preserve">незначителни </w:t>
      </w:r>
      <w:r w:rsidR="001335E4" w:rsidRPr="001B0EA3">
        <w:t xml:space="preserve">изменения, </w:t>
      </w:r>
      <w:r w:rsidR="006D00C8" w:rsidRPr="001B0EA3">
        <w:t>служителите следа да се запознаят с нея в срок до 2 работни дни.</w:t>
      </w:r>
      <w:r w:rsidR="001335E4" w:rsidRPr="001B0EA3">
        <w:t xml:space="preserve">   </w:t>
      </w:r>
    </w:p>
    <w:p w14:paraId="2B2E1A90" w14:textId="77777777" w:rsidR="004109D8" w:rsidRPr="001B0EA3" w:rsidRDefault="004109D8" w:rsidP="006F6777">
      <w:r w:rsidRPr="001B0EA3">
        <w:t>Служителите от дирекция КПП се уведомяват чрез електронна поща с посочен линк към електронната версия на утвърдения Процедурен наръчник.</w:t>
      </w:r>
    </w:p>
    <w:p w14:paraId="22BDD7D6" w14:textId="01E23400" w:rsidR="00DE3C1D" w:rsidRPr="001B0EA3" w:rsidRDefault="00DE3C1D" w:rsidP="006F6777">
      <w:pPr>
        <w:rPr>
          <w:color w:val="000000"/>
          <w:lang w:eastAsia="bg-BG"/>
        </w:rPr>
      </w:pPr>
      <w:r w:rsidRPr="001B0EA3">
        <w:t xml:space="preserve">Служител от отдел </w:t>
      </w:r>
      <w:r w:rsidR="00C47477" w:rsidRPr="00C47477">
        <w:t>„Информация, публичност и техническа помощ</w:t>
      </w:r>
      <w:r w:rsidR="00C47477" w:rsidRPr="007A62D2">
        <w:t>”</w:t>
      </w:r>
      <w:r w:rsidR="00C47477" w:rsidRPr="001B0EA3">
        <w:t xml:space="preserve"> </w:t>
      </w:r>
      <w:r w:rsidRPr="001B0EA3">
        <w:t xml:space="preserve"> на дирекция КПП публикува актуалната одобрена версия  на интернет страницата на ОПТТИ </w:t>
      </w:r>
      <w:hyperlink r:id="rId26" w:history="1">
        <w:r w:rsidR="00842ECC" w:rsidRPr="00842ECC">
          <w:rPr>
            <w:rStyle w:val="Hyperlink"/>
            <w:szCs w:val="24"/>
          </w:rPr>
          <w:t>www.</w:t>
        </w:r>
        <w:r w:rsidR="00842ECC" w:rsidRPr="00842ECC">
          <w:rPr>
            <w:rStyle w:val="Hyperlink"/>
            <w:szCs w:val="24"/>
            <w:lang w:val="en-US"/>
          </w:rPr>
          <w:t>eufunds</w:t>
        </w:r>
        <w:r w:rsidR="00842ECC" w:rsidRPr="00842ECC">
          <w:rPr>
            <w:rStyle w:val="Hyperlink"/>
            <w:szCs w:val="24"/>
          </w:rPr>
          <w:t>.bg</w:t>
        </w:r>
      </w:hyperlink>
      <w:r w:rsidR="00842ECC" w:rsidRPr="006A6D08">
        <w:rPr>
          <w:szCs w:val="24"/>
        </w:rPr>
        <w:t>/</w:t>
      </w:r>
      <w:r w:rsidR="00842ECC">
        <w:rPr>
          <w:szCs w:val="24"/>
          <w:lang w:val="en-US"/>
        </w:rPr>
        <w:t>optti</w:t>
      </w:r>
      <w:r w:rsidRPr="001B0EA3">
        <w:t xml:space="preserve"> в срок до 5 работни дни от датата на утвърждаването му.</w:t>
      </w:r>
    </w:p>
    <w:p w14:paraId="680DF831" w14:textId="1894D1C4" w:rsidR="0011310F" w:rsidRDefault="0011310F" w:rsidP="006F6777">
      <w:pPr>
        <w:rPr>
          <w:color w:val="000000"/>
          <w:lang w:eastAsia="bg-BG"/>
        </w:rPr>
      </w:pPr>
      <w:r w:rsidRPr="001B0EA3">
        <w:rPr>
          <w:color w:val="000000"/>
          <w:lang w:eastAsia="bg-BG"/>
        </w:rPr>
        <w:t>Вс</w:t>
      </w:r>
      <w:r w:rsidR="00F275B6" w:rsidRPr="001B0EA3">
        <w:rPr>
          <w:color w:val="000000"/>
          <w:lang w:eastAsia="bg-BG"/>
        </w:rPr>
        <w:t>еки</w:t>
      </w:r>
      <w:r w:rsidRPr="001B0EA3">
        <w:rPr>
          <w:color w:val="000000"/>
          <w:lang w:eastAsia="bg-BG"/>
        </w:rPr>
        <w:t xml:space="preserve"> мо</w:t>
      </w:r>
      <w:r w:rsidR="00F275B6" w:rsidRPr="001B0EA3">
        <w:rPr>
          <w:color w:val="000000"/>
          <w:lang w:eastAsia="bg-BG"/>
        </w:rPr>
        <w:t xml:space="preserve">же </w:t>
      </w:r>
      <w:r w:rsidRPr="001B0EA3">
        <w:rPr>
          <w:color w:val="000000"/>
          <w:lang w:eastAsia="bg-BG"/>
        </w:rPr>
        <w:t>да се запозна</w:t>
      </w:r>
      <w:r w:rsidR="00F275B6" w:rsidRPr="001B0EA3">
        <w:rPr>
          <w:color w:val="000000"/>
          <w:lang w:eastAsia="bg-BG"/>
        </w:rPr>
        <w:t>е</w:t>
      </w:r>
      <w:r w:rsidRPr="001B0EA3">
        <w:rPr>
          <w:color w:val="000000"/>
          <w:lang w:eastAsia="bg-BG"/>
        </w:rPr>
        <w:t xml:space="preserve"> с Процедурния наръчник, който се нам</w:t>
      </w:r>
      <w:r w:rsidR="004109D8" w:rsidRPr="001B0EA3">
        <w:rPr>
          <w:color w:val="000000"/>
          <w:lang w:eastAsia="bg-BG"/>
        </w:rPr>
        <w:t>и</w:t>
      </w:r>
      <w:r w:rsidRPr="001B0EA3">
        <w:rPr>
          <w:color w:val="000000"/>
          <w:lang w:eastAsia="bg-BG"/>
        </w:rPr>
        <w:t>р</w:t>
      </w:r>
      <w:r w:rsidR="004109D8" w:rsidRPr="001B0EA3">
        <w:rPr>
          <w:color w:val="000000"/>
          <w:lang w:eastAsia="bg-BG"/>
        </w:rPr>
        <w:t>а</w:t>
      </w:r>
      <w:r w:rsidRPr="001B0EA3">
        <w:rPr>
          <w:color w:val="000000"/>
          <w:lang w:eastAsia="bg-BG"/>
        </w:rPr>
        <w:t xml:space="preserve"> на интернет страницата на ОПТТИ</w:t>
      </w:r>
      <w:r w:rsidR="00842ECC" w:rsidRPr="006A6D08">
        <w:rPr>
          <w:color w:val="000000"/>
          <w:lang w:eastAsia="bg-BG"/>
        </w:rPr>
        <w:t xml:space="preserve"> </w:t>
      </w:r>
      <w:hyperlink r:id="rId27" w:history="1">
        <w:r w:rsidR="00842ECC" w:rsidRPr="00842ECC">
          <w:rPr>
            <w:rStyle w:val="Hyperlink"/>
            <w:lang w:eastAsia="bg-BG"/>
          </w:rPr>
          <w:t>www.</w:t>
        </w:r>
        <w:r w:rsidR="00842ECC" w:rsidRPr="00842ECC">
          <w:rPr>
            <w:rStyle w:val="Hyperlink"/>
            <w:lang w:val="en-US" w:eastAsia="bg-BG"/>
          </w:rPr>
          <w:t>eufunds</w:t>
        </w:r>
        <w:r w:rsidR="00842ECC" w:rsidRPr="00842ECC">
          <w:rPr>
            <w:rStyle w:val="Hyperlink"/>
            <w:lang w:eastAsia="bg-BG"/>
          </w:rPr>
          <w:t>.bg</w:t>
        </w:r>
      </w:hyperlink>
      <w:r w:rsidR="00842ECC" w:rsidRPr="00842ECC">
        <w:rPr>
          <w:color w:val="000000"/>
          <w:lang w:eastAsia="bg-BG"/>
        </w:rPr>
        <w:t>/</w:t>
      </w:r>
      <w:r w:rsidR="00842ECC" w:rsidRPr="00842ECC">
        <w:rPr>
          <w:color w:val="000000"/>
          <w:lang w:val="en-US" w:eastAsia="bg-BG"/>
        </w:rPr>
        <w:t>optti</w:t>
      </w:r>
      <w:r w:rsidRPr="001B0EA3">
        <w:rPr>
          <w:color w:val="000000"/>
          <w:lang w:eastAsia="bg-BG"/>
        </w:rPr>
        <w:t>.</w:t>
      </w:r>
    </w:p>
    <w:p w14:paraId="7AF76CA1" w14:textId="77777777" w:rsidR="002305A7" w:rsidRPr="001B0EA3" w:rsidRDefault="002305A7" w:rsidP="006F6777">
      <w:pPr>
        <w:rPr>
          <w:color w:val="000000"/>
          <w:lang w:eastAsia="bg-BG"/>
        </w:rPr>
      </w:pPr>
    </w:p>
    <w:p w14:paraId="010F4DDC" w14:textId="77777777" w:rsidR="00D603F5" w:rsidRPr="001B0EA3" w:rsidRDefault="00D603F5" w:rsidP="00B502C7">
      <w:pPr>
        <w:pStyle w:val="Style2"/>
      </w:pPr>
      <w:bookmarkStart w:id="45" w:name="_Toc479775546"/>
      <w:bookmarkStart w:id="46" w:name="_Toc140150164"/>
      <w:r w:rsidRPr="001B0EA3">
        <w:t>Промяна на процедурния наръчник</w:t>
      </w:r>
      <w:bookmarkEnd w:id="45"/>
      <w:bookmarkEnd w:id="46"/>
    </w:p>
    <w:p w14:paraId="432A9DA7" w14:textId="77777777" w:rsidR="00D603F5" w:rsidRPr="001B0EA3" w:rsidRDefault="00D603F5" w:rsidP="006F6777">
      <w:r w:rsidRPr="001B0EA3">
        <w:t>Имайки предвид възможността от възникване на необходимост за промени в Процедурния наръчник за управление и изпълнение на ОПТТИ, породени от различни фактори е необходимо следването на Процедура за промяна на Процедурния наръчник</w:t>
      </w:r>
      <w:r w:rsidR="00DE1ABB" w:rsidRPr="001B0EA3">
        <w:t xml:space="preserve"> за управление и изпълнение на ОПТТИ (Процедурен наръчник)</w:t>
      </w:r>
      <w:r w:rsidRPr="001B0EA3">
        <w:t xml:space="preserve">. Целта на процедурата е да установи реда за действие в УО на ОПТТИ при изготвяне на нови и/или изменение, допълнение или отмяна на текстове в Процедурния наръчник и приложенията към него. </w:t>
      </w:r>
    </w:p>
    <w:p w14:paraId="54EEFA5E" w14:textId="77777777" w:rsidR="00D603F5" w:rsidRPr="001B0EA3" w:rsidRDefault="00D603F5" w:rsidP="006F6777">
      <w:r w:rsidRPr="001B0EA3">
        <w:t>Предложените промени за изменение, допълнение или създаване на нови текстове и приложения в наръчника, следва да бъдат съобразени и издържани  от гледна точка на законосъобразност, приложимост, целесъобразност, аргументираност, съгласуваност с други релевантни вътрешни документи, свързани с управлението и изпълнението на ОПТТИ.</w:t>
      </w:r>
    </w:p>
    <w:p w14:paraId="6F07C043" w14:textId="77777777" w:rsidR="00D603F5" w:rsidRPr="001B0EA3" w:rsidRDefault="00D603F5" w:rsidP="006F6777">
      <w:r w:rsidRPr="001B0EA3">
        <w:t>Идентифицирането на необходимостта от подобряване/оптимизиране на процедурите в Процедурния наръчник може да възникне в резултат на различни обстоятелства, като:</w:t>
      </w:r>
    </w:p>
    <w:p w14:paraId="1767BB8F" w14:textId="77777777" w:rsidR="00D603F5" w:rsidRPr="001B0EA3" w:rsidRDefault="00D603F5" w:rsidP="006F6777">
      <w:pPr>
        <w:pStyle w:val="ListParagraph"/>
        <w:numPr>
          <w:ilvl w:val="0"/>
          <w:numId w:val="384"/>
        </w:numPr>
        <w:tabs>
          <w:tab w:val="left" w:pos="1134"/>
        </w:tabs>
        <w:ind w:left="0" w:firstLine="851"/>
      </w:pPr>
      <w:r w:rsidRPr="001B0EA3">
        <w:t>извършена оценка на образец на документ, приложен към наръчника;</w:t>
      </w:r>
    </w:p>
    <w:p w14:paraId="0193221D" w14:textId="77777777" w:rsidR="00D603F5" w:rsidRPr="001B0EA3" w:rsidRDefault="00D603F5" w:rsidP="006F6777">
      <w:pPr>
        <w:pStyle w:val="ListParagraph"/>
        <w:numPr>
          <w:ilvl w:val="0"/>
          <w:numId w:val="384"/>
        </w:numPr>
        <w:tabs>
          <w:tab w:val="left" w:pos="1134"/>
        </w:tabs>
        <w:ind w:left="0" w:firstLine="851"/>
      </w:pPr>
      <w:r w:rsidRPr="001B0EA3">
        <w:t>влизане в сила на нови актове на правото на ЕС  или национални правни актове или изменение/ допълнение на влезли в сила актове;</w:t>
      </w:r>
    </w:p>
    <w:p w14:paraId="049058C1" w14:textId="77777777" w:rsidR="00D603F5" w:rsidRPr="001B0EA3" w:rsidRDefault="00D603F5" w:rsidP="006F6777">
      <w:pPr>
        <w:pStyle w:val="ListParagraph"/>
        <w:numPr>
          <w:ilvl w:val="0"/>
          <w:numId w:val="384"/>
        </w:numPr>
        <w:tabs>
          <w:tab w:val="left" w:pos="1134"/>
        </w:tabs>
        <w:ind w:left="0" w:firstLine="851"/>
      </w:pPr>
      <w:r w:rsidRPr="001B0EA3">
        <w:t>препоръки и коментари на одитни и/или други контролни органи;</w:t>
      </w:r>
    </w:p>
    <w:p w14:paraId="30A989A8" w14:textId="77777777" w:rsidR="00D603F5" w:rsidRPr="001B0EA3" w:rsidRDefault="00D603F5" w:rsidP="006F6777">
      <w:pPr>
        <w:pStyle w:val="ListParagraph"/>
        <w:numPr>
          <w:ilvl w:val="0"/>
          <w:numId w:val="384"/>
        </w:numPr>
        <w:tabs>
          <w:tab w:val="left" w:pos="1134"/>
        </w:tabs>
        <w:ind w:left="0" w:firstLine="851"/>
      </w:pPr>
      <w:r w:rsidRPr="001B0EA3">
        <w:t xml:space="preserve">отстраняване на пропуски, неясноти, противоречия, установени при практическото прилагане на текстове от наръчника или приложенията към него; </w:t>
      </w:r>
    </w:p>
    <w:p w14:paraId="7312B113" w14:textId="77777777" w:rsidR="00D603F5" w:rsidRPr="001B0EA3" w:rsidRDefault="00D603F5" w:rsidP="006F6777">
      <w:pPr>
        <w:pStyle w:val="ListParagraph"/>
        <w:numPr>
          <w:ilvl w:val="0"/>
          <w:numId w:val="384"/>
        </w:numPr>
        <w:tabs>
          <w:tab w:val="left" w:pos="1134"/>
        </w:tabs>
        <w:ind w:left="0" w:firstLine="851"/>
      </w:pPr>
      <w:r w:rsidRPr="001B0EA3">
        <w:t>взети решения на работни срещи в рамките на УО на ОПТТИ;</w:t>
      </w:r>
    </w:p>
    <w:p w14:paraId="2F202BEA" w14:textId="77777777" w:rsidR="00D603F5" w:rsidRPr="001B0EA3" w:rsidRDefault="00D603F5" w:rsidP="006F6777">
      <w:pPr>
        <w:pStyle w:val="ListParagraph"/>
        <w:numPr>
          <w:ilvl w:val="0"/>
          <w:numId w:val="384"/>
        </w:numPr>
        <w:tabs>
          <w:tab w:val="left" w:pos="1134"/>
        </w:tabs>
        <w:ind w:left="0" w:firstLine="851"/>
      </w:pPr>
      <w:r w:rsidRPr="001B0EA3">
        <w:t>въвеждане на установена добра практика от други управляващи органи;</w:t>
      </w:r>
    </w:p>
    <w:p w14:paraId="00417193" w14:textId="77777777" w:rsidR="00D603F5" w:rsidRPr="001B0EA3" w:rsidRDefault="00D603F5" w:rsidP="006F6777">
      <w:pPr>
        <w:pStyle w:val="ListParagraph"/>
        <w:numPr>
          <w:ilvl w:val="0"/>
          <w:numId w:val="384"/>
        </w:numPr>
        <w:tabs>
          <w:tab w:val="left" w:pos="1134"/>
        </w:tabs>
        <w:ind w:left="0" w:firstLine="851"/>
      </w:pPr>
      <w:r w:rsidRPr="001B0EA3">
        <w:t>извършване на оценка на риска;</w:t>
      </w:r>
    </w:p>
    <w:p w14:paraId="69AEC567" w14:textId="77777777" w:rsidR="00D603F5" w:rsidRPr="001B0EA3" w:rsidRDefault="00D603F5" w:rsidP="006F6777">
      <w:pPr>
        <w:pStyle w:val="ListParagraph"/>
        <w:numPr>
          <w:ilvl w:val="0"/>
          <w:numId w:val="384"/>
        </w:numPr>
        <w:tabs>
          <w:tab w:val="left" w:pos="1134"/>
        </w:tabs>
        <w:ind w:left="0" w:firstLine="851"/>
      </w:pPr>
      <w:r w:rsidRPr="001B0EA3">
        <w:t>други причини.</w:t>
      </w:r>
    </w:p>
    <w:p w14:paraId="70D7F8AD" w14:textId="77777777" w:rsidR="00D603F5" w:rsidRPr="001B0EA3" w:rsidRDefault="00D603F5" w:rsidP="006F6777"/>
    <w:p w14:paraId="286C0188" w14:textId="77777777" w:rsidR="00D603F5" w:rsidRPr="001B0EA3" w:rsidRDefault="00D603F5" w:rsidP="006F6777">
      <w:r w:rsidRPr="001B0EA3">
        <w:t>При промяна на приложимото европейско и национално законодателство и при промяна в структурата и/или основни функции на УО на ОПТТИ задължително се извършва промяна в наръчника, като се изготвя нова версия.</w:t>
      </w:r>
    </w:p>
    <w:p w14:paraId="52837B79" w14:textId="77777777" w:rsidR="00D603F5" w:rsidRPr="001B0EA3" w:rsidRDefault="00D603F5" w:rsidP="006F6777"/>
    <w:p w14:paraId="1924AC39" w14:textId="77777777" w:rsidR="00D603F5" w:rsidRPr="001B0EA3" w:rsidRDefault="00D603F5" w:rsidP="006F6777">
      <w:r w:rsidRPr="001B0EA3">
        <w:t>Процедурата за промяна на Процедурния наръчник, включва следните стъпки:</w:t>
      </w:r>
    </w:p>
    <w:p w14:paraId="2EEFC353" w14:textId="77777777" w:rsidR="00D603F5" w:rsidRPr="006F6777" w:rsidRDefault="00D603F5" w:rsidP="006F6777">
      <w:pPr>
        <w:pStyle w:val="ListParagraph"/>
        <w:numPr>
          <w:ilvl w:val="0"/>
          <w:numId w:val="384"/>
        </w:numPr>
        <w:tabs>
          <w:tab w:val="left" w:pos="1134"/>
        </w:tabs>
        <w:ind w:left="0" w:firstLine="851"/>
      </w:pPr>
      <w:r w:rsidRPr="006F6777">
        <w:t>иницииране на промяна в наръчника, чрез създаване на нови, изменение и/или допълнение или отмяна на текстове и приложения към Процедурния наръчник;</w:t>
      </w:r>
    </w:p>
    <w:p w14:paraId="3F251EF8" w14:textId="77777777" w:rsidR="00D603F5" w:rsidRPr="006F6777" w:rsidRDefault="00D603F5" w:rsidP="006F6777">
      <w:pPr>
        <w:pStyle w:val="ListParagraph"/>
        <w:numPr>
          <w:ilvl w:val="0"/>
          <w:numId w:val="384"/>
        </w:numPr>
        <w:tabs>
          <w:tab w:val="left" w:pos="1134"/>
        </w:tabs>
        <w:ind w:left="0" w:firstLine="851"/>
      </w:pPr>
      <w:r w:rsidRPr="006F6777">
        <w:t>съгласуване на промяната в наръчника;</w:t>
      </w:r>
    </w:p>
    <w:p w14:paraId="0E21E571" w14:textId="77777777" w:rsidR="00D603F5" w:rsidRPr="006F6777" w:rsidRDefault="00D603F5" w:rsidP="006F6777">
      <w:pPr>
        <w:pStyle w:val="ListParagraph"/>
        <w:numPr>
          <w:ilvl w:val="0"/>
          <w:numId w:val="384"/>
        </w:numPr>
        <w:tabs>
          <w:tab w:val="left" w:pos="1134"/>
        </w:tabs>
        <w:ind w:left="0" w:firstLine="851"/>
      </w:pPr>
      <w:r w:rsidRPr="006F6777">
        <w:t>одобрение на промяната в наръчника;</w:t>
      </w:r>
    </w:p>
    <w:p w14:paraId="456BCF41" w14:textId="77777777" w:rsidR="00D603F5" w:rsidRPr="006F6777" w:rsidRDefault="00D603F5" w:rsidP="006F6777">
      <w:pPr>
        <w:pStyle w:val="ListParagraph"/>
        <w:numPr>
          <w:ilvl w:val="0"/>
          <w:numId w:val="384"/>
        </w:numPr>
        <w:tabs>
          <w:tab w:val="left" w:pos="1134"/>
        </w:tabs>
        <w:ind w:left="0" w:firstLine="851"/>
      </w:pPr>
      <w:r w:rsidRPr="006F6777">
        <w:t>утвърждаване на променената версия на наръчника;</w:t>
      </w:r>
    </w:p>
    <w:p w14:paraId="53FADB16" w14:textId="77777777" w:rsidR="00D603F5" w:rsidRPr="006F6777" w:rsidRDefault="00D603F5" w:rsidP="006F6777">
      <w:pPr>
        <w:pStyle w:val="ListParagraph"/>
        <w:numPr>
          <w:ilvl w:val="0"/>
          <w:numId w:val="384"/>
        </w:numPr>
        <w:tabs>
          <w:tab w:val="left" w:pos="1134"/>
        </w:tabs>
        <w:ind w:left="0" w:firstLine="851"/>
      </w:pPr>
      <w:r w:rsidRPr="006F6777">
        <w:t>осигуряване на достъп до променената версия на наръчника на всички участници в процеса.</w:t>
      </w:r>
    </w:p>
    <w:p w14:paraId="59B3B91A" w14:textId="77777777" w:rsidR="00D603F5" w:rsidRPr="001B0EA3" w:rsidRDefault="00D603F5" w:rsidP="006F6777"/>
    <w:p w14:paraId="5ED0F9AD" w14:textId="77777777" w:rsidR="00D603F5" w:rsidRPr="006F6777" w:rsidRDefault="00D603F5" w:rsidP="006F6777">
      <w:pPr>
        <w:rPr>
          <w:b/>
          <w:u w:val="single"/>
        </w:rPr>
      </w:pPr>
      <w:r w:rsidRPr="006F6777">
        <w:rPr>
          <w:b/>
          <w:u w:val="single"/>
        </w:rPr>
        <w:t>Процедура за промяна в Процедурния наръчник</w:t>
      </w:r>
    </w:p>
    <w:p w14:paraId="12075CE2" w14:textId="77777777" w:rsidR="00D603F5" w:rsidRPr="001B0EA3" w:rsidRDefault="00D603F5" w:rsidP="006F6777">
      <w:r w:rsidRPr="001B0EA3">
        <w:lastRenderedPageBreak/>
        <w:t xml:space="preserve">Всеки един от началниците на отдели в дирекция КПП - УО на ОПТТИ и/или друга структура, участваща в изпълнението на ОПТТИ, и/или одитен или контролен орган може да инициира промяна в наръчника. </w:t>
      </w:r>
    </w:p>
    <w:p w14:paraId="3F830751" w14:textId="77777777"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Промяната може да се отнася за изготвяне на нови и/или изменение, допълнение или отмяна на текстове в Процедурния наръчник</w:t>
      </w:r>
      <w:r w:rsidR="00DE1ABB" w:rsidRPr="001B0EA3">
        <w:rPr>
          <w:szCs w:val="24"/>
        </w:rPr>
        <w:t xml:space="preserve"> </w:t>
      </w:r>
      <w:r w:rsidRPr="001B0EA3">
        <w:rPr>
          <w:szCs w:val="24"/>
        </w:rPr>
        <w:t xml:space="preserve">и/или приложенията към Процедурния наръчник. Инициирането става чрез доклад, електронно писмо или устно до директора на дирекция КПП. </w:t>
      </w:r>
    </w:p>
    <w:p w14:paraId="20BC97A1" w14:textId="77777777"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Изготвяне на доклад, мотивиращ промяната, изменението или допълнението на наръчника от служител/и от отдела/ите от дирекция КПП, иницииращи промяната на наръчника. В доклада се обосновава промяната и се посочват  конкретни причини за наложилата се промяна.</w:t>
      </w:r>
    </w:p>
    <w:p w14:paraId="7E11AFDC" w14:textId="77777777"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Към доклада освен описание, обосновка и мотивировка на промените могат да бъдат разработени и конкретни предложения за нови текстове или приложения.</w:t>
      </w:r>
    </w:p>
    <w:p w14:paraId="079489DB" w14:textId="77777777" w:rsidR="00D603F5" w:rsidRPr="001B0EA3" w:rsidRDefault="00D603F5" w:rsidP="006F6777">
      <w:r w:rsidRPr="001B0EA3">
        <w:t>Срок за изпълнение: До 5 работни дни</w:t>
      </w:r>
    </w:p>
    <w:p w14:paraId="68793EA5" w14:textId="77777777"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Началникът/ците на отдел/и, иницииращ/и промяната на наръчника в дирекция КПП съгласуват доклада за промяната.</w:t>
      </w:r>
    </w:p>
    <w:p w14:paraId="0E65209A" w14:textId="77777777" w:rsidR="00D603F5" w:rsidRPr="001B0EA3" w:rsidRDefault="00D603F5" w:rsidP="006F6777">
      <w:r w:rsidRPr="006F6777">
        <w:rPr>
          <w:i/>
        </w:rPr>
        <w:t>Срок за изпълнение:</w:t>
      </w:r>
      <w:r w:rsidRPr="001B0EA3">
        <w:t xml:space="preserve"> До 5 работни дни</w:t>
      </w:r>
    </w:p>
    <w:p w14:paraId="58A0738F" w14:textId="77777777"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 xml:space="preserve">Доклада за промяната на наръчника се подписва от </w:t>
      </w:r>
      <w:r w:rsidR="00F275B6" w:rsidRPr="001B0EA3">
        <w:rPr>
          <w:szCs w:val="24"/>
        </w:rPr>
        <w:t xml:space="preserve">иницииращото/ите звено/а или </w:t>
      </w:r>
      <w:r w:rsidRPr="001B0EA3">
        <w:rPr>
          <w:szCs w:val="24"/>
        </w:rPr>
        <w:t>директора на дирекция КПП</w:t>
      </w:r>
      <w:r w:rsidR="00D107C1" w:rsidRPr="001B0EA3">
        <w:rPr>
          <w:szCs w:val="24"/>
        </w:rPr>
        <w:t xml:space="preserve"> (не е приложимо, когато директора на дирекция КПП е и Ръководител на УО на ОПТТИ)</w:t>
      </w:r>
      <w:r w:rsidRPr="001B0EA3">
        <w:rPr>
          <w:szCs w:val="24"/>
        </w:rPr>
        <w:t>. В случай на коментари, бележки или отказ за промяната, директора на дирекция КПП връща доклада на иницииращото/ите звено/а с конкретни указания</w:t>
      </w:r>
      <w:r w:rsidR="00DE1ABB" w:rsidRPr="001B0EA3">
        <w:rPr>
          <w:szCs w:val="24"/>
        </w:rPr>
        <w:t xml:space="preserve"> за изпълнение</w:t>
      </w:r>
      <w:r w:rsidRPr="001B0EA3">
        <w:rPr>
          <w:szCs w:val="24"/>
        </w:rPr>
        <w:t>.</w:t>
      </w:r>
    </w:p>
    <w:p w14:paraId="1E7E16F5" w14:textId="77777777" w:rsidR="00D603F5" w:rsidRPr="001B0EA3" w:rsidRDefault="00D603F5" w:rsidP="006F6777">
      <w:r w:rsidRPr="006F6777">
        <w:rPr>
          <w:i/>
        </w:rPr>
        <w:t>Срок за изпълнение:</w:t>
      </w:r>
      <w:r w:rsidRPr="001B0EA3">
        <w:t xml:space="preserve"> До 3 работни дни</w:t>
      </w:r>
    </w:p>
    <w:p w14:paraId="66437EF5" w14:textId="77777777" w:rsidR="00D603F5" w:rsidRPr="006F6777" w:rsidRDefault="00D603F5" w:rsidP="00890B4B">
      <w:pPr>
        <w:pStyle w:val="ListParagraph"/>
        <w:numPr>
          <w:ilvl w:val="0"/>
          <w:numId w:val="385"/>
        </w:numPr>
        <w:tabs>
          <w:tab w:val="left" w:pos="1276"/>
        </w:tabs>
        <w:spacing w:before="120"/>
        <w:ind w:left="0" w:firstLine="851"/>
        <w:contextualSpacing w:val="0"/>
        <w:rPr>
          <w:b/>
          <w:szCs w:val="24"/>
        </w:rPr>
      </w:pPr>
      <w:r w:rsidRPr="001B0EA3">
        <w:rPr>
          <w:szCs w:val="24"/>
        </w:rPr>
        <w:t>Доклада за промяната на наръчника подлежи на одобрение/утвърждаване от Ръководителя на УО на ОПТТИ. В случай на коментари, бележки или отказ за промяната, Ръководителя на УО на ОПТТИ връща доклада с конкретни указания.</w:t>
      </w:r>
      <w:r w:rsidRPr="006F6777">
        <w:rPr>
          <w:szCs w:val="24"/>
        </w:rPr>
        <w:t xml:space="preserve"> </w:t>
      </w:r>
      <w:r w:rsidRPr="006F6777">
        <w:rPr>
          <w:b/>
          <w:szCs w:val="24"/>
        </w:rPr>
        <w:t>В случай, че в мотивирания доклад има конкретни предложения за промяна на наръчника, които не изискват допълнително разработване, те се считат за одобрени и влизат в сила от датата на одобрението на доклада, освен ако в доклада не е посочено друго.</w:t>
      </w:r>
    </w:p>
    <w:p w14:paraId="466A618F" w14:textId="77777777" w:rsidR="00D603F5" w:rsidRPr="001B0EA3" w:rsidRDefault="00D603F5" w:rsidP="006F6777"/>
    <w:p w14:paraId="7A2D7BA5" w14:textId="77777777" w:rsidR="00D603F5" w:rsidRPr="001B0EA3" w:rsidRDefault="00D603F5" w:rsidP="006F6777">
      <w:r w:rsidRPr="001B0EA3">
        <w:t>В този случай промените се считат за част от действащата към момента версия (М) на процедурен наръчник, като се създава под-версия № M.N</w:t>
      </w:r>
      <w:r w:rsidRPr="001B0EA3">
        <w:rPr>
          <w:vertAlign w:val="superscript"/>
        </w:rPr>
        <w:footnoteReference w:id="4"/>
      </w:r>
      <w:r w:rsidRPr="001B0EA3">
        <w:t xml:space="preserve"> и одобрения доклад за тях се прилага към него.</w:t>
      </w:r>
    </w:p>
    <w:p w14:paraId="3DED5AD5" w14:textId="77777777" w:rsidR="00D603F5" w:rsidRPr="001B0EA3" w:rsidRDefault="00D603F5" w:rsidP="006F6777">
      <w:r w:rsidRPr="001B0EA3">
        <w:rPr>
          <w:i/>
        </w:rPr>
        <w:t>Срок за изпълнение:</w:t>
      </w:r>
      <w:r w:rsidRPr="001B0EA3">
        <w:t xml:space="preserve"> До 3 работни дни</w:t>
      </w:r>
    </w:p>
    <w:p w14:paraId="55C27AD0" w14:textId="77777777"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 xml:space="preserve">По преценка на Ръководителя на УО на ОПТТИ в зависимост от спецификата на наложилата се промяна на наръчника и от обема на работа по изготвяне на промените за изпълнение на процедурата по промяна на Процедурния наръчник може със заповед на Ръководителя на УО на ОПТТИ да бъде сформирана работна група. </w:t>
      </w:r>
      <w:r w:rsidR="00D107C1" w:rsidRPr="001B0EA3">
        <w:rPr>
          <w:szCs w:val="24"/>
        </w:rPr>
        <w:t xml:space="preserve">В тези случаи работната </w:t>
      </w:r>
      <w:r w:rsidRPr="001B0EA3">
        <w:rPr>
          <w:szCs w:val="24"/>
        </w:rPr>
        <w:t>група се състои от председател</w:t>
      </w:r>
      <w:r w:rsidR="009A49CF" w:rsidRPr="001B0EA3">
        <w:rPr>
          <w:szCs w:val="24"/>
        </w:rPr>
        <w:t xml:space="preserve"> -</w:t>
      </w:r>
      <w:r w:rsidRPr="001B0EA3">
        <w:rPr>
          <w:szCs w:val="24"/>
        </w:rPr>
        <w:t xml:space="preserve"> директора на дирекция КПП </w:t>
      </w:r>
      <w:r w:rsidR="00D107C1" w:rsidRPr="001B0EA3">
        <w:rPr>
          <w:szCs w:val="24"/>
        </w:rPr>
        <w:t xml:space="preserve">или началник на отдел в дирекция КПП </w:t>
      </w:r>
      <w:r w:rsidRPr="001B0EA3">
        <w:rPr>
          <w:szCs w:val="24"/>
        </w:rPr>
        <w:t xml:space="preserve">и членове – служители от отделите в дирекция КПП. </w:t>
      </w:r>
    </w:p>
    <w:p w14:paraId="20EE6ACF" w14:textId="77777777" w:rsidR="00D603F5" w:rsidRPr="001B0EA3" w:rsidRDefault="00244A82" w:rsidP="00890B4B">
      <w:pPr>
        <w:pStyle w:val="ListParagraph"/>
        <w:numPr>
          <w:ilvl w:val="0"/>
          <w:numId w:val="385"/>
        </w:numPr>
        <w:tabs>
          <w:tab w:val="left" w:pos="1276"/>
        </w:tabs>
        <w:spacing w:before="120"/>
        <w:ind w:left="0" w:firstLine="851"/>
        <w:contextualSpacing w:val="0"/>
        <w:rPr>
          <w:szCs w:val="24"/>
        </w:rPr>
      </w:pPr>
      <w:r w:rsidRPr="001B0EA3">
        <w:rPr>
          <w:szCs w:val="24"/>
        </w:rPr>
        <w:t>При</w:t>
      </w:r>
      <w:r w:rsidR="00D603F5" w:rsidRPr="001B0EA3">
        <w:rPr>
          <w:szCs w:val="24"/>
        </w:rPr>
        <w:t xml:space="preserve"> </w:t>
      </w:r>
      <w:r w:rsidRPr="001B0EA3">
        <w:rPr>
          <w:szCs w:val="24"/>
        </w:rPr>
        <w:t xml:space="preserve">преценка на </w:t>
      </w:r>
      <w:r w:rsidR="00D603F5" w:rsidRPr="001B0EA3">
        <w:rPr>
          <w:szCs w:val="24"/>
        </w:rPr>
        <w:t xml:space="preserve">необходимост от създаване на работна група, </w:t>
      </w:r>
      <w:r w:rsidR="009A49CF" w:rsidRPr="001B0EA3">
        <w:rPr>
          <w:szCs w:val="24"/>
        </w:rPr>
        <w:t xml:space="preserve">по предложение на директора на </w:t>
      </w:r>
      <w:r w:rsidR="00D603F5" w:rsidRPr="001B0EA3">
        <w:rPr>
          <w:szCs w:val="24"/>
        </w:rPr>
        <w:t xml:space="preserve">служител от иницииращото звено на дирекция КПП изготвя </w:t>
      </w:r>
      <w:r w:rsidRPr="001B0EA3">
        <w:rPr>
          <w:szCs w:val="24"/>
        </w:rPr>
        <w:t xml:space="preserve">проект на </w:t>
      </w:r>
      <w:r w:rsidR="00D603F5" w:rsidRPr="001B0EA3">
        <w:rPr>
          <w:szCs w:val="24"/>
        </w:rPr>
        <w:lastRenderedPageBreak/>
        <w:t>заповед за създаване на работна</w:t>
      </w:r>
      <w:r w:rsidRPr="001B0EA3">
        <w:rPr>
          <w:szCs w:val="24"/>
        </w:rPr>
        <w:t>та</w:t>
      </w:r>
      <w:r w:rsidR="00D603F5" w:rsidRPr="001B0EA3">
        <w:rPr>
          <w:szCs w:val="24"/>
        </w:rPr>
        <w:t xml:space="preserve"> група със задача да </w:t>
      </w:r>
      <w:r w:rsidRPr="001B0EA3">
        <w:rPr>
          <w:szCs w:val="24"/>
        </w:rPr>
        <w:t xml:space="preserve">бъде </w:t>
      </w:r>
      <w:r w:rsidR="00D603F5" w:rsidRPr="001B0EA3">
        <w:rPr>
          <w:szCs w:val="24"/>
        </w:rPr>
        <w:t>изготв</w:t>
      </w:r>
      <w:r w:rsidRPr="001B0EA3">
        <w:rPr>
          <w:szCs w:val="24"/>
        </w:rPr>
        <w:t>ена</w:t>
      </w:r>
      <w:r w:rsidR="00D603F5" w:rsidRPr="001B0EA3">
        <w:rPr>
          <w:szCs w:val="24"/>
        </w:rPr>
        <w:t xml:space="preserve"> нова версия</w:t>
      </w:r>
      <w:r w:rsidRPr="001B0EA3">
        <w:rPr>
          <w:szCs w:val="24"/>
        </w:rPr>
        <w:t xml:space="preserve"> на </w:t>
      </w:r>
      <w:r w:rsidR="00D603F5" w:rsidRPr="001B0EA3">
        <w:rPr>
          <w:szCs w:val="24"/>
        </w:rPr>
        <w:t>Процедурния наръчник</w:t>
      </w:r>
      <w:r w:rsidR="00DE1ABB" w:rsidRPr="001B0EA3">
        <w:rPr>
          <w:szCs w:val="24"/>
        </w:rPr>
        <w:t xml:space="preserve"> за управление и изпълнение на ОПТТИ</w:t>
      </w:r>
      <w:r w:rsidR="00D603F5" w:rsidRPr="001B0EA3">
        <w:rPr>
          <w:szCs w:val="24"/>
        </w:rPr>
        <w:t>.</w:t>
      </w:r>
      <w:r w:rsidR="00D603F5" w:rsidRPr="006F6777">
        <w:rPr>
          <w:szCs w:val="24"/>
        </w:rPr>
        <w:footnoteReference w:id="5"/>
      </w:r>
    </w:p>
    <w:p w14:paraId="75845A97" w14:textId="77777777"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 xml:space="preserve">Заповедта за създаване на работната група се съгласува от началника на иницииращото звено и от директора на дирекция КПП и се предоставя за подпис на Ръководителя на УО на ОПТТИ, след което се завежда в деловодната система на </w:t>
      </w:r>
      <w:r w:rsidR="00BB6BF6">
        <w:rPr>
          <w:szCs w:val="24"/>
        </w:rPr>
        <w:t>МТС</w:t>
      </w:r>
      <w:r w:rsidRPr="001B0EA3">
        <w:rPr>
          <w:szCs w:val="24"/>
        </w:rPr>
        <w:t>;</w:t>
      </w:r>
    </w:p>
    <w:p w14:paraId="7194596D" w14:textId="77777777"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 xml:space="preserve">Полученото предложение за промяна на наръчника се обсъжда </w:t>
      </w:r>
      <w:r w:rsidR="00B47BD5" w:rsidRPr="001B0EA3">
        <w:rPr>
          <w:szCs w:val="24"/>
        </w:rPr>
        <w:t xml:space="preserve">на работни срещи </w:t>
      </w:r>
      <w:r w:rsidRPr="001B0EA3">
        <w:rPr>
          <w:szCs w:val="24"/>
        </w:rPr>
        <w:t>от служители в УО на ОПТТИ, от чиято компетентност е предлаганата промяна</w:t>
      </w:r>
      <w:r w:rsidR="00B47BD5" w:rsidRPr="001B0EA3">
        <w:rPr>
          <w:szCs w:val="24"/>
        </w:rPr>
        <w:t xml:space="preserve"> </w:t>
      </w:r>
      <w:r w:rsidRPr="001B0EA3">
        <w:rPr>
          <w:szCs w:val="24"/>
        </w:rPr>
        <w:t>с директора на дирекция КПП, както и с други служители в УО на ОПТТИ, от чиято компетентност е предлаганата промяна</w:t>
      </w:r>
      <w:r w:rsidR="00B47BD5" w:rsidRPr="001B0EA3">
        <w:rPr>
          <w:szCs w:val="24"/>
        </w:rPr>
        <w:t xml:space="preserve"> и/</w:t>
      </w:r>
      <w:r w:rsidRPr="001B0EA3">
        <w:rPr>
          <w:szCs w:val="24"/>
        </w:rPr>
        <w:t>или</w:t>
      </w:r>
      <w:r w:rsidR="00B47BD5" w:rsidRPr="001B0EA3">
        <w:rPr>
          <w:szCs w:val="24"/>
        </w:rPr>
        <w:t xml:space="preserve"> </w:t>
      </w:r>
      <w:r w:rsidRPr="001B0EA3">
        <w:rPr>
          <w:szCs w:val="24"/>
        </w:rPr>
        <w:t>в рамките на работната група;</w:t>
      </w:r>
    </w:p>
    <w:p w14:paraId="63378D20" w14:textId="77777777"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 xml:space="preserve">При наличие на бележки и коментари по предложената промяна на </w:t>
      </w:r>
      <w:r w:rsidR="00B47BD5" w:rsidRPr="001B0EA3">
        <w:rPr>
          <w:szCs w:val="24"/>
        </w:rPr>
        <w:t xml:space="preserve">Процедурния </w:t>
      </w:r>
      <w:r w:rsidRPr="001B0EA3">
        <w:rPr>
          <w:szCs w:val="24"/>
        </w:rPr>
        <w:t>наръчник от служители на УО на ОПТТИ/</w:t>
      </w:r>
      <w:r w:rsidR="00D107C1" w:rsidRPr="001B0EA3">
        <w:rPr>
          <w:szCs w:val="24"/>
        </w:rPr>
        <w:t xml:space="preserve"> </w:t>
      </w:r>
      <w:r w:rsidRPr="001B0EA3">
        <w:rPr>
          <w:szCs w:val="24"/>
        </w:rPr>
        <w:t>членове на работната група същите се предоставят чрез електронна поща.</w:t>
      </w:r>
    </w:p>
    <w:p w14:paraId="652DFF6E" w14:textId="77777777"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Служители в УО на ОПТТИ, от чиято компетентност е предлаганата промяна или работната група изготвя нова версия на Процедурния наръчник.</w:t>
      </w:r>
    </w:p>
    <w:p w14:paraId="30AD1400" w14:textId="77777777" w:rsidR="00D603F5" w:rsidRPr="006F6777" w:rsidRDefault="00D603F5" w:rsidP="006F6777">
      <w:pPr>
        <w:rPr>
          <w:i/>
        </w:rPr>
      </w:pPr>
      <w:r w:rsidRPr="006F6777">
        <w:rPr>
          <w:i/>
        </w:rPr>
        <w:t>Срок за изпълнение:</w:t>
      </w:r>
    </w:p>
    <w:p w14:paraId="7AE51332" w14:textId="77777777" w:rsidR="00D603F5" w:rsidRPr="001B0EA3" w:rsidRDefault="00D603F5" w:rsidP="006F6777">
      <w:pPr>
        <w:pStyle w:val="ListParagraph"/>
        <w:numPr>
          <w:ilvl w:val="0"/>
          <w:numId w:val="386"/>
        </w:numPr>
      </w:pPr>
      <w:r w:rsidRPr="001B0EA3">
        <w:t>До 15 работни дни</w:t>
      </w:r>
      <w:r w:rsidRPr="001B0EA3">
        <w:rPr>
          <w:rStyle w:val="FootnoteReference"/>
          <w:szCs w:val="24"/>
        </w:rPr>
        <w:footnoteReference w:id="6"/>
      </w:r>
    </w:p>
    <w:p w14:paraId="411E6524" w14:textId="77777777" w:rsidR="00D603F5" w:rsidRPr="001B0EA3" w:rsidRDefault="00D603F5" w:rsidP="006F6777">
      <w:pPr>
        <w:ind w:firstLine="1134"/>
      </w:pPr>
      <w:r w:rsidRPr="001B0EA3">
        <w:t>или</w:t>
      </w:r>
    </w:p>
    <w:p w14:paraId="461AF935" w14:textId="77777777" w:rsidR="00D603F5" w:rsidRPr="001B0EA3" w:rsidRDefault="00D603F5" w:rsidP="006F6777">
      <w:pPr>
        <w:pStyle w:val="ListParagraph"/>
        <w:numPr>
          <w:ilvl w:val="0"/>
          <w:numId w:val="386"/>
        </w:numPr>
      </w:pPr>
      <w:r w:rsidRPr="001B0EA3">
        <w:t>Съгласно заповедта за определяне на работната група</w:t>
      </w:r>
    </w:p>
    <w:p w14:paraId="13D74C02" w14:textId="77777777" w:rsidR="00D603F5" w:rsidRPr="001B0EA3" w:rsidRDefault="00D603F5" w:rsidP="006F6777"/>
    <w:p w14:paraId="458BB5D4" w14:textId="77777777"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Новата версия на наръчника се съгласува от началниците на отдели в дирекция КПП - УО на ОПТТИ и от директора на дирекция КПП.</w:t>
      </w:r>
    </w:p>
    <w:p w14:paraId="1BCB5C56" w14:textId="77777777" w:rsidR="00D603F5" w:rsidRPr="001B0EA3" w:rsidRDefault="00D603F5" w:rsidP="006F6777">
      <w:r w:rsidRPr="006F6777">
        <w:rPr>
          <w:i/>
        </w:rPr>
        <w:t>Срок за изпълнение:</w:t>
      </w:r>
      <w:r w:rsidRPr="001B0EA3">
        <w:t xml:space="preserve"> До 5 работни дни</w:t>
      </w:r>
    </w:p>
    <w:p w14:paraId="63A20C4F" w14:textId="77777777"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Новата версия на наръчника се предоставя на Ръководителя на УО на ОПТТИ за одобрение/утвърждаване. Процедурата се изпълнява посредством полагане на подпис и дата на утвърждаването върху заглавната страница на новата версия на наръчника.</w:t>
      </w:r>
    </w:p>
    <w:p w14:paraId="5ABF0DF6" w14:textId="77777777"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Новата версия на Процедурния наръчник влиза в сила и започва да се прилага от датата на утвърждаването й.</w:t>
      </w:r>
    </w:p>
    <w:p w14:paraId="6E877958" w14:textId="77777777"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Служител/и от отдела/ите от дирекция КПП, иницииращи промяната на наръчника актуализира информацията в електронен вид на сървъра на ОПТТИ в отделна обособена папка, до която имат достъп всички служители от УО на ОПТТИ.</w:t>
      </w:r>
    </w:p>
    <w:p w14:paraId="5E472325" w14:textId="77777777" w:rsidR="00D603F5" w:rsidRPr="001B0EA3" w:rsidRDefault="00D603F5" w:rsidP="006F6777">
      <w:r w:rsidRPr="001B0EA3">
        <w:rPr>
          <w:i/>
        </w:rPr>
        <w:t>Срок за изпълнение:</w:t>
      </w:r>
      <w:r w:rsidRPr="001B0EA3">
        <w:t xml:space="preserve"> До 3 работни дни от датата на утвърждаване на новата версия на наръчника</w:t>
      </w:r>
    </w:p>
    <w:p w14:paraId="6A1C3E25" w14:textId="77777777"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Служител/и от отдела/ите от дирекция КПП, иницииращи промяната на наръчника уведомява</w:t>
      </w:r>
      <w:r w:rsidR="00E11CDD" w:rsidRPr="001B0EA3">
        <w:rPr>
          <w:szCs w:val="24"/>
        </w:rPr>
        <w:t>/т</w:t>
      </w:r>
      <w:r w:rsidRPr="001B0EA3">
        <w:rPr>
          <w:szCs w:val="24"/>
        </w:rPr>
        <w:t xml:space="preserve"> служителите на УО на ОПТТИ за утвърждаването на новата версия на Процедурния наръчник. Служителите се уведомяват чрез електронна поща с посочен линк към електронната версия на новата версия на наръчника.</w:t>
      </w:r>
    </w:p>
    <w:p w14:paraId="58890D5F" w14:textId="77777777" w:rsidR="00D603F5" w:rsidRPr="001B0EA3" w:rsidRDefault="00D603F5" w:rsidP="006F6777">
      <w:r w:rsidRPr="001B0EA3">
        <w:rPr>
          <w:i/>
        </w:rPr>
        <w:t>Срок за изпълнение:</w:t>
      </w:r>
      <w:r w:rsidRPr="001B0EA3">
        <w:t xml:space="preserve"> До 3 работни дни от датата на утвърждаване на новата версия.</w:t>
      </w:r>
    </w:p>
    <w:p w14:paraId="1CD2DFFD" w14:textId="77777777"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Всички служителите на УО на ОПТТИ попълват и подписват декларация по образец (</w:t>
      </w:r>
      <w:hyperlink r:id="rId28" w:tooltip="Декларация за запознаване с процедурния наръчник" w:history="1">
        <w:r w:rsidR="00D81EE3" w:rsidRPr="00251D03">
          <w:rPr>
            <w:i/>
            <w:color w:val="0000FF"/>
            <w:szCs w:val="24"/>
            <w:u w:val="single"/>
            <w:lang w:eastAsia="bg-BG"/>
          </w:rPr>
          <w:t>Приложение № 1.01</w:t>
        </w:r>
      </w:hyperlink>
      <w:r w:rsidRPr="001B0EA3">
        <w:rPr>
          <w:szCs w:val="24"/>
        </w:rPr>
        <w:t>) за запознаване с актуалната версия на наръчника.</w:t>
      </w:r>
    </w:p>
    <w:p w14:paraId="60E7A4A8" w14:textId="77777777" w:rsidR="00D603F5" w:rsidRPr="001B0EA3" w:rsidRDefault="00D603F5" w:rsidP="006F6777">
      <w:r w:rsidRPr="001B0EA3">
        <w:rPr>
          <w:i/>
        </w:rPr>
        <w:lastRenderedPageBreak/>
        <w:t>Срок за изпълнение:</w:t>
      </w:r>
      <w:r w:rsidRPr="001B0EA3">
        <w:t xml:space="preserve"> До 3 работни дни от датата на утвърждаване на новата версия;</w:t>
      </w:r>
    </w:p>
    <w:p w14:paraId="31A4A044" w14:textId="06E913F6" w:rsidR="00D603F5" w:rsidRPr="001B0EA3" w:rsidRDefault="00FE1C06" w:rsidP="00890B4B">
      <w:pPr>
        <w:pStyle w:val="ListParagraph"/>
        <w:numPr>
          <w:ilvl w:val="0"/>
          <w:numId w:val="385"/>
        </w:numPr>
        <w:tabs>
          <w:tab w:val="left" w:pos="1276"/>
        </w:tabs>
        <w:spacing w:before="120"/>
        <w:ind w:left="0" w:firstLine="851"/>
        <w:contextualSpacing w:val="0"/>
        <w:rPr>
          <w:szCs w:val="24"/>
        </w:rPr>
      </w:pPr>
      <w:r>
        <w:rPr>
          <w:szCs w:val="24"/>
        </w:rPr>
        <w:t xml:space="preserve">Служител от отдел </w:t>
      </w:r>
      <w:r w:rsidRPr="00FE1C06">
        <w:rPr>
          <w:szCs w:val="24"/>
        </w:rPr>
        <w:t>„Информация, публичност и техническа помощ</w:t>
      </w:r>
      <w:r w:rsidRPr="007A62D2">
        <w:rPr>
          <w:szCs w:val="24"/>
        </w:rPr>
        <w:t>”</w:t>
      </w:r>
      <w:r w:rsidRPr="001B0EA3">
        <w:rPr>
          <w:szCs w:val="24"/>
        </w:rPr>
        <w:t xml:space="preserve"> </w:t>
      </w:r>
      <w:r w:rsidR="00D603F5" w:rsidRPr="001B0EA3">
        <w:rPr>
          <w:szCs w:val="24"/>
        </w:rPr>
        <w:t>на дирекция КПП публикува актуалната одобрена версия  на интернет страницата на ОПТТИ</w:t>
      </w:r>
      <w:r w:rsidR="00842ECC" w:rsidRPr="006A6D08">
        <w:rPr>
          <w:szCs w:val="24"/>
        </w:rPr>
        <w:t xml:space="preserve"> </w:t>
      </w:r>
      <w:hyperlink r:id="rId29" w:history="1">
        <w:r w:rsidR="00842ECC" w:rsidRPr="00842ECC">
          <w:rPr>
            <w:rStyle w:val="Hyperlink"/>
            <w:szCs w:val="24"/>
          </w:rPr>
          <w:t>www.</w:t>
        </w:r>
        <w:r w:rsidR="00842ECC" w:rsidRPr="00842ECC">
          <w:rPr>
            <w:rStyle w:val="Hyperlink"/>
            <w:szCs w:val="24"/>
            <w:lang w:val="en-US"/>
          </w:rPr>
          <w:t>eufunds</w:t>
        </w:r>
        <w:r w:rsidR="00842ECC" w:rsidRPr="00842ECC">
          <w:rPr>
            <w:rStyle w:val="Hyperlink"/>
            <w:szCs w:val="24"/>
          </w:rPr>
          <w:t>.bg</w:t>
        </w:r>
      </w:hyperlink>
      <w:r w:rsidR="00842ECC" w:rsidRPr="00842ECC">
        <w:rPr>
          <w:szCs w:val="24"/>
        </w:rPr>
        <w:t>/</w:t>
      </w:r>
      <w:r w:rsidR="00842ECC" w:rsidRPr="00842ECC">
        <w:rPr>
          <w:szCs w:val="24"/>
          <w:lang w:val="en-US"/>
        </w:rPr>
        <w:t>optti</w:t>
      </w:r>
      <w:r w:rsidR="00842ECC" w:rsidRPr="00842ECC">
        <w:rPr>
          <w:szCs w:val="24"/>
        </w:rPr>
        <w:t xml:space="preserve"> </w:t>
      </w:r>
      <w:r w:rsidR="00D603F5" w:rsidRPr="001B0EA3">
        <w:rPr>
          <w:szCs w:val="24"/>
        </w:rPr>
        <w:t>;</w:t>
      </w:r>
    </w:p>
    <w:p w14:paraId="13A52560" w14:textId="77777777" w:rsidR="00D603F5" w:rsidRPr="001B0EA3" w:rsidRDefault="00D603F5" w:rsidP="006F6777">
      <w:r w:rsidRPr="001B0EA3">
        <w:rPr>
          <w:i/>
        </w:rPr>
        <w:t>Срок за изпълнение:</w:t>
      </w:r>
      <w:r w:rsidRPr="001B0EA3">
        <w:t xml:space="preserve"> До 5 работни дни от датата на утвърждаване на новата версия;</w:t>
      </w:r>
    </w:p>
    <w:p w14:paraId="41979117" w14:textId="77777777"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Служител/и от отдела/ите от дирекция КПП, иницииращи промяната на наръчника изготвят писмо за уведомяване на конкретните бенефициенти за утвърждаването на нова версия на наръчника;</w:t>
      </w:r>
    </w:p>
    <w:p w14:paraId="6EA6088D" w14:textId="77777777" w:rsidR="00D603F5" w:rsidRPr="001B0EA3" w:rsidRDefault="00D603F5" w:rsidP="006F6777">
      <w:r w:rsidRPr="001B0EA3">
        <w:rPr>
          <w:i/>
        </w:rPr>
        <w:t>Срок за изпълнение:</w:t>
      </w:r>
      <w:r w:rsidRPr="001B0EA3">
        <w:t xml:space="preserve"> До 5 работни дни от датата на публикуване на актуалната версия;</w:t>
      </w:r>
    </w:p>
    <w:p w14:paraId="72A30A52" w14:textId="77777777"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 xml:space="preserve">Служител </w:t>
      </w:r>
      <w:r w:rsidRPr="006F6777">
        <w:rPr>
          <w:szCs w:val="24"/>
        </w:rPr>
        <w:t xml:space="preserve">от отдел „Програмиране“ на дирекция КПП създава и поддържа досие на </w:t>
      </w:r>
      <w:r w:rsidRPr="001B0EA3">
        <w:rPr>
          <w:szCs w:val="24"/>
        </w:rPr>
        <w:t>версиите</w:t>
      </w:r>
      <w:r w:rsidRPr="006F6777">
        <w:rPr>
          <w:szCs w:val="24"/>
        </w:rPr>
        <w:t xml:space="preserve"> на  Процедурния наръчник за управление и </w:t>
      </w:r>
      <w:r w:rsidRPr="001B0EA3">
        <w:rPr>
          <w:szCs w:val="24"/>
        </w:rPr>
        <w:t>изпълнение на ОПТТИ. В досието се съхранява цялата документация, свързана с новата версия на наръчника, включително подписаните декларации за запознаване с новата версия.</w:t>
      </w:r>
    </w:p>
    <w:p w14:paraId="73CFEACA" w14:textId="77777777" w:rsidR="00D603F5" w:rsidRDefault="00D603F5" w:rsidP="006F6777">
      <w:r w:rsidRPr="001B0EA3">
        <w:rPr>
          <w:i/>
        </w:rPr>
        <w:t>Срок за изпълнение:</w:t>
      </w:r>
      <w:r w:rsidRPr="001B0EA3">
        <w:t xml:space="preserve"> До 5 работни дни от датата на утвърждаване на новата версия;</w:t>
      </w:r>
    </w:p>
    <w:p w14:paraId="0A6F4318" w14:textId="77777777" w:rsidR="006F6777" w:rsidRPr="001B0EA3" w:rsidRDefault="006F6777" w:rsidP="006F6777"/>
    <w:p w14:paraId="696D9EFF" w14:textId="77777777" w:rsidR="00D603F5" w:rsidRPr="00A110A4" w:rsidRDefault="00D603F5" w:rsidP="00F058E0">
      <w:pPr>
        <w:pStyle w:val="Style1"/>
      </w:pPr>
      <w:bookmarkStart w:id="47" w:name="_Toc479775547"/>
      <w:bookmarkStart w:id="48" w:name="_Toc140150165"/>
      <w:r w:rsidRPr="00A110A4">
        <w:t>СИСТЕМИ ЗА УПРАВЛЕНИЕ И КОНТРОЛ</w:t>
      </w:r>
      <w:bookmarkEnd w:id="47"/>
      <w:bookmarkEnd w:id="48"/>
    </w:p>
    <w:p w14:paraId="2D798E14" w14:textId="77777777" w:rsidR="00D603F5" w:rsidRPr="001B0EA3" w:rsidRDefault="00D603F5" w:rsidP="006F6777">
      <w:pPr>
        <w:rPr>
          <w:b/>
        </w:rPr>
      </w:pPr>
      <w:r w:rsidRPr="001B0EA3">
        <w:t xml:space="preserve">В съответствие с  принципите на споделеното управление, определени в чл. </w:t>
      </w:r>
      <w:r w:rsidR="00B7610B">
        <w:t>63</w:t>
      </w:r>
      <w:r w:rsidR="00B7610B" w:rsidRPr="001B0EA3">
        <w:t xml:space="preserve"> </w:t>
      </w:r>
      <w:r w:rsidRPr="001B0EA3">
        <w:t xml:space="preserve">от Регламент (ЕС, Евратом) № </w:t>
      </w:r>
      <w:r w:rsidR="00B7610B">
        <w:t>1046</w:t>
      </w:r>
      <w:r w:rsidRPr="001B0EA3">
        <w:t>/</w:t>
      </w:r>
      <w:r w:rsidR="00B7610B" w:rsidRPr="001B0EA3">
        <w:t>201</w:t>
      </w:r>
      <w:r w:rsidR="00B7610B">
        <w:t>8</w:t>
      </w:r>
      <w:r w:rsidR="00B7610B" w:rsidRPr="001B0EA3">
        <w:t xml:space="preserve"> </w:t>
      </w:r>
      <w:r w:rsidRPr="001B0EA3">
        <w:t>и посочените задължения и правомощия в чл. 73 от Регламент (ЕС) № 1303/2013 държавите-членки и ЕК са отговорни за управлението и контрола на оперативните програми, съфинансирани от ЕФРР и КФ. В тази връзка, държавите –членки изпълняват своите задължения чрез изграждането на системи за управление и контрол , които дават гаранции за законосъобразното и правилно използване на средствата от ЕС.</w:t>
      </w:r>
      <w:r w:rsidRPr="001B0EA3">
        <w:rPr>
          <w:b/>
        </w:rPr>
        <w:t xml:space="preserve"> </w:t>
      </w:r>
    </w:p>
    <w:p w14:paraId="2B4C6F42" w14:textId="77777777" w:rsidR="00D603F5" w:rsidRPr="001B0EA3" w:rsidRDefault="00D603F5" w:rsidP="006F6777">
      <w:r w:rsidRPr="001B0EA3">
        <w:t>Взаимоотношенията на звената, ангажирани в работата с администрирането на ЕСИФ е показана на фиг. 1.1.</w:t>
      </w:r>
    </w:p>
    <w:p w14:paraId="2E54F039" w14:textId="77777777" w:rsidR="00D603F5" w:rsidRPr="001B0EA3" w:rsidRDefault="00D603F5" w:rsidP="00890B4B">
      <w:pPr>
        <w:rPr>
          <w:b/>
          <w:color w:val="000000"/>
          <w:szCs w:val="24"/>
        </w:rPr>
      </w:pPr>
    </w:p>
    <w:p w14:paraId="0B908BDC" w14:textId="77777777" w:rsidR="00D603F5" w:rsidRPr="001B0EA3" w:rsidRDefault="00D603F5" w:rsidP="00890B4B">
      <w:pPr>
        <w:rPr>
          <w:color w:val="000000"/>
          <w:szCs w:val="24"/>
        </w:rPr>
        <w:sectPr w:rsidR="00D603F5" w:rsidRPr="001B0EA3" w:rsidSect="008A09F4">
          <w:footerReference w:type="even" r:id="rId30"/>
          <w:footerReference w:type="default" r:id="rId31"/>
          <w:pgSz w:w="11906" w:h="16838"/>
          <w:pgMar w:top="1134" w:right="991" w:bottom="1134" w:left="1418" w:header="709" w:footer="709" w:gutter="0"/>
          <w:cols w:space="708"/>
          <w:titlePg/>
          <w:docGrid w:linePitch="360"/>
        </w:sectPr>
      </w:pPr>
    </w:p>
    <w:p w14:paraId="43521F88" w14:textId="77777777" w:rsidR="00D603F5" w:rsidRPr="001B0EA3" w:rsidRDefault="006517CD" w:rsidP="00890B4B">
      <w:pPr>
        <w:autoSpaceDE w:val="0"/>
        <w:autoSpaceDN w:val="0"/>
        <w:adjustRightInd w:val="0"/>
        <w:ind w:left="142" w:firstLine="0"/>
        <w:jc w:val="center"/>
        <w:rPr>
          <w:color w:val="000000"/>
          <w:szCs w:val="24"/>
        </w:rPr>
        <w:sectPr w:rsidR="00D603F5" w:rsidRPr="001B0EA3" w:rsidSect="0050432A">
          <w:pgSz w:w="16838" w:h="11906" w:orient="landscape"/>
          <w:pgMar w:top="1134" w:right="567" w:bottom="1134" w:left="567" w:header="709" w:footer="709" w:gutter="0"/>
          <w:cols w:space="708"/>
          <w:docGrid w:linePitch="360"/>
        </w:sectPr>
      </w:pPr>
      <w:r>
        <w:rPr>
          <w:noProof/>
          <w:lang w:eastAsia="bg-BG"/>
        </w:rPr>
        <w:lastRenderedPageBreak/>
        <mc:AlternateContent>
          <mc:Choice Requires="wpg">
            <w:drawing>
              <wp:inline distT="0" distB="0" distL="0" distR="0" wp14:anchorId="68DA58A9" wp14:editId="1B883306">
                <wp:extent cx="9963150" cy="6619875"/>
                <wp:effectExtent l="0" t="0" r="0" b="9525"/>
                <wp:docPr id="1" name="Group 1"/>
                <wp:cNvGraphicFramePr/>
                <a:graphic xmlns:a="http://schemas.openxmlformats.org/drawingml/2006/main">
                  <a:graphicData uri="http://schemas.microsoft.com/office/word/2010/wordprocessingGroup">
                    <wpg:wgp>
                      <wpg:cNvGrpSpPr/>
                      <wpg:grpSpPr>
                        <a:xfrm>
                          <a:off x="0" y="0"/>
                          <a:ext cx="9963150" cy="6619875"/>
                          <a:chOff x="0" y="0"/>
                          <a:chExt cx="9963150" cy="6619875"/>
                        </a:xfrm>
                      </wpg:grpSpPr>
                      <wps:wsp>
                        <wps:cNvPr id="2" name="Rectangle 21"/>
                        <wps:cNvSpPr>
                          <a:spLocks noChangeArrowheads="1"/>
                        </wps:cNvSpPr>
                        <wps:spPr bwMode="auto">
                          <a:xfrm>
                            <a:off x="0" y="2061713"/>
                            <a:ext cx="687003" cy="4127054"/>
                          </a:xfrm>
                          <a:prstGeom prst="rect">
                            <a:avLst/>
                          </a:prstGeom>
                          <a:solidFill>
                            <a:srgbClr val="FFFFFF"/>
                          </a:solidFill>
                          <a:ln w="25400">
                            <a:solidFill>
                              <a:srgbClr val="4F81BD"/>
                            </a:solidFill>
                            <a:miter lim="800000"/>
                            <a:headEnd/>
                            <a:tailEnd/>
                          </a:ln>
                        </wps:spPr>
                        <wps:bodyPr rot="0" vert="horz" wrap="square" lIns="91440" tIns="45720" rIns="91440" bIns="45720" anchor="t" anchorCtr="0" upright="1">
                          <a:noAutofit/>
                        </wps:bodyPr>
                      </wps:wsp>
                      <wps:wsp>
                        <wps:cNvPr id="3" name="Text Box 51"/>
                        <wps:cNvSpPr>
                          <a:spLocks noChangeArrowheads="1"/>
                        </wps:cNvSpPr>
                        <wps:spPr bwMode="auto">
                          <a:xfrm>
                            <a:off x="854015" y="0"/>
                            <a:ext cx="8014340" cy="342879"/>
                          </a:xfrm>
                          <a:prstGeom prst="roundRect">
                            <a:avLst>
                              <a:gd name="adj" fmla="val 16667"/>
                            </a:avLst>
                          </a:prstGeom>
                          <a:solidFill>
                            <a:srgbClr val="4F81BD"/>
                          </a:solidFill>
                          <a:ln w="25400">
                            <a:solidFill>
                              <a:srgbClr val="385D8A"/>
                            </a:solidFill>
                            <a:round/>
                            <a:headEnd/>
                            <a:tailEnd/>
                          </a:ln>
                        </wps:spPr>
                        <wps:txbx>
                          <w:txbxContent>
                            <w:p w14:paraId="7B542838" w14:textId="77777777" w:rsidR="004E3164" w:rsidRPr="00DF7116" w:rsidRDefault="004E3164" w:rsidP="006517CD">
                              <w:pPr>
                                <w:ind w:firstLine="0"/>
                                <w:jc w:val="center"/>
                                <w:rPr>
                                  <w:b/>
                                  <w:spacing w:val="20"/>
                                  <w:sz w:val="20"/>
                                </w:rPr>
                              </w:pPr>
                              <w:r w:rsidRPr="00DF7116">
                                <w:rPr>
                                  <w:b/>
                                  <w:spacing w:val="20"/>
                                  <w:sz w:val="20"/>
                                </w:rPr>
                                <w:t>ЕВРОПЕЙСКА КОМИСИЯ</w:t>
                              </w:r>
                            </w:p>
                          </w:txbxContent>
                        </wps:txbx>
                        <wps:bodyPr rot="0" vert="horz" wrap="square" lIns="91440" tIns="45720" rIns="91440" bIns="45720" anchor="t" anchorCtr="0" upright="1">
                          <a:noAutofit/>
                        </wps:bodyPr>
                      </wps:wsp>
                      <wps:wsp>
                        <wps:cNvPr id="64" name="Text Box 31"/>
                        <wps:cNvSpPr>
                          <a:spLocks noChangeArrowheads="1"/>
                        </wps:cNvSpPr>
                        <wps:spPr bwMode="auto">
                          <a:xfrm>
                            <a:off x="534838" y="1138687"/>
                            <a:ext cx="2524813" cy="457173"/>
                          </a:xfrm>
                          <a:prstGeom prst="roundRect">
                            <a:avLst>
                              <a:gd name="adj" fmla="val 16667"/>
                            </a:avLst>
                          </a:prstGeom>
                          <a:solidFill>
                            <a:srgbClr val="4F81BD"/>
                          </a:solidFill>
                          <a:ln w="38100">
                            <a:solidFill>
                              <a:srgbClr val="FFFFFF"/>
                            </a:solidFill>
                            <a:round/>
                            <a:headEnd/>
                            <a:tailEnd/>
                          </a:ln>
                          <a:effectLst>
                            <a:outerShdw dist="20000" dir="5400000" rotWithShape="0">
                              <a:srgbClr val="000000">
                                <a:alpha val="37999"/>
                              </a:srgbClr>
                            </a:outerShdw>
                          </a:effectLst>
                        </wps:spPr>
                        <wps:txbx>
                          <w:txbxContent>
                            <w:p w14:paraId="6EB938D3" w14:textId="77777777" w:rsidR="004E3164" w:rsidRPr="00DF7116" w:rsidRDefault="004E3164" w:rsidP="006517CD">
                              <w:pPr>
                                <w:ind w:firstLine="0"/>
                                <w:jc w:val="center"/>
                                <w:rPr>
                                  <w:b/>
                                  <w:spacing w:val="20"/>
                                  <w:sz w:val="20"/>
                                </w:rPr>
                              </w:pPr>
                              <w:r w:rsidRPr="00DF7116">
                                <w:rPr>
                                  <w:b/>
                                  <w:spacing w:val="20"/>
                                  <w:sz w:val="20"/>
                                </w:rPr>
                                <w:t>ЦКЗ</w:t>
                              </w:r>
                            </w:p>
                            <w:p w14:paraId="52C5F954" w14:textId="77777777" w:rsidR="004E3164" w:rsidRPr="00DF7116" w:rsidRDefault="004E3164" w:rsidP="006517CD">
                              <w:pPr>
                                <w:ind w:firstLine="0"/>
                                <w:jc w:val="center"/>
                                <w:rPr>
                                  <w:b/>
                                  <w:spacing w:val="20"/>
                                  <w:sz w:val="20"/>
                                </w:rPr>
                              </w:pPr>
                              <w:r w:rsidRPr="00DF7116">
                                <w:rPr>
                                  <w:b/>
                                  <w:spacing w:val="20"/>
                                  <w:sz w:val="20"/>
                                </w:rPr>
                                <w:t>Министерски съвет</w:t>
                              </w:r>
                            </w:p>
                            <w:p w14:paraId="0FFADCF7" w14:textId="77777777" w:rsidR="004E3164" w:rsidRPr="00DF7116" w:rsidRDefault="004E3164" w:rsidP="006517CD">
                              <w:pPr>
                                <w:ind w:firstLine="0"/>
                                <w:jc w:val="center"/>
                                <w:rPr>
                                  <w:b/>
                                  <w:spacing w:val="20"/>
                                  <w:sz w:val="20"/>
                                  <w:lang w:val="en-US"/>
                                </w:rPr>
                              </w:pPr>
                              <w:r w:rsidRPr="00DF7116">
                                <w:rPr>
                                  <w:b/>
                                  <w:spacing w:val="20"/>
                                  <w:sz w:val="20"/>
                                  <w:lang w:val="en-US"/>
                                </w:rPr>
                                <w:t>:r</w:t>
                              </w:r>
                            </w:p>
                            <w:p w14:paraId="25FBB438" w14:textId="77777777" w:rsidR="004E3164" w:rsidRPr="00DF7116" w:rsidRDefault="004E3164" w:rsidP="006517CD">
                              <w:pPr>
                                <w:ind w:firstLine="0"/>
                                <w:jc w:val="center"/>
                                <w:rPr>
                                  <w:b/>
                                  <w:spacing w:val="20"/>
                                  <w:sz w:val="20"/>
                                </w:rPr>
                              </w:pPr>
                              <w:r w:rsidRPr="00DF7116">
                                <w:rPr>
                                  <w:b/>
                                  <w:spacing w:val="20"/>
                                  <w:sz w:val="20"/>
                                </w:rPr>
                                <w:t>Министерски съвет</w:t>
                              </w:r>
                            </w:p>
                          </w:txbxContent>
                        </wps:txbx>
                        <wps:bodyPr rot="0" vert="horz" wrap="square" lIns="91440" tIns="45720" rIns="91440" bIns="45720" anchor="t" anchorCtr="0" upright="1">
                          <a:noAutofit/>
                        </wps:bodyPr>
                      </wps:wsp>
                      <wps:wsp>
                        <wps:cNvPr id="65" name="Text Box 32"/>
                        <wps:cNvSpPr>
                          <a:spLocks noChangeArrowheads="1"/>
                        </wps:cNvSpPr>
                        <wps:spPr bwMode="auto">
                          <a:xfrm>
                            <a:off x="1552754" y="560717"/>
                            <a:ext cx="6158931" cy="354979"/>
                          </a:xfrm>
                          <a:prstGeom prst="roundRect">
                            <a:avLst>
                              <a:gd name="adj" fmla="val 16667"/>
                            </a:avLst>
                          </a:prstGeom>
                          <a:solidFill>
                            <a:srgbClr val="4F81BD"/>
                          </a:solidFill>
                          <a:ln w="25400">
                            <a:solidFill>
                              <a:srgbClr val="385D8A"/>
                            </a:solidFill>
                            <a:round/>
                            <a:headEnd/>
                            <a:tailEnd/>
                          </a:ln>
                        </wps:spPr>
                        <wps:txbx>
                          <w:txbxContent>
                            <w:p w14:paraId="05E0B7AC" w14:textId="77777777" w:rsidR="004E3164" w:rsidRPr="00DF7116" w:rsidRDefault="004E3164" w:rsidP="006517CD">
                              <w:pPr>
                                <w:ind w:firstLine="0"/>
                                <w:jc w:val="center"/>
                                <w:rPr>
                                  <w:b/>
                                  <w:spacing w:val="20"/>
                                  <w:sz w:val="20"/>
                                </w:rPr>
                              </w:pPr>
                              <w:r w:rsidRPr="00DF7116">
                                <w:rPr>
                                  <w:b/>
                                  <w:spacing w:val="20"/>
                                  <w:sz w:val="20"/>
                                </w:rPr>
                                <w:t>СКУСЕС</w:t>
                              </w:r>
                            </w:p>
                          </w:txbxContent>
                        </wps:txbx>
                        <wps:bodyPr rot="0" vert="horz" wrap="square" lIns="91440" tIns="45720" rIns="91440" bIns="45720" anchor="t" anchorCtr="0" upright="1">
                          <a:noAutofit/>
                        </wps:bodyPr>
                      </wps:wsp>
                      <wps:wsp>
                        <wps:cNvPr id="66" name="Line 49"/>
                        <wps:cNvCnPr>
                          <a:cxnSpLocks noChangeShapeType="1"/>
                        </wps:cNvCnPr>
                        <wps:spPr bwMode="auto">
                          <a:xfrm flipH="1">
                            <a:off x="2631056" y="914400"/>
                            <a:ext cx="2500" cy="2235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7" name="Line 50"/>
                        <wps:cNvCnPr>
                          <a:cxnSpLocks noChangeShapeType="1"/>
                        </wps:cNvCnPr>
                        <wps:spPr bwMode="auto">
                          <a:xfrm flipV="1">
                            <a:off x="4278702" y="914400"/>
                            <a:ext cx="1300" cy="2165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8" name="Text Box 52"/>
                        <wps:cNvSpPr txBox="1">
                          <a:spLocks noChangeArrowheads="1"/>
                        </wps:cNvSpPr>
                        <wps:spPr bwMode="auto">
                          <a:xfrm>
                            <a:off x="1104181" y="5717456"/>
                            <a:ext cx="8509043" cy="342879"/>
                          </a:xfrm>
                          <a:prstGeom prst="rect">
                            <a:avLst/>
                          </a:prstGeom>
                          <a:gradFill rotWithShape="1">
                            <a:gsLst>
                              <a:gs pos="0">
                                <a:srgbClr val="A3C4FF"/>
                              </a:gs>
                              <a:gs pos="35001">
                                <a:srgbClr val="BFD5FF"/>
                              </a:gs>
                              <a:gs pos="100000">
                                <a:srgbClr val="E5EEFF"/>
                              </a:gs>
                            </a:gsLst>
                            <a:lin ang="16200000" scaled="1"/>
                          </a:gradFill>
                          <a:ln w="9525">
                            <a:solidFill>
                              <a:srgbClr val="4A7EBB"/>
                            </a:solidFill>
                            <a:miter lim="800000"/>
                            <a:headEnd/>
                            <a:tailEnd/>
                          </a:ln>
                          <a:effectLst>
                            <a:outerShdw dist="20000" dir="5400000" rotWithShape="0">
                              <a:srgbClr val="000000">
                                <a:alpha val="37999"/>
                              </a:srgbClr>
                            </a:outerShdw>
                          </a:effectLst>
                        </wps:spPr>
                        <wps:txbx>
                          <w:txbxContent>
                            <w:p w14:paraId="3B2DD8BB" w14:textId="77777777" w:rsidR="004E3164" w:rsidRPr="00DF7116" w:rsidRDefault="004E3164" w:rsidP="006517CD">
                              <w:pPr>
                                <w:ind w:firstLine="0"/>
                                <w:jc w:val="center"/>
                                <w:rPr>
                                  <w:b/>
                                  <w:sz w:val="20"/>
                                </w:rPr>
                              </w:pPr>
                              <w:r w:rsidRPr="00DF7116">
                                <w:rPr>
                                  <w:b/>
                                  <w:sz w:val="20"/>
                                </w:rPr>
                                <w:t>БЕНЕФИЦИЕРИ</w:t>
                              </w:r>
                            </w:p>
                          </w:txbxContent>
                        </wps:txbx>
                        <wps:bodyPr rot="0" vert="horz" wrap="square" lIns="91440" tIns="45720" rIns="91440" bIns="45720" anchor="t" anchorCtr="0" upright="1">
                          <a:noAutofit/>
                        </wps:bodyPr>
                      </wps:wsp>
                      <wps:wsp>
                        <wps:cNvPr id="69" name="Line 56"/>
                        <wps:cNvCnPr>
                          <a:cxnSpLocks noChangeShapeType="1"/>
                        </wps:cNvCnPr>
                        <wps:spPr bwMode="auto">
                          <a:xfrm>
                            <a:off x="7004649" y="914400"/>
                            <a:ext cx="0" cy="216687"/>
                          </a:xfrm>
                          <a:prstGeom prst="line">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70" name="Line 58"/>
                        <wps:cNvCnPr>
                          <a:cxnSpLocks noChangeShapeType="1"/>
                        </wps:cNvCnPr>
                        <wps:spPr bwMode="auto">
                          <a:xfrm>
                            <a:off x="1285336" y="2061713"/>
                            <a:ext cx="600" cy="114293"/>
                          </a:xfrm>
                          <a:prstGeom prst="line">
                            <a:avLst/>
                          </a:prstGeom>
                          <a:noFill/>
                          <a:ln w="9525">
                            <a:solidFill>
                              <a:srgbClr val="000000"/>
                            </a:solidFill>
                            <a:prstDash val="dash"/>
                            <a:round/>
                            <a:headEnd/>
                            <a:tailEnd type="arrow" w="lg" len="med"/>
                          </a:ln>
                          <a:extLst>
                            <a:ext uri="{909E8E84-426E-40DD-AFC4-6F175D3DCCD1}">
                              <a14:hiddenFill xmlns:a14="http://schemas.microsoft.com/office/drawing/2010/main">
                                <a:noFill/>
                              </a14:hiddenFill>
                            </a:ext>
                          </a:extLst>
                        </wps:spPr>
                        <wps:bodyPr/>
                      </wps:wsp>
                      <wps:wsp>
                        <wps:cNvPr id="71" name="Line 59"/>
                        <wps:cNvCnPr>
                          <a:cxnSpLocks noChangeShapeType="1"/>
                        </wps:cNvCnPr>
                        <wps:spPr bwMode="auto">
                          <a:xfrm>
                            <a:off x="2518913" y="2070340"/>
                            <a:ext cx="700" cy="114293"/>
                          </a:xfrm>
                          <a:prstGeom prst="line">
                            <a:avLst/>
                          </a:prstGeom>
                          <a:noFill/>
                          <a:ln w="9525">
                            <a:solidFill>
                              <a:srgbClr val="000000"/>
                            </a:solidFill>
                            <a:prstDash val="dash"/>
                            <a:round/>
                            <a:headEnd/>
                            <a:tailEnd type="arrow" w="lg" len="med"/>
                          </a:ln>
                          <a:extLst>
                            <a:ext uri="{909E8E84-426E-40DD-AFC4-6F175D3DCCD1}">
                              <a14:hiddenFill xmlns:a14="http://schemas.microsoft.com/office/drawing/2010/main">
                                <a:noFill/>
                              </a14:hiddenFill>
                            </a:ext>
                          </a:extLst>
                        </wps:spPr>
                        <wps:bodyPr/>
                      </wps:wsp>
                      <wps:wsp>
                        <wps:cNvPr id="72" name="Line 60"/>
                        <wps:cNvCnPr>
                          <a:cxnSpLocks noChangeShapeType="1"/>
                        </wps:cNvCnPr>
                        <wps:spPr bwMode="auto">
                          <a:xfrm>
                            <a:off x="3562709" y="2096219"/>
                            <a:ext cx="1300" cy="114293"/>
                          </a:xfrm>
                          <a:prstGeom prst="line">
                            <a:avLst/>
                          </a:prstGeom>
                          <a:noFill/>
                          <a:ln w="9525">
                            <a:solidFill>
                              <a:srgbClr val="000000"/>
                            </a:solidFill>
                            <a:prstDash val="dash"/>
                            <a:round/>
                            <a:headEnd/>
                            <a:tailEnd type="arrow" w="lg" len="med"/>
                          </a:ln>
                          <a:extLst>
                            <a:ext uri="{909E8E84-426E-40DD-AFC4-6F175D3DCCD1}">
                              <a14:hiddenFill xmlns:a14="http://schemas.microsoft.com/office/drawing/2010/main">
                                <a:noFill/>
                              </a14:hiddenFill>
                            </a:ext>
                          </a:extLst>
                        </wps:spPr>
                        <wps:bodyPr/>
                      </wps:wsp>
                      <wps:wsp>
                        <wps:cNvPr id="73" name="Line 61"/>
                        <wps:cNvCnPr>
                          <a:cxnSpLocks noChangeShapeType="1"/>
                        </wps:cNvCnPr>
                        <wps:spPr bwMode="auto">
                          <a:xfrm>
                            <a:off x="4735902" y="2087592"/>
                            <a:ext cx="600" cy="114293"/>
                          </a:xfrm>
                          <a:prstGeom prst="line">
                            <a:avLst/>
                          </a:prstGeom>
                          <a:noFill/>
                          <a:ln w="9525">
                            <a:solidFill>
                              <a:srgbClr val="000000"/>
                            </a:solidFill>
                            <a:prstDash val="dash"/>
                            <a:round/>
                            <a:headEnd/>
                            <a:tailEnd type="arrow" w="lg" len="med"/>
                          </a:ln>
                          <a:extLst>
                            <a:ext uri="{909E8E84-426E-40DD-AFC4-6F175D3DCCD1}">
                              <a14:hiddenFill xmlns:a14="http://schemas.microsoft.com/office/drawing/2010/main">
                                <a:noFill/>
                              </a14:hiddenFill>
                            </a:ext>
                          </a:extLst>
                        </wps:spPr>
                        <wps:bodyPr/>
                      </wps:wsp>
                      <wps:wsp>
                        <wps:cNvPr id="74" name="Line 62"/>
                        <wps:cNvCnPr>
                          <a:cxnSpLocks noChangeShapeType="1"/>
                        </wps:cNvCnPr>
                        <wps:spPr bwMode="auto">
                          <a:xfrm>
                            <a:off x="6047117" y="2070340"/>
                            <a:ext cx="1200" cy="114293"/>
                          </a:xfrm>
                          <a:prstGeom prst="line">
                            <a:avLst/>
                          </a:prstGeom>
                          <a:noFill/>
                          <a:ln w="9525">
                            <a:solidFill>
                              <a:srgbClr val="000000"/>
                            </a:solidFill>
                            <a:prstDash val="dash"/>
                            <a:round/>
                            <a:headEnd/>
                            <a:tailEnd type="arrow" w="lg" len="med"/>
                          </a:ln>
                          <a:extLst>
                            <a:ext uri="{909E8E84-426E-40DD-AFC4-6F175D3DCCD1}">
                              <a14:hiddenFill xmlns:a14="http://schemas.microsoft.com/office/drawing/2010/main">
                                <a:noFill/>
                              </a14:hiddenFill>
                            </a:ext>
                          </a:extLst>
                        </wps:spPr>
                        <wps:bodyPr/>
                      </wps:wsp>
                      <wps:wsp>
                        <wps:cNvPr id="75" name="Line 63"/>
                        <wps:cNvCnPr>
                          <a:cxnSpLocks noChangeShapeType="1"/>
                        </wps:cNvCnPr>
                        <wps:spPr bwMode="auto">
                          <a:xfrm>
                            <a:off x="7185804" y="2078966"/>
                            <a:ext cx="1300" cy="114293"/>
                          </a:xfrm>
                          <a:prstGeom prst="line">
                            <a:avLst/>
                          </a:prstGeom>
                          <a:noFill/>
                          <a:ln w="9525">
                            <a:solidFill>
                              <a:srgbClr val="000000"/>
                            </a:solidFill>
                            <a:prstDash val="dash"/>
                            <a:round/>
                            <a:headEnd/>
                            <a:tailEnd type="arrow" w="lg" len="med"/>
                          </a:ln>
                          <a:extLst>
                            <a:ext uri="{909E8E84-426E-40DD-AFC4-6F175D3DCCD1}">
                              <a14:hiddenFill xmlns:a14="http://schemas.microsoft.com/office/drawing/2010/main">
                                <a:noFill/>
                              </a14:hiddenFill>
                            </a:ext>
                          </a:extLst>
                        </wps:spPr>
                        <wps:bodyPr/>
                      </wps:wsp>
                      <wps:wsp>
                        <wps:cNvPr id="76" name="Line 64"/>
                        <wps:cNvCnPr>
                          <a:cxnSpLocks noChangeShapeType="1"/>
                        </wps:cNvCnPr>
                        <wps:spPr bwMode="auto">
                          <a:xfrm>
                            <a:off x="1311215" y="18288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65"/>
                        <wps:cNvCnPr>
                          <a:cxnSpLocks noChangeShapeType="1"/>
                        </wps:cNvCnPr>
                        <wps:spPr bwMode="auto">
                          <a:xfrm>
                            <a:off x="1457864" y="197544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Rectangle 66"/>
                        <wps:cNvSpPr>
                          <a:spLocks noChangeArrowheads="1"/>
                        </wps:cNvSpPr>
                        <wps:spPr bwMode="auto">
                          <a:xfrm>
                            <a:off x="103517" y="2130724"/>
                            <a:ext cx="470502" cy="3982062"/>
                          </a:xfrm>
                          <a:prstGeom prst="roundRect">
                            <a:avLst>
                              <a:gd name="adj" fmla="val 16667"/>
                            </a:avLst>
                          </a:prstGeom>
                          <a:solidFill>
                            <a:srgbClr val="FFFFFF"/>
                          </a:solidFill>
                          <a:ln w="25400">
                            <a:solidFill>
                              <a:srgbClr val="4F81BD"/>
                            </a:solidFill>
                            <a:round/>
                            <a:headEnd/>
                            <a:tailEnd/>
                          </a:ln>
                        </wps:spPr>
                        <wps:txbx>
                          <w:txbxContent>
                            <w:p w14:paraId="7FF06B7B" w14:textId="77777777" w:rsidR="004E3164" w:rsidRPr="00DF7116" w:rsidRDefault="004E3164" w:rsidP="006517CD">
                              <w:pPr>
                                <w:ind w:firstLine="0"/>
                                <w:jc w:val="center"/>
                                <w:rPr>
                                  <w:b/>
                                  <w:sz w:val="20"/>
                                </w:rPr>
                              </w:pPr>
                              <w:r w:rsidRPr="00DF7116">
                                <w:rPr>
                                  <w:b/>
                                  <w:sz w:val="20"/>
                                </w:rPr>
                                <w:t>ОДИТЕН ОРГАН И ОРГАН – ИА  ОСЕС към МФ</w:t>
                              </w:r>
                            </w:p>
                            <w:p w14:paraId="4558414C" w14:textId="77777777" w:rsidR="004E3164" w:rsidRPr="00DF7116" w:rsidRDefault="004E3164" w:rsidP="006517CD">
                              <w:pPr>
                                <w:ind w:firstLine="0"/>
                                <w:jc w:val="center"/>
                                <w:rPr>
                                  <w:b/>
                                  <w:sz w:val="20"/>
                                </w:rPr>
                              </w:pPr>
                            </w:p>
                          </w:txbxContent>
                        </wps:txbx>
                        <wps:bodyPr rot="0" vert="vert270" wrap="square" lIns="91440" tIns="45720" rIns="91440" bIns="45720" anchor="t" anchorCtr="0" upright="1">
                          <a:noAutofit/>
                        </wps:bodyPr>
                      </wps:wsp>
                      <wps:wsp>
                        <wps:cNvPr id="79" name="AutoShape 68"/>
                        <wps:cNvSpPr>
                          <a:spLocks noChangeArrowheads="1"/>
                        </wps:cNvSpPr>
                        <wps:spPr bwMode="auto">
                          <a:xfrm>
                            <a:off x="681487" y="3398807"/>
                            <a:ext cx="362002" cy="1303623"/>
                          </a:xfrm>
                          <a:prstGeom prst="rightArrow">
                            <a:avLst>
                              <a:gd name="adj1" fmla="val 50000"/>
                              <a:gd name="adj2" fmla="val 25000"/>
                            </a:avLst>
                          </a:prstGeom>
                          <a:noFill/>
                          <a:ln w="2857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80" name="Text Box 69"/>
                        <wps:cNvSpPr>
                          <a:spLocks noChangeArrowheads="1"/>
                        </wps:cNvSpPr>
                        <wps:spPr bwMode="auto">
                          <a:xfrm>
                            <a:off x="3305175" y="1138687"/>
                            <a:ext cx="1896553" cy="514270"/>
                          </a:xfrm>
                          <a:prstGeom prst="roundRect">
                            <a:avLst>
                              <a:gd name="adj" fmla="val 16667"/>
                            </a:avLst>
                          </a:prstGeom>
                          <a:solidFill>
                            <a:srgbClr val="4F81BD"/>
                          </a:solidFill>
                          <a:ln w="38100">
                            <a:solidFill>
                              <a:srgbClr val="FFFFFF"/>
                            </a:solidFill>
                            <a:round/>
                            <a:headEnd/>
                            <a:tailEnd/>
                          </a:ln>
                          <a:effectLst>
                            <a:outerShdw dist="20000" dir="5400000" rotWithShape="0">
                              <a:srgbClr val="000000">
                                <a:alpha val="37999"/>
                              </a:srgbClr>
                            </a:outerShdw>
                          </a:effectLst>
                        </wps:spPr>
                        <wps:txbx>
                          <w:txbxContent>
                            <w:p w14:paraId="26D4AD58" w14:textId="77777777" w:rsidR="004E3164" w:rsidRPr="00DF7116" w:rsidRDefault="004E3164" w:rsidP="006517CD">
                              <w:pPr>
                                <w:ind w:firstLine="0"/>
                                <w:jc w:val="center"/>
                                <w:rPr>
                                  <w:b/>
                                  <w:spacing w:val="20"/>
                                  <w:sz w:val="20"/>
                                </w:rPr>
                              </w:pPr>
                              <w:r w:rsidRPr="00DF7116">
                                <w:rPr>
                                  <w:b/>
                                  <w:spacing w:val="20"/>
                                  <w:sz w:val="20"/>
                                </w:rPr>
                                <w:t>СО - дирекция „Национален фонд“ МФ</w:t>
                              </w:r>
                            </w:p>
                          </w:txbxContent>
                        </wps:txbx>
                        <wps:bodyPr rot="0" vert="horz" wrap="square" lIns="36000" tIns="45720" rIns="36000" bIns="45720" anchor="t" anchorCtr="0" upright="1">
                          <a:noAutofit/>
                        </wps:bodyPr>
                      </wps:wsp>
                      <wps:wsp>
                        <wps:cNvPr id="90" name="Text Box 22"/>
                        <wps:cNvSpPr txBox="1">
                          <a:spLocks noChangeArrowheads="1"/>
                        </wps:cNvSpPr>
                        <wps:spPr bwMode="auto">
                          <a:xfrm>
                            <a:off x="1069675" y="3200400"/>
                            <a:ext cx="975305" cy="1990782"/>
                          </a:xfrm>
                          <a:prstGeom prst="rect">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461343B" w14:textId="77777777" w:rsidR="004E3164" w:rsidRPr="00DF7116" w:rsidRDefault="004E3164" w:rsidP="006517CD">
                              <w:pPr>
                                <w:ind w:firstLine="0"/>
                                <w:jc w:val="center"/>
                                <w:rPr>
                                  <w:b/>
                                  <w:sz w:val="20"/>
                                </w:rPr>
                              </w:pPr>
                            </w:p>
                            <w:p w14:paraId="001DB340" w14:textId="77777777" w:rsidR="004E3164" w:rsidRPr="00DF7116" w:rsidRDefault="004E3164" w:rsidP="006517CD">
                              <w:pPr>
                                <w:ind w:firstLine="0"/>
                                <w:jc w:val="center"/>
                                <w:rPr>
                                  <w:b/>
                                  <w:sz w:val="20"/>
                                </w:rPr>
                              </w:pPr>
                              <w:r w:rsidRPr="00DF7116">
                                <w:rPr>
                                  <w:b/>
                                  <w:sz w:val="20"/>
                                </w:rPr>
                                <w:t xml:space="preserve">Управляващ орган </w:t>
                              </w:r>
                            </w:p>
                            <w:p w14:paraId="0E723C60" w14:textId="77777777" w:rsidR="004E3164" w:rsidRPr="00DF7116" w:rsidRDefault="004E3164" w:rsidP="006517CD">
                              <w:pPr>
                                <w:ind w:firstLine="0"/>
                                <w:jc w:val="center"/>
                                <w:rPr>
                                  <w:b/>
                                  <w:sz w:val="20"/>
                                </w:rPr>
                              </w:pPr>
                              <w:r w:rsidRPr="00DF7116">
                                <w:rPr>
                                  <w:b/>
                                  <w:sz w:val="20"/>
                                </w:rPr>
                                <w:t xml:space="preserve">на </w:t>
                              </w:r>
                            </w:p>
                            <w:p w14:paraId="4F82E31A" w14:textId="77777777" w:rsidR="004E3164" w:rsidRPr="00DF7116" w:rsidRDefault="004E3164" w:rsidP="006517CD">
                              <w:pPr>
                                <w:ind w:firstLine="0"/>
                                <w:jc w:val="center"/>
                                <w:rPr>
                                  <w:b/>
                                  <w:sz w:val="20"/>
                                </w:rPr>
                              </w:pPr>
                              <w:r w:rsidRPr="00DF7116">
                                <w:rPr>
                                  <w:b/>
                                  <w:sz w:val="20"/>
                                </w:rPr>
                                <w:t>Оперативна програма „Региони в растеж“</w:t>
                              </w:r>
                            </w:p>
                            <w:p w14:paraId="6B4F3570" w14:textId="77777777" w:rsidR="004E3164" w:rsidRPr="00DF7116" w:rsidRDefault="004E3164" w:rsidP="006517CD">
                              <w:pPr>
                                <w:ind w:firstLine="0"/>
                                <w:jc w:val="center"/>
                                <w:rPr>
                                  <w:b/>
                                  <w:sz w:val="20"/>
                                </w:rPr>
                              </w:pPr>
                            </w:p>
                            <w:p w14:paraId="58C209AA" w14:textId="77777777" w:rsidR="004E3164" w:rsidRPr="00DF7116" w:rsidRDefault="004E3164" w:rsidP="006517CD">
                              <w:pPr>
                                <w:ind w:firstLine="0"/>
                                <w:jc w:val="center"/>
                                <w:rPr>
                                  <w:b/>
                                  <w:sz w:val="20"/>
                                </w:rPr>
                              </w:pPr>
                            </w:p>
                            <w:p w14:paraId="26F9A1E4" w14:textId="77777777" w:rsidR="004E3164" w:rsidRPr="00DF7116" w:rsidRDefault="004E3164" w:rsidP="006517CD">
                              <w:pPr>
                                <w:ind w:firstLine="0"/>
                                <w:jc w:val="center"/>
                                <w:rPr>
                                  <w:b/>
                                  <w:sz w:val="20"/>
                                </w:rPr>
                              </w:pPr>
                            </w:p>
                            <w:p w14:paraId="51C46737" w14:textId="77777777" w:rsidR="004E3164" w:rsidRPr="00DF7116" w:rsidRDefault="004E3164" w:rsidP="006517CD">
                              <w:pPr>
                                <w:ind w:firstLine="0"/>
                                <w:jc w:val="center"/>
                                <w:rPr>
                                  <w:b/>
                                  <w:sz w:val="20"/>
                                </w:rPr>
                              </w:pPr>
                              <w:r w:rsidRPr="00DF7116">
                                <w:rPr>
                                  <w:b/>
                                  <w:sz w:val="20"/>
                                </w:rPr>
                                <w:t>МРРБ</w:t>
                              </w:r>
                            </w:p>
                          </w:txbxContent>
                        </wps:txbx>
                        <wps:bodyPr rot="0" vert="horz" wrap="square" lIns="91440" tIns="45720" rIns="91440" bIns="45720" anchor="t" anchorCtr="0" upright="1">
                          <a:noAutofit/>
                        </wps:bodyPr>
                      </wps:wsp>
                      <wps:wsp>
                        <wps:cNvPr id="92" name="Text Box 23"/>
                        <wps:cNvSpPr txBox="1">
                          <a:spLocks noChangeArrowheads="1"/>
                        </wps:cNvSpPr>
                        <wps:spPr bwMode="auto">
                          <a:xfrm>
                            <a:off x="2147977" y="3209026"/>
                            <a:ext cx="975605" cy="1990782"/>
                          </a:xfrm>
                          <a:prstGeom prst="rect">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35697BC" w14:textId="77777777" w:rsidR="004E3164" w:rsidRPr="00DF7116" w:rsidRDefault="004E3164" w:rsidP="006517CD">
                              <w:pPr>
                                <w:ind w:firstLine="0"/>
                                <w:jc w:val="center"/>
                                <w:rPr>
                                  <w:b/>
                                  <w:sz w:val="20"/>
                                </w:rPr>
                              </w:pPr>
                            </w:p>
                            <w:p w14:paraId="4C07C45D" w14:textId="77777777" w:rsidR="004E3164" w:rsidRPr="00DF7116" w:rsidRDefault="004E3164" w:rsidP="006517CD">
                              <w:pPr>
                                <w:ind w:firstLine="0"/>
                                <w:jc w:val="center"/>
                                <w:rPr>
                                  <w:b/>
                                  <w:sz w:val="20"/>
                                </w:rPr>
                              </w:pPr>
                              <w:r w:rsidRPr="00DF7116">
                                <w:rPr>
                                  <w:b/>
                                  <w:sz w:val="20"/>
                                </w:rPr>
                                <w:t xml:space="preserve">Управляващ орган </w:t>
                              </w:r>
                            </w:p>
                            <w:p w14:paraId="6104FF0C" w14:textId="77777777" w:rsidR="004E3164" w:rsidRPr="00DF7116" w:rsidRDefault="004E3164" w:rsidP="006517CD">
                              <w:pPr>
                                <w:ind w:firstLine="0"/>
                                <w:jc w:val="center"/>
                                <w:rPr>
                                  <w:b/>
                                  <w:sz w:val="20"/>
                                </w:rPr>
                              </w:pPr>
                              <w:r w:rsidRPr="00DF7116">
                                <w:rPr>
                                  <w:b/>
                                  <w:sz w:val="20"/>
                                </w:rPr>
                                <w:t xml:space="preserve">на </w:t>
                              </w:r>
                            </w:p>
                            <w:p w14:paraId="17B95258" w14:textId="77777777" w:rsidR="004E3164" w:rsidRPr="00DF7116" w:rsidRDefault="004E3164" w:rsidP="006517CD">
                              <w:pPr>
                                <w:ind w:firstLine="0"/>
                                <w:jc w:val="center"/>
                                <w:rPr>
                                  <w:b/>
                                  <w:sz w:val="20"/>
                                </w:rPr>
                              </w:pPr>
                              <w:r w:rsidRPr="00DF7116">
                                <w:rPr>
                                  <w:b/>
                                  <w:sz w:val="20"/>
                                </w:rPr>
                                <w:t>ОП „Иновации и конкуренто-способност”</w:t>
                              </w:r>
                            </w:p>
                            <w:p w14:paraId="3B98AB6C" w14:textId="77777777" w:rsidR="004E3164" w:rsidRPr="00DF7116" w:rsidRDefault="004E3164" w:rsidP="006517CD">
                              <w:pPr>
                                <w:ind w:firstLine="0"/>
                                <w:jc w:val="center"/>
                                <w:rPr>
                                  <w:b/>
                                  <w:sz w:val="20"/>
                                </w:rPr>
                              </w:pPr>
                            </w:p>
                            <w:p w14:paraId="6AF52393" w14:textId="77777777" w:rsidR="004E3164" w:rsidRPr="00DF7116" w:rsidRDefault="004E3164" w:rsidP="006517CD">
                              <w:pPr>
                                <w:ind w:firstLine="0"/>
                                <w:jc w:val="center"/>
                                <w:rPr>
                                  <w:b/>
                                  <w:sz w:val="20"/>
                                </w:rPr>
                              </w:pPr>
                            </w:p>
                            <w:p w14:paraId="5962BA55" w14:textId="77777777" w:rsidR="004E3164" w:rsidRPr="00DF7116" w:rsidRDefault="004E3164" w:rsidP="006517CD">
                              <w:pPr>
                                <w:ind w:firstLine="0"/>
                                <w:jc w:val="center"/>
                                <w:rPr>
                                  <w:b/>
                                  <w:sz w:val="20"/>
                                </w:rPr>
                              </w:pPr>
                            </w:p>
                            <w:p w14:paraId="3B933981" w14:textId="77777777" w:rsidR="004E3164" w:rsidRPr="00DF7116" w:rsidRDefault="004E3164" w:rsidP="00DF7116">
                              <w:pPr>
                                <w:ind w:firstLine="0"/>
                                <w:jc w:val="center"/>
                                <w:rPr>
                                  <w:sz w:val="20"/>
                                  <w:lang w:val="ru-RU"/>
                                </w:rPr>
                              </w:pPr>
                              <w:r w:rsidRPr="00DF7116">
                                <w:rPr>
                                  <w:b/>
                                  <w:sz w:val="20"/>
                                </w:rPr>
                                <w:t>МИЕТ</w:t>
                              </w:r>
                            </w:p>
                          </w:txbxContent>
                        </wps:txbx>
                        <wps:bodyPr rot="0" vert="horz" wrap="square" lIns="91440" tIns="45720" rIns="91440" bIns="45720" anchor="t" anchorCtr="0" upright="1">
                          <a:noAutofit/>
                        </wps:bodyPr>
                      </wps:wsp>
                      <wps:wsp>
                        <wps:cNvPr id="96" name="Text Box 24"/>
                        <wps:cNvSpPr txBox="1">
                          <a:spLocks noChangeArrowheads="1"/>
                        </wps:cNvSpPr>
                        <wps:spPr bwMode="auto">
                          <a:xfrm>
                            <a:off x="3209026" y="3226279"/>
                            <a:ext cx="1071305" cy="1990782"/>
                          </a:xfrm>
                          <a:prstGeom prst="rect">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85404DA" w14:textId="77777777" w:rsidR="004E3164" w:rsidRPr="00DF7116" w:rsidRDefault="004E3164" w:rsidP="006517CD">
                              <w:pPr>
                                <w:ind w:firstLine="0"/>
                                <w:jc w:val="center"/>
                                <w:rPr>
                                  <w:b/>
                                  <w:sz w:val="20"/>
                                </w:rPr>
                              </w:pPr>
                            </w:p>
                            <w:p w14:paraId="0A4AF49E" w14:textId="77777777" w:rsidR="004E3164" w:rsidRPr="00DF7116" w:rsidRDefault="004E3164" w:rsidP="006517CD">
                              <w:pPr>
                                <w:ind w:firstLine="0"/>
                                <w:jc w:val="center"/>
                                <w:rPr>
                                  <w:b/>
                                  <w:sz w:val="20"/>
                                </w:rPr>
                              </w:pPr>
                              <w:r w:rsidRPr="00DF7116">
                                <w:rPr>
                                  <w:b/>
                                  <w:sz w:val="20"/>
                                </w:rPr>
                                <w:t xml:space="preserve">Управляващ орган </w:t>
                              </w:r>
                            </w:p>
                            <w:p w14:paraId="78970792" w14:textId="77777777" w:rsidR="004E3164" w:rsidRPr="00DF7116" w:rsidRDefault="004E3164" w:rsidP="006517CD">
                              <w:pPr>
                                <w:ind w:firstLine="0"/>
                                <w:jc w:val="center"/>
                                <w:rPr>
                                  <w:b/>
                                  <w:sz w:val="20"/>
                                </w:rPr>
                              </w:pPr>
                              <w:r w:rsidRPr="00DF7116">
                                <w:rPr>
                                  <w:b/>
                                  <w:sz w:val="20"/>
                                </w:rPr>
                                <w:t xml:space="preserve">на </w:t>
                              </w:r>
                            </w:p>
                            <w:p w14:paraId="550A5264" w14:textId="77777777" w:rsidR="004E3164" w:rsidRPr="00DF7116" w:rsidRDefault="004E3164" w:rsidP="006517CD">
                              <w:pPr>
                                <w:ind w:firstLine="0"/>
                                <w:jc w:val="center"/>
                                <w:rPr>
                                  <w:b/>
                                  <w:sz w:val="20"/>
                                </w:rPr>
                              </w:pPr>
                              <w:r w:rsidRPr="00DF7116">
                                <w:rPr>
                                  <w:b/>
                                  <w:sz w:val="20"/>
                                </w:rPr>
                                <w:t>ОП „Развитие на Човешките ресурси 2014-2020”</w:t>
                              </w:r>
                            </w:p>
                            <w:p w14:paraId="0807A4F7" w14:textId="77777777" w:rsidR="004E3164" w:rsidRPr="00DF7116" w:rsidRDefault="004E3164" w:rsidP="006517CD">
                              <w:pPr>
                                <w:ind w:firstLine="0"/>
                                <w:jc w:val="center"/>
                                <w:rPr>
                                  <w:b/>
                                  <w:sz w:val="20"/>
                                </w:rPr>
                              </w:pPr>
                            </w:p>
                            <w:p w14:paraId="28505B05" w14:textId="77777777" w:rsidR="004E3164" w:rsidRPr="00DF7116" w:rsidRDefault="004E3164" w:rsidP="006517CD">
                              <w:pPr>
                                <w:ind w:firstLine="0"/>
                                <w:jc w:val="center"/>
                                <w:rPr>
                                  <w:b/>
                                  <w:sz w:val="20"/>
                                </w:rPr>
                              </w:pPr>
                            </w:p>
                            <w:p w14:paraId="2DC086A4" w14:textId="77777777" w:rsidR="004E3164" w:rsidRPr="00DF7116" w:rsidRDefault="004E3164" w:rsidP="006517CD">
                              <w:pPr>
                                <w:ind w:firstLine="0"/>
                                <w:jc w:val="center"/>
                                <w:rPr>
                                  <w:b/>
                                  <w:sz w:val="20"/>
                                </w:rPr>
                              </w:pPr>
                            </w:p>
                            <w:p w14:paraId="4DFA016B" w14:textId="77777777" w:rsidR="004E3164" w:rsidRPr="00DF7116" w:rsidRDefault="004E3164" w:rsidP="006517CD">
                              <w:pPr>
                                <w:ind w:firstLine="0"/>
                                <w:jc w:val="center"/>
                                <w:rPr>
                                  <w:b/>
                                  <w:sz w:val="20"/>
                                </w:rPr>
                              </w:pPr>
                              <w:r w:rsidRPr="00DF7116">
                                <w:rPr>
                                  <w:b/>
                                  <w:sz w:val="20"/>
                                </w:rPr>
                                <w:t>МТСП</w:t>
                              </w:r>
                            </w:p>
                          </w:txbxContent>
                        </wps:txbx>
                        <wps:bodyPr rot="0" vert="horz" wrap="square" lIns="91440" tIns="45720" rIns="91440" bIns="45720" anchor="t" anchorCtr="0" upright="1">
                          <a:noAutofit/>
                        </wps:bodyPr>
                      </wps:wsp>
                      <wps:wsp>
                        <wps:cNvPr id="97" name="Text Box 25"/>
                        <wps:cNvSpPr txBox="1">
                          <a:spLocks noChangeArrowheads="1"/>
                        </wps:cNvSpPr>
                        <wps:spPr bwMode="auto">
                          <a:xfrm>
                            <a:off x="4356339" y="3226279"/>
                            <a:ext cx="941705" cy="1990782"/>
                          </a:xfrm>
                          <a:prstGeom prst="rect">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47D58AD3" w14:textId="77777777" w:rsidR="004E3164" w:rsidRPr="00DF7116" w:rsidRDefault="004E3164" w:rsidP="006517CD">
                              <w:pPr>
                                <w:ind w:firstLine="0"/>
                                <w:jc w:val="center"/>
                                <w:rPr>
                                  <w:b/>
                                  <w:sz w:val="20"/>
                                </w:rPr>
                              </w:pPr>
                            </w:p>
                            <w:p w14:paraId="663BA654" w14:textId="77777777" w:rsidR="004E3164" w:rsidRPr="00DF7116" w:rsidRDefault="004E3164" w:rsidP="006517CD">
                              <w:pPr>
                                <w:ind w:firstLine="0"/>
                                <w:jc w:val="center"/>
                                <w:rPr>
                                  <w:b/>
                                  <w:sz w:val="20"/>
                                </w:rPr>
                              </w:pPr>
                              <w:r w:rsidRPr="00DF7116">
                                <w:rPr>
                                  <w:b/>
                                  <w:sz w:val="20"/>
                                </w:rPr>
                                <w:t xml:space="preserve">Управляващ орган </w:t>
                              </w:r>
                            </w:p>
                            <w:p w14:paraId="1968D104" w14:textId="77777777" w:rsidR="004E3164" w:rsidRPr="00DF7116" w:rsidRDefault="004E3164" w:rsidP="006517CD">
                              <w:pPr>
                                <w:ind w:firstLine="0"/>
                                <w:jc w:val="center"/>
                                <w:rPr>
                                  <w:b/>
                                  <w:sz w:val="20"/>
                                </w:rPr>
                              </w:pPr>
                              <w:r w:rsidRPr="00DF7116">
                                <w:rPr>
                                  <w:b/>
                                  <w:sz w:val="20"/>
                                </w:rPr>
                                <w:t xml:space="preserve">на </w:t>
                              </w:r>
                            </w:p>
                            <w:p w14:paraId="65273A87" w14:textId="77777777" w:rsidR="004E3164" w:rsidRPr="00DF7116" w:rsidRDefault="004E3164" w:rsidP="006517CD">
                              <w:pPr>
                                <w:ind w:firstLine="0"/>
                                <w:jc w:val="center"/>
                                <w:rPr>
                                  <w:b/>
                                  <w:sz w:val="20"/>
                                </w:rPr>
                              </w:pPr>
                              <w:r w:rsidRPr="00DF7116">
                                <w:rPr>
                                  <w:b/>
                                  <w:sz w:val="20"/>
                                </w:rPr>
                                <w:t>ОП „Околна среда 2014-2020”</w:t>
                              </w:r>
                            </w:p>
                            <w:p w14:paraId="2CFD301A" w14:textId="77777777" w:rsidR="004E3164" w:rsidRPr="00DF7116" w:rsidRDefault="004E3164" w:rsidP="006517CD">
                              <w:pPr>
                                <w:ind w:firstLine="0"/>
                                <w:jc w:val="center"/>
                                <w:rPr>
                                  <w:b/>
                                  <w:sz w:val="20"/>
                                </w:rPr>
                              </w:pPr>
                            </w:p>
                            <w:p w14:paraId="082B0DDF" w14:textId="77777777" w:rsidR="004E3164" w:rsidRPr="00DF7116" w:rsidRDefault="004E3164" w:rsidP="006517CD">
                              <w:pPr>
                                <w:ind w:firstLine="0"/>
                                <w:jc w:val="center"/>
                                <w:rPr>
                                  <w:b/>
                                  <w:sz w:val="20"/>
                                </w:rPr>
                              </w:pPr>
                            </w:p>
                            <w:p w14:paraId="76BFCEDE" w14:textId="77777777" w:rsidR="004E3164" w:rsidRPr="00DF7116" w:rsidRDefault="004E3164" w:rsidP="006517CD">
                              <w:pPr>
                                <w:ind w:firstLine="0"/>
                                <w:jc w:val="center"/>
                                <w:rPr>
                                  <w:b/>
                                  <w:sz w:val="20"/>
                                </w:rPr>
                              </w:pPr>
                            </w:p>
                            <w:p w14:paraId="377016F5" w14:textId="77777777" w:rsidR="004E3164" w:rsidRPr="00DF7116" w:rsidRDefault="004E3164" w:rsidP="006517CD">
                              <w:pPr>
                                <w:ind w:firstLine="0"/>
                                <w:jc w:val="center"/>
                                <w:rPr>
                                  <w:b/>
                                  <w:sz w:val="20"/>
                                </w:rPr>
                              </w:pPr>
                            </w:p>
                            <w:p w14:paraId="622D75AA" w14:textId="77777777" w:rsidR="004E3164" w:rsidRPr="00DF7116" w:rsidRDefault="004E3164" w:rsidP="006517CD">
                              <w:pPr>
                                <w:ind w:firstLine="0"/>
                                <w:jc w:val="center"/>
                                <w:rPr>
                                  <w:b/>
                                  <w:sz w:val="20"/>
                                </w:rPr>
                              </w:pPr>
                              <w:r w:rsidRPr="00DF7116">
                                <w:rPr>
                                  <w:b/>
                                  <w:sz w:val="20"/>
                                </w:rPr>
                                <w:t>МОСВ</w:t>
                              </w:r>
                            </w:p>
                          </w:txbxContent>
                        </wps:txbx>
                        <wps:bodyPr rot="0" vert="horz" wrap="square" lIns="91440" tIns="45720" rIns="91440" bIns="45720" anchor="t" anchorCtr="0" upright="1">
                          <a:noAutofit/>
                        </wps:bodyPr>
                      </wps:wsp>
                      <wps:wsp>
                        <wps:cNvPr id="98" name="Text Box 26"/>
                        <wps:cNvSpPr txBox="1">
                          <a:spLocks noChangeArrowheads="1"/>
                        </wps:cNvSpPr>
                        <wps:spPr bwMode="auto">
                          <a:xfrm>
                            <a:off x="5348377" y="3217653"/>
                            <a:ext cx="1185506" cy="1990882"/>
                          </a:xfrm>
                          <a:prstGeom prst="rect">
                            <a:avLst/>
                          </a:prstGeom>
                          <a:gradFill rotWithShape="1">
                            <a:gsLst>
                              <a:gs pos="0">
                                <a:srgbClr val="2787A0"/>
                              </a:gs>
                              <a:gs pos="80000">
                                <a:srgbClr val="36B1D2"/>
                              </a:gs>
                              <a:gs pos="100000">
                                <a:srgbClr val="34B3D6"/>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CCC3135" w14:textId="77777777" w:rsidR="004E3164" w:rsidRPr="00DF7116" w:rsidRDefault="004E3164" w:rsidP="006517CD">
                              <w:pPr>
                                <w:ind w:firstLine="0"/>
                                <w:jc w:val="center"/>
                                <w:rPr>
                                  <w:b/>
                                  <w:sz w:val="20"/>
                                </w:rPr>
                              </w:pPr>
                            </w:p>
                            <w:p w14:paraId="608881B0" w14:textId="77777777" w:rsidR="004E3164" w:rsidRPr="00DF7116" w:rsidRDefault="004E3164" w:rsidP="006517CD">
                              <w:pPr>
                                <w:ind w:firstLine="0"/>
                                <w:jc w:val="center"/>
                                <w:rPr>
                                  <w:b/>
                                  <w:sz w:val="20"/>
                                </w:rPr>
                              </w:pPr>
                              <w:r w:rsidRPr="00DF7116">
                                <w:rPr>
                                  <w:b/>
                                  <w:sz w:val="20"/>
                                </w:rPr>
                                <w:t xml:space="preserve">Управляващ орган </w:t>
                              </w:r>
                            </w:p>
                            <w:p w14:paraId="6FE4290E" w14:textId="77777777" w:rsidR="004E3164" w:rsidRPr="00DF7116" w:rsidRDefault="004E3164" w:rsidP="006517CD">
                              <w:pPr>
                                <w:ind w:firstLine="0"/>
                                <w:jc w:val="center"/>
                                <w:rPr>
                                  <w:b/>
                                  <w:sz w:val="20"/>
                                </w:rPr>
                              </w:pPr>
                              <w:r w:rsidRPr="00DF7116">
                                <w:rPr>
                                  <w:b/>
                                  <w:sz w:val="20"/>
                                </w:rPr>
                                <w:t xml:space="preserve">на </w:t>
                              </w:r>
                            </w:p>
                            <w:p w14:paraId="1F080269" w14:textId="77777777" w:rsidR="004E3164" w:rsidRPr="00DF7116" w:rsidRDefault="004E3164" w:rsidP="006517CD">
                              <w:pPr>
                                <w:ind w:firstLine="0"/>
                                <w:jc w:val="center"/>
                                <w:rPr>
                                  <w:b/>
                                  <w:sz w:val="20"/>
                                </w:rPr>
                              </w:pPr>
                              <w:r w:rsidRPr="00DF7116">
                                <w:rPr>
                                  <w:b/>
                                  <w:sz w:val="20"/>
                                </w:rPr>
                                <w:t>ОП „Транспорт и транспортна инфраструктура”</w:t>
                              </w:r>
                            </w:p>
                            <w:p w14:paraId="11514798" w14:textId="77777777" w:rsidR="004E3164" w:rsidRPr="00DF7116" w:rsidRDefault="004E3164" w:rsidP="006517CD">
                              <w:pPr>
                                <w:ind w:firstLine="0"/>
                                <w:jc w:val="center"/>
                                <w:rPr>
                                  <w:b/>
                                  <w:sz w:val="20"/>
                                </w:rPr>
                              </w:pPr>
                            </w:p>
                            <w:p w14:paraId="763456B3" w14:textId="77777777" w:rsidR="004E3164" w:rsidRPr="00DF7116" w:rsidRDefault="004E3164" w:rsidP="006517CD">
                              <w:pPr>
                                <w:ind w:firstLine="0"/>
                                <w:jc w:val="center"/>
                                <w:rPr>
                                  <w:b/>
                                  <w:sz w:val="20"/>
                                </w:rPr>
                              </w:pPr>
                            </w:p>
                            <w:p w14:paraId="50EF11FA" w14:textId="77777777" w:rsidR="004E3164" w:rsidRPr="00DF7116" w:rsidRDefault="004E3164" w:rsidP="006517CD">
                              <w:pPr>
                                <w:ind w:firstLine="0"/>
                                <w:jc w:val="center"/>
                                <w:rPr>
                                  <w:b/>
                                  <w:sz w:val="20"/>
                                </w:rPr>
                              </w:pPr>
                            </w:p>
                            <w:p w14:paraId="7E9194E2" w14:textId="77777777" w:rsidR="004E3164" w:rsidRPr="00DF7116" w:rsidRDefault="004E3164" w:rsidP="006517CD">
                              <w:pPr>
                                <w:ind w:firstLine="0"/>
                                <w:jc w:val="center"/>
                                <w:rPr>
                                  <w:b/>
                                  <w:sz w:val="20"/>
                                </w:rPr>
                              </w:pPr>
                              <w:r w:rsidRPr="00DF7116">
                                <w:rPr>
                                  <w:b/>
                                  <w:sz w:val="20"/>
                                </w:rPr>
                                <w:t>MTИТС</w:t>
                              </w:r>
                            </w:p>
                          </w:txbxContent>
                        </wps:txbx>
                        <wps:bodyPr rot="0" vert="horz" wrap="square" lIns="91440" tIns="45720" rIns="91440" bIns="45720" anchor="t" anchorCtr="0" upright="1">
                          <a:noAutofit/>
                        </wps:bodyPr>
                      </wps:wsp>
                      <wps:wsp>
                        <wps:cNvPr id="114" name="Text Box 27"/>
                        <wps:cNvSpPr txBox="1">
                          <a:spLocks noChangeArrowheads="1"/>
                        </wps:cNvSpPr>
                        <wps:spPr bwMode="auto">
                          <a:xfrm>
                            <a:off x="6642339" y="3217653"/>
                            <a:ext cx="997005" cy="1990782"/>
                          </a:xfrm>
                          <a:prstGeom prst="rect">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73135AC" w14:textId="77777777" w:rsidR="004E3164" w:rsidRPr="00DF7116" w:rsidRDefault="004E3164" w:rsidP="006517CD">
                              <w:pPr>
                                <w:ind w:firstLine="0"/>
                                <w:jc w:val="center"/>
                                <w:rPr>
                                  <w:b/>
                                  <w:sz w:val="20"/>
                                </w:rPr>
                              </w:pPr>
                            </w:p>
                            <w:p w14:paraId="75E4D6C1" w14:textId="77777777" w:rsidR="004E3164" w:rsidRPr="00DF7116" w:rsidRDefault="004E3164" w:rsidP="006517CD">
                              <w:pPr>
                                <w:ind w:firstLine="0"/>
                                <w:jc w:val="center"/>
                                <w:rPr>
                                  <w:b/>
                                  <w:sz w:val="20"/>
                                </w:rPr>
                              </w:pPr>
                              <w:r w:rsidRPr="00DF7116">
                                <w:rPr>
                                  <w:b/>
                                  <w:sz w:val="20"/>
                                </w:rPr>
                                <w:t xml:space="preserve">Управляващ орган </w:t>
                              </w:r>
                            </w:p>
                            <w:p w14:paraId="670FB10F" w14:textId="77777777" w:rsidR="004E3164" w:rsidRPr="00DF7116" w:rsidRDefault="004E3164" w:rsidP="006517CD">
                              <w:pPr>
                                <w:ind w:firstLine="0"/>
                                <w:jc w:val="center"/>
                                <w:rPr>
                                  <w:b/>
                                  <w:sz w:val="20"/>
                                </w:rPr>
                              </w:pPr>
                              <w:r w:rsidRPr="00DF7116">
                                <w:rPr>
                                  <w:b/>
                                  <w:sz w:val="20"/>
                                </w:rPr>
                                <w:t xml:space="preserve">на </w:t>
                              </w:r>
                            </w:p>
                            <w:p w14:paraId="60086B88" w14:textId="77777777" w:rsidR="004E3164" w:rsidRPr="00DF7116" w:rsidRDefault="004E3164" w:rsidP="006517CD">
                              <w:pPr>
                                <w:ind w:firstLine="0"/>
                                <w:jc w:val="center"/>
                                <w:rPr>
                                  <w:b/>
                                  <w:sz w:val="20"/>
                                </w:rPr>
                              </w:pPr>
                              <w:r w:rsidRPr="00DF7116">
                                <w:rPr>
                                  <w:b/>
                                  <w:sz w:val="20"/>
                                </w:rPr>
                                <w:t>ОП „Добро управление”</w:t>
                              </w:r>
                            </w:p>
                            <w:p w14:paraId="3E122D81" w14:textId="77777777" w:rsidR="004E3164" w:rsidRPr="00DF7116" w:rsidRDefault="004E3164" w:rsidP="006517CD">
                              <w:pPr>
                                <w:ind w:firstLine="0"/>
                                <w:jc w:val="center"/>
                                <w:rPr>
                                  <w:b/>
                                  <w:sz w:val="20"/>
                                </w:rPr>
                              </w:pPr>
                            </w:p>
                            <w:p w14:paraId="5A687352" w14:textId="77777777" w:rsidR="004E3164" w:rsidRPr="00DF7116" w:rsidRDefault="004E3164" w:rsidP="006517CD">
                              <w:pPr>
                                <w:ind w:firstLine="0"/>
                                <w:jc w:val="center"/>
                                <w:rPr>
                                  <w:b/>
                                  <w:sz w:val="20"/>
                                </w:rPr>
                              </w:pPr>
                            </w:p>
                            <w:p w14:paraId="741CF93C" w14:textId="77777777" w:rsidR="004E3164" w:rsidRPr="00DF7116" w:rsidRDefault="004E3164" w:rsidP="006517CD">
                              <w:pPr>
                                <w:ind w:firstLine="0"/>
                                <w:jc w:val="center"/>
                                <w:rPr>
                                  <w:b/>
                                  <w:sz w:val="20"/>
                                </w:rPr>
                              </w:pPr>
                            </w:p>
                            <w:p w14:paraId="16927AF2" w14:textId="77777777" w:rsidR="004E3164" w:rsidRPr="00DF7116" w:rsidRDefault="004E3164" w:rsidP="006517CD">
                              <w:pPr>
                                <w:ind w:firstLine="0"/>
                                <w:jc w:val="center"/>
                                <w:rPr>
                                  <w:b/>
                                  <w:sz w:val="20"/>
                                </w:rPr>
                              </w:pPr>
                            </w:p>
                            <w:p w14:paraId="0C834B0B" w14:textId="77777777" w:rsidR="004E3164" w:rsidRPr="00DF7116" w:rsidRDefault="004E3164" w:rsidP="006517CD">
                              <w:pPr>
                                <w:ind w:firstLine="0"/>
                                <w:jc w:val="center"/>
                                <w:rPr>
                                  <w:b/>
                                  <w:sz w:val="20"/>
                                </w:rPr>
                              </w:pPr>
                            </w:p>
                            <w:p w14:paraId="23E29028" w14:textId="77777777" w:rsidR="004E3164" w:rsidRPr="00DF7116" w:rsidRDefault="004E3164" w:rsidP="006517CD">
                              <w:pPr>
                                <w:ind w:firstLine="0"/>
                                <w:jc w:val="center"/>
                                <w:rPr>
                                  <w:b/>
                                  <w:sz w:val="20"/>
                                </w:rPr>
                              </w:pPr>
                              <w:r w:rsidRPr="00DF7116">
                                <w:rPr>
                                  <w:b/>
                                  <w:sz w:val="20"/>
                                </w:rPr>
                                <w:t>МФ</w:t>
                              </w:r>
                            </w:p>
                          </w:txbxContent>
                        </wps:txbx>
                        <wps:bodyPr rot="0" vert="horz" wrap="square" lIns="91440" tIns="45720" rIns="91440" bIns="45720" anchor="t" anchorCtr="0" upright="1">
                          <a:noAutofit/>
                        </wps:bodyPr>
                      </wps:wsp>
                      <wps:wsp>
                        <wps:cNvPr id="115" name="Text Box 77"/>
                        <wps:cNvSpPr txBox="1">
                          <a:spLocks noChangeArrowheads="1"/>
                        </wps:cNvSpPr>
                        <wps:spPr bwMode="auto">
                          <a:xfrm>
                            <a:off x="7712015" y="3217653"/>
                            <a:ext cx="905805" cy="1981182"/>
                          </a:xfrm>
                          <a:prstGeom prst="rect">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C0EAF04" w14:textId="77777777" w:rsidR="004E3164" w:rsidRPr="00DF7116" w:rsidRDefault="004E3164" w:rsidP="006517CD">
                              <w:pPr>
                                <w:ind w:firstLine="0"/>
                                <w:jc w:val="center"/>
                                <w:rPr>
                                  <w:b/>
                                  <w:sz w:val="20"/>
                                </w:rPr>
                              </w:pPr>
                            </w:p>
                            <w:p w14:paraId="7A5CF774" w14:textId="77777777" w:rsidR="004E3164" w:rsidRPr="00DF7116" w:rsidRDefault="004E3164" w:rsidP="006517CD">
                              <w:pPr>
                                <w:ind w:firstLine="0"/>
                                <w:jc w:val="center"/>
                                <w:rPr>
                                  <w:b/>
                                  <w:sz w:val="20"/>
                                </w:rPr>
                              </w:pPr>
                              <w:r w:rsidRPr="00DF7116">
                                <w:rPr>
                                  <w:b/>
                                  <w:sz w:val="20"/>
                                </w:rPr>
                                <w:t xml:space="preserve">Управляващ орган </w:t>
                              </w:r>
                            </w:p>
                            <w:p w14:paraId="5B8E1686" w14:textId="77777777" w:rsidR="004E3164" w:rsidRPr="00DF7116" w:rsidRDefault="004E3164" w:rsidP="006517CD">
                              <w:pPr>
                                <w:ind w:firstLine="0"/>
                                <w:jc w:val="center"/>
                                <w:rPr>
                                  <w:b/>
                                  <w:sz w:val="20"/>
                                </w:rPr>
                              </w:pPr>
                              <w:r w:rsidRPr="00DF7116">
                                <w:rPr>
                                  <w:b/>
                                  <w:sz w:val="20"/>
                                </w:rPr>
                                <w:t xml:space="preserve">на </w:t>
                              </w:r>
                            </w:p>
                            <w:p w14:paraId="7502F668" w14:textId="77777777" w:rsidR="004E3164" w:rsidRPr="00DF7116" w:rsidRDefault="004E3164" w:rsidP="006517CD">
                              <w:pPr>
                                <w:ind w:firstLine="0"/>
                                <w:jc w:val="center"/>
                                <w:rPr>
                                  <w:b/>
                                  <w:sz w:val="20"/>
                                </w:rPr>
                              </w:pPr>
                              <w:r w:rsidRPr="00DF7116">
                                <w:rPr>
                                  <w:b/>
                                  <w:sz w:val="20"/>
                                </w:rPr>
                                <w:t>ОП „Наука и</w:t>
                              </w:r>
                            </w:p>
                            <w:p w14:paraId="0DB3EAEC" w14:textId="77777777" w:rsidR="004E3164" w:rsidRPr="00DF7116" w:rsidRDefault="004E3164" w:rsidP="006517CD">
                              <w:pPr>
                                <w:ind w:firstLine="0"/>
                                <w:jc w:val="center"/>
                                <w:rPr>
                                  <w:b/>
                                  <w:sz w:val="20"/>
                                </w:rPr>
                              </w:pPr>
                              <w:r w:rsidRPr="00DF7116">
                                <w:rPr>
                                  <w:b/>
                                  <w:sz w:val="20"/>
                                </w:rPr>
                                <w:t>образование за интелигентен растеж ”</w:t>
                              </w:r>
                            </w:p>
                            <w:p w14:paraId="4A480C04" w14:textId="77777777" w:rsidR="004E3164" w:rsidRPr="00DF7116" w:rsidRDefault="004E3164" w:rsidP="006517CD">
                              <w:pPr>
                                <w:ind w:firstLine="0"/>
                                <w:jc w:val="center"/>
                                <w:rPr>
                                  <w:b/>
                                  <w:sz w:val="20"/>
                                </w:rPr>
                              </w:pPr>
                            </w:p>
                            <w:p w14:paraId="4901DCB4" w14:textId="77777777" w:rsidR="004E3164" w:rsidRPr="00DF7116" w:rsidRDefault="004E3164" w:rsidP="006517CD">
                              <w:pPr>
                                <w:ind w:firstLine="0"/>
                                <w:jc w:val="center"/>
                                <w:rPr>
                                  <w:b/>
                                  <w:sz w:val="20"/>
                                </w:rPr>
                              </w:pPr>
                              <w:r w:rsidRPr="00DF7116">
                                <w:rPr>
                                  <w:b/>
                                  <w:sz w:val="20"/>
                                </w:rPr>
                                <w:t>МОН</w:t>
                              </w:r>
                            </w:p>
                          </w:txbxContent>
                        </wps:txbx>
                        <wps:bodyPr rot="0" vert="horz" wrap="square" lIns="91440" tIns="45720" rIns="91440" bIns="45720" anchor="t" anchorCtr="0" upright="1">
                          <a:noAutofit/>
                        </wps:bodyPr>
                      </wps:wsp>
                      <wps:wsp>
                        <wps:cNvPr id="117" name="Line 78"/>
                        <wps:cNvCnPr>
                          <a:cxnSpLocks noChangeShapeType="1"/>
                        </wps:cNvCnPr>
                        <wps:spPr bwMode="auto">
                          <a:xfrm flipH="1" flipV="1">
                            <a:off x="1630392" y="2907102"/>
                            <a:ext cx="1300" cy="2959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Line 79"/>
                        <wps:cNvCnPr>
                          <a:cxnSpLocks noChangeShapeType="1"/>
                        </wps:cNvCnPr>
                        <wps:spPr bwMode="auto">
                          <a:xfrm>
                            <a:off x="1518249" y="2907102"/>
                            <a:ext cx="1300" cy="2959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Line 80"/>
                        <wps:cNvCnPr>
                          <a:cxnSpLocks noChangeShapeType="1"/>
                        </wps:cNvCnPr>
                        <wps:spPr bwMode="auto">
                          <a:xfrm>
                            <a:off x="2613804" y="2924355"/>
                            <a:ext cx="1300" cy="2953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Line 81"/>
                        <wps:cNvCnPr>
                          <a:cxnSpLocks noChangeShapeType="1"/>
                        </wps:cNvCnPr>
                        <wps:spPr bwMode="auto">
                          <a:xfrm flipH="1">
                            <a:off x="3631721" y="2924355"/>
                            <a:ext cx="1200" cy="2959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Line 82"/>
                        <wps:cNvCnPr>
                          <a:cxnSpLocks noChangeShapeType="1"/>
                        </wps:cNvCnPr>
                        <wps:spPr bwMode="auto">
                          <a:xfrm>
                            <a:off x="4710022" y="2889849"/>
                            <a:ext cx="1300" cy="2959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Line 83"/>
                        <wps:cNvCnPr>
                          <a:cxnSpLocks noChangeShapeType="1"/>
                        </wps:cNvCnPr>
                        <wps:spPr bwMode="auto">
                          <a:xfrm>
                            <a:off x="5926347" y="2889849"/>
                            <a:ext cx="1900" cy="2953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Line 84"/>
                        <wps:cNvCnPr>
                          <a:cxnSpLocks noChangeShapeType="1"/>
                        </wps:cNvCnPr>
                        <wps:spPr bwMode="auto">
                          <a:xfrm>
                            <a:off x="7056407" y="2872596"/>
                            <a:ext cx="1900" cy="2933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Line 85"/>
                        <wps:cNvCnPr>
                          <a:cxnSpLocks noChangeShapeType="1"/>
                        </wps:cNvCnPr>
                        <wps:spPr bwMode="auto">
                          <a:xfrm flipH="1" flipV="1">
                            <a:off x="2725947" y="2924355"/>
                            <a:ext cx="1200" cy="2959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Line 86"/>
                        <wps:cNvCnPr>
                          <a:cxnSpLocks noChangeShapeType="1"/>
                        </wps:cNvCnPr>
                        <wps:spPr bwMode="auto">
                          <a:xfrm flipH="1" flipV="1">
                            <a:off x="3743864" y="2924355"/>
                            <a:ext cx="1300" cy="2959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Line 87"/>
                        <wps:cNvCnPr>
                          <a:cxnSpLocks noChangeShapeType="1"/>
                        </wps:cNvCnPr>
                        <wps:spPr bwMode="auto">
                          <a:xfrm flipH="1" flipV="1">
                            <a:off x="4839419" y="2889849"/>
                            <a:ext cx="1300" cy="2959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Line 88"/>
                        <wps:cNvCnPr>
                          <a:cxnSpLocks noChangeShapeType="1"/>
                        </wps:cNvCnPr>
                        <wps:spPr bwMode="auto">
                          <a:xfrm flipH="1" flipV="1">
                            <a:off x="6055743" y="2889849"/>
                            <a:ext cx="1300" cy="2959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Line 89"/>
                        <wps:cNvCnPr>
                          <a:cxnSpLocks noChangeShapeType="1"/>
                        </wps:cNvCnPr>
                        <wps:spPr bwMode="auto">
                          <a:xfrm flipH="1" flipV="1">
                            <a:off x="7185804" y="2872596"/>
                            <a:ext cx="1300" cy="2959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Line 90"/>
                        <wps:cNvCnPr>
                          <a:cxnSpLocks noChangeShapeType="1"/>
                        </wps:cNvCnPr>
                        <wps:spPr bwMode="auto">
                          <a:xfrm flipH="1" flipV="1">
                            <a:off x="8212347" y="2863970"/>
                            <a:ext cx="1300" cy="2953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Line 91"/>
                        <wps:cNvCnPr>
                          <a:cxnSpLocks noChangeShapeType="1"/>
                        </wps:cNvCnPr>
                        <wps:spPr bwMode="auto">
                          <a:xfrm>
                            <a:off x="8065698" y="2881223"/>
                            <a:ext cx="1900" cy="2934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Line 57"/>
                        <wps:cNvCnPr>
                          <a:cxnSpLocks noChangeShapeType="1"/>
                        </wps:cNvCnPr>
                        <wps:spPr bwMode="auto">
                          <a:xfrm>
                            <a:off x="1104181" y="2061713"/>
                            <a:ext cx="811564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 name="Text Box 70"/>
                        <wps:cNvSpPr>
                          <a:spLocks noChangeArrowheads="1"/>
                        </wps:cNvSpPr>
                        <wps:spPr bwMode="auto">
                          <a:xfrm>
                            <a:off x="1069675" y="2191109"/>
                            <a:ext cx="979805" cy="685759"/>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397BB831" w14:textId="77777777" w:rsidR="004E3164" w:rsidRPr="00DF7116" w:rsidRDefault="004E3164" w:rsidP="006517CD">
                              <w:pPr>
                                <w:ind w:firstLine="0"/>
                                <w:jc w:val="center"/>
                                <w:rPr>
                                  <w:sz w:val="20"/>
                                </w:rPr>
                              </w:pPr>
                              <w:r w:rsidRPr="00DF7116">
                                <w:rPr>
                                  <w:sz w:val="20"/>
                                </w:rPr>
                                <w:t xml:space="preserve">КН </w:t>
                              </w:r>
                            </w:p>
                            <w:p w14:paraId="5A55F45C" w14:textId="77777777" w:rsidR="004E3164" w:rsidRPr="00DF7116" w:rsidRDefault="004E3164" w:rsidP="006517CD">
                              <w:pPr>
                                <w:ind w:firstLine="0"/>
                                <w:jc w:val="center"/>
                                <w:rPr>
                                  <w:sz w:val="20"/>
                                </w:rPr>
                              </w:pPr>
                              <w:r w:rsidRPr="00DF7116">
                                <w:rPr>
                                  <w:sz w:val="20"/>
                                </w:rPr>
                                <w:t>на ОПРР</w:t>
                              </w:r>
                            </w:p>
                            <w:p w14:paraId="2E8C4EFB" w14:textId="77777777" w:rsidR="004E3164" w:rsidRPr="00DF7116" w:rsidRDefault="004E3164" w:rsidP="006517CD">
                              <w:pPr>
                                <w:ind w:firstLine="0"/>
                                <w:jc w:val="center"/>
                                <w:rPr>
                                  <w:sz w:val="20"/>
                                </w:rPr>
                              </w:pPr>
                            </w:p>
                          </w:txbxContent>
                        </wps:txbx>
                        <wps:bodyPr rot="0" vert="horz" wrap="square" lIns="91440" tIns="45720" rIns="91440" bIns="45720" anchor="t" anchorCtr="0" upright="1">
                          <a:noAutofit/>
                        </wps:bodyPr>
                      </wps:wsp>
                      <wps:wsp>
                        <wps:cNvPr id="1646" name="Text Box 71"/>
                        <wps:cNvSpPr>
                          <a:spLocks noChangeArrowheads="1"/>
                        </wps:cNvSpPr>
                        <wps:spPr bwMode="auto">
                          <a:xfrm>
                            <a:off x="2147977" y="2199736"/>
                            <a:ext cx="975605" cy="685759"/>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4AE69238" w14:textId="77777777" w:rsidR="004E3164" w:rsidRPr="00DF7116" w:rsidRDefault="004E3164" w:rsidP="006517CD">
                              <w:pPr>
                                <w:ind w:firstLine="0"/>
                                <w:jc w:val="center"/>
                                <w:rPr>
                                  <w:sz w:val="20"/>
                                </w:rPr>
                              </w:pPr>
                              <w:r w:rsidRPr="00DF7116">
                                <w:rPr>
                                  <w:sz w:val="20"/>
                                </w:rPr>
                                <w:t xml:space="preserve">КН </w:t>
                              </w:r>
                            </w:p>
                            <w:p w14:paraId="0A843CCC" w14:textId="77777777" w:rsidR="004E3164" w:rsidRPr="00DF7116" w:rsidRDefault="004E3164" w:rsidP="006517CD">
                              <w:pPr>
                                <w:ind w:firstLine="0"/>
                                <w:jc w:val="center"/>
                                <w:rPr>
                                  <w:sz w:val="20"/>
                                </w:rPr>
                              </w:pPr>
                              <w:r w:rsidRPr="00DF7116">
                                <w:rPr>
                                  <w:sz w:val="20"/>
                                </w:rPr>
                                <w:t>на ОПИКС</w:t>
                              </w:r>
                            </w:p>
                          </w:txbxContent>
                        </wps:txbx>
                        <wps:bodyPr rot="0" vert="horz" wrap="square" lIns="91440" tIns="45720" rIns="91440" bIns="45720" anchor="t" anchorCtr="0" upright="1">
                          <a:noAutofit/>
                        </wps:bodyPr>
                      </wps:wsp>
                      <wps:wsp>
                        <wps:cNvPr id="1647" name="Text Box 72"/>
                        <wps:cNvSpPr>
                          <a:spLocks noChangeArrowheads="1"/>
                        </wps:cNvSpPr>
                        <wps:spPr bwMode="auto">
                          <a:xfrm>
                            <a:off x="3209026" y="2216989"/>
                            <a:ext cx="999205" cy="685759"/>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0D3E0D66" w14:textId="77777777" w:rsidR="004E3164" w:rsidRPr="00DF7116" w:rsidRDefault="004E3164" w:rsidP="006517CD">
                              <w:pPr>
                                <w:ind w:firstLine="0"/>
                                <w:jc w:val="center"/>
                                <w:rPr>
                                  <w:sz w:val="20"/>
                                </w:rPr>
                              </w:pPr>
                              <w:r w:rsidRPr="00DF7116">
                                <w:rPr>
                                  <w:sz w:val="20"/>
                                </w:rPr>
                                <w:t xml:space="preserve">КН </w:t>
                              </w:r>
                            </w:p>
                            <w:p w14:paraId="2094BDB3" w14:textId="77777777" w:rsidR="004E3164" w:rsidRPr="00DF7116" w:rsidRDefault="004E3164" w:rsidP="006517CD">
                              <w:pPr>
                                <w:ind w:firstLine="0"/>
                                <w:jc w:val="center"/>
                                <w:rPr>
                                  <w:sz w:val="20"/>
                                </w:rPr>
                              </w:pPr>
                              <w:r w:rsidRPr="00DF7116">
                                <w:rPr>
                                  <w:sz w:val="20"/>
                                </w:rPr>
                                <w:t>на ОПРЧР</w:t>
                              </w:r>
                            </w:p>
                            <w:p w14:paraId="053E45FC" w14:textId="77777777" w:rsidR="004E3164" w:rsidRPr="00DF7116" w:rsidRDefault="004E3164" w:rsidP="006517CD">
                              <w:pPr>
                                <w:ind w:firstLine="0"/>
                                <w:jc w:val="center"/>
                                <w:rPr>
                                  <w:sz w:val="20"/>
                                </w:rPr>
                              </w:pPr>
                            </w:p>
                          </w:txbxContent>
                        </wps:txbx>
                        <wps:bodyPr rot="0" vert="horz" wrap="square" lIns="91440" tIns="45720" rIns="91440" bIns="45720" anchor="t" anchorCtr="0" upright="1">
                          <a:noAutofit/>
                        </wps:bodyPr>
                      </wps:wsp>
                      <wps:wsp>
                        <wps:cNvPr id="1650" name="Text Box 73"/>
                        <wps:cNvSpPr>
                          <a:spLocks noChangeArrowheads="1"/>
                        </wps:cNvSpPr>
                        <wps:spPr bwMode="auto">
                          <a:xfrm>
                            <a:off x="4356339" y="2199736"/>
                            <a:ext cx="941705" cy="685759"/>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0D7D2D5D" w14:textId="77777777" w:rsidR="004E3164" w:rsidRPr="00DF7116" w:rsidRDefault="004E3164" w:rsidP="006517CD">
                              <w:pPr>
                                <w:ind w:firstLine="0"/>
                                <w:jc w:val="center"/>
                                <w:rPr>
                                  <w:sz w:val="20"/>
                                </w:rPr>
                              </w:pPr>
                              <w:r w:rsidRPr="00DF7116">
                                <w:rPr>
                                  <w:sz w:val="20"/>
                                </w:rPr>
                                <w:t>КН</w:t>
                              </w:r>
                            </w:p>
                            <w:p w14:paraId="1641EDF4" w14:textId="77777777" w:rsidR="004E3164" w:rsidRPr="00DF7116" w:rsidRDefault="004E3164" w:rsidP="006517CD">
                              <w:pPr>
                                <w:ind w:firstLine="0"/>
                                <w:jc w:val="center"/>
                                <w:rPr>
                                  <w:sz w:val="20"/>
                                </w:rPr>
                              </w:pPr>
                              <w:r w:rsidRPr="00DF7116">
                                <w:rPr>
                                  <w:sz w:val="20"/>
                                </w:rPr>
                                <w:t xml:space="preserve"> на ОПОС</w:t>
                              </w:r>
                            </w:p>
                            <w:p w14:paraId="7A5260B6" w14:textId="77777777" w:rsidR="004E3164" w:rsidRPr="00DF7116" w:rsidRDefault="004E3164" w:rsidP="006517CD">
                              <w:pPr>
                                <w:ind w:firstLine="0"/>
                                <w:jc w:val="center"/>
                                <w:rPr>
                                  <w:sz w:val="20"/>
                                </w:rPr>
                              </w:pPr>
                            </w:p>
                          </w:txbxContent>
                        </wps:txbx>
                        <wps:bodyPr rot="0" vert="horz" wrap="square" lIns="91440" tIns="45720" rIns="91440" bIns="45720" anchor="t" anchorCtr="0" upright="1">
                          <a:noAutofit/>
                        </wps:bodyPr>
                      </wps:wsp>
                      <wps:wsp>
                        <wps:cNvPr id="1651" name="Text Box 74"/>
                        <wps:cNvSpPr>
                          <a:spLocks noChangeArrowheads="1"/>
                        </wps:cNvSpPr>
                        <wps:spPr bwMode="auto">
                          <a:xfrm>
                            <a:off x="5503653" y="2216989"/>
                            <a:ext cx="962505" cy="685759"/>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6AAC5"/>
                            </a:solidFill>
                            <a:round/>
                            <a:headEnd/>
                            <a:tailEnd/>
                          </a:ln>
                          <a:effectLst>
                            <a:outerShdw dist="20000" dir="5400000" rotWithShape="0">
                              <a:srgbClr val="000000">
                                <a:alpha val="37999"/>
                              </a:srgbClr>
                            </a:outerShdw>
                          </a:effectLst>
                        </wps:spPr>
                        <wps:txbx>
                          <w:txbxContent>
                            <w:p w14:paraId="6BD4AA54" w14:textId="77777777" w:rsidR="004E3164" w:rsidRPr="00DF7116" w:rsidRDefault="004E3164" w:rsidP="006517CD">
                              <w:pPr>
                                <w:ind w:firstLine="0"/>
                                <w:jc w:val="center"/>
                                <w:rPr>
                                  <w:sz w:val="20"/>
                                </w:rPr>
                              </w:pPr>
                              <w:r w:rsidRPr="00DF7116">
                                <w:rPr>
                                  <w:sz w:val="20"/>
                                </w:rPr>
                                <w:t xml:space="preserve">КН </w:t>
                              </w:r>
                            </w:p>
                            <w:p w14:paraId="589746A9" w14:textId="77777777" w:rsidR="004E3164" w:rsidRPr="00DF7116" w:rsidRDefault="004E3164" w:rsidP="006517CD">
                              <w:pPr>
                                <w:ind w:firstLine="0"/>
                                <w:jc w:val="center"/>
                                <w:rPr>
                                  <w:sz w:val="20"/>
                                </w:rPr>
                              </w:pPr>
                              <w:r w:rsidRPr="00DF7116">
                                <w:rPr>
                                  <w:sz w:val="20"/>
                                </w:rPr>
                                <w:t>на ОПТТИ</w:t>
                              </w:r>
                            </w:p>
                            <w:p w14:paraId="3E7E9BD5" w14:textId="77777777" w:rsidR="004E3164" w:rsidRPr="00DF7116" w:rsidRDefault="004E3164" w:rsidP="006517CD">
                              <w:pPr>
                                <w:ind w:firstLine="0"/>
                                <w:jc w:val="center"/>
                                <w:rPr>
                                  <w:sz w:val="20"/>
                                </w:rPr>
                              </w:pPr>
                            </w:p>
                          </w:txbxContent>
                        </wps:txbx>
                        <wps:bodyPr rot="0" vert="horz" wrap="square" lIns="91440" tIns="45720" rIns="91440" bIns="45720" anchor="t" anchorCtr="0" upright="1">
                          <a:noAutofit/>
                        </wps:bodyPr>
                      </wps:wsp>
                      <wps:wsp>
                        <wps:cNvPr id="1652" name="Text Box 75"/>
                        <wps:cNvSpPr>
                          <a:spLocks noChangeArrowheads="1"/>
                        </wps:cNvSpPr>
                        <wps:spPr bwMode="auto">
                          <a:xfrm>
                            <a:off x="6711351" y="2191109"/>
                            <a:ext cx="795004" cy="706058"/>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4FCF0A1C" w14:textId="77777777" w:rsidR="004E3164" w:rsidRPr="00DF7116" w:rsidRDefault="004E3164" w:rsidP="006517CD">
                              <w:pPr>
                                <w:ind w:firstLine="0"/>
                                <w:jc w:val="center"/>
                                <w:rPr>
                                  <w:sz w:val="20"/>
                                </w:rPr>
                              </w:pPr>
                              <w:r w:rsidRPr="00DF7116">
                                <w:rPr>
                                  <w:sz w:val="20"/>
                                </w:rPr>
                                <w:t xml:space="preserve">КН </w:t>
                              </w:r>
                            </w:p>
                            <w:p w14:paraId="54C3A565" w14:textId="77777777" w:rsidR="004E3164" w:rsidRPr="00DF7116" w:rsidRDefault="004E3164" w:rsidP="006517CD">
                              <w:pPr>
                                <w:ind w:firstLine="0"/>
                                <w:jc w:val="center"/>
                                <w:rPr>
                                  <w:sz w:val="20"/>
                                </w:rPr>
                              </w:pPr>
                              <w:r w:rsidRPr="00DF7116">
                                <w:rPr>
                                  <w:sz w:val="20"/>
                                </w:rPr>
                                <w:t>на ОПДУ</w:t>
                              </w:r>
                            </w:p>
                            <w:p w14:paraId="70ACE9A2" w14:textId="77777777" w:rsidR="004E3164" w:rsidRPr="00DF7116" w:rsidRDefault="004E3164" w:rsidP="006517CD">
                              <w:pPr>
                                <w:ind w:firstLine="0"/>
                                <w:jc w:val="center"/>
                                <w:rPr>
                                  <w:sz w:val="20"/>
                                </w:rPr>
                              </w:pPr>
                            </w:p>
                            <w:p w14:paraId="348BD2CE" w14:textId="77777777" w:rsidR="004E3164" w:rsidRPr="00DF7116" w:rsidRDefault="004E3164" w:rsidP="006517CD">
                              <w:pPr>
                                <w:ind w:firstLine="0"/>
                                <w:jc w:val="center"/>
                                <w:rPr>
                                  <w:sz w:val="20"/>
                                </w:rPr>
                              </w:pPr>
                            </w:p>
                          </w:txbxContent>
                        </wps:txbx>
                        <wps:bodyPr rot="0" vert="horz" wrap="square" lIns="91440" tIns="45720" rIns="91440" bIns="45720" anchor="t" anchorCtr="0" upright="1">
                          <a:noAutofit/>
                        </wps:bodyPr>
                      </wps:wsp>
                      <wps:wsp>
                        <wps:cNvPr id="1654" name="Text Box 76"/>
                        <wps:cNvSpPr>
                          <a:spLocks noChangeArrowheads="1"/>
                        </wps:cNvSpPr>
                        <wps:spPr bwMode="auto">
                          <a:xfrm>
                            <a:off x="7712015" y="2199736"/>
                            <a:ext cx="820404" cy="694058"/>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1EBD9475" w14:textId="77777777" w:rsidR="004E3164" w:rsidRPr="00DF7116" w:rsidRDefault="004E3164" w:rsidP="006517CD">
                              <w:pPr>
                                <w:ind w:firstLine="0"/>
                                <w:jc w:val="center"/>
                                <w:rPr>
                                  <w:sz w:val="20"/>
                                </w:rPr>
                              </w:pPr>
                              <w:r w:rsidRPr="00DF7116">
                                <w:rPr>
                                  <w:sz w:val="20"/>
                                </w:rPr>
                                <w:t xml:space="preserve">КН на </w:t>
                              </w:r>
                            </w:p>
                            <w:p w14:paraId="69F50778" w14:textId="77777777" w:rsidR="004E3164" w:rsidRPr="00DF7116" w:rsidRDefault="004E3164" w:rsidP="006517CD">
                              <w:pPr>
                                <w:ind w:firstLine="0"/>
                                <w:jc w:val="center"/>
                                <w:rPr>
                                  <w:sz w:val="20"/>
                                </w:rPr>
                              </w:pPr>
                              <w:r w:rsidRPr="00DF7116">
                                <w:rPr>
                                  <w:sz w:val="20"/>
                                </w:rPr>
                                <w:t>ИПНОИР</w:t>
                              </w:r>
                            </w:p>
                            <w:p w14:paraId="782C84EB" w14:textId="77777777" w:rsidR="004E3164" w:rsidRPr="00DF7116" w:rsidRDefault="004E3164" w:rsidP="006517CD">
                              <w:pPr>
                                <w:ind w:firstLine="0"/>
                                <w:jc w:val="center"/>
                                <w:rPr>
                                  <w:sz w:val="20"/>
                                </w:rPr>
                              </w:pPr>
                            </w:p>
                          </w:txbxContent>
                        </wps:txbx>
                        <wps:bodyPr rot="0" vert="horz" wrap="square" lIns="91440" tIns="45720" rIns="91440" bIns="45720" anchor="t" anchorCtr="0" upright="1">
                          <a:noAutofit/>
                        </wps:bodyPr>
                      </wps:wsp>
                      <wps:wsp>
                        <wps:cNvPr id="1655" name="Line 92"/>
                        <wps:cNvCnPr>
                          <a:cxnSpLocks noChangeShapeType="1"/>
                        </wps:cNvCnPr>
                        <wps:spPr bwMode="auto">
                          <a:xfrm>
                            <a:off x="1509622" y="1940943"/>
                            <a:ext cx="75657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1" name="Line 93"/>
                        <wps:cNvCnPr>
                          <a:cxnSpLocks noChangeShapeType="1"/>
                        </wps:cNvCnPr>
                        <wps:spPr bwMode="auto">
                          <a:xfrm>
                            <a:off x="1509622" y="1940943"/>
                            <a:ext cx="1300" cy="2286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2" name="Line 94"/>
                        <wps:cNvCnPr>
                          <a:cxnSpLocks noChangeShapeType="1"/>
                        </wps:cNvCnPr>
                        <wps:spPr bwMode="auto">
                          <a:xfrm>
                            <a:off x="2639683" y="1940943"/>
                            <a:ext cx="14100" cy="247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3" name="Line 95"/>
                        <wps:cNvCnPr>
                          <a:cxnSpLocks noChangeShapeType="1"/>
                        </wps:cNvCnPr>
                        <wps:spPr bwMode="auto">
                          <a:xfrm>
                            <a:off x="3648973" y="1940943"/>
                            <a:ext cx="1200" cy="2286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4" name="Line 96"/>
                        <wps:cNvCnPr>
                          <a:cxnSpLocks noChangeShapeType="1"/>
                        </wps:cNvCnPr>
                        <wps:spPr bwMode="auto">
                          <a:xfrm flipH="1">
                            <a:off x="4839419" y="1940943"/>
                            <a:ext cx="1200" cy="2286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5" name="Line 97"/>
                        <wps:cNvCnPr>
                          <a:cxnSpLocks noChangeShapeType="1"/>
                        </wps:cNvCnPr>
                        <wps:spPr bwMode="auto">
                          <a:xfrm>
                            <a:off x="5934973" y="1940943"/>
                            <a:ext cx="1300" cy="2286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8" name="Line 98"/>
                        <wps:cNvCnPr>
                          <a:cxnSpLocks noChangeShapeType="1"/>
                        </wps:cNvCnPr>
                        <wps:spPr bwMode="auto">
                          <a:xfrm>
                            <a:off x="7082287" y="1940943"/>
                            <a:ext cx="1300" cy="2286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9" name="Line 100"/>
                        <wps:cNvCnPr>
                          <a:cxnSpLocks noChangeShapeType="1"/>
                        </wps:cNvCnPr>
                        <wps:spPr bwMode="auto">
                          <a:xfrm>
                            <a:off x="8134709" y="1940943"/>
                            <a:ext cx="1200" cy="2286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0" name="Line 101"/>
                        <wps:cNvCnPr>
                          <a:cxnSpLocks noChangeShapeType="1"/>
                        </wps:cNvCnPr>
                        <wps:spPr bwMode="auto">
                          <a:xfrm>
                            <a:off x="9221638" y="2070340"/>
                            <a:ext cx="1300" cy="114293"/>
                          </a:xfrm>
                          <a:prstGeom prst="line">
                            <a:avLst/>
                          </a:prstGeom>
                          <a:noFill/>
                          <a:ln w="9525">
                            <a:solidFill>
                              <a:srgbClr val="000000"/>
                            </a:solidFill>
                            <a:prstDash val="dash"/>
                            <a:round/>
                            <a:headEnd/>
                            <a:tailEnd type="arrow" w="lg" len="med"/>
                          </a:ln>
                          <a:extLst>
                            <a:ext uri="{909E8E84-426E-40DD-AFC4-6F175D3DCCD1}">
                              <a14:hiddenFill xmlns:a14="http://schemas.microsoft.com/office/drawing/2010/main">
                                <a:noFill/>
                              </a14:hiddenFill>
                            </a:ext>
                          </a:extLst>
                        </wps:spPr>
                        <wps:bodyPr/>
                      </wps:wsp>
                      <wps:wsp>
                        <wps:cNvPr id="421" name="AutoShape 102"/>
                        <wps:cNvCnPr>
                          <a:cxnSpLocks noChangeShapeType="1"/>
                        </wps:cNvCnPr>
                        <wps:spPr bwMode="auto">
                          <a:xfrm rot="16200000">
                            <a:off x="-340743" y="849701"/>
                            <a:ext cx="1877217" cy="509868"/>
                          </a:xfrm>
                          <a:prstGeom prst="bentConnector2">
                            <a:avLst/>
                          </a:prstGeom>
                          <a:noFill/>
                          <a:ln w="9525">
                            <a:solidFill>
                              <a:srgbClr val="000000"/>
                            </a:solidFill>
                            <a:prstDash val="dash"/>
                            <a:miter lim="800000"/>
                            <a:headEnd type="arrow" w="med" len="med"/>
                            <a:tailEnd type="arrow" w="med" len="med"/>
                          </a:ln>
                          <a:extLst>
                            <a:ext uri="{909E8E84-426E-40DD-AFC4-6F175D3DCCD1}">
                              <a14:hiddenFill xmlns:a14="http://schemas.microsoft.com/office/drawing/2010/main">
                                <a:noFill/>
                              </a14:hiddenFill>
                            </a:ext>
                          </a:extLst>
                        </wps:spPr>
                        <wps:bodyPr/>
                      </wps:wsp>
                      <wps:wsp>
                        <wps:cNvPr id="422" name="AutoShape 103"/>
                        <wps:cNvCnPr>
                          <a:cxnSpLocks noChangeShapeType="1"/>
                        </wps:cNvCnPr>
                        <wps:spPr bwMode="auto">
                          <a:xfrm>
                            <a:off x="3024277" y="1371600"/>
                            <a:ext cx="269201" cy="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5" name="Line 105"/>
                        <wps:cNvCnPr>
                          <a:cxnSpLocks noChangeShapeType="1"/>
                        </wps:cNvCnPr>
                        <wps:spPr bwMode="auto">
                          <a:xfrm flipH="1">
                            <a:off x="534838" y="1716657"/>
                            <a:ext cx="635" cy="337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8" name="Line 106"/>
                        <wps:cNvCnPr>
                          <a:cxnSpLocks noChangeShapeType="1"/>
                        </wps:cNvCnPr>
                        <wps:spPr bwMode="auto">
                          <a:xfrm>
                            <a:off x="534838" y="1716657"/>
                            <a:ext cx="30479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0" name="Line 107"/>
                        <wps:cNvCnPr>
                          <a:cxnSpLocks noChangeShapeType="1"/>
                        </wps:cNvCnPr>
                        <wps:spPr bwMode="auto">
                          <a:xfrm>
                            <a:off x="3579962" y="1595887"/>
                            <a:ext cx="635" cy="114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1" name="Line 108"/>
                        <wps:cNvCnPr>
                          <a:cxnSpLocks noChangeShapeType="1"/>
                        </wps:cNvCnPr>
                        <wps:spPr bwMode="auto">
                          <a:xfrm flipH="1">
                            <a:off x="2631056" y="1716657"/>
                            <a:ext cx="635" cy="22862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92" name="Line 109"/>
                        <wps:cNvCnPr>
                          <a:cxnSpLocks noChangeShapeType="1"/>
                        </wps:cNvCnPr>
                        <wps:spPr bwMode="auto">
                          <a:xfrm flipH="1">
                            <a:off x="3769743" y="1595887"/>
                            <a:ext cx="2500" cy="45727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18" name="Text Box 110"/>
                        <wps:cNvSpPr>
                          <a:spLocks noChangeArrowheads="1"/>
                        </wps:cNvSpPr>
                        <wps:spPr bwMode="auto">
                          <a:xfrm>
                            <a:off x="5296619" y="1138687"/>
                            <a:ext cx="3569318" cy="457173"/>
                          </a:xfrm>
                          <a:prstGeom prst="roundRect">
                            <a:avLst>
                              <a:gd name="adj" fmla="val 16667"/>
                            </a:avLst>
                          </a:prstGeom>
                          <a:solidFill>
                            <a:srgbClr val="4F81BD"/>
                          </a:solidFill>
                          <a:ln w="38100">
                            <a:solidFill>
                              <a:srgbClr val="FFFFFF"/>
                            </a:solidFill>
                            <a:round/>
                            <a:headEnd/>
                            <a:tailEnd/>
                          </a:ln>
                          <a:effectLst>
                            <a:outerShdw dist="20000" dir="5400000" rotWithShape="0">
                              <a:srgbClr val="000000">
                                <a:alpha val="37999"/>
                              </a:srgbClr>
                            </a:outerShdw>
                          </a:effectLst>
                        </wps:spPr>
                        <wps:txbx>
                          <w:txbxContent>
                            <w:p w14:paraId="59A2A7DA" w14:textId="77777777" w:rsidR="004E3164" w:rsidRPr="00DF7116" w:rsidRDefault="004E3164" w:rsidP="006517CD">
                              <w:pPr>
                                <w:ind w:firstLine="0"/>
                                <w:jc w:val="center"/>
                                <w:rPr>
                                  <w:b/>
                                  <w:spacing w:val="20"/>
                                  <w:sz w:val="20"/>
                                </w:rPr>
                              </w:pPr>
                              <w:r w:rsidRPr="00DF7116">
                                <w:rPr>
                                  <w:b/>
                                  <w:spacing w:val="20"/>
                                  <w:sz w:val="20"/>
                                </w:rPr>
                                <w:t>Комитет за наблюдение</w:t>
                              </w:r>
                            </w:p>
                            <w:p w14:paraId="500E4863" w14:textId="77777777" w:rsidR="004E3164" w:rsidRPr="00DF7116" w:rsidRDefault="004E3164" w:rsidP="006517CD">
                              <w:pPr>
                                <w:ind w:firstLine="0"/>
                                <w:jc w:val="center"/>
                                <w:rPr>
                                  <w:b/>
                                  <w:spacing w:val="20"/>
                                  <w:sz w:val="20"/>
                                </w:rPr>
                              </w:pPr>
                              <w:r w:rsidRPr="00DF7116">
                                <w:rPr>
                                  <w:b/>
                                  <w:spacing w:val="20"/>
                                  <w:sz w:val="20"/>
                                </w:rPr>
                                <w:t>Споразумението за партньорство</w:t>
                              </w:r>
                            </w:p>
                          </w:txbxContent>
                        </wps:txbx>
                        <wps:bodyPr rot="0" vert="horz" wrap="square" lIns="91440" tIns="45720" rIns="91440" bIns="45720" anchor="t" anchorCtr="0" upright="1">
                          <a:noAutofit/>
                        </wps:bodyPr>
                      </wps:wsp>
                      <wps:wsp>
                        <wps:cNvPr id="1923" name="Line 111"/>
                        <wps:cNvCnPr>
                          <a:cxnSpLocks noChangeShapeType="1"/>
                        </wps:cNvCnPr>
                        <wps:spPr bwMode="auto">
                          <a:xfrm flipV="1">
                            <a:off x="4408098" y="336430"/>
                            <a:ext cx="1300" cy="2164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24" name="Line 112"/>
                        <wps:cNvCnPr>
                          <a:cxnSpLocks noChangeShapeType="1"/>
                        </wps:cNvCnPr>
                        <wps:spPr bwMode="auto">
                          <a:xfrm flipH="1" flipV="1">
                            <a:off x="1233577" y="336430"/>
                            <a:ext cx="600" cy="6858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5" name="Line 113"/>
                        <wps:cNvCnPr>
                          <a:cxnSpLocks noChangeShapeType="1"/>
                        </wps:cNvCnPr>
                        <wps:spPr bwMode="auto">
                          <a:xfrm>
                            <a:off x="1233577" y="1026543"/>
                            <a:ext cx="2730514"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0" name="Line 114"/>
                        <wps:cNvCnPr>
                          <a:cxnSpLocks noChangeShapeType="1"/>
                        </wps:cNvCnPr>
                        <wps:spPr bwMode="auto">
                          <a:xfrm>
                            <a:off x="3959524" y="1026543"/>
                            <a:ext cx="600" cy="114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0" name="Line 115"/>
                        <wps:cNvCnPr>
                          <a:cxnSpLocks noChangeShapeType="1"/>
                        </wps:cNvCnPr>
                        <wps:spPr bwMode="auto">
                          <a:xfrm>
                            <a:off x="974785" y="336430"/>
                            <a:ext cx="0" cy="80015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91" name="Line 116"/>
                        <wps:cNvCnPr>
                          <a:cxnSpLocks noChangeShapeType="1"/>
                        </wps:cNvCnPr>
                        <wps:spPr bwMode="auto">
                          <a:xfrm>
                            <a:off x="5258878" y="914400"/>
                            <a:ext cx="0" cy="102873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93" name="Line 36"/>
                        <wps:cNvCnPr>
                          <a:cxnSpLocks noChangeShapeType="1"/>
                        </wps:cNvCnPr>
                        <wps:spPr bwMode="auto">
                          <a:xfrm>
                            <a:off x="5805577" y="5193473"/>
                            <a:ext cx="8900" cy="5063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5" name="Line 38"/>
                        <wps:cNvCnPr>
                          <a:cxnSpLocks noChangeShapeType="1"/>
                        </wps:cNvCnPr>
                        <wps:spPr bwMode="auto">
                          <a:xfrm flipH="1">
                            <a:off x="1561381" y="5193102"/>
                            <a:ext cx="11900" cy="5237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7" name="Line 42"/>
                        <wps:cNvCnPr>
                          <a:cxnSpLocks noChangeShapeType="1"/>
                        </wps:cNvCnPr>
                        <wps:spPr bwMode="auto">
                          <a:xfrm flipV="1">
                            <a:off x="1682151" y="5193102"/>
                            <a:ext cx="600" cy="5237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0" name="Line 46"/>
                        <wps:cNvCnPr>
                          <a:cxnSpLocks noChangeShapeType="1"/>
                        </wps:cNvCnPr>
                        <wps:spPr bwMode="auto">
                          <a:xfrm flipH="1" flipV="1">
                            <a:off x="5926347" y="5193473"/>
                            <a:ext cx="600" cy="5238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3" name="Line 117"/>
                        <wps:cNvCnPr>
                          <a:cxnSpLocks noChangeShapeType="1"/>
                        </wps:cNvCnPr>
                        <wps:spPr bwMode="auto">
                          <a:xfrm>
                            <a:off x="7082287" y="5193102"/>
                            <a:ext cx="8900" cy="5063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4" name="Line 118"/>
                        <wps:cNvCnPr>
                          <a:cxnSpLocks noChangeShapeType="1"/>
                        </wps:cNvCnPr>
                        <wps:spPr bwMode="auto">
                          <a:xfrm flipH="1" flipV="1">
                            <a:off x="7203056" y="5193102"/>
                            <a:ext cx="600" cy="5237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5" name="Line 119"/>
                        <wps:cNvCnPr>
                          <a:cxnSpLocks noChangeShapeType="1"/>
                        </wps:cNvCnPr>
                        <wps:spPr bwMode="auto">
                          <a:xfrm>
                            <a:off x="8126083" y="5193102"/>
                            <a:ext cx="8900" cy="5063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6" name="Line 120"/>
                        <wps:cNvCnPr>
                          <a:cxnSpLocks noChangeShapeType="1"/>
                        </wps:cNvCnPr>
                        <wps:spPr bwMode="auto">
                          <a:xfrm flipH="1" flipV="1">
                            <a:off x="8246853" y="5193102"/>
                            <a:ext cx="600" cy="5237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7" name="Line 38"/>
                        <wps:cNvCnPr>
                          <a:cxnSpLocks noChangeShapeType="1"/>
                        </wps:cNvCnPr>
                        <wps:spPr bwMode="auto">
                          <a:xfrm flipH="1">
                            <a:off x="2622430" y="5193210"/>
                            <a:ext cx="11900" cy="5238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8" name="Line 42"/>
                        <wps:cNvCnPr>
                          <a:cxnSpLocks noChangeShapeType="1"/>
                        </wps:cNvCnPr>
                        <wps:spPr bwMode="auto">
                          <a:xfrm flipV="1">
                            <a:off x="2743200" y="5193210"/>
                            <a:ext cx="600" cy="5238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9" name="Line 38"/>
                        <wps:cNvCnPr>
                          <a:cxnSpLocks noChangeShapeType="1"/>
                        </wps:cNvCnPr>
                        <wps:spPr bwMode="auto">
                          <a:xfrm flipH="1">
                            <a:off x="3631721" y="5193210"/>
                            <a:ext cx="11900" cy="5237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0" name="Line 42"/>
                        <wps:cNvCnPr>
                          <a:cxnSpLocks noChangeShapeType="1"/>
                        </wps:cNvCnPr>
                        <wps:spPr bwMode="auto">
                          <a:xfrm flipV="1">
                            <a:off x="3752490" y="5193210"/>
                            <a:ext cx="600" cy="5237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1" name="Line 38"/>
                        <wps:cNvCnPr>
                          <a:cxnSpLocks noChangeShapeType="1"/>
                        </wps:cNvCnPr>
                        <wps:spPr bwMode="auto">
                          <a:xfrm flipH="1">
                            <a:off x="4735902" y="5193581"/>
                            <a:ext cx="11900" cy="5238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2" name="Line 42"/>
                        <wps:cNvCnPr>
                          <a:cxnSpLocks noChangeShapeType="1"/>
                        </wps:cNvCnPr>
                        <wps:spPr bwMode="auto">
                          <a:xfrm flipV="1">
                            <a:off x="4856671" y="5193581"/>
                            <a:ext cx="600" cy="5238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3" name="Text Box 77"/>
                        <wps:cNvSpPr txBox="1">
                          <a:spLocks noChangeArrowheads="1"/>
                        </wps:cNvSpPr>
                        <wps:spPr bwMode="auto">
                          <a:xfrm>
                            <a:off x="8738558" y="3217653"/>
                            <a:ext cx="981105" cy="1980682"/>
                          </a:xfrm>
                          <a:prstGeom prst="rect">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D8A5768" w14:textId="77777777" w:rsidR="004E3164" w:rsidRPr="00DF7116" w:rsidRDefault="004E3164" w:rsidP="006517CD">
                              <w:pPr>
                                <w:pStyle w:val="Styl1"/>
                                <w:spacing w:before="0" w:line="240" w:lineRule="auto"/>
                                <w:ind w:left="0" w:firstLine="0"/>
                                <w:jc w:val="center"/>
                                <w:rPr>
                                  <w:rFonts w:ascii="Times New Roman" w:hAnsi="Times New Roman"/>
                                  <w:sz w:val="20"/>
                                </w:rPr>
                              </w:pPr>
                              <w:r w:rsidRPr="00DF7116">
                                <w:rPr>
                                  <w:rFonts w:ascii="Times New Roman" w:hAnsi="Times New Roman"/>
                                  <w:b/>
                                  <w:bCs/>
                                  <w:sz w:val="20"/>
                                </w:rPr>
                                <w:t> </w:t>
                              </w:r>
                            </w:p>
                            <w:p w14:paraId="2F4805AD" w14:textId="77777777" w:rsidR="004E3164" w:rsidRPr="00DF7116" w:rsidRDefault="004E3164" w:rsidP="006517CD">
                              <w:pPr>
                                <w:ind w:firstLine="0"/>
                                <w:jc w:val="center"/>
                                <w:rPr>
                                  <w:b/>
                                  <w:sz w:val="20"/>
                                </w:rPr>
                              </w:pPr>
                              <w:r w:rsidRPr="00DF7116">
                                <w:rPr>
                                  <w:b/>
                                  <w:sz w:val="20"/>
                                </w:rPr>
                                <w:t>Управляващ по  фонд за европейско подпомагане на най-нуждаещите се лица</w:t>
                              </w:r>
                            </w:p>
                            <w:p w14:paraId="790E8FF7" w14:textId="77777777" w:rsidR="004E3164" w:rsidRPr="00DF7116" w:rsidRDefault="004E3164" w:rsidP="006517CD">
                              <w:pPr>
                                <w:ind w:firstLine="0"/>
                                <w:jc w:val="center"/>
                                <w:rPr>
                                  <w:b/>
                                  <w:sz w:val="20"/>
                                </w:rPr>
                              </w:pPr>
                              <w:r w:rsidRPr="00DF7116">
                                <w:rPr>
                                  <w:b/>
                                  <w:sz w:val="20"/>
                                </w:rPr>
                                <w:t> </w:t>
                              </w:r>
                            </w:p>
                            <w:p w14:paraId="3EB5F9EE" w14:textId="77777777" w:rsidR="004E3164" w:rsidRPr="00DF7116" w:rsidRDefault="004E3164" w:rsidP="006517CD">
                              <w:pPr>
                                <w:ind w:firstLine="0"/>
                                <w:jc w:val="center"/>
                                <w:rPr>
                                  <w:b/>
                                  <w:sz w:val="20"/>
                                </w:rPr>
                              </w:pPr>
                            </w:p>
                            <w:p w14:paraId="6641FB65" w14:textId="77777777" w:rsidR="004E3164" w:rsidRPr="00DF7116" w:rsidRDefault="004E3164" w:rsidP="006517CD">
                              <w:pPr>
                                <w:ind w:firstLine="0"/>
                                <w:jc w:val="center"/>
                                <w:rPr>
                                  <w:b/>
                                  <w:sz w:val="20"/>
                                </w:rPr>
                              </w:pPr>
                            </w:p>
                            <w:p w14:paraId="0C564D07" w14:textId="77777777" w:rsidR="004E3164" w:rsidRPr="00DF7116" w:rsidRDefault="004E3164" w:rsidP="006517CD">
                              <w:pPr>
                                <w:ind w:firstLine="0"/>
                                <w:jc w:val="center"/>
                                <w:rPr>
                                  <w:b/>
                                  <w:sz w:val="20"/>
                                </w:rPr>
                              </w:pPr>
                              <w:r w:rsidRPr="00DF7116">
                                <w:rPr>
                                  <w:b/>
                                  <w:sz w:val="20"/>
                                </w:rPr>
                                <w:t>МТСП</w:t>
                              </w:r>
                            </w:p>
                          </w:txbxContent>
                        </wps:txbx>
                        <wps:bodyPr rot="0" vert="horz" wrap="square" lIns="91440" tIns="45720" rIns="91440" bIns="45720" anchor="t" anchorCtr="0" upright="1">
                          <a:noAutofit/>
                        </wps:bodyPr>
                      </wps:wsp>
                      <wps:wsp>
                        <wps:cNvPr id="2014" name="Text Box 76"/>
                        <wps:cNvSpPr>
                          <a:spLocks noChangeArrowheads="1"/>
                        </wps:cNvSpPr>
                        <wps:spPr bwMode="auto">
                          <a:xfrm>
                            <a:off x="8712679" y="2216989"/>
                            <a:ext cx="820404" cy="694058"/>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530B07C8" w14:textId="77777777" w:rsidR="004E3164" w:rsidRPr="00DF7116" w:rsidRDefault="004E3164" w:rsidP="006517CD">
                              <w:pPr>
                                <w:ind w:firstLine="0"/>
                                <w:jc w:val="center"/>
                                <w:rPr>
                                  <w:sz w:val="20"/>
                                </w:rPr>
                              </w:pPr>
                              <w:r w:rsidRPr="00DF7116">
                                <w:rPr>
                                  <w:sz w:val="20"/>
                                </w:rPr>
                                <w:t xml:space="preserve">КН на </w:t>
                              </w:r>
                            </w:p>
                            <w:p w14:paraId="69365FE4" w14:textId="77777777" w:rsidR="004E3164" w:rsidRPr="00DF7116" w:rsidRDefault="004E3164" w:rsidP="006517CD">
                              <w:pPr>
                                <w:ind w:firstLine="0"/>
                                <w:jc w:val="center"/>
                                <w:rPr>
                                  <w:sz w:val="20"/>
                                </w:rPr>
                              </w:pPr>
                              <w:r w:rsidRPr="00DF7116">
                                <w:rPr>
                                  <w:sz w:val="20"/>
                                </w:rPr>
                                <w:t>ФЕПНЛ</w:t>
                              </w:r>
                            </w:p>
                          </w:txbxContent>
                        </wps:txbx>
                        <wps:bodyPr rot="0" vert="horz" wrap="square" lIns="91440" tIns="45720" rIns="91440" bIns="45720" anchor="t" anchorCtr="0" upright="1">
                          <a:noAutofit/>
                        </wps:bodyPr>
                      </wps:wsp>
                      <wps:wsp>
                        <wps:cNvPr id="2015" name="Line 117"/>
                        <wps:cNvCnPr>
                          <a:cxnSpLocks noChangeShapeType="1"/>
                        </wps:cNvCnPr>
                        <wps:spPr bwMode="auto">
                          <a:xfrm>
                            <a:off x="9187132" y="5193102"/>
                            <a:ext cx="8900" cy="5060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1" name="Line 118"/>
                        <wps:cNvCnPr>
                          <a:cxnSpLocks noChangeShapeType="1"/>
                        </wps:cNvCnPr>
                        <wps:spPr bwMode="auto">
                          <a:xfrm flipH="1" flipV="1">
                            <a:off x="9307902" y="5193102"/>
                            <a:ext cx="0" cy="5238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2" name="Line 90"/>
                        <wps:cNvCnPr>
                          <a:cxnSpLocks noChangeShapeType="1"/>
                        </wps:cNvCnPr>
                        <wps:spPr bwMode="auto">
                          <a:xfrm flipH="1" flipV="1">
                            <a:off x="9221638" y="2898475"/>
                            <a:ext cx="1300" cy="2953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8" name="Line 91"/>
                        <wps:cNvCnPr>
                          <a:cxnSpLocks noChangeShapeType="1"/>
                        </wps:cNvCnPr>
                        <wps:spPr bwMode="auto">
                          <a:xfrm>
                            <a:off x="9074988" y="2924355"/>
                            <a:ext cx="1900" cy="2934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0" name="Line 63"/>
                        <wps:cNvCnPr>
                          <a:cxnSpLocks noChangeShapeType="1"/>
                        </wps:cNvCnPr>
                        <wps:spPr bwMode="auto">
                          <a:xfrm>
                            <a:off x="8246853" y="2061713"/>
                            <a:ext cx="1200" cy="114293"/>
                          </a:xfrm>
                          <a:prstGeom prst="line">
                            <a:avLst/>
                          </a:prstGeom>
                          <a:noFill/>
                          <a:ln w="9525">
                            <a:solidFill>
                              <a:srgbClr val="000000"/>
                            </a:solidFill>
                            <a:prstDash val="dash"/>
                            <a:round/>
                            <a:headEnd/>
                            <a:tailEnd type="arrow" w="lg" len="med"/>
                          </a:ln>
                          <a:extLst>
                            <a:ext uri="{909E8E84-426E-40DD-AFC4-6F175D3DCCD1}">
                              <a14:hiddenFill xmlns:a14="http://schemas.microsoft.com/office/drawing/2010/main">
                                <a:noFill/>
                              </a14:hiddenFill>
                            </a:ext>
                          </a:extLst>
                        </wps:spPr>
                        <wps:bodyPr/>
                      </wps:wsp>
                      <wps:wsp>
                        <wps:cNvPr id="771" name="Line 100"/>
                        <wps:cNvCnPr>
                          <a:cxnSpLocks noChangeShapeType="1"/>
                        </wps:cNvCnPr>
                        <wps:spPr bwMode="auto">
                          <a:xfrm>
                            <a:off x="9074988" y="1949570"/>
                            <a:ext cx="1300" cy="2286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 name="Text Box 903"/>
                        <wps:cNvSpPr txBox="1">
                          <a:spLocks noChangeArrowheads="1"/>
                        </wps:cNvSpPr>
                        <wps:spPr bwMode="auto">
                          <a:xfrm>
                            <a:off x="784926" y="6184943"/>
                            <a:ext cx="9178224" cy="43493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A18F518" w14:textId="77777777" w:rsidR="004E3164" w:rsidRPr="00DF7116" w:rsidRDefault="004E3164" w:rsidP="006517CD">
                              <w:pPr>
                                <w:ind w:firstLine="0"/>
                                <w:jc w:val="center"/>
                                <w:rPr>
                                  <w:szCs w:val="24"/>
                                </w:rPr>
                              </w:pPr>
                              <w:r w:rsidRPr="00DF7116">
                                <w:rPr>
                                  <w:b/>
                                  <w:color w:val="000000"/>
                                  <w:spacing w:val="10"/>
                                  <w:szCs w:val="24"/>
                                </w:rPr>
                                <w:t>Фиг. 1.1. Организационна диаграма, показваща взаимоотношенията на УО с другите звена, ангажирани в работата с администрирането на ЕСИФ</w:t>
                              </w:r>
                            </w:p>
                          </w:txbxContent>
                        </wps:txbx>
                        <wps:bodyPr rot="0" vert="horz" wrap="square" lIns="91440" tIns="45720" rIns="91440" bIns="45720" anchor="t" anchorCtr="0" upright="1">
                          <a:noAutofit/>
                        </wps:bodyPr>
                      </wps:wsp>
                      <wps:wsp>
                        <wps:cNvPr id="773" name="Line 33"/>
                        <wps:cNvCnPr>
                          <a:cxnSpLocks noChangeShapeType="1"/>
                        </wps:cNvCnPr>
                        <wps:spPr bwMode="auto">
                          <a:xfrm flipV="1">
                            <a:off x="5486400" y="1595887"/>
                            <a:ext cx="600" cy="3250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Line 67"/>
                        <wps:cNvCnPr>
                          <a:cxnSpLocks noChangeShapeType="1"/>
                        </wps:cNvCnPr>
                        <wps:spPr bwMode="auto">
                          <a:xfrm flipV="1">
                            <a:off x="5615796" y="1595887"/>
                            <a:ext cx="600" cy="434874"/>
                          </a:xfrm>
                          <a:prstGeom prst="line">
                            <a:avLst/>
                          </a:prstGeom>
                          <a:noFill/>
                          <a:ln w="9525">
                            <a:solidFill>
                              <a:srgbClr val="000000"/>
                            </a:solidFill>
                            <a:prstDash val="dash"/>
                            <a:round/>
                            <a:headEnd/>
                            <a:tailEnd type="arrow" w="lg"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8DA58A9" id="Group 1" o:spid="_x0000_s1026" style="width:784.5pt;height:521.25pt;mso-position-horizontal-relative:char;mso-position-vertical-relative:line" coordsize="99631,6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">
                <v:rect id="Rectangle 21" o:spid="_x0000_s1027" style="position:absolute;top:20617;width:6870;height:4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" strokecolor="#4f81bd" strokeweight="2pt"/>
                <v:roundrect id="Text Box 51" o:spid="_x0000_s1028" style="position:absolute;left:8540;width:80143;height:34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" fillcolor="#4f81bd" strokecolor="#385d8a" strokeweight="2pt">
                  <v:textbox>
                    <w:txbxContent>
                      <w:p w14:paraId="7B542838" w14:textId="77777777" w:rsidR="004E3164" w:rsidRPr="00DF7116" w:rsidRDefault="004E3164" w:rsidP="006517CD">
                        <w:pPr>
                          <w:ind w:firstLine="0"/>
                          <w:jc w:val="center"/>
                          <w:rPr>
                            <w:b/>
                            <w:spacing w:val="20"/>
                            <w:sz w:val="20"/>
                          </w:rPr>
                        </w:pPr>
                        <w:r w:rsidRPr="00DF7116">
                          <w:rPr>
                            <w:b/>
                            <w:spacing w:val="20"/>
                            <w:sz w:val="20"/>
                          </w:rPr>
                          <w:t>ЕВРОПЕЙСКА КОМИСИЯ</w:t>
                        </w:r>
                      </w:p>
                    </w:txbxContent>
                  </v:textbox>
                </v:roundrect>
                <v:roundrect id="Text Box 31" o:spid="_x0000_s1029" style="position:absolute;left:5348;top:11386;width:25248;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" fillcolor="#4f81bd" strokecolor="white" strokeweight="3pt">
                  <v:shadow on="t" color="black" opacity="24903f" origin=",.5" offset="0,.55556mm"/>
                  <v:textbox>
                    <w:txbxContent>
                      <w:p w14:paraId="6EB938D3" w14:textId="77777777" w:rsidR="004E3164" w:rsidRPr="00DF7116" w:rsidRDefault="004E3164" w:rsidP="006517CD">
                        <w:pPr>
                          <w:ind w:firstLine="0"/>
                          <w:jc w:val="center"/>
                          <w:rPr>
                            <w:b/>
                            <w:spacing w:val="20"/>
                            <w:sz w:val="20"/>
                          </w:rPr>
                        </w:pPr>
                        <w:r w:rsidRPr="00DF7116">
                          <w:rPr>
                            <w:b/>
                            <w:spacing w:val="20"/>
                            <w:sz w:val="20"/>
                          </w:rPr>
                          <w:t>ЦКЗ</w:t>
                        </w:r>
                      </w:p>
                      <w:p w14:paraId="52C5F954" w14:textId="77777777" w:rsidR="004E3164" w:rsidRPr="00DF7116" w:rsidRDefault="004E3164" w:rsidP="006517CD">
                        <w:pPr>
                          <w:ind w:firstLine="0"/>
                          <w:jc w:val="center"/>
                          <w:rPr>
                            <w:b/>
                            <w:spacing w:val="20"/>
                            <w:sz w:val="20"/>
                          </w:rPr>
                        </w:pPr>
                        <w:r w:rsidRPr="00DF7116">
                          <w:rPr>
                            <w:b/>
                            <w:spacing w:val="20"/>
                            <w:sz w:val="20"/>
                          </w:rPr>
                          <w:t>Министерски съвет</w:t>
                        </w:r>
                      </w:p>
                      <w:p w14:paraId="0FFADCF7" w14:textId="77777777" w:rsidR="004E3164" w:rsidRPr="00DF7116" w:rsidRDefault="004E3164" w:rsidP="006517CD">
                        <w:pPr>
                          <w:ind w:firstLine="0"/>
                          <w:jc w:val="center"/>
                          <w:rPr>
                            <w:b/>
                            <w:spacing w:val="20"/>
                            <w:sz w:val="20"/>
                            <w:lang w:val="en-US"/>
                          </w:rPr>
                        </w:pPr>
                        <w:r w:rsidRPr="00DF7116">
                          <w:rPr>
                            <w:b/>
                            <w:spacing w:val="20"/>
                            <w:sz w:val="20"/>
                            <w:lang w:val="en-US"/>
                          </w:rPr>
                          <w:t>:r</w:t>
                        </w:r>
                      </w:p>
                      <w:p w14:paraId="25FBB438" w14:textId="77777777" w:rsidR="004E3164" w:rsidRPr="00DF7116" w:rsidRDefault="004E3164" w:rsidP="006517CD">
                        <w:pPr>
                          <w:ind w:firstLine="0"/>
                          <w:jc w:val="center"/>
                          <w:rPr>
                            <w:b/>
                            <w:spacing w:val="20"/>
                            <w:sz w:val="20"/>
                          </w:rPr>
                        </w:pPr>
                        <w:r w:rsidRPr="00DF7116">
                          <w:rPr>
                            <w:b/>
                            <w:spacing w:val="20"/>
                            <w:sz w:val="20"/>
                          </w:rPr>
                          <w:t>Министерски съвет</w:t>
                        </w:r>
                      </w:p>
                    </w:txbxContent>
                  </v:textbox>
                </v:roundrect>
                <v:roundrect id="Text Box 32" o:spid="_x0000_s1030" style="position:absolute;left:15527;top:5607;width:61589;height:35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" fillcolor="#4f81bd" strokecolor="#385d8a" strokeweight="2pt">
                  <v:textbox>
                    <w:txbxContent>
                      <w:p w14:paraId="05E0B7AC" w14:textId="77777777" w:rsidR="004E3164" w:rsidRPr="00DF7116" w:rsidRDefault="004E3164" w:rsidP="006517CD">
                        <w:pPr>
                          <w:ind w:firstLine="0"/>
                          <w:jc w:val="center"/>
                          <w:rPr>
                            <w:b/>
                            <w:spacing w:val="20"/>
                            <w:sz w:val="20"/>
                          </w:rPr>
                        </w:pPr>
                        <w:r w:rsidRPr="00DF7116">
                          <w:rPr>
                            <w:b/>
                            <w:spacing w:val="20"/>
                            <w:sz w:val="20"/>
                          </w:rPr>
                          <w:t>СКУСЕС</w:t>
                        </w:r>
                      </w:p>
                    </w:txbxContent>
                  </v:textbox>
                </v:roundrect>
                <v:line id="Line 49" o:spid="_x0000_s1031" style="position:absolute;flip:x;visibility:visible;mso-wrap-style:square" from="26310,9144" to="26335,1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">
                  <v:stroke startarrow="block" endarrow="block"/>
                </v:line>
                <v:line id="Line 50" o:spid="_x0000_s1032" style="position:absolute;flip:y;visibility:visible;mso-wrap-style:square" from="42787,9144" to="42800,1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">
                  <v:stroke startarrow="block" endarrow="block"/>
                </v:line>
                <v:shapetype id="_x0000_t202" coordsize="21600,21600" o:spt="202" path="m,l,21600r21600,l21600,xe">
                  <v:stroke joinstyle="miter"/>
                  <v:path gradientshapeok="t" o:connecttype="rect"/>
                </v:shapetype>
                <v:shape id="Text Box 52" o:spid="_x0000_s1033" type="#_x0000_t202" style="position:absolute;left:11041;top:57174;width:850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" fillcolor="#a3c4ff" strokecolor="#4a7ebb">
                  <v:fill color2="#e5eeff" rotate="t" angle="180" colors="0 #a3c4ff;22938f #bfd5ff;1 #e5eeff" focus="100%" type="gradient"/>
                  <v:shadow on="t" color="black" opacity="24903f" origin=",.5" offset="0,.55556mm"/>
                  <v:textbox>
                    <w:txbxContent>
                      <w:p w14:paraId="3B2DD8BB" w14:textId="77777777" w:rsidR="004E3164" w:rsidRPr="00DF7116" w:rsidRDefault="004E3164" w:rsidP="006517CD">
                        <w:pPr>
                          <w:ind w:firstLine="0"/>
                          <w:jc w:val="center"/>
                          <w:rPr>
                            <w:b/>
                            <w:sz w:val="20"/>
                          </w:rPr>
                        </w:pPr>
                        <w:r w:rsidRPr="00DF7116">
                          <w:rPr>
                            <w:b/>
                            <w:sz w:val="20"/>
                          </w:rPr>
                          <w:t>БЕНЕФИЦИЕРИ</w:t>
                        </w:r>
                      </w:p>
                    </w:txbxContent>
                  </v:textbox>
                </v:shape>
                <v:line id="Line 56" o:spid="_x0000_s1034" style="position:absolute;visibility:visible;mso-wrap-style:square" from="70046,9144" to="70046,1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">
                  <v:stroke dashstyle="dash" startarrow="open"/>
                </v:line>
                <v:line id="Line 58" o:spid="_x0000_s1035" style="position:absolute;visibility:visible;mso-wrap-style:square" from="12853,20617" to="12859,2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">
                  <v:stroke dashstyle="dash" endarrow="open" endarrowwidth="wide"/>
                </v:line>
                <v:line id="Line 59" o:spid="_x0000_s1036" style="position:absolute;visibility:visible;mso-wrap-style:square" from="25189,20703" to="25196,2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">
                  <v:stroke dashstyle="dash" endarrow="open" endarrowwidth="wide"/>
                </v:line>
                <v:line id="Line 60" o:spid="_x0000_s1037" style="position:absolute;visibility:visible;mso-wrap-style:square" from="35627,20962" to="35640,2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">
                  <v:stroke dashstyle="dash" endarrow="open" endarrowwidth="wide"/>
                </v:line>
                <v:line id="Line 61" o:spid="_x0000_s1038" style="position:absolute;visibility:visible;mso-wrap-style:square" from="47359,20875" to="47365,2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">
                  <v:stroke dashstyle="dash" endarrow="open" endarrowwidth="wide"/>
                </v:line>
                <v:line id="Line 62" o:spid="_x0000_s1039" style="position:absolute;visibility:visible;mso-wrap-style:square" from="60471,20703" to="60483,2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">
                  <v:stroke dashstyle="dash" endarrow="open" endarrowwidth="wide"/>
                </v:line>
                <v:line id="Line 63" o:spid="_x0000_s1040" style="position:absolute;visibility:visible;mso-wrap-style:square" from="71858,20789" to="71871,2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">
                  <v:stroke dashstyle="dash" endarrow="open" endarrowwidth="wide"/>
                </v:line>
                <v:line id="Line 64" o:spid="_x0000_s1041" style="position:absolute;visibility:visible;mso-wrap-style:square" from="13112,18288" to="13112,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65" o:spid="_x0000_s1042" style="position:absolute;visibility:visible;mso-wrap-style:square" from="14578,19754" to="14578,19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roundrect id="Rectangle 66" o:spid="_x0000_s1043" style="position:absolute;left:1035;top:21307;width:4705;height:39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" strokecolor="#4f81bd" strokeweight="2pt">
                  <v:textbox style="layout-flow:vertical;mso-layout-flow-alt:bottom-to-top">
                    <w:txbxContent>
                      <w:p w14:paraId="7FF06B7B" w14:textId="77777777" w:rsidR="004E3164" w:rsidRPr="00DF7116" w:rsidRDefault="004E3164" w:rsidP="006517CD">
                        <w:pPr>
                          <w:ind w:firstLine="0"/>
                          <w:jc w:val="center"/>
                          <w:rPr>
                            <w:b/>
                            <w:sz w:val="20"/>
                          </w:rPr>
                        </w:pPr>
                        <w:r w:rsidRPr="00DF7116">
                          <w:rPr>
                            <w:b/>
                            <w:sz w:val="20"/>
                          </w:rPr>
                          <w:t>ОДИТЕН ОРГАН И ОРГАН – ИА  ОСЕС към МФ</w:t>
                        </w:r>
                      </w:p>
                      <w:p w14:paraId="4558414C" w14:textId="77777777" w:rsidR="004E3164" w:rsidRPr="00DF7116" w:rsidRDefault="004E3164" w:rsidP="006517CD">
                        <w:pPr>
                          <w:ind w:firstLine="0"/>
                          <w:jc w:val="center"/>
                          <w:rPr>
                            <w:b/>
                            <w:sz w:val="20"/>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8" o:spid="_x0000_s1044" type="#_x0000_t13" style="position:absolute;left:6814;top:33988;width:3620;height:1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" filled="f" fillcolor="black" strokeweight="2.25pt"/>
                <v:roundrect id="Text Box 69" o:spid="_x0000_s1045" style="position:absolute;left:33051;top:11386;width:18966;height:51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" fillcolor="#4f81bd" strokecolor="white" strokeweight="3pt">
                  <v:shadow on="t" color="black" opacity="24903f" origin=",.5" offset="0,.55556mm"/>
                  <v:textbox inset="1mm,,1mm">
                    <w:txbxContent>
                      <w:p w14:paraId="26D4AD58" w14:textId="77777777" w:rsidR="004E3164" w:rsidRPr="00DF7116" w:rsidRDefault="004E3164" w:rsidP="006517CD">
                        <w:pPr>
                          <w:ind w:firstLine="0"/>
                          <w:jc w:val="center"/>
                          <w:rPr>
                            <w:b/>
                            <w:spacing w:val="20"/>
                            <w:sz w:val="20"/>
                          </w:rPr>
                        </w:pPr>
                        <w:r w:rsidRPr="00DF7116">
                          <w:rPr>
                            <w:b/>
                            <w:spacing w:val="20"/>
                            <w:sz w:val="20"/>
                          </w:rPr>
                          <w:t>СО - дирекция „Национален фонд“ МФ</w:t>
                        </w:r>
                      </w:p>
                    </w:txbxContent>
                  </v:textbox>
                </v:roundrect>
                <v:shape id="Text Box 22" o:spid="_x0000_s1046" type="#_x0000_t202" style="position:absolute;left:10696;top:32004;width:9753;height:19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" fillcolor="#2c5d98" stroked="f">
                  <v:fill color2="#3a7ccb" rotate="t" angle="180" colors="0 #2c5d98;52429f #3c7bc7;1 #3a7ccb" focus="100%" type="gradient">
                    <o:fill v:ext="view" type="gradientUnscaled"/>
                  </v:fill>
                  <v:shadow on="t" color="black" opacity="22936f" origin=",.5" offset="0,.63889mm"/>
                  <v:textbox>
                    <w:txbxContent>
                      <w:p w14:paraId="6461343B" w14:textId="77777777" w:rsidR="004E3164" w:rsidRPr="00DF7116" w:rsidRDefault="004E3164" w:rsidP="006517CD">
                        <w:pPr>
                          <w:ind w:firstLine="0"/>
                          <w:jc w:val="center"/>
                          <w:rPr>
                            <w:b/>
                            <w:sz w:val="20"/>
                          </w:rPr>
                        </w:pPr>
                      </w:p>
                      <w:p w14:paraId="001DB340" w14:textId="77777777" w:rsidR="004E3164" w:rsidRPr="00DF7116" w:rsidRDefault="004E3164" w:rsidP="006517CD">
                        <w:pPr>
                          <w:ind w:firstLine="0"/>
                          <w:jc w:val="center"/>
                          <w:rPr>
                            <w:b/>
                            <w:sz w:val="20"/>
                          </w:rPr>
                        </w:pPr>
                        <w:r w:rsidRPr="00DF7116">
                          <w:rPr>
                            <w:b/>
                            <w:sz w:val="20"/>
                          </w:rPr>
                          <w:t xml:space="preserve">Управляващ орган </w:t>
                        </w:r>
                      </w:p>
                      <w:p w14:paraId="0E723C60" w14:textId="77777777" w:rsidR="004E3164" w:rsidRPr="00DF7116" w:rsidRDefault="004E3164" w:rsidP="006517CD">
                        <w:pPr>
                          <w:ind w:firstLine="0"/>
                          <w:jc w:val="center"/>
                          <w:rPr>
                            <w:b/>
                            <w:sz w:val="20"/>
                          </w:rPr>
                        </w:pPr>
                        <w:r w:rsidRPr="00DF7116">
                          <w:rPr>
                            <w:b/>
                            <w:sz w:val="20"/>
                          </w:rPr>
                          <w:t xml:space="preserve">на </w:t>
                        </w:r>
                      </w:p>
                      <w:p w14:paraId="4F82E31A" w14:textId="77777777" w:rsidR="004E3164" w:rsidRPr="00DF7116" w:rsidRDefault="004E3164" w:rsidP="006517CD">
                        <w:pPr>
                          <w:ind w:firstLine="0"/>
                          <w:jc w:val="center"/>
                          <w:rPr>
                            <w:b/>
                            <w:sz w:val="20"/>
                          </w:rPr>
                        </w:pPr>
                        <w:r w:rsidRPr="00DF7116">
                          <w:rPr>
                            <w:b/>
                            <w:sz w:val="20"/>
                          </w:rPr>
                          <w:t>Оперативна програма „Региони в растеж“</w:t>
                        </w:r>
                      </w:p>
                      <w:p w14:paraId="6B4F3570" w14:textId="77777777" w:rsidR="004E3164" w:rsidRPr="00DF7116" w:rsidRDefault="004E3164" w:rsidP="006517CD">
                        <w:pPr>
                          <w:ind w:firstLine="0"/>
                          <w:jc w:val="center"/>
                          <w:rPr>
                            <w:b/>
                            <w:sz w:val="20"/>
                          </w:rPr>
                        </w:pPr>
                      </w:p>
                      <w:p w14:paraId="58C209AA" w14:textId="77777777" w:rsidR="004E3164" w:rsidRPr="00DF7116" w:rsidRDefault="004E3164" w:rsidP="006517CD">
                        <w:pPr>
                          <w:ind w:firstLine="0"/>
                          <w:jc w:val="center"/>
                          <w:rPr>
                            <w:b/>
                            <w:sz w:val="20"/>
                          </w:rPr>
                        </w:pPr>
                      </w:p>
                      <w:p w14:paraId="26F9A1E4" w14:textId="77777777" w:rsidR="004E3164" w:rsidRPr="00DF7116" w:rsidRDefault="004E3164" w:rsidP="006517CD">
                        <w:pPr>
                          <w:ind w:firstLine="0"/>
                          <w:jc w:val="center"/>
                          <w:rPr>
                            <w:b/>
                            <w:sz w:val="20"/>
                          </w:rPr>
                        </w:pPr>
                      </w:p>
                      <w:p w14:paraId="51C46737" w14:textId="77777777" w:rsidR="004E3164" w:rsidRPr="00DF7116" w:rsidRDefault="004E3164" w:rsidP="006517CD">
                        <w:pPr>
                          <w:ind w:firstLine="0"/>
                          <w:jc w:val="center"/>
                          <w:rPr>
                            <w:b/>
                            <w:sz w:val="20"/>
                          </w:rPr>
                        </w:pPr>
                        <w:r w:rsidRPr="00DF7116">
                          <w:rPr>
                            <w:b/>
                            <w:sz w:val="20"/>
                          </w:rPr>
                          <w:t>МРРБ</w:t>
                        </w:r>
                      </w:p>
                    </w:txbxContent>
                  </v:textbox>
                </v:shape>
                <v:shape id="Text Box 23" o:spid="_x0000_s1047" type="#_x0000_t202" style="position:absolute;left:21479;top:32090;width:9756;height:19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" fillcolor="#2c5d98" stroked="f">
                  <v:fill color2="#3a7ccb" rotate="t" angle="180" colors="0 #2c5d98;52429f #3c7bc7;1 #3a7ccb" focus="100%" type="gradient">
                    <o:fill v:ext="view" type="gradientUnscaled"/>
                  </v:fill>
                  <v:shadow on="t" color="black" opacity="22936f" origin=",.5" offset="0,.63889mm"/>
                  <v:textbox>
                    <w:txbxContent>
                      <w:p w14:paraId="235697BC" w14:textId="77777777" w:rsidR="004E3164" w:rsidRPr="00DF7116" w:rsidRDefault="004E3164" w:rsidP="006517CD">
                        <w:pPr>
                          <w:ind w:firstLine="0"/>
                          <w:jc w:val="center"/>
                          <w:rPr>
                            <w:b/>
                            <w:sz w:val="20"/>
                          </w:rPr>
                        </w:pPr>
                      </w:p>
                      <w:p w14:paraId="4C07C45D" w14:textId="77777777" w:rsidR="004E3164" w:rsidRPr="00DF7116" w:rsidRDefault="004E3164" w:rsidP="006517CD">
                        <w:pPr>
                          <w:ind w:firstLine="0"/>
                          <w:jc w:val="center"/>
                          <w:rPr>
                            <w:b/>
                            <w:sz w:val="20"/>
                          </w:rPr>
                        </w:pPr>
                        <w:r w:rsidRPr="00DF7116">
                          <w:rPr>
                            <w:b/>
                            <w:sz w:val="20"/>
                          </w:rPr>
                          <w:t xml:space="preserve">Управляващ орган </w:t>
                        </w:r>
                      </w:p>
                      <w:p w14:paraId="6104FF0C" w14:textId="77777777" w:rsidR="004E3164" w:rsidRPr="00DF7116" w:rsidRDefault="004E3164" w:rsidP="006517CD">
                        <w:pPr>
                          <w:ind w:firstLine="0"/>
                          <w:jc w:val="center"/>
                          <w:rPr>
                            <w:b/>
                            <w:sz w:val="20"/>
                          </w:rPr>
                        </w:pPr>
                        <w:r w:rsidRPr="00DF7116">
                          <w:rPr>
                            <w:b/>
                            <w:sz w:val="20"/>
                          </w:rPr>
                          <w:t xml:space="preserve">на </w:t>
                        </w:r>
                      </w:p>
                      <w:p w14:paraId="17B95258" w14:textId="77777777" w:rsidR="004E3164" w:rsidRPr="00DF7116" w:rsidRDefault="004E3164" w:rsidP="006517CD">
                        <w:pPr>
                          <w:ind w:firstLine="0"/>
                          <w:jc w:val="center"/>
                          <w:rPr>
                            <w:b/>
                            <w:sz w:val="20"/>
                          </w:rPr>
                        </w:pPr>
                        <w:r w:rsidRPr="00DF7116">
                          <w:rPr>
                            <w:b/>
                            <w:sz w:val="20"/>
                          </w:rPr>
                          <w:t>ОП „Иновации и конкуренто-способност”</w:t>
                        </w:r>
                      </w:p>
                      <w:p w14:paraId="3B98AB6C" w14:textId="77777777" w:rsidR="004E3164" w:rsidRPr="00DF7116" w:rsidRDefault="004E3164" w:rsidP="006517CD">
                        <w:pPr>
                          <w:ind w:firstLine="0"/>
                          <w:jc w:val="center"/>
                          <w:rPr>
                            <w:b/>
                            <w:sz w:val="20"/>
                          </w:rPr>
                        </w:pPr>
                      </w:p>
                      <w:p w14:paraId="6AF52393" w14:textId="77777777" w:rsidR="004E3164" w:rsidRPr="00DF7116" w:rsidRDefault="004E3164" w:rsidP="006517CD">
                        <w:pPr>
                          <w:ind w:firstLine="0"/>
                          <w:jc w:val="center"/>
                          <w:rPr>
                            <w:b/>
                            <w:sz w:val="20"/>
                          </w:rPr>
                        </w:pPr>
                      </w:p>
                      <w:p w14:paraId="5962BA55" w14:textId="77777777" w:rsidR="004E3164" w:rsidRPr="00DF7116" w:rsidRDefault="004E3164" w:rsidP="006517CD">
                        <w:pPr>
                          <w:ind w:firstLine="0"/>
                          <w:jc w:val="center"/>
                          <w:rPr>
                            <w:b/>
                            <w:sz w:val="20"/>
                          </w:rPr>
                        </w:pPr>
                      </w:p>
                      <w:p w14:paraId="3B933981" w14:textId="77777777" w:rsidR="004E3164" w:rsidRPr="00DF7116" w:rsidRDefault="004E3164" w:rsidP="00DF7116">
                        <w:pPr>
                          <w:ind w:firstLine="0"/>
                          <w:jc w:val="center"/>
                          <w:rPr>
                            <w:sz w:val="20"/>
                            <w:lang w:val="ru-RU"/>
                          </w:rPr>
                        </w:pPr>
                        <w:r w:rsidRPr="00DF7116">
                          <w:rPr>
                            <w:b/>
                            <w:sz w:val="20"/>
                          </w:rPr>
                          <w:t>МИЕТ</w:t>
                        </w:r>
                      </w:p>
                    </w:txbxContent>
                  </v:textbox>
                </v:shape>
                <v:shape id="Text Box 24" o:spid="_x0000_s1048" type="#_x0000_t202" style="position:absolute;left:32090;top:32262;width:10713;height:19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" fillcolor="#2c5d98" stroked="f">
                  <v:fill color2="#3a7ccb" rotate="t" angle="180" colors="0 #2c5d98;52429f #3c7bc7;1 #3a7ccb" focus="100%" type="gradient">
                    <o:fill v:ext="view" type="gradientUnscaled"/>
                  </v:fill>
                  <v:shadow on="t" color="black" opacity="22936f" origin=",.5" offset="0,.63889mm"/>
                  <v:textbox>
                    <w:txbxContent>
                      <w:p w14:paraId="385404DA" w14:textId="77777777" w:rsidR="004E3164" w:rsidRPr="00DF7116" w:rsidRDefault="004E3164" w:rsidP="006517CD">
                        <w:pPr>
                          <w:ind w:firstLine="0"/>
                          <w:jc w:val="center"/>
                          <w:rPr>
                            <w:b/>
                            <w:sz w:val="20"/>
                          </w:rPr>
                        </w:pPr>
                      </w:p>
                      <w:p w14:paraId="0A4AF49E" w14:textId="77777777" w:rsidR="004E3164" w:rsidRPr="00DF7116" w:rsidRDefault="004E3164" w:rsidP="006517CD">
                        <w:pPr>
                          <w:ind w:firstLine="0"/>
                          <w:jc w:val="center"/>
                          <w:rPr>
                            <w:b/>
                            <w:sz w:val="20"/>
                          </w:rPr>
                        </w:pPr>
                        <w:r w:rsidRPr="00DF7116">
                          <w:rPr>
                            <w:b/>
                            <w:sz w:val="20"/>
                          </w:rPr>
                          <w:t xml:space="preserve">Управляващ орган </w:t>
                        </w:r>
                      </w:p>
                      <w:p w14:paraId="78970792" w14:textId="77777777" w:rsidR="004E3164" w:rsidRPr="00DF7116" w:rsidRDefault="004E3164" w:rsidP="006517CD">
                        <w:pPr>
                          <w:ind w:firstLine="0"/>
                          <w:jc w:val="center"/>
                          <w:rPr>
                            <w:b/>
                            <w:sz w:val="20"/>
                          </w:rPr>
                        </w:pPr>
                        <w:r w:rsidRPr="00DF7116">
                          <w:rPr>
                            <w:b/>
                            <w:sz w:val="20"/>
                          </w:rPr>
                          <w:t xml:space="preserve">на </w:t>
                        </w:r>
                      </w:p>
                      <w:p w14:paraId="550A5264" w14:textId="77777777" w:rsidR="004E3164" w:rsidRPr="00DF7116" w:rsidRDefault="004E3164" w:rsidP="006517CD">
                        <w:pPr>
                          <w:ind w:firstLine="0"/>
                          <w:jc w:val="center"/>
                          <w:rPr>
                            <w:b/>
                            <w:sz w:val="20"/>
                          </w:rPr>
                        </w:pPr>
                        <w:r w:rsidRPr="00DF7116">
                          <w:rPr>
                            <w:b/>
                            <w:sz w:val="20"/>
                          </w:rPr>
                          <w:t>ОП „Развитие на Човешките ресурси 2014-2020”</w:t>
                        </w:r>
                      </w:p>
                      <w:p w14:paraId="0807A4F7" w14:textId="77777777" w:rsidR="004E3164" w:rsidRPr="00DF7116" w:rsidRDefault="004E3164" w:rsidP="006517CD">
                        <w:pPr>
                          <w:ind w:firstLine="0"/>
                          <w:jc w:val="center"/>
                          <w:rPr>
                            <w:b/>
                            <w:sz w:val="20"/>
                          </w:rPr>
                        </w:pPr>
                      </w:p>
                      <w:p w14:paraId="28505B05" w14:textId="77777777" w:rsidR="004E3164" w:rsidRPr="00DF7116" w:rsidRDefault="004E3164" w:rsidP="006517CD">
                        <w:pPr>
                          <w:ind w:firstLine="0"/>
                          <w:jc w:val="center"/>
                          <w:rPr>
                            <w:b/>
                            <w:sz w:val="20"/>
                          </w:rPr>
                        </w:pPr>
                      </w:p>
                      <w:p w14:paraId="2DC086A4" w14:textId="77777777" w:rsidR="004E3164" w:rsidRPr="00DF7116" w:rsidRDefault="004E3164" w:rsidP="006517CD">
                        <w:pPr>
                          <w:ind w:firstLine="0"/>
                          <w:jc w:val="center"/>
                          <w:rPr>
                            <w:b/>
                            <w:sz w:val="20"/>
                          </w:rPr>
                        </w:pPr>
                      </w:p>
                      <w:p w14:paraId="4DFA016B" w14:textId="77777777" w:rsidR="004E3164" w:rsidRPr="00DF7116" w:rsidRDefault="004E3164" w:rsidP="006517CD">
                        <w:pPr>
                          <w:ind w:firstLine="0"/>
                          <w:jc w:val="center"/>
                          <w:rPr>
                            <w:b/>
                            <w:sz w:val="20"/>
                          </w:rPr>
                        </w:pPr>
                        <w:r w:rsidRPr="00DF7116">
                          <w:rPr>
                            <w:b/>
                            <w:sz w:val="20"/>
                          </w:rPr>
                          <w:t>МТСП</w:t>
                        </w:r>
                      </w:p>
                    </w:txbxContent>
                  </v:textbox>
                </v:shape>
                <v:shape id="Text Box 25" o:spid="_x0000_s1049" type="#_x0000_t202" style="position:absolute;left:43563;top:32262;width:9417;height:19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" fillcolor="#2c5d98" stroked="f">
                  <v:fill color2="#3a7ccb" rotate="t" angle="180" colors="0 #2c5d98;52429f #3c7bc7;1 #3a7ccb" focus="100%" type="gradient">
                    <o:fill v:ext="view" type="gradientUnscaled"/>
                  </v:fill>
                  <v:shadow on="t" color="black" opacity="22936f" origin=",.5" offset="0,.63889mm"/>
                  <v:textbox>
                    <w:txbxContent>
                      <w:p w14:paraId="47D58AD3" w14:textId="77777777" w:rsidR="004E3164" w:rsidRPr="00DF7116" w:rsidRDefault="004E3164" w:rsidP="006517CD">
                        <w:pPr>
                          <w:ind w:firstLine="0"/>
                          <w:jc w:val="center"/>
                          <w:rPr>
                            <w:b/>
                            <w:sz w:val="20"/>
                          </w:rPr>
                        </w:pPr>
                      </w:p>
                      <w:p w14:paraId="663BA654" w14:textId="77777777" w:rsidR="004E3164" w:rsidRPr="00DF7116" w:rsidRDefault="004E3164" w:rsidP="006517CD">
                        <w:pPr>
                          <w:ind w:firstLine="0"/>
                          <w:jc w:val="center"/>
                          <w:rPr>
                            <w:b/>
                            <w:sz w:val="20"/>
                          </w:rPr>
                        </w:pPr>
                        <w:r w:rsidRPr="00DF7116">
                          <w:rPr>
                            <w:b/>
                            <w:sz w:val="20"/>
                          </w:rPr>
                          <w:t xml:space="preserve">Управляващ орган </w:t>
                        </w:r>
                      </w:p>
                      <w:p w14:paraId="1968D104" w14:textId="77777777" w:rsidR="004E3164" w:rsidRPr="00DF7116" w:rsidRDefault="004E3164" w:rsidP="006517CD">
                        <w:pPr>
                          <w:ind w:firstLine="0"/>
                          <w:jc w:val="center"/>
                          <w:rPr>
                            <w:b/>
                            <w:sz w:val="20"/>
                          </w:rPr>
                        </w:pPr>
                        <w:r w:rsidRPr="00DF7116">
                          <w:rPr>
                            <w:b/>
                            <w:sz w:val="20"/>
                          </w:rPr>
                          <w:t xml:space="preserve">на </w:t>
                        </w:r>
                      </w:p>
                      <w:p w14:paraId="65273A87" w14:textId="77777777" w:rsidR="004E3164" w:rsidRPr="00DF7116" w:rsidRDefault="004E3164" w:rsidP="006517CD">
                        <w:pPr>
                          <w:ind w:firstLine="0"/>
                          <w:jc w:val="center"/>
                          <w:rPr>
                            <w:b/>
                            <w:sz w:val="20"/>
                          </w:rPr>
                        </w:pPr>
                        <w:r w:rsidRPr="00DF7116">
                          <w:rPr>
                            <w:b/>
                            <w:sz w:val="20"/>
                          </w:rPr>
                          <w:t>ОП „Околна среда 2014-2020”</w:t>
                        </w:r>
                      </w:p>
                      <w:p w14:paraId="2CFD301A" w14:textId="77777777" w:rsidR="004E3164" w:rsidRPr="00DF7116" w:rsidRDefault="004E3164" w:rsidP="006517CD">
                        <w:pPr>
                          <w:ind w:firstLine="0"/>
                          <w:jc w:val="center"/>
                          <w:rPr>
                            <w:b/>
                            <w:sz w:val="20"/>
                          </w:rPr>
                        </w:pPr>
                      </w:p>
                      <w:p w14:paraId="082B0DDF" w14:textId="77777777" w:rsidR="004E3164" w:rsidRPr="00DF7116" w:rsidRDefault="004E3164" w:rsidP="006517CD">
                        <w:pPr>
                          <w:ind w:firstLine="0"/>
                          <w:jc w:val="center"/>
                          <w:rPr>
                            <w:b/>
                            <w:sz w:val="20"/>
                          </w:rPr>
                        </w:pPr>
                      </w:p>
                      <w:p w14:paraId="76BFCEDE" w14:textId="77777777" w:rsidR="004E3164" w:rsidRPr="00DF7116" w:rsidRDefault="004E3164" w:rsidP="006517CD">
                        <w:pPr>
                          <w:ind w:firstLine="0"/>
                          <w:jc w:val="center"/>
                          <w:rPr>
                            <w:b/>
                            <w:sz w:val="20"/>
                          </w:rPr>
                        </w:pPr>
                      </w:p>
                      <w:p w14:paraId="377016F5" w14:textId="77777777" w:rsidR="004E3164" w:rsidRPr="00DF7116" w:rsidRDefault="004E3164" w:rsidP="006517CD">
                        <w:pPr>
                          <w:ind w:firstLine="0"/>
                          <w:jc w:val="center"/>
                          <w:rPr>
                            <w:b/>
                            <w:sz w:val="20"/>
                          </w:rPr>
                        </w:pPr>
                      </w:p>
                      <w:p w14:paraId="622D75AA" w14:textId="77777777" w:rsidR="004E3164" w:rsidRPr="00DF7116" w:rsidRDefault="004E3164" w:rsidP="006517CD">
                        <w:pPr>
                          <w:ind w:firstLine="0"/>
                          <w:jc w:val="center"/>
                          <w:rPr>
                            <w:b/>
                            <w:sz w:val="20"/>
                          </w:rPr>
                        </w:pPr>
                        <w:r w:rsidRPr="00DF7116">
                          <w:rPr>
                            <w:b/>
                            <w:sz w:val="20"/>
                          </w:rPr>
                          <w:t>МОСВ</w:t>
                        </w:r>
                      </w:p>
                    </w:txbxContent>
                  </v:textbox>
                </v:shape>
                <v:shape id="Text Box 26" o:spid="_x0000_s1050" type="#_x0000_t202" style="position:absolute;left:53483;top:32176;width:11855;height:19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" fillcolor="#2787a0" stroked="f">
                  <v:fill color2="#34b3d6" rotate="t" angle="180" colors="0 #2787a0;52429f #36b1d2;1 #34b3d6" focus="100%" type="gradient">
                    <o:fill v:ext="view" type="gradientUnscaled"/>
                  </v:fill>
                  <v:shadow on="t" color="black" opacity="22936f" origin=",.5" offset="0,.63889mm"/>
                  <v:textbox>
                    <w:txbxContent>
                      <w:p w14:paraId="1CCC3135" w14:textId="77777777" w:rsidR="004E3164" w:rsidRPr="00DF7116" w:rsidRDefault="004E3164" w:rsidP="006517CD">
                        <w:pPr>
                          <w:ind w:firstLine="0"/>
                          <w:jc w:val="center"/>
                          <w:rPr>
                            <w:b/>
                            <w:sz w:val="20"/>
                          </w:rPr>
                        </w:pPr>
                      </w:p>
                      <w:p w14:paraId="608881B0" w14:textId="77777777" w:rsidR="004E3164" w:rsidRPr="00DF7116" w:rsidRDefault="004E3164" w:rsidP="006517CD">
                        <w:pPr>
                          <w:ind w:firstLine="0"/>
                          <w:jc w:val="center"/>
                          <w:rPr>
                            <w:b/>
                            <w:sz w:val="20"/>
                          </w:rPr>
                        </w:pPr>
                        <w:r w:rsidRPr="00DF7116">
                          <w:rPr>
                            <w:b/>
                            <w:sz w:val="20"/>
                          </w:rPr>
                          <w:t xml:space="preserve">Управляващ орган </w:t>
                        </w:r>
                      </w:p>
                      <w:p w14:paraId="6FE4290E" w14:textId="77777777" w:rsidR="004E3164" w:rsidRPr="00DF7116" w:rsidRDefault="004E3164" w:rsidP="006517CD">
                        <w:pPr>
                          <w:ind w:firstLine="0"/>
                          <w:jc w:val="center"/>
                          <w:rPr>
                            <w:b/>
                            <w:sz w:val="20"/>
                          </w:rPr>
                        </w:pPr>
                        <w:r w:rsidRPr="00DF7116">
                          <w:rPr>
                            <w:b/>
                            <w:sz w:val="20"/>
                          </w:rPr>
                          <w:t xml:space="preserve">на </w:t>
                        </w:r>
                      </w:p>
                      <w:p w14:paraId="1F080269" w14:textId="77777777" w:rsidR="004E3164" w:rsidRPr="00DF7116" w:rsidRDefault="004E3164" w:rsidP="006517CD">
                        <w:pPr>
                          <w:ind w:firstLine="0"/>
                          <w:jc w:val="center"/>
                          <w:rPr>
                            <w:b/>
                            <w:sz w:val="20"/>
                          </w:rPr>
                        </w:pPr>
                        <w:r w:rsidRPr="00DF7116">
                          <w:rPr>
                            <w:b/>
                            <w:sz w:val="20"/>
                          </w:rPr>
                          <w:t>ОП „Транспорт и транспортна инфраструктура”</w:t>
                        </w:r>
                      </w:p>
                      <w:p w14:paraId="11514798" w14:textId="77777777" w:rsidR="004E3164" w:rsidRPr="00DF7116" w:rsidRDefault="004E3164" w:rsidP="006517CD">
                        <w:pPr>
                          <w:ind w:firstLine="0"/>
                          <w:jc w:val="center"/>
                          <w:rPr>
                            <w:b/>
                            <w:sz w:val="20"/>
                          </w:rPr>
                        </w:pPr>
                      </w:p>
                      <w:p w14:paraId="763456B3" w14:textId="77777777" w:rsidR="004E3164" w:rsidRPr="00DF7116" w:rsidRDefault="004E3164" w:rsidP="006517CD">
                        <w:pPr>
                          <w:ind w:firstLine="0"/>
                          <w:jc w:val="center"/>
                          <w:rPr>
                            <w:b/>
                            <w:sz w:val="20"/>
                          </w:rPr>
                        </w:pPr>
                      </w:p>
                      <w:p w14:paraId="50EF11FA" w14:textId="77777777" w:rsidR="004E3164" w:rsidRPr="00DF7116" w:rsidRDefault="004E3164" w:rsidP="006517CD">
                        <w:pPr>
                          <w:ind w:firstLine="0"/>
                          <w:jc w:val="center"/>
                          <w:rPr>
                            <w:b/>
                            <w:sz w:val="20"/>
                          </w:rPr>
                        </w:pPr>
                      </w:p>
                      <w:p w14:paraId="7E9194E2" w14:textId="77777777" w:rsidR="004E3164" w:rsidRPr="00DF7116" w:rsidRDefault="004E3164" w:rsidP="006517CD">
                        <w:pPr>
                          <w:ind w:firstLine="0"/>
                          <w:jc w:val="center"/>
                          <w:rPr>
                            <w:b/>
                            <w:sz w:val="20"/>
                          </w:rPr>
                        </w:pPr>
                        <w:r w:rsidRPr="00DF7116">
                          <w:rPr>
                            <w:b/>
                            <w:sz w:val="20"/>
                          </w:rPr>
                          <w:t>MTИТС</w:t>
                        </w:r>
                      </w:p>
                    </w:txbxContent>
                  </v:textbox>
                </v:shape>
                <v:shape id="Text Box 27" o:spid="_x0000_s1051" type="#_x0000_t202" style="position:absolute;left:66423;top:32176;width:9970;height:19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" fillcolor="#2c5d98" stroked="f">
                  <v:fill color2="#3a7ccb" rotate="t" angle="180" colors="0 #2c5d98;52429f #3c7bc7;1 #3a7ccb" focus="100%" type="gradient">
                    <o:fill v:ext="view" type="gradientUnscaled"/>
                  </v:fill>
                  <v:shadow on="t" color="black" opacity="22936f" origin=",.5" offset="0,.63889mm"/>
                  <v:textbox>
                    <w:txbxContent>
                      <w:p w14:paraId="373135AC" w14:textId="77777777" w:rsidR="004E3164" w:rsidRPr="00DF7116" w:rsidRDefault="004E3164" w:rsidP="006517CD">
                        <w:pPr>
                          <w:ind w:firstLine="0"/>
                          <w:jc w:val="center"/>
                          <w:rPr>
                            <w:b/>
                            <w:sz w:val="20"/>
                          </w:rPr>
                        </w:pPr>
                      </w:p>
                      <w:p w14:paraId="75E4D6C1" w14:textId="77777777" w:rsidR="004E3164" w:rsidRPr="00DF7116" w:rsidRDefault="004E3164" w:rsidP="006517CD">
                        <w:pPr>
                          <w:ind w:firstLine="0"/>
                          <w:jc w:val="center"/>
                          <w:rPr>
                            <w:b/>
                            <w:sz w:val="20"/>
                          </w:rPr>
                        </w:pPr>
                        <w:r w:rsidRPr="00DF7116">
                          <w:rPr>
                            <w:b/>
                            <w:sz w:val="20"/>
                          </w:rPr>
                          <w:t xml:space="preserve">Управляващ орган </w:t>
                        </w:r>
                      </w:p>
                      <w:p w14:paraId="670FB10F" w14:textId="77777777" w:rsidR="004E3164" w:rsidRPr="00DF7116" w:rsidRDefault="004E3164" w:rsidP="006517CD">
                        <w:pPr>
                          <w:ind w:firstLine="0"/>
                          <w:jc w:val="center"/>
                          <w:rPr>
                            <w:b/>
                            <w:sz w:val="20"/>
                          </w:rPr>
                        </w:pPr>
                        <w:r w:rsidRPr="00DF7116">
                          <w:rPr>
                            <w:b/>
                            <w:sz w:val="20"/>
                          </w:rPr>
                          <w:t xml:space="preserve">на </w:t>
                        </w:r>
                      </w:p>
                      <w:p w14:paraId="60086B88" w14:textId="77777777" w:rsidR="004E3164" w:rsidRPr="00DF7116" w:rsidRDefault="004E3164" w:rsidP="006517CD">
                        <w:pPr>
                          <w:ind w:firstLine="0"/>
                          <w:jc w:val="center"/>
                          <w:rPr>
                            <w:b/>
                            <w:sz w:val="20"/>
                          </w:rPr>
                        </w:pPr>
                        <w:r w:rsidRPr="00DF7116">
                          <w:rPr>
                            <w:b/>
                            <w:sz w:val="20"/>
                          </w:rPr>
                          <w:t>ОП „Добро управление”</w:t>
                        </w:r>
                      </w:p>
                      <w:p w14:paraId="3E122D81" w14:textId="77777777" w:rsidR="004E3164" w:rsidRPr="00DF7116" w:rsidRDefault="004E3164" w:rsidP="006517CD">
                        <w:pPr>
                          <w:ind w:firstLine="0"/>
                          <w:jc w:val="center"/>
                          <w:rPr>
                            <w:b/>
                            <w:sz w:val="20"/>
                          </w:rPr>
                        </w:pPr>
                      </w:p>
                      <w:p w14:paraId="5A687352" w14:textId="77777777" w:rsidR="004E3164" w:rsidRPr="00DF7116" w:rsidRDefault="004E3164" w:rsidP="006517CD">
                        <w:pPr>
                          <w:ind w:firstLine="0"/>
                          <w:jc w:val="center"/>
                          <w:rPr>
                            <w:b/>
                            <w:sz w:val="20"/>
                          </w:rPr>
                        </w:pPr>
                      </w:p>
                      <w:p w14:paraId="741CF93C" w14:textId="77777777" w:rsidR="004E3164" w:rsidRPr="00DF7116" w:rsidRDefault="004E3164" w:rsidP="006517CD">
                        <w:pPr>
                          <w:ind w:firstLine="0"/>
                          <w:jc w:val="center"/>
                          <w:rPr>
                            <w:b/>
                            <w:sz w:val="20"/>
                          </w:rPr>
                        </w:pPr>
                      </w:p>
                      <w:p w14:paraId="16927AF2" w14:textId="77777777" w:rsidR="004E3164" w:rsidRPr="00DF7116" w:rsidRDefault="004E3164" w:rsidP="006517CD">
                        <w:pPr>
                          <w:ind w:firstLine="0"/>
                          <w:jc w:val="center"/>
                          <w:rPr>
                            <w:b/>
                            <w:sz w:val="20"/>
                          </w:rPr>
                        </w:pPr>
                      </w:p>
                      <w:p w14:paraId="0C834B0B" w14:textId="77777777" w:rsidR="004E3164" w:rsidRPr="00DF7116" w:rsidRDefault="004E3164" w:rsidP="006517CD">
                        <w:pPr>
                          <w:ind w:firstLine="0"/>
                          <w:jc w:val="center"/>
                          <w:rPr>
                            <w:b/>
                            <w:sz w:val="20"/>
                          </w:rPr>
                        </w:pPr>
                      </w:p>
                      <w:p w14:paraId="23E29028" w14:textId="77777777" w:rsidR="004E3164" w:rsidRPr="00DF7116" w:rsidRDefault="004E3164" w:rsidP="006517CD">
                        <w:pPr>
                          <w:ind w:firstLine="0"/>
                          <w:jc w:val="center"/>
                          <w:rPr>
                            <w:b/>
                            <w:sz w:val="20"/>
                          </w:rPr>
                        </w:pPr>
                        <w:r w:rsidRPr="00DF7116">
                          <w:rPr>
                            <w:b/>
                            <w:sz w:val="20"/>
                          </w:rPr>
                          <w:t>МФ</w:t>
                        </w:r>
                      </w:p>
                    </w:txbxContent>
                  </v:textbox>
                </v:shape>
                <v:shape id="Text Box 77" o:spid="_x0000_s1052" type="#_x0000_t202" style="position:absolute;left:77120;top:32176;width:9058;height:19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" fillcolor="#2c5d98" stroked="f">
                  <v:fill color2="#3a7ccb" rotate="t" angle="180" colors="0 #2c5d98;52429f #3c7bc7;1 #3a7ccb" focus="100%" type="gradient">
                    <o:fill v:ext="view" type="gradientUnscaled"/>
                  </v:fill>
                  <v:shadow on="t" color="black" opacity="22936f" origin=",.5" offset="0,.63889mm"/>
                  <v:textbox>
                    <w:txbxContent>
                      <w:p w14:paraId="1C0EAF04" w14:textId="77777777" w:rsidR="004E3164" w:rsidRPr="00DF7116" w:rsidRDefault="004E3164" w:rsidP="006517CD">
                        <w:pPr>
                          <w:ind w:firstLine="0"/>
                          <w:jc w:val="center"/>
                          <w:rPr>
                            <w:b/>
                            <w:sz w:val="20"/>
                          </w:rPr>
                        </w:pPr>
                      </w:p>
                      <w:p w14:paraId="7A5CF774" w14:textId="77777777" w:rsidR="004E3164" w:rsidRPr="00DF7116" w:rsidRDefault="004E3164" w:rsidP="006517CD">
                        <w:pPr>
                          <w:ind w:firstLine="0"/>
                          <w:jc w:val="center"/>
                          <w:rPr>
                            <w:b/>
                            <w:sz w:val="20"/>
                          </w:rPr>
                        </w:pPr>
                        <w:r w:rsidRPr="00DF7116">
                          <w:rPr>
                            <w:b/>
                            <w:sz w:val="20"/>
                          </w:rPr>
                          <w:t xml:space="preserve">Управляващ орган </w:t>
                        </w:r>
                      </w:p>
                      <w:p w14:paraId="5B8E1686" w14:textId="77777777" w:rsidR="004E3164" w:rsidRPr="00DF7116" w:rsidRDefault="004E3164" w:rsidP="006517CD">
                        <w:pPr>
                          <w:ind w:firstLine="0"/>
                          <w:jc w:val="center"/>
                          <w:rPr>
                            <w:b/>
                            <w:sz w:val="20"/>
                          </w:rPr>
                        </w:pPr>
                        <w:r w:rsidRPr="00DF7116">
                          <w:rPr>
                            <w:b/>
                            <w:sz w:val="20"/>
                          </w:rPr>
                          <w:t xml:space="preserve">на </w:t>
                        </w:r>
                      </w:p>
                      <w:p w14:paraId="7502F668" w14:textId="77777777" w:rsidR="004E3164" w:rsidRPr="00DF7116" w:rsidRDefault="004E3164" w:rsidP="006517CD">
                        <w:pPr>
                          <w:ind w:firstLine="0"/>
                          <w:jc w:val="center"/>
                          <w:rPr>
                            <w:b/>
                            <w:sz w:val="20"/>
                          </w:rPr>
                        </w:pPr>
                        <w:r w:rsidRPr="00DF7116">
                          <w:rPr>
                            <w:b/>
                            <w:sz w:val="20"/>
                          </w:rPr>
                          <w:t>ОП „Наука и</w:t>
                        </w:r>
                      </w:p>
                      <w:p w14:paraId="0DB3EAEC" w14:textId="77777777" w:rsidR="004E3164" w:rsidRPr="00DF7116" w:rsidRDefault="004E3164" w:rsidP="006517CD">
                        <w:pPr>
                          <w:ind w:firstLine="0"/>
                          <w:jc w:val="center"/>
                          <w:rPr>
                            <w:b/>
                            <w:sz w:val="20"/>
                          </w:rPr>
                        </w:pPr>
                        <w:r w:rsidRPr="00DF7116">
                          <w:rPr>
                            <w:b/>
                            <w:sz w:val="20"/>
                          </w:rPr>
                          <w:t>образование за интелигентен растеж ”</w:t>
                        </w:r>
                      </w:p>
                      <w:p w14:paraId="4A480C04" w14:textId="77777777" w:rsidR="004E3164" w:rsidRPr="00DF7116" w:rsidRDefault="004E3164" w:rsidP="006517CD">
                        <w:pPr>
                          <w:ind w:firstLine="0"/>
                          <w:jc w:val="center"/>
                          <w:rPr>
                            <w:b/>
                            <w:sz w:val="20"/>
                          </w:rPr>
                        </w:pPr>
                      </w:p>
                      <w:p w14:paraId="4901DCB4" w14:textId="77777777" w:rsidR="004E3164" w:rsidRPr="00DF7116" w:rsidRDefault="004E3164" w:rsidP="006517CD">
                        <w:pPr>
                          <w:ind w:firstLine="0"/>
                          <w:jc w:val="center"/>
                          <w:rPr>
                            <w:b/>
                            <w:sz w:val="20"/>
                          </w:rPr>
                        </w:pPr>
                        <w:r w:rsidRPr="00DF7116">
                          <w:rPr>
                            <w:b/>
                            <w:sz w:val="20"/>
                          </w:rPr>
                          <w:t>МОН</w:t>
                        </w:r>
                      </w:p>
                    </w:txbxContent>
                  </v:textbox>
                </v:shape>
                <v:line id="Line 78" o:spid="_x0000_s1053" style="position:absolute;flip:x y;visibility:visible;mso-wrap-style:square" from="16303,29071" to="16316,3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">
                  <v:stroke endarrow="block"/>
                </v:line>
                <v:line id="Line 79" o:spid="_x0000_s1054" style="position:absolute;visibility:visible;mso-wrap-style:square" from="15182,29071" to="15195,3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line id="Line 80" o:spid="_x0000_s1055" style="position:absolute;visibility:visible;mso-wrap-style:square" from="26138,29243" to="26151,3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">
                  <v:stroke endarrow="block"/>
                </v:line>
                <v:line id="Line 81" o:spid="_x0000_s1056" style="position:absolute;flip:x;visibility:visible;mso-wrap-style:square" from="36317,29243" to="36329,32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">
                  <v:stroke endarrow="block"/>
                </v:line>
                <v:line id="Line 82" o:spid="_x0000_s1057" style="position:absolute;visibility:visible;mso-wrap-style:square" from="47100,28898" to="47113,3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opwwAAANwAAAAPAAAAZHJzL2Rvd25yZXYueG1sRE/fa8Iw&#10;EH4X9j+EG+xNU0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vk+KKcMAAADcAAAADwAA&#10;AAAAAAAAAAAAAAAHAgAAZHJzL2Rvd25yZXYueG1sUEsFBgAAAAADAAMAtwAAAPcCAAAAAA==&#10;">
                  <v:stroke endarrow="block"/>
                </v:line>
                <v:line id="Line 83" o:spid="_x0000_s1058" style="position:absolute;visibility:visible;mso-wrap-style:square" from="59263,28898" to="59282,31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">
                  <v:stroke endarrow="block"/>
                </v:line>
                <v:line id="Line 84" o:spid="_x0000_s1059" style="position:absolute;visibility:visible;mso-wrap-style:square" from="70564,28725" to="70583,3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">
                  <v:stroke endarrow="block"/>
                </v:line>
                <v:line id="Line 85" o:spid="_x0000_s1060" style="position:absolute;flip:x y;visibility:visible;mso-wrap-style:square" from="27259,29243" to="27271,32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">
                  <v:stroke endarrow="block"/>
                </v:line>
                <v:line id="Line 86" o:spid="_x0000_s1061" style="position:absolute;flip:x y;visibility:visible;mso-wrap-style:square" from="37438,29243" to="37451,32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">
                  <v:stroke endarrow="block"/>
                </v:line>
                <v:line id="Line 87" o:spid="_x0000_s1062" style="position:absolute;flip:x y;visibility:visible;mso-wrap-style:square" from="48394,28898" to="48407,3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">
                  <v:stroke endarrow="block"/>
                </v:line>
                <v:line id="Line 88" o:spid="_x0000_s1063" style="position:absolute;flip:x y;visibility:visible;mso-wrap-style:square" from="60557,28898" to="60570,3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">
                  <v:stroke endarrow="block"/>
                </v:line>
                <v:line id="Line 89" o:spid="_x0000_s1064" style="position:absolute;flip:x y;visibility:visible;mso-wrap-style:square" from="71858,28725" to="71871,3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">
                  <v:stroke endarrow="block"/>
                </v:line>
                <v:line id="Line 90" o:spid="_x0000_s1065" style="position:absolute;flip:x y;visibility:visible;mso-wrap-style:square" from="82123,28639" to="82136,3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">
                  <v:stroke endarrow="block"/>
                </v:line>
                <v:line id="Line 91" o:spid="_x0000_s1066" style="position:absolute;visibility:visible;mso-wrap-style:square" from="80656,28812" to="80675,3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">
                  <v:stroke endarrow="block"/>
                </v:line>
                <v:line id="Line 57" o:spid="_x0000_s1067" style="position:absolute;visibility:visible;mso-wrap-style:square" from="11041,20617" to="92198,2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">
                  <v:stroke dashstyle="dash"/>
                </v:line>
                <v:roundrect id="Text Box 70" o:spid="_x0000_s1068" style="position:absolute;left:10696;top:21911;width:9798;height:68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" fillcolor="#a3c4ff" strokecolor="#4a7ebb">
                  <v:fill color2="#e5eeff" rotate="t" angle="180" colors="0 #a3c4ff;22938f #bfd5ff;1 #e5eeff" focus="100%" type="gradient"/>
                  <v:shadow on="t" color="black" opacity="24903f" origin=",.5" offset="0,.55556mm"/>
                  <v:textbox>
                    <w:txbxContent>
                      <w:p w14:paraId="397BB831" w14:textId="77777777" w:rsidR="004E3164" w:rsidRPr="00DF7116" w:rsidRDefault="004E3164" w:rsidP="006517CD">
                        <w:pPr>
                          <w:ind w:firstLine="0"/>
                          <w:jc w:val="center"/>
                          <w:rPr>
                            <w:sz w:val="20"/>
                          </w:rPr>
                        </w:pPr>
                        <w:r w:rsidRPr="00DF7116">
                          <w:rPr>
                            <w:sz w:val="20"/>
                          </w:rPr>
                          <w:t xml:space="preserve">КН </w:t>
                        </w:r>
                      </w:p>
                      <w:p w14:paraId="5A55F45C" w14:textId="77777777" w:rsidR="004E3164" w:rsidRPr="00DF7116" w:rsidRDefault="004E3164" w:rsidP="006517CD">
                        <w:pPr>
                          <w:ind w:firstLine="0"/>
                          <w:jc w:val="center"/>
                          <w:rPr>
                            <w:sz w:val="20"/>
                          </w:rPr>
                        </w:pPr>
                        <w:r w:rsidRPr="00DF7116">
                          <w:rPr>
                            <w:sz w:val="20"/>
                          </w:rPr>
                          <w:t>на ОПРР</w:t>
                        </w:r>
                      </w:p>
                      <w:p w14:paraId="2E8C4EFB" w14:textId="77777777" w:rsidR="004E3164" w:rsidRPr="00DF7116" w:rsidRDefault="004E3164" w:rsidP="006517CD">
                        <w:pPr>
                          <w:ind w:firstLine="0"/>
                          <w:jc w:val="center"/>
                          <w:rPr>
                            <w:sz w:val="20"/>
                          </w:rPr>
                        </w:pPr>
                      </w:p>
                    </w:txbxContent>
                  </v:textbox>
                </v:roundrect>
                <v:roundrect id="Text Box 71" o:spid="_x0000_s1069" style="position:absolute;left:21479;top:21997;width:9756;height:68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" fillcolor="#a3c4ff" strokecolor="#4a7ebb">
                  <v:fill color2="#e5eeff" rotate="t" angle="180" colors="0 #a3c4ff;22938f #bfd5ff;1 #e5eeff" focus="100%" type="gradient"/>
                  <v:shadow on="t" color="black" opacity="24903f" origin=",.5" offset="0,.55556mm"/>
                  <v:textbox>
                    <w:txbxContent>
                      <w:p w14:paraId="4AE69238" w14:textId="77777777" w:rsidR="004E3164" w:rsidRPr="00DF7116" w:rsidRDefault="004E3164" w:rsidP="006517CD">
                        <w:pPr>
                          <w:ind w:firstLine="0"/>
                          <w:jc w:val="center"/>
                          <w:rPr>
                            <w:sz w:val="20"/>
                          </w:rPr>
                        </w:pPr>
                        <w:r w:rsidRPr="00DF7116">
                          <w:rPr>
                            <w:sz w:val="20"/>
                          </w:rPr>
                          <w:t xml:space="preserve">КН </w:t>
                        </w:r>
                      </w:p>
                      <w:p w14:paraId="0A843CCC" w14:textId="77777777" w:rsidR="004E3164" w:rsidRPr="00DF7116" w:rsidRDefault="004E3164" w:rsidP="006517CD">
                        <w:pPr>
                          <w:ind w:firstLine="0"/>
                          <w:jc w:val="center"/>
                          <w:rPr>
                            <w:sz w:val="20"/>
                          </w:rPr>
                        </w:pPr>
                        <w:r w:rsidRPr="00DF7116">
                          <w:rPr>
                            <w:sz w:val="20"/>
                          </w:rPr>
                          <w:t>на ОПИКС</w:t>
                        </w:r>
                      </w:p>
                    </w:txbxContent>
                  </v:textbox>
                </v:roundrect>
                <v:roundrect id="Text Box 72" o:spid="_x0000_s1070" style="position:absolute;left:32090;top:22169;width:9992;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" fillcolor="#a3c4ff" strokecolor="#4a7ebb">
                  <v:fill color2="#e5eeff" rotate="t" angle="180" colors="0 #a3c4ff;22938f #bfd5ff;1 #e5eeff" focus="100%" type="gradient"/>
                  <v:shadow on="t" color="black" opacity="24903f" origin=",.5" offset="0,.55556mm"/>
                  <v:textbox>
                    <w:txbxContent>
                      <w:p w14:paraId="0D3E0D66" w14:textId="77777777" w:rsidR="004E3164" w:rsidRPr="00DF7116" w:rsidRDefault="004E3164" w:rsidP="006517CD">
                        <w:pPr>
                          <w:ind w:firstLine="0"/>
                          <w:jc w:val="center"/>
                          <w:rPr>
                            <w:sz w:val="20"/>
                          </w:rPr>
                        </w:pPr>
                        <w:r w:rsidRPr="00DF7116">
                          <w:rPr>
                            <w:sz w:val="20"/>
                          </w:rPr>
                          <w:t xml:space="preserve">КН </w:t>
                        </w:r>
                      </w:p>
                      <w:p w14:paraId="2094BDB3" w14:textId="77777777" w:rsidR="004E3164" w:rsidRPr="00DF7116" w:rsidRDefault="004E3164" w:rsidP="006517CD">
                        <w:pPr>
                          <w:ind w:firstLine="0"/>
                          <w:jc w:val="center"/>
                          <w:rPr>
                            <w:sz w:val="20"/>
                          </w:rPr>
                        </w:pPr>
                        <w:r w:rsidRPr="00DF7116">
                          <w:rPr>
                            <w:sz w:val="20"/>
                          </w:rPr>
                          <w:t>на ОПРЧР</w:t>
                        </w:r>
                      </w:p>
                      <w:p w14:paraId="053E45FC" w14:textId="77777777" w:rsidR="004E3164" w:rsidRPr="00DF7116" w:rsidRDefault="004E3164" w:rsidP="006517CD">
                        <w:pPr>
                          <w:ind w:firstLine="0"/>
                          <w:jc w:val="center"/>
                          <w:rPr>
                            <w:sz w:val="20"/>
                          </w:rPr>
                        </w:pPr>
                      </w:p>
                    </w:txbxContent>
                  </v:textbox>
                </v:roundrect>
                <v:roundrect id="Text Box 73" o:spid="_x0000_s1071" style="position:absolute;left:43563;top:21997;width:9417;height:68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" fillcolor="#a3c4ff" strokecolor="#4a7ebb">
                  <v:fill color2="#e5eeff" rotate="t" angle="180" colors="0 #a3c4ff;22938f #bfd5ff;1 #e5eeff" focus="100%" type="gradient"/>
                  <v:shadow on="t" color="black" opacity="24903f" origin=",.5" offset="0,.55556mm"/>
                  <v:textbox>
                    <w:txbxContent>
                      <w:p w14:paraId="0D7D2D5D" w14:textId="77777777" w:rsidR="004E3164" w:rsidRPr="00DF7116" w:rsidRDefault="004E3164" w:rsidP="006517CD">
                        <w:pPr>
                          <w:ind w:firstLine="0"/>
                          <w:jc w:val="center"/>
                          <w:rPr>
                            <w:sz w:val="20"/>
                          </w:rPr>
                        </w:pPr>
                        <w:r w:rsidRPr="00DF7116">
                          <w:rPr>
                            <w:sz w:val="20"/>
                          </w:rPr>
                          <w:t>КН</w:t>
                        </w:r>
                      </w:p>
                      <w:p w14:paraId="1641EDF4" w14:textId="77777777" w:rsidR="004E3164" w:rsidRPr="00DF7116" w:rsidRDefault="004E3164" w:rsidP="006517CD">
                        <w:pPr>
                          <w:ind w:firstLine="0"/>
                          <w:jc w:val="center"/>
                          <w:rPr>
                            <w:sz w:val="20"/>
                          </w:rPr>
                        </w:pPr>
                        <w:r w:rsidRPr="00DF7116">
                          <w:rPr>
                            <w:sz w:val="20"/>
                          </w:rPr>
                          <w:t xml:space="preserve"> на ОПОС</w:t>
                        </w:r>
                      </w:p>
                      <w:p w14:paraId="7A5260B6" w14:textId="77777777" w:rsidR="004E3164" w:rsidRPr="00DF7116" w:rsidRDefault="004E3164" w:rsidP="006517CD">
                        <w:pPr>
                          <w:ind w:firstLine="0"/>
                          <w:jc w:val="center"/>
                          <w:rPr>
                            <w:sz w:val="20"/>
                          </w:rPr>
                        </w:pPr>
                      </w:p>
                    </w:txbxContent>
                  </v:textbox>
                </v:roundrect>
                <v:roundrect id="Text Box 74" o:spid="_x0000_s1072" style="position:absolute;left:55036;top:22169;width:9625;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" fillcolor="#9eeaff" strokecolor="#46aac5">
                  <v:fill color2="#e4f9ff" rotate="t" angle="180" colors="0 #9eeaff;22938f #bbefff;1 #e4f9ff" focus="100%" type="gradient"/>
                  <v:shadow on="t" color="black" opacity="24903f" origin=",.5" offset="0,.55556mm"/>
                  <v:textbox>
                    <w:txbxContent>
                      <w:p w14:paraId="6BD4AA54" w14:textId="77777777" w:rsidR="004E3164" w:rsidRPr="00DF7116" w:rsidRDefault="004E3164" w:rsidP="006517CD">
                        <w:pPr>
                          <w:ind w:firstLine="0"/>
                          <w:jc w:val="center"/>
                          <w:rPr>
                            <w:sz w:val="20"/>
                          </w:rPr>
                        </w:pPr>
                        <w:r w:rsidRPr="00DF7116">
                          <w:rPr>
                            <w:sz w:val="20"/>
                          </w:rPr>
                          <w:t xml:space="preserve">КН </w:t>
                        </w:r>
                      </w:p>
                      <w:p w14:paraId="589746A9" w14:textId="77777777" w:rsidR="004E3164" w:rsidRPr="00DF7116" w:rsidRDefault="004E3164" w:rsidP="006517CD">
                        <w:pPr>
                          <w:ind w:firstLine="0"/>
                          <w:jc w:val="center"/>
                          <w:rPr>
                            <w:sz w:val="20"/>
                          </w:rPr>
                        </w:pPr>
                        <w:r w:rsidRPr="00DF7116">
                          <w:rPr>
                            <w:sz w:val="20"/>
                          </w:rPr>
                          <w:t>на ОПТТИ</w:t>
                        </w:r>
                      </w:p>
                      <w:p w14:paraId="3E7E9BD5" w14:textId="77777777" w:rsidR="004E3164" w:rsidRPr="00DF7116" w:rsidRDefault="004E3164" w:rsidP="006517CD">
                        <w:pPr>
                          <w:ind w:firstLine="0"/>
                          <w:jc w:val="center"/>
                          <w:rPr>
                            <w:sz w:val="20"/>
                          </w:rPr>
                        </w:pPr>
                      </w:p>
                    </w:txbxContent>
                  </v:textbox>
                </v:roundrect>
                <v:roundrect id="Text Box 75" o:spid="_x0000_s1073" style="position:absolute;left:67113;top:21911;width:7950;height:70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" fillcolor="#a3c4ff" strokecolor="#4a7ebb">
                  <v:fill color2="#e5eeff" rotate="t" angle="180" colors="0 #a3c4ff;22938f #bfd5ff;1 #e5eeff" focus="100%" type="gradient"/>
                  <v:shadow on="t" color="black" opacity="24903f" origin=",.5" offset="0,.55556mm"/>
                  <v:textbox>
                    <w:txbxContent>
                      <w:p w14:paraId="4FCF0A1C" w14:textId="77777777" w:rsidR="004E3164" w:rsidRPr="00DF7116" w:rsidRDefault="004E3164" w:rsidP="006517CD">
                        <w:pPr>
                          <w:ind w:firstLine="0"/>
                          <w:jc w:val="center"/>
                          <w:rPr>
                            <w:sz w:val="20"/>
                          </w:rPr>
                        </w:pPr>
                        <w:r w:rsidRPr="00DF7116">
                          <w:rPr>
                            <w:sz w:val="20"/>
                          </w:rPr>
                          <w:t xml:space="preserve">КН </w:t>
                        </w:r>
                      </w:p>
                      <w:p w14:paraId="54C3A565" w14:textId="77777777" w:rsidR="004E3164" w:rsidRPr="00DF7116" w:rsidRDefault="004E3164" w:rsidP="006517CD">
                        <w:pPr>
                          <w:ind w:firstLine="0"/>
                          <w:jc w:val="center"/>
                          <w:rPr>
                            <w:sz w:val="20"/>
                          </w:rPr>
                        </w:pPr>
                        <w:r w:rsidRPr="00DF7116">
                          <w:rPr>
                            <w:sz w:val="20"/>
                          </w:rPr>
                          <w:t>на ОПДУ</w:t>
                        </w:r>
                      </w:p>
                      <w:p w14:paraId="70ACE9A2" w14:textId="77777777" w:rsidR="004E3164" w:rsidRPr="00DF7116" w:rsidRDefault="004E3164" w:rsidP="006517CD">
                        <w:pPr>
                          <w:ind w:firstLine="0"/>
                          <w:jc w:val="center"/>
                          <w:rPr>
                            <w:sz w:val="20"/>
                          </w:rPr>
                        </w:pPr>
                      </w:p>
                      <w:p w14:paraId="348BD2CE" w14:textId="77777777" w:rsidR="004E3164" w:rsidRPr="00DF7116" w:rsidRDefault="004E3164" w:rsidP="006517CD">
                        <w:pPr>
                          <w:ind w:firstLine="0"/>
                          <w:jc w:val="center"/>
                          <w:rPr>
                            <w:sz w:val="20"/>
                          </w:rPr>
                        </w:pPr>
                      </w:p>
                    </w:txbxContent>
                  </v:textbox>
                </v:roundrect>
                <v:roundrect id="Text Box 76" o:spid="_x0000_s1074" style="position:absolute;left:77120;top:21997;width:8204;height:69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" fillcolor="#a3c4ff" strokecolor="#4a7ebb">
                  <v:fill color2="#e5eeff" rotate="t" angle="180" colors="0 #a3c4ff;22938f #bfd5ff;1 #e5eeff" focus="100%" type="gradient"/>
                  <v:shadow on="t" color="black" opacity="24903f" origin=",.5" offset="0,.55556mm"/>
                  <v:textbox>
                    <w:txbxContent>
                      <w:p w14:paraId="1EBD9475" w14:textId="77777777" w:rsidR="004E3164" w:rsidRPr="00DF7116" w:rsidRDefault="004E3164" w:rsidP="006517CD">
                        <w:pPr>
                          <w:ind w:firstLine="0"/>
                          <w:jc w:val="center"/>
                          <w:rPr>
                            <w:sz w:val="20"/>
                          </w:rPr>
                        </w:pPr>
                        <w:r w:rsidRPr="00DF7116">
                          <w:rPr>
                            <w:sz w:val="20"/>
                          </w:rPr>
                          <w:t xml:space="preserve">КН на </w:t>
                        </w:r>
                      </w:p>
                      <w:p w14:paraId="69F50778" w14:textId="77777777" w:rsidR="004E3164" w:rsidRPr="00DF7116" w:rsidRDefault="004E3164" w:rsidP="006517CD">
                        <w:pPr>
                          <w:ind w:firstLine="0"/>
                          <w:jc w:val="center"/>
                          <w:rPr>
                            <w:sz w:val="20"/>
                          </w:rPr>
                        </w:pPr>
                        <w:r w:rsidRPr="00DF7116">
                          <w:rPr>
                            <w:sz w:val="20"/>
                          </w:rPr>
                          <w:t>ИПНОИР</w:t>
                        </w:r>
                      </w:p>
                      <w:p w14:paraId="782C84EB" w14:textId="77777777" w:rsidR="004E3164" w:rsidRPr="00DF7116" w:rsidRDefault="004E3164" w:rsidP="006517CD">
                        <w:pPr>
                          <w:ind w:firstLine="0"/>
                          <w:jc w:val="center"/>
                          <w:rPr>
                            <w:sz w:val="20"/>
                          </w:rPr>
                        </w:pPr>
                      </w:p>
                    </w:txbxContent>
                  </v:textbox>
                </v:roundrect>
                <v:line id="Line 92" o:spid="_x0000_s1075" style="position:absolute;visibility:visible;mso-wrap-style:square" from="15096,19409" to="90753,19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"/>
                <v:line id="Line 93" o:spid="_x0000_s1076" style="position:absolute;visibility:visible;mso-wrap-style:square" from="15096,19409" to="15109,2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"/>
                <v:line id="Line 94" o:spid="_x0000_s1077" style="position:absolute;visibility:visible;mso-wrap-style:square" from="26396,19409" to="26537,2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"/>
                <v:line id="Line 95" o:spid="_x0000_s1078" style="position:absolute;visibility:visible;mso-wrap-style:square" from="36489,19409" to="36501,2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"/>
                <v:line id="Line 96" o:spid="_x0000_s1079" style="position:absolute;flip:x;visibility:visible;mso-wrap-style:square" from="48394,19409" to="48406,2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"/>
                <v:line id="Line 97" o:spid="_x0000_s1080" style="position:absolute;visibility:visible;mso-wrap-style:square" from="59349,19409" to="59362,2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"/>
                <v:line id="Line 98" o:spid="_x0000_s1081" style="position:absolute;visibility:visible;mso-wrap-style:square" from="70822,19409" to="70835,2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"/>
                <v:line id="Line 100" o:spid="_x0000_s1082" style="position:absolute;visibility:visible;mso-wrap-style:square" from="81347,19409" to="81359,2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"/>
                <v:line id="Line 101" o:spid="_x0000_s1083" style="position:absolute;visibility:visible;mso-wrap-style:square" from="92216,20703" to="92229,2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">
                  <v:stroke dashstyle="dash" endarrow="open" endarrowwidth="wide"/>
                </v:line>
                <v:shapetype id="_x0000_t33" coordsize="21600,21600" o:spt="33" o:oned="t" path="m,l21600,r,21600e" filled="f">
                  <v:stroke joinstyle="miter"/>
                  <v:path arrowok="t" fillok="f" o:connecttype="none"/>
                  <o:lock v:ext="edit" shapetype="t"/>
                </v:shapetype>
                <v:shape id="AutoShape 102" o:spid="_x0000_s1084" type="#_x0000_t33" style="position:absolute;left:-3407;top:8496;width:18772;height:509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">
                  <v:stroke dashstyle="dash" startarrow="open" endarrow="open"/>
                </v:shape>
                <v:shapetype id="_x0000_t32" coordsize="21600,21600" o:spt="32" o:oned="t" path="m,l21600,21600e" filled="f">
                  <v:path arrowok="t" fillok="f" o:connecttype="none"/>
                  <o:lock v:ext="edit" shapetype="t"/>
                </v:shapetype>
                <v:shape id="AutoShape 103" o:spid="_x0000_s1085" type="#_x0000_t32" style="position:absolute;left:30242;top:13716;width:269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">
                  <v:stroke startarrow="block" endarrow="block"/>
                </v:shape>
                <v:line id="Line 105" o:spid="_x0000_s1086" style="position:absolute;flip:x;visibility:visible;mso-wrap-style:square" from="5348,17166" to="5354,20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">
                  <v:stroke endarrow="block"/>
                </v:line>
                <v:line id="Line 106" o:spid="_x0000_s1087" style="position:absolute;visibility:visible;mso-wrap-style:square" from="5348,17166" to="35828,17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"/>
                <v:line id="Line 107" o:spid="_x0000_s1088" style="position:absolute;visibility:visible;mso-wrap-style:square" from="35799,15958" to="35805,1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"/>
                <v:line id="Line 108" o:spid="_x0000_s1089" style="position:absolute;flip:x;visibility:visible;mso-wrap-style:square" from="26310,17166" to="26316,19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">
                  <v:stroke startarrow="block" endarrow="block"/>
                </v:line>
                <v:line id="Line 109" o:spid="_x0000_s1090" style="position:absolute;flip:x;visibility:visible;mso-wrap-style:square" from="37697,15958" to="37722,20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">
                  <v:stroke startarrow="block" endarrow="block"/>
                </v:line>
                <v:roundrect id="Text Box 110" o:spid="_x0000_s1091" style="position:absolute;left:52966;top:11386;width:35693;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" fillcolor="#4f81bd" strokecolor="white" strokeweight="3pt">
                  <v:shadow on="t" color="black" opacity="24903f" origin=",.5" offset="0,.55556mm"/>
                  <v:textbox>
                    <w:txbxContent>
                      <w:p w14:paraId="59A2A7DA" w14:textId="77777777" w:rsidR="004E3164" w:rsidRPr="00DF7116" w:rsidRDefault="004E3164" w:rsidP="006517CD">
                        <w:pPr>
                          <w:ind w:firstLine="0"/>
                          <w:jc w:val="center"/>
                          <w:rPr>
                            <w:b/>
                            <w:spacing w:val="20"/>
                            <w:sz w:val="20"/>
                          </w:rPr>
                        </w:pPr>
                        <w:r w:rsidRPr="00DF7116">
                          <w:rPr>
                            <w:b/>
                            <w:spacing w:val="20"/>
                            <w:sz w:val="20"/>
                          </w:rPr>
                          <w:t>Комитет за наблюдение</w:t>
                        </w:r>
                      </w:p>
                      <w:p w14:paraId="500E4863" w14:textId="77777777" w:rsidR="004E3164" w:rsidRPr="00DF7116" w:rsidRDefault="004E3164" w:rsidP="006517CD">
                        <w:pPr>
                          <w:ind w:firstLine="0"/>
                          <w:jc w:val="center"/>
                          <w:rPr>
                            <w:b/>
                            <w:spacing w:val="20"/>
                            <w:sz w:val="20"/>
                          </w:rPr>
                        </w:pPr>
                        <w:r w:rsidRPr="00DF7116">
                          <w:rPr>
                            <w:b/>
                            <w:spacing w:val="20"/>
                            <w:sz w:val="20"/>
                          </w:rPr>
                          <w:t>Споразумението за партньорство</w:t>
                        </w:r>
                      </w:p>
                    </w:txbxContent>
                  </v:textbox>
                </v:roundrect>
                <v:line id="Line 111" o:spid="_x0000_s1092" style="position:absolute;flip:y;visibility:visible;mso-wrap-style:square" from="44080,3364" to="44093,5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">
                  <v:stroke startarrow="block" endarrow="block"/>
                </v:line>
                <v:line id="Line 112" o:spid="_x0000_s1093" style="position:absolute;flip:x y;visibility:visible;mso-wrap-style:square" from="12335,3364" to="12341,10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">
                  <v:stroke endarrow="block"/>
                </v:line>
                <v:line id="Line 113" o:spid="_x0000_s1094" style="position:absolute;visibility:visible;mso-wrap-style:square" from="12335,10265" to="39640,10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"/>
                <v:line id="Line 114" o:spid="_x0000_s1095" style="position:absolute;visibility:visible;mso-wrap-style:square" from="39595,10265" to="39601,1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"/>
                <v:line id="Line 115" o:spid="_x0000_s1096" style="position:absolute;visibility:visible;mso-wrap-style:square" from="9747,3364" to="9747,1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">
                  <v:stroke startarrow="block" endarrow="block"/>
                </v:line>
                <v:line id="Line 116" o:spid="_x0000_s1097" style="position:absolute;visibility:visible;mso-wrap-style:square" from="52588,9144" to="52588,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">
                  <v:stroke startarrow="block" endarrow="block"/>
                </v:line>
                <v:line id="Line 36" o:spid="_x0000_s1098" style="position:absolute;visibility:visible;mso-wrap-style:square" from="58055,51934" to="58144,56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">
                  <v:stroke endarrow="block"/>
                </v:line>
                <v:line id="Line 38" o:spid="_x0000_s1099" style="position:absolute;flip:x;visibility:visible;mso-wrap-style:square" from="15613,51931" to="15732,5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">
                  <v:stroke endarrow="block"/>
                </v:line>
                <v:line id="Line 42" o:spid="_x0000_s1100" style="position:absolute;flip:y;visibility:visible;mso-wrap-style:square" from="16821,51931" to="16827,5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">
                  <v:stroke endarrow="block"/>
                </v:line>
                <v:line id="Line 46" o:spid="_x0000_s1101" style="position:absolute;flip:x y;visibility:visible;mso-wrap-style:square" from="59263,51934" to="59269,5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">
                  <v:stroke endarrow="block"/>
                </v:line>
                <v:line id="Line 117" o:spid="_x0000_s1102" style="position:absolute;visibility:visible;mso-wrap-style:square" from="70822,51931" to="70911,56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">
                  <v:stroke endarrow="block"/>
                </v:line>
                <v:line id="Line 118" o:spid="_x0000_s1103" style="position:absolute;flip:x y;visibility:visible;mso-wrap-style:square" from="72030,51931" to="72036,5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">
                  <v:stroke endarrow="block"/>
                </v:line>
                <v:line id="Line 119" o:spid="_x0000_s1104" style="position:absolute;visibility:visible;mso-wrap-style:square" from="81260,51931" to="81349,56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">
                  <v:stroke endarrow="block"/>
                </v:line>
                <v:line id="Line 120" o:spid="_x0000_s1105" style="position:absolute;flip:x y;visibility:visible;mso-wrap-style:square" from="82468,51931" to="82474,5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">
                  <v:stroke endarrow="block"/>
                </v:line>
                <v:line id="Line 38" o:spid="_x0000_s1106" style="position:absolute;flip:x;visibility:visible;mso-wrap-style:square" from="26224,51932" to="26343,5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">
                  <v:stroke endarrow="block"/>
                </v:line>
                <v:line id="Line 42" o:spid="_x0000_s1107" style="position:absolute;flip:y;visibility:visible;mso-wrap-style:square" from="27432,51932" to="27438,5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">
                  <v:stroke endarrow="block"/>
                </v:line>
                <v:line id="Line 38" o:spid="_x0000_s1108" style="position:absolute;flip:x;visibility:visible;mso-wrap-style:square" from="36317,51932" to="36436,5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">
                  <v:stroke endarrow="block"/>
                </v:line>
                <v:line id="Line 42" o:spid="_x0000_s1109" style="position:absolute;flip:y;visibility:visible;mso-wrap-style:square" from="37524,51932" to="37530,5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">
                  <v:stroke endarrow="block"/>
                </v:line>
                <v:line id="Line 38" o:spid="_x0000_s1110" style="position:absolute;flip:x;visibility:visible;mso-wrap-style:square" from="47359,51935" to="47478,5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">
                  <v:stroke endarrow="block"/>
                </v:line>
                <v:line id="Line 42" o:spid="_x0000_s1111" style="position:absolute;flip:y;visibility:visible;mso-wrap-style:square" from="48566,51935" to="48572,5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">
                  <v:stroke endarrow="block"/>
                </v:line>
                <v:shape id="Text Box 77" o:spid="_x0000_s1112" type="#_x0000_t202" style="position:absolute;left:87385;top:32176;width:9811;height:19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" fillcolor="#2c5d98" stroked="f">
                  <v:fill color2="#3a7ccb" rotate="t" angle="180" colors="0 #2c5d98;52429f #3c7bc7;1 #3a7ccb" focus="100%" type="gradient">
                    <o:fill v:ext="view" type="gradientUnscaled"/>
                  </v:fill>
                  <v:shadow on="t" color="black" opacity="22936f" origin=",.5" offset="0,.63889mm"/>
                  <v:textbox>
                    <w:txbxContent>
                      <w:p w14:paraId="2D8A5768" w14:textId="77777777" w:rsidR="004E3164" w:rsidRPr="00DF7116" w:rsidRDefault="004E3164" w:rsidP="006517CD">
                        <w:pPr>
                          <w:pStyle w:val="Styl1"/>
                          <w:spacing w:before="0" w:line="240" w:lineRule="auto"/>
                          <w:ind w:left="0" w:firstLine="0"/>
                          <w:jc w:val="center"/>
                          <w:rPr>
                            <w:rFonts w:ascii="Times New Roman" w:hAnsi="Times New Roman"/>
                            <w:sz w:val="20"/>
                          </w:rPr>
                        </w:pPr>
                        <w:r w:rsidRPr="00DF7116">
                          <w:rPr>
                            <w:rFonts w:ascii="Times New Roman" w:hAnsi="Times New Roman"/>
                            <w:b/>
                            <w:bCs/>
                            <w:sz w:val="20"/>
                          </w:rPr>
                          <w:t> </w:t>
                        </w:r>
                      </w:p>
                      <w:p w14:paraId="2F4805AD" w14:textId="77777777" w:rsidR="004E3164" w:rsidRPr="00DF7116" w:rsidRDefault="004E3164" w:rsidP="006517CD">
                        <w:pPr>
                          <w:ind w:firstLine="0"/>
                          <w:jc w:val="center"/>
                          <w:rPr>
                            <w:b/>
                            <w:sz w:val="20"/>
                          </w:rPr>
                        </w:pPr>
                        <w:r w:rsidRPr="00DF7116">
                          <w:rPr>
                            <w:b/>
                            <w:sz w:val="20"/>
                          </w:rPr>
                          <w:t>Управляващ по  фонд за европейско подпомагане на най-нуждаещите се лица</w:t>
                        </w:r>
                      </w:p>
                      <w:p w14:paraId="790E8FF7" w14:textId="77777777" w:rsidR="004E3164" w:rsidRPr="00DF7116" w:rsidRDefault="004E3164" w:rsidP="006517CD">
                        <w:pPr>
                          <w:ind w:firstLine="0"/>
                          <w:jc w:val="center"/>
                          <w:rPr>
                            <w:b/>
                            <w:sz w:val="20"/>
                          </w:rPr>
                        </w:pPr>
                        <w:r w:rsidRPr="00DF7116">
                          <w:rPr>
                            <w:b/>
                            <w:sz w:val="20"/>
                          </w:rPr>
                          <w:t> </w:t>
                        </w:r>
                      </w:p>
                      <w:p w14:paraId="3EB5F9EE" w14:textId="77777777" w:rsidR="004E3164" w:rsidRPr="00DF7116" w:rsidRDefault="004E3164" w:rsidP="006517CD">
                        <w:pPr>
                          <w:ind w:firstLine="0"/>
                          <w:jc w:val="center"/>
                          <w:rPr>
                            <w:b/>
                            <w:sz w:val="20"/>
                          </w:rPr>
                        </w:pPr>
                      </w:p>
                      <w:p w14:paraId="6641FB65" w14:textId="77777777" w:rsidR="004E3164" w:rsidRPr="00DF7116" w:rsidRDefault="004E3164" w:rsidP="006517CD">
                        <w:pPr>
                          <w:ind w:firstLine="0"/>
                          <w:jc w:val="center"/>
                          <w:rPr>
                            <w:b/>
                            <w:sz w:val="20"/>
                          </w:rPr>
                        </w:pPr>
                      </w:p>
                      <w:p w14:paraId="0C564D07" w14:textId="77777777" w:rsidR="004E3164" w:rsidRPr="00DF7116" w:rsidRDefault="004E3164" w:rsidP="006517CD">
                        <w:pPr>
                          <w:ind w:firstLine="0"/>
                          <w:jc w:val="center"/>
                          <w:rPr>
                            <w:b/>
                            <w:sz w:val="20"/>
                          </w:rPr>
                        </w:pPr>
                        <w:r w:rsidRPr="00DF7116">
                          <w:rPr>
                            <w:b/>
                            <w:sz w:val="20"/>
                          </w:rPr>
                          <w:t>МТСП</w:t>
                        </w:r>
                      </w:p>
                    </w:txbxContent>
                  </v:textbox>
                </v:shape>
                <v:roundrect id="Text Box 76" o:spid="_x0000_s1113" style="position:absolute;left:87126;top:22169;width:8204;height:69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" fillcolor="#a3c4ff" strokecolor="#4a7ebb">
                  <v:fill color2="#e5eeff" rotate="t" angle="180" colors="0 #a3c4ff;22938f #bfd5ff;1 #e5eeff" focus="100%" type="gradient"/>
                  <v:shadow on="t" color="black" opacity="24903f" origin=",.5" offset="0,.55556mm"/>
                  <v:textbox>
                    <w:txbxContent>
                      <w:p w14:paraId="530B07C8" w14:textId="77777777" w:rsidR="004E3164" w:rsidRPr="00DF7116" w:rsidRDefault="004E3164" w:rsidP="006517CD">
                        <w:pPr>
                          <w:ind w:firstLine="0"/>
                          <w:jc w:val="center"/>
                          <w:rPr>
                            <w:sz w:val="20"/>
                          </w:rPr>
                        </w:pPr>
                        <w:r w:rsidRPr="00DF7116">
                          <w:rPr>
                            <w:sz w:val="20"/>
                          </w:rPr>
                          <w:t xml:space="preserve">КН на </w:t>
                        </w:r>
                      </w:p>
                      <w:p w14:paraId="69365FE4" w14:textId="77777777" w:rsidR="004E3164" w:rsidRPr="00DF7116" w:rsidRDefault="004E3164" w:rsidP="006517CD">
                        <w:pPr>
                          <w:ind w:firstLine="0"/>
                          <w:jc w:val="center"/>
                          <w:rPr>
                            <w:sz w:val="20"/>
                          </w:rPr>
                        </w:pPr>
                        <w:r w:rsidRPr="00DF7116">
                          <w:rPr>
                            <w:sz w:val="20"/>
                          </w:rPr>
                          <w:t>ФЕПНЛ</w:t>
                        </w:r>
                      </w:p>
                    </w:txbxContent>
                  </v:textbox>
                </v:roundrect>
                <v:line id="Line 117" o:spid="_x0000_s1114" style="position:absolute;visibility:visible;mso-wrap-style:square" from="91871,51931" to="91960,5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">
                  <v:stroke endarrow="block"/>
                </v:line>
                <v:line id="Line 118" o:spid="_x0000_s1115" style="position:absolute;flip:x y;visibility:visible;mso-wrap-style:square" from="93079,51931" to="93079,5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">
                  <v:stroke endarrow="block"/>
                </v:line>
                <v:line id="Line 90" o:spid="_x0000_s1116" style="position:absolute;flip:x y;visibility:visible;mso-wrap-style:square" from="92216,28984" to="92229,3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">
                  <v:stroke endarrow="block"/>
                </v:line>
                <v:line id="Line 91" o:spid="_x0000_s1117" style="position:absolute;visibility:visible;mso-wrap-style:square" from="90749,29243" to="90768,3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">
                  <v:stroke endarrow="block"/>
                </v:line>
                <v:line id="Line 63" o:spid="_x0000_s1118" style="position:absolute;visibility:visible;mso-wrap-style:square" from="82468,20617" to="82480,2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">
                  <v:stroke dashstyle="dash" endarrow="open" endarrowwidth="wide"/>
                </v:line>
                <v:line id="Line 100" o:spid="_x0000_s1119" style="position:absolute;visibility:visible;mso-wrap-style:square" from="90749,19495" to="90762,2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"/>
                <v:shape id="Text Box 903" o:spid="_x0000_s1120" type="#_x0000_t202" style="position:absolute;left:7849;top:61849;width:91782;height:4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" stroked="f" strokeweight=".5pt">
                  <v:textbox>
                    <w:txbxContent>
                      <w:p w14:paraId="1A18F518" w14:textId="77777777" w:rsidR="004E3164" w:rsidRPr="00DF7116" w:rsidRDefault="004E3164" w:rsidP="006517CD">
                        <w:pPr>
                          <w:ind w:firstLine="0"/>
                          <w:jc w:val="center"/>
                          <w:rPr>
                            <w:szCs w:val="24"/>
                          </w:rPr>
                        </w:pPr>
                        <w:r w:rsidRPr="00DF7116">
                          <w:rPr>
                            <w:b/>
                            <w:color w:val="000000"/>
                            <w:spacing w:val="10"/>
                            <w:szCs w:val="24"/>
                          </w:rPr>
                          <w:t>Фиг. 1.1. Организационна диаграма, показваща взаимоотношенията на УО с другите звена, ангажирани в работата с администрирането на ЕСИФ</w:t>
                        </w:r>
                      </w:p>
                    </w:txbxContent>
                  </v:textbox>
                </v:shape>
                <v:line id="Line 33" o:spid="_x0000_s1121" style="position:absolute;flip:y;visibility:visible;mso-wrap-style:square" from="54864,15958" to="54870,19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">
                  <v:stroke endarrow="block"/>
                </v:line>
                <v:line id="Line 67" o:spid="_x0000_s1122" style="position:absolute;flip:y;visibility:visible;mso-wrap-style:square" from="56157,15958" to="56163,2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">
                  <v:stroke dashstyle="dash" endarrow="open" endarrowwidth="wide"/>
                </v:line>
                <w10:anchorlock/>
              </v:group>
            </w:pict>
          </mc:Fallback>
        </mc:AlternateContent>
      </w:r>
    </w:p>
    <w:p w14:paraId="40908F7B" w14:textId="77777777" w:rsidR="00D603F5" w:rsidRPr="001B0EA3" w:rsidRDefault="00D603F5" w:rsidP="00E30A1A">
      <w:pPr>
        <w:pStyle w:val="Style2"/>
      </w:pPr>
      <w:r w:rsidRPr="001B0EA3">
        <w:lastRenderedPageBreak/>
        <w:t xml:space="preserve"> </w:t>
      </w:r>
      <w:bookmarkStart w:id="49" w:name="_Toc479775548"/>
      <w:bookmarkStart w:id="50" w:name="_Toc140150166"/>
      <w:r w:rsidRPr="001B0EA3">
        <w:t>Институционална рамка</w:t>
      </w:r>
      <w:bookmarkEnd w:id="49"/>
      <w:bookmarkEnd w:id="50"/>
    </w:p>
    <w:p w14:paraId="04DD2AD1" w14:textId="77777777" w:rsidR="00D603F5" w:rsidRPr="001B0EA3" w:rsidRDefault="00D603F5" w:rsidP="006F6777">
      <w:r w:rsidRPr="001B0EA3">
        <w:t>С цел осигуряване на стабилност и плавен преход от програмен период 2007-2013 г</w:t>
      </w:r>
      <w:r w:rsidR="00E4417E" w:rsidRPr="001B0EA3">
        <w:t>.</w:t>
      </w:r>
      <w:r w:rsidRPr="001B0EA3">
        <w:t xml:space="preserve"> към програмен период 2014-2020 г. в Република България се запазва институционалната рамка за управление, контрол и координация на оперативните програми, съфинансирани от Структурните и Кохезионния фондове на ЕС, Централно координационно звено, Управляващи органи, Комитет за наблюдение, Сертифициращ орган, Одитен орган.   </w:t>
      </w:r>
    </w:p>
    <w:p w14:paraId="33C05231" w14:textId="77777777" w:rsidR="00D603F5" w:rsidRPr="00842ECC" w:rsidRDefault="00D603F5" w:rsidP="00ED358C">
      <w:pPr>
        <w:pStyle w:val="Style3"/>
        <w:rPr>
          <w:lang w:val="bg-BG"/>
        </w:rPr>
      </w:pPr>
      <w:bookmarkStart w:id="51" w:name="_Toc479775549"/>
      <w:r w:rsidRPr="00842ECC">
        <w:rPr>
          <w:lang w:val="bg-BG"/>
        </w:rPr>
        <w:t>Ръководство на системата за координация при управлението на средства от ЕС</w:t>
      </w:r>
      <w:bookmarkEnd w:id="51"/>
    </w:p>
    <w:p w14:paraId="741DF977" w14:textId="77777777" w:rsidR="00D603F5" w:rsidRPr="001B0EA3" w:rsidRDefault="00D603F5" w:rsidP="006F6777">
      <w:r w:rsidRPr="001B0EA3">
        <w:t xml:space="preserve">Цялостната организация и ръководство на системата за координация при управлението на средства от ЕС е регламентирана в Постановление № 70 на Министерския съвет от 14 април 2010 г. и се осъществява от заместник министър-председателя по европейските фондове и икономическата политика. </w:t>
      </w:r>
    </w:p>
    <w:p w14:paraId="3CF83800" w14:textId="77777777" w:rsidR="00D603F5" w:rsidRPr="001B0EA3" w:rsidRDefault="00D603F5" w:rsidP="006F6777">
      <w:r w:rsidRPr="006F6777">
        <w:rPr>
          <w:b/>
        </w:rPr>
        <w:t>Функциите на заместник министър-председателя по европейските фондове и икономическата политика</w:t>
      </w:r>
      <w:r w:rsidRPr="001B0EA3">
        <w:t xml:space="preserve"> са определени в чл. 1, ал. 2 от ПМС № 70 от 2010 г. и са както следва:</w:t>
      </w:r>
    </w:p>
    <w:p w14:paraId="198935E3" w14:textId="77777777" w:rsidR="00D603F5" w:rsidRPr="001B0EA3" w:rsidRDefault="00D603F5" w:rsidP="006F6777">
      <w:pPr>
        <w:pStyle w:val="ListParagraph"/>
        <w:numPr>
          <w:ilvl w:val="0"/>
          <w:numId w:val="387"/>
        </w:numPr>
        <w:tabs>
          <w:tab w:val="left" w:pos="1276"/>
        </w:tabs>
        <w:ind w:left="0" w:firstLine="851"/>
      </w:pPr>
      <w:r w:rsidRPr="001B0EA3">
        <w:t>действа като централен представител на Република България пред ЕК и другите европейски институции по въпросите на програмирането, управлението и наблюдението на средствата от ЕС;</w:t>
      </w:r>
    </w:p>
    <w:p w14:paraId="3FE50FCB" w14:textId="77777777" w:rsidR="00D603F5" w:rsidRPr="001B0EA3" w:rsidRDefault="00D603F5" w:rsidP="006F6777">
      <w:pPr>
        <w:pStyle w:val="ListParagraph"/>
        <w:numPr>
          <w:ilvl w:val="0"/>
          <w:numId w:val="387"/>
        </w:numPr>
        <w:tabs>
          <w:tab w:val="left" w:pos="1276"/>
        </w:tabs>
        <w:ind w:left="0" w:firstLine="851"/>
      </w:pPr>
      <w:r w:rsidRPr="001B0EA3">
        <w:t>формулира и предлага приоритети и мерки за изпълнението на целите и приоритетите на стратегическите и програмните документи за управлението на средствата от ЕС;</w:t>
      </w:r>
    </w:p>
    <w:p w14:paraId="519BBFC7" w14:textId="77777777" w:rsidR="00D603F5" w:rsidRPr="001B0EA3" w:rsidRDefault="00D603F5" w:rsidP="006F6777">
      <w:pPr>
        <w:pStyle w:val="ListParagraph"/>
        <w:numPr>
          <w:ilvl w:val="0"/>
          <w:numId w:val="387"/>
        </w:numPr>
        <w:tabs>
          <w:tab w:val="left" w:pos="1276"/>
        </w:tabs>
        <w:ind w:left="0" w:firstLine="851"/>
      </w:pPr>
      <w:r w:rsidRPr="001B0EA3">
        <w:t>осъществява координацията във връзка с участието на Република България в процеса на вземане на решения на ЕС в областта на Кохезионната политика;</w:t>
      </w:r>
    </w:p>
    <w:p w14:paraId="5F1917BF" w14:textId="77777777" w:rsidR="00D603F5" w:rsidRPr="001B0EA3" w:rsidRDefault="00D603F5" w:rsidP="006F6777">
      <w:pPr>
        <w:pStyle w:val="ListParagraph"/>
        <w:numPr>
          <w:ilvl w:val="0"/>
          <w:numId w:val="387"/>
        </w:numPr>
        <w:tabs>
          <w:tab w:val="left" w:pos="1276"/>
        </w:tabs>
        <w:ind w:left="0" w:firstLine="851"/>
      </w:pPr>
      <w:r w:rsidRPr="001B0EA3">
        <w:t>ръководи изготвянето и преговорите по Споразумението за партньорство и по оперативните програми за програмния период 2014 - 2020 г. с Европейската комисия, както и по съответните стратегически документи в областта на Общата селскостопанска политика и Общата политика в областта на рибарството;</w:t>
      </w:r>
    </w:p>
    <w:p w14:paraId="60B0EE26" w14:textId="77777777" w:rsidR="00D603F5" w:rsidRPr="001B0EA3" w:rsidRDefault="00D603F5" w:rsidP="006F6777">
      <w:pPr>
        <w:pStyle w:val="ListParagraph"/>
        <w:numPr>
          <w:ilvl w:val="0"/>
          <w:numId w:val="387"/>
        </w:numPr>
        <w:tabs>
          <w:tab w:val="left" w:pos="1276"/>
        </w:tabs>
        <w:ind w:left="0" w:firstLine="851"/>
      </w:pPr>
      <w:r w:rsidRPr="001B0EA3">
        <w:t>ръководи изготвянето на нормативните актове за изпълнение на програмите, финансирани със средства от Европейския съюз, за периода 2014 - 2020 г. и ръководи процеса по изграждане на съответната институционална уредба;</w:t>
      </w:r>
    </w:p>
    <w:p w14:paraId="7EAD19FE" w14:textId="77777777" w:rsidR="00D603F5" w:rsidRPr="001B0EA3" w:rsidRDefault="00D603F5" w:rsidP="006F6777">
      <w:pPr>
        <w:pStyle w:val="ListParagraph"/>
        <w:numPr>
          <w:ilvl w:val="0"/>
          <w:numId w:val="387"/>
        </w:numPr>
        <w:tabs>
          <w:tab w:val="left" w:pos="1276"/>
        </w:tabs>
        <w:ind w:left="0" w:firstLine="851"/>
      </w:pPr>
      <w:r w:rsidRPr="001B0EA3">
        <w:t>координира изпълнението на Националната стратегическа референтна рамка и провежда преговорите с Европейската комисия за нейното актуализиране;</w:t>
      </w:r>
    </w:p>
    <w:p w14:paraId="51CB1E95" w14:textId="77777777" w:rsidR="00D603F5" w:rsidRPr="001B0EA3" w:rsidRDefault="00D603F5" w:rsidP="006F6777">
      <w:pPr>
        <w:pStyle w:val="ListParagraph"/>
        <w:numPr>
          <w:ilvl w:val="0"/>
          <w:numId w:val="387"/>
        </w:numPr>
        <w:tabs>
          <w:tab w:val="left" w:pos="1276"/>
        </w:tabs>
        <w:ind w:left="0" w:firstLine="851"/>
      </w:pPr>
      <w:r w:rsidRPr="001B0EA3">
        <w:t>координира и контролира управлението на:</w:t>
      </w:r>
    </w:p>
    <w:p w14:paraId="786116F6" w14:textId="77777777" w:rsidR="00D603F5" w:rsidRPr="001B0EA3" w:rsidRDefault="00D603F5" w:rsidP="006F6777">
      <w:pPr>
        <w:pStyle w:val="ListParagraph"/>
        <w:numPr>
          <w:ilvl w:val="0"/>
          <w:numId w:val="389"/>
        </w:numPr>
        <w:ind w:left="0" w:firstLine="1211"/>
      </w:pPr>
      <w:r w:rsidRPr="001B0EA3">
        <w:t xml:space="preserve"> предприсъединителните програми на ЕС;</w:t>
      </w:r>
    </w:p>
    <w:p w14:paraId="3FBADD98" w14:textId="77777777" w:rsidR="00D603F5" w:rsidRPr="001B0EA3" w:rsidRDefault="00D603F5" w:rsidP="006F6777">
      <w:pPr>
        <w:pStyle w:val="ListParagraph"/>
        <w:numPr>
          <w:ilvl w:val="0"/>
          <w:numId w:val="389"/>
        </w:numPr>
        <w:ind w:left="0" w:firstLine="1211"/>
      </w:pPr>
      <w:r w:rsidRPr="001B0EA3">
        <w:t xml:space="preserve"> преходния финансов инструмент, като изпълнява функцията на Национален координатор на помощта по програма "ФАР" и преходния финансов инструмент;</w:t>
      </w:r>
    </w:p>
    <w:p w14:paraId="7ED3DE5E" w14:textId="77777777" w:rsidR="00D603F5" w:rsidRPr="001B0EA3" w:rsidRDefault="00D603F5" w:rsidP="006F6777">
      <w:pPr>
        <w:pStyle w:val="ListParagraph"/>
        <w:numPr>
          <w:ilvl w:val="0"/>
          <w:numId w:val="389"/>
        </w:numPr>
        <w:ind w:left="0" w:firstLine="1211"/>
      </w:pPr>
      <w:r w:rsidRPr="001B0EA3">
        <w:t xml:space="preserve"> оперативните програми, съфинансирани от Структурните фондове и Кохезионния фонд на ЕС;</w:t>
      </w:r>
    </w:p>
    <w:p w14:paraId="2106A74C" w14:textId="77777777" w:rsidR="00D603F5" w:rsidRPr="001B0EA3" w:rsidRDefault="00D603F5" w:rsidP="006F6777">
      <w:pPr>
        <w:pStyle w:val="ListParagraph"/>
        <w:numPr>
          <w:ilvl w:val="0"/>
          <w:numId w:val="389"/>
        </w:numPr>
        <w:ind w:left="0" w:firstLine="1211"/>
      </w:pPr>
      <w:r w:rsidRPr="001B0EA3">
        <w:t xml:space="preserve"> програмите, съфинансирани от Европейския земеделски фонд за развитие на селските райони, Европейския фонд за рибарство и Европейския фонд за гарантиране на земеделието;</w:t>
      </w:r>
    </w:p>
    <w:p w14:paraId="174CDEDC" w14:textId="77777777" w:rsidR="00D603F5" w:rsidRPr="001B0EA3" w:rsidRDefault="00D603F5" w:rsidP="006F6777">
      <w:pPr>
        <w:pStyle w:val="ListParagraph"/>
        <w:numPr>
          <w:ilvl w:val="0"/>
          <w:numId w:val="389"/>
        </w:numPr>
        <w:ind w:left="0" w:firstLine="1211"/>
      </w:pPr>
      <w:r w:rsidRPr="001B0EA3">
        <w:t xml:space="preserve"> програмите за териториално сътрудничество, в които Република България участва;</w:t>
      </w:r>
    </w:p>
    <w:p w14:paraId="7B0E6600" w14:textId="77777777" w:rsidR="00D603F5" w:rsidRPr="007B36E8" w:rsidRDefault="00D603F5" w:rsidP="007B36E8">
      <w:pPr>
        <w:pStyle w:val="ListParagraph"/>
        <w:numPr>
          <w:ilvl w:val="0"/>
          <w:numId w:val="387"/>
        </w:numPr>
        <w:tabs>
          <w:tab w:val="left" w:pos="1276"/>
        </w:tabs>
        <w:ind w:left="0" w:firstLine="851"/>
      </w:pPr>
      <w:r w:rsidRPr="007B36E8">
        <w:t>наблюдава Финансовия механизъм на Европейското икономическо пространство, Норвежкия финансов механизъм и Програмата за сътрудничество "България - Швейцария";</w:t>
      </w:r>
    </w:p>
    <w:p w14:paraId="726C0429" w14:textId="77777777" w:rsidR="00D603F5" w:rsidRPr="007B36E8" w:rsidRDefault="00D603F5" w:rsidP="007B36E8">
      <w:pPr>
        <w:pStyle w:val="ListParagraph"/>
        <w:numPr>
          <w:ilvl w:val="0"/>
          <w:numId w:val="387"/>
        </w:numPr>
        <w:tabs>
          <w:tab w:val="left" w:pos="1276"/>
        </w:tabs>
        <w:ind w:left="0" w:firstLine="851"/>
      </w:pPr>
      <w:r w:rsidRPr="007B36E8">
        <w:t>предлага на Европейската комисия промени в документа по т. 6 и съгласува промените в документите по т. 7, букви "а", "б", "е" и "ж" на чл. 1, ал. 2 ат ПМС № 70 от 2010 г.;</w:t>
      </w:r>
    </w:p>
    <w:p w14:paraId="34E883F8" w14:textId="77777777" w:rsidR="00D603F5" w:rsidRPr="007B36E8" w:rsidRDefault="00D603F5" w:rsidP="007B36E8">
      <w:pPr>
        <w:pStyle w:val="ListParagraph"/>
        <w:numPr>
          <w:ilvl w:val="0"/>
          <w:numId w:val="387"/>
        </w:numPr>
        <w:tabs>
          <w:tab w:val="left" w:pos="1276"/>
        </w:tabs>
        <w:ind w:left="0" w:firstLine="851"/>
      </w:pPr>
      <w:r w:rsidRPr="007B36E8">
        <w:t xml:space="preserve">координира действията на одитния и сертифициращите органи на програмите, съфинансирани от Структурните фондове и Кохезионния фонд на ЕС и от Европейския фонд </w:t>
      </w:r>
      <w:r w:rsidRPr="007B36E8">
        <w:lastRenderedPageBreak/>
        <w:t>за рибарство, във връзка с изготвянето на годишните обобщения за проведените одити и издадените декларации за сертифицирани разходи по смисъла на чл. 53б, параграф 3 от Регламент 1605/2002 на Съвета (ЕО, Евратом) относно Финансовия регламент, приложим за общия бюджет на Европейските общности (ОВ, L 248 от 16.09.2002);</w:t>
      </w:r>
    </w:p>
    <w:p w14:paraId="571B8A4C" w14:textId="77777777" w:rsidR="00D603F5" w:rsidRPr="007B36E8" w:rsidRDefault="00D603F5" w:rsidP="007B36E8">
      <w:pPr>
        <w:pStyle w:val="ListParagraph"/>
        <w:numPr>
          <w:ilvl w:val="0"/>
          <w:numId w:val="387"/>
        </w:numPr>
        <w:tabs>
          <w:tab w:val="left" w:pos="1276"/>
        </w:tabs>
        <w:ind w:left="0" w:firstLine="851"/>
      </w:pPr>
      <w:r w:rsidRPr="007B36E8">
        <w:t>информира министър-председателя за хода на изпълнението на програмите, финансирани от ЕС, и при необходимост предлага коригиращи мерки;</w:t>
      </w:r>
    </w:p>
    <w:p w14:paraId="56957135" w14:textId="77777777" w:rsidR="00D603F5" w:rsidRPr="007B36E8" w:rsidRDefault="00D603F5" w:rsidP="007B36E8">
      <w:pPr>
        <w:pStyle w:val="ListParagraph"/>
        <w:numPr>
          <w:ilvl w:val="0"/>
          <w:numId w:val="387"/>
        </w:numPr>
        <w:tabs>
          <w:tab w:val="left" w:pos="1276"/>
        </w:tabs>
        <w:ind w:left="0" w:firstLine="851"/>
      </w:pPr>
      <w:r w:rsidRPr="007B36E8">
        <w:t>предлага на Министерския съвет проекти на стратегически документи и оперативни планове, свързани с управление на средствата от Европейския съюз;</w:t>
      </w:r>
    </w:p>
    <w:p w14:paraId="3E24D1CD" w14:textId="77777777" w:rsidR="00D603F5" w:rsidRPr="007B36E8" w:rsidRDefault="00D603F5" w:rsidP="007B36E8">
      <w:pPr>
        <w:pStyle w:val="ListParagraph"/>
        <w:numPr>
          <w:ilvl w:val="0"/>
          <w:numId w:val="387"/>
        </w:numPr>
        <w:tabs>
          <w:tab w:val="left" w:pos="1276"/>
        </w:tabs>
        <w:ind w:left="0" w:firstLine="851"/>
      </w:pPr>
      <w:r w:rsidRPr="007B36E8">
        <w:t>дава методически указания във връзка с управлението на програмите по т. 7от ПМС № 70 от 2010 г.;</w:t>
      </w:r>
    </w:p>
    <w:p w14:paraId="25916D42" w14:textId="77777777" w:rsidR="00D603F5" w:rsidRPr="007B36E8" w:rsidRDefault="00D603F5" w:rsidP="007B36E8">
      <w:pPr>
        <w:pStyle w:val="ListParagraph"/>
        <w:numPr>
          <w:ilvl w:val="0"/>
          <w:numId w:val="387"/>
        </w:numPr>
        <w:tabs>
          <w:tab w:val="left" w:pos="1276"/>
        </w:tabs>
        <w:ind w:left="0" w:firstLine="851"/>
      </w:pPr>
      <w:r w:rsidRPr="007B36E8">
        <w:t>осъществява комуникацията с Европейската комисия и другите европейски институции по отношение на хоризонталните въпроси, свързани с програмирането, управлението, наблюдението, отчитането и контрола на средствата от ЕС;</w:t>
      </w:r>
    </w:p>
    <w:p w14:paraId="571930E7" w14:textId="77777777" w:rsidR="00D603F5" w:rsidRPr="007B36E8" w:rsidRDefault="00D603F5" w:rsidP="007B36E8">
      <w:pPr>
        <w:pStyle w:val="ListParagraph"/>
        <w:numPr>
          <w:ilvl w:val="0"/>
          <w:numId w:val="387"/>
        </w:numPr>
        <w:tabs>
          <w:tab w:val="left" w:pos="1276"/>
        </w:tabs>
        <w:ind w:left="0" w:firstLine="851"/>
      </w:pPr>
      <w:r w:rsidRPr="007B36E8">
        <w:t>осъществява координация на дейностите по финансовите инструменти на Европейската комисия JEREMIE, JESSICA и JASPERS, в т.ч. на подготовката, изпълнението и отчитането на годишните планове за действие на JASPERS в Република България;</w:t>
      </w:r>
    </w:p>
    <w:p w14:paraId="7C75E308" w14:textId="77777777" w:rsidR="00D603F5" w:rsidRPr="007B36E8" w:rsidRDefault="00D603F5" w:rsidP="007B36E8">
      <w:pPr>
        <w:pStyle w:val="ListParagraph"/>
        <w:numPr>
          <w:ilvl w:val="0"/>
          <w:numId w:val="387"/>
        </w:numPr>
        <w:tabs>
          <w:tab w:val="left" w:pos="1276"/>
        </w:tabs>
        <w:ind w:left="0" w:firstLine="851"/>
      </w:pPr>
      <w:r w:rsidRPr="007B36E8">
        <w:t>съгласувано със съответните министри и други органи на изпълнителната власт създава междуведомствени работни групи, както и постоянни експертни работни групи за решаване на въпроси, свързани с управлението на средствата от ЕС и донорските програми по т. 8 на чл. 1, ал. 2 от ПМС № 70 от 2010 г.;</w:t>
      </w:r>
    </w:p>
    <w:p w14:paraId="5193B74C" w14:textId="77777777" w:rsidR="00D603F5" w:rsidRPr="007B36E8" w:rsidRDefault="00D603F5" w:rsidP="007B36E8">
      <w:pPr>
        <w:pStyle w:val="ListParagraph"/>
        <w:numPr>
          <w:ilvl w:val="0"/>
          <w:numId w:val="387"/>
        </w:numPr>
        <w:tabs>
          <w:tab w:val="left" w:pos="1276"/>
        </w:tabs>
        <w:ind w:left="0" w:firstLine="851"/>
      </w:pPr>
      <w:r w:rsidRPr="007B36E8">
        <w:t>отговаря за прилагането на хоризонталните политики във връзка с усвояването на средствата от ЕС, в т. ч. следи за спазване принципа на допълняемост на националните средства със средствата от ЕС;</w:t>
      </w:r>
    </w:p>
    <w:p w14:paraId="2AEBAF29" w14:textId="77777777" w:rsidR="00D603F5" w:rsidRPr="007B36E8" w:rsidRDefault="00D603F5" w:rsidP="007B36E8">
      <w:pPr>
        <w:pStyle w:val="ListParagraph"/>
        <w:numPr>
          <w:ilvl w:val="0"/>
          <w:numId w:val="387"/>
        </w:numPr>
        <w:tabs>
          <w:tab w:val="left" w:pos="1276"/>
        </w:tabs>
        <w:ind w:left="0" w:firstLine="851"/>
      </w:pPr>
      <w:r w:rsidRPr="007B36E8">
        <w:t>координира изпълнението на одитни препоръки с хоризонтален характер, посочени от национални и европейски контролни органи във връзка с управлението и изпълнението на програмите по т. 7 и 8на чл. 1, ал. 2 от ПМС № 70 от 2010 г.;</w:t>
      </w:r>
    </w:p>
    <w:p w14:paraId="2EAB757D" w14:textId="77777777" w:rsidR="00D603F5" w:rsidRPr="007B36E8" w:rsidRDefault="00D603F5" w:rsidP="007B36E8">
      <w:pPr>
        <w:pStyle w:val="ListParagraph"/>
        <w:numPr>
          <w:ilvl w:val="0"/>
          <w:numId w:val="387"/>
        </w:numPr>
        <w:tabs>
          <w:tab w:val="left" w:pos="1276"/>
        </w:tabs>
        <w:ind w:left="0" w:firstLine="851"/>
      </w:pPr>
      <w:r w:rsidRPr="007B36E8">
        <w:t>координира техническата помощ, предоставена от международните финансови институции за постигане на ефективност при подготовката, изпълнението и управлението на проекти, финансирани от ЕС;</w:t>
      </w:r>
    </w:p>
    <w:p w14:paraId="02C6FBBB" w14:textId="77777777" w:rsidR="00D603F5" w:rsidRPr="007B36E8" w:rsidRDefault="00D603F5" w:rsidP="007B36E8">
      <w:pPr>
        <w:pStyle w:val="ListParagraph"/>
        <w:numPr>
          <w:ilvl w:val="0"/>
          <w:numId w:val="387"/>
        </w:numPr>
        <w:tabs>
          <w:tab w:val="left" w:pos="1276"/>
        </w:tabs>
        <w:ind w:left="0" w:firstLine="851"/>
      </w:pPr>
      <w:r w:rsidRPr="007B36E8">
        <w:t>координира дейностите за подобряване на административния капацитет на централно, регионално и местно ниво при усвояването на средствата от ЕС и донорските програми по т. 8на чл. 1, ал. 2 от ПМС № 70 от 2010 г.;</w:t>
      </w:r>
    </w:p>
    <w:p w14:paraId="26B3D4B4" w14:textId="77777777" w:rsidR="00D603F5" w:rsidRPr="007B36E8" w:rsidRDefault="00D603F5" w:rsidP="007B36E8">
      <w:pPr>
        <w:pStyle w:val="ListParagraph"/>
        <w:numPr>
          <w:ilvl w:val="0"/>
          <w:numId w:val="387"/>
        </w:numPr>
        <w:tabs>
          <w:tab w:val="left" w:pos="1276"/>
        </w:tabs>
        <w:ind w:left="0" w:firstLine="851"/>
      </w:pPr>
      <w:r w:rsidRPr="007B36E8">
        <w:t>координира ефективното прилагане на мерките за публичност и прозрачност при усвояването на средствата от ЕС;</w:t>
      </w:r>
    </w:p>
    <w:p w14:paraId="5BF3D7D4" w14:textId="77777777" w:rsidR="00D603F5" w:rsidRDefault="00D603F5" w:rsidP="007B36E8">
      <w:pPr>
        <w:pStyle w:val="ListParagraph"/>
        <w:numPr>
          <w:ilvl w:val="0"/>
          <w:numId w:val="387"/>
        </w:numPr>
        <w:tabs>
          <w:tab w:val="left" w:pos="1276"/>
        </w:tabs>
        <w:ind w:left="0" w:firstLine="851"/>
      </w:pPr>
      <w:r w:rsidRPr="007B36E8">
        <w:t>участва или определя представител на Централното координационно звено, както и съгласува участието на лица, които да представляват Република България пред Европейската комисия по хоризонтални въпроси, свързани с програмирането, управлението, наблюдението, отчитането и контрола на средствата от ЕС;</w:t>
      </w:r>
    </w:p>
    <w:p w14:paraId="34ABDA13" w14:textId="77777777" w:rsidR="00854688" w:rsidRPr="007B36E8" w:rsidRDefault="00854688" w:rsidP="00854688">
      <w:pPr>
        <w:tabs>
          <w:tab w:val="left" w:pos="1276"/>
        </w:tabs>
      </w:pPr>
    </w:p>
    <w:p w14:paraId="3FD9E09F" w14:textId="77777777" w:rsidR="00D603F5" w:rsidRPr="00842ECC" w:rsidRDefault="00D603F5" w:rsidP="00ED358C">
      <w:pPr>
        <w:pStyle w:val="Style3"/>
        <w:rPr>
          <w:lang w:val="bg-BG"/>
        </w:rPr>
      </w:pPr>
      <w:bookmarkStart w:id="52" w:name="_Toc479775550"/>
      <w:r w:rsidRPr="00842ECC">
        <w:rPr>
          <w:lang w:val="bg-BG"/>
        </w:rPr>
        <w:t>Съвет за координация при управление на средствата от Европейския съюз</w:t>
      </w:r>
      <w:bookmarkEnd w:id="52"/>
    </w:p>
    <w:p w14:paraId="248B05CF" w14:textId="77777777" w:rsidR="00D02BDE" w:rsidRPr="001B0EA3" w:rsidRDefault="00D02BDE" w:rsidP="00854688">
      <w:pPr>
        <w:rPr>
          <w:rFonts w:eastAsia="Calibri"/>
        </w:rPr>
      </w:pPr>
      <w:r w:rsidRPr="001B0EA3">
        <w:t xml:space="preserve">Координацията на мерките за изпълнение на правителствената политика за икономическо, социално и териториално развитие на страната, финансирани със средствата от  ЕС се осъществява от Съвет за координация при управление на средствата от Европейския съюз (СКУСЕС). </w:t>
      </w:r>
      <w:r w:rsidRPr="001B0EA3">
        <w:rPr>
          <w:rFonts w:eastAsia="Calibri"/>
        </w:rPr>
        <w:t>Съветът за координация при управлението на средствата от Европейския съюз има следните функции (ПОСТАНОВЛЕНИЕ № 70 на МС от 14.04.2010 г.) :</w:t>
      </w:r>
    </w:p>
    <w:p w14:paraId="046AAC12" w14:textId="77777777" w:rsidR="00D02BDE" w:rsidRPr="001B0EA3" w:rsidRDefault="00D02BDE" w:rsidP="00854688">
      <w:pPr>
        <w:rPr>
          <w:rFonts w:eastAsia="Calibri"/>
          <w:b/>
        </w:rPr>
      </w:pPr>
    </w:p>
    <w:p w14:paraId="0B57E82A" w14:textId="77777777" w:rsidR="00D02BDE" w:rsidRPr="00854688" w:rsidRDefault="00D02BDE" w:rsidP="00854688">
      <w:pPr>
        <w:pStyle w:val="ListParagraph"/>
        <w:numPr>
          <w:ilvl w:val="0"/>
          <w:numId w:val="390"/>
        </w:numPr>
        <w:tabs>
          <w:tab w:val="left" w:pos="1134"/>
        </w:tabs>
        <w:ind w:left="0" w:firstLine="851"/>
        <w:rPr>
          <w:rFonts w:eastAsia="Calibri"/>
        </w:rPr>
      </w:pPr>
      <w:r w:rsidRPr="00854688">
        <w:rPr>
          <w:rFonts w:eastAsia="Calibri"/>
        </w:rPr>
        <w:t>Обсъжда въпроси във връзка с реформите на Кохезионната политика и Общата селскостопанска политика и Общата политика в областта на рибарството за програмен период 2014 - 2020 г.;</w:t>
      </w:r>
    </w:p>
    <w:p w14:paraId="46723A85" w14:textId="77777777" w:rsidR="00D02BDE" w:rsidRPr="00854688" w:rsidRDefault="00D02BDE" w:rsidP="00854688">
      <w:pPr>
        <w:pStyle w:val="ListParagraph"/>
        <w:numPr>
          <w:ilvl w:val="0"/>
          <w:numId w:val="390"/>
        </w:numPr>
        <w:tabs>
          <w:tab w:val="left" w:pos="1134"/>
        </w:tabs>
        <w:ind w:left="0" w:firstLine="851"/>
        <w:rPr>
          <w:rFonts w:eastAsia="Calibri"/>
        </w:rPr>
      </w:pPr>
      <w:r w:rsidRPr="00854688">
        <w:rPr>
          <w:rFonts w:eastAsia="Calibri"/>
        </w:rPr>
        <w:lastRenderedPageBreak/>
        <w:t>Разглежда работни варианти на Споразумението за партньорство и програмите за програмния период 2014 - 2020 г., съфинансирани със средства от Европейските социални и инвестиционни фондове на ЕС и осигурява тяхната взаимна съгласуваност;</w:t>
      </w:r>
    </w:p>
    <w:p w14:paraId="273BE10D" w14:textId="77777777" w:rsidR="00D02BDE" w:rsidRPr="00854688" w:rsidRDefault="00D02BDE" w:rsidP="00854688">
      <w:pPr>
        <w:pStyle w:val="ListParagraph"/>
        <w:numPr>
          <w:ilvl w:val="0"/>
          <w:numId w:val="390"/>
        </w:numPr>
        <w:tabs>
          <w:tab w:val="left" w:pos="1134"/>
        </w:tabs>
        <w:ind w:left="0" w:firstLine="851"/>
        <w:rPr>
          <w:rFonts w:eastAsia="Calibri"/>
        </w:rPr>
      </w:pPr>
      <w:r w:rsidRPr="00854688">
        <w:rPr>
          <w:rFonts w:eastAsia="Calibri"/>
        </w:rPr>
        <w:t>Съгласува проектите на индикативни годишни работни програми на оперативните програми и одобрява последващите изменения в тях;</w:t>
      </w:r>
    </w:p>
    <w:p w14:paraId="3F35764E" w14:textId="77777777" w:rsidR="00D02BDE" w:rsidRPr="00854688" w:rsidRDefault="00D02BDE" w:rsidP="00854688">
      <w:pPr>
        <w:pStyle w:val="ListParagraph"/>
        <w:numPr>
          <w:ilvl w:val="0"/>
          <w:numId w:val="390"/>
        </w:numPr>
        <w:tabs>
          <w:tab w:val="left" w:pos="1134"/>
        </w:tabs>
        <w:ind w:left="0" w:firstLine="851"/>
        <w:rPr>
          <w:rFonts w:eastAsia="Calibri"/>
        </w:rPr>
      </w:pPr>
      <w:r w:rsidRPr="00854688">
        <w:rPr>
          <w:rFonts w:eastAsia="Calibri"/>
        </w:rPr>
        <w:t>Разглежда предложения за промени в Споразумението за партньорство и програмите за програмния период 2014 - 2020 г., съфинансирани със средства от Европейските социални и инвестиционни фондове на ЕС и оперативните програми, съфинансирани от Структурните фондове и Кохезионния фонд на ЕС за програмния период 2007-2013 г., в т. ч. за преразпределение на средства, които се утвърждават в съответствие с действащата нормативна уредба;</w:t>
      </w:r>
    </w:p>
    <w:p w14:paraId="01086C3A" w14:textId="77777777" w:rsidR="00D02BDE" w:rsidRPr="00854688" w:rsidRDefault="00D02BDE" w:rsidP="00854688">
      <w:pPr>
        <w:pStyle w:val="ListParagraph"/>
        <w:numPr>
          <w:ilvl w:val="0"/>
          <w:numId w:val="390"/>
        </w:numPr>
        <w:tabs>
          <w:tab w:val="left" w:pos="1134"/>
        </w:tabs>
        <w:ind w:left="0" w:firstLine="851"/>
        <w:rPr>
          <w:rFonts w:eastAsia="Calibri"/>
        </w:rPr>
      </w:pPr>
      <w:r w:rsidRPr="00854688">
        <w:rPr>
          <w:rFonts w:eastAsia="Calibri"/>
        </w:rPr>
        <w:t>Обсъжда проблемни въпроси, свързани с изпълнението на мерки, финансирани със средства от ЕС;</w:t>
      </w:r>
    </w:p>
    <w:p w14:paraId="3B2C9109" w14:textId="77777777" w:rsidR="00D02BDE" w:rsidRPr="00854688" w:rsidRDefault="00D02BDE" w:rsidP="00854688">
      <w:pPr>
        <w:pStyle w:val="ListParagraph"/>
        <w:numPr>
          <w:ilvl w:val="0"/>
          <w:numId w:val="390"/>
        </w:numPr>
        <w:tabs>
          <w:tab w:val="left" w:pos="1134"/>
        </w:tabs>
        <w:ind w:left="0" w:firstLine="851"/>
        <w:rPr>
          <w:rFonts w:eastAsia="Calibri"/>
        </w:rPr>
      </w:pPr>
      <w:r w:rsidRPr="00854688">
        <w:rPr>
          <w:rFonts w:eastAsia="Calibri"/>
        </w:rPr>
        <w:t>При изпълнение на функциите си съветът взаимодейства със Съвета за координация в борбата с правонарушенията, засягащи финансовите интереси на Европейския съюз, Съвета по европейските въпроси и с Икономическия и социален съвет.</w:t>
      </w:r>
    </w:p>
    <w:p w14:paraId="37C4E74E" w14:textId="77777777" w:rsidR="00D02BDE" w:rsidRPr="001B0EA3" w:rsidRDefault="00D02BDE" w:rsidP="00854688">
      <w:r w:rsidRPr="001B0EA3">
        <w:t xml:space="preserve">Дирекция „Централно координационно звено“ изпълнява функцията на секретариат на съвета. Съветът провежда заседания най-малко веднъж на два месеца. </w:t>
      </w:r>
    </w:p>
    <w:p w14:paraId="17EA62E5" w14:textId="77777777" w:rsidR="00D603F5" w:rsidRPr="001B0EA3" w:rsidRDefault="00D603F5" w:rsidP="00854688"/>
    <w:p w14:paraId="15E0B094" w14:textId="77777777" w:rsidR="00D603F5" w:rsidRPr="001B0EA3" w:rsidRDefault="00D603F5" w:rsidP="00ED358C">
      <w:pPr>
        <w:pStyle w:val="Style3"/>
      </w:pPr>
      <w:bookmarkStart w:id="53" w:name="_Toc479775551"/>
      <w:r w:rsidRPr="001B0EA3">
        <w:t>Централно координационно звено</w:t>
      </w:r>
      <w:bookmarkEnd w:id="53"/>
    </w:p>
    <w:p w14:paraId="67E2D8E2" w14:textId="77777777" w:rsidR="00F40B93" w:rsidRDefault="00F40B93" w:rsidP="00854688">
      <w:r w:rsidRPr="001B0EA3">
        <w:t xml:space="preserve">При изпълнение на своите функции заместник министър-председателя по европейските фондове и икономическата политика се подпомага от Централно координационно звено (ЦКЗ). Както е определено в т. 6 на Решение № 792 на Министерския съвет от 2013 г. дирекциите „Програмиране на средствата от Европейския съюз“, „Мониторинг на средствата от Европейския съюз“ и „Системи за управление на средствата от Европейския съюз“ в администрацията на Министерския съвет изпълняват функциите на Централно координационно звено, съобразно техните функции, определени в Устройствения правилник на Министерския съвет и на неговата администрация, приет с Постановление № 229 на Министерски съвет от 2009 г. Съгласно изменението на този правилник от 08.01.2016 г. Централно координационно звено се преобразува в дирекция „Централно координационно звено“ </w:t>
      </w:r>
    </w:p>
    <w:p w14:paraId="04A73C02" w14:textId="77777777" w:rsidR="00854688" w:rsidRPr="001B0EA3" w:rsidRDefault="00854688" w:rsidP="00854688"/>
    <w:p w14:paraId="1EB5CD67" w14:textId="77777777" w:rsidR="00F40B93" w:rsidRPr="001B0EA3" w:rsidRDefault="00F40B93" w:rsidP="00854688">
      <w:r w:rsidRPr="00854688">
        <w:rPr>
          <w:b/>
          <w:u w:val="single"/>
        </w:rPr>
        <w:t>Дирекция „Централното координационно звено“ има следните функции</w:t>
      </w:r>
      <w:r w:rsidRPr="001B0EA3">
        <w:t xml:space="preserve"> (чл. 75 от УП на МС):</w:t>
      </w:r>
    </w:p>
    <w:p w14:paraId="3F95B67E" w14:textId="77777777" w:rsidR="00F40B93" w:rsidRPr="001B0EA3" w:rsidRDefault="00F40B93" w:rsidP="00854688">
      <w:pPr>
        <w:pStyle w:val="ListParagraph"/>
        <w:numPr>
          <w:ilvl w:val="0"/>
          <w:numId w:val="391"/>
        </w:numPr>
        <w:tabs>
          <w:tab w:val="left" w:pos="1276"/>
        </w:tabs>
        <w:ind w:left="0" w:firstLine="851"/>
      </w:pPr>
      <w:r w:rsidRPr="001B0EA3">
        <w:t>подпомага дейността на заместник министър-председателя по европейските фондове и икономическата политика, отговарящ за цялостната организация и ръководство на системата за координация при управлението на средствата от Европейския съюз;</w:t>
      </w:r>
    </w:p>
    <w:p w14:paraId="6D86E3F3" w14:textId="77777777" w:rsidR="00F40B93" w:rsidRPr="001B0EA3" w:rsidRDefault="00F40B93" w:rsidP="00854688">
      <w:pPr>
        <w:pStyle w:val="ListParagraph"/>
        <w:numPr>
          <w:ilvl w:val="0"/>
          <w:numId w:val="391"/>
        </w:numPr>
        <w:tabs>
          <w:tab w:val="left" w:pos="1276"/>
        </w:tabs>
        <w:ind w:left="0" w:firstLine="851"/>
      </w:pPr>
      <w:r w:rsidRPr="001B0EA3">
        <w:t>поддържа връзката и предоставя информация на Европейската комисия и на други финансиращи органи, както и изпълнява функциите на централен координатор на системите на Европейската комисия за управление на фондовете SFC 2007 и SFC 2014 на национално ниво и на системата за контрол на риска ARACHNE;</w:t>
      </w:r>
    </w:p>
    <w:p w14:paraId="6AE3DBDC" w14:textId="77777777" w:rsidR="00F40B93" w:rsidRPr="001B0EA3" w:rsidRDefault="00F40B93" w:rsidP="00854688">
      <w:pPr>
        <w:pStyle w:val="ListParagraph"/>
        <w:numPr>
          <w:ilvl w:val="0"/>
          <w:numId w:val="391"/>
        </w:numPr>
        <w:tabs>
          <w:tab w:val="left" w:pos="1276"/>
        </w:tabs>
        <w:ind w:left="0" w:firstLine="851"/>
      </w:pPr>
      <w:r w:rsidRPr="001B0EA3">
        <w:t>координира действията между управляващите органи, сертифициращите органи, одитните органи, междинните звена и другите органи на национално ниво по отношение на кандидатите и бенефициентите на финансова подкрепа, както и координира мерките за изграждане на капацитета на управляващите органи и на бенефициентите;</w:t>
      </w:r>
    </w:p>
    <w:p w14:paraId="4276670E" w14:textId="77777777" w:rsidR="00F40B93" w:rsidRPr="001B0EA3" w:rsidRDefault="00F40B93" w:rsidP="00854688">
      <w:pPr>
        <w:pStyle w:val="ListParagraph"/>
        <w:numPr>
          <w:ilvl w:val="0"/>
          <w:numId w:val="391"/>
        </w:numPr>
        <w:tabs>
          <w:tab w:val="left" w:pos="1276"/>
        </w:tabs>
        <w:ind w:left="0" w:firstLine="851"/>
      </w:pPr>
      <w:r w:rsidRPr="001B0EA3">
        <w:t>планира и координира мерките, подпомагани от международни финансови институции и инструменти, европейски или други инициативи;</w:t>
      </w:r>
    </w:p>
    <w:p w14:paraId="535C5FB9" w14:textId="77777777" w:rsidR="00F40B93" w:rsidRPr="001B0EA3" w:rsidRDefault="00F40B93" w:rsidP="00854688">
      <w:pPr>
        <w:pStyle w:val="ListParagraph"/>
        <w:numPr>
          <w:ilvl w:val="0"/>
          <w:numId w:val="391"/>
        </w:numPr>
        <w:tabs>
          <w:tab w:val="left" w:pos="1276"/>
        </w:tabs>
        <w:ind w:left="0" w:firstLine="851"/>
      </w:pPr>
      <w:r w:rsidRPr="001B0EA3">
        <w:t xml:space="preserve">планира и програмира политиките, финансирани от Европейските структурни и инвестиционни фондове (ЕСИФ) и други донори, и ги координира, като обобщава, обединява и изготвя стратегически документи; </w:t>
      </w:r>
    </w:p>
    <w:p w14:paraId="19D11BAB" w14:textId="77777777" w:rsidR="00F40B93" w:rsidRPr="001B0EA3" w:rsidRDefault="00F40B93" w:rsidP="00854688">
      <w:pPr>
        <w:pStyle w:val="ListParagraph"/>
        <w:numPr>
          <w:ilvl w:val="0"/>
          <w:numId w:val="391"/>
        </w:numPr>
        <w:tabs>
          <w:tab w:val="left" w:pos="1276"/>
        </w:tabs>
        <w:ind w:left="0" w:firstLine="851"/>
      </w:pPr>
      <w:r w:rsidRPr="001B0EA3">
        <w:lastRenderedPageBreak/>
        <w:t xml:space="preserve">осъществява координация и участва в разработването на програми, инициативи, инвестиционни инструменти и други; </w:t>
      </w:r>
    </w:p>
    <w:p w14:paraId="061F3256" w14:textId="77777777" w:rsidR="00F40B93" w:rsidRPr="001B0EA3" w:rsidRDefault="00F40B93" w:rsidP="00854688">
      <w:pPr>
        <w:pStyle w:val="ListParagraph"/>
        <w:numPr>
          <w:ilvl w:val="0"/>
          <w:numId w:val="391"/>
        </w:numPr>
        <w:tabs>
          <w:tab w:val="left" w:pos="1276"/>
        </w:tabs>
        <w:ind w:left="0" w:firstLine="851"/>
      </w:pPr>
      <w:r w:rsidRPr="001B0EA3">
        <w:t>следи за ефекта от разходване на средствата от ЕСИФ за постигане на целите на хоризонталните и секторните политики в страната и предлага мерки за повишаване на ефективността им, както и извършва оценка на ефективността на вложените ресурси и изпълнението на заложените цели и индикатори в европейски и национални стратегически документи;</w:t>
      </w:r>
    </w:p>
    <w:p w14:paraId="75DABE18" w14:textId="77777777" w:rsidR="00F40B93" w:rsidRPr="001B0EA3" w:rsidRDefault="00F40B93" w:rsidP="00854688">
      <w:pPr>
        <w:pStyle w:val="ListParagraph"/>
        <w:numPr>
          <w:ilvl w:val="0"/>
          <w:numId w:val="391"/>
        </w:numPr>
        <w:tabs>
          <w:tab w:val="left" w:pos="1276"/>
        </w:tabs>
        <w:ind w:left="0" w:firstLine="851"/>
      </w:pPr>
      <w:r w:rsidRPr="001B0EA3">
        <w:t>извършва анализ и текущ мониторинг на функционирането на системата за управление на европейските фондове и прави предложения за подобряването й;</w:t>
      </w:r>
    </w:p>
    <w:p w14:paraId="63BB890A" w14:textId="77777777" w:rsidR="00F40B93" w:rsidRPr="001B0EA3" w:rsidRDefault="00F40B93" w:rsidP="00854688">
      <w:pPr>
        <w:pStyle w:val="ListParagraph"/>
        <w:numPr>
          <w:ilvl w:val="0"/>
          <w:numId w:val="391"/>
        </w:numPr>
        <w:tabs>
          <w:tab w:val="left" w:pos="1276"/>
        </w:tabs>
        <w:ind w:left="0" w:firstLine="851"/>
      </w:pPr>
      <w:r w:rsidRPr="001B0EA3">
        <w:t>извършва текущо наблюдение на финансовото и физическото изпълнение на програмите и инструментите с цел хоризонталните въпроси да се третират еднакво при всички програми и инструменти;</w:t>
      </w:r>
    </w:p>
    <w:p w14:paraId="2C853B3F" w14:textId="77777777" w:rsidR="00F40B93" w:rsidRPr="001B0EA3" w:rsidRDefault="00F40B93" w:rsidP="00854688">
      <w:pPr>
        <w:pStyle w:val="ListParagraph"/>
        <w:numPr>
          <w:ilvl w:val="0"/>
          <w:numId w:val="391"/>
        </w:numPr>
        <w:tabs>
          <w:tab w:val="left" w:pos="1276"/>
        </w:tabs>
        <w:ind w:left="0" w:firstLine="851"/>
      </w:pPr>
      <w:r w:rsidRPr="001B0EA3">
        <w:t xml:space="preserve">изпълнява функциите на Национално координационно звено по двустранни програми от други донори; </w:t>
      </w:r>
    </w:p>
    <w:p w14:paraId="0E3EA7F9" w14:textId="77777777" w:rsidR="00F40B93" w:rsidRPr="001B0EA3" w:rsidRDefault="00F40B93" w:rsidP="00854688">
      <w:pPr>
        <w:pStyle w:val="ListParagraph"/>
        <w:numPr>
          <w:ilvl w:val="0"/>
          <w:numId w:val="391"/>
        </w:numPr>
        <w:tabs>
          <w:tab w:val="left" w:pos="1276"/>
        </w:tabs>
        <w:ind w:left="0" w:firstLine="851"/>
      </w:pPr>
      <w:r w:rsidRPr="001B0EA3">
        <w:t>разработва и развива нормативната рамка и методологията при управлението на европейски средства и подпомага органите и звената по т. 3 при прилагането на европейското и националното законодателство, свързано с управлението на средствата от ЕСИФ;</w:t>
      </w:r>
    </w:p>
    <w:p w14:paraId="14BEA4E5" w14:textId="77777777" w:rsidR="00F40B93" w:rsidRPr="001B0EA3" w:rsidRDefault="00F40B93" w:rsidP="00854688">
      <w:pPr>
        <w:pStyle w:val="ListParagraph"/>
        <w:numPr>
          <w:ilvl w:val="0"/>
          <w:numId w:val="391"/>
        </w:numPr>
        <w:tabs>
          <w:tab w:val="left" w:pos="1276"/>
        </w:tabs>
        <w:ind w:left="0" w:firstLine="851"/>
      </w:pPr>
      <w:r w:rsidRPr="001B0EA3">
        <w:t>въвежда и поддържа информационни системи за управление и наблюдение на средствата от външни източници, както и изпълнява функциите на звено за техническа поддръжка на системите;</w:t>
      </w:r>
    </w:p>
    <w:p w14:paraId="70C8A9D3" w14:textId="77777777" w:rsidR="00F40B93" w:rsidRPr="001B0EA3" w:rsidRDefault="00F40B93" w:rsidP="00854688">
      <w:pPr>
        <w:pStyle w:val="ListParagraph"/>
        <w:numPr>
          <w:ilvl w:val="0"/>
          <w:numId w:val="391"/>
        </w:numPr>
        <w:tabs>
          <w:tab w:val="left" w:pos="1276"/>
        </w:tabs>
        <w:ind w:left="0" w:firstLine="851"/>
      </w:pPr>
      <w:r w:rsidRPr="001B0EA3">
        <w:t>в качеството си на Централен информационен офис за управлението на средствата от ЕСИФ изгражда, развива, управлява и поддържа Единния информационен портал за обща информация за средствата от Европейския съюз и осигурява прозрачност на управлението на фондовете от външни източници с цел достъпност на европейското финансиране на основата на Единната комуникационна стратегия;</w:t>
      </w:r>
    </w:p>
    <w:p w14:paraId="5D27EC2D" w14:textId="77777777" w:rsidR="00F40B93" w:rsidRDefault="00F40B93" w:rsidP="00854688">
      <w:pPr>
        <w:pStyle w:val="ListParagraph"/>
        <w:numPr>
          <w:ilvl w:val="0"/>
          <w:numId w:val="391"/>
        </w:numPr>
        <w:tabs>
          <w:tab w:val="left" w:pos="1276"/>
        </w:tabs>
        <w:ind w:left="0" w:firstLine="851"/>
      </w:pPr>
      <w:r w:rsidRPr="001B0EA3">
        <w:t>е секретариат на Съвета за координация при управлението на средствата от Европейския съюз.</w:t>
      </w:r>
    </w:p>
    <w:p w14:paraId="5F9C632C" w14:textId="77777777" w:rsidR="00854688" w:rsidRPr="001B0EA3" w:rsidRDefault="00854688" w:rsidP="00854688">
      <w:pPr>
        <w:tabs>
          <w:tab w:val="left" w:pos="1276"/>
        </w:tabs>
      </w:pPr>
    </w:p>
    <w:p w14:paraId="0D956D3F" w14:textId="77777777" w:rsidR="00D603F5" w:rsidRPr="001B0EA3" w:rsidRDefault="00D603F5" w:rsidP="00ED358C">
      <w:pPr>
        <w:pStyle w:val="Style3"/>
      </w:pPr>
      <w:bookmarkStart w:id="54" w:name="_Toc464561494"/>
      <w:bookmarkStart w:id="55" w:name="_Toc464573206"/>
      <w:bookmarkStart w:id="56" w:name="_Toc464573659"/>
      <w:bookmarkStart w:id="57" w:name="_Toc464561495"/>
      <w:bookmarkStart w:id="58" w:name="_Toc464573207"/>
      <w:bookmarkStart w:id="59" w:name="_Toc464573660"/>
      <w:bookmarkStart w:id="60" w:name="_Toc464561496"/>
      <w:bookmarkStart w:id="61" w:name="_Toc464573208"/>
      <w:bookmarkStart w:id="62" w:name="_Toc464573661"/>
      <w:bookmarkStart w:id="63" w:name="_Toc464561497"/>
      <w:bookmarkStart w:id="64" w:name="_Toc464573209"/>
      <w:bookmarkStart w:id="65" w:name="_Toc464573662"/>
      <w:bookmarkStart w:id="66" w:name="_Toc464561498"/>
      <w:bookmarkStart w:id="67" w:name="_Toc464573210"/>
      <w:bookmarkStart w:id="68" w:name="_Toc464573663"/>
      <w:bookmarkStart w:id="69" w:name="_Toc464561499"/>
      <w:bookmarkStart w:id="70" w:name="_Toc464573211"/>
      <w:bookmarkStart w:id="71" w:name="_Toc464573664"/>
      <w:bookmarkStart w:id="72" w:name="_Toc464561500"/>
      <w:bookmarkStart w:id="73" w:name="_Toc464573212"/>
      <w:bookmarkStart w:id="74" w:name="_Toc464573665"/>
      <w:bookmarkStart w:id="75" w:name="_Toc464561501"/>
      <w:bookmarkStart w:id="76" w:name="_Toc464573213"/>
      <w:bookmarkStart w:id="77" w:name="_Toc464573666"/>
      <w:bookmarkStart w:id="78" w:name="_Toc464561502"/>
      <w:bookmarkStart w:id="79" w:name="_Toc464573214"/>
      <w:bookmarkStart w:id="80" w:name="_Toc464573667"/>
      <w:bookmarkStart w:id="81" w:name="_Toc464561503"/>
      <w:bookmarkStart w:id="82" w:name="_Toc464573215"/>
      <w:bookmarkStart w:id="83" w:name="_Toc464573668"/>
      <w:bookmarkStart w:id="84" w:name="_Toc464561504"/>
      <w:bookmarkStart w:id="85" w:name="_Toc464573216"/>
      <w:bookmarkStart w:id="86" w:name="_Toc464573669"/>
      <w:bookmarkStart w:id="87" w:name="_Toc464561505"/>
      <w:bookmarkStart w:id="88" w:name="_Toc464573217"/>
      <w:bookmarkStart w:id="89" w:name="_Toc464573670"/>
      <w:bookmarkStart w:id="90" w:name="_Toc464561506"/>
      <w:bookmarkStart w:id="91" w:name="_Toc464573218"/>
      <w:bookmarkStart w:id="92" w:name="_Toc464573671"/>
      <w:bookmarkStart w:id="93" w:name="_Toc464561507"/>
      <w:bookmarkStart w:id="94" w:name="_Toc464573219"/>
      <w:bookmarkStart w:id="95" w:name="_Toc464573672"/>
      <w:bookmarkStart w:id="96" w:name="_Toc464561508"/>
      <w:bookmarkStart w:id="97" w:name="_Toc464573220"/>
      <w:bookmarkStart w:id="98" w:name="_Toc464573673"/>
      <w:bookmarkStart w:id="99" w:name="_Toc464561509"/>
      <w:bookmarkStart w:id="100" w:name="_Toc464573221"/>
      <w:bookmarkStart w:id="101" w:name="_Toc464573674"/>
      <w:bookmarkStart w:id="102" w:name="_Toc464561510"/>
      <w:bookmarkStart w:id="103" w:name="_Toc464573222"/>
      <w:bookmarkStart w:id="104" w:name="_Toc464573675"/>
      <w:bookmarkStart w:id="105" w:name="_Toc464561511"/>
      <w:bookmarkStart w:id="106" w:name="_Toc464573223"/>
      <w:bookmarkStart w:id="107" w:name="_Toc464573676"/>
      <w:bookmarkStart w:id="108" w:name="_Toc464561512"/>
      <w:bookmarkStart w:id="109" w:name="_Toc464573224"/>
      <w:bookmarkStart w:id="110" w:name="_Toc464573677"/>
      <w:bookmarkStart w:id="111" w:name="_Toc464561513"/>
      <w:bookmarkStart w:id="112" w:name="_Toc464573225"/>
      <w:bookmarkStart w:id="113" w:name="_Toc464573678"/>
      <w:bookmarkStart w:id="114" w:name="_Toc464561514"/>
      <w:bookmarkStart w:id="115" w:name="_Toc464573226"/>
      <w:bookmarkStart w:id="116" w:name="_Toc464573679"/>
      <w:bookmarkStart w:id="117" w:name="_Toc464561515"/>
      <w:bookmarkStart w:id="118" w:name="_Toc464573227"/>
      <w:bookmarkStart w:id="119" w:name="_Toc464573680"/>
      <w:bookmarkStart w:id="120" w:name="_Toc464561516"/>
      <w:bookmarkStart w:id="121" w:name="_Toc464573228"/>
      <w:bookmarkStart w:id="122" w:name="_Toc464573681"/>
      <w:bookmarkStart w:id="123" w:name="_Toc464561517"/>
      <w:bookmarkStart w:id="124" w:name="_Toc464573229"/>
      <w:bookmarkStart w:id="125" w:name="_Toc464573682"/>
      <w:bookmarkStart w:id="126" w:name="_Toc464561518"/>
      <w:bookmarkStart w:id="127" w:name="_Toc464573230"/>
      <w:bookmarkStart w:id="128" w:name="_Toc464573683"/>
      <w:bookmarkStart w:id="129" w:name="_Toc464561519"/>
      <w:bookmarkStart w:id="130" w:name="_Toc464573231"/>
      <w:bookmarkStart w:id="131" w:name="_Toc464573684"/>
      <w:bookmarkStart w:id="132" w:name="_Toc464561520"/>
      <w:bookmarkStart w:id="133" w:name="_Toc464573232"/>
      <w:bookmarkStart w:id="134" w:name="_Toc464573685"/>
      <w:bookmarkStart w:id="135" w:name="_Toc464561521"/>
      <w:bookmarkStart w:id="136" w:name="_Toc464573233"/>
      <w:bookmarkStart w:id="137" w:name="_Toc464573686"/>
      <w:bookmarkStart w:id="138" w:name="_Toc464561522"/>
      <w:bookmarkStart w:id="139" w:name="_Toc464573234"/>
      <w:bookmarkStart w:id="140" w:name="_Toc464573687"/>
      <w:bookmarkStart w:id="141" w:name="_Toc464561523"/>
      <w:bookmarkStart w:id="142" w:name="_Toc464573235"/>
      <w:bookmarkStart w:id="143" w:name="_Toc464573688"/>
      <w:bookmarkStart w:id="144" w:name="_Toc464561524"/>
      <w:bookmarkStart w:id="145" w:name="_Toc464573236"/>
      <w:bookmarkStart w:id="146" w:name="_Toc464573689"/>
      <w:bookmarkStart w:id="147" w:name="_Toc464561525"/>
      <w:bookmarkStart w:id="148" w:name="_Toc464573237"/>
      <w:bookmarkStart w:id="149" w:name="_Toc464573690"/>
      <w:bookmarkStart w:id="150" w:name="_Toc464561526"/>
      <w:bookmarkStart w:id="151" w:name="_Toc464573238"/>
      <w:bookmarkStart w:id="152" w:name="_Toc464573691"/>
      <w:bookmarkStart w:id="153" w:name="_Toc464561527"/>
      <w:bookmarkStart w:id="154" w:name="_Toc464573239"/>
      <w:bookmarkStart w:id="155" w:name="_Toc464573692"/>
      <w:bookmarkStart w:id="156" w:name="_Toc464561528"/>
      <w:bookmarkStart w:id="157" w:name="_Toc464573240"/>
      <w:bookmarkStart w:id="158" w:name="_Toc464573693"/>
      <w:bookmarkStart w:id="159" w:name="_Toc464561529"/>
      <w:bookmarkStart w:id="160" w:name="_Toc464573241"/>
      <w:bookmarkStart w:id="161" w:name="_Toc464573694"/>
      <w:bookmarkStart w:id="162" w:name="_Toc464561530"/>
      <w:bookmarkStart w:id="163" w:name="_Toc464573242"/>
      <w:bookmarkStart w:id="164" w:name="_Toc464573695"/>
      <w:bookmarkStart w:id="165" w:name="_Toc464561531"/>
      <w:bookmarkStart w:id="166" w:name="_Toc464573243"/>
      <w:bookmarkStart w:id="167" w:name="_Toc464573696"/>
      <w:bookmarkStart w:id="168" w:name="_Toc464561532"/>
      <w:bookmarkStart w:id="169" w:name="_Toc464573244"/>
      <w:bookmarkStart w:id="170" w:name="_Toc464573697"/>
      <w:bookmarkStart w:id="171" w:name="_Toc464561533"/>
      <w:bookmarkStart w:id="172" w:name="_Toc464573245"/>
      <w:bookmarkStart w:id="173" w:name="_Toc464573698"/>
      <w:bookmarkStart w:id="174" w:name="_Toc464561534"/>
      <w:bookmarkStart w:id="175" w:name="_Toc464573246"/>
      <w:bookmarkStart w:id="176" w:name="_Toc464573699"/>
      <w:bookmarkStart w:id="177" w:name="_Toc464561535"/>
      <w:bookmarkStart w:id="178" w:name="_Toc464573247"/>
      <w:bookmarkStart w:id="179" w:name="_Toc464573700"/>
      <w:bookmarkStart w:id="180" w:name="_Toc464561536"/>
      <w:bookmarkStart w:id="181" w:name="_Toc464573248"/>
      <w:bookmarkStart w:id="182" w:name="_Toc464573701"/>
      <w:bookmarkStart w:id="183" w:name="_Toc464561537"/>
      <w:bookmarkStart w:id="184" w:name="_Toc464573249"/>
      <w:bookmarkStart w:id="185" w:name="_Toc464573702"/>
      <w:bookmarkStart w:id="186" w:name="_Toc464561538"/>
      <w:bookmarkStart w:id="187" w:name="_Toc464573250"/>
      <w:bookmarkStart w:id="188" w:name="_Toc464573703"/>
      <w:bookmarkStart w:id="189" w:name="_Toc464561539"/>
      <w:bookmarkStart w:id="190" w:name="_Toc464573251"/>
      <w:bookmarkStart w:id="191" w:name="_Toc464573704"/>
      <w:bookmarkStart w:id="192" w:name="_Toc464561540"/>
      <w:bookmarkStart w:id="193" w:name="_Toc464573252"/>
      <w:bookmarkStart w:id="194" w:name="_Toc464573705"/>
      <w:bookmarkStart w:id="195" w:name="_Toc479775552"/>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1B0EA3">
        <w:t>Сертифициращ орган</w:t>
      </w:r>
      <w:bookmarkEnd w:id="195"/>
    </w:p>
    <w:p w14:paraId="388CD0B2" w14:textId="77777777" w:rsidR="00F40B93" w:rsidRPr="001B0EA3" w:rsidRDefault="00F40B93" w:rsidP="00854688">
      <w:r w:rsidRPr="001B0EA3">
        <w:t xml:space="preserve">Дирекция „Национален фонд” в Министерството на финансите е определена за Сертифициращ орган и орган, отговорен за получаване на средствата по програмите, финансирани със средствата от Европейския фонд за регионално развитие, Европейския социален фонд, Кохезионния фонд, Инициативата за младежка заетост и Фонда за европейско подпомагане на най-нуждаещите се (РМС № 792 от 2013). </w:t>
      </w:r>
    </w:p>
    <w:p w14:paraId="0D2F0918" w14:textId="77777777" w:rsidR="00F40B93" w:rsidRPr="001B0EA3" w:rsidRDefault="00F40B93" w:rsidP="00166C0A">
      <w:pPr>
        <w:shd w:val="clear" w:color="auto" w:fill="FFFFFF"/>
        <w:rPr>
          <w:color w:val="000000"/>
          <w:szCs w:val="24"/>
        </w:rPr>
      </w:pPr>
    </w:p>
    <w:tbl>
      <w:tblPr>
        <w:tblW w:w="0" w:type="auto"/>
        <w:tblInd w:w="84"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CellMar>
          <w:left w:w="70" w:type="dxa"/>
          <w:right w:w="70" w:type="dxa"/>
        </w:tblCellMar>
        <w:tblLook w:val="0000" w:firstRow="0" w:lastRow="0" w:firstColumn="0" w:lastColumn="0" w:noHBand="0" w:noVBand="0"/>
      </w:tblPr>
      <w:tblGrid>
        <w:gridCol w:w="2090"/>
        <w:gridCol w:w="7457"/>
      </w:tblGrid>
      <w:tr w:rsidR="00F40B93" w:rsidRPr="001B0EA3" w14:paraId="2BA45FD3" w14:textId="77777777" w:rsidTr="00CB3D8D">
        <w:trPr>
          <w:trHeight w:val="1125"/>
        </w:trPr>
        <w:tc>
          <w:tcPr>
            <w:tcW w:w="2113" w:type="dxa"/>
            <w:tcBorders>
              <w:top w:val="single" w:sz="2" w:space="0" w:color="auto"/>
              <w:left w:val="single" w:sz="2" w:space="0" w:color="auto"/>
              <w:bottom w:val="single" w:sz="2" w:space="0" w:color="auto"/>
              <w:right w:val="single" w:sz="2" w:space="0" w:color="auto"/>
            </w:tcBorders>
          </w:tcPr>
          <w:p w14:paraId="607C9BAF" w14:textId="77777777"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rPr>
                <w:color w:val="000000"/>
                <w:szCs w:val="24"/>
              </w:rPr>
            </w:pPr>
            <w:r w:rsidRPr="001B0EA3">
              <w:rPr>
                <w:color w:val="000000"/>
                <w:szCs w:val="24"/>
              </w:rPr>
              <w:t>Лице за контакт:</w:t>
            </w:r>
          </w:p>
        </w:tc>
        <w:tc>
          <w:tcPr>
            <w:tcW w:w="7576" w:type="dxa"/>
            <w:tcBorders>
              <w:top w:val="single" w:sz="2" w:space="0" w:color="auto"/>
              <w:left w:val="single" w:sz="2" w:space="0" w:color="auto"/>
              <w:bottom w:val="single" w:sz="2" w:space="0" w:color="auto"/>
              <w:right w:val="single" w:sz="2" w:space="0" w:color="auto"/>
            </w:tcBorders>
            <w:shd w:val="clear" w:color="auto" w:fill="FFFFFF"/>
          </w:tcPr>
          <w:p w14:paraId="276D6ABB" w14:textId="77777777"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rPr>
                <w:color w:val="000000"/>
                <w:szCs w:val="24"/>
              </w:rPr>
            </w:pPr>
            <w:r w:rsidRPr="001B0EA3">
              <w:rPr>
                <w:b/>
                <w:color w:val="000000"/>
                <w:szCs w:val="24"/>
              </w:rPr>
              <w:t xml:space="preserve">г-жа </w:t>
            </w:r>
            <w:r w:rsidR="00CB4799">
              <w:rPr>
                <w:b/>
                <w:color w:val="000000"/>
                <w:szCs w:val="24"/>
              </w:rPr>
              <w:t>Детелина Караенева</w:t>
            </w:r>
            <w:r w:rsidRPr="001B0EA3">
              <w:rPr>
                <w:color w:val="000000"/>
                <w:szCs w:val="24"/>
              </w:rPr>
              <w:t>, директор на дирекция „Национален фонд” в Министерството на финансите и Ръководител на Сертифициращия орган</w:t>
            </w:r>
          </w:p>
        </w:tc>
      </w:tr>
      <w:tr w:rsidR="00F40B93" w:rsidRPr="001B0EA3" w14:paraId="1151FB35" w14:textId="77777777" w:rsidTr="00CB3D8D">
        <w:trPr>
          <w:trHeight w:val="1170"/>
        </w:trPr>
        <w:tc>
          <w:tcPr>
            <w:tcW w:w="2113" w:type="dxa"/>
            <w:tcBorders>
              <w:top w:val="single" w:sz="2" w:space="0" w:color="auto"/>
              <w:left w:val="single" w:sz="2" w:space="0" w:color="auto"/>
              <w:bottom w:val="single" w:sz="2" w:space="0" w:color="auto"/>
              <w:right w:val="single" w:sz="2" w:space="0" w:color="auto"/>
            </w:tcBorders>
          </w:tcPr>
          <w:p w14:paraId="5BFCFDF6" w14:textId="77777777"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rPr>
                <w:color w:val="000000"/>
                <w:szCs w:val="24"/>
              </w:rPr>
            </w:pPr>
            <w:r w:rsidRPr="001B0EA3">
              <w:rPr>
                <w:color w:val="000000"/>
                <w:szCs w:val="24"/>
              </w:rPr>
              <w:t>Адрес:</w:t>
            </w:r>
          </w:p>
        </w:tc>
        <w:tc>
          <w:tcPr>
            <w:tcW w:w="7576" w:type="dxa"/>
            <w:tcBorders>
              <w:top w:val="single" w:sz="2" w:space="0" w:color="auto"/>
              <w:left w:val="single" w:sz="2" w:space="0" w:color="auto"/>
              <w:bottom w:val="single" w:sz="2" w:space="0" w:color="auto"/>
              <w:right w:val="single" w:sz="2" w:space="0" w:color="auto"/>
            </w:tcBorders>
          </w:tcPr>
          <w:p w14:paraId="13A7BE2E" w14:textId="77777777"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rPr>
                <w:color w:val="000000"/>
                <w:szCs w:val="24"/>
              </w:rPr>
            </w:pPr>
            <w:r w:rsidRPr="001B0EA3">
              <w:rPr>
                <w:color w:val="000000"/>
                <w:szCs w:val="24"/>
              </w:rPr>
              <w:t>Министерство на финансите</w:t>
            </w:r>
          </w:p>
          <w:p w14:paraId="2537AF33" w14:textId="77777777"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rPr>
                <w:color w:val="000000"/>
                <w:szCs w:val="24"/>
              </w:rPr>
            </w:pPr>
            <w:r w:rsidRPr="001B0EA3">
              <w:rPr>
                <w:color w:val="000000"/>
                <w:szCs w:val="24"/>
              </w:rPr>
              <w:t>гр. София 1040</w:t>
            </w:r>
          </w:p>
          <w:p w14:paraId="6448EBC0" w14:textId="77777777"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rPr>
                <w:color w:val="000000"/>
                <w:szCs w:val="24"/>
              </w:rPr>
            </w:pPr>
            <w:r w:rsidRPr="001B0EA3">
              <w:rPr>
                <w:color w:val="000000"/>
                <w:szCs w:val="24"/>
              </w:rPr>
              <w:t>ул. „Г. С. Раковски” № 102</w:t>
            </w:r>
          </w:p>
          <w:p w14:paraId="5C8915BE" w14:textId="77777777"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rPr>
                <w:color w:val="000000"/>
                <w:szCs w:val="24"/>
              </w:rPr>
            </w:pPr>
            <w:r w:rsidRPr="001B0EA3">
              <w:rPr>
                <w:color w:val="000000"/>
                <w:szCs w:val="24"/>
              </w:rPr>
              <w:t xml:space="preserve">email: </w:t>
            </w:r>
            <w:r w:rsidR="00B87858" w:rsidRPr="001B0EA3">
              <w:rPr>
                <w:color w:val="000000"/>
                <w:szCs w:val="24"/>
              </w:rPr>
              <w:t>natfund</w:t>
            </w:r>
            <w:r w:rsidR="00B87858" w:rsidRPr="001B0EA3" w:rsidDel="00B87858">
              <w:rPr>
                <w:color w:val="000000"/>
                <w:szCs w:val="24"/>
              </w:rPr>
              <w:t xml:space="preserve"> </w:t>
            </w:r>
            <w:r w:rsidRPr="001B0EA3">
              <w:rPr>
                <w:color w:val="000000"/>
                <w:szCs w:val="24"/>
              </w:rPr>
              <w:t>@minfin.bg</w:t>
            </w:r>
          </w:p>
          <w:p w14:paraId="1213F092" w14:textId="77777777"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rPr>
                <w:color w:val="000000"/>
                <w:szCs w:val="24"/>
              </w:rPr>
            </w:pPr>
            <w:r w:rsidRPr="001B0EA3">
              <w:rPr>
                <w:color w:val="000000"/>
                <w:szCs w:val="24"/>
              </w:rPr>
              <w:t xml:space="preserve">тел.: +359 2 9859 2782, </w:t>
            </w:r>
          </w:p>
          <w:p w14:paraId="2200BCA6" w14:textId="77777777"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rPr>
                <w:color w:val="000000"/>
                <w:szCs w:val="24"/>
              </w:rPr>
            </w:pPr>
            <w:r w:rsidRPr="001B0EA3">
              <w:rPr>
                <w:color w:val="000000"/>
                <w:szCs w:val="24"/>
              </w:rPr>
              <w:t>факс: +359 2 9859 27</w:t>
            </w:r>
            <w:r w:rsidR="00CB4799">
              <w:rPr>
                <w:color w:val="000000"/>
                <w:szCs w:val="24"/>
              </w:rPr>
              <w:t>90</w:t>
            </w:r>
          </w:p>
        </w:tc>
      </w:tr>
    </w:tbl>
    <w:p w14:paraId="111EDDFF" w14:textId="77777777" w:rsidR="00CB4799" w:rsidRDefault="00CB4799" w:rsidP="00854688">
      <w:pPr>
        <w:rPr>
          <w:u w:val="single"/>
        </w:rPr>
      </w:pPr>
    </w:p>
    <w:p w14:paraId="68374CE3" w14:textId="77777777" w:rsidR="00F40B93" w:rsidRPr="00854688" w:rsidRDefault="00F40B93" w:rsidP="00854688">
      <w:pPr>
        <w:rPr>
          <w:u w:val="single"/>
        </w:rPr>
      </w:pPr>
      <w:r w:rsidRPr="00854688">
        <w:rPr>
          <w:u w:val="single"/>
        </w:rPr>
        <w:t xml:space="preserve">Задачите на дирекцията във връзка с ролята й на Сертифициращ орган и орган, отговорен за получаване на средствата от Европейския съюз са да: </w:t>
      </w:r>
    </w:p>
    <w:p w14:paraId="2C8D84B8" w14:textId="77777777" w:rsidR="00F40B93" w:rsidRPr="00854688" w:rsidRDefault="00F40B93" w:rsidP="00854688">
      <w:pPr>
        <w:pStyle w:val="ListParagraph"/>
        <w:numPr>
          <w:ilvl w:val="0"/>
          <w:numId w:val="386"/>
        </w:numPr>
        <w:tabs>
          <w:tab w:val="left" w:pos="1134"/>
        </w:tabs>
        <w:ind w:left="0" w:firstLine="851"/>
      </w:pPr>
      <w:r w:rsidRPr="00854688">
        <w:t xml:space="preserve">осъществява сертифициране пред европейската комисия на разходите по оперативни програми, съфинансирани от структурните фондове и Кохезионния фонд на ЕС, двустранните Програми за </w:t>
      </w:r>
      <w:r w:rsidR="004D1994" w:rsidRPr="00854688">
        <w:t>трансгранично</w:t>
      </w:r>
      <w:r w:rsidRPr="00854688">
        <w:t xml:space="preserve"> сътрудничество по външните граници на </w:t>
      </w:r>
      <w:r w:rsidR="00CB4799" w:rsidRPr="00854688">
        <w:t>ЕС</w:t>
      </w:r>
      <w:r w:rsidRPr="00854688">
        <w:t xml:space="preserve">, </w:t>
      </w:r>
      <w:r w:rsidRPr="00854688">
        <w:lastRenderedPageBreak/>
        <w:t xml:space="preserve">инструмента Шенген и пред офиса на финансовия механизъм на разходите по финансовия инструмент на европейското икономическо пространство; </w:t>
      </w:r>
    </w:p>
    <w:p w14:paraId="4C296208" w14:textId="77777777" w:rsidR="00F40B93" w:rsidRPr="00854688" w:rsidRDefault="00F40B93" w:rsidP="00854688">
      <w:pPr>
        <w:pStyle w:val="ListParagraph"/>
        <w:numPr>
          <w:ilvl w:val="0"/>
          <w:numId w:val="386"/>
        </w:numPr>
        <w:tabs>
          <w:tab w:val="left" w:pos="1134"/>
        </w:tabs>
        <w:ind w:left="0" w:firstLine="851"/>
      </w:pPr>
      <w:r w:rsidRPr="00854688">
        <w:t xml:space="preserve">подготвя и изпраща на европейската комисия сертификат, отчет за разходите и заявление за междинно плащане по всяка оперативна програма, на база на които ек възстановява направените от Република България разходи по структурните фондове и Кохезионния фонд; </w:t>
      </w:r>
    </w:p>
    <w:p w14:paraId="6AA2A8EA" w14:textId="77777777" w:rsidR="00F40B93" w:rsidRPr="00854688" w:rsidRDefault="00F40B93" w:rsidP="00854688">
      <w:pPr>
        <w:pStyle w:val="ListParagraph"/>
        <w:numPr>
          <w:ilvl w:val="0"/>
          <w:numId w:val="386"/>
        </w:numPr>
        <w:tabs>
          <w:tab w:val="left" w:pos="1134"/>
        </w:tabs>
        <w:ind w:left="0" w:firstLine="851"/>
      </w:pPr>
      <w:r w:rsidRPr="00854688">
        <w:t>одобрява лимити за разходите, в рамките на които управляващите органи извършват плащания към бенефициентите;</w:t>
      </w:r>
    </w:p>
    <w:p w14:paraId="7D371B4E" w14:textId="77777777" w:rsidR="00F40B93" w:rsidRPr="00854688" w:rsidRDefault="00F40B93" w:rsidP="00854688">
      <w:pPr>
        <w:pStyle w:val="ListParagraph"/>
        <w:numPr>
          <w:ilvl w:val="0"/>
          <w:numId w:val="386"/>
        </w:numPr>
        <w:tabs>
          <w:tab w:val="left" w:pos="1134"/>
        </w:tabs>
        <w:ind w:left="0" w:firstLine="851"/>
      </w:pPr>
      <w:r w:rsidRPr="00854688">
        <w:t>изпълнява функциите, свързани с годишната бюджетна процедура по отношение на средствата от Европейския съюз.</w:t>
      </w:r>
    </w:p>
    <w:p w14:paraId="461F7AAB" w14:textId="77777777" w:rsidR="00F40B93" w:rsidRPr="00854688" w:rsidRDefault="00F40B93" w:rsidP="00854688">
      <w:pPr>
        <w:rPr>
          <w:b/>
          <w:u w:val="single"/>
        </w:rPr>
      </w:pPr>
      <w:r w:rsidRPr="001B0EA3">
        <w:t xml:space="preserve">Съгласно чл.126 на Регламент (ЕС) № 1303/2013 </w:t>
      </w:r>
      <w:r w:rsidRPr="00854688">
        <w:rPr>
          <w:b/>
          <w:u w:val="single"/>
        </w:rPr>
        <w:t>основните функции на Сертифициращия орган са следните:</w:t>
      </w:r>
    </w:p>
    <w:p w14:paraId="40B1CB5C" w14:textId="77777777" w:rsidR="00F40B93" w:rsidRPr="001B0EA3" w:rsidRDefault="00F40B93" w:rsidP="00854688">
      <w:pPr>
        <w:pStyle w:val="ListParagraph"/>
        <w:numPr>
          <w:ilvl w:val="0"/>
          <w:numId w:val="392"/>
        </w:numPr>
        <w:tabs>
          <w:tab w:val="left" w:pos="1276"/>
        </w:tabs>
        <w:ind w:left="0" w:firstLine="851"/>
      </w:pPr>
      <w:r w:rsidRPr="001B0EA3">
        <w:t xml:space="preserve">изготвянето и изпращането до Комисията на искания за плащане и удостоверяването, че те са продукт на надеждни счетоводни системи, основават се на проверими разходооправдателни документи и са били подложени на проверки от управляващия орган; </w:t>
      </w:r>
    </w:p>
    <w:p w14:paraId="7FD36F12" w14:textId="77777777" w:rsidR="00F40B93" w:rsidRPr="001B0EA3" w:rsidRDefault="00F40B93" w:rsidP="00854688">
      <w:pPr>
        <w:pStyle w:val="ListParagraph"/>
        <w:numPr>
          <w:ilvl w:val="0"/>
          <w:numId w:val="392"/>
        </w:numPr>
        <w:tabs>
          <w:tab w:val="left" w:pos="1276"/>
        </w:tabs>
        <w:ind w:left="0" w:firstLine="851"/>
      </w:pPr>
      <w:r w:rsidRPr="001B0EA3">
        <w:t xml:space="preserve">съставянето на отчетите, посочени в член 59, параграф 5, буква а) от Финансовия регламент; </w:t>
      </w:r>
    </w:p>
    <w:p w14:paraId="6D58FFE5" w14:textId="77777777" w:rsidR="00F40B93" w:rsidRPr="001B0EA3" w:rsidRDefault="00F40B93" w:rsidP="00854688">
      <w:pPr>
        <w:pStyle w:val="ListParagraph"/>
        <w:numPr>
          <w:ilvl w:val="0"/>
          <w:numId w:val="392"/>
        </w:numPr>
        <w:tabs>
          <w:tab w:val="left" w:pos="1276"/>
        </w:tabs>
        <w:ind w:left="0" w:firstLine="851"/>
      </w:pPr>
      <w:r w:rsidRPr="001B0EA3">
        <w:t xml:space="preserve">удостоверяването на пълнотата, точността и достоверността на отчетите, както и че разходите, вписани в счетоводните отчети, са в съответствие с приложимото право и са били направени във връзка с операциите, избрани за финансиране в съответствие с критериите, приложими за оперативната програма, и са в съответствие с приложимото право; </w:t>
      </w:r>
    </w:p>
    <w:p w14:paraId="0A5DE5DC" w14:textId="77777777" w:rsidR="00F40B93" w:rsidRPr="001B0EA3" w:rsidRDefault="00F40B93" w:rsidP="00854688">
      <w:pPr>
        <w:pStyle w:val="ListParagraph"/>
        <w:numPr>
          <w:ilvl w:val="0"/>
          <w:numId w:val="392"/>
        </w:numPr>
        <w:tabs>
          <w:tab w:val="left" w:pos="1276"/>
        </w:tabs>
        <w:ind w:left="0" w:firstLine="851"/>
      </w:pPr>
      <w:r w:rsidRPr="001B0EA3">
        <w:t xml:space="preserve">осигуряване на наличието на система за записване и съхранение в компютризирана форма на счетоводните записи за всяка операция, която съхранява всички данни, необходими за изготвянето на искания за плащане и отчетите, включително записи на сумите, подлежащи на събиране, на събраните суми и на оттеглените суми в резултат на отмяната на целия или на част от приноса за дадена операция или оперативна програма; </w:t>
      </w:r>
    </w:p>
    <w:p w14:paraId="4F47F187" w14:textId="77777777" w:rsidR="00F40B93" w:rsidRPr="001B0EA3" w:rsidRDefault="00F40B93" w:rsidP="00854688">
      <w:pPr>
        <w:pStyle w:val="ListParagraph"/>
        <w:numPr>
          <w:ilvl w:val="0"/>
          <w:numId w:val="392"/>
        </w:numPr>
        <w:tabs>
          <w:tab w:val="left" w:pos="1276"/>
        </w:tabs>
        <w:ind w:left="0" w:firstLine="851"/>
      </w:pPr>
      <w:r w:rsidRPr="001B0EA3">
        <w:t xml:space="preserve">осигуряване — за целите на изготвянето и представянето на искания за плащане — че е получил адекватна информация от управляващия орган относно процедурите и проверките, провеждани по отношение на разходите; </w:t>
      </w:r>
    </w:p>
    <w:p w14:paraId="1609A242" w14:textId="77777777" w:rsidR="00F40B93" w:rsidRPr="001B0EA3" w:rsidRDefault="00F40B93" w:rsidP="00854688">
      <w:pPr>
        <w:pStyle w:val="ListParagraph"/>
        <w:numPr>
          <w:ilvl w:val="0"/>
          <w:numId w:val="392"/>
        </w:numPr>
        <w:tabs>
          <w:tab w:val="left" w:pos="1276"/>
        </w:tabs>
        <w:ind w:left="0" w:firstLine="851"/>
      </w:pPr>
      <w:r w:rsidRPr="001B0EA3">
        <w:t xml:space="preserve">отчитане — при изготвянето и подаването на искания за плащане — на резултатите от всички одити, извършени от или на отговорността на одитния орган; </w:t>
      </w:r>
    </w:p>
    <w:p w14:paraId="0AA28C21" w14:textId="77777777" w:rsidR="00F40B93" w:rsidRPr="001B0EA3" w:rsidRDefault="00F40B93" w:rsidP="00854688">
      <w:pPr>
        <w:pStyle w:val="ListParagraph"/>
        <w:numPr>
          <w:ilvl w:val="0"/>
          <w:numId w:val="392"/>
        </w:numPr>
        <w:tabs>
          <w:tab w:val="left" w:pos="1276"/>
        </w:tabs>
        <w:ind w:left="0" w:firstLine="851"/>
      </w:pPr>
      <w:r w:rsidRPr="001B0EA3">
        <w:t xml:space="preserve">поддържане на счетоводни записи в компютризирана форма на декларираните пред Комисията разходи и съответното публично финансиране, заплатено на бенефициентите; </w:t>
      </w:r>
    </w:p>
    <w:p w14:paraId="18E692C6" w14:textId="77777777" w:rsidR="00F40B93" w:rsidRPr="001B0EA3" w:rsidRDefault="00F40B93" w:rsidP="00854688">
      <w:pPr>
        <w:pStyle w:val="ListParagraph"/>
        <w:numPr>
          <w:ilvl w:val="0"/>
          <w:numId w:val="392"/>
        </w:numPr>
        <w:tabs>
          <w:tab w:val="left" w:pos="1276"/>
        </w:tabs>
        <w:ind w:left="0" w:firstLine="851"/>
      </w:pPr>
      <w:r w:rsidRPr="001B0EA3">
        <w:t>водене на счетоводство на сумите, подлежащи на събиране, и на сумите, оттеглени в резултат на цялостна или частична отмяна на  ангажимента за дадена операция. Събраните суми се внасят повторно в бюджета на Съюза преди приключването на оперативната програма, като се приспадат от следващия отчет за разходите;</w:t>
      </w:r>
    </w:p>
    <w:p w14:paraId="60998607" w14:textId="77777777" w:rsidR="00F40B93" w:rsidRPr="001B0EA3" w:rsidRDefault="00F40B93" w:rsidP="00854688"/>
    <w:p w14:paraId="7CB79B0C" w14:textId="77777777" w:rsidR="00D603F5" w:rsidRPr="001B0EA3" w:rsidRDefault="00D603F5" w:rsidP="00ED358C">
      <w:pPr>
        <w:pStyle w:val="Style3"/>
      </w:pPr>
      <w:bookmarkStart w:id="196" w:name="_Toc479775553"/>
      <w:r w:rsidRPr="001B0EA3">
        <w:t>Одитен орган</w:t>
      </w:r>
      <w:bookmarkEnd w:id="196"/>
      <w:r w:rsidR="00F40B93" w:rsidRPr="001B0EA3">
        <w:t xml:space="preserve">  </w:t>
      </w:r>
    </w:p>
    <w:p w14:paraId="2AC419C4" w14:textId="77777777" w:rsidR="00F40B93" w:rsidRPr="001B0EA3" w:rsidRDefault="00F40B93" w:rsidP="00854688">
      <w:r w:rsidRPr="001B0EA3">
        <w:t xml:space="preserve">С РМС № 792 от 17.12.2013 г. </w:t>
      </w:r>
      <w:r w:rsidRPr="001B0EA3">
        <w:rPr>
          <w:lang w:eastAsia="bg-BG"/>
        </w:rPr>
        <w:t>Изпълнителна агенция „Одит на средствата от Европейския съюз“ (</w:t>
      </w:r>
      <w:r w:rsidRPr="001B0EA3">
        <w:t>ИА ОСЕС) към МФ е определена да изпълнява функциите на одитен орган за програмите, финансирани със средства от ЕФРР,ЕСФ, КФ и ЕФМДР, както и функциите на независим одитен орган за оценка на съответствието на УО на програмите с критериите за определяне на управляващи и сертифициращи органи.</w:t>
      </w:r>
    </w:p>
    <w:p w14:paraId="401D382A" w14:textId="77777777" w:rsidR="00F40B93" w:rsidRPr="001B0EA3" w:rsidRDefault="00F40B93" w:rsidP="00166C0A">
      <w:pPr>
        <w:autoSpaceDE w:val="0"/>
        <w:autoSpaceDN w:val="0"/>
        <w:adjustRightInd w:val="0"/>
        <w:rPr>
          <w:color w:val="000000"/>
          <w:szCs w:val="24"/>
        </w:rPr>
      </w:pPr>
    </w:p>
    <w:tbl>
      <w:tblPr>
        <w:tblW w:w="0" w:type="auto"/>
        <w:tblInd w:w="84"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CellMar>
          <w:left w:w="70" w:type="dxa"/>
          <w:right w:w="70" w:type="dxa"/>
        </w:tblCellMar>
        <w:tblLook w:val="0000" w:firstRow="0" w:lastRow="0" w:firstColumn="0" w:lastColumn="0" w:noHBand="0" w:noVBand="0"/>
      </w:tblPr>
      <w:tblGrid>
        <w:gridCol w:w="2153"/>
        <w:gridCol w:w="6975"/>
      </w:tblGrid>
      <w:tr w:rsidR="00F40B93" w:rsidRPr="001B0EA3" w14:paraId="0211CAF0" w14:textId="77777777" w:rsidTr="00CB3D8D">
        <w:trPr>
          <w:trHeight w:val="1125"/>
        </w:trPr>
        <w:tc>
          <w:tcPr>
            <w:tcW w:w="2153" w:type="dxa"/>
            <w:tcBorders>
              <w:top w:val="single" w:sz="2" w:space="0" w:color="auto"/>
              <w:left w:val="single" w:sz="2" w:space="0" w:color="auto"/>
              <w:bottom w:val="single" w:sz="2" w:space="0" w:color="auto"/>
              <w:right w:val="single" w:sz="2" w:space="0" w:color="auto"/>
            </w:tcBorders>
          </w:tcPr>
          <w:p w14:paraId="3C00736F" w14:textId="77777777"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rPr>
                <w:color w:val="000000"/>
                <w:szCs w:val="24"/>
              </w:rPr>
            </w:pPr>
            <w:r w:rsidRPr="001B0EA3">
              <w:rPr>
                <w:color w:val="000000"/>
                <w:szCs w:val="24"/>
              </w:rPr>
              <w:t>Лице за контакт:</w:t>
            </w:r>
          </w:p>
        </w:tc>
        <w:tc>
          <w:tcPr>
            <w:tcW w:w="6975" w:type="dxa"/>
            <w:tcBorders>
              <w:top w:val="single" w:sz="2" w:space="0" w:color="auto"/>
              <w:left w:val="single" w:sz="2" w:space="0" w:color="auto"/>
              <w:bottom w:val="single" w:sz="2" w:space="0" w:color="auto"/>
              <w:right w:val="single" w:sz="2" w:space="0" w:color="auto"/>
            </w:tcBorders>
            <w:shd w:val="clear" w:color="auto" w:fill="FFFFFF"/>
          </w:tcPr>
          <w:p w14:paraId="78592A6F" w14:textId="0AAA5FC6"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jc w:val="left"/>
              <w:rPr>
                <w:b/>
                <w:color w:val="000000"/>
                <w:szCs w:val="24"/>
              </w:rPr>
            </w:pPr>
            <w:r w:rsidRPr="001B0EA3">
              <w:rPr>
                <w:b/>
                <w:color w:val="000000"/>
                <w:szCs w:val="24"/>
              </w:rPr>
              <w:t xml:space="preserve">г-жа </w:t>
            </w:r>
            <w:r w:rsidR="00116828">
              <w:rPr>
                <w:b/>
                <w:color w:val="000000"/>
                <w:szCs w:val="24"/>
              </w:rPr>
              <w:t>Катя Дойчевска</w:t>
            </w:r>
            <w:r w:rsidRPr="001B0EA3">
              <w:rPr>
                <w:b/>
                <w:color w:val="000000"/>
                <w:szCs w:val="24"/>
              </w:rPr>
              <w:t>,</w:t>
            </w:r>
          </w:p>
          <w:p w14:paraId="0FBDDE9C" w14:textId="77777777"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jc w:val="left"/>
              <w:rPr>
                <w:color w:val="000000"/>
                <w:szCs w:val="24"/>
              </w:rPr>
            </w:pPr>
            <w:r w:rsidRPr="001B0EA3">
              <w:rPr>
                <w:color w:val="000000"/>
                <w:szCs w:val="24"/>
              </w:rPr>
              <w:t>Изпълнителен директор на Изпълнителна агенция „Одит на средствата от Европейския съюз” към Министерство</w:t>
            </w:r>
            <w:r w:rsidR="003C5A6B" w:rsidRPr="001B0EA3">
              <w:rPr>
                <w:color w:val="000000"/>
                <w:szCs w:val="24"/>
              </w:rPr>
              <w:t>то</w:t>
            </w:r>
            <w:r w:rsidRPr="001B0EA3">
              <w:rPr>
                <w:color w:val="000000"/>
                <w:szCs w:val="24"/>
              </w:rPr>
              <w:t xml:space="preserve"> на финансите</w:t>
            </w:r>
          </w:p>
        </w:tc>
      </w:tr>
      <w:tr w:rsidR="00F40B93" w:rsidRPr="001B0EA3" w14:paraId="25623564" w14:textId="77777777" w:rsidTr="00CB3D8D">
        <w:trPr>
          <w:trHeight w:val="1170"/>
        </w:trPr>
        <w:tc>
          <w:tcPr>
            <w:tcW w:w="2153" w:type="dxa"/>
            <w:tcBorders>
              <w:top w:val="single" w:sz="2" w:space="0" w:color="auto"/>
              <w:left w:val="single" w:sz="2" w:space="0" w:color="auto"/>
              <w:bottom w:val="single" w:sz="2" w:space="0" w:color="auto"/>
              <w:right w:val="single" w:sz="2" w:space="0" w:color="auto"/>
            </w:tcBorders>
          </w:tcPr>
          <w:p w14:paraId="7FA2F881" w14:textId="77777777"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rPr>
                <w:color w:val="000000"/>
                <w:szCs w:val="24"/>
              </w:rPr>
            </w:pPr>
            <w:r w:rsidRPr="001B0EA3">
              <w:rPr>
                <w:color w:val="000000"/>
                <w:szCs w:val="24"/>
              </w:rPr>
              <w:lastRenderedPageBreak/>
              <w:t>Адрес:</w:t>
            </w:r>
          </w:p>
        </w:tc>
        <w:tc>
          <w:tcPr>
            <w:tcW w:w="6975" w:type="dxa"/>
            <w:tcBorders>
              <w:top w:val="single" w:sz="2" w:space="0" w:color="auto"/>
              <w:left w:val="single" w:sz="2" w:space="0" w:color="auto"/>
              <w:bottom w:val="single" w:sz="2" w:space="0" w:color="auto"/>
              <w:right w:val="single" w:sz="2" w:space="0" w:color="auto"/>
            </w:tcBorders>
          </w:tcPr>
          <w:p w14:paraId="2A246A39" w14:textId="77777777"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jc w:val="left"/>
              <w:rPr>
                <w:color w:val="000000"/>
                <w:szCs w:val="24"/>
              </w:rPr>
            </w:pPr>
            <w:r w:rsidRPr="001B0EA3">
              <w:rPr>
                <w:color w:val="000000"/>
                <w:szCs w:val="24"/>
              </w:rPr>
              <w:t>Министерство на финансите</w:t>
            </w:r>
          </w:p>
          <w:p w14:paraId="520BD2C4" w14:textId="77777777"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jc w:val="left"/>
              <w:rPr>
                <w:color w:val="000000"/>
                <w:szCs w:val="24"/>
              </w:rPr>
            </w:pPr>
            <w:r w:rsidRPr="001B0EA3">
              <w:rPr>
                <w:color w:val="000000"/>
                <w:szCs w:val="24"/>
              </w:rPr>
              <w:t>гр. София 1040</w:t>
            </w:r>
          </w:p>
          <w:p w14:paraId="2AA17CAD" w14:textId="77777777"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jc w:val="left"/>
              <w:rPr>
                <w:color w:val="000000"/>
                <w:szCs w:val="24"/>
              </w:rPr>
            </w:pPr>
            <w:r w:rsidRPr="001B0EA3">
              <w:rPr>
                <w:color w:val="000000"/>
                <w:szCs w:val="24"/>
              </w:rPr>
              <w:t>ул. „Г. С. Раковски” № 102</w:t>
            </w:r>
          </w:p>
          <w:p w14:paraId="1038B9AA" w14:textId="77777777"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jc w:val="left"/>
              <w:rPr>
                <w:color w:val="000000"/>
                <w:szCs w:val="24"/>
              </w:rPr>
            </w:pPr>
            <w:r w:rsidRPr="001B0EA3">
              <w:rPr>
                <w:color w:val="000000"/>
                <w:szCs w:val="24"/>
              </w:rPr>
              <w:t xml:space="preserve">email: </w:t>
            </w:r>
            <w:hyperlink r:id="rId32" w:history="1">
              <w:r w:rsidRPr="001B0EA3">
                <w:rPr>
                  <w:color w:val="0000FF"/>
                  <w:szCs w:val="24"/>
                  <w:u w:val="single"/>
                  <w:lang w:eastAsia="en-US"/>
                </w:rPr>
                <w:t>aeuf@minfin.bg</w:t>
              </w:r>
            </w:hyperlink>
          </w:p>
          <w:p w14:paraId="6B3766CD" w14:textId="77777777"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jc w:val="left"/>
              <w:rPr>
                <w:color w:val="000000"/>
                <w:szCs w:val="24"/>
              </w:rPr>
            </w:pPr>
            <w:r w:rsidRPr="001B0EA3">
              <w:rPr>
                <w:color w:val="000000"/>
                <w:szCs w:val="24"/>
              </w:rPr>
              <w:t xml:space="preserve">тел +359 2 98595200; </w:t>
            </w:r>
          </w:p>
          <w:p w14:paraId="476FC194" w14:textId="77777777"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jc w:val="left"/>
              <w:rPr>
                <w:color w:val="000000"/>
                <w:szCs w:val="24"/>
              </w:rPr>
            </w:pPr>
            <w:r w:rsidRPr="001B0EA3">
              <w:rPr>
                <w:color w:val="000000"/>
                <w:szCs w:val="24"/>
              </w:rPr>
              <w:t>факс:+359 2 98595202</w:t>
            </w:r>
          </w:p>
        </w:tc>
      </w:tr>
    </w:tbl>
    <w:p w14:paraId="43A70303" w14:textId="77777777" w:rsidR="00CB4799" w:rsidRDefault="00CB4799" w:rsidP="00854688">
      <w:pPr>
        <w:rPr>
          <w:b/>
          <w:lang w:eastAsia="bg-BG"/>
        </w:rPr>
      </w:pPr>
    </w:p>
    <w:p w14:paraId="792B6114" w14:textId="77777777" w:rsidR="00F40B93" w:rsidRPr="001B0EA3" w:rsidRDefault="00F40B93" w:rsidP="00854688">
      <w:pPr>
        <w:rPr>
          <w:lang w:eastAsia="bg-BG"/>
        </w:rPr>
      </w:pPr>
      <w:r w:rsidRPr="001B0EA3">
        <w:rPr>
          <w:b/>
          <w:lang w:eastAsia="bg-BG"/>
        </w:rPr>
        <w:t xml:space="preserve">Дейността </w:t>
      </w:r>
      <w:r w:rsidRPr="001B0EA3">
        <w:rPr>
          <w:lang w:eastAsia="bg-BG"/>
        </w:rPr>
        <w:t xml:space="preserve">на ИА ОСЕС се осъществява в съответствие с международно приетите одиторски стандарти, при спазване на националното законодателство, приложимите регламенти на ЕС и международните споразумения за получаване на финансиране от Европейския съюз, по които Република България е страна. </w:t>
      </w:r>
    </w:p>
    <w:p w14:paraId="1038380D" w14:textId="77777777" w:rsidR="00F40B93" w:rsidRPr="001B0EA3" w:rsidRDefault="00F40B93" w:rsidP="00854688">
      <w:pPr>
        <w:rPr>
          <w:lang w:eastAsia="bg-BG"/>
        </w:rPr>
      </w:pPr>
      <w:r w:rsidRPr="001B0EA3">
        <w:rPr>
          <w:lang w:eastAsia="bg-BG"/>
        </w:rPr>
        <w:t>Мисията на ИА ОСЕС е да извършва одитна дейност в съответствие с международно приетите одитни стандарти, като предоставя независима и обективна оценка относно:</w:t>
      </w:r>
    </w:p>
    <w:p w14:paraId="57CB00E5" w14:textId="77777777" w:rsidR="00F40B93" w:rsidRPr="001B0EA3" w:rsidRDefault="00F40B93" w:rsidP="00854688">
      <w:pPr>
        <w:pStyle w:val="ListParagraph"/>
        <w:numPr>
          <w:ilvl w:val="0"/>
          <w:numId w:val="393"/>
        </w:numPr>
        <w:tabs>
          <w:tab w:val="left" w:pos="1134"/>
        </w:tabs>
        <w:ind w:left="0" w:firstLine="851"/>
        <w:rPr>
          <w:lang w:eastAsia="bg-BG"/>
        </w:rPr>
      </w:pPr>
      <w:r w:rsidRPr="001B0EA3">
        <w:rPr>
          <w:lang w:eastAsia="bg-BG"/>
        </w:rPr>
        <w:t>ефективността на системите за финансово управление и контрол на средствата от ЕС и представя мнение за съответствието на внедрените системи за управление и контрол на оперативните програми с членове 73 и 127 от Регламент (ЕС) № 1303/2013;</w:t>
      </w:r>
    </w:p>
    <w:p w14:paraId="21EE378C" w14:textId="77777777" w:rsidR="00F40B93" w:rsidRPr="001B0EA3" w:rsidRDefault="00F40B93" w:rsidP="00854688">
      <w:pPr>
        <w:pStyle w:val="ListParagraph"/>
        <w:numPr>
          <w:ilvl w:val="0"/>
          <w:numId w:val="393"/>
        </w:numPr>
        <w:tabs>
          <w:tab w:val="left" w:pos="1134"/>
        </w:tabs>
        <w:ind w:left="0" w:firstLine="851"/>
        <w:rPr>
          <w:lang w:eastAsia="bg-BG"/>
        </w:rPr>
      </w:pPr>
      <w:r w:rsidRPr="001B0EA3">
        <w:rPr>
          <w:lang w:eastAsia="bg-BG"/>
        </w:rPr>
        <w:t>верността на представените на Европейската комисия декларации за разходите и като следствие от това разумна гаранция, че основните транзакции са законосъобразни и редовни.</w:t>
      </w:r>
    </w:p>
    <w:p w14:paraId="4AD5ADFB" w14:textId="77777777" w:rsidR="00F40B93" w:rsidRPr="001B0EA3" w:rsidRDefault="00F40B93" w:rsidP="00854688">
      <w:r w:rsidRPr="001B0EA3">
        <w:t xml:space="preserve">Чрез резултатите от своята одитна дейност </w:t>
      </w:r>
      <w:r w:rsidRPr="001B0EA3">
        <w:rPr>
          <w:lang w:eastAsia="bg-BG"/>
        </w:rPr>
        <w:t xml:space="preserve">ИА ОСЕС </w:t>
      </w:r>
      <w:r w:rsidRPr="001B0EA3">
        <w:t>защитава финансовите интереси на европейския и българския данъкоплатец.</w:t>
      </w:r>
    </w:p>
    <w:p w14:paraId="028051E6" w14:textId="77777777" w:rsidR="00F40B93" w:rsidRPr="001B0EA3" w:rsidRDefault="00F40B93" w:rsidP="00854688">
      <w:r w:rsidRPr="001B0EA3">
        <w:t>Независимостта на ИА ОСЕС е изрично регламентирана в Закона за вътрешния одит в публичния сектор, Устройствения правилник на Агенцията и Наредба № Н-2 от 24.03.2009 г. за реда и начина за осъществяване, координация и хармонизация на специфичните одитни дейности по фондове и програми на Европейския съюз.</w:t>
      </w:r>
    </w:p>
    <w:p w14:paraId="0FD2A49F" w14:textId="77777777" w:rsidR="00F40B93" w:rsidRPr="001B0EA3" w:rsidRDefault="00F40B93" w:rsidP="00854688">
      <w:r w:rsidRPr="001B0EA3">
        <w:t>Агенцията е функционално и организационно обособена и независима от органите, отговарящи за управлението и извършването на плащанията по всички програми, съ-финансирани от Европейския съюз. В качеството си на одитен орган, не е свързана с изпълнението на оперативни програми, съфинансирани от Структурните фондове, Кохезионния фонд и от Европейския фонд за рибарство на ЕС, и няма правомощия във връзка с тяхното управление. Агенцията е отделена от Управляващите органи, Междинните звена и Сертифициращите органи по тези програми, като по този начин е обособена и независима по отношение на управленските процедури и плащанията.</w:t>
      </w:r>
    </w:p>
    <w:p w14:paraId="1F0226DB" w14:textId="77777777" w:rsidR="00F40B93" w:rsidRPr="001B0EA3" w:rsidRDefault="00F40B93" w:rsidP="00854688">
      <w:r w:rsidRPr="001B0EA3">
        <w:tab/>
      </w:r>
    </w:p>
    <w:p w14:paraId="309967CA" w14:textId="77777777" w:rsidR="00F40B93" w:rsidRPr="001B0EA3" w:rsidRDefault="00F40B93" w:rsidP="00854688">
      <w:r w:rsidRPr="001B0EA3">
        <w:t>Вземането на решения и докладване на Одитния орган са независими.</w:t>
      </w:r>
    </w:p>
    <w:p w14:paraId="082F8E1F" w14:textId="77777777" w:rsidR="00F40B93" w:rsidRPr="001B0EA3" w:rsidRDefault="00F40B93" w:rsidP="00854688">
      <w:r w:rsidRPr="001B0EA3">
        <w:t xml:space="preserve">В член 127 на Регламент (ЕС) № 1303/2013 г. са определени </w:t>
      </w:r>
      <w:r w:rsidRPr="001B0EA3">
        <w:rPr>
          <w:b/>
          <w:u w:val="single"/>
        </w:rPr>
        <w:t>функциите на одитния орган</w:t>
      </w:r>
      <w:r w:rsidRPr="001B0EA3">
        <w:t>, а именно:</w:t>
      </w:r>
    </w:p>
    <w:p w14:paraId="236BF7A8" w14:textId="77777777" w:rsidR="00F40B93" w:rsidRPr="001B0EA3" w:rsidRDefault="00F40B93" w:rsidP="00AD795A">
      <w:pPr>
        <w:pStyle w:val="ListParagraph"/>
        <w:numPr>
          <w:ilvl w:val="0"/>
          <w:numId w:val="394"/>
        </w:numPr>
        <w:tabs>
          <w:tab w:val="left" w:pos="1276"/>
        </w:tabs>
        <w:ind w:left="0" w:firstLine="851"/>
      </w:pPr>
      <w:r w:rsidRPr="001B0EA3">
        <w:rPr>
          <w:lang w:eastAsia="bg-BG"/>
        </w:rPr>
        <w:t>Одитният орган осигурява извършването на одити на правилното функциониране на системите за управление и контрол на оперативната програма, както и на подходяща извадка от операции въз основа на декларираните разходи. Декларираните разходи се одитират въз основа на представителна извадка и по принцип въз основа на статистически извадкови методи.</w:t>
      </w:r>
    </w:p>
    <w:p w14:paraId="0008AAF2" w14:textId="77777777" w:rsidR="00F40B93" w:rsidRPr="001B0EA3" w:rsidRDefault="00F40B93" w:rsidP="00AD795A">
      <w:r w:rsidRPr="001B0EA3">
        <w:t>Нестатистически извадков метод може да се използва по професионална преценка на одитния орган в надлежно обосновани случаи в съответствие с международно признатите одитни стандарти и във всеки случай, когато броят операции за отчетната година не е достатъчен, за да се използва статистически метод.</w:t>
      </w:r>
    </w:p>
    <w:p w14:paraId="6792C141" w14:textId="77777777" w:rsidR="00F40B93" w:rsidRPr="001B0EA3" w:rsidRDefault="00F40B93" w:rsidP="00AD795A">
      <w:r w:rsidRPr="001B0EA3">
        <w:t>В такива случаи размерът на извадката е достатъчен, за да позволи на одитния орган да състави валидно одитно становище в съответствие с член 59, параграф 5, втора алинея от Финансовия регламент.</w:t>
      </w:r>
    </w:p>
    <w:p w14:paraId="040CD56D" w14:textId="77777777" w:rsidR="00F40B93" w:rsidRPr="001B0EA3" w:rsidRDefault="00F40B93" w:rsidP="00AD795A">
      <w:r w:rsidRPr="001B0EA3">
        <w:t>Нестатистическият извадков метод обхваща минимум 5 % от операциите, за които пред Комисията са декларирани разходи по време на счетоводната година, и 10 % от разходите, които са декларирани пред Комисията по време на счетоводната година.</w:t>
      </w:r>
    </w:p>
    <w:p w14:paraId="7B646C8B" w14:textId="77777777" w:rsidR="00F40B93" w:rsidRPr="00AD795A" w:rsidRDefault="00F40B93" w:rsidP="00AD795A">
      <w:pPr>
        <w:pStyle w:val="ListParagraph"/>
        <w:numPr>
          <w:ilvl w:val="0"/>
          <w:numId w:val="394"/>
        </w:numPr>
        <w:tabs>
          <w:tab w:val="left" w:pos="1276"/>
        </w:tabs>
        <w:ind w:left="0" w:firstLine="851"/>
        <w:rPr>
          <w:lang w:eastAsia="bg-BG"/>
        </w:rPr>
      </w:pPr>
      <w:r w:rsidRPr="00AD795A">
        <w:rPr>
          <w:lang w:eastAsia="bg-BG"/>
        </w:rPr>
        <w:lastRenderedPageBreak/>
        <w:t>Когато одитите се извършват от структура, различна от одитния орган, одитният орган гарантира, че тази структура има необходимата функционална независимост.</w:t>
      </w:r>
    </w:p>
    <w:p w14:paraId="56A5084E" w14:textId="77777777" w:rsidR="00F40B93" w:rsidRPr="00AD795A" w:rsidRDefault="00F40B93" w:rsidP="00AD795A">
      <w:pPr>
        <w:pStyle w:val="ListParagraph"/>
        <w:numPr>
          <w:ilvl w:val="0"/>
          <w:numId w:val="394"/>
        </w:numPr>
        <w:tabs>
          <w:tab w:val="left" w:pos="1276"/>
        </w:tabs>
        <w:ind w:left="0" w:firstLine="851"/>
        <w:rPr>
          <w:lang w:eastAsia="bg-BG"/>
        </w:rPr>
      </w:pPr>
      <w:r w:rsidRPr="00AD795A">
        <w:rPr>
          <w:lang w:eastAsia="bg-BG"/>
        </w:rPr>
        <w:t>Одитният орган гарантира, че при одитната дейност се вземат предвид международно приетите стандарти за одит.</w:t>
      </w:r>
    </w:p>
    <w:p w14:paraId="143C8343" w14:textId="77777777" w:rsidR="00F40B93" w:rsidRPr="00AD795A" w:rsidRDefault="00F40B93" w:rsidP="00AD795A">
      <w:pPr>
        <w:pStyle w:val="ListParagraph"/>
        <w:numPr>
          <w:ilvl w:val="0"/>
          <w:numId w:val="394"/>
        </w:numPr>
        <w:tabs>
          <w:tab w:val="left" w:pos="1276"/>
        </w:tabs>
        <w:ind w:left="0" w:firstLine="851"/>
        <w:rPr>
          <w:lang w:eastAsia="bg-BG"/>
        </w:rPr>
      </w:pPr>
      <w:r w:rsidRPr="00AD795A">
        <w:rPr>
          <w:lang w:eastAsia="bg-BG"/>
        </w:rPr>
        <w:t>Одитният орган в рамките на осем месеца от приемането на оперативна програма изготвя стратегия за одит за извършването на одити. Стратегията за одит определя методологията на одита, метода за подбор на извадка за одити на операции и планирането на одити във връзка с текущата счетоводна година и двете следващи счетоводни години. Стратегията за одит се актуализира ежегодно от 2016 г. до и включително през 2024 г. Когато за няколко оперативни програми се прилага една обща система за управление и контрол, може да бъде изготвена единна стратегия за одит за съответните оперативни програми. Одитният орган представя стратегията за одит на Комисията при поискване.</w:t>
      </w:r>
    </w:p>
    <w:p w14:paraId="70845C88" w14:textId="77777777" w:rsidR="00F40B93" w:rsidRPr="00AD795A" w:rsidRDefault="00F40B93" w:rsidP="00C635B6">
      <w:pPr>
        <w:pStyle w:val="ListParagraph"/>
        <w:tabs>
          <w:tab w:val="left" w:pos="1276"/>
        </w:tabs>
        <w:ind w:left="0" w:firstLine="0"/>
        <w:rPr>
          <w:lang w:eastAsia="bg-BG"/>
        </w:rPr>
      </w:pPr>
    </w:p>
    <w:p w14:paraId="20DEBA47" w14:textId="77777777" w:rsidR="00F40B93" w:rsidRPr="00AD795A" w:rsidRDefault="00F40B93" w:rsidP="00AD795A">
      <w:pPr>
        <w:pStyle w:val="ListParagraph"/>
        <w:numPr>
          <w:ilvl w:val="0"/>
          <w:numId w:val="394"/>
        </w:numPr>
        <w:tabs>
          <w:tab w:val="left" w:pos="1276"/>
        </w:tabs>
        <w:ind w:left="0" w:firstLine="851"/>
        <w:rPr>
          <w:lang w:eastAsia="bg-BG"/>
        </w:rPr>
      </w:pPr>
      <w:r w:rsidRPr="00AD795A">
        <w:rPr>
          <w:lang w:eastAsia="bg-BG"/>
        </w:rPr>
        <w:t>Одитният орган изготвя:</w:t>
      </w:r>
    </w:p>
    <w:p w14:paraId="1B9D0CCA" w14:textId="77777777" w:rsidR="00F40B93" w:rsidRPr="001B0EA3" w:rsidRDefault="00F40B93" w:rsidP="00AD795A">
      <w:pPr>
        <w:pStyle w:val="ListParagraph"/>
        <w:numPr>
          <w:ilvl w:val="0"/>
          <w:numId w:val="395"/>
        </w:numPr>
        <w:ind w:left="0" w:firstLine="1211"/>
      </w:pPr>
      <w:r w:rsidRPr="001B0EA3">
        <w:t>одитно становище в съответствие с член 59, параграф 5, втора алинея от Финансовия регламент;</w:t>
      </w:r>
    </w:p>
    <w:p w14:paraId="7300506F" w14:textId="77777777" w:rsidR="00F40B93" w:rsidRPr="001B0EA3" w:rsidRDefault="00F40B93" w:rsidP="00AD795A">
      <w:pPr>
        <w:pStyle w:val="ListParagraph"/>
        <w:numPr>
          <w:ilvl w:val="0"/>
          <w:numId w:val="395"/>
        </w:numPr>
        <w:ind w:left="0" w:firstLine="1211"/>
      </w:pPr>
      <w:r w:rsidRPr="001B0EA3">
        <w:t>контролен доклад, в който са посочени основните констатации от одитите, извършени в съответствие с параграф 1, включително констатациите във връзка с установени недостатъци в системите за управление и контрол, и предложените и предприетите корективни действия.</w:t>
      </w:r>
    </w:p>
    <w:p w14:paraId="6E1AB539" w14:textId="77777777" w:rsidR="00F40B93" w:rsidRPr="001B0EA3" w:rsidRDefault="00F40B93" w:rsidP="00AD795A">
      <w:pPr>
        <w:rPr>
          <w:lang w:eastAsia="bg-BG"/>
        </w:rPr>
      </w:pPr>
      <w:r w:rsidRPr="001B0EA3">
        <w:rPr>
          <w:lang w:eastAsia="bg-BG"/>
        </w:rPr>
        <w:t xml:space="preserve">Във функциите на ИА ОСЕС е и задължението по член 124 параграф 1 т. 2 на Регламент (ЕС) № 1303/2013 г. на държавите-членки да нотифицират Комисията относно датата и формата на определянето на управляващия орган и когато е уместно, на сертифициращия орган, които се извършват на подходящо равнище, преди да подадат първото заявление за междинно плащане в Комисията. </w:t>
      </w:r>
    </w:p>
    <w:p w14:paraId="11A73223" w14:textId="77777777" w:rsidR="00F40B93" w:rsidRPr="001B0EA3" w:rsidRDefault="00F40B93" w:rsidP="00AD795A">
      <w:pPr>
        <w:rPr>
          <w:lang w:eastAsia="bg-BG"/>
        </w:rPr>
      </w:pPr>
      <w:r w:rsidRPr="001B0EA3">
        <w:rPr>
          <w:lang w:eastAsia="bg-BG"/>
        </w:rPr>
        <w:t xml:space="preserve">Посоченото в член 124 параграф 1 на Регламент (ЕС) № 1303/2013 г. определяне се извършва въз основа на доклад и становище на независима одитна структура, която оценява изпълнението от страна на органите на критериите, свързвани с вътрешната среда за контрол, управлението на риска, дейностите за управление и контрол и мониторинга съгласно приложение XIII на Регламент (ЕС) № 1303/2013 г. </w:t>
      </w:r>
    </w:p>
    <w:p w14:paraId="563B27E1" w14:textId="77777777" w:rsidR="00F40B93" w:rsidRPr="001B0EA3" w:rsidRDefault="00F40B93" w:rsidP="00AD795A">
      <w:pPr>
        <w:rPr>
          <w:lang w:eastAsia="bg-BG"/>
        </w:rPr>
      </w:pPr>
      <w:r w:rsidRPr="001B0EA3">
        <w:rPr>
          <w:lang w:eastAsia="bg-BG"/>
        </w:rPr>
        <w:t xml:space="preserve">Ако ИА ОСЕС стигне до заключението, че част от системата за управление и контрол, отнасяща се до управляващия орган или сертифициращия орган, </w:t>
      </w:r>
      <w:r w:rsidRPr="001B0EA3">
        <w:rPr>
          <w:b/>
          <w:lang w:eastAsia="bg-BG"/>
        </w:rPr>
        <w:t>по същество е същата като предходния програмен период</w:t>
      </w:r>
      <w:r w:rsidRPr="001B0EA3">
        <w:rPr>
          <w:lang w:eastAsia="bg-BG"/>
        </w:rPr>
        <w:t xml:space="preserve">, и че са налице данни въз основа на одиторската дейност, извършена съгласно съответните разпоредби от Регламент (ЕО) № 1083/2006 и Регламент (ЕО) № 1198/2006 (1) на Съвета, че тези </w:t>
      </w:r>
      <w:r w:rsidRPr="001B0EA3">
        <w:rPr>
          <w:b/>
          <w:lang w:eastAsia="bg-BG"/>
        </w:rPr>
        <w:t>системи са функционирали</w:t>
      </w:r>
      <w:r w:rsidRPr="001B0EA3">
        <w:rPr>
          <w:lang w:eastAsia="bg-BG"/>
        </w:rPr>
        <w:t xml:space="preserve"> </w:t>
      </w:r>
      <w:r w:rsidRPr="001B0EA3">
        <w:rPr>
          <w:b/>
          <w:lang w:eastAsia="bg-BG"/>
        </w:rPr>
        <w:t>ефективно през въпросния период</w:t>
      </w:r>
      <w:r w:rsidRPr="001B0EA3">
        <w:rPr>
          <w:lang w:eastAsia="bg-BG"/>
        </w:rPr>
        <w:t xml:space="preserve">, независимата одитна структура може да излезе със заключението, че съответните критерии </w:t>
      </w:r>
      <w:r w:rsidRPr="001B0EA3">
        <w:rPr>
          <w:b/>
          <w:lang w:eastAsia="bg-BG"/>
        </w:rPr>
        <w:t>са изпълнени</w:t>
      </w:r>
      <w:r w:rsidRPr="001B0EA3">
        <w:rPr>
          <w:lang w:eastAsia="bg-BG"/>
        </w:rPr>
        <w:t xml:space="preserve"> </w:t>
      </w:r>
      <w:r w:rsidRPr="001B0EA3">
        <w:rPr>
          <w:b/>
          <w:lang w:eastAsia="bg-BG"/>
        </w:rPr>
        <w:t>без да извършва допълнителна одиторска дейност</w:t>
      </w:r>
      <w:r w:rsidRPr="001B0EA3">
        <w:rPr>
          <w:lang w:eastAsia="bg-BG"/>
        </w:rPr>
        <w:t>.</w:t>
      </w:r>
    </w:p>
    <w:p w14:paraId="3675C14C" w14:textId="77777777" w:rsidR="000975ED" w:rsidRPr="001B0EA3" w:rsidRDefault="000975ED" w:rsidP="00AD795A">
      <w:pPr>
        <w:rPr>
          <w:b/>
        </w:rPr>
      </w:pPr>
    </w:p>
    <w:p w14:paraId="5E85634A" w14:textId="77777777" w:rsidR="00D603F5" w:rsidRPr="00AD795A" w:rsidRDefault="00D603F5" w:rsidP="00AD795A">
      <w:pPr>
        <w:ind w:firstLine="0"/>
        <w:jc w:val="center"/>
        <w:rPr>
          <w:b/>
        </w:rPr>
      </w:pPr>
      <w:r w:rsidRPr="00AD795A">
        <w:rPr>
          <w:b/>
        </w:rPr>
        <w:t>Фиг. 1.2. Органограма на</w:t>
      </w:r>
    </w:p>
    <w:p w14:paraId="3E3EF030" w14:textId="77777777" w:rsidR="00D603F5" w:rsidRPr="00AD795A" w:rsidRDefault="00D603F5" w:rsidP="00AD795A">
      <w:pPr>
        <w:ind w:firstLine="0"/>
        <w:jc w:val="center"/>
        <w:rPr>
          <w:b/>
        </w:rPr>
      </w:pPr>
      <w:r w:rsidRPr="00AD795A">
        <w:rPr>
          <w:b/>
        </w:rPr>
        <w:t>Изпълнителна агенция „Одит на средствата от Европейския съюз“</w:t>
      </w:r>
    </w:p>
    <w:p w14:paraId="0F914745" w14:textId="77777777" w:rsidR="00F40B93" w:rsidRPr="001B0EA3" w:rsidRDefault="00937754" w:rsidP="00890B4B">
      <w:pPr>
        <w:widowControl w:val="0"/>
        <w:autoSpaceDE w:val="0"/>
        <w:autoSpaceDN w:val="0"/>
        <w:adjustRightInd w:val="0"/>
        <w:spacing w:before="120" w:after="120"/>
        <w:ind w:firstLine="0"/>
        <w:jc w:val="left"/>
        <w:rPr>
          <w:b/>
          <w:szCs w:val="24"/>
          <w:lang w:eastAsia="bg-BG"/>
        </w:rPr>
      </w:pPr>
      <w:r w:rsidRPr="001B0EA3">
        <w:rPr>
          <w:b/>
          <w:noProof/>
          <w:color w:val="000000"/>
          <w:szCs w:val="24"/>
          <w:lang w:eastAsia="bg-BG"/>
        </w:rPr>
        <w:drawing>
          <wp:inline distT="0" distB="0" distL="0" distR="0" wp14:anchorId="531A28AC" wp14:editId="2D9730DE">
            <wp:extent cx="6334760" cy="2054225"/>
            <wp:effectExtent l="0" t="0" r="0" b="0"/>
            <wp:docPr id="4" name="Picture 174" descr="C:\Users\Ymarkov\Desktop\14581367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Ymarkov\Desktop\145813679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4760" cy="2054225"/>
                    </a:xfrm>
                    <a:prstGeom prst="rect">
                      <a:avLst/>
                    </a:prstGeom>
                    <a:noFill/>
                    <a:ln>
                      <a:noFill/>
                    </a:ln>
                  </pic:spPr>
                </pic:pic>
              </a:graphicData>
            </a:graphic>
          </wp:inline>
        </w:drawing>
      </w:r>
    </w:p>
    <w:p w14:paraId="5367CFC6" w14:textId="77777777" w:rsidR="00D603F5" w:rsidRPr="001B0EA3" w:rsidRDefault="00D603F5" w:rsidP="00AD795A">
      <w:pPr>
        <w:rPr>
          <w:lang w:eastAsia="bg-BG"/>
        </w:rPr>
      </w:pPr>
      <w:r w:rsidRPr="001B0EA3">
        <w:rPr>
          <w:lang w:eastAsia="bg-BG"/>
        </w:rPr>
        <w:lastRenderedPageBreak/>
        <w:tab/>
      </w:r>
    </w:p>
    <w:p w14:paraId="509AB120" w14:textId="77777777" w:rsidR="00D603F5" w:rsidRPr="001B0EA3" w:rsidRDefault="00D603F5" w:rsidP="00ED358C">
      <w:pPr>
        <w:pStyle w:val="Style3"/>
      </w:pPr>
      <w:bookmarkStart w:id="197" w:name="_Toc464561543"/>
      <w:bookmarkStart w:id="198" w:name="_Toc464573255"/>
      <w:bookmarkStart w:id="199" w:name="_Toc464573708"/>
      <w:bookmarkStart w:id="200" w:name="_Toc464561544"/>
      <w:bookmarkStart w:id="201" w:name="_Toc464573256"/>
      <w:bookmarkStart w:id="202" w:name="_Toc464573709"/>
      <w:bookmarkStart w:id="203" w:name="_Toc464561545"/>
      <w:bookmarkStart w:id="204" w:name="_Toc464573257"/>
      <w:bookmarkStart w:id="205" w:name="_Toc464573710"/>
      <w:bookmarkStart w:id="206" w:name="_Toc464561546"/>
      <w:bookmarkStart w:id="207" w:name="_Toc464573258"/>
      <w:bookmarkStart w:id="208" w:name="_Toc464573711"/>
      <w:bookmarkStart w:id="209" w:name="_Toc464561547"/>
      <w:bookmarkStart w:id="210" w:name="_Toc464573259"/>
      <w:bookmarkStart w:id="211" w:name="_Toc464573712"/>
      <w:bookmarkStart w:id="212" w:name="_Toc464561548"/>
      <w:bookmarkStart w:id="213" w:name="_Toc464573260"/>
      <w:bookmarkStart w:id="214" w:name="_Toc464573713"/>
      <w:bookmarkStart w:id="215" w:name="_Toc464561549"/>
      <w:bookmarkStart w:id="216" w:name="_Toc464573261"/>
      <w:bookmarkStart w:id="217" w:name="_Toc464573714"/>
      <w:bookmarkStart w:id="218" w:name="_Toc464561550"/>
      <w:bookmarkStart w:id="219" w:name="_Toc464573262"/>
      <w:bookmarkStart w:id="220" w:name="_Toc464573715"/>
      <w:bookmarkStart w:id="221" w:name="_Toc464561551"/>
      <w:bookmarkStart w:id="222" w:name="_Toc464573263"/>
      <w:bookmarkStart w:id="223" w:name="_Toc464573716"/>
      <w:bookmarkStart w:id="224" w:name="_Toc464561552"/>
      <w:bookmarkStart w:id="225" w:name="_Toc464573264"/>
      <w:bookmarkStart w:id="226" w:name="_Toc464573717"/>
      <w:bookmarkStart w:id="227" w:name="_Toc464561553"/>
      <w:bookmarkStart w:id="228" w:name="_Toc464573265"/>
      <w:bookmarkStart w:id="229" w:name="_Toc464573718"/>
      <w:bookmarkStart w:id="230" w:name="_Toc464561554"/>
      <w:bookmarkStart w:id="231" w:name="_Toc464573266"/>
      <w:bookmarkStart w:id="232" w:name="_Toc464573719"/>
      <w:bookmarkStart w:id="233" w:name="_Toc464561555"/>
      <w:bookmarkStart w:id="234" w:name="_Toc464573267"/>
      <w:bookmarkStart w:id="235" w:name="_Toc464573720"/>
      <w:bookmarkStart w:id="236" w:name="_Toc464561556"/>
      <w:bookmarkStart w:id="237" w:name="_Toc464573268"/>
      <w:bookmarkStart w:id="238" w:name="_Toc464573721"/>
      <w:bookmarkStart w:id="239" w:name="_Toc464561557"/>
      <w:bookmarkStart w:id="240" w:name="_Toc464573269"/>
      <w:bookmarkStart w:id="241" w:name="_Toc464573722"/>
      <w:bookmarkStart w:id="242" w:name="_Toc464561558"/>
      <w:bookmarkStart w:id="243" w:name="_Toc464573270"/>
      <w:bookmarkStart w:id="244" w:name="_Toc464573723"/>
      <w:bookmarkStart w:id="245" w:name="_Toc464561559"/>
      <w:bookmarkStart w:id="246" w:name="_Toc464573271"/>
      <w:bookmarkStart w:id="247" w:name="_Toc464573724"/>
      <w:bookmarkStart w:id="248" w:name="_Toc464561560"/>
      <w:bookmarkStart w:id="249" w:name="_Toc464573272"/>
      <w:bookmarkStart w:id="250" w:name="_Toc464573725"/>
      <w:bookmarkStart w:id="251" w:name="_Toc464561561"/>
      <w:bookmarkStart w:id="252" w:name="_Toc464573273"/>
      <w:bookmarkStart w:id="253" w:name="_Toc464573726"/>
      <w:bookmarkStart w:id="254" w:name="_Toc464561562"/>
      <w:bookmarkStart w:id="255" w:name="_Toc464573274"/>
      <w:bookmarkStart w:id="256" w:name="_Toc464573727"/>
      <w:bookmarkStart w:id="257" w:name="_Toc464561563"/>
      <w:bookmarkStart w:id="258" w:name="_Toc464573275"/>
      <w:bookmarkStart w:id="259" w:name="_Toc464573728"/>
      <w:bookmarkStart w:id="260" w:name="_Toc464561564"/>
      <w:bookmarkStart w:id="261" w:name="_Toc464573276"/>
      <w:bookmarkStart w:id="262" w:name="_Toc464573729"/>
      <w:bookmarkStart w:id="263" w:name="_Toc464561565"/>
      <w:bookmarkStart w:id="264" w:name="_Toc464573277"/>
      <w:bookmarkStart w:id="265" w:name="_Toc464573730"/>
      <w:bookmarkStart w:id="266" w:name="_Toc464561566"/>
      <w:bookmarkStart w:id="267" w:name="_Toc464573278"/>
      <w:bookmarkStart w:id="268" w:name="_Toc464573731"/>
      <w:bookmarkStart w:id="269" w:name="_Toc464561567"/>
      <w:bookmarkStart w:id="270" w:name="_Toc464573279"/>
      <w:bookmarkStart w:id="271" w:name="_Toc464573732"/>
      <w:bookmarkStart w:id="272" w:name="_Toc479775554"/>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Pr="001B0EA3">
        <w:t>Вътрешен одит</w:t>
      </w:r>
      <w:bookmarkEnd w:id="272"/>
    </w:p>
    <w:p w14:paraId="5989FC6E" w14:textId="77777777" w:rsidR="00D603F5" w:rsidRPr="001B0EA3" w:rsidRDefault="00D603F5" w:rsidP="00AD795A">
      <w:r w:rsidRPr="001B0EA3">
        <w:t>Функциите по вътрешния одит се изпълняват от вътрешни одитори в съответствие със Закона за вътрешния одит.</w:t>
      </w:r>
    </w:p>
    <w:p w14:paraId="1DA5DFB4" w14:textId="77777777" w:rsidR="00D603F5" w:rsidRPr="001B0EA3" w:rsidRDefault="00D603F5" w:rsidP="00AD795A"/>
    <w:p w14:paraId="7F83CAC3" w14:textId="77777777" w:rsidR="00D603F5" w:rsidRPr="001B0EA3" w:rsidRDefault="00D603F5" w:rsidP="00AD795A">
      <w:r w:rsidRPr="001B0EA3">
        <w:t xml:space="preserve">В </w:t>
      </w:r>
      <w:r w:rsidR="00BB6BF6">
        <w:t>МТС</w:t>
      </w:r>
      <w:r w:rsidRPr="001B0EA3">
        <w:t xml:space="preserve"> функциите на вътрешен одит се изпълняват от дирекция „Звено за вътрешен одит”, което изпълнява задачите си ефективно и обективно – без натиск или упражняване на влияние, при осигурена независимост на дейността му. </w:t>
      </w:r>
    </w:p>
    <w:p w14:paraId="7E069AE4" w14:textId="77777777" w:rsidR="00D603F5" w:rsidRPr="001B0EA3" w:rsidRDefault="00D603F5" w:rsidP="00AD795A"/>
    <w:tbl>
      <w:tblPr>
        <w:tblW w:w="0" w:type="auto"/>
        <w:tblInd w:w="84"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CellMar>
          <w:left w:w="70" w:type="dxa"/>
          <w:right w:w="70" w:type="dxa"/>
        </w:tblCellMar>
        <w:tblLook w:val="0000" w:firstRow="0" w:lastRow="0" w:firstColumn="0" w:lastColumn="0" w:noHBand="0" w:noVBand="0"/>
      </w:tblPr>
      <w:tblGrid>
        <w:gridCol w:w="2221"/>
        <w:gridCol w:w="7326"/>
      </w:tblGrid>
      <w:tr w:rsidR="00D603F5" w:rsidRPr="001B0EA3" w14:paraId="7F4B5B08" w14:textId="77777777" w:rsidTr="001F7A96">
        <w:trPr>
          <w:trHeight w:val="1125"/>
        </w:trPr>
        <w:tc>
          <w:tcPr>
            <w:tcW w:w="2254" w:type="dxa"/>
            <w:tcBorders>
              <w:top w:val="single" w:sz="2" w:space="0" w:color="auto"/>
              <w:left w:val="single" w:sz="2" w:space="0" w:color="auto"/>
              <w:bottom w:val="single" w:sz="2" w:space="0" w:color="auto"/>
              <w:right w:val="single" w:sz="2" w:space="0" w:color="auto"/>
            </w:tcBorders>
          </w:tcPr>
          <w:p w14:paraId="5E710700" w14:textId="77777777" w:rsidR="00D603F5" w:rsidRPr="001B0EA3" w:rsidRDefault="00D603F5" w:rsidP="00AD795A">
            <w:pPr>
              <w:tabs>
                <w:tab w:val="left" w:pos="1701"/>
                <w:tab w:val="left" w:pos="2268"/>
                <w:tab w:val="left" w:pos="2835"/>
                <w:tab w:val="left" w:pos="3402"/>
                <w:tab w:val="left" w:pos="3969"/>
                <w:tab w:val="left" w:pos="4536"/>
                <w:tab w:val="left" w:pos="5103"/>
                <w:tab w:val="left" w:pos="5670"/>
                <w:tab w:val="left" w:pos="6237"/>
              </w:tabs>
              <w:ind w:firstLine="0"/>
              <w:jc w:val="left"/>
              <w:rPr>
                <w:color w:val="000000"/>
                <w:szCs w:val="24"/>
              </w:rPr>
            </w:pPr>
            <w:r w:rsidRPr="001B0EA3">
              <w:rPr>
                <w:color w:val="000000"/>
                <w:szCs w:val="24"/>
              </w:rPr>
              <w:t>Лице за контакт:</w:t>
            </w:r>
          </w:p>
        </w:tc>
        <w:tc>
          <w:tcPr>
            <w:tcW w:w="7435" w:type="dxa"/>
            <w:tcBorders>
              <w:top w:val="single" w:sz="2" w:space="0" w:color="auto"/>
              <w:left w:val="single" w:sz="2" w:space="0" w:color="auto"/>
              <w:bottom w:val="single" w:sz="2" w:space="0" w:color="auto"/>
              <w:right w:val="single" w:sz="2" w:space="0" w:color="auto"/>
            </w:tcBorders>
            <w:shd w:val="clear" w:color="auto" w:fill="FFFFFF"/>
          </w:tcPr>
          <w:p w14:paraId="312673AD" w14:textId="77777777" w:rsidR="00D603F5" w:rsidRPr="001B0EA3" w:rsidRDefault="00D603F5" w:rsidP="00AD795A">
            <w:pPr>
              <w:tabs>
                <w:tab w:val="left" w:pos="1701"/>
                <w:tab w:val="left" w:pos="2268"/>
                <w:tab w:val="left" w:pos="2835"/>
                <w:tab w:val="left" w:pos="3402"/>
                <w:tab w:val="left" w:pos="3969"/>
                <w:tab w:val="left" w:pos="4536"/>
                <w:tab w:val="left" w:pos="5103"/>
                <w:tab w:val="left" w:pos="5670"/>
                <w:tab w:val="left" w:pos="6237"/>
              </w:tabs>
              <w:ind w:firstLine="0"/>
              <w:rPr>
                <w:b/>
                <w:color w:val="000000"/>
                <w:szCs w:val="24"/>
              </w:rPr>
            </w:pPr>
            <w:r w:rsidRPr="001B0EA3">
              <w:rPr>
                <w:b/>
                <w:color w:val="000000"/>
                <w:szCs w:val="24"/>
              </w:rPr>
              <w:t>г-жа Гергана Ангелова Алексиева,</w:t>
            </w:r>
          </w:p>
          <w:p w14:paraId="2B30842C" w14:textId="77777777" w:rsidR="00D603F5" w:rsidRPr="001B0EA3" w:rsidRDefault="00D603F5" w:rsidP="00AD795A">
            <w:pPr>
              <w:tabs>
                <w:tab w:val="left" w:pos="1701"/>
                <w:tab w:val="left" w:pos="2268"/>
                <w:tab w:val="left" w:pos="2835"/>
                <w:tab w:val="left" w:pos="3402"/>
                <w:tab w:val="left" w:pos="3969"/>
                <w:tab w:val="left" w:pos="4536"/>
                <w:tab w:val="left" w:pos="5103"/>
                <w:tab w:val="left" w:pos="5670"/>
                <w:tab w:val="left" w:pos="6237"/>
              </w:tabs>
              <w:ind w:firstLine="0"/>
              <w:rPr>
                <w:color w:val="000000"/>
                <w:szCs w:val="24"/>
              </w:rPr>
            </w:pPr>
            <w:r w:rsidRPr="001B0EA3">
              <w:rPr>
                <w:color w:val="000000"/>
                <w:szCs w:val="24"/>
              </w:rPr>
              <w:t xml:space="preserve">Ръководител на Звено за вътрешен одит към </w:t>
            </w:r>
            <w:r w:rsidR="00BB6BF6">
              <w:rPr>
                <w:color w:val="000000"/>
                <w:szCs w:val="24"/>
              </w:rPr>
              <w:t>Министерство на транспорта и съобщенията</w:t>
            </w:r>
          </w:p>
        </w:tc>
      </w:tr>
      <w:tr w:rsidR="00D603F5" w:rsidRPr="001B0EA3" w14:paraId="34604093" w14:textId="77777777" w:rsidTr="001F7A96">
        <w:trPr>
          <w:trHeight w:val="1170"/>
        </w:trPr>
        <w:tc>
          <w:tcPr>
            <w:tcW w:w="2254" w:type="dxa"/>
            <w:tcBorders>
              <w:top w:val="single" w:sz="2" w:space="0" w:color="auto"/>
              <w:left w:val="single" w:sz="2" w:space="0" w:color="auto"/>
              <w:bottom w:val="single" w:sz="2" w:space="0" w:color="auto"/>
              <w:right w:val="single" w:sz="2" w:space="0" w:color="auto"/>
            </w:tcBorders>
          </w:tcPr>
          <w:p w14:paraId="08F033F3" w14:textId="77777777" w:rsidR="00D603F5" w:rsidRPr="001B0EA3" w:rsidRDefault="00D603F5" w:rsidP="00AD795A">
            <w:pPr>
              <w:tabs>
                <w:tab w:val="left" w:pos="1701"/>
                <w:tab w:val="left" w:pos="2268"/>
                <w:tab w:val="left" w:pos="2835"/>
                <w:tab w:val="left" w:pos="3402"/>
                <w:tab w:val="left" w:pos="3969"/>
                <w:tab w:val="left" w:pos="4536"/>
                <w:tab w:val="left" w:pos="5103"/>
                <w:tab w:val="left" w:pos="5670"/>
                <w:tab w:val="left" w:pos="6237"/>
              </w:tabs>
              <w:ind w:firstLine="0"/>
              <w:rPr>
                <w:color w:val="000000"/>
                <w:szCs w:val="24"/>
              </w:rPr>
            </w:pPr>
            <w:r w:rsidRPr="001B0EA3">
              <w:rPr>
                <w:color w:val="000000"/>
                <w:szCs w:val="24"/>
              </w:rPr>
              <w:t>Адрес:</w:t>
            </w:r>
          </w:p>
        </w:tc>
        <w:tc>
          <w:tcPr>
            <w:tcW w:w="7435" w:type="dxa"/>
            <w:tcBorders>
              <w:top w:val="single" w:sz="2" w:space="0" w:color="auto"/>
              <w:left w:val="single" w:sz="2" w:space="0" w:color="auto"/>
              <w:bottom w:val="single" w:sz="2" w:space="0" w:color="auto"/>
              <w:right w:val="single" w:sz="2" w:space="0" w:color="auto"/>
            </w:tcBorders>
          </w:tcPr>
          <w:p w14:paraId="0205B671" w14:textId="77777777" w:rsidR="00D603F5" w:rsidRPr="001B0EA3" w:rsidRDefault="00D603F5" w:rsidP="00AD795A">
            <w:pPr>
              <w:tabs>
                <w:tab w:val="left" w:pos="1701"/>
                <w:tab w:val="left" w:pos="2268"/>
                <w:tab w:val="left" w:pos="2835"/>
                <w:tab w:val="left" w:pos="3402"/>
                <w:tab w:val="left" w:pos="3969"/>
                <w:tab w:val="left" w:pos="4536"/>
                <w:tab w:val="left" w:pos="5103"/>
                <w:tab w:val="left" w:pos="5670"/>
                <w:tab w:val="left" w:pos="6237"/>
              </w:tabs>
              <w:ind w:firstLine="0"/>
              <w:rPr>
                <w:color w:val="000000"/>
                <w:szCs w:val="24"/>
              </w:rPr>
            </w:pPr>
            <w:r w:rsidRPr="001B0EA3">
              <w:rPr>
                <w:color w:val="000000"/>
                <w:szCs w:val="24"/>
              </w:rPr>
              <w:t>Министерство на транспорта и съобщенията</w:t>
            </w:r>
          </w:p>
          <w:p w14:paraId="3034B344" w14:textId="77777777" w:rsidR="00D603F5" w:rsidRPr="001B0EA3" w:rsidRDefault="00D603F5" w:rsidP="00AD795A">
            <w:pPr>
              <w:ind w:firstLine="0"/>
              <w:rPr>
                <w:color w:val="000000"/>
                <w:szCs w:val="24"/>
              </w:rPr>
            </w:pPr>
            <w:r w:rsidRPr="001B0EA3">
              <w:rPr>
                <w:color w:val="000000"/>
                <w:szCs w:val="24"/>
              </w:rPr>
              <w:t xml:space="preserve">гр. София, 1000, </w:t>
            </w:r>
          </w:p>
          <w:p w14:paraId="70CE039B" w14:textId="77777777" w:rsidR="00D603F5" w:rsidRPr="001B0EA3" w:rsidRDefault="00D603F5" w:rsidP="00AD795A">
            <w:pPr>
              <w:ind w:firstLine="0"/>
              <w:rPr>
                <w:color w:val="000000"/>
                <w:szCs w:val="24"/>
              </w:rPr>
            </w:pPr>
            <w:r w:rsidRPr="001B0EA3">
              <w:rPr>
                <w:color w:val="000000"/>
                <w:szCs w:val="24"/>
              </w:rPr>
              <w:t>ул. „Дякон Игнатий” 9</w:t>
            </w:r>
          </w:p>
          <w:p w14:paraId="2A6D423A" w14:textId="77777777" w:rsidR="00D603F5" w:rsidRPr="001B0EA3" w:rsidRDefault="00D603F5" w:rsidP="00AD795A">
            <w:pPr>
              <w:ind w:firstLine="0"/>
              <w:rPr>
                <w:color w:val="000000"/>
                <w:szCs w:val="24"/>
              </w:rPr>
            </w:pPr>
            <w:r w:rsidRPr="001B0EA3">
              <w:rPr>
                <w:color w:val="000000"/>
                <w:szCs w:val="24"/>
              </w:rPr>
              <w:t>Тел.:  +359 2 9409 304</w:t>
            </w:r>
          </w:p>
          <w:p w14:paraId="3C927AB8" w14:textId="77777777" w:rsidR="00D603F5" w:rsidRPr="001B0EA3" w:rsidRDefault="00D603F5" w:rsidP="00AD795A">
            <w:pPr>
              <w:ind w:firstLine="0"/>
              <w:rPr>
                <w:color w:val="000000"/>
                <w:szCs w:val="24"/>
              </w:rPr>
            </w:pPr>
            <w:r w:rsidRPr="001B0EA3">
              <w:rPr>
                <w:color w:val="000000"/>
                <w:szCs w:val="24"/>
              </w:rPr>
              <w:t>Факс: +359 2 9409 832</w:t>
            </w:r>
          </w:p>
          <w:p w14:paraId="5A7AC1E7" w14:textId="77777777" w:rsidR="00D603F5" w:rsidRPr="001B0EA3" w:rsidRDefault="00D603F5" w:rsidP="00AD795A">
            <w:pPr>
              <w:ind w:firstLine="0"/>
              <w:rPr>
                <w:color w:val="000000"/>
                <w:szCs w:val="24"/>
              </w:rPr>
            </w:pPr>
            <w:r w:rsidRPr="001B0EA3">
              <w:rPr>
                <w:color w:val="000000"/>
                <w:szCs w:val="24"/>
              </w:rPr>
              <w:t>Email: galeksieva@mtc.government.bg</w:t>
            </w:r>
          </w:p>
          <w:p w14:paraId="326DABB0" w14:textId="77777777" w:rsidR="00D603F5" w:rsidRPr="001B0EA3" w:rsidRDefault="006035A9" w:rsidP="00BD0F60">
            <w:pPr>
              <w:ind w:firstLine="0"/>
              <w:rPr>
                <w:color w:val="000000"/>
                <w:szCs w:val="24"/>
              </w:rPr>
            </w:pPr>
            <w:hyperlink r:id="rId34" w:history="1">
              <w:r w:rsidR="00D34044" w:rsidRPr="000441D0">
                <w:rPr>
                  <w:rStyle w:val="Hyperlink"/>
                  <w:szCs w:val="24"/>
                </w:rPr>
                <w:t>www.mtc.government.bg</w:t>
              </w:r>
            </w:hyperlink>
          </w:p>
        </w:tc>
      </w:tr>
    </w:tbl>
    <w:p w14:paraId="6B9A25BC" w14:textId="77777777" w:rsidR="00D603F5" w:rsidRPr="001B0EA3" w:rsidRDefault="00D603F5" w:rsidP="00890B4B">
      <w:pPr>
        <w:rPr>
          <w:color w:val="000000"/>
          <w:szCs w:val="24"/>
        </w:rPr>
      </w:pPr>
    </w:p>
    <w:p w14:paraId="13A69170" w14:textId="77777777" w:rsidR="00D603F5" w:rsidRPr="001B0EA3" w:rsidRDefault="00D603F5" w:rsidP="00AD795A">
      <w:r w:rsidRPr="001B0EA3">
        <w:t>Независимостта на дирекция „Звено за вътрешен одит” се осигурява от министъра на транспорта и съобщенията чрез гарантиране на:</w:t>
      </w:r>
    </w:p>
    <w:p w14:paraId="78263E24" w14:textId="77777777" w:rsidR="00D603F5" w:rsidRPr="001B0EA3" w:rsidRDefault="00D603F5" w:rsidP="00AD795A">
      <w:pPr>
        <w:pStyle w:val="ListParagraph"/>
        <w:numPr>
          <w:ilvl w:val="0"/>
          <w:numId w:val="396"/>
        </w:numPr>
        <w:tabs>
          <w:tab w:val="left" w:pos="1134"/>
        </w:tabs>
        <w:ind w:left="0" w:firstLine="851"/>
      </w:pPr>
      <w:r w:rsidRPr="001B0EA3">
        <w:t>пряко подчинение на министъра на транспорта и съобщенията;</w:t>
      </w:r>
    </w:p>
    <w:p w14:paraId="6E2ADDB7" w14:textId="77777777" w:rsidR="00D603F5" w:rsidRPr="001B0EA3" w:rsidRDefault="00D603F5" w:rsidP="00AD795A">
      <w:pPr>
        <w:pStyle w:val="ListParagraph"/>
        <w:numPr>
          <w:ilvl w:val="0"/>
          <w:numId w:val="396"/>
        </w:numPr>
        <w:tabs>
          <w:tab w:val="left" w:pos="1134"/>
        </w:tabs>
        <w:ind w:left="0" w:firstLine="851"/>
      </w:pPr>
      <w:r w:rsidRPr="001B0EA3">
        <w:t>докладване резултатите от одитните ангажименти и за дейността по вътрешен одит директно на министъра на транспорта</w:t>
      </w:r>
      <w:r w:rsidR="00D34044">
        <w:t xml:space="preserve"> </w:t>
      </w:r>
      <w:r w:rsidRPr="001B0EA3">
        <w:t>и съобщенията;</w:t>
      </w:r>
    </w:p>
    <w:p w14:paraId="7D88B262" w14:textId="77777777" w:rsidR="00D603F5" w:rsidRPr="001B0EA3" w:rsidRDefault="00D603F5" w:rsidP="00AD795A">
      <w:pPr>
        <w:pStyle w:val="ListParagraph"/>
        <w:numPr>
          <w:ilvl w:val="0"/>
          <w:numId w:val="396"/>
        </w:numPr>
        <w:tabs>
          <w:tab w:val="left" w:pos="1134"/>
        </w:tabs>
        <w:ind w:left="0" w:firstLine="851"/>
      </w:pPr>
      <w:r w:rsidRPr="001B0EA3">
        <w:t>назначаване и освобождаване на директора на дирекция „Звено за вътрешен одит” при спазване на чл. 21 от Закона за вътрешния одит в публичния сектор (ЗВОПС) и след писмено съгласие на министъра на финансите;</w:t>
      </w:r>
    </w:p>
    <w:p w14:paraId="00305204" w14:textId="77777777" w:rsidR="00D603F5" w:rsidRPr="001B0EA3" w:rsidRDefault="00D603F5" w:rsidP="00AD795A">
      <w:pPr>
        <w:pStyle w:val="ListParagraph"/>
        <w:numPr>
          <w:ilvl w:val="0"/>
          <w:numId w:val="396"/>
        </w:numPr>
        <w:tabs>
          <w:tab w:val="left" w:pos="1134"/>
        </w:tabs>
        <w:ind w:left="0" w:firstLine="851"/>
      </w:pPr>
      <w:r w:rsidRPr="001B0EA3">
        <w:t>осъществяване на функции и дейности в Министерството на транспорта и съобщенията, свързани само с дейността по вътрешен одит, без да се допуска намеса при планиране, извършване и докладване на резултатите от одитните ангажименти;</w:t>
      </w:r>
    </w:p>
    <w:p w14:paraId="58C71308" w14:textId="77777777" w:rsidR="00D603F5" w:rsidRDefault="00D603F5" w:rsidP="00AD795A">
      <w:pPr>
        <w:pStyle w:val="ListParagraph"/>
        <w:numPr>
          <w:ilvl w:val="0"/>
          <w:numId w:val="396"/>
        </w:numPr>
        <w:tabs>
          <w:tab w:val="left" w:pos="1134"/>
        </w:tabs>
        <w:ind w:left="0" w:firstLine="851"/>
      </w:pPr>
      <w:r w:rsidRPr="001B0EA3">
        <w:t xml:space="preserve">свободен достъп до ръководните лица в </w:t>
      </w:r>
      <w:r w:rsidR="00D34044">
        <w:t>Министерството на транспорта и съобщенията</w:t>
      </w:r>
      <w:r w:rsidRPr="001B0EA3">
        <w:t xml:space="preserve"> и всички служители в организацията, всички активи на организацията и цялата документация и информация.</w:t>
      </w:r>
    </w:p>
    <w:p w14:paraId="683200DB" w14:textId="77777777" w:rsidR="00AD795A" w:rsidRPr="001B0EA3" w:rsidRDefault="00AD795A" w:rsidP="00AD795A">
      <w:pPr>
        <w:tabs>
          <w:tab w:val="left" w:pos="1134"/>
        </w:tabs>
      </w:pPr>
    </w:p>
    <w:p w14:paraId="6157CFD0" w14:textId="77777777" w:rsidR="00D603F5" w:rsidRPr="001B0EA3" w:rsidRDefault="00D603F5" w:rsidP="00ED358C">
      <w:pPr>
        <w:pStyle w:val="Style3"/>
      </w:pPr>
      <w:bookmarkStart w:id="273" w:name="_Toc479775555"/>
      <w:r w:rsidRPr="001B0EA3">
        <w:t>Външен одит</w:t>
      </w:r>
      <w:bookmarkEnd w:id="273"/>
    </w:p>
    <w:p w14:paraId="00CC3AE1" w14:textId="77777777" w:rsidR="00F40B93" w:rsidRPr="001B0EA3" w:rsidRDefault="00F40B93" w:rsidP="00AD795A">
      <w:r w:rsidRPr="001B0EA3">
        <w:rPr>
          <w:b/>
        </w:rPr>
        <w:t>Сметната палата</w:t>
      </w:r>
      <w:r w:rsidRPr="001B0EA3">
        <w:t xml:space="preserve"> на Република България извършва независим одит на бюджета и на другите публични средства, включително средствата от ЕС, и допринася за  правилното финансово управление в страната. Организацията, мандата и процедурите за провеждане на дейността й са регламентирани в Закона за Сметната палата в последното му изменение.</w:t>
      </w:r>
    </w:p>
    <w:p w14:paraId="35FB74D3" w14:textId="77777777" w:rsidR="00F40B93" w:rsidRPr="001B0EA3" w:rsidRDefault="00F40B93" w:rsidP="00AD795A">
      <w:r w:rsidRPr="001B0EA3">
        <w:rPr>
          <w:b/>
        </w:rPr>
        <w:t>Европейската сметна палата</w:t>
      </w:r>
      <w:r w:rsidRPr="001B0EA3">
        <w:t xml:space="preserve"> разглежда отчетите за всички приходи и разходи на Общността и счетоводните сметки на всички органи, управляващи средства на ЕС. Тя проверява дали всички бюджетни приходи на ЕС са получени и дали съответните разходи са били извършени законосъобразно и правилно и дали финансовото управление е правилно.    </w:t>
      </w:r>
    </w:p>
    <w:p w14:paraId="0ABD8724" w14:textId="77777777" w:rsidR="00F40B93" w:rsidRPr="001B0EA3" w:rsidRDefault="00F40B93" w:rsidP="00AD795A">
      <w:r w:rsidRPr="001B0EA3">
        <w:rPr>
          <w:b/>
        </w:rPr>
        <w:t xml:space="preserve">Дирекция „Одит“  към ГД „Регионална и урбанистична политика“ на ЕК </w:t>
      </w:r>
      <w:r w:rsidRPr="001B0EA3">
        <w:t>отговаря за провеждането на одити по фондовете на ЕС (член 75, параграф 2 от Регламент 1303/2013). Одитите са насочени към това да се провери ефективността на системите, както и изпълнението на операциите. Установени нарушение по време на проверките биха могли да доведат до спиране на плащанията или до налагане на финансови корекции.</w:t>
      </w:r>
    </w:p>
    <w:p w14:paraId="23F62FC5" w14:textId="77777777" w:rsidR="00F40B93" w:rsidRPr="001B0EA3" w:rsidRDefault="00F40B93" w:rsidP="00AD795A"/>
    <w:p w14:paraId="36935B2E" w14:textId="77777777" w:rsidR="00D603F5" w:rsidRPr="00842ECC" w:rsidRDefault="00D603F5" w:rsidP="00ED358C">
      <w:pPr>
        <w:pStyle w:val="Style3"/>
        <w:rPr>
          <w:lang w:val="bg-BG"/>
        </w:rPr>
      </w:pPr>
      <w:bookmarkStart w:id="274" w:name="_Toc464561570"/>
      <w:bookmarkStart w:id="275" w:name="_Toc464573282"/>
      <w:bookmarkStart w:id="276" w:name="_Toc464573735"/>
      <w:bookmarkStart w:id="277" w:name="_Toc464561571"/>
      <w:bookmarkStart w:id="278" w:name="_Toc464573283"/>
      <w:bookmarkStart w:id="279" w:name="_Toc464573736"/>
      <w:bookmarkStart w:id="280" w:name="_Toc464561572"/>
      <w:bookmarkStart w:id="281" w:name="_Toc464573284"/>
      <w:bookmarkStart w:id="282" w:name="_Toc464573737"/>
      <w:bookmarkStart w:id="283" w:name="_Toc479775556"/>
      <w:bookmarkEnd w:id="274"/>
      <w:bookmarkEnd w:id="275"/>
      <w:bookmarkEnd w:id="276"/>
      <w:bookmarkEnd w:id="277"/>
      <w:bookmarkEnd w:id="278"/>
      <w:bookmarkEnd w:id="279"/>
      <w:bookmarkEnd w:id="280"/>
      <w:bookmarkEnd w:id="281"/>
      <w:bookmarkEnd w:id="282"/>
      <w:r w:rsidRPr="00842ECC">
        <w:rPr>
          <w:lang w:val="bg-BG"/>
        </w:rPr>
        <w:t>Комитет за наблюдение на Споразумението за партньорство</w:t>
      </w:r>
      <w:bookmarkEnd w:id="283"/>
    </w:p>
    <w:p w14:paraId="4E1DB98B" w14:textId="77777777" w:rsidR="00D603F5" w:rsidRPr="001B0EA3" w:rsidRDefault="00D603F5" w:rsidP="00AD795A">
      <w:r w:rsidRPr="001B0EA3">
        <w:t xml:space="preserve">Съгласно чл.2, ал.1 </w:t>
      </w:r>
      <w:r w:rsidRPr="001B0EA3">
        <w:rPr>
          <w:b/>
        </w:rPr>
        <w:t>на ПМС № 79/2014</w:t>
      </w:r>
      <w:r w:rsidR="00CB4799" w:rsidRPr="00842ECC">
        <w:rPr>
          <w:b/>
        </w:rPr>
        <w:t xml:space="preserve"> </w:t>
      </w:r>
      <w:r w:rsidRPr="001B0EA3">
        <w:rPr>
          <w:b/>
        </w:rPr>
        <w:t>г</w:t>
      </w:r>
      <w:r w:rsidRPr="001B0EA3">
        <w:t xml:space="preserve">., Комитетът за наблюдение на Споразумението за партньорство на Република България е колективен орган, основан на принципа на партньорство, който има следните функции: </w:t>
      </w:r>
    </w:p>
    <w:p w14:paraId="6563EE6C" w14:textId="77777777" w:rsidR="00D603F5" w:rsidRPr="001B0EA3" w:rsidRDefault="00D603F5" w:rsidP="00AD795A">
      <w:pPr>
        <w:pStyle w:val="ListParagraph"/>
        <w:numPr>
          <w:ilvl w:val="0"/>
          <w:numId w:val="397"/>
        </w:numPr>
        <w:tabs>
          <w:tab w:val="left" w:pos="1134"/>
        </w:tabs>
        <w:ind w:left="0" w:firstLine="851"/>
      </w:pPr>
      <w:r w:rsidRPr="001B0EA3">
        <w:t xml:space="preserve">да следи за напредъка в изпълнението на стратегическите приоритети на Споразумението за партньорство; </w:t>
      </w:r>
    </w:p>
    <w:p w14:paraId="45BE98C6" w14:textId="77777777" w:rsidR="00D603F5" w:rsidRPr="001B0EA3" w:rsidRDefault="00D603F5" w:rsidP="00AD795A">
      <w:pPr>
        <w:pStyle w:val="ListParagraph"/>
        <w:numPr>
          <w:ilvl w:val="0"/>
          <w:numId w:val="397"/>
        </w:numPr>
        <w:tabs>
          <w:tab w:val="left" w:pos="1134"/>
        </w:tabs>
        <w:ind w:left="0" w:firstLine="851"/>
      </w:pPr>
      <w:r w:rsidRPr="001B0EA3">
        <w:t xml:space="preserve">да обсъжда и одобрява всички предложения за промени в Споразумението за партньорство; </w:t>
      </w:r>
    </w:p>
    <w:p w14:paraId="3BF7C137" w14:textId="77777777" w:rsidR="00D603F5" w:rsidRPr="001B0EA3" w:rsidRDefault="00D603F5" w:rsidP="00AD795A">
      <w:pPr>
        <w:pStyle w:val="ListParagraph"/>
        <w:numPr>
          <w:ilvl w:val="0"/>
          <w:numId w:val="397"/>
        </w:numPr>
        <w:tabs>
          <w:tab w:val="left" w:pos="1134"/>
        </w:tabs>
        <w:ind w:left="0" w:firstLine="851"/>
      </w:pPr>
      <w:r w:rsidRPr="001B0EA3">
        <w:t xml:space="preserve">да разглежда и одобрява измененията в Споразумението за партньорство, произтичащи от решение за изменение на програма, прието от комитета за наблюдение на съответната програма по чл. 10, относно: </w:t>
      </w:r>
    </w:p>
    <w:p w14:paraId="2ABC3A4A" w14:textId="77777777" w:rsidR="00D603F5" w:rsidRPr="001B0EA3" w:rsidRDefault="00D603F5" w:rsidP="00AD795A">
      <w:pPr>
        <w:pStyle w:val="ListParagraph"/>
        <w:numPr>
          <w:ilvl w:val="0"/>
          <w:numId w:val="398"/>
        </w:numPr>
      </w:pPr>
      <w:r w:rsidRPr="001B0EA3">
        <w:t xml:space="preserve">избраните тематични цели; </w:t>
      </w:r>
    </w:p>
    <w:p w14:paraId="12150486" w14:textId="77777777" w:rsidR="00D603F5" w:rsidRPr="001B0EA3" w:rsidRDefault="00D603F5" w:rsidP="00AD795A">
      <w:pPr>
        <w:pStyle w:val="ListParagraph"/>
        <w:numPr>
          <w:ilvl w:val="0"/>
          <w:numId w:val="398"/>
        </w:numPr>
      </w:pPr>
      <w:r w:rsidRPr="001B0EA3">
        <w:t xml:space="preserve">разпределението на подкрепата от фондовете по тематичните цели; </w:t>
      </w:r>
    </w:p>
    <w:p w14:paraId="4B5B41C6" w14:textId="77777777" w:rsidR="00D603F5" w:rsidRPr="001B0EA3" w:rsidRDefault="00D603F5" w:rsidP="00AD795A">
      <w:pPr>
        <w:pStyle w:val="ListParagraph"/>
        <w:numPr>
          <w:ilvl w:val="0"/>
          <w:numId w:val="398"/>
        </w:numPr>
      </w:pPr>
      <w:r w:rsidRPr="001B0EA3">
        <w:t xml:space="preserve">списъка с програмите по Европейския фонд за регионално развитие, Европейския социален фонд и по Кохезионния фонд със съответните ориентировъчни размери на разпределените средства по съответния фонд, както и по години; </w:t>
      </w:r>
    </w:p>
    <w:p w14:paraId="06F73282" w14:textId="77777777" w:rsidR="00D603F5" w:rsidRPr="00AD795A" w:rsidRDefault="00D603F5" w:rsidP="00AD795A">
      <w:pPr>
        <w:pStyle w:val="ListParagraph"/>
        <w:numPr>
          <w:ilvl w:val="0"/>
          <w:numId w:val="397"/>
        </w:numPr>
        <w:tabs>
          <w:tab w:val="left" w:pos="1134"/>
        </w:tabs>
        <w:ind w:left="0" w:firstLine="851"/>
      </w:pPr>
      <w:r w:rsidRPr="00AD795A">
        <w:t xml:space="preserve">да разглежда и одобрява докладите за напредъка по изпълнението на Споразумението за партньорство през 2017 и 2019 г., изготвени съгласно чл. 52 от Регламент (ЕС) № 1303/2013 на Европейския Парламент и на Съвета от 17 декември 2013 г.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 наричан по-нататък „Регламент (ЕС) № 1303/2013“; </w:t>
      </w:r>
    </w:p>
    <w:p w14:paraId="54595614" w14:textId="77777777" w:rsidR="00D603F5" w:rsidRPr="00AD795A" w:rsidRDefault="00D603F5" w:rsidP="00AD795A">
      <w:pPr>
        <w:pStyle w:val="ListParagraph"/>
        <w:numPr>
          <w:ilvl w:val="0"/>
          <w:numId w:val="397"/>
        </w:numPr>
        <w:tabs>
          <w:tab w:val="left" w:pos="1134"/>
        </w:tabs>
        <w:ind w:left="0" w:firstLine="851"/>
      </w:pPr>
      <w:r w:rsidRPr="00AD795A">
        <w:t xml:space="preserve">да разглежда информация от управляващите органи за изпълнението на съответните програми и приноса им за изпълнението на стратегическите приоритети на Споразумението за партньорство; </w:t>
      </w:r>
    </w:p>
    <w:p w14:paraId="02482798" w14:textId="77777777" w:rsidR="00D603F5" w:rsidRPr="00AD795A" w:rsidRDefault="00D603F5" w:rsidP="00AD795A">
      <w:pPr>
        <w:pStyle w:val="ListParagraph"/>
        <w:numPr>
          <w:ilvl w:val="0"/>
          <w:numId w:val="397"/>
        </w:numPr>
        <w:tabs>
          <w:tab w:val="left" w:pos="1134"/>
        </w:tabs>
        <w:ind w:left="0" w:firstLine="851"/>
      </w:pPr>
      <w:r w:rsidRPr="00AD795A">
        <w:t xml:space="preserve">да разглежда информация от сертифициращите органи по програмите, съфинансирани от Европейския фонд за регионално развитие, Европейския социален фонд, Кохезионния фонд и Европейския фонд за морско дело и рибарство и от Разплащателната агенция по Програмата за развитие на селските райони, за финансовото управление и изпълнение на помощта от Европейските структурни и инвестиционни фондове; </w:t>
      </w:r>
    </w:p>
    <w:p w14:paraId="25239C08" w14:textId="77777777" w:rsidR="00D603F5" w:rsidRPr="00AD795A" w:rsidRDefault="00D603F5" w:rsidP="00AD795A">
      <w:pPr>
        <w:pStyle w:val="ListParagraph"/>
        <w:numPr>
          <w:ilvl w:val="0"/>
          <w:numId w:val="397"/>
        </w:numPr>
        <w:tabs>
          <w:tab w:val="left" w:pos="1134"/>
        </w:tabs>
        <w:ind w:left="0" w:firstLine="851"/>
      </w:pPr>
      <w:r w:rsidRPr="00AD795A">
        <w:t xml:space="preserve">да разглежда информация за заключенията и препоръките от годишните контролни доклади по програмите, изготвени от одитния орган по програмите, съфинансирани от Европейския фонд за регионално развитие, Европейския социален фонд, Кохезионния фонд и Европейския фонд за морско дело и рибарство, съответно от сертифициращия орган - за Програмата за развитие на селските райони; </w:t>
      </w:r>
    </w:p>
    <w:p w14:paraId="6225A005" w14:textId="77777777" w:rsidR="00D603F5" w:rsidRPr="00AD795A" w:rsidRDefault="00D603F5" w:rsidP="00AD795A">
      <w:pPr>
        <w:pStyle w:val="ListParagraph"/>
        <w:numPr>
          <w:ilvl w:val="0"/>
          <w:numId w:val="397"/>
        </w:numPr>
        <w:tabs>
          <w:tab w:val="left" w:pos="1134"/>
        </w:tabs>
        <w:ind w:left="0" w:firstLine="851"/>
      </w:pPr>
      <w:r w:rsidRPr="00AD795A">
        <w:t xml:space="preserve">да следи за напредъка в изпълнението на предварителните условия, които не са изпълнени към датата на одобрението от Европейската комисия на Споразумението за партньорство; </w:t>
      </w:r>
    </w:p>
    <w:p w14:paraId="5878CABD" w14:textId="77777777" w:rsidR="00D603F5" w:rsidRPr="00AD795A" w:rsidRDefault="00D603F5" w:rsidP="00AD795A">
      <w:pPr>
        <w:pStyle w:val="ListParagraph"/>
        <w:numPr>
          <w:ilvl w:val="0"/>
          <w:numId w:val="397"/>
        </w:numPr>
        <w:tabs>
          <w:tab w:val="left" w:pos="1134"/>
        </w:tabs>
        <w:ind w:left="0" w:firstLine="851"/>
      </w:pPr>
      <w:r w:rsidRPr="00AD795A">
        <w:t xml:space="preserve">да одобрява и следи изпълнението на плана за оценка на Споразумението за партньорство и да се информира от Централното координационно звено за резултатите, заключенията и препоръките от извършените оценки; </w:t>
      </w:r>
    </w:p>
    <w:p w14:paraId="2D069638" w14:textId="77777777" w:rsidR="00D603F5" w:rsidRPr="00AD795A" w:rsidRDefault="00D603F5" w:rsidP="00AD795A">
      <w:pPr>
        <w:pStyle w:val="ListParagraph"/>
        <w:numPr>
          <w:ilvl w:val="0"/>
          <w:numId w:val="397"/>
        </w:numPr>
        <w:tabs>
          <w:tab w:val="left" w:pos="1134"/>
        </w:tabs>
        <w:ind w:left="0" w:firstLine="851"/>
      </w:pPr>
      <w:r w:rsidRPr="00AD795A">
        <w:t xml:space="preserve">да одобрява Националната комуникационна стратегия за програмен период 2014-2020 г. след съгласуване с комитетите по чл. 10, както и измененията в нея, и да следи за изпълнението й; </w:t>
      </w:r>
    </w:p>
    <w:p w14:paraId="70BDA8D9" w14:textId="77777777" w:rsidR="00D603F5" w:rsidRPr="00AD795A" w:rsidRDefault="00D603F5" w:rsidP="00AD795A">
      <w:pPr>
        <w:pStyle w:val="ListParagraph"/>
        <w:numPr>
          <w:ilvl w:val="0"/>
          <w:numId w:val="397"/>
        </w:numPr>
        <w:tabs>
          <w:tab w:val="left" w:pos="1134"/>
        </w:tabs>
        <w:ind w:left="0" w:firstLine="851"/>
      </w:pPr>
      <w:r w:rsidRPr="00AD795A">
        <w:lastRenderedPageBreak/>
        <w:t xml:space="preserve">да наблюдава общия напредък по рамките за изпълнение на отделните програми и да разглежда и одобрява национално предложение за разпределение на средствата от резерва за изпълнение между отделните програми; </w:t>
      </w:r>
    </w:p>
    <w:p w14:paraId="37038A1D" w14:textId="77777777" w:rsidR="00D603F5" w:rsidRPr="00AD795A" w:rsidRDefault="00D603F5" w:rsidP="00AD795A">
      <w:pPr>
        <w:pStyle w:val="ListParagraph"/>
        <w:numPr>
          <w:ilvl w:val="0"/>
          <w:numId w:val="397"/>
        </w:numPr>
        <w:tabs>
          <w:tab w:val="left" w:pos="1134"/>
        </w:tabs>
        <w:ind w:left="0" w:firstLine="851"/>
      </w:pPr>
      <w:r w:rsidRPr="00AD795A">
        <w:t xml:space="preserve">да разглежда и одобрява предложения за изпълнение на регионални стратегии за развитие чрез интегрирани териториални инвестиции, за които се предвижда финансиране по повече от една от програмите, съфинансирани от Европейските структурни и инвестиционни фондове; </w:t>
      </w:r>
    </w:p>
    <w:p w14:paraId="1DD648FD" w14:textId="77777777" w:rsidR="00D603F5" w:rsidRPr="00AD795A" w:rsidRDefault="00D603F5" w:rsidP="00AD795A">
      <w:pPr>
        <w:pStyle w:val="ListParagraph"/>
        <w:numPr>
          <w:ilvl w:val="0"/>
          <w:numId w:val="397"/>
        </w:numPr>
        <w:tabs>
          <w:tab w:val="left" w:pos="1134"/>
        </w:tabs>
        <w:ind w:left="0" w:firstLine="851"/>
      </w:pPr>
      <w:r w:rsidRPr="00AD795A">
        <w:t>да разглежда и други въпроси, свързани с изпълнението на Споразумението за партньорство.</w:t>
      </w:r>
    </w:p>
    <w:p w14:paraId="40BACC34" w14:textId="77777777" w:rsidR="00D603F5" w:rsidRPr="001B0EA3" w:rsidRDefault="00D603F5" w:rsidP="00AD795A">
      <w:r w:rsidRPr="001B0EA3">
        <w:t>Съставът и начина на работа на Комитета са подробно описани в чл.3-9 на ПМС №79 от 2014г.</w:t>
      </w:r>
    </w:p>
    <w:p w14:paraId="5938CCDE" w14:textId="77777777" w:rsidR="00D603F5" w:rsidRPr="001B0EA3" w:rsidRDefault="00D603F5" w:rsidP="00AD795A">
      <w:r w:rsidRPr="001B0EA3">
        <w:t xml:space="preserve">Координацията, административната и организационно-техническата работа, свързани с дейността на Комитета, се извършват от </w:t>
      </w:r>
      <w:r w:rsidRPr="001B0EA3">
        <w:rPr>
          <w:b/>
        </w:rPr>
        <w:t>Секретариат</w:t>
      </w:r>
      <w:r w:rsidRPr="001B0EA3">
        <w:t xml:space="preserve">. Функциите на Секретариат се изпълняват от дирекция </w:t>
      </w:r>
      <w:r w:rsidRPr="001B0EA3">
        <w:rPr>
          <w:b/>
        </w:rPr>
        <w:t>„</w:t>
      </w:r>
      <w:r w:rsidR="00A91080" w:rsidRPr="001B0EA3">
        <w:rPr>
          <w:b/>
        </w:rPr>
        <w:t>Централно координационно звено</w:t>
      </w:r>
      <w:r w:rsidRPr="001B0EA3">
        <w:rPr>
          <w:b/>
        </w:rPr>
        <w:t xml:space="preserve">“ </w:t>
      </w:r>
      <w:r w:rsidRPr="001B0EA3">
        <w:t xml:space="preserve">в администрацията на </w:t>
      </w:r>
      <w:r w:rsidRPr="001B0EA3">
        <w:rPr>
          <w:b/>
        </w:rPr>
        <w:t>Министерския съвет.</w:t>
      </w:r>
    </w:p>
    <w:p w14:paraId="731842A7" w14:textId="77777777" w:rsidR="00D603F5" w:rsidRPr="001B0EA3" w:rsidRDefault="00D603F5" w:rsidP="00AD795A">
      <w:r w:rsidRPr="001B0EA3">
        <w:t xml:space="preserve">Комитетът за наблюдение на Споразумението за партньорство заседава най-малко веднъж в годината. </w:t>
      </w:r>
    </w:p>
    <w:p w14:paraId="04C1F0FD" w14:textId="77777777" w:rsidR="00D603F5" w:rsidRPr="001B0EA3" w:rsidRDefault="00D603F5" w:rsidP="00AD795A">
      <w:r w:rsidRPr="001B0EA3">
        <w:t xml:space="preserve">За по-голяма оперативност на работата си, Комитетът може да създава при необходимост постоянни и временни подкомитети по специфични и текущи въпроси. Възможността за създаването на такива подкомитети, техният състав, отговорности и задачи се уреждат във вътрешните правила за работа на Комитета. </w:t>
      </w:r>
    </w:p>
    <w:p w14:paraId="1F46D82E" w14:textId="77777777" w:rsidR="00D603F5" w:rsidRPr="001B0EA3" w:rsidRDefault="00D603F5" w:rsidP="00ED358C">
      <w:pPr>
        <w:pStyle w:val="Style3"/>
      </w:pPr>
      <w:bookmarkStart w:id="284" w:name="_Toc479775557"/>
      <w:r w:rsidRPr="001B0EA3">
        <w:t>Комитет за наблюдение на ОПТТИ</w:t>
      </w:r>
      <w:bookmarkEnd w:id="284"/>
    </w:p>
    <w:p w14:paraId="7BE00E03" w14:textId="77777777" w:rsidR="00D603F5" w:rsidRPr="001B0EA3" w:rsidRDefault="00D603F5" w:rsidP="00AD795A">
      <w:r w:rsidRPr="001B0EA3">
        <w:t xml:space="preserve">В съответствие с чл. 47 от Регламент 1303/2013, Комитетът за наблюдение на ОПТТИ следва да бъде създаден в рамките на 3 месеца, считано от датата на нотифициране на държавата-членка за решението на Комисията за одобрение на програмата.  </w:t>
      </w:r>
    </w:p>
    <w:p w14:paraId="5D8676DC" w14:textId="77777777" w:rsidR="00D52B4B" w:rsidRPr="001B0EA3" w:rsidRDefault="00D52B4B" w:rsidP="00AD795A">
      <w:r w:rsidRPr="001B0EA3">
        <w:t xml:space="preserve">Първото заседание на КН на ОПТТИ е проведено на 19.11.2014 г.  </w:t>
      </w:r>
    </w:p>
    <w:p w14:paraId="0A8AB3D0" w14:textId="77777777" w:rsidR="00D603F5" w:rsidRPr="001B0EA3" w:rsidRDefault="00D52B4B" w:rsidP="00AD795A">
      <w:r w:rsidRPr="001B0EA3">
        <w:t>Председател на Комитета за наблюдение е ръководителят на Управляващия орган на ОПТТИ. При отсъствие на председателя заседанието на КН се председателства от представител на УО на ОПТТИ, посочен в заповедта за определяне на състава на КН.</w:t>
      </w:r>
    </w:p>
    <w:p w14:paraId="0620D688" w14:textId="77777777" w:rsidR="00D52B4B" w:rsidRPr="001B0EA3" w:rsidRDefault="00D52B4B" w:rsidP="00AD795A"/>
    <w:p w14:paraId="34D2DA13" w14:textId="77777777" w:rsidR="00D603F5" w:rsidRPr="00AD795A" w:rsidRDefault="00D603F5" w:rsidP="00AD795A">
      <w:pPr>
        <w:rPr>
          <w:b/>
        </w:rPr>
      </w:pPr>
      <w:r w:rsidRPr="00AD795A">
        <w:rPr>
          <w:b/>
        </w:rPr>
        <w:t>Членове на Комитета за наблюдение на програмата с право на глас са (съгласно ПМС № 79 от 2014 г.):</w:t>
      </w:r>
    </w:p>
    <w:p w14:paraId="1804ED5C" w14:textId="77777777" w:rsidR="00D603F5" w:rsidRPr="001B0EA3" w:rsidRDefault="00D603F5" w:rsidP="00AD795A">
      <w:pPr>
        <w:pStyle w:val="ListParagraph"/>
        <w:numPr>
          <w:ilvl w:val="0"/>
          <w:numId w:val="399"/>
        </w:numPr>
        <w:tabs>
          <w:tab w:val="left" w:pos="1276"/>
        </w:tabs>
        <w:ind w:left="0" w:firstLine="851"/>
        <w:rPr>
          <w:lang w:eastAsia="bg-BG"/>
        </w:rPr>
      </w:pPr>
      <w:r w:rsidRPr="001B0EA3">
        <w:rPr>
          <w:lang w:eastAsia="bg-BG"/>
        </w:rPr>
        <w:t xml:space="preserve">Ръководителите на управляващите органи на останалите програми, съфинансирани от Европейските структурни и инвестиционни фондове, директорът на дирекция „Координация на програми и проекти (УО на ОПТТИ), председателят на Комисията за защита от дискриминация, изпълнителният директор на Държавен фонд „Земеделие“, директорите на дирекции „Икономическа и социална политика“ и „Координация по въпросите на Европейския съюз” в администрацията на МС, представител на ЦКЗ в администрацията на МС, директорите на дирекции „Финанси на реалния сектор“ и „Икономическа и финансова политика” на МФ, представител на Секретариата на Националния съвет за сътрудничество по етническите и интеграционните въпроси; </w:t>
      </w:r>
    </w:p>
    <w:p w14:paraId="1012AFD3" w14:textId="77777777" w:rsidR="00D603F5" w:rsidRPr="001B0EA3" w:rsidRDefault="00D603F5" w:rsidP="00AD795A">
      <w:pPr>
        <w:pStyle w:val="ListParagraph"/>
        <w:numPr>
          <w:ilvl w:val="0"/>
          <w:numId w:val="399"/>
        </w:numPr>
        <w:tabs>
          <w:tab w:val="left" w:pos="1276"/>
        </w:tabs>
        <w:ind w:left="0" w:firstLine="851"/>
        <w:rPr>
          <w:lang w:eastAsia="bg-BG"/>
        </w:rPr>
      </w:pPr>
      <w:r w:rsidRPr="001B0EA3">
        <w:rPr>
          <w:lang w:eastAsia="bg-BG"/>
        </w:rPr>
        <w:t>представител на Националния статистически институт;</w:t>
      </w:r>
    </w:p>
    <w:p w14:paraId="37EFFD7B" w14:textId="77777777" w:rsidR="00D603F5" w:rsidRPr="001B0EA3" w:rsidRDefault="00D603F5" w:rsidP="00AD795A">
      <w:pPr>
        <w:pStyle w:val="ListParagraph"/>
        <w:numPr>
          <w:ilvl w:val="0"/>
          <w:numId w:val="399"/>
        </w:numPr>
        <w:tabs>
          <w:tab w:val="left" w:pos="1276"/>
        </w:tabs>
        <w:ind w:left="0" w:firstLine="851"/>
        <w:rPr>
          <w:lang w:eastAsia="bg-BG"/>
        </w:rPr>
      </w:pPr>
      <w:r w:rsidRPr="001B0EA3">
        <w:rPr>
          <w:lang w:eastAsia="bg-BG"/>
        </w:rPr>
        <w:t>по един представител на ведомствата, отговорни за политиките, по които ще се финансират мерки от съответна програма;</w:t>
      </w:r>
    </w:p>
    <w:p w14:paraId="0CDC2AA2" w14:textId="77777777" w:rsidR="00D603F5" w:rsidRPr="001B0EA3" w:rsidRDefault="00D603F5" w:rsidP="00AD795A">
      <w:pPr>
        <w:pStyle w:val="ListParagraph"/>
        <w:numPr>
          <w:ilvl w:val="0"/>
          <w:numId w:val="399"/>
        </w:numPr>
        <w:tabs>
          <w:tab w:val="left" w:pos="1276"/>
        </w:tabs>
        <w:ind w:left="0" w:firstLine="851"/>
        <w:rPr>
          <w:lang w:eastAsia="bg-BG"/>
        </w:rPr>
      </w:pPr>
      <w:r w:rsidRPr="001B0EA3">
        <w:rPr>
          <w:lang w:eastAsia="bg-BG"/>
        </w:rPr>
        <w:t>представител на Националното сдружение на общините в Република България;</w:t>
      </w:r>
    </w:p>
    <w:p w14:paraId="755C3F3F" w14:textId="77777777" w:rsidR="00D603F5" w:rsidRPr="001B0EA3" w:rsidRDefault="00D603F5" w:rsidP="00AD795A">
      <w:pPr>
        <w:pStyle w:val="ListParagraph"/>
        <w:numPr>
          <w:ilvl w:val="0"/>
          <w:numId w:val="399"/>
        </w:numPr>
        <w:tabs>
          <w:tab w:val="left" w:pos="1276"/>
        </w:tabs>
        <w:ind w:left="0" w:firstLine="851"/>
        <w:rPr>
          <w:lang w:eastAsia="bg-BG"/>
        </w:rPr>
      </w:pPr>
      <w:r w:rsidRPr="001B0EA3">
        <w:rPr>
          <w:lang w:eastAsia="bg-BG"/>
        </w:rPr>
        <w:t>по един представител на регионалните съвети за развитие в районите от ниво 2;</w:t>
      </w:r>
    </w:p>
    <w:p w14:paraId="6EF34F24" w14:textId="77777777" w:rsidR="00D603F5" w:rsidRPr="001B0EA3" w:rsidRDefault="00D603F5" w:rsidP="00AD795A">
      <w:pPr>
        <w:pStyle w:val="ListParagraph"/>
        <w:numPr>
          <w:ilvl w:val="0"/>
          <w:numId w:val="399"/>
        </w:numPr>
        <w:tabs>
          <w:tab w:val="left" w:pos="1276"/>
        </w:tabs>
        <w:ind w:left="0" w:firstLine="851"/>
        <w:rPr>
          <w:lang w:eastAsia="bg-BG"/>
        </w:rPr>
      </w:pPr>
      <w:r w:rsidRPr="001B0EA3">
        <w:rPr>
          <w:lang w:eastAsia="bg-BG"/>
        </w:rPr>
        <w:t>по един представител, определен от ръководните органи на всяка от национално представителните организации на работодателите и на работниците и служителите, признати от Министерския съвет по реда на Кодекса на труда;</w:t>
      </w:r>
    </w:p>
    <w:p w14:paraId="073010A4" w14:textId="77777777" w:rsidR="00D603F5" w:rsidRPr="001B0EA3" w:rsidRDefault="00D603F5" w:rsidP="00AD795A">
      <w:pPr>
        <w:pStyle w:val="ListParagraph"/>
        <w:numPr>
          <w:ilvl w:val="0"/>
          <w:numId w:val="399"/>
        </w:numPr>
        <w:tabs>
          <w:tab w:val="left" w:pos="1276"/>
        </w:tabs>
        <w:ind w:left="0" w:firstLine="851"/>
        <w:rPr>
          <w:lang w:eastAsia="bg-BG"/>
        </w:rPr>
      </w:pPr>
      <w:r w:rsidRPr="001B0EA3">
        <w:rPr>
          <w:lang w:eastAsia="bg-BG"/>
        </w:rPr>
        <w:lastRenderedPageBreak/>
        <w:t>представител на национално представителните организации на и за хората с увреждания, признати от Министерския съвет и по реда на Закона за интеграция на хората с увреждания;</w:t>
      </w:r>
    </w:p>
    <w:p w14:paraId="59FB2118" w14:textId="77777777" w:rsidR="00D603F5" w:rsidRPr="001B0EA3" w:rsidRDefault="00D603F5" w:rsidP="00AD795A">
      <w:pPr>
        <w:pStyle w:val="ListParagraph"/>
        <w:numPr>
          <w:ilvl w:val="0"/>
          <w:numId w:val="399"/>
        </w:numPr>
        <w:tabs>
          <w:tab w:val="left" w:pos="1276"/>
        </w:tabs>
        <w:ind w:left="0" w:firstLine="851"/>
        <w:rPr>
          <w:lang w:eastAsia="bg-BG"/>
        </w:rPr>
      </w:pPr>
      <w:r w:rsidRPr="001B0EA3">
        <w:rPr>
          <w:lang w:eastAsia="bg-BG"/>
        </w:rPr>
        <w:t>представител на академичната общност;</w:t>
      </w:r>
    </w:p>
    <w:p w14:paraId="1231746E" w14:textId="77777777" w:rsidR="00D603F5" w:rsidRPr="001B0EA3" w:rsidRDefault="00D603F5" w:rsidP="00AD795A">
      <w:pPr>
        <w:pStyle w:val="ListParagraph"/>
        <w:numPr>
          <w:ilvl w:val="0"/>
          <w:numId w:val="399"/>
        </w:numPr>
        <w:tabs>
          <w:tab w:val="left" w:pos="1276"/>
        </w:tabs>
        <w:ind w:left="0" w:firstLine="851"/>
        <w:rPr>
          <w:lang w:eastAsia="bg-BG"/>
        </w:rPr>
      </w:pPr>
      <w:r w:rsidRPr="001B0EA3">
        <w:rPr>
          <w:lang w:eastAsia="bg-BG"/>
        </w:rPr>
        <w:t xml:space="preserve">по един представител на следните групи юридически лица с нестопанска цел за обществено полезна дейност: </w:t>
      </w:r>
    </w:p>
    <w:p w14:paraId="0E4C6A38" w14:textId="77777777" w:rsidR="00D603F5" w:rsidRPr="001B0EA3" w:rsidRDefault="00D603F5" w:rsidP="00AD795A">
      <w:pPr>
        <w:pStyle w:val="ListParagraph"/>
        <w:numPr>
          <w:ilvl w:val="0"/>
          <w:numId w:val="400"/>
        </w:numPr>
      </w:pPr>
      <w:r w:rsidRPr="001B0EA3">
        <w:t>Организации, работещи в сферата на равенството между мъжете и жените, недискриминацията и равните възможности;</w:t>
      </w:r>
    </w:p>
    <w:p w14:paraId="24939A0C" w14:textId="77777777" w:rsidR="00D603F5" w:rsidRPr="001B0EA3" w:rsidRDefault="00D603F5" w:rsidP="00AD795A">
      <w:pPr>
        <w:pStyle w:val="ListParagraph"/>
        <w:numPr>
          <w:ilvl w:val="0"/>
          <w:numId w:val="400"/>
        </w:numPr>
      </w:pPr>
      <w:r w:rsidRPr="001B0EA3">
        <w:t xml:space="preserve">Организации, работещи в сферата на социалното включване и интегрирането на маргинализираните групи; </w:t>
      </w:r>
    </w:p>
    <w:p w14:paraId="4D897E93" w14:textId="77777777" w:rsidR="00D603F5" w:rsidRPr="001B0EA3" w:rsidRDefault="00D603F5" w:rsidP="00AD795A">
      <w:pPr>
        <w:pStyle w:val="ListParagraph"/>
        <w:numPr>
          <w:ilvl w:val="0"/>
          <w:numId w:val="400"/>
        </w:numPr>
      </w:pPr>
      <w:r w:rsidRPr="001B0EA3">
        <w:t>Екологични организации;</w:t>
      </w:r>
    </w:p>
    <w:p w14:paraId="2EC99A6E" w14:textId="77777777" w:rsidR="00D603F5" w:rsidRPr="001B0EA3" w:rsidRDefault="00D603F5" w:rsidP="00AD795A">
      <w:pPr>
        <w:pStyle w:val="ListParagraph"/>
        <w:numPr>
          <w:ilvl w:val="0"/>
          <w:numId w:val="400"/>
        </w:numPr>
      </w:pPr>
      <w:r w:rsidRPr="001B0EA3">
        <w:t>Организации, работещи в сферата на образованието, науката и културата;</w:t>
      </w:r>
    </w:p>
    <w:p w14:paraId="07363D50" w14:textId="77777777" w:rsidR="00D603F5" w:rsidRDefault="00D603F5" w:rsidP="00AD795A">
      <w:pPr>
        <w:pStyle w:val="ListParagraph"/>
        <w:numPr>
          <w:ilvl w:val="0"/>
          <w:numId w:val="400"/>
        </w:numPr>
      </w:pPr>
      <w:r w:rsidRPr="001B0EA3">
        <w:t>Организации работещи в сферата на Транспорта;</w:t>
      </w:r>
    </w:p>
    <w:p w14:paraId="46DAE740" w14:textId="77777777" w:rsidR="00AD795A" w:rsidRPr="001B0EA3" w:rsidRDefault="00AD795A" w:rsidP="00AD795A"/>
    <w:p w14:paraId="56E65D23" w14:textId="77777777" w:rsidR="00D52B4B" w:rsidRPr="00AD795A" w:rsidRDefault="00D52B4B" w:rsidP="00AD795A">
      <w:pPr>
        <w:rPr>
          <w:b/>
        </w:rPr>
      </w:pPr>
      <w:r w:rsidRPr="00AD795A">
        <w:rPr>
          <w:b/>
        </w:rPr>
        <w:t>В заседанията на Комитета за наблюдение на ОПТТИ като наблюдатели с право на съвещателен глас могат да участват:</w:t>
      </w:r>
    </w:p>
    <w:p w14:paraId="5E8FEE37" w14:textId="77777777" w:rsidR="00D52B4B" w:rsidRPr="001B0EA3" w:rsidRDefault="00D52B4B" w:rsidP="00AD795A">
      <w:pPr>
        <w:pStyle w:val="ListParagraph"/>
        <w:numPr>
          <w:ilvl w:val="0"/>
          <w:numId w:val="401"/>
        </w:numPr>
        <w:tabs>
          <w:tab w:val="left" w:pos="1134"/>
        </w:tabs>
        <w:ind w:left="0" w:firstLine="851"/>
      </w:pPr>
      <w:r w:rsidRPr="001B0EA3">
        <w:t>изпълнителният директор на Изпълнителна агенция "Одит на средствата от Европейския съюз" или определени от него служители на агенцията;</w:t>
      </w:r>
    </w:p>
    <w:p w14:paraId="52B2A067" w14:textId="77777777" w:rsidR="00D52B4B" w:rsidRPr="001B0EA3" w:rsidRDefault="00D52B4B" w:rsidP="00AD795A">
      <w:pPr>
        <w:pStyle w:val="ListParagraph"/>
        <w:numPr>
          <w:ilvl w:val="0"/>
          <w:numId w:val="401"/>
        </w:numPr>
        <w:tabs>
          <w:tab w:val="left" w:pos="1134"/>
        </w:tabs>
        <w:ind w:left="0" w:firstLine="851"/>
      </w:pPr>
      <w:r w:rsidRPr="001B0EA3">
        <w:t>изпълнителният директор на Агенцията по обществени поръчки или определени от него служители на агенцията;</w:t>
      </w:r>
    </w:p>
    <w:p w14:paraId="29C062E4" w14:textId="77777777" w:rsidR="00D52B4B" w:rsidRPr="001B0EA3" w:rsidRDefault="00D52B4B" w:rsidP="00AD795A">
      <w:pPr>
        <w:pStyle w:val="ListParagraph"/>
        <w:numPr>
          <w:ilvl w:val="0"/>
          <w:numId w:val="401"/>
        </w:numPr>
        <w:tabs>
          <w:tab w:val="left" w:pos="1134"/>
        </w:tabs>
        <w:ind w:left="0" w:firstLine="851"/>
      </w:pPr>
      <w:r w:rsidRPr="001B0EA3">
        <w:t>ръководителят на сертифициращия орган по програмите, съфинансирани от Европейския фонд за регионално развитие, Европейския социален фонд и Кохезионния фонд, или определени от него служители;</w:t>
      </w:r>
    </w:p>
    <w:p w14:paraId="549E85A4" w14:textId="77777777" w:rsidR="00D52B4B" w:rsidRPr="001B0EA3" w:rsidRDefault="00D52B4B" w:rsidP="00AD795A">
      <w:pPr>
        <w:pStyle w:val="ListParagraph"/>
        <w:numPr>
          <w:ilvl w:val="0"/>
          <w:numId w:val="401"/>
        </w:numPr>
        <w:tabs>
          <w:tab w:val="left" w:pos="1134"/>
        </w:tabs>
        <w:ind w:left="0" w:firstLine="851"/>
      </w:pPr>
      <w:r w:rsidRPr="001B0EA3">
        <w:t>представител/и на Европейската комисия;</w:t>
      </w:r>
    </w:p>
    <w:p w14:paraId="6079C2FC" w14:textId="77777777" w:rsidR="00D52B4B" w:rsidRPr="001B0EA3" w:rsidRDefault="00D52B4B" w:rsidP="00AD795A">
      <w:pPr>
        <w:pStyle w:val="ListParagraph"/>
        <w:numPr>
          <w:ilvl w:val="0"/>
          <w:numId w:val="401"/>
        </w:numPr>
        <w:tabs>
          <w:tab w:val="left" w:pos="1134"/>
        </w:tabs>
        <w:ind w:left="0" w:firstLine="851"/>
      </w:pPr>
      <w:r w:rsidRPr="001B0EA3">
        <w:t>представител/и на Европейската инвестиционна банка или на друга финансова институция (в случаите, в които съответната програма получава финансова помощ от Европейската инвестиционна банка или от друга финансова институция);</w:t>
      </w:r>
    </w:p>
    <w:p w14:paraId="3A3A38A8" w14:textId="77777777" w:rsidR="00D52B4B" w:rsidRDefault="00D52B4B" w:rsidP="00AD795A">
      <w:pPr>
        <w:pStyle w:val="ListParagraph"/>
        <w:numPr>
          <w:ilvl w:val="0"/>
          <w:numId w:val="401"/>
        </w:numPr>
        <w:tabs>
          <w:tab w:val="left" w:pos="1134"/>
        </w:tabs>
        <w:ind w:left="0" w:firstLine="851"/>
      </w:pPr>
      <w:r w:rsidRPr="001B0EA3">
        <w:t>представители на юридически лица с нестопанска цел, имащи отношение към мерките, които ще се изпъ</w:t>
      </w:r>
      <w:r w:rsidR="00AD795A">
        <w:t>лняват по съответната програма.</w:t>
      </w:r>
    </w:p>
    <w:p w14:paraId="669C4937" w14:textId="77777777" w:rsidR="00AD795A" w:rsidRPr="001B0EA3" w:rsidRDefault="00AD795A" w:rsidP="00AD795A">
      <w:pPr>
        <w:tabs>
          <w:tab w:val="left" w:pos="1134"/>
        </w:tabs>
      </w:pPr>
    </w:p>
    <w:p w14:paraId="14B1A810" w14:textId="77777777" w:rsidR="00D603F5" w:rsidRPr="00AD795A" w:rsidRDefault="00D603F5" w:rsidP="00AD795A">
      <w:pPr>
        <w:rPr>
          <w:b/>
        </w:rPr>
      </w:pPr>
      <w:r w:rsidRPr="00AD795A">
        <w:rPr>
          <w:b/>
        </w:rPr>
        <w:t>Комитетът за наблюдение има следните функции:</w:t>
      </w:r>
    </w:p>
    <w:p w14:paraId="7E89228F" w14:textId="77777777" w:rsidR="00D603F5" w:rsidRPr="001B0EA3" w:rsidRDefault="00D603F5" w:rsidP="00AD795A">
      <w:pPr>
        <w:pStyle w:val="ListParagraph"/>
        <w:numPr>
          <w:ilvl w:val="0"/>
          <w:numId w:val="402"/>
        </w:numPr>
        <w:tabs>
          <w:tab w:val="left" w:pos="1276"/>
        </w:tabs>
        <w:ind w:left="0" w:firstLine="851"/>
        <w:rPr>
          <w:lang w:eastAsia="bg-BG"/>
        </w:rPr>
      </w:pPr>
      <w:r w:rsidRPr="001B0EA3">
        <w:rPr>
          <w:lang w:eastAsia="bg-BG"/>
        </w:rPr>
        <w:t xml:space="preserve">Да разглежда и одобрява предложените от Ръководителя на Управляващия орган на ОПТТИ методология и критерии за подбор и оценка на операции, както и последващи изменения и допълнения в тях. Разглеждането и одобряването на изменения и допълнения в одобрените критерии за подбор и оценка на операции, се извършва след внасяне за разглеждане на мотивирано предложение от Ръководителя на УО на ОПТТИ. </w:t>
      </w:r>
    </w:p>
    <w:p w14:paraId="6DFFC35B" w14:textId="77777777" w:rsidR="00D603F5" w:rsidRPr="001B0EA3" w:rsidRDefault="00D603F5" w:rsidP="00AD795A">
      <w:pPr>
        <w:pStyle w:val="ListParagraph"/>
        <w:numPr>
          <w:ilvl w:val="0"/>
          <w:numId w:val="402"/>
        </w:numPr>
        <w:tabs>
          <w:tab w:val="left" w:pos="1276"/>
        </w:tabs>
        <w:ind w:left="0" w:firstLine="851"/>
        <w:rPr>
          <w:lang w:eastAsia="bg-BG"/>
        </w:rPr>
      </w:pPr>
      <w:r w:rsidRPr="001B0EA3">
        <w:rPr>
          <w:lang w:eastAsia="bg-BG"/>
        </w:rPr>
        <w:t xml:space="preserve">Разглежда и одобрява индикативната годишна работна програма, която се изготвя от УО на ОПТТИ, както и последващи изменения в нея. </w:t>
      </w:r>
    </w:p>
    <w:p w14:paraId="07F65A32" w14:textId="77777777" w:rsidR="00D603F5" w:rsidRPr="001B0EA3" w:rsidRDefault="00D603F5" w:rsidP="00AD795A">
      <w:pPr>
        <w:pStyle w:val="ListParagraph"/>
        <w:numPr>
          <w:ilvl w:val="0"/>
          <w:numId w:val="402"/>
        </w:numPr>
        <w:tabs>
          <w:tab w:val="left" w:pos="1276"/>
        </w:tabs>
        <w:ind w:left="0" w:firstLine="851"/>
        <w:rPr>
          <w:lang w:eastAsia="bg-BG"/>
        </w:rPr>
      </w:pPr>
      <w:r w:rsidRPr="001B0EA3">
        <w:rPr>
          <w:lang w:eastAsia="bg-BG"/>
        </w:rPr>
        <w:t xml:space="preserve">Да разглежда обосновани предложения и да взема решения за прекратяване на процедури за директно предоставяне, в случай, че това е приложимо.  </w:t>
      </w:r>
    </w:p>
    <w:p w14:paraId="10EEE571" w14:textId="77777777" w:rsidR="00D603F5" w:rsidRPr="001B0EA3" w:rsidRDefault="00D603F5" w:rsidP="00AD795A">
      <w:pPr>
        <w:pStyle w:val="ListParagraph"/>
        <w:numPr>
          <w:ilvl w:val="0"/>
          <w:numId w:val="402"/>
        </w:numPr>
        <w:tabs>
          <w:tab w:val="left" w:pos="1276"/>
        </w:tabs>
        <w:ind w:left="0" w:firstLine="851"/>
        <w:rPr>
          <w:lang w:eastAsia="bg-BG"/>
        </w:rPr>
      </w:pPr>
      <w:r w:rsidRPr="001B0EA3">
        <w:rPr>
          <w:lang w:eastAsia="bg-BG"/>
        </w:rPr>
        <w:t>Разглежда изпълнението на програмата и следи напредъка, докладван от УО на ОПТТИ, в постигането на целите и приоритетите на ОПТТИ, въз основа на дефинираните в нея индикатори, включително индикаторите, заложени в рамката за изпълнение.</w:t>
      </w:r>
    </w:p>
    <w:p w14:paraId="37E4D926" w14:textId="77777777" w:rsidR="00D603F5" w:rsidRPr="001B0EA3" w:rsidRDefault="00D603F5" w:rsidP="00AD795A">
      <w:pPr>
        <w:pStyle w:val="ListParagraph"/>
        <w:numPr>
          <w:ilvl w:val="0"/>
          <w:numId w:val="402"/>
        </w:numPr>
        <w:tabs>
          <w:tab w:val="left" w:pos="1276"/>
        </w:tabs>
        <w:ind w:left="0" w:firstLine="851"/>
        <w:rPr>
          <w:lang w:eastAsia="bg-BG"/>
        </w:rPr>
      </w:pPr>
      <w:r w:rsidRPr="001B0EA3">
        <w:rPr>
          <w:lang w:eastAsia="bg-BG"/>
        </w:rPr>
        <w:t xml:space="preserve">Разглежда и одобрява годишните доклади и окончателния доклад за изпълнението на ОПТТИ, изготвени от УО на ОПТТИ. </w:t>
      </w:r>
    </w:p>
    <w:p w14:paraId="616B4A03" w14:textId="77777777" w:rsidR="00D603F5" w:rsidRPr="001B0EA3" w:rsidRDefault="00D603F5" w:rsidP="00AD795A">
      <w:pPr>
        <w:pStyle w:val="ListParagraph"/>
        <w:numPr>
          <w:ilvl w:val="0"/>
          <w:numId w:val="402"/>
        </w:numPr>
        <w:tabs>
          <w:tab w:val="left" w:pos="1276"/>
        </w:tabs>
        <w:ind w:left="0" w:firstLine="851"/>
        <w:rPr>
          <w:lang w:eastAsia="bg-BG"/>
        </w:rPr>
      </w:pPr>
      <w:r w:rsidRPr="001B0EA3">
        <w:rPr>
          <w:lang w:eastAsia="bg-BG"/>
        </w:rPr>
        <w:t>Одобрява и следи изпълнението на плана за оценка на ОПТТИ и разглежда информация от УО за резултатите, заключенията и препоръките от извършените оценки, както и за действията, предприети за изпълнение на препоръките.</w:t>
      </w:r>
    </w:p>
    <w:p w14:paraId="6C0352AB" w14:textId="77777777" w:rsidR="00D603F5" w:rsidRPr="001B0EA3" w:rsidRDefault="00D603F5" w:rsidP="00AD795A">
      <w:pPr>
        <w:pStyle w:val="ListParagraph"/>
        <w:numPr>
          <w:ilvl w:val="0"/>
          <w:numId w:val="402"/>
        </w:numPr>
        <w:tabs>
          <w:tab w:val="left" w:pos="1276"/>
        </w:tabs>
        <w:ind w:left="0" w:firstLine="851"/>
        <w:rPr>
          <w:lang w:eastAsia="bg-BG"/>
        </w:rPr>
      </w:pPr>
      <w:r w:rsidRPr="001B0EA3">
        <w:rPr>
          <w:lang w:eastAsia="bg-BG"/>
        </w:rPr>
        <w:t>Да се информира за напредъка в изпълнението на приложимите предварителни условия, които не са изпълнени към датата на одобрението от Европейската комисия на ОПТТИ.</w:t>
      </w:r>
    </w:p>
    <w:p w14:paraId="56875471" w14:textId="77777777" w:rsidR="00D603F5" w:rsidRPr="001B0EA3" w:rsidRDefault="00D603F5" w:rsidP="00AD795A">
      <w:pPr>
        <w:pStyle w:val="ListParagraph"/>
        <w:numPr>
          <w:ilvl w:val="0"/>
          <w:numId w:val="402"/>
        </w:numPr>
        <w:tabs>
          <w:tab w:val="left" w:pos="1276"/>
        </w:tabs>
        <w:ind w:left="0" w:firstLine="851"/>
        <w:rPr>
          <w:lang w:eastAsia="bg-BG"/>
        </w:rPr>
      </w:pPr>
      <w:r w:rsidRPr="001B0EA3">
        <w:rPr>
          <w:lang w:eastAsia="bg-BG"/>
        </w:rPr>
        <w:lastRenderedPageBreak/>
        <w:t>Разглежда информация за заключенията и препоръките от годишните контролни доклади за изпълнението на ОПТТИ.</w:t>
      </w:r>
    </w:p>
    <w:p w14:paraId="20BF69AA" w14:textId="77777777" w:rsidR="00D603F5" w:rsidRPr="001B0EA3" w:rsidRDefault="00D603F5" w:rsidP="00AD795A">
      <w:pPr>
        <w:pStyle w:val="ListParagraph"/>
        <w:numPr>
          <w:ilvl w:val="0"/>
          <w:numId w:val="402"/>
        </w:numPr>
        <w:tabs>
          <w:tab w:val="left" w:pos="1276"/>
        </w:tabs>
        <w:ind w:left="0" w:firstLine="851"/>
        <w:rPr>
          <w:lang w:eastAsia="bg-BG"/>
        </w:rPr>
      </w:pPr>
      <w:r w:rsidRPr="001B0EA3">
        <w:rPr>
          <w:lang w:eastAsia="bg-BG"/>
        </w:rPr>
        <w:t>Разглежда информация от Сертифициращия орган за финансовото управление и изпълнение на ОПТТИ.</w:t>
      </w:r>
    </w:p>
    <w:p w14:paraId="6A4566D6" w14:textId="77777777" w:rsidR="00D603F5" w:rsidRPr="001B0EA3" w:rsidRDefault="00D603F5" w:rsidP="00AD795A">
      <w:pPr>
        <w:pStyle w:val="ListParagraph"/>
        <w:numPr>
          <w:ilvl w:val="0"/>
          <w:numId w:val="402"/>
        </w:numPr>
        <w:tabs>
          <w:tab w:val="left" w:pos="1276"/>
        </w:tabs>
        <w:ind w:left="0" w:firstLine="851"/>
        <w:rPr>
          <w:lang w:eastAsia="bg-BG"/>
        </w:rPr>
      </w:pPr>
      <w:r w:rsidRPr="001B0EA3">
        <w:rPr>
          <w:lang w:eastAsia="bg-BG"/>
        </w:rPr>
        <w:t>Съгласува Националната комуникационна стратегия за програмен период 2014 – 2020 г., както и измененията в нея, и я предлага за одобрение от Комитета за наблюдение на Споразумението за партньорство.</w:t>
      </w:r>
    </w:p>
    <w:p w14:paraId="038715E8" w14:textId="77777777" w:rsidR="00D603F5" w:rsidRPr="001B0EA3" w:rsidRDefault="00D603F5" w:rsidP="00AD795A">
      <w:pPr>
        <w:pStyle w:val="ListParagraph"/>
        <w:numPr>
          <w:ilvl w:val="0"/>
          <w:numId w:val="402"/>
        </w:numPr>
        <w:tabs>
          <w:tab w:val="left" w:pos="1276"/>
        </w:tabs>
        <w:ind w:left="0" w:firstLine="851"/>
        <w:rPr>
          <w:lang w:eastAsia="bg-BG"/>
        </w:rPr>
      </w:pPr>
      <w:r w:rsidRPr="001B0EA3">
        <w:rPr>
          <w:lang w:eastAsia="bg-BG"/>
        </w:rPr>
        <w:t>Разглежда информация за годишните планове за действие за мерките по информация и комуникация на ОПТТИ в изпълнение на Националната комуникационна стратегия за програмен период 2014 – 2020 г., които се изготвят от управляващия орган; ежегодно разглежда информация за тяхното изпълнение, както и анализа, изготвен от УО, за резултатите от предприетите информационни и комуникационни дейности.</w:t>
      </w:r>
    </w:p>
    <w:p w14:paraId="706029EA" w14:textId="77777777" w:rsidR="00D603F5" w:rsidRPr="001B0EA3" w:rsidRDefault="00D603F5" w:rsidP="00AD795A">
      <w:pPr>
        <w:pStyle w:val="ListParagraph"/>
        <w:numPr>
          <w:ilvl w:val="0"/>
          <w:numId w:val="402"/>
        </w:numPr>
        <w:tabs>
          <w:tab w:val="left" w:pos="1276"/>
        </w:tabs>
        <w:ind w:left="0" w:firstLine="851"/>
        <w:rPr>
          <w:lang w:eastAsia="bg-BG"/>
        </w:rPr>
      </w:pPr>
      <w:r w:rsidRPr="001B0EA3">
        <w:rPr>
          <w:lang w:eastAsia="bg-BG"/>
        </w:rPr>
        <w:t>Разглежда информация за одобрени големи проекти по смисъла на чл. 100 от Регламент (ЕС) № 1303/2013 и следи за напредъка в изпълнението им.</w:t>
      </w:r>
    </w:p>
    <w:p w14:paraId="3434DE89" w14:textId="77777777" w:rsidR="00D603F5" w:rsidRPr="001B0EA3" w:rsidRDefault="00D603F5" w:rsidP="00AD795A">
      <w:pPr>
        <w:pStyle w:val="ListParagraph"/>
        <w:numPr>
          <w:ilvl w:val="0"/>
          <w:numId w:val="402"/>
        </w:numPr>
        <w:tabs>
          <w:tab w:val="left" w:pos="1276"/>
        </w:tabs>
        <w:ind w:left="0" w:firstLine="851"/>
        <w:rPr>
          <w:lang w:eastAsia="bg-BG"/>
        </w:rPr>
      </w:pPr>
      <w:r w:rsidRPr="001B0EA3">
        <w:rPr>
          <w:lang w:eastAsia="bg-BG"/>
        </w:rPr>
        <w:t xml:space="preserve">Разглежда и одобрява предложения за изменения на ОПТТИ, включително за преразпределение на средства по приоритетните оси на програмата; в случаите по чл. 2, ал. 1, т. 3 на Постановление № 79 на МС от 2014 г.  председателят на Комитета за наблюдение на ОПТТИ представя на членовете на КН на ОПТТИ решението за информация. </w:t>
      </w:r>
    </w:p>
    <w:p w14:paraId="6B49F03B" w14:textId="77777777" w:rsidR="00D603F5" w:rsidRPr="001B0EA3" w:rsidRDefault="00D603F5" w:rsidP="00AD795A">
      <w:pPr>
        <w:pStyle w:val="ListParagraph"/>
        <w:numPr>
          <w:ilvl w:val="0"/>
          <w:numId w:val="402"/>
        </w:numPr>
        <w:tabs>
          <w:tab w:val="left" w:pos="1276"/>
        </w:tabs>
        <w:ind w:left="0" w:firstLine="851"/>
        <w:rPr>
          <w:lang w:eastAsia="bg-BG"/>
        </w:rPr>
      </w:pPr>
      <w:r w:rsidRPr="001B0EA3">
        <w:rPr>
          <w:lang w:eastAsia="bg-BG"/>
        </w:rPr>
        <w:t>Следи за прилагането от УО на ОПТТИ на принципите на устойчивото развитие, включително опазване на околната среда, на равенството между мъжете и жените, на равните възможности и недискриминацията, включително достъпност за хора с увреждания.</w:t>
      </w:r>
    </w:p>
    <w:p w14:paraId="0E91E5B2" w14:textId="77777777" w:rsidR="00D603F5" w:rsidRPr="001B0EA3" w:rsidRDefault="00D603F5" w:rsidP="00AD795A">
      <w:pPr>
        <w:pStyle w:val="ListParagraph"/>
        <w:numPr>
          <w:ilvl w:val="0"/>
          <w:numId w:val="402"/>
        </w:numPr>
        <w:tabs>
          <w:tab w:val="left" w:pos="1276"/>
        </w:tabs>
        <w:ind w:left="0" w:firstLine="851"/>
        <w:rPr>
          <w:lang w:eastAsia="bg-BG"/>
        </w:rPr>
      </w:pPr>
      <w:r w:rsidRPr="001B0EA3">
        <w:rPr>
          <w:lang w:eastAsia="bg-BG"/>
        </w:rPr>
        <w:t>Разглежда и други въпроси, свързани с изпълнението на ОПТТИ.</w:t>
      </w:r>
    </w:p>
    <w:p w14:paraId="0E25A4A0" w14:textId="77777777" w:rsidR="00D603F5" w:rsidRPr="001B0EA3" w:rsidRDefault="00D603F5" w:rsidP="00AD795A">
      <w:r w:rsidRPr="001B0EA3">
        <w:tab/>
      </w:r>
    </w:p>
    <w:p w14:paraId="55294220" w14:textId="4528D884" w:rsidR="00D52B4B" w:rsidRPr="001B0EA3" w:rsidRDefault="00D603F5" w:rsidP="00AD795A">
      <w:r w:rsidRPr="001B0EA3">
        <w:t>Комитетът за наблюдение на ОПТТИ одобрява свои вътрешни правила за работа и кодекс на поведение. Същите бяха приети на първото заседание на КН на ОПТТИ (19.11.2014 г.).</w:t>
      </w:r>
      <w:r w:rsidR="00D52B4B" w:rsidRPr="001B0EA3">
        <w:t xml:space="preserve"> Актуална версия на вътрешни правила за работа и кодекс на поведение на КН на ОПТТИ  са публикувани официалната интернет страница на О</w:t>
      </w:r>
      <w:r w:rsidR="0002462E" w:rsidRPr="001B0EA3">
        <w:t>ПТТИ (</w:t>
      </w:r>
      <w:hyperlink r:id="rId35" w:history="1">
        <w:r w:rsidR="00D34044" w:rsidRPr="000441D0">
          <w:rPr>
            <w:rStyle w:val="Hyperlink"/>
            <w:szCs w:val="24"/>
          </w:rPr>
          <w:t>http://</w:t>
        </w:r>
        <w:r w:rsidR="009D6A2A">
          <w:rPr>
            <w:rStyle w:val="Hyperlink"/>
            <w:szCs w:val="24"/>
          </w:rPr>
          <w:t>www.eufunds.bg/optti</w:t>
        </w:r>
      </w:hyperlink>
      <w:r w:rsidR="0002462E" w:rsidRPr="001B0EA3">
        <w:t xml:space="preserve"> </w:t>
      </w:r>
      <w:r w:rsidR="00D52B4B" w:rsidRPr="001B0EA3">
        <w:t>) Подсекция Процедурни правила  в секция КН на ОПТТИ</w:t>
      </w:r>
      <w:r w:rsidR="0002462E" w:rsidRPr="001B0EA3">
        <w:t>.</w:t>
      </w:r>
    </w:p>
    <w:p w14:paraId="2ADAA1B7" w14:textId="77777777" w:rsidR="00D603F5" w:rsidRPr="001B0EA3" w:rsidRDefault="00D603F5" w:rsidP="00AD795A">
      <w:pPr>
        <w:rPr>
          <w:highlight w:val="darkMagenta"/>
        </w:rPr>
      </w:pPr>
    </w:p>
    <w:p w14:paraId="207AA606" w14:textId="77777777" w:rsidR="00D603F5" w:rsidRPr="00AD795A" w:rsidRDefault="00D603F5" w:rsidP="00AD795A">
      <w:pPr>
        <w:rPr>
          <w:b/>
          <w:u w:val="single"/>
        </w:rPr>
      </w:pPr>
      <w:r w:rsidRPr="00AD795A">
        <w:rPr>
          <w:b/>
          <w:u w:val="single"/>
        </w:rPr>
        <w:t>Процедурни правила за работа на КН на ОПТТИ</w:t>
      </w:r>
      <w:r w:rsidRPr="00AD795A">
        <w:rPr>
          <w:b/>
          <w:u w:val="single"/>
        </w:rPr>
        <w:tab/>
      </w:r>
    </w:p>
    <w:p w14:paraId="1C400508" w14:textId="77777777" w:rsidR="00D603F5" w:rsidRPr="001B0EA3" w:rsidRDefault="00D603F5" w:rsidP="00AD795A">
      <w:r w:rsidRPr="001B0EA3">
        <w:t xml:space="preserve">КН на ОПТТИ приема свои процедурни правила по предложение на Ръководителя на УО на ОПТТИ. </w:t>
      </w:r>
    </w:p>
    <w:p w14:paraId="5F0DB701" w14:textId="77777777" w:rsidR="00D603F5" w:rsidRPr="001B0EA3" w:rsidRDefault="00D603F5" w:rsidP="00AD795A">
      <w:r w:rsidRPr="001B0EA3">
        <w:t>Заседания на Комитета за наблюдение на програмата се свикват най-малко два пъти в годината по инициатива на председателя му.</w:t>
      </w:r>
    </w:p>
    <w:p w14:paraId="2C329CEC" w14:textId="77777777" w:rsidR="00D603F5" w:rsidRPr="001B0EA3" w:rsidRDefault="00D603F5" w:rsidP="00AD795A">
      <w:r w:rsidRPr="001B0EA3">
        <w:t>По искане най-малко на една трета от членовете на КН на ОПТТИ или по инициатива на ЕК могат да бъдат насрочвани извънредни заседания.</w:t>
      </w:r>
    </w:p>
    <w:p w14:paraId="2CBAD15E" w14:textId="77777777" w:rsidR="00D603F5" w:rsidRPr="001B0EA3" w:rsidRDefault="00D603F5" w:rsidP="00AD795A">
      <w:r w:rsidRPr="001B0EA3">
        <w:t>Заседанията са редовни, ако на тях присъстват повече от половината от членовете му или съответните им заместници с право на глас.</w:t>
      </w:r>
    </w:p>
    <w:p w14:paraId="15FECF81" w14:textId="77777777" w:rsidR="00D603F5" w:rsidRPr="001B0EA3" w:rsidRDefault="00D603F5" w:rsidP="00AD795A">
      <w:r w:rsidRPr="001B0EA3">
        <w:t>КН на ОПТТИ взима решения с общо съгласие.</w:t>
      </w:r>
    </w:p>
    <w:p w14:paraId="6B6B3EDC" w14:textId="77777777" w:rsidR="00D603F5" w:rsidRPr="001B0EA3" w:rsidRDefault="00D603F5" w:rsidP="00AD795A">
      <w:r w:rsidRPr="001B0EA3">
        <w:t>В случаите, когато не е възможно да се постигне общо съгласие, решенията се приемат с мнозинство от две трети от присъстващите членове с право на глас.</w:t>
      </w:r>
    </w:p>
    <w:p w14:paraId="0C576434" w14:textId="77777777" w:rsidR="00D603F5" w:rsidRPr="001B0EA3" w:rsidRDefault="00D603F5" w:rsidP="00AD795A">
      <w:r w:rsidRPr="001B0EA3">
        <w:t xml:space="preserve">Комитетът за наблюдение на програмата може да приема решения и неприсъствено с мнозинство от две трети от членовете с право на глас. </w:t>
      </w:r>
    </w:p>
    <w:p w14:paraId="0FABD01F" w14:textId="77777777" w:rsidR="00D603F5" w:rsidRPr="001B0EA3" w:rsidRDefault="00D603F5" w:rsidP="00AD795A">
      <w:pPr>
        <w:rPr>
          <w:b/>
        </w:rPr>
      </w:pPr>
    </w:p>
    <w:p w14:paraId="4D5BF5B3" w14:textId="77777777" w:rsidR="00D603F5" w:rsidRPr="00AD795A" w:rsidRDefault="00D603F5" w:rsidP="00AD795A">
      <w:pPr>
        <w:rPr>
          <w:b/>
        </w:rPr>
      </w:pPr>
      <w:r w:rsidRPr="00AD795A">
        <w:rPr>
          <w:b/>
        </w:rPr>
        <w:t xml:space="preserve">КН не може неприсъствено да приема решения за разглеждане и одобрение предложения за изменения на програмата, включително за преразпределение на средства по приоритетните оси. </w:t>
      </w:r>
    </w:p>
    <w:p w14:paraId="5BEDB5F5" w14:textId="77777777" w:rsidR="00D603F5" w:rsidRPr="001B0EA3" w:rsidRDefault="00D603F5" w:rsidP="00AD795A">
      <w:r w:rsidRPr="001B0EA3">
        <w:t xml:space="preserve">Съставът на Комитета за наблюдение на програмата, основните и резервните членове се определят поименно с писмена заповед на министъра на транспорта и съобщенията. </w:t>
      </w:r>
    </w:p>
    <w:p w14:paraId="496A615A" w14:textId="77777777" w:rsidR="00D603F5" w:rsidRPr="001B0EA3" w:rsidRDefault="00D603F5" w:rsidP="00AD795A">
      <w:r w:rsidRPr="001B0EA3">
        <w:t>Поименният състав на Комитета за наблюдение и протоколите от заседанията му се публикуват на страницата на управляващия орган и на Единния информационен портал за фондовете от Европейския съюз.</w:t>
      </w:r>
    </w:p>
    <w:p w14:paraId="1125A260" w14:textId="77777777" w:rsidR="00D603F5" w:rsidRPr="001B0EA3" w:rsidRDefault="00D603F5" w:rsidP="00AD795A"/>
    <w:p w14:paraId="6BD2E6D5" w14:textId="77777777" w:rsidR="00D603F5" w:rsidRPr="00AD795A" w:rsidRDefault="00D603F5" w:rsidP="00AD795A">
      <w:pPr>
        <w:rPr>
          <w:b/>
          <w:u w:val="single"/>
        </w:rPr>
      </w:pPr>
      <w:r w:rsidRPr="00AD795A">
        <w:rPr>
          <w:b/>
          <w:u w:val="single"/>
        </w:rPr>
        <w:t>Кодекс на поведение</w:t>
      </w:r>
    </w:p>
    <w:p w14:paraId="14EE6ECB" w14:textId="77777777" w:rsidR="00D603F5" w:rsidRPr="001B0EA3" w:rsidRDefault="00D603F5" w:rsidP="00AD795A">
      <w:r w:rsidRPr="001B0EA3">
        <w:t>КН на ОПТТИ приема свой Кодекс на поведение, който определя задължителни етични норми за поведение на Председателя, членовете, упълномощените заместници и наблюдателите на КН на ОПТТИ при изпълнение на техните функции. Членовете на КН са отговорни за своите действия и тяхното поведение се основава принципите на законност, безкористност, безпристрастност, обективност, отчетност и публичност, отговорност, професионално поведение, политическа неутралност и личен пример.</w:t>
      </w:r>
    </w:p>
    <w:p w14:paraId="1A1D2D80" w14:textId="77777777" w:rsidR="006922ED" w:rsidRPr="001B0EA3" w:rsidRDefault="006922ED" w:rsidP="00AD795A">
      <w:r w:rsidRPr="001B0EA3">
        <w:t>Всеки член, упълномощен заместник и наблюдател на КН на ОПТТИ е длъжен да подаде декларация, че няма потенциален и реален конфликт на интереси. Декларациите се съхраняват от Секретариата на ОПТТИ.</w:t>
      </w:r>
    </w:p>
    <w:p w14:paraId="6C67537A" w14:textId="77777777" w:rsidR="00D603F5" w:rsidRPr="001B0EA3" w:rsidRDefault="00D603F5" w:rsidP="00AD795A"/>
    <w:p w14:paraId="52FA5034" w14:textId="77777777" w:rsidR="00D603F5" w:rsidRPr="001B0EA3" w:rsidRDefault="00D603F5" w:rsidP="00890B4B">
      <w:pPr>
        <w:rPr>
          <w:szCs w:val="24"/>
        </w:rPr>
      </w:pPr>
    </w:p>
    <w:p w14:paraId="67E3AF7C" w14:textId="77777777" w:rsidR="00D603F5" w:rsidRPr="00AD795A" w:rsidRDefault="00D603F5" w:rsidP="00AD795A">
      <w:pPr>
        <w:rPr>
          <w:b/>
          <w:u w:val="single"/>
        </w:rPr>
      </w:pPr>
      <w:r w:rsidRPr="00AD795A">
        <w:rPr>
          <w:b/>
          <w:u w:val="single"/>
        </w:rPr>
        <w:t xml:space="preserve">Функции на Секретариата на КН на ОПТТИ </w:t>
      </w:r>
    </w:p>
    <w:p w14:paraId="24D004A9" w14:textId="77777777" w:rsidR="0016130C" w:rsidRPr="001B0EA3" w:rsidRDefault="0016130C" w:rsidP="00AD795A">
      <w:r w:rsidRPr="001B0EA3">
        <w:t>Функциите на Секретариат на ОПТТИ се изпълняват от дирекция „Координация на програми и проекти“ – УО на ОПТТИ.</w:t>
      </w:r>
    </w:p>
    <w:p w14:paraId="5B4F8E5A" w14:textId="77777777" w:rsidR="00D603F5" w:rsidRPr="001B0EA3" w:rsidRDefault="00D603F5" w:rsidP="00AD795A">
      <w:r w:rsidRPr="001B0EA3">
        <w:t xml:space="preserve">Тези функции се изразяват в следното: </w:t>
      </w:r>
    </w:p>
    <w:p w14:paraId="1614ED10" w14:textId="77777777" w:rsidR="00D603F5" w:rsidRPr="001B0EA3" w:rsidRDefault="00D603F5" w:rsidP="00746B39">
      <w:pPr>
        <w:pStyle w:val="ListParagraph"/>
        <w:numPr>
          <w:ilvl w:val="0"/>
          <w:numId w:val="403"/>
        </w:numPr>
        <w:tabs>
          <w:tab w:val="left" w:pos="1134"/>
        </w:tabs>
        <w:ind w:left="0" w:firstLine="851"/>
        <w:rPr>
          <w:lang w:eastAsia="bg-BG"/>
        </w:rPr>
      </w:pPr>
      <w:r w:rsidRPr="001B0EA3">
        <w:rPr>
          <w:lang w:eastAsia="bg-BG"/>
        </w:rPr>
        <w:t>организиране на подготовката и провеждането на заседанията</w:t>
      </w:r>
    </w:p>
    <w:p w14:paraId="3BD73489" w14:textId="77777777" w:rsidR="00D603F5" w:rsidRPr="001B0EA3" w:rsidRDefault="00D603F5" w:rsidP="00746B39">
      <w:pPr>
        <w:pStyle w:val="ListParagraph"/>
        <w:numPr>
          <w:ilvl w:val="0"/>
          <w:numId w:val="403"/>
        </w:numPr>
        <w:tabs>
          <w:tab w:val="left" w:pos="1134"/>
        </w:tabs>
        <w:ind w:left="0" w:firstLine="851"/>
        <w:rPr>
          <w:lang w:eastAsia="bg-BG"/>
        </w:rPr>
      </w:pPr>
      <w:r w:rsidRPr="001B0EA3">
        <w:rPr>
          <w:lang w:eastAsia="bg-BG"/>
        </w:rPr>
        <w:t xml:space="preserve">осигуряване разпространението на дневния ред и на всички документи, необходими за провеждането на заседанията </w:t>
      </w:r>
    </w:p>
    <w:p w14:paraId="4A074EAD" w14:textId="77777777" w:rsidR="00D603F5" w:rsidRPr="001B0EA3" w:rsidRDefault="00D603F5" w:rsidP="00746B39">
      <w:pPr>
        <w:pStyle w:val="ListParagraph"/>
        <w:numPr>
          <w:ilvl w:val="0"/>
          <w:numId w:val="403"/>
        </w:numPr>
        <w:tabs>
          <w:tab w:val="left" w:pos="1134"/>
        </w:tabs>
        <w:ind w:left="0" w:firstLine="851"/>
        <w:rPr>
          <w:lang w:eastAsia="bg-BG"/>
        </w:rPr>
      </w:pPr>
      <w:r w:rsidRPr="001B0EA3">
        <w:rPr>
          <w:lang w:eastAsia="bg-BG"/>
        </w:rPr>
        <w:t xml:space="preserve">изготвяне на протоколите от заседанията </w:t>
      </w:r>
    </w:p>
    <w:p w14:paraId="156213B3" w14:textId="77777777" w:rsidR="00D603F5" w:rsidRPr="001B0EA3" w:rsidRDefault="00D603F5" w:rsidP="00746B39">
      <w:pPr>
        <w:pStyle w:val="ListParagraph"/>
        <w:numPr>
          <w:ilvl w:val="0"/>
          <w:numId w:val="403"/>
        </w:numPr>
        <w:tabs>
          <w:tab w:val="left" w:pos="1134"/>
        </w:tabs>
        <w:ind w:left="0" w:firstLine="851"/>
        <w:rPr>
          <w:lang w:eastAsia="bg-BG"/>
        </w:rPr>
      </w:pPr>
      <w:r w:rsidRPr="001B0EA3">
        <w:rPr>
          <w:lang w:eastAsia="bg-BG"/>
        </w:rPr>
        <w:t xml:space="preserve">водене на отчетност за становищата и решенията, взети на заседанията </w:t>
      </w:r>
    </w:p>
    <w:p w14:paraId="6E9A6D20" w14:textId="77777777" w:rsidR="00D603F5" w:rsidRPr="001B0EA3" w:rsidRDefault="00D603F5" w:rsidP="00746B39">
      <w:pPr>
        <w:pStyle w:val="ListParagraph"/>
        <w:numPr>
          <w:ilvl w:val="0"/>
          <w:numId w:val="403"/>
        </w:numPr>
        <w:tabs>
          <w:tab w:val="left" w:pos="1134"/>
        </w:tabs>
        <w:ind w:left="0" w:firstLine="851"/>
        <w:rPr>
          <w:lang w:eastAsia="bg-BG"/>
        </w:rPr>
      </w:pPr>
      <w:r w:rsidRPr="001B0EA3">
        <w:rPr>
          <w:lang w:eastAsia="bg-BG"/>
        </w:rPr>
        <w:t>подготовка и предоставяне на членовете на КН всички документи, необходими за осъществяване на техните функции</w:t>
      </w:r>
    </w:p>
    <w:p w14:paraId="3559602F" w14:textId="77777777" w:rsidR="00D603F5" w:rsidRPr="001B0EA3" w:rsidRDefault="00D603F5" w:rsidP="00746B39">
      <w:pPr>
        <w:pStyle w:val="ListParagraph"/>
        <w:numPr>
          <w:ilvl w:val="0"/>
          <w:numId w:val="403"/>
        </w:numPr>
        <w:tabs>
          <w:tab w:val="left" w:pos="1134"/>
        </w:tabs>
        <w:ind w:left="0" w:firstLine="851"/>
        <w:rPr>
          <w:lang w:eastAsia="bg-BG"/>
        </w:rPr>
      </w:pPr>
      <w:r w:rsidRPr="001B0EA3">
        <w:rPr>
          <w:lang w:eastAsia="bg-BG"/>
        </w:rPr>
        <w:t>координиране на изпълнението на решенията и необходимия обмен на информация между заинтересованите страни</w:t>
      </w:r>
    </w:p>
    <w:p w14:paraId="40CBB2C8" w14:textId="77777777" w:rsidR="00D603F5" w:rsidRPr="001B0EA3" w:rsidRDefault="00D603F5" w:rsidP="00746B39">
      <w:pPr>
        <w:pStyle w:val="ListParagraph"/>
        <w:numPr>
          <w:ilvl w:val="0"/>
          <w:numId w:val="403"/>
        </w:numPr>
        <w:tabs>
          <w:tab w:val="left" w:pos="1134"/>
        </w:tabs>
        <w:ind w:left="0" w:firstLine="851"/>
        <w:rPr>
          <w:lang w:eastAsia="bg-BG"/>
        </w:rPr>
      </w:pPr>
      <w:r w:rsidRPr="001B0EA3">
        <w:rPr>
          <w:lang w:eastAsia="bg-BG"/>
        </w:rPr>
        <w:t>подпомага председателя на КН на ОПТТИ при осъществяване на функциите му</w:t>
      </w:r>
    </w:p>
    <w:p w14:paraId="619675FA" w14:textId="77777777" w:rsidR="00D603F5" w:rsidRPr="001B0EA3" w:rsidRDefault="00D603F5" w:rsidP="00746B39">
      <w:pPr>
        <w:pStyle w:val="ListParagraph"/>
        <w:numPr>
          <w:ilvl w:val="0"/>
          <w:numId w:val="403"/>
        </w:numPr>
        <w:tabs>
          <w:tab w:val="left" w:pos="1134"/>
        </w:tabs>
        <w:ind w:left="0" w:firstLine="851"/>
        <w:rPr>
          <w:lang w:eastAsia="bg-BG"/>
        </w:rPr>
      </w:pPr>
      <w:r w:rsidRPr="001B0EA3">
        <w:rPr>
          <w:lang w:eastAsia="bg-BG"/>
        </w:rPr>
        <w:t xml:space="preserve">съхраняване документите от заседанията на комитета. </w:t>
      </w:r>
    </w:p>
    <w:p w14:paraId="6438D10F" w14:textId="77777777" w:rsidR="0016130C" w:rsidRPr="001B0EA3" w:rsidRDefault="0016130C" w:rsidP="00746B39">
      <w:pPr>
        <w:rPr>
          <w:rFonts w:eastAsia="EUAlbertina-Regu-Identity-H"/>
          <w:lang w:eastAsia="en-US"/>
        </w:rPr>
      </w:pPr>
    </w:p>
    <w:p w14:paraId="72B91319" w14:textId="4B071286" w:rsidR="0016130C" w:rsidRPr="001B0EA3" w:rsidRDefault="0016130C" w:rsidP="00746B39">
      <w:r w:rsidRPr="001B0EA3">
        <w:rPr>
          <w:rFonts w:eastAsia="EUAlbertina-Regu-Identity-H"/>
          <w:b/>
          <w:lang w:eastAsia="en-US"/>
        </w:rPr>
        <w:t>Отдел „</w:t>
      </w:r>
      <w:r w:rsidR="003B7BFB">
        <w:rPr>
          <w:rFonts w:eastAsia="EUAlbertina-Regu-Identity-H"/>
          <w:b/>
          <w:lang w:eastAsia="en-US"/>
        </w:rPr>
        <w:t>Наблюдение и оценка</w:t>
      </w:r>
      <w:r w:rsidR="003B7BFB" w:rsidRPr="001B0EA3">
        <w:rPr>
          <w:rFonts w:eastAsia="EUAlbertina-Regu-Identity-H"/>
          <w:b/>
          <w:lang w:eastAsia="en-US"/>
        </w:rPr>
        <w:t>“</w:t>
      </w:r>
      <w:r w:rsidR="003B7BFB" w:rsidRPr="001B0EA3">
        <w:rPr>
          <w:rFonts w:eastAsia="EUAlbertina-Regu-Identity-H"/>
          <w:lang w:eastAsia="en-US"/>
        </w:rPr>
        <w:t xml:space="preserve"> </w:t>
      </w:r>
      <w:r w:rsidRPr="001B0EA3">
        <w:rPr>
          <w:rFonts w:eastAsia="EUAlbertina-Regu-Identity-H"/>
          <w:lang w:eastAsia="en-US"/>
        </w:rPr>
        <w:t xml:space="preserve">изпълнява водеща роля в </w:t>
      </w:r>
      <w:r w:rsidRPr="001B0EA3">
        <w:t xml:space="preserve">подкрепата на дейността на мониторинговия комитет. Задълженията и типа на информацията, която се представя на вниманието на комитета са разпределени между отделите в УО на ОПТТИ, бенефициентите и когато е релевантно и на други дирекции в </w:t>
      </w:r>
      <w:r w:rsidR="00BB6BF6">
        <w:t>МТС</w:t>
      </w:r>
      <w:r w:rsidRPr="001B0EA3">
        <w:t>. Отдел „</w:t>
      </w:r>
      <w:r w:rsidR="003B7BFB">
        <w:t xml:space="preserve">Наблюдение и оценка“ </w:t>
      </w:r>
      <w:r w:rsidRPr="001B0EA3">
        <w:t xml:space="preserve">координира събирането на необходимата информация и на документи за обсъждане от отделите в УО, бенефициентите на ОПТТИ и други релевантни структури в </w:t>
      </w:r>
      <w:r w:rsidR="00BB6BF6">
        <w:t>МТС</w:t>
      </w:r>
      <w:r w:rsidRPr="001B0EA3">
        <w:t>, обобщава я и изпраща до членовете на КН на ОПТТИ.</w:t>
      </w:r>
    </w:p>
    <w:p w14:paraId="411EA071" w14:textId="77777777" w:rsidR="0016130C" w:rsidRPr="001B0EA3" w:rsidRDefault="0016130C" w:rsidP="00746B39">
      <w:r w:rsidRPr="001B0EA3">
        <w:t>При подготовката на информацията се търси най-подходящата форма за нейното представяне. Данните за финансовото и физическо изпълнение на големите проекти, напредъкът в изпълнението на плана за оценка, последвалите мерки във връзка с констатациите от оценките и одите, годишните планове за действие за мерките по информация и комуникация на ОПТТИ в изпълнение на Националната комуникационна стратегия за програмен период 2014 – 2020 г, както и други въпроси и проблеми, които засягат програмата се представят на вниманието на членовете на КН в текстови вид. В хода на заседанието на КН докладването е придружено и с презентации.</w:t>
      </w:r>
    </w:p>
    <w:p w14:paraId="4EFDDA5A" w14:textId="77777777" w:rsidR="0016130C" w:rsidRPr="001B0EA3" w:rsidRDefault="0016130C" w:rsidP="00746B39">
      <w:r w:rsidRPr="001B0EA3">
        <w:t>При установени слабости неточности по подготвените за заседанието материали Секретариатът координира отстраняването на недостатъците, като при необходимост изисква информация от отговорните лица/институции.</w:t>
      </w:r>
    </w:p>
    <w:p w14:paraId="7BAE9D96" w14:textId="77777777" w:rsidR="0016130C" w:rsidRPr="001B0EA3" w:rsidRDefault="0016130C" w:rsidP="00746B39">
      <w:r w:rsidRPr="001B0EA3">
        <w:t>В случай че по изпратената до членовете на КН информация възникнат въпроси, Секретариатът координира подготовката на отговорите и/или становищата  В зависимост от конкретиката на питането и след анализ, допълнителните сведения се изискват с официална кореспонденция или по електронен път от отговорните лица/институции.</w:t>
      </w:r>
    </w:p>
    <w:p w14:paraId="74E07D19" w14:textId="77777777" w:rsidR="0016130C" w:rsidRPr="001B0EA3" w:rsidRDefault="0016130C" w:rsidP="00746B39">
      <w:r w:rsidRPr="001B0EA3">
        <w:lastRenderedPageBreak/>
        <w:t>Взетите решения в рамките на заседанията на КН се обобщават от Секретариата, който координира изпълнението им и необходимия обмен на информация между заинтересованите страни.</w:t>
      </w:r>
    </w:p>
    <w:p w14:paraId="632C20CA" w14:textId="77777777" w:rsidR="0016130C" w:rsidRPr="001B0EA3" w:rsidRDefault="0016130C" w:rsidP="00746B39">
      <w:r w:rsidRPr="001B0EA3">
        <w:t>В случаите когато по време на заседанията на КН са идентифицирани слабости и те се оформят в решение на КН, Секретариатът комуникира решението към отговорните звена/институции. Информация за предприетите действия при изпълнението на решението се изисква от отговорните звена/институции преди провеждането на заседанието и се предоставя на членовете на КН в подходяща форма, ако друго не е указано в самото решение на КН.</w:t>
      </w:r>
    </w:p>
    <w:p w14:paraId="2EF2D733" w14:textId="695E7EF6" w:rsidR="0016130C" w:rsidRDefault="0016130C" w:rsidP="00746B39">
      <w:r w:rsidRPr="001B0EA3">
        <w:t>Секретариатът води отчетност (одитна следа) за становищата и решенията, взети на заседанията на КН на ОПТТИ.</w:t>
      </w:r>
      <w:r w:rsidR="004D1994" w:rsidRPr="001B0EA3">
        <w:t xml:space="preserve"> </w:t>
      </w:r>
      <w:r w:rsidRPr="001B0EA3">
        <w:t>Всички документи, свързани с дейността на КН на ОПТТИ се съхраняват като електронен архив на страницата на ОПТТИ (</w:t>
      </w:r>
      <w:hyperlink r:id="rId36" w:history="1">
        <w:r w:rsidR="009D6A2A">
          <w:rPr>
            <w:rStyle w:val="Hyperlink"/>
            <w:szCs w:val="24"/>
          </w:rPr>
          <w:t>www.eufunds.bg/optti</w:t>
        </w:r>
      </w:hyperlink>
      <w:r w:rsidRPr="001B0EA3">
        <w:t xml:space="preserve">). Достъп до архива и съответно до цялата информация, свързана с изпълнението на взетите решения и обсъжданите въпроси, има всеки член на КН. </w:t>
      </w:r>
    </w:p>
    <w:p w14:paraId="353695FF" w14:textId="77777777" w:rsidR="00746B39" w:rsidRPr="001B0EA3" w:rsidRDefault="00746B39" w:rsidP="00746B39"/>
    <w:p w14:paraId="0A2522A5" w14:textId="77777777" w:rsidR="00D603F5" w:rsidRPr="001B0EA3" w:rsidRDefault="00D603F5" w:rsidP="00ED358C">
      <w:pPr>
        <w:pStyle w:val="Style3"/>
      </w:pPr>
      <w:bookmarkStart w:id="285" w:name="_Toc479775558"/>
      <w:r w:rsidRPr="001B0EA3">
        <w:t>Управляващ орган</w:t>
      </w:r>
      <w:r w:rsidR="00AE1CF8" w:rsidRPr="001B0EA3">
        <w:t xml:space="preserve"> на ОПТТИ</w:t>
      </w:r>
      <w:bookmarkEnd w:id="285"/>
    </w:p>
    <w:p w14:paraId="4DAEC099" w14:textId="77777777" w:rsidR="00D603F5" w:rsidRPr="001B0EA3" w:rsidRDefault="00D603F5" w:rsidP="00746B39">
      <w:r w:rsidRPr="001B0EA3">
        <w:t xml:space="preserve">За програмен период 2014-2020 г. с РМС № 792 от 17.12.2013 г. са определени функциите на управляващите органи на програмите, съфинансирани от ЕФРР, ЕСФ, КФ и ЕФМР и от други инструменти и инициативи на ЕС. </w:t>
      </w:r>
      <w:r w:rsidR="00F81757" w:rsidRPr="001B0EA3">
        <w:t xml:space="preserve">Дирекция </w:t>
      </w:r>
      <w:r w:rsidRPr="001B0EA3">
        <w:t xml:space="preserve">„Координация на програми и проекти” на </w:t>
      </w:r>
      <w:r w:rsidR="00D34044">
        <w:t>Министерството на транспорта и съобщенията</w:t>
      </w:r>
      <w:r w:rsidRPr="001B0EA3">
        <w:t xml:space="preserve"> е определена за </w:t>
      </w:r>
      <w:r w:rsidRPr="001B0EA3">
        <w:rPr>
          <w:b/>
        </w:rPr>
        <w:t>Управляващ орган на Оперативна програма „Транспорт и транспортна инфраструктура” 2014-2020 г.</w:t>
      </w:r>
      <w:r w:rsidR="00F81757" w:rsidRPr="001B0EA3">
        <w:t xml:space="preserve"> в точка 1, буква „г“ на РМС № 792 от 17.12.2013 г.</w:t>
      </w:r>
    </w:p>
    <w:p w14:paraId="441F9150" w14:textId="77777777" w:rsidR="00AF7AAE" w:rsidRPr="001B0EA3" w:rsidRDefault="00AF7AAE" w:rsidP="00746B39">
      <w:pPr>
        <w:rPr>
          <w:lang w:eastAsia="bg-BG"/>
        </w:rPr>
      </w:pPr>
      <w:r w:rsidRPr="001B0EA3">
        <w:rPr>
          <w:b/>
          <w:lang w:eastAsia="bg-BG"/>
        </w:rPr>
        <w:t xml:space="preserve">С Решение </w:t>
      </w:r>
      <w:r w:rsidRPr="001B0EA3">
        <w:rPr>
          <w:lang w:eastAsia="bg-BG"/>
        </w:rPr>
        <w:t xml:space="preserve">№ 18 от 15 януари 2016 година </w:t>
      </w:r>
      <w:r w:rsidR="00C4550B" w:rsidRPr="001B0EA3">
        <w:rPr>
          <w:b/>
          <w:lang w:eastAsia="bg-BG"/>
        </w:rPr>
        <w:t xml:space="preserve">дирекция „Координация на програми и проекти” на </w:t>
      </w:r>
      <w:r w:rsidR="00D34044">
        <w:rPr>
          <w:b/>
          <w:lang w:eastAsia="bg-BG"/>
        </w:rPr>
        <w:t>Министерството на транспорта и съобщенията</w:t>
      </w:r>
      <w:r w:rsidR="00C4550B" w:rsidRPr="001B0EA3">
        <w:rPr>
          <w:lang w:eastAsia="bg-BG"/>
        </w:rPr>
        <w:t xml:space="preserve"> и </w:t>
      </w:r>
      <w:r w:rsidR="00C4550B" w:rsidRPr="001B0EA3">
        <w:rPr>
          <w:b/>
          <w:lang w:eastAsia="bg-BG"/>
        </w:rPr>
        <w:t>дирекция „Национален фонд” на Министерството на финансите</w:t>
      </w:r>
      <w:r w:rsidR="00C4550B" w:rsidRPr="001B0EA3">
        <w:rPr>
          <w:lang w:eastAsia="bg-BG"/>
        </w:rPr>
        <w:t xml:space="preserve"> са </w:t>
      </w:r>
      <w:r w:rsidRPr="001B0EA3">
        <w:rPr>
          <w:lang w:eastAsia="bg-BG"/>
        </w:rPr>
        <w:t>определ</w:t>
      </w:r>
      <w:r w:rsidR="00C4550B" w:rsidRPr="001B0EA3">
        <w:rPr>
          <w:lang w:eastAsia="bg-BG"/>
        </w:rPr>
        <w:t>ени съответно з</w:t>
      </w:r>
      <w:r w:rsidRPr="001B0EA3">
        <w:rPr>
          <w:lang w:eastAsia="bg-BG"/>
        </w:rPr>
        <w:t>а Управляващ и Сертифициращ орган по Оперативна програма „Транспорт и транспортна инфраструктура” 2014-2020 г.</w:t>
      </w:r>
    </w:p>
    <w:p w14:paraId="0A167AD7" w14:textId="77777777" w:rsidR="00D603F5" w:rsidRPr="001B0EA3" w:rsidRDefault="00D603F5" w:rsidP="00746B39"/>
    <w:tbl>
      <w:tblPr>
        <w:tblW w:w="0" w:type="auto"/>
        <w:tblInd w:w="84"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CellMar>
          <w:left w:w="70" w:type="dxa"/>
          <w:right w:w="70" w:type="dxa"/>
        </w:tblCellMar>
        <w:tblLook w:val="0000" w:firstRow="0" w:lastRow="0" w:firstColumn="0" w:lastColumn="0" w:noHBand="0" w:noVBand="0"/>
      </w:tblPr>
      <w:tblGrid>
        <w:gridCol w:w="2065"/>
        <w:gridCol w:w="7482"/>
      </w:tblGrid>
      <w:tr w:rsidR="00D603F5" w:rsidRPr="001B0EA3" w14:paraId="1BFD5E94" w14:textId="77777777" w:rsidTr="0015604B">
        <w:trPr>
          <w:trHeight w:val="739"/>
        </w:trPr>
        <w:tc>
          <w:tcPr>
            <w:tcW w:w="2108" w:type="dxa"/>
            <w:tcBorders>
              <w:top w:val="single" w:sz="2" w:space="0" w:color="auto"/>
              <w:left w:val="single" w:sz="2" w:space="0" w:color="auto"/>
              <w:bottom w:val="single" w:sz="2" w:space="0" w:color="auto"/>
              <w:right w:val="single" w:sz="2" w:space="0" w:color="auto"/>
            </w:tcBorders>
          </w:tcPr>
          <w:p w14:paraId="1B73363E" w14:textId="77777777" w:rsidR="00D603F5" w:rsidRPr="001B0EA3" w:rsidRDefault="00D603F5" w:rsidP="00746B39">
            <w:pPr>
              <w:tabs>
                <w:tab w:val="left" w:pos="1701"/>
                <w:tab w:val="left" w:pos="2268"/>
                <w:tab w:val="left" w:pos="2835"/>
                <w:tab w:val="left" w:pos="3402"/>
                <w:tab w:val="left" w:pos="3969"/>
                <w:tab w:val="left" w:pos="4536"/>
                <w:tab w:val="left" w:pos="5103"/>
                <w:tab w:val="left" w:pos="5670"/>
                <w:tab w:val="left" w:pos="6237"/>
              </w:tabs>
              <w:ind w:firstLine="0"/>
              <w:jc w:val="left"/>
              <w:rPr>
                <w:color w:val="000000"/>
                <w:szCs w:val="24"/>
              </w:rPr>
            </w:pPr>
            <w:r w:rsidRPr="001B0EA3">
              <w:rPr>
                <w:color w:val="000000"/>
                <w:szCs w:val="24"/>
              </w:rPr>
              <w:t>Управляващ орган на ОПТТИ</w:t>
            </w:r>
          </w:p>
        </w:tc>
        <w:tc>
          <w:tcPr>
            <w:tcW w:w="7776" w:type="dxa"/>
            <w:tcBorders>
              <w:top w:val="single" w:sz="2" w:space="0" w:color="auto"/>
              <w:left w:val="single" w:sz="2" w:space="0" w:color="auto"/>
              <w:bottom w:val="single" w:sz="2" w:space="0" w:color="auto"/>
              <w:right w:val="single" w:sz="2" w:space="0" w:color="auto"/>
            </w:tcBorders>
            <w:shd w:val="clear" w:color="auto" w:fill="FFFFFF"/>
          </w:tcPr>
          <w:p w14:paraId="2DF49B7A" w14:textId="77777777" w:rsidR="00D603F5" w:rsidRPr="001B0EA3" w:rsidRDefault="00D603F5" w:rsidP="00746B39">
            <w:pPr>
              <w:tabs>
                <w:tab w:val="left" w:pos="1701"/>
                <w:tab w:val="left" w:pos="2268"/>
                <w:tab w:val="left" w:pos="2835"/>
                <w:tab w:val="left" w:pos="3402"/>
                <w:tab w:val="left" w:pos="3969"/>
                <w:tab w:val="left" w:pos="4536"/>
                <w:tab w:val="left" w:pos="5103"/>
                <w:tab w:val="left" w:pos="5670"/>
                <w:tab w:val="left" w:pos="6237"/>
              </w:tabs>
              <w:ind w:firstLine="0"/>
              <w:jc w:val="left"/>
              <w:rPr>
                <w:color w:val="000000"/>
                <w:szCs w:val="24"/>
              </w:rPr>
            </w:pPr>
            <w:r w:rsidRPr="001B0EA3">
              <w:rPr>
                <w:b/>
                <w:color w:val="000000"/>
                <w:szCs w:val="24"/>
              </w:rPr>
              <w:t>Дирекция „Координация на програми и проекти”</w:t>
            </w:r>
            <w:r w:rsidRPr="001B0EA3">
              <w:rPr>
                <w:color w:val="000000"/>
                <w:szCs w:val="24"/>
              </w:rPr>
              <w:t xml:space="preserve"> в </w:t>
            </w:r>
            <w:r w:rsidR="00D34044">
              <w:rPr>
                <w:color w:val="000000"/>
                <w:szCs w:val="24"/>
              </w:rPr>
              <w:t>Министерството на транспорта и съобщенията</w:t>
            </w:r>
          </w:p>
        </w:tc>
      </w:tr>
      <w:tr w:rsidR="00D603F5" w:rsidRPr="001B0EA3" w14:paraId="0DB73EF3" w14:textId="77777777" w:rsidTr="0015604B">
        <w:trPr>
          <w:trHeight w:val="1125"/>
        </w:trPr>
        <w:tc>
          <w:tcPr>
            <w:tcW w:w="2108" w:type="dxa"/>
            <w:tcBorders>
              <w:top w:val="single" w:sz="2" w:space="0" w:color="auto"/>
              <w:left w:val="single" w:sz="2" w:space="0" w:color="auto"/>
              <w:bottom w:val="single" w:sz="2" w:space="0" w:color="auto"/>
              <w:right w:val="single" w:sz="2" w:space="0" w:color="auto"/>
            </w:tcBorders>
          </w:tcPr>
          <w:p w14:paraId="622223A3" w14:textId="77777777" w:rsidR="00D603F5" w:rsidRPr="001B0EA3" w:rsidRDefault="00D603F5" w:rsidP="00746B39">
            <w:pPr>
              <w:tabs>
                <w:tab w:val="left" w:pos="1701"/>
                <w:tab w:val="left" w:pos="2268"/>
                <w:tab w:val="left" w:pos="2835"/>
                <w:tab w:val="left" w:pos="3402"/>
                <w:tab w:val="left" w:pos="3969"/>
                <w:tab w:val="left" w:pos="4536"/>
                <w:tab w:val="left" w:pos="5103"/>
                <w:tab w:val="left" w:pos="5670"/>
                <w:tab w:val="left" w:pos="6237"/>
              </w:tabs>
              <w:ind w:firstLine="0"/>
              <w:jc w:val="left"/>
              <w:rPr>
                <w:color w:val="000000"/>
                <w:szCs w:val="24"/>
              </w:rPr>
            </w:pPr>
            <w:r w:rsidRPr="001B0EA3">
              <w:rPr>
                <w:color w:val="000000"/>
                <w:szCs w:val="24"/>
              </w:rPr>
              <w:t>Ръководител на УО на ОПТТИ</w:t>
            </w:r>
          </w:p>
        </w:tc>
        <w:tc>
          <w:tcPr>
            <w:tcW w:w="7776" w:type="dxa"/>
            <w:tcBorders>
              <w:top w:val="single" w:sz="2" w:space="0" w:color="auto"/>
              <w:left w:val="single" w:sz="2" w:space="0" w:color="auto"/>
              <w:bottom w:val="single" w:sz="2" w:space="0" w:color="auto"/>
              <w:right w:val="single" w:sz="2" w:space="0" w:color="auto"/>
            </w:tcBorders>
          </w:tcPr>
          <w:p w14:paraId="52BE162E" w14:textId="77777777" w:rsidR="00D603F5" w:rsidRPr="001B0EA3" w:rsidRDefault="00D34044" w:rsidP="00746B39">
            <w:pPr>
              <w:tabs>
                <w:tab w:val="left" w:pos="1701"/>
                <w:tab w:val="left" w:pos="2268"/>
                <w:tab w:val="left" w:pos="2835"/>
                <w:tab w:val="left" w:pos="3402"/>
                <w:tab w:val="left" w:pos="3969"/>
                <w:tab w:val="left" w:pos="4536"/>
                <w:tab w:val="left" w:pos="5103"/>
                <w:tab w:val="left" w:pos="5670"/>
                <w:tab w:val="left" w:pos="6237"/>
              </w:tabs>
              <w:ind w:firstLine="0"/>
              <w:jc w:val="left"/>
              <w:rPr>
                <w:color w:val="000000"/>
                <w:szCs w:val="24"/>
              </w:rPr>
            </w:pPr>
            <w:r>
              <w:rPr>
                <w:b/>
                <w:color w:val="000000"/>
                <w:szCs w:val="24"/>
              </w:rPr>
              <w:t>г-н Мартин Георгиев</w:t>
            </w:r>
            <w:r w:rsidR="00D603F5" w:rsidRPr="001B0EA3">
              <w:rPr>
                <w:color w:val="000000"/>
                <w:szCs w:val="24"/>
              </w:rPr>
              <w:t xml:space="preserve">, </w:t>
            </w:r>
          </w:p>
          <w:p w14:paraId="6165C71D" w14:textId="77777777" w:rsidR="00D603F5" w:rsidRPr="001B0EA3" w:rsidRDefault="003C5A6B" w:rsidP="00746B39">
            <w:pPr>
              <w:tabs>
                <w:tab w:val="left" w:pos="1701"/>
                <w:tab w:val="left" w:pos="2268"/>
                <w:tab w:val="left" w:pos="2835"/>
                <w:tab w:val="left" w:pos="3402"/>
                <w:tab w:val="left" w:pos="3969"/>
                <w:tab w:val="left" w:pos="4536"/>
                <w:tab w:val="left" w:pos="5103"/>
                <w:tab w:val="left" w:pos="5670"/>
                <w:tab w:val="left" w:pos="6237"/>
              </w:tabs>
              <w:ind w:firstLine="0"/>
              <w:jc w:val="left"/>
              <w:rPr>
                <w:color w:val="000000"/>
                <w:szCs w:val="24"/>
              </w:rPr>
            </w:pPr>
            <w:r w:rsidRPr="001B0EA3">
              <w:rPr>
                <w:color w:val="000000"/>
                <w:szCs w:val="24"/>
              </w:rPr>
              <w:t xml:space="preserve">директор на дирекция КПП в </w:t>
            </w:r>
            <w:r w:rsidR="00D34044">
              <w:rPr>
                <w:color w:val="000000"/>
                <w:szCs w:val="24"/>
              </w:rPr>
              <w:t>Министерството на транспорта и съобщенията</w:t>
            </w:r>
          </w:p>
          <w:p w14:paraId="18948CAA" w14:textId="77777777" w:rsidR="00D603F5" w:rsidRPr="001B0EA3" w:rsidRDefault="00D603F5" w:rsidP="00746B39">
            <w:pPr>
              <w:ind w:firstLine="0"/>
              <w:jc w:val="left"/>
              <w:rPr>
                <w:color w:val="000000"/>
                <w:szCs w:val="24"/>
              </w:rPr>
            </w:pPr>
            <w:r w:rsidRPr="001B0EA3">
              <w:rPr>
                <w:color w:val="000000"/>
                <w:szCs w:val="24"/>
              </w:rPr>
              <w:t xml:space="preserve">email: </w:t>
            </w:r>
            <w:hyperlink r:id="rId37" w:history="1">
              <w:r w:rsidR="00D34044" w:rsidRPr="000441D0">
                <w:rPr>
                  <w:rStyle w:val="Hyperlink"/>
                  <w:szCs w:val="24"/>
                  <w:lang w:val="en-US"/>
                </w:rPr>
                <w:t>mgeorgiev</w:t>
              </w:r>
              <w:r w:rsidR="00D34044" w:rsidRPr="000441D0">
                <w:rPr>
                  <w:rStyle w:val="Hyperlink"/>
                  <w:szCs w:val="24"/>
                </w:rPr>
                <w:t>@mtc.government.bg</w:t>
              </w:r>
            </w:hyperlink>
          </w:p>
          <w:p w14:paraId="15E5032B" w14:textId="77777777" w:rsidR="00D603F5" w:rsidRPr="001B0EA3" w:rsidRDefault="00D603F5" w:rsidP="00D34044">
            <w:pPr>
              <w:ind w:firstLine="0"/>
              <w:jc w:val="left"/>
              <w:rPr>
                <w:color w:val="000000"/>
                <w:szCs w:val="24"/>
              </w:rPr>
            </w:pPr>
            <w:r w:rsidRPr="001B0EA3">
              <w:rPr>
                <w:color w:val="000000"/>
                <w:szCs w:val="24"/>
              </w:rPr>
              <w:t xml:space="preserve">Тел.:  +359 2 9409 </w:t>
            </w:r>
            <w:r w:rsidR="00D34044">
              <w:rPr>
                <w:color w:val="000000"/>
                <w:szCs w:val="24"/>
                <w:lang w:val="en-US"/>
              </w:rPr>
              <w:t>422</w:t>
            </w:r>
            <w:r w:rsidR="0062046C" w:rsidRPr="001B0EA3">
              <w:rPr>
                <w:color w:val="000000"/>
                <w:szCs w:val="24"/>
              </w:rPr>
              <w:t xml:space="preserve">; </w:t>
            </w:r>
            <w:r w:rsidRPr="001B0EA3">
              <w:rPr>
                <w:color w:val="000000"/>
                <w:szCs w:val="24"/>
              </w:rPr>
              <w:t>Факс: +359 2 9409 836</w:t>
            </w:r>
          </w:p>
        </w:tc>
      </w:tr>
      <w:tr w:rsidR="00D603F5" w:rsidRPr="001B0EA3" w14:paraId="25A0C74C" w14:textId="77777777" w:rsidTr="0015604B">
        <w:trPr>
          <w:trHeight w:val="287"/>
        </w:trPr>
        <w:tc>
          <w:tcPr>
            <w:tcW w:w="2108" w:type="dxa"/>
            <w:tcBorders>
              <w:top w:val="single" w:sz="2" w:space="0" w:color="auto"/>
              <w:left w:val="single" w:sz="2" w:space="0" w:color="auto"/>
              <w:bottom w:val="single" w:sz="2" w:space="0" w:color="auto"/>
              <w:right w:val="single" w:sz="2" w:space="0" w:color="auto"/>
            </w:tcBorders>
          </w:tcPr>
          <w:p w14:paraId="49F697D7" w14:textId="77777777" w:rsidR="00D603F5" w:rsidRPr="001B0EA3" w:rsidRDefault="00D603F5" w:rsidP="00746B39">
            <w:pPr>
              <w:tabs>
                <w:tab w:val="left" w:pos="1701"/>
                <w:tab w:val="left" w:pos="2268"/>
                <w:tab w:val="left" w:pos="2835"/>
                <w:tab w:val="left" w:pos="3402"/>
                <w:tab w:val="left" w:pos="3969"/>
                <w:tab w:val="left" w:pos="4536"/>
                <w:tab w:val="left" w:pos="5103"/>
                <w:tab w:val="left" w:pos="5670"/>
                <w:tab w:val="left" w:pos="6237"/>
              </w:tabs>
              <w:ind w:firstLine="0"/>
              <w:jc w:val="left"/>
              <w:rPr>
                <w:color w:val="000000"/>
                <w:szCs w:val="24"/>
              </w:rPr>
            </w:pPr>
            <w:r w:rsidRPr="001B0EA3">
              <w:rPr>
                <w:color w:val="000000"/>
                <w:szCs w:val="24"/>
              </w:rPr>
              <w:t>Адрес:</w:t>
            </w:r>
          </w:p>
        </w:tc>
        <w:tc>
          <w:tcPr>
            <w:tcW w:w="7776" w:type="dxa"/>
            <w:tcBorders>
              <w:top w:val="single" w:sz="2" w:space="0" w:color="auto"/>
              <w:left w:val="single" w:sz="2" w:space="0" w:color="auto"/>
              <w:bottom w:val="single" w:sz="2" w:space="0" w:color="auto"/>
              <w:right w:val="single" w:sz="2" w:space="0" w:color="auto"/>
            </w:tcBorders>
          </w:tcPr>
          <w:p w14:paraId="142BE95A" w14:textId="77777777" w:rsidR="00D603F5" w:rsidRPr="001B0EA3" w:rsidRDefault="00D603F5" w:rsidP="00746B39">
            <w:pPr>
              <w:tabs>
                <w:tab w:val="left" w:pos="1701"/>
                <w:tab w:val="left" w:pos="2268"/>
                <w:tab w:val="left" w:pos="2835"/>
                <w:tab w:val="left" w:pos="3402"/>
                <w:tab w:val="left" w:pos="3969"/>
                <w:tab w:val="left" w:pos="4536"/>
                <w:tab w:val="left" w:pos="5103"/>
                <w:tab w:val="left" w:pos="5670"/>
                <w:tab w:val="left" w:pos="6237"/>
              </w:tabs>
              <w:ind w:firstLine="0"/>
              <w:jc w:val="left"/>
              <w:rPr>
                <w:color w:val="000000"/>
                <w:szCs w:val="24"/>
              </w:rPr>
            </w:pPr>
            <w:r w:rsidRPr="001B0EA3">
              <w:rPr>
                <w:color w:val="000000"/>
                <w:szCs w:val="24"/>
              </w:rPr>
              <w:t>Министерство на транспорта и съобщенията</w:t>
            </w:r>
          </w:p>
          <w:p w14:paraId="73A3D7CA" w14:textId="77777777" w:rsidR="00D603F5" w:rsidRPr="001B0EA3" w:rsidRDefault="00D603F5" w:rsidP="00746B39">
            <w:pPr>
              <w:ind w:firstLine="0"/>
              <w:jc w:val="left"/>
              <w:rPr>
                <w:color w:val="000000"/>
                <w:szCs w:val="24"/>
              </w:rPr>
            </w:pPr>
            <w:r w:rsidRPr="001B0EA3">
              <w:rPr>
                <w:color w:val="000000"/>
                <w:szCs w:val="24"/>
              </w:rPr>
              <w:t xml:space="preserve">гр. София, 1000, </w:t>
            </w:r>
          </w:p>
          <w:p w14:paraId="6F9A6621" w14:textId="77777777" w:rsidR="00D603F5" w:rsidRPr="001B0EA3" w:rsidRDefault="00D603F5" w:rsidP="00746B39">
            <w:pPr>
              <w:ind w:firstLine="0"/>
              <w:jc w:val="left"/>
              <w:rPr>
                <w:color w:val="000000"/>
                <w:szCs w:val="24"/>
              </w:rPr>
            </w:pPr>
            <w:r w:rsidRPr="001B0EA3">
              <w:rPr>
                <w:color w:val="000000"/>
                <w:szCs w:val="24"/>
              </w:rPr>
              <w:t>ул. „Дякон Игнатий” 9</w:t>
            </w:r>
          </w:p>
          <w:p w14:paraId="114CE2AC" w14:textId="77777777" w:rsidR="00D603F5" w:rsidRPr="001B0EA3" w:rsidRDefault="006035A9" w:rsidP="00746B39">
            <w:pPr>
              <w:ind w:firstLine="0"/>
              <w:jc w:val="left"/>
              <w:rPr>
                <w:color w:val="000000"/>
                <w:szCs w:val="24"/>
              </w:rPr>
            </w:pPr>
            <w:hyperlink r:id="rId38" w:history="1">
              <w:r w:rsidR="00D34044" w:rsidRPr="000441D0">
                <w:rPr>
                  <w:rStyle w:val="Hyperlink"/>
                  <w:szCs w:val="24"/>
                </w:rPr>
                <w:t>www.mtc.government.bg</w:t>
              </w:r>
            </w:hyperlink>
          </w:p>
          <w:p w14:paraId="4DA09C80" w14:textId="77777777" w:rsidR="00D603F5" w:rsidRPr="00842ECC" w:rsidRDefault="006035A9" w:rsidP="00BD0F60">
            <w:pPr>
              <w:ind w:firstLine="0"/>
              <w:jc w:val="left"/>
              <w:rPr>
                <w:color w:val="000000"/>
                <w:szCs w:val="24"/>
              </w:rPr>
            </w:pPr>
            <w:hyperlink r:id="rId39" w:history="1">
              <w:r w:rsidR="00D64D5A" w:rsidRPr="000441D0">
                <w:rPr>
                  <w:rStyle w:val="Hyperlink"/>
                  <w:szCs w:val="24"/>
                </w:rPr>
                <w:t>http://www.eufunds.bg/bg/optti</w:t>
              </w:r>
            </w:hyperlink>
            <w:r w:rsidR="00D64D5A" w:rsidRPr="00842ECC">
              <w:rPr>
                <w:color w:val="000000"/>
                <w:szCs w:val="24"/>
              </w:rPr>
              <w:t xml:space="preserve"> </w:t>
            </w:r>
          </w:p>
        </w:tc>
      </w:tr>
    </w:tbl>
    <w:p w14:paraId="240A7E8F" w14:textId="77777777" w:rsidR="00D603F5" w:rsidRPr="00746B39" w:rsidRDefault="00D603F5" w:rsidP="00746B39">
      <w:pPr>
        <w:rPr>
          <w:b/>
          <w:lang w:eastAsia="bg-BG"/>
        </w:rPr>
      </w:pPr>
      <w:r w:rsidRPr="00746B39">
        <w:rPr>
          <w:b/>
          <w:lang w:eastAsia="bg-BG"/>
        </w:rPr>
        <w:t>Взаимодействие с останалите институции в процеса по осъществяване дейностите по ОПТТИ:</w:t>
      </w:r>
    </w:p>
    <w:p w14:paraId="41A60685" w14:textId="77777777" w:rsidR="00D603F5" w:rsidRPr="001B0EA3" w:rsidRDefault="00D603F5" w:rsidP="00746B39">
      <w:pPr>
        <w:rPr>
          <w:lang w:eastAsia="bg-BG"/>
        </w:rPr>
      </w:pPr>
      <w:r w:rsidRPr="001B0EA3">
        <w:rPr>
          <w:lang w:eastAsia="bg-BG"/>
        </w:rPr>
        <w:t xml:space="preserve">Изпълнението на ОПТТИ е пряко свързано с координиране и взаимодействие с останалите държавни институции, а именно: </w:t>
      </w:r>
    </w:p>
    <w:p w14:paraId="1954FC9A" w14:textId="77777777" w:rsidR="00D603F5" w:rsidRPr="001B0EA3" w:rsidRDefault="00D603F5" w:rsidP="00746B39">
      <w:pPr>
        <w:rPr>
          <w:lang w:eastAsia="bg-BG"/>
        </w:rPr>
      </w:pPr>
      <w:r w:rsidRPr="001B0EA3">
        <w:rPr>
          <w:lang w:eastAsia="bg-BG"/>
        </w:rPr>
        <w:t>Съвет за управление на средствата от Европейския Съюз</w:t>
      </w:r>
      <w:r w:rsidR="005007F0" w:rsidRPr="001B0EA3">
        <w:rPr>
          <w:lang w:eastAsia="bg-BG"/>
        </w:rPr>
        <w:t xml:space="preserve"> </w:t>
      </w:r>
      <w:r w:rsidRPr="001B0EA3">
        <w:rPr>
          <w:lang w:eastAsia="bg-BG"/>
        </w:rPr>
        <w:t>– периодично се докладва напредъка на ОПТТИ, вкл. проблеми при изпълнението на програмата. По-този начин е гарантирана хоризонталната координация между различните ведомства.</w:t>
      </w:r>
    </w:p>
    <w:p w14:paraId="6C6B6314" w14:textId="77777777" w:rsidR="00D603F5" w:rsidRPr="001B0EA3" w:rsidRDefault="00D603F5" w:rsidP="00746B39">
      <w:pPr>
        <w:rPr>
          <w:b/>
        </w:rPr>
      </w:pPr>
      <w:r w:rsidRPr="001B0EA3">
        <w:rPr>
          <w:lang w:eastAsia="bg-BG"/>
        </w:rPr>
        <w:t>ЦКЗ – подпомага ежедневното изпълнение на програмата, както и взаимодействието с ЕК, ЕИБ и инициативата JASPERS</w:t>
      </w:r>
    </w:p>
    <w:p w14:paraId="6EC4ECE0" w14:textId="77777777" w:rsidR="00D603F5" w:rsidRPr="001B0EA3" w:rsidRDefault="00D603F5" w:rsidP="00746B39">
      <w:pPr>
        <w:rPr>
          <w:b/>
          <w:lang w:eastAsia="bg-BG"/>
        </w:rPr>
      </w:pPr>
      <w:r w:rsidRPr="001B0EA3">
        <w:rPr>
          <w:b/>
        </w:rPr>
        <w:tab/>
        <w:t xml:space="preserve">Дирекция „Координация на програми и проекти” към </w:t>
      </w:r>
      <w:r w:rsidR="00BB6BF6">
        <w:rPr>
          <w:b/>
        </w:rPr>
        <w:t>Министерство на транспорта и съобщенията</w:t>
      </w:r>
      <w:r w:rsidRPr="001B0EA3">
        <w:rPr>
          <w:b/>
        </w:rPr>
        <w:t xml:space="preserve"> </w:t>
      </w:r>
      <w:r w:rsidRPr="001B0EA3">
        <w:t xml:space="preserve">е отговорна за осигуряване ефикасността и коректността при изпълнението на операциите, съфинансирани от ЕФРР и КФ по ОПТТИ. </w:t>
      </w:r>
      <w:r w:rsidRPr="001B0EA3">
        <w:rPr>
          <w:b/>
          <w:lang w:eastAsia="bg-BG"/>
        </w:rPr>
        <w:br w:type="page"/>
      </w:r>
    </w:p>
    <w:p w14:paraId="13C03BE6" w14:textId="77777777" w:rsidR="00CE36A6" w:rsidRPr="001B0EA3" w:rsidRDefault="00CE36A6" w:rsidP="00746B39">
      <w:pPr>
        <w:rPr>
          <w:b/>
          <w:u w:val="single"/>
        </w:rPr>
        <w:sectPr w:rsidR="00CE36A6" w:rsidRPr="001B0EA3" w:rsidSect="002305A7">
          <w:pgSz w:w="11906" w:h="16838" w:code="9"/>
          <w:pgMar w:top="1134" w:right="851" w:bottom="1134" w:left="1418" w:header="505" w:footer="238" w:gutter="0"/>
          <w:cols w:space="708"/>
          <w:docGrid w:linePitch="272"/>
        </w:sectPr>
      </w:pPr>
    </w:p>
    <w:p w14:paraId="50C69708" w14:textId="77777777" w:rsidR="00D603F5" w:rsidRPr="00B83E24" w:rsidRDefault="00D603F5" w:rsidP="002E4F6D">
      <w:pPr>
        <w:ind w:firstLine="0"/>
        <w:jc w:val="center"/>
        <w:rPr>
          <w:b/>
          <w:lang w:val="en-US"/>
        </w:rPr>
      </w:pPr>
      <w:r w:rsidRPr="00746B39">
        <w:rPr>
          <w:b/>
        </w:rPr>
        <w:lastRenderedPageBreak/>
        <w:t>Фиг. 1.3. Организационна структура на Управляващия орган на ОПТТИ</w:t>
      </w:r>
      <w:r w:rsidR="00B83E24">
        <w:rPr>
          <w:b/>
          <w:lang w:val="en-US"/>
        </w:rPr>
        <w:t xml:space="preserve"> </w:t>
      </w:r>
    </w:p>
    <w:p w14:paraId="6D9CFBC0" w14:textId="77777777" w:rsidR="00CE36A6" w:rsidRPr="001B0EA3" w:rsidRDefault="00CE36A6" w:rsidP="00890B4B">
      <w:pPr>
        <w:ind w:firstLine="0"/>
        <w:rPr>
          <w:b/>
          <w:color w:val="000000"/>
          <w:szCs w:val="24"/>
          <w:u w:val="single"/>
        </w:rPr>
      </w:pPr>
    </w:p>
    <w:p w14:paraId="3A72D987" w14:textId="77777777" w:rsidR="00D603F5" w:rsidRPr="001B0EA3" w:rsidRDefault="00900EE7" w:rsidP="00890B4B">
      <w:pPr>
        <w:ind w:firstLine="0"/>
        <w:rPr>
          <w:color w:val="000000"/>
          <w:lang w:eastAsia="bg-BG"/>
        </w:rPr>
      </w:pPr>
      <w:r>
        <w:rPr>
          <w:noProof/>
          <w:lang w:eastAsia="bg-BG"/>
        </w:rPr>
        <mc:AlternateContent>
          <mc:Choice Requires="wps">
            <w:drawing>
              <wp:anchor distT="0" distB="0" distL="114300" distR="114300" simplePos="0" relativeHeight="251722752" behindDoc="0" locked="0" layoutInCell="1" allowOverlap="1" wp14:anchorId="1C3A7B15" wp14:editId="0A90A495">
                <wp:simplePos x="0" y="0"/>
                <wp:positionH relativeFrom="column">
                  <wp:posOffset>7753986</wp:posOffset>
                </wp:positionH>
                <wp:positionV relativeFrom="paragraph">
                  <wp:posOffset>3520440</wp:posOffset>
                </wp:positionV>
                <wp:extent cx="1295400" cy="1638042"/>
                <wp:effectExtent l="0" t="0" r="19050" b="57785"/>
                <wp:wrapNone/>
                <wp:docPr id="705" name="Rounded 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1638042"/>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10CFA831" w14:textId="1A486ED2" w:rsidR="004E3164" w:rsidRPr="008A4483" w:rsidRDefault="004E3164" w:rsidP="00B83E24">
                            <w:pPr>
                              <w:ind w:firstLine="0"/>
                              <w:jc w:val="center"/>
                              <w:rPr>
                                <w:color w:val="000000"/>
                                <w:sz w:val="20"/>
                              </w:rPr>
                            </w:pPr>
                            <w:r w:rsidRPr="008A4483">
                              <w:rPr>
                                <w:color w:val="000000"/>
                                <w:sz w:val="20"/>
                              </w:rPr>
                              <w:t xml:space="preserve">Служители от  отдел „Контрол по обществени поръчки“, </w:t>
                            </w:r>
                            <w:r>
                              <w:rPr>
                                <w:color w:val="000000"/>
                                <w:sz w:val="20"/>
                              </w:rPr>
                              <w:t>5</w:t>
                            </w:r>
                            <w:r w:rsidRPr="008A4483">
                              <w:rPr>
                                <w:color w:val="000000"/>
                                <w:sz w:val="20"/>
                              </w:rPr>
                              <w:t xml:space="preserve"> бр.</w:t>
                            </w:r>
                            <w:r>
                              <w:rPr>
                                <w:color w:val="000000"/>
                                <w:sz w:val="20"/>
                              </w:rPr>
                              <w:t xml:space="preserve">    </w:t>
                            </w:r>
                            <w:r w:rsidRPr="008A4483">
                              <w:rPr>
                                <w:color w:val="000000"/>
                                <w:sz w:val="20"/>
                              </w:rPr>
                              <w:t>(от които 3 сътрудници)</w:t>
                            </w:r>
                          </w:p>
                          <w:p w14:paraId="09742497" w14:textId="77777777" w:rsidR="004E3164" w:rsidRPr="008A4483" w:rsidRDefault="004E3164" w:rsidP="00B83E24">
                            <w:pPr>
                              <w:ind w:firstLine="0"/>
                              <w:jc w:val="center"/>
                              <w:rPr>
                                <w:color w:val="000000"/>
                                <w:sz w:val="20"/>
                              </w:rPr>
                            </w:pPr>
                          </w:p>
                          <w:p w14:paraId="47AC5E97" w14:textId="77777777" w:rsidR="004E3164" w:rsidRPr="008A4483" w:rsidRDefault="004E3164" w:rsidP="00B83E24">
                            <w:pPr>
                              <w:ind w:firstLine="0"/>
                              <w:jc w:val="center"/>
                              <w:rPr>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C3A7B15" id="Rounded Rectangle 190" o:spid="_x0000_s1123" style="position:absolute;left:0;text-align:left;margin-left:610.55pt;margin-top:277.2pt;width:102pt;height:12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" fillcolor="#a3c4ff" strokecolor="#4a7ebb">
                <v:fill color2="#e5eeff" rotate="t" angle="180" colors="0 #a3c4ff;22938f #bfd5ff;1 #e5eeff" focus="100%" type="gradient"/>
                <v:shadow on="t" color="black" opacity="24903f" origin=",.5" offset="0,.55556mm"/>
                <v:path arrowok="t"/>
                <v:textbox>
                  <w:txbxContent>
                    <w:p w14:paraId="10CFA831" w14:textId="1A486ED2" w:rsidR="004E3164" w:rsidRPr="008A4483" w:rsidRDefault="004E3164" w:rsidP="00B83E24">
                      <w:pPr>
                        <w:ind w:firstLine="0"/>
                        <w:jc w:val="center"/>
                        <w:rPr>
                          <w:color w:val="000000"/>
                          <w:sz w:val="20"/>
                        </w:rPr>
                      </w:pPr>
                      <w:r w:rsidRPr="008A4483">
                        <w:rPr>
                          <w:color w:val="000000"/>
                          <w:sz w:val="20"/>
                        </w:rPr>
                        <w:t xml:space="preserve">Служители от  отдел „Контрол по обществени поръчки“, </w:t>
                      </w:r>
                      <w:r>
                        <w:rPr>
                          <w:color w:val="000000"/>
                          <w:sz w:val="20"/>
                        </w:rPr>
                        <w:t>5</w:t>
                      </w:r>
                      <w:r w:rsidRPr="008A4483">
                        <w:rPr>
                          <w:color w:val="000000"/>
                          <w:sz w:val="20"/>
                        </w:rPr>
                        <w:t xml:space="preserve"> бр.</w:t>
                      </w:r>
                      <w:r>
                        <w:rPr>
                          <w:color w:val="000000"/>
                          <w:sz w:val="20"/>
                        </w:rPr>
                        <w:t xml:space="preserve">    </w:t>
                      </w:r>
                      <w:r w:rsidRPr="008A4483">
                        <w:rPr>
                          <w:color w:val="000000"/>
                          <w:sz w:val="20"/>
                        </w:rPr>
                        <w:t>(от които 3 сътрудници)</w:t>
                      </w:r>
                    </w:p>
                    <w:p w14:paraId="09742497" w14:textId="77777777" w:rsidR="004E3164" w:rsidRPr="008A4483" w:rsidRDefault="004E3164" w:rsidP="00B83E24">
                      <w:pPr>
                        <w:ind w:firstLine="0"/>
                        <w:jc w:val="center"/>
                        <w:rPr>
                          <w:color w:val="000000"/>
                          <w:sz w:val="20"/>
                        </w:rPr>
                      </w:pPr>
                    </w:p>
                    <w:p w14:paraId="47AC5E97" w14:textId="77777777" w:rsidR="004E3164" w:rsidRPr="008A4483" w:rsidRDefault="004E3164" w:rsidP="00B83E24">
                      <w:pPr>
                        <w:ind w:firstLine="0"/>
                        <w:jc w:val="center"/>
                        <w:rPr>
                          <w:sz w:val="20"/>
                        </w:rPr>
                      </w:pPr>
                    </w:p>
                  </w:txbxContent>
                </v:textbox>
              </v:roundrect>
            </w:pict>
          </mc:Fallback>
        </mc:AlternateContent>
      </w:r>
      <w:r>
        <w:rPr>
          <w:noProof/>
          <w:lang w:eastAsia="bg-BG"/>
        </w:rPr>
        <mc:AlternateContent>
          <mc:Choice Requires="wps">
            <w:drawing>
              <wp:anchor distT="0" distB="0" distL="114300" distR="114300" simplePos="0" relativeHeight="251724800" behindDoc="0" locked="0" layoutInCell="1" allowOverlap="1" wp14:anchorId="6A069456" wp14:editId="19758787">
                <wp:simplePos x="0" y="0"/>
                <wp:positionH relativeFrom="column">
                  <wp:posOffset>8449310</wp:posOffset>
                </wp:positionH>
                <wp:positionV relativeFrom="paragraph">
                  <wp:posOffset>3128741</wp:posOffset>
                </wp:positionV>
                <wp:extent cx="0" cy="381993"/>
                <wp:effectExtent l="0" t="0" r="0" b="0"/>
                <wp:wrapNone/>
                <wp:docPr id="2149" name="Straight Arrow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993"/>
                        </a:xfrm>
                        <a:prstGeom prst="straightConnector1">
                          <a:avLst/>
                        </a:prstGeom>
                        <a:noFill/>
                        <a:ln w="19050">
                          <a:solidFill>
                            <a:srgbClr val="558ED5"/>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4269627" id="Straight Arrow Connector 176" o:spid="_x0000_s1026" type="#_x0000_t32" style="position:absolute;margin-left:665.3pt;margin-top:246.35pt;width:0;height:30.1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" strokecolor="#558ed5" strokeweight="1.5pt">
                <v:stroke endarrow="block"/>
              </v:shape>
            </w:pict>
          </mc:Fallback>
        </mc:AlternateContent>
      </w:r>
      <w:r w:rsidR="00D972EA">
        <w:rPr>
          <w:noProof/>
          <w:lang w:eastAsia="bg-BG"/>
        </w:rPr>
        <mc:AlternateContent>
          <mc:Choice Requires="wps">
            <w:drawing>
              <wp:anchor distT="0" distB="0" distL="114300" distR="114300" simplePos="0" relativeHeight="251718656" behindDoc="0" locked="0" layoutInCell="1" allowOverlap="1" wp14:anchorId="4CDD092E" wp14:editId="56B5F9F5">
                <wp:simplePos x="0" y="0"/>
                <wp:positionH relativeFrom="rightMargin">
                  <wp:align>left</wp:align>
                </wp:positionH>
                <wp:positionV relativeFrom="paragraph">
                  <wp:posOffset>2004130</wp:posOffset>
                </wp:positionV>
                <wp:extent cx="0" cy="213336"/>
                <wp:effectExtent l="76200" t="0" r="57150" b="53975"/>
                <wp:wrapNone/>
                <wp:docPr id="702" name="Straight Arrow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36"/>
                        </a:xfrm>
                        <a:prstGeom prst="straightConnector1">
                          <a:avLst/>
                        </a:prstGeom>
                        <a:noFill/>
                        <a:ln w="19050">
                          <a:solidFill>
                            <a:srgbClr val="558ED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9154F82" id="Straight Arrow Connector 176" o:spid="_x0000_s1026" type="#_x0000_t32" style="position:absolute;margin-left:0;margin-top:157.8pt;width:0;height:16.8pt;z-index:25171865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" strokecolor="#558ed5" strokeweight="1.5pt">
                <v:stroke endarrow="block"/>
                <w10:wrap anchorx="margin"/>
              </v:shape>
            </w:pict>
          </mc:Fallback>
        </mc:AlternateContent>
      </w:r>
      <w:r w:rsidR="00D972EA">
        <w:rPr>
          <w:noProof/>
          <w:lang w:eastAsia="bg-BG"/>
        </w:rPr>
        <mc:AlternateContent>
          <mc:Choice Requires="wps">
            <w:drawing>
              <wp:anchor distT="0" distB="0" distL="114300" distR="114300" simplePos="0" relativeHeight="251720704" behindDoc="0" locked="0" layoutInCell="1" allowOverlap="1" wp14:anchorId="1E431A73" wp14:editId="0F5A7D94">
                <wp:simplePos x="0" y="0"/>
                <wp:positionH relativeFrom="column">
                  <wp:posOffset>6220460</wp:posOffset>
                </wp:positionH>
                <wp:positionV relativeFrom="paragraph">
                  <wp:posOffset>2217420</wp:posOffset>
                </wp:positionV>
                <wp:extent cx="1352550" cy="911209"/>
                <wp:effectExtent l="0" t="0" r="19050" b="60960"/>
                <wp:wrapNone/>
                <wp:docPr id="704" name="Rounded 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0" cy="911209"/>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65E272D3" w14:textId="77777777" w:rsidR="004E3164" w:rsidRPr="008A4483" w:rsidRDefault="004E3164" w:rsidP="00B83E24">
                            <w:pPr>
                              <w:ind w:firstLine="0"/>
                              <w:jc w:val="center"/>
                              <w:rPr>
                                <w:color w:val="000000"/>
                                <w:sz w:val="20"/>
                              </w:rPr>
                            </w:pPr>
                            <w:r w:rsidRPr="008A4483">
                              <w:rPr>
                                <w:color w:val="000000"/>
                                <w:sz w:val="20"/>
                              </w:rPr>
                              <w:t xml:space="preserve">Началник на отдел </w:t>
                            </w:r>
                          </w:p>
                          <w:p w14:paraId="3B5BF2E7" w14:textId="77777777" w:rsidR="004E3164" w:rsidRPr="008A4483" w:rsidRDefault="004E3164" w:rsidP="00B83E24">
                            <w:pPr>
                              <w:ind w:firstLine="0"/>
                              <w:jc w:val="center"/>
                              <w:rPr>
                                <w:color w:val="000000"/>
                                <w:sz w:val="20"/>
                              </w:rPr>
                            </w:pPr>
                            <w:r>
                              <w:rPr>
                                <w:color w:val="000000"/>
                                <w:sz w:val="20"/>
                              </w:rPr>
                              <w:t>„Информация, публичност и техническа помощ”</w:t>
                            </w:r>
                          </w:p>
                          <w:p w14:paraId="5182511F" w14:textId="77777777" w:rsidR="004E3164" w:rsidRPr="008A4483" w:rsidRDefault="004E3164" w:rsidP="00B83E24">
                            <w:pPr>
                              <w:ind w:firstLine="0"/>
                              <w:jc w:val="center"/>
                              <w:rPr>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E431A73" id="Rounded Rectangle 192" o:spid="_x0000_s1124" style="position:absolute;left:0;text-align:left;margin-left:489.8pt;margin-top:174.6pt;width:106.5pt;height:7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" fillcolor="#a3c4ff" strokecolor="#4a7ebb">
                <v:fill color2="#e5eeff" rotate="t" angle="180" colors="0 #a3c4ff;22938f #bfd5ff;1 #e5eeff" focus="100%" type="gradient"/>
                <v:shadow on="t" color="black" opacity="24903f" origin=",.5" offset="0,.55556mm"/>
                <v:path arrowok="t"/>
                <v:textbox>
                  <w:txbxContent>
                    <w:p w14:paraId="65E272D3" w14:textId="77777777" w:rsidR="004E3164" w:rsidRPr="008A4483" w:rsidRDefault="004E3164" w:rsidP="00B83E24">
                      <w:pPr>
                        <w:ind w:firstLine="0"/>
                        <w:jc w:val="center"/>
                        <w:rPr>
                          <w:color w:val="000000"/>
                          <w:sz w:val="20"/>
                        </w:rPr>
                      </w:pPr>
                      <w:r w:rsidRPr="008A4483">
                        <w:rPr>
                          <w:color w:val="000000"/>
                          <w:sz w:val="20"/>
                        </w:rPr>
                        <w:t xml:space="preserve">Началник на отдел </w:t>
                      </w:r>
                    </w:p>
                    <w:p w14:paraId="3B5BF2E7" w14:textId="77777777" w:rsidR="004E3164" w:rsidRPr="008A4483" w:rsidRDefault="004E3164" w:rsidP="00B83E24">
                      <w:pPr>
                        <w:ind w:firstLine="0"/>
                        <w:jc w:val="center"/>
                        <w:rPr>
                          <w:color w:val="000000"/>
                          <w:sz w:val="20"/>
                        </w:rPr>
                      </w:pPr>
                      <w:r>
                        <w:rPr>
                          <w:color w:val="000000"/>
                          <w:sz w:val="20"/>
                        </w:rPr>
                        <w:t>„Информация, публичност и техническа помощ”</w:t>
                      </w:r>
                    </w:p>
                    <w:p w14:paraId="5182511F" w14:textId="77777777" w:rsidR="004E3164" w:rsidRPr="008A4483" w:rsidRDefault="004E3164" w:rsidP="00B83E24">
                      <w:pPr>
                        <w:ind w:firstLine="0"/>
                        <w:jc w:val="center"/>
                        <w:rPr>
                          <w:sz w:val="20"/>
                        </w:rPr>
                      </w:pPr>
                    </w:p>
                  </w:txbxContent>
                </v:textbox>
              </v:roundrect>
            </w:pict>
          </mc:Fallback>
        </mc:AlternateContent>
      </w:r>
      <w:r w:rsidR="004101C0" w:rsidRPr="001B0EA3">
        <w:rPr>
          <w:noProof/>
          <w:lang w:eastAsia="bg-BG"/>
        </w:rPr>
        <mc:AlternateContent>
          <mc:Choice Requires="wpg">
            <w:drawing>
              <wp:inline distT="0" distB="0" distL="0" distR="0" wp14:anchorId="1D905B67" wp14:editId="460F4094">
                <wp:extent cx="10447323" cy="5201238"/>
                <wp:effectExtent l="0" t="0" r="11430" b="57150"/>
                <wp:docPr id="1705"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7323" cy="5201238"/>
                          <a:chOff x="62" y="1290"/>
                          <a:chExt cx="14671" cy="6508"/>
                        </a:xfrm>
                      </wpg:grpSpPr>
                      <wps:wsp>
                        <wps:cNvPr id="1706" name="Rounded Rectangle 191"/>
                        <wps:cNvSpPr>
                          <a:spLocks/>
                        </wps:cNvSpPr>
                        <wps:spPr bwMode="auto">
                          <a:xfrm>
                            <a:off x="12941" y="4055"/>
                            <a:ext cx="1792" cy="1125"/>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300DB478" w14:textId="77777777" w:rsidR="004E3164" w:rsidRPr="008A4483" w:rsidRDefault="004E3164" w:rsidP="004101C0">
                              <w:pPr>
                                <w:ind w:firstLine="0"/>
                                <w:jc w:val="center"/>
                                <w:rPr>
                                  <w:color w:val="000000"/>
                                  <w:sz w:val="20"/>
                                </w:rPr>
                              </w:pPr>
                              <w:r w:rsidRPr="008A4483">
                                <w:rPr>
                                  <w:color w:val="000000"/>
                                  <w:sz w:val="20"/>
                                </w:rPr>
                                <w:t>Началник на отдел „Управление на риска“</w:t>
                              </w:r>
                            </w:p>
                            <w:p w14:paraId="18D12761" w14:textId="77777777" w:rsidR="004E3164" w:rsidRPr="008A4483" w:rsidRDefault="004E3164" w:rsidP="004101C0">
                              <w:pPr>
                                <w:ind w:firstLine="0"/>
                                <w:jc w:val="center"/>
                                <w:rPr>
                                  <w:sz w:val="20"/>
                                </w:rPr>
                              </w:pPr>
                            </w:p>
                          </w:txbxContent>
                        </wps:txbx>
                        <wps:bodyPr rot="0" vert="horz" wrap="square" lIns="91440" tIns="45720" rIns="91440" bIns="45720" anchor="ctr" anchorCtr="0" upright="1">
                          <a:noAutofit/>
                        </wps:bodyPr>
                      </wps:wsp>
                      <wps:wsp>
                        <wps:cNvPr id="1707" name="Rounded Rectangle 190"/>
                        <wps:cNvSpPr>
                          <a:spLocks/>
                        </wps:cNvSpPr>
                        <wps:spPr bwMode="auto">
                          <a:xfrm>
                            <a:off x="13008" y="5687"/>
                            <a:ext cx="1724" cy="2063"/>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7E08E85F" w14:textId="77777777" w:rsidR="004E3164" w:rsidRPr="008A4483" w:rsidRDefault="004E3164" w:rsidP="004101C0">
                              <w:pPr>
                                <w:ind w:firstLine="0"/>
                                <w:jc w:val="center"/>
                                <w:rPr>
                                  <w:color w:val="000000"/>
                                  <w:sz w:val="20"/>
                                  <w:lang w:val="en-US"/>
                                </w:rPr>
                              </w:pPr>
                            </w:p>
                            <w:p w14:paraId="36C791E7" w14:textId="77777777" w:rsidR="004E3164" w:rsidRPr="008A4483" w:rsidRDefault="004E3164" w:rsidP="004101C0">
                              <w:pPr>
                                <w:ind w:firstLine="0"/>
                                <w:jc w:val="center"/>
                                <w:rPr>
                                  <w:color w:val="000000"/>
                                  <w:sz w:val="20"/>
                                  <w:lang w:val="en-US"/>
                                </w:rPr>
                              </w:pPr>
                              <w:r w:rsidRPr="008A4483">
                                <w:rPr>
                                  <w:color w:val="000000"/>
                                  <w:sz w:val="20"/>
                                </w:rPr>
                                <w:t>Служители на отдел „Управление на риска,</w:t>
                              </w:r>
                              <w:r w:rsidRPr="008A4483">
                                <w:rPr>
                                  <w:color w:val="000000"/>
                                  <w:sz w:val="20"/>
                                  <w:lang w:val="en-US"/>
                                </w:rPr>
                                <w:t>”</w:t>
                              </w:r>
                              <w:r w:rsidRPr="008A4483">
                                <w:rPr>
                                  <w:color w:val="000000"/>
                                  <w:sz w:val="20"/>
                                </w:rPr>
                                <w:t>-</w:t>
                              </w:r>
                              <w:r w:rsidRPr="008A4483">
                                <w:rPr>
                                  <w:color w:val="000000"/>
                                  <w:sz w:val="20"/>
                                  <w:lang w:val="en-US"/>
                                </w:rPr>
                                <w:t xml:space="preserve"> </w:t>
                              </w:r>
                              <w:r>
                                <w:rPr>
                                  <w:color w:val="000000"/>
                                  <w:sz w:val="20"/>
                                </w:rPr>
                                <w:t>7</w:t>
                              </w:r>
                              <w:r w:rsidRPr="008A4483">
                                <w:rPr>
                                  <w:color w:val="000000"/>
                                  <w:sz w:val="20"/>
                                </w:rPr>
                                <w:t xml:space="preserve"> бр</w:t>
                              </w:r>
                              <w:r w:rsidRPr="008A4483">
                                <w:rPr>
                                  <w:color w:val="000000"/>
                                  <w:sz w:val="20"/>
                                  <w:lang w:val="en-US"/>
                                </w:rPr>
                                <w:t>)</w:t>
                              </w:r>
                            </w:p>
                            <w:p w14:paraId="21351B78" w14:textId="77777777" w:rsidR="004E3164" w:rsidRPr="008A4483" w:rsidRDefault="004E3164" w:rsidP="004101C0">
                              <w:pPr>
                                <w:ind w:firstLine="0"/>
                                <w:jc w:val="center"/>
                                <w:rPr>
                                  <w:color w:val="000000"/>
                                  <w:sz w:val="20"/>
                                </w:rPr>
                              </w:pPr>
                            </w:p>
                            <w:p w14:paraId="0D6B8830" w14:textId="77777777" w:rsidR="004E3164" w:rsidRPr="008A4483" w:rsidRDefault="004E3164" w:rsidP="004101C0">
                              <w:pPr>
                                <w:ind w:firstLine="0"/>
                                <w:jc w:val="center"/>
                                <w:rPr>
                                  <w:sz w:val="20"/>
                                </w:rPr>
                              </w:pPr>
                            </w:p>
                          </w:txbxContent>
                        </wps:txbx>
                        <wps:bodyPr rot="0" vert="horz" wrap="square" lIns="91440" tIns="45720" rIns="91440" bIns="45720" anchor="ctr" anchorCtr="0" upright="1">
                          <a:noAutofit/>
                        </wps:bodyPr>
                      </wps:wsp>
                      <wps:wsp>
                        <wps:cNvPr id="1708" name="Straight Connector 174"/>
                        <wps:cNvCnPr>
                          <a:cxnSpLocks noChangeShapeType="1"/>
                        </wps:cNvCnPr>
                        <wps:spPr bwMode="auto">
                          <a:xfrm flipV="1">
                            <a:off x="924" y="3795"/>
                            <a:ext cx="12995" cy="44"/>
                          </a:xfrm>
                          <a:prstGeom prst="line">
                            <a:avLst/>
                          </a:prstGeom>
                          <a:noFill/>
                          <a:ln w="19050">
                            <a:solidFill>
                              <a:srgbClr val="4A7EBB"/>
                            </a:solidFill>
                            <a:round/>
                            <a:headEnd/>
                            <a:tailEnd/>
                          </a:ln>
                          <a:extLst>
                            <a:ext uri="{909E8E84-426E-40DD-AFC4-6F175D3DCCD1}">
                              <a14:hiddenFill xmlns:a14="http://schemas.microsoft.com/office/drawing/2010/main">
                                <a:noFill/>
                              </a14:hiddenFill>
                            </a:ext>
                          </a:extLst>
                        </wps:spPr>
                        <wps:bodyPr/>
                      </wps:wsp>
                      <wps:wsp>
                        <wps:cNvPr id="1709" name="Rounded Rectangle 193"/>
                        <wps:cNvSpPr>
                          <a:spLocks/>
                        </wps:cNvSpPr>
                        <wps:spPr bwMode="auto">
                          <a:xfrm>
                            <a:off x="62" y="5698"/>
                            <a:ext cx="1832" cy="210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4BDDAA3F" w14:textId="77777777" w:rsidR="004E3164" w:rsidRPr="008A4483" w:rsidRDefault="004E3164" w:rsidP="004101C0">
                              <w:pPr>
                                <w:ind w:firstLine="0"/>
                                <w:jc w:val="center"/>
                                <w:rPr>
                                  <w:color w:val="000000"/>
                                  <w:sz w:val="20"/>
                                </w:rPr>
                              </w:pPr>
                              <w:r w:rsidRPr="008A4483">
                                <w:rPr>
                                  <w:color w:val="000000"/>
                                  <w:sz w:val="20"/>
                                </w:rPr>
                                <w:t>Служители от  отдел „Програмиране“ – 7 бр. (от които 1 сътрудник)</w:t>
                              </w:r>
                            </w:p>
                            <w:p w14:paraId="11D90D54" w14:textId="77777777" w:rsidR="004E3164" w:rsidRPr="008A4483" w:rsidRDefault="004E3164" w:rsidP="004101C0">
                              <w:pPr>
                                <w:ind w:firstLine="0"/>
                                <w:jc w:val="center"/>
                                <w:rPr>
                                  <w:sz w:val="20"/>
                                </w:rPr>
                              </w:pPr>
                            </w:p>
                          </w:txbxContent>
                        </wps:txbx>
                        <wps:bodyPr rot="0" vert="horz" wrap="square" lIns="91440" tIns="45720" rIns="91440" bIns="45720" anchor="ctr" anchorCtr="0" upright="1">
                          <a:noAutofit/>
                        </wps:bodyPr>
                      </wps:wsp>
                      <wps:wsp>
                        <wps:cNvPr id="1710" name="Rounded Rectangle 194"/>
                        <wps:cNvSpPr>
                          <a:spLocks/>
                        </wps:cNvSpPr>
                        <wps:spPr bwMode="auto">
                          <a:xfrm>
                            <a:off x="2212" y="5723"/>
                            <a:ext cx="1876" cy="2038"/>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2A9E2C0A" w14:textId="77777777" w:rsidR="004E3164" w:rsidRPr="008A4483" w:rsidRDefault="004E3164" w:rsidP="004101C0">
                              <w:pPr>
                                <w:ind w:firstLine="0"/>
                                <w:jc w:val="center"/>
                                <w:rPr>
                                  <w:color w:val="000000"/>
                                  <w:sz w:val="20"/>
                                </w:rPr>
                              </w:pPr>
                              <w:r w:rsidRPr="008A4483">
                                <w:rPr>
                                  <w:color w:val="000000"/>
                                  <w:sz w:val="20"/>
                                </w:rPr>
                                <w:t>Служители от  отдел „Финансово управление“ – 14 бр. (от които 6 сътрудници)</w:t>
                              </w:r>
                            </w:p>
                            <w:p w14:paraId="110C4CDC" w14:textId="77777777" w:rsidR="004E3164" w:rsidRPr="008A4483" w:rsidRDefault="004E3164" w:rsidP="004101C0">
                              <w:pPr>
                                <w:ind w:firstLine="0"/>
                                <w:jc w:val="center"/>
                                <w:rPr>
                                  <w:color w:val="000000"/>
                                  <w:sz w:val="20"/>
                                </w:rPr>
                              </w:pPr>
                            </w:p>
                            <w:p w14:paraId="1FED4381" w14:textId="77777777" w:rsidR="004E3164" w:rsidRPr="008A4483" w:rsidRDefault="004E3164" w:rsidP="004101C0">
                              <w:pPr>
                                <w:ind w:firstLine="0"/>
                                <w:jc w:val="center"/>
                                <w:rPr>
                                  <w:sz w:val="20"/>
                                </w:rPr>
                              </w:pPr>
                            </w:p>
                          </w:txbxContent>
                        </wps:txbx>
                        <wps:bodyPr rot="0" vert="horz" wrap="square" lIns="91440" tIns="45720" rIns="91440" bIns="45720" anchor="ctr" anchorCtr="0" upright="1">
                          <a:noAutofit/>
                        </wps:bodyPr>
                      </wps:wsp>
                      <wps:wsp>
                        <wps:cNvPr id="1711" name="Rounded Rectangle 203"/>
                        <wps:cNvSpPr>
                          <a:spLocks/>
                        </wps:cNvSpPr>
                        <wps:spPr bwMode="auto">
                          <a:xfrm>
                            <a:off x="4449" y="5723"/>
                            <a:ext cx="1833" cy="2026"/>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71A467A5" w14:textId="77777777" w:rsidR="004E3164" w:rsidRPr="008A4483" w:rsidRDefault="004E3164" w:rsidP="004101C0">
                              <w:pPr>
                                <w:ind w:firstLine="0"/>
                                <w:jc w:val="center"/>
                                <w:rPr>
                                  <w:color w:val="000000"/>
                                  <w:sz w:val="20"/>
                                </w:rPr>
                              </w:pPr>
                              <w:r w:rsidRPr="008A4483">
                                <w:rPr>
                                  <w:color w:val="000000"/>
                                  <w:sz w:val="20"/>
                                </w:rPr>
                                <w:t xml:space="preserve">Служители от  отдел „Изпълнение и координация“ – </w:t>
                              </w:r>
                              <w:r>
                                <w:rPr>
                                  <w:color w:val="000000"/>
                                  <w:sz w:val="20"/>
                                </w:rPr>
                                <w:t>9</w:t>
                              </w:r>
                              <w:r w:rsidRPr="008A4483">
                                <w:rPr>
                                  <w:color w:val="000000"/>
                                  <w:sz w:val="20"/>
                                </w:rPr>
                                <w:t xml:space="preserve"> бр. (от които 3 сътрудници)</w:t>
                              </w:r>
                            </w:p>
                            <w:p w14:paraId="4B290620" w14:textId="77777777" w:rsidR="004E3164" w:rsidRPr="008A4483" w:rsidRDefault="004E3164" w:rsidP="004101C0">
                              <w:pPr>
                                <w:ind w:firstLine="0"/>
                                <w:jc w:val="center"/>
                                <w:rPr>
                                  <w:color w:val="000000"/>
                                  <w:sz w:val="20"/>
                                </w:rPr>
                              </w:pPr>
                            </w:p>
                            <w:p w14:paraId="7FDCC3BA" w14:textId="77777777" w:rsidR="004E3164" w:rsidRPr="008A4483" w:rsidRDefault="004E3164" w:rsidP="004101C0">
                              <w:pPr>
                                <w:ind w:firstLine="0"/>
                                <w:jc w:val="center"/>
                                <w:rPr>
                                  <w:sz w:val="20"/>
                                </w:rPr>
                              </w:pPr>
                            </w:p>
                          </w:txbxContent>
                        </wps:txbx>
                        <wps:bodyPr rot="0" vert="horz" wrap="square" lIns="91440" tIns="45720" rIns="91440" bIns="45720" anchor="ctr" anchorCtr="0" upright="1">
                          <a:noAutofit/>
                        </wps:bodyPr>
                      </wps:wsp>
                      <wps:wsp>
                        <wps:cNvPr id="1714" name="Rounded Rectangle 180"/>
                        <wps:cNvSpPr>
                          <a:spLocks/>
                        </wps:cNvSpPr>
                        <wps:spPr bwMode="auto">
                          <a:xfrm>
                            <a:off x="6563" y="5712"/>
                            <a:ext cx="1932" cy="2014"/>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655B9344" w14:textId="77777777" w:rsidR="004E3164" w:rsidRPr="008A4483" w:rsidRDefault="004E3164" w:rsidP="004101C0">
                              <w:pPr>
                                <w:ind w:firstLine="0"/>
                                <w:jc w:val="center"/>
                                <w:rPr>
                                  <w:color w:val="000000"/>
                                  <w:sz w:val="20"/>
                                </w:rPr>
                              </w:pPr>
                              <w:r w:rsidRPr="008A4483">
                                <w:rPr>
                                  <w:color w:val="000000"/>
                                  <w:sz w:val="20"/>
                                </w:rPr>
                                <w:t xml:space="preserve">Служители от  отдел </w:t>
                              </w:r>
                            </w:p>
                            <w:p w14:paraId="052D8A59" w14:textId="38C89590" w:rsidR="004E3164" w:rsidRPr="008A4483" w:rsidRDefault="004E3164" w:rsidP="004101C0">
                              <w:pPr>
                                <w:ind w:firstLine="0"/>
                                <w:jc w:val="center"/>
                                <w:rPr>
                                  <w:color w:val="000000"/>
                                  <w:sz w:val="20"/>
                                </w:rPr>
                              </w:pPr>
                              <w:r w:rsidRPr="008A4483">
                                <w:rPr>
                                  <w:color w:val="000000"/>
                                  <w:sz w:val="20"/>
                                </w:rPr>
                                <w:t>„</w:t>
                              </w:r>
                              <w:r w:rsidRPr="004A1B26">
                                <w:rPr>
                                  <w:color w:val="000000"/>
                                  <w:sz w:val="20"/>
                                </w:rPr>
                                <w:t xml:space="preserve">Наблюдение и оценка”, </w:t>
                              </w:r>
                              <w:r w:rsidRPr="008A4483">
                                <w:rPr>
                                  <w:color w:val="000000"/>
                                  <w:sz w:val="20"/>
                                </w:rPr>
                                <w:t xml:space="preserve"> – </w:t>
                              </w:r>
                              <w:r>
                                <w:rPr>
                                  <w:color w:val="000000"/>
                                  <w:sz w:val="20"/>
                                </w:rPr>
                                <w:t xml:space="preserve">5 </w:t>
                              </w:r>
                              <w:r w:rsidRPr="008A4483">
                                <w:rPr>
                                  <w:color w:val="000000"/>
                                  <w:sz w:val="20"/>
                                </w:rPr>
                                <w:t xml:space="preserve">бр.(от които </w:t>
                              </w:r>
                              <w:r>
                                <w:rPr>
                                  <w:color w:val="000000"/>
                                  <w:sz w:val="20"/>
                                </w:rPr>
                                <w:t xml:space="preserve">2 </w:t>
                              </w:r>
                              <w:r w:rsidRPr="008A4483">
                                <w:rPr>
                                  <w:color w:val="000000"/>
                                  <w:sz w:val="20"/>
                                </w:rPr>
                                <w:t>сътрудни</w:t>
                              </w:r>
                              <w:r>
                                <w:rPr>
                                  <w:color w:val="000000"/>
                                  <w:sz w:val="20"/>
                                </w:rPr>
                                <w:t>ци</w:t>
                              </w:r>
                              <w:r w:rsidRPr="008A4483">
                                <w:rPr>
                                  <w:color w:val="000000"/>
                                  <w:sz w:val="20"/>
                                </w:rPr>
                                <w:t>)</w:t>
                              </w:r>
                            </w:p>
                            <w:p w14:paraId="3F21285D" w14:textId="77777777" w:rsidR="004E3164" w:rsidRPr="008A4483" w:rsidRDefault="004E3164" w:rsidP="004101C0">
                              <w:pPr>
                                <w:ind w:firstLine="0"/>
                                <w:jc w:val="center"/>
                                <w:rPr>
                                  <w:sz w:val="20"/>
                                </w:rPr>
                              </w:pPr>
                            </w:p>
                          </w:txbxContent>
                        </wps:txbx>
                        <wps:bodyPr rot="0" vert="horz" wrap="square" lIns="91440" tIns="45720" rIns="91440" bIns="45720" anchor="ctr" anchorCtr="0" upright="1">
                          <a:noAutofit/>
                        </wps:bodyPr>
                      </wps:wsp>
                      <wps:wsp>
                        <wps:cNvPr id="1715" name="Rounded Rectangle 190"/>
                        <wps:cNvSpPr>
                          <a:spLocks/>
                        </wps:cNvSpPr>
                        <wps:spPr bwMode="auto">
                          <a:xfrm>
                            <a:off x="8796" y="5698"/>
                            <a:ext cx="1913" cy="2064"/>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4E01BE6E" w14:textId="77777777" w:rsidR="004E3164" w:rsidRPr="008A4483" w:rsidRDefault="004E3164" w:rsidP="004101C0">
                              <w:pPr>
                                <w:ind w:firstLine="0"/>
                                <w:jc w:val="center"/>
                                <w:rPr>
                                  <w:color w:val="000000"/>
                                  <w:sz w:val="20"/>
                                </w:rPr>
                              </w:pPr>
                              <w:r w:rsidRPr="008A4483">
                                <w:rPr>
                                  <w:color w:val="000000"/>
                                  <w:sz w:val="20"/>
                                </w:rPr>
                                <w:t>Служители от  отдел „</w:t>
                              </w:r>
                              <w:r>
                                <w:rPr>
                                  <w:color w:val="000000"/>
                                  <w:sz w:val="20"/>
                                </w:rPr>
                                <w:t>Информация, публичност и техническа помощ</w:t>
                              </w:r>
                              <w:r w:rsidRPr="008A4483">
                                <w:rPr>
                                  <w:color w:val="000000"/>
                                  <w:sz w:val="20"/>
                                </w:rPr>
                                <w:t xml:space="preserve">“, </w:t>
                              </w:r>
                              <w:r>
                                <w:rPr>
                                  <w:color w:val="000000"/>
                                  <w:sz w:val="20"/>
                                </w:rPr>
                                <w:t>4</w:t>
                              </w:r>
                              <w:r w:rsidRPr="008A4483">
                                <w:rPr>
                                  <w:color w:val="000000"/>
                                  <w:sz w:val="20"/>
                                </w:rPr>
                                <w:t xml:space="preserve"> бр.( от които </w:t>
                              </w:r>
                              <w:r>
                                <w:rPr>
                                  <w:color w:val="000000"/>
                                  <w:sz w:val="20"/>
                                </w:rPr>
                                <w:t>1</w:t>
                              </w:r>
                              <w:r w:rsidRPr="008A4483">
                                <w:rPr>
                                  <w:color w:val="000000"/>
                                  <w:sz w:val="20"/>
                                </w:rPr>
                                <w:t xml:space="preserve"> сътрудни</w:t>
                              </w:r>
                              <w:r>
                                <w:rPr>
                                  <w:color w:val="000000"/>
                                  <w:sz w:val="20"/>
                                </w:rPr>
                                <w:t>к</w:t>
                              </w:r>
                              <w:r w:rsidRPr="008A4483">
                                <w:rPr>
                                  <w:color w:val="000000"/>
                                  <w:sz w:val="20"/>
                                </w:rPr>
                                <w:t>)</w:t>
                              </w:r>
                            </w:p>
                            <w:p w14:paraId="33F36564" w14:textId="77777777" w:rsidR="004E3164" w:rsidRPr="008A4483" w:rsidRDefault="004E3164" w:rsidP="004101C0">
                              <w:pPr>
                                <w:ind w:firstLine="0"/>
                                <w:jc w:val="center"/>
                                <w:rPr>
                                  <w:color w:val="000000"/>
                                  <w:sz w:val="20"/>
                                </w:rPr>
                              </w:pPr>
                            </w:p>
                            <w:p w14:paraId="1B858898" w14:textId="77777777" w:rsidR="004E3164" w:rsidRPr="008A4483" w:rsidRDefault="004E3164" w:rsidP="004101C0">
                              <w:pPr>
                                <w:ind w:firstLine="0"/>
                                <w:jc w:val="center"/>
                                <w:rPr>
                                  <w:sz w:val="20"/>
                                </w:rPr>
                              </w:pPr>
                            </w:p>
                          </w:txbxContent>
                        </wps:txbx>
                        <wps:bodyPr rot="0" vert="horz" wrap="square" lIns="91440" tIns="45720" rIns="91440" bIns="45720" anchor="ctr" anchorCtr="0" upright="1">
                          <a:noAutofit/>
                        </wps:bodyPr>
                      </wps:wsp>
                      <wps:wsp>
                        <wps:cNvPr id="1716" name="Rounded Rectangle 195"/>
                        <wps:cNvSpPr>
                          <a:spLocks/>
                        </wps:cNvSpPr>
                        <wps:spPr bwMode="auto">
                          <a:xfrm>
                            <a:off x="96" y="4087"/>
                            <a:ext cx="1929" cy="1117"/>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65C5488E" w14:textId="77777777" w:rsidR="004E3164" w:rsidRPr="008A4483" w:rsidRDefault="004E3164" w:rsidP="004101C0">
                              <w:pPr>
                                <w:ind w:firstLine="0"/>
                                <w:jc w:val="center"/>
                                <w:rPr>
                                  <w:color w:val="000000"/>
                                  <w:sz w:val="20"/>
                                </w:rPr>
                              </w:pPr>
                              <w:r w:rsidRPr="008A4483">
                                <w:rPr>
                                  <w:color w:val="000000"/>
                                  <w:sz w:val="20"/>
                                </w:rPr>
                                <w:t>Началник на отдел „Програмиране“</w:t>
                              </w:r>
                            </w:p>
                            <w:p w14:paraId="5C7D6B4B" w14:textId="77777777" w:rsidR="004E3164" w:rsidRPr="008A4483" w:rsidRDefault="004E3164" w:rsidP="004101C0">
                              <w:pPr>
                                <w:ind w:firstLine="0"/>
                                <w:jc w:val="center"/>
                                <w:rPr>
                                  <w:sz w:val="20"/>
                                </w:rPr>
                              </w:pPr>
                            </w:p>
                          </w:txbxContent>
                        </wps:txbx>
                        <wps:bodyPr rot="0" vert="horz" wrap="square" lIns="91440" tIns="45720" rIns="91440" bIns="45720" anchor="ctr" anchorCtr="0" upright="1">
                          <a:noAutofit/>
                        </wps:bodyPr>
                      </wps:wsp>
                      <wps:wsp>
                        <wps:cNvPr id="1750" name="Rounded Rectangle 196"/>
                        <wps:cNvSpPr>
                          <a:spLocks/>
                        </wps:cNvSpPr>
                        <wps:spPr bwMode="auto">
                          <a:xfrm>
                            <a:off x="2336" y="4071"/>
                            <a:ext cx="1940" cy="1141"/>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110EA30A" w14:textId="77777777" w:rsidR="004E3164" w:rsidRPr="008A4483" w:rsidRDefault="004E3164" w:rsidP="004101C0">
                              <w:pPr>
                                <w:ind w:firstLine="0"/>
                                <w:jc w:val="center"/>
                                <w:rPr>
                                  <w:color w:val="000000"/>
                                  <w:sz w:val="20"/>
                                </w:rPr>
                              </w:pPr>
                              <w:r w:rsidRPr="008A4483">
                                <w:rPr>
                                  <w:color w:val="000000"/>
                                  <w:sz w:val="20"/>
                                </w:rPr>
                                <w:t>Началник на отдел „Финансово управление“</w:t>
                              </w:r>
                            </w:p>
                            <w:p w14:paraId="79916E60" w14:textId="77777777" w:rsidR="004E3164" w:rsidRPr="008A4483" w:rsidRDefault="004E3164" w:rsidP="004101C0">
                              <w:pPr>
                                <w:ind w:firstLine="0"/>
                                <w:jc w:val="center"/>
                                <w:rPr>
                                  <w:i/>
                                  <w:sz w:val="20"/>
                                </w:rPr>
                              </w:pPr>
                            </w:p>
                          </w:txbxContent>
                        </wps:txbx>
                        <wps:bodyPr rot="0" vert="horz" wrap="square" lIns="91440" tIns="45720" rIns="91440" bIns="45720" anchor="ctr" anchorCtr="0" upright="1">
                          <a:noAutofit/>
                        </wps:bodyPr>
                      </wps:wsp>
                      <wps:wsp>
                        <wps:cNvPr id="1751" name="Rounded Rectangle 197"/>
                        <wps:cNvSpPr>
                          <a:spLocks/>
                        </wps:cNvSpPr>
                        <wps:spPr bwMode="auto">
                          <a:xfrm>
                            <a:off x="4603" y="4059"/>
                            <a:ext cx="1893" cy="1145"/>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68E91CB3" w14:textId="77777777" w:rsidR="004E3164" w:rsidRPr="008A4483" w:rsidRDefault="004E3164" w:rsidP="004101C0">
                              <w:pPr>
                                <w:ind w:firstLine="0"/>
                                <w:jc w:val="center"/>
                                <w:rPr>
                                  <w:color w:val="000000"/>
                                  <w:sz w:val="20"/>
                                </w:rPr>
                              </w:pPr>
                              <w:r w:rsidRPr="008A4483">
                                <w:rPr>
                                  <w:color w:val="000000"/>
                                  <w:sz w:val="20"/>
                                </w:rPr>
                                <w:t>Началник на отдел „Изпълнение и координация“</w:t>
                              </w:r>
                            </w:p>
                            <w:p w14:paraId="51FEE993" w14:textId="77777777" w:rsidR="004E3164" w:rsidRPr="008A4483" w:rsidRDefault="004E3164" w:rsidP="004101C0">
                              <w:pPr>
                                <w:ind w:firstLine="0"/>
                                <w:jc w:val="center"/>
                                <w:rPr>
                                  <w:sz w:val="20"/>
                                </w:rPr>
                              </w:pPr>
                            </w:p>
                          </w:txbxContent>
                        </wps:txbx>
                        <wps:bodyPr rot="0" vert="horz" wrap="square" lIns="91440" tIns="45720" rIns="91440" bIns="45720" anchor="ctr" anchorCtr="0" upright="1">
                          <a:noAutofit/>
                        </wps:bodyPr>
                      </wps:wsp>
                      <wps:wsp>
                        <wps:cNvPr id="1752" name="Rounded Rectangle 192"/>
                        <wps:cNvSpPr>
                          <a:spLocks/>
                        </wps:cNvSpPr>
                        <wps:spPr bwMode="auto">
                          <a:xfrm>
                            <a:off x="6657" y="4071"/>
                            <a:ext cx="1838" cy="1125"/>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1000F6CD" w14:textId="77777777" w:rsidR="004E3164" w:rsidRPr="008A4483" w:rsidRDefault="004E3164" w:rsidP="004101C0">
                              <w:pPr>
                                <w:ind w:firstLine="0"/>
                                <w:jc w:val="center"/>
                                <w:rPr>
                                  <w:color w:val="000000"/>
                                  <w:sz w:val="20"/>
                                </w:rPr>
                              </w:pPr>
                              <w:r w:rsidRPr="008A4483">
                                <w:rPr>
                                  <w:color w:val="000000"/>
                                  <w:sz w:val="20"/>
                                </w:rPr>
                                <w:t xml:space="preserve">Началник на отдел </w:t>
                              </w:r>
                            </w:p>
                            <w:p w14:paraId="1008C528" w14:textId="77777777" w:rsidR="004E3164" w:rsidRPr="008A4483" w:rsidRDefault="004E3164" w:rsidP="004101C0">
                              <w:pPr>
                                <w:ind w:firstLine="0"/>
                                <w:jc w:val="center"/>
                                <w:rPr>
                                  <w:color w:val="000000"/>
                                  <w:sz w:val="20"/>
                                </w:rPr>
                              </w:pPr>
                              <w:r>
                                <w:rPr>
                                  <w:color w:val="000000"/>
                                  <w:sz w:val="20"/>
                                </w:rPr>
                                <w:t>„Наблюдение и оценка”</w:t>
                              </w:r>
                            </w:p>
                            <w:p w14:paraId="3B80493A" w14:textId="77777777" w:rsidR="004E3164" w:rsidRPr="008A4483" w:rsidRDefault="004E3164" w:rsidP="004101C0">
                              <w:pPr>
                                <w:ind w:firstLine="0"/>
                                <w:jc w:val="center"/>
                                <w:rPr>
                                  <w:sz w:val="20"/>
                                </w:rPr>
                              </w:pPr>
                            </w:p>
                          </w:txbxContent>
                        </wps:txbx>
                        <wps:bodyPr rot="0" vert="horz" wrap="square" lIns="91440" tIns="45720" rIns="91440" bIns="45720" anchor="ctr" anchorCtr="0" upright="1">
                          <a:noAutofit/>
                        </wps:bodyPr>
                      </wps:wsp>
                      <wps:wsp>
                        <wps:cNvPr id="1753" name="Rounded Rectangle 191"/>
                        <wps:cNvSpPr>
                          <a:spLocks/>
                        </wps:cNvSpPr>
                        <wps:spPr bwMode="auto">
                          <a:xfrm>
                            <a:off x="10950" y="4071"/>
                            <a:ext cx="1833" cy="1109"/>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0853F85F" w14:textId="77777777" w:rsidR="004E3164" w:rsidRPr="008A4483" w:rsidRDefault="004E3164" w:rsidP="004101C0">
                              <w:pPr>
                                <w:ind w:firstLine="0"/>
                                <w:jc w:val="center"/>
                                <w:rPr>
                                  <w:color w:val="000000"/>
                                  <w:sz w:val="20"/>
                                </w:rPr>
                              </w:pPr>
                              <w:r w:rsidRPr="008A4483">
                                <w:rPr>
                                  <w:color w:val="000000"/>
                                  <w:sz w:val="20"/>
                                </w:rPr>
                                <w:t>Началник на отдел „Контрол по обществени поръчки“</w:t>
                              </w:r>
                            </w:p>
                            <w:p w14:paraId="186C1B79" w14:textId="77777777" w:rsidR="004E3164" w:rsidRPr="008A4483" w:rsidRDefault="004E3164" w:rsidP="004101C0">
                              <w:pPr>
                                <w:ind w:firstLine="0"/>
                                <w:jc w:val="center"/>
                                <w:rPr>
                                  <w:sz w:val="20"/>
                                </w:rPr>
                              </w:pPr>
                            </w:p>
                          </w:txbxContent>
                        </wps:txbx>
                        <wps:bodyPr rot="0" vert="horz" wrap="square" lIns="91440" tIns="45720" rIns="91440" bIns="45720" anchor="ctr" anchorCtr="0" upright="1">
                          <a:noAutofit/>
                        </wps:bodyPr>
                      </wps:wsp>
                      <wps:wsp>
                        <wps:cNvPr id="1754" name="Straight Arrow Connector 176"/>
                        <wps:cNvCnPr>
                          <a:cxnSpLocks noChangeShapeType="1"/>
                        </wps:cNvCnPr>
                        <wps:spPr bwMode="auto">
                          <a:xfrm>
                            <a:off x="924" y="3839"/>
                            <a:ext cx="0" cy="272"/>
                          </a:xfrm>
                          <a:prstGeom prst="straightConnector1">
                            <a:avLst/>
                          </a:prstGeom>
                          <a:noFill/>
                          <a:ln w="19050">
                            <a:solidFill>
                              <a:srgbClr val="558ED5"/>
                            </a:solidFill>
                            <a:round/>
                            <a:headEnd/>
                            <a:tailEnd type="triangle" w="med" len="med"/>
                          </a:ln>
                          <a:extLst>
                            <a:ext uri="{909E8E84-426E-40DD-AFC4-6F175D3DCCD1}">
                              <a14:hiddenFill xmlns:a14="http://schemas.microsoft.com/office/drawing/2010/main">
                                <a:noFill/>
                              </a14:hiddenFill>
                            </a:ext>
                          </a:extLst>
                        </wps:spPr>
                        <wps:bodyPr/>
                      </wps:wsp>
                      <wps:wsp>
                        <wps:cNvPr id="1755" name="Straight Arrow Connector 170"/>
                        <wps:cNvCnPr>
                          <a:cxnSpLocks noChangeShapeType="1"/>
                        </wps:cNvCnPr>
                        <wps:spPr bwMode="auto">
                          <a:xfrm>
                            <a:off x="8377" y="3169"/>
                            <a:ext cx="5" cy="586"/>
                          </a:xfrm>
                          <a:prstGeom prst="straightConnector1">
                            <a:avLst/>
                          </a:prstGeom>
                          <a:noFill/>
                          <a:ln w="19050">
                            <a:solidFill>
                              <a:srgbClr val="558ED5"/>
                            </a:solidFill>
                            <a:round/>
                            <a:headEnd/>
                            <a:tailEnd type="triangle" w="med" len="med"/>
                          </a:ln>
                          <a:extLst>
                            <a:ext uri="{909E8E84-426E-40DD-AFC4-6F175D3DCCD1}">
                              <a14:hiddenFill xmlns:a14="http://schemas.microsoft.com/office/drawing/2010/main">
                                <a:noFill/>
                              </a14:hiddenFill>
                            </a:ext>
                          </a:extLst>
                        </wps:spPr>
                        <wps:bodyPr/>
                      </wps:wsp>
                      <wps:wsp>
                        <wps:cNvPr id="1756" name="Rounded Rectangle 167"/>
                        <wps:cNvSpPr>
                          <a:spLocks/>
                        </wps:cNvSpPr>
                        <wps:spPr bwMode="auto">
                          <a:xfrm>
                            <a:off x="3751" y="1290"/>
                            <a:ext cx="9257" cy="869"/>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2AD32718" w14:textId="77777777" w:rsidR="004E3164" w:rsidRPr="008A4483" w:rsidRDefault="004E3164" w:rsidP="004101C0">
                              <w:pPr>
                                <w:ind w:firstLine="0"/>
                                <w:jc w:val="center"/>
                                <w:rPr>
                                  <w:sz w:val="20"/>
                                </w:rPr>
                              </w:pPr>
                              <w:r w:rsidRPr="008A4483">
                                <w:rPr>
                                  <w:sz w:val="20"/>
                                </w:rPr>
                                <w:t>Министър на транспорта</w:t>
                              </w:r>
                              <w:r>
                                <w:rPr>
                                  <w:sz w:val="20"/>
                                </w:rPr>
                                <w:t xml:space="preserve"> и </w:t>
                              </w:r>
                              <w:r w:rsidRPr="008A4483">
                                <w:rPr>
                                  <w:sz w:val="20"/>
                                </w:rPr>
                                <w:t>съобщения</w:t>
                              </w:r>
                              <w:r>
                                <w:rPr>
                                  <w:sz w:val="20"/>
                                </w:rPr>
                                <w:t>та</w:t>
                              </w:r>
                              <w:r w:rsidRPr="008A4483" w:rsidDel="00E37230">
                                <w:rPr>
                                  <w:sz w:val="20"/>
                                </w:rPr>
                                <w:t xml:space="preserve"> </w:t>
                              </w:r>
                            </w:p>
                          </w:txbxContent>
                        </wps:txbx>
                        <wps:bodyPr rot="0" vert="horz" wrap="square" lIns="91440" tIns="45720" rIns="91440" bIns="45720" anchor="ctr" anchorCtr="0" upright="1">
                          <a:noAutofit/>
                        </wps:bodyPr>
                      </wps:wsp>
                      <wps:wsp>
                        <wps:cNvPr id="1757" name="Rounded Rectangle 169"/>
                        <wps:cNvSpPr>
                          <a:spLocks/>
                        </wps:cNvSpPr>
                        <wps:spPr bwMode="auto">
                          <a:xfrm>
                            <a:off x="5372" y="2642"/>
                            <a:ext cx="6000" cy="527"/>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79385B2F" w14:textId="77777777" w:rsidR="004E3164" w:rsidRPr="008A4483" w:rsidRDefault="004E3164" w:rsidP="004101C0">
                              <w:pPr>
                                <w:ind w:firstLine="0"/>
                                <w:jc w:val="center"/>
                                <w:rPr>
                                  <w:sz w:val="20"/>
                                </w:rPr>
                              </w:pPr>
                              <w:r w:rsidRPr="008A4483">
                                <w:rPr>
                                  <w:sz w:val="20"/>
                                </w:rPr>
                                <w:t xml:space="preserve">Директор на дирекция  </w:t>
                              </w:r>
                              <w:r w:rsidRPr="004E34E9">
                                <w:rPr>
                                  <w:sz w:val="20"/>
                                </w:rPr>
                                <w:t>КПП</w:t>
                              </w:r>
                              <w:r w:rsidRPr="00587A16">
                                <w:rPr>
                                  <w:sz w:val="20"/>
                                </w:rPr>
                                <w:t xml:space="preserve"> и Ръководител на УО на ОПТТИ</w:t>
                              </w:r>
                            </w:p>
                            <w:p w14:paraId="020F19E8" w14:textId="77777777" w:rsidR="004E3164" w:rsidRPr="008A4483" w:rsidRDefault="004E3164" w:rsidP="004101C0">
                              <w:pPr>
                                <w:ind w:firstLine="0"/>
                                <w:jc w:val="center"/>
                                <w:rPr>
                                  <w:sz w:val="20"/>
                                </w:rPr>
                              </w:pPr>
                            </w:p>
                          </w:txbxContent>
                        </wps:txbx>
                        <wps:bodyPr rot="0" vert="horz" wrap="square" lIns="91440" tIns="45720" rIns="91440" bIns="45720" anchor="ctr" anchorCtr="0" upright="1">
                          <a:noAutofit/>
                        </wps:bodyPr>
                      </wps:wsp>
                      <wps:wsp>
                        <wps:cNvPr id="1758" name="Straight Arrow Connector 168"/>
                        <wps:cNvCnPr>
                          <a:cxnSpLocks noChangeShapeType="1"/>
                        </wps:cNvCnPr>
                        <wps:spPr bwMode="auto">
                          <a:xfrm>
                            <a:off x="8382" y="2167"/>
                            <a:ext cx="2" cy="483"/>
                          </a:xfrm>
                          <a:prstGeom prst="straightConnector1">
                            <a:avLst/>
                          </a:prstGeom>
                          <a:noFill/>
                          <a:ln w="19050">
                            <a:solidFill>
                              <a:srgbClr val="558ED5"/>
                            </a:solidFill>
                            <a:round/>
                            <a:headEnd/>
                            <a:tailEnd type="triangle" w="med" len="med"/>
                          </a:ln>
                          <a:extLst>
                            <a:ext uri="{909E8E84-426E-40DD-AFC4-6F175D3DCCD1}">
                              <a14:hiddenFill xmlns:a14="http://schemas.microsoft.com/office/drawing/2010/main">
                                <a:noFill/>
                              </a14:hiddenFill>
                            </a:ext>
                          </a:extLst>
                        </wps:spPr>
                        <wps:bodyPr/>
                      </wps:wsp>
                      <wps:wsp>
                        <wps:cNvPr id="1759" name="Straight Arrow Connector 176"/>
                        <wps:cNvCnPr>
                          <a:cxnSpLocks noChangeShapeType="1"/>
                        </wps:cNvCnPr>
                        <wps:spPr bwMode="auto">
                          <a:xfrm>
                            <a:off x="11761" y="3795"/>
                            <a:ext cx="0" cy="272"/>
                          </a:xfrm>
                          <a:prstGeom prst="straightConnector1">
                            <a:avLst/>
                          </a:prstGeom>
                          <a:noFill/>
                          <a:ln w="19050">
                            <a:solidFill>
                              <a:srgbClr val="558ED5"/>
                            </a:solidFill>
                            <a:round/>
                            <a:headEnd/>
                            <a:tailEnd type="triangle" w="med" len="med"/>
                          </a:ln>
                          <a:extLst>
                            <a:ext uri="{909E8E84-426E-40DD-AFC4-6F175D3DCCD1}">
                              <a14:hiddenFill xmlns:a14="http://schemas.microsoft.com/office/drawing/2010/main">
                                <a:noFill/>
                              </a14:hiddenFill>
                            </a:ext>
                          </a:extLst>
                        </wps:spPr>
                        <wps:bodyPr/>
                      </wps:wsp>
                      <wps:wsp>
                        <wps:cNvPr id="678" name="Straight Arrow Connector 176"/>
                        <wps:cNvCnPr>
                          <a:cxnSpLocks noChangeShapeType="1"/>
                        </wps:cNvCnPr>
                        <wps:spPr bwMode="auto">
                          <a:xfrm>
                            <a:off x="977" y="5246"/>
                            <a:ext cx="0" cy="478"/>
                          </a:xfrm>
                          <a:prstGeom prst="straightConnector1">
                            <a:avLst/>
                          </a:prstGeom>
                          <a:noFill/>
                          <a:ln w="19050">
                            <a:solidFill>
                              <a:srgbClr val="558ED5"/>
                            </a:solidFill>
                            <a:round/>
                            <a:headEnd/>
                            <a:tailEnd type="triangle" w="med" len="med"/>
                          </a:ln>
                          <a:extLst>
                            <a:ext uri="{909E8E84-426E-40DD-AFC4-6F175D3DCCD1}">
                              <a14:hiddenFill xmlns:a14="http://schemas.microsoft.com/office/drawing/2010/main">
                                <a:noFill/>
                              </a14:hiddenFill>
                            </a:ext>
                          </a:extLst>
                        </wps:spPr>
                        <wps:bodyPr/>
                      </wps:wsp>
                      <wps:wsp>
                        <wps:cNvPr id="685" name="Straight Arrow Connector 176"/>
                        <wps:cNvCnPr>
                          <a:cxnSpLocks noChangeShapeType="1"/>
                        </wps:cNvCnPr>
                        <wps:spPr bwMode="auto">
                          <a:xfrm>
                            <a:off x="13947" y="5196"/>
                            <a:ext cx="0" cy="478"/>
                          </a:xfrm>
                          <a:prstGeom prst="straightConnector1">
                            <a:avLst/>
                          </a:prstGeom>
                          <a:noFill/>
                          <a:ln w="19050">
                            <a:solidFill>
                              <a:srgbClr val="558ED5"/>
                            </a:solidFill>
                            <a:round/>
                            <a:headEnd/>
                            <a:tailEnd type="triangle" w="med" len="med"/>
                          </a:ln>
                          <a:extLst>
                            <a:ext uri="{909E8E84-426E-40DD-AFC4-6F175D3DCCD1}">
                              <a14:hiddenFill xmlns:a14="http://schemas.microsoft.com/office/drawing/2010/main">
                                <a:noFill/>
                              </a14:hiddenFill>
                            </a:ext>
                          </a:extLst>
                        </wps:spPr>
                        <wps:bodyPr/>
                      </wps:wsp>
                      <wps:wsp>
                        <wps:cNvPr id="686" name="Straight Arrow Connector 176"/>
                        <wps:cNvCnPr>
                          <a:cxnSpLocks noChangeShapeType="1"/>
                        </wps:cNvCnPr>
                        <wps:spPr bwMode="auto">
                          <a:xfrm>
                            <a:off x="3231" y="5222"/>
                            <a:ext cx="0" cy="478"/>
                          </a:xfrm>
                          <a:prstGeom prst="straightConnector1">
                            <a:avLst/>
                          </a:prstGeom>
                          <a:noFill/>
                          <a:ln w="19050">
                            <a:solidFill>
                              <a:srgbClr val="558ED5"/>
                            </a:solidFill>
                            <a:round/>
                            <a:headEnd/>
                            <a:tailEnd type="triangle" w="med" len="med"/>
                          </a:ln>
                          <a:extLst>
                            <a:ext uri="{909E8E84-426E-40DD-AFC4-6F175D3DCCD1}">
                              <a14:hiddenFill xmlns:a14="http://schemas.microsoft.com/office/drawing/2010/main">
                                <a:noFill/>
                              </a14:hiddenFill>
                            </a:ext>
                          </a:extLst>
                        </wps:spPr>
                        <wps:bodyPr/>
                      </wps:wsp>
                      <wps:wsp>
                        <wps:cNvPr id="687" name="Straight Arrow Connector 176"/>
                        <wps:cNvCnPr>
                          <a:cxnSpLocks noChangeShapeType="1"/>
                        </wps:cNvCnPr>
                        <wps:spPr bwMode="auto">
                          <a:xfrm>
                            <a:off x="5476" y="5234"/>
                            <a:ext cx="0" cy="478"/>
                          </a:xfrm>
                          <a:prstGeom prst="straightConnector1">
                            <a:avLst/>
                          </a:prstGeom>
                          <a:noFill/>
                          <a:ln w="19050">
                            <a:solidFill>
                              <a:srgbClr val="558ED5"/>
                            </a:solidFill>
                            <a:round/>
                            <a:headEnd/>
                            <a:tailEnd type="triangle" w="med" len="med"/>
                          </a:ln>
                          <a:extLst>
                            <a:ext uri="{909E8E84-426E-40DD-AFC4-6F175D3DCCD1}">
                              <a14:hiddenFill xmlns:a14="http://schemas.microsoft.com/office/drawing/2010/main">
                                <a:noFill/>
                              </a14:hiddenFill>
                            </a:ext>
                          </a:extLst>
                        </wps:spPr>
                        <wps:bodyPr/>
                      </wps:wsp>
                      <wps:wsp>
                        <wps:cNvPr id="688" name="Straight Arrow Connector 176"/>
                        <wps:cNvCnPr>
                          <a:cxnSpLocks noChangeShapeType="1"/>
                        </wps:cNvCnPr>
                        <wps:spPr bwMode="auto">
                          <a:xfrm>
                            <a:off x="7595" y="5196"/>
                            <a:ext cx="0" cy="478"/>
                          </a:xfrm>
                          <a:prstGeom prst="straightConnector1">
                            <a:avLst/>
                          </a:prstGeom>
                          <a:noFill/>
                          <a:ln w="19050">
                            <a:solidFill>
                              <a:srgbClr val="558ED5"/>
                            </a:solidFill>
                            <a:round/>
                            <a:headEnd/>
                            <a:tailEnd type="triangle" w="med" len="med"/>
                          </a:ln>
                          <a:extLst>
                            <a:ext uri="{909E8E84-426E-40DD-AFC4-6F175D3DCCD1}">
                              <a14:hiddenFill xmlns:a14="http://schemas.microsoft.com/office/drawing/2010/main">
                                <a:noFill/>
                              </a14:hiddenFill>
                            </a:ext>
                          </a:extLst>
                        </wps:spPr>
                        <wps:bodyPr/>
                      </wps:wsp>
                      <wps:wsp>
                        <wps:cNvPr id="689" name="Straight Arrow Connector 176"/>
                        <wps:cNvCnPr>
                          <a:cxnSpLocks noChangeShapeType="1"/>
                        </wps:cNvCnPr>
                        <wps:spPr bwMode="auto">
                          <a:xfrm>
                            <a:off x="9741" y="5220"/>
                            <a:ext cx="0" cy="478"/>
                          </a:xfrm>
                          <a:prstGeom prst="straightConnector1">
                            <a:avLst/>
                          </a:prstGeom>
                          <a:noFill/>
                          <a:ln w="19050">
                            <a:solidFill>
                              <a:srgbClr val="558ED5"/>
                            </a:solidFill>
                            <a:round/>
                            <a:headEnd/>
                            <a:tailEnd type="triangle" w="med" len="med"/>
                          </a:ln>
                          <a:extLst>
                            <a:ext uri="{909E8E84-426E-40DD-AFC4-6F175D3DCCD1}">
                              <a14:hiddenFill xmlns:a14="http://schemas.microsoft.com/office/drawing/2010/main">
                                <a:noFill/>
                              </a14:hiddenFill>
                            </a:ext>
                          </a:extLst>
                        </wps:spPr>
                        <wps:bodyPr/>
                      </wps:wsp>
                      <wps:wsp>
                        <wps:cNvPr id="690" name="Straight Arrow Connector 176"/>
                        <wps:cNvCnPr>
                          <a:cxnSpLocks noChangeShapeType="1"/>
                        </wps:cNvCnPr>
                        <wps:spPr bwMode="auto">
                          <a:xfrm>
                            <a:off x="3231" y="3827"/>
                            <a:ext cx="0" cy="272"/>
                          </a:xfrm>
                          <a:prstGeom prst="straightConnector1">
                            <a:avLst/>
                          </a:prstGeom>
                          <a:noFill/>
                          <a:ln w="19050">
                            <a:solidFill>
                              <a:srgbClr val="558ED5"/>
                            </a:solidFill>
                            <a:round/>
                            <a:headEnd/>
                            <a:tailEnd type="triangle" w="med" len="med"/>
                          </a:ln>
                          <a:extLst>
                            <a:ext uri="{909E8E84-426E-40DD-AFC4-6F175D3DCCD1}">
                              <a14:hiddenFill xmlns:a14="http://schemas.microsoft.com/office/drawing/2010/main">
                                <a:noFill/>
                              </a14:hiddenFill>
                            </a:ext>
                          </a:extLst>
                        </wps:spPr>
                        <wps:bodyPr/>
                      </wps:wsp>
                      <wps:wsp>
                        <wps:cNvPr id="691" name="Straight Arrow Connector 176"/>
                        <wps:cNvCnPr>
                          <a:cxnSpLocks noChangeShapeType="1"/>
                        </wps:cNvCnPr>
                        <wps:spPr bwMode="auto">
                          <a:xfrm>
                            <a:off x="5476" y="3799"/>
                            <a:ext cx="0" cy="272"/>
                          </a:xfrm>
                          <a:prstGeom prst="straightConnector1">
                            <a:avLst/>
                          </a:prstGeom>
                          <a:noFill/>
                          <a:ln w="19050">
                            <a:solidFill>
                              <a:srgbClr val="558ED5"/>
                            </a:solidFill>
                            <a:round/>
                            <a:headEnd/>
                            <a:tailEnd type="triangle" w="med" len="med"/>
                          </a:ln>
                          <a:extLst>
                            <a:ext uri="{909E8E84-426E-40DD-AFC4-6F175D3DCCD1}">
                              <a14:hiddenFill xmlns:a14="http://schemas.microsoft.com/office/drawing/2010/main">
                                <a:noFill/>
                              </a14:hiddenFill>
                            </a:ext>
                          </a:extLst>
                        </wps:spPr>
                        <wps:bodyPr/>
                      </wps:wsp>
                      <wps:wsp>
                        <wps:cNvPr id="692" name="Straight Arrow Connector 176"/>
                        <wps:cNvCnPr>
                          <a:cxnSpLocks noChangeShapeType="1"/>
                        </wps:cNvCnPr>
                        <wps:spPr bwMode="auto">
                          <a:xfrm>
                            <a:off x="7543" y="3799"/>
                            <a:ext cx="0" cy="272"/>
                          </a:xfrm>
                          <a:prstGeom prst="straightConnector1">
                            <a:avLst/>
                          </a:prstGeom>
                          <a:noFill/>
                          <a:ln w="19050">
                            <a:solidFill>
                              <a:srgbClr val="558ED5"/>
                            </a:solidFill>
                            <a:round/>
                            <a:headEnd/>
                            <a:tailEnd type="triangle" w="med" len="med"/>
                          </a:ln>
                          <a:extLst>
                            <a:ext uri="{909E8E84-426E-40DD-AFC4-6F175D3DCCD1}">
                              <a14:hiddenFill xmlns:a14="http://schemas.microsoft.com/office/drawing/2010/main">
                                <a:noFill/>
                              </a14:hiddenFill>
                            </a:ext>
                          </a:extLst>
                        </wps:spPr>
                        <wps:bodyPr/>
                      </wps:wsp>
                      <wps:wsp>
                        <wps:cNvPr id="693" name="Straight Arrow Connector 176"/>
                        <wps:cNvCnPr>
                          <a:cxnSpLocks noChangeShapeType="1"/>
                        </wps:cNvCnPr>
                        <wps:spPr bwMode="auto">
                          <a:xfrm>
                            <a:off x="9741" y="3805"/>
                            <a:ext cx="0" cy="272"/>
                          </a:xfrm>
                          <a:prstGeom prst="straightConnector1">
                            <a:avLst/>
                          </a:prstGeom>
                          <a:noFill/>
                          <a:ln w="19050">
                            <a:solidFill>
                              <a:srgbClr val="558ED5"/>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D905B67" id="Group 886" o:spid="_x0000_s1125" style="width:822.6pt;height:409.55pt;mso-position-horizontal-relative:char;mso-position-vertical-relative:line" coordorigin="62,1290" coordsize="14671,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">
                <v:roundrect id="Rounded Rectangle 191" o:spid="_x0000_s1126" style="position:absolute;left:12941;top:4055;width:1792;height:1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" fillcolor="#a3c4ff" strokecolor="#4a7ebb">
                  <v:fill color2="#e5eeff" rotate="t" angle="180" colors="0 #a3c4ff;22938f #bfd5ff;1 #e5eeff" focus="100%" type="gradient"/>
                  <v:shadow on="t" color="black" opacity="24903f" origin=",.5" offset="0,.55556mm"/>
                  <v:path arrowok="t"/>
                  <v:textbox>
                    <w:txbxContent>
                      <w:p w14:paraId="300DB478" w14:textId="77777777" w:rsidR="004E3164" w:rsidRPr="008A4483" w:rsidRDefault="004E3164" w:rsidP="004101C0">
                        <w:pPr>
                          <w:ind w:firstLine="0"/>
                          <w:jc w:val="center"/>
                          <w:rPr>
                            <w:color w:val="000000"/>
                            <w:sz w:val="20"/>
                          </w:rPr>
                        </w:pPr>
                        <w:r w:rsidRPr="008A4483">
                          <w:rPr>
                            <w:color w:val="000000"/>
                            <w:sz w:val="20"/>
                          </w:rPr>
                          <w:t>Началник на отдел „Управление на риска“</w:t>
                        </w:r>
                      </w:p>
                      <w:p w14:paraId="18D12761" w14:textId="77777777" w:rsidR="004E3164" w:rsidRPr="008A4483" w:rsidRDefault="004E3164" w:rsidP="004101C0">
                        <w:pPr>
                          <w:ind w:firstLine="0"/>
                          <w:jc w:val="center"/>
                          <w:rPr>
                            <w:sz w:val="20"/>
                          </w:rPr>
                        </w:pPr>
                      </w:p>
                    </w:txbxContent>
                  </v:textbox>
                </v:roundrect>
                <v:roundrect id="_x0000_s1127" style="position:absolute;left:13008;top:5687;width:1724;height:20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" fillcolor="#a3c4ff" strokecolor="#4a7ebb">
                  <v:fill color2="#e5eeff" rotate="t" angle="180" colors="0 #a3c4ff;22938f #bfd5ff;1 #e5eeff" focus="100%" type="gradient"/>
                  <v:shadow on="t" color="black" opacity="24903f" origin=",.5" offset="0,.55556mm"/>
                  <v:path arrowok="t"/>
                  <v:textbox>
                    <w:txbxContent>
                      <w:p w14:paraId="7E08E85F" w14:textId="77777777" w:rsidR="004E3164" w:rsidRPr="008A4483" w:rsidRDefault="004E3164" w:rsidP="004101C0">
                        <w:pPr>
                          <w:ind w:firstLine="0"/>
                          <w:jc w:val="center"/>
                          <w:rPr>
                            <w:color w:val="000000"/>
                            <w:sz w:val="20"/>
                            <w:lang w:val="en-US"/>
                          </w:rPr>
                        </w:pPr>
                      </w:p>
                      <w:p w14:paraId="36C791E7" w14:textId="77777777" w:rsidR="004E3164" w:rsidRPr="008A4483" w:rsidRDefault="004E3164" w:rsidP="004101C0">
                        <w:pPr>
                          <w:ind w:firstLine="0"/>
                          <w:jc w:val="center"/>
                          <w:rPr>
                            <w:color w:val="000000"/>
                            <w:sz w:val="20"/>
                            <w:lang w:val="en-US"/>
                          </w:rPr>
                        </w:pPr>
                        <w:r w:rsidRPr="008A4483">
                          <w:rPr>
                            <w:color w:val="000000"/>
                            <w:sz w:val="20"/>
                          </w:rPr>
                          <w:t>Служители на отдел „Управление на риска,</w:t>
                        </w:r>
                        <w:r w:rsidRPr="008A4483">
                          <w:rPr>
                            <w:color w:val="000000"/>
                            <w:sz w:val="20"/>
                            <w:lang w:val="en-US"/>
                          </w:rPr>
                          <w:t>”</w:t>
                        </w:r>
                        <w:r w:rsidRPr="008A4483">
                          <w:rPr>
                            <w:color w:val="000000"/>
                            <w:sz w:val="20"/>
                          </w:rPr>
                          <w:t>-</w:t>
                        </w:r>
                        <w:r w:rsidRPr="008A4483">
                          <w:rPr>
                            <w:color w:val="000000"/>
                            <w:sz w:val="20"/>
                            <w:lang w:val="en-US"/>
                          </w:rPr>
                          <w:t xml:space="preserve"> </w:t>
                        </w:r>
                        <w:r>
                          <w:rPr>
                            <w:color w:val="000000"/>
                            <w:sz w:val="20"/>
                          </w:rPr>
                          <w:t>7</w:t>
                        </w:r>
                        <w:r w:rsidRPr="008A4483">
                          <w:rPr>
                            <w:color w:val="000000"/>
                            <w:sz w:val="20"/>
                          </w:rPr>
                          <w:t xml:space="preserve"> бр</w:t>
                        </w:r>
                        <w:r w:rsidRPr="008A4483">
                          <w:rPr>
                            <w:color w:val="000000"/>
                            <w:sz w:val="20"/>
                            <w:lang w:val="en-US"/>
                          </w:rPr>
                          <w:t>)</w:t>
                        </w:r>
                      </w:p>
                      <w:p w14:paraId="21351B78" w14:textId="77777777" w:rsidR="004E3164" w:rsidRPr="008A4483" w:rsidRDefault="004E3164" w:rsidP="004101C0">
                        <w:pPr>
                          <w:ind w:firstLine="0"/>
                          <w:jc w:val="center"/>
                          <w:rPr>
                            <w:color w:val="000000"/>
                            <w:sz w:val="20"/>
                          </w:rPr>
                        </w:pPr>
                      </w:p>
                      <w:p w14:paraId="0D6B8830" w14:textId="77777777" w:rsidR="004E3164" w:rsidRPr="008A4483" w:rsidRDefault="004E3164" w:rsidP="004101C0">
                        <w:pPr>
                          <w:ind w:firstLine="0"/>
                          <w:jc w:val="center"/>
                          <w:rPr>
                            <w:sz w:val="20"/>
                          </w:rPr>
                        </w:pPr>
                      </w:p>
                    </w:txbxContent>
                  </v:textbox>
                </v:roundrect>
                <v:line id="Straight Connector 174" o:spid="_x0000_s1128" style="position:absolute;flip:y;visibility:visible;mso-wrap-style:square" from="924,3795" to="13919,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" strokecolor="#4a7ebb" strokeweight="1.5pt"/>
                <v:roundrect id="Rounded Rectangle 193" o:spid="_x0000_s1129" style="position:absolute;left:62;top:5698;width:1832;height:2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" fillcolor="#a3c4ff" strokecolor="#4a7ebb">
                  <v:fill color2="#e5eeff" rotate="t" angle="180" colors="0 #a3c4ff;22938f #bfd5ff;1 #e5eeff" focus="100%" type="gradient"/>
                  <v:shadow on="t" color="black" opacity="24903f" origin=",.5" offset="0,.55556mm"/>
                  <v:path arrowok="t"/>
                  <v:textbox>
                    <w:txbxContent>
                      <w:p w14:paraId="4BDDAA3F" w14:textId="77777777" w:rsidR="004E3164" w:rsidRPr="008A4483" w:rsidRDefault="004E3164" w:rsidP="004101C0">
                        <w:pPr>
                          <w:ind w:firstLine="0"/>
                          <w:jc w:val="center"/>
                          <w:rPr>
                            <w:color w:val="000000"/>
                            <w:sz w:val="20"/>
                          </w:rPr>
                        </w:pPr>
                        <w:r w:rsidRPr="008A4483">
                          <w:rPr>
                            <w:color w:val="000000"/>
                            <w:sz w:val="20"/>
                          </w:rPr>
                          <w:t>Служители от  отдел „Програмиране“ – 7 бр. (от които 1 сътрудник)</w:t>
                        </w:r>
                      </w:p>
                      <w:p w14:paraId="11D90D54" w14:textId="77777777" w:rsidR="004E3164" w:rsidRPr="008A4483" w:rsidRDefault="004E3164" w:rsidP="004101C0">
                        <w:pPr>
                          <w:ind w:firstLine="0"/>
                          <w:jc w:val="center"/>
                          <w:rPr>
                            <w:sz w:val="20"/>
                          </w:rPr>
                        </w:pPr>
                      </w:p>
                    </w:txbxContent>
                  </v:textbox>
                </v:roundrect>
                <v:roundrect id="Rounded Rectangle 194" o:spid="_x0000_s1130" style="position:absolute;left:2212;top:5723;width:1876;height:2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" fillcolor="#a3c4ff" strokecolor="#4a7ebb">
                  <v:fill color2="#e5eeff" rotate="t" angle="180" colors="0 #a3c4ff;22938f #bfd5ff;1 #e5eeff" focus="100%" type="gradient"/>
                  <v:shadow on="t" color="black" opacity="24903f" origin=",.5" offset="0,.55556mm"/>
                  <v:path arrowok="t"/>
                  <v:textbox>
                    <w:txbxContent>
                      <w:p w14:paraId="2A9E2C0A" w14:textId="77777777" w:rsidR="004E3164" w:rsidRPr="008A4483" w:rsidRDefault="004E3164" w:rsidP="004101C0">
                        <w:pPr>
                          <w:ind w:firstLine="0"/>
                          <w:jc w:val="center"/>
                          <w:rPr>
                            <w:color w:val="000000"/>
                            <w:sz w:val="20"/>
                          </w:rPr>
                        </w:pPr>
                        <w:r w:rsidRPr="008A4483">
                          <w:rPr>
                            <w:color w:val="000000"/>
                            <w:sz w:val="20"/>
                          </w:rPr>
                          <w:t>Служители от  отдел „Финансово управление“ – 14 бр. (от които 6 сътрудници)</w:t>
                        </w:r>
                      </w:p>
                      <w:p w14:paraId="110C4CDC" w14:textId="77777777" w:rsidR="004E3164" w:rsidRPr="008A4483" w:rsidRDefault="004E3164" w:rsidP="004101C0">
                        <w:pPr>
                          <w:ind w:firstLine="0"/>
                          <w:jc w:val="center"/>
                          <w:rPr>
                            <w:color w:val="000000"/>
                            <w:sz w:val="20"/>
                          </w:rPr>
                        </w:pPr>
                      </w:p>
                      <w:p w14:paraId="1FED4381" w14:textId="77777777" w:rsidR="004E3164" w:rsidRPr="008A4483" w:rsidRDefault="004E3164" w:rsidP="004101C0">
                        <w:pPr>
                          <w:ind w:firstLine="0"/>
                          <w:jc w:val="center"/>
                          <w:rPr>
                            <w:sz w:val="20"/>
                          </w:rPr>
                        </w:pPr>
                      </w:p>
                    </w:txbxContent>
                  </v:textbox>
                </v:roundrect>
                <v:roundrect id="Rounded Rectangle 203" o:spid="_x0000_s1131" style="position:absolute;left:4449;top:5723;width:1833;height:20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" fillcolor="#a3c4ff" strokecolor="#4a7ebb">
                  <v:fill color2="#e5eeff" rotate="t" angle="180" colors="0 #a3c4ff;22938f #bfd5ff;1 #e5eeff" focus="100%" type="gradient"/>
                  <v:shadow on="t" color="black" opacity="24903f" origin=",.5" offset="0,.55556mm"/>
                  <v:path arrowok="t"/>
                  <v:textbox>
                    <w:txbxContent>
                      <w:p w14:paraId="71A467A5" w14:textId="77777777" w:rsidR="004E3164" w:rsidRPr="008A4483" w:rsidRDefault="004E3164" w:rsidP="004101C0">
                        <w:pPr>
                          <w:ind w:firstLine="0"/>
                          <w:jc w:val="center"/>
                          <w:rPr>
                            <w:color w:val="000000"/>
                            <w:sz w:val="20"/>
                          </w:rPr>
                        </w:pPr>
                        <w:r w:rsidRPr="008A4483">
                          <w:rPr>
                            <w:color w:val="000000"/>
                            <w:sz w:val="20"/>
                          </w:rPr>
                          <w:t xml:space="preserve">Служители от  отдел „Изпълнение и координация“ – </w:t>
                        </w:r>
                        <w:r>
                          <w:rPr>
                            <w:color w:val="000000"/>
                            <w:sz w:val="20"/>
                          </w:rPr>
                          <w:t>9</w:t>
                        </w:r>
                        <w:r w:rsidRPr="008A4483">
                          <w:rPr>
                            <w:color w:val="000000"/>
                            <w:sz w:val="20"/>
                          </w:rPr>
                          <w:t xml:space="preserve"> бр. (от които 3 сътрудници)</w:t>
                        </w:r>
                      </w:p>
                      <w:p w14:paraId="4B290620" w14:textId="77777777" w:rsidR="004E3164" w:rsidRPr="008A4483" w:rsidRDefault="004E3164" w:rsidP="004101C0">
                        <w:pPr>
                          <w:ind w:firstLine="0"/>
                          <w:jc w:val="center"/>
                          <w:rPr>
                            <w:color w:val="000000"/>
                            <w:sz w:val="20"/>
                          </w:rPr>
                        </w:pPr>
                      </w:p>
                      <w:p w14:paraId="7FDCC3BA" w14:textId="77777777" w:rsidR="004E3164" w:rsidRPr="008A4483" w:rsidRDefault="004E3164" w:rsidP="004101C0">
                        <w:pPr>
                          <w:ind w:firstLine="0"/>
                          <w:jc w:val="center"/>
                          <w:rPr>
                            <w:sz w:val="20"/>
                          </w:rPr>
                        </w:pPr>
                      </w:p>
                    </w:txbxContent>
                  </v:textbox>
                </v:roundrect>
                <v:roundrect id="Rounded Rectangle 180" o:spid="_x0000_s1132" style="position:absolute;left:6563;top:5712;width:1932;height:20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" fillcolor="#a3c4ff" strokecolor="#4a7ebb">
                  <v:fill color2="#e5eeff" rotate="t" angle="180" colors="0 #a3c4ff;22938f #bfd5ff;1 #e5eeff" focus="100%" type="gradient"/>
                  <v:shadow on="t" color="black" opacity="24903f" origin=",.5" offset="0,.55556mm"/>
                  <v:path arrowok="t"/>
                  <v:textbox>
                    <w:txbxContent>
                      <w:p w14:paraId="655B9344" w14:textId="77777777" w:rsidR="004E3164" w:rsidRPr="008A4483" w:rsidRDefault="004E3164" w:rsidP="004101C0">
                        <w:pPr>
                          <w:ind w:firstLine="0"/>
                          <w:jc w:val="center"/>
                          <w:rPr>
                            <w:color w:val="000000"/>
                            <w:sz w:val="20"/>
                          </w:rPr>
                        </w:pPr>
                        <w:r w:rsidRPr="008A4483">
                          <w:rPr>
                            <w:color w:val="000000"/>
                            <w:sz w:val="20"/>
                          </w:rPr>
                          <w:t xml:space="preserve">Служители от  отдел </w:t>
                        </w:r>
                      </w:p>
                      <w:p w14:paraId="052D8A59" w14:textId="38C89590" w:rsidR="004E3164" w:rsidRPr="008A4483" w:rsidRDefault="004E3164" w:rsidP="004101C0">
                        <w:pPr>
                          <w:ind w:firstLine="0"/>
                          <w:jc w:val="center"/>
                          <w:rPr>
                            <w:color w:val="000000"/>
                            <w:sz w:val="20"/>
                          </w:rPr>
                        </w:pPr>
                        <w:r w:rsidRPr="008A4483">
                          <w:rPr>
                            <w:color w:val="000000"/>
                            <w:sz w:val="20"/>
                          </w:rPr>
                          <w:t>„</w:t>
                        </w:r>
                        <w:r w:rsidRPr="004A1B26">
                          <w:rPr>
                            <w:color w:val="000000"/>
                            <w:sz w:val="20"/>
                          </w:rPr>
                          <w:t xml:space="preserve">Наблюдение и оценка”, </w:t>
                        </w:r>
                        <w:r w:rsidRPr="008A4483">
                          <w:rPr>
                            <w:color w:val="000000"/>
                            <w:sz w:val="20"/>
                          </w:rPr>
                          <w:t xml:space="preserve"> – </w:t>
                        </w:r>
                        <w:r>
                          <w:rPr>
                            <w:color w:val="000000"/>
                            <w:sz w:val="20"/>
                          </w:rPr>
                          <w:t xml:space="preserve">5 </w:t>
                        </w:r>
                        <w:r w:rsidRPr="008A4483">
                          <w:rPr>
                            <w:color w:val="000000"/>
                            <w:sz w:val="20"/>
                          </w:rPr>
                          <w:t xml:space="preserve">бр.(от които </w:t>
                        </w:r>
                        <w:r>
                          <w:rPr>
                            <w:color w:val="000000"/>
                            <w:sz w:val="20"/>
                          </w:rPr>
                          <w:t xml:space="preserve">2 </w:t>
                        </w:r>
                        <w:r w:rsidRPr="008A4483">
                          <w:rPr>
                            <w:color w:val="000000"/>
                            <w:sz w:val="20"/>
                          </w:rPr>
                          <w:t>сътрудни</w:t>
                        </w:r>
                        <w:r>
                          <w:rPr>
                            <w:color w:val="000000"/>
                            <w:sz w:val="20"/>
                          </w:rPr>
                          <w:t>ци</w:t>
                        </w:r>
                        <w:r w:rsidRPr="008A4483">
                          <w:rPr>
                            <w:color w:val="000000"/>
                            <w:sz w:val="20"/>
                          </w:rPr>
                          <w:t>)</w:t>
                        </w:r>
                      </w:p>
                      <w:p w14:paraId="3F21285D" w14:textId="77777777" w:rsidR="004E3164" w:rsidRPr="008A4483" w:rsidRDefault="004E3164" w:rsidP="004101C0">
                        <w:pPr>
                          <w:ind w:firstLine="0"/>
                          <w:jc w:val="center"/>
                          <w:rPr>
                            <w:sz w:val="20"/>
                          </w:rPr>
                        </w:pPr>
                      </w:p>
                    </w:txbxContent>
                  </v:textbox>
                </v:roundrect>
                <v:roundrect id="_x0000_s1133" style="position:absolute;left:8796;top:5698;width:1913;height:20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" fillcolor="#a3c4ff" strokecolor="#4a7ebb">
                  <v:fill color2="#e5eeff" rotate="t" angle="180" colors="0 #a3c4ff;22938f #bfd5ff;1 #e5eeff" focus="100%" type="gradient"/>
                  <v:shadow on="t" color="black" opacity="24903f" origin=",.5" offset="0,.55556mm"/>
                  <v:path arrowok="t"/>
                  <v:textbox>
                    <w:txbxContent>
                      <w:p w14:paraId="4E01BE6E" w14:textId="77777777" w:rsidR="004E3164" w:rsidRPr="008A4483" w:rsidRDefault="004E3164" w:rsidP="004101C0">
                        <w:pPr>
                          <w:ind w:firstLine="0"/>
                          <w:jc w:val="center"/>
                          <w:rPr>
                            <w:color w:val="000000"/>
                            <w:sz w:val="20"/>
                          </w:rPr>
                        </w:pPr>
                        <w:r w:rsidRPr="008A4483">
                          <w:rPr>
                            <w:color w:val="000000"/>
                            <w:sz w:val="20"/>
                          </w:rPr>
                          <w:t>Служители от  отдел „</w:t>
                        </w:r>
                        <w:r>
                          <w:rPr>
                            <w:color w:val="000000"/>
                            <w:sz w:val="20"/>
                          </w:rPr>
                          <w:t>Информация, публичност и техническа помощ</w:t>
                        </w:r>
                        <w:r w:rsidRPr="008A4483">
                          <w:rPr>
                            <w:color w:val="000000"/>
                            <w:sz w:val="20"/>
                          </w:rPr>
                          <w:t xml:space="preserve">“, </w:t>
                        </w:r>
                        <w:r>
                          <w:rPr>
                            <w:color w:val="000000"/>
                            <w:sz w:val="20"/>
                          </w:rPr>
                          <w:t>4</w:t>
                        </w:r>
                        <w:r w:rsidRPr="008A4483">
                          <w:rPr>
                            <w:color w:val="000000"/>
                            <w:sz w:val="20"/>
                          </w:rPr>
                          <w:t xml:space="preserve"> бр.( от които </w:t>
                        </w:r>
                        <w:r>
                          <w:rPr>
                            <w:color w:val="000000"/>
                            <w:sz w:val="20"/>
                          </w:rPr>
                          <w:t>1</w:t>
                        </w:r>
                        <w:r w:rsidRPr="008A4483">
                          <w:rPr>
                            <w:color w:val="000000"/>
                            <w:sz w:val="20"/>
                          </w:rPr>
                          <w:t xml:space="preserve"> сътрудни</w:t>
                        </w:r>
                        <w:r>
                          <w:rPr>
                            <w:color w:val="000000"/>
                            <w:sz w:val="20"/>
                          </w:rPr>
                          <w:t>к</w:t>
                        </w:r>
                        <w:r w:rsidRPr="008A4483">
                          <w:rPr>
                            <w:color w:val="000000"/>
                            <w:sz w:val="20"/>
                          </w:rPr>
                          <w:t>)</w:t>
                        </w:r>
                      </w:p>
                      <w:p w14:paraId="33F36564" w14:textId="77777777" w:rsidR="004E3164" w:rsidRPr="008A4483" w:rsidRDefault="004E3164" w:rsidP="004101C0">
                        <w:pPr>
                          <w:ind w:firstLine="0"/>
                          <w:jc w:val="center"/>
                          <w:rPr>
                            <w:color w:val="000000"/>
                            <w:sz w:val="20"/>
                          </w:rPr>
                        </w:pPr>
                      </w:p>
                      <w:p w14:paraId="1B858898" w14:textId="77777777" w:rsidR="004E3164" w:rsidRPr="008A4483" w:rsidRDefault="004E3164" w:rsidP="004101C0">
                        <w:pPr>
                          <w:ind w:firstLine="0"/>
                          <w:jc w:val="center"/>
                          <w:rPr>
                            <w:sz w:val="20"/>
                          </w:rPr>
                        </w:pPr>
                      </w:p>
                    </w:txbxContent>
                  </v:textbox>
                </v:roundrect>
                <v:roundrect id="Rounded Rectangle 195" o:spid="_x0000_s1134" style="position:absolute;left:96;top:4087;width:1929;height:11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" fillcolor="#a3c4ff" strokecolor="#4a7ebb">
                  <v:fill color2="#e5eeff" rotate="t" angle="180" colors="0 #a3c4ff;22938f #bfd5ff;1 #e5eeff" focus="100%" type="gradient"/>
                  <v:shadow on="t" color="black" opacity="24903f" origin=",.5" offset="0,.55556mm"/>
                  <v:path arrowok="t"/>
                  <v:textbox>
                    <w:txbxContent>
                      <w:p w14:paraId="65C5488E" w14:textId="77777777" w:rsidR="004E3164" w:rsidRPr="008A4483" w:rsidRDefault="004E3164" w:rsidP="004101C0">
                        <w:pPr>
                          <w:ind w:firstLine="0"/>
                          <w:jc w:val="center"/>
                          <w:rPr>
                            <w:color w:val="000000"/>
                            <w:sz w:val="20"/>
                          </w:rPr>
                        </w:pPr>
                        <w:r w:rsidRPr="008A4483">
                          <w:rPr>
                            <w:color w:val="000000"/>
                            <w:sz w:val="20"/>
                          </w:rPr>
                          <w:t>Началник на отдел „Програмиране“</w:t>
                        </w:r>
                      </w:p>
                      <w:p w14:paraId="5C7D6B4B" w14:textId="77777777" w:rsidR="004E3164" w:rsidRPr="008A4483" w:rsidRDefault="004E3164" w:rsidP="004101C0">
                        <w:pPr>
                          <w:ind w:firstLine="0"/>
                          <w:jc w:val="center"/>
                          <w:rPr>
                            <w:sz w:val="20"/>
                          </w:rPr>
                        </w:pPr>
                      </w:p>
                    </w:txbxContent>
                  </v:textbox>
                </v:roundrect>
                <v:roundrect id="Rounded Rectangle 196" o:spid="_x0000_s1135" style="position:absolute;left:2336;top:4071;width:1940;height:1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" fillcolor="#a3c4ff" strokecolor="#4a7ebb">
                  <v:fill color2="#e5eeff" rotate="t" angle="180" colors="0 #a3c4ff;22938f #bfd5ff;1 #e5eeff" focus="100%" type="gradient"/>
                  <v:shadow on="t" color="black" opacity="24903f" origin=",.5" offset="0,.55556mm"/>
                  <v:path arrowok="t"/>
                  <v:textbox>
                    <w:txbxContent>
                      <w:p w14:paraId="110EA30A" w14:textId="77777777" w:rsidR="004E3164" w:rsidRPr="008A4483" w:rsidRDefault="004E3164" w:rsidP="004101C0">
                        <w:pPr>
                          <w:ind w:firstLine="0"/>
                          <w:jc w:val="center"/>
                          <w:rPr>
                            <w:color w:val="000000"/>
                            <w:sz w:val="20"/>
                          </w:rPr>
                        </w:pPr>
                        <w:r w:rsidRPr="008A4483">
                          <w:rPr>
                            <w:color w:val="000000"/>
                            <w:sz w:val="20"/>
                          </w:rPr>
                          <w:t>Началник на отдел „Финансово управление“</w:t>
                        </w:r>
                      </w:p>
                      <w:p w14:paraId="79916E60" w14:textId="77777777" w:rsidR="004E3164" w:rsidRPr="008A4483" w:rsidRDefault="004E3164" w:rsidP="004101C0">
                        <w:pPr>
                          <w:ind w:firstLine="0"/>
                          <w:jc w:val="center"/>
                          <w:rPr>
                            <w:i/>
                            <w:sz w:val="20"/>
                          </w:rPr>
                        </w:pPr>
                      </w:p>
                    </w:txbxContent>
                  </v:textbox>
                </v:roundrect>
                <v:roundrect id="Rounded Rectangle 197" o:spid="_x0000_s1136" style="position:absolute;left:4603;top:4059;width:1893;height:11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" fillcolor="#a3c4ff" strokecolor="#4a7ebb">
                  <v:fill color2="#e5eeff" rotate="t" angle="180" colors="0 #a3c4ff;22938f #bfd5ff;1 #e5eeff" focus="100%" type="gradient"/>
                  <v:shadow on="t" color="black" opacity="24903f" origin=",.5" offset="0,.55556mm"/>
                  <v:path arrowok="t"/>
                  <v:textbox>
                    <w:txbxContent>
                      <w:p w14:paraId="68E91CB3" w14:textId="77777777" w:rsidR="004E3164" w:rsidRPr="008A4483" w:rsidRDefault="004E3164" w:rsidP="004101C0">
                        <w:pPr>
                          <w:ind w:firstLine="0"/>
                          <w:jc w:val="center"/>
                          <w:rPr>
                            <w:color w:val="000000"/>
                            <w:sz w:val="20"/>
                          </w:rPr>
                        </w:pPr>
                        <w:r w:rsidRPr="008A4483">
                          <w:rPr>
                            <w:color w:val="000000"/>
                            <w:sz w:val="20"/>
                          </w:rPr>
                          <w:t>Началник на отдел „Изпълнение и координация“</w:t>
                        </w:r>
                      </w:p>
                      <w:p w14:paraId="51FEE993" w14:textId="77777777" w:rsidR="004E3164" w:rsidRPr="008A4483" w:rsidRDefault="004E3164" w:rsidP="004101C0">
                        <w:pPr>
                          <w:ind w:firstLine="0"/>
                          <w:jc w:val="center"/>
                          <w:rPr>
                            <w:sz w:val="20"/>
                          </w:rPr>
                        </w:pPr>
                      </w:p>
                    </w:txbxContent>
                  </v:textbox>
                </v:roundrect>
                <v:roundrect id="_x0000_s1137" style="position:absolute;left:6657;top:4071;width:1838;height:1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" fillcolor="#a3c4ff" strokecolor="#4a7ebb">
                  <v:fill color2="#e5eeff" rotate="t" angle="180" colors="0 #a3c4ff;22938f #bfd5ff;1 #e5eeff" focus="100%" type="gradient"/>
                  <v:shadow on="t" color="black" opacity="24903f" origin=",.5" offset="0,.55556mm"/>
                  <v:path arrowok="t"/>
                  <v:textbox>
                    <w:txbxContent>
                      <w:p w14:paraId="1000F6CD" w14:textId="77777777" w:rsidR="004E3164" w:rsidRPr="008A4483" w:rsidRDefault="004E3164" w:rsidP="004101C0">
                        <w:pPr>
                          <w:ind w:firstLine="0"/>
                          <w:jc w:val="center"/>
                          <w:rPr>
                            <w:color w:val="000000"/>
                            <w:sz w:val="20"/>
                          </w:rPr>
                        </w:pPr>
                        <w:r w:rsidRPr="008A4483">
                          <w:rPr>
                            <w:color w:val="000000"/>
                            <w:sz w:val="20"/>
                          </w:rPr>
                          <w:t xml:space="preserve">Началник на отдел </w:t>
                        </w:r>
                      </w:p>
                      <w:p w14:paraId="1008C528" w14:textId="77777777" w:rsidR="004E3164" w:rsidRPr="008A4483" w:rsidRDefault="004E3164" w:rsidP="004101C0">
                        <w:pPr>
                          <w:ind w:firstLine="0"/>
                          <w:jc w:val="center"/>
                          <w:rPr>
                            <w:color w:val="000000"/>
                            <w:sz w:val="20"/>
                          </w:rPr>
                        </w:pPr>
                        <w:r>
                          <w:rPr>
                            <w:color w:val="000000"/>
                            <w:sz w:val="20"/>
                          </w:rPr>
                          <w:t>„Наблюдение и оценка”</w:t>
                        </w:r>
                      </w:p>
                      <w:p w14:paraId="3B80493A" w14:textId="77777777" w:rsidR="004E3164" w:rsidRPr="008A4483" w:rsidRDefault="004E3164" w:rsidP="004101C0">
                        <w:pPr>
                          <w:ind w:firstLine="0"/>
                          <w:jc w:val="center"/>
                          <w:rPr>
                            <w:sz w:val="20"/>
                          </w:rPr>
                        </w:pPr>
                      </w:p>
                    </w:txbxContent>
                  </v:textbox>
                </v:roundrect>
                <v:roundrect id="Rounded Rectangle 191" o:spid="_x0000_s1138" style="position:absolute;left:10950;top:4071;width:1833;height:11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" fillcolor="#a3c4ff" strokecolor="#4a7ebb">
                  <v:fill color2="#e5eeff" rotate="t" angle="180" colors="0 #a3c4ff;22938f #bfd5ff;1 #e5eeff" focus="100%" type="gradient"/>
                  <v:shadow on="t" color="black" opacity="24903f" origin=",.5" offset="0,.55556mm"/>
                  <v:path arrowok="t"/>
                  <v:textbox>
                    <w:txbxContent>
                      <w:p w14:paraId="0853F85F" w14:textId="77777777" w:rsidR="004E3164" w:rsidRPr="008A4483" w:rsidRDefault="004E3164" w:rsidP="004101C0">
                        <w:pPr>
                          <w:ind w:firstLine="0"/>
                          <w:jc w:val="center"/>
                          <w:rPr>
                            <w:color w:val="000000"/>
                            <w:sz w:val="20"/>
                          </w:rPr>
                        </w:pPr>
                        <w:r w:rsidRPr="008A4483">
                          <w:rPr>
                            <w:color w:val="000000"/>
                            <w:sz w:val="20"/>
                          </w:rPr>
                          <w:t>Началник на отдел „Контрол по обществени поръчки“</w:t>
                        </w:r>
                      </w:p>
                      <w:p w14:paraId="186C1B79" w14:textId="77777777" w:rsidR="004E3164" w:rsidRPr="008A4483" w:rsidRDefault="004E3164" w:rsidP="004101C0">
                        <w:pPr>
                          <w:ind w:firstLine="0"/>
                          <w:jc w:val="center"/>
                          <w:rPr>
                            <w:sz w:val="20"/>
                          </w:rPr>
                        </w:pPr>
                      </w:p>
                    </w:txbxContent>
                  </v:textbox>
                </v:roundrect>
                <v:shape id="Straight Arrow Connector 176" o:spid="_x0000_s1139" type="#_x0000_t32" style="position:absolute;left:924;top:3839;width:0;height: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" strokecolor="#558ed5" strokeweight="1.5pt">
                  <v:stroke endarrow="block"/>
                </v:shape>
                <v:shape id="Straight Arrow Connector 170" o:spid="_x0000_s1140" type="#_x0000_t32" style="position:absolute;left:8377;top:3169;width:5;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" strokecolor="#558ed5" strokeweight="1.5pt">
                  <v:stroke endarrow="block"/>
                </v:shape>
                <v:roundrect id="Rounded Rectangle 167" o:spid="_x0000_s1141" style="position:absolute;left:3751;top:1290;width:9257;height:8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" fillcolor="#a3c4ff" strokecolor="#4a7ebb">
                  <v:fill color2="#e5eeff" rotate="t" angle="180" colors="0 #a3c4ff;22938f #bfd5ff;1 #e5eeff" focus="100%" type="gradient"/>
                  <v:shadow on="t" color="black" opacity="24903f" origin=",.5" offset="0,.55556mm"/>
                  <v:path arrowok="t"/>
                  <v:textbox>
                    <w:txbxContent>
                      <w:p w14:paraId="2AD32718" w14:textId="77777777" w:rsidR="004E3164" w:rsidRPr="008A4483" w:rsidRDefault="004E3164" w:rsidP="004101C0">
                        <w:pPr>
                          <w:ind w:firstLine="0"/>
                          <w:jc w:val="center"/>
                          <w:rPr>
                            <w:sz w:val="20"/>
                          </w:rPr>
                        </w:pPr>
                        <w:r w:rsidRPr="008A4483">
                          <w:rPr>
                            <w:sz w:val="20"/>
                          </w:rPr>
                          <w:t>Министър на транспорта</w:t>
                        </w:r>
                        <w:r>
                          <w:rPr>
                            <w:sz w:val="20"/>
                          </w:rPr>
                          <w:t xml:space="preserve"> и </w:t>
                        </w:r>
                        <w:r w:rsidRPr="008A4483">
                          <w:rPr>
                            <w:sz w:val="20"/>
                          </w:rPr>
                          <w:t>съобщения</w:t>
                        </w:r>
                        <w:r>
                          <w:rPr>
                            <w:sz w:val="20"/>
                          </w:rPr>
                          <w:t>та</w:t>
                        </w:r>
                        <w:r w:rsidRPr="008A4483" w:rsidDel="00E37230">
                          <w:rPr>
                            <w:sz w:val="20"/>
                          </w:rPr>
                          <w:t xml:space="preserve"> </w:t>
                        </w:r>
                      </w:p>
                    </w:txbxContent>
                  </v:textbox>
                </v:roundrect>
                <v:roundrect id="Rounded Rectangle 169" o:spid="_x0000_s1142" style="position:absolute;left:5372;top:2642;width:6000;height:5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" fillcolor="#a3c4ff" strokecolor="#4a7ebb">
                  <v:fill color2="#e5eeff" rotate="t" angle="180" colors="0 #a3c4ff;22938f #bfd5ff;1 #e5eeff" focus="100%" type="gradient"/>
                  <v:shadow on="t" color="black" opacity="24903f" origin=",.5" offset="0,.55556mm"/>
                  <v:path arrowok="t"/>
                  <v:textbox>
                    <w:txbxContent>
                      <w:p w14:paraId="79385B2F" w14:textId="77777777" w:rsidR="004E3164" w:rsidRPr="008A4483" w:rsidRDefault="004E3164" w:rsidP="004101C0">
                        <w:pPr>
                          <w:ind w:firstLine="0"/>
                          <w:jc w:val="center"/>
                          <w:rPr>
                            <w:sz w:val="20"/>
                          </w:rPr>
                        </w:pPr>
                        <w:r w:rsidRPr="008A4483">
                          <w:rPr>
                            <w:sz w:val="20"/>
                          </w:rPr>
                          <w:t xml:space="preserve">Директор на дирекция  </w:t>
                        </w:r>
                        <w:r w:rsidRPr="004E34E9">
                          <w:rPr>
                            <w:sz w:val="20"/>
                          </w:rPr>
                          <w:t>КПП</w:t>
                        </w:r>
                        <w:r w:rsidRPr="00587A16">
                          <w:rPr>
                            <w:sz w:val="20"/>
                          </w:rPr>
                          <w:t xml:space="preserve"> и Ръководител на УО на ОПТТИ</w:t>
                        </w:r>
                      </w:p>
                      <w:p w14:paraId="020F19E8" w14:textId="77777777" w:rsidR="004E3164" w:rsidRPr="008A4483" w:rsidRDefault="004E3164" w:rsidP="004101C0">
                        <w:pPr>
                          <w:ind w:firstLine="0"/>
                          <w:jc w:val="center"/>
                          <w:rPr>
                            <w:sz w:val="20"/>
                          </w:rPr>
                        </w:pPr>
                      </w:p>
                    </w:txbxContent>
                  </v:textbox>
                </v:roundrect>
                <v:shape id="Straight Arrow Connector 168" o:spid="_x0000_s1143" type="#_x0000_t32" style="position:absolute;left:8382;top:2167;width:2;height: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" strokecolor="#558ed5" strokeweight="1.5pt">
                  <v:stroke endarrow="block"/>
                </v:shape>
                <v:shape id="Straight Arrow Connector 176" o:spid="_x0000_s1144" type="#_x0000_t32" style="position:absolute;left:11761;top:3795;width:0;height: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" strokecolor="#558ed5" strokeweight="1.5pt">
                  <v:stroke endarrow="block"/>
                </v:shape>
                <v:shape id="Straight Arrow Connector 176" o:spid="_x0000_s1145" type="#_x0000_t32" style="position:absolute;left:977;top:5246;width:0;height: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" strokecolor="#558ed5" strokeweight="1.5pt">
                  <v:stroke endarrow="block"/>
                </v:shape>
                <v:shape id="Straight Arrow Connector 176" o:spid="_x0000_s1146" type="#_x0000_t32" style="position:absolute;left:13947;top:5196;width:0;height: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" strokecolor="#558ed5" strokeweight="1.5pt">
                  <v:stroke endarrow="block"/>
                </v:shape>
                <v:shape id="Straight Arrow Connector 176" o:spid="_x0000_s1147" type="#_x0000_t32" style="position:absolute;left:3231;top:5222;width:0;height: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" strokecolor="#558ed5" strokeweight="1.5pt">
                  <v:stroke endarrow="block"/>
                </v:shape>
                <v:shape id="Straight Arrow Connector 176" o:spid="_x0000_s1148" type="#_x0000_t32" style="position:absolute;left:5476;top:5234;width:0;height: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" strokecolor="#558ed5" strokeweight="1.5pt">
                  <v:stroke endarrow="block"/>
                </v:shape>
                <v:shape id="Straight Arrow Connector 176" o:spid="_x0000_s1149" type="#_x0000_t32" style="position:absolute;left:7595;top:5196;width:0;height: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" strokecolor="#558ed5" strokeweight="1.5pt">
                  <v:stroke endarrow="block"/>
                </v:shape>
                <v:shape id="Straight Arrow Connector 176" o:spid="_x0000_s1150" type="#_x0000_t32" style="position:absolute;left:9741;top:5220;width:0;height: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" strokecolor="#558ed5" strokeweight="1.5pt">
                  <v:stroke endarrow="block"/>
                </v:shape>
                <v:shape id="Straight Arrow Connector 176" o:spid="_x0000_s1151" type="#_x0000_t32" style="position:absolute;left:3231;top:3827;width:0;height: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" strokecolor="#558ed5" strokeweight="1.5pt">
                  <v:stroke endarrow="block"/>
                </v:shape>
                <v:shape id="Straight Arrow Connector 176" o:spid="_x0000_s1152" type="#_x0000_t32" style="position:absolute;left:5476;top:3799;width:0;height: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" strokecolor="#558ed5" strokeweight="1.5pt">
                  <v:stroke endarrow="block"/>
                </v:shape>
                <v:shape id="Straight Arrow Connector 176" o:spid="_x0000_s1153" type="#_x0000_t32" style="position:absolute;left:7543;top:3799;width:0;height: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" strokecolor="#558ed5" strokeweight="1.5pt">
                  <v:stroke endarrow="block"/>
                </v:shape>
                <v:shape id="Straight Arrow Connector 176" o:spid="_x0000_s1154" type="#_x0000_t32" style="position:absolute;left:9741;top:3805;width:0;height: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" strokecolor="#558ed5" strokeweight="1.5pt">
                  <v:stroke endarrow="block"/>
                </v:shape>
                <w10:anchorlock/>
              </v:group>
            </w:pict>
          </mc:Fallback>
        </mc:AlternateContent>
      </w:r>
    </w:p>
    <w:p w14:paraId="630FF5B8" w14:textId="77777777" w:rsidR="00D603F5" w:rsidRPr="001B0EA3" w:rsidRDefault="00D603F5" w:rsidP="00890B4B">
      <w:pPr>
        <w:ind w:firstLine="0"/>
        <w:jc w:val="center"/>
        <w:rPr>
          <w:color w:val="000000"/>
          <w:sz w:val="22"/>
          <w:szCs w:val="24"/>
          <w:lang w:eastAsia="bg-BG"/>
        </w:rPr>
      </w:pPr>
    </w:p>
    <w:p w14:paraId="76528056" w14:textId="77777777" w:rsidR="00D603F5" w:rsidRPr="001B0EA3" w:rsidRDefault="00D603F5" w:rsidP="00890B4B">
      <w:pPr>
        <w:ind w:firstLine="708"/>
        <w:rPr>
          <w:color w:val="000000"/>
          <w:szCs w:val="24"/>
        </w:rPr>
      </w:pPr>
    </w:p>
    <w:p w14:paraId="5612640B" w14:textId="77777777" w:rsidR="00D603F5" w:rsidRPr="001B0EA3" w:rsidRDefault="00D603F5" w:rsidP="00890B4B">
      <w:pPr>
        <w:ind w:firstLine="708"/>
        <w:rPr>
          <w:color w:val="000000"/>
          <w:szCs w:val="24"/>
        </w:rPr>
      </w:pPr>
    </w:p>
    <w:p w14:paraId="1A94DD21" w14:textId="77777777" w:rsidR="00CE36A6" w:rsidRPr="001B0EA3" w:rsidRDefault="00CE36A6" w:rsidP="00166C0A">
      <w:pPr>
        <w:ind w:firstLine="708"/>
        <w:contextualSpacing/>
        <w:rPr>
          <w:color w:val="000000"/>
          <w:szCs w:val="24"/>
          <w:lang w:eastAsia="bg-BG"/>
        </w:rPr>
        <w:sectPr w:rsidR="00CE36A6" w:rsidRPr="001B0EA3" w:rsidSect="00B83E24">
          <w:pgSz w:w="16838" w:h="11906" w:orient="landscape" w:code="9"/>
          <w:pgMar w:top="1134" w:right="1134" w:bottom="1134" w:left="284" w:header="505" w:footer="238" w:gutter="0"/>
          <w:cols w:space="708"/>
          <w:docGrid w:linePitch="272"/>
        </w:sectPr>
      </w:pPr>
    </w:p>
    <w:p w14:paraId="5BF3FA60" w14:textId="77777777" w:rsidR="00CE36A6" w:rsidRPr="001B0EA3" w:rsidRDefault="00CE36A6" w:rsidP="00166C0A">
      <w:pPr>
        <w:ind w:firstLine="708"/>
        <w:contextualSpacing/>
        <w:rPr>
          <w:color w:val="000000"/>
          <w:szCs w:val="24"/>
          <w:lang w:eastAsia="bg-BG"/>
        </w:rPr>
      </w:pPr>
    </w:p>
    <w:p w14:paraId="39D92857" w14:textId="77777777" w:rsidR="00CE36A6" w:rsidRPr="001B0EA3" w:rsidRDefault="00CE36A6" w:rsidP="00166C0A">
      <w:pPr>
        <w:ind w:firstLine="708"/>
        <w:contextualSpacing/>
        <w:rPr>
          <w:color w:val="000000"/>
          <w:szCs w:val="24"/>
          <w:lang w:eastAsia="bg-BG"/>
        </w:rPr>
      </w:pPr>
    </w:p>
    <w:p w14:paraId="5AED67EC" w14:textId="77777777" w:rsidR="005007F0" w:rsidRPr="001B0EA3" w:rsidRDefault="00377566" w:rsidP="00746B39">
      <w:pPr>
        <w:rPr>
          <w:lang w:eastAsia="bg-BG"/>
        </w:rPr>
      </w:pPr>
      <w:r w:rsidRPr="001B0EA3">
        <w:rPr>
          <w:lang w:eastAsia="bg-BG"/>
        </w:rPr>
        <w:t xml:space="preserve">Съгласно Устройствения правилник на </w:t>
      </w:r>
      <w:r w:rsidR="00BB6BF6">
        <w:rPr>
          <w:lang w:eastAsia="bg-BG"/>
        </w:rPr>
        <w:t>МТС</w:t>
      </w:r>
      <w:r w:rsidRPr="001B0EA3">
        <w:rPr>
          <w:lang w:eastAsia="bg-BG"/>
        </w:rPr>
        <w:t xml:space="preserve"> общата численост на дирекция КПП е 61 щатни бройки. </w:t>
      </w:r>
      <w:r w:rsidR="005007F0" w:rsidRPr="001B0EA3">
        <w:rPr>
          <w:lang w:eastAsia="bg-BG"/>
        </w:rPr>
        <w:t xml:space="preserve">Дейността и организацията на управление на човешките ресурси в </w:t>
      </w:r>
      <w:r w:rsidR="00BB6BF6">
        <w:rPr>
          <w:lang w:eastAsia="bg-BG"/>
        </w:rPr>
        <w:t>МТС</w:t>
      </w:r>
      <w:r w:rsidR="005007F0" w:rsidRPr="001B0EA3">
        <w:rPr>
          <w:lang w:eastAsia="bg-BG"/>
        </w:rPr>
        <w:t xml:space="preserve"> се определя от Вътрешни правила за дейността и организацията на управлението на човешките ресурси в </w:t>
      </w:r>
      <w:r w:rsidR="00D34044">
        <w:rPr>
          <w:lang w:eastAsia="bg-BG"/>
        </w:rPr>
        <w:t>Министерството на транспорта и съобщенията</w:t>
      </w:r>
      <w:r w:rsidR="005007F0" w:rsidRPr="001B0EA3">
        <w:rPr>
          <w:lang w:eastAsia="bg-BG"/>
        </w:rPr>
        <w:t xml:space="preserve"> № ВП-5 от 11.03.2013 г., последно изменени с Вътрешни правила № ВП-2 от 19.01.2015 г.</w:t>
      </w:r>
    </w:p>
    <w:p w14:paraId="60B8AC2A" w14:textId="5FDDF0E5" w:rsidR="00377566" w:rsidRPr="001B0EA3" w:rsidRDefault="00377566" w:rsidP="00746B39">
      <w:pPr>
        <w:rPr>
          <w:lang w:eastAsia="bg-BG"/>
        </w:rPr>
      </w:pPr>
      <w:r w:rsidRPr="001B0EA3">
        <w:rPr>
          <w:lang w:eastAsia="bg-BG"/>
        </w:rPr>
        <w:t xml:space="preserve">Дирекцията се  управлява от директор и се състои от </w:t>
      </w:r>
      <w:r w:rsidR="002D36BB">
        <w:rPr>
          <w:lang w:eastAsia="bg-BG"/>
        </w:rPr>
        <w:t xml:space="preserve">седем </w:t>
      </w:r>
      <w:r w:rsidRPr="001B0EA3">
        <w:rPr>
          <w:lang w:eastAsia="bg-BG"/>
        </w:rPr>
        <w:t>отдела:</w:t>
      </w:r>
    </w:p>
    <w:p w14:paraId="27B1A286" w14:textId="77777777" w:rsidR="00377566" w:rsidRPr="001B0EA3" w:rsidRDefault="00377566" w:rsidP="00746B39">
      <w:pPr>
        <w:pStyle w:val="ListParagraph"/>
        <w:numPr>
          <w:ilvl w:val="0"/>
          <w:numId w:val="404"/>
        </w:numPr>
        <w:rPr>
          <w:lang w:eastAsia="bg-BG"/>
        </w:rPr>
      </w:pPr>
      <w:r w:rsidRPr="001B0EA3">
        <w:rPr>
          <w:lang w:eastAsia="bg-BG"/>
        </w:rPr>
        <w:t>Отдел „Програмиране“;</w:t>
      </w:r>
    </w:p>
    <w:p w14:paraId="64B4AB4B" w14:textId="77777777" w:rsidR="00377566" w:rsidRPr="001B0EA3" w:rsidRDefault="00377566" w:rsidP="00746B39">
      <w:pPr>
        <w:pStyle w:val="ListParagraph"/>
        <w:numPr>
          <w:ilvl w:val="0"/>
          <w:numId w:val="404"/>
        </w:numPr>
        <w:rPr>
          <w:lang w:eastAsia="bg-BG"/>
        </w:rPr>
      </w:pPr>
      <w:r w:rsidRPr="001B0EA3">
        <w:rPr>
          <w:lang w:eastAsia="bg-BG"/>
        </w:rPr>
        <w:t>Отдел „</w:t>
      </w:r>
      <w:r w:rsidR="00C54B40" w:rsidRPr="001B0EA3">
        <w:rPr>
          <w:lang w:eastAsia="bg-BG"/>
        </w:rPr>
        <w:t>Контрол по обществени поръчки</w:t>
      </w:r>
      <w:r w:rsidRPr="001B0EA3">
        <w:rPr>
          <w:lang w:eastAsia="bg-BG"/>
        </w:rPr>
        <w:t>“;</w:t>
      </w:r>
    </w:p>
    <w:p w14:paraId="021C5A6E" w14:textId="77777777" w:rsidR="00377566" w:rsidRPr="001B0EA3" w:rsidRDefault="00377566" w:rsidP="00746B39">
      <w:pPr>
        <w:pStyle w:val="ListParagraph"/>
        <w:numPr>
          <w:ilvl w:val="0"/>
          <w:numId w:val="404"/>
        </w:numPr>
        <w:rPr>
          <w:lang w:eastAsia="bg-BG"/>
        </w:rPr>
      </w:pPr>
      <w:r w:rsidRPr="001B0EA3">
        <w:rPr>
          <w:lang w:eastAsia="bg-BG"/>
        </w:rPr>
        <w:t>Отдел „Финансово управление“;</w:t>
      </w:r>
    </w:p>
    <w:p w14:paraId="14C5DCF2" w14:textId="77777777" w:rsidR="00377566" w:rsidRDefault="00377566" w:rsidP="00746B39">
      <w:pPr>
        <w:pStyle w:val="ListParagraph"/>
        <w:numPr>
          <w:ilvl w:val="0"/>
          <w:numId w:val="404"/>
        </w:numPr>
        <w:rPr>
          <w:lang w:eastAsia="bg-BG"/>
        </w:rPr>
      </w:pPr>
      <w:r w:rsidRPr="001B0EA3">
        <w:rPr>
          <w:lang w:eastAsia="bg-BG"/>
        </w:rPr>
        <w:t>Отдел „Изпълнение и координация“;</w:t>
      </w:r>
    </w:p>
    <w:p w14:paraId="46B18360" w14:textId="77777777" w:rsidR="0013412A" w:rsidRDefault="00377566" w:rsidP="0013412A">
      <w:pPr>
        <w:pStyle w:val="ListParagraph"/>
        <w:numPr>
          <w:ilvl w:val="0"/>
          <w:numId w:val="404"/>
        </w:numPr>
        <w:rPr>
          <w:lang w:eastAsia="bg-BG"/>
        </w:rPr>
      </w:pPr>
      <w:r w:rsidRPr="001B0EA3">
        <w:rPr>
          <w:lang w:eastAsia="bg-BG"/>
        </w:rPr>
        <w:t>Отдел „</w:t>
      </w:r>
      <w:r w:rsidR="00737D04">
        <w:rPr>
          <w:lang w:eastAsia="bg-BG"/>
        </w:rPr>
        <w:t>Наблюдение и оценка</w:t>
      </w:r>
      <w:r w:rsidRPr="001B0EA3">
        <w:rPr>
          <w:lang w:eastAsia="bg-BG"/>
        </w:rPr>
        <w:t>“</w:t>
      </w:r>
      <w:r w:rsidR="00245919">
        <w:rPr>
          <w:lang w:eastAsia="bg-BG"/>
        </w:rPr>
        <w:t>;</w:t>
      </w:r>
      <w:r w:rsidR="0013412A" w:rsidRPr="0013412A">
        <w:rPr>
          <w:lang w:eastAsia="bg-BG"/>
        </w:rPr>
        <w:t xml:space="preserve"> </w:t>
      </w:r>
    </w:p>
    <w:p w14:paraId="2309CEEC" w14:textId="606F6FA2" w:rsidR="002D36BB" w:rsidRPr="001B0EA3" w:rsidRDefault="0013412A" w:rsidP="0013412A">
      <w:pPr>
        <w:pStyle w:val="ListParagraph"/>
        <w:numPr>
          <w:ilvl w:val="0"/>
          <w:numId w:val="404"/>
        </w:numPr>
        <w:rPr>
          <w:lang w:eastAsia="bg-BG"/>
        </w:rPr>
      </w:pPr>
      <w:r>
        <w:rPr>
          <w:lang w:eastAsia="bg-BG"/>
        </w:rPr>
        <w:t>Отдел „Информация, публичност и техническа помощ“;</w:t>
      </w:r>
    </w:p>
    <w:p w14:paraId="4A53ED6E" w14:textId="2E1A9004" w:rsidR="00711364" w:rsidRPr="001B0EA3" w:rsidRDefault="00767307" w:rsidP="00746B39">
      <w:pPr>
        <w:pStyle w:val="ListParagraph"/>
        <w:numPr>
          <w:ilvl w:val="0"/>
          <w:numId w:val="404"/>
        </w:numPr>
        <w:rPr>
          <w:lang w:eastAsia="bg-BG"/>
        </w:rPr>
      </w:pPr>
      <w:r w:rsidRPr="001B0EA3">
        <w:rPr>
          <w:lang w:eastAsia="bg-BG"/>
        </w:rPr>
        <w:t>Отде</w:t>
      </w:r>
      <w:r w:rsidR="00AE0B06">
        <w:rPr>
          <w:lang w:eastAsia="bg-BG"/>
        </w:rPr>
        <w:t>л „Управление на риска</w:t>
      </w:r>
      <w:r w:rsidRPr="001B0EA3">
        <w:rPr>
          <w:lang w:eastAsia="bg-BG"/>
        </w:rPr>
        <w:t>“.</w:t>
      </w:r>
    </w:p>
    <w:p w14:paraId="10C8698F" w14:textId="77777777" w:rsidR="00AE1CF8" w:rsidRPr="001B0EA3" w:rsidRDefault="00AE1CF8" w:rsidP="00746B39">
      <w:pPr>
        <w:rPr>
          <w:lang w:eastAsia="bg-BG"/>
        </w:rPr>
      </w:pPr>
      <w:r w:rsidRPr="001B0EA3">
        <w:rPr>
          <w:lang w:eastAsia="bg-BG"/>
        </w:rPr>
        <w:t xml:space="preserve">Служителите са назначени в съответствие с изискванията за набиране на персонал, регламентирани в Закона за държавния служител и Наредбата за провеждане на конкурсите за държавните служители. На горепосочената схема е посочено разпределението на служителите по отдели в дирекция КПП. </w:t>
      </w:r>
    </w:p>
    <w:p w14:paraId="73864932" w14:textId="77777777" w:rsidR="00AE1CF8" w:rsidRPr="001B0EA3" w:rsidRDefault="00AE1CF8" w:rsidP="00746B39">
      <w:pPr>
        <w:rPr>
          <w:lang w:eastAsia="bg-BG"/>
        </w:rPr>
      </w:pPr>
      <w:r w:rsidRPr="001B0EA3">
        <w:rPr>
          <w:lang w:eastAsia="bg-BG"/>
        </w:rPr>
        <w:t xml:space="preserve">Към дирекцията в съответствие с Кодекса на труда са назначени  15 сътрудници по управление на средствата от Европейския съюз.  С Постановление № 203 на Министерски съвет от 21.09.2010 г. става възможно назначаването по трудово правоотношение на сътрудници по управление на европейски проекти и програми в публичните бенефициенти.  Така се създадоха условия за ефективно използване на наличните инструменти за укрепване на административния капацитет на бенефициентите при изпълнението на проекти, финансирани от европейските фондове. Длъжността сътрудник по европейски програми и проекти се оказа изключително успешна мярка за засилване на капацитета на отговорните звена, които изпълняват функциите по управление, мониторинг и контрол на оперативните програми. Предвижда се тази добра практика да се запази и през програмен период 2014-2020 г. </w:t>
      </w:r>
    </w:p>
    <w:p w14:paraId="01B2F07D" w14:textId="77777777" w:rsidR="00AE1CF8" w:rsidRPr="001B0EA3" w:rsidRDefault="00AE1CF8" w:rsidP="00746B39">
      <w:pPr>
        <w:rPr>
          <w:lang w:eastAsia="bg-BG"/>
        </w:rPr>
      </w:pPr>
      <w:r w:rsidRPr="001B0EA3">
        <w:rPr>
          <w:lang w:eastAsia="bg-BG"/>
        </w:rPr>
        <w:t xml:space="preserve">Служителите отговарят на нормативните и специфичните изисквания, определени за заеманата от тях позиция и притежават необходимите качества и знания за извършване на дейностите по програмиране, финансово управление, изпълнение и координация на проекти, мониторинг и предварителен контрол.  </w:t>
      </w:r>
    </w:p>
    <w:p w14:paraId="48C09F7C" w14:textId="77777777" w:rsidR="00AE1CF8" w:rsidRDefault="00AE1CF8" w:rsidP="00746B39">
      <w:pPr>
        <w:rPr>
          <w:lang w:eastAsia="bg-BG"/>
        </w:rPr>
      </w:pPr>
      <w:r w:rsidRPr="001B0EA3">
        <w:rPr>
          <w:lang w:eastAsia="bg-BG"/>
        </w:rPr>
        <w:t>Преките задължения на всеки служител в длъжностната характеристика, изготвена от прекия ръководител, съгласувана с директора на дирекцията и връчена на съответния служител за запознаване при назначаването му. Целта на длъжностната характеристика е ясно разграничаване на длъжностите, отговорностите, задълженията и компетенциите на отделните служители.</w:t>
      </w:r>
    </w:p>
    <w:p w14:paraId="20B33B1B" w14:textId="77777777" w:rsidR="00746B39" w:rsidRPr="001B0EA3" w:rsidRDefault="00746B39" w:rsidP="00746B39">
      <w:pPr>
        <w:rPr>
          <w:lang w:eastAsia="bg-BG"/>
        </w:rPr>
      </w:pPr>
    </w:p>
    <w:p w14:paraId="16EF4A3C" w14:textId="77777777" w:rsidR="008E4296" w:rsidRPr="00746B39" w:rsidRDefault="008E4296" w:rsidP="00746B39">
      <w:pPr>
        <w:rPr>
          <w:b/>
          <w:u w:val="single"/>
          <w:lang w:eastAsia="bg-BG"/>
        </w:rPr>
      </w:pPr>
      <w:r w:rsidRPr="00746B39">
        <w:rPr>
          <w:b/>
          <w:u w:val="single"/>
          <w:lang w:eastAsia="bg-BG"/>
        </w:rPr>
        <w:t>Отсъствие или напускане на служители от УО на ОПТТИ</w:t>
      </w:r>
    </w:p>
    <w:p w14:paraId="74FFA7F3" w14:textId="77777777" w:rsidR="00D5208E" w:rsidRPr="001B0EA3" w:rsidRDefault="00D5208E" w:rsidP="00746B39">
      <w:pPr>
        <w:rPr>
          <w:lang w:eastAsia="bg-BG"/>
        </w:rPr>
      </w:pPr>
      <w:r w:rsidRPr="001B0EA3">
        <w:rPr>
          <w:lang w:eastAsia="bg-BG"/>
        </w:rPr>
        <w:t xml:space="preserve">При отсъствие на служител от УО, поради командировка, отпуск или болест,  той бива заместван от друг служител в УО, в съответствие с чл. 84 от Закона за държавния служител/Кодекса на труда, като изпълнението на служебните/трудовите задължения се осъществява от друг служител от състава на отдела от дирекция КПП, от който е отсъстващия служител или от непосредствения му ръководител. Две ключови дейности в рамките на компетентностите на различни отдели в дирекция КПП не могат да се изпълняват от едно и също лице. При заместване на служителите, </w:t>
      </w:r>
      <w:r w:rsidR="008D069F" w:rsidRPr="001B0EA3">
        <w:rPr>
          <w:lang w:eastAsia="bg-BG"/>
        </w:rPr>
        <w:t xml:space="preserve">строго се спазва разделението на функциите </w:t>
      </w:r>
      <w:r w:rsidR="003F4D27" w:rsidRPr="001B0EA3">
        <w:rPr>
          <w:lang w:eastAsia="bg-BG"/>
        </w:rPr>
        <w:t>на служителите от отделите</w:t>
      </w:r>
      <w:r w:rsidRPr="001B0EA3">
        <w:rPr>
          <w:lang w:eastAsia="bg-BG"/>
        </w:rPr>
        <w:t xml:space="preserve">, разписани в т. </w:t>
      </w:r>
      <w:r w:rsidR="003F4D27" w:rsidRPr="001B0EA3">
        <w:rPr>
          <w:lang w:eastAsia="bg-BG"/>
        </w:rPr>
        <w:t>4</w:t>
      </w:r>
      <w:r w:rsidRPr="001B0EA3">
        <w:rPr>
          <w:lang w:eastAsia="bg-BG"/>
        </w:rPr>
        <w:t>.</w:t>
      </w:r>
      <w:r w:rsidR="003F4D27" w:rsidRPr="001B0EA3">
        <w:rPr>
          <w:lang w:eastAsia="bg-BG"/>
        </w:rPr>
        <w:t>1</w:t>
      </w:r>
      <w:r w:rsidRPr="001B0EA3">
        <w:rPr>
          <w:lang w:eastAsia="bg-BG"/>
        </w:rPr>
        <w:t>.1</w:t>
      </w:r>
      <w:r w:rsidR="003F4D27" w:rsidRPr="001B0EA3">
        <w:rPr>
          <w:lang w:eastAsia="bg-BG"/>
        </w:rPr>
        <w:t>0</w:t>
      </w:r>
      <w:r w:rsidR="00D638E4" w:rsidRPr="001B0EA3">
        <w:rPr>
          <w:lang w:eastAsia="bg-BG"/>
        </w:rPr>
        <w:t>.</w:t>
      </w:r>
    </w:p>
    <w:p w14:paraId="0EDB1269" w14:textId="77777777" w:rsidR="00D5208E" w:rsidRPr="001B0EA3" w:rsidRDefault="00D5208E" w:rsidP="00746B39">
      <w:pPr>
        <w:rPr>
          <w:lang w:eastAsia="bg-BG"/>
        </w:rPr>
      </w:pPr>
      <w:r w:rsidRPr="001B0EA3">
        <w:rPr>
          <w:lang w:eastAsia="bg-BG"/>
        </w:rPr>
        <w:t xml:space="preserve">Изключение правят случаите, за които се прилага системата за двоен подпис в процеса на разплащане на средства по ОПТТИ, описана в процедурния наръчник на ОПТТИ, Заповед </w:t>
      </w:r>
      <w:r w:rsidRPr="001B0EA3">
        <w:rPr>
          <w:lang w:eastAsia="bg-BG"/>
        </w:rPr>
        <w:lastRenderedPageBreak/>
        <w:t xml:space="preserve">за заместване се издава въз основа на искане от непосредствения ръководител, с изключение на лица, които по длъжност са заместници на </w:t>
      </w:r>
      <w:r w:rsidR="004D1994" w:rsidRPr="001B0EA3">
        <w:rPr>
          <w:lang w:eastAsia="bg-BG"/>
        </w:rPr>
        <w:t>титуляря</w:t>
      </w:r>
      <w:r w:rsidRPr="001B0EA3">
        <w:rPr>
          <w:lang w:eastAsia="bg-BG"/>
        </w:rPr>
        <w:t xml:space="preserve">. </w:t>
      </w:r>
    </w:p>
    <w:p w14:paraId="055E06D0" w14:textId="77777777" w:rsidR="00D5208E" w:rsidRPr="001B0EA3" w:rsidRDefault="00D5208E" w:rsidP="00746B39">
      <w:pPr>
        <w:rPr>
          <w:lang w:eastAsia="bg-BG"/>
        </w:rPr>
      </w:pPr>
      <w:r w:rsidRPr="001B0EA3">
        <w:rPr>
          <w:lang w:eastAsia="bg-BG"/>
        </w:rPr>
        <w:t>Министърът на транспорта, информационните технологии и Ръководител на УО на ОПТТИ със Заповед № РД-08-440 от 24.08.2015 г. е определил функциите на заместник-ръководител на УО на ОПТТИ да се изпълняват от директора на дирекция „Координация на програми и проекти“.</w:t>
      </w:r>
    </w:p>
    <w:p w14:paraId="033803AD" w14:textId="77777777" w:rsidR="00B77EE3" w:rsidRDefault="008E4296" w:rsidP="00746B39">
      <w:pPr>
        <w:rPr>
          <w:lang w:eastAsia="bg-BG"/>
        </w:rPr>
      </w:pPr>
      <w:r w:rsidRPr="001B0EA3">
        <w:rPr>
          <w:lang w:eastAsia="bg-BG"/>
        </w:rPr>
        <w:t xml:space="preserve">При напускане на експерт от УО на ОПТТИ, служебните задължения, които е изпълнявал се поемат от друг служител в УО в рамките на неговата компетентност или от непосредствения му ръководител. Напускащия служител е задължен най-късно в деня преди напускането да предаде текущата документация съхранявана при него на прекия си ръководител или по негови указания на друг служител от УО на ОПТТИ. Напускащия служител е задължен да информира прекия си ръководител или по негови указания на друг служител от УО на ОПТТИ за степента на изпълнение на текущите задачи и документи, които подлежат на довършване, предаване или изпращане. По преценка на прекия ръководител може да бъде съставен протокол за предаване и приемане на документите, който се подписва от напускащия служител и прекия ръководител. Когато поради тежко заболяване, служителят не е успял да изпълни задълженията си предаване на работата, прекия ръководител има задължение да идентифицира и разпредели работата на останалите служители. Прекия ръководител уведомява заместващия служител за характера на задачите, начина и сроковете за изпълнение. В случай, че няма конкретно определен служител, заместващ отсъстващия прекият ръководител разпределя работата така, че да не създава напрежение при изпълнение на останалите задължения на служителите и при спазване на сроковете за изпълнение.  </w:t>
      </w:r>
    </w:p>
    <w:p w14:paraId="16F1BA79" w14:textId="77777777" w:rsidR="00746B39" w:rsidRPr="001B0EA3" w:rsidRDefault="00746B39" w:rsidP="00746B39">
      <w:pPr>
        <w:rPr>
          <w:b/>
          <w:u w:val="single"/>
          <w:lang w:eastAsia="bg-BG"/>
        </w:rPr>
      </w:pPr>
    </w:p>
    <w:p w14:paraId="528B7765" w14:textId="77777777" w:rsidR="00E1216B" w:rsidRPr="00746B39" w:rsidRDefault="00E1216B" w:rsidP="00746B39">
      <w:pPr>
        <w:rPr>
          <w:b/>
          <w:u w:val="single"/>
          <w:lang w:eastAsia="bg-BG"/>
        </w:rPr>
      </w:pPr>
      <w:r w:rsidRPr="00746B39">
        <w:rPr>
          <w:b/>
          <w:u w:val="single"/>
          <w:lang w:eastAsia="bg-BG"/>
        </w:rPr>
        <w:t>Постъпването на служба в УО на ОПТТИ</w:t>
      </w:r>
    </w:p>
    <w:p w14:paraId="4B703A74" w14:textId="77777777" w:rsidR="00E1216B" w:rsidRPr="001B0EA3" w:rsidRDefault="00E1216B" w:rsidP="00746B39">
      <w:pPr>
        <w:rPr>
          <w:lang w:eastAsia="bg-BG"/>
        </w:rPr>
      </w:pPr>
      <w:r w:rsidRPr="001B0EA3">
        <w:rPr>
          <w:lang w:eastAsia="bg-BG"/>
        </w:rPr>
        <w:t xml:space="preserve">При обявяване на вакантни длъжности в дирекция КПП за заемане на овакантената длъжност се провежда конкурс, в съответствие със Закона за държавния служител/ Кодекса на труда и при отчитане на законовите положения, залегнали както в подзаконовата нормативна база, така и политиката на </w:t>
      </w:r>
      <w:r w:rsidR="00BB6BF6">
        <w:rPr>
          <w:lang w:eastAsia="bg-BG"/>
        </w:rPr>
        <w:t>МТС</w:t>
      </w:r>
      <w:r w:rsidRPr="001B0EA3">
        <w:rPr>
          <w:lang w:eastAsia="bg-BG"/>
        </w:rPr>
        <w:t xml:space="preserve"> за предоставяне на равни възможности и равен шанс на всички субекти.</w:t>
      </w:r>
    </w:p>
    <w:p w14:paraId="2B7F4909" w14:textId="77777777" w:rsidR="00E1216B" w:rsidRPr="001B0EA3" w:rsidRDefault="00E1216B" w:rsidP="00746B39">
      <w:pPr>
        <w:rPr>
          <w:lang w:eastAsia="bg-BG"/>
        </w:rPr>
      </w:pPr>
      <w:r w:rsidRPr="001B0EA3">
        <w:rPr>
          <w:lang w:eastAsia="bg-BG"/>
        </w:rPr>
        <w:t xml:space="preserve">Постъпването на държавна служба в </w:t>
      </w:r>
      <w:r w:rsidR="00BB6BF6">
        <w:rPr>
          <w:lang w:eastAsia="bg-BG"/>
        </w:rPr>
        <w:t>МТС</w:t>
      </w:r>
      <w:r w:rsidRPr="001B0EA3">
        <w:rPr>
          <w:lang w:eastAsia="bg-BG"/>
        </w:rPr>
        <w:t xml:space="preserve"> на овакантените длъжности в резултат на напускане на държавен служител задължително се предхожда от конкурс. Назначаването на всяка длъжност на държавен служител се извършва чрез конкуренция, основана на професионални качества. Конкурс не се провежда в случаите по чл. 16а, 81а и 81б от Закона за държавния служител. Конкурсът се обявява от органа по назначаването, който със заповед определя: длъжността, за която се провежда конкурсът; минималните и специфичните изисквания, предвидени в нормативните актове за заемане на съответната длъжност; начина за провеждане на конкурса; необходимите документи, мястото и срока за подаването им. В Закона за държавния служител е предвидена възможност за назначаване на служители след оценка и анализ на потребностите от човешки ресурси в администрациите при условията и по реда на наредбата (по чл. 10ж от Закона за държавния служител) след проведен централизиран конкурс от Института по публична администрация за младши експерти. Всеки новопостъпил служител получава задачи, свързани с изпълнения на задълженията му от прекия си ръководител.</w:t>
      </w:r>
    </w:p>
    <w:p w14:paraId="4D21B064" w14:textId="77777777" w:rsidR="00E1216B" w:rsidRDefault="00E1216B" w:rsidP="00746B39">
      <w:pPr>
        <w:rPr>
          <w:lang w:eastAsia="bg-BG"/>
        </w:rPr>
      </w:pPr>
      <w:r w:rsidRPr="001B0EA3">
        <w:rPr>
          <w:lang w:eastAsia="bg-BG"/>
        </w:rPr>
        <w:t>При изпълнение на функциите на отделите, разписани по-долу в Процедурния наръчник за управление и изпълнение на ОПТТИ се съдържат редица контроли поне на две нива: експертно и ръководно, за което се попълват различни контролни листа с установени критерии за проверка.</w:t>
      </w:r>
    </w:p>
    <w:p w14:paraId="2078C92B" w14:textId="77777777" w:rsidR="00746B39" w:rsidRPr="001B0EA3" w:rsidRDefault="00746B39" w:rsidP="00746B39">
      <w:pPr>
        <w:rPr>
          <w:lang w:eastAsia="bg-BG"/>
        </w:rPr>
      </w:pPr>
    </w:p>
    <w:p w14:paraId="54CA2C1E" w14:textId="77777777" w:rsidR="00D603F5" w:rsidRPr="00746B39" w:rsidRDefault="00D603F5" w:rsidP="00746B39">
      <w:pPr>
        <w:rPr>
          <w:b/>
          <w:u w:val="single"/>
          <w:lang w:eastAsia="bg-BG"/>
        </w:rPr>
      </w:pPr>
      <w:bookmarkStart w:id="286" w:name="_Toc264368338"/>
      <w:r w:rsidRPr="00746B39">
        <w:rPr>
          <w:b/>
          <w:u w:val="single"/>
          <w:lang w:eastAsia="bg-BG"/>
        </w:rPr>
        <w:t>Основни процеси</w:t>
      </w:r>
      <w:bookmarkEnd w:id="286"/>
    </w:p>
    <w:p w14:paraId="6B0B6F43" w14:textId="77777777" w:rsidR="00D603F5" w:rsidRPr="00746B39" w:rsidRDefault="00D603F5" w:rsidP="00746B39">
      <w:pPr>
        <w:rPr>
          <w:b/>
        </w:rPr>
      </w:pPr>
      <w:bookmarkStart w:id="287" w:name="_Toc264368339"/>
      <w:r w:rsidRPr="00746B39">
        <w:rPr>
          <w:b/>
        </w:rPr>
        <w:t>Макро-процес: Сътрудничество, партньорство и наблюдение</w:t>
      </w:r>
      <w:bookmarkEnd w:id="287"/>
    </w:p>
    <w:p w14:paraId="30B83A8D" w14:textId="77777777" w:rsidR="00D603F5" w:rsidRPr="001B0EA3" w:rsidRDefault="00D603F5" w:rsidP="00746B39">
      <w:pPr>
        <w:pStyle w:val="ListParagraph"/>
        <w:numPr>
          <w:ilvl w:val="0"/>
          <w:numId w:val="405"/>
        </w:numPr>
        <w:tabs>
          <w:tab w:val="left" w:pos="1134"/>
        </w:tabs>
        <w:ind w:left="0" w:firstLine="851"/>
      </w:pPr>
      <w:r w:rsidRPr="00746B39">
        <w:rPr>
          <w:b/>
        </w:rPr>
        <w:lastRenderedPageBreak/>
        <w:t>Процес 1</w:t>
      </w:r>
      <w:r w:rsidRPr="001B0EA3">
        <w:t xml:space="preserve"> Идентифициране и ангажиране на институционалните, социалните, икономическите и гражданските партньори в партньорство, имащо за цел да анализира нуждите за развитие на транспортната мрежа;</w:t>
      </w:r>
    </w:p>
    <w:p w14:paraId="26AB0B91" w14:textId="77777777" w:rsidR="00D603F5" w:rsidRPr="00746B39" w:rsidRDefault="00D603F5" w:rsidP="00746B39">
      <w:pPr>
        <w:pStyle w:val="ListParagraph"/>
        <w:numPr>
          <w:ilvl w:val="0"/>
          <w:numId w:val="405"/>
        </w:numPr>
        <w:tabs>
          <w:tab w:val="left" w:pos="1134"/>
        </w:tabs>
        <w:ind w:left="0" w:firstLine="851"/>
        <w:rPr>
          <w:b/>
        </w:rPr>
      </w:pPr>
      <w:r w:rsidRPr="00746B39">
        <w:rPr>
          <w:b/>
        </w:rPr>
        <w:t xml:space="preserve">Процес 2 </w:t>
      </w:r>
      <w:r w:rsidRPr="0056270C">
        <w:t>Сътрудничество с Комитета за наблюдение за осигуряване наблюдението на напредъка по програмирането и участието на партньори по време на заседанията на Комитета за наблюдение;</w:t>
      </w:r>
    </w:p>
    <w:p w14:paraId="0AE77313" w14:textId="77777777" w:rsidR="00D603F5" w:rsidRPr="00746B39" w:rsidRDefault="00D603F5" w:rsidP="00746B39">
      <w:pPr>
        <w:pStyle w:val="ListParagraph"/>
        <w:numPr>
          <w:ilvl w:val="0"/>
          <w:numId w:val="405"/>
        </w:numPr>
        <w:tabs>
          <w:tab w:val="left" w:pos="1134"/>
        </w:tabs>
        <w:ind w:left="0" w:firstLine="851"/>
        <w:rPr>
          <w:b/>
        </w:rPr>
      </w:pPr>
      <w:r w:rsidRPr="00746B39">
        <w:rPr>
          <w:b/>
        </w:rPr>
        <w:t xml:space="preserve">Процес 3 </w:t>
      </w:r>
      <w:r w:rsidRPr="0056270C">
        <w:t>Подготовка за и провеждане на заседанията на Комитета за наблюдение и изготвяне на протоколи от заседанията;</w:t>
      </w:r>
    </w:p>
    <w:p w14:paraId="6C36589F" w14:textId="77777777" w:rsidR="00D603F5" w:rsidRPr="001B0EA3" w:rsidRDefault="00D603F5" w:rsidP="00680966">
      <w:bookmarkStart w:id="288" w:name="_Toc115970614"/>
      <w:bookmarkStart w:id="289" w:name="_Toc116798142"/>
      <w:bookmarkStart w:id="290" w:name="_Toc264368340"/>
    </w:p>
    <w:p w14:paraId="7BF2B8DB" w14:textId="77777777" w:rsidR="00D603F5" w:rsidRPr="00746B39" w:rsidRDefault="00D603F5" w:rsidP="00746B39">
      <w:pPr>
        <w:rPr>
          <w:b/>
        </w:rPr>
      </w:pPr>
      <w:r w:rsidRPr="00746B39">
        <w:rPr>
          <w:b/>
        </w:rPr>
        <w:t xml:space="preserve">Макро-процес: </w:t>
      </w:r>
      <w:bookmarkEnd w:id="288"/>
      <w:bookmarkEnd w:id="289"/>
      <w:r w:rsidRPr="00746B39">
        <w:rPr>
          <w:b/>
        </w:rPr>
        <w:t>Програмиране</w:t>
      </w:r>
      <w:bookmarkEnd w:id="290"/>
    </w:p>
    <w:p w14:paraId="29AA9562" w14:textId="77777777" w:rsidR="00D603F5" w:rsidRPr="0056270C" w:rsidRDefault="00D603F5" w:rsidP="00746B39">
      <w:pPr>
        <w:pStyle w:val="ListParagraph"/>
        <w:numPr>
          <w:ilvl w:val="0"/>
          <w:numId w:val="406"/>
        </w:numPr>
        <w:tabs>
          <w:tab w:val="left" w:pos="1134"/>
        </w:tabs>
        <w:ind w:left="0" w:firstLine="851"/>
      </w:pPr>
      <w:r w:rsidRPr="00746B39">
        <w:rPr>
          <w:b/>
        </w:rPr>
        <w:t xml:space="preserve">Процес 1 </w:t>
      </w:r>
      <w:r w:rsidRPr="0056270C">
        <w:t>Изготвяне, преглед и актуализация на ОПТТИ в съответствие с националните правила и правилата на Общността, Стратегическите насоки на Общността и НПР БГ 2020</w:t>
      </w:r>
      <w:r w:rsidRPr="0056270C">
        <w:rPr>
          <w:vertAlign w:val="superscript"/>
        </w:rPr>
        <w:footnoteReference w:id="7"/>
      </w:r>
      <w:r w:rsidRPr="0056270C">
        <w:t>;</w:t>
      </w:r>
    </w:p>
    <w:p w14:paraId="103192C4" w14:textId="77777777" w:rsidR="00D603F5" w:rsidRPr="0056270C" w:rsidRDefault="00D603F5" w:rsidP="00746B39">
      <w:pPr>
        <w:pStyle w:val="ListParagraph"/>
        <w:numPr>
          <w:ilvl w:val="0"/>
          <w:numId w:val="406"/>
        </w:numPr>
        <w:tabs>
          <w:tab w:val="left" w:pos="1134"/>
        </w:tabs>
        <w:ind w:left="0" w:firstLine="851"/>
      </w:pPr>
      <w:r w:rsidRPr="00746B39">
        <w:rPr>
          <w:b/>
        </w:rPr>
        <w:t xml:space="preserve">Процес 2 </w:t>
      </w:r>
      <w:r w:rsidRPr="0056270C">
        <w:t xml:space="preserve">Координация на подготовката на проекти;  </w:t>
      </w:r>
    </w:p>
    <w:p w14:paraId="58D82B97" w14:textId="77777777" w:rsidR="00D603F5" w:rsidRPr="0056270C" w:rsidRDefault="00D603F5" w:rsidP="00746B39">
      <w:pPr>
        <w:pStyle w:val="ListParagraph"/>
        <w:numPr>
          <w:ilvl w:val="0"/>
          <w:numId w:val="406"/>
        </w:numPr>
        <w:tabs>
          <w:tab w:val="left" w:pos="1134"/>
        </w:tabs>
        <w:ind w:left="0" w:firstLine="851"/>
      </w:pPr>
      <w:r w:rsidRPr="00746B39">
        <w:rPr>
          <w:b/>
        </w:rPr>
        <w:t xml:space="preserve">Процес 3 </w:t>
      </w:r>
      <w:r w:rsidRPr="0056270C">
        <w:t xml:space="preserve">Избор и оценка на проекти;  </w:t>
      </w:r>
    </w:p>
    <w:p w14:paraId="780D1725" w14:textId="77777777" w:rsidR="00D603F5" w:rsidRPr="0056270C" w:rsidRDefault="00D603F5" w:rsidP="00746B39">
      <w:pPr>
        <w:pStyle w:val="ListParagraph"/>
        <w:numPr>
          <w:ilvl w:val="0"/>
          <w:numId w:val="406"/>
        </w:numPr>
        <w:tabs>
          <w:tab w:val="left" w:pos="1134"/>
        </w:tabs>
        <w:ind w:left="0" w:firstLine="851"/>
      </w:pPr>
      <w:r w:rsidRPr="00746B39">
        <w:rPr>
          <w:b/>
        </w:rPr>
        <w:t xml:space="preserve">Процес 4 </w:t>
      </w:r>
      <w:r w:rsidRPr="0056270C">
        <w:t>Изпращане на нотификация до ЕК за одобрение на „голям проект“;</w:t>
      </w:r>
    </w:p>
    <w:p w14:paraId="293DD7BC" w14:textId="77777777" w:rsidR="00D603F5" w:rsidRPr="001B0EA3" w:rsidRDefault="00D603F5" w:rsidP="00746B39"/>
    <w:p w14:paraId="448A1359" w14:textId="77777777" w:rsidR="00D603F5" w:rsidRPr="00746B39" w:rsidRDefault="00D603F5" w:rsidP="00746B39">
      <w:pPr>
        <w:rPr>
          <w:b/>
        </w:rPr>
      </w:pPr>
      <w:r w:rsidRPr="00746B39">
        <w:rPr>
          <w:b/>
        </w:rPr>
        <w:t>Макро-процес: Оценка</w:t>
      </w:r>
    </w:p>
    <w:p w14:paraId="00152530" w14:textId="77777777" w:rsidR="001D404F" w:rsidRPr="0056270C" w:rsidRDefault="00D603F5" w:rsidP="00746B39">
      <w:pPr>
        <w:pStyle w:val="ListParagraph"/>
        <w:numPr>
          <w:ilvl w:val="0"/>
          <w:numId w:val="407"/>
        </w:numPr>
        <w:tabs>
          <w:tab w:val="left" w:pos="1134"/>
        </w:tabs>
        <w:ind w:left="0" w:firstLine="851"/>
      </w:pPr>
      <w:r w:rsidRPr="00746B39">
        <w:rPr>
          <w:b/>
        </w:rPr>
        <w:t xml:space="preserve">Процес 1 </w:t>
      </w:r>
      <w:r w:rsidR="001D404F" w:rsidRPr="0056270C">
        <w:t>Извършване на предварителна</w:t>
      </w:r>
      <w:r w:rsidR="00A54ED9" w:rsidRPr="0056270C">
        <w:t>,</w:t>
      </w:r>
      <w:r w:rsidR="001D404F" w:rsidRPr="0056270C">
        <w:t xml:space="preserve"> последваща оценки по време на програмния период, целящи повишаване на ефективността на ОПТТИ;  </w:t>
      </w:r>
    </w:p>
    <w:p w14:paraId="46404C79" w14:textId="77777777" w:rsidR="00D603F5" w:rsidRPr="001B0EA3" w:rsidRDefault="00D603F5" w:rsidP="00746B39"/>
    <w:p w14:paraId="2BC293FA" w14:textId="77777777" w:rsidR="00D603F5" w:rsidRPr="00746B39" w:rsidRDefault="00D603F5" w:rsidP="00746B39">
      <w:pPr>
        <w:rPr>
          <w:b/>
        </w:rPr>
      </w:pPr>
      <w:r w:rsidRPr="00746B39">
        <w:rPr>
          <w:b/>
        </w:rPr>
        <w:t>Макро-процес: Управление, контрол и наблюдение</w:t>
      </w:r>
    </w:p>
    <w:p w14:paraId="62B3B303" w14:textId="77777777" w:rsidR="00D603F5" w:rsidRPr="0056270C" w:rsidRDefault="00D603F5" w:rsidP="00746B39">
      <w:pPr>
        <w:pStyle w:val="ListParagraph"/>
        <w:numPr>
          <w:ilvl w:val="0"/>
          <w:numId w:val="407"/>
        </w:numPr>
        <w:tabs>
          <w:tab w:val="left" w:pos="1134"/>
        </w:tabs>
        <w:ind w:left="0" w:firstLine="851"/>
      </w:pPr>
      <w:r w:rsidRPr="00746B39">
        <w:rPr>
          <w:b/>
        </w:rPr>
        <w:t xml:space="preserve">Процес 1 </w:t>
      </w:r>
      <w:r w:rsidR="00CB7DE8" w:rsidRPr="0056270C">
        <w:t xml:space="preserve">Контрол </w:t>
      </w:r>
      <w:r w:rsidRPr="0056270C">
        <w:t xml:space="preserve">на обществените поръчки;  </w:t>
      </w:r>
    </w:p>
    <w:p w14:paraId="22E76816" w14:textId="77777777" w:rsidR="00D603F5" w:rsidRPr="0056270C" w:rsidRDefault="00D603F5" w:rsidP="00746B39">
      <w:pPr>
        <w:pStyle w:val="ListParagraph"/>
        <w:numPr>
          <w:ilvl w:val="0"/>
          <w:numId w:val="407"/>
        </w:numPr>
        <w:tabs>
          <w:tab w:val="left" w:pos="1134"/>
        </w:tabs>
        <w:ind w:left="0" w:firstLine="851"/>
      </w:pPr>
      <w:r w:rsidRPr="00746B39">
        <w:rPr>
          <w:b/>
        </w:rPr>
        <w:t xml:space="preserve">Процес 2 </w:t>
      </w:r>
      <w:r w:rsidRPr="0056270C">
        <w:t xml:space="preserve">Финансово управление;  </w:t>
      </w:r>
    </w:p>
    <w:p w14:paraId="2290E059" w14:textId="77777777" w:rsidR="00D603F5" w:rsidRPr="0056270C" w:rsidRDefault="00D603F5" w:rsidP="00746B39">
      <w:pPr>
        <w:pStyle w:val="ListParagraph"/>
        <w:numPr>
          <w:ilvl w:val="0"/>
          <w:numId w:val="407"/>
        </w:numPr>
        <w:tabs>
          <w:tab w:val="left" w:pos="1134"/>
        </w:tabs>
        <w:ind w:left="0" w:firstLine="851"/>
      </w:pPr>
      <w:r w:rsidRPr="00746B39">
        <w:rPr>
          <w:b/>
        </w:rPr>
        <w:t xml:space="preserve">Процес 3 </w:t>
      </w:r>
      <w:r w:rsidRPr="0056270C">
        <w:t>Наблюдение и отчетност;</w:t>
      </w:r>
    </w:p>
    <w:p w14:paraId="2AFB6D55" w14:textId="77777777" w:rsidR="00D603F5" w:rsidRPr="0056270C" w:rsidRDefault="00D603F5" w:rsidP="00746B39">
      <w:pPr>
        <w:pStyle w:val="ListParagraph"/>
        <w:numPr>
          <w:ilvl w:val="0"/>
          <w:numId w:val="407"/>
        </w:numPr>
        <w:tabs>
          <w:tab w:val="left" w:pos="1134"/>
        </w:tabs>
        <w:ind w:left="0" w:firstLine="851"/>
      </w:pPr>
      <w:r w:rsidRPr="00746B39">
        <w:rPr>
          <w:b/>
        </w:rPr>
        <w:t>Процес 4</w:t>
      </w:r>
      <w:r w:rsidRPr="0056270C">
        <w:t xml:space="preserve"> Извършване на управленски проверки;</w:t>
      </w:r>
    </w:p>
    <w:p w14:paraId="0A9E15CC" w14:textId="77777777" w:rsidR="00D603F5" w:rsidRPr="0056270C" w:rsidRDefault="00D603F5" w:rsidP="00746B39">
      <w:pPr>
        <w:pStyle w:val="ListParagraph"/>
        <w:numPr>
          <w:ilvl w:val="0"/>
          <w:numId w:val="407"/>
        </w:numPr>
        <w:tabs>
          <w:tab w:val="left" w:pos="1134"/>
        </w:tabs>
        <w:ind w:left="0" w:firstLine="851"/>
      </w:pPr>
      <w:r w:rsidRPr="00746B39">
        <w:rPr>
          <w:b/>
        </w:rPr>
        <w:t xml:space="preserve">Процес 5 </w:t>
      </w:r>
      <w:r w:rsidRPr="0056270C">
        <w:t>Верификация на разходите по ОПТТИ;</w:t>
      </w:r>
    </w:p>
    <w:p w14:paraId="6DB6E443" w14:textId="77777777" w:rsidR="009F338D" w:rsidRPr="0056270C" w:rsidRDefault="009F338D" w:rsidP="00746B39">
      <w:pPr>
        <w:pStyle w:val="ListParagraph"/>
        <w:numPr>
          <w:ilvl w:val="0"/>
          <w:numId w:val="407"/>
        </w:numPr>
        <w:tabs>
          <w:tab w:val="left" w:pos="1134"/>
        </w:tabs>
        <w:ind w:left="0" w:firstLine="851"/>
      </w:pPr>
      <w:r w:rsidRPr="00746B39">
        <w:rPr>
          <w:b/>
        </w:rPr>
        <w:t xml:space="preserve">Процес 6 </w:t>
      </w:r>
      <w:r w:rsidR="006F1A09" w:rsidRPr="0056270C">
        <w:t>А</w:t>
      </w:r>
      <w:r w:rsidR="00711364" w:rsidRPr="0056270C">
        <w:t>дминистриране на нередности</w:t>
      </w:r>
      <w:r w:rsidR="006F1A09" w:rsidRPr="0056270C">
        <w:t xml:space="preserve"> и извършване на финансови корекции</w:t>
      </w:r>
    </w:p>
    <w:p w14:paraId="1C5FBE2D" w14:textId="77777777" w:rsidR="006F1A09" w:rsidRPr="0056270C" w:rsidRDefault="006F1A09" w:rsidP="00746B39">
      <w:pPr>
        <w:pStyle w:val="ListParagraph"/>
        <w:numPr>
          <w:ilvl w:val="0"/>
          <w:numId w:val="407"/>
        </w:numPr>
        <w:tabs>
          <w:tab w:val="left" w:pos="1134"/>
        </w:tabs>
        <w:ind w:left="0" w:firstLine="851"/>
      </w:pPr>
      <w:r w:rsidRPr="00746B39">
        <w:rPr>
          <w:b/>
        </w:rPr>
        <w:t xml:space="preserve">Процес 7 </w:t>
      </w:r>
      <w:r w:rsidRPr="0056270C">
        <w:t>Управление на риска</w:t>
      </w:r>
    </w:p>
    <w:p w14:paraId="200F841D" w14:textId="77777777" w:rsidR="009F338D" w:rsidRPr="001B0EA3" w:rsidRDefault="009F338D" w:rsidP="00746B39"/>
    <w:p w14:paraId="0E4C161E" w14:textId="77777777" w:rsidR="00D603F5" w:rsidRPr="00746B39" w:rsidRDefault="00D603F5" w:rsidP="00746B39">
      <w:pPr>
        <w:rPr>
          <w:b/>
        </w:rPr>
      </w:pPr>
      <w:r w:rsidRPr="00746B39">
        <w:rPr>
          <w:b/>
        </w:rPr>
        <w:t xml:space="preserve">Макро-процес: Одит и системи за контрол       </w:t>
      </w:r>
    </w:p>
    <w:p w14:paraId="17F93E9D" w14:textId="77777777" w:rsidR="00D603F5" w:rsidRPr="0056270C" w:rsidRDefault="00D603F5" w:rsidP="00746B39">
      <w:pPr>
        <w:pStyle w:val="ListParagraph"/>
        <w:numPr>
          <w:ilvl w:val="0"/>
          <w:numId w:val="408"/>
        </w:numPr>
        <w:tabs>
          <w:tab w:val="left" w:pos="1134"/>
        </w:tabs>
        <w:ind w:left="0" w:firstLine="851"/>
      </w:pPr>
      <w:r w:rsidRPr="00746B39">
        <w:rPr>
          <w:b/>
        </w:rPr>
        <w:t xml:space="preserve">Процес 1 </w:t>
      </w:r>
      <w:r w:rsidR="001D404F" w:rsidRPr="0056270C">
        <w:t>Вътрешни одити – извършат се от Звено за вътрешен одит на пряко подчинение на Министър</w:t>
      </w:r>
      <w:r w:rsidR="00BC40B7">
        <w:t>а на транспорта</w:t>
      </w:r>
      <w:r w:rsidR="001D404F" w:rsidRPr="0056270C">
        <w:t xml:space="preserve"> технологии и съобщенията</w:t>
      </w:r>
      <w:r w:rsidRPr="0056270C">
        <w:t xml:space="preserve">;  </w:t>
      </w:r>
    </w:p>
    <w:p w14:paraId="4FE3CBF9" w14:textId="77777777" w:rsidR="001D404F" w:rsidRPr="0056270C" w:rsidRDefault="00D603F5" w:rsidP="00746B39">
      <w:pPr>
        <w:pStyle w:val="ListParagraph"/>
        <w:numPr>
          <w:ilvl w:val="0"/>
          <w:numId w:val="408"/>
        </w:numPr>
        <w:tabs>
          <w:tab w:val="left" w:pos="1134"/>
        </w:tabs>
        <w:ind w:left="0" w:firstLine="851"/>
      </w:pPr>
      <w:r w:rsidRPr="00746B39">
        <w:rPr>
          <w:b/>
        </w:rPr>
        <w:t xml:space="preserve">Процес 2 </w:t>
      </w:r>
      <w:r w:rsidR="001D404F" w:rsidRPr="0056270C">
        <w:t>Одити от Одитния орган и Сметна палата – контролни органи на национално ниво</w:t>
      </w:r>
    </w:p>
    <w:p w14:paraId="7114FF79" w14:textId="77777777" w:rsidR="00D603F5" w:rsidRPr="0056270C" w:rsidRDefault="001D404F" w:rsidP="00746B39">
      <w:pPr>
        <w:pStyle w:val="ListParagraph"/>
        <w:numPr>
          <w:ilvl w:val="0"/>
          <w:numId w:val="408"/>
        </w:numPr>
        <w:tabs>
          <w:tab w:val="left" w:pos="1134"/>
        </w:tabs>
        <w:ind w:left="0" w:firstLine="851"/>
      </w:pPr>
      <w:r w:rsidRPr="00746B39">
        <w:rPr>
          <w:b/>
        </w:rPr>
        <w:t xml:space="preserve">Процес 3 </w:t>
      </w:r>
      <w:r w:rsidRPr="0056270C">
        <w:t>Европейска сметна палата и служби на ЕК – контролни органи на ниво ЕС</w:t>
      </w:r>
      <w:r w:rsidR="00D603F5" w:rsidRPr="0056270C">
        <w:t>;</w:t>
      </w:r>
    </w:p>
    <w:p w14:paraId="4D99B400" w14:textId="77777777" w:rsidR="00D603F5" w:rsidRPr="001B0EA3" w:rsidRDefault="00D603F5" w:rsidP="00680966"/>
    <w:p w14:paraId="1C9B4556" w14:textId="77777777" w:rsidR="00D603F5" w:rsidRPr="00746B39" w:rsidRDefault="00D603F5" w:rsidP="00746B39">
      <w:pPr>
        <w:rPr>
          <w:b/>
        </w:rPr>
      </w:pPr>
      <w:r w:rsidRPr="00746B39">
        <w:rPr>
          <w:b/>
        </w:rPr>
        <w:t>Макро-процес: Информация и публичност</w:t>
      </w:r>
    </w:p>
    <w:p w14:paraId="0BBFA5D9" w14:textId="77777777" w:rsidR="00D603F5" w:rsidRPr="0056270C" w:rsidRDefault="00D603F5" w:rsidP="0056270C">
      <w:pPr>
        <w:pStyle w:val="ListParagraph"/>
        <w:numPr>
          <w:ilvl w:val="0"/>
          <w:numId w:val="80"/>
        </w:numPr>
        <w:tabs>
          <w:tab w:val="left" w:pos="1134"/>
        </w:tabs>
        <w:ind w:left="0" w:firstLine="851"/>
      </w:pPr>
      <w:r w:rsidRPr="001B0EA3">
        <w:rPr>
          <w:b/>
        </w:rPr>
        <w:t xml:space="preserve">Процес 1 </w:t>
      </w:r>
      <w:r w:rsidRPr="0056270C">
        <w:t xml:space="preserve">Планиране, изпълнение, мониторинг, оценка и отчетност във връзка с </w:t>
      </w:r>
      <w:r w:rsidR="007C73C4" w:rsidRPr="0056270C">
        <w:t>дейностите по информация и публичност</w:t>
      </w:r>
      <w:r w:rsidR="007C73C4" w:rsidRPr="0056270C" w:rsidDel="007C73C4">
        <w:t xml:space="preserve"> </w:t>
      </w:r>
      <w:r w:rsidRPr="0056270C">
        <w:t>на ОПТТИ</w:t>
      </w:r>
    </w:p>
    <w:p w14:paraId="524A32BF" w14:textId="77777777" w:rsidR="00D603F5" w:rsidRPr="0056270C" w:rsidRDefault="00D603F5" w:rsidP="0056270C">
      <w:pPr>
        <w:pStyle w:val="ListParagraph"/>
        <w:numPr>
          <w:ilvl w:val="0"/>
          <w:numId w:val="80"/>
        </w:numPr>
        <w:tabs>
          <w:tab w:val="left" w:pos="1134"/>
        </w:tabs>
        <w:ind w:left="0" w:firstLine="851"/>
      </w:pPr>
      <w:r w:rsidRPr="001B0EA3">
        <w:rPr>
          <w:b/>
        </w:rPr>
        <w:t xml:space="preserve"> Процес 2 </w:t>
      </w:r>
      <w:r w:rsidRPr="0056270C">
        <w:t>Координация и наблюдение на подготовката и изпълнението на мерките за информация и публичност от страна на бенефициентите</w:t>
      </w:r>
    </w:p>
    <w:p w14:paraId="0389BD14" w14:textId="77777777" w:rsidR="00D603F5" w:rsidRPr="001B0EA3" w:rsidRDefault="00D603F5" w:rsidP="00746B39"/>
    <w:p w14:paraId="56276D20" w14:textId="77777777" w:rsidR="00D603F5" w:rsidRPr="00746B39" w:rsidRDefault="00D603F5" w:rsidP="00746B39">
      <w:pPr>
        <w:rPr>
          <w:b/>
        </w:rPr>
      </w:pPr>
      <w:r w:rsidRPr="00746B39">
        <w:rPr>
          <w:b/>
        </w:rPr>
        <w:t>Функции на дирекция „Координация на програми и проекти“</w:t>
      </w:r>
    </w:p>
    <w:p w14:paraId="41923BB1" w14:textId="77777777" w:rsidR="00D603F5" w:rsidRPr="00746B39" w:rsidRDefault="00D603F5" w:rsidP="00746B39">
      <w:pPr>
        <w:pStyle w:val="ListParagraph"/>
        <w:numPr>
          <w:ilvl w:val="0"/>
          <w:numId w:val="409"/>
        </w:numPr>
        <w:tabs>
          <w:tab w:val="left" w:pos="1276"/>
        </w:tabs>
        <w:ind w:left="0" w:firstLine="851"/>
        <w:rPr>
          <w:b/>
        </w:rPr>
      </w:pPr>
      <w:bookmarkStart w:id="291" w:name="_Toc115970613"/>
      <w:bookmarkStart w:id="292" w:name="_Toc116798141"/>
      <w:r w:rsidRPr="00746B39">
        <w:rPr>
          <w:b/>
        </w:rPr>
        <w:t>Функции на отдел „</w:t>
      </w:r>
      <w:r w:rsidR="00A40818" w:rsidRPr="00746B39">
        <w:rPr>
          <w:b/>
        </w:rPr>
        <w:t>Програмиране</w:t>
      </w:r>
      <w:r w:rsidRPr="00746B39">
        <w:rPr>
          <w:b/>
        </w:rPr>
        <w:t>”</w:t>
      </w:r>
    </w:p>
    <w:p w14:paraId="2208D1B1" w14:textId="77777777" w:rsidR="00D603F5" w:rsidRPr="001B0EA3" w:rsidRDefault="00D603F5" w:rsidP="00746B39">
      <w:pPr>
        <w:pStyle w:val="ListParagraph"/>
        <w:numPr>
          <w:ilvl w:val="0"/>
          <w:numId w:val="410"/>
        </w:numPr>
        <w:tabs>
          <w:tab w:val="left" w:pos="1134"/>
        </w:tabs>
        <w:ind w:left="0" w:firstLine="851"/>
      </w:pPr>
      <w:r w:rsidRPr="001B0EA3">
        <w:t>Подготовка и промяна на ОПТТИ, включително предварителна и екологична оценка;</w:t>
      </w:r>
    </w:p>
    <w:p w14:paraId="4761255A" w14:textId="77777777" w:rsidR="00D603F5" w:rsidRPr="001B0EA3" w:rsidRDefault="00D603F5" w:rsidP="00746B39">
      <w:pPr>
        <w:pStyle w:val="ListParagraph"/>
        <w:numPr>
          <w:ilvl w:val="0"/>
          <w:numId w:val="410"/>
        </w:numPr>
        <w:tabs>
          <w:tab w:val="left" w:pos="1134"/>
        </w:tabs>
        <w:ind w:left="0" w:firstLine="851"/>
      </w:pPr>
      <w:r w:rsidRPr="001B0EA3">
        <w:lastRenderedPageBreak/>
        <w:t>Координация на дейностите по изпълнението на предварителните условия в сектор Транспорт;</w:t>
      </w:r>
    </w:p>
    <w:p w14:paraId="74E2D46B" w14:textId="77777777" w:rsidR="00D603F5" w:rsidRPr="001B0EA3" w:rsidRDefault="00D603F5" w:rsidP="00746B39">
      <w:pPr>
        <w:pStyle w:val="ListParagraph"/>
        <w:numPr>
          <w:ilvl w:val="0"/>
          <w:numId w:val="410"/>
        </w:numPr>
        <w:tabs>
          <w:tab w:val="left" w:pos="1134"/>
        </w:tabs>
        <w:ind w:left="0" w:firstLine="851"/>
      </w:pPr>
      <w:r w:rsidRPr="001B0EA3">
        <w:t>Идентифициране на проекти за финансиране от ОПТТИ;</w:t>
      </w:r>
    </w:p>
    <w:p w14:paraId="3CFC0E33" w14:textId="77777777" w:rsidR="00D603F5" w:rsidRPr="001B0EA3" w:rsidRDefault="00D603F5" w:rsidP="00746B39">
      <w:pPr>
        <w:pStyle w:val="ListParagraph"/>
        <w:numPr>
          <w:ilvl w:val="0"/>
          <w:numId w:val="410"/>
        </w:numPr>
        <w:tabs>
          <w:tab w:val="left" w:pos="1134"/>
        </w:tabs>
        <w:ind w:left="0" w:firstLine="851"/>
      </w:pPr>
      <w:r w:rsidRPr="001B0EA3">
        <w:t>Координация на подготовката на проекти, предвидени за финансиране от ОПТТИ;</w:t>
      </w:r>
    </w:p>
    <w:p w14:paraId="2CB981C9" w14:textId="77777777" w:rsidR="00D603F5" w:rsidRPr="001B0EA3" w:rsidRDefault="00D603F5" w:rsidP="00746B39">
      <w:pPr>
        <w:pStyle w:val="ListParagraph"/>
        <w:numPr>
          <w:ilvl w:val="0"/>
          <w:numId w:val="410"/>
        </w:numPr>
        <w:tabs>
          <w:tab w:val="left" w:pos="1134"/>
        </w:tabs>
        <w:ind w:left="0" w:firstLine="851"/>
      </w:pPr>
      <w:r w:rsidRPr="001B0EA3">
        <w:t>Изготвяне на Индикативната годишна работна програма в съответствие с изискванията на чл. 7 от ПМС № 107/10.05.2014 г.;</w:t>
      </w:r>
    </w:p>
    <w:p w14:paraId="63B4CBE4" w14:textId="77777777" w:rsidR="00D603F5" w:rsidRPr="001B0EA3" w:rsidRDefault="00D603F5" w:rsidP="00746B39">
      <w:pPr>
        <w:pStyle w:val="ListParagraph"/>
        <w:numPr>
          <w:ilvl w:val="0"/>
          <w:numId w:val="410"/>
        </w:numPr>
        <w:tabs>
          <w:tab w:val="left" w:pos="1134"/>
        </w:tabs>
        <w:ind w:left="0" w:firstLine="851"/>
      </w:pPr>
      <w:r w:rsidRPr="001B0EA3">
        <w:t>Участва в изготвянето на критериите за подбор и оценка на проекти по ОПТТИ;</w:t>
      </w:r>
    </w:p>
    <w:p w14:paraId="29FEDBCC" w14:textId="77777777" w:rsidR="00D603F5" w:rsidRPr="001B0EA3" w:rsidRDefault="00D603F5" w:rsidP="00746B39">
      <w:pPr>
        <w:pStyle w:val="ListParagraph"/>
        <w:numPr>
          <w:ilvl w:val="0"/>
          <w:numId w:val="410"/>
        </w:numPr>
        <w:tabs>
          <w:tab w:val="left" w:pos="1134"/>
        </w:tabs>
        <w:ind w:left="0" w:firstLine="851"/>
      </w:pPr>
      <w:r w:rsidRPr="001B0EA3">
        <w:t>Участва в изготвянето на Насоките за кандидатстване по ОПТТИ;</w:t>
      </w:r>
    </w:p>
    <w:p w14:paraId="3142DF27" w14:textId="77777777" w:rsidR="00D603F5" w:rsidRPr="001B0EA3" w:rsidRDefault="00D603F5" w:rsidP="00746B39">
      <w:pPr>
        <w:pStyle w:val="ListParagraph"/>
        <w:numPr>
          <w:ilvl w:val="0"/>
          <w:numId w:val="410"/>
        </w:numPr>
        <w:tabs>
          <w:tab w:val="left" w:pos="1134"/>
        </w:tabs>
        <w:ind w:left="0" w:firstLine="851"/>
      </w:pPr>
      <w:r w:rsidRPr="001B0EA3">
        <w:t xml:space="preserve">Оценка на Формуляри за кандидатстване за инвестиционни/инфраструктурни проекти, проекти за техническа помощ и когато е приложимо на бюджетни линии;  </w:t>
      </w:r>
    </w:p>
    <w:p w14:paraId="6D779DED" w14:textId="77777777" w:rsidR="00D603F5" w:rsidRPr="001B0EA3" w:rsidRDefault="00745053" w:rsidP="00746B39">
      <w:pPr>
        <w:pStyle w:val="ListParagraph"/>
        <w:numPr>
          <w:ilvl w:val="0"/>
          <w:numId w:val="410"/>
        </w:numPr>
        <w:tabs>
          <w:tab w:val="left" w:pos="1134"/>
        </w:tabs>
        <w:ind w:left="0" w:firstLine="851"/>
      </w:pPr>
      <w:r w:rsidRPr="001B0EA3">
        <w:t>Координира дейностите, свързани с  прилагане на правилата за държавни помощи и в тази връзка съвместната работа с бенефициентите по ОПТТИ, Министерство на финансите и Европейската комисия  (ЕК)</w:t>
      </w:r>
      <w:r w:rsidR="00D603F5" w:rsidRPr="001B0EA3">
        <w:t>;</w:t>
      </w:r>
    </w:p>
    <w:p w14:paraId="20F2873C" w14:textId="77777777" w:rsidR="00D603F5" w:rsidRPr="001B0EA3" w:rsidRDefault="00D603F5" w:rsidP="00746B39">
      <w:pPr>
        <w:pStyle w:val="ListParagraph"/>
        <w:numPr>
          <w:ilvl w:val="0"/>
          <w:numId w:val="410"/>
        </w:numPr>
        <w:tabs>
          <w:tab w:val="left" w:pos="1134"/>
        </w:tabs>
        <w:ind w:left="0" w:firstLine="851"/>
      </w:pPr>
      <w:r w:rsidRPr="001B0EA3">
        <w:t>Участва в изготвянето на документи  за предоставяне на безвъзмездна финансова помощ;</w:t>
      </w:r>
    </w:p>
    <w:p w14:paraId="133ABF46" w14:textId="77777777" w:rsidR="00D603F5" w:rsidRPr="001B0EA3" w:rsidRDefault="00D603F5" w:rsidP="00746B39">
      <w:pPr>
        <w:pStyle w:val="ListParagraph"/>
        <w:numPr>
          <w:ilvl w:val="0"/>
          <w:numId w:val="410"/>
        </w:numPr>
        <w:tabs>
          <w:tab w:val="left" w:pos="1134"/>
        </w:tabs>
        <w:ind w:left="0" w:firstLine="851"/>
      </w:pPr>
      <w:r w:rsidRPr="001B0EA3">
        <w:t>Информиране на другите отдели в УО и бенефициентите на ОПТТИ относно тенденциите и промените в политиките на ЕС, свързани със средства от ЕСИФ;</w:t>
      </w:r>
    </w:p>
    <w:p w14:paraId="4FC895EE" w14:textId="77777777" w:rsidR="00D603F5" w:rsidRPr="001B0EA3" w:rsidRDefault="00D603F5" w:rsidP="00746B39">
      <w:pPr>
        <w:pStyle w:val="ListParagraph"/>
        <w:numPr>
          <w:ilvl w:val="0"/>
          <w:numId w:val="410"/>
        </w:numPr>
        <w:tabs>
          <w:tab w:val="left" w:pos="1134"/>
        </w:tabs>
        <w:ind w:left="0" w:firstLine="851"/>
      </w:pPr>
      <w:r w:rsidRPr="001B0EA3">
        <w:t xml:space="preserve">Координация на дейностите </w:t>
      </w:r>
      <w:r w:rsidR="006A6F2A" w:rsidRPr="001B0EA3">
        <w:t>по участие в</w:t>
      </w:r>
      <w:r w:rsidRPr="001B0EA3">
        <w:t xml:space="preserve"> МСЕ;</w:t>
      </w:r>
    </w:p>
    <w:p w14:paraId="5D2C9976" w14:textId="77777777" w:rsidR="00D603F5" w:rsidRPr="001B0EA3" w:rsidRDefault="00D603F5" w:rsidP="00746B39">
      <w:pPr>
        <w:pStyle w:val="ListParagraph"/>
        <w:numPr>
          <w:ilvl w:val="0"/>
          <w:numId w:val="410"/>
        </w:numPr>
        <w:tabs>
          <w:tab w:val="left" w:pos="1134"/>
        </w:tabs>
        <w:ind w:left="0" w:firstLine="851"/>
      </w:pPr>
      <w:r w:rsidRPr="001B0EA3">
        <w:t xml:space="preserve">Координация на дейностите, свързани със съвместната работа с МФИ и JASPERS; </w:t>
      </w:r>
    </w:p>
    <w:p w14:paraId="13082115" w14:textId="77777777" w:rsidR="00D603F5" w:rsidRPr="001B0EA3" w:rsidRDefault="00D603F5" w:rsidP="00746B39">
      <w:pPr>
        <w:pStyle w:val="ListParagraph"/>
        <w:numPr>
          <w:ilvl w:val="0"/>
          <w:numId w:val="410"/>
        </w:numPr>
        <w:tabs>
          <w:tab w:val="left" w:pos="1134"/>
        </w:tabs>
        <w:ind w:left="0" w:firstLine="851"/>
      </w:pPr>
      <w:r w:rsidRPr="001B0EA3">
        <w:t xml:space="preserve">Координация на дейностите по подготовка и промени на Процедурния наръчник на УО, съотносими към дейността на отдел „Програмиране“; </w:t>
      </w:r>
    </w:p>
    <w:p w14:paraId="39E9D49B" w14:textId="77777777" w:rsidR="00D603F5" w:rsidRPr="001B0EA3" w:rsidRDefault="00D603F5" w:rsidP="00746B39">
      <w:pPr>
        <w:pStyle w:val="ListParagraph"/>
        <w:numPr>
          <w:ilvl w:val="0"/>
          <w:numId w:val="410"/>
        </w:numPr>
        <w:tabs>
          <w:tab w:val="left" w:pos="1134"/>
        </w:tabs>
        <w:ind w:left="0" w:firstLine="851"/>
      </w:pPr>
      <w:r w:rsidRPr="001B0EA3">
        <w:t xml:space="preserve">Участие в дейностите по координиране на процеса по изготвяне и изменяне на Оперативните споразумения с бенефициентите на ОПТТИ; </w:t>
      </w:r>
    </w:p>
    <w:p w14:paraId="5A8E1E11" w14:textId="77777777" w:rsidR="00D603F5" w:rsidRPr="001B0EA3" w:rsidRDefault="00D603F5" w:rsidP="00746B39">
      <w:pPr>
        <w:pStyle w:val="ListParagraph"/>
        <w:numPr>
          <w:ilvl w:val="0"/>
          <w:numId w:val="410"/>
        </w:numPr>
        <w:tabs>
          <w:tab w:val="left" w:pos="1134"/>
        </w:tabs>
        <w:ind w:left="0" w:firstLine="851"/>
      </w:pPr>
      <w:r w:rsidRPr="001B0EA3">
        <w:t xml:space="preserve">Координация на дейностите по изготвяне на планове за обучение на служителите в УО; </w:t>
      </w:r>
    </w:p>
    <w:p w14:paraId="19245143" w14:textId="77777777" w:rsidR="00D603F5" w:rsidRPr="001B0EA3" w:rsidRDefault="00D603F5" w:rsidP="00746B39">
      <w:pPr>
        <w:pStyle w:val="ListParagraph"/>
        <w:numPr>
          <w:ilvl w:val="0"/>
          <w:numId w:val="410"/>
        </w:numPr>
        <w:tabs>
          <w:tab w:val="left" w:pos="1134"/>
        </w:tabs>
        <w:ind w:left="0" w:firstLine="851"/>
      </w:pPr>
      <w:r w:rsidRPr="001B0EA3">
        <w:t xml:space="preserve">Актуализиране и прилагане на Организационната стратегия за развитие на УО; </w:t>
      </w:r>
    </w:p>
    <w:p w14:paraId="214E3E13" w14:textId="77777777" w:rsidR="00D603F5" w:rsidRPr="001B0EA3" w:rsidRDefault="00D603F5" w:rsidP="00746B39">
      <w:pPr>
        <w:pStyle w:val="ListParagraph"/>
        <w:numPr>
          <w:ilvl w:val="0"/>
          <w:numId w:val="410"/>
        </w:numPr>
        <w:tabs>
          <w:tab w:val="left" w:pos="1134"/>
        </w:tabs>
        <w:ind w:left="0" w:firstLine="851"/>
      </w:pPr>
      <w:r w:rsidRPr="001B0EA3">
        <w:t>Изготвяне на анализ на административния капацитет на бенефициентите на ОПТТИ, при предоставяне на безвъзмездна финансова помощ;</w:t>
      </w:r>
    </w:p>
    <w:p w14:paraId="51B0245C" w14:textId="77777777" w:rsidR="00D603F5" w:rsidRDefault="00D603F5" w:rsidP="00746B39">
      <w:pPr>
        <w:pStyle w:val="ListParagraph"/>
        <w:numPr>
          <w:ilvl w:val="0"/>
          <w:numId w:val="410"/>
        </w:numPr>
        <w:tabs>
          <w:tab w:val="left" w:pos="1134"/>
        </w:tabs>
        <w:ind w:left="0" w:firstLine="851"/>
      </w:pPr>
      <w:r w:rsidRPr="001B0EA3">
        <w:t>Участва при актуализирането на информацията по изпълнението на програмата.</w:t>
      </w:r>
    </w:p>
    <w:p w14:paraId="6D6FC5DF" w14:textId="77777777" w:rsidR="00F729A8" w:rsidRPr="001B0EA3" w:rsidRDefault="00F729A8" w:rsidP="00F729A8">
      <w:pPr>
        <w:tabs>
          <w:tab w:val="left" w:pos="1134"/>
        </w:tabs>
      </w:pPr>
    </w:p>
    <w:p w14:paraId="7406DDCA" w14:textId="77777777" w:rsidR="00D603F5" w:rsidRPr="001B0EA3" w:rsidRDefault="00D603F5" w:rsidP="00746B39">
      <w:pPr>
        <w:pStyle w:val="ListParagraph"/>
        <w:numPr>
          <w:ilvl w:val="0"/>
          <w:numId w:val="409"/>
        </w:numPr>
        <w:tabs>
          <w:tab w:val="left" w:pos="1276"/>
        </w:tabs>
        <w:ind w:left="0" w:firstLine="851"/>
        <w:rPr>
          <w:b/>
        </w:rPr>
      </w:pPr>
      <w:r w:rsidRPr="001B0EA3">
        <w:rPr>
          <w:b/>
        </w:rPr>
        <w:t>Функции на отдел „</w:t>
      </w:r>
      <w:r w:rsidR="00237792" w:rsidRPr="001B0EA3">
        <w:rPr>
          <w:b/>
        </w:rPr>
        <w:t>Финансово управление</w:t>
      </w:r>
      <w:r w:rsidRPr="001B0EA3">
        <w:rPr>
          <w:b/>
        </w:rPr>
        <w:t>”</w:t>
      </w:r>
    </w:p>
    <w:p w14:paraId="4677903C" w14:textId="77777777" w:rsidR="00BC16FD" w:rsidRPr="001B0EA3" w:rsidRDefault="00BC16FD" w:rsidP="00746B39">
      <w:pPr>
        <w:pStyle w:val="ListParagraph"/>
        <w:numPr>
          <w:ilvl w:val="0"/>
          <w:numId w:val="410"/>
        </w:numPr>
        <w:tabs>
          <w:tab w:val="left" w:pos="1134"/>
        </w:tabs>
        <w:ind w:left="0" w:firstLine="851"/>
      </w:pPr>
      <w:r w:rsidRPr="001B0EA3">
        <w:t>Извършва цялостна проверка на исканията за плащане от Бенефициентите по  ОП „Транспорт и транспортна инфраструктура”;</w:t>
      </w:r>
    </w:p>
    <w:p w14:paraId="73E51F64" w14:textId="77777777" w:rsidR="00BC16FD" w:rsidRPr="001B0EA3" w:rsidRDefault="00BC16FD" w:rsidP="00746B39">
      <w:pPr>
        <w:pStyle w:val="ListParagraph"/>
        <w:numPr>
          <w:ilvl w:val="0"/>
          <w:numId w:val="410"/>
        </w:numPr>
        <w:tabs>
          <w:tab w:val="left" w:pos="1134"/>
        </w:tabs>
        <w:ind w:left="0" w:firstLine="851"/>
      </w:pPr>
      <w:r w:rsidRPr="001B0EA3">
        <w:t>Осигурява поддържането на отчетна система за средствата на ЕС по ОП „Транспорт и транспортна инфраструктура” и кореспондиращото съфинансиране;</w:t>
      </w:r>
    </w:p>
    <w:p w14:paraId="37F2381D" w14:textId="77777777" w:rsidR="00BC16FD" w:rsidRPr="001B0EA3" w:rsidRDefault="00BC16FD" w:rsidP="00746B39">
      <w:pPr>
        <w:pStyle w:val="ListParagraph"/>
        <w:numPr>
          <w:ilvl w:val="0"/>
          <w:numId w:val="410"/>
        </w:numPr>
        <w:tabs>
          <w:tab w:val="left" w:pos="1134"/>
        </w:tabs>
        <w:ind w:left="0" w:firstLine="851"/>
      </w:pPr>
      <w:r w:rsidRPr="001B0EA3">
        <w:t>Извършва финансов контрол на изпълнението на проектите в съответствие с европейските и национални правила, касаещи ОП „Транспорт и транспортна инфраструктура”;</w:t>
      </w:r>
    </w:p>
    <w:p w14:paraId="625F82E1" w14:textId="77777777" w:rsidR="00BC16FD" w:rsidRPr="001B0EA3" w:rsidRDefault="00BC16FD" w:rsidP="00746B39">
      <w:pPr>
        <w:pStyle w:val="ListParagraph"/>
        <w:numPr>
          <w:ilvl w:val="0"/>
          <w:numId w:val="410"/>
        </w:numPr>
        <w:tabs>
          <w:tab w:val="left" w:pos="1134"/>
        </w:tabs>
        <w:ind w:left="0" w:firstLine="851"/>
      </w:pPr>
      <w:r w:rsidRPr="001B0EA3">
        <w:t>Изготвя доклад по сертификация и декларация за допустимите разходи;</w:t>
      </w:r>
    </w:p>
    <w:p w14:paraId="052CE37C" w14:textId="77777777" w:rsidR="00BC16FD" w:rsidRPr="001B0EA3" w:rsidRDefault="00BC16FD" w:rsidP="00746B39">
      <w:pPr>
        <w:pStyle w:val="ListParagraph"/>
        <w:numPr>
          <w:ilvl w:val="0"/>
          <w:numId w:val="410"/>
        </w:numPr>
        <w:tabs>
          <w:tab w:val="left" w:pos="1134"/>
        </w:tabs>
        <w:ind w:left="0" w:firstLine="851"/>
      </w:pPr>
      <w:r w:rsidRPr="001B0EA3">
        <w:t>В процеса на верификация на разходите осъществява 100% документална проверка на всички представени от бенефициента документи;</w:t>
      </w:r>
    </w:p>
    <w:p w14:paraId="261FB52F" w14:textId="77777777" w:rsidR="00BC16FD" w:rsidRPr="001B0EA3" w:rsidRDefault="00BC16FD" w:rsidP="00746B39">
      <w:pPr>
        <w:pStyle w:val="ListParagraph"/>
        <w:numPr>
          <w:ilvl w:val="0"/>
          <w:numId w:val="410"/>
        </w:numPr>
        <w:tabs>
          <w:tab w:val="left" w:pos="1134"/>
        </w:tabs>
        <w:ind w:left="0" w:firstLine="851"/>
      </w:pPr>
      <w:r w:rsidRPr="001B0EA3">
        <w:t xml:space="preserve">Участва в подготовката на годишните отчети и прогнози до Сертифициращия орган;   </w:t>
      </w:r>
    </w:p>
    <w:p w14:paraId="29769B33" w14:textId="77777777" w:rsidR="00BC16FD" w:rsidRPr="001B0EA3" w:rsidRDefault="00BC16FD" w:rsidP="00746B39">
      <w:pPr>
        <w:pStyle w:val="ListParagraph"/>
        <w:numPr>
          <w:ilvl w:val="0"/>
          <w:numId w:val="410"/>
        </w:numPr>
        <w:tabs>
          <w:tab w:val="left" w:pos="1134"/>
        </w:tabs>
        <w:ind w:left="0" w:firstLine="851"/>
      </w:pPr>
      <w:r w:rsidRPr="001B0EA3">
        <w:t>Осигурява въвеждане на следните данни в използваната счетоводно-отчетна система</w:t>
      </w:r>
      <w:r w:rsidR="00A40818" w:rsidRPr="001B0EA3">
        <w:t xml:space="preserve"> </w:t>
      </w:r>
      <w:r w:rsidRPr="001B0EA3">
        <w:t xml:space="preserve">SAPR3 за проследяване на проекти по ОП „Транспорт и транспортна инфраструктура”: </w:t>
      </w:r>
    </w:p>
    <w:p w14:paraId="462CC62C" w14:textId="77777777" w:rsidR="00BC16FD" w:rsidRPr="001B0EA3" w:rsidRDefault="00BC16FD" w:rsidP="00746B39">
      <w:pPr>
        <w:pStyle w:val="ListParagraph"/>
        <w:numPr>
          <w:ilvl w:val="0"/>
          <w:numId w:val="411"/>
        </w:numPr>
        <w:ind w:left="1418" w:hanging="207"/>
      </w:pPr>
      <w:r w:rsidRPr="001B0EA3">
        <w:t>вземания и задължения от и към бенефициентите;</w:t>
      </w:r>
    </w:p>
    <w:p w14:paraId="3EBB6D3C" w14:textId="77777777" w:rsidR="00BC16FD" w:rsidRPr="001B0EA3" w:rsidRDefault="00BC16FD" w:rsidP="00746B39">
      <w:pPr>
        <w:pStyle w:val="ListParagraph"/>
        <w:numPr>
          <w:ilvl w:val="0"/>
          <w:numId w:val="411"/>
        </w:numPr>
        <w:ind w:left="1418" w:hanging="207"/>
      </w:pPr>
      <w:r w:rsidRPr="001B0EA3">
        <w:t>вземания за суми, подлежащи на възстановяване, възстановените и невъзстановимите суми;</w:t>
      </w:r>
    </w:p>
    <w:p w14:paraId="375A7C2D" w14:textId="77777777" w:rsidR="00BC16FD" w:rsidRPr="001B0EA3" w:rsidRDefault="00BC16FD" w:rsidP="00746B39">
      <w:pPr>
        <w:pStyle w:val="ListParagraph"/>
        <w:numPr>
          <w:ilvl w:val="0"/>
          <w:numId w:val="411"/>
        </w:numPr>
        <w:ind w:left="1418" w:hanging="207"/>
      </w:pPr>
      <w:r w:rsidRPr="001B0EA3">
        <w:t xml:space="preserve">суми, оттеглени от Доклад по сертификация и Декларация за допустимите разходи </w:t>
      </w:r>
    </w:p>
    <w:p w14:paraId="255A9AF9" w14:textId="77777777" w:rsidR="00BC16FD" w:rsidRPr="001B0EA3" w:rsidRDefault="00BC16FD" w:rsidP="00746B39">
      <w:pPr>
        <w:pStyle w:val="ListParagraph"/>
        <w:numPr>
          <w:ilvl w:val="0"/>
          <w:numId w:val="411"/>
        </w:numPr>
        <w:ind w:left="1418" w:hanging="207"/>
      </w:pPr>
      <w:r w:rsidRPr="001B0EA3">
        <w:lastRenderedPageBreak/>
        <w:t>невъзстановимите суми;</w:t>
      </w:r>
    </w:p>
    <w:p w14:paraId="1FF80705" w14:textId="77777777" w:rsidR="00BC16FD" w:rsidRPr="001B0EA3" w:rsidRDefault="00BC16FD" w:rsidP="00746B39">
      <w:pPr>
        <w:pStyle w:val="ListParagraph"/>
        <w:numPr>
          <w:ilvl w:val="0"/>
          <w:numId w:val="411"/>
        </w:numPr>
        <w:ind w:left="1418" w:hanging="207"/>
      </w:pPr>
      <w:r w:rsidRPr="001B0EA3">
        <w:t>вземания от лихви за просрочие от бенефициентите, лихви, генерирани по открити банкови сметки на бенефициентите за целите на изпълняваните от тях проекти, генерирани приходи по проектите;</w:t>
      </w:r>
    </w:p>
    <w:p w14:paraId="09320603" w14:textId="77777777" w:rsidR="00BC16FD" w:rsidRPr="001B0EA3" w:rsidRDefault="00BC16FD" w:rsidP="00746B39">
      <w:pPr>
        <w:pStyle w:val="ListParagraph"/>
        <w:numPr>
          <w:ilvl w:val="0"/>
          <w:numId w:val="410"/>
        </w:numPr>
        <w:tabs>
          <w:tab w:val="left" w:pos="1134"/>
        </w:tabs>
        <w:ind w:left="0" w:firstLine="851"/>
      </w:pPr>
      <w:r w:rsidRPr="001B0EA3">
        <w:t>Изготвя отчетите за касово изпълнение по Единна бюджетна класификация по функции и дейности по ОП „Транспорт и транспортна инфраструктура”;</w:t>
      </w:r>
    </w:p>
    <w:p w14:paraId="5F1D6799" w14:textId="77777777" w:rsidR="00BC16FD" w:rsidRPr="001B0EA3" w:rsidRDefault="00BC16FD" w:rsidP="00746B39">
      <w:pPr>
        <w:pStyle w:val="ListParagraph"/>
        <w:numPr>
          <w:ilvl w:val="0"/>
          <w:numId w:val="410"/>
        </w:numPr>
        <w:tabs>
          <w:tab w:val="left" w:pos="1134"/>
        </w:tabs>
        <w:ind w:left="0" w:firstLine="851"/>
      </w:pPr>
      <w:r w:rsidRPr="001B0EA3">
        <w:t>Изготвя оборотни ведомости за ежемесечно равнение на обороти и салда по счетоводните сметки в счетоводно-отчетни системи /вкл. SAP R3 система за проследяване на проекти/;</w:t>
      </w:r>
    </w:p>
    <w:p w14:paraId="061C2F81" w14:textId="77777777" w:rsidR="00BC16FD" w:rsidRPr="001B0EA3" w:rsidRDefault="00BC16FD" w:rsidP="00746B39">
      <w:pPr>
        <w:pStyle w:val="ListParagraph"/>
        <w:numPr>
          <w:ilvl w:val="0"/>
          <w:numId w:val="410"/>
        </w:numPr>
        <w:tabs>
          <w:tab w:val="left" w:pos="1134"/>
        </w:tabs>
        <w:ind w:left="0" w:firstLine="851"/>
      </w:pPr>
      <w:r w:rsidRPr="001B0EA3">
        <w:t>Извършва счетоводно отразяване на случаите на нередности и наложени финансови корекции по проекти по ОП „Транспорт и транспортна инфраструктура”, които имат финансово изражение и подава информация на служителя по нередности в Управляващия орган за прихванатите/възстановени суми по нередности;</w:t>
      </w:r>
    </w:p>
    <w:p w14:paraId="02570FF4" w14:textId="77777777" w:rsidR="00BC16FD" w:rsidRPr="001B0EA3" w:rsidRDefault="00BC16FD" w:rsidP="00746B39">
      <w:pPr>
        <w:pStyle w:val="ListParagraph"/>
        <w:numPr>
          <w:ilvl w:val="0"/>
          <w:numId w:val="410"/>
        </w:numPr>
        <w:tabs>
          <w:tab w:val="left" w:pos="1134"/>
        </w:tabs>
        <w:ind w:left="0" w:firstLine="851"/>
      </w:pPr>
      <w:r w:rsidRPr="001B0EA3">
        <w:t>Поддържа актуална информация в Книгите за длъжниците по ОП „Транспорт и транспортна инфраструктура”;</w:t>
      </w:r>
    </w:p>
    <w:p w14:paraId="610BBDEF" w14:textId="77777777" w:rsidR="00BC16FD" w:rsidRDefault="00BC16FD" w:rsidP="00746B39">
      <w:pPr>
        <w:pStyle w:val="ListParagraph"/>
        <w:numPr>
          <w:ilvl w:val="0"/>
          <w:numId w:val="410"/>
        </w:numPr>
        <w:tabs>
          <w:tab w:val="left" w:pos="1134"/>
        </w:tabs>
        <w:ind w:left="0" w:firstLine="851"/>
      </w:pPr>
      <w:r w:rsidRPr="001B0EA3">
        <w:t>Осигурява правилно и навременно въвеждане на счетоводните записи в съответствие с приложимото законодателство и счетоводни стандарти.</w:t>
      </w:r>
    </w:p>
    <w:p w14:paraId="1A825FCE" w14:textId="77777777" w:rsidR="00F729A8" w:rsidRPr="001B0EA3" w:rsidRDefault="00F729A8" w:rsidP="00F729A8">
      <w:pPr>
        <w:tabs>
          <w:tab w:val="left" w:pos="1134"/>
        </w:tabs>
      </w:pPr>
    </w:p>
    <w:p w14:paraId="16A2347C" w14:textId="77777777" w:rsidR="00D603F5" w:rsidRPr="00746B39" w:rsidRDefault="00D603F5" w:rsidP="00746B39">
      <w:pPr>
        <w:pStyle w:val="ListParagraph"/>
        <w:numPr>
          <w:ilvl w:val="0"/>
          <w:numId w:val="409"/>
        </w:numPr>
        <w:tabs>
          <w:tab w:val="left" w:pos="1276"/>
        </w:tabs>
        <w:ind w:left="0" w:firstLine="851"/>
        <w:rPr>
          <w:b/>
        </w:rPr>
      </w:pPr>
      <w:r w:rsidRPr="00746B39">
        <w:rPr>
          <w:b/>
        </w:rPr>
        <w:t>Функции на „</w:t>
      </w:r>
      <w:r w:rsidR="00C528BA" w:rsidRPr="00746B39">
        <w:rPr>
          <w:b/>
        </w:rPr>
        <w:t>Финансов контрольор</w:t>
      </w:r>
      <w:r w:rsidRPr="00746B39">
        <w:rPr>
          <w:b/>
        </w:rPr>
        <w:t>”</w:t>
      </w:r>
    </w:p>
    <w:p w14:paraId="67C439EF" w14:textId="77777777" w:rsidR="00D603F5" w:rsidRPr="00746B39" w:rsidRDefault="00D603F5" w:rsidP="00746B39">
      <w:pPr>
        <w:pStyle w:val="ListParagraph"/>
        <w:numPr>
          <w:ilvl w:val="0"/>
          <w:numId w:val="410"/>
        </w:numPr>
        <w:tabs>
          <w:tab w:val="left" w:pos="1134"/>
        </w:tabs>
        <w:ind w:left="0" w:firstLine="851"/>
      </w:pPr>
      <w:r w:rsidRPr="001B0EA3">
        <w:t>Извършва проверка за съответствие на разходите с поетите ангажименти – съвпада ли размерът и видът на разхода с размера и вида на поетото задължение по проекти и договори по ОПТТИ;</w:t>
      </w:r>
    </w:p>
    <w:p w14:paraId="6DEF6B33" w14:textId="77777777" w:rsidR="00D603F5" w:rsidRPr="001B0EA3" w:rsidRDefault="00D603F5" w:rsidP="00746B39">
      <w:pPr>
        <w:pStyle w:val="ListParagraph"/>
        <w:numPr>
          <w:ilvl w:val="0"/>
          <w:numId w:val="410"/>
        </w:numPr>
        <w:tabs>
          <w:tab w:val="left" w:pos="1134"/>
        </w:tabs>
        <w:ind w:left="0" w:firstLine="851"/>
      </w:pPr>
      <w:r w:rsidRPr="001B0EA3">
        <w:t>Извършва проверка на компетентността на лицата, разпоредили плащането на средства от страна на УО по ОПТТИ – оправомощени ли са съответните лица да се разпореждат със средства на УО по ОПТТИ и валидността и обхвата на делегираните им правомощия;</w:t>
      </w:r>
    </w:p>
    <w:p w14:paraId="14F07A84" w14:textId="77777777" w:rsidR="00D603F5" w:rsidRPr="001B0EA3" w:rsidRDefault="00D603F5" w:rsidP="00746B39">
      <w:pPr>
        <w:pStyle w:val="ListParagraph"/>
        <w:numPr>
          <w:ilvl w:val="0"/>
          <w:numId w:val="410"/>
        </w:numPr>
        <w:tabs>
          <w:tab w:val="left" w:pos="1134"/>
        </w:tabs>
        <w:ind w:left="0" w:firstLine="851"/>
      </w:pPr>
      <w:r w:rsidRPr="001B0EA3">
        <w:t>Извършва проверка на верността и наличието на надеждно попълнени и подписани искания за плащане, искания за средства и контролни листове към тях за осъществена проверка от страна на Бенефициента и УО с цел произнасяне по целесъобразността на извършването на плащане, като мнението му може да бъде одобрение или отказ);</w:t>
      </w:r>
    </w:p>
    <w:p w14:paraId="6898DE83" w14:textId="77777777" w:rsidR="00D603F5" w:rsidRPr="001B0EA3" w:rsidRDefault="00D603F5" w:rsidP="00746B39">
      <w:pPr>
        <w:pStyle w:val="ListParagraph"/>
        <w:numPr>
          <w:ilvl w:val="0"/>
          <w:numId w:val="410"/>
        </w:numPr>
        <w:tabs>
          <w:tab w:val="left" w:pos="1134"/>
        </w:tabs>
        <w:ind w:left="0" w:firstLine="851"/>
      </w:pPr>
      <w:r w:rsidRPr="001B0EA3">
        <w:t>Извършва проверка на първичните счетоводни документи (включително правилното изчисление на количества и суми), съдържат ли документите всички необходими реквизити съгласно Закона за счетоводството, достоверно и точно ли е отразено съдържанието на стопанската операция);</w:t>
      </w:r>
    </w:p>
    <w:p w14:paraId="4B9D2925" w14:textId="77777777" w:rsidR="00D603F5" w:rsidRDefault="00D603F5" w:rsidP="00746B39">
      <w:pPr>
        <w:pStyle w:val="ListParagraph"/>
        <w:numPr>
          <w:ilvl w:val="0"/>
          <w:numId w:val="410"/>
        </w:numPr>
        <w:tabs>
          <w:tab w:val="left" w:pos="1134"/>
        </w:tabs>
        <w:ind w:left="0" w:firstLine="851"/>
      </w:pPr>
      <w:r w:rsidRPr="001B0EA3">
        <w:t>Извършва проверка на наличието на средства и одобрени лимити, съгласно разпределението на бюджета по ОПТТИ.</w:t>
      </w:r>
    </w:p>
    <w:p w14:paraId="67405D4F" w14:textId="77777777" w:rsidR="00F729A8" w:rsidRPr="001B0EA3" w:rsidRDefault="00F729A8" w:rsidP="00F729A8">
      <w:pPr>
        <w:tabs>
          <w:tab w:val="left" w:pos="1134"/>
        </w:tabs>
      </w:pPr>
    </w:p>
    <w:p w14:paraId="2B489CFB" w14:textId="77777777" w:rsidR="00D603F5" w:rsidRPr="001B0EA3" w:rsidRDefault="00D603F5" w:rsidP="00746B39">
      <w:pPr>
        <w:pStyle w:val="ListParagraph"/>
        <w:numPr>
          <w:ilvl w:val="0"/>
          <w:numId w:val="409"/>
        </w:numPr>
        <w:tabs>
          <w:tab w:val="left" w:pos="1276"/>
        </w:tabs>
        <w:ind w:left="0" w:firstLine="851"/>
        <w:rPr>
          <w:b/>
        </w:rPr>
      </w:pPr>
      <w:r w:rsidRPr="001B0EA3">
        <w:rPr>
          <w:b/>
        </w:rPr>
        <w:t>Функции на отдел „</w:t>
      </w:r>
      <w:r w:rsidR="00C54B40" w:rsidRPr="001B0EA3">
        <w:rPr>
          <w:b/>
        </w:rPr>
        <w:t>Контрол по обществени поръчки</w:t>
      </w:r>
      <w:r w:rsidRPr="001B0EA3">
        <w:rPr>
          <w:b/>
        </w:rPr>
        <w:t>”</w:t>
      </w:r>
    </w:p>
    <w:p w14:paraId="1BBB17A3" w14:textId="77777777" w:rsidR="00360297" w:rsidRPr="001B0EA3" w:rsidRDefault="00CB7DE8" w:rsidP="00746B39">
      <w:pPr>
        <w:pStyle w:val="ListParagraph"/>
        <w:numPr>
          <w:ilvl w:val="0"/>
          <w:numId w:val="410"/>
        </w:numPr>
        <w:tabs>
          <w:tab w:val="left" w:pos="1134"/>
        </w:tabs>
        <w:ind w:left="0" w:firstLine="851"/>
      </w:pPr>
      <w:r w:rsidRPr="001B0EA3">
        <w:t>Осъществява контрол на процедурите от проведените</w:t>
      </w:r>
      <w:r w:rsidR="00360297" w:rsidRPr="001B0EA3">
        <w:t xml:space="preserve"> </w:t>
      </w:r>
      <w:r w:rsidRPr="001B0EA3">
        <w:t>обществени поръчки при изпълнение на проекти по ОП „Транспорт и транспортна инфраструктура” и върху подписаните договори за обществени поръчки с избраните изпълнители преди верифициране на разходите декларирани от бенефициентите</w:t>
      </w:r>
      <w:r w:rsidR="008F73F1" w:rsidRPr="001B0EA3">
        <w:t>;</w:t>
      </w:r>
    </w:p>
    <w:p w14:paraId="73868282" w14:textId="77777777" w:rsidR="008F73F1" w:rsidRPr="001B0EA3" w:rsidRDefault="008F73F1" w:rsidP="00746B39">
      <w:pPr>
        <w:pStyle w:val="ListParagraph"/>
        <w:numPr>
          <w:ilvl w:val="0"/>
          <w:numId w:val="410"/>
        </w:numPr>
        <w:tabs>
          <w:tab w:val="left" w:pos="1134"/>
        </w:tabs>
        <w:ind w:left="0" w:firstLine="851"/>
      </w:pPr>
      <w:r w:rsidRPr="001B0EA3">
        <w:t>Осъществява контрол върху подписаните от бенефициентите</w:t>
      </w:r>
      <w:r w:rsidR="001845F5" w:rsidRPr="00746B39">
        <w:t xml:space="preserve"> </w:t>
      </w:r>
      <w:r w:rsidR="001845F5" w:rsidRPr="001B0EA3">
        <w:t>изменения на договор за обществена поръчка в хипотезите на Закона за обществени поръчки;</w:t>
      </w:r>
    </w:p>
    <w:p w14:paraId="0A499B35" w14:textId="77777777" w:rsidR="001845F5" w:rsidRPr="001B0EA3" w:rsidRDefault="001845F5" w:rsidP="00746B39">
      <w:pPr>
        <w:pStyle w:val="ListParagraph"/>
        <w:numPr>
          <w:ilvl w:val="0"/>
          <w:numId w:val="410"/>
        </w:numPr>
        <w:tabs>
          <w:tab w:val="left" w:pos="1134"/>
        </w:tabs>
        <w:ind w:left="0" w:firstLine="851"/>
      </w:pPr>
      <w:r w:rsidRPr="001B0EA3">
        <w:t xml:space="preserve">При констатирано нарушение на правилата за възлагане на обществени поръчки, изготвя от името на Ръководителя на УО сигнал с описание на нарушението до </w:t>
      </w:r>
      <w:r w:rsidR="004D1994" w:rsidRPr="001B0EA3">
        <w:t>съответния</w:t>
      </w:r>
      <w:r w:rsidRPr="001B0EA3">
        <w:t xml:space="preserve"> бенефициент;</w:t>
      </w:r>
    </w:p>
    <w:p w14:paraId="44D3FBF9" w14:textId="77777777" w:rsidR="001845F5" w:rsidRPr="001B0EA3" w:rsidRDefault="001845F5" w:rsidP="00746B39">
      <w:pPr>
        <w:pStyle w:val="ListParagraph"/>
        <w:numPr>
          <w:ilvl w:val="0"/>
          <w:numId w:val="410"/>
        </w:numPr>
        <w:tabs>
          <w:tab w:val="left" w:pos="1134"/>
        </w:tabs>
        <w:ind w:left="0" w:firstLine="851"/>
      </w:pPr>
      <w:r w:rsidRPr="001B0EA3">
        <w:t>Подпомага Ръководителя на УО при изготвяне на решение за налагане на финансова корекция съгласно приложимото законодателство;</w:t>
      </w:r>
    </w:p>
    <w:p w14:paraId="13765062" w14:textId="77777777" w:rsidR="00360297" w:rsidRPr="001B0EA3" w:rsidRDefault="00360297" w:rsidP="00746B39">
      <w:pPr>
        <w:pStyle w:val="ListParagraph"/>
        <w:numPr>
          <w:ilvl w:val="0"/>
          <w:numId w:val="410"/>
        </w:numPr>
        <w:tabs>
          <w:tab w:val="left" w:pos="1134"/>
        </w:tabs>
        <w:ind w:left="0" w:firstLine="851"/>
      </w:pPr>
      <w:r w:rsidRPr="001B0EA3">
        <w:t>Подпомага изготвянето на годишния доклад за изпълнението на ОПТТИ съгласно компетенциите на отдела.</w:t>
      </w:r>
    </w:p>
    <w:p w14:paraId="3CF679AC" w14:textId="77777777" w:rsidR="00CB7DE8" w:rsidRDefault="008F73F1" w:rsidP="00746B39">
      <w:pPr>
        <w:pStyle w:val="ListParagraph"/>
        <w:numPr>
          <w:ilvl w:val="0"/>
          <w:numId w:val="410"/>
        </w:numPr>
        <w:tabs>
          <w:tab w:val="left" w:pos="1134"/>
        </w:tabs>
        <w:ind w:left="0" w:firstLine="851"/>
      </w:pPr>
      <w:r w:rsidRPr="001B0EA3">
        <w:lastRenderedPageBreak/>
        <w:t xml:space="preserve">Участва в провежданите в </w:t>
      </w:r>
      <w:r w:rsidR="00BB6BF6">
        <w:t>МТС</w:t>
      </w:r>
      <w:r w:rsidRPr="001B0EA3">
        <w:t xml:space="preserve"> периодични срещи за наблюдение на проектите, финансирани по ОПТТИ</w:t>
      </w:r>
      <w:r w:rsidR="00CB7DE8" w:rsidRPr="001B0EA3">
        <w:t>;</w:t>
      </w:r>
    </w:p>
    <w:p w14:paraId="56A68C8E" w14:textId="77777777" w:rsidR="00F729A8" w:rsidRPr="001B0EA3" w:rsidRDefault="00F729A8" w:rsidP="00F729A8">
      <w:pPr>
        <w:tabs>
          <w:tab w:val="left" w:pos="1134"/>
        </w:tabs>
      </w:pPr>
    </w:p>
    <w:p w14:paraId="4E6B11F4" w14:textId="77777777" w:rsidR="00D603F5" w:rsidRPr="001B0EA3" w:rsidRDefault="00D603F5" w:rsidP="00746B39">
      <w:pPr>
        <w:pStyle w:val="ListParagraph"/>
        <w:numPr>
          <w:ilvl w:val="0"/>
          <w:numId w:val="409"/>
        </w:numPr>
        <w:tabs>
          <w:tab w:val="left" w:pos="1276"/>
        </w:tabs>
        <w:ind w:left="0" w:firstLine="851"/>
        <w:rPr>
          <w:b/>
        </w:rPr>
      </w:pPr>
      <w:r w:rsidRPr="001B0EA3">
        <w:rPr>
          <w:b/>
        </w:rPr>
        <w:t xml:space="preserve">Функции на отдел „Изпълнение и координация“ </w:t>
      </w:r>
    </w:p>
    <w:p w14:paraId="7C9CACD5" w14:textId="0541AD2E" w:rsidR="00E37230" w:rsidRPr="001B0EA3" w:rsidRDefault="002125C6" w:rsidP="00E37230">
      <w:pPr>
        <w:pStyle w:val="ListParagraph"/>
        <w:numPr>
          <w:ilvl w:val="0"/>
          <w:numId w:val="410"/>
        </w:numPr>
        <w:tabs>
          <w:tab w:val="left" w:pos="1134"/>
        </w:tabs>
        <w:ind w:left="0" w:firstLine="851"/>
      </w:pPr>
      <w:r>
        <w:t>Проверява из</w:t>
      </w:r>
      <w:r w:rsidR="00E37230" w:rsidRPr="001B0EA3">
        <w:t>готв</w:t>
      </w:r>
      <w:r>
        <w:t>е</w:t>
      </w:r>
      <w:r w:rsidR="00E37230" w:rsidRPr="001B0EA3">
        <w:t>н</w:t>
      </w:r>
      <w:r>
        <w:t>и</w:t>
      </w:r>
      <w:r w:rsidR="00E37230" w:rsidRPr="001B0EA3">
        <w:t>т</w:t>
      </w:r>
      <w:r>
        <w:t>е</w:t>
      </w:r>
      <w:r w:rsidR="00E37230" w:rsidRPr="001B0EA3">
        <w:t xml:space="preserve"> от страна на бенефициентите </w:t>
      </w:r>
      <w:r>
        <w:t>до</w:t>
      </w:r>
      <w:r w:rsidR="00E37230" w:rsidRPr="001B0EA3">
        <w:t>клади</w:t>
      </w:r>
      <w:r w:rsidR="00E37230">
        <w:t>/технически отчети</w:t>
      </w:r>
      <w:r w:rsidR="00E37230" w:rsidRPr="001B0EA3">
        <w:t xml:space="preserve"> за напредъка на отделните проекти, финансирани от ОПТ</w:t>
      </w:r>
      <w:r w:rsidR="00E37230">
        <w:t>ТИ</w:t>
      </w:r>
      <w:r>
        <w:t xml:space="preserve"> </w:t>
      </w:r>
      <w:r w:rsidR="00E37230" w:rsidRPr="001B0EA3">
        <w:t>и</w:t>
      </w:r>
      <w:r w:rsidR="00E37230" w:rsidRPr="00605A60">
        <w:t xml:space="preserve"> </w:t>
      </w:r>
      <w:r w:rsidR="00E37230" w:rsidRPr="001B0EA3">
        <w:t>използва информацията от тях в процеса на верифициране на разходите;</w:t>
      </w:r>
    </w:p>
    <w:p w14:paraId="30808EDF" w14:textId="77777777" w:rsidR="00DD06AC" w:rsidRPr="001B0EA3" w:rsidRDefault="002125C6" w:rsidP="00DD06AC">
      <w:pPr>
        <w:pStyle w:val="ListParagraph"/>
        <w:numPr>
          <w:ilvl w:val="0"/>
          <w:numId w:val="410"/>
        </w:numPr>
        <w:tabs>
          <w:tab w:val="left" w:pos="1134"/>
        </w:tabs>
        <w:ind w:left="0" w:firstLine="851"/>
      </w:pPr>
      <w:r>
        <w:t>О</w:t>
      </w:r>
      <w:r w:rsidR="00E37230" w:rsidRPr="001B0EA3">
        <w:t xml:space="preserve">тразява съответните контроли в </w:t>
      </w:r>
      <w:r w:rsidR="00DD06AC">
        <w:t>ИСУН, одобрява техническите отчети, докладваните индикатори и</w:t>
      </w:r>
      <w:r w:rsidR="00DD06AC" w:rsidRPr="000E65C3">
        <w:rPr>
          <w:bCs/>
          <w:szCs w:val="24"/>
          <w:lang w:eastAsia="bg-BG"/>
        </w:rPr>
        <w:t xml:space="preserve"> </w:t>
      </w:r>
      <w:r w:rsidR="00DD06AC">
        <w:rPr>
          <w:bCs/>
          <w:szCs w:val="24"/>
          <w:lang w:eastAsia="bg-BG"/>
        </w:rPr>
        <w:t>окончателните доклади по проекти, като за последните попълва съответен контролен лист</w:t>
      </w:r>
      <w:r w:rsidR="00DD06AC" w:rsidRPr="001B0EA3">
        <w:t>;</w:t>
      </w:r>
    </w:p>
    <w:p w14:paraId="78C62E5C" w14:textId="77777777" w:rsidR="00BC16FD" w:rsidRPr="001B0EA3" w:rsidRDefault="00BC16FD" w:rsidP="00746B39">
      <w:pPr>
        <w:pStyle w:val="ListParagraph"/>
        <w:numPr>
          <w:ilvl w:val="0"/>
          <w:numId w:val="410"/>
        </w:numPr>
        <w:tabs>
          <w:tab w:val="left" w:pos="1134"/>
        </w:tabs>
        <w:ind w:left="0" w:firstLine="851"/>
      </w:pPr>
      <w:r w:rsidRPr="001B0EA3">
        <w:t>Участва в процеса на верифициране на разходите, декларирани от бенефициентите, съвместно с отдел „Финансово управление“ при доказване на допустимостта на същите;</w:t>
      </w:r>
    </w:p>
    <w:p w14:paraId="65ED72A9" w14:textId="77777777" w:rsidR="00BC16FD" w:rsidRPr="001B0EA3" w:rsidRDefault="00BC16FD" w:rsidP="00746B39">
      <w:pPr>
        <w:pStyle w:val="ListParagraph"/>
        <w:numPr>
          <w:ilvl w:val="0"/>
          <w:numId w:val="410"/>
        </w:numPr>
        <w:tabs>
          <w:tab w:val="left" w:pos="1134"/>
        </w:tabs>
        <w:ind w:left="0" w:firstLine="851"/>
      </w:pPr>
      <w:r w:rsidRPr="001B0EA3">
        <w:t>Участва в процеса на верифициране на разходите, декларирани от бенефициентите, чрез потвърждаване на кореспонденцията между разходите и физическия напредък на базата на наличната информация в УО и бенефициентите и събраната информация от участие в извършването на проверки на място;</w:t>
      </w:r>
    </w:p>
    <w:p w14:paraId="6154A552" w14:textId="77777777" w:rsidR="00BC16FD" w:rsidRPr="001B0EA3" w:rsidRDefault="00BC16FD" w:rsidP="00746B39">
      <w:pPr>
        <w:pStyle w:val="ListParagraph"/>
        <w:numPr>
          <w:ilvl w:val="0"/>
          <w:numId w:val="410"/>
        </w:numPr>
        <w:tabs>
          <w:tab w:val="left" w:pos="1134"/>
        </w:tabs>
        <w:ind w:left="0" w:firstLine="851"/>
      </w:pPr>
      <w:r w:rsidRPr="001B0EA3">
        <w:t>Участва в процеса на одобрение на постъпилите искания за плащания, попълва</w:t>
      </w:r>
      <w:r w:rsidRPr="001B0EA3">
        <w:br/>
        <w:t>контролите от своите компетенции в контролния лист;</w:t>
      </w:r>
    </w:p>
    <w:p w14:paraId="07571229" w14:textId="77777777" w:rsidR="00BC16FD" w:rsidRPr="001B0EA3" w:rsidRDefault="00BC16FD" w:rsidP="00746B39">
      <w:pPr>
        <w:pStyle w:val="ListParagraph"/>
        <w:numPr>
          <w:ilvl w:val="0"/>
          <w:numId w:val="410"/>
        </w:numPr>
        <w:tabs>
          <w:tab w:val="left" w:pos="1134"/>
        </w:tabs>
        <w:ind w:left="0" w:firstLine="851"/>
      </w:pPr>
      <w:r w:rsidRPr="001B0EA3">
        <w:t>Участва в подготовката на Доклада по сертификация и Декларацията за допустимите разходи до СО, като изготвя информацията от своята компетентност към доклада и попълва контролите от своите компетенции в контролния лист;</w:t>
      </w:r>
    </w:p>
    <w:p w14:paraId="32605A6E" w14:textId="2CC61FDE" w:rsidR="00BC16FD" w:rsidRPr="001B0EA3" w:rsidRDefault="00BC16FD" w:rsidP="00746B39">
      <w:pPr>
        <w:pStyle w:val="ListParagraph"/>
        <w:numPr>
          <w:ilvl w:val="0"/>
          <w:numId w:val="410"/>
        </w:numPr>
        <w:tabs>
          <w:tab w:val="left" w:pos="1134"/>
        </w:tabs>
        <w:ind w:left="0" w:firstLine="851"/>
      </w:pPr>
      <w:r w:rsidRPr="001B0EA3">
        <w:t>Участва в подготовката на Д</w:t>
      </w:r>
      <w:r w:rsidR="002125C6">
        <w:t>екларацията за управление</w:t>
      </w:r>
      <w:r w:rsidR="00380E64">
        <w:t>то</w:t>
      </w:r>
      <w:r w:rsidR="002125C6">
        <w:t xml:space="preserve"> </w:t>
      </w:r>
      <w:r w:rsidRPr="001B0EA3">
        <w:t>като изготвя информацията от своята компетентност;</w:t>
      </w:r>
    </w:p>
    <w:p w14:paraId="3579F5E5" w14:textId="3207086A" w:rsidR="00BC16FD" w:rsidRDefault="00BC16FD" w:rsidP="00746B39">
      <w:pPr>
        <w:pStyle w:val="ListParagraph"/>
        <w:numPr>
          <w:ilvl w:val="0"/>
          <w:numId w:val="410"/>
        </w:numPr>
        <w:tabs>
          <w:tab w:val="left" w:pos="1134"/>
        </w:tabs>
        <w:ind w:left="0" w:firstLine="851"/>
      </w:pPr>
      <w:r w:rsidRPr="001B0EA3">
        <w:t xml:space="preserve">Участва в Комитета за наблюдение на проектите, финансирани по ОПТТИ и подпомага отдел </w:t>
      </w:r>
      <w:r w:rsidR="000D4D45">
        <w:t>„Наблюдение и оценка“</w:t>
      </w:r>
      <w:r w:rsidR="000D4D45" w:rsidRPr="001B0EA3">
        <w:t xml:space="preserve"> </w:t>
      </w:r>
      <w:r w:rsidRPr="001B0EA3">
        <w:t>при изготвянето на съответните отчети;</w:t>
      </w:r>
    </w:p>
    <w:p w14:paraId="52DAA372" w14:textId="3E79A335" w:rsidR="00FE62F6" w:rsidRPr="004E3164" w:rsidRDefault="00FE62F6" w:rsidP="004E3164">
      <w:pPr>
        <w:numPr>
          <w:ilvl w:val="0"/>
          <w:numId w:val="410"/>
        </w:numPr>
        <w:tabs>
          <w:tab w:val="left" w:pos="1134"/>
        </w:tabs>
        <w:ind w:left="0" w:firstLine="851"/>
        <w:contextualSpacing/>
        <w:rPr>
          <w:bCs/>
          <w:szCs w:val="24"/>
          <w:lang w:eastAsia="bg-BG"/>
        </w:rPr>
      </w:pPr>
      <w:r>
        <w:rPr>
          <w:bCs/>
          <w:szCs w:val="24"/>
          <w:lang w:eastAsia="bg-BG"/>
        </w:rPr>
        <w:t xml:space="preserve">Извършва преглед на подадените от бенефициентите в ИСУН годишни доклади за напредъка по проект и годишни доклади за дълготрайност на операциите (устойчивост); </w:t>
      </w:r>
    </w:p>
    <w:p w14:paraId="499D29F6" w14:textId="77777777" w:rsidR="002A513B" w:rsidRPr="001B0EA3" w:rsidRDefault="002A513B" w:rsidP="002A513B">
      <w:pPr>
        <w:pStyle w:val="ListParagraph"/>
        <w:numPr>
          <w:ilvl w:val="0"/>
          <w:numId w:val="410"/>
        </w:numPr>
        <w:tabs>
          <w:tab w:val="left" w:pos="1134"/>
        </w:tabs>
        <w:ind w:left="0" w:firstLine="851"/>
      </w:pPr>
      <w:r w:rsidRPr="001B0EA3">
        <w:t>Изготвя годишен план за извършване на проверки на място от УО на ОПТ</w:t>
      </w:r>
      <w:r>
        <w:t>ТИ</w:t>
      </w:r>
      <w:r w:rsidRPr="001B0EA3">
        <w:t xml:space="preserve"> на база резултатите от проведена оценка на риска;</w:t>
      </w:r>
    </w:p>
    <w:p w14:paraId="2D5FAA25" w14:textId="425502BC" w:rsidR="002A513B" w:rsidRPr="001B0EA3" w:rsidRDefault="002A513B" w:rsidP="002A513B">
      <w:pPr>
        <w:pStyle w:val="ListParagraph"/>
        <w:numPr>
          <w:ilvl w:val="0"/>
          <w:numId w:val="410"/>
        </w:numPr>
        <w:tabs>
          <w:tab w:val="left" w:pos="1134"/>
        </w:tabs>
        <w:ind w:left="0" w:firstLine="851"/>
      </w:pPr>
      <w:r w:rsidRPr="001B0EA3">
        <w:t xml:space="preserve">Актуализира годишния план за извършване на проверки на място </w:t>
      </w:r>
      <w:r w:rsidR="002125C6">
        <w:t>при необходимост</w:t>
      </w:r>
      <w:r w:rsidRPr="001B0EA3">
        <w:t>;</w:t>
      </w:r>
    </w:p>
    <w:p w14:paraId="4A0F16DF" w14:textId="77777777" w:rsidR="002A513B" w:rsidRPr="001B0EA3" w:rsidRDefault="002A513B" w:rsidP="002A513B">
      <w:pPr>
        <w:pStyle w:val="ListParagraph"/>
        <w:numPr>
          <w:ilvl w:val="0"/>
          <w:numId w:val="410"/>
        </w:numPr>
        <w:tabs>
          <w:tab w:val="left" w:pos="1134"/>
        </w:tabs>
        <w:ind w:left="0" w:firstLine="851"/>
      </w:pPr>
      <w:r w:rsidRPr="001B0EA3">
        <w:t>Координира</w:t>
      </w:r>
      <w:r w:rsidR="002125C6">
        <w:t>, организира</w:t>
      </w:r>
      <w:r w:rsidRPr="001B0EA3">
        <w:t xml:space="preserve"> и провежда планираните проверки на място в съответствие с годишния план за извършване на проверки на място от УО на ОПТ</w:t>
      </w:r>
      <w:r>
        <w:t>ТИ</w:t>
      </w:r>
      <w:r w:rsidRPr="001B0EA3">
        <w:t xml:space="preserve"> и </w:t>
      </w:r>
      <w:r w:rsidR="002125C6">
        <w:t xml:space="preserve">провежда </w:t>
      </w:r>
      <w:r w:rsidRPr="001B0EA3">
        <w:t xml:space="preserve">извънредни проверки на място при възникнала необходимост; </w:t>
      </w:r>
    </w:p>
    <w:p w14:paraId="3FED4327" w14:textId="684623E5" w:rsidR="002A513B" w:rsidRPr="001B0EA3" w:rsidRDefault="002A513B" w:rsidP="00FE62F6">
      <w:pPr>
        <w:pStyle w:val="ListParagraph"/>
        <w:numPr>
          <w:ilvl w:val="0"/>
          <w:numId w:val="410"/>
        </w:numPr>
        <w:tabs>
          <w:tab w:val="left" w:pos="1134"/>
        </w:tabs>
        <w:ind w:left="0" w:firstLine="851"/>
      </w:pPr>
      <w:r w:rsidRPr="001B0EA3">
        <w:t xml:space="preserve">Отчита планираните проверки на място в съответствие с годишния план за извършване на проверки на място </w:t>
      </w:r>
      <w:r w:rsidR="00FE62F6">
        <w:rPr>
          <w:bCs/>
          <w:szCs w:val="24"/>
          <w:lang w:eastAsia="bg-BG"/>
        </w:rPr>
        <w:t>и проверките на място за дълготрайност на операциите (устойчивост)</w:t>
      </w:r>
      <w:r w:rsidR="00FE62F6" w:rsidRPr="001B0EA3">
        <w:t>, чрез изготвяне на доклади от проведените проверки;</w:t>
      </w:r>
    </w:p>
    <w:p w14:paraId="0C35F65A" w14:textId="65DC08D7" w:rsidR="002A513B" w:rsidRDefault="002A513B" w:rsidP="00B761BE">
      <w:pPr>
        <w:pStyle w:val="ListParagraph"/>
        <w:numPr>
          <w:ilvl w:val="0"/>
          <w:numId w:val="410"/>
        </w:numPr>
        <w:tabs>
          <w:tab w:val="left" w:pos="1134"/>
        </w:tabs>
        <w:ind w:left="0" w:firstLine="851"/>
      </w:pPr>
      <w:r w:rsidRPr="001B0EA3">
        <w:t>Въвежда и актуализира информацията от проведените проверки на място в ИСУН</w:t>
      </w:r>
      <w:r w:rsidR="00B761BE">
        <w:t xml:space="preserve">, </w:t>
      </w:r>
      <w:r w:rsidR="00B761BE">
        <w:rPr>
          <w:bCs/>
          <w:szCs w:val="24"/>
          <w:lang w:eastAsia="bg-BG"/>
        </w:rPr>
        <w:t>като за всяка проверка попълва контролен лист за подготовка и изпълнение на проверка на място или контролен лист за подготовка и изпълнение на проверка на място за устойчивост</w:t>
      </w:r>
      <w:r w:rsidR="00B761BE" w:rsidRPr="001B0EA3">
        <w:t>;</w:t>
      </w:r>
    </w:p>
    <w:p w14:paraId="0D38A39B" w14:textId="77777777" w:rsidR="002125C6" w:rsidRPr="001B0EA3" w:rsidRDefault="002125C6" w:rsidP="002A513B">
      <w:pPr>
        <w:pStyle w:val="ListParagraph"/>
        <w:numPr>
          <w:ilvl w:val="0"/>
          <w:numId w:val="410"/>
        </w:numPr>
        <w:tabs>
          <w:tab w:val="left" w:pos="1134"/>
        </w:tabs>
        <w:ind w:left="0" w:firstLine="851"/>
      </w:pPr>
      <w:r>
        <w:t>Поддържа регистър на проведените проверки на място;</w:t>
      </w:r>
    </w:p>
    <w:p w14:paraId="50E91AAB" w14:textId="77777777" w:rsidR="002A513B" w:rsidRPr="001B0EA3" w:rsidRDefault="002A513B" w:rsidP="002A513B">
      <w:pPr>
        <w:pStyle w:val="ListParagraph"/>
        <w:numPr>
          <w:ilvl w:val="0"/>
          <w:numId w:val="410"/>
        </w:numPr>
        <w:tabs>
          <w:tab w:val="left" w:pos="1134"/>
        </w:tabs>
        <w:ind w:left="0" w:firstLine="851"/>
      </w:pPr>
      <w:r w:rsidRPr="001B0EA3">
        <w:t>Подпомага дейностите, свързани с извършването на текуща и междинна оценки на ОПТ</w:t>
      </w:r>
      <w:r>
        <w:t>/ОПТТИ</w:t>
      </w:r>
      <w:r w:rsidRPr="001B0EA3">
        <w:t>;</w:t>
      </w:r>
    </w:p>
    <w:p w14:paraId="19B0F627" w14:textId="77777777" w:rsidR="00BC16FD" w:rsidRDefault="00BC16FD" w:rsidP="00746B39">
      <w:pPr>
        <w:pStyle w:val="ListParagraph"/>
        <w:numPr>
          <w:ilvl w:val="0"/>
          <w:numId w:val="410"/>
        </w:numPr>
        <w:tabs>
          <w:tab w:val="left" w:pos="1134"/>
        </w:tabs>
        <w:ind w:left="0" w:firstLine="851"/>
      </w:pPr>
      <w:r w:rsidRPr="001B0EA3">
        <w:t>Подпомага изготвянето на годишния доклад за изпълнението на ОПТТИ съгласно компетенциите на отдела.</w:t>
      </w:r>
    </w:p>
    <w:p w14:paraId="34DFFC74" w14:textId="77777777" w:rsidR="00F729A8" w:rsidRPr="001B0EA3" w:rsidRDefault="00F729A8" w:rsidP="00F729A8">
      <w:pPr>
        <w:tabs>
          <w:tab w:val="left" w:pos="1134"/>
        </w:tabs>
      </w:pPr>
    </w:p>
    <w:p w14:paraId="0FE4B028" w14:textId="77777777" w:rsidR="00D603F5" w:rsidRPr="001B0EA3" w:rsidRDefault="00D603F5" w:rsidP="00746B39">
      <w:pPr>
        <w:pStyle w:val="ListParagraph"/>
        <w:numPr>
          <w:ilvl w:val="0"/>
          <w:numId w:val="409"/>
        </w:numPr>
        <w:tabs>
          <w:tab w:val="left" w:pos="1276"/>
        </w:tabs>
        <w:ind w:left="0" w:firstLine="851"/>
        <w:rPr>
          <w:b/>
        </w:rPr>
      </w:pPr>
      <w:r w:rsidRPr="001B0EA3">
        <w:rPr>
          <w:b/>
        </w:rPr>
        <w:t>Функции на отдел „</w:t>
      </w:r>
      <w:r w:rsidR="00FD1832">
        <w:rPr>
          <w:b/>
        </w:rPr>
        <w:t>Наблюдение и оценка</w:t>
      </w:r>
      <w:r w:rsidRPr="001B0EA3">
        <w:rPr>
          <w:b/>
        </w:rPr>
        <w:t>”</w:t>
      </w:r>
    </w:p>
    <w:p w14:paraId="5346A2FB" w14:textId="77777777" w:rsidR="001D404F" w:rsidRPr="001B0EA3" w:rsidRDefault="001D404F" w:rsidP="00746B39">
      <w:pPr>
        <w:pStyle w:val="ListParagraph"/>
        <w:numPr>
          <w:ilvl w:val="0"/>
          <w:numId w:val="410"/>
        </w:numPr>
        <w:tabs>
          <w:tab w:val="left" w:pos="1134"/>
        </w:tabs>
        <w:ind w:left="0" w:firstLine="851"/>
      </w:pPr>
      <w:r w:rsidRPr="001B0EA3">
        <w:t>Организира подготовката и провеждането на заседанията на КН на ОПТТИ;</w:t>
      </w:r>
    </w:p>
    <w:p w14:paraId="57E756B7" w14:textId="77777777" w:rsidR="001D404F" w:rsidRPr="001B0EA3" w:rsidRDefault="001D404F" w:rsidP="00746B39">
      <w:pPr>
        <w:pStyle w:val="ListParagraph"/>
        <w:numPr>
          <w:ilvl w:val="0"/>
          <w:numId w:val="410"/>
        </w:numPr>
        <w:tabs>
          <w:tab w:val="left" w:pos="1134"/>
        </w:tabs>
        <w:ind w:left="0" w:firstLine="851"/>
      </w:pPr>
      <w:r w:rsidRPr="001B0EA3">
        <w:t>Осигурява разпространението на дневния ред и на всички документи, необходими за провеждането на заседанията на КН на ОПТТИ;</w:t>
      </w:r>
    </w:p>
    <w:p w14:paraId="60F69B05" w14:textId="77777777" w:rsidR="001D404F" w:rsidRPr="001B0EA3" w:rsidRDefault="001D404F" w:rsidP="00746B39">
      <w:pPr>
        <w:pStyle w:val="ListParagraph"/>
        <w:numPr>
          <w:ilvl w:val="0"/>
          <w:numId w:val="410"/>
        </w:numPr>
        <w:tabs>
          <w:tab w:val="left" w:pos="1134"/>
        </w:tabs>
        <w:ind w:left="0" w:firstLine="851"/>
      </w:pPr>
      <w:r w:rsidRPr="001B0EA3">
        <w:t>Изготвя протоколите от заседанията на КН на OПТТИ;</w:t>
      </w:r>
    </w:p>
    <w:p w14:paraId="6FA60846" w14:textId="77777777" w:rsidR="001D404F" w:rsidRPr="001B0EA3" w:rsidRDefault="001D404F" w:rsidP="00746B39">
      <w:pPr>
        <w:pStyle w:val="ListParagraph"/>
        <w:numPr>
          <w:ilvl w:val="0"/>
          <w:numId w:val="410"/>
        </w:numPr>
        <w:tabs>
          <w:tab w:val="left" w:pos="1134"/>
        </w:tabs>
        <w:ind w:left="0" w:firstLine="851"/>
      </w:pPr>
      <w:r w:rsidRPr="001B0EA3">
        <w:lastRenderedPageBreak/>
        <w:t>Подпомага председателя на КН на ОПТТИ при осъществяване на функциите му;</w:t>
      </w:r>
    </w:p>
    <w:p w14:paraId="4F985020" w14:textId="77777777" w:rsidR="001D404F" w:rsidRPr="001B0EA3" w:rsidRDefault="001D404F" w:rsidP="00746B39">
      <w:pPr>
        <w:pStyle w:val="ListParagraph"/>
        <w:numPr>
          <w:ilvl w:val="0"/>
          <w:numId w:val="410"/>
        </w:numPr>
        <w:tabs>
          <w:tab w:val="left" w:pos="1134"/>
        </w:tabs>
        <w:ind w:left="0" w:firstLine="851"/>
      </w:pPr>
      <w:r w:rsidRPr="001B0EA3">
        <w:t>Координира подписването на декларации за липса на потенциален и реален конфликт на интереси от страна на членовете, упълномощените заместници и наблюдателите в КН на ОПТТИ;</w:t>
      </w:r>
    </w:p>
    <w:p w14:paraId="2146CEA4" w14:textId="77777777" w:rsidR="001D404F" w:rsidRPr="001B0EA3" w:rsidRDefault="001D404F" w:rsidP="00746B39">
      <w:pPr>
        <w:pStyle w:val="ListParagraph"/>
        <w:numPr>
          <w:ilvl w:val="0"/>
          <w:numId w:val="410"/>
        </w:numPr>
        <w:tabs>
          <w:tab w:val="left" w:pos="1134"/>
        </w:tabs>
        <w:ind w:left="0" w:firstLine="851"/>
      </w:pPr>
      <w:r w:rsidRPr="001B0EA3">
        <w:t>Съхранява документите от заседанията на КН и свързаната кореспонденция;</w:t>
      </w:r>
    </w:p>
    <w:p w14:paraId="34723C73" w14:textId="77777777" w:rsidR="001D404F" w:rsidRPr="001B0EA3" w:rsidRDefault="001D404F" w:rsidP="00746B39">
      <w:pPr>
        <w:pStyle w:val="ListParagraph"/>
        <w:numPr>
          <w:ilvl w:val="0"/>
          <w:numId w:val="410"/>
        </w:numPr>
        <w:tabs>
          <w:tab w:val="left" w:pos="1134"/>
        </w:tabs>
        <w:ind w:left="0" w:firstLine="851"/>
      </w:pPr>
      <w:r w:rsidRPr="001B0EA3">
        <w:t>Осъществява контакти с ЦКЗ по отношение на дейностите, свързани с администрирането на достъпа до ИСУН 2020, и SFC 2014, и тяхното функциониране ;</w:t>
      </w:r>
    </w:p>
    <w:p w14:paraId="038C01D6" w14:textId="5256C6F4" w:rsidR="001D404F" w:rsidRDefault="001D404F" w:rsidP="00746B39">
      <w:pPr>
        <w:pStyle w:val="ListParagraph"/>
        <w:numPr>
          <w:ilvl w:val="0"/>
          <w:numId w:val="410"/>
        </w:numPr>
        <w:tabs>
          <w:tab w:val="left" w:pos="1134"/>
        </w:tabs>
        <w:ind w:left="0" w:firstLine="851"/>
      </w:pPr>
      <w:r w:rsidRPr="001B0EA3">
        <w:t>Въвежда информация в системите ИСУН 2020, и SFC 2014 от компетенциите на отдела.;</w:t>
      </w:r>
      <w:r w:rsidR="004B7925" w:rsidRPr="004B7925" w:rsidDel="00246BD3">
        <w:t xml:space="preserve"> </w:t>
      </w:r>
    </w:p>
    <w:p w14:paraId="5E3CF785" w14:textId="77777777" w:rsidR="001D404F" w:rsidRPr="00AF663D" w:rsidRDefault="001D404F" w:rsidP="00746B39">
      <w:pPr>
        <w:pStyle w:val="ListParagraph"/>
        <w:numPr>
          <w:ilvl w:val="0"/>
          <w:numId w:val="410"/>
        </w:numPr>
        <w:tabs>
          <w:tab w:val="left" w:pos="1134"/>
        </w:tabs>
        <w:ind w:left="0" w:firstLine="851"/>
      </w:pPr>
      <w:r w:rsidRPr="00AF663D">
        <w:t>Координира отчитането на планираните в ОПТТИ индикатори на ниво програма;</w:t>
      </w:r>
    </w:p>
    <w:p w14:paraId="63F07FDB" w14:textId="77777777" w:rsidR="001D404F" w:rsidRPr="00AF663D" w:rsidRDefault="001D404F" w:rsidP="00746B39">
      <w:pPr>
        <w:pStyle w:val="ListParagraph"/>
        <w:numPr>
          <w:ilvl w:val="0"/>
          <w:numId w:val="410"/>
        </w:numPr>
        <w:tabs>
          <w:tab w:val="left" w:pos="1134"/>
        </w:tabs>
        <w:ind w:left="0" w:firstLine="851"/>
      </w:pPr>
      <w:r w:rsidRPr="00AF663D">
        <w:t>Изготвя и координира изпълнението на план за оценка на ОПТТИ, съгласно изискванията на Регламент (ЕС) № 1303/2013. Подготвя и разпространява информация за извършените оценки на програмата и разглеждането им от КН на ОПТТИ;</w:t>
      </w:r>
    </w:p>
    <w:p w14:paraId="1C65ECE5" w14:textId="77777777" w:rsidR="001D404F" w:rsidRPr="00AF663D" w:rsidRDefault="001D404F" w:rsidP="00746B39">
      <w:pPr>
        <w:pStyle w:val="ListParagraph"/>
        <w:numPr>
          <w:ilvl w:val="0"/>
          <w:numId w:val="410"/>
        </w:numPr>
        <w:tabs>
          <w:tab w:val="left" w:pos="1134"/>
        </w:tabs>
        <w:ind w:left="0" w:firstLine="851"/>
      </w:pPr>
      <w:r w:rsidRPr="00AF663D">
        <w:t>Координира процеса по изготвяне и изпращане на докладите за изпълнението на ОПТТИ, съгласно изискванията на Регламент (ЕС) № 1303/2013;</w:t>
      </w:r>
    </w:p>
    <w:p w14:paraId="0D3DDC18" w14:textId="77777777" w:rsidR="001D404F" w:rsidRDefault="001D404F" w:rsidP="00746B39">
      <w:pPr>
        <w:pStyle w:val="ListParagraph"/>
        <w:numPr>
          <w:ilvl w:val="0"/>
          <w:numId w:val="410"/>
        </w:numPr>
        <w:tabs>
          <w:tab w:val="left" w:pos="1134"/>
        </w:tabs>
        <w:ind w:left="0" w:firstLine="851"/>
      </w:pPr>
      <w:r w:rsidRPr="00AF663D">
        <w:t>Участва в дейността на хоризонталната мрежа от експерти за оценка на оперативните програми, съфинансирани от Структурните и Кохезионния фонд;</w:t>
      </w:r>
    </w:p>
    <w:p w14:paraId="19314276" w14:textId="77777777" w:rsidR="00F67F79" w:rsidRDefault="00F67F79" w:rsidP="00F67F79">
      <w:pPr>
        <w:pStyle w:val="ListParagraph"/>
        <w:numPr>
          <w:ilvl w:val="0"/>
          <w:numId w:val="410"/>
        </w:numPr>
        <w:tabs>
          <w:tab w:val="left" w:pos="1134"/>
        </w:tabs>
        <w:ind w:left="851" w:firstLine="0"/>
      </w:pPr>
      <w:r>
        <w:t>Организира</w:t>
      </w:r>
      <w:r w:rsidRPr="00F67F79">
        <w:t xml:space="preserve"> провежданите в МТС периодични срещи за наблюдение на проектите, финансирани по ОПТТИ</w:t>
      </w:r>
    </w:p>
    <w:p w14:paraId="11CF761F" w14:textId="77777777" w:rsidR="00C47377" w:rsidRPr="004547BC" w:rsidRDefault="00C47377" w:rsidP="006A6D08">
      <w:pPr>
        <w:tabs>
          <w:tab w:val="left" w:pos="1134"/>
        </w:tabs>
      </w:pPr>
    </w:p>
    <w:p w14:paraId="5EF34127" w14:textId="77777777" w:rsidR="00542846" w:rsidRPr="006A6D08" w:rsidRDefault="004547BC" w:rsidP="006A6D08">
      <w:pPr>
        <w:pStyle w:val="ListParagraph"/>
        <w:numPr>
          <w:ilvl w:val="0"/>
          <w:numId w:val="409"/>
        </w:numPr>
        <w:tabs>
          <w:tab w:val="left" w:pos="1276"/>
        </w:tabs>
        <w:ind w:left="0" w:firstLine="851"/>
        <w:rPr>
          <w:b/>
        </w:rPr>
      </w:pPr>
      <w:r w:rsidRPr="004547BC">
        <w:t>Функции на отдел</w:t>
      </w:r>
      <w:r w:rsidRPr="004547BC">
        <w:rPr>
          <w:b/>
        </w:rPr>
        <w:t xml:space="preserve"> </w:t>
      </w:r>
      <w:r w:rsidR="00542846" w:rsidRPr="006A6D08">
        <w:rPr>
          <w:b/>
        </w:rPr>
        <w:t xml:space="preserve"> „Информация, публичност и техническа помощ“;</w:t>
      </w:r>
    </w:p>
    <w:p w14:paraId="3517505B" w14:textId="77777777" w:rsidR="00542846" w:rsidRDefault="00542846" w:rsidP="006A6D08">
      <w:pPr>
        <w:tabs>
          <w:tab w:val="left" w:pos="1134"/>
        </w:tabs>
      </w:pPr>
    </w:p>
    <w:p w14:paraId="5A728F12" w14:textId="77777777" w:rsidR="00C47377" w:rsidRPr="006A6D08" w:rsidRDefault="00C47377" w:rsidP="006A6D08">
      <w:pPr>
        <w:tabs>
          <w:tab w:val="left" w:pos="1134"/>
        </w:tabs>
        <w:rPr>
          <w:color w:val="FF0000"/>
        </w:rPr>
      </w:pPr>
    </w:p>
    <w:p w14:paraId="77E78179" w14:textId="03E951E6" w:rsidR="001D404F" w:rsidRPr="00E30036" w:rsidRDefault="00E30036" w:rsidP="00746B39">
      <w:pPr>
        <w:pStyle w:val="ListParagraph"/>
        <w:numPr>
          <w:ilvl w:val="0"/>
          <w:numId w:val="410"/>
        </w:numPr>
        <w:tabs>
          <w:tab w:val="left" w:pos="1134"/>
        </w:tabs>
        <w:ind w:left="0" w:firstLine="851"/>
      </w:pPr>
      <w:r>
        <w:rPr>
          <w:color w:val="FF0000"/>
        </w:rPr>
        <w:t>Р</w:t>
      </w:r>
      <w:r w:rsidRPr="00563638">
        <w:rPr>
          <w:color w:val="FF0000"/>
        </w:rPr>
        <w:t>азработва проект на Годишни пла</w:t>
      </w:r>
      <w:r>
        <w:rPr>
          <w:color w:val="FF0000"/>
        </w:rPr>
        <w:t>нове за действие (ГПД) на ОПТТИ</w:t>
      </w:r>
      <w:r w:rsidRPr="00563638">
        <w:rPr>
          <w:color w:val="FF0000"/>
        </w:rPr>
        <w:t xml:space="preserve"> </w:t>
      </w:r>
      <w:r>
        <w:rPr>
          <w:color w:val="FF0000"/>
        </w:rPr>
        <w:t xml:space="preserve"> в</w:t>
      </w:r>
      <w:r w:rsidR="001D404F" w:rsidRPr="006A6D08">
        <w:rPr>
          <w:color w:val="FF0000"/>
        </w:rPr>
        <w:t xml:space="preserve"> </w:t>
      </w:r>
      <w:r w:rsidR="001D404F" w:rsidRPr="00E30036">
        <w:t xml:space="preserve">изпълнение на Националната  комуникационна стратегия </w:t>
      </w:r>
    </w:p>
    <w:p w14:paraId="61B4C21F" w14:textId="28F789CC" w:rsidR="004547BC" w:rsidRDefault="001D404F" w:rsidP="00E30036">
      <w:pPr>
        <w:pStyle w:val="ListParagraph"/>
        <w:numPr>
          <w:ilvl w:val="0"/>
          <w:numId w:val="410"/>
        </w:numPr>
        <w:tabs>
          <w:tab w:val="left" w:pos="1134"/>
        </w:tabs>
        <w:ind w:left="0" w:firstLine="851"/>
      </w:pPr>
      <w:r w:rsidRPr="00E30036">
        <w:t>Координира дейностите по изпълнение и мониторинг на  Годишния план за действие (ГПД) на ОПТТИ;</w:t>
      </w:r>
    </w:p>
    <w:p w14:paraId="6E8805E9" w14:textId="77777777" w:rsidR="001D404F" w:rsidRPr="00AF663D" w:rsidRDefault="001D404F" w:rsidP="00746B39">
      <w:pPr>
        <w:pStyle w:val="ListParagraph"/>
        <w:numPr>
          <w:ilvl w:val="0"/>
          <w:numId w:val="410"/>
        </w:numPr>
        <w:tabs>
          <w:tab w:val="left" w:pos="1134"/>
        </w:tabs>
        <w:ind w:left="0" w:firstLine="851"/>
      </w:pPr>
      <w:r w:rsidRPr="00AF663D">
        <w:t>Изготвя доклади и информира КН относно прилагането на мерките за информация и публичност, постигнатия напредък, анализ на резултатите от изпълнените мерки по информация и публичност, както и планираните информационни и комуникационни дейности за следващата година;</w:t>
      </w:r>
    </w:p>
    <w:p w14:paraId="7357B600" w14:textId="77777777" w:rsidR="001D404F" w:rsidRPr="00AF663D" w:rsidRDefault="001D404F" w:rsidP="00746B39">
      <w:pPr>
        <w:pStyle w:val="ListParagraph"/>
        <w:numPr>
          <w:ilvl w:val="0"/>
          <w:numId w:val="410"/>
        </w:numPr>
        <w:tabs>
          <w:tab w:val="left" w:pos="1134"/>
        </w:tabs>
        <w:ind w:left="0" w:firstLine="851"/>
      </w:pPr>
      <w:r w:rsidRPr="00AF663D">
        <w:t>Участва в координационния процес при изпълнението на ГПД на ОПТТИ  с НКС;</w:t>
      </w:r>
    </w:p>
    <w:p w14:paraId="06EE0FAC" w14:textId="77777777" w:rsidR="001D404F" w:rsidRPr="00AF663D" w:rsidRDefault="001D404F" w:rsidP="00746B39">
      <w:pPr>
        <w:pStyle w:val="ListParagraph"/>
        <w:numPr>
          <w:ilvl w:val="0"/>
          <w:numId w:val="410"/>
        </w:numPr>
        <w:tabs>
          <w:tab w:val="left" w:pos="1134"/>
        </w:tabs>
        <w:ind w:left="0" w:firstLine="851"/>
      </w:pPr>
      <w:r w:rsidRPr="00AF663D">
        <w:t>Изпълнява мерките за информация и публичност, заложени в регламент 1303/2013 на ЕК;</w:t>
      </w:r>
    </w:p>
    <w:p w14:paraId="75DBDBB9" w14:textId="77777777" w:rsidR="001D404F" w:rsidRPr="00AF663D" w:rsidRDefault="001D404F" w:rsidP="00746B39">
      <w:pPr>
        <w:pStyle w:val="ListParagraph"/>
        <w:numPr>
          <w:ilvl w:val="0"/>
          <w:numId w:val="410"/>
        </w:numPr>
        <w:tabs>
          <w:tab w:val="left" w:pos="1134"/>
        </w:tabs>
        <w:ind w:left="0" w:firstLine="851"/>
      </w:pPr>
      <w:r w:rsidRPr="00AF663D">
        <w:t>Координира дейностите по разработване, поддръжка, хостинг и актуализиране на специализирана интернет страница на ОПТТИ;</w:t>
      </w:r>
    </w:p>
    <w:p w14:paraId="0E8948CA" w14:textId="3B6E1527" w:rsidR="001D404F" w:rsidRPr="00AF663D" w:rsidRDefault="001D404F" w:rsidP="00746B39">
      <w:pPr>
        <w:pStyle w:val="ListParagraph"/>
        <w:numPr>
          <w:ilvl w:val="0"/>
          <w:numId w:val="410"/>
        </w:numPr>
        <w:tabs>
          <w:tab w:val="left" w:pos="1134"/>
        </w:tabs>
        <w:ind w:left="0" w:firstLine="851"/>
      </w:pPr>
      <w:r w:rsidRPr="00AF663D">
        <w:t>Със съдействието на ЦИО, публикува информация и документи на единния информационен портал;</w:t>
      </w:r>
    </w:p>
    <w:p w14:paraId="43BA152B" w14:textId="77777777" w:rsidR="001D404F" w:rsidRPr="00AF663D" w:rsidRDefault="001D404F" w:rsidP="00746B39">
      <w:pPr>
        <w:pStyle w:val="ListParagraph"/>
        <w:numPr>
          <w:ilvl w:val="0"/>
          <w:numId w:val="410"/>
        </w:numPr>
        <w:tabs>
          <w:tab w:val="left" w:pos="1134"/>
        </w:tabs>
        <w:ind w:left="0" w:firstLine="851"/>
      </w:pPr>
      <w:r w:rsidRPr="00AF663D">
        <w:t xml:space="preserve">Координира изпълнението на мерките за информация и публичност, които са задължение на бенефициентите, съгласно Регламент 1303/2013 на ЕК и сключените Оперативни споразумения между УО на ОПТТИ и бенефициентите; </w:t>
      </w:r>
    </w:p>
    <w:p w14:paraId="54CAFDC5" w14:textId="77777777" w:rsidR="001D404F" w:rsidRPr="00AF663D" w:rsidRDefault="001D404F" w:rsidP="00746B39">
      <w:pPr>
        <w:pStyle w:val="ListParagraph"/>
        <w:numPr>
          <w:ilvl w:val="0"/>
          <w:numId w:val="410"/>
        </w:numPr>
        <w:tabs>
          <w:tab w:val="left" w:pos="1134"/>
        </w:tabs>
        <w:ind w:left="0" w:firstLine="851"/>
      </w:pPr>
      <w:r w:rsidRPr="00AF663D">
        <w:t>Консултира и подпомага бенефициентите при планирането и изпълнението на мерките за информация и публичност;</w:t>
      </w:r>
    </w:p>
    <w:p w14:paraId="0A763EAB" w14:textId="77777777" w:rsidR="001D404F" w:rsidRPr="00AF663D" w:rsidRDefault="001D404F" w:rsidP="00746B39">
      <w:pPr>
        <w:pStyle w:val="ListParagraph"/>
        <w:numPr>
          <w:ilvl w:val="0"/>
          <w:numId w:val="410"/>
        </w:numPr>
        <w:tabs>
          <w:tab w:val="left" w:pos="1134"/>
        </w:tabs>
        <w:ind w:left="0" w:firstLine="851"/>
      </w:pPr>
      <w:r w:rsidRPr="00AF663D">
        <w:t>Координира мрежа, включваща експерти на бенефициентите, отговарящи за мерките за информация и публичност;</w:t>
      </w:r>
      <w:r w:rsidR="004D1994" w:rsidRPr="00AF663D">
        <w:t xml:space="preserve"> </w:t>
      </w:r>
      <w:r w:rsidRPr="00AF663D">
        <w:t xml:space="preserve">Участва в провежданите в </w:t>
      </w:r>
      <w:r w:rsidR="00BB6BF6" w:rsidRPr="00AF663D">
        <w:t>МТС</w:t>
      </w:r>
      <w:r w:rsidRPr="00AF663D">
        <w:t xml:space="preserve"> периодични срещи за наблюдение на проектите, финансирани по ОПТТИ.</w:t>
      </w:r>
    </w:p>
    <w:p w14:paraId="754EE043" w14:textId="77777777" w:rsidR="00D603F5" w:rsidRPr="00AF663D" w:rsidRDefault="001D404F" w:rsidP="00746B39">
      <w:pPr>
        <w:pStyle w:val="ListParagraph"/>
        <w:numPr>
          <w:ilvl w:val="0"/>
          <w:numId w:val="410"/>
        </w:numPr>
        <w:tabs>
          <w:tab w:val="left" w:pos="1134"/>
        </w:tabs>
        <w:ind w:left="0" w:firstLine="851"/>
      </w:pPr>
      <w:r w:rsidRPr="00AF663D">
        <w:t>Участва като наблюдател при провеждането на проверките на място по ОПТТИ</w:t>
      </w:r>
      <w:r w:rsidR="00E30036">
        <w:t>.</w:t>
      </w:r>
    </w:p>
    <w:p w14:paraId="6DFE68BE" w14:textId="77777777" w:rsidR="00FB36D0" w:rsidRPr="001B0EA3" w:rsidRDefault="00FB36D0" w:rsidP="00F729A8"/>
    <w:p w14:paraId="54052B59" w14:textId="4DBDED3B" w:rsidR="00FB36D0" w:rsidRPr="001B0EA3" w:rsidRDefault="00FB36D0" w:rsidP="00746B39">
      <w:pPr>
        <w:pStyle w:val="ListParagraph"/>
        <w:numPr>
          <w:ilvl w:val="0"/>
          <w:numId w:val="409"/>
        </w:numPr>
        <w:tabs>
          <w:tab w:val="left" w:pos="1276"/>
        </w:tabs>
        <w:ind w:left="0" w:firstLine="851"/>
        <w:rPr>
          <w:b/>
        </w:rPr>
      </w:pPr>
      <w:r w:rsidRPr="001B0EA3">
        <w:rPr>
          <w:b/>
        </w:rPr>
        <w:t>Функции на</w:t>
      </w:r>
      <w:r w:rsidR="00160948">
        <w:rPr>
          <w:b/>
        </w:rPr>
        <w:t xml:space="preserve"> отдел „Управление на риска</w:t>
      </w:r>
      <w:r w:rsidRPr="001B0EA3">
        <w:rPr>
          <w:b/>
        </w:rPr>
        <w:t xml:space="preserve">“ </w:t>
      </w:r>
    </w:p>
    <w:p w14:paraId="655CC594" w14:textId="77777777" w:rsidR="00BD1A47" w:rsidRPr="001B0EA3" w:rsidRDefault="00456337" w:rsidP="00746B39">
      <w:pPr>
        <w:pStyle w:val="ListParagraph"/>
        <w:numPr>
          <w:ilvl w:val="0"/>
          <w:numId w:val="410"/>
        </w:numPr>
        <w:tabs>
          <w:tab w:val="left" w:pos="1134"/>
        </w:tabs>
        <w:ind w:left="0" w:firstLine="851"/>
      </w:pPr>
      <w:r w:rsidRPr="001B0EA3">
        <w:lastRenderedPageBreak/>
        <w:t xml:space="preserve">Подпомага </w:t>
      </w:r>
      <w:r w:rsidR="00D93249" w:rsidRPr="001B0EA3">
        <w:t xml:space="preserve">директора на дирекцията </w:t>
      </w:r>
      <w:r w:rsidRPr="001B0EA3">
        <w:t xml:space="preserve">в координацията </w:t>
      </w:r>
      <w:r w:rsidR="00282061" w:rsidRPr="001B0EA3">
        <w:t xml:space="preserve">на дейността по управление на риска като </w:t>
      </w:r>
      <w:r w:rsidRPr="001B0EA3">
        <w:t>следи</w:t>
      </w:r>
      <w:r w:rsidR="00AE6A4F" w:rsidRPr="001B0EA3">
        <w:t xml:space="preserve"> </w:t>
      </w:r>
      <w:r w:rsidRPr="001B0EA3">
        <w:t>за текущото изпълнение на дейностите</w:t>
      </w:r>
      <w:r w:rsidR="00D10028" w:rsidRPr="001B0EA3">
        <w:t xml:space="preserve"> по</w:t>
      </w:r>
      <w:r w:rsidRPr="001B0EA3">
        <w:t xml:space="preserve"> управление на риска в рамките на УО на ОПТТИ</w:t>
      </w:r>
    </w:p>
    <w:p w14:paraId="3314AD36" w14:textId="77777777" w:rsidR="00282061" w:rsidRPr="001B0EA3" w:rsidRDefault="00BD1A47" w:rsidP="00746B39">
      <w:pPr>
        <w:pStyle w:val="ListParagraph"/>
        <w:numPr>
          <w:ilvl w:val="0"/>
          <w:numId w:val="410"/>
        </w:numPr>
        <w:tabs>
          <w:tab w:val="left" w:pos="1134"/>
        </w:tabs>
        <w:ind w:left="0" w:firstLine="851"/>
      </w:pPr>
      <w:r w:rsidRPr="001B0EA3">
        <w:t>Разработва критерии за оценка на рисковете и предлага рамката за управление на риска, организира дейността по идентифициране и анализ на рисковете</w:t>
      </w:r>
      <w:r w:rsidR="00282061" w:rsidRPr="001B0EA3">
        <w:t xml:space="preserve"> и</w:t>
      </w:r>
      <w:r w:rsidRPr="001B0EA3">
        <w:t xml:space="preserve"> по подготовка и </w:t>
      </w:r>
      <w:r w:rsidR="00282061" w:rsidRPr="001B0EA3">
        <w:t xml:space="preserve">актуализиране </w:t>
      </w:r>
      <w:r w:rsidRPr="001B0EA3">
        <w:t>на планове за управление на риска</w:t>
      </w:r>
      <w:r w:rsidR="00AD5403" w:rsidRPr="001B0EA3">
        <w:t>,</w:t>
      </w:r>
      <w:r w:rsidR="00282061" w:rsidRPr="001B0EA3">
        <w:t xml:space="preserve"> съхранява и актуализира регистъра на рисковете, идентифицира мерки за подобряване на дейността по управление на риска на риска на ниво програма;</w:t>
      </w:r>
    </w:p>
    <w:p w14:paraId="3B45C06B" w14:textId="77777777" w:rsidR="00D10028" w:rsidRPr="001B0EA3" w:rsidRDefault="00D10028" w:rsidP="00746B39">
      <w:pPr>
        <w:pStyle w:val="ListParagraph"/>
        <w:numPr>
          <w:ilvl w:val="0"/>
          <w:numId w:val="410"/>
        </w:numPr>
        <w:tabs>
          <w:tab w:val="left" w:pos="1134"/>
        </w:tabs>
        <w:ind w:left="0" w:firstLine="851"/>
      </w:pPr>
      <w:r w:rsidRPr="001B0EA3">
        <w:t>Предлага и следи за изпълнението на мерки за оптимизиране на управлението на риска на ниво бенефициент/проект</w:t>
      </w:r>
    </w:p>
    <w:p w14:paraId="7DF38D81" w14:textId="77777777" w:rsidR="00D93249" w:rsidRPr="001B0EA3" w:rsidRDefault="00AD5403" w:rsidP="00746B39">
      <w:pPr>
        <w:pStyle w:val="ListParagraph"/>
        <w:numPr>
          <w:ilvl w:val="0"/>
          <w:numId w:val="410"/>
        </w:numPr>
        <w:tabs>
          <w:tab w:val="left" w:pos="1134"/>
        </w:tabs>
        <w:ind w:left="0" w:firstLine="851"/>
      </w:pPr>
      <w:r w:rsidRPr="001B0EA3">
        <w:t xml:space="preserve">Осъществява </w:t>
      </w:r>
      <w:r w:rsidR="00BD1A47" w:rsidRPr="001B0EA3">
        <w:t xml:space="preserve">дейности по </w:t>
      </w:r>
      <w:r w:rsidR="00D93249" w:rsidRPr="001B0EA3">
        <w:t xml:space="preserve">управление на риска от измама като </w:t>
      </w:r>
      <w:r w:rsidR="00BD1A47" w:rsidRPr="001B0EA3">
        <w:t xml:space="preserve">организира </w:t>
      </w:r>
      <w:r w:rsidR="00D93249" w:rsidRPr="001B0EA3">
        <w:t xml:space="preserve">установяването </w:t>
      </w:r>
      <w:r w:rsidR="00BD1A47" w:rsidRPr="001B0EA3">
        <w:t xml:space="preserve">на ефективна политика за борба с измамите и </w:t>
      </w:r>
      <w:r w:rsidR="00D93249" w:rsidRPr="001B0EA3">
        <w:t xml:space="preserve">план за ответни мерки срещу </w:t>
      </w:r>
      <w:r w:rsidR="00BD1A47" w:rsidRPr="001B0EA3">
        <w:t>измамите,</w:t>
      </w:r>
      <w:r w:rsidR="00D93249" w:rsidRPr="001B0EA3">
        <w:t xml:space="preserve"> както и </w:t>
      </w:r>
      <w:r w:rsidR="00282061" w:rsidRPr="001B0EA3">
        <w:t>извършването</w:t>
      </w:r>
      <w:r w:rsidR="00D93249" w:rsidRPr="001B0EA3">
        <w:t>, с помощта на екип за оценка на риска, на редовен преглед на риска от измами,</w:t>
      </w:r>
      <w:r w:rsidR="00BD1A47" w:rsidRPr="001B0EA3">
        <w:t xml:space="preserve"> осигурява осведомеността и обучението на персонала за борба </w:t>
      </w:r>
      <w:r w:rsidR="00D93249" w:rsidRPr="001B0EA3">
        <w:t>с</w:t>
      </w:r>
      <w:r w:rsidR="00BD1A47" w:rsidRPr="001B0EA3">
        <w:t xml:space="preserve"> измамите</w:t>
      </w:r>
    </w:p>
    <w:p w14:paraId="03887664" w14:textId="77777777" w:rsidR="00620332" w:rsidRDefault="00620332" w:rsidP="00746B39">
      <w:pPr>
        <w:pStyle w:val="ListParagraph"/>
        <w:numPr>
          <w:ilvl w:val="0"/>
          <w:numId w:val="410"/>
        </w:numPr>
        <w:tabs>
          <w:tab w:val="left" w:pos="1134"/>
        </w:tabs>
        <w:ind w:left="0" w:firstLine="851"/>
      </w:pPr>
      <w:r w:rsidRPr="001B0EA3">
        <w:t xml:space="preserve">Изпълнява дейности по администриране на сигнали за нередности/ нередности по ОПТТИ и съмнения за измама, съгласно изискванията на Наредба за администриране на нередности по европейските структурни и инвестиционни фондове  (Наредбата) и вътрешните правила на УО на ОПТТИ; </w:t>
      </w:r>
    </w:p>
    <w:p w14:paraId="25329CCB" w14:textId="77777777" w:rsidR="002C7F6A" w:rsidRPr="001B0EA3" w:rsidRDefault="002C7F6A" w:rsidP="002C7F6A">
      <w:pPr>
        <w:pStyle w:val="ListParagraph"/>
        <w:numPr>
          <w:ilvl w:val="0"/>
          <w:numId w:val="410"/>
        </w:numPr>
        <w:tabs>
          <w:tab w:val="left" w:pos="1134"/>
        </w:tabs>
        <w:ind w:left="0" w:firstLine="851"/>
      </w:pPr>
      <w:r w:rsidRPr="001B0EA3">
        <w:t xml:space="preserve">Координира изготвянето на обобщена информация за изпълнение на препоръките от проведените одити на ОПТТИ; </w:t>
      </w:r>
    </w:p>
    <w:p w14:paraId="21B5CFA5" w14:textId="77777777" w:rsidR="002C7F6A" w:rsidRDefault="002C7F6A" w:rsidP="002C7F6A">
      <w:pPr>
        <w:pStyle w:val="ListParagraph"/>
        <w:numPr>
          <w:ilvl w:val="0"/>
          <w:numId w:val="410"/>
        </w:numPr>
        <w:tabs>
          <w:tab w:val="left" w:pos="1134"/>
        </w:tabs>
        <w:ind w:left="0" w:firstLine="851"/>
      </w:pPr>
      <w:r w:rsidRPr="001B0EA3">
        <w:t>Обобщава информацията за изпълнението на плановете за действие, изготвени във връзка с одитите на ОПТТИ;</w:t>
      </w:r>
    </w:p>
    <w:p w14:paraId="56EBB3BF" w14:textId="77777777" w:rsidR="002C7F6A" w:rsidRPr="006A6D08" w:rsidRDefault="002C7F6A" w:rsidP="002C7F6A">
      <w:pPr>
        <w:pStyle w:val="ListParagraph"/>
        <w:numPr>
          <w:ilvl w:val="0"/>
          <w:numId w:val="410"/>
        </w:numPr>
        <w:tabs>
          <w:tab w:val="left" w:pos="1134"/>
        </w:tabs>
        <w:ind w:left="0" w:firstLine="851"/>
        <w:rPr>
          <w:highlight w:val="yellow"/>
        </w:rPr>
      </w:pPr>
      <w:r w:rsidRPr="006A6D08">
        <w:rPr>
          <w:highlight w:val="yellow"/>
        </w:rPr>
        <w:t>Координира дейностите за развитие на административния капацитет на УО на ОПТТИ</w:t>
      </w:r>
    </w:p>
    <w:p w14:paraId="2B5B992E" w14:textId="77777777" w:rsidR="004B7925" w:rsidRPr="001B0EA3" w:rsidRDefault="004B7925" w:rsidP="006A6D08">
      <w:pPr>
        <w:pStyle w:val="ListParagraph"/>
        <w:tabs>
          <w:tab w:val="left" w:pos="1134"/>
        </w:tabs>
        <w:ind w:left="1571" w:firstLine="0"/>
      </w:pPr>
    </w:p>
    <w:p w14:paraId="741037AC" w14:textId="77777777" w:rsidR="002C7F6A" w:rsidRPr="001B0EA3" w:rsidRDefault="002C7F6A" w:rsidP="002C7F6A">
      <w:pPr>
        <w:pStyle w:val="ListParagraph"/>
        <w:tabs>
          <w:tab w:val="left" w:pos="1134"/>
        </w:tabs>
        <w:ind w:left="851" w:firstLine="0"/>
      </w:pPr>
    </w:p>
    <w:p w14:paraId="2D34CA01" w14:textId="77777777" w:rsidR="00FB36D0" w:rsidRPr="001B0EA3" w:rsidRDefault="00FB36D0" w:rsidP="006A6D08">
      <w:pPr>
        <w:ind w:firstLine="0"/>
      </w:pPr>
    </w:p>
    <w:p w14:paraId="5D366067" w14:textId="77777777" w:rsidR="00D603F5" w:rsidRPr="001B0EA3" w:rsidRDefault="00D603F5" w:rsidP="00ED358C">
      <w:pPr>
        <w:pStyle w:val="Style3"/>
        <w:rPr>
          <w:lang w:eastAsia="bg-BG"/>
        </w:rPr>
      </w:pPr>
      <w:bookmarkStart w:id="293" w:name="_Toc479775559"/>
      <w:r w:rsidRPr="001B0EA3">
        <w:rPr>
          <w:lang w:eastAsia="bg-BG"/>
        </w:rPr>
        <w:t>Бенефициенти</w:t>
      </w:r>
      <w:bookmarkEnd w:id="293"/>
    </w:p>
    <w:p w14:paraId="0A1D39AB" w14:textId="3FC3EC30" w:rsidR="00D603F5" w:rsidRPr="001B0EA3" w:rsidRDefault="00D603F5" w:rsidP="00F729A8">
      <w:r w:rsidRPr="001B0EA3">
        <w:t>Бенефициентите инициират и изпълняват индивидуалните проекти, допустими за финансиране по ОПТТИ и получават публични средства за изпълнението им. Те също така, имат правото да бъдат информирани за обхвата на подкрепа на ЕФРР и КФ, времевите ограничения за изпълнение на проекти, и ф</w:t>
      </w:r>
      <w:r w:rsidR="005C281E">
        <w:t xml:space="preserve">инансовата и друга информация. </w:t>
      </w:r>
      <w:r w:rsidRPr="001B0EA3">
        <w:t xml:space="preserve">Тези изисквания са заложени в насоките за кандидатстване,  публикувани на интернет страницата на ОПТТИ </w:t>
      </w:r>
      <w:hyperlink r:id="rId40" w:history="1">
        <w:r w:rsidR="004547BC" w:rsidRPr="000B4479">
          <w:rPr>
            <w:rStyle w:val="Hyperlink"/>
          </w:rPr>
          <w:t>www.</w:t>
        </w:r>
        <w:r w:rsidR="004547BC" w:rsidRPr="000B4479">
          <w:rPr>
            <w:rStyle w:val="Hyperlink"/>
            <w:lang w:val="en-US"/>
          </w:rPr>
          <w:t>eufunds</w:t>
        </w:r>
        <w:r w:rsidR="004547BC" w:rsidRPr="000B4479">
          <w:rPr>
            <w:rStyle w:val="Hyperlink"/>
          </w:rPr>
          <w:t>.bg</w:t>
        </w:r>
      </w:hyperlink>
      <w:r w:rsidR="004547BC" w:rsidRPr="001B0EA3">
        <w:t>/</w:t>
      </w:r>
      <w:r w:rsidR="004547BC">
        <w:rPr>
          <w:lang w:val="en-US"/>
        </w:rPr>
        <w:t>optti</w:t>
      </w:r>
      <w:r w:rsidRPr="001B0EA3">
        <w:t>, а когато проектите са одобрени са подробно описани в договорите/заповедите за предоставяне на финансовата подкрепа. УО на ОПТТИ изпълнява ролята си по отношение на европейските структурни и инвестиционни фондове с цел да намалят административната тежест за бенефициентите.</w:t>
      </w:r>
    </w:p>
    <w:p w14:paraId="1E3A1E54" w14:textId="77777777" w:rsidR="00D603F5" w:rsidRPr="001B0EA3" w:rsidRDefault="00D603F5" w:rsidP="00F729A8">
      <w:r w:rsidRPr="001B0EA3">
        <w:t>Бенефициенти по програмата са Национална компания „Железопътна инфраструктура”, Агенция „Пътна инфраструктура”, „Метрополитен” ЕАД, Изпълнителна агенция „Проучване и  поддържане на река Дунав”, Държавно предприятие „Пристанищна инфраструктура”, Национална компания „Стратегически инфраструктурни проекти”</w:t>
      </w:r>
      <w:r w:rsidR="00187731" w:rsidRPr="001B0EA3">
        <w:t xml:space="preserve"> (с първото изменение на програмата, проектите с бенефициент НКСИП се изпълняват от АПИ)</w:t>
      </w:r>
      <w:r w:rsidRPr="001B0EA3">
        <w:t>,</w:t>
      </w:r>
      <w:r w:rsidR="00187731" w:rsidRPr="001B0EA3">
        <w:t xml:space="preserve"> </w:t>
      </w:r>
      <w:r w:rsidRPr="001B0EA3">
        <w:t xml:space="preserve">Изпълнителна агенция „Морска администрация”, Главна дирекция „Гражданска въздухоплавателна администрация”/Държавно предприятие „Ръководство на въздушното движение” и УО на ОПТТИ. </w:t>
      </w:r>
    </w:p>
    <w:p w14:paraId="36AA41C0" w14:textId="77777777" w:rsidR="0071051B" w:rsidRPr="001B0EA3" w:rsidRDefault="0071051B" w:rsidP="00F729A8">
      <w:pPr>
        <w:rPr>
          <w:lang w:eastAsia="bg-BG"/>
        </w:rPr>
      </w:pPr>
      <w:r w:rsidRPr="001B0EA3">
        <w:rPr>
          <w:lang w:eastAsia="bg-BG"/>
        </w:rPr>
        <w:t>Оперативни споразумения за подготовка, избор, управление, изпълнение, наблюдение и контрол на проекти/операции, финансирани от ОПТТИ се предвижда да бъдат подготвени и подписани от конкретните бенефициенти на ОПТТИ и Ръководителя на ОПТТИ.</w:t>
      </w:r>
    </w:p>
    <w:p w14:paraId="3CA9364C" w14:textId="77777777" w:rsidR="0094141E" w:rsidRDefault="0094141E" w:rsidP="00F729A8">
      <w:r w:rsidRPr="001B0EA3">
        <w:t xml:space="preserve">На основание чл. 26, ал. 1 от Закона за управление на средствата от Европейските структурни инвестиционни фондове и във връзка с необходимостта от определяне на Условия за изпълнение на одобрени проекти по Оперативна програма „Транспорт и транспортна </w:t>
      </w:r>
      <w:r w:rsidRPr="001B0EA3">
        <w:lastRenderedPageBreak/>
        <w:t>инфраструктура“ 20014-2020  г., Управляващият орган на ОПТТИ е изготвил Условия за изпълнение, които заместват предходните оперативни споразумения, сключвани с всеки конкретен бенефициент по програмата. Управляващия орган на ОПТТИ и конкретните бенефициенти по ОПТТИ носят общата отговорност за изпълнението на одобрение проекти/операции, финансирани от ОПТТИ, поради което в условия за изпълнение на одобрените проекти по ОПТТИ, се съдържат конкретни права и задължения за подготовка, избор, управление, изпълнение, наблюдение и контрол на проектите/операциите, финансирани от ОПТТИ. Условията са задължителни за всички бенефициенти по ОПТТИ и се прилагат към договорите/ административните договори/ заповеди за предоставяне на безвъзмездна финансова помощ БФП към всички одобрени проекти по ОПТТИ.</w:t>
      </w:r>
    </w:p>
    <w:p w14:paraId="4294C964" w14:textId="77777777" w:rsidR="00F729A8" w:rsidRPr="001B0EA3" w:rsidRDefault="00F729A8" w:rsidP="00F729A8">
      <w:pPr>
        <w:rPr>
          <w:lang w:eastAsia="bg-BG"/>
        </w:rPr>
      </w:pPr>
    </w:p>
    <w:p w14:paraId="60FEDB9D" w14:textId="77777777" w:rsidR="00D603F5" w:rsidRPr="00F729A8" w:rsidRDefault="00D603F5" w:rsidP="00F729A8">
      <w:pPr>
        <w:pStyle w:val="ListParagraph"/>
        <w:numPr>
          <w:ilvl w:val="0"/>
          <w:numId w:val="412"/>
        </w:numPr>
        <w:ind w:left="0" w:firstLine="851"/>
        <w:rPr>
          <w:b/>
        </w:rPr>
      </w:pPr>
      <w:r w:rsidRPr="00F729A8">
        <w:rPr>
          <w:b/>
        </w:rPr>
        <w:t xml:space="preserve">Функции на конкретните бенефициенти по ОПТТИ </w:t>
      </w:r>
    </w:p>
    <w:p w14:paraId="2C3C1185" w14:textId="77777777" w:rsidR="00D603F5" w:rsidRPr="001B0EA3" w:rsidRDefault="0071051B" w:rsidP="00F729A8">
      <w:r w:rsidRPr="001B0EA3">
        <w:t>Функциите</w:t>
      </w:r>
      <w:r w:rsidR="00D603F5" w:rsidRPr="001B0EA3">
        <w:t xml:space="preserve"> на  бенефициентите по ОПТТИ </w:t>
      </w:r>
      <w:r w:rsidR="001B67B7" w:rsidRPr="001B0EA3">
        <w:t xml:space="preserve">във връзка с изпълнението на одобрени проекти по ОПТТИ </w:t>
      </w:r>
      <w:r w:rsidR="00D603F5" w:rsidRPr="001B0EA3">
        <w:t xml:space="preserve">са </w:t>
      </w:r>
      <w:r w:rsidR="004D1994" w:rsidRPr="001B0EA3">
        <w:t>регламентирани</w:t>
      </w:r>
      <w:r w:rsidR="00D603F5" w:rsidRPr="001B0EA3">
        <w:t xml:space="preserve"> в </w:t>
      </w:r>
      <w:r w:rsidR="00FE6DDD" w:rsidRPr="001B0EA3">
        <w:t>Приложение № 09, към Насоките по ОПТТИ</w:t>
      </w:r>
      <w:r w:rsidR="00D603F5" w:rsidRPr="001B0EA3">
        <w:t xml:space="preserve">. </w:t>
      </w:r>
    </w:p>
    <w:p w14:paraId="1778DBFB" w14:textId="77777777" w:rsidR="00D603F5" w:rsidRPr="001B0EA3" w:rsidRDefault="00D603F5" w:rsidP="00F729A8">
      <w:r w:rsidRPr="001B0EA3">
        <w:t xml:space="preserve">В случай на одобрение на финансова помощ за изпълнение на проект по ОПТТИ, Бенефициентите са отговорни основно: </w:t>
      </w:r>
    </w:p>
    <w:p w14:paraId="129BFCA9" w14:textId="77777777" w:rsidR="00D603F5" w:rsidRPr="001B0EA3" w:rsidRDefault="00D603F5" w:rsidP="00F729A8">
      <w:pPr>
        <w:pStyle w:val="ListParagraph"/>
        <w:numPr>
          <w:ilvl w:val="0"/>
          <w:numId w:val="413"/>
        </w:numPr>
        <w:tabs>
          <w:tab w:val="left" w:pos="1134"/>
        </w:tabs>
        <w:ind w:left="0" w:firstLine="851"/>
      </w:pPr>
      <w:r w:rsidRPr="001B0EA3">
        <w:t>за подготовката на проектите (включително изготвянето на пред-инвестиционни проучвания, анализ на въздействието върху околната среда (ОВОС/ЕО), технически, геоложки и археологически проучвания, подробни устройствени планове, идейни/работни проекти, анализ за разходите и ползите, документацията за възлагане на обществена поръчка за избор на изпълнител, провеждане на процедури за възлагане на обществени поръчки и съгласуването на всички разработки по проекта със съответните компетентни органи;</w:t>
      </w:r>
    </w:p>
    <w:p w14:paraId="05389605" w14:textId="77777777" w:rsidR="00D603F5" w:rsidRPr="001B0EA3" w:rsidRDefault="00D603F5" w:rsidP="00F729A8">
      <w:pPr>
        <w:pStyle w:val="ListParagraph"/>
        <w:numPr>
          <w:ilvl w:val="0"/>
          <w:numId w:val="413"/>
        </w:numPr>
        <w:tabs>
          <w:tab w:val="left" w:pos="1134"/>
        </w:tabs>
        <w:ind w:left="0" w:firstLine="851"/>
      </w:pPr>
      <w:r w:rsidRPr="001B0EA3">
        <w:t xml:space="preserve">за изпълнението на одобрените проекти, съфинансирани от ЕСИФ, съгласно сключен договор/издадена заповед за отпускане на БФП, приложимото европейско и национално законодателство и правилата на програмата. </w:t>
      </w:r>
    </w:p>
    <w:p w14:paraId="66E00140" w14:textId="77777777" w:rsidR="00D603F5" w:rsidRPr="001B0EA3" w:rsidRDefault="00D603F5" w:rsidP="00F729A8">
      <w:pPr>
        <w:pStyle w:val="ListParagraph"/>
        <w:numPr>
          <w:ilvl w:val="0"/>
          <w:numId w:val="413"/>
        </w:numPr>
        <w:tabs>
          <w:tab w:val="left" w:pos="1134"/>
        </w:tabs>
        <w:ind w:left="0" w:firstLine="851"/>
      </w:pPr>
      <w:r w:rsidRPr="001B0EA3">
        <w:t xml:space="preserve">за потвърждаването на разходите за доставка на стоки и/или извършени строителни работи и/или предоставяне на услуги по проекта въз основа на фактури и/или други документи с равносилна доказателствена стойност. </w:t>
      </w:r>
    </w:p>
    <w:p w14:paraId="3A9CE05F" w14:textId="77777777" w:rsidR="00D603F5" w:rsidRDefault="00D603F5" w:rsidP="00F729A8">
      <w:pPr>
        <w:pStyle w:val="ListParagraph"/>
        <w:numPr>
          <w:ilvl w:val="0"/>
          <w:numId w:val="413"/>
        </w:numPr>
        <w:tabs>
          <w:tab w:val="left" w:pos="1134"/>
        </w:tabs>
        <w:ind w:left="0" w:firstLine="851"/>
      </w:pPr>
      <w:r w:rsidRPr="001B0EA3">
        <w:t xml:space="preserve">преди плащане да извършват проверки на документите представени от изпълнителите по договори в рамките на проекта и проверки на мястото на проекта за удостоверяване извършването на заявените за плащане дейности.  </w:t>
      </w:r>
    </w:p>
    <w:p w14:paraId="2F587A79" w14:textId="77777777" w:rsidR="00F729A8" w:rsidRPr="001B0EA3" w:rsidRDefault="00F729A8" w:rsidP="00890B4B">
      <w:pPr>
        <w:shd w:val="clear" w:color="auto" w:fill="FFFFFF"/>
        <w:rPr>
          <w:szCs w:val="24"/>
        </w:rPr>
      </w:pPr>
    </w:p>
    <w:p w14:paraId="705F4540" w14:textId="77777777" w:rsidR="00D603F5" w:rsidRPr="001B0EA3" w:rsidRDefault="00D603F5" w:rsidP="00F729A8">
      <w:pPr>
        <w:pStyle w:val="ListParagraph"/>
        <w:numPr>
          <w:ilvl w:val="0"/>
          <w:numId w:val="412"/>
        </w:numPr>
        <w:ind w:left="0" w:firstLine="851"/>
        <w:rPr>
          <w:b/>
        </w:rPr>
      </w:pPr>
      <w:r w:rsidRPr="001B0EA3">
        <w:rPr>
          <w:b/>
        </w:rPr>
        <w:t>Управление на пр</w:t>
      </w:r>
      <w:r w:rsidR="00DE5950" w:rsidRPr="001B0EA3">
        <w:rPr>
          <w:b/>
        </w:rPr>
        <w:t>оекти с бенефициент УО на ОПТТИ</w:t>
      </w:r>
    </w:p>
    <w:p w14:paraId="11F0AB87" w14:textId="77777777" w:rsidR="00D603F5" w:rsidRPr="001B0EA3" w:rsidRDefault="00D603F5" w:rsidP="00F729A8">
      <w:r w:rsidRPr="001B0EA3">
        <w:t xml:space="preserve">При изпълнение и управлението на проекти с бенефициент УО на ОПТТИ се сформират Звена за изпълнение на проекти. </w:t>
      </w:r>
    </w:p>
    <w:p w14:paraId="58F11682" w14:textId="77777777" w:rsidR="00D603F5" w:rsidRPr="001B0EA3" w:rsidRDefault="00D603F5" w:rsidP="00F729A8">
      <w:r w:rsidRPr="001B0EA3">
        <w:t>Звената се създават по предложение на ръководителя на УО на ОПТТИ чрез издаване на заповед от министъра на транспорта и съобщенията. Звеното за изпълнение на проекта има за задача административно, техническо и финансово управление при изпълнението на проекта; подготовка на периодични доклади за напредъка, финансови отчети и искания за плащане.  Звеното за изпълнение на проекта включва следните експерти:</w:t>
      </w:r>
    </w:p>
    <w:p w14:paraId="33F96978" w14:textId="77777777" w:rsidR="00D603F5" w:rsidRPr="001B0EA3" w:rsidRDefault="00D603F5" w:rsidP="00F729A8">
      <w:pPr>
        <w:pStyle w:val="ListParagraph"/>
        <w:numPr>
          <w:ilvl w:val="0"/>
          <w:numId w:val="414"/>
        </w:numPr>
        <w:ind w:left="0" w:firstLine="851"/>
      </w:pPr>
      <w:r w:rsidRPr="00F729A8">
        <w:rPr>
          <w:b/>
        </w:rPr>
        <w:t>Ръководител на проект</w:t>
      </w:r>
      <w:r w:rsidRPr="001B0EA3">
        <w:t xml:space="preserve"> - служител, на когото е възложено да отговаря и следи за цялостното управление и изпълнение на конкретен проект, по който УО на ОПТТИ е бенефициент. Ръководителят на проект е отговорен да изпълнява задълженията, свързани с управлението, изпълнението и отчитането на проекта, произтичащи от процедурния наръчник за управление и изпълнение на ОПТТИ. Ръководи членовете на Звеното за изпълнение на проекта. В случаите, когато е упълномощен, представлява Възложителя пред изпълнителите по договори, финансирани по проекта.</w:t>
      </w:r>
    </w:p>
    <w:p w14:paraId="024FFE2F" w14:textId="77777777" w:rsidR="00D603F5" w:rsidRPr="001B0EA3" w:rsidRDefault="00D603F5" w:rsidP="00F729A8">
      <w:pPr>
        <w:pStyle w:val="ListParagraph"/>
        <w:numPr>
          <w:ilvl w:val="0"/>
          <w:numId w:val="414"/>
        </w:numPr>
        <w:ind w:left="0" w:firstLine="851"/>
      </w:pPr>
      <w:r w:rsidRPr="00F729A8">
        <w:rPr>
          <w:b/>
        </w:rPr>
        <w:t>Експерт по техническото изпълнение на проекта</w:t>
      </w:r>
      <w:r w:rsidRPr="001B0EA3">
        <w:t xml:space="preserve"> - служител, на когото е възложено да отговаря и следи за техническото изпълнение и координиране на дейностите по проект, по който УО на ОПТТИ е бенефициент, за въпроси, свързани с подготовката, управлението, мониторинга, оценката, информацията и контрола на проекта, както и за отчитането на напредъка по проекта.</w:t>
      </w:r>
    </w:p>
    <w:p w14:paraId="51D6FF87" w14:textId="77777777" w:rsidR="00D603F5" w:rsidRPr="00F729A8" w:rsidRDefault="00D603F5" w:rsidP="00F729A8">
      <w:pPr>
        <w:pStyle w:val="ListParagraph"/>
        <w:numPr>
          <w:ilvl w:val="0"/>
          <w:numId w:val="414"/>
        </w:numPr>
        <w:ind w:left="0" w:firstLine="851"/>
        <w:rPr>
          <w:b/>
          <w:caps/>
        </w:rPr>
      </w:pPr>
      <w:r w:rsidRPr="00F729A8">
        <w:rPr>
          <w:b/>
        </w:rPr>
        <w:lastRenderedPageBreak/>
        <w:t>Експерт по финансовото отчитане на проекта</w:t>
      </w:r>
      <w:r w:rsidRPr="001B0EA3">
        <w:t xml:space="preserve"> - служител, на когото е възложено да отговаря и следи за разходване на средствата по проект, по който УО на ОПТТИ е бенефициент, в съответствие с одобрения бюджет, както и за финансовото отчитане при изпълнението на проекта.</w:t>
      </w:r>
    </w:p>
    <w:p w14:paraId="4015CF90" w14:textId="77777777" w:rsidR="00D603F5" w:rsidRPr="001B0EA3" w:rsidRDefault="00D603F5" w:rsidP="00F729A8"/>
    <w:p w14:paraId="1FC898E9" w14:textId="77777777" w:rsidR="00D603F5" w:rsidRPr="001B0EA3" w:rsidRDefault="00D603F5" w:rsidP="00F729A8">
      <w:r w:rsidRPr="001B0EA3">
        <w:t xml:space="preserve">При представяне на ключови документи, свързани с проектите по ОПТТИ, експертите от ЗИП извършват  проверка за съответствие на съдържанието на същите и приложенията към тях. </w:t>
      </w:r>
    </w:p>
    <w:p w14:paraId="6D9EF510" w14:textId="77777777" w:rsidR="00D603F5" w:rsidRPr="001B0EA3" w:rsidRDefault="00D603F5" w:rsidP="00F729A8">
      <w:r w:rsidRPr="001B0EA3">
        <w:t xml:space="preserve">Отчитането на извършената работа от експертите в Звената за изпълнение на проекти се извършва въз основа на одобрен от ръководителя на проекта/ръководителя на УО отчет на служителя и подписан от ръководителя на проекта/ръководителя на УО констативен протокол. </w:t>
      </w:r>
    </w:p>
    <w:p w14:paraId="062C5F87" w14:textId="77777777" w:rsidR="00B35102" w:rsidRPr="001B0EA3" w:rsidRDefault="00D603F5" w:rsidP="00F729A8">
      <w:r w:rsidRPr="001B0EA3">
        <w:t xml:space="preserve">В случай, че ръководителят на проекта отсъства или е възпрепятстван, функциите му се изпълняват от експерта по техническото изпълнение на проекта или експерт по финансовото отчитане на проекта, както е регламентирано в заповедта за сформиране на ЗИП. </w:t>
      </w:r>
    </w:p>
    <w:p w14:paraId="6F596321" w14:textId="77777777" w:rsidR="00B35102" w:rsidRPr="001B0EA3" w:rsidRDefault="00B35102" w:rsidP="00F729A8">
      <w:r w:rsidRPr="001B0EA3">
        <w:br w:type="page"/>
      </w:r>
    </w:p>
    <w:p w14:paraId="533CE5D1" w14:textId="77777777" w:rsidR="00D603F5" w:rsidRPr="001B0EA3" w:rsidRDefault="00D603F5" w:rsidP="00890B4B">
      <w:pPr>
        <w:shd w:val="clear" w:color="auto" w:fill="FFFFFF"/>
        <w:rPr>
          <w:szCs w:val="24"/>
        </w:rPr>
      </w:pPr>
    </w:p>
    <w:p w14:paraId="62497471" w14:textId="77777777" w:rsidR="00D603F5" w:rsidRPr="00842ECC" w:rsidRDefault="00D603F5" w:rsidP="00822AA5">
      <w:pPr>
        <w:pStyle w:val="Style2"/>
        <w:rPr>
          <w:lang w:val="bg-BG"/>
        </w:rPr>
      </w:pPr>
      <w:bookmarkStart w:id="294" w:name="_Toc479775560"/>
      <w:bookmarkStart w:id="295" w:name="_Toc140150167"/>
      <w:bookmarkEnd w:id="291"/>
      <w:bookmarkEnd w:id="292"/>
      <w:r w:rsidRPr="00842ECC">
        <w:rPr>
          <w:lang w:val="bg-BG"/>
        </w:rPr>
        <w:t>Принцип на управление и контрол на ОПТТИ</w:t>
      </w:r>
      <w:bookmarkEnd w:id="294"/>
      <w:bookmarkEnd w:id="295"/>
    </w:p>
    <w:p w14:paraId="3704F402" w14:textId="77777777" w:rsidR="00492BA4" w:rsidRPr="001B0EA3" w:rsidRDefault="00492BA4" w:rsidP="00492BA4">
      <w:bookmarkStart w:id="296" w:name="_Toc479775561"/>
    </w:p>
    <w:p w14:paraId="5411CC37" w14:textId="77777777" w:rsidR="00492BA4" w:rsidRPr="00842ECC" w:rsidRDefault="00492BA4" w:rsidP="00ED358C">
      <w:pPr>
        <w:pStyle w:val="Style3"/>
        <w:rPr>
          <w:lang w:val="bg-BG"/>
        </w:rPr>
      </w:pPr>
      <w:r w:rsidRPr="00842ECC">
        <w:rPr>
          <w:lang w:val="bg-BG"/>
        </w:rPr>
        <w:t>Обобщена схема на управление и контрол на ОПТТИ</w:t>
      </w:r>
    </w:p>
    <w:p w14:paraId="49D42B81" w14:textId="77777777" w:rsidR="00D603F5" w:rsidRPr="001B0EA3" w:rsidRDefault="00937754" w:rsidP="00F729A8">
      <w:pPr>
        <w:ind w:left="-284" w:firstLine="0"/>
        <w:jc w:val="left"/>
      </w:pPr>
      <w:r w:rsidRPr="001B0EA3">
        <w:rPr>
          <w:noProof/>
          <w:lang w:eastAsia="bg-BG"/>
        </w:rPr>
        <mc:AlternateContent>
          <mc:Choice Requires="wpg">
            <w:drawing>
              <wp:inline distT="0" distB="0" distL="0" distR="0" wp14:anchorId="522D5684" wp14:editId="305CDD3F">
                <wp:extent cx="6645275" cy="7740650"/>
                <wp:effectExtent l="57150" t="38100" r="22225" b="88900"/>
                <wp:docPr id="1772"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7740650"/>
                          <a:chOff x="586" y="2553"/>
                          <a:chExt cx="10465" cy="12190"/>
                        </a:xfrm>
                      </wpg:grpSpPr>
                      <wps:wsp>
                        <wps:cNvPr id="1773" name="Text Box 4"/>
                        <wps:cNvSpPr txBox="1">
                          <a:spLocks noChangeArrowheads="1"/>
                        </wps:cNvSpPr>
                        <wps:spPr bwMode="auto">
                          <a:xfrm>
                            <a:off x="2636" y="12172"/>
                            <a:ext cx="1123" cy="1457"/>
                          </a:xfrm>
                          <a:prstGeom prst="rect">
                            <a:avLst/>
                          </a:prstGeom>
                          <a:solidFill>
                            <a:srgbClr val="FFFFFF"/>
                          </a:solidFill>
                          <a:ln w="6350">
                            <a:solidFill>
                              <a:srgbClr val="FFFFFF"/>
                            </a:solidFill>
                            <a:miter lim="800000"/>
                            <a:headEnd/>
                            <a:tailEnd/>
                          </a:ln>
                        </wps:spPr>
                        <wps:txbx>
                          <w:txbxContent>
                            <w:p w14:paraId="726A3440" w14:textId="77777777" w:rsidR="004E3164" w:rsidRPr="00C03F6A" w:rsidRDefault="004E3164" w:rsidP="00F729A8">
                              <w:pPr>
                                <w:ind w:firstLine="0"/>
                                <w:jc w:val="center"/>
                                <w:rPr>
                                  <w:color w:val="1F497D"/>
                                  <w:sz w:val="20"/>
                                </w:rPr>
                              </w:pPr>
                              <w:r w:rsidRPr="00C03F6A">
                                <w:rPr>
                                  <w:color w:val="1F497D"/>
                                  <w:sz w:val="20"/>
                                </w:rPr>
                                <w:t>Искане за плащане на проектно ниво</w:t>
                              </w:r>
                            </w:p>
                          </w:txbxContent>
                        </wps:txbx>
                        <wps:bodyPr rot="0" vert="vert270" wrap="square" lIns="91440" tIns="45720" rIns="91440" bIns="45720" anchor="t" anchorCtr="0" upright="1">
                          <a:noAutofit/>
                        </wps:bodyPr>
                      </wps:wsp>
                      <wps:wsp>
                        <wps:cNvPr id="1774" name="Text Box 4"/>
                        <wps:cNvSpPr txBox="1">
                          <a:spLocks noChangeArrowheads="1"/>
                        </wps:cNvSpPr>
                        <wps:spPr bwMode="auto">
                          <a:xfrm>
                            <a:off x="4416" y="12173"/>
                            <a:ext cx="1409" cy="1457"/>
                          </a:xfrm>
                          <a:prstGeom prst="rect">
                            <a:avLst/>
                          </a:prstGeom>
                          <a:solidFill>
                            <a:srgbClr val="FFFFFF"/>
                          </a:solidFill>
                          <a:ln w="6350">
                            <a:solidFill>
                              <a:srgbClr val="FFFFFF"/>
                            </a:solidFill>
                            <a:miter lim="800000"/>
                            <a:headEnd/>
                            <a:tailEnd/>
                          </a:ln>
                        </wps:spPr>
                        <wps:txbx>
                          <w:txbxContent>
                            <w:p w14:paraId="54D1D657" w14:textId="77777777" w:rsidR="004E3164" w:rsidRPr="00C03F6A" w:rsidRDefault="004E3164" w:rsidP="00F729A8">
                              <w:pPr>
                                <w:ind w:firstLine="0"/>
                                <w:jc w:val="center"/>
                                <w:rPr>
                                  <w:color w:val="C00000"/>
                                  <w:sz w:val="20"/>
                                </w:rPr>
                              </w:pPr>
                              <w:r w:rsidRPr="00C03F6A">
                                <w:rPr>
                                  <w:color w:val="C00000"/>
                                  <w:sz w:val="20"/>
                                </w:rPr>
                                <w:t>Проверка на Искане за плащане на проектно ниво</w:t>
                              </w:r>
                            </w:p>
                          </w:txbxContent>
                        </wps:txbx>
                        <wps:bodyPr rot="0" vert="vert270" wrap="square" lIns="91440" tIns="45720" rIns="91440" bIns="45720" anchor="t" anchorCtr="0" upright="1">
                          <a:noAutofit/>
                        </wps:bodyPr>
                      </wps:wsp>
                      <wps:wsp>
                        <wps:cNvPr id="1775" name="Text Box 4"/>
                        <wps:cNvSpPr txBox="1">
                          <a:spLocks noChangeArrowheads="1"/>
                        </wps:cNvSpPr>
                        <wps:spPr bwMode="auto">
                          <a:xfrm>
                            <a:off x="3336" y="9277"/>
                            <a:ext cx="964" cy="1457"/>
                          </a:xfrm>
                          <a:prstGeom prst="rect">
                            <a:avLst/>
                          </a:prstGeom>
                          <a:solidFill>
                            <a:srgbClr val="FFFFFF"/>
                          </a:solidFill>
                          <a:ln w="6350">
                            <a:solidFill>
                              <a:srgbClr val="FFFFFF"/>
                            </a:solidFill>
                            <a:miter lim="800000"/>
                            <a:headEnd/>
                            <a:tailEnd/>
                          </a:ln>
                        </wps:spPr>
                        <wps:txbx>
                          <w:txbxContent>
                            <w:p w14:paraId="7A2CD61E" w14:textId="77777777" w:rsidR="004E3164" w:rsidRPr="00C03F6A" w:rsidRDefault="004E3164" w:rsidP="00F729A8">
                              <w:pPr>
                                <w:ind w:firstLine="0"/>
                                <w:jc w:val="center"/>
                                <w:rPr>
                                  <w:color w:val="1F497D"/>
                                  <w:sz w:val="20"/>
                                </w:rPr>
                              </w:pPr>
                              <w:r w:rsidRPr="00C03F6A">
                                <w:rPr>
                                  <w:color w:val="1F497D"/>
                                  <w:sz w:val="20"/>
                                </w:rPr>
                                <w:t>Искане за плащане на ниво програма</w:t>
                              </w:r>
                            </w:p>
                          </w:txbxContent>
                        </wps:txbx>
                        <wps:bodyPr rot="0" vert="vert270" wrap="square" lIns="91440" tIns="45720" rIns="91440" bIns="45720" anchor="t" anchorCtr="0" upright="1">
                          <a:noAutofit/>
                        </wps:bodyPr>
                      </wps:wsp>
                      <wps:wsp>
                        <wps:cNvPr id="1776" name="Text Box 4"/>
                        <wps:cNvSpPr txBox="1">
                          <a:spLocks noChangeArrowheads="1"/>
                        </wps:cNvSpPr>
                        <wps:spPr bwMode="auto">
                          <a:xfrm>
                            <a:off x="5075" y="9295"/>
                            <a:ext cx="1247" cy="1457"/>
                          </a:xfrm>
                          <a:prstGeom prst="rect">
                            <a:avLst/>
                          </a:prstGeom>
                          <a:solidFill>
                            <a:srgbClr val="FFFFFF"/>
                          </a:solidFill>
                          <a:ln w="6350">
                            <a:solidFill>
                              <a:srgbClr val="FFFFFF"/>
                            </a:solidFill>
                            <a:miter lim="800000"/>
                            <a:headEnd/>
                            <a:tailEnd/>
                          </a:ln>
                        </wps:spPr>
                        <wps:txbx>
                          <w:txbxContent>
                            <w:p w14:paraId="36F148CD" w14:textId="77777777" w:rsidR="004E3164" w:rsidRPr="00C03F6A" w:rsidRDefault="004E3164" w:rsidP="00F729A8">
                              <w:pPr>
                                <w:ind w:firstLine="0"/>
                                <w:jc w:val="center"/>
                                <w:rPr>
                                  <w:color w:val="C00000"/>
                                  <w:sz w:val="20"/>
                                </w:rPr>
                              </w:pPr>
                              <w:r w:rsidRPr="00C03F6A">
                                <w:rPr>
                                  <w:color w:val="C00000"/>
                                  <w:sz w:val="20"/>
                                </w:rPr>
                                <w:t>Проверка на Искане за плащане на ниво програма</w:t>
                              </w:r>
                            </w:p>
                          </w:txbxContent>
                        </wps:txbx>
                        <wps:bodyPr rot="0" vert="vert270" wrap="square" lIns="91440" tIns="45720" rIns="91440" bIns="45720" anchor="t" anchorCtr="0" upright="1">
                          <a:noAutofit/>
                        </wps:bodyPr>
                      </wps:wsp>
                      <wps:wsp>
                        <wps:cNvPr id="1777" name="Text Box 4"/>
                        <wps:cNvSpPr txBox="1">
                          <a:spLocks noChangeArrowheads="1"/>
                        </wps:cNvSpPr>
                        <wps:spPr bwMode="auto">
                          <a:xfrm>
                            <a:off x="4353" y="4915"/>
                            <a:ext cx="964" cy="1738"/>
                          </a:xfrm>
                          <a:prstGeom prst="rect">
                            <a:avLst/>
                          </a:prstGeom>
                          <a:solidFill>
                            <a:srgbClr val="FFFFFF"/>
                          </a:solidFill>
                          <a:ln w="6350">
                            <a:solidFill>
                              <a:srgbClr val="FFFFFF"/>
                            </a:solidFill>
                            <a:miter lim="800000"/>
                            <a:headEnd/>
                            <a:tailEnd/>
                          </a:ln>
                        </wps:spPr>
                        <wps:txbx>
                          <w:txbxContent>
                            <w:p w14:paraId="6E9FC754" w14:textId="77777777" w:rsidR="004E3164" w:rsidRPr="00C03F6A" w:rsidRDefault="004E3164" w:rsidP="00F729A8">
                              <w:pPr>
                                <w:ind w:firstLine="0"/>
                                <w:jc w:val="center"/>
                                <w:rPr>
                                  <w:color w:val="1F497D"/>
                                  <w:sz w:val="20"/>
                                </w:rPr>
                              </w:pPr>
                              <w:r w:rsidRPr="00C03F6A">
                                <w:rPr>
                                  <w:color w:val="1F497D"/>
                                  <w:sz w:val="20"/>
                                </w:rPr>
                                <w:t>Сертифициране на разходите на ниво програма</w:t>
                              </w:r>
                            </w:p>
                          </w:txbxContent>
                        </wps:txbx>
                        <wps:bodyPr rot="0" vert="vert270" wrap="square" lIns="91440" tIns="45720" rIns="91440" bIns="45720" anchor="t" anchorCtr="0" upright="1">
                          <a:noAutofit/>
                        </wps:bodyPr>
                      </wps:wsp>
                      <wps:wsp>
                        <wps:cNvPr id="1778" name="Oval 29"/>
                        <wps:cNvSpPr>
                          <a:spLocks/>
                        </wps:cNvSpPr>
                        <wps:spPr bwMode="auto">
                          <a:xfrm>
                            <a:off x="8038" y="10848"/>
                            <a:ext cx="1928" cy="947"/>
                          </a:xfrm>
                          <a:prstGeom prst="ellipse">
                            <a:avLst/>
                          </a:prstGeom>
                          <a:solidFill>
                            <a:srgbClr val="FFFFFF"/>
                          </a:solidFill>
                          <a:ln w="25400" algn="ctr">
                            <a:solidFill>
                              <a:srgbClr val="C0504D"/>
                            </a:solidFill>
                            <a:round/>
                            <a:headEnd/>
                            <a:tailEnd/>
                          </a:ln>
                        </wps:spPr>
                        <wps:txbx>
                          <w:txbxContent>
                            <w:p w14:paraId="070564FA" w14:textId="77777777" w:rsidR="004E3164" w:rsidRPr="00C03F6A" w:rsidRDefault="004E3164" w:rsidP="00F729A8">
                              <w:pPr>
                                <w:ind w:firstLine="0"/>
                                <w:jc w:val="center"/>
                                <w:rPr>
                                  <w:sz w:val="20"/>
                                </w:rPr>
                              </w:pPr>
                              <w:r w:rsidRPr="00C03F6A">
                                <w:rPr>
                                  <w:sz w:val="20"/>
                                </w:rPr>
                                <w:t>Одит на операциите</w:t>
                              </w:r>
                            </w:p>
                          </w:txbxContent>
                        </wps:txbx>
                        <wps:bodyPr rot="0" vert="horz" wrap="square" lIns="91440" tIns="45720" rIns="91440" bIns="45720" anchor="ctr" anchorCtr="0" upright="1">
                          <a:noAutofit/>
                        </wps:bodyPr>
                      </wps:wsp>
                      <wps:wsp>
                        <wps:cNvPr id="1779" name="Rounded Rectangle 1"/>
                        <wps:cNvSpPr>
                          <a:spLocks noChangeArrowheads="1"/>
                        </wps:cNvSpPr>
                        <wps:spPr bwMode="auto">
                          <a:xfrm>
                            <a:off x="2818" y="10984"/>
                            <a:ext cx="3922" cy="779"/>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06C2C79E" w14:textId="77777777" w:rsidR="004E3164" w:rsidRPr="00C03F6A" w:rsidRDefault="004E3164" w:rsidP="00F729A8">
                              <w:pPr>
                                <w:ind w:firstLine="0"/>
                                <w:jc w:val="center"/>
                                <w:rPr>
                                  <w:sz w:val="20"/>
                                </w:rPr>
                              </w:pPr>
                              <w:r w:rsidRPr="00C03F6A">
                                <w:rPr>
                                  <w:spacing w:val="10"/>
                                  <w:sz w:val="20"/>
                                </w:rPr>
                                <w:t>Управляващ орган на ОПТТИ</w:t>
                              </w:r>
                            </w:p>
                          </w:txbxContent>
                        </wps:txbx>
                        <wps:bodyPr rot="0" vert="horz" wrap="square" lIns="91440" tIns="45720" rIns="91440" bIns="45720" anchor="ctr" anchorCtr="0" upright="1">
                          <a:noAutofit/>
                        </wps:bodyPr>
                      </wps:wsp>
                      <wps:wsp>
                        <wps:cNvPr id="1780" name="Rounded Rectangle 1"/>
                        <wps:cNvSpPr>
                          <a:spLocks noChangeArrowheads="1"/>
                        </wps:cNvSpPr>
                        <wps:spPr bwMode="auto">
                          <a:xfrm>
                            <a:off x="1662" y="13963"/>
                            <a:ext cx="8703" cy="78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72F73C9D" w14:textId="77777777" w:rsidR="004E3164" w:rsidRPr="00C03F6A" w:rsidRDefault="004E3164" w:rsidP="00F729A8">
                              <w:pPr>
                                <w:ind w:firstLine="0"/>
                                <w:jc w:val="center"/>
                                <w:rPr>
                                  <w:sz w:val="20"/>
                                </w:rPr>
                              </w:pPr>
                              <w:r w:rsidRPr="00C03F6A">
                                <w:rPr>
                                  <w:spacing w:val="10"/>
                                  <w:sz w:val="20"/>
                                </w:rPr>
                                <w:t>Конкретни бенефициери по ОПТТИ</w:t>
                              </w:r>
                            </w:p>
                          </w:txbxContent>
                        </wps:txbx>
                        <wps:bodyPr rot="0" vert="horz" wrap="square" lIns="91440" tIns="45720" rIns="91440" bIns="45720" anchor="ctr" anchorCtr="0" upright="1">
                          <a:noAutofit/>
                        </wps:bodyPr>
                      </wps:wsp>
                      <wps:wsp>
                        <wps:cNvPr id="1781" name="Straight Arrow Connector 15"/>
                        <wps:cNvCnPr>
                          <a:cxnSpLocks/>
                        </wps:cNvCnPr>
                        <wps:spPr bwMode="auto">
                          <a:xfrm flipV="1">
                            <a:off x="4182" y="12237"/>
                            <a:ext cx="0" cy="1437"/>
                          </a:xfrm>
                          <a:prstGeom prst="straightConnector1">
                            <a:avLst/>
                          </a:prstGeom>
                          <a:noFill/>
                          <a:ln w="28575" algn="ctr">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1782" name="Straight Arrow Connector 18"/>
                        <wps:cNvCnPr>
                          <a:cxnSpLocks/>
                        </wps:cNvCnPr>
                        <wps:spPr bwMode="auto">
                          <a:xfrm flipV="1">
                            <a:off x="4535" y="12203"/>
                            <a:ext cx="0" cy="1438"/>
                          </a:xfrm>
                          <a:prstGeom prst="straightConnector1">
                            <a:avLst/>
                          </a:prstGeom>
                          <a:noFill/>
                          <a:ln w="28575" algn="ctr">
                            <a:solidFill>
                              <a:srgbClr val="C00000"/>
                            </a:solidFill>
                            <a:round/>
                            <a:headEnd type="triangle" w="med" len="med"/>
                            <a:tailEnd/>
                          </a:ln>
                          <a:extLst>
                            <a:ext uri="{909E8E84-426E-40DD-AFC4-6F175D3DCCD1}">
                              <a14:hiddenFill xmlns:a14="http://schemas.microsoft.com/office/drawing/2010/main">
                                <a:noFill/>
                              </a14:hiddenFill>
                            </a:ext>
                          </a:extLst>
                        </wps:spPr>
                        <wps:bodyPr/>
                      </wps:wsp>
                      <wps:wsp>
                        <wps:cNvPr id="1783" name="Flowchart: Document 31"/>
                        <wps:cNvSpPr>
                          <a:spLocks/>
                        </wps:cNvSpPr>
                        <wps:spPr bwMode="auto">
                          <a:xfrm>
                            <a:off x="9448" y="12118"/>
                            <a:ext cx="1139" cy="1425"/>
                          </a:xfrm>
                          <a:prstGeom prst="flowChartDocument">
                            <a:avLst/>
                          </a:prstGeom>
                          <a:solidFill>
                            <a:srgbClr val="FFFFFF"/>
                          </a:solidFill>
                          <a:ln w="9525" algn="ctr">
                            <a:solidFill>
                              <a:srgbClr val="C0504D"/>
                            </a:solidFill>
                            <a:prstDash val="sysDash"/>
                            <a:miter lim="800000"/>
                            <a:headEnd/>
                            <a:tailEnd/>
                          </a:ln>
                        </wps:spPr>
                        <wps:txbx>
                          <w:txbxContent>
                            <w:p w14:paraId="6FCCBF90" w14:textId="77777777" w:rsidR="004E3164" w:rsidRPr="00C03F6A" w:rsidRDefault="004E3164" w:rsidP="00F729A8">
                              <w:pPr>
                                <w:ind w:firstLine="0"/>
                                <w:jc w:val="center"/>
                                <w:rPr>
                                  <w:sz w:val="20"/>
                                </w:rPr>
                              </w:pPr>
                              <w:r w:rsidRPr="00C03F6A">
                                <w:rPr>
                                  <w:sz w:val="20"/>
                                </w:rPr>
                                <w:t>Доклад от одит на операциите</w:t>
                              </w:r>
                            </w:p>
                          </w:txbxContent>
                        </wps:txbx>
                        <wps:bodyPr rot="0" vert="horz" wrap="square" lIns="91440" tIns="45720" rIns="91440" bIns="45720" anchor="ctr" anchorCtr="0" upright="1">
                          <a:noAutofit/>
                        </wps:bodyPr>
                      </wps:wsp>
                      <wps:wsp>
                        <wps:cNvPr id="1784" name="Straight Arrow Connector 714"/>
                        <wps:cNvCnPr>
                          <a:cxnSpLocks/>
                        </wps:cNvCnPr>
                        <wps:spPr bwMode="auto">
                          <a:xfrm>
                            <a:off x="6735" y="11390"/>
                            <a:ext cx="1579" cy="0"/>
                          </a:xfrm>
                          <a:prstGeom prst="straightConnector1">
                            <a:avLst/>
                          </a:prstGeom>
                          <a:noFill/>
                          <a:ln w="28575" algn="ctr">
                            <a:solidFill>
                              <a:srgbClr val="C00000"/>
                            </a:solidFill>
                            <a:round/>
                            <a:headEnd type="triangle" w="med" len="med"/>
                            <a:tailEnd/>
                          </a:ln>
                          <a:extLst>
                            <a:ext uri="{909E8E84-426E-40DD-AFC4-6F175D3DCCD1}">
                              <a14:hiddenFill xmlns:a14="http://schemas.microsoft.com/office/drawing/2010/main">
                                <a:noFill/>
                              </a14:hiddenFill>
                            </a:ext>
                          </a:extLst>
                        </wps:spPr>
                        <wps:bodyPr/>
                      </wps:wsp>
                      <wps:wsp>
                        <wps:cNvPr id="1785" name="Rounded Rectangle 9"/>
                        <wps:cNvSpPr>
                          <a:spLocks noChangeArrowheads="1"/>
                        </wps:cNvSpPr>
                        <wps:spPr bwMode="auto">
                          <a:xfrm>
                            <a:off x="602" y="10865"/>
                            <a:ext cx="1684" cy="1031"/>
                          </a:xfrm>
                          <a:prstGeom prst="roundRect">
                            <a:avLst>
                              <a:gd name="adj" fmla="val 16667"/>
                            </a:avLst>
                          </a:prstGeom>
                          <a:gradFill rotWithShape="1">
                            <a:gsLst>
                              <a:gs pos="0">
                                <a:srgbClr val="FFA2A1"/>
                              </a:gs>
                              <a:gs pos="35001">
                                <a:srgbClr val="FFBEBD"/>
                              </a:gs>
                              <a:gs pos="100000">
                                <a:srgbClr val="FFE5E5"/>
                              </a:gs>
                            </a:gsLst>
                            <a:lin ang="16200000" scaled="1"/>
                          </a:gradFill>
                          <a:ln w="9525" algn="ctr">
                            <a:solidFill>
                              <a:srgbClr val="BE4B48"/>
                            </a:solidFill>
                            <a:round/>
                            <a:headEnd/>
                            <a:tailEnd/>
                          </a:ln>
                          <a:effectLst>
                            <a:outerShdw blurRad="40000" dist="20000" dir="5400000" rotWithShape="0">
                              <a:srgbClr val="000000">
                                <a:alpha val="37999"/>
                              </a:srgbClr>
                            </a:outerShdw>
                          </a:effectLst>
                        </wps:spPr>
                        <wps:txbx>
                          <w:txbxContent>
                            <w:p w14:paraId="0A30F77F" w14:textId="77777777" w:rsidR="004E3164" w:rsidRPr="00C03F6A" w:rsidRDefault="004E3164" w:rsidP="00F729A8">
                              <w:pPr>
                                <w:ind w:firstLine="0"/>
                                <w:jc w:val="center"/>
                                <w:rPr>
                                  <w:sz w:val="20"/>
                                </w:rPr>
                              </w:pPr>
                              <w:r w:rsidRPr="00C03F6A">
                                <w:rPr>
                                  <w:sz w:val="20"/>
                                </w:rPr>
                                <w:t>Вътрешен контрол (МТС)</w:t>
                              </w:r>
                            </w:p>
                          </w:txbxContent>
                        </wps:txbx>
                        <wps:bodyPr rot="0" vert="horz" wrap="square" lIns="91440" tIns="45720" rIns="91440" bIns="45720" anchor="ctr" anchorCtr="0" upright="1">
                          <a:noAutofit/>
                        </wps:bodyPr>
                      </wps:wsp>
                      <wps:wsp>
                        <wps:cNvPr id="1786" name="Straight Arrow Connector 5"/>
                        <wps:cNvCnPr>
                          <a:cxnSpLocks/>
                        </wps:cNvCnPr>
                        <wps:spPr bwMode="auto">
                          <a:xfrm flipV="1">
                            <a:off x="2304" y="11373"/>
                            <a:ext cx="521" cy="1"/>
                          </a:xfrm>
                          <a:prstGeom prst="straightConnector1">
                            <a:avLst/>
                          </a:prstGeom>
                          <a:noFill/>
                          <a:ln w="28575" algn="ctr">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1787" name="Straight Arrow Connector 26"/>
                        <wps:cNvCnPr>
                          <a:cxnSpLocks/>
                        </wps:cNvCnPr>
                        <wps:spPr bwMode="auto">
                          <a:xfrm flipV="1">
                            <a:off x="4889" y="9308"/>
                            <a:ext cx="0" cy="1438"/>
                          </a:xfrm>
                          <a:prstGeom prst="straightConnector1">
                            <a:avLst/>
                          </a:prstGeom>
                          <a:noFill/>
                          <a:ln w="28575" algn="ctr">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1789" name="Straight Arrow Connector 28"/>
                        <wps:cNvCnPr>
                          <a:cxnSpLocks/>
                        </wps:cNvCnPr>
                        <wps:spPr bwMode="auto">
                          <a:xfrm flipV="1">
                            <a:off x="5194" y="9274"/>
                            <a:ext cx="0" cy="1438"/>
                          </a:xfrm>
                          <a:prstGeom prst="straightConnector1">
                            <a:avLst/>
                          </a:prstGeom>
                          <a:noFill/>
                          <a:ln w="28575" algn="ctr">
                            <a:solidFill>
                              <a:srgbClr val="C00000"/>
                            </a:solidFill>
                            <a:round/>
                            <a:headEnd type="triangle" w="med" len="med"/>
                            <a:tailEnd/>
                          </a:ln>
                          <a:extLst>
                            <a:ext uri="{909E8E84-426E-40DD-AFC4-6F175D3DCCD1}">
                              <a14:hiddenFill xmlns:a14="http://schemas.microsoft.com/office/drawing/2010/main">
                                <a:noFill/>
                              </a14:hiddenFill>
                            </a:ext>
                          </a:extLst>
                        </wps:spPr>
                        <wps:bodyPr/>
                      </wps:wsp>
                      <wps:wsp>
                        <wps:cNvPr id="1790" name="Straight Arrow Connector 30"/>
                        <wps:cNvCnPr>
                          <a:cxnSpLocks/>
                        </wps:cNvCnPr>
                        <wps:spPr bwMode="auto">
                          <a:xfrm flipV="1">
                            <a:off x="9239" y="8699"/>
                            <a:ext cx="0" cy="5237"/>
                          </a:xfrm>
                          <a:prstGeom prst="straightConnector1">
                            <a:avLst/>
                          </a:prstGeom>
                          <a:noFill/>
                          <a:ln w="28575" algn="ctr">
                            <a:solidFill>
                              <a:srgbClr val="C00000"/>
                            </a:solidFill>
                            <a:round/>
                            <a:headEnd type="triangle" w="med" len="med"/>
                            <a:tailEnd/>
                          </a:ln>
                          <a:extLst>
                            <a:ext uri="{909E8E84-426E-40DD-AFC4-6F175D3DCCD1}">
                              <a14:hiddenFill xmlns:a14="http://schemas.microsoft.com/office/drawing/2010/main">
                                <a:noFill/>
                              </a14:hiddenFill>
                            </a:ext>
                          </a:extLst>
                        </wps:spPr>
                        <wps:bodyPr/>
                      </wps:wsp>
                      <wps:wsp>
                        <wps:cNvPr id="1791" name="Flowchart: Document 711"/>
                        <wps:cNvSpPr>
                          <a:spLocks/>
                        </wps:cNvSpPr>
                        <wps:spPr bwMode="auto">
                          <a:xfrm>
                            <a:off x="7634" y="9816"/>
                            <a:ext cx="1313" cy="1260"/>
                          </a:xfrm>
                          <a:prstGeom prst="flowChartDocument">
                            <a:avLst/>
                          </a:prstGeom>
                          <a:solidFill>
                            <a:srgbClr val="FFFFFF"/>
                          </a:solidFill>
                          <a:ln w="9525" algn="ctr">
                            <a:solidFill>
                              <a:srgbClr val="C0504D"/>
                            </a:solidFill>
                            <a:prstDash val="sysDash"/>
                            <a:miter lim="800000"/>
                            <a:headEnd/>
                            <a:tailEnd/>
                          </a:ln>
                        </wps:spPr>
                        <wps:txbx>
                          <w:txbxContent>
                            <w:p w14:paraId="18F870B4" w14:textId="77777777" w:rsidR="004E3164" w:rsidRPr="00C03F6A" w:rsidRDefault="004E3164" w:rsidP="00F729A8">
                              <w:pPr>
                                <w:ind w:firstLine="0"/>
                                <w:jc w:val="center"/>
                                <w:rPr>
                                  <w:sz w:val="20"/>
                                </w:rPr>
                              </w:pPr>
                              <w:r w:rsidRPr="00C03F6A">
                                <w:rPr>
                                  <w:sz w:val="20"/>
                                </w:rPr>
                                <w:t>Доклад от одит на системите</w:t>
                              </w:r>
                            </w:p>
                          </w:txbxContent>
                        </wps:txbx>
                        <wps:bodyPr rot="0" vert="horz" wrap="square" lIns="91440" tIns="45720" rIns="91440" bIns="45720" anchor="ctr" anchorCtr="0" upright="1">
                          <a:noAutofit/>
                        </wps:bodyPr>
                      </wps:wsp>
                      <wps:wsp>
                        <wps:cNvPr id="1568" name="Straight Arrow Connector 713"/>
                        <wps:cNvCnPr>
                          <a:cxnSpLocks/>
                        </wps:cNvCnPr>
                        <wps:spPr bwMode="auto">
                          <a:xfrm flipV="1">
                            <a:off x="7393" y="7954"/>
                            <a:ext cx="0" cy="3427"/>
                          </a:xfrm>
                          <a:prstGeom prst="straightConnector1">
                            <a:avLst/>
                          </a:prstGeom>
                          <a:noFill/>
                          <a:ln w="28575" algn="ctr">
                            <a:solidFill>
                              <a:srgbClr val="C00000"/>
                            </a:solidFill>
                            <a:round/>
                            <a:headEnd/>
                            <a:tailEnd/>
                          </a:ln>
                          <a:extLst>
                            <a:ext uri="{909E8E84-426E-40DD-AFC4-6F175D3DCCD1}">
                              <a14:hiddenFill xmlns:a14="http://schemas.microsoft.com/office/drawing/2010/main">
                                <a:noFill/>
                              </a14:hiddenFill>
                            </a:ext>
                          </a:extLst>
                        </wps:spPr>
                        <wps:bodyPr/>
                      </wps:wsp>
                      <wps:wsp>
                        <wps:cNvPr id="1569" name="Oval 693"/>
                        <wps:cNvSpPr>
                          <a:spLocks/>
                        </wps:cNvSpPr>
                        <wps:spPr bwMode="auto">
                          <a:xfrm>
                            <a:off x="6639" y="8868"/>
                            <a:ext cx="1665" cy="958"/>
                          </a:xfrm>
                          <a:prstGeom prst="ellipse">
                            <a:avLst/>
                          </a:prstGeom>
                          <a:solidFill>
                            <a:srgbClr val="FFFFFF"/>
                          </a:solidFill>
                          <a:ln w="25400" algn="ctr">
                            <a:solidFill>
                              <a:srgbClr val="C0504D"/>
                            </a:solidFill>
                            <a:round/>
                            <a:headEnd/>
                            <a:tailEnd/>
                          </a:ln>
                        </wps:spPr>
                        <wps:txbx>
                          <w:txbxContent>
                            <w:p w14:paraId="75353BE8" w14:textId="77777777" w:rsidR="004E3164" w:rsidRPr="00C03F6A" w:rsidRDefault="004E3164" w:rsidP="00F729A8">
                              <w:pPr>
                                <w:ind w:firstLine="0"/>
                                <w:jc w:val="center"/>
                                <w:rPr>
                                  <w:sz w:val="20"/>
                                </w:rPr>
                              </w:pPr>
                              <w:r w:rsidRPr="00C03F6A">
                                <w:rPr>
                                  <w:sz w:val="20"/>
                                </w:rPr>
                                <w:t>Одит на системите</w:t>
                              </w:r>
                            </w:p>
                          </w:txbxContent>
                        </wps:txbx>
                        <wps:bodyPr rot="0" vert="horz" wrap="square" lIns="91440" tIns="45720" rIns="91440" bIns="45720" anchor="ctr" anchorCtr="0" upright="1">
                          <a:noAutofit/>
                        </wps:bodyPr>
                      </wps:wsp>
                      <wps:wsp>
                        <wps:cNvPr id="1570" name="Straight Arrow Connector 698"/>
                        <wps:cNvCnPr>
                          <a:cxnSpLocks/>
                        </wps:cNvCnPr>
                        <wps:spPr bwMode="auto">
                          <a:xfrm flipV="1">
                            <a:off x="3267" y="9291"/>
                            <a:ext cx="0" cy="1438"/>
                          </a:xfrm>
                          <a:prstGeom prst="straightConnector1">
                            <a:avLst/>
                          </a:prstGeom>
                          <a:noFill/>
                          <a:ln w="28575" algn="ctr">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1571" name="Text Box 4"/>
                        <wps:cNvSpPr txBox="1">
                          <a:spLocks noChangeArrowheads="1"/>
                        </wps:cNvSpPr>
                        <wps:spPr bwMode="auto">
                          <a:xfrm>
                            <a:off x="1710" y="9240"/>
                            <a:ext cx="1242" cy="1473"/>
                          </a:xfrm>
                          <a:prstGeom prst="rect">
                            <a:avLst/>
                          </a:prstGeom>
                          <a:solidFill>
                            <a:srgbClr val="FFFFFF"/>
                          </a:solidFill>
                          <a:ln w="6350">
                            <a:solidFill>
                              <a:srgbClr val="FFFFFF"/>
                            </a:solidFill>
                            <a:miter lim="800000"/>
                            <a:headEnd/>
                            <a:tailEnd/>
                          </a:ln>
                        </wps:spPr>
                        <wps:txbx>
                          <w:txbxContent>
                            <w:p w14:paraId="6B67884E" w14:textId="77777777" w:rsidR="004E3164" w:rsidRPr="00C03F6A" w:rsidRDefault="004E3164" w:rsidP="00F729A8">
                              <w:pPr>
                                <w:ind w:firstLine="0"/>
                                <w:jc w:val="center"/>
                                <w:rPr>
                                  <w:color w:val="1F497D"/>
                                  <w:sz w:val="20"/>
                                </w:rPr>
                              </w:pPr>
                              <w:r w:rsidRPr="00C03F6A">
                                <w:rPr>
                                  <w:color w:val="1F497D"/>
                                  <w:sz w:val="20"/>
                                </w:rPr>
                                <w:t>Отчитане на изпълнението на ниво програма</w:t>
                              </w:r>
                            </w:p>
                          </w:txbxContent>
                        </wps:txbx>
                        <wps:bodyPr rot="0" vert="vert270" wrap="square" lIns="91440" tIns="45720" rIns="91440" bIns="45720" anchor="t" anchorCtr="0" upright="1">
                          <a:noAutofit/>
                        </wps:bodyPr>
                      </wps:wsp>
                      <wps:wsp>
                        <wps:cNvPr id="1572" name="Rounded Rectangle 1"/>
                        <wps:cNvSpPr>
                          <a:spLocks noChangeArrowheads="1"/>
                        </wps:cNvSpPr>
                        <wps:spPr bwMode="auto">
                          <a:xfrm>
                            <a:off x="4054" y="6870"/>
                            <a:ext cx="2389" cy="1997"/>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576169AC" w14:textId="77777777" w:rsidR="004E3164" w:rsidRPr="00C03F6A" w:rsidRDefault="004E3164" w:rsidP="00F729A8">
                              <w:pPr>
                                <w:ind w:firstLine="0"/>
                                <w:jc w:val="center"/>
                                <w:rPr>
                                  <w:spacing w:val="10"/>
                                  <w:sz w:val="20"/>
                                </w:rPr>
                              </w:pPr>
                              <w:r w:rsidRPr="00C03F6A">
                                <w:rPr>
                                  <w:spacing w:val="10"/>
                                  <w:sz w:val="20"/>
                                </w:rPr>
                                <w:t>Сертифициращ орган</w:t>
                              </w:r>
                            </w:p>
                            <w:p w14:paraId="4F1FC805" w14:textId="77777777" w:rsidR="004E3164" w:rsidRPr="00C03F6A" w:rsidRDefault="004E3164" w:rsidP="00F729A8">
                              <w:pPr>
                                <w:ind w:firstLine="0"/>
                                <w:jc w:val="center"/>
                                <w:rPr>
                                  <w:sz w:val="20"/>
                                </w:rPr>
                              </w:pPr>
                              <w:r w:rsidRPr="00C03F6A">
                                <w:rPr>
                                  <w:spacing w:val="10"/>
                                  <w:sz w:val="20"/>
                                </w:rPr>
                                <w:t>Дирекция „Национален фонд“ към Министерство на финансите</w:t>
                              </w:r>
                            </w:p>
                          </w:txbxContent>
                        </wps:txbx>
                        <wps:bodyPr rot="0" vert="horz" wrap="square" lIns="91440" tIns="45720" rIns="91440" bIns="45720" anchor="ctr" anchorCtr="0" upright="1">
                          <a:noAutofit/>
                        </wps:bodyPr>
                      </wps:wsp>
                      <wps:wsp>
                        <wps:cNvPr id="1573" name="Rounded Rectangle 1"/>
                        <wps:cNvSpPr>
                          <a:spLocks noChangeArrowheads="1"/>
                        </wps:cNvSpPr>
                        <wps:spPr bwMode="auto">
                          <a:xfrm>
                            <a:off x="8019" y="7310"/>
                            <a:ext cx="2446" cy="1313"/>
                          </a:xfrm>
                          <a:prstGeom prst="roundRect">
                            <a:avLst>
                              <a:gd name="adj" fmla="val 16667"/>
                            </a:avLst>
                          </a:prstGeom>
                          <a:gradFill rotWithShape="1">
                            <a:gsLst>
                              <a:gs pos="0">
                                <a:srgbClr val="FFA2A1"/>
                              </a:gs>
                              <a:gs pos="35001">
                                <a:srgbClr val="FFBEBD"/>
                              </a:gs>
                              <a:gs pos="100000">
                                <a:srgbClr val="FFE5E5"/>
                              </a:gs>
                            </a:gsLst>
                            <a:lin ang="16200000" scaled="1"/>
                          </a:gradFill>
                          <a:ln w="9525" algn="ctr">
                            <a:solidFill>
                              <a:srgbClr val="BE4B48"/>
                            </a:solidFill>
                            <a:round/>
                            <a:headEnd/>
                            <a:tailEnd/>
                          </a:ln>
                          <a:effectLst>
                            <a:outerShdw blurRad="40000" dist="20000" dir="5400000" rotWithShape="0">
                              <a:srgbClr val="000000">
                                <a:alpha val="37999"/>
                              </a:srgbClr>
                            </a:outerShdw>
                          </a:effectLst>
                        </wps:spPr>
                        <wps:txbx>
                          <w:txbxContent>
                            <w:p w14:paraId="4448A61B" w14:textId="77777777" w:rsidR="004E3164" w:rsidRPr="00C03F6A" w:rsidRDefault="004E3164" w:rsidP="00F729A8">
                              <w:pPr>
                                <w:ind w:firstLine="0"/>
                                <w:jc w:val="center"/>
                                <w:rPr>
                                  <w:spacing w:val="10"/>
                                  <w:sz w:val="20"/>
                                </w:rPr>
                              </w:pPr>
                              <w:r w:rsidRPr="00C03F6A">
                                <w:rPr>
                                  <w:spacing w:val="10"/>
                                  <w:sz w:val="20"/>
                                </w:rPr>
                                <w:t>Одитен орган</w:t>
                              </w:r>
                            </w:p>
                            <w:p w14:paraId="32193586" w14:textId="77777777" w:rsidR="004E3164" w:rsidRPr="00C03F6A" w:rsidRDefault="004E3164" w:rsidP="00F729A8">
                              <w:pPr>
                                <w:ind w:firstLine="0"/>
                                <w:jc w:val="center"/>
                                <w:rPr>
                                  <w:sz w:val="20"/>
                                </w:rPr>
                              </w:pPr>
                              <w:r w:rsidRPr="00C03F6A">
                                <w:rPr>
                                  <w:spacing w:val="10"/>
                                  <w:sz w:val="20"/>
                                </w:rPr>
                                <w:t>ИА „ОСЕС“</w:t>
                              </w:r>
                            </w:p>
                            <w:p w14:paraId="0C2715BF" w14:textId="77777777" w:rsidR="004E3164" w:rsidRPr="00C03F6A" w:rsidRDefault="004E3164" w:rsidP="00F729A8">
                              <w:pPr>
                                <w:ind w:firstLine="0"/>
                                <w:jc w:val="center"/>
                                <w:rPr>
                                  <w:sz w:val="20"/>
                                </w:rPr>
                              </w:pPr>
                            </w:p>
                          </w:txbxContent>
                        </wps:txbx>
                        <wps:bodyPr rot="0" vert="horz" wrap="square" lIns="91440" tIns="45720" rIns="91440" bIns="45720" anchor="ctr" anchorCtr="0" upright="1">
                          <a:noAutofit/>
                        </wps:bodyPr>
                      </wps:wsp>
                      <wps:wsp>
                        <wps:cNvPr id="1574" name="Rounded Rectangle 1"/>
                        <wps:cNvSpPr>
                          <a:spLocks noChangeArrowheads="1"/>
                        </wps:cNvSpPr>
                        <wps:spPr bwMode="auto">
                          <a:xfrm>
                            <a:off x="586" y="7158"/>
                            <a:ext cx="1453" cy="132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2D4AC2EA" w14:textId="77777777" w:rsidR="004E3164" w:rsidRPr="00C03F6A" w:rsidRDefault="004E3164" w:rsidP="00F729A8">
                              <w:pPr>
                                <w:ind w:firstLine="0"/>
                                <w:jc w:val="center"/>
                                <w:rPr>
                                  <w:spacing w:val="10"/>
                                  <w:sz w:val="20"/>
                                </w:rPr>
                              </w:pPr>
                              <w:r w:rsidRPr="00C03F6A">
                                <w:rPr>
                                  <w:spacing w:val="10"/>
                                  <w:sz w:val="20"/>
                                </w:rPr>
                                <w:t>СКУСЕС</w:t>
                              </w:r>
                            </w:p>
                            <w:p w14:paraId="28244B73" w14:textId="77777777" w:rsidR="004E3164" w:rsidRPr="00C03F6A" w:rsidRDefault="004E3164" w:rsidP="00F729A8">
                              <w:pPr>
                                <w:ind w:firstLine="0"/>
                                <w:jc w:val="center"/>
                                <w:rPr>
                                  <w:i/>
                                  <w:sz w:val="20"/>
                                </w:rPr>
                              </w:pPr>
                              <w:r w:rsidRPr="00C03F6A">
                                <w:rPr>
                                  <w:i/>
                                  <w:spacing w:val="10"/>
                                  <w:sz w:val="20"/>
                                </w:rPr>
                                <w:t>(съгласува доклада)</w:t>
                              </w:r>
                            </w:p>
                          </w:txbxContent>
                        </wps:txbx>
                        <wps:bodyPr rot="0" vert="horz" wrap="square" lIns="91440" tIns="45720" rIns="91440" bIns="45720" anchor="ctr" anchorCtr="0" upright="1">
                          <a:noAutofit/>
                        </wps:bodyPr>
                      </wps:wsp>
                      <wps:wsp>
                        <wps:cNvPr id="1575" name="Straight Arrow Connector 704"/>
                        <wps:cNvCnPr>
                          <a:cxnSpLocks/>
                        </wps:cNvCnPr>
                        <wps:spPr bwMode="auto">
                          <a:xfrm>
                            <a:off x="6446" y="7953"/>
                            <a:ext cx="1582" cy="0"/>
                          </a:xfrm>
                          <a:prstGeom prst="straightConnector1">
                            <a:avLst/>
                          </a:prstGeom>
                          <a:noFill/>
                          <a:ln w="28575" algn="ctr">
                            <a:solidFill>
                              <a:srgbClr val="C00000"/>
                            </a:solidFill>
                            <a:round/>
                            <a:headEnd type="triangle" w="med" len="med"/>
                            <a:tailEnd/>
                          </a:ln>
                          <a:extLst>
                            <a:ext uri="{909E8E84-426E-40DD-AFC4-6F175D3DCCD1}">
                              <a14:hiddenFill xmlns:a14="http://schemas.microsoft.com/office/drawing/2010/main">
                                <a:noFill/>
                              </a14:hiddenFill>
                            </a:ext>
                          </a:extLst>
                        </wps:spPr>
                        <wps:bodyPr/>
                      </wps:wsp>
                      <wps:wsp>
                        <wps:cNvPr id="1576" name="Rounded Rectangle 1"/>
                        <wps:cNvSpPr>
                          <a:spLocks noChangeArrowheads="1"/>
                        </wps:cNvSpPr>
                        <wps:spPr bwMode="auto">
                          <a:xfrm>
                            <a:off x="2368" y="7073"/>
                            <a:ext cx="1578" cy="1387"/>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2C84B752" w14:textId="77777777" w:rsidR="004E3164" w:rsidRPr="00C03F6A" w:rsidRDefault="004E3164" w:rsidP="00F729A8">
                              <w:pPr>
                                <w:ind w:firstLine="0"/>
                                <w:jc w:val="center"/>
                                <w:rPr>
                                  <w:spacing w:val="10"/>
                                  <w:sz w:val="20"/>
                                </w:rPr>
                              </w:pPr>
                              <w:r w:rsidRPr="00C03F6A">
                                <w:rPr>
                                  <w:spacing w:val="10"/>
                                  <w:sz w:val="20"/>
                                </w:rPr>
                                <w:t>КН на ОПТТИ</w:t>
                              </w:r>
                            </w:p>
                            <w:p w14:paraId="7A798719" w14:textId="77777777" w:rsidR="004E3164" w:rsidRPr="00C03F6A" w:rsidRDefault="004E3164" w:rsidP="00F729A8">
                              <w:pPr>
                                <w:ind w:firstLine="0"/>
                                <w:jc w:val="center"/>
                                <w:rPr>
                                  <w:i/>
                                  <w:spacing w:val="10"/>
                                  <w:sz w:val="20"/>
                                </w:rPr>
                              </w:pPr>
                              <w:r w:rsidRPr="00C03F6A">
                                <w:rPr>
                                  <w:i/>
                                  <w:spacing w:val="10"/>
                                  <w:sz w:val="20"/>
                                </w:rPr>
                                <w:t>(одобрява доклада)</w:t>
                              </w:r>
                            </w:p>
                          </w:txbxContent>
                        </wps:txbx>
                        <wps:bodyPr rot="0" vert="horz" wrap="square" lIns="91440" tIns="45720" rIns="91440" bIns="45720" anchor="ctr" anchorCtr="0" upright="1">
                          <a:noAutofit/>
                        </wps:bodyPr>
                      </wps:wsp>
                      <wps:wsp>
                        <wps:cNvPr id="1577" name="Straight Arrow Connector 1910"/>
                        <wps:cNvCnPr>
                          <a:cxnSpLocks/>
                        </wps:cNvCnPr>
                        <wps:spPr bwMode="auto">
                          <a:xfrm flipV="1">
                            <a:off x="9384" y="3332"/>
                            <a:ext cx="0" cy="2216"/>
                          </a:xfrm>
                          <a:prstGeom prst="straightConnector1">
                            <a:avLst/>
                          </a:prstGeom>
                          <a:noFill/>
                          <a:ln w="28575" algn="ctr">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1578" name="Flowchart: Multidocument 2017"/>
                        <wps:cNvSpPr>
                          <a:spLocks/>
                        </wps:cNvSpPr>
                        <wps:spPr bwMode="auto">
                          <a:xfrm>
                            <a:off x="7634" y="5888"/>
                            <a:ext cx="1601" cy="1208"/>
                          </a:xfrm>
                          <a:prstGeom prst="flowChartMultidocument">
                            <a:avLst/>
                          </a:prstGeom>
                          <a:solidFill>
                            <a:srgbClr val="FFFFFF"/>
                          </a:solidFill>
                          <a:ln w="9525" algn="ctr">
                            <a:solidFill>
                              <a:srgbClr val="C0504D"/>
                            </a:solidFill>
                            <a:prstDash val="sysDash"/>
                            <a:miter lim="800000"/>
                            <a:headEnd/>
                            <a:tailEnd/>
                          </a:ln>
                        </wps:spPr>
                        <wps:txbx>
                          <w:txbxContent>
                            <w:p w14:paraId="0630149F" w14:textId="77777777" w:rsidR="004E3164" w:rsidRPr="00C03F6A" w:rsidRDefault="004E3164" w:rsidP="00F729A8">
                              <w:pPr>
                                <w:ind w:firstLine="0"/>
                                <w:jc w:val="center"/>
                                <w:rPr>
                                  <w:sz w:val="20"/>
                                </w:rPr>
                              </w:pPr>
                              <w:r w:rsidRPr="00C03F6A">
                                <w:rPr>
                                  <w:sz w:val="20"/>
                                </w:rPr>
                                <w:t>Доклад от одит на операциите</w:t>
                              </w:r>
                            </w:p>
                            <w:p w14:paraId="7D93BD13" w14:textId="77777777" w:rsidR="004E3164" w:rsidRPr="00C03F6A" w:rsidRDefault="004E3164" w:rsidP="00F729A8">
                              <w:pPr>
                                <w:ind w:firstLine="0"/>
                                <w:jc w:val="center"/>
                                <w:rPr>
                                  <w:sz w:val="20"/>
                                </w:rPr>
                              </w:pPr>
                            </w:p>
                          </w:txbxContent>
                        </wps:txbx>
                        <wps:bodyPr rot="0" vert="horz" wrap="square" lIns="91440" tIns="45720" rIns="91440" bIns="45720" anchor="ctr" anchorCtr="0" upright="1">
                          <a:noAutofit/>
                        </wps:bodyPr>
                      </wps:wsp>
                      <wps:wsp>
                        <wps:cNvPr id="1579" name="Text Box 4"/>
                        <wps:cNvSpPr txBox="1">
                          <a:spLocks noChangeArrowheads="1"/>
                        </wps:cNvSpPr>
                        <wps:spPr bwMode="auto">
                          <a:xfrm>
                            <a:off x="6061" y="5380"/>
                            <a:ext cx="1194" cy="1473"/>
                          </a:xfrm>
                          <a:prstGeom prst="rect">
                            <a:avLst/>
                          </a:prstGeom>
                          <a:solidFill>
                            <a:srgbClr val="FFFFFF"/>
                          </a:solidFill>
                          <a:ln w="6350">
                            <a:solidFill>
                              <a:srgbClr val="FFFFFF"/>
                            </a:solidFill>
                            <a:miter lim="800000"/>
                            <a:headEnd/>
                            <a:tailEnd/>
                          </a:ln>
                        </wps:spPr>
                        <wps:txbx>
                          <w:txbxContent>
                            <w:p w14:paraId="7571FB81" w14:textId="77777777" w:rsidR="004E3164" w:rsidRPr="00C03F6A" w:rsidRDefault="004E3164" w:rsidP="00F729A8">
                              <w:pPr>
                                <w:ind w:firstLine="0"/>
                                <w:jc w:val="center"/>
                                <w:rPr>
                                  <w:color w:val="C00000"/>
                                  <w:sz w:val="20"/>
                                </w:rPr>
                              </w:pPr>
                              <w:r w:rsidRPr="00C03F6A">
                                <w:rPr>
                                  <w:color w:val="C00000"/>
                                  <w:sz w:val="20"/>
                                </w:rPr>
                                <w:t>Докладване на финансови корекции на ниво програма</w:t>
                              </w:r>
                            </w:p>
                          </w:txbxContent>
                        </wps:txbx>
                        <wps:bodyPr rot="0" vert="vert270" wrap="square" lIns="91440" tIns="45720" rIns="91440" bIns="45720" anchor="t" anchorCtr="0" upright="1">
                          <a:noAutofit/>
                        </wps:bodyPr>
                      </wps:wsp>
                      <wpg:grpSp>
                        <wpg:cNvPr id="1580" name="Group 106"/>
                        <wpg:cNvGrpSpPr>
                          <a:grpSpLocks/>
                        </wpg:cNvGrpSpPr>
                        <wpg:grpSpPr bwMode="auto">
                          <a:xfrm>
                            <a:off x="705" y="3315"/>
                            <a:ext cx="5195" cy="3566"/>
                            <a:chOff x="-144526" y="0"/>
                            <a:chExt cx="3440619" cy="2239674"/>
                          </a:xfrm>
                        </wpg:grpSpPr>
                        <wps:wsp>
                          <wps:cNvPr id="1581" name="Straight Arrow Connector 1911"/>
                          <wps:cNvCnPr>
                            <a:cxnSpLocks/>
                          </wps:cNvCnPr>
                          <wps:spPr bwMode="auto">
                            <a:xfrm flipV="1">
                              <a:off x="3296093" y="0"/>
                              <a:ext cx="0" cy="2118995"/>
                            </a:xfrm>
                            <a:prstGeom prst="straightConnector1">
                              <a:avLst/>
                            </a:prstGeom>
                            <a:noFill/>
                            <a:ln w="28575" algn="ctr">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1582" name="Straight Arrow Connector 1912"/>
                          <wps:cNvCnPr>
                            <a:cxnSpLocks/>
                          </wps:cNvCnPr>
                          <wps:spPr bwMode="auto">
                            <a:xfrm flipV="1">
                              <a:off x="956931" y="0"/>
                              <a:ext cx="0" cy="2229485"/>
                            </a:xfrm>
                            <a:prstGeom prst="straightConnector1">
                              <a:avLst/>
                            </a:prstGeom>
                            <a:noFill/>
                            <a:ln w="28575" algn="ctr">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1583" name="Text Box 4"/>
                          <wps:cNvSpPr txBox="1">
                            <a:spLocks noChangeArrowheads="1"/>
                          </wps:cNvSpPr>
                          <wps:spPr bwMode="auto">
                            <a:xfrm>
                              <a:off x="-144526" y="1147474"/>
                              <a:ext cx="1013130" cy="1092200"/>
                            </a:xfrm>
                            <a:prstGeom prst="rect">
                              <a:avLst/>
                            </a:prstGeom>
                            <a:solidFill>
                              <a:srgbClr val="FFFFFF"/>
                            </a:solidFill>
                            <a:ln w="6350">
                              <a:solidFill>
                                <a:srgbClr val="FFFFFF"/>
                              </a:solidFill>
                              <a:miter lim="800000"/>
                              <a:headEnd/>
                              <a:tailEnd/>
                            </a:ln>
                          </wps:spPr>
                          <wps:txbx>
                            <w:txbxContent>
                              <w:p w14:paraId="646A2FA6" w14:textId="77777777" w:rsidR="004E3164" w:rsidRPr="00C03F6A" w:rsidRDefault="004E3164" w:rsidP="00F729A8">
                                <w:pPr>
                                  <w:ind w:firstLine="0"/>
                                  <w:jc w:val="center"/>
                                  <w:rPr>
                                    <w:color w:val="1F497D"/>
                                    <w:sz w:val="20"/>
                                    <w:lang w:val="en-US"/>
                                  </w:rPr>
                                </w:pPr>
                                <w:r w:rsidRPr="00C03F6A">
                                  <w:rPr>
                                    <w:color w:val="1F497D"/>
                                    <w:sz w:val="20"/>
                                  </w:rPr>
                                  <w:t xml:space="preserve">Изпращане на годишен доклад за изпълнение на програмата от УО чрез </w:t>
                                </w:r>
                                <w:r w:rsidRPr="00C03F6A">
                                  <w:rPr>
                                    <w:color w:val="1F497D"/>
                                    <w:sz w:val="20"/>
                                    <w:lang w:val="en-US"/>
                                  </w:rPr>
                                  <w:t>SFC 2014</w:t>
                                </w:r>
                              </w:p>
                            </w:txbxContent>
                          </wps:txbx>
                          <wps:bodyPr rot="0" vert="vert270" wrap="square" lIns="91440" tIns="45720" rIns="91440" bIns="45720" anchor="t" anchorCtr="0" upright="1">
                            <a:noAutofit/>
                          </wps:bodyPr>
                        </wps:wsp>
                      </wpg:grpSp>
                      <wps:wsp>
                        <wps:cNvPr id="1584" name="Flowchart: Multidocument 2016"/>
                        <wps:cNvSpPr>
                          <a:spLocks/>
                        </wps:cNvSpPr>
                        <wps:spPr bwMode="auto">
                          <a:xfrm>
                            <a:off x="9448" y="5888"/>
                            <a:ext cx="1601" cy="1208"/>
                          </a:xfrm>
                          <a:prstGeom prst="flowChartMultidocument">
                            <a:avLst/>
                          </a:prstGeom>
                          <a:solidFill>
                            <a:srgbClr val="FFFFFF"/>
                          </a:solidFill>
                          <a:ln w="9525" algn="ctr">
                            <a:solidFill>
                              <a:srgbClr val="C0504D"/>
                            </a:solidFill>
                            <a:prstDash val="sysDash"/>
                            <a:miter lim="800000"/>
                            <a:headEnd/>
                            <a:tailEnd/>
                          </a:ln>
                        </wps:spPr>
                        <wps:txbx>
                          <w:txbxContent>
                            <w:p w14:paraId="5F636B61" w14:textId="77777777" w:rsidR="004E3164" w:rsidRPr="00C03F6A" w:rsidRDefault="004E3164" w:rsidP="00F729A8">
                              <w:pPr>
                                <w:ind w:firstLine="0"/>
                                <w:jc w:val="center"/>
                                <w:rPr>
                                  <w:sz w:val="20"/>
                                </w:rPr>
                              </w:pPr>
                              <w:r w:rsidRPr="00C03F6A">
                                <w:rPr>
                                  <w:sz w:val="20"/>
                                </w:rPr>
                                <w:t>Доклад от одит на системите</w:t>
                              </w:r>
                            </w:p>
                            <w:p w14:paraId="041B44DB" w14:textId="77777777" w:rsidR="004E3164" w:rsidRPr="00C03F6A" w:rsidRDefault="004E3164" w:rsidP="00F729A8">
                              <w:pPr>
                                <w:ind w:firstLine="0"/>
                                <w:jc w:val="center"/>
                                <w:rPr>
                                  <w:sz w:val="20"/>
                                </w:rPr>
                              </w:pPr>
                            </w:p>
                          </w:txbxContent>
                        </wps:txbx>
                        <wps:bodyPr rot="0" vert="horz" wrap="square" lIns="91440" tIns="45720" rIns="91440" bIns="45720" anchor="ctr" anchorCtr="0" upright="1">
                          <a:noAutofit/>
                        </wps:bodyPr>
                      </wps:wsp>
                      <wps:wsp>
                        <wps:cNvPr id="1585" name="Straight Connector 253"/>
                        <wps:cNvCnPr>
                          <a:cxnSpLocks noChangeShapeType="1"/>
                        </wps:cNvCnPr>
                        <wps:spPr bwMode="auto">
                          <a:xfrm>
                            <a:off x="8437" y="5532"/>
                            <a:ext cx="1826" cy="2"/>
                          </a:xfrm>
                          <a:prstGeom prst="line">
                            <a:avLst/>
                          </a:prstGeom>
                          <a:noFill/>
                          <a:ln w="28575" algn="ctr">
                            <a:solidFill>
                              <a:srgbClr val="1F497D"/>
                            </a:solidFill>
                            <a:round/>
                            <a:headEnd/>
                            <a:tailEnd/>
                          </a:ln>
                          <a:extLst>
                            <a:ext uri="{909E8E84-426E-40DD-AFC4-6F175D3DCCD1}">
                              <a14:hiddenFill xmlns:a14="http://schemas.microsoft.com/office/drawing/2010/main">
                                <a:noFill/>
                              </a14:hiddenFill>
                            </a:ext>
                          </a:extLst>
                        </wps:spPr>
                        <wps:bodyPr/>
                      </wps:wsp>
                      <wps:wsp>
                        <wps:cNvPr id="1696" name="Straight Arrow Connector 254"/>
                        <wps:cNvCnPr>
                          <a:cxnSpLocks noChangeShapeType="1"/>
                        </wps:cNvCnPr>
                        <wps:spPr bwMode="auto">
                          <a:xfrm>
                            <a:off x="8437" y="5532"/>
                            <a:ext cx="0" cy="349"/>
                          </a:xfrm>
                          <a:prstGeom prst="straightConnector1">
                            <a:avLst/>
                          </a:prstGeom>
                          <a:noFill/>
                          <a:ln w="28575" algn="ctr">
                            <a:solidFill>
                              <a:srgbClr val="1F497D"/>
                            </a:solidFill>
                            <a:round/>
                            <a:headEnd/>
                            <a:tailEnd/>
                          </a:ln>
                          <a:extLst>
                            <a:ext uri="{909E8E84-426E-40DD-AFC4-6F175D3DCCD1}">
                              <a14:hiddenFill xmlns:a14="http://schemas.microsoft.com/office/drawing/2010/main">
                                <a:noFill/>
                              </a14:hiddenFill>
                            </a:ext>
                          </a:extLst>
                        </wps:spPr>
                        <wps:bodyPr/>
                      </wps:wsp>
                      <wps:wsp>
                        <wps:cNvPr id="1697" name="Straight Arrow Connector 9"/>
                        <wps:cNvCnPr>
                          <a:cxnSpLocks noChangeShapeType="1"/>
                        </wps:cNvCnPr>
                        <wps:spPr bwMode="auto">
                          <a:xfrm>
                            <a:off x="10267" y="5532"/>
                            <a:ext cx="0" cy="349"/>
                          </a:xfrm>
                          <a:prstGeom prst="straightConnector1">
                            <a:avLst/>
                          </a:prstGeom>
                          <a:noFill/>
                          <a:ln w="28575" algn="ctr">
                            <a:solidFill>
                              <a:srgbClr val="1F497D"/>
                            </a:solidFill>
                            <a:round/>
                            <a:headEnd/>
                            <a:tailEnd/>
                          </a:ln>
                          <a:extLst>
                            <a:ext uri="{909E8E84-426E-40DD-AFC4-6F175D3DCCD1}">
                              <a14:hiddenFill xmlns:a14="http://schemas.microsoft.com/office/drawing/2010/main">
                                <a:noFill/>
                              </a14:hiddenFill>
                            </a:ext>
                          </a:extLst>
                        </wps:spPr>
                        <wps:bodyPr/>
                      </wps:wsp>
                      <wps:wsp>
                        <wps:cNvPr id="1698" name="Straight Arrow Connector 2018"/>
                        <wps:cNvCnPr>
                          <a:cxnSpLocks noChangeShapeType="1"/>
                        </wps:cNvCnPr>
                        <wps:spPr bwMode="auto">
                          <a:xfrm flipV="1">
                            <a:off x="8421" y="6971"/>
                            <a:ext cx="0" cy="349"/>
                          </a:xfrm>
                          <a:prstGeom prst="straightConnector1">
                            <a:avLst/>
                          </a:prstGeom>
                          <a:noFill/>
                          <a:ln w="28575" algn="ctr">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1699" name="Straight Arrow Connector 691"/>
                        <wps:cNvCnPr>
                          <a:cxnSpLocks noChangeShapeType="1"/>
                        </wps:cNvCnPr>
                        <wps:spPr bwMode="auto">
                          <a:xfrm flipV="1">
                            <a:off x="10106" y="7073"/>
                            <a:ext cx="0" cy="242"/>
                          </a:xfrm>
                          <a:prstGeom prst="straightConnector1">
                            <a:avLst/>
                          </a:prstGeom>
                          <a:noFill/>
                          <a:ln w="28575" algn="ctr">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1700" name="AutoShape 7"/>
                        <wps:cNvSpPr>
                          <a:spLocks noChangeArrowheads="1"/>
                        </wps:cNvSpPr>
                        <wps:spPr bwMode="auto">
                          <a:xfrm>
                            <a:off x="3765" y="3806"/>
                            <a:ext cx="2020" cy="1171"/>
                          </a:xfrm>
                          <a:prstGeom prst="flowChartDocument">
                            <a:avLst/>
                          </a:prstGeom>
                          <a:solidFill>
                            <a:srgbClr val="FFFFFF"/>
                          </a:solidFill>
                          <a:ln w="12700" algn="ctr">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1D8088" w14:textId="77777777" w:rsidR="004E3164" w:rsidRPr="00C03F6A" w:rsidRDefault="004E3164" w:rsidP="00F729A8">
                              <w:pPr>
                                <w:ind w:firstLine="0"/>
                                <w:jc w:val="center"/>
                                <w:rPr>
                                  <w:sz w:val="20"/>
                                </w:rPr>
                              </w:pPr>
                              <w:r w:rsidRPr="00C03F6A">
                                <w:rPr>
                                  <w:sz w:val="20"/>
                                </w:rPr>
                                <w:t>Декларация на разходите</w:t>
                              </w:r>
                            </w:p>
                          </w:txbxContent>
                        </wps:txbx>
                        <wps:bodyPr rot="0" vert="horz" wrap="square" lIns="91440" tIns="45720" rIns="91440" bIns="45720" anchor="t" anchorCtr="0" upright="1">
                          <a:noAutofit/>
                        </wps:bodyPr>
                      </wps:wsp>
                      <wps:wsp>
                        <wps:cNvPr id="1701" name="AutoShape 7"/>
                        <wps:cNvSpPr>
                          <a:spLocks noChangeArrowheads="1"/>
                        </wps:cNvSpPr>
                        <wps:spPr bwMode="auto">
                          <a:xfrm>
                            <a:off x="6013" y="3789"/>
                            <a:ext cx="2020" cy="1190"/>
                          </a:xfrm>
                          <a:prstGeom prst="flowChartDocument">
                            <a:avLst/>
                          </a:prstGeom>
                          <a:solidFill>
                            <a:srgbClr val="FFFFFF"/>
                          </a:solidFill>
                          <a:ln w="12700" algn="ctr">
                            <a:solidFill>
                              <a:srgbClr val="C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EA6DAF" w14:textId="77777777" w:rsidR="004E3164" w:rsidRPr="00C03F6A" w:rsidRDefault="004E3164" w:rsidP="00F729A8">
                              <w:pPr>
                                <w:ind w:firstLine="0"/>
                                <w:jc w:val="center"/>
                                <w:rPr>
                                  <w:sz w:val="20"/>
                                </w:rPr>
                              </w:pPr>
                              <w:r w:rsidRPr="00C03F6A">
                                <w:rPr>
                                  <w:sz w:val="20"/>
                                </w:rPr>
                                <w:t>Доклад по финансовите корекции</w:t>
                              </w:r>
                            </w:p>
                          </w:txbxContent>
                        </wps:txbx>
                        <wps:bodyPr rot="0" vert="horz" wrap="square" lIns="91440" tIns="45720" rIns="91440" bIns="45720" anchor="t" anchorCtr="0" upright="1">
                          <a:noAutofit/>
                        </wps:bodyPr>
                      </wps:wsp>
                      <wps:wsp>
                        <wps:cNvPr id="1702" name="AutoShape 7"/>
                        <wps:cNvSpPr>
                          <a:spLocks noChangeArrowheads="1"/>
                        </wps:cNvSpPr>
                        <wps:spPr bwMode="auto">
                          <a:xfrm>
                            <a:off x="8084" y="3789"/>
                            <a:ext cx="2967" cy="1274"/>
                          </a:xfrm>
                          <a:prstGeom prst="flowChartDocument">
                            <a:avLst/>
                          </a:prstGeom>
                          <a:solidFill>
                            <a:srgbClr val="FFFFFF"/>
                          </a:solidFill>
                          <a:ln w="12700" algn="ctr">
                            <a:solidFill>
                              <a:srgbClr val="C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9081EA" w14:textId="77777777" w:rsidR="004E3164" w:rsidRPr="00C03F6A" w:rsidRDefault="004E3164" w:rsidP="00F729A8">
                              <w:pPr>
                                <w:ind w:firstLine="0"/>
                                <w:jc w:val="center"/>
                                <w:rPr>
                                  <w:sz w:val="20"/>
                                </w:rPr>
                              </w:pPr>
                              <w:r w:rsidRPr="00C03F6A">
                                <w:rPr>
                                  <w:sz w:val="20"/>
                                </w:rPr>
                                <w:t>Годишен контролен доклад и становище на одитния орган за ОПТТИ</w:t>
                              </w:r>
                            </w:p>
                          </w:txbxContent>
                        </wps:txbx>
                        <wps:bodyPr rot="0" vert="horz" wrap="square" lIns="91440" tIns="45720" rIns="91440" bIns="45720" anchor="t" anchorCtr="0" upright="1">
                          <a:noAutofit/>
                        </wps:bodyPr>
                      </wps:wsp>
                      <wps:wsp>
                        <wps:cNvPr id="1703" name="AutoShape 7"/>
                        <wps:cNvSpPr>
                          <a:spLocks noChangeArrowheads="1"/>
                        </wps:cNvSpPr>
                        <wps:spPr bwMode="auto">
                          <a:xfrm>
                            <a:off x="1437" y="3840"/>
                            <a:ext cx="2020" cy="1228"/>
                          </a:xfrm>
                          <a:prstGeom prst="flowChartDocument">
                            <a:avLst/>
                          </a:prstGeom>
                          <a:solidFill>
                            <a:srgbClr val="FFFFFF"/>
                          </a:solidFill>
                          <a:ln w="12700" algn="ctr">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516985" w14:textId="77777777" w:rsidR="004E3164" w:rsidRPr="00C03F6A" w:rsidRDefault="004E3164" w:rsidP="00F729A8">
                              <w:pPr>
                                <w:ind w:firstLine="0"/>
                                <w:jc w:val="center"/>
                                <w:rPr>
                                  <w:sz w:val="20"/>
                                </w:rPr>
                              </w:pPr>
                              <w:r w:rsidRPr="00C03F6A">
                                <w:rPr>
                                  <w:sz w:val="20"/>
                                </w:rPr>
                                <w:t>Годишен доклад за изпълнение на ОПТТИ</w:t>
                              </w:r>
                            </w:p>
                          </w:txbxContent>
                        </wps:txbx>
                        <wps:bodyPr rot="0" vert="horz" wrap="square" lIns="91440" tIns="45720" rIns="91440" bIns="45720" anchor="t" anchorCtr="0" upright="1">
                          <a:noAutofit/>
                        </wps:bodyPr>
                      </wps:wsp>
                      <wps:wsp>
                        <wps:cNvPr id="1704" name="Rounded Rectangle 1"/>
                        <wps:cNvSpPr>
                          <a:spLocks noChangeArrowheads="1"/>
                        </wps:cNvSpPr>
                        <wps:spPr bwMode="auto">
                          <a:xfrm>
                            <a:off x="1068" y="2553"/>
                            <a:ext cx="8940" cy="71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1DD63E58" w14:textId="77777777" w:rsidR="004E3164" w:rsidRPr="00C03F6A" w:rsidRDefault="004E3164" w:rsidP="00F729A8">
                              <w:pPr>
                                <w:ind w:firstLine="0"/>
                                <w:jc w:val="center"/>
                                <w:rPr>
                                  <w:sz w:val="20"/>
                                </w:rPr>
                              </w:pPr>
                              <w:r w:rsidRPr="00C03F6A">
                                <w:rPr>
                                  <w:spacing w:val="10"/>
                                  <w:sz w:val="20"/>
                                </w:rPr>
                                <w:t>Европейска комисия</w:t>
                              </w:r>
                            </w:p>
                          </w:txbxContent>
                        </wps:txbx>
                        <wps:bodyPr rot="0" vert="horz" wrap="square" lIns="91440" tIns="45720" rIns="91440" bIns="45720" anchor="ctr" anchorCtr="0" upright="1">
                          <a:noAutofit/>
                        </wps:bodyPr>
                      </wps:wsp>
                    </wpg:wgp>
                  </a:graphicData>
                </a:graphic>
              </wp:inline>
            </w:drawing>
          </mc:Choice>
          <mc:Fallback>
            <w:pict>
              <v:group w14:anchorId="522D5684" id="Group 887" o:spid="_x0000_s1155" style="width:523.25pt;height:609.5pt;mso-position-horizontal-relative:char;mso-position-vertical-relative:line" coordorigin="586,2553" coordsize="10465,1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">
                <v:shape id="Text Box 4" o:spid="_x0000_s1156" type="#_x0000_t202" style="position:absolute;left:2636;top:12172;width:112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" strokecolor="white" strokeweight=".5pt">
                  <v:textbox style="layout-flow:vertical;mso-layout-flow-alt:bottom-to-top">
                    <w:txbxContent>
                      <w:p w14:paraId="726A3440" w14:textId="77777777" w:rsidR="004E3164" w:rsidRPr="00C03F6A" w:rsidRDefault="004E3164" w:rsidP="00F729A8">
                        <w:pPr>
                          <w:ind w:firstLine="0"/>
                          <w:jc w:val="center"/>
                          <w:rPr>
                            <w:color w:val="1F497D"/>
                            <w:sz w:val="20"/>
                          </w:rPr>
                        </w:pPr>
                        <w:r w:rsidRPr="00C03F6A">
                          <w:rPr>
                            <w:color w:val="1F497D"/>
                            <w:sz w:val="20"/>
                          </w:rPr>
                          <w:t>Искане за плащане на проектно ниво</w:t>
                        </w:r>
                      </w:p>
                    </w:txbxContent>
                  </v:textbox>
                </v:shape>
                <v:shape id="Text Box 4" o:spid="_x0000_s1157" type="#_x0000_t202" style="position:absolute;left:4416;top:12173;width:140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" strokecolor="white" strokeweight=".5pt">
                  <v:textbox style="layout-flow:vertical;mso-layout-flow-alt:bottom-to-top">
                    <w:txbxContent>
                      <w:p w14:paraId="54D1D657" w14:textId="77777777" w:rsidR="004E3164" w:rsidRPr="00C03F6A" w:rsidRDefault="004E3164" w:rsidP="00F729A8">
                        <w:pPr>
                          <w:ind w:firstLine="0"/>
                          <w:jc w:val="center"/>
                          <w:rPr>
                            <w:color w:val="C00000"/>
                            <w:sz w:val="20"/>
                          </w:rPr>
                        </w:pPr>
                        <w:r w:rsidRPr="00C03F6A">
                          <w:rPr>
                            <w:color w:val="C00000"/>
                            <w:sz w:val="20"/>
                          </w:rPr>
                          <w:t>Проверка на Искане за плащане на проектно ниво</w:t>
                        </w:r>
                      </w:p>
                    </w:txbxContent>
                  </v:textbox>
                </v:shape>
                <v:shape id="Text Box 4" o:spid="_x0000_s1158" type="#_x0000_t202" style="position:absolute;left:3336;top:9277;width:96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" strokecolor="white" strokeweight=".5pt">
                  <v:textbox style="layout-flow:vertical;mso-layout-flow-alt:bottom-to-top">
                    <w:txbxContent>
                      <w:p w14:paraId="7A2CD61E" w14:textId="77777777" w:rsidR="004E3164" w:rsidRPr="00C03F6A" w:rsidRDefault="004E3164" w:rsidP="00F729A8">
                        <w:pPr>
                          <w:ind w:firstLine="0"/>
                          <w:jc w:val="center"/>
                          <w:rPr>
                            <w:color w:val="1F497D"/>
                            <w:sz w:val="20"/>
                          </w:rPr>
                        </w:pPr>
                        <w:r w:rsidRPr="00C03F6A">
                          <w:rPr>
                            <w:color w:val="1F497D"/>
                            <w:sz w:val="20"/>
                          </w:rPr>
                          <w:t>Искане за плащане на ниво програма</w:t>
                        </w:r>
                      </w:p>
                    </w:txbxContent>
                  </v:textbox>
                </v:shape>
                <v:shape id="Text Box 4" o:spid="_x0000_s1159" type="#_x0000_t202" style="position:absolute;left:5075;top:9295;width:1247;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" strokecolor="white" strokeweight=".5pt">
                  <v:textbox style="layout-flow:vertical;mso-layout-flow-alt:bottom-to-top">
                    <w:txbxContent>
                      <w:p w14:paraId="36F148CD" w14:textId="77777777" w:rsidR="004E3164" w:rsidRPr="00C03F6A" w:rsidRDefault="004E3164" w:rsidP="00F729A8">
                        <w:pPr>
                          <w:ind w:firstLine="0"/>
                          <w:jc w:val="center"/>
                          <w:rPr>
                            <w:color w:val="C00000"/>
                            <w:sz w:val="20"/>
                          </w:rPr>
                        </w:pPr>
                        <w:r w:rsidRPr="00C03F6A">
                          <w:rPr>
                            <w:color w:val="C00000"/>
                            <w:sz w:val="20"/>
                          </w:rPr>
                          <w:t>Проверка на Искане за плащане на ниво програма</w:t>
                        </w:r>
                      </w:p>
                    </w:txbxContent>
                  </v:textbox>
                </v:shape>
                <v:shape id="Text Box 4" o:spid="_x0000_s1160" type="#_x0000_t202" style="position:absolute;left:4353;top:4915;width:964;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" strokecolor="white" strokeweight=".5pt">
                  <v:textbox style="layout-flow:vertical;mso-layout-flow-alt:bottom-to-top">
                    <w:txbxContent>
                      <w:p w14:paraId="6E9FC754" w14:textId="77777777" w:rsidR="004E3164" w:rsidRPr="00C03F6A" w:rsidRDefault="004E3164" w:rsidP="00F729A8">
                        <w:pPr>
                          <w:ind w:firstLine="0"/>
                          <w:jc w:val="center"/>
                          <w:rPr>
                            <w:color w:val="1F497D"/>
                            <w:sz w:val="20"/>
                          </w:rPr>
                        </w:pPr>
                        <w:r w:rsidRPr="00C03F6A">
                          <w:rPr>
                            <w:color w:val="1F497D"/>
                            <w:sz w:val="20"/>
                          </w:rPr>
                          <w:t>Сертифициране на разходите на ниво програма</w:t>
                        </w:r>
                      </w:p>
                    </w:txbxContent>
                  </v:textbox>
                </v:shape>
                <v:oval id="Oval 29" o:spid="_x0000_s1161" style="position:absolute;left:8038;top:10848;width:1928;height: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" strokecolor="#c0504d" strokeweight="2pt">
                  <v:path arrowok="t"/>
                  <v:textbox>
                    <w:txbxContent>
                      <w:p w14:paraId="070564FA" w14:textId="77777777" w:rsidR="004E3164" w:rsidRPr="00C03F6A" w:rsidRDefault="004E3164" w:rsidP="00F729A8">
                        <w:pPr>
                          <w:ind w:firstLine="0"/>
                          <w:jc w:val="center"/>
                          <w:rPr>
                            <w:sz w:val="20"/>
                          </w:rPr>
                        </w:pPr>
                        <w:r w:rsidRPr="00C03F6A">
                          <w:rPr>
                            <w:sz w:val="20"/>
                          </w:rPr>
                          <w:t>Одит на операциите</w:t>
                        </w:r>
                      </w:p>
                    </w:txbxContent>
                  </v:textbox>
                </v:oval>
                <v:roundrect id="Rounded Rectangle 1" o:spid="_x0000_s1162" style="position:absolute;left:2818;top:10984;width:3922;height:7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" fillcolor="#a3c4ff" strokecolor="#4a7ebb">
                  <v:fill color2="#e5eeff" rotate="t" angle="180" colors="0 #a3c4ff;22938f #bfd5ff;1 #e5eeff" focus="100%" type="gradient"/>
                  <v:shadow on="t" color="black" opacity="24903f" origin=",.5" offset="0,.55556mm"/>
                  <v:textbox>
                    <w:txbxContent>
                      <w:p w14:paraId="06C2C79E" w14:textId="77777777" w:rsidR="004E3164" w:rsidRPr="00C03F6A" w:rsidRDefault="004E3164" w:rsidP="00F729A8">
                        <w:pPr>
                          <w:ind w:firstLine="0"/>
                          <w:jc w:val="center"/>
                          <w:rPr>
                            <w:sz w:val="20"/>
                          </w:rPr>
                        </w:pPr>
                        <w:r w:rsidRPr="00C03F6A">
                          <w:rPr>
                            <w:spacing w:val="10"/>
                            <w:sz w:val="20"/>
                          </w:rPr>
                          <w:t>Управляващ орган на ОПТТИ</w:t>
                        </w:r>
                      </w:p>
                    </w:txbxContent>
                  </v:textbox>
                </v:roundrect>
                <v:roundrect id="Rounded Rectangle 1" o:spid="_x0000_s1163" style="position:absolute;left:1662;top:13963;width:8703;height:7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" fillcolor="#a3c4ff" strokecolor="#4a7ebb">
                  <v:fill color2="#e5eeff" rotate="t" angle="180" colors="0 #a3c4ff;22938f #bfd5ff;1 #e5eeff" focus="100%" type="gradient"/>
                  <v:shadow on="t" color="black" opacity="24903f" origin=",.5" offset="0,.55556mm"/>
                  <v:textbox>
                    <w:txbxContent>
                      <w:p w14:paraId="72F73C9D" w14:textId="77777777" w:rsidR="004E3164" w:rsidRPr="00C03F6A" w:rsidRDefault="004E3164" w:rsidP="00F729A8">
                        <w:pPr>
                          <w:ind w:firstLine="0"/>
                          <w:jc w:val="center"/>
                          <w:rPr>
                            <w:sz w:val="20"/>
                          </w:rPr>
                        </w:pPr>
                        <w:r w:rsidRPr="00C03F6A">
                          <w:rPr>
                            <w:spacing w:val="10"/>
                            <w:sz w:val="20"/>
                          </w:rPr>
                          <w:t>Конкретни бенефициери по ОПТТИ</w:t>
                        </w:r>
                      </w:p>
                    </w:txbxContent>
                  </v:textbox>
                </v:roundrect>
                <v:shape id="Straight Arrow Connector 15" o:spid="_x0000_s1164" type="#_x0000_t32" style="position:absolute;left:4182;top:12237;width:0;height:14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" strokecolor="#1f497d" strokeweight="2.25pt">
                  <v:stroke endarrow="block"/>
                  <o:lock v:ext="edit" shapetype="f"/>
                </v:shape>
                <v:shape id="Straight Arrow Connector 18" o:spid="_x0000_s1165" type="#_x0000_t32" style="position:absolute;left:4535;top:12203;width:0;height:14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" strokecolor="#c00000" strokeweight="2.25pt">
                  <v:stroke startarrow="block"/>
                  <o:lock v:ext="edit" shapetype="f"/>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1" o:spid="_x0000_s1166" type="#_x0000_t114" style="position:absolute;left:9448;top:12118;width:1139;height: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" strokecolor="#c0504d">
                  <v:stroke dashstyle="3 1"/>
                  <v:path arrowok="t"/>
                  <v:textbox>
                    <w:txbxContent>
                      <w:p w14:paraId="6FCCBF90" w14:textId="77777777" w:rsidR="004E3164" w:rsidRPr="00C03F6A" w:rsidRDefault="004E3164" w:rsidP="00F729A8">
                        <w:pPr>
                          <w:ind w:firstLine="0"/>
                          <w:jc w:val="center"/>
                          <w:rPr>
                            <w:sz w:val="20"/>
                          </w:rPr>
                        </w:pPr>
                        <w:r w:rsidRPr="00C03F6A">
                          <w:rPr>
                            <w:sz w:val="20"/>
                          </w:rPr>
                          <w:t>Доклад от одит на операциите</w:t>
                        </w:r>
                      </w:p>
                    </w:txbxContent>
                  </v:textbox>
                </v:shape>
                <v:shape id="Straight Arrow Connector 714" o:spid="_x0000_s1167" type="#_x0000_t32" style="position:absolute;left:6735;top:11390;width:15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" strokecolor="#c00000" strokeweight="2.25pt">
                  <v:stroke startarrow="block"/>
                  <o:lock v:ext="edit" shapetype="f"/>
                </v:shape>
                <v:roundrect id="Rounded Rectangle 9" o:spid="_x0000_s1168" style="position:absolute;left:602;top:10865;width:1684;height:10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" fillcolor="#ffa2a1" strokecolor="#be4b48">
                  <v:fill color2="#ffe5e5" rotate="t" angle="180" colors="0 #ffa2a1;22938f #ffbebd;1 #ffe5e5" focus="100%" type="gradient"/>
                  <v:shadow on="t" color="black" opacity="24903f" origin=",.5" offset="0,.55556mm"/>
                  <v:textbox>
                    <w:txbxContent>
                      <w:p w14:paraId="0A30F77F" w14:textId="77777777" w:rsidR="004E3164" w:rsidRPr="00C03F6A" w:rsidRDefault="004E3164" w:rsidP="00F729A8">
                        <w:pPr>
                          <w:ind w:firstLine="0"/>
                          <w:jc w:val="center"/>
                          <w:rPr>
                            <w:sz w:val="20"/>
                          </w:rPr>
                        </w:pPr>
                        <w:r w:rsidRPr="00C03F6A">
                          <w:rPr>
                            <w:sz w:val="20"/>
                          </w:rPr>
                          <w:t>Вътрешен контрол (МТС)</w:t>
                        </w:r>
                      </w:p>
                    </w:txbxContent>
                  </v:textbox>
                </v:roundrect>
                <v:shape id="Straight Arrow Connector 5" o:spid="_x0000_s1169" type="#_x0000_t32" style="position:absolute;left:2304;top:11373;width:52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" strokecolor="#c00000" strokeweight="2.25pt">
                  <v:stroke endarrow="block"/>
                  <o:lock v:ext="edit" shapetype="f"/>
                </v:shape>
                <v:shape id="Straight Arrow Connector 26" o:spid="_x0000_s1170" type="#_x0000_t32" style="position:absolute;left:4889;top:9308;width:0;height:14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" strokecolor="#1f497d" strokeweight="2.25pt">
                  <v:stroke endarrow="block"/>
                  <o:lock v:ext="edit" shapetype="f"/>
                </v:shape>
                <v:shape id="Straight Arrow Connector 28" o:spid="_x0000_s1171" type="#_x0000_t32" style="position:absolute;left:5194;top:9274;width:0;height:14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" strokecolor="#c00000" strokeweight="2.25pt">
                  <v:stroke startarrow="block"/>
                  <o:lock v:ext="edit" shapetype="f"/>
                </v:shape>
                <v:shape id="Straight Arrow Connector 30" o:spid="_x0000_s1172" type="#_x0000_t32" style="position:absolute;left:9239;top:8699;width:0;height:52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" strokecolor="#c00000" strokeweight="2.25pt">
                  <v:stroke startarrow="block"/>
                  <o:lock v:ext="edit" shapetype="f"/>
                </v:shape>
                <v:shape id="Flowchart: Document 711" o:spid="_x0000_s1173" type="#_x0000_t114" style="position:absolute;left:7634;top:9816;width:1313;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" strokecolor="#c0504d">
                  <v:stroke dashstyle="3 1"/>
                  <v:path arrowok="t"/>
                  <v:textbox>
                    <w:txbxContent>
                      <w:p w14:paraId="18F870B4" w14:textId="77777777" w:rsidR="004E3164" w:rsidRPr="00C03F6A" w:rsidRDefault="004E3164" w:rsidP="00F729A8">
                        <w:pPr>
                          <w:ind w:firstLine="0"/>
                          <w:jc w:val="center"/>
                          <w:rPr>
                            <w:sz w:val="20"/>
                          </w:rPr>
                        </w:pPr>
                        <w:r w:rsidRPr="00C03F6A">
                          <w:rPr>
                            <w:sz w:val="20"/>
                          </w:rPr>
                          <w:t>Доклад от одит на системите</w:t>
                        </w:r>
                      </w:p>
                    </w:txbxContent>
                  </v:textbox>
                </v:shape>
                <v:shape id="Straight Arrow Connector 713" o:spid="_x0000_s1174" type="#_x0000_t32" style="position:absolute;left:7393;top:7954;width:0;height:34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" strokecolor="#c00000" strokeweight="2.25pt">
                  <o:lock v:ext="edit" shapetype="f"/>
                </v:shape>
                <v:oval id="Oval 693" o:spid="_x0000_s1175" style="position:absolute;left:6639;top:8868;width:1665;height: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" strokecolor="#c0504d" strokeweight="2pt">
                  <v:path arrowok="t"/>
                  <v:textbox>
                    <w:txbxContent>
                      <w:p w14:paraId="75353BE8" w14:textId="77777777" w:rsidR="004E3164" w:rsidRPr="00C03F6A" w:rsidRDefault="004E3164" w:rsidP="00F729A8">
                        <w:pPr>
                          <w:ind w:firstLine="0"/>
                          <w:jc w:val="center"/>
                          <w:rPr>
                            <w:sz w:val="20"/>
                          </w:rPr>
                        </w:pPr>
                        <w:r w:rsidRPr="00C03F6A">
                          <w:rPr>
                            <w:sz w:val="20"/>
                          </w:rPr>
                          <w:t>Одит на системите</w:t>
                        </w:r>
                      </w:p>
                    </w:txbxContent>
                  </v:textbox>
                </v:oval>
                <v:shape id="Straight Arrow Connector 698" o:spid="_x0000_s1176" type="#_x0000_t32" style="position:absolute;left:3267;top:9291;width:0;height:14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" strokecolor="#1f497d" strokeweight="2.25pt">
                  <v:stroke endarrow="block"/>
                  <o:lock v:ext="edit" shapetype="f"/>
                </v:shape>
                <v:shape id="Text Box 4" o:spid="_x0000_s1177" type="#_x0000_t202" style="position:absolute;left:1710;top:9240;width:1242;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" strokecolor="white" strokeweight=".5pt">
                  <v:textbox style="layout-flow:vertical;mso-layout-flow-alt:bottom-to-top">
                    <w:txbxContent>
                      <w:p w14:paraId="6B67884E" w14:textId="77777777" w:rsidR="004E3164" w:rsidRPr="00C03F6A" w:rsidRDefault="004E3164" w:rsidP="00F729A8">
                        <w:pPr>
                          <w:ind w:firstLine="0"/>
                          <w:jc w:val="center"/>
                          <w:rPr>
                            <w:color w:val="1F497D"/>
                            <w:sz w:val="20"/>
                          </w:rPr>
                        </w:pPr>
                        <w:r w:rsidRPr="00C03F6A">
                          <w:rPr>
                            <w:color w:val="1F497D"/>
                            <w:sz w:val="20"/>
                          </w:rPr>
                          <w:t>Отчитане на изпълнението на ниво програма</w:t>
                        </w:r>
                      </w:p>
                    </w:txbxContent>
                  </v:textbox>
                </v:shape>
                <v:roundrect id="Rounded Rectangle 1" o:spid="_x0000_s1178" style="position:absolute;left:4054;top:6870;width:2389;height:19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" fillcolor="#a3c4ff" strokecolor="#4a7ebb">
                  <v:fill color2="#e5eeff" rotate="t" angle="180" colors="0 #a3c4ff;22938f #bfd5ff;1 #e5eeff" focus="100%" type="gradient"/>
                  <v:shadow on="t" color="black" opacity="24903f" origin=",.5" offset="0,.55556mm"/>
                  <v:textbox>
                    <w:txbxContent>
                      <w:p w14:paraId="576169AC" w14:textId="77777777" w:rsidR="004E3164" w:rsidRPr="00C03F6A" w:rsidRDefault="004E3164" w:rsidP="00F729A8">
                        <w:pPr>
                          <w:ind w:firstLine="0"/>
                          <w:jc w:val="center"/>
                          <w:rPr>
                            <w:spacing w:val="10"/>
                            <w:sz w:val="20"/>
                          </w:rPr>
                        </w:pPr>
                        <w:r w:rsidRPr="00C03F6A">
                          <w:rPr>
                            <w:spacing w:val="10"/>
                            <w:sz w:val="20"/>
                          </w:rPr>
                          <w:t>Сертифициращ орган</w:t>
                        </w:r>
                      </w:p>
                      <w:p w14:paraId="4F1FC805" w14:textId="77777777" w:rsidR="004E3164" w:rsidRPr="00C03F6A" w:rsidRDefault="004E3164" w:rsidP="00F729A8">
                        <w:pPr>
                          <w:ind w:firstLine="0"/>
                          <w:jc w:val="center"/>
                          <w:rPr>
                            <w:sz w:val="20"/>
                          </w:rPr>
                        </w:pPr>
                        <w:r w:rsidRPr="00C03F6A">
                          <w:rPr>
                            <w:spacing w:val="10"/>
                            <w:sz w:val="20"/>
                          </w:rPr>
                          <w:t>Дирекция „Национален фонд“ към Министерство на финансите</w:t>
                        </w:r>
                      </w:p>
                    </w:txbxContent>
                  </v:textbox>
                </v:roundrect>
                <v:roundrect id="Rounded Rectangle 1" o:spid="_x0000_s1179" style="position:absolute;left:8019;top:7310;width:2446;height:13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" fillcolor="#ffa2a1" strokecolor="#be4b48">
                  <v:fill color2="#ffe5e5" rotate="t" angle="180" colors="0 #ffa2a1;22938f #ffbebd;1 #ffe5e5" focus="100%" type="gradient"/>
                  <v:shadow on="t" color="black" opacity="24903f" origin=",.5" offset="0,.55556mm"/>
                  <v:textbox>
                    <w:txbxContent>
                      <w:p w14:paraId="4448A61B" w14:textId="77777777" w:rsidR="004E3164" w:rsidRPr="00C03F6A" w:rsidRDefault="004E3164" w:rsidP="00F729A8">
                        <w:pPr>
                          <w:ind w:firstLine="0"/>
                          <w:jc w:val="center"/>
                          <w:rPr>
                            <w:spacing w:val="10"/>
                            <w:sz w:val="20"/>
                          </w:rPr>
                        </w:pPr>
                        <w:r w:rsidRPr="00C03F6A">
                          <w:rPr>
                            <w:spacing w:val="10"/>
                            <w:sz w:val="20"/>
                          </w:rPr>
                          <w:t>Одитен орган</w:t>
                        </w:r>
                      </w:p>
                      <w:p w14:paraId="32193586" w14:textId="77777777" w:rsidR="004E3164" w:rsidRPr="00C03F6A" w:rsidRDefault="004E3164" w:rsidP="00F729A8">
                        <w:pPr>
                          <w:ind w:firstLine="0"/>
                          <w:jc w:val="center"/>
                          <w:rPr>
                            <w:sz w:val="20"/>
                          </w:rPr>
                        </w:pPr>
                        <w:r w:rsidRPr="00C03F6A">
                          <w:rPr>
                            <w:spacing w:val="10"/>
                            <w:sz w:val="20"/>
                          </w:rPr>
                          <w:t>ИА „ОСЕС“</w:t>
                        </w:r>
                      </w:p>
                      <w:p w14:paraId="0C2715BF" w14:textId="77777777" w:rsidR="004E3164" w:rsidRPr="00C03F6A" w:rsidRDefault="004E3164" w:rsidP="00F729A8">
                        <w:pPr>
                          <w:ind w:firstLine="0"/>
                          <w:jc w:val="center"/>
                          <w:rPr>
                            <w:sz w:val="20"/>
                          </w:rPr>
                        </w:pPr>
                      </w:p>
                    </w:txbxContent>
                  </v:textbox>
                </v:roundrect>
                <v:roundrect id="Rounded Rectangle 1" o:spid="_x0000_s1180" style="position:absolute;left:586;top:7158;width:1453;height:1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" fillcolor="#a3c4ff" strokecolor="#4a7ebb">
                  <v:fill color2="#e5eeff" rotate="t" angle="180" colors="0 #a3c4ff;22938f #bfd5ff;1 #e5eeff" focus="100%" type="gradient"/>
                  <v:shadow on="t" color="black" opacity="24903f" origin=",.5" offset="0,.55556mm"/>
                  <v:textbox>
                    <w:txbxContent>
                      <w:p w14:paraId="2D4AC2EA" w14:textId="77777777" w:rsidR="004E3164" w:rsidRPr="00C03F6A" w:rsidRDefault="004E3164" w:rsidP="00F729A8">
                        <w:pPr>
                          <w:ind w:firstLine="0"/>
                          <w:jc w:val="center"/>
                          <w:rPr>
                            <w:spacing w:val="10"/>
                            <w:sz w:val="20"/>
                          </w:rPr>
                        </w:pPr>
                        <w:r w:rsidRPr="00C03F6A">
                          <w:rPr>
                            <w:spacing w:val="10"/>
                            <w:sz w:val="20"/>
                          </w:rPr>
                          <w:t>СКУСЕС</w:t>
                        </w:r>
                      </w:p>
                      <w:p w14:paraId="28244B73" w14:textId="77777777" w:rsidR="004E3164" w:rsidRPr="00C03F6A" w:rsidRDefault="004E3164" w:rsidP="00F729A8">
                        <w:pPr>
                          <w:ind w:firstLine="0"/>
                          <w:jc w:val="center"/>
                          <w:rPr>
                            <w:i/>
                            <w:sz w:val="20"/>
                          </w:rPr>
                        </w:pPr>
                        <w:r w:rsidRPr="00C03F6A">
                          <w:rPr>
                            <w:i/>
                            <w:spacing w:val="10"/>
                            <w:sz w:val="20"/>
                          </w:rPr>
                          <w:t>(съгласува доклада)</w:t>
                        </w:r>
                      </w:p>
                    </w:txbxContent>
                  </v:textbox>
                </v:roundrect>
                <v:shape id="Straight Arrow Connector 704" o:spid="_x0000_s1181" type="#_x0000_t32" style="position:absolute;left:6446;top:7953;width:15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" strokecolor="#c00000" strokeweight="2.25pt">
                  <v:stroke startarrow="block"/>
                  <o:lock v:ext="edit" shapetype="f"/>
                </v:shape>
                <v:roundrect id="Rounded Rectangle 1" o:spid="_x0000_s1182" style="position:absolute;left:2368;top:7073;width:1578;height:13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" fillcolor="#a3c4ff" strokecolor="#4a7ebb">
                  <v:fill color2="#e5eeff" rotate="t" angle="180" colors="0 #a3c4ff;22938f #bfd5ff;1 #e5eeff" focus="100%" type="gradient"/>
                  <v:shadow on="t" color="black" opacity="24903f" origin=",.5" offset="0,.55556mm"/>
                  <v:textbox>
                    <w:txbxContent>
                      <w:p w14:paraId="2C84B752" w14:textId="77777777" w:rsidR="004E3164" w:rsidRPr="00C03F6A" w:rsidRDefault="004E3164" w:rsidP="00F729A8">
                        <w:pPr>
                          <w:ind w:firstLine="0"/>
                          <w:jc w:val="center"/>
                          <w:rPr>
                            <w:spacing w:val="10"/>
                            <w:sz w:val="20"/>
                          </w:rPr>
                        </w:pPr>
                        <w:r w:rsidRPr="00C03F6A">
                          <w:rPr>
                            <w:spacing w:val="10"/>
                            <w:sz w:val="20"/>
                          </w:rPr>
                          <w:t>КН на ОПТТИ</w:t>
                        </w:r>
                      </w:p>
                      <w:p w14:paraId="7A798719" w14:textId="77777777" w:rsidR="004E3164" w:rsidRPr="00C03F6A" w:rsidRDefault="004E3164" w:rsidP="00F729A8">
                        <w:pPr>
                          <w:ind w:firstLine="0"/>
                          <w:jc w:val="center"/>
                          <w:rPr>
                            <w:i/>
                            <w:spacing w:val="10"/>
                            <w:sz w:val="20"/>
                          </w:rPr>
                        </w:pPr>
                        <w:r w:rsidRPr="00C03F6A">
                          <w:rPr>
                            <w:i/>
                            <w:spacing w:val="10"/>
                            <w:sz w:val="20"/>
                          </w:rPr>
                          <w:t>(одобрява доклада)</w:t>
                        </w:r>
                      </w:p>
                    </w:txbxContent>
                  </v:textbox>
                </v:roundrect>
                <v:shape id="Straight Arrow Connector 1910" o:spid="_x0000_s1183" type="#_x0000_t32" style="position:absolute;left:9384;top:3332;width:0;height:22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" strokecolor="#1f497d" strokeweight="2.25pt">
                  <v:stroke endarrow="block"/>
                  <o:lock v:ext="edit" shapetype="f"/>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2017" o:spid="_x0000_s1184" type="#_x0000_t115" style="position:absolute;left:7634;top:5888;width:1601;height:1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" strokecolor="#c0504d">
                  <v:stroke dashstyle="3 1"/>
                  <v:path arrowok="t"/>
                  <v:textbox>
                    <w:txbxContent>
                      <w:p w14:paraId="0630149F" w14:textId="77777777" w:rsidR="004E3164" w:rsidRPr="00C03F6A" w:rsidRDefault="004E3164" w:rsidP="00F729A8">
                        <w:pPr>
                          <w:ind w:firstLine="0"/>
                          <w:jc w:val="center"/>
                          <w:rPr>
                            <w:sz w:val="20"/>
                          </w:rPr>
                        </w:pPr>
                        <w:r w:rsidRPr="00C03F6A">
                          <w:rPr>
                            <w:sz w:val="20"/>
                          </w:rPr>
                          <w:t>Доклад от одит на операциите</w:t>
                        </w:r>
                      </w:p>
                      <w:p w14:paraId="7D93BD13" w14:textId="77777777" w:rsidR="004E3164" w:rsidRPr="00C03F6A" w:rsidRDefault="004E3164" w:rsidP="00F729A8">
                        <w:pPr>
                          <w:ind w:firstLine="0"/>
                          <w:jc w:val="center"/>
                          <w:rPr>
                            <w:sz w:val="20"/>
                          </w:rPr>
                        </w:pPr>
                      </w:p>
                    </w:txbxContent>
                  </v:textbox>
                </v:shape>
                <v:shape id="Text Box 4" o:spid="_x0000_s1185" type="#_x0000_t202" style="position:absolute;left:6061;top:5380;width:1194;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" strokecolor="white" strokeweight=".5pt">
                  <v:textbox style="layout-flow:vertical;mso-layout-flow-alt:bottom-to-top">
                    <w:txbxContent>
                      <w:p w14:paraId="7571FB81" w14:textId="77777777" w:rsidR="004E3164" w:rsidRPr="00C03F6A" w:rsidRDefault="004E3164" w:rsidP="00F729A8">
                        <w:pPr>
                          <w:ind w:firstLine="0"/>
                          <w:jc w:val="center"/>
                          <w:rPr>
                            <w:color w:val="C00000"/>
                            <w:sz w:val="20"/>
                          </w:rPr>
                        </w:pPr>
                        <w:r w:rsidRPr="00C03F6A">
                          <w:rPr>
                            <w:color w:val="C00000"/>
                            <w:sz w:val="20"/>
                          </w:rPr>
                          <w:t>Докладване на финансови корекции на ниво програма</w:t>
                        </w:r>
                      </w:p>
                    </w:txbxContent>
                  </v:textbox>
                </v:shape>
                <v:group id="Group 106" o:spid="_x0000_s1186" style="position:absolute;left:705;top:3315;width:5195;height:3566" coordorigin="-1445" coordsize="34406,2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shape id="Straight Arrow Connector 1911" o:spid="_x0000_s1187" type="#_x0000_t32" style="position:absolute;left:32960;width:0;height:211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" strokecolor="#1f497d" strokeweight="2.25pt">
                    <v:stroke endarrow="block"/>
                    <o:lock v:ext="edit" shapetype="f"/>
                  </v:shape>
                  <v:shape id="Straight Arrow Connector 1912" o:spid="_x0000_s1188" type="#_x0000_t32" style="position:absolute;left:9569;width:0;height:222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" strokecolor="#1f497d" strokeweight="2.25pt">
                    <v:stroke endarrow="block"/>
                    <o:lock v:ext="edit" shapetype="f"/>
                  </v:shape>
                  <v:shape id="Text Box 4" o:spid="_x0000_s1189" type="#_x0000_t202" style="position:absolute;left:-1445;top:11474;width:10131;height:10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" strokecolor="white" strokeweight=".5pt">
                    <v:textbox style="layout-flow:vertical;mso-layout-flow-alt:bottom-to-top">
                      <w:txbxContent>
                        <w:p w14:paraId="646A2FA6" w14:textId="77777777" w:rsidR="004E3164" w:rsidRPr="00C03F6A" w:rsidRDefault="004E3164" w:rsidP="00F729A8">
                          <w:pPr>
                            <w:ind w:firstLine="0"/>
                            <w:jc w:val="center"/>
                            <w:rPr>
                              <w:color w:val="1F497D"/>
                              <w:sz w:val="20"/>
                              <w:lang w:val="en-US"/>
                            </w:rPr>
                          </w:pPr>
                          <w:r w:rsidRPr="00C03F6A">
                            <w:rPr>
                              <w:color w:val="1F497D"/>
                              <w:sz w:val="20"/>
                            </w:rPr>
                            <w:t xml:space="preserve">Изпращане на годишен доклад за изпълнение на програмата от УО чрез </w:t>
                          </w:r>
                          <w:r w:rsidRPr="00C03F6A">
                            <w:rPr>
                              <w:color w:val="1F497D"/>
                              <w:sz w:val="20"/>
                              <w:lang w:val="en-US"/>
                            </w:rPr>
                            <w:t>SFC 2014</w:t>
                          </w:r>
                        </w:p>
                      </w:txbxContent>
                    </v:textbox>
                  </v:shape>
                </v:group>
                <v:shape id="Flowchart: Multidocument 2016" o:spid="_x0000_s1190" type="#_x0000_t115" style="position:absolute;left:9448;top:5888;width:1601;height:1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" strokecolor="#c0504d">
                  <v:stroke dashstyle="3 1"/>
                  <v:path arrowok="t"/>
                  <v:textbox>
                    <w:txbxContent>
                      <w:p w14:paraId="5F636B61" w14:textId="77777777" w:rsidR="004E3164" w:rsidRPr="00C03F6A" w:rsidRDefault="004E3164" w:rsidP="00F729A8">
                        <w:pPr>
                          <w:ind w:firstLine="0"/>
                          <w:jc w:val="center"/>
                          <w:rPr>
                            <w:sz w:val="20"/>
                          </w:rPr>
                        </w:pPr>
                        <w:r w:rsidRPr="00C03F6A">
                          <w:rPr>
                            <w:sz w:val="20"/>
                          </w:rPr>
                          <w:t>Доклад от одит на системите</w:t>
                        </w:r>
                      </w:p>
                      <w:p w14:paraId="041B44DB" w14:textId="77777777" w:rsidR="004E3164" w:rsidRPr="00C03F6A" w:rsidRDefault="004E3164" w:rsidP="00F729A8">
                        <w:pPr>
                          <w:ind w:firstLine="0"/>
                          <w:jc w:val="center"/>
                          <w:rPr>
                            <w:sz w:val="20"/>
                          </w:rPr>
                        </w:pPr>
                      </w:p>
                    </w:txbxContent>
                  </v:textbox>
                </v:shape>
                <v:line id="Straight Connector 253" o:spid="_x0000_s1191" style="position:absolute;visibility:visible;mso-wrap-style:square" from="8437,5532" to="10263,5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" strokecolor="#1f497d" strokeweight="2.25pt"/>
                <v:shape id="Straight Arrow Connector 254" o:spid="_x0000_s1192" type="#_x0000_t32" style="position:absolute;left:8437;top:5532;width:0;height: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" strokecolor="#1f497d" strokeweight="2.25pt"/>
                <v:shape id="Straight Arrow Connector 9" o:spid="_x0000_s1193" type="#_x0000_t32" style="position:absolute;left:10267;top:5532;width:0;height: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" strokecolor="#1f497d" strokeweight="2.25pt"/>
                <v:shape id="Straight Arrow Connector 2018" o:spid="_x0000_s1194" type="#_x0000_t32" style="position:absolute;left:8421;top:6971;width:0;height:3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" strokecolor="#1f497d" strokeweight="2.25pt">
                  <v:stroke endarrow="block"/>
                </v:shape>
                <v:shape id="Straight Arrow Connector 691" o:spid="_x0000_s1195" type="#_x0000_t32" style="position:absolute;left:10106;top:7073;width:0;height:2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" strokecolor="#1f497d" strokeweight="2.25pt">
                  <v:stroke endarrow="block"/>
                </v:shape>
                <v:shape id="AutoShape 7" o:spid="_x0000_s1196" type="#_x0000_t114" style="position:absolute;left:3765;top:3806;width:2020;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" strokecolor="#4f81bd" strokeweight="1pt">
                  <v:stroke dashstyle="dash" joinstyle="round"/>
                  <v:shadow color="#868686"/>
                  <v:textbox>
                    <w:txbxContent>
                      <w:p w14:paraId="501D8088" w14:textId="77777777" w:rsidR="004E3164" w:rsidRPr="00C03F6A" w:rsidRDefault="004E3164" w:rsidP="00F729A8">
                        <w:pPr>
                          <w:ind w:firstLine="0"/>
                          <w:jc w:val="center"/>
                          <w:rPr>
                            <w:sz w:val="20"/>
                          </w:rPr>
                        </w:pPr>
                        <w:r w:rsidRPr="00C03F6A">
                          <w:rPr>
                            <w:sz w:val="20"/>
                          </w:rPr>
                          <w:t>Декларация на разходите</w:t>
                        </w:r>
                      </w:p>
                    </w:txbxContent>
                  </v:textbox>
                </v:shape>
                <v:shape id="AutoShape 7" o:spid="_x0000_s1197" type="#_x0000_t114" style="position:absolute;left:6013;top:3789;width:2020;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" strokecolor="#c00000" strokeweight="1pt">
                  <v:stroke dashstyle="dash" joinstyle="round"/>
                  <v:shadow color="#868686"/>
                  <v:textbox>
                    <w:txbxContent>
                      <w:p w14:paraId="13EA6DAF" w14:textId="77777777" w:rsidR="004E3164" w:rsidRPr="00C03F6A" w:rsidRDefault="004E3164" w:rsidP="00F729A8">
                        <w:pPr>
                          <w:ind w:firstLine="0"/>
                          <w:jc w:val="center"/>
                          <w:rPr>
                            <w:sz w:val="20"/>
                          </w:rPr>
                        </w:pPr>
                        <w:r w:rsidRPr="00C03F6A">
                          <w:rPr>
                            <w:sz w:val="20"/>
                          </w:rPr>
                          <w:t>Доклад по финансовите корекции</w:t>
                        </w:r>
                      </w:p>
                    </w:txbxContent>
                  </v:textbox>
                </v:shape>
                <v:shape id="AutoShape 7" o:spid="_x0000_s1198" type="#_x0000_t114" style="position:absolute;left:8084;top:3789;width:2967;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" strokecolor="#c00000" strokeweight="1pt">
                  <v:stroke dashstyle="dash" joinstyle="round"/>
                  <v:shadow color="#868686"/>
                  <v:textbox>
                    <w:txbxContent>
                      <w:p w14:paraId="469081EA" w14:textId="77777777" w:rsidR="004E3164" w:rsidRPr="00C03F6A" w:rsidRDefault="004E3164" w:rsidP="00F729A8">
                        <w:pPr>
                          <w:ind w:firstLine="0"/>
                          <w:jc w:val="center"/>
                          <w:rPr>
                            <w:sz w:val="20"/>
                          </w:rPr>
                        </w:pPr>
                        <w:r w:rsidRPr="00C03F6A">
                          <w:rPr>
                            <w:sz w:val="20"/>
                          </w:rPr>
                          <w:t>Годишен контролен доклад и становище на одитния орган за ОПТТИ</w:t>
                        </w:r>
                      </w:p>
                    </w:txbxContent>
                  </v:textbox>
                </v:shape>
                <v:shape id="AutoShape 7" o:spid="_x0000_s1199" type="#_x0000_t114" style="position:absolute;left:1437;top:3840;width:2020;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" strokecolor="#4f81bd" strokeweight="1pt">
                  <v:stroke dashstyle="dash" joinstyle="round"/>
                  <v:shadow color="#868686"/>
                  <v:textbox>
                    <w:txbxContent>
                      <w:p w14:paraId="6D516985" w14:textId="77777777" w:rsidR="004E3164" w:rsidRPr="00C03F6A" w:rsidRDefault="004E3164" w:rsidP="00F729A8">
                        <w:pPr>
                          <w:ind w:firstLine="0"/>
                          <w:jc w:val="center"/>
                          <w:rPr>
                            <w:sz w:val="20"/>
                          </w:rPr>
                        </w:pPr>
                        <w:r w:rsidRPr="00C03F6A">
                          <w:rPr>
                            <w:sz w:val="20"/>
                          </w:rPr>
                          <w:t>Годишен доклад за изпълнение на ОПТТИ</w:t>
                        </w:r>
                      </w:p>
                    </w:txbxContent>
                  </v:textbox>
                </v:shape>
                <v:roundrect id="Rounded Rectangle 1" o:spid="_x0000_s1200" style="position:absolute;left:1068;top:2553;width:8940;height: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" fillcolor="#a3c4ff" strokecolor="#4a7ebb">
                  <v:fill color2="#e5eeff" rotate="t" angle="180" colors="0 #a3c4ff;22938f #bfd5ff;1 #e5eeff" focus="100%" type="gradient"/>
                  <v:shadow on="t" color="black" opacity="24903f" origin=",.5" offset="0,.55556mm"/>
                  <v:textbox>
                    <w:txbxContent>
                      <w:p w14:paraId="1DD63E58" w14:textId="77777777" w:rsidR="004E3164" w:rsidRPr="00C03F6A" w:rsidRDefault="004E3164" w:rsidP="00F729A8">
                        <w:pPr>
                          <w:ind w:firstLine="0"/>
                          <w:jc w:val="center"/>
                          <w:rPr>
                            <w:sz w:val="20"/>
                          </w:rPr>
                        </w:pPr>
                        <w:r w:rsidRPr="00C03F6A">
                          <w:rPr>
                            <w:spacing w:val="10"/>
                            <w:sz w:val="20"/>
                          </w:rPr>
                          <w:t>Европейска комисия</w:t>
                        </w:r>
                      </w:p>
                    </w:txbxContent>
                  </v:textbox>
                </v:roundrect>
                <w10:anchorlock/>
              </v:group>
            </w:pict>
          </mc:Fallback>
        </mc:AlternateContent>
      </w:r>
      <w:bookmarkEnd w:id="296"/>
    </w:p>
    <w:p w14:paraId="6B95BF50" w14:textId="77777777" w:rsidR="00926316" w:rsidRPr="001B0EA3" w:rsidRDefault="00926316" w:rsidP="00D26A1C">
      <w:pPr>
        <w:numPr>
          <w:ilvl w:val="0"/>
          <w:numId w:val="13"/>
        </w:numPr>
        <w:shd w:val="clear" w:color="auto" w:fill="FFFFFF"/>
        <w:ind w:left="0" w:firstLine="0"/>
        <w:rPr>
          <w:szCs w:val="24"/>
        </w:rPr>
      </w:pPr>
      <w:r w:rsidRPr="001B0EA3">
        <w:rPr>
          <w:szCs w:val="24"/>
        </w:rPr>
        <w:br w:type="page"/>
      </w:r>
    </w:p>
    <w:p w14:paraId="6AD95CE4" w14:textId="77777777" w:rsidR="00D603F5" w:rsidRPr="001B0EA3" w:rsidRDefault="00D603F5" w:rsidP="00ED358C">
      <w:pPr>
        <w:pStyle w:val="Style3"/>
        <w:rPr>
          <w:lang w:eastAsia="bg-BG"/>
        </w:rPr>
      </w:pPr>
      <w:bookmarkStart w:id="297" w:name="_Toc479775562"/>
      <w:r w:rsidRPr="001B0EA3">
        <w:rPr>
          <w:lang w:eastAsia="bg-BG"/>
        </w:rPr>
        <w:lastRenderedPageBreak/>
        <w:t>Вътрешен контрол</w:t>
      </w:r>
      <w:bookmarkEnd w:id="297"/>
    </w:p>
    <w:p w14:paraId="2FCD8859" w14:textId="77777777" w:rsidR="00D603F5" w:rsidRPr="001B0EA3" w:rsidRDefault="00D603F5" w:rsidP="00B7610B">
      <w:r w:rsidRPr="001B0EA3">
        <w:t xml:space="preserve">Дирекция „Координация на програми и проекти” в </w:t>
      </w:r>
      <w:r w:rsidR="00BB6BF6">
        <w:t>МТС</w:t>
      </w:r>
      <w:r w:rsidRPr="001B0EA3">
        <w:t xml:space="preserve"> организира дейността си в съответствие с принципите на доброто финансово управление и добра практика за осигуряване на ефективна контролна система  в съответствие със Закон за финансовото управление и контрол  и </w:t>
      </w:r>
      <w:r w:rsidR="00B7610B">
        <w:t xml:space="preserve"> Регламент (ЕС, Евратом) 2018/1046 НА Европейския парламент и на Съвета от 18 юли 2018 година за финансовите правила, приложими за общия бюджет на Съюза, за изменение на регламенти (ЕС) № 1296/2013, (ЕС) № 1301/2013, (ЕС) № 1303/2013, (ЕС) № 1304/2013, (ЕС) № 1309/2013, (ЕС) № 1316/2013, (ЕС) № 223/2014 и (ЕС) № 283/2014 и на Решение № 541/2014/ЕС и за отмяна на Регламент (ЕС, Евратом) № 966/2012</w:t>
      </w:r>
      <w:r w:rsidRPr="001B0EA3">
        <w:t xml:space="preserve"> (чл. </w:t>
      </w:r>
      <w:r w:rsidR="00B7610B">
        <w:t>260</w:t>
      </w:r>
      <w:r w:rsidRPr="001B0EA3">
        <w:t>).</w:t>
      </w:r>
    </w:p>
    <w:p w14:paraId="7AF478FF" w14:textId="77777777" w:rsidR="00D603F5" w:rsidRPr="001B0EA3" w:rsidRDefault="00D603F5" w:rsidP="00C03F6A">
      <w:r w:rsidRPr="001B0EA3">
        <w:t>В контекста на управлението на ЕСИФ от дирекция КПП, системата за вътрешен контрол е процес, който е създаден за да осигури на ръководителя на УО на ОПТТИ разумна увереност за постигането на целите с оглед на:</w:t>
      </w:r>
    </w:p>
    <w:p w14:paraId="0FD2D776" w14:textId="77777777" w:rsidR="00D603F5" w:rsidRPr="001B0EA3" w:rsidRDefault="00D603F5" w:rsidP="000F251A">
      <w:pPr>
        <w:pStyle w:val="ListParagraph"/>
        <w:numPr>
          <w:ilvl w:val="0"/>
          <w:numId w:val="415"/>
        </w:numPr>
        <w:ind w:left="0" w:firstLine="1211"/>
      </w:pPr>
      <w:r w:rsidRPr="001B0EA3">
        <w:t>ефективност и ефикасност на действията;</w:t>
      </w:r>
    </w:p>
    <w:p w14:paraId="26A0710E" w14:textId="77777777" w:rsidR="00D603F5" w:rsidRPr="001B0EA3" w:rsidRDefault="00D603F5" w:rsidP="000F251A">
      <w:pPr>
        <w:pStyle w:val="ListParagraph"/>
        <w:numPr>
          <w:ilvl w:val="0"/>
          <w:numId w:val="415"/>
        </w:numPr>
        <w:ind w:left="0" w:firstLine="1211"/>
      </w:pPr>
      <w:r w:rsidRPr="001B0EA3">
        <w:t>надеждност на финансовите данни и доклади;</w:t>
      </w:r>
    </w:p>
    <w:p w14:paraId="741DFFD9" w14:textId="77777777" w:rsidR="00D603F5" w:rsidRPr="001B0EA3" w:rsidRDefault="00D603F5" w:rsidP="000F251A">
      <w:pPr>
        <w:pStyle w:val="ListParagraph"/>
        <w:numPr>
          <w:ilvl w:val="0"/>
          <w:numId w:val="415"/>
        </w:numPr>
        <w:ind w:left="0" w:firstLine="1211"/>
      </w:pPr>
      <w:r w:rsidRPr="001B0EA3">
        <w:t>съответствие с приложимите регламенти на ЕС и България;</w:t>
      </w:r>
    </w:p>
    <w:p w14:paraId="3DED18E6" w14:textId="77777777" w:rsidR="00D603F5" w:rsidRPr="001B0EA3" w:rsidRDefault="00D603F5" w:rsidP="000F251A">
      <w:pPr>
        <w:pStyle w:val="ListParagraph"/>
        <w:numPr>
          <w:ilvl w:val="0"/>
          <w:numId w:val="415"/>
        </w:numPr>
        <w:ind w:left="0" w:firstLine="1211"/>
      </w:pPr>
      <w:r w:rsidRPr="001B0EA3">
        <w:t>правилна защита на финансовите интереси на ЕС и българския държавен бюджет;</w:t>
      </w:r>
    </w:p>
    <w:p w14:paraId="4BE10D24" w14:textId="77777777" w:rsidR="00D603F5" w:rsidRDefault="00D603F5" w:rsidP="000F251A">
      <w:pPr>
        <w:pStyle w:val="ListParagraph"/>
        <w:numPr>
          <w:ilvl w:val="0"/>
          <w:numId w:val="415"/>
        </w:numPr>
        <w:ind w:left="0" w:firstLine="1211"/>
      </w:pPr>
      <w:r w:rsidRPr="001B0EA3">
        <w:t>цялостно изпълнение и постоянна поддръжка на критериите на ЕС при децентрализирано управление на Европейски средства.</w:t>
      </w:r>
    </w:p>
    <w:p w14:paraId="13C1F2E6" w14:textId="77777777" w:rsidR="00BD2E3A" w:rsidRPr="001B0EA3" w:rsidRDefault="00BD2E3A" w:rsidP="00BD2E3A"/>
    <w:p w14:paraId="12902CB6" w14:textId="77777777" w:rsidR="00D603F5" w:rsidRPr="00BD2E3A" w:rsidRDefault="00D603F5" w:rsidP="00BD2E3A">
      <w:pPr>
        <w:rPr>
          <w:b/>
          <w:u w:val="single"/>
        </w:rPr>
      </w:pPr>
      <w:r w:rsidRPr="00BD2E3A">
        <w:rPr>
          <w:b/>
          <w:u w:val="single"/>
        </w:rPr>
        <w:t>Управление на риска като част от системата за вътрешен контрол</w:t>
      </w:r>
    </w:p>
    <w:p w14:paraId="400FFCB6" w14:textId="77777777" w:rsidR="00D603F5" w:rsidRDefault="00D603F5" w:rsidP="00BD2E3A">
      <w:pPr>
        <w:rPr>
          <w:lang w:eastAsia="en-US"/>
        </w:rPr>
      </w:pPr>
      <w:r w:rsidRPr="001B0EA3">
        <w:rPr>
          <w:lang w:eastAsia="en-US"/>
        </w:rPr>
        <w:t xml:space="preserve">Управлението на риска е процес по идентифициране, оценяване и мониторинг на рисковете, които могат да повлияят негативно върху постигане на целите и приоритетите на ОПТТИ и въвеждането на необходимите контролни дейности, с цел ограничаване на рисковете до едно приемливо равнище. </w:t>
      </w:r>
    </w:p>
    <w:p w14:paraId="405EAD9B" w14:textId="77777777" w:rsidR="00BD2E3A" w:rsidRPr="001B0EA3" w:rsidRDefault="00BD2E3A" w:rsidP="00BD2E3A">
      <w:pPr>
        <w:rPr>
          <w:lang w:eastAsia="en-US"/>
        </w:rPr>
      </w:pPr>
    </w:p>
    <w:p w14:paraId="0B36E4D6" w14:textId="77777777" w:rsidR="00D603F5" w:rsidRPr="00BD2E3A" w:rsidRDefault="00D603F5" w:rsidP="00BD2E3A">
      <w:pPr>
        <w:rPr>
          <w:b/>
          <w:u w:val="single"/>
        </w:rPr>
      </w:pPr>
      <w:r w:rsidRPr="00BD2E3A">
        <w:rPr>
          <w:b/>
          <w:u w:val="single"/>
        </w:rPr>
        <w:t>Процесът на управление на риска включва:</w:t>
      </w:r>
    </w:p>
    <w:p w14:paraId="53F58AD5" w14:textId="77777777" w:rsidR="00D603F5" w:rsidRPr="001B0EA3" w:rsidRDefault="00D603F5" w:rsidP="00BD2E3A">
      <w:pPr>
        <w:pStyle w:val="ListParagraph"/>
        <w:numPr>
          <w:ilvl w:val="0"/>
          <w:numId w:val="416"/>
        </w:numPr>
        <w:tabs>
          <w:tab w:val="left" w:pos="1134"/>
        </w:tabs>
        <w:ind w:left="0" w:firstLine="851"/>
        <w:rPr>
          <w:lang w:eastAsia="en-US"/>
        </w:rPr>
      </w:pPr>
      <w:r w:rsidRPr="001B0EA3">
        <w:rPr>
          <w:lang w:eastAsia="en-US"/>
        </w:rPr>
        <w:t>определяне, оценяване и категоризиране на рисковете, които заплашват постигането на целите;</w:t>
      </w:r>
    </w:p>
    <w:p w14:paraId="0DDBE3D9" w14:textId="77777777" w:rsidR="00D603F5" w:rsidRPr="001B0EA3" w:rsidRDefault="00D603F5" w:rsidP="00BD2E3A">
      <w:pPr>
        <w:pStyle w:val="ListParagraph"/>
        <w:numPr>
          <w:ilvl w:val="0"/>
          <w:numId w:val="416"/>
        </w:numPr>
        <w:tabs>
          <w:tab w:val="left" w:pos="1134"/>
        </w:tabs>
        <w:ind w:left="0" w:firstLine="851"/>
        <w:rPr>
          <w:lang w:eastAsia="en-US"/>
        </w:rPr>
      </w:pPr>
      <w:r w:rsidRPr="001B0EA3">
        <w:rPr>
          <w:lang w:eastAsia="en-US"/>
        </w:rPr>
        <w:t>въвеждане на дейности за контролиране на рисковете, които намаляват или по друг начин свеждат рисковете до равнища, определени като приемливи;</w:t>
      </w:r>
    </w:p>
    <w:p w14:paraId="47C0C6D6" w14:textId="77777777" w:rsidR="00D603F5" w:rsidRPr="001B0EA3" w:rsidRDefault="00D603F5" w:rsidP="00BD2E3A">
      <w:pPr>
        <w:pStyle w:val="ListParagraph"/>
        <w:numPr>
          <w:ilvl w:val="0"/>
          <w:numId w:val="416"/>
        </w:numPr>
        <w:tabs>
          <w:tab w:val="left" w:pos="1134"/>
        </w:tabs>
        <w:ind w:left="0" w:firstLine="851"/>
        <w:rPr>
          <w:lang w:eastAsia="en-US"/>
        </w:rPr>
      </w:pPr>
      <w:r w:rsidRPr="001B0EA3">
        <w:rPr>
          <w:lang w:eastAsia="en-US"/>
        </w:rPr>
        <w:t>провеждане на текущ мониторинг и периодично преоценяване на риска, както и на ефективността на дейностите по управлението му;</w:t>
      </w:r>
    </w:p>
    <w:p w14:paraId="4998D2C3" w14:textId="77777777" w:rsidR="00D603F5" w:rsidRPr="001B0EA3" w:rsidRDefault="00D603F5" w:rsidP="00BD2E3A">
      <w:pPr>
        <w:pStyle w:val="ListParagraph"/>
        <w:numPr>
          <w:ilvl w:val="0"/>
          <w:numId w:val="416"/>
        </w:numPr>
        <w:tabs>
          <w:tab w:val="left" w:pos="1134"/>
        </w:tabs>
        <w:ind w:left="0" w:firstLine="851"/>
        <w:rPr>
          <w:lang w:eastAsia="en-US"/>
        </w:rPr>
      </w:pPr>
      <w:r w:rsidRPr="001B0EA3">
        <w:rPr>
          <w:lang w:eastAsia="en-US"/>
        </w:rPr>
        <w:t>изготвяне на периодични доклади, предоставящи информация за резултатите от управлението на риска;</w:t>
      </w:r>
    </w:p>
    <w:p w14:paraId="06DA6693" w14:textId="77777777" w:rsidR="00D603F5" w:rsidRPr="001B0EA3" w:rsidRDefault="00D603F5" w:rsidP="00BD2E3A">
      <w:pPr>
        <w:pStyle w:val="ListParagraph"/>
        <w:numPr>
          <w:ilvl w:val="0"/>
          <w:numId w:val="416"/>
        </w:numPr>
        <w:tabs>
          <w:tab w:val="left" w:pos="1134"/>
        </w:tabs>
        <w:ind w:left="0" w:firstLine="851"/>
        <w:rPr>
          <w:lang w:eastAsia="en-US"/>
        </w:rPr>
      </w:pPr>
      <w:r w:rsidRPr="001B0EA3">
        <w:rPr>
          <w:lang w:eastAsia="en-US"/>
        </w:rPr>
        <w:t>предприемане на коригиращи действия на база информацията от мониторинга и докладване за тяхното изпълнение.</w:t>
      </w:r>
    </w:p>
    <w:p w14:paraId="039DBFD1" w14:textId="77777777" w:rsidR="00D603F5" w:rsidRPr="001B0EA3" w:rsidRDefault="00D603F5" w:rsidP="00BD2E3A">
      <w:r w:rsidRPr="001B0EA3">
        <w:t>Изцяло внедрено в системата за вътрешен контрол на УО, управлението на риска е постоянен процес (отговорност на висшето ръководство на УО) да идентифицира, оценява и управлява рисковете, които могат да застрашат постигането на целите на УО. Управлението на риска в УО дава рамката за увеличаване на ефективността на управление</w:t>
      </w:r>
      <w:r w:rsidR="00711364" w:rsidRPr="001B0EA3">
        <w:t>.</w:t>
      </w:r>
      <w:r w:rsidRPr="001B0EA3">
        <w:t xml:space="preserve"> Помага за идентифициране на проблеми, които са над нивото на толериране на риска в УО и да се идентифицират области, в които системата за контрол работи най-ефективно (и къде не работи). Представлява и средство за вземане на стратегически решения.</w:t>
      </w:r>
    </w:p>
    <w:p w14:paraId="55D4610F" w14:textId="77777777" w:rsidR="00D603F5" w:rsidRPr="001B0EA3" w:rsidRDefault="00D603F5" w:rsidP="00BD2E3A">
      <w:r w:rsidRPr="001B0EA3">
        <w:t>Тъй като УО има както вътрешни, така и външни рискове, които могат да застрашат действията му и поради това</w:t>
      </w:r>
      <w:r w:rsidR="00711364" w:rsidRPr="001B0EA3">
        <w:t>,</w:t>
      </w:r>
      <w:r w:rsidRPr="001B0EA3">
        <w:t xml:space="preserve"> че икономическите, контролни и оперативни обстоятелства регулярно се променят, е необходим постоянен анализ на риска, който да определи вътрешните и външните рискови фактори, да се дефинират и приоритизират рисковете. Управлението трябва да е наясно с:</w:t>
      </w:r>
    </w:p>
    <w:p w14:paraId="4F9C55C3" w14:textId="77777777" w:rsidR="00D603F5" w:rsidRPr="00BD2E3A" w:rsidRDefault="00D603F5" w:rsidP="000F251A">
      <w:pPr>
        <w:pStyle w:val="ListParagraph"/>
        <w:numPr>
          <w:ilvl w:val="0"/>
          <w:numId w:val="415"/>
        </w:numPr>
        <w:ind w:left="0" w:firstLine="1211"/>
      </w:pPr>
      <w:r w:rsidRPr="00BD2E3A">
        <w:t>настоящите рискове в областта на дейност на УО;</w:t>
      </w:r>
    </w:p>
    <w:p w14:paraId="3B930776" w14:textId="77777777" w:rsidR="00D603F5" w:rsidRPr="00BD2E3A" w:rsidRDefault="00D603F5" w:rsidP="000F251A">
      <w:pPr>
        <w:pStyle w:val="ListParagraph"/>
        <w:numPr>
          <w:ilvl w:val="0"/>
          <w:numId w:val="415"/>
        </w:numPr>
        <w:ind w:left="0" w:firstLine="1211"/>
      </w:pPr>
      <w:r w:rsidRPr="00BD2E3A">
        <w:t>възможните последици и основни резултати от реализирането на рисковете;</w:t>
      </w:r>
    </w:p>
    <w:p w14:paraId="129209BE" w14:textId="77777777" w:rsidR="00D603F5" w:rsidRPr="00BD2E3A" w:rsidRDefault="00D603F5" w:rsidP="000F251A">
      <w:pPr>
        <w:pStyle w:val="ListParagraph"/>
        <w:numPr>
          <w:ilvl w:val="0"/>
          <w:numId w:val="415"/>
        </w:numPr>
        <w:ind w:left="0" w:firstLine="1211"/>
      </w:pPr>
      <w:r w:rsidRPr="00BD2E3A">
        <w:t>ефективните методи за оценка и идентифициране на възможните рискове;</w:t>
      </w:r>
    </w:p>
    <w:p w14:paraId="078C89A1" w14:textId="77777777" w:rsidR="00D603F5" w:rsidRPr="00BD2E3A" w:rsidRDefault="00D603F5" w:rsidP="000F251A">
      <w:pPr>
        <w:pStyle w:val="ListParagraph"/>
        <w:numPr>
          <w:ilvl w:val="0"/>
          <w:numId w:val="415"/>
        </w:numPr>
        <w:ind w:left="0" w:firstLine="1211"/>
      </w:pPr>
      <w:r w:rsidRPr="00BD2E3A">
        <w:lastRenderedPageBreak/>
        <w:t>процедурите по вътрешен контрол за превенция на риска и неговото управление;</w:t>
      </w:r>
    </w:p>
    <w:p w14:paraId="3588A388" w14:textId="77777777" w:rsidR="00D603F5" w:rsidRPr="00BD2E3A" w:rsidRDefault="00D603F5" w:rsidP="000F251A">
      <w:pPr>
        <w:pStyle w:val="ListParagraph"/>
        <w:numPr>
          <w:ilvl w:val="0"/>
          <w:numId w:val="415"/>
        </w:numPr>
        <w:ind w:left="0" w:firstLine="1211"/>
      </w:pPr>
      <w:r w:rsidRPr="00BD2E3A">
        <w:t>алтернативни действия, които трябва да бъдат предприети в случай на реализиране на риска;</w:t>
      </w:r>
    </w:p>
    <w:p w14:paraId="55F65B2B" w14:textId="77777777" w:rsidR="00D603F5" w:rsidRPr="001B0EA3" w:rsidRDefault="00D603F5" w:rsidP="00890B4B">
      <w:pPr>
        <w:rPr>
          <w:color w:val="000000"/>
          <w:szCs w:val="24"/>
        </w:rPr>
      </w:pPr>
    </w:p>
    <w:p w14:paraId="67145464" w14:textId="77777777" w:rsidR="00D603F5" w:rsidRPr="001B0EA3" w:rsidRDefault="00D603F5" w:rsidP="00BD2E3A">
      <w:r w:rsidRPr="001B0EA3">
        <w:t>Контролните действия трябва да бъдат извършени на всички нива на УО. Процедурният наръчник описва дейността (процедурите) на вътрешния контрол, изготвени от УО.</w:t>
      </w:r>
    </w:p>
    <w:p w14:paraId="11F65D04" w14:textId="77777777" w:rsidR="00D603F5" w:rsidRPr="001B0EA3" w:rsidRDefault="00D603F5" w:rsidP="00BD2E3A">
      <w:r w:rsidRPr="001B0EA3">
        <w:t xml:space="preserve">Задълженията и отговорностите на УО се дефинират на </w:t>
      </w:r>
      <w:r w:rsidRPr="001B0EA3">
        <w:rPr>
          <w:b/>
        </w:rPr>
        <w:t>институционално и индивидуално ниво</w:t>
      </w:r>
      <w:r w:rsidRPr="001B0EA3">
        <w:t xml:space="preserve"> чрез писмени процедури, формализирани в Процедурният наръчник и длъжностните характеристики. За да се избегне конфликт на интереси, УО създава своята структура и изготвя процедурите и системите си както следва:</w:t>
      </w:r>
    </w:p>
    <w:p w14:paraId="335B3061" w14:textId="77777777" w:rsidR="00D603F5" w:rsidRPr="001B0EA3" w:rsidRDefault="00D603F5" w:rsidP="00486584">
      <w:pPr>
        <w:pStyle w:val="ListParagraph"/>
        <w:numPr>
          <w:ilvl w:val="0"/>
          <w:numId w:val="415"/>
        </w:numPr>
        <w:ind w:left="0" w:firstLine="1211"/>
      </w:pPr>
      <w:r w:rsidRPr="001B0EA3">
        <w:t>разделение между оторизиране за плащане и извършване на плащане:</w:t>
      </w:r>
    </w:p>
    <w:p w14:paraId="4C5BCF7B" w14:textId="77777777" w:rsidR="00D603F5" w:rsidRPr="001B0EA3" w:rsidRDefault="00D603F5" w:rsidP="00BD2E3A">
      <w:r w:rsidRPr="001B0EA3">
        <w:t>плащанията към бенефициента се внасят за одобрение при служител, различен от този, който е отговорен за процедирането на инструкциите за плащане на основата на ясна и прозрачна подготовка/размяна на документи и система за двоен подпис върху банковите сметки;</w:t>
      </w:r>
    </w:p>
    <w:p w14:paraId="79337E24" w14:textId="77777777" w:rsidR="00D603F5" w:rsidRPr="001B0EA3" w:rsidRDefault="00D603F5" w:rsidP="00486584">
      <w:pPr>
        <w:pStyle w:val="ListParagraph"/>
        <w:numPr>
          <w:ilvl w:val="0"/>
          <w:numId w:val="415"/>
        </w:numPr>
        <w:ind w:left="0" w:firstLine="1211"/>
      </w:pPr>
      <w:r w:rsidRPr="001B0EA3">
        <w:t>разделение между финансово управление и счетоводство:</w:t>
      </w:r>
    </w:p>
    <w:p w14:paraId="477B30D3" w14:textId="77777777" w:rsidR="00D603F5" w:rsidRPr="001B0EA3" w:rsidRDefault="00D603F5" w:rsidP="00BD2E3A">
      <w:r w:rsidRPr="001B0EA3">
        <w:t>счетоводителите, които носят отговорността за счетоводните записи по СКФ не са включени в одобрението на процеса на плащане, нито в извършването на плащанията и обратно.</w:t>
      </w:r>
    </w:p>
    <w:p w14:paraId="5C0CF155" w14:textId="77777777" w:rsidR="00D603F5" w:rsidRPr="001B0EA3" w:rsidRDefault="00D603F5" w:rsidP="00BD2E3A">
      <w:r w:rsidRPr="001B0EA3">
        <w:t>За да се гарантира надежден контрол и наблюдение при управлението на ЕСИФ всички процеси в УО подлежат на контроли според „принципа на четирите очи”, където поне двама души преглеждат всеки документ преди внасянето му за одобрение от ръководителя. Контролите, наблюдението и одобренията се формализират в контролни листове.</w:t>
      </w:r>
    </w:p>
    <w:p w14:paraId="77932C2F" w14:textId="77777777" w:rsidR="00D603F5" w:rsidRDefault="00D603F5" w:rsidP="00BD2E3A">
      <w:pPr>
        <w:rPr>
          <w:b/>
        </w:rPr>
      </w:pPr>
      <w:r w:rsidRPr="001B0EA3">
        <w:t xml:space="preserve">Ефективното функциониране на системата за вътрешен контрол на УО е възможно единствено, ако </w:t>
      </w:r>
      <w:r w:rsidRPr="001B0EA3">
        <w:rPr>
          <w:b/>
        </w:rPr>
        <w:t>всички видове контроли се прилагат систематично.</w:t>
      </w:r>
    </w:p>
    <w:p w14:paraId="6412ECE6" w14:textId="77777777" w:rsidR="00BD2E3A" w:rsidRPr="001B0EA3" w:rsidRDefault="00BD2E3A" w:rsidP="00BD2E3A">
      <w:pPr>
        <w:rPr>
          <w:b/>
        </w:rPr>
      </w:pPr>
    </w:p>
    <w:p w14:paraId="45172E10" w14:textId="77777777" w:rsidR="00D603F5" w:rsidRPr="001B0EA3" w:rsidRDefault="00D603F5" w:rsidP="00BD2E3A">
      <w:r w:rsidRPr="001B0EA3">
        <w:t xml:space="preserve">УО трябва да зачита правилата на </w:t>
      </w:r>
      <w:r w:rsidRPr="001B0EA3">
        <w:rPr>
          <w:b/>
        </w:rPr>
        <w:t>Публичен вътрешен финансов контрол (ПВФК)</w:t>
      </w:r>
      <w:r w:rsidRPr="001B0EA3">
        <w:t>, определени от националната законова и административна рамка.</w:t>
      </w:r>
    </w:p>
    <w:p w14:paraId="254EF4FB" w14:textId="77777777" w:rsidR="00D603F5" w:rsidRPr="001B0EA3" w:rsidRDefault="00D603F5" w:rsidP="00BD2E3A">
      <w:r w:rsidRPr="001B0EA3">
        <w:t>За да се направи ясно разграничение на задачите според вътрешния контрол, УО прави ясно разграничение между предварителен контрол (контрол, който предхожда транзакция/операция) и последващ контрол (контрол, след транзакцията/операцията). Последващият контрол се извършва от вътрешни и външни одитори.</w:t>
      </w:r>
    </w:p>
    <w:p w14:paraId="6118FA81" w14:textId="77777777" w:rsidR="00D603F5" w:rsidRPr="001B0EA3" w:rsidRDefault="00D603F5" w:rsidP="00BD2E3A">
      <w:r w:rsidRPr="001B0EA3">
        <w:t xml:space="preserve">В контекста на всяка оценка от ЕК, трите основни критерия за системата на публичния вътрешен финансов контрол (ПВФК) са: </w:t>
      </w:r>
    </w:p>
    <w:p w14:paraId="164EFEFB" w14:textId="77777777" w:rsidR="00D603F5" w:rsidRPr="001B0EA3" w:rsidRDefault="00D603F5" w:rsidP="00BD2E3A">
      <w:pPr>
        <w:pStyle w:val="ListParagraph"/>
        <w:numPr>
          <w:ilvl w:val="0"/>
          <w:numId w:val="417"/>
        </w:numPr>
        <w:tabs>
          <w:tab w:val="left" w:pos="1134"/>
        </w:tabs>
        <w:ind w:left="0" w:firstLine="851"/>
        <w:rPr>
          <w:lang w:eastAsia="bg-BG"/>
        </w:rPr>
      </w:pPr>
      <w:r w:rsidRPr="001B0EA3">
        <w:rPr>
          <w:lang w:eastAsia="bg-BG"/>
        </w:rPr>
        <w:t>Изпълнение на ефективно финансово управление и система на контрол в УО от ръководителя на УО (с акцент върху задължителното изпълнение на минималните критерии за система на вътрешен контрол във всички области на дейност).</w:t>
      </w:r>
    </w:p>
    <w:p w14:paraId="6F98AE09" w14:textId="77777777" w:rsidR="00D603F5" w:rsidRPr="001B0EA3" w:rsidRDefault="00D603F5" w:rsidP="00BD2E3A">
      <w:pPr>
        <w:pStyle w:val="ListParagraph"/>
        <w:numPr>
          <w:ilvl w:val="0"/>
          <w:numId w:val="417"/>
        </w:numPr>
        <w:tabs>
          <w:tab w:val="left" w:pos="1134"/>
        </w:tabs>
        <w:ind w:left="0" w:firstLine="851"/>
        <w:rPr>
          <w:lang w:eastAsia="bg-BG"/>
        </w:rPr>
      </w:pPr>
      <w:r w:rsidRPr="001B0EA3">
        <w:rPr>
          <w:lang w:eastAsia="bg-BG"/>
        </w:rPr>
        <w:t xml:space="preserve">Изпълнението на система за функционално независим вътрешен одит (за оценката на </w:t>
      </w:r>
      <w:r w:rsidRPr="001B0EA3">
        <w:t>качеството</w:t>
      </w:r>
      <w:r w:rsidRPr="001B0EA3">
        <w:rPr>
          <w:lang w:eastAsia="bg-BG"/>
        </w:rPr>
        <w:t xml:space="preserve"> на системите за финансово управление и за подобрение на подобни системи).</w:t>
      </w:r>
    </w:p>
    <w:p w14:paraId="4F597AB7" w14:textId="77777777" w:rsidR="00D603F5" w:rsidRPr="001B0EA3" w:rsidRDefault="00D603F5" w:rsidP="00BD2E3A">
      <w:r w:rsidRPr="001B0EA3">
        <w:t>За да се гарантира, че системата на контрол, изградена от УО е достатъчно здрава, за да даде увереност на ръководителя на УО, че е в съответствие с изискванията на добрата финансова контролна система, ръководителят на УО трябва да бъде подкрепен от функцията по вътрешен одит. Функцията по вътрешен одит е цялата област от последващо потвърждение за това дали управленските и контролни системи съответстват на:</w:t>
      </w:r>
    </w:p>
    <w:p w14:paraId="36C5AA9A" w14:textId="77777777" w:rsidR="00D603F5" w:rsidRPr="00BD2E3A" w:rsidRDefault="00D603F5" w:rsidP="00486584">
      <w:pPr>
        <w:pStyle w:val="ListParagraph"/>
        <w:numPr>
          <w:ilvl w:val="0"/>
          <w:numId w:val="415"/>
        </w:numPr>
        <w:ind w:left="0" w:firstLine="1211"/>
      </w:pPr>
      <w:r w:rsidRPr="00BD2E3A">
        <w:t>изискванията на бюджета</w:t>
      </w:r>
    </w:p>
    <w:p w14:paraId="582EB3E7" w14:textId="77777777" w:rsidR="00D603F5" w:rsidRPr="00BD2E3A" w:rsidRDefault="00D603F5" w:rsidP="00486584">
      <w:pPr>
        <w:pStyle w:val="ListParagraph"/>
        <w:numPr>
          <w:ilvl w:val="0"/>
          <w:numId w:val="415"/>
        </w:numPr>
        <w:ind w:left="0" w:firstLine="1211"/>
      </w:pPr>
      <w:r w:rsidRPr="00BD2E3A">
        <w:t>целите на УО</w:t>
      </w:r>
    </w:p>
    <w:p w14:paraId="12B89C95" w14:textId="77777777" w:rsidR="00D603F5" w:rsidRPr="00BD2E3A" w:rsidRDefault="00D603F5" w:rsidP="00486584">
      <w:pPr>
        <w:pStyle w:val="ListParagraph"/>
        <w:numPr>
          <w:ilvl w:val="0"/>
          <w:numId w:val="415"/>
        </w:numPr>
        <w:ind w:left="0" w:firstLine="1211"/>
      </w:pPr>
      <w:r w:rsidRPr="00BD2E3A">
        <w:t>правилата и стандартите и по-общо на принципите за добро финансово управление.</w:t>
      </w:r>
    </w:p>
    <w:p w14:paraId="4F5BB6AD" w14:textId="77777777" w:rsidR="00D603F5" w:rsidRPr="001B0EA3" w:rsidRDefault="00D603F5" w:rsidP="00BD2E3A">
      <w:r w:rsidRPr="001B0EA3">
        <w:t xml:space="preserve">Като част от правителствената система за вътрешен контрол, вътрешният одит трябва да потвърди съответствието със съответните закони на Република България върху публичния </w:t>
      </w:r>
      <w:r w:rsidRPr="001B0EA3">
        <w:lastRenderedPageBreak/>
        <w:t>финансов контрол, включително и на закони, които спадат към групата за осигуряване на запазването на преимущества, надеждността на финансовите документи и счетоводството.</w:t>
      </w:r>
    </w:p>
    <w:p w14:paraId="0C7BEDAE" w14:textId="77777777" w:rsidR="00D603F5" w:rsidRPr="001B0EA3" w:rsidRDefault="00D603F5" w:rsidP="00BD2E3A">
      <w:r w:rsidRPr="001B0EA3">
        <w:t>УО може да бъде подложен на различни проверки, извършени от вътрешните одитори. Те включват: съответствие и важни тестове, системни одити, одити за изпълнение, одити за информационни технологии и всякакъв вид последващо потвърждение, че вътрешните одитори смятат, че трябва да подсигури съответствието на управлението на УО с приложимите правила и наредби, свързани с неговата дейност.</w:t>
      </w:r>
    </w:p>
    <w:p w14:paraId="0959F618" w14:textId="77777777" w:rsidR="00D603F5" w:rsidRPr="001B0EA3" w:rsidRDefault="00D603F5" w:rsidP="00BD2E3A">
      <w:r w:rsidRPr="001B0EA3">
        <w:t>Вътрешните одитори на УО трябва да изпълняват задълженията си на базата на:</w:t>
      </w:r>
    </w:p>
    <w:p w14:paraId="5B42ADF1" w14:textId="77777777" w:rsidR="00D603F5" w:rsidRPr="00BD2E3A" w:rsidRDefault="00D603F5" w:rsidP="00486584">
      <w:pPr>
        <w:pStyle w:val="ListParagraph"/>
        <w:numPr>
          <w:ilvl w:val="0"/>
          <w:numId w:val="415"/>
        </w:numPr>
        <w:ind w:left="0" w:firstLine="1211"/>
      </w:pPr>
      <w:r w:rsidRPr="00BD2E3A">
        <w:t>стратегически годишни одитни планове, които се определят на ниво МФ и се базират на анализ на риска</w:t>
      </w:r>
    </w:p>
    <w:p w14:paraId="2817CB5F" w14:textId="77777777" w:rsidR="00D603F5" w:rsidRPr="00BD2E3A" w:rsidRDefault="00D603F5" w:rsidP="00486584">
      <w:pPr>
        <w:pStyle w:val="ListParagraph"/>
        <w:numPr>
          <w:ilvl w:val="0"/>
          <w:numId w:val="415"/>
        </w:numPr>
        <w:ind w:left="0" w:firstLine="1211"/>
      </w:pPr>
      <w:r w:rsidRPr="00BD2E3A">
        <w:t>процедурите по вътрешен одит, определени под ръководството на дирекция „ВК” на МФ (ЦХЗ)</w:t>
      </w:r>
    </w:p>
    <w:p w14:paraId="33E1C6AA" w14:textId="77777777" w:rsidR="00D603F5" w:rsidRPr="001B0EA3" w:rsidRDefault="00D603F5" w:rsidP="00C635B6">
      <w:pPr>
        <w:rPr>
          <w:color w:val="000000"/>
          <w:szCs w:val="24"/>
        </w:rPr>
      </w:pPr>
    </w:p>
    <w:p w14:paraId="778F48B6" w14:textId="77777777" w:rsidR="00D603F5" w:rsidRDefault="00D603F5" w:rsidP="000F251A">
      <w:pPr>
        <w:pStyle w:val="ListParagraph"/>
        <w:numPr>
          <w:ilvl w:val="0"/>
          <w:numId w:val="417"/>
        </w:numPr>
        <w:tabs>
          <w:tab w:val="left" w:pos="1134"/>
        </w:tabs>
        <w:ind w:left="0" w:firstLine="851"/>
        <w:rPr>
          <w:lang w:eastAsia="bg-BG"/>
        </w:rPr>
      </w:pPr>
      <w:r w:rsidRPr="000F251A">
        <w:rPr>
          <w:lang w:eastAsia="bg-BG"/>
        </w:rPr>
        <w:t xml:space="preserve"> Съществуването на ясно дефинирано централно звено (за осигуряване на единна методология за системите за финансово управление и контрол и за осигуряването на стандартно качество). МФ носи отговорността за цялостната система за публичен вътрешен контрол и вътрешния одит. То трябва, чрез дирекция Вътрешен контрол на МФ, да подпомага създаването на обща рамка на методи за предварителен и последващ контрол и уеднаквяване на системите за финансово управление и контрол. </w:t>
      </w:r>
    </w:p>
    <w:p w14:paraId="4EE56FF8" w14:textId="77777777" w:rsidR="000F251A" w:rsidRPr="000F251A" w:rsidRDefault="000F251A" w:rsidP="000F251A">
      <w:pPr>
        <w:tabs>
          <w:tab w:val="left" w:pos="1134"/>
        </w:tabs>
        <w:rPr>
          <w:lang w:eastAsia="bg-BG"/>
        </w:rPr>
      </w:pPr>
    </w:p>
    <w:p w14:paraId="53054EB1" w14:textId="77777777" w:rsidR="00D603F5" w:rsidRPr="00BD2E3A" w:rsidRDefault="00D603F5" w:rsidP="00BD2E3A">
      <w:pPr>
        <w:rPr>
          <w:b/>
          <w:u w:val="single"/>
        </w:rPr>
      </w:pPr>
      <w:r w:rsidRPr="00BD2E3A">
        <w:rPr>
          <w:b/>
          <w:u w:val="single"/>
        </w:rPr>
        <w:t xml:space="preserve">Предпоставки </w:t>
      </w:r>
    </w:p>
    <w:p w14:paraId="0DA8AEBA" w14:textId="77777777" w:rsidR="00D603F5" w:rsidRPr="001B0EA3" w:rsidRDefault="00D603F5" w:rsidP="00486584">
      <w:r w:rsidRPr="001B0EA3">
        <w:t>За да може всеки да участва в процеса на контрол, е необходимо всички служители в УО да знаят достатъчно за дейността като:</w:t>
      </w:r>
    </w:p>
    <w:p w14:paraId="1B43C18E" w14:textId="77777777" w:rsidR="00D603F5" w:rsidRPr="00486584" w:rsidRDefault="00D603F5" w:rsidP="00486584">
      <w:pPr>
        <w:pStyle w:val="ListParagraph"/>
        <w:numPr>
          <w:ilvl w:val="0"/>
          <w:numId w:val="415"/>
        </w:numPr>
        <w:ind w:left="0" w:firstLine="1211"/>
      </w:pPr>
      <w:r w:rsidRPr="00486584">
        <w:t xml:space="preserve">използваните процедури, които се прилагат в УО да позволяват информацията да бъде препратена незабавно на тези, които се интересуват от нея; </w:t>
      </w:r>
    </w:p>
    <w:p w14:paraId="11652FF8" w14:textId="77777777" w:rsidR="00D603F5" w:rsidRPr="00486584" w:rsidRDefault="00D603F5" w:rsidP="00486584">
      <w:pPr>
        <w:pStyle w:val="ListParagraph"/>
        <w:numPr>
          <w:ilvl w:val="0"/>
          <w:numId w:val="415"/>
        </w:numPr>
        <w:ind w:left="0" w:firstLine="1211"/>
      </w:pPr>
      <w:r w:rsidRPr="00486584">
        <w:t>процедурите по управление и контрол да бъдат формулирани недвусмислено, одобрени от ръководителя на УО и доведени до знанието на всички заинтересовани лица;</w:t>
      </w:r>
    </w:p>
    <w:p w14:paraId="71EDE63A" w14:textId="77777777" w:rsidR="00D603F5" w:rsidRDefault="00D603F5" w:rsidP="00486584">
      <w:pPr>
        <w:pStyle w:val="ListParagraph"/>
        <w:numPr>
          <w:ilvl w:val="0"/>
          <w:numId w:val="415"/>
        </w:numPr>
        <w:ind w:left="0" w:firstLine="1211"/>
      </w:pPr>
      <w:r w:rsidRPr="00486584">
        <w:t>свързаната документация да е лесно достъпна за заинтересованите служители и за одиторите;</w:t>
      </w:r>
    </w:p>
    <w:p w14:paraId="4EA6348F" w14:textId="77777777" w:rsidR="00486584" w:rsidRPr="00486584" w:rsidRDefault="00486584" w:rsidP="00486584"/>
    <w:p w14:paraId="593B2498" w14:textId="77777777" w:rsidR="00D603F5" w:rsidRPr="00BD2E3A" w:rsidRDefault="00D603F5" w:rsidP="00BD2E3A">
      <w:pPr>
        <w:rPr>
          <w:b/>
          <w:u w:val="single"/>
        </w:rPr>
      </w:pPr>
      <w:r w:rsidRPr="00BD2E3A">
        <w:rPr>
          <w:b/>
          <w:u w:val="single"/>
        </w:rPr>
        <w:t>Верифициране на разходи: Разходите трябва да бъдат верифицирани от УО само ако:</w:t>
      </w:r>
    </w:p>
    <w:p w14:paraId="4CF7C278" w14:textId="77777777" w:rsidR="00D603F5" w:rsidRPr="00486584" w:rsidRDefault="00D603F5" w:rsidP="00486584">
      <w:pPr>
        <w:pStyle w:val="ListParagraph"/>
        <w:numPr>
          <w:ilvl w:val="0"/>
          <w:numId w:val="415"/>
        </w:numPr>
        <w:ind w:left="0" w:firstLine="1211"/>
      </w:pPr>
      <w:r w:rsidRPr="00486584">
        <w:t>са допустими, в съответствие с критериите, определени в националните правила допустимостта на разходите, както и с конкретните за ОПТТИ правила за допустимост на разходите;</w:t>
      </w:r>
    </w:p>
    <w:p w14:paraId="57EC5AF8" w14:textId="77777777" w:rsidR="00D603F5" w:rsidRDefault="00D603F5" w:rsidP="00486584">
      <w:pPr>
        <w:pStyle w:val="ListParagraph"/>
        <w:numPr>
          <w:ilvl w:val="0"/>
          <w:numId w:val="415"/>
        </w:numPr>
        <w:ind w:left="0" w:firstLine="1211"/>
      </w:pPr>
      <w:r w:rsidRPr="00486584">
        <w:t>реално отговарят на напредъка на изпълнението на договорите, с които са свързани. Това може да е физическия напредък за изпълнението на работите или реалното извършване на доставки и услуги.</w:t>
      </w:r>
    </w:p>
    <w:p w14:paraId="216AD315" w14:textId="77777777" w:rsidR="00486584" w:rsidRPr="00486584" w:rsidRDefault="00486584" w:rsidP="00486584"/>
    <w:p w14:paraId="1A309131" w14:textId="77777777" w:rsidR="00D603F5" w:rsidRPr="00BD2E3A" w:rsidRDefault="00D603F5" w:rsidP="00BD2E3A">
      <w:pPr>
        <w:rPr>
          <w:b/>
          <w:u w:val="single"/>
        </w:rPr>
      </w:pPr>
      <w:r w:rsidRPr="00BD2E3A">
        <w:rPr>
          <w:b/>
          <w:u w:val="single"/>
        </w:rPr>
        <w:t>Задължително използване на контролни листове:</w:t>
      </w:r>
    </w:p>
    <w:p w14:paraId="543EBFFE" w14:textId="77777777" w:rsidR="00D603F5" w:rsidRPr="00486584" w:rsidRDefault="00D603F5" w:rsidP="00486584">
      <w:pPr>
        <w:pStyle w:val="ListParagraph"/>
        <w:numPr>
          <w:ilvl w:val="0"/>
          <w:numId w:val="415"/>
        </w:numPr>
        <w:ind w:left="0" w:firstLine="1211"/>
      </w:pPr>
      <w:r w:rsidRPr="00486584">
        <w:t>всяко заявление за плащане/искане за средства и свързаните с това документи трябва да бъдат, преди одобрението и вписване в регистрите, проверени в контролни листове;</w:t>
      </w:r>
    </w:p>
    <w:p w14:paraId="06586026" w14:textId="77777777" w:rsidR="00D603F5" w:rsidRPr="00486584" w:rsidRDefault="00D603F5" w:rsidP="00486584">
      <w:pPr>
        <w:pStyle w:val="ListParagraph"/>
        <w:numPr>
          <w:ilvl w:val="0"/>
          <w:numId w:val="415"/>
        </w:numPr>
        <w:ind w:left="0" w:firstLine="1211"/>
      </w:pPr>
      <w:r w:rsidRPr="00486584">
        <w:t>всички инструкции за плащане трябва да бъдат преди одобрението и вписване в регистрите, проверени в контролни листове;</w:t>
      </w:r>
    </w:p>
    <w:p w14:paraId="076D425D" w14:textId="77777777" w:rsidR="00D603F5" w:rsidRDefault="00D603F5" w:rsidP="00486584">
      <w:pPr>
        <w:pStyle w:val="ListParagraph"/>
        <w:numPr>
          <w:ilvl w:val="0"/>
          <w:numId w:val="415"/>
        </w:numPr>
        <w:ind w:left="0" w:firstLine="1211"/>
      </w:pPr>
      <w:r w:rsidRPr="00486584">
        <w:t>банковите извлечения трябва да бъдат, преди одобрението и вписване в регистрите, проверени в контролни листове;</w:t>
      </w:r>
    </w:p>
    <w:p w14:paraId="059791E0" w14:textId="77777777" w:rsidR="00486584" w:rsidRPr="00486584" w:rsidRDefault="00486584" w:rsidP="00486584"/>
    <w:p w14:paraId="22C3F8AC" w14:textId="77777777" w:rsidR="00D603F5" w:rsidRPr="00BD2E3A" w:rsidRDefault="00D603F5" w:rsidP="00BD2E3A">
      <w:pPr>
        <w:rPr>
          <w:b/>
          <w:u w:val="single"/>
        </w:rPr>
      </w:pPr>
      <w:r w:rsidRPr="00BD2E3A">
        <w:rPr>
          <w:b/>
          <w:u w:val="single"/>
        </w:rPr>
        <w:t>Серия от контроли</w:t>
      </w:r>
    </w:p>
    <w:p w14:paraId="53279E19" w14:textId="77777777" w:rsidR="00D603F5" w:rsidRDefault="00D603F5" w:rsidP="00486584">
      <w:r w:rsidRPr="001B0EA3">
        <w:t>За да се осигури пълното съответствие с регламентите по ЕСИФ и националните правила по отношение на допустимостта на разходите, се създава серия от контроли, която да включва процеса на проверка на допустимостта на разходите и последващата сертификация.</w:t>
      </w:r>
    </w:p>
    <w:p w14:paraId="31E90717" w14:textId="77777777" w:rsidR="00486584" w:rsidRPr="001B0EA3" w:rsidRDefault="00486584" w:rsidP="00486584"/>
    <w:p w14:paraId="53C1C74F" w14:textId="77777777" w:rsidR="00D603F5" w:rsidRPr="00BD2E3A" w:rsidRDefault="00D603F5" w:rsidP="00BD2E3A">
      <w:pPr>
        <w:rPr>
          <w:b/>
          <w:u w:val="single"/>
        </w:rPr>
      </w:pPr>
      <w:r w:rsidRPr="00BD2E3A">
        <w:rPr>
          <w:b/>
          <w:u w:val="single"/>
        </w:rPr>
        <w:lastRenderedPageBreak/>
        <w:t>Най-ниско ниво на контрол от бенефициента</w:t>
      </w:r>
    </w:p>
    <w:p w14:paraId="4C080641" w14:textId="77777777" w:rsidR="00D603F5" w:rsidRPr="00486584" w:rsidRDefault="00D603F5" w:rsidP="00486584">
      <w:pPr>
        <w:pStyle w:val="ListParagraph"/>
        <w:numPr>
          <w:ilvl w:val="0"/>
          <w:numId w:val="415"/>
        </w:numPr>
        <w:ind w:left="0" w:firstLine="1211"/>
      </w:pPr>
      <w:r w:rsidRPr="00486584">
        <w:t>формално потвърждение на доставка на работа/доставки/услуги и оценка на напредъка на изпълнението на договорите,</w:t>
      </w:r>
    </w:p>
    <w:p w14:paraId="6AE4BC4F" w14:textId="77777777" w:rsidR="00D603F5" w:rsidRPr="00486584" w:rsidRDefault="00D603F5" w:rsidP="00486584">
      <w:pPr>
        <w:pStyle w:val="ListParagraph"/>
        <w:numPr>
          <w:ilvl w:val="0"/>
          <w:numId w:val="415"/>
        </w:numPr>
        <w:ind w:left="0" w:firstLine="1211"/>
      </w:pPr>
      <w:r w:rsidRPr="00486584">
        <w:t>контрол и одобрение на фактурите на контрактора,</w:t>
      </w:r>
    </w:p>
    <w:p w14:paraId="64191497" w14:textId="77777777" w:rsidR="00D603F5" w:rsidRPr="00486584" w:rsidRDefault="00D603F5" w:rsidP="00486584">
      <w:pPr>
        <w:pStyle w:val="ListParagraph"/>
        <w:numPr>
          <w:ilvl w:val="0"/>
          <w:numId w:val="415"/>
        </w:numPr>
        <w:ind w:left="0" w:firstLine="1211"/>
      </w:pPr>
      <w:r w:rsidRPr="00486584">
        <w:t>контрол и одобрение на исканията за средства на контрактора, потвърдени от независим наблюдател на строителния обект в случая на договорите за строителство,</w:t>
      </w:r>
    </w:p>
    <w:p w14:paraId="3137C24B" w14:textId="77777777" w:rsidR="00D603F5" w:rsidRPr="00486584" w:rsidRDefault="00D603F5" w:rsidP="00486584">
      <w:pPr>
        <w:pStyle w:val="ListParagraph"/>
        <w:numPr>
          <w:ilvl w:val="0"/>
          <w:numId w:val="415"/>
        </w:numPr>
        <w:ind w:left="0" w:firstLine="1211"/>
      </w:pPr>
      <w:r w:rsidRPr="00486584">
        <w:t>потвърждение на достоверността и допустимостта на разходите.</w:t>
      </w:r>
    </w:p>
    <w:p w14:paraId="43257E21" w14:textId="77777777" w:rsidR="00D603F5" w:rsidRDefault="00D603F5" w:rsidP="00486584">
      <w:pPr>
        <w:pStyle w:val="ListParagraph"/>
        <w:numPr>
          <w:ilvl w:val="0"/>
          <w:numId w:val="415"/>
        </w:numPr>
        <w:ind w:left="0" w:firstLine="1211"/>
      </w:pPr>
      <w:r w:rsidRPr="00486584">
        <w:t xml:space="preserve">контрол и потвърждение на изпълнението на </w:t>
      </w:r>
      <w:r w:rsidR="007C73C4" w:rsidRPr="00486584">
        <w:t>дейностите по информация и публичност</w:t>
      </w:r>
      <w:r w:rsidR="007C73C4" w:rsidRPr="00486584" w:rsidDel="007C73C4">
        <w:t xml:space="preserve"> </w:t>
      </w:r>
      <w:r w:rsidRPr="00486584">
        <w:t>на инфраструктурните проекти, когато отговорността за изпълнението им е прехвърлена от бенефициента на избрания изпълнител.</w:t>
      </w:r>
    </w:p>
    <w:p w14:paraId="10648B63" w14:textId="77777777" w:rsidR="00486584" w:rsidRPr="00486584" w:rsidRDefault="00486584" w:rsidP="00486584"/>
    <w:p w14:paraId="7C440ECE" w14:textId="77777777" w:rsidR="00D603F5" w:rsidRPr="001B0EA3" w:rsidRDefault="00D603F5" w:rsidP="00486584">
      <w:pPr>
        <w:rPr>
          <w:color w:val="000000"/>
          <w:szCs w:val="24"/>
        </w:rPr>
      </w:pPr>
    </w:p>
    <w:p w14:paraId="59F8FDBB" w14:textId="77777777" w:rsidR="00D603F5" w:rsidRPr="00BD2E3A" w:rsidRDefault="00D603F5" w:rsidP="00BD2E3A">
      <w:pPr>
        <w:rPr>
          <w:b/>
          <w:u w:val="single"/>
        </w:rPr>
      </w:pPr>
      <w:r w:rsidRPr="00BD2E3A">
        <w:rPr>
          <w:b/>
          <w:u w:val="single"/>
        </w:rPr>
        <w:t>Контрол на ниво УО</w:t>
      </w:r>
    </w:p>
    <w:p w14:paraId="402AC361" w14:textId="77777777" w:rsidR="00D603F5" w:rsidRPr="001B0EA3" w:rsidRDefault="00D603F5" w:rsidP="00486584">
      <w:r w:rsidRPr="001B0EA3">
        <w:t>Целите на контрола, извършван от УО са:</w:t>
      </w:r>
    </w:p>
    <w:p w14:paraId="43962EEA" w14:textId="77777777" w:rsidR="00D603F5" w:rsidRPr="00486584" w:rsidRDefault="00D603F5" w:rsidP="00486584">
      <w:pPr>
        <w:pStyle w:val="ListParagraph"/>
        <w:numPr>
          <w:ilvl w:val="0"/>
          <w:numId w:val="415"/>
        </w:numPr>
        <w:ind w:left="0" w:firstLine="1211"/>
      </w:pPr>
      <w:r w:rsidRPr="00486584">
        <w:t>проверка на всички разходи като допустими според националните правила за допустимост на разходите и в случай, че не се окажат такива, да се подсигури, че се покриват от други източници на средства (ако не са нередност);</w:t>
      </w:r>
    </w:p>
    <w:p w14:paraId="73929634" w14:textId="77777777" w:rsidR="00D603F5" w:rsidRPr="00486584" w:rsidRDefault="00D603F5" w:rsidP="00486584">
      <w:pPr>
        <w:pStyle w:val="ListParagraph"/>
        <w:numPr>
          <w:ilvl w:val="0"/>
          <w:numId w:val="415"/>
        </w:numPr>
        <w:ind w:left="0" w:firstLine="1211"/>
      </w:pPr>
      <w:r w:rsidRPr="00486584">
        <w:t>да наблюдава напредъка на дейностите, изпълнявани от изпълнителя;</w:t>
      </w:r>
    </w:p>
    <w:p w14:paraId="599948DE" w14:textId="77777777" w:rsidR="00D603F5" w:rsidRPr="00486584" w:rsidRDefault="00D603F5" w:rsidP="00486584">
      <w:pPr>
        <w:pStyle w:val="ListParagraph"/>
        <w:numPr>
          <w:ilvl w:val="0"/>
          <w:numId w:val="415"/>
        </w:numPr>
        <w:ind w:left="0" w:firstLine="1211"/>
      </w:pPr>
      <w:r w:rsidRPr="00486584">
        <w:t>да потвърди съответствието между сумите, включени в фактурата/сертификата за междинно плащане на контрактора и физическия напредък на работите на обекта;</w:t>
      </w:r>
    </w:p>
    <w:p w14:paraId="688D4FC7" w14:textId="77777777" w:rsidR="00D603F5" w:rsidRPr="00486584" w:rsidRDefault="00D603F5" w:rsidP="00486584">
      <w:pPr>
        <w:pStyle w:val="ListParagraph"/>
        <w:numPr>
          <w:ilvl w:val="0"/>
          <w:numId w:val="415"/>
        </w:numPr>
        <w:ind w:left="0" w:firstLine="1211"/>
      </w:pPr>
      <w:r w:rsidRPr="00486584">
        <w:t>да потвърди, че декларираните разходи са реални, че резултатите или услугите са били извършени в съответствие с решението за одобрение, че декларациите за възстановяване от бенефициента са верни и че операциите и разходите са в съответствие с националните и на ЕК правила;</w:t>
      </w:r>
    </w:p>
    <w:p w14:paraId="103A6B0D" w14:textId="77777777" w:rsidR="00D603F5" w:rsidRPr="00486584" w:rsidRDefault="00D603F5" w:rsidP="00486584">
      <w:pPr>
        <w:pStyle w:val="ListParagraph"/>
        <w:numPr>
          <w:ilvl w:val="0"/>
          <w:numId w:val="415"/>
        </w:numPr>
        <w:ind w:left="0" w:firstLine="1211"/>
      </w:pPr>
      <w:r w:rsidRPr="00486584">
        <w:t>да включи процедурите за избягване на двойно финансиране на разходи с други национални или на Общността схеми и с други програмни периоди;</w:t>
      </w:r>
    </w:p>
    <w:p w14:paraId="2C297876" w14:textId="77777777" w:rsidR="00D603F5" w:rsidRPr="00486584" w:rsidRDefault="00D603F5" w:rsidP="00486584">
      <w:pPr>
        <w:pStyle w:val="ListParagraph"/>
        <w:numPr>
          <w:ilvl w:val="0"/>
          <w:numId w:val="415"/>
        </w:numPr>
        <w:ind w:left="0" w:firstLine="1211"/>
      </w:pPr>
      <w:r w:rsidRPr="00486584">
        <w:t>наблюдение на изпълнението на мерките за информация и публичност.</w:t>
      </w:r>
    </w:p>
    <w:p w14:paraId="4DFF1D2F" w14:textId="77777777" w:rsidR="00D603F5" w:rsidRPr="00486584" w:rsidRDefault="00D603F5" w:rsidP="00486584">
      <w:pPr>
        <w:pStyle w:val="ListParagraph"/>
        <w:numPr>
          <w:ilvl w:val="0"/>
          <w:numId w:val="415"/>
        </w:numPr>
        <w:ind w:left="0" w:firstLine="1211"/>
      </w:pPr>
      <w:r w:rsidRPr="00486584">
        <w:t>Контролите на УО се извършват</w:t>
      </w:r>
      <w:r w:rsidR="004D64D3" w:rsidRPr="00486584">
        <w:t xml:space="preserve"> </w:t>
      </w:r>
      <w:r w:rsidRPr="00486584">
        <w:t>посредством контроли на следните процеси:</w:t>
      </w:r>
    </w:p>
    <w:p w14:paraId="4F0F7781" w14:textId="77777777" w:rsidR="00D603F5" w:rsidRPr="00486584" w:rsidRDefault="00D603F5" w:rsidP="00486584">
      <w:pPr>
        <w:pStyle w:val="ListParagraph"/>
        <w:numPr>
          <w:ilvl w:val="0"/>
          <w:numId w:val="415"/>
        </w:numPr>
        <w:ind w:left="0" w:firstLine="1211"/>
      </w:pPr>
      <w:r w:rsidRPr="00486584">
        <w:t>обществени поръчки;</w:t>
      </w:r>
    </w:p>
    <w:p w14:paraId="1F686B21" w14:textId="77777777" w:rsidR="00D603F5" w:rsidRPr="00486584" w:rsidRDefault="00D603F5" w:rsidP="00486584">
      <w:pPr>
        <w:pStyle w:val="ListParagraph"/>
        <w:numPr>
          <w:ilvl w:val="0"/>
          <w:numId w:val="415"/>
        </w:numPr>
        <w:ind w:left="0" w:firstLine="1211"/>
      </w:pPr>
      <w:r w:rsidRPr="00486584">
        <w:t>оценка и предоставяне на безвъзмездна финансова помощ;</w:t>
      </w:r>
    </w:p>
    <w:p w14:paraId="03E28D9C" w14:textId="77777777" w:rsidR="00D603F5" w:rsidRPr="00486584" w:rsidRDefault="00D603F5" w:rsidP="00486584">
      <w:pPr>
        <w:pStyle w:val="ListParagraph"/>
        <w:numPr>
          <w:ilvl w:val="0"/>
          <w:numId w:val="415"/>
        </w:numPr>
        <w:ind w:left="0" w:firstLine="1211"/>
      </w:pPr>
      <w:r w:rsidRPr="00486584">
        <w:t>плащане към бенефициентите (потвърждение на фактури, искания за плащания от бенефициента, сертификати за междинни плащания, одобрени от инженера, ако е подходящо;</w:t>
      </w:r>
    </w:p>
    <w:p w14:paraId="255F4B20" w14:textId="77777777" w:rsidR="00D603F5" w:rsidRPr="00486584" w:rsidRDefault="00D603F5" w:rsidP="00486584">
      <w:pPr>
        <w:pStyle w:val="ListParagraph"/>
        <w:numPr>
          <w:ilvl w:val="0"/>
          <w:numId w:val="415"/>
        </w:numPr>
        <w:ind w:left="0" w:firstLine="1211"/>
      </w:pPr>
      <w:r w:rsidRPr="00486584">
        <w:t>подготовка на Доклад по сертификация и ДДР до СО на ниво приоритетна ос;</w:t>
      </w:r>
    </w:p>
    <w:p w14:paraId="53D1DFF8" w14:textId="77777777" w:rsidR="00D603F5" w:rsidRPr="00486584" w:rsidRDefault="00D603F5" w:rsidP="00486584">
      <w:pPr>
        <w:pStyle w:val="ListParagraph"/>
        <w:numPr>
          <w:ilvl w:val="0"/>
          <w:numId w:val="415"/>
        </w:numPr>
        <w:ind w:left="0" w:firstLine="1211"/>
      </w:pPr>
      <w:r w:rsidRPr="00486584">
        <w:t>да подсигури съответствието на финансирането (отделно от евро средствата и националния бюджет), ако е релевантно;</w:t>
      </w:r>
    </w:p>
    <w:p w14:paraId="358A02AA" w14:textId="77777777" w:rsidR="00D603F5" w:rsidRPr="00486584" w:rsidRDefault="00D603F5" w:rsidP="00486584">
      <w:pPr>
        <w:pStyle w:val="ListParagraph"/>
        <w:numPr>
          <w:ilvl w:val="0"/>
          <w:numId w:val="415"/>
        </w:numPr>
        <w:ind w:left="0" w:firstLine="1211"/>
      </w:pPr>
      <w:r w:rsidRPr="00486584">
        <w:t>потвърждение на разходи по ОПТТИ;</w:t>
      </w:r>
    </w:p>
    <w:p w14:paraId="0A94F7DF" w14:textId="77777777" w:rsidR="00D603F5" w:rsidRPr="00486584" w:rsidRDefault="00D603F5" w:rsidP="00486584">
      <w:pPr>
        <w:pStyle w:val="ListParagraph"/>
        <w:numPr>
          <w:ilvl w:val="0"/>
          <w:numId w:val="415"/>
        </w:numPr>
        <w:ind w:left="0" w:firstLine="1211"/>
      </w:pPr>
      <w:r w:rsidRPr="00486584">
        <w:t>докладване и мониторинг;</w:t>
      </w:r>
    </w:p>
    <w:p w14:paraId="0FF5DDC3" w14:textId="77777777" w:rsidR="00D603F5" w:rsidRPr="00486584" w:rsidRDefault="00D603F5" w:rsidP="00486584">
      <w:pPr>
        <w:pStyle w:val="ListParagraph"/>
        <w:numPr>
          <w:ilvl w:val="0"/>
          <w:numId w:val="415"/>
        </w:numPr>
        <w:ind w:left="0" w:firstLine="1211"/>
      </w:pPr>
      <w:r w:rsidRPr="00486584">
        <w:t>планиране и отчитане на мерки за информация и публичност</w:t>
      </w:r>
    </w:p>
    <w:p w14:paraId="66493AB5" w14:textId="77777777" w:rsidR="00D603F5" w:rsidRDefault="00D603F5" w:rsidP="00486584">
      <w:r w:rsidRPr="001B0EA3">
        <w:t>Подобни контроли се документират своевременно в контролни листове, които се описват изцяло в свързаните процедури на УО чрез проверки на място/потвърждение на регулярна база. Тези проверки/потвърждения могат да бъдат направени на мястото на проекта, на строителния обект и в сградата на бенефициентите. Тяхното планиране и изпълнение се документира своевременно в съответствие с установените процедури.</w:t>
      </w:r>
    </w:p>
    <w:p w14:paraId="225E2CCA" w14:textId="77777777" w:rsidR="00486584" w:rsidRPr="001B0EA3" w:rsidRDefault="00486584" w:rsidP="00486584"/>
    <w:p w14:paraId="11E8FE9A" w14:textId="77777777" w:rsidR="00D603F5" w:rsidRPr="001B0EA3" w:rsidRDefault="00D603F5" w:rsidP="00ED358C">
      <w:pPr>
        <w:pStyle w:val="Style3"/>
        <w:rPr>
          <w:lang w:eastAsia="bg-BG"/>
        </w:rPr>
      </w:pPr>
      <w:bookmarkStart w:id="298" w:name="_Toc479775563"/>
      <w:r w:rsidRPr="001B0EA3">
        <w:rPr>
          <w:lang w:eastAsia="bg-BG"/>
        </w:rPr>
        <w:t>Външен  контрол</w:t>
      </w:r>
      <w:bookmarkEnd w:id="298"/>
    </w:p>
    <w:p w14:paraId="327C1CC8" w14:textId="77777777" w:rsidR="00D603F5" w:rsidRPr="001B0EA3" w:rsidRDefault="00D603F5" w:rsidP="00486584">
      <w:r w:rsidRPr="001B0EA3">
        <w:rPr>
          <w:b/>
          <w:i/>
        </w:rPr>
        <w:t xml:space="preserve">Европейска Сметна палата: </w:t>
      </w:r>
      <w:r w:rsidRPr="001B0EA3">
        <w:t>Основните задачи на Европейската сметна палата (ЕСП) са да изследва:</w:t>
      </w:r>
    </w:p>
    <w:p w14:paraId="5E68FF65" w14:textId="77777777" w:rsidR="00D603F5" w:rsidRPr="00486584" w:rsidRDefault="00D603F5" w:rsidP="00486584">
      <w:pPr>
        <w:pStyle w:val="ListParagraph"/>
        <w:numPr>
          <w:ilvl w:val="0"/>
          <w:numId w:val="415"/>
        </w:numPr>
        <w:ind w:left="0" w:firstLine="1211"/>
      </w:pPr>
      <w:r w:rsidRPr="00486584">
        <w:t>сметките на всички приходи и разходите на ЕО;</w:t>
      </w:r>
    </w:p>
    <w:p w14:paraId="7D1A9E41" w14:textId="77777777" w:rsidR="00D603F5" w:rsidRPr="00486584" w:rsidRDefault="00D603F5" w:rsidP="00486584">
      <w:pPr>
        <w:pStyle w:val="ListParagraph"/>
        <w:numPr>
          <w:ilvl w:val="0"/>
          <w:numId w:val="415"/>
        </w:numPr>
        <w:ind w:left="0" w:firstLine="1211"/>
      </w:pPr>
      <w:r w:rsidRPr="00486584">
        <w:t>дали всички приходи и разходи са били получени или направени по законен и правилен начин</w:t>
      </w:r>
    </w:p>
    <w:p w14:paraId="01361848" w14:textId="77777777" w:rsidR="00D603F5" w:rsidRPr="00486584" w:rsidRDefault="00D603F5" w:rsidP="00486584">
      <w:pPr>
        <w:pStyle w:val="ListParagraph"/>
        <w:numPr>
          <w:ilvl w:val="0"/>
          <w:numId w:val="415"/>
        </w:numPr>
        <w:ind w:left="0" w:firstLine="1211"/>
      </w:pPr>
      <w:r w:rsidRPr="00486584">
        <w:lastRenderedPageBreak/>
        <w:t>дали финансовото управление е добро</w:t>
      </w:r>
    </w:p>
    <w:p w14:paraId="134E2E97" w14:textId="77777777" w:rsidR="00D603F5" w:rsidRPr="001B0EA3" w:rsidRDefault="00D603F5" w:rsidP="00486584">
      <w:r w:rsidRPr="001B0EA3">
        <w:t>Палатата е независима институция, чиято роля е да поддържа Европейския парламент и Съвета на Европейския съюз при упражняване на техните права по контрол при изпълнението на бюджета на ЕС.</w:t>
      </w:r>
    </w:p>
    <w:p w14:paraId="395E25AF" w14:textId="77777777" w:rsidR="00D603F5" w:rsidRPr="001B0EA3" w:rsidRDefault="00D603F5" w:rsidP="00486584">
      <w:r w:rsidRPr="001B0EA3">
        <w:t>В допълнение, Палатата може, по всяко време, да внася наблюдения върху конкретни теми и да даде мнения по молба на някоя от европейските институции.</w:t>
      </w:r>
    </w:p>
    <w:p w14:paraId="6BD86CD9" w14:textId="77777777" w:rsidR="00D603F5" w:rsidRPr="001B0EA3" w:rsidRDefault="00D603F5" w:rsidP="00486584">
      <w:r w:rsidRPr="001B0EA3">
        <w:t>Като част от одитната си работа, Палата разглежда системите и разходите, свързани със ЕСИФ и одитите й се реализират в службите на ЕК. Нейните одитори имат достъп да всички поддържащи документи или информация, свързана с финансовото управление на отделите и други органи, които подлежат на нейна проверка,  и може да извършва одити на всички органи, които получават средства от ЕО.</w:t>
      </w:r>
    </w:p>
    <w:p w14:paraId="68D4A0E3" w14:textId="77777777" w:rsidR="00D603F5" w:rsidRPr="001B0EA3" w:rsidRDefault="00D603F5" w:rsidP="00486584">
      <w:r w:rsidRPr="001B0EA3">
        <w:t>Ръководството на СО трябва да бъде наясно за съдържанието на докладите на ЕСП по отношение на България и трябва да даде необходимата подкрепа на нейните одитори, когато това се изисква.</w:t>
      </w:r>
    </w:p>
    <w:p w14:paraId="402D1F93" w14:textId="77777777" w:rsidR="00D603F5" w:rsidRPr="001B0EA3" w:rsidRDefault="00D603F5" w:rsidP="00486584"/>
    <w:p w14:paraId="1E210E97" w14:textId="77777777" w:rsidR="00D603F5" w:rsidRPr="001B0EA3" w:rsidRDefault="00D603F5" w:rsidP="00486584">
      <w:r w:rsidRPr="001B0EA3">
        <w:rPr>
          <w:b/>
          <w:i/>
        </w:rPr>
        <w:t xml:space="preserve">Служби на ЕК: </w:t>
      </w:r>
      <w:r w:rsidRPr="001B0EA3">
        <w:t>Основните цели на одитите, извършвани от службите на ЕК са:</w:t>
      </w:r>
    </w:p>
    <w:p w14:paraId="75397591" w14:textId="77777777" w:rsidR="00D603F5" w:rsidRPr="00486584" w:rsidRDefault="00D603F5" w:rsidP="00486584">
      <w:pPr>
        <w:pStyle w:val="ListParagraph"/>
        <w:numPr>
          <w:ilvl w:val="0"/>
          <w:numId w:val="415"/>
        </w:numPr>
        <w:ind w:left="0" w:firstLine="1211"/>
      </w:pPr>
      <w:r w:rsidRPr="00486584">
        <w:t>да определят до каква степен България е установила системи на адекватно управление и контрол и до каква степен тези системи дават задоволителна увереност по отношение на законността и регулярността на действията, подлежащи на разследване;</w:t>
      </w:r>
    </w:p>
    <w:p w14:paraId="38603D27" w14:textId="77777777" w:rsidR="00D603F5" w:rsidRPr="00486584" w:rsidRDefault="00D603F5" w:rsidP="00486584">
      <w:pPr>
        <w:pStyle w:val="ListParagraph"/>
        <w:numPr>
          <w:ilvl w:val="0"/>
          <w:numId w:val="415"/>
        </w:numPr>
        <w:ind w:left="0" w:firstLine="1211"/>
      </w:pPr>
      <w:r w:rsidRPr="00486584">
        <w:t>да определят точността на разходите, декларирани в пред ЕК;</w:t>
      </w:r>
    </w:p>
    <w:p w14:paraId="5F16D636" w14:textId="77777777" w:rsidR="00D603F5" w:rsidRPr="00486584" w:rsidRDefault="00D603F5" w:rsidP="00486584">
      <w:pPr>
        <w:pStyle w:val="ListParagraph"/>
        <w:numPr>
          <w:ilvl w:val="0"/>
          <w:numId w:val="415"/>
        </w:numPr>
        <w:ind w:left="0" w:firstLine="1211"/>
      </w:pPr>
      <w:r w:rsidRPr="00486584">
        <w:t>да определят нивото на недопустими разходи, там където системите за управление и контрол в България са се оказали ненадеждни.</w:t>
      </w:r>
    </w:p>
    <w:p w14:paraId="0A24B5AE" w14:textId="77777777" w:rsidR="00D603F5" w:rsidRPr="001B0EA3" w:rsidRDefault="00D603F5" w:rsidP="00486584"/>
    <w:p w14:paraId="3D5A8271" w14:textId="77777777" w:rsidR="00D603F5" w:rsidRPr="001B0EA3" w:rsidRDefault="00D603F5" w:rsidP="00486584">
      <w:r w:rsidRPr="001B0EA3">
        <w:rPr>
          <w:b/>
          <w:i/>
        </w:rPr>
        <w:t xml:space="preserve">Одитен орган: </w:t>
      </w:r>
      <w:r w:rsidRPr="001B0EA3">
        <w:t xml:space="preserve">Мисията на Одитния орган е даването на увереност, че системите за управление и контрол на средствата от ЕС са адекватни и функционират ефективно и че финансовите интереси на Европейската общност са надлежно защитени. Тази увереност трябва да се постигне чрез осъществяването на специфичните одитни дейности по смисъла на глава Пета от Закона за вътрешния одит в публичния сектор. </w:t>
      </w:r>
    </w:p>
    <w:p w14:paraId="544B05A9" w14:textId="77777777" w:rsidR="00D603F5" w:rsidRPr="001B0EA3" w:rsidRDefault="004D1994" w:rsidP="00486584">
      <w:r w:rsidRPr="001B0EA3">
        <w:t>Функциите</w:t>
      </w:r>
      <w:r w:rsidR="00D603F5" w:rsidRPr="001B0EA3">
        <w:t xml:space="preserve"> на одитния орган ИА „ОСЕС”, са подробно описани в настоящия наръчник.</w:t>
      </w:r>
    </w:p>
    <w:p w14:paraId="5D2511B7" w14:textId="77777777" w:rsidR="00D603F5" w:rsidRPr="001B0EA3" w:rsidRDefault="00D603F5" w:rsidP="00486584">
      <w:r w:rsidRPr="001B0EA3">
        <w:rPr>
          <w:b/>
          <w:i/>
        </w:rPr>
        <w:t>Одитната следа:</w:t>
      </w:r>
      <w:r w:rsidRPr="001B0EA3">
        <w:t xml:space="preserve"> Одитната следа е вид информация, която трябва да отразява дейността и това, което се случва във всяка организация, и по-конкретно, движението на средства и свързаната с това документация. Информацията, която се получава от одитната следа дава възможност да се определи последователността от събития във всеки процес и причината зад всяко взето решение.</w:t>
      </w:r>
    </w:p>
    <w:p w14:paraId="722573D7" w14:textId="77777777" w:rsidR="00D603F5" w:rsidRPr="001B0EA3" w:rsidRDefault="00D603F5" w:rsidP="00486584">
      <w:r w:rsidRPr="001B0EA3">
        <w:t>Одитната следа се приема за адекватна за ОПТТИ когато, е в съответствие със следните критерии:</w:t>
      </w:r>
    </w:p>
    <w:p w14:paraId="21DA018F" w14:textId="77777777" w:rsidR="00D603F5" w:rsidRPr="001B0EA3" w:rsidRDefault="00D603F5" w:rsidP="00486584">
      <w:pPr>
        <w:pStyle w:val="ListParagraph"/>
        <w:numPr>
          <w:ilvl w:val="0"/>
          <w:numId w:val="418"/>
        </w:numPr>
        <w:tabs>
          <w:tab w:val="left" w:pos="1134"/>
        </w:tabs>
        <w:ind w:left="0" w:firstLine="851"/>
      </w:pPr>
      <w:r w:rsidRPr="001B0EA3">
        <w:t>дава възможност общите средства, верифицирани към СО да бъдат засечени с подробни счетоводни записи и допълнителните документи, които се съхраняват при СО, УО и бенефициентите по отношение на операциите, съ-финансирани по ОПТТИ;</w:t>
      </w:r>
    </w:p>
    <w:p w14:paraId="437A8791" w14:textId="77777777" w:rsidR="00D603F5" w:rsidRPr="001B0EA3" w:rsidRDefault="00D603F5" w:rsidP="00486584">
      <w:pPr>
        <w:pStyle w:val="ListParagraph"/>
        <w:numPr>
          <w:ilvl w:val="0"/>
          <w:numId w:val="418"/>
        </w:numPr>
        <w:tabs>
          <w:tab w:val="left" w:pos="1134"/>
        </w:tabs>
        <w:ind w:left="0" w:firstLine="851"/>
      </w:pPr>
      <w:r w:rsidRPr="001B0EA3">
        <w:t>позволява проверка на плащанията от публичния принос до бенефициента;</w:t>
      </w:r>
    </w:p>
    <w:p w14:paraId="4EAF9D7E" w14:textId="77777777" w:rsidR="00D603F5" w:rsidRPr="001B0EA3" w:rsidRDefault="00D603F5" w:rsidP="00486584">
      <w:pPr>
        <w:pStyle w:val="ListParagraph"/>
        <w:numPr>
          <w:ilvl w:val="0"/>
          <w:numId w:val="418"/>
        </w:numPr>
        <w:tabs>
          <w:tab w:val="left" w:pos="1134"/>
        </w:tabs>
        <w:ind w:left="0" w:firstLine="851"/>
      </w:pPr>
      <w:r w:rsidRPr="001B0EA3">
        <w:t>позволява проверка на прилагането на критериите за избор, установени от комитета за наблюдение по ОПТТИ;</w:t>
      </w:r>
    </w:p>
    <w:p w14:paraId="4239C01E" w14:textId="77777777" w:rsidR="00D603F5" w:rsidRPr="001B0EA3" w:rsidRDefault="00D603F5" w:rsidP="00486584">
      <w:pPr>
        <w:pStyle w:val="ListParagraph"/>
        <w:numPr>
          <w:ilvl w:val="0"/>
          <w:numId w:val="418"/>
        </w:numPr>
        <w:tabs>
          <w:tab w:val="left" w:pos="1134"/>
        </w:tabs>
        <w:ind w:left="0" w:firstLine="851"/>
      </w:pPr>
      <w:r w:rsidRPr="001B0EA3">
        <w:t>съдържа, по отношение на всяка операция, когато това е подходящо, техническите спецификации и финансов план, документи свързани с публичните процедури по обществени поръчки, доклади да напредъка и доклади за проверка и проведени одити.</w:t>
      </w:r>
    </w:p>
    <w:p w14:paraId="3C8C1478" w14:textId="77777777" w:rsidR="00D603F5" w:rsidRPr="001B0EA3" w:rsidRDefault="00D603F5" w:rsidP="00486584"/>
    <w:p w14:paraId="64FA03B4" w14:textId="77777777" w:rsidR="00D603F5" w:rsidRDefault="00D603F5" w:rsidP="00486584">
      <w:r w:rsidRPr="001B0EA3">
        <w:t xml:space="preserve">УО на ОПТТИ използва деловодно информационната система на </w:t>
      </w:r>
      <w:r w:rsidR="00BB6BF6">
        <w:t>МТС</w:t>
      </w:r>
      <w:r w:rsidRPr="001B0EA3">
        <w:t xml:space="preserve"> EVENTIS R7, която система осигурява проследяване и съхраняване в дигитализиран формат на входящата и изходящата кореспонденция в министерството, както и на вътрешната кореспонденция между отделите на дирекцията и кореспонденцията с други дирекции на </w:t>
      </w:r>
      <w:r w:rsidR="00BB6BF6">
        <w:t>МТС</w:t>
      </w:r>
      <w:r w:rsidRPr="001B0EA3">
        <w:t xml:space="preserve">. В EVENTIS R7 е включена допълнителна функция „Европроекти”, която дава възможност за тематично </w:t>
      </w:r>
      <w:r w:rsidRPr="001B0EA3">
        <w:lastRenderedPageBreak/>
        <w:t>подреждане на документите на проектите по ОПТТИ (например по приоритетни оси или проекти), чрез което може да се проследява и къде се намират.</w:t>
      </w:r>
    </w:p>
    <w:p w14:paraId="666CEE80" w14:textId="77777777" w:rsidR="00486584" w:rsidRDefault="00486584" w:rsidP="00486584">
      <w:pPr>
        <w:rPr>
          <w:lang w:eastAsia="fr-FR"/>
        </w:rPr>
      </w:pPr>
    </w:p>
    <w:p w14:paraId="7C0683BB" w14:textId="77777777" w:rsidR="00486584" w:rsidRPr="001B0EA3" w:rsidRDefault="00486584" w:rsidP="00486584">
      <w:pPr>
        <w:rPr>
          <w:lang w:eastAsia="fr-FR"/>
        </w:rPr>
      </w:pPr>
    </w:p>
    <w:p w14:paraId="20F897F8" w14:textId="77777777" w:rsidR="00D603F5" w:rsidRPr="00A110A4" w:rsidRDefault="00D603F5" w:rsidP="00F058E0">
      <w:pPr>
        <w:pStyle w:val="Style1"/>
      </w:pPr>
      <w:bookmarkStart w:id="299" w:name="_Toc479775564"/>
      <w:bookmarkStart w:id="300" w:name="_Toc140150168"/>
      <w:r w:rsidRPr="00A110A4">
        <w:t>ХОРИЗОНТАЛНИ ПРИНЦИПИ И ЦЕЛИ НА ПОЛИТИКАТА ЗА ИЗПЪЛНЕНИЕ НА ЕВРОПЕЙСКИТЕ СТРУКТУРНИ ИНВЕСТИЦИОННИ ФОНДОВЕ</w:t>
      </w:r>
      <w:bookmarkEnd w:id="299"/>
      <w:bookmarkEnd w:id="300"/>
    </w:p>
    <w:p w14:paraId="7BEAC275" w14:textId="77777777" w:rsidR="00D603F5" w:rsidRDefault="00D603F5" w:rsidP="00486584">
      <w:r w:rsidRPr="001B0EA3">
        <w:t>Управляващият орган гарантира, че изпълнението и управлението на ОПТТИ е в съответствие с принципите, заложени в хоризонталните политики на ЕС.</w:t>
      </w:r>
    </w:p>
    <w:p w14:paraId="7832F9A3" w14:textId="77777777" w:rsidR="00486584" w:rsidRPr="001B0EA3" w:rsidRDefault="00486584" w:rsidP="00486584"/>
    <w:p w14:paraId="569FDB39" w14:textId="77777777" w:rsidR="00D603F5" w:rsidRPr="001B0EA3" w:rsidRDefault="00D603F5" w:rsidP="00B502C7">
      <w:pPr>
        <w:pStyle w:val="Style2"/>
        <w:rPr>
          <w:lang w:eastAsia="bg-BG"/>
        </w:rPr>
      </w:pPr>
      <w:bookmarkStart w:id="301" w:name="_Toc479775565"/>
      <w:bookmarkStart w:id="302" w:name="_Toc140150169"/>
      <w:r w:rsidRPr="001B0EA3">
        <w:rPr>
          <w:lang w:eastAsia="bg-BG"/>
        </w:rPr>
        <w:t>Принцип на партньорство</w:t>
      </w:r>
      <w:bookmarkEnd w:id="301"/>
      <w:bookmarkEnd w:id="302"/>
    </w:p>
    <w:p w14:paraId="4DAA0108" w14:textId="77777777" w:rsidR="00D603F5" w:rsidRPr="001B0EA3" w:rsidRDefault="00D603F5" w:rsidP="00486584">
      <w:r w:rsidRPr="001B0EA3">
        <w:t xml:space="preserve">Още в началния етап от подготовката на ОПТТИ за програмния период 2014-2020 г. бяха създадени необходимите гаранции за прилагане принципа на партньорство. </w:t>
      </w:r>
    </w:p>
    <w:p w14:paraId="0DF67C42" w14:textId="77777777" w:rsidR="00D603F5" w:rsidRPr="001B0EA3" w:rsidRDefault="00D603F5" w:rsidP="00486584">
      <w:bookmarkStart w:id="303" w:name="_Toc365030782"/>
      <w:bookmarkStart w:id="304" w:name="_Toc393805034"/>
      <w:r w:rsidRPr="001B0EA3">
        <w:t xml:space="preserve">ОПТТИ за периода 2014-2020 г. се разработва, в съответствие с чл. 5 от ПМС № 5 от 18.01.2012 г. за разработване на стратегическите и програмните документи на Република България за управление на средствата от фондовете по Общата стратегическа рамка на Европейския съюз за програмния период 2014-2020 г. (обн., ДВ, бр. 7 от 24.01.2012 г.) и във връзка с Решение № 328 от 25 април 2012 г. за одобряване на списък с тематичните цели, които да бъдат включени в Договора за партньорство на РБ за програмния период 2014-2020 г., списък с програми и водещо ведомство за разработването на всяка програма. </w:t>
      </w:r>
      <w:r w:rsidR="00BB6BF6">
        <w:t>МТС</w:t>
      </w:r>
      <w:r w:rsidRPr="001B0EA3">
        <w:t xml:space="preserve"> (дирекция „Координация на програми и проекти”) е водещо ведомство за разработване на ОПТТИ 2014-2020 г. При разработването на програмата се използва опитът на УО в подготовката, управлението и изпълнението на Оперативна програма „Транспорт” 2007-2013 г.</w:t>
      </w:r>
    </w:p>
    <w:p w14:paraId="4409961D" w14:textId="77777777" w:rsidR="00D603F5" w:rsidRPr="001B0EA3" w:rsidRDefault="00D603F5" w:rsidP="00486584">
      <w:r w:rsidRPr="001B0EA3">
        <w:t>Със Заповед № РД-08-458/07.08.12 г. на министъра на транспорта, информационните технологии и съобщенията, съгласувано с министъра по управление на средствата от ЕС, е сформирана Работна група за подготовката на програмата. Съставът на Работната група е в съответствие с ПМС № 5 от 18.01.2012 г. В Работната група са включени представители на ЦКЗ, Сертифициращия и Одитиращия орган, ведомствата, отговорни за политиките, мерки по които ще се финансират от програмата, Националния статистически институт, Комисията за защита от дискриминацията, Регионалните съвети за развитие в районите от ниво 2, Национално представителните организации на работодателите, работниците и служителите, признати от Министерския съвет по реда на Кодекса на труда, Национално представителните организации на и за хора с увреждания, признати от Министерския съвет по реда на Закона за интеграция на хората с увреждания, Националното сдружение на общините в Република България, неправителствени организации и т.н.</w:t>
      </w:r>
    </w:p>
    <w:p w14:paraId="3ED0C1D5" w14:textId="77777777" w:rsidR="00D603F5" w:rsidRPr="001B0EA3" w:rsidRDefault="00D603F5" w:rsidP="00486584">
      <w:r w:rsidRPr="001B0EA3">
        <w:t>Изборът на представители на неправителствените организации е извършен, съгласно утвърден от министъра по управление на средствата от ЕС, Механизъм за избор на неправителствени организации, чиито представители да участват в състава на работните групи за договора за партньорство и програмите на РБ за периода 2014-2020 г. Съгласно този механизъм в работната група участват представители на следните групи неправителствени организации – екологични, работещи в сферата на транспорта и в сферата на политиките за развитие.</w:t>
      </w:r>
    </w:p>
    <w:p w14:paraId="69A8E669" w14:textId="77777777" w:rsidR="00D603F5" w:rsidRPr="001B0EA3" w:rsidRDefault="00D603F5" w:rsidP="00486584">
      <w:r w:rsidRPr="001B0EA3">
        <w:t>В допълнение напредъкът в процеса на подготовка на програмен период 2014-2020 г. се докладва и на заседанията на Комитета за наблюдение на Оперативна програма „Транспорт” 2007-2013 г., на които участват и представители на ЕК.</w:t>
      </w:r>
    </w:p>
    <w:p w14:paraId="0F9C48C7" w14:textId="77777777" w:rsidR="00D603F5" w:rsidRPr="001B0EA3" w:rsidRDefault="00D603F5" w:rsidP="00486584">
      <w:r w:rsidRPr="001B0EA3">
        <w:t>Непрекъсната координация се осъществява с ЦКЗ в МС. Координация в процеса на разработване на оперативните програми за програмен период 2014-2020 г., в т.ч. ОПТТИ, се осъществява и в рамките на СКЕСЕС.</w:t>
      </w:r>
    </w:p>
    <w:p w14:paraId="79A0ACB7" w14:textId="77777777" w:rsidR="00D603F5" w:rsidRPr="001B0EA3" w:rsidRDefault="00D603F5" w:rsidP="00486584">
      <w:r w:rsidRPr="001B0EA3">
        <w:t>Ролята на партньорите при разработването на оперативната програма е регламентирано както в ПМС № 5 от 18.01.2012 г., така и във Вътрешните правила за организацията и дейността на работната група за подготовка на ОПТТИ.</w:t>
      </w:r>
    </w:p>
    <w:p w14:paraId="240EF20D" w14:textId="77777777" w:rsidR="00D603F5" w:rsidRPr="001B0EA3" w:rsidRDefault="00D603F5" w:rsidP="00486584">
      <w:r w:rsidRPr="001B0EA3">
        <w:lastRenderedPageBreak/>
        <w:t>Представителите на партньорските институции и организации са включени в процеса на изготвянето, разглеждането и съгласуването на отделните разработки и текстове на оперативната програма, както и на окончателния вариант на програмата, като основно функциите им се изразяват в подготовката и представянето на предложения, коментари и становища, участие в заседанията на РГ с право на глас и т.н.</w:t>
      </w:r>
    </w:p>
    <w:p w14:paraId="6C68A314" w14:textId="77777777" w:rsidR="00D603F5" w:rsidRPr="001B0EA3" w:rsidRDefault="00D603F5" w:rsidP="00486584">
      <w:r w:rsidRPr="001B0EA3">
        <w:t>Заседанията се провеждат при ясна организация, в съответствие с приетите от РГ вътрешни правила за дейността й. Материалите за всяко заседание се изпращат предварително, като на членовете на РГ и техните заместници се осигурява необходимото време и информация за подготовката на компетентни становища по разглежданите материали.</w:t>
      </w:r>
    </w:p>
    <w:p w14:paraId="0545259D" w14:textId="56F90E86" w:rsidR="00D603F5" w:rsidRPr="001B0EA3" w:rsidRDefault="00D603F5" w:rsidP="00486584">
      <w:r w:rsidRPr="001B0EA3">
        <w:t>С оглед информирането на широката общественост за процеса на подготовка на ОПТТИ, протоколите от проведените заседания</w:t>
      </w:r>
      <w:r w:rsidRPr="001B0EA3">
        <w:rPr>
          <w:lang w:eastAsia="bg-BG"/>
        </w:rPr>
        <w:t xml:space="preserve"> и материалите от отделните етапи на подготовка на програмата се публикуват на страницата на ОП „Транспорт” </w:t>
      </w:r>
      <w:hyperlink r:id="rId41" w:history="1">
        <w:r w:rsidR="009D6A2A">
          <w:rPr>
            <w:color w:val="0000FF"/>
            <w:u w:val="single"/>
            <w:lang w:eastAsia="bg-BG"/>
          </w:rPr>
          <w:t>www.eufunds.bg/optti</w:t>
        </w:r>
      </w:hyperlink>
      <w:r w:rsidRPr="001B0EA3">
        <w:rPr>
          <w:lang w:eastAsia="bg-BG"/>
        </w:rPr>
        <w:t xml:space="preserve">  в Интернет и на единния информационен портал на управление на Структурните и Кохезионния фонд на ЕС </w:t>
      </w:r>
      <w:hyperlink r:id="rId42" w:history="1">
        <w:r w:rsidRPr="001B0EA3">
          <w:rPr>
            <w:color w:val="0000FF"/>
            <w:u w:val="single"/>
            <w:lang w:eastAsia="bg-BG"/>
          </w:rPr>
          <w:t>www.eufunds.bg</w:t>
        </w:r>
      </w:hyperlink>
    </w:p>
    <w:p w14:paraId="48C0A883" w14:textId="77777777" w:rsidR="00D603F5" w:rsidRPr="001B0EA3" w:rsidRDefault="00D603F5" w:rsidP="00486584">
      <w:r w:rsidRPr="001B0EA3">
        <w:rPr>
          <w:lang w:eastAsia="bg-BG"/>
        </w:rPr>
        <w:t xml:space="preserve">В процеса на разработване на оперативната програма бяха обсъждани най-подходящите решения за постигане целите на програмата. Най-сериозни бяха дискусиите относно избора на операции и дейности по програмата. Обхватът на програмата е съобразен с допустимите за финансиране дейности по съответните инвестиционни приоритети и тематична цел. </w:t>
      </w:r>
    </w:p>
    <w:p w14:paraId="220D9770" w14:textId="77777777" w:rsidR="00D603F5" w:rsidRPr="001B0EA3" w:rsidRDefault="00D603F5" w:rsidP="00486584">
      <w:pPr>
        <w:rPr>
          <w:lang w:eastAsia="en-GB"/>
        </w:rPr>
      </w:pPr>
      <w:r w:rsidRPr="001B0EA3">
        <w:rPr>
          <w:lang w:eastAsia="en-GB"/>
        </w:rPr>
        <w:t xml:space="preserve">Принципът на партньорство ще се прилага и при изпълнението, мониторинга и оценката на ОПТТИ 2014-2020 г. Участието на идентифицираните при разработването на програмата </w:t>
      </w:r>
      <w:r w:rsidRPr="001B0EA3">
        <w:rPr>
          <w:lang w:eastAsia="bg-BG"/>
        </w:rPr>
        <w:t>административни</w:t>
      </w:r>
      <w:r w:rsidRPr="001B0EA3">
        <w:rPr>
          <w:lang w:eastAsia="en-GB"/>
        </w:rPr>
        <w:t>, социални и икономически партньори ще бъде  осигурено чрез участието на техни представители в Комитет за наблюдение на ОПТТИ 2014-2020 г. Комитетът за наблюдение ще осъществява мониторинг по отношение на напредъка в постигането на целите и стратегията на програмата и по този начин ще гарантира нейното ефективно и качествено изпълнение.</w:t>
      </w:r>
    </w:p>
    <w:p w14:paraId="7E776219" w14:textId="77777777" w:rsidR="00D603F5" w:rsidRDefault="00D603F5" w:rsidP="00486584">
      <w:pPr>
        <w:rPr>
          <w:b/>
          <w:bCs/>
          <w:lang w:eastAsia="bg-BG"/>
        </w:rPr>
      </w:pPr>
      <w:r w:rsidRPr="001B0EA3">
        <w:rPr>
          <w:b/>
          <w:bCs/>
          <w:lang w:eastAsia="bg-BG"/>
        </w:rPr>
        <w:t xml:space="preserve">Бенефициентите по приоритетните оси на ОПТТИ 2014-2020 г. ще бъдат активни и надеждни партньори на Управляващия орган в процеса на изпълнението й. В тази връзка се работи по осигуряване на проектната готовност за програмен период 2014-2020 г. и по изграждане на необходимия административен капацитет за усвояването на средствата по ОПТТИ 2014-2020 г. </w:t>
      </w:r>
      <w:bookmarkStart w:id="305" w:name="_Toc365030783"/>
      <w:bookmarkStart w:id="306" w:name="_Toc393805035"/>
      <w:bookmarkEnd w:id="303"/>
      <w:bookmarkEnd w:id="304"/>
    </w:p>
    <w:p w14:paraId="44FB650C" w14:textId="77777777" w:rsidR="00486584" w:rsidRPr="001B0EA3" w:rsidRDefault="00486584" w:rsidP="00486584">
      <w:pPr>
        <w:rPr>
          <w:lang w:eastAsia="en-GB"/>
        </w:rPr>
      </w:pPr>
    </w:p>
    <w:p w14:paraId="7B6062E2" w14:textId="77777777" w:rsidR="00D603F5" w:rsidRPr="00842ECC" w:rsidRDefault="00D603F5" w:rsidP="00B502C7">
      <w:pPr>
        <w:pStyle w:val="Style2"/>
        <w:rPr>
          <w:lang w:val="bg-BG" w:eastAsia="bg-BG"/>
        </w:rPr>
      </w:pPr>
      <w:bookmarkStart w:id="307" w:name="_Toc479775566"/>
      <w:bookmarkStart w:id="308" w:name="_Toc140150170"/>
      <w:r w:rsidRPr="00842ECC">
        <w:rPr>
          <w:lang w:val="bg-BG" w:eastAsia="bg-BG"/>
        </w:rPr>
        <w:t>Равни възможности и недопускане на дискриминация</w:t>
      </w:r>
      <w:bookmarkEnd w:id="307"/>
      <w:bookmarkEnd w:id="308"/>
    </w:p>
    <w:p w14:paraId="3BBE7D06" w14:textId="77777777" w:rsidR="00D603F5" w:rsidRPr="001B0EA3" w:rsidRDefault="00D603F5" w:rsidP="00486584">
      <w:pPr>
        <w:rPr>
          <w:bCs/>
        </w:rPr>
      </w:pPr>
      <w:r w:rsidRPr="001B0EA3">
        <w:rPr>
          <w:b/>
        </w:rPr>
        <w:t>Равенството и недискриминацията</w:t>
      </w:r>
      <w:r w:rsidRPr="001B0EA3">
        <w:t>, като една от хоризонталните политики на ЕС, обхваща предотвратяване на каквато и да е дискриминация на основата на пол, раса или етнически произход, религия или вярване, увреждане, възраст или сексуална ориентация по време на различните етапи от осъществяването на фондовете на ОСР и по-специално – до улесняване на достъпа до тях.</w:t>
      </w:r>
    </w:p>
    <w:p w14:paraId="15CF3203" w14:textId="77777777" w:rsidR="00D603F5" w:rsidRPr="001B0EA3" w:rsidRDefault="00D603F5" w:rsidP="00486584">
      <w:r w:rsidRPr="001B0EA3">
        <w:rPr>
          <w:bCs/>
        </w:rPr>
        <w:t>Конкретно в транспортния сектор трябва да се приложат подходящи мерки за прилагане на принципа за осигуряване на достъпност и  улесняване на уязвимите групи и хората с увреждания.</w:t>
      </w:r>
      <w:r w:rsidR="004D1994" w:rsidRPr="001B0EA3">
        <w:rPr>
          <w:bCs/>
        </w:rPr>
        <w:t xml:space="preserve"> </w:t>
      </w:r>
      <w:r w:rsidRPr="001B0EA3">
        <w:t>Всички мерки, финансирани от ОПТТИ 2014-2020 ще бъдат в съответствие с Общностните изисквания за правилно прилагане на хоризонталните принципи и  политики, и по-конкретно – със свързаните разпоредби на чл. 7 на Общия регламент за постигане на равни възможности и липса на дискриминация.</w:t>
      </w:r>
    </w:p>
    <w:p w14:paraId="48BE66F8" w14:textId="77777777" w:rsidR="00D603F5" w:rsidRPr="001B0EA3" w:rsidRDefault="00D603F5" w:rsidP="00486584">
      <w:r w:rsidRPr="001B0EA3">
        <w:t>В процеса на програмиране на ОПТТИ спазването на този хоризонтален принцип ще бъде осъществявано посредством прилагането на следните мерки:</w:t>
      </w:r>
    </w:p>
    <w:p w14:paraId="4B8115AE" w14:textId="77777777" w:rsidR="00D603F5" w:rsidRPr="001B0EA3" w:rsidRDefault="00D603F5" w:rsidP="00486584">
      <w:pPr>
        <w:pStyle w:val="ListParagraph"/>
        <w:numPr>
          <w:ilvl w:val="0"/>
          <w:numId w:val="419"/>
        </w:numPr>
        <w:tabs>
          <w:tab w:val="left" w:pos="1134"/>
        </w:tabs>
        <w:ind w:left="0" w:firstLine="851"/>
      </w:pPr>
      <w:r w:rsidRPr="001B0EA3">
        <w:t>Включване в състава на работната група за създаване на програмата на представители на неправителствени организации от сферата на равните възможности и недискриминацията, учредени в обществена полза; на представители на Комисията за защита от дискриминация; на представители на  организации от сферата на равенството и недискриминацията; както и на други заинтересовани институции.</w:t>
      </w:r>
    </w:p>
    <w:p w14:paraId="32298908" w14:textId="77777777" w:rsidR="00D603F5" w:rsidRPr="001B0EA3" w:rsidRDefault="00D603F5" w:rsidP="00486584">
      <w:pPr>
        <w:pStyle w:val="ListParagraph"/>
        <w:numPr>
          <w:ilvl w:val="0"/>
          <w:numId w:val="419"/>
        </w:numPr>
        <w:tabs>
          <w:tab w:val="left" w:pos="1134"/>
        </w:tabs>
        <w:ind w:left="0" w:firstLine="851"/>
      </w:pPr>
      <w:r w:rsidRPr="001B0EA3">
        <w:lastRenderedPageBreak/>
        <w:t xml:space="preserve">Дефиниране като една от основните функции на работната група за изготвяне на ОПТТИ, да следи за спазване на интегрирането на хоризонталния принцип за насърчаване на равните възможности и предотвратяване на дискриминация на основата на пол, расов или етнически произход, религия или вероизповедание, увреждане, възраст или сексуална ориентация. </w:t>
      </w:r>
    </w:p>
    <w:p w14:paraId="7E7AC30E" w14:textId="77777777" w:rsidR="00D603F5" w:rsidRPr="001B0EA3" w:rsidRDefault="00D603F5" w:rsidP="00486584">
      <w:r w:rsidRPr="001B0EA3">
        <w:t>В процеса на изпълнение на ОПТТИ правилното прилагане на този хоризонтален принцип може да бъде осъществявано посредством реализацията на описаните по-долу мерки:</w:t>
      </w:r>
    </w:p>
    <w:p w14:paraId="4699F768" w14:textId="77777777" w:rsidR="00D603F5" w:rsidRPr="00486584" w:rsidRDefault="00D603F5" w:rsidP="00486584">
      <w:pPr>
        <w:pStyle w:val="ListParagraph"/>
        <w:numPr>
          <w:ilvl w:val="0"/>
          <w:numId w:val="419"/>
        </w:numPr>
        <w:tabs>
          <w:tab w:val="left" w:pos="1134"/>
        </w:tabs>
        <w:ind w:left="0" w:firstLine="851"/>
      </w:pPr>
      <w:r w:rsidRPr="00486584">
        <w:t xml:space="preserve">Прилагане на изготвените от ЦКЗ универсални указания за спазване на хоризонталните принципи на Общността и в частност на тук разглеждания. </w:t>
      </w:r>
    </w:p>
    <w:p w14:paraId="1BB52C6C" w14:textId="77777777" w:rsidR="00D603F5" w:rsidRPr="00486584" w:rsidRDefault="00D603F5" w:rsidP="00486584">
      <w:pPr>
        <w:pStyle w:val="ListParagraph"/>
        <w:numPr>
          <w:ilvl w:val="0"/>
          <w:numId w:val="419"/>
        </w:numPr>
        <w:tabs>
          <w:tab w:val="left" w:pos="1134"/>
        </w:tabs>
        <w:ind w:left="0" w:firstLine="851"/>
      </w:pPr>
      <w:r w:rsidRPr="00486584">
        <w:t>Залагане във всички приоритетни оси на програмата (1÷4), свързани с финансиране за изграждане на инфраструктурни съоръжения, спазването на задължителната хоризонтална дейност за подобряване и улесняване на достъпа за хората с увреждания.</w:t>
      </w:r>
    </w:p>
    <w:p w14:paraId="1075E455" w14:textId="77777777" w:rsidR="00D603F5" w:rsidRPr="00486584" w:rsidRDefault="00D603F5" w:rsidP="00486584">
      <w:pPr>
        <w:pStyle w:val="ListParagraph"/>
        <w:numPr>
          <w:ilvl w:val="0"/>
          <w:numId w:val="419"/>
        </w:numPr>
        <w:tabs>
          <w:tab w:val="left" w:pos="1134"/>
        </w:tabs>
        <w:ind w:left="0" w:firstLine="851"/>
      </w:pPr>
      <w:r w:rsidRPr="00486584">
        <w:t>Формулиране на хоризонтални индикатори в ОПТТИ във връзка с постигане на равни възможности и борба с дискриминацията. Същите ще измерват постигнатите резултати на ниво програма и могат да бъдат дефинирани като „</w:t>
      </w:r>
      <w:r w:rsidRPr="00486584">
        <w:rPr>
          <w:i/>
        </w:rPr>
        <w:t>Процент от проектите, финансирани от ОПТТИ, предвиждащи изпълнение на мерки за подобряване на достъпа на хора с увреждания</w:t>
      </w:r>
      <w:r w:rsidRPr="00486584">
        <w:t>” и „</w:t>
      </w:r>
      <w:r w:rsidRPr="00486584">
        <w:rPr>
          <w:i/>
        </w:rPr>
        <w:t>Брой адаптирани обекти, чрез които се осигурява физически достъп за хора с увреждания и/или уязвими обществени групи</w:t>
      </w:r>
      <w:r w:rsidRPr="00486584">
        <w:t>”.</w:t>
      </w:r>
    </w:p>
    <w:p w14:paraId="15C55418" w14:textId="77777777" w:rsidR="00D603F5" w:rsidRPr="00486584" w:rsidRDefault="00D603F5" w:rsidP="00486584">
      <w:pPr>
        <w:pStyle w:val="ListParagraph"/>
        <w:numPr>
          <w:ilvl w:val="0"/>
          <w:numId w:val="419"/>
        </w:numPr>
        <w:tabs>
          <w:tab w:val="left" w:pos="1134"/>
        </w:tabs>
        <w:ind w:left="0" w:firstLine="851"/>
      </w:pPr>
      <w:r w:rsidRPr="00486584">
        <w:t>Включване в механизма за прилагане на критериите за подбор и оценка на проекти, кандидатстващи за финансиране по програмата, на специфични под-критерии, свързани с преценка на съвместимостта на проекта с принципа за равнопоставеност, недискриминация и достъпност и на приноса към спазването му.</w:t>
      </w:r>
    </w:p>
    <w:p w14:paraId="4E37CD92" w14:textId="77777777" w:rsidR="00D603F5" w:rsidRPr="00486584" w:rsidRDefault="00D603F5" w:rsidP="00486584">
      <w:pPr>
        <w:pStyle w:val="ListParagraph"/>
        <w:numPr>
          <w:ilvl w:val="0"/>
          <w:numId w:val="419"/>
        </w:numPr>
        <w:tabs>
          <w:tab w:val="left" w:pos="1134"/>
        </w:tabs>
        <w:ind w:left="0" w:firstLine="851"/>
      </w:pPr>
      <w:r w:rsidRPr="00486584">
        <w:t>Периодично изготвяне от бенефициентите и Управляващия орган на информация относно участниците в изпълнението на проектите по отношение на пол, възраст, образование, заетост, увреждания и/или други признаци за наличие на неравностойно положение, затруднена достъпност и някакъв друг вид дискриминация и публично обявяване на тази информация</w:t>
      </w:r>
    </w:p>
    <w:p w14:paraId="4DD6445D" w14:textId="77777777" w:rsidR="00D603F5" w:rsidRPr="00486584" w:rsidRDefault="00D603F5" w:rsidP="00486584">
      <w:pPr>
        <w:pStyle w:val="ListParagraph"/>
        <w:numPr>
          <w:ilvl w:val="0"/>
          <w:numId w:val="419"/>
        </w:numPr>
        <w:tabs>
          <w:tab w:val="left" w:pos="1134"/>
        </w:tabs>
        <w:ind w:left="0" w:firstLine="851"/>
      </w:pPr>
      <w:r w:rsidRPr="00486584">
        <w:t>Включване в договорите с бенефициентите на ОПТТИ на клауза, по силата на която от тях ще се изисква прилагане и отчитане на изпълнението на тук посочения хоризонтален принцип</w:t>
      </w:r>
    </w:p>
    <w:p w14:paraId="300973F6" w14:textId="77777777" w:rsidR="00D603F5" w:rsidRPr="00486584" w:rsidRDefault="00D603F5" w:rsidP="00486584">
      <w:pPr>
        <w:pStyle w:val="ListParagraph"/>
        <w:numPr>
          <w:ilvl w:val="0"/>
          <w:numId w:val="419"/>
        </w:numPr>
        <w:tabs>
          <w:tab w:val="left" w:pos="1134"/>
        </w:tabs>
        <w:ind w:left="0" w:firstLine="851"/>
      </w:pPr>
      <w:r w:rsidRPr="00486584">
        <w:t>Когато спецификата го допуска, при обявяване и възлагане на обществените поръчки, бенефициентите на ОПТТИ и Управляващия орган да следят за спазване на особените разпоредби на ЗОП при участие и възлагане на специфични производства и доставки на стоки и услуги, свързани с осигуряване на предимство за производствени предприятия на хората с увреждания</w:t>
      </w:r>
    </w:p>
    <w:p w14:paraId="75B2657A" w14:textId="77777777" w:rsidR="00D603F5" w:rsidRPr="00486584" w:rsidRDefault="00D603F5" w:rsidP="00486584">
      <w:pPr>
        <w:pStyle w:val="ListParagraph"/>
        <w:numPr>
          <w:ilvl w:val="0"/>
          <w:numId w:val="419"/>
        </w:numPr>
        <w:tabs>
          <w:tab w:val="left" w:pos="1134"/>
        </w:tabs>
        <w:ind w:left="0" w:firstLine="851"/>
      </w:pPr>
      <w:r w:rsidRPr="00486584">
        <w:t xml:space="preserve">Финансови корекции за бенефициентите при неизпълнение на заложените ангажименти, свързани с прилагане на хоризонталния принцип за недискриминация </w:t>
      </w:r>
    </w:p>
    <w:p w14:paraId="57EBF39A" w14:textId="77777777" w:rsidR="00D603F5" w:rsidRPr="00486584" w:rsidRDefault="00D603F5" w:rsidP="00486584">
      <w:pPr>
        <w:pStyle w:val="ListParagraph"/>
        <w:numPr>
          <w:ilvl w:val="0"/>
          <w:numId w:val="419"/>
        </w:numPr>
        <w:tabs>
          <w:tab w:val="left" w:pos="1134"/>
        </w:tabs>
        <w:ind w:left="0" w:firstLine="851"/>
      </w:pPr>
      <w:r w:rsidRPr="00486584">
        <w:t xml:space="preserve">На ниво проекти - интегриране в системата от индикатори за проследяване на напредъка на такива, посредством които да бъдат измервани постиженията за спазване на тук разглеждания хоризонтален принцип. За всеки разглеждан проект същите могат да бъдат формулирани като „брой новосъздадени работни места за безработни младежи”, „брой изградени рампи за достъп на хора с увреждания”, „брой сгради и съоръжения (чакални, каси, офиси, приемни здания, станции, перони, ескалатори, асансьори, коридори, подстъпи, подлези, надлези, кафета, магазини, кантини, тоалетни и обслужващи помещения) и подвижен състав (влакове, вагони, платформи, автобуси, метро-влакове) с предвидени мерки за улеснен достъп на лица с увреждания”, „брой поставени специални обозначения и сигнализации за улесняване достъпа на незрящи до транспортните сгради и съоръжения”, „брой поставени специални обозначения и сигнализации за улесняване достъпа и ползването от незрящи на транспортни системи и подвижен състав – влакове, вагони, автобуси, метро-влакове и др.”,  „принос към подобряване на социалното включване и намаляването на бедността”, „принос за подобряване статуса на малцинствени, уязвими, социално слаби и други групи в </w:t>
      </w:r>
      <w:r w:rsidRPr="00486584">
        <w:lastRenderedPageBreak/>
        <w:t>неравностойно положение”, както и други подходящо формулирани индикатори, приложими към конкретно изпълнявания проект</w:t>
      </w:r>
    </w:p>
    <w:p w14:paraId="11ED4592" w14:textId="77777777" w:rsidR="00D603F5" w:rsidRPr="00486584" w:rsidRDefault="00D603F5" w:rsidP="00486584">
      <w:pPr>
        <w:pStyle w:val="ListParagraph"/>
        <w:numPr>
          <w:ilvl w:val="0"/>
          <w:numId w:val="419"/>
        </w:numPr>
        <w:tabs>
          <w:tab w:val="left" w:pos="1134"/>
        </w:tabs>
        <w:ind w:left="0" w:firstLine="851"/>
      </w:pPr>
      <w:r w:rsidRPr="00486584">
        <w:t>Представяне в годишните доклади за напредъка на проектите на релевантна според бенефициентите, информация за приноса на същите към прилагането на принципа на равнопоставеност, недискриминация и достъпност.</w:t>
      </w:r>
    </w:p>
    <w:p w14:paraId="5692B7B9" w14:textId="77777777" w:rsidR="00D603F5" w:rsidRPr="00486584" w:rsidRDefault="00D603F5" w:rsidP="00486584">
      <w:pPr>
        <w:pStyle w:val="ListParagraph"/>
        <w:numPr>
          <w:ilvl w:val="0"/>
          <w:numId w:val="419"/>
        </w:numPr>
        <w:tabs>
          <w:tab w:val="left" w:pos="1134"/>
        </w:tabs>
        <w:ind w:left="0" w:firstLine="851"/>
      </w:pPr>
      <w:r w:rsidRPr="00486584">
        <w:t>Включване в годишните доклади за изпълнението на ОПТТИ на подходяща според Управляващия орган, информация за приноса на програмата към прилагането на принципа на равнопоставеност, недискриминация и достъпност.</w:t>
      </w:r>
    </w:p>
    <w:p w14:paraId="559F0B33" w14:textId="77777777" w:rsidR="00D603F5" w:rsidRPr="00486584" w:rsidRDefault="00D603F5" w:rsidP="00486584">
      <w:pPr>
        <w:pStyle w:val="ListParagraph"/>
        <w:numPr>
          <w:ilvl w:val="0"/>
          <w:numId w:val="419"/>
        </w:numPr>
        <w:tabs>
          <w:tab w:val="left" w:pos="1134"/>
        </w:tabs>
        <w:ind w:left="0" w:firstLine="851"/>
      </w:pPr>
      <w:r w:rsidRPr="00486584">
        <w:t>Провеждане на поне една независима текуща или тематична оценка на ОПТТИ в рамките на програмния период, насочена към проверка за изпълнение на принципа на равнопоставеност, недискриминация и равен достъп. Резултатите от изпълнението на направените препоръки да бъдат своевременно проследявани с оглед оптимизиране на цялостното представяне на програмата в контекста на хоризонталните принципи.</w:t>
      </w:r>
    </w:p>
    <w:p w14:paraId="517D78F2" w14:textId="77777777" w:rsidR="00D603F5" w:rsidRDefault="00D603F5" w:rsidP="00486584">
      <w:pPr>
        <w:rPr>
          <w:b/>
          <w:lang w:eastAsia="bg-BG"/>
        </w:rPr>
      </w:pPr>
      <w:r w:rsidRPr="00486584">
        <w:rPr>
          <w:b/>
          <w:lang w:eastAsia="bg-BG"/>
        </w:rPr>
        <w:t>Включване в състава на Комитета за наблюдение на ОПТТИ на представители на неправителствени организации, учредени в обществена полза, работещи в сферата на равните възможности, недискриминацията и равния достъп, както и на представители на ведомствата, определени за компетентни на национално ниво за съответния хоризонтален въпрос.</w:t>
      </w:r>
    </w:p>
    <w:p w14:paraId="5595B873" w14:textId="77777777" w:rsidR="00486584" w:rsidRPr="00486584" w:rsidRDefault="00486584" w:rsidP="00486584">
      <w:pPr>
        <w:rPr>
          <w:b/>
        </w:rPr>
      </w:pPr>
    </w:p>
    <w:p w14:paraId="6BD1FA21" w14:textId="77777777" w:rsidR="00D603F5" w:rsidRPr="001B0EA3" w:rsidRDefault="00D603F5" w:rsidP="00B502C7">
      <w:pPr>
        <w:pStyle w:val="Style2"/>
        <w:rPr>
          <w:lang w:eastAsia="bg-BG"/>
        </w:rPr>
      </w:pPr>
      <w:bookmarkStart w:id="309" w:name="_Toc479775567"/>
      <w:bookmarkStart w:id="310" w:name="_Toc140150171"/>
      <w:r w:rsidRPr="001B0EA3">
        <w:rPr>
          <w:lang w:eastAsia="bg-BG"/>
        </w:rPr>
        <w:t>Равенство между половете</w:t>
      </w:r>
      <w:bookmarkEnd w:id="309"/>
      <w:bookmarkEnd w:id="310"/>
    </w:p>
    <w:p w14:paraId="7175A278" w14:textId="77777777" w:rsidR="00D603F5" w:rsidRPr="001B0EA3" w:rsidRDefault="00D603F5" w:rsidP="00CC68EA">
      <w:r w:rsidRPr="001B0EA3">
        <w:t xml:space="preserve">Поддържането на условия за равенство между жените и мъжете в тяхното социално и професионално развитие е важен елемент от хоризонталните политики на Общността и има значително социално измерение. </w:t>
      </w:r>
      <w:r w:rsidRPr="001B0EA3">
        <w:rPr>
          <w:bCs/>
        </w:rPr>
        <w:t xml:space="preserve">Разглеждайки конкретно транспортния сектор, може да се направи изводът, че мъжете определено имат предимство при намирането на работа, поради специфичните особености на самия сектор. Затова трябва да се отдели специално внимание и да се предприемат действия за прилагане и проследяване на принципа на равенство между половете, наред с проявлението на останалите аспекти на другите хоризонтални принципи. </w:t>
      </w:r>
    </w:p>
    <w:p w14:paraId="48E6D7BE" w14:textId="77777777" w:rsidR="00D603F5" w:rsidRPr="001B0EA3" w:rsidRDefault="00D603F5" w:rsidP="00CC68EA">
      <w:pPr>
        <w:rPr>
          <w:szCs w:val="24"/>
          <w:lang w:eastAsia="bg-BG"/>
        </w:rPr>
      </w:pPr>
      <w:r w:rsidRPr="001B0EA3">
        <w:rPr>
          <w:szCs w:val="24"/>
          <w:lang w:eastAsia="bg-BG"/>
        </w:rPr>
        <w:t xml:space="preserve">В ОПТТИ ще бъде гарантирано </w:t>
      </w:r>
      <w:r w:rsidRPr="001B0EA3">
        <w:rPr>
          <w:b/>
          <w:szCs w:val="24"/>
          <w:lang w:eastAsia="bg-BG"/>
        </w:rPr>
        <w:t>спазване на правата на мъжете и жените и на тази основа - създаването на равни възможности между тях</w:t>
      </w:r>
      <w:r w:rsidRPr="001B0EA3">
        <w:rPr>
          <w:szCs w:val="24"/>
          <w:lang w:eastAsia="bg-BG"/>
        </w:rPr>
        <w:t xml:space="preserve">. Отразяването на </w:t>
      </w:r>
      <w:r w:rsidRPr="001B0EA3">
        <w:rPr>
          <w:b/>
          <w:szCs w:val="24"/>
          <w:lang w:eastAsia="bg-BG"/>
        </w:rPr>
        <w:t>принципа за равнопоставеност между половете</w:t>
      </w:r>
      <w:r w:rsidRPr="001B0EA3">
        <w:rPr>
          <w:szCs w:val="24"/>
          <w:lang w:eastAsia="bg-BG"/>
        </w:rPr>
        <w:t xml:space="preserve"> при изпълнение на програмата ще бъде постигнато посредством създаване на съответствие и синхрон между него и всички формулирани приоритети и дейности в оперативната програма. По този начин ще бъде осигурен приносът на програмата на национално ниво към изпълнение на този хоризонтален принцип. За правилното му прилагане ОПТТИ обхваща адекватни дейности в етапите на изпълнение, мониторинг и оценка на програмата. С оглед интегриране в ОПТТИ на принципа за осигуряване на равенство между половете са дефинирани различни по своята същност и обхват мерки, по-важните от които са следните: </w:t>
      </w:r>
    </w:p>
    <w:p w14:paraId="5AEF817E" w14:textId="77777777" w:rsidR="00D603F5" w:rsidRPr="00CC68EA" w:rsidRDefault="00D603F5" w:rsidP="00CC68EA">
      <w:pPr>
        <w:pStyle w:val="ListParagraph"/>
        <w:numPr>
          <w:ilvl w:val="0"/>
          <w:numId w:val="419"/>
        </w:numPr>
        <w:tabs>
          <w:tab w:val="left" w:pos="1134"/>
        </w:tabs>
        <w:ind w:left="0" w:firstLine="851"/>
      </w:pPr>
      <w:r w:rsidRPr="00CC68EA">
        <w:t xml:space="preserve">В техническите спецификации и тръжните документации за проектите, да бъдат залагани условия за поемане на ангажимент за спазване на принципа на равнопоставен достъп и участие на мъже и жени в проекта и за упражняване на равни права между тях. </w:t>
      </w:r>
    </w:p>
    <w:p w14:paraId="3147A713" w14:textId="77777777" w:rsidR="00D603F5" w:rsidRPr="00CC68EA" w:rsidRDefault="00D603F5" w:rsidP="00CC68EA">
      <w:pPr>
        <w:pStyle w:val="ListParagraph"/>
        <w:numPr>
          <w:ilvl w:val="0"/>
          <w:numId w:val="419"/>
        </w:numPr>
        <w:tabs>
          <w:tab w:val="left" w:pos="1134"/>
        </w:tabs>
        <w:ind w:left="0" w:firstLine="851"/>
      </w:pPr>
      <w:r w:rsidRPr="00CC68EA">
        <w:t xml:space="preserve">При подписване на договорите за предоставяне на безвъзмездна финансова помощ бенефициентите да  поемат ангажимент за спазване и прилагане на принципа за равенство между мъжете и жените при изпълнение на проектите. </w:t>
      </w:r>
    </w:p>
    <w:p w14:paraId="24E157C0" w14:textId="77777777" w:rsidR="00D603F5" w:rsidRPr="00CC68EA" w:rsidRDefault="00D603F5" w:rsidP="00CC68EA">
      <w:pPr>
        <w:pStyle w:val="ListParagraph"/>
        <w:numPr>
          <w:ilvl w:val="0"/>
          <w:numId w:val="419"/>
        </w:numPr>
        <w:tabs>
          <w:tab w:val="left" w:pos="1134"/>
        </w:tabs>
        <w:ind w:left="0" w:firstLine="851"/>
      </w:pPr>
      <w:r w:rsidRPr="00CC68EA">
        <w:t xml:space="preserve">В Оперативните споразумения между Управляващия орган и Бенефициентите да се заложат клаузи за отчитане пред Управляващия орган на информация за броя на създадените в резултат на изпълнението на проекта нови работни места,  както и за разпределението на същите  по полов признак </w:t>
      </w:r>
    </w:p>
    <w:p w14:paraId="73F01E0A" w14:textId="77777777" w:rsidR="00D603F5" w:rsidRPr="00CC68EA" w:rsidRDefault="00D603F5" w:rsidP="00CC68EA">
      <w:pPr>
        <w:pStyle w:val="ListParagraph"/>
        <w:numPr>
          <w:ilvl w:val="0"/>
          <w:numId w:val="419"/>
        </w:numPr>
        <w:tabs>
          <w:tab w:val="left" w:pos="1134"/>
        </w:tabs>
        <w:ind w:left="0" w:firstLine="851"/>
      </w:pPr>
      <w:r w:rsidRPr="00CC68EA">
        <w:t xml:space="preserve">Управляващият орган и бенефициентите на ОПТТИ в своята ежедневна дейност, когато е приложимо и целесъобразно - да следят за недопускане на условия за изкуствено създаване на предимства за единия пол, съответно - за дискриминация на другия. </w:t>
      </w:r>
    </w:p>
    <w:p w14:paraId="5DBD55CD" w14:textId="77777777" w:rsidR="00D603F5" w:rsidRPr="00CC68EA" w:rsidRDefault="00D603F5" w:rsidP="00CC68EA">
      <w:pPr>
        <w:pStyle w:val="ListParagraph"/>
        <w:numPr>
          <w:ilvl w:val="0"/>
          <w:numId w:val="419"/>
        </w:numPr>
        <w:tabs>
          <w:tab w:val="left" w:pos="1134"/>
        </w:tabs>
        <w:ind w:left="0" w:firstLine="851"/>
      </w:pPr>
      <w:r w:rsidRPr="00CC68EA">
        <w:lastRenderedPageBreak/>
        <w:t>По време на провежданите проверки на място от Бенефициентите и от Управляващия орган  може да бъдат проверявани описаните по-горе задължения и постигнатите към момента на проверката резултати.</w:t>
      </w:r>
    </w:p>
    <w:p w14:paraId="4391702A" w14:textId="77777777" w:rsidR="00D603F5" w:rsidRPr="00CC68EA" w:rsidRDefault="00D603F5" w:rsidP="00CC68EA">
      <w:pPr>
        <w:pStyle w:val="ListParagraph"/>
        <w:numPr>
          <w:ilvl w:val="0"/>
          <w:numId w:val="419"/>
        </w:numPr>
        <w:tabs>
          <w:tab w:val="left" w:pos="1134"/>
        </w:tabs>
        <w:ind w:left="0" w:firstLine="851"/>
      </w:pPr>
      <w:r w:rsidRPr="00CC68EA">
        <w:t xml:space="preserve">В годишните доклади за напредъка на изпълнението на ниво проекти - от бенефициентите на ОПТТИ да бъде предоставяна информация относно приноса на проекта за правилното прилагане на този хоризонтален принцип на Общността. </w:t>
      </w:r>
    </w:p>
    <w:p w14:paraId="3D88DB2B" w14:textId="77777777" w:rsidR="00D603F5" w:rsidRPr="00CC68EA" w:rsidRDefault="00D603F5" w:rsidP="00CC68EA">
      <w:pPr>
        <w:pStyle w:val="ListParagraph"/>
        <w:numPr>
          <w:ilvl w:val="0"/>
          <w:numId w:val="419"/>
        </w:numPr>
        <w:tabs>
          <w:tab w:val="left" w:pos="1134"/>
        </w:tabs>
        <w:ind w:left="0" w:firstLine="851"/>
      </w:pPr>
      <w:r w:rsidRPr="00CC68EA">
        <w:t xml:space="preserve">В годишните доклади за изпълнението на ОПТТИ - Управляващият орган да изготвя на програмно ниво и да предоставя информация относно прилагането на този хоризонтален принцип на Общността. </w:t>
      </w:r>
    </w:p>
    <w:p w14:paraId="464CC747" w14:textId="77777777" w:rsidR="00D603F5" w:rsidRPr="00CC68EA" w:rsidRDefault="00D603F5" w:rsidP="00CC68EA">
      <w:pPr>
        <w:pStyle w:val="ListParagraph"/>
        <w:numPr>
          <w:ilvl w:val="0"/>
          <w:numId w:val="419"/>
        </w:numPr>
        <w:tabs>
          <w:tab w:val="left" w:pos="1134"/>
        </w:tabs>
        <w:ind w:left="0" w:firstLine="851"/>
      </w:pPr>
      <w:r w:rsidRPr="00CC68EA">
        <w:t>Всички финансирани от ОПТТИ проекти да включват описание на мерките за насърчаване на равенството между половете и недопускане на дискриминация в тази област.</w:t>
      </w:r>
    </w:p>
    <w:p w14:paraId="0A85D3A6" w14:textId="77777777" w:rsidR="00D603F5" w:rsidRPr="00CC68EA" w:rsidRDefault="00D603F5" w:rsidP="00CC68EA">
      <w:pPr>
        <w:pStyle w:val="ListParagraph"/>
        <w:numPr>
          <w:ilvl w:val="0"/>
          <w:numId w:val="419"/>
        </w:numPr>
        <w:tabs>
          <w:tab w:val="left" w:pos="1134"/>
        </w:tabs>
        <w:ind w:left="0" w:firstLine="851"/>
      </w:pPr>
      <w:r w:rsidRPr="00CC68EA">
        <w:t>В рамките на програмния период да се планира провеждане на поне една независима тематична оценка на ОПТТИ, насочена към проверка за изпълнение на принципа за равенство между половете. Резултатите от изпълнението на направените препоръки да бъдат своевременно проследявани с оглед оптимизиране на цялостното представяне на програмата в контекста на хоризонталните принципи. При преценка на Управляващия орган тази тематична оценка може да бъде комбинирана с другите планирани оценки за прилагане на останалите хоризонтални принципи на Общността.</w:t>
      </w:r>
    </w:p>
    <w:p w14:paraId="4B154D83" w14:textId="77777777" w:rsidR="00D603F5" w:rsidRPr="00CC68EA" w:rsidRDefault="00D603F5" w:rsidP="00CC68EA">
      <w:pPr>
        <w:pStyle w:val="ListParagraph"/>
        <w:numPr>
          <w:ilvl w:val="0"/>
          <w:numId w:val="419"/>
        </w:numPr>
        <w:tabs>
          <w:tab w:val="left" w:pos="1134"/>
        </w:tabs>
        <w:ind w:left="0" w:firstLine="851"/>
      </w:pPr>
      <w:r w:rsidRPr="00CC68EA">
        <w:t>В състава на Комитета за наблюдение на ОПТТИ да бъдат включени представители на неправителствени организации, учредени в обществена полза, работещи в сферата за осигуряване на равенство между половете, както и на представители на ведомствата, определени за компетентни на национално ниво по този хоризонтален въпрос.</w:t>
      </w:r>
    </w:p>
    <w:p w14:paraId="0B4B7C00" w14:textId="77777777" w:rsidR="00D603F5" w:rsidRDefault="00D603F5" w:rsidP="00CC68EA">
      <w:pPr>
        <w:rPr>
          <w:b/>
          <w:lang w:eastAsia="bg-BG"/>
        </w:rPr>
      </w:pPr>
      <w:r w:rsidRPr="00CC68EA">
        <w:rPr>
          <w:b/>
          <w:lang w:eastAsia="bg-BG"/>
        </w:rPr>
        <w:t>В състава на Комитета за наблюдение на ОПТТИ 2014-2020 в максимално възможна степен да бъде осигурено равно представителство както на жени, така и на мъже.</w:t>
      </w:r>
    </w:p>
    <w:p w14:paraId="69E0C492" w14:textId="77777777" w:rsidR="00CC68EA" w:rsidRDefault="00CC68EA" w:rsidP="00CC68EA">
      <w:pPr>
        <w:rPr>
          <w:b/>
          <w:lang w:eastAsia="bg-BG"/>
        </w:rPr>
      </w:pPr>
    </w:p>
    <w:p w14:paraId="6EE1F432" w14:textId="77777777" w:rsidR="00CC68EA" w:rsidRDefault="00CC68EA" w:rsidP="00CC68EA">
      <w:pPr>
        <w:rPr>
          <w:b/>
          <w:lang w:eastAsia="bg-BG"/>
        </w:rPr>
      </w:pPr>
    </w:p>
    <w:p w14:paraId="6D62163A" w14:textId="77777777" w:rsidR="00CC68EA" w:rsidRDefault="00CC68EA" w:rsidP="00CC68EA">
      <w:pPr>
        <w:rPr>
          <w:b/>
          <w:lang w:eastAsia="bg-BG"/>
        </w:rPr>
      </w:pPr>
    </w:p>
    <w:p w14:paraId="66FB96D8" w14:textId="77777777" w:rsidR="00D603F5" w:rsidRPr="001B0EA3" w:rsidRDefault="00D603F5" w:rsidP="00B502C7">
      <w:pPr>
        <w:pStyle w:val="Style2"/>
        <w:rPr>
          <w:lang w:eastAsia="bg-BG"/>
        </w:rPr>
      </w:pPr>
      <w:bookmarkStart w:id="311" w:name="_Toc479775568"/>
      <w:bookmarkStart w:id="312" w:name="_Toc140150172"/>
      <w:r w:rsidRPr="001B0EA3">
        <w:rPr>
          <w:lang w:eastAsia="bg-BG"/>
        </w:rPr>
        <w:t>Устойчиво развитие</w:t>
      </w:r>
      <w:bookmarkEnd w:id="305"/>
      <w:bookmarkEnd w:id="306"/>
      <w:bookmarkEnd w:id="311"/>
      <w:bookmarkEnd w:id="312"/>
    </w:p>
    <w:p w14:paraId="5CD6CC56" w14:textId="77777777" w:rsidR="00D603F5" w:rsidRPr="001B0EA3" w:rsidRDefault="00D603F5" w:rsidP="00CC68EA">
      <w:pPr>
        <w:rPr>
          <w:lang w:eastAsia="bg-BG"/>
        </w:rPr>
      </w:pPr>
      <w:r w:rsidRPr="001B0EA3">
        <w:rPr>
          <w:lang w:eastAsia="bg-BG"/>
        </w:rPr>
        <w:t>Устойчивото развитие е един от основните приоритети на Националната програма за развитие: България 2020, като са очертани основните предизвикателства и възможности на страната ни в тази сфера през следващите няколко години.</w:t>
      </w:r>
    </w:p>
    <w:p w14:paraId="3769E05A" w14:textId="77777777" w:rsidR="00D603F5" w:rsidRPr="001B0EA3" w:rsidRDefault="00D603F5" w:rsidP="00CC68EA">
      <w:r w:rsidRPr="001B0EA3">
        <w:rPr>
          <w:lang w:eastAsia="bg-BG"/>
        </w:rPr>
        <w:t>Ключовите национални стратегически документи в сферата на устойчивото развитие и опазването</w:t>
      </w:r>
      <w:r w:rsidRPr="001B0EA3">
        <w:t xml:space="preserve"> на околната среда са</w:t>
      </w:r>
      <w:r w:rsidRPr="001B0EA3">
        <w:rPr>
          <w:vertAlign w:val="superscript"/>
        </w:rPr>
        <w:footnoteReference w:id="8"/>
      </w:r>
      <w:r w:rsidRPr="001B0EA3">
        <w:t>:</w:t>
      </w:r>
    </w:p>
    <w:p w14:paraId="73D09FC1" w14:textId="77777777" w:rsidR="00D603F5" w:rsidRPr="001B0EA3" w:rsidRDefault="00D603F5" w:rsidP="00CC68EA">
      <w:pPr>
        <w:pStyle w:val="ListParagraph"/>
        <w:numPr>
          <w:ilvl w:val="0"/>
          <w:numId w:val="420"/>
        </w:numPr>
        <w:rPr>
          <w:lang w:eastAsia="bg-BG"/>
        </w:rPr>
      </w:pPr>
      <w:r w:rsidRPr="001B0EA3">
        <w:rPr>
          <w:lang w:eastAsia="bg-BG"/>
        </w:rPr>
        <w:t>Национална стратегия по околна среда;</w:t>
      </w:r>
    </w:p>
    <w:p w14:paraId="258D9EC2" w14:textId="77777777" w:rsidR="00D603F5" w:rsidRPr="001B0EA3" w:rsidRDefault="00D603F5" w:rsidP="00CC68EA">
      <w:pPr>
        <w:pStyle w:val="ListParagraph"/>
        <w:numPr>
          <w:ilvl w:val="0"/>
          <w:numId w:val="420"/>
        </w:numPr>
        <w:rPr>
          <w:lang w:eastAsia="bg-BG"/>
        </w:rPr>
      </w:pPr>
      <w:r w:rsidRPr="001B0EA3">
        <w:rPr>
          <w:lang w:eastAsia="bg-BG"/>
        </w:rPr>
        <w:t>Национална програма за действие по околна среда и здраве 2008-2013 г.;</w:t>
      </w:r>
    </w:p>
    <w:p w14:paraId="451044D4" w14:textId="77777777" w:rsidR="00D603F5" w:rsidRPr="001B0EA3" w:rsidRDefault="00D603F5" w:rsidP="00F21DE2">
      <w:pPr>
        <w:rPr>
          <w:lang w:eastAsia="bg-BG"/>
        </w:rPr>
      </w:pPr>
      <w:r w:rsidRPr="001B0EA3">
        <w:rPr>
          <w:lang w:eastAsia="bg-BG"/>
        </w:rPr>
        <w:t>Посочените документи, както и секторните нормативни актове и стратегии в тази област</w:t>
      </w:r>
      <w:r w:rsidRPr="001B0EA3">
        <w:rPr>
          <w:vertAlign w:val="superscript"/>
          <w:lang w:eastAsia="bg-BG"/>
        </w:rPr>
        <w:footnoteReference w:id="9"/>
      </w:r>
      <w:r w:rsidRPr="001B0EA3">
        <w:rPr>
          <w:lang w:eastAsia="bg-BG"/>
        </w:rPr>
        <w:t xml:space="preserve"> отчитат основните приоритети и цели на европейската политика за устойчиво </w:t>
      </w:r>
      <w:r w:rsidRPr="001B0EA3">
        <w:rPr>
          <w:lang w:eastAsia="bg-BG"/>
        </w:rPr>
        <w:lastRenderedPageBreak/>
        <w:t xml:space="preserve">развитие, като присъстват като елемент във всички политики, свързани с развитието на страната.  </w:t>
      </w:r>
    </w:p>
    <w:p w14:paraId="1C2D5661" w14:textId="77777777" w:rsidR="00D603F5" w:rsidRPr="001B0EA3" w:rsidRDefault="00D603F5" w:rsidP="00F21DE2">
      <w:pPr>
        <w:rPr>
          <w:lang w:eastAsia="bg-BG"/>
        </w:rPr>
      </w:pPr>
      <w:r w:rsidRPr="001B0EA3">
        <w:rPr>
          <w:lang w:eastAsia="bg-BG"/>
        </w:rPr>
        <w:t>Концепцията за конкурентоспособна и устойчиво развита транспортна система, заложена в „Бяла книга „Пътна карта за постигането на Единно европейско транспортно пространство – към конкурентоспособна транспортна система с ефективно използване на ресурсите”</w:t>
      </w:r>
      <w:r w:rsidRPr="001B0EA3">
        <w:rPr>
          <w:vertAlign w:val="superscript"/>
          <w:lang w:eastAsia="bg-BG"/>
        </w:rPr>
        <w:footnoteReference w:id="10"/>
      </w:r>
      <w:r w:rsidRPr="001B0EA3">
        <w:rPr>
          <w:vertAlign w:val="superscript"/>
          <w:lang w:eastAsia="bg-BG"/>
        </w:rPr>
        <w:t xml:space="preserve"> </w:t>
      </w:r>
      <w:r w:rsidRPr="001B0EA3">
        <w:rPr>
          <w:lang w:eastAsia="bg-BG"/>
        </w:rPr>
        <w:t>от 28.03.2011 г., включва мерки за осигуряване на растеж в транспорта и подпомагане на мобилността при същевременно постигане на заплануваното намаление на емисиите с 60 % до 2050 г., в сравнение с нивото от 1990 г., мерки за осигуряване на ефективна „основна мрежа” за многовидово междуградско пътуване и транспорт, мерки за екологично чист градски транспорт и пътуване до работното място, както и внедряване на резултати от изследователска дейност за въвеждането на системи за интелигентна мобилност, разработени в резултат на изследвания с финансиране от ЕС, например системата на бъдещето за управление на въздушния трафик (SESAR), европейската система за управление на железопътния трафик (ERTMS) и информационните системи в железопътния сектор, системи за морско наблюдение (SafeSeaNet) информационно обслужване на речния транспорт (RIS), интелигентни транспортни системи (ITS) и оперативно съвместими взаимосвързани решения за следващото поколение системи за управление и информационно обслужване на многовидовия транспорт (включително и за плащане). В тази връзка, принос в намаляването на емисиите при осъществяване на проектите от ОПТТИ ще имат мерките за развитие на железопътния сектор, развитието на интермодален градски транспорт и чрез насърчаване преминаването към алтернативни форми на транспорт, от една страна и от друга дейностите по внедряване на модернизирана инфраструктура за управление на трафика, подобряване на безопасността и сигурността на транспорта.</w:t>
      </w:r>
    </w:p>
    <w:p w14:paraId="12578728" w14:textId="77777777" w:rsidR="00D603F5" w:rsidRPr="001B0EA3" w:rsidRDefault="00D603F5" w:rsidP="00F21DE2">
      <w:pPr>
        <w:rPr>
          <w:lang w:eastAsia="bg-BG"/>
        </w:rPr>
      </w:pPr>
      <w:r w:rsidRPr="001B0EA3">
        <w:rPr>
          <w:lang w:eastAsia="bg-BG"/>
        </w:rPr>
        <w:t xml:space="preserve">Необходимите предпоставки за гарантиране прилагането на принципа на устойчиво развитие при управлението на средствата от ЕСИФ са създадени още в процеса на програмиране на отделните мерки и интервенции. В работната група за разработване на ОПТТИ са включени представители на основните ведомства, отговорни за прилагане на политиките по опазване на околната среда и устойчивото развитие както и представители на екологични неправителствени организации. </w:t>
      </w:r>
    </w:p>
    <w:p w14:paraId="42E8BAAF" w14:textId="77777777" w:rsidR="00D603F5" w:rsidRPr="001B0EA3" w:rsidRDefault="00D603F5" w:rsidP="00F21DE2">
      <w:pPr>
        <w:rPr>
          <w:lang w:eastAsia="en-US"/>
        </w:rPr>
      </w:pPr>
      <w:r w:rsidRPr="001B0EA3">
        <w:rPr>
          <w:lang w:eastAsia="en-US"/>
        </w:rPr>
        <w:t>В допълнение, при изпълнението на проекти, съфинансирани от ЕСИФ, принципът ще се прилага и посредством следните мерки:</w:t>
      </w:r>
    </w:p>
    <w:p w14:paraId="754EAB68" w14:textId="77777777" w:rsidR="00D603F5" w:rsidRPr="00F21DE2" w:rsidRDefault="00D603F5" w:rsidP="00F21DE2">
      <w:pPr>
        <w:pStyle w:val="ListParagraph"/>
        <w:numPr>
          <w:ilvl w:val="0"/>
          <w:numId w:val="419"/>
        </w:numPr>
        <w:tabs>
          <w:tab w:val="left" w:pos="1134"/>
        </w:tabs>
        <w:ind w:left="0" w:firstLine="851"/>
      </w:pPr>
      <w:r w:rsidRPr="00F21DE2">
        <w:t xml:space="preserve">гарантиране прилагането на националното и европейското законодателство във връзка с екологични лицензи, оценки и устойчиво развитие на околната среда за всички инвестиции по програмите; </w:t>
      </w:r>
    </w:p>
    <w:p w14:paraId="66129AD5" w14:textId="77777777" w:rsidR="00D603F5" w:rsidRPr="00F21DE2" w:rsidRDefault="00D603F5" w:rsidP="00F21DE2">
      <w:pPr>
        <w:pStyle w:val="ListParagraph"/>
        <w:numPr>
          <w:ilvl w:val="0"/>
          <w:numId w:val="419"/>
        </w:numPr>
        <w:tabs>
          <w:tab w:val="left" w:pos="1134"/>
        </w:tabs>
        <w:ind w:left="0" w:firstLine="851"/>
      </w:pPr>
      <w:r w:rsidRPr="00F21DE2">
        <w:t xml:space="preserve">изготвяне на пълен анализ разходи-ползи на големи инвестиционни проекти, конкретно във връзка с публичната инфраструктура; </w:t>
      </w:r>
    </w:p>
    <w:p w14:paraId="72CAC680" w14:textId="77777777" w:rsidR="00D603F5" w:rsidRPr="00F21DE2" w:rsidRDefault="00D603F5" w:rsidP="00F21DE2">
      <w:pPr>
        <w:pStyle w:val="ListParagraph"/>
        <w:numPr>
          <w:ilvl w:val="0"/>
          <w:numId w:val="419"/>
        </w:numPr>
        <w:tabs>
          <w:tab w:val="left" w:pos="1134"/>
        </w:tabs>
        <w:ind w:left="0" w:firstLine="851"/>
      </w:pPr>
      <w:r w:rsidRPr="00F21DE2">
        <w:t>насърчаване въвеждането на системи за управление на качеството, свързани с опазване на околната среда в предприятията и организациите;</w:t>
      </w:r>
    </w:p>
    <w:p w14:paraId="682E16A2" w14:textId="77777777" w:rsidR="00D603F5" w:rsidRPr="00F21DE2" w:rsidRDefault="00D603F5" w:rsidP="00F21DE2">
      <w:pPr>
        <w:pStyle w:val="ListParagraph"/>
        <w:numPr>
          <w:ilvl w:val="0"/>
          <w:numId w:val="419"/>
        </w:numPr>
        <w:tabs>
          <w:tab w:val="left" w:pos="1134"/>
        </w:tabs>
        <w:ind w:left="0" w:firstLine="851"/>
      </w:pPr>
      <w:r w:rsidRPr="00F21DE2">
        <w:t>подпомагане на развитие на екологосъобразна администрация (работа без използване на хартия, „зелени" обществени поръчки);</w:t>
      </w:r>
    </w:p>
    <w:p w14:paraId="4B2721B0" w14:textId="77777777" w:rsidR="00D603F5" w:rsidRPr="00F21DE2" w:rsidRDefault="00D603F5" w:rsidP="00F21DE2">
      <w:pPr>
        <w:pStyle w:val="ListParagraph"/>
        <w:numPr>
          <w:ilvl w:val="0"/>
          <w:numId w:val="419"/>
        </w:numPr>
        <w:tabs>
          <w:tab w:val="left" w:pos="1134"/>
        </w:tabs>
        <w:ind w:left="0" w:firstLine="851"/>
      </w:pPr>
      <w:r w:rsidRPr="00F21DE2">
        <w:t xml:space="preserve">извършване на оценки на въздействието на околната среда за всички инвестиции, когато се изисква от европейското и/ или националното законодателство; </w:t>
      </w:r>
    </w:p>
    <w:p w14:paraId="374438CD" w14:textId="77777777" w:rsidR="00D603F5" w:rsidRPr="00F21DE2" w:rsidRDefault="00D603F5" w:rsidP="00F21DE2">
      <w:pPr>
        <w:pStyle w:val="ListParagraph"/>
        <w:numPr>
          <w:ilvl w:val="0"/>
          <w:numId w:val="419"/>
        </w:numPr>
        <w:tabs>
          <w:tab w:val="left" w:pos="1134"/>
        </w:tabs>
        <w:ind w:left="0" w:firstLine="851"/>
      </w:pPr>
      <w:r w:rsidRPr="00F21DE2">
        <w:t xml:space="preserve">поставяне на условие за предоставяне на подкрепа единствено при наличие на пълно съответствие на финансираните дейности с националното законодателство в сферата на околната среда, както и при пълно заплащане на всички данъци и такси за дейности, оказващи въздействие върху околната среда. </w:t>
      </w:r>
    </w:p>
    <w:p w14:paraId="4F43DE79" w14:textId="77777777" w:rsidR="00D603F5" w:rsidRDefault="00D603F5" w:rsidP="00F21DE2">
      <w:pPr>
        <w:rPr>
          <w:lang w:eastAsia="en-US"/>
        </w:rPr>
      </w:pPr>
      <w:r w:rsidRPr="001B0EA3">
        <w:rPr>
          <w:lang w:eastAsia="en-US"/>
        </w:rPr>
        <w:t xml:space="preserve">Отчитайки важността на зелените поръчки като един от факторите, съдействащи за устойчивото развитие, е приет Национален план за действие за насърчаване на зелените обществени поръчки за периода 2012-2014, който подкрепя политиката на обществени поръчки, стимулираща разработването и разпространението на съобразени с околната среда </w:t>
      </w:r>
      <w:r w:rsidRPr="001B0EA3">
        <w:rPr>
          <w:lang w:eastAsia="en-US"/>
        </w:rPr>
        <w:lastRenderedPageBreak/>
        <w:t xml:space="preserve">стоки и услуги. Зелените поръчки са важен инструмент, подпомагащ прилагането на мерки в други сфери, свързани с устойчивото развитие, като насърчителната мярка по Закона за насърчаване на заетостта за работодатели, които разкриват зелени работни места в икономически дейности, подпомагащи опазването на околната среда; стимулиране навлизането и развитието на зелен/ устойчив транспорт в България; сертифициране на устойчиви сгради по критерии за екологично качество/ екобаланс на строителния обект и използване на ресурсите и водите, прилагане на изисквания за енергийна ефективност и енергийни спестявания при доставка на оборудване и превозни средства и други. </w:t>
      </w:r>
    </w:p>
    <w:p w14:paraId="79BAA52A" w14:textId="77777777" w:rsidR="00F21DE2" w:rsidRPr="001B0EA3" w:rsidRDefault="00F21DE2" w:rsidP="00F21DE2">
      <w:pPr>
        <w:rPr>
          <w:lang w:eastAsia="en-US"/>
        </w:rPr>
      </w:pPr>
    </w:p>
    <w:p w14:paraId="085F3AF7" w14:textId="77777777" w:rsidR="00D603F5" w:rsidRPr="001B0EA3" w:rsidRDefault="00D603F5" w:rsidP="00B502C7">
      <w:pPr>
        <w:pStyle w:val="Style2"/>
        <w:rPr>
          <w:lang w:eastAsia="bg-BG"/>
        </w:rPr>
      </w:pPr>
      <w:bookmarkStart w:id="313" w:name="_Toc479775569"/>
      <w:bookmarkStart w:id="314" w:name="_Toc140150173"/>
      <w:bookmarkStart w:id="315" w:name="_Toc393805036"/>
      <w:r w:rsidRPr="001B0EA3">
        <w:rPr>
          <w:lang w:eastAsia="bg-BG"/>
        </w:rPr>
        <w:t>Достъпност</w:t>
      </w:r>
      <w:bookmarkEnd w:id="313"/>
      <w:bookmarkEnd w:id="314"/>
    </w:p>
    <w:bookmarkEnd w:id="315"/>
    <w:p w14:paraId="4865CF33" w14:textId="77777777" w:rsidR="00D603F5" w:rsidRPr="001B0EA3" w:rsidRDefault="00D603F5" w:rsidP="00F21DE2">
      <w:pPr>
        <w:rPr>
          <w:lang w:eastAsia="en-US"/>
        </w:rPr>
      </w:pPr>
      <w:r w:rsidRPr="001B0EA3">
        <w:rPr>
          <w:lang w:eastAsia="en-US"/>
        </w:rPr>
        <w:t xml:space="preserve">Всички резултати от интервенциите, финансирани със средства от ЕСИФ, които са предназначени за публично ползване, следва да предоставят равни възможности за достъп на всички граждани. В тази връзка в хоризонтални указания, които Централното координационно звено ще издаде, ще бъдат включени изисквания за гарантиране достъпа на хора с увреждания до финансираните по програмите, съ-финансирани от ЕСИФ обекти на инфраструктурата, продукти и услуги. </w:t>
      </w:r>
    </w:p>
    <w:p w14:paraId="04CABD95" w14:textId="77777777" w:rsidR="00D603F5" w:rsidRPr="001B0EA3" w:rsidRDefault="00D603F5" w:rsidP="00F21DE2">
      <w:pPr>
        <w:rPr>
          <w:lang w:eastAsia="en-US"/>
        </w:rPr>
      </w:pPr>
      <w:r w:rsidRPr="001B0EA3">
        <w:rPr>
          <w:lang w:eastAsia="en-US"/>
        </w:rPr>
        <w:t>На базата на тези указания, за всички интервенции, за които е приложимо, УО на ОПТТИ е заложил съответствието с целта за достъпност като критерий за оценка на проектните предложения. Същото заляга и в клаузите на договорите с бенефициентите по одобрените проекти.</w:t>
      </w:r>
    </w:p>
    <w:p w14:paraId="70D7BFBD" w14:textId="77777777" w:rsidR="00D603F5" w:rsidRPr="001B0EA3" w:rsidRDefault="00D603F5" w:rsidP="00F21DE2">
      <w:pPr>
        <w:rPr>
          <w:color w:val="000000"/>
          <w:lang w:eastAsia="ko-KR"/>
        </w:rPr>
      </w:pPr>
      <w:r w:rsidRPr="001B0EA3">
        <w:rPr>
          <w:lang w:eastAsia="en-US"/>
        </w:rPr>
        <w:t>Това означава за всички планирани интервенции да бъде възможно интегрирането на хоризонталните принципи, т.е. постоянно да се отразява необходимостта от спазването им чрез осигуряване на еднаква достъпност до инфраструктурите и съоръженията, които се предвижда да бъдат финансирани и изграждани, със специален акцент върху прилагането на мерки за достъпност в полза на уязвимите групи и на хората с увреждания.</w:t>
      </w:r>
    </w:p>
    <w:p w14:paraId="1FE3A1DC" w14:textId="77777777" w:rsidR="00D603F5" w:rsidRPr="001B0EA3" w:rsidRDefault="00D603F5" w:rsidP="00890B4B">
      <w:pPr>
        <w:spacing w:before="120"/>
        <w:rPr>
          <w:szCs w:val="24"/>
          <w:lang w:eastAsia="en-US"/>
        </w:rPr>
      </w:pPr>
    </w:p>
    <w:p w14:paraId="7AC5337C" w14:textId="77777777" w:rsidR="001C2346" w:rsidRPr="001B0EA3" w:rsidRDefault="001C2346" w:rsidP="00660856">
      <w:pPr>
        <w:jc w:val="left"/>
        <w:rPr>
          <w:b/>
          <w:bCs/>
          <w:kern w:val="28"/>
          <w:szCs w:val="24"/>
          <w:lang w:eastAsia="bg-BG"/>
        </w:rPr>
      </w:pPr>
      <w:r w:rsidRPr="001B0EA3">
        <w:rPr>
          <w:szCs w:val="24"/>
          <w:lang w:eastAsia="bg-BG"/>
        </w:rPr>
        <w:br w:type="page"/>
      </w:r>
    </w:p>
    <w:p w14:paraId="7A550F95" w14:textId="77777777" w:rsidR="00D603F5" w:rsidRPr="001B0EA3" w:rsidRDefault="00D603F5" w:rsidP="00890B4B">
      <w:pPr>
        <w:pStyle w:val="Title"/>
        <w:spacing w:after="240"/>
        <w:ind w:firstLine="0"/>
        <w:jc w:val="center"/>
        <w:rPr>
          <w:rFonts w:ascii="Times New Roman" w:hAnsi="Times New Roman"/>
          <w:sz w:val="24"/>
          <w:szCs w:val="24"/>
          <w:lang w:eastAsia="bg-BG"/>
        </w:rPr>
      </w:pPr>
      <w:bookmarkStart w:id="316" w:name="_Toc479775570"/>
      <w:bookmarkStart w:id="317" w:name="_Toc140150174"/>
      <w:r w:rsidRPr="001B0EA3">
        <w:rPr>
          <w:rFonts w:ascii="Times New Roman" w:hAnsi="Times New Roman"/>
          <w:sz w:val="24"/>
          <w:szCs w:val="24"/>
          <w:lang w:eastAsia="bg-BG"/>
        </w:rPr>
        <w:lastRenderedPageBreak/>
        <w:t>ГЛАВА</w:t>
      </w:r>
      <w:r w:rsidR="00D075BF">
        <w:rPr>
          <w:rFonts w:ascii="Times New Roman" w:hAnsi="Times New Roman"/>
          <w:sz w:val="24"/>
          <w:szCs w:val="24"/>
          <w:lang w:eastAsia="bg-BG"/>
        </w:rPr>
        <w:t xml:space="preserve"> 2</w:t>
      </w:r>
      <w:r w:rsidRPr="001B0EA3">
        <w:rPr>
          <w:rFonts w:ascii="Times New Roman" w:hAnsi="Times New Roman"/>
          <w:sz w:val="24"/>
          <w:szCs w:val="24"/>
          <w:lang w:eastAsia="bg-BG"/>
        </w:rPr>
        <w:br/>
        <w:t>ДЪРЖАВНИ ПОМОЩИ</w:t>
      </w:r>
      <w:bookmarkEnd w:id="316"/>
      <w:bookmarkEnd w:id="317"/>
    </w:p>
    <w:p w14:paraId="2C43CAEE" w14:textId="77777777" w:rsidR="00D603F5" w:rsidRDefault="00D603F5" w:rsidP="00F21DE2">
      <w:pPr>
        <w:rPr>
          <w:lang w:eastAsia="en-US"/>
        </w:rPr>
      </w:pPr>
      <w:r w:rsidRPr="001B0EA3">
        <w:rPr>
          <w:lang w:eastAsia="en-US"/>
        </w:rPr>
        <w:t>Процедури относно прилагане на правилата по държавните помощи в съответствие на чл. 107, параграф 1 от Договора за функциониране на Европейския съюз (ДФЕС)</w:t>
      </w:r>
      <w:r w:rsidR="00A049D6">
        <w:rPr>
          <w:lang w:eastAsia="en-US"/>
        </w:rPr>
        <w:t>.</w:t>
      </w:r>
    </w:p>
    <w:p w14:paraId="3FCCD36B" w14:textId="77777777" w:rsidR="00F21DE2" w:rsidRPr="001B0EA3" w:rsidRDefault="00F21DE2" w:rsidP="00F21DE2">
      <w:pPr>
        <w:rPr>
          <w:lang w:eastAsia="en-US"/>
        </w:rPr>
      </w:pPr>
    </w:p>
    <w:p w14:paraId="2FD78A3C" w14:textId="77777777" w:rsidR="00D603F5" w:rsidRPr="001B0EA3" w:rsidRDefault="00D603F5" w:rsidP="00F058E0">
      <w:pPr>
        <w:pStyle w:val="Style1"/>
      </w:pPr>
      <w:bookmarkStart w:id="318" w:name="_Ref408993939"/>
      <w:bookmarkStart w:id="319" w:name="_Toc479775571"/>
      <w:bookmarkStart w:id="320" w:name="_Toc140150175"/>
      <w:r w:rsidRPr="001B0EA3">
        <w:t>Общи положения</w:t>
      </w:r>
      <w:bookmarkEnd w:id="318"/>
      <w:bookmarkEnd w:id="319"/>
      <w:bookmarkEnd w:id="320"/>
    </w:p>
    <w:p w14:paraId="7ADEFBE1" w14:textId="77777777" w:rsidR="00D603F5" w:rsidRDefault="00A049D6" w:rsidP="00F21DE2">
      <w:pPr>
        <w:rPr>
          <w:lang w:eastAsia="en-US"/>
        </w:rPr>
      </w:pPr>
      <w:r w:rsidRPr="00A049D6">
        <w:rPr>
          <w:lang w:eastAsia="en-US"/>
        </w:rPr>
        <w:t>Процедурите са разработени съответствие</w:t>
      </w:r>
      <w:r w:rsidR="00D603F5" w:rsidRPr="001B0EA3">
        <w:rPr>
          <w:lang w:eastAsia="en-US"/>
        </w:rPr>
        <w:t xml:space="preserve">  с оглед изпълнение на задълженията, произтичащи от правото на Европейската общност и на Република България в областта на </w:t>
      </w:r>
      <w:r w:rsidRPr="00A049D6">
        <w:rPr>
          <w:lang w:eastAsia="en-US"/>
        </w:rPr>
        <w:t>държавните помощи (ДП)</w:t>
      </w:r>
      <w:r w:rsidR="00D603F5" w:rsidRPr="001B0EA3">
        <w:rPr>
          <w:lang w:eastAsia="en-US"/>
        </w:rPr>
        <w:t xml:space="preserve"> и постигне на изискваното от ЕК гарантиране на съответствието с правилата за ДП. </w:t>
      </w:r>
    </w:p>
    <w:p w14:paraId="5771F001" w14:textId="77777777" w:rsidR="00217C6B" w:rsidRPr="005B04E5" w:rsidRDefault="00217C6B" w:rsidP="00F21DE2">
      <w:pPr>
        <w:rPr>
          <w:lang w:eastAsia="en-US"/>
        </w:rPr>
      </w:pPr>
      <w:r w:rsidRPr="005B04E5">
        <w:rPr>
          <w:lang w:eastAsia="en-US"/>
        </w:rPr>
        <w:t>Процедурите за ДП в настоящата точка на процедурния наръчник има</w:t>
      </w:r>
      <w:r>
        <w:rPr>
          <w:lang w:eastAsia="en-US"/>
        </w:rPr>
        <w:t>т за цел да спомогнат</w:t>
      </w:r>
      <w:r w:rsidRPr="005B04E5">
        <w:rPr>
          <w:lang w:eastAsia="en-US"/>
        </w:rPr>
        <w:t xml:space="preserve"> за поддържане на оптимално ниво на изпълнение на Приложение XI, част II, Общо условие 5 „Държавни помощи” към Регламент № (ЕС) № 1303/2013 г.:</w:t>
      </w:r>
    </w:p>
    <w:p w14:paraId="49114D93" w14:textId="77777777" w:rsidR="00217C6B" w:rsidRPr="005B04E5" w:rsidRDefault="00217C6B" w:rsidP="00F21DE2">
      <w:pPr>
        <w:pStyle w:val="ListParagraph"/>
        <w:numPr>
          <w:ilvl w:val="0"/>
          <w:numId w:val="421"/>
        </w:numPr>
        <w:tabs>
          <w:tab w:val="left" w:pos="1134"/>
        </w:tabs>
        <w:ind w:left="0" w:firstLine="851"/>
        <w:rPr>
          <w:lang w:eastAsia="en-US"/>
        </w:rPr>
      </w:pPr>
      <w:r w:rsidRPr="005B04E5">
        <w:rPr>
          <w:lang w:eastAsia="en-US"/>
        </w:rPr>
        <w:t>Уредба за ефективното прилагане на правилата на Съюза за ДП;</w:t>
      </w:r>
    </w:p>
    <w:p w14:paraId="37D9D9DE" w14:textId="77777777" w:rsidR="00217C6B" w:rsidRPr="005B04E5" w:rsidRDefault="00217C6B" w:rsidP="00F21DE2">
      <w:pPr>
        <w:pStyle w:val="ListParagraph"/>
        <w:numPr>
          <w:ilvl w:val="0"/>
          <w:numId w:val="421"/>
        </w:numPr>
        <w:tabs>
          <w:tab w:val="left" w:pos="1134"/>
        </w:tabs>
        <w:ind w:left="0" w:firstLine="851"/>
        <w:rPr>
          <w:lang w:eastAsia="en-US"/>
        </w:rPr>
      </w:pPr>
      <w:r w:rsidRPr="005B04E5">
        <w:rPr>
          <w:lang w:eastAsia="en-US"/>
        </w:rPr>
        <w:t>Уредба за обучение на персонала, който участва в привеждането на европейските структурни и инвестиционни фондове в действие, и за разпространение на информация до този персонал;</w:t>
      </w:r>
    </w:p>
    <w:p w14:paraId="3B87EED8" w14:textId="77777777" w:rsidR="00217C6B" w:rsidRDefault="00217C6B" w:rsidP="00F21DE2">
      <w:pPr>
        <w:pStyle w:val="ListParagraph"/>
        <w:numPr>
          <w:ilvl w:val="0"/>
          <w:numId w:val="421"/>
        </w:numPr>
        <w:tabs>
          <w:tab w:val="left" w:pos="1134"/>
        </w:tabs>
        <w:ind w:left="0" w:firstLine="851"/>
        <w:rPr>
          <w:lang w:eastAsia="en-US"/>
        </w:rPr>
      </w:pPr>
      <w:r w:rsidRPr="005B04E5">
        <w:rPr>
          <w:lang w:eastAsia="en-US"/>
        </w:rPr>
        <w:t>Уредба, гарантираща административния капацитет за въвеждане и прилагане на правилата на Съюза за държавните помощи.</w:t>
      </w:r>
    </w:p>
    <w:p w14:paraId="68E29C19" w14:textId="77777777" w:rsidR="00F21DE2" w:rsidRPr="005B04E5" w:rsidRDefault="00F21DE2" w:rsidP="00F21DE2">
      <w:pPr>
        <w:tabs>
          <w:tab w:val="left" w:pos="1134"/>
        </w:tabs>
        <w:rPr>
          <w:lang w:eastAsia="en-US"/>
        </w:rPr>
      </w:pPr>
    </w:p>
    <w:p w14:paraId="588B5DCC" w14:textId="77777777" w:rsidR="00217C6B" w:rsidRPr="00C71C64" w:rsidRDefault="00217C6B" w:rsidP="001E404B">
      <w:pPr>
        <w:pStyle w:val="Style2"/>
        <w:ind w:left="788" w:hanging="431"/>
        <w:rPr>
          <w:lang w:eastAsia="bg-BG"/>
        </w:rPr>
      </w:pPr>
      <w:bookmarkStart w:id="321" w:name="_Toc532552439"/>
      <w:bookmarkStart w:id="322" w:name="_Toc140150176"/>
      <w:r w:rsidRPr="00C71C64">
        <w:rPr>
          <w:lang w:eastAsia="bg-BG"/>
        </w:rPr>
        <w:t>Специфични разпоредби</w:t>
      </w:r>
      <w:bookmarkEnd w:id="321"/>
      <w:bookmarkEnd w:id="322"/>
      <w:r w:rsidRPr="00C71C64">
        <w:rPr>
          <w:lang w:eastAsia="bg-BG"/>
        </w:rPr>
        <w:t xml:space="preserve"> </w:t>
      </w:r>
    </w:p>
    <w:p w14:paraId="759A3878" w14:textId="77777777" w:rsidR="00217C6B" w:rsidRDefault="00217C6B" w:rsidP="00F21DE2">
      <w:pPr>
        <w:pStyle w:val="ListParagraph"/>
        <w:numPr>
          <w:ilvl w:val="0"/>
          <w:numId w:val="422"/>
        </w:numPr>
        <w:tabs>
          <w:tab w:val="left" w:pos="1134"/>
        </w:tabs>
        <w:ind w:left="0" w:firstLine="851"/>
        <w:rPr>
          <w:lang w:eastAsia="en-US"/>
        </w:rPr>
      </w:pPr>
      <w:r w:rsidRPr="003E7827">
        <w:rPr>
          <w:lang w:eastAsia="en-US"/>
        </w:rPr>
        <w:t>Договор за функциониране на Европейския съюз (ДФЕС)</w:t>
      </w:r>
      <w:r>
        <w:rPr>
          <w:lang w:eastAsia="en-US"/>
        </w:rPr>
        <w:t>;</w:t>
      </w:r>
    </w:p>
    <w:p w14:paraId="387539DF" w14:textId="77777777" w:rsidR="00217C6B" w:rsidRDefault="00217C6B" w:rsidP="00F21DE2">
      <w:pPr>
        <w:pStyle w:val="ListParagraph"/>
        <w:numPr>
          <w:ilvl w:val="0"/>
          <w:numId w:val="422"/>
        </w:numPr>
        <w:tabs>
          <w:tab w:val="left" w:pos="1134"/>
        </w:tabs>
        <w:ind w:left="0" w:firstLine="851"/>
        <w:rPr>
          <w:lang w:eastAsia="en-US"/>
        </w:rPr>
      </w:pPr>
      <w:r>
        <w:rPr>
          <w:lang w:eastAsia="en-US"/>
        </w:rPr>
        <w:t>Закон за държавните помощи (ЗДП);</w:t>
      </w:r>
    </w:p>
    <w:p w14:paraId="0439F79B" w14:textId="77777777" w:rsidR="00217C6B" w:rsidRDefault="00217C6B" w:rsidP="00F21DE2">
      <w:pPr>
        <w:pStyle w:val="ListParagraph"/>
        <w:numPr>
          <w:ilvl w:val="0"/>
          <w:numId w:val="422"/>
        </w:numPr>
        <w:tabs>
          <w:tab w:val="left" w:pos="1134"/>
        </w:tabs>
        <w:ind w:left="0" w:firstLine="851"/>
        <w:rPr>
          <w:lang w:eastAsia="en-US"/>
        </w:rPr>
      </w:pPr>
      <w:r>
        <w:rPr>
          <w:lang w:eastAsia="en-US"/>
        </w:rPr>
        <w:t>Правилиник за прилагане на закона за дължавните помощи (ППЗДП);</w:t>
      </w:r>
    </w:p>
    <w:p w14:paraId="3EDCB5BF" w14:textId="77777777" w:rsidR="00217C6B" w:rsidRDefault="00217C6B" w:rsidP="00F21DE2">
      <w:pPr>
        <w:pStyle w:val="ListParagraph"/>
        <w:numPr>
          <w:ilvl w:val="0"/>
          <w:numId w:val="422"/>
        </w:numPr>
        <w:tabs>
          <w:tab w:val="left" w:pos="1134"/>
        </w:tabs>
        <w:ind w:left="0" w:firstLine="851"/>
        <w:rPr>
          <w:lang w:eastAsia="en-US"/>
        </w:rPr>
      </w:pPr>
      <w:r>
        <w:rPr>
          <w:lang w:eastAsia="en-US"/>
        </w:rPr>
        <w:t>Наредба № 4 на министъра на финасите от 22.07.2016 г. за определяне на реда за съгласуване на проектите на документи по чл. 26, ал. 1 от Закона за управление на средствата  от Европейските структурни и инвестиционни фондове (Наредба № 4 ОТ 2016 г.);</w:t>
      </w:r>
    </w:p>
    <w:p w14:paraId="34354252" w14:textId="77777777" w:rsidR="00217C6B" w:rsidRPr="00827EC1" w:rsidRDefault="00217C6B" w:rsidP="00F21DE2">
      <w:pPr>
        <w:pStyle w:val="ListParagraph"/>
        <w:numPr>
          <w:ilvl w:val="0"/>
          <w:numId w:val="422"/>
        </w:numPr>
        <w:tabs>
          <w:tab w:val="left" w:pos="1134"/>
        </w:tabs>
        <w:ind w:left="0" w:firstLine="851"/>
        <w:rPr>
          <w:lang w:eastAsia="en-US"/>
        </w:rPr>
      </w:pPr>
      <w:r>
        <w:rPr>
          <w:lang w:eastAsia="en-US"/>
        </w:rPr>
        <w:t xml:space="preserve">Наредба № Н-6 </w:t>
      </w:r>
      <w:r w:rsidRPr="00740D79">
        <w:rPr>
          <w:lang w:eastAsia="en-US"/>
        </w:rPr>
        <w:t xml:space="preserve">на министъра на финасите от </w:t>
      </w:r>
      <w:r>
        <w:rPr>
          <w:lang w:eastAsia="en-US"/>
        </w:rPr>
        <w:t>14</w:t>
      </w:r>
      <w:r w:rsidRPr="00740D79">
        <w:rPr>
          <w:lang w:eastAsia="en-US"/>
        </w:rPr>
        <w:t>.0</w:t>
      </w:r>
      <w:r>
        <w:rPr>
          <w:lang w:eastAsia="en-US"/>
        </w:rPr>
        <w:t>9</w:t>
      </w:r>
      <w:r w:rsidRPr="00740D79">
        <w:rPr>
          <w:lang w:eastAsia="en-US"/>
        </w:rPr>
        <w:t>.201</w:t>
      </w:r>
      <w:r>
        <w:rPr>
          <w:lang w:eastAsia="en-US"/>
        </w:rPr>
        <w:t>7</w:t>
      </w:r>
      <w:r w:rsidRPr="00740D79">
        <w:rPr>
          <w:lang w:eastAsia="en-US"/>
        </w:rPr>
        <w:t xml:space="preserve"> г. за</w:t>
      </w:r>
      <w:r>
        <w:rPr>
          <w:lang w:eastAsia="en-US"/>
        </w:rPr>
        <w:t xml:space="preserve"> изменение и допълнение на Наредба № 4 от 2016 г. за</w:t>
      </w:r>
      <w:r w:rsidRPr="00740D79">
        <w:rPr>
          <w:lang w:eastAsia="en-US"/>
        </w:rPr>
        <w:t xml:space="preserve"> определяне на реда за съгласуване на проектите на документи по чл. 26, ал. 1 от Закона за управление на средствата от Европейските структурни и инвестиционни фондове</w:t>
      </w:r>
      <w:r>
        <w:rPr>
          <w:lang w:eastAsia="en-US"/>
        </w:rPr>
        <w:t>;</w:t>
      </w:r>
      <w:r w:rsidRPr="00F21DE2">
        <w:rPr>
          <w:rFonts w:eastAsiaTheme="minorEastAsia"/>
          <w:b/>
          <w:bCs/>
          <w:sz w:val="36"/>
          <w:szCs w:val="36"/>
          <w:lang w:val="x-none" w:eastAsia="bg-BG"/>
        </w:rPr>
        <w:t xml:space="preserve"> </w:t>
      </w:r>
    </w:p>
    <w:p w14:paraId="7A3E06C6" w14:textId="77777777" w:rsidR="00217C6B" w:rsidRDefault="00217C6B" w:rsidP="00F21DE2">
      <w:pPr>
        <w:pStyle w:val="ListParagraph"/>
        <w:numPr>
          <w:ilvl w:val="0"/>
          <w:numId w:val="422"/>
        </w:numPr>
        <w:tabs>
          <w:tab w:val="left" w:pos="1134"/>
        </w:tabs>
        <w:ind w:left="0" w:firstLine="851"/>
        <w:rPr>
          <w:lang w:eastAsia="en-US"/>
        </w:rPr>
      </w:pPr>
      <w:r w:rsidRPr="00827EC1">
        <w:rPr>
          <w:rFonts w:hint="eastAsia"/>
          <w:lang w:eastAsia="en-US"/>
        </w:rPr>
        <w:t>Известие</w:t>
      </w:r>
      <w:r w:rsidRPr="00827EC1">
        <w:rPr>
          <w:lang w:eastAsia="en-US"/>
        </w:rPr>
        <w:t xml:space="preserve"> </w:t>
      </w:r>
      <w:r w:rsidRPr="00827EC1">
        <w:rPr>
          <w:rFonts w:hint="eastAsia"/>
          <w:lang w:eastAsia="en-US"/>
        </w:rPr>
        <w:t>на</w:t>
      </w:r>
      <w:r w:rsidRPr="00827EC1">
        <w:rPr>
          <w:lang w:eastAsia="en-US"/>
        </w:rPr>
        <w:t xml:space="preserve"> </w:t>
      </w:r>
      <w:r w:rsidRPr="00827EC1">
        <w:rPr>
          <w:rFonts w:hint="eastAsia"/>
          <w:lang w:eastAsia="en-US"/>
        </w:rPr>
        <w:t>Комисията</w:t>
      </w:r>
      <w:r w:rsidRPr="00827EC1">
        <w:rPr>
          <w:lang w:eastAsia="en-US"/>
        </w:rPr>
        <w:t xml:space="preserve"> (2016/C 262/01) </w:t>
      </w:r>
      <w:r w:rsidRPr="00827EC1">
        <w:rPr>
          <w:rFonts w:hint="eastAsia"/>
          <w:lang w:eastAsia="en-US"/>
        </w:rPr>
        <w:t>относно</w:t>
      </w:r>
      <w:r w:rsidRPr="00827EC1">
        <w:rPr>
          <w:lang w:eastAsia="en-US"/>
        </w:rPr>
        <w:t xml:space="preserve"> </w:t>
      </w:r>
      <w:r w:rsidRPr="00827EC1">
        <w:rPr>
          <w:rFonts w:hint="eastAsia"/>
          <w:lang w:eastAsia="en-US"/>
        </w:rPr>
        <w:t>понятието</w:t>
      </w:r>
      <w:r w:rsidRPr="00827EC1">
        <w:rPr>
          <w:lang w:eastAsia="en-US"/>
        </w:rPr>
        <w:t xml:space="preserve"> </w:t>
      </w:r>
      <w:r w:rsidRPr="00827EC1">
        <w:rPr>
          <w:rFonts w:hint="eastAsia"/>
          <w:lang w:eastAsia="en-US"/>
        </w:rPr>
        <w:t>за</w:t>
      </w:r>
      <w:r w:rsidRPr="00827EC1">
        <w:rPr>
          <w:lang w:eastAsia="en-US"/>
        </w:rPr>
        <w:t xml:space="preserve"> </w:t>
      </w:r>
      <w:r w:rsidRPr="00827EC1">
        <w:rPr>
          <w:rFonts w:hint="eastAsia"/>
          <w:lang w:eastAsia="en-US"/>
        </w:rPr>
        <w:t>държавна</w:t>
      </w:r>
      <w:r w:rsidRPr="00827EC1">
        <w:rPr>
          <w:lang w:eastAsia="en-US"/>
        </w:rPr>
        <w:t xml:space="preserve"> </w:t>
      </w:r>
      <w:r w:rsidRPr="00827EC1">
        <w:rPr>
          <w:rFonts w:hint="eastAsia"/>
          <w:lang w:eastAsia="en-US"/>
        </w:rPr>
        <w:t>помощ</w:t>
      </w:r>
      <w:r w:rsidRPr="00827EC1">
        <w:rPr>
          <w:lang w:eastAsia="en-US"/>
        </w:rPr>
        <w:t xml:space="preserve">, </w:t>
      </w:r>
      <w:r w:rsidRPr="00827EC1">
        <w:rPr>
          <w:rFonts w:hint="eastAsia"/>
          <w:lang w:eastAsia="en-US"/>
        </w:rPr>
        <w:t>посочено</w:t>
      </w:r>
      <w:r w:rsidRPr="00827EC1">
        <w:rPr>
          <w:lang w:eastAsia="en-US"/>
        </w:rPr>
        <w:t xml:space="preserve"> </w:t>
      </w:r>
      <w:r w:rsidRPr="00827EC1">
        <w:rPr>
          <w:rFonts w:hint="eastAsia"/>
          <w:lang w:eastAsia="en-US"/>
        </w:rPr>
        <w:t>в</w:t>
      </w:r>
      <w:r w:rsidRPr="00827EC1">
        <w:rPr>
          <w:lang w:eastAsia="en-US"/>
        </w:rPr>
        <w:t xml:space="preserve"> </w:t>
      </w:r>
      <w:r w:rsidRPr="00827EC1">
        <w:rPr>
          <w:rFonts w:hint="eastAsia"/>
          <w:lang w:eastAsia="en-US"/>
        </w:rPr>
        <w:t>член</w:t>
      </w:r>
      <w:r w:rsidRPr="00827EC1">
        <w:rPr>
          <w:lang w:eastAsia="en-US"/>
        </w:rPr>
        <w:t xml:space="preserve"> 107, </w:t>
      </w:r>
      <w:r w:rsidRPr="00827EC1">
        <w:rPr>
          <w:rFonts w:hint="eastAsia"/>
          <w:lang w:eastAsia="en-US"/>
        </w:rPr>
        <w:t>параграф</w:t>
      </w:r>
      <w:r w:rsidRPr="00827EC1">
        <w:rPr>
          <w:lang w:eastAsia="en-US"/>
        </w:rPr>
        <w:t xml:space="preserve"> 1 </w:t>
      </w:r>
      <w:r w:rsidRPr="00827EC1">
        <w:rPr>
          <w:rFonts w:hint="eastAsia"/>
          <w:lang w:eastAsia="en-US"/>
        </w:rPr>
        <w:t>от</w:t>
      </w:r>
      <w:r w:rsidRPr="00827EC1">
        <w:rPr>
          <w:lang w:eastAsia="en-US"/>
        </w:rPr>
        <w:t xml:space="preserve"> </w:t>
      </w:r>
      <w:r w:rsidRPr="00827EC1">
        <w:rPr>
          <w:rFonts w:hint="eastAsia"/>
          <w:lang w:eastAsia="en-US"/>
        </w:rPr>
        <w:t>Договора</w:t>
      </w:r>
      <w:r w:rsidRPr="00827EC1">
        <w:rPr>
          <w:lang w:eastAsia="en-US"/>
        </w:rPr>
        <w:t xml:space="preserve"> </w:t>
      </w:r>
      <w:r w:rsidRPr="00827EC1">
        <w:rPr>
          <w:rFonts w:hint="eastAsia"/>
          <w:lang w:eastAsia="en-US"/>
        </w:rPr>
        <w:t>за</w:t>
      </w:r>
      <w:r w:rsidRPr="00827EC1">
        <w:rPr>
          <w:lang w:eastAsia="en-US"/>
        </w:rPr>
        <w:t xml:space="preserve"> </w:t>
      </w:r>
      <w:r w:rsidRPr="00827EC1">
        <w:rPr>
          <w:rFonts w:hint="eastAsia"/>
          <w:lang w:eastAsia="en-US"/>
        </w:rPr>
        <w:t>функционирането</w:t>
      </w:r>
      <w:r w:rsidRPr="00827EC1">
        <w:rPr>
          <w:lang w:eastAsia="en-US"/>
        </w:rPr>
        <w:t xml:space="preserve"> </w:t>
      </w:r>
      <w:r w:rsidRPr="00827EC1">
        <w:rPr>
          <w:rFonts w:hint="eastAsia"/>
          <w:lang w:eastAsia="en-US"/>
        </w:rPr>
        <w:t>на</w:t>
      </w:r>
      <w:r w:rsidRPr="00827EC1">
        <w:rPr>
          <w:lang w:eastAsia="en-US"/>
        </w:rPr>
        <w:t xml:space="preserve"> </w:t>
      </w:r>
      <w:r w:rsidRPr="00827EC1">
        <w:rPr>
          <w:rFonts w:hint="eastAsia"/>
          <w:lang w:eastAsia="en-US"/>
        </w:rPr>
        <w:t>Европейския</w:t>
      </w:r>
      <w:r w:rsidRPr="00827EC1">
        <w:rPr>
          <w:lang w:eastAsia="en-US"/>
        </w:rPr>
        <w:t xml:space="preserve"> </w:t>
      </w:r>
      <w:r w:rsidRPr="00827EC1">
        <w:rPr>
          <w:rFonts w:hint="eastAsia"/>
          <w:lang w:eastAsia="en-US"/>
        </w:rPr>
        <w:t>съюз</w:t>
      </w:r>
      <w:r w:rsidRPr="00827EC1">
        <w:rPr>
          <w:lang w:eastAsia="en-US"/>
        </w:rPr>
        <w:t xml:space="preserve"> (</w:t>
      </w:r>
      <w:r w:rsidRPr="00827EC1">
        <w:rPr>
          <w:rFonts w:hint="eastAsia"/>
          <w:lang w:eastAsia="en-US"/>
        </w:rPr>
        <w:t>Известието</w:t>
      </w:r>
      <w:r w:rsidRPr="00827EC1">
        <w:rPr>
          <w:lang w:eastAsia="en-US"/>
        </w:rPr>
        <w:t>)</w:t>
      </w:r>
      <w:r w:rsidRPr="00F21DE2">
        <w:rPr>
          <w:vertAlign w:val="superscript"/>
        </w:rPr>
        <w:footnoteReference w:id="11"/>
      </w:r>
    </w:p>
    <w:p w14:paraId="3896C29B" w14:textId="77777777" w:rsidR="00217C6B" w:rsidRPr="001B0EA3" w:rsidRDefault="00217C6B" w:rsidP="00F21DE2">
      <w:pPr>
        <w:rPr>
          <w:lang w:eastAsia="en-US"/>
        </w:rPr>
      </w:pPr>
    </w:p>
    <w:p w14:paraId="0AB484B6" w14:textId="77777777" w:rsidR="00C143A5" w:rsidRPr="001B0EA3" w:rsidRDefault="00C143A5" w:rsidP="00F21DE2">
      <w:pPr>
        <w:rPr>
          <w:lang w:eastAsia="en-US"/>
        </w:rPr>
      </w:pPr>
      <w:r w:rsidRPr="001B0EA3">
        <w:rPr>
          <w:lang w:eastAsia="en-US"/>
        </w:rPr>
        <w:t xml:space="preserve">При разработването на процедурите по отношение на спазване на правилата за ДП </w:t>
      </w:r>
      <w:r w:rsidR="00217C6B">
        <w:rPr>
          <w:lang w:eastAsia="en-US"/>
        </w:rPr>
        <w:t>са взети</w:t>
      </w:r>
      <w:r w:rsidRPr="001B0EA3">
        <w:rPr>
          <w:lang w:eastAsia="en-US"/>
        </w:rPr>
        <w:t xml:space="preserve"> предвид  </w:t>
      </w:r>
      <w:r w:rsidR="00217C6B" w:rsidRPr="00217C6B">
        <w:rPr>
          <w:lang w:eastAsia="en-US"/>
        </w:rPr>
        <w:t>разпоредбите на ЗДП и ППЗДП</w:t>
      </w:r>
      <w:r w:rsidR="00760F33" w:rsidRPr="001B0EA3">
        <w:rPr>
          <w:lang w:eastAsia="en-US"/>
        </w:rPr>
        <w:t>, Известие на Комисията (2016/C 262/01) относно понятието за държавна помощ, посочено в член 107, параграф 1 от Договора за функционирането на Европейския съюз</w:t>
      </w:r>
      <w:r w:rsidR="00760F33" w:rsidRPr="001B0EA3">
        <w:rPr>
          <w:rFonts w:ascii="TimesNewRomanPSMT-Identity-H" w:eastAsia="TimesNewRomanPSMT-Identity-H" w:cs="TimesNewRomanPSMT-Identity-H"/>
          <w:lang w:eastAsia="bg-BG"/>
        </w:rPr>
        <w:t xml:space="preserve"> </w:t>
      </w:r>
      <w:r w:rsidR="00760F33" w:rsidRPr="001B0EA3">
        <w:rPr>
          <w:lang w:eastAsia="en-US"/>
        </w:rPr>
        <w:t>(Известието)</w:t>
      </w:r>
      <w:r w:rsidR="00760F33" w:rsidRPr="001B0EA3">
        <w:rPr>
          <w:rStyle w:val="FootnoteReference"/>
          <w:szCs w:val="24"/>
          <w:lang w:eastAsia="en-US"/>
        </w:rPr>
        <w:footnoteReference w:id="12"/>
      </w:r>
      <w:r w:rsidR="00760F33" w:rsidRPr="001B0EA3">
        <w:rPr>
          <w:lang w:eastAsia="en-US"/>
        </w:rPr>
        <w:t xml:space="preserve"> </w:t>
      </w:r>
      <w:r w:rsidRPr="001B0EA3">
        <w:rPr>
          <w:lang w:eastAsia="en-US"/>
        </w:rPr>
        <w:t xml:space="preserve">и актуализираните версии на документите „Аналитични матрици“ </w:t>
      </w:r>
      <w:r w:rsidRPr="001B0EA3">
        <w:rPr>
          <w:rFonts w:ascii="Cambria" w:hAnsi="Cambria"/>
          <w:sz w:val="22"/>
          <w:szCs w:val="22"/>
          <w:vertAlign w:val="superscript"/>
          <w:lang w:eastAsia="bg-BG"/>
        </w:rPr>
        <w:footnoteReference w:id="13"/>
      </w:r>
      <w:r w:rsidRPr="001B0EA3">
        <w:rPr>
          <w:lang w:eastAsia="en-US"/>
        </w:rPr>
        <w:t>, които ЕК е разработила към м. септември 2015</w:t>
      </w:r>
      <w:r w:rsidR="00760F33" w:rsidRPr="001B0EA3">
        <w:rPr>
          <w:lang w:eastAsia="en-US"/>
        </w:rPr>
        <w:t xml:space="preserve"> г.</w:t>
      </w:r>
      <w:r w:rsidRPr="001B0EA3">
        <w:rPr>
          <w:lang w:eastAsia="en-US"/>
        </w:rPr>
        <w:t xml:space="preserve"> (</w:t>
      </w:r>
      <w:hyperlink r:id="rId43" w:tooltip="State Aid Grids 2015 en" w:history="1">
        <w:r w:rsidR="0081741C" w:rsidRPr="00251D03">
          <w:rPr>
            <w:rStyle w:val="Hyperlink"/>
            <w:i/>
            <w:lang w:eastAsia="en-US"/>
          </w:rPr>
          <w:t>Приложение № 2.05</w:t>
        </w:r>
      </w:hyperlink>
      <w:r w:rsidRPr="001B0EA3">
        <w:rPr>
          <w:i/>
          <w:lang w:eastAsia="en-US"/>
        </w:rPr>
        <w:t xml:space="preserve"> - на английски език)</w:t>
      </w:r>
      <w:r w:rsidR="00760F33" w:rsidRPr="001B0EA3">
        <w:rPr>
          <w:i/>
          <w:lang w:eastAsia="en-US"/>
        </w:rPr>
        <w:t xml:space="preserve">, </w:t>
      </w:r>
      <w:r w:rsidR="00760F33" w:rsidRPr="001B0EA3">
        <w:rPr>
          <w:lang w:eastAsia="en-US"/>
        </w:rPr>
        <w:t>както и актуализираните през 2016 г. „Аналитични матрици за инфраструктура“</w:t>
      </w:r>
      <w:r w:rsidR="00760F33" w:rsidRPr="001B0EA3">
        <w:rPr>
          <w:vertAlign w:val="superscript"/>
          <w:lang w:eastAsia="en-US"/>
        </w:rPr>
        <w:t>11</w:t>
      </w:r>
      <w:r w:rsidR="00760F33" w:rsidRPr="001B0EA3">
        <w:rPr>
          <w:lang w:eastAsia="en-US"/>
        </w:rPr>
        <w:t xml:space="preserve"> (</w:t>
      </w:r>
      <w:hyperlink r:id="rId44" w:tooltip="State Aid Analytical Grids for infrastructure update 2016 en" w:history="1">
        <w:r w:rsidR="0081741C" w:rsidRPr="00251D03">
          <w:rPr>
            <w:rStyle w:val="Hyperlink"/>
            <w:i/>
            <w:lang w:eastAsia="en-US"/>
          </w:rPr>
          <w:t>Приложение № 2.06</w:t>
        </w:r>
      </w:hyperlink>
      <w:r w:rsidR="00760F33" w:rsidRPr="001B0EA3">
        <w:rPr>
          <w:i/>
          <w:lang w:eastAsia="en-US"/>
        </w:rPr>
        <w:t xml:space="preserve"> - на английски език)</w:t>
      </w:r>
      <w:r w:rsidRPr="001B0EA3">
        <w:rPr>
          <w:lang w:eastAsia="en-US"/>
        </w:rPr>
        <w:t xml:space="preserve">.    </w:t>
      </w:r>
    </w:p>
    <w:p w14:paraId="4A53E9C5" w14:textId="77777777" w:rsidR="00C143A5" w:rsidRPr="001B0EA3" w:rsidRDefault="00C143A5" w:rsidP="00F21DE2">
      <w:pPr>
        <w:rPr>
          <w:lang w:eastAsia="en-US"/>
        </w:rPr>
      </w:pPr>
      <w:r w:rsidRPr="001B0EA3">
        <w:rPr>
          <w:lang w:eastAsia="en-US"/>
        </w:rPr>
        <w:t xml:space="preserve">Аналитичните матрици </w:t>
      </w:r>
      <w:r w:rsidR="00604F78" w:rsidRPr="001B0EA3">
        <w:rPr>
          <w:lang w:eastAsia="en-US"/>
        </w:rPr>
        <w:t xml:space="preserve">от 2015 г. </w:t>
      </w:r>
      <w:r w:rsidRPr="001B0EA3">
        <w:rPr>
          <w:lang w:eastAsia="en-US"/>
        </w:rPr>
        <w:t>съдържат 10 части: 1 въвеждащ документ; 5 актуализирани, спрямо версията от 2012 г., секторни матрици , които са адаптирани към модернизираното законодателство и 4 нови</w:t>
      </w:r>
      <w:r w:rsidRPr="001B0EA3">
        <w:t xml:space="preserve"> </w:t>
      </w:r>
      <w:r w:rsidRPr="001B0EA3">
        <w:rPr>
          <w:lang w:eastAsia="en-US"/>
        </w:rPr>
        <w:t>матрици ).</w:t>
      </w:r>
    </w:p>
    <w:p w14:paraId="103C187D" w14:textId="77777777" w:rsidR="00C143A5" w:rsidRPr="001B0EA3" w:rsidRDefault="00C143A5" w:rsidP="00F21DE2">
      <w:pPr>
        <w:rPr>
          <w:lang w:eastAsia="en-US"/>
        </w:rPr>
      </w:pPr>
      <w:r w:rsidRPr="001B0EA3">
        <w:rPr>
          <w:lang w:eastAsia="en-US"/>
        </w:rPr>
        <w:lastRenderedPageBreak/>
        <w:t xml:space="preserve">Тези документи са предназначени за Управляващите органи (УО) на Оперативните програми (ОП), но са валидни за всички видове инфраструктурни проекти, независимо от източника им на финансиране – от УО или изцяло от национално финансиране. </w:t>
      </w:r>
    </w:p>
    <w:p w14:paraId="6C8438CB" w14:textId="77777777" w:rsidR="00C143A5" w:rsidRPr="001B0EA3" w:rsidRDefault="00C143A5" w:rsidP="00F21DE2">
      <w:pPr>
        <w:rPr>
          <w:lang w:eastAsia="en-US"/>
        </w:rPr>
      </w:pPr>
      <w:r w:rsidRPr="001B0EA3">
        <w:rPr>
          <w:lang w:eastAsia="en-US"/>
        </w:rPr>
        <w:t>„Аналитичните матрици“ имат за цел да подпомага УО на ОП, за да преценят дали инфраструктурен проект ще бъде или не държавна помощ (ДП), както и приложимото законодателство, в случай, че е ДП.</w:t>
      </w:r>
    </w:p>
    <w:p w14:paraId="2783A53B" w14:textId="77777777" w:rsidR="00C143A5" w:rsidRPr="001B0EA3" w:rsidRDefault="00C143A5" w:rsidP="00F21DE2">
      <w:pPr>
        <w:rPr>
          <w:lang w:eastAsia="en-US"/>
        </w:rPr>
      </w:pPr>
      <w:r w:rsidRPr="001B0EA3">
        <w:rPr>
          <w:lang w:eastAsia="en-US"/>
        </w:rPr>
        <w:t xml:space="preserve">По същество, аналитичните матрици </w:t>
      </w:r>
      <w:r w:rsidR="00A70663">
        <w:rPr>
          <w:lang w:eastAsia="en-US"/>
        </w:rPr>
        <w:t xml:space="preserve">от 2015 г. </w:t>
      </w:r>
      <w:r w:rsidRPr="001B0EA3">
        <w:rPr>
          <w:lang w:eastAsia="en-US"/>
        </w:rPr>
        <w:t>запазват структурата на съществуващите</w:t>
      </w:r>
      <w:r w:rsidR="00A70663">
        <w:rPr>
          <w:lang w:eastAsia="en-US"/>
        </w:rPr>
        <w:t>:</w:t>
      </w:r>
      <w:r w:rsidRPr="001B0EA3">
        <w:rPr>
          <w:lang w:eastAsia="en-US"/>
        </w:rPr>
        <w:t xml:space="preserve"> </w:t>
      </w:r>
    </w:p>
    <w:p w14:paraId="0066880D" w14:textId="77777777" w:rsidR="00C143A5" w:rsidRPr="001B0EA3" w:rsidRDefault="00C143A5" w:rsidP="00F21DE2">
      <w:pPr>
        <w:pStyle w:val="ListParagraph"/>
        <w:numPr>
          <w:ilvl w:val="0"/>
          <w:numId w:val="423"/>
        </w:numPr>
        <w:tabs>
          <w:tab w:val="left" w:pos="1134"/>
        </w:tabs>
        <w:ind w:left="0" w:firstLine="851"/>
        <w:rPr>
          <w:lang w:eastAsia="en-US"/>
        </w:rPr>
      </w:pPr>
      <w:r w:rsidRPr="001B0EA3">
        <w:rPr>
          <w:lang w:eastAsia="en-US"/>
        </w:rPr>
        <w:t>обща част</w:t>
      </w:r>
      <w:r w:rsidR="004B58D4">
        <w:rPr>
          <w:lang w:eastAsia="en-US"/>
        </w:rPr>
        <w:t>;</w:t>
      </w:r>
    </w:p>
    <w:p w14:paraId="787E165D" w14:textId="77777777" w:rsidR="00C143A5" w:rsidRPr="001B0EA3" w:rsidRDefault="00C143A5" w:rsidP="00F21DE2">
      <w:pPr>
        <w:pStyle w:val="ListParagraph"/>
        <w:numPr>
          <w:ilvl w:val="0"/>
          <w:numId w:val="423"/>
        </w:numPr>
        <w:tabs>
          <w:tab w:val="left" w:pos="1134"/>
        </w:tabs>
        <w:ind w:left="0" w:firstLine="851"/>
        <w:rPr>
          <w:lang w:eastAsia="en-US"/>
        </w:rPr>
      </w:pPr>
      <w:r w:rsidRPr="001B0EA3">
        <w:rPr>
          <w:lang w:eastAsia="en-US"/>
        </w:rPr>
        <w:t>условия, при които се изключва приложимостта на режима по ДП</w:t>
      </w:r>
      <w:r w:rsidR="004B58D4">
        <w:rPr>
          <w:lang w:eastAsia="en-US"/>
        </w:rPr>
        <w:t xml:space="preserve"> – „не помощ“;</w:t>
      </w:r>
    </w:p>
    <w:p w14:paraId="182CDE1B" w14:textId="77777777" w:rsidR="00C143A5" w:rsidRPr="001B0EA3" w:rsidRDefault="00C143A5" w:rsidP="00F21DE2">
      <w:pPr>
        <w:pStyle w:val="ListParagraph"/>
        <w:numPr>
          <w:ilvl w:val="0"/>
          <w:numId w:val="423"/>
        </w:numPr>
        <w:tabs>
          <w:tab w:val="left" w:pos="1134"/>
        </w:tabs>
        <w:ind w:left="0" w:firstLine="851"/>
        <w:rPr>
          <w:lang w:eastAsia="en-US"/>
        </w:rPr>
      </w:pPr>
      <w:r w:rsidRPr="001B0EA3">
        <w:rPr>
          <w:lang w:eastAsia="en-US"/>
        </w:rPr>
        <w:t>приложимост на режима по ДП и възможните подходи – групово освобождаване или нотификация, като се изброяват нормативни актове за всеки случай.</w:t>
      </w:r>
    </w:p>
    <w:p w14:paraId="0C517E77" w14:textId="77777777" w:rsidR="00C143A5" w:rsidRPr="001B0EA3" w:rsidRDefault="00C143A5" w:rsidP="00F21DE2">
      <w:pPr>
        <w:rPr>
          <w:lang w:eastAsia="en-US"/>
        </w:rPr>
      </w:pPr>
      <w:r w:rsidRPr="001B0EA3">
        <w:rPr>
          <w:lang w:eastAsia="en-US"/>
        </w:rPr>
        <w:t xml:space="preserve">Новост </w:t>
      </w:r>
      <w:r w:rsidRPr="001B0EA3">
        <w:rPr>
          <w:b/>
          <w:lang w:eastAsia="en-US"/>
        </w:rPr>
        <w:t>са две нови глави</w:t>
      </w:r>
      <w:r w:rsidRPr="001B0EA3">
        <w:rPr>
          <w:lang w:eastAsia="en-US"/>
        </w:rPr>
        <w:t>, които фигурират в някои от аналитични матрици:</w:t>
      </w:r>
    </w:p>
    <w:p w14:paraId="2D6D47BD" w14:textId="77777777" w:rsidR="00C143A5" w:rsidRPr="00F21DE2" w:rsidRDefault="00C143A5" w:rsidP="00F21DE2">
      <w:pPr>
        <w:pStyle w:val="ListParagraph"/>
        <w:numPr>
          <w:ilvl w:val="0"/>
          <w:numId w:val="423"/>
        </w:numPr>
        <w:tabs>
          <w:tab w:val="left" w:pos="1134"/>
        </w:tabs>
        <w:ind w:left="0" w:firstLine="851"/>
        <w:rPr>
          <w:lang w:eastAsia="en-US"/>
        </w:rPr>
      </w:pPr>
      <w:r w:rsidRPr="00F21DE2">
        <w:rPr>
          <w:lang w:eastAsia="en-US"/>
        </w:rPr>
        <w:t xml:space="preserve">посочване на критерии, липсата на изпълнението на които ще води до отрицателно решение на ЕК </w:t>
      </w:r>
    </w:p>
    <w:p w14:paraId="5465F374" w14:textId="77777777" w:rsidR="00C143A5" w:rsidRPr="00F21DE2" w:rsidRDefault="00C143A5" w:rsidP="00F21DE2">
      <w:pPr>
        <w:pStyle w:val="ListParagraph"/>
        <w:numPr>
          <w:ilvl w:val="0"/>
          <w:numId w:val="423"/>
        </w:numPr>
        <w:tabs>
          <w:tab w:val="left" w:pos="1134"/>
        </w:tabs>
        <w:ind w:left="0" w:firstLine="851"/>
        <w:rPr>
          <w:lang w:eastAsia="en-US"/>
        </w:rPr>
      </w:pPr>
      <w:r w:rsidRPr="00F21DE2">
        <w:rPr>
          <w:lang w:eastAsia="en-US"/>
        </w:rPr>
        <w:t>списък с решения на ЕК по сектори.</w:t>
      </w:r>
    </w:p>
    <w:p w14:paraId="66398227" w14:textId="77777777" w:rsidR="00604F78" w:rsidRPr="001B0EA3" w:rsidRDefault="00604F78" w:rsidP="00604F78">
      <w:pPr>
        <w:rPr>
          <w:szCs w:val="24"/>
          <w:lang w:eastAsia="en-US"/>
        </w:rPr>
      </w:pPr>
    </w:p>
    <w:p w14:paraId="47430A47" w14:textId="77777777" w:rsidR="00604F78" w:rsidRDefault="00604F78" w:rsidP="00F21DE2">
      <w:pPr>
        <w:rPr>
          <w:i/>
          <w:lang w:eastAsia="en-US"/>
        </w:rPr>
      </w:pPr>
      <w:r w:rsidRPr="001B0EA3">
        <w:rPr>
          <w:lang w:eastAsia="en-US"/>
        </w:rPr>
        <w:t>Актуализираните през 2016 г. „Аналитични матрици за инфраструктура“ съдържат общо 6 части, от които един въвеждащ документ,  една актуализирана спрямо версията от 2012 г. (</w:t>
      </w:r>
      <w:r w:rsidRPr="001B0EA3">
        <w:rPr>
          <w:i/>
          <w:lang w:eastAsia="en-US"/>
        </w:rPr>
        <w:t xml:space="preserve">водна </w:t>
      </w:r>
      <w:r w:rsidR="004D1994" w:rsidRPr="001B0EA3">
        <w:rPr>
          <w:i/>
          <w:lang w:eastAsia="en-US"/>
        </w:rPr>
        <w:t>инфраструктура</w:t>
      </w:r>
      <w:r w:rsidRPr="001B0EA3">
        <w:rPr>
          <w:lang w:eastAsia="en-US"/>
        </w:rPr>
        <w:t xml:space="preserve">), три актуализирани спрямо версията от 2015 г. </w:t>
      </w:r>
      <w:r w:rsidRPr="001B0EA3">
        <w:rPr>
          <w:i/>
          <w:lang w:eastAsia="en-US"/>
        </w:rPr>
        <w:t xml:space="preserve">(за инфраструктура за жп, метро и вътрешен транспорт, за </w:t>
      </w:r>
      <w:r w:rsidR="004D1994" w:rsidRPr="001B0EA3">
        <w:rPr>
          <w:i/>
          <w:lang w:eastAsia="en-US"/>
        </w:rPr>
        <w:t>пристанищна</w:t>
      </w:r>
      <w:r w:rsidRPr="001B0EA3">
        <w:rPr>
          <w:i/>
          <w:lang w:eastAsia="en-US"/>
        </w:rPr>
        <w:t xml:space="preserve"> </w:t>
      </w:r>
      <w:r w:rsidR="004D1994" w:rsidRPr="001B0EA3">
        <w:rPr>
          <w:i/>
          <w:lang w:eastAsia="en-US"/>
        </w:rPr>
        <w:t>инфраструктура</w:t>
      </w:r>
      <w:r w:rsidRPr="001B0EA3">
        <w:rPr>
          <w:i/>
          <w:lang w:eastAsia="en-US"/>
        </w:rPr>
        <w:t xml:space="preserve"> и инфраструктура за </w:t>
      </w:r>
      <w:r w:rsidR="004D1994" w:rsidRPr="001B0EA3">
        <w:rPr>
          <w:i/>
          <w:lang w:eastAsia="en-US"/>
        </w:rPr>
        <w:t>култура</w:t>
      </w:r>
      <w:r w:rsidRPr="001B0EA3">
        <w:rPr>
          <w:i/>
          <w:lang w:eastAsia="en-US"/>
        </w:rPr>
        <w:t xml:space="preserve">, </w:t>
      </w:r>
      <w:r w:rsidR="004D1994" w:rsidRPr="001B0EA3">
        <w:rPr>
          <w:i/>
          <w:lang w:eastAsia="en-US"/>
        </w:rPr>
        <w:t>наследство</w:t>
      </w:r>
      <w:r w:rsidRPr="001B0EA3">
        <w:rPr>
          <w:i/>
          <w:lang w:eastAsia="en-US"/>
        </w:rPr>
        <w:t xml:space="preserve"> и съхраняване на природата)</w:t>
      </w:r>
      <w:r w:rsidRPr="001B0EA3">
        <w:rPr>
          <w:lang w:eastAsia="en-US"/>
        </w:rPr>
        <w:t xml:space="preserve"> и  една нова </w:t>
      </w:r>
      <w:r w:rsidRPr="001B0EA3">
        <w:rPr>
          <w:i/>
          <w:lang w:eastAsia="en-US"/>
        </w:rPr>
        <w:t xml:space="preserve">(инфраструктура за пътища, мостове, тунели и вътрешни водни </w:t>
      </w:r>
      <w:r w:rsidR="004D1994" w:rsidRPr="001B0EA3">
        <w:rPr>
          <w:i/>
          <w:lang w:eastAsia="en-US"/>
        </w:rPr>
        <w:t>пътища</w:t>
      </w:r>
      <w:r w:rsidRPr="001B0EA3">
        <w:rPr>
          <w:i/>
          <w:lang w:eastAsia="en-US"/>
        </w:rPr>
        <w:t>).</w:t>
      </w:r>
    </w:p>
    <w:p w14:paraId="71EE2626" w14:textId="77777777" w:rsidR="00F21DE2" w:rsidRPr="001B0EA3" w:rsidRDefault="00F21DE2" w:rsidP="00F21DE2">
      <w:pPr>
        <w:rPr>
          <w:i/>
          <w:lang w:eastAsia="en-US"/>
        </w:rPr>
      </w:pPr>
    </w:p>
    <w:p w14:paraId="583A7045" w14:textId="77777777" w:rsidR="004B58D4" w:rsidRPr="001E404B" w:rsidRDefault="004B58D4" w:rsidP="001E404B">
      <w:pPr>
        <w:pStyle w:val="Style2"/>
        <w:ind w:left="788" w:hanging="431"/>
        <w:rPr>
          <w:b w:val="0"/>
          <w:lang w:eastAsia="bg-BG"/>
        </w:rPr>
      </w:pPr>
      <w:bookmarkStart w:id="323" w:name="_Toc532552440"/>
      <w:bookmarkStart w:id="324" w:name="_Toc140150177"/>
      <w:r w:rsidRPr="00FD7322">
        <w:rPr>
          <w:lang w:eastAsia="bg-BG"/>
        </w:rPr>
        <w:t>Основни понятия</w:t>
      </w:r>
      <w:bookmarkEnd w:id="323"/>
      <w:bookmarkEnd w:id="324"/>
    </w:p>
    <w:p w14:paraId="54F1F9A1" w14:textId="77777777" w:rsidR="00604F78" w:rsidRPr="00F21DE2" w:rsidRDefault="00604F78" w:rsidP="00F21DE2">
      <w:pPr>
        <w:rPr>
          <w:b/>
          <w:lang w:eastAsia="en-US"/>
        </w:rPr>
      </w:pPr>
      <w:r w:rsidRPr="00F21DE2">
        <w:rPr>
          <w:b/>
          <w:lang w:eastAsia="en-US"/>
        </w:rPr>
        <w:t xml:space="preserve">Съгласно т. 6 от Известието правилата за държавни помощи се прилагат само </w:t>
      </w:r>
      <w:r w:rsidR="004D1994" w:rsidRPr="00F21DE2">
        <w:rPr>
          <w:b/>
          <w:lang w:eastAsia="en-US"/>
        </w:rPr>
        <w:t>когато</w:t>
      </w:r>
      <w:r w:rsidRPr="00F21DE2">
        <w:rPr>
          <w:b/>
          <w:lang w:eastAsia="en-US"/>
        </w:rPr>
        <w:t xml:space="preserve"> бенефициентът на мярката е предприятие.</w:t>
      </w:r>
    </w:p>
    <w:p w14:paraId="62028B46" w14:textId="77777777" w:rsidR="00604F78" w:rsidRPr="00F21DE2" w:rsidRDefault="00604F78" w:rsidP="00F21DE2">
      <w:pPr>
        <w:rPr>
          <w:b/>
          <w:lang w:eastAsia="en-US"/>
        </w:rPr>
      </w:pPr>
    </w:p>
    <w:p w14:paraId="16A5EAF4" w14:textId="77777777" w:rsidR="00D603F5" w:rsidRPr="00F21DE2" w:rsidRDefault="00D603F5" w:rsidP="00F21DE2">
      <w:pPr>
        <w:rPr>
          <w:b/>
          <w:lang w:eastAsia="en-US"/>
        </w:rPr>
      </w:pPr>
      <w:r w:rsidRPr="00F21DE2">
        <w:rPr>
          <w:b/>
          <w:lang w:eastAsia="en-US"/>
        </w:rPr>
        <w:t>Определения за целите на настоящите процедури:</w:t>
      </w:r>
    </w:p>
    <w:p w14:paraId="7633430B" w14:textId="77777777" w:rsidR="00D603F5" w:rsidRPr="00F21DE2" w:rsidRDefault="00D603F5" w:rsidP="00F21DE2">
      <w:pPr>
        <w:pStyle w:val="ListParagraph"/>
        <w:numPr>
          <w:ilvl w:val="0"/>
          <w:numId w:val="424"/>
        </w:numPr>
        <w:tabs>
          <w:tab w:val="left" w:pos="1134"/>
        </w:tabs>
        <w:ind w:left="0" w:firstLine="851"/>
        <w:rPr>
          <w:b/>
          <w:lang w:eastAsia="en-US"/>
        </w:rPr>
      </w:pPr>
      <w:r w:rsidRPr="00F21DE2">
        <w:rPr>
          <w:b/>
          <w:lang w:eastAsia="en-US"/>
        </w:rPr>
        <w:t>мярка за помощ</w:t>
      </w:r>
      <w:r w:rsidRPr="001B0EA3">
        <w:rPr>
          <w:lang w:eastAsia="en-US"/>
        </w:rPr>
        <w:t xml:space="preserve"> следва да се разбира всяка възможност, операция, процедура за подбор на проектни предложения, покана, проектно предложение без значение дали се реализират под формата на схема или индивидуална помощ, чрез които се планира </w:t>
      </w:r>
      <w:r w:rsidRPr="00F21DE2">
        <w:rPr>
          <w:b/>
          <w:lang w:eastAsia="en-US"/>
        </w:rPr>
        <w:t>подпомагане</w:t>
      </w:r>
      <w:r w:rsidRPr="001B0EA3">
        <w:rPr>
          <w:lang w:eastAsia="en-US"/>
        </w:rPr>
        <w:t xml:space="preserve"> на конкретен субект</w:t>
      </w:r>
      <w:r w:rsidRPr="00F21DE2">
        <w:rPr>
          <w:b/>
          <w:lang w:eastAsia="en-US"/>
        </w:rPr>
        <w:t xml:space="preserve"> - бенефициент</w:t>
      </w:r>
      <w:r w:rsidRPr="001E404B">
        <w:rPr>
          <w:lang w:eastAsia="en-US"/>
        </w:rPr>
        <w:t>.</w:t>
      </w:r>
      <w:r w:rsidR="004B58D4" w:rsidRPr="001E404B">
        <w:rPr>
          <w:lang w:eastAsia="en-US"/>
        </w:rPr>
        <w:t xml:space="preserve"> Съгласно определението по т.16 от §1. от Допълнителната разпоредба на ЗДП „мярка за помощ“ е всяка разработена или предоставена в съответствие с правото на Европейския съюз и българското законодателство държавна помощ или минимална помощ, независимо от нейния характер и дали се предоставя под формата на схема за помощ или като индивидуална помощ.</w:t>
      </w:r>
    </w:p>
    <w:p w14:paraId="279FE3E0" w14:textId="77777777" w:rsidR="00D603F5" w:rsidRPr="00F21DE2" w:rsidRDefault="00D603F5" w:rsidP="00F21DE2">
      <w:pPr>
        <w:pStyle w:val="ListParagraph"/>
        <w:numPr>
          <w:ilvl w:val="0"/>
          <w:numId w:val="424"/>
        </w:numPr>
        <w:tabs>
          <w:tab w:val="left" w:pos="1134"/>
        </w:tabs>
        <w:ind w:left="0" w:firstLine="851"/>
        <w:rPr>
          <w:szCs w:val="22"/>
          <w:lang w:eastAsia="en-US"/>
        </w:rPr>
      </w:pPr>
      <w:r w:rsidRPr="00F21DE2">
        <w:rPr>
          <w:b/>
          <w:lang w:eastAsia="en-US"/>
        </w:rPr>
        <w:t xml:space="preserve">Бенефициент на помощ – </w:t>
      </w:r>
      <w:r w:rsidRPr="001B0EA3">
        <w:rPr>
          <w:lang w:eastAsia="en-US"/>
        </w:rPr>
        <w:t xml:space="preserve">получателя на помощта от </w:t>
      </w:r>
      <w:r w:rsidRPr="00F21DE2">
        <w:rPr>
          <w:b/>
          <w:lang w:eastAsia="en-US"/>
        </w:rPr>
        <w:t>мярката</w:t>
      </w:r>
      <w:r w:rsidRPr="001B0EA3">
        <w:rPr>
          <w:lang w:eastAsia="en-US"/>
        </w:rPr>
        <w:t>, който по смисъла на чл. 107, параграф 1 от ДФЕС отговаря на определението за</w:t>
      </w:r>
      <w:r w:rsidRPr="00F21DE2">
        <w:rPr>
          <w:b/>
          <w:lang w:eastAsia="en-US"/>
        </w:rPr>
        <w:t xml:space="preserve"> предприятие (фиг. 2.1)</w:t>
      </w:r>
      <w:r w:rsidR="004B58D4" w:rsidRPr="00F21DE2">
        <w:rPr>
          <w:b/>
          <w:lang w:eastAsia="en-US"/>
        </w:rPr>
        <w:t xml:space="preserve">. </w:t>
      </w:r>
      <w:r w:rsidR="004B58D4" w:rsidRPr="001E404B">
        <w:rPr>
          <w:lang w:eastAsia="en-US"/>
        </w:rPr>
        <w:t>Определение за „получател на помощта“, както и особености на понятието са разписани в глава четвърта, чл. 20 на ЗДП;</w:t>
      </w:r>
    </w:p>
    <w:p w14:paraId="3BF5CAFD" w14:textId="77777777" w:rsidR="004C0F27" w:rsidRDefault="004C0F27" w:rsidP="00C635B6">
      <w:pPr>
        <w:tabs>
          <w:tab w:val="left" w:pos="1134"/>
        </w:tabs>
        <w:rPr>
          <w:szCs w:val="22"/>
          <w:lang w:eastAsia="en-US"/>
        </w:rPr>
      </w:pPr>
    </w:p>
    <w:p w14:paraId="5F7911BE" w14:textId="77777777" w:rsidR="00D132F7" w:rsidRDefault="00D132F7" w:rsidP="00C635B6">
      <w:pPr>
        <w:tabs>
          <w:tab w:val="left" w:pos="1134"/>
        </w:tabs>
        <w:rPr>
          <w:szCs w:val="22"/>
          <w:lang w:eastAsia="en-US"/>
        </w:rPr>
      </w:pPr>
    </w:p>
    <w:p w14:paraId="42AA8AF4" w14:textId="77777777" w:rsidR="00D132F7" w:rsidRDefault="00D132F7" w:rsidP="00C635B6">
      <w:pPr>
        <w:tabs>
          <w:tab w:val="left" w:pos="1134"/>
        </w:tabs>
        <w:rPr>
          <w:szCs w:val="22"/>
          <w:lang w:eastAsia="en-US"/>
        </w:rPr>
      </w:pPr>
    </w:p>
    <w:p w14:paraId="23A17FD2" w14:textId="77777777" w:rsidR="00D132F7" w:rsidRDefault="00D132F7" w:rsidP="00C635B6">
      <w:pPr>
        <w:tabs>
          <w:tab w:val="left" w:pos="1134"/>
        </w:tabs>
        <w:rPr>
          <w:szCs w:val="22"/>
          <w:lang w:eastAsia="en-US"/>
        </w:rPr>
      </w:pPr>
    </w:p>
    <w:p w14:paraId="05B15237" w14:textId="77777777" w:rsidR="00F21DE2" w:rsidRDefault="00F21DE2" w:rsidP="00C635B6">
      <w:pPr>
        <w:tabs>
          <w:tab w:val="left" w:pos="1134"/>
        </w:tabs>
        <w:rPr>
          <w:szCs w:val="22"/>
          <w:lang w:eastAsia="en-US"/>
        </w:rPr>
      </w:pPr>
    </w:p>
    <w:p w14:paraId="7EABC0EC" w14:textId="77777777" w:rsidR="00F21DE2" w:rsidRDefault="00F21DE2" w:rsidP="00C635B6">
      <w:pPr>
        <w:tabs>
          <w:tab w:val="left" w:pos="1134"/>
        </w:tabs>
        <w:rPr>
          <w:szCs w:val="22"/>
          <w:lang w:eastAsia="en-US"/>
        </w:rPr>
      </w:pPr>
    </w:p>
    <w:p w14:paraId="1E151FBD" w14:textId="77777777" w:rsidR="00F21DE2" w:rsidRDefault="00F21DE2" w:rsidP="00C635B6">
      <w:pPr>
        <w:tabs>
          <w:tab w:val="left" w:pos="1134"/>
        </w:tabs>
        <w:rPr>
          <w:szCs w:val="22"/>
          <w:lang w:eastAsia="en-US"/>
        </w:rPr>
      </w:pPr>
    </w:p>
    <w:p w14:paraId="2B6F4ED5" w14:textId="77777777" w:rsidR="00F21DE2" w:rsidRDefault="00F21DE2" w:rsidP="00C635B6">
      <w:pPr>
        <w:tabs>
          <w:tab w:val="left" w:pos="1134"/>
        </w:tabs>
        <w:rPr>
          <w:szCs w:val="22"/>
          <w:lang w:eastAsia="en-US"/>
        </w:rPr>
      </w:pPr>
    </w:p>
    <w:p w14:paraId="68300B8E" w14:textId="77777777" w:rsidR="00F21DE2" w:rsidRDefault="00F21DE2" w:rsidP="00C635B6">
      <w:pPr>
        <w:tabs>
          <w:tab w:val="left" w:pos="1134"/>
        </w:tabs>
        <w:rPr>
          <w:szCs w:val="22"/>
          <w:lang w:eastAsia="en-US"/>
        </w:rPr>
      </w:pPr>
    </w:p>
    <w:p w14:paraId="1638400C" w14:textId="77777777" w:rsidR="00D132F7" w:rsidRDefault="00D132F7" w:rsidP="00C635B6">
      <w:pPr>
        <w:tabs>
          <w:tab w:val="left" w:pos="1134"/>
        </w:tabs>
        <w:rPr>
          <w:szCs w:val="22"/>
          <w:lang w:eastAsia="en-US"/>
        </w:rPr>
      </w:pPr>
    </w:p>
    <w:p w14:paraId="06FDD0B3" w14:textId="77777777" w:rsidR="00D132F7" w:rsidRDefault="00D132F7" w:rsidP="00C635B6">
      <w:pPr>
        <w:tabs>
          <w:tab w:val="left" w:pos="1134"/>
        </w:tabs>
        <w:rPr>
          <w:szCs w:val="22"/>
          <w:lang w:eastAsia="en-US"/>
        </w:rPr>
      </w:pPr>
    </w:p>
    <w:p w14:paraId="523C0951" w14:textId="77777777" w:rsidR="00D132F7" w:rsidRPr="001B0EA3" w:rsidRDefault="00D132F7" w:rsidP="00C635B6">
      <w:pPr>
        <w:tabs>
          <w:tab w:val="left" w:pos="1134"/>
        </w:tabs>
        <w:rPr>
          <w:szCs w:val="22"/>
          <w:lang w:eastAsia="en-US"/>
        </w:rPr>
      </w:pPr>
    </w:p>
    <w:p w14:paraId="643E3B4B" w14:textId="77777777" w:rsidR="00D603F5" w:rsidRPr="00F21DE2" w:rsidRDefault="00D603F5" w:rsidP="001E404B">
      <w:pPr>
        <w:ind w:firstLine="0"/>
        <w:jc w:val="center"/>
        <w:rPr>
          <w:b/>
          <w:lang w:eastAsia="en-US"/>
        </w:rPr>
      </w:pPr>
      <w:r w:rsidRPr="00F21DE2">
        <w:rPr>
          <w:b/>
          <w:lang w:eastAsia="en-US"/>
        </w:rPr>
        <w:t>Фиг. 2.1. Бенефициенти – получатели на помощта</w:t>
      </w:r>
    </w:p>
    <w:p w14:paraId="4275A867" w14:textId="77777777" w:rsidR="00D603F5" w:rsidRPr="001B0EA3" w:rsidRDefault="00937754" w:rsidP="00F21DE2">
      <w:pPr>
        <w:spacing w:beforeLines="250" w:before="600" w:afterLines="150" w:after="360"/>
        <w:ind w:left="-284" w:firstLine="0"/>
        <w:jc w:val="left"/>
        <w:rPr>
          <w:color w:val="0070C0"/>
          <w:szCs w:val="22"/>
          <w:lang w:eastAsia="en-US"/>
        </w:rPr>
      </w:pPr>
      <w:r w:rsidRPr="001B0EA3">
        <w:rPr>
          <w:noProof/>
          <w:lang w:eastAsia="bg-BG"/>
        </w:rPr>
        <mc:AlternateContent>
          <mc:Choice Requires="wpg">
            <w:drawing>
              <wp:inline distT="0" distB="0" distL="0" distR="0" wp14:anchorId="75A084D0" wp14:editId="2A1411FB">
                <wp:extent cx="6609080" cy="2803525"/>
                <wp:effectExtent l="0" t="0" r="20320" b="34925"/>
                <wp:docPr id="1586" name="Group 1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9080" cy="2803525"/>
                          <a:chOff x="648" y="9630"/>
                          <a:chExt cx="10408" cy="4415"/>
                        </a:xfrm>
                      </wpg:grpSpPr>
                      <wpg:grpSp>
                        <wpg:cNvPr id="1587" name="Group 22"/>
                        <wpg:cNvGrpSpPr>
                          <a:grpSpLocks/>
                        </wpg:cNvGrpSpPr>
                        <wpg:grpSpPr bwMode="auto">
                          <a:xfrm>
                            <a:off x="648" y="9630"/>
                            <a:ext cx="10408" cy="4415"/>
                            <a:chOff x="1474" y="6800"/>
                            <a:chExt cx="10408" cy="4415"/>
                          </a:xfrm>
                        </wpg:grpSpPr>
                        <wps:wsp>
                          <wps:cNvPr id="1588" name="AutoShape 23"/>
                          <wps:cNvSpPr>
                            <a:spLocks noChangeArrowheads="1"/>
                          </wps:cNvSpPr>
                          <wps:spPr bwMode="auto">
                            <a:xfrm>
                              <a:off x="3973" y="6800"/>
                              <a:ext cx="4101" cy="533"/>
                            </a:xfrm>
                            <a:prstGeom prst="flowChartTerminator">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14:paraId="291C8A98" w14:textId="77777777" w:rsidR="004E3164" w:rsidRPr="00B80E14" w:rsidRDefault="004E3164" w:rsidP="00F21DE2">
                                <w:pPr>
                                  <w:ind w:firstLine="0"/>
                                  <w:jc w:val="center"/>
                                  <w:rPr>
                                    <w:sz w:val="20"/>
                                  </w:rPr>
                                </w:pPr>
                                <w:r w:rsidRPr="00B80E14">
                                  <w:rPr>
                                    <w:b/>
                                    <w:sz w:val="20"/>
                                  </w:rPr>
                                  <w:t>Държавни ресурси</w:t>
                                </w:r>
                              </w:p>
                              <w:p w14:paraId="46FDA310" w14:textId="77777777" w:rsidR="004E3164" w:rsidRPr="00B80E14" w:rsidRDefault="004E3164" w:rsidP="00F21DE2">
                                <w:pPr>
                                  <w:ind w:firstLine="0"/>
                                  <w:jc w:val="center"/>
                                  <w:rPr>
                                    <w:color w:val="FF0000"/>
                                    <w:sz w:val="20"/>
                                  </w:rPr>
                                </w:pPr>
                              </w:p>
                            </w:txbxContent>
                          </wps:txbx>
                          <wps:bodyPr rot="0" vert="horz" wrap="square" lIns="91440" tIns="45720" rIns="91440" bIns="45720" anchor="t" anchorCtr="0" upright="1">
                            <a:noAutofit/>
                          </wps:bodyPr>
                        </wps:wsp>
                        <wps:wsp>
                          <wps:cNvPr id="1589" name="AutoShape 24"/>
                          <wps:cNvSpPr>
                            <a:spLocks noChangeArrowheads="1"/>
                          </wps:cNvSpPr>
                          <wps:spPr bwMode="auto">
                            <a:xfrm>
                              <a:off x="3344" y="7800"/>
                              <a:ext cx="5557" cy="1880"/>
                            </a:xfrm>
                            <a:prstGeom prst="flowChartTerminator">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14:paraId="4FD32756" w14:textId="77777777" w:rsidR="004E3164" w:rsidRPr="00B80E14" w:rsidRDefault="004E3164" w:rsidP="00F21DE2">
                                <w:pPr>
                                  <w:ind w:firstLine="0"/>
                                  <w:jc w:val="center"/>
                                  <w:rPr>
                                    <w:b/>
                                    <w:sz w:val="20"/>
                                  </w:rPr>
                                </w:pPr>
                                <w:r w:rsidRPr="00B80E14">
                                  <w:rPr>
                                    <w:b/>
                                    <w:sz w:val="20"/>
                                  </w:rPr>
                                  <w:t xml:space="preserve">Предприятие: </w:t>
                                </w:r>
                              </w:p>
                              <w:p w14:paraId="7298FC4F" w14:textId="77777777" w:rsidR="004E3164" w:rsidRPr="00B80E14" w:rsidRDefault="004E3164" w:rsidP="00F21DE2">
                                <w:pPr>
                                  <w:ind w:firstLine="0"/>
                                  <w:jc w:val="center"/>
                                  <w:rPr>
                                    <w:sz w:val="20"/>
                                  </w:rPr>
                                </w:pPr>
                                <w:r w:rsidRPr="00B80E14">
                                  <w:rPr>
                                    <w:sz w:val="20"/>
                                  </w:rPr>
                                  <w:t xml:space="preserve"> частни или правни субекти, извършващи </w:t>
                                </w:r>
                                <w:r w:rsidRPr="00B80E14">
                                  <w:rPr>
                                    <w:b/>
                                    <w:sz w:val="20"/>
                                  </w:rPr>
                                  <w:t xml:space="preserve">икономическа дейност </w:t>
                                </w:r>
                                <w:r w:rsidRPr="00B80E14">
                                  <w:rPr>
                                    <w:i/>
                                    <w:sz w:val="20"/>
                                  </w:rPr>
                                  <w:t>(която се продава или възнаграждава)</w:t>
                                </w:r>
                                <w:r w:rsidRPr="00B80E14">
                                  <w:rPr>
                                    <w:b/>
                                    <w:sz w:val="20"/>
                                  </w:rPr>
                                  <w:t xml:space="preserve"> </w:t>
                                </w:r>
                                <w:r w:rsidRPr="00B80E14">
                                  <w:rPr>
                                    <w:sz w:val="20"/>
                                  </w:rPr>
                                  <w:t xml:space="preserve">, независимо от правния им статут и начина им на финансиране </w:t>
                                </w:r>
                              </w:p>
                            </w:txbxContent>
                          </wps:txbx>
                          <wps:bodyPr rot="0" vert="horz" wrap="square" lIns="91440" tIns="45720" rIns="91440" bIns="45720" anchor="t" anchorCtr="0" upright="1">
                            <a:noAutofit/>
                          </wps:bodyPr>
                        </wps:wsp>
                        <wps:wsp>
                          <wps:cNvPr id="1590" name="AutoShape 25"/>
                          <wps:cNvSpPr>
                            <a:spLocks noChangeArrowheads="1"/>
                          </wps:cNvSpPr>
                          <wps:spPr bwMode="auto">
                            <a:xfrm>
                              <a:off x="4040" y="10148"/>
                              <a:ext cx="4101" cy="1067"/>
                            </a:xfrm>
                            <a:prstGeom prst="flowChartTerminator">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14:paraId="1228F4D8" w14:textId="77777777" w:rsidR="004E3164" w:rsidRPr="00B80E14" w:rsidRDefault="004E3164" w:rsidP="00F21DE2">
                                <w:pPr>
                                  <w:ind w:firstLine="0"/>
                                  <w:jc w:val="center"/>
                                  <w:rPr>
                                    <w:sz w:val="20"/>
                                  </w:rPr>
                                </w:pPr>
                                <w:r w:rsidRPr="00B80E14">
                                  <w:rPr>
                                    <w:sz w:val="20"/>
                                  </w:rPr>
                                  <w:t xml:space="preserve">Други </w:t>
                                </w:r>
                                <w:r w:rsidRPr="00B80E14">
                                  <w:rPr>
                                    <w:b/>
                                    <w:sz w:val="20"/>
                                  </w:rPr>
                                  <w:t>предприятия бенефициенти</w:t>
                                </w:r>
                                <w:r w:rsidRPr="00B80E14">
                                  <w:rPr>
                                    <w:sz w:val="20"/>
                                  </w:rPr>
                                  <w:t xml:space="preserve">  на помощта </w:t>
                                </w:r>
                              </w:p>
                              <w:p w14:paraId="4845C2D5" w14:textId="77777777" w:rsidR="004E3164" w:rsidRPr="00B80E14" w:rsidRDefault="004E3164" w:rsidP="00F21DE2">
                                <w:pPr>
                                  <w:ind w:firstLine="0"/>
                                  <w:jc w:val="center"/>
                                  <w:rPr>
                                    <w:sz w:val="20"/>
                                  </w:rPr>
                                </w:pPr>
                              </w:p>
                            </w:txbxContent>
                          </wps:txbx>
                          <wps:bodyPr rot="0" vert="horz" wrap="square" lIns="91440" tIns="45720" rIns="91440" bIns="45720" anchor="t" anchorCtr="0" upright="1">
                            <a:noAutofit/>
                          </wps:bodyPr>
                        </wps:wsp>
                        <wps:wsp>
                          <wps:cNvPr id="1591" name="AutoShape 26"/>
                          <wps:cNvCnPr>
                            <a:cxnSpLocks noChangeShapeType="1"/>
                          </wps:cNvCnPr>
                          <wps:spPr bwMode="auto">
                            <a:xfrm>
                              <a:off x="6080" y="7333"/>
                              <a:ext cx="0" cy="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2" name="AutoShape 27"/>
                          <wps:cNvCnPr>
                            <a:cxnSpLocks noChangeShapeType="1"/>
                          </wps:cNvCnPr>
                          <wps:spPr bwMode="auto">
                            <a:xfrm>
                              <a:off x="6080" y="9545"/>
                              <a:ext cx="0" cy="708"/>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593" name="Rectangle 28"/>
                          <wps:cNvSpPr>
                            <a:spLocks noChangeArrowheads="1"/>
                          </wps:cNvSpPr>
                          <wps:spPr bwMode="auto">
                            <a:xfrm>
                              <a:off x="1474" y="9161"/>
                              <a:ext cx="1870" cy="1453"/>
                            </a:xfrm>
                            <a:prstGeom prst="rect">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miter lim="800000"/>
                                  <a:headEnd/>
                                  <a:tailEnd/>
                                </a14:hiddenLine>
                              </a:ext>
                            </a:extLst>
                          </wps:spPr>
                          <wps:txbx>
                            <w:txbxContent>
                              <w:p w14:paraId="1CC13714" w14:textId="77777777" w:rsidR="004E3164" w:rsidRPr="00AD53A8" w:rsidRDefault="004E3164" w:rsidP="00F21DE2">
                                <w:pPr>
                                  <w:ind w:firstLine="0"/>
                                  <w:jc w:val="center"/>
                                  <w:rPr>
                                    <w:sz w:val="16"/>
                                    <w:szCs w:val="16"/>
                                  </w:rPr>
                                </w:pPr>
                                <w:r w:rsidRPr="00AD53A8">
                                  <w:rPr>
                                    <w:sz w:val="16"/>
                                    <w:szCs w:val="16"/>
                                  </w:rPr>
                                  <w:t xml:space="preserve">Проверяват се </w:t>
                                </w:r>
                                <w:r w:rsidRPr="00AD53A8">
                                  <w:rPr>
                                    <w:b/>
                                    <w:sz w:val="16"/>
                                    <w:szCs w:val="16"/>
                                  </w:rPr>
                                  <w:t>всички  нива</w:t>
                                </w:r>
                                <w:r>
                                  <w:rPr>
                                    <w:b/>
                                    <w:sz w:val="16"/>
                                    <w:szCs w:val="16"/>
                                  </w:rPr>
                                  <w:t xml:space="preserve"> бенефициенти </w:t>
                                </w:r>
                                <w:r w:rsidRPr="00AD53A8">
                                  <w:rPr>
                                    <w:sz w:val="16"/>
                                    <w:szCs w:val="16"/>
                                  </w:rPr>
                                  <w:t>(предприятия</w:t>
                                </w:r>
                                <w:r>
                                  <w:rPr>
                                    <w:sz w:val="16"/>
                                    <w:szCs w:val="16"/>
                                  </w:rPr>
                                  <w:t>)</w:t>
                                </w:r>
                                <w:r w:rsidRPr="00AD53A8">
                                  <w:rPr>
                                    <w:sz w:val="16"/>
                                    <w:szCs w:val="16"/>
                                  </w:rPr>
                                  <w:t xml:space="preserve">, които могат да се възползват </w:t>
                                </w:r>
                                <w:r>
                                  <w:rPr>
                                    <w:sz w:val="16"/>
                                    <w:szCs w:val="16"/>
                                  </w:rPr>
                                  <w:t xml:space="preserve">пряко или </w:t>
                                </w:r>
                                <w:r w:rsidRPr="00AD53A8">
                                  <w:rPr>
                                    <w:sz w:val="16"/>
                                    <w:szCs w:val="16"/>
                                  </w:rPr>
                                  <w:t xml:space="preserve">косвено от помощта </w:t>
                                </w:r>
                              </w:p>
                            </w:txbxContent>
                          </wps:txbx>
                          <wps:bodyPr rot="0" vert="horz" wrap="square" lIns="91440" tIns="45720" rIns="91440" bIns="45720" anchor="t" anchorCtr="0" upright="1">
                            <a:noAutofit/>
                          </wps:bodyPr>
                        </wps:wsp>
                        <wps:wsp>
                          <wps:cNvPr id="1594" name="Rectangle 29"/>
                          <wps:cNvSpPr>
                            <a:spLocks noChangeArrowheads="1"/>
                          </wps:cNvSpPr>
                          <wps:spPr bwMode="auto">
                            <a:xfrm>
                              <a:off x="8732" y="9440"/>
                              <a:ext cx="3150" cy="1280"/>
                            </a:xfrm>
                            <a:prstGeom prst="rect">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miter lim="800000"/>
                                  <a:headEnd/>
                                  <a:tailEnd/>
                                </a14:hiddenLine>
                              </a:ext>
                            </a:extLst>
                          </wps:spPr>
                          <wps:txbx>
                            <w:txbxContent>
                              <w:p w14:paraId="08C2EABD" w14:textId="77777777" w:rsidR="004E3164" w:rsidRPr="00CB1DC7" w:rsidRDefault="004E3164" w:rsidP="00F21DE2">
                                <w:pPr>
                                  <w:ind w:firstLine="0"/>
                                  <w:jc w:val="center"/>
                                  <w:rPr>
                                    <w:b/>
                                    <w:color w:val="0070C0"/>
                                    <w:sz w:val="16"/>
                                    <w:szCs w:val="16"/>
                                    <w:lang w:val="en-US"/>
                                  </w:rPr>
                                </w:pPr>
                                <w:r w:rsidRPr="00CB1DC7">
                                  <w:rPr>
                                    <w:b/>
                                    <w:color w:val="0070C0"/>
                                    <w:sz w:val="16"/>
                                    <w:szCs w:val="16"/>
                                  </w:rPr>
                                  <w:t>Неприложими фактори</w:t>
                                </w:r>
                                <w:r>
                                  <w:rPr>
                                    <w:b/>
                                    <w:color w:val="0070C0"/>
                                    <w:sz w:val="16"/>
                                    <w:szCs w:val="16"/>
                                  </w:rPr>
                                  <w:t xml:space="preserve"> </w:t>
                                </w:r>
                                <w:r w:rsidRPr="00CB1DC7">
                                  <w:rPr>
                                    <w:color w:val="0070C0"/>
                                    <w:sz w:val="16"/>
                                    <w:szCs w:val="16"/>
                                  </w:rPr>
                                  <w:t>(при определяне на предприятие)</w:t>
                                </w:r>
                                <w:r w:rsidRPr="00CB1DC7">
                                  <w:rPr>
                                    <w:color w:val="0070C0"/>
                                    <w:sz w:val="16"/>
                                    <w:szCs w:val="16"/>
                                    <w:lang w:val="en-US"/>
                                  </w:rPr>
                                  <w:t xml:space="preserve">: </w:t>
                                </w:r>
                              </w:p>
                              <w:p w14:paraId="38B411F4" w14:textId="77777777" w:rsidR="004E3164" w:rsidRPr="00CB1DC7" w:rsidRDefault="004E3164" w:rsidP="00B80E14">
                                <w:pPr>
                                  <w:numPr>
                                    <w:ilvl w:val="0"/>
                                    <w:numId w:val="84"/>
                                  </w:numPr>
                                  <w:tabs>
                                    <w:tab w:val="left" w:pos="284"/>
                                  </w:tabs>
                                  <w:ind w:left="0" w:firstLine="0"/>
                                  <w:jc w:val="left"/>
                                  <w:rPr>
                                    <w:color w:val="0070C0"/>
                                    <w:sz w:val="16"/>
                                    <w:szCs w:val="16"/>
                                  </w:rPr>
                                </w:pPr>
                                <w:r w:rsidRPr="00CB1DC7">
                                  <w:rPr>
                                    <w:color w:val="0070C0"/>
                                    <w:sz w:val="16"/>
                                    <w:szCs w:val="16"/>
                                  </w:rPr>
                                  <w:t xml:space="preserve">Държавна собственост; </w:t>
                                </w:r>
                              </w:p>
                              <w:p w14:paraId="6F218771" w14:textId="77777777" w:rsidR="004E3164" w:rsidRPr="00CB1DC7" w:rsidRDefault="004E3164" w:rsidP="00B80E14">
                                <w:pPr>
                                  <w:numPr>
                                    <w:ilvl w:val="0"/>
                                    <w:numId w:val="84"/>
                                  </w:numPr>
                                  <w:tabs>
                                    <w:tab w:val="left" w:pos="284"/>
                                  </w:tabs>
                                  <w:ind w:left="0" w:firstLine="0"/>
                                  <w:jc w:val="left"/>
                                  <w:rPr>
                                    <w:color w:val="0070C0"/>
                                    <w:sz w:val="16"/>
                                    <w:szCs w:val="16"/>
                                  </w:rPr>
                                </w:pPr>
                                <w:r w:rsidRPr="00CB1DC7">
                                  <w:rPr>
                                    <w:color w:val="0070C0"/>
                                    <w:sz w:val="16"/>
                                    <w:szCs w:val="16"/>
                                  </w:rPr>
                                  <w:t xml:space="preserve">Нестопански статут на предприятието; </w:t>
                                </w:r>
                              </w:p>
                              <w:p w14:paraId="7455F707" w14:textId="77777777" w:rsidR="004E3164" w:rsidRPr="00CB1DC7" w:rsidRDefault="004E3164" w:rsidP="00B80E14">
                                <w:pPr>
                                  <w:numPr>
                                    <w:ilvl w:val="0"/>
                                    <w:numId w:val="84"/>
                                  </w:numPr>
                                  <w:tabs>
                                    <w:tab w:val="left" w:pos="284"/>
                                  </w:tabs>
                                  <w:ind w:left="0" w:firstLine="0"/>
                                  <w:jc w:val="left"/>
                                  <w:rPr>
                                    <w:color w:val="0070C0"/>
                                    <w:sz w:val="16"/>
                                    <w:szCs w:val="16"/>
                                  </w:rPr>
                                </w:pPr>
                                <w:r w:rsidRPr="00CB1DC7">
                                  <w:rPr>
                                    <w:color w:val="0070C0"/>
                                    <w:sz w:val="16"/>
                                    <w:szCs w:val="16"/>
                                  </w:rPr>
                                  <w:t>Социални цели на помощта.</w:t>
                                </w:r>
                              </w:p>
                            </w:txbxContent>
                          </wps:txbx>
                          <wps:bodyPr rot="0" vert="horz" wrap="square" lIns="91440" tIns="45720" rIns="91440" bIns="45720" anchor="t" anchorCtr="0" upright="1">
                            <a:noAutofit/>
                          </wps:bodyPr>
                        </wps:wsp>
                      </wpg:grpSp>
                      <wps:wsp>
                        <wps:cNvPr id="1595" name="AutoShape 30"/>
                        <wps:cNvCnPr>
                          <a:cxnSpLocks noChangeShapeType="1"/>
                        </wps:cNvCnPr>
                        <wps:spPr bwMode="auto">
                          <a:xfrm>
                            <a:off x="2523" y="12723"/>
                            <a:ext cx="810" cy="5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6" name="AutoShape 31"/>
                        <wps:cNvCnPr>
                          <a:cxnSpLocks noChangeShapeType="1"/>
                        </wps:cNvCnPr>
                        <wps:spPr bwMode="auto">
                          <a:xfrm flipV="1">
                            <a:off x="2518" y="12510"/>
                            <a:ext cx="701" cy="2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5A084D0" id="Group 1586" o:spid="_x0000_s1201" style="width:520.4pt;height:220.75pt;mso-position-horizontal-relative:char;mso-position-vertical-relative:line" coordorigin="648,9630" coordsize="10408,4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">
                <v:group id="Group 22" o:spid="_x0000_s1202" style="position:absolute;left:648;top:9630;width:10408;height:4415" coordorigin="1474,6800" coordsize="10408,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">
                  <v:shapetype id="_x0000_t116" coordsize="21600,21600" o:spt="116" path="m3475,qx,10800,3475,21600l18125,21600qx21600,10800,18125,xe">
                    <v:stroke joinstyle="miter"/>
                    <v:path gradientshapeok="t" o:connecttype="rect" textboxrect="1018,3163,20582,18437"/>
                  </v:shapetype>
                  <v:shape id="AutoShape 23" o:spid="_x0000_s1203" type="#_x0000_t116" style="position:absolute;left:3973;top:6800;width:4101;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" stroked="f" strokecolor="#666" strokeweight="1pt">
                    <v:fill color2="#999" focus="100%" type="gradient"/>
                    <v:shadow on="t" color="#7f7f7f" opacity=".5" offset="1pt"/>
                    <v:textbox>
                      <w:txbxContent>
                        <w:p w14:paraId="291C8A98" w14:textId="77777777" w:rsidR="004E3164" w:rsidRPr="00B80E14" w:rsidRDefault="004E3164" w:rsidP="00F21DE2">
                          <w:pPr>
                            <w:ind w:firstLine="0"/>
                            <w:jc w:val="center"/>
                            <w:rPr>
                              <w:sz w:val="20"/>
                            </w:rPr>
                          </w:pPr>
                          <w:r w:rsidRPr="00B80E14">
                            <w:rPr>
                              <w:b/>
                              <w:sz w:val="20"/>
                            </w:rPr>
                            <w:t>Държавни ресурси</w:t>
                          </w:r>
                        </w:p>
                        <w:p w14:paraId="46FDA310" w14:textId="77777777" w:rsidR="004E3164" w:rsidRPr="00B80E14" w:rsidRDefault="004E3164" w:rsidP="00F21DE2">
                          <w:pPr>
                            <w:ind w:firstLine="0"/>
                            <w:jc w:val="center"/>
                            <w:rPr>
                              <w:color w:val="FF0000"/>
                              <w:sz w:val="20"/>
                            </w:rPr>
                          </w:pPr>
                        </w:p>
                      </w:txbxContent>
                    </v:textbox>
                  </v:shape>
                  <v:shape id="AutoShape 24" o:spid="_x0000_s1204" type="#_x0000_t116" style="position:absolute;left:3344;top:7800;width:555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" stroked="f" strokecolor="#666" strokeweight="1pt">
                    <v:fill color2="#999" focus="100%" type="gradient"/>
                    <v:shadow on="t" color="#7f7f7f" opacity=".5" offset="1pt"/>
                    <v:textbox>
                      <w:txbxContent>
                        <w:p w14:paraId="4FD32756" w14:textId="77777777" w:rsidR="004E3164" w:rsidRPr="00B80E14" w:rsidRDefault="004E3164" w:rsidP="00F21DE2">
                          <w:pPr>
                            <w:ind w:firstLine="0"/>
                            <w:jc w:val="center"/>
                            <w:rPr>
                              <w:b/>
                              <w:sz w:val="20"/>
                            </w:rPr>
                          </w:pPr>
                          <w:r w:rsidRPr="00B80E14">
                            <w:rPr>
                              <w:b/>
                              <w:sz w:val="20"/>
                            </w:rPr>
                            <w:t xml:space="preserve">Предприятие: </w:t>
                          </w:r>
                        </w:p>
                        <w:p w14:paraId="7298FC4F" w14:textId="77777777" w:rsidR="004E3164" w:rsidRPr="00B80E14" w:rsidRDefault="004E3164" w:rsidP="00F21DE2">
                          <w:pPr>
                            <w:ind w:firstLine="0"/>
                            <w:jc w:val="center"/>
                            <w:rPr>
                              <w:sz w:val="20"/>
                            </w:rPr>
                          </w:pPr>
                          <w:r w:rsidRPr="00B80E14">
                            <w:rPr>
                              <w:sz w:val="20"/>
                            </w:rPr>
                            <w:t xml:space="preserve"> частни или правни субекти, извършващи </w:t>
                          </w:r>
                          <w:r w:rsidRPr="00B80E14">
                            <w:rPr>
                              <w:b/>
                              <w:sz w:val="20"/>
                            </w:rPr>
                            <w:t xml:space="preserve">икономическа дейност </w:t>
                          </w:r>
                          <w:r w:rsidRPr="00B80E14">
                            <w:rPr>
                              <w:i/>
                              <w:sz w:val="20"/>
                            </w:rPr>
                            <w:t>(която се продава или възнаграждава)</w:t>
                          </w:r>
                          <w:r w:rsidRPr="00B80E14">
                            <w:rPr>
                              <w:b/>
                              <w:sz w:val="20"/>
                            </w:rPr>
                            <w:t xml:space="preserve"> </w:t>
                          </w:r>
                          <w:r w:rsidRPr="00B80E14">
                            <w:rPr>
                              <w:sz w:val="20"/>
                            </w:rPr>
                            <w:t xml:space="preserve">, независимо от правния им статут и начина им на финансиране </w:t>
                          </w:r>
                        </w:p>
                      </w:txbxContent>
                    </v:textbox>
                  </v:shape>
                  <v:shape id="AutoShape 25" o:spid="_x0000_s1205" type="#_x0000_t116" style="position:absolute;left:4040;top:10148;width:4101;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" stroked="f" strokecolor="#666" strokeweight="1pt">
                    <v:fill color2="#999" focus="100%" type="gradient"/>
                    <v:shadow on="t" color="#7f7f7f" opacity=".5" offset="1pt"/>
                    <v:textbox>
                      <w:txbxContent>
                        <w:p w14:paraId="1228F4D8" w14:textId="77777777" w:rsidR="004E3164" w:rsidRPr="00B80E14" w:rsidRDefault="004E3164" w:rsidP="00F21DE2">
                          <w:pPr>
                            <w:ind w:firstLine="0"/>
                            <w:jc w:val="center"/>
                            <w:rPr>
                              <w:sz w:val="20"/>
                            </w:rPr>
                          </w:pPr>
                          <w:r w:rsidRPr="00B80E14">
                            <w:rPr>
                              <w:sz w:val="20"/>
                            </w:rPr>
                            <w:t xml:space="preserve">Други </w:t>
                          </w:r>
                          <w:r w:rsidRPr="00B80E14">
                            <w:rPr>
                              <w:b/>
                              <w:sz w:val="20"/>
                            </w:rPr>
                            <w:t>предприятия бенефициенти</w:t>
                          </w:r>
                          <w:r w:rsidRPr="00B80E14">
                            <w:rPr>
                              <w:sz w:val="20"/>
                            </w:rPr>
                            <w:t xml:space="preserve">  на помощта </w:t>
                          </w:r>
                        </w:p>
                        <w:p w14:paraId="4845C2D5" w14:textId="77777777" w:rsidR="004E3164" w:rsidRPr="00B80E14" w:rsidRDefault="004E3164" w:rsidP="00F21DE2">
                          <w:pPr>
                            <w:ind w:firstLine="0"/>
                            <w:jc w:val="center"/>
                            <w:rPr>
                              <w:sz w:val="20"/>
                            </w:rPr>
                          </w:pPr>
                        </w:p>
                      </w:txbxContent>
                    </v:textbox>
                  </v:shape>
                  <v:shape id="AutoShape 26" o:spid="_x0000_s1206" type="#_x0000_t32" style="position:absolute;left:6080;top:7333;width:0;height: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">
                    <v:stroke endarrow="block"/>
                  </v:shape>
                  <v:shape id="AutoShape 27" o:spid="_x0000_s1207" type="#_x0000_t32" style="position:absolute;left:6080;top:9545;width:0;height:7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">
                    <v:stroke dashstyle="dash" endarrow="block"/>
                  </v:shape>
                  <v:rect id="Rectangle 28" o:spid="_x0000_s1208" style="position:absolute;left:1474;top:9161;width:1870;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" stroked="f" strokecolor="#95b3d7" strokeweight="1pt">
                    <v:fill color2="#b8cce4" focus="100%" type="gradient"/>
                    <v:shadow on="t" color="#243f60" opacity=".5" offset="1pt"/>
                    <v:textbox>
                      <w:txbxContent>
                        <w:p w14:paraId="1CC13714" w14:textId="77777777" w:rsidR="004E3164" w:rsidRPr="00AD53A8" w:rsidRDefault="004E3164" w:rsidP="00F21DE2">
                          <w:pPr>
                            <w:ind w:firstLine="0"/>
                            <w:jc w:val="center"/>
                            <w:rPr>
                              <w:sz w:val="16"/>
                              <w:szCs w:val="16"/>
                            </w:rPr>
                          </w:pPr>
                          <w:r w:rsidRPr="00AD53A8">
                            <w:rPr>
                              <w:sz w:val="16"/>
                              <w:szCs w:val="16"/>
                            </w:rPr>
                            <w:t xml:space="preserve">Проверяват се </w:t>
                          </w:r>
                          <w:r w:rsidRPr="00AD53A8">
                            <w:rPr>
                              <w:b/>
                              <w:sz w:val="16"/>
                              <w:szCs w:val="16"/>
                            </w:rPr>
                            <w:t>всички  нива</w:t>
                          </w:r>
                          <w:r>
                            <w:rPr>
                              <w:b/>
                              <w:sz w:val="16"/>
                              <w:szCs w:val="16"/>
                            </w:rPr>
                            <w:t xml:space="preserve"> бенефициенти </w:t>
                          </w:r>
                          <w:r w:rsidRPr="00AD53A8">
                            <w:rPr>
                              <w:sz w:val="16"/>
                              <w:szCs w:val="16"/>
                            </w:rPr>
                            <w:t>(предприятия</w:t>
                          </w:r>
                          <w:r>
                            <w:rPr>
                              <w:sz w:val="16"/>
                              <w:szCs w:val="16"/>
                            </w:rPr>
                            <w:t>)</w:t>
                          </w:r>
                          <w:r w:rsidRPr="00AD53A8">
                            <w:rPr>
                              <w:sz w:val="16"/>
                              <w:szCs w:val="16"/>
                            </w:rPr>
                            <w:t xml:space="preserve">, които могат да се възползват </w:t>
                          </w:r>
                          <w:r>
                            <w:rPr>
                              <w:sz w:val="16"/>
                              <w:szCs w:val="16"/>
                            </w:rPr>
                            <w:t xml:space="preserve">пряко или </w:t>
                          </w:r>
                          <w:r w:rsidRPr="00AD53A8">
                            <w:rPr>
                              <w:sz w:val="16"/>
                              <w:szCs w:val="16"/>
                            </w:rPr>
                            <w:t xml:space="preserve">косвено от помощта </w:t>
                          </w:r>
                        </w:p>
                      </w:txbxContent>
                    </v:textbox>
                  </v:rect>
                  <v:rect id="Rectangle 29" o:spid="_x0000_s1209" style="position:absolute;left:8732;top:9440;width:3150;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" stroked="f" strokecolor="#95b3d7" strokeweight="1pt">
                    <v:fill color2="#b8cce4" focus="100%" type="gradient"/>
                    <v:shadow on="t" color="#243f60" opacity=".5" offset="1pt"/>
                    <v:textbox>
                      <w:txbxContent>
                        <w:p w14:paraId="08C2EABD" w14:textId="77777777" w:rsidR="004E3164" w:rsidRPr="00CB1DC7" w:rsidRDefault="004E3164" w:rsidP="00F21DE2">
                          <w:pPr>
                            <w:ind w:firstLine="0"/>
                            <w:jc w:val="center"/>
                            <w:rPr>
                              <w:b/>
                              <w:color w:val="0070C0"/>
                              <w:sz w:val="16"/>
                              <w:szCs w:val="16"/>
                              <w:lang w:val="en-US"/>
                            </w:rPr>
                          </w:pPr>
                          <w:r w:rsidRPr="00CB1DC7">
                            <w:rPr>
                              <w:b/>
                              <w:color w:val="0070C0"/>
                              <w:sz w:val="16"/>
                              <w:szCs w:val="16"/>
                            </w:rPr>
                            <w:t>Неприложими фактори</w:t>
                          </w:r>
                          <w:r>
                            <w:rPr>
                              <w:b/>
                              <w:color w:val="0070C0"/>
                              <w:sz w:val="16"/>
                              <w:szCs w:val="16"/>
                            </w:rPr>
                            <w:t xml:space="preserve"> </w:t>
                          </w:r>
                          <w:r w:rsidRPr="00CB1DC7">
                            <w:rPr>
                              <w:color w:val="0070C0"/>
                              <w:sz w:val="16"/>
                              <w:szCs w:val="16"/>
                            </w:rPr>
                            <w:t>(при определяне на предприятие)</w:t>
                          </w:r>
                          <w:r w:rsidRPr="00CB1DC7">
                            <w:rPr>
                              <w:color w:val="0070C0"/>
                              <w:sz w:val="16"/>
                              <w:szCs w:val="16"/>
                              <w:lang w:val="en-US"/>
                            </w:rPr>
                            <w:t xml:space="preserve">: </w:t>
                          </w:r>
                        </w:p>
                        <w:p w14:paraId="38B411F4" w14:textId="77777777" w:rsidR="004E3164" w:rsidRPr="00CB1DC7" w:rsidRDefault="004E3164" w:rsidP="00B80E14">
                          <w:pPr>
                            <w:numPr>
                              <w:ilvl w:val="0"/>
                              <w:numId w:val="84"/>
                            </w:numPr>
                            <w:tabs>
                              <w:tab w:val="left" w:pos="284"/>
                            </w:tabs>
                            <w:ind w:left="0" w:firstLine="0"/>
                            <w:jc w:val="left"/>
                            <w:rPr>
                              <w:color w:val="0070C0"/>
                              <w:sz w:val="16"/>
                              <w:szCs w:val="16"/>
                            </w:rPr>
                          </w:pPr>
                          <w:r w:rsidRPr="00CB1DC7">
                            <w:rPr>
                              <w:color w:val="0070C0"/>
                              <w:sz w:val="16"/>
                              <w:szCs w:val="16"/>
                            </w:rPr>
                            <w:t xml:space="preserve">Държавна собственост; </w:t>
                          </w:r>
                        </w:p>
                        <w:p w14:paraId="6F218771" w14:textId="77777777" w:rsidR="004E3164" w:rsidRPr="00CB1DC7" w:rsidRDefault="004E3164" w:rsidP="00B80E14">
                          <w:pPr>
                            <w:numPr>
                              <w:ilvl w:val="0"/>
                              <w:numId w:val="84"/>
                            </w:numPr>
                            <w:tabs>
                              <w:tab w:val="left" w:pos="284"/>
                            </w:tabs>
                            <w:ind w:left="0" w:firstLine="0"/>
                            <w:jc w:val="left"/>
                            <w:rPr>
                              <w:color w:val="0070C0"/>
                              <w:sz w:val="16"/>
                              <w:szCs w:val="16"/>
                            </w:rPr>
                          </w:pPr>
                          <w:r w:rsidRPr="00CB1DC7">
                            <w:rPr>
                              <w:color w:val="0070C0"/>
                              <w:sz w:val="16"/>
                              <w:szCs w:val="16"/>
                            </w:rPr>
                            <w:t xml:space="preserve">Нестопански статут на предприятието; </w:t>
                          </w:r>
                        </w:p>
                        <w:p w14:paraId="7455F707" w14:textId="77777777" w:rsidR="004E3164" w:rsidRPr="00CB1DC7" w:rsidRDefault="004E3164" w:rsidP="00B80E14">
                          <w:pPr>
                            <w:numPr>
                              <w:ilvl w:val="0"/>
                              <w:numId w:val="84"/>
                            </w:numPr>
                            <w:tabs>
                              <w:tab w:val="left" w:pos="284"/>
                            </w:tabs>
                            <w:ind w:left="0" w:firstLine="0"/>
                            <w:jc w:val="left"/>
                            <w:rPr>
                              <w:color w:val="0070C0"/>
                              <w:sz w:val="16"/>
                              <w:szCs w:val="16"/>
                            </w:rPr>
                          </w:pPr>
                          <w:r w:rsidRPr="00CB1DC7">
                            <w:rPr>
                              <w:color w:val="0070C0"/>
                              <w:sz w:val="16"/>
                              <w:szCs w:val="16"/>
                            </w:rPr>
                            <w:t>Социални цели на помощта.</w:t>
                          </w:r>
                        </w:p>
                      </w:txbxContent>
                    </v:textbox>
                  </v:rect>
                </v:group>
                <v:shape id="AutoShape 30" o:spid="_x0000_s1210" type="#_x0000_t32" style="position:absolute;left:2523;top:12723;width:810;height:5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">
                  <v:stroke endarrow="block"/>
                </v:shape>
                <v:shape id="AutoShape 31" o:spid="_x0000_s1211" type="#_x0000_t32" style="position:absolute;left:2518;top:12510;width:701;height:2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">
                  <v:stroke endarrow="block"/>
                </v:shape>
                <w10:anchorlock/>
              </v:group>
            </w:pict>
          </mc:Fallback>
        </mc:AlternateContent>
      </w:r>
    </w:p>
    <w:p w14:paraId="36CA506F" w14:textId="77777777" w:rsidR="00D603F5" w:rsidRPr="001B0EA3" w:rsidRDefault="00D603F5" w:rsidP="00F21DE2">
      <w:pPr>
        <w:pStyle w:val="ListParagraph"/>
        <w:numPr>
          <w:ilvl w:val="0"/>
          <w:numId w:val="425"/>
        </w:numPr>
        <w:ind w:left="0" w:firstLine="851"/>
        <w:rPr>
          <w:b/>
          <w:szCs w:val="24"/>
          <w:lang w:eastAsia="en-US"/>
        </w:rPr>
      </w:pPr>
      <w:r w:rsidRPr="001B0EA3">
        <w:rPr>
          <w:b/>
          <w:szCs w:val="24"/>
          <w:lang w:eastAsia="en-US"/>
        </w:rPr>
        <w:t xml:space="preserve">Предприятие – </w:t>
      </w:r>
      <w:r w:rsidRPr="001B0EA3">
        <w:rPr>
          <w:szCs w:val="24"/>
          <w:lang w:eastAsia="en-US"/>
        </w:rPr>
        <w:t xml:space="preserve">субект/и, извършващ/и </w:t>
      </w:r>
      <w:r w:rsidRPr="001B0EA3">
        <w:rPr>
          <w:b/>
          <w:szCs w:val="24"/>
          <w:lang w:eastAsia="en-US"/>
        </w:rPr>
        <w:t xml:space="preserve">икономическа </w:t>
      </w:r>
      <w:r w:rsidR="00604F78" w:rsidRPr="001B0EA3">
        <w:rPr>
          <w:b/>
          <w:i/>
          <w:szCs w:val="24"/>
          <w:lang w:eastAsia="en-US"/>
        </w:rPr>
        <w:t>(стопанска)</w:t>
      </w:r>
      <w:r w:rsidR="00604F78" w:rsidRPr="001B0EA3">
        <w:rPr>
          <w:b/>
          <w:szCs w:val="24"/>
          <w:lang w:eastAsia="en-US"/>
        </w:rPr>
        <w:t xml:space="preserve"> </w:t>
      </w:r>
      <w:r w:rsidRPr="001B0EA3">
        <w:rPr>
          <w:b/>
          <w:szCs w:val="24"/>
          <w:lang w:eastAsia="en-US"/>
        </w:rPr>
        <w:t>дейност</w:t>
      </w:r>
      <w:r w:rsidRPr="001B0EA3">
        <w:rPr>
          <w:szCs w:val="24"/>
          <w:lang w:eastAsia="en-US"/>
        </w:rPr>
        <w:t>, независимо от правния му/им статут и начина му/им на финансиране</w:t>
      </w:r>
      <w:r w:rsidR="00604F78" w:rsidRPr="001B0EA3">
        <w:rPr>
          <w:szCs w:val="24"/>
          <w:lang w:eastAsia="en-US"/>
        </w:rPr>
        <w:t xml:space="preserve"> </w:t>
      </w:r>
      <w:r w:rsidR="00604F78" w:rsidRPr="001B0EA3">
        <w:rPr>
          <w:i/>
          <w:szCs w:val="24"/>
          <w:lang w:eastAsia="en-US"/>
        </w:rPr>
        <w:t>(т. 7 от Известието</w:t>
      </w:r>
      <w:r w:rsidR="00D132F7">
        <w:rPr>
          <w:i/>
          <w:szCs w:val="24"/>
          <w:lang w:eastAsia="en-US"/>
        </w:rPr>
        <w:t xml:space="preserve"> </w:t>
      </w:r>
      <w:r w:rsidR="00D132F7" w:rsidRPr="00416073">
        <w:rPr>
          <w:i/>
          <w:lang w:eastAsia="en-US"/>
        </w:rPr>
        <w:t>и чл. 20, ал.1 от ЗДП</w:t>
      </w:r>
      <w:r w:rsidR="00604F78" w:rsidRPr="001B0EA3">
        <w:rPr>
          <w:i/>
          <w:szCs w:val="24"/>
          <w:lang w:eastAsia="en-US"/>
        </w:rPr>
        <w:t xml:space="preserve">). </w:t>
      </w:r>
      <w:r w:rsidR="00604F78" w:rsidRPr="001B0EA3">
        <w:rPr>
          <w:szCs w:val="24"/>
          <w:lang w:eastAsia="en-US"/>
        </w:rPr>
        <w:t>Доколкото един публичен субект упражнява стопанска дейност, която може да бъде отделена  от упражняването на публични правомощия, въпросният субект действа като предприятие по отношение</w:t>
      </w:r>
      <w:r w:rsidR="004D1994" w:rsidRPr="001B0EA3">
        <w:rPr>
          <w:szCs w:val="24"/>
          <w:lang w:eastAsia="en-US"/>
        </w:rPr>
        <w:t xml:space="preserve"> н</w:t>
      </w:r>
      <w:r w:rsidR="00604F78" w:rsidRPr="001B0EA3">
        <w:rPr>
          <w:szCs w:val="24"/>
          <w:lang w:eastAsia="en-US"/>
        </w:rPr>
        <w:t xml:space="preserve">а посочената дейност. </w:t>
      </w:r>
      <w:r w:rsidR="004D1994" w:rsidRPr="001B0EA3">
        <w:rPr>
          <w:szCs w:val="24"/>
          <w:lang w:eastAsia="en-US"/>
        </w:rPr>
        <w:t>Обратно</w:t>
      </w:r>
      <w:r w:rsidR="00604F78" w:rsidRPr="001B0EA3">
        <w:rPr>
          <w:szCs w:val="24"/>
          <w:lang w:eastAsia="en-US"/>
        </w:rPr>
        <w:t xml:space="preserve">, ако стопанската дейност не може да бъде </w:t>
      </w:r>
      <w:r w:rsidR="00E813B6" w:rsidRPr="001B0EA3">
        <w:rPr>
          <w:szCs w:val="24"/>
          <w:lang w:eastAsia="en-US"/>
        </w:rPr>
        <w:t>отделена</w:t>
      </w:r>
      <w:r w:rsidR="00604F78" w:rsidRPr="001B0EA3">
        <w:rPr>
          <w:szCs w:val="24"/>
          <w:lang w:eastAsia="en-US"/>
        </w:rPr>
        <w:t xml:space="preserve"> от упражняването на </w:t>
      </w:r>
      <w:r w:rsidR="00E813B6" w:rsidRPr="001B0EA3">
        <w:rPr>
          <w:szCs w:val="24"/>
          <w:lang w:eastAsia="en-US"/>
        </w:rPr>
        <w:t>публичните</w:t>
      </w:r>
      <w:r w:rsidR="00604F78" w:rsidRPr="001B0EA3">
        <w:rPr>
          <w:szCs w:val="24"/>
          <w:lang w:eastAsia="en-US"/>
        </w:rPr>
        <w:t xml:space="preserve"> правомощия, извършваните от субекта дейности като </w:t>
      </w:r>
      <w:r w:rsidR="00E813B6" w:rsidRPr="001B0EA3">
        <w:rPr>
          <w:szCs w:val="24"/>
          <w:lang w:eastAsia="en-US"/>
        </w:rPr>
        <w:t>цяло</w:t>
      </w:r>
      <w:r w:rsidR="00604F78" w:rsidRPr="001B0EA3">
        <w:rPr>
          <w:szCs w:val="24"/>
          <w:lang w:eastAsia="en-US"/>
        </w:rPr>
        <w:t xml:space="preserve"> остават свързани с упражняването на публични правомощия и следователно не попадат в понятието предприятие </w:t>
      </w:r>
      <w:r w:rsidR="00604F78" w:rsidRPr="001B0EA3">
        <w:rPr>
          <w:i/>
          <w:szCs w:val="24"/>
          <w:lang w:eastAsia="en-US"/>
        </w:rPr>
        <w:t>(т. 18 от Известието</w:t>
      </w:r>
      <w:r w:rsidR="00D132F7" w:rsidRPr="00D132F7">
        <w:rPr>
          <w:i/>
          <w:lang w:eastAsia="en-US"/>
        </w:rPr>
        <w:t xml:space="preserve"> </w:t>
      </w:r>
      <w:r w:rsidR="00D132F7">
        <w:rPr>
          <w:i/>
          <w:lang w:eastAsia="en-US"/>
        </w:rPr>
        <w:t>и чл. 20, ал.3 от ЗДП</w:t>
      </w:r>
      <w:r w:rsidR="00604F78" w:rsidRPr="001B0EA3">
        <w:rPr>
          <w:i/>
          <w:szCs w:val="24"/>
          <w:lang w:eastAsia="en-US"/>
        </w:rPr>
        <w:t>)</w:t>
      </w:r>
      <w:r w:rsidRPr="001B0EA3">
        <w:rPr>
          <w:szCs w:val="24"/>
          <w:lang w:eastAsia="en-US"/>
        </w:rPr>
        <w:t>;</w:t>
      </w:r>
    </w:p>
    <w:p w14:paraId="0A7C8413" w14:textId="77777777" w:rsidR="00D603F5" w:rsidRPr="00F21DE2" w:rsidRDefault="00D603F5" w:rsidP="00F21DE2">
      <w:pPr>
        <w:pStyle w:val="ListParagraph"/>
        <w:numPr>
          <w:ilvl w:val="0"/>
          <w:numId w:val="425"/>
        </w:numPr>
        <w:ind w:left="0" w:firstLine="851"/>
        <w:rPr>
          <w:b/>
          <w:szCs w:val="24"/>
          <w:lang w:eastAsia="en-US"/>
        </w:rPr>
      </w:pPr>
      <w:r w:rsidRPr="00F21DE2">
        <w:rPr>
          <w:b/>
          <w:szCs w:val="24"/>
          <w:lang w:eastAsia="en-US"/>
        </w:rPr>
        <w:t xml:space="preserve">Икономическа дейност - </w:t>
      </w:r>
      <w:r w:rsidRPr="00F21DE2">
        <w:rPr>
          <w:szCs w:val="24"/>
          <w:lang w:eastAsia="en-US"/>
        </w:rPr>
        <w:t>всяка дейност, която се състои в предлагане на стоки или услуги на пазара</w:t>
      </w:r>
      <w:r w:rsidR="00604F78" w:rsidRPr="00F21DE2">
        <w:rPr>
          <w:szCs w:val="24"/>
          <w:lang w:eastAsia="en-US"/>
        </w:rPr>
        <w:t xml:space="preserve"> </w:t>
      </w:r>
      <w:r w:rsidR="00604F78" w:rsidRPr="00F21DE2">
        <w:rPr>
          <w:i/>
          <w:szCs w:val="24"/>
          <w:lang w:eastAsia="en-US"/>
        </w:rPr>
        <w:t>(т. 12 от Известието</w:t>
      </w:r>
      <w:r w:rsidR="00D132F7" w:rsidRPr="00F21DE2">
        <w:rPr>
          <w:i/>
          <w:szCs w:val="24"/>
          <w:lang w:eastAsia="en-US"/>
        </w:rPr>
        <w:t xml:space="preserve"> и т.13 от §1. от Допълнителната разпоредба на ЗДП</w:t>
      </w:r>
      <w:r w:rsidR="00604F78" w:rsidRPr="00F21DE2">
        <w:rPr>
          <w:i/>
          <w:szCs w:val="24"/>
          <w:lang w:eastAsia="en-US"/>
        </w:rPr>
        <w:t>)</w:t>
      </w:r>
      <w:r w:rsidRPr="00F21DE2">
        <w:rPr>
          <w:szCs w:val="24"/>
          <w:lang w:eastAsia="en-US"/>
        </w:rPr>
        <w:t>. С решението от 201</w:t>
      </w:r>
      <w:r w:rsidR="00C143A5" w:rsidRPr="00F21DE2">
        <w:rPr>
          <w:szCs w:val="24"/>
          <w:lang w:eastAsia="en-US"/>
        </w:rPr>
        <w:t>0</w:t>
      </w:r>
      <w:r w:rsidRPr="00F21DE2">
        <w:rPr>
          <w:szCs w:val="24"/>
          <w:lang w:eastAsia="en-US"/>
        </w:rPr>
        <w:t xml:space="preserve"> г. по делото Лайпциг-Хале (Leipzig/Halle</w:t>
      </w:r>
      <w:r w:rsidRPr="001B0EA3">
        <w:rPr>
          <w:vertAlign w:val="superscript"/>
          <w:lang w:eastAsia="en-US"/>
        </w:rPr>
        <w:footnoteReference w:id="14"/>
      </w:r>
      <w:r w:rsidRPr="00F21DE2">
        <w:rPr>
          <w:szCs w:val="24"/>
          <w:lang w:eastAsia="en-US"/>
        </w:rPr>
        <w:t xml:space="preserve">) </w:t>
      </w:r>
      <w:r w:rsidRPr="00F21DE2">
        <w:rPr>
          <w:szCs w:val="24"/>
          <w:lang w:eastAsia="bg-BG"/>
        </w:rPr>
        <w:t>е потвърд</w:t>
      </w:r>
      <w:r w:rsidR="00957391" w:rsidRPr="00F21DE2">
        <w:rPr>
          <w:szCs w:val="24"/>
          <w:lang w:eastAsia="bg-BG"/>
        </w:rPr>
        <w:t>ено</w:t>
      </w:r>
      <w:r w:rsidRPr="00F21DE2">
        <w:rPr>
          <w:szCs w:val="24"/>
          <w:lang w:eastAsia="bg-BG"/>
        </w:rPr>
        <w:t xml:space="preserve">, че строителството на всеки вид инфраструктура, която е предназначена за </w:t>
      </w:r>
      <w:r w:rsidRPr="00F21DE2">
        <w:rPr>
          <w:b/>
          <w:szCs w:val="24"/>
          <w:lang w:eastAsia="bg-BG"/>
        </w:rPr>
        <w:t>икономическа експлоатация</w:t>
      </w:r>
      <w:r w:rsidRPr="00F21DE2">
        <w:rPr>
          <w:szCs w:val="24"/>
          <w:lang w:eastAsia="bg-BG"/>
        </w:rPr>
        <w:t xml:space="preserve">, като писта на търговско летище, само по себе си представлява </w:t>
      </w:r>
      <w:r w:rsidRPr="00F21DE2">
        <w:rPr>
          <w:b/>
          <w:szCs w:val="24"/>
          <w:lang w:eastAsia="bg-BG"/>
        </w:rPr>
        <w:t>икономическа дейност</w:t>
      </w:r>
      <w:r w:rsidRPr="00F21DE2">
        <w:rPr>
          <w:szCs w:val="24"/>
          <w:lang w:eastAsia="bg-BG"/>
        </w:rPr>
        <w:t xml:space="preserve">, което означава, че разпоредбите за ДП се прилагат по отношение на начина, по който се финансира, независимо от </w:t>
      </w:r>
      <w:r w:rsidRPr="00F21DE2">
        <w:rPr>
          <w:szCs w:val="24"/>
          <w:u w:val="single"/>
          <w:lang w:eastAsia="bg-BG"/>
        </w:rPr>
        <w:t>статута на предприятието</w:t>
      </w:r>
      <w:r w:rsidRPr="00F21DE2">
        <w:rPr>
          <w:szCs w:val="24"/>
          <w:lang w:eastAsia="bg-BG"/>
        </w:rPr>
        <w:t xml:space="preserve"> което я експлоатира. (фиг. 2.2)</w:t>
      </w:r>
      <w:r w:rsidR="00604F78" w:rsidRPr="00F21DE2">
        <w:rPr>
          <w:szCs w:val="24"/>
          <w:lang w:eastAsia="bg-BG"/>
        </w:rPr>
        <w:t xml:space="preserve"> </w:t>
      </w:r>
      <w:r w:rsidR="00604F78" w:rsidRPr="00F21DE2">
        <w:rPr>
          <w:i/>
          <w:szCs w:val="24"/>
          <w:lang w:eastAsia="en-US"/>
        </w:rPr>
        <w:t>(т. 202 от Известието)</w:t>
      </w:r>
      <w:r w:rsidRPr="00F21DE2">
        <w:rPr>
          <w:szCs w:val="24"/>
          <w:lang w:eastAsia="bg-BG"/>
        </w:rPr>
        <w:t xml:space="preserve">. Публичното финансиране на инфраструктура, </w:t>
      </w:r>
      <w:r w:rsidRPr="00F21DE2">
        <w:rPr>
          <w:b/>
          <w:szCs w:val="24"/>
          <w:lang w:eastAsia="bg-BG"/>
        </w:rPr>
        <w:t>която не е предназначена за търговска експлоатация</w:t>
      </w:r>
      <w:r w:rsidRPr="00F21DE2">
        <w:rPr>
          <w:szCs w:val="24"/>
          <w:lang w:eastAsia="bg-BG"/>
        </w:rPr>
        <w:t xml:space="preserve">, по принцип е </w:t>
      </w:r>
      <w:r w:rsidRPr="00F21DE2">
        <w:rPr>
          <w:b/>
          <w:szCs w:val="24"/>
          <w:lang w:eastAsia="bg-BG"/>
        </w:rPr>
        <w:t xml:space="preserve">изключено </w:t>
      </w:r>
      <w:r w:rsidRPr="00F21DE2">
        <w:rPr>
          <w:szCs w:val="24"/>
          <w:lang w:eastAsia="bg-BG"/>
        </w:rPr>
        <w:t xml:space="preserve">от прилагането на разпоредбите за ДП. Например това се отнася до общата инфраструктура като обществени пътища, мостове или канали, които са достъпни за обществеността безвъзмездно. Същото важи за инфраструктура, която е предназначена за дейности, които държавата извършва обикновено при упражняване на своите официални правомощия като публичен орган </w:t>
      </w:r>
      <w:r w:rsidRPr="00F21DE2">
        <w:rPr>
          <w:i/>
          <w:szCs w:val="24"/>
          <w:lang w:eastAsia="bg-BG"/>
        </w:rPr>
        <w:t xml:space="preserve">(например летищната инфраструктура, свързана с контрола на въздушното движение, фаровете и другото </w:t>
      </w:r>
      <w:r w:rsidRPr="00F21DE2">
        <w:rPr>
          <w:i/>
          <w:szCs w:val="24"/>
          <w:lang w:eastAsia="bg-BG"/>
        </w:rPr>
        <w:lastRenderedPageBreak/>
        <w:t>оборудване за нуждите на общото корабоплаване, полицейска и митническа инфраструктура)</w:t>
      </w:r>
      <w:r w:rsidR="00604F78" w:rsidRPr="00F21DE2">
        <w:rPr>
          <w:i/>
          <w:szCs w:val="24"/>
          <w:lang w:eastAsia="bg-BG"/>
        </w:rPr>
        <w:t xml:space="preserve"> </w:t>
      </w:r>
      <w:r w:rsidR="00604F78" w:rsidRPr="00F21DE2">
        <w:rPr>
          <w:i/>
          <w:szCs w:val="24"/>
          <w:lang w:eastAsia="en-US"/>
        </w:rPr>
        <w:t>(т. 203 от Известието)</w:t>
      </w:r>
      <w:r w:rsidRPr="00F21DE2">
        <w:rPr>
          <w:i/>
          <w:szCs w:val="24"/>
          <w:lang w:eastAsia="bg-BG"/>
        </w:rPr>
        <w:t>.</w:t>
      </w:r>
    </w:p>
    <w:p w14:paraId="65E386E5" w14:textId="77777777" w:rsidR="00D603F5" w:rsidRDefault="00D603F5" w:rsidP="00F21DE2">
      <w:pPr>
        <w:rPr>
          <w:lang w:eastAsia="en-US"/>
        </w:rPr>
      </w:pPr>
    </w:p>
    <w:p w14:paraId="64BAEFA8" w14:textId="77777777" w:rsidR="009A2B56" w:rsidRDefault="009A2B56" w:rsidP="00F21DE2">
      <w:pPr>
        <w:rPr>
          <w:lang w:eastAsia="en-US"/>
        </w:rPr>
      </w:pPr>
    </w:p>
    <w:p w14:paraId="7288F285" w14:textId="77777777" w:rsidR="009A2B56" w:rsidRPr="001B0EA3" w:rsidRDefault="009A2B56" w:rsidP="00F21DE2">
      <w:pPr>
        <w:rPr>
          <w:lang w:eastAsia="en-US"/>
        </w:rPr>
      </w:pPr>
    </w:p>
    <w:p w14:paraId="0ACCC724" w14:textId="77777777" w:rsidR="00C143A5" w:rsidRPr="001B0EA3" w:rsidRDefault="00C143A5" w:rsidP="00F21DE2">
      <w:pPr>
        <w:rPr>
          <w:lang w:eastAsia="en-US"/>
        </w:rPr>
      </w:pPr>
    </w:p>
    <w:p w14:paraId="6D005610" w14:textId="77777777" w:rsidR="00D603F5" w:rsidRPr="009A2B56" w:rsidRDefault="00D603F5" w:rsidP="009A2B56">
      <w:pPr>
        <w:ind w:firstLine="0"/>
        <w:jc w:val="center"/>
        <w:rPr>
          <w:b/>
          <w:lang w:eastAsia="en-US"/>
        </w:rPr>
      </w:pPr>
      <w:r w:rsidRPr="009A2B56">
        <w:rPr>
          <w:b/>
          <w:lang w:eastAsia="en-US"/>
        </w:rPr>
        <w:t>Фиг. 2.2. Строителството на инфраструктура – икономическа дейност</w:t>
      </w:r>
    </w:p>
    <w:p w14:paraId="40F2A789" w14:textId="77777777" w:rsidR="00492BA4" w:rsidRPr="001B0EA3" w:rsidRDefault="00492BA4" w:rsidP="00890B4B">
      <w:pPr>
        <w:rPr>
          <w:color w:val="0070C0"/>
          <w:szCs w:val="22"/>
          <w:lang w:eastAsia="en-US"/>
        </w:rPr>
      </w:pPr>
    </w:p>
    <w:p w14:paraId="38121933" w14:textId="77777777" w:rsidR="00D603F5" w:rsidRPr="001B0EA3" w:rsidRDefault="00937754" w:rsidP="009A2B56">
      <w:pPr>
        <w:ind w:firstLine="0"/>
        <w:jc w:val="center"/>
        <w:rPr>
          <w:szCs w:val="24"/>
          <w:lang w:eastAsia="en-US"/>
        </w:rPr>
      </w:pPr>
      <w:r w:rsidRPr="001B0EA3">
        <w:rPr>
          <w:noProof/>
          <w:lang w:eastAsia="bg-BG"/>
        </w:rPr>
        <mc:AlternateContent>
          <mc:Choice Requires="wpg">
            <w:drawing>
              <wp:inline distT="0" distB="0" distL="0" distR="0" wp14:anchorId="5F028BBF" wp14:editId="7FB7F5C0">
                <wp:extent cx="4292600" cy="1703070"/>
                <wp:effectExtent l="0" t="0" r="12700" b="30480"/>
                <wp:docPr id="1597" name="Group 1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0" cy="1703070"/>
                          <a:chOff x="2734" y="7541"/>
                          <a:chExt cx="6760" cy="2682"/>
                        </a:xfrm>
                      </wpg:grpSpPr>
                      <wps:wsp>
                        <wps:cNvPr id="1598" name="AutoShape 33"/>
                        <wps:cNvSpPr>
                          <a:spLocks noChangeArrowheads="1"/>
                        </wps:cNvSpPr>
                        <wps:spPr bwMode="auto">
                          <a:xfrm>
                            <a:off x="3986" y="7541"/>
                            <a:ext cx="4101" cy="533"/>
                          </a:xfrm>
                          <a:prstGeom prst="flowChartTerminator">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14:paraId="1CC33DB0" w14:textId="77777777" w:rsidR="004E3164" w:rsidRPr="00864A2F" w:rsidRDefault="004E3164" w:rsidP="00864A2F">
                              <w:pPr>
                                <w:ind w:firstLine="0"/>
                                <w:jc w:val="center"/>
                                <w:rPr>
                                  <w:sz w:val="20"/>
                                </w:rPr>
                              </w:pPr>
                              <w:r w:rsidRPr="00864A2F">
                                <w:rPr>
                                  <w:b/>
                                  <w:sz w:val="20"/>
                                </w:rPr>
                                <w:t>Държавни ресурси</w:t>
                              </w:r>
                            </w:p>
                            <w:p w14:paraId="09224E06" w14:textId="77777777" w:rsidR="004E3164" w:rsidRPr="00864A2F" w:rsidRDefault="004E3164" w:rsidP="00864A2F">
                              <w:pPr>
                                <w:ind w:firstLine="0"/>
                                <w:jc w:val="center"/>
                                <w:rPr>
                                  <w:color w:val="FF0000"/>
                                  <w:sz w:val="20"/>
                                </w:rPr>
                              </w:pPr>
                            </w:p>
                          </w:txbxContent>
                        </wps:txbx>
                        <wps:bodyPr rot="0" vert="horz" wrap="square" lIns="91440" tIns="45720" rIns="91440" bIns="45720" anchor="t" anchorCtr="0" upright="1">
                          <a:noAutofit/>
                        </wps:bodyPr>
                      </wps:wsp>
                      <wps:wsp>
                        <wps:cNvPr id="1599" name="AutoShape 34"/>
                        <wps:cNvCnPr>
                          <a:cxnSpLocks noChangeShapeType="1"/>
                        </wps:cNvCnPr>
                        <wps:spPr bwMode="auto">
                          <a:xfrm>
                            <a:off x="6107" y="8073"/>
                            <a:ext cx="0" cy="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2" name="Rectangle 35"/>
                        <wps:cNvSpPr>
                          <a:spLocks noChangeArrowheads="1"/>
                        </wps:cNvSpPr>
                        <wps:spPr bwMode="auto">
                          <a:xfrm>
                            <a:off x="2734" y="8540"/>
                            <a:ext cx="6760" cy="1683"/>
                          </a:xfrm>
                          <a:prstGeom prst="rect">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miter lim="800000"/>
                                <a:headEnd/>
                                <a:tailEnd/>
                              </a14:hiddenLine>
                            </a:ext>
                          </a:extLst>
                        </wps:spPr>
                        <wps:txbx>
                          <w:txbxContent>
                            <w:p w14:paraId="28097268" w14:textId="77777777" w:rsidR="004E3164" w:rsidRPr="00864A2F" w:rsidRDefault="004E3164" w:rsidP="00864A2F">
                              <w:pPr>
                                <w:ind w:firstLine="0"/>
                                <w:jc w:val="center"/>
                                <w:rPr>
                                  <w:sz w:val="20"/>
                                </w:rPr>
                              </w:pPr>
                              <w:r w:rsidRPr="00864A2F">
                                <w:rPr>
                                  <w:sz w:val="20"/>
                                </w:rPr>
                                <w:t xml:space="preserve">Публичното финансиране на строителството на </w:t>
                              </w:r>
                              <w:r w:rsidRPr="00864A2F">
                                <w:rPr>
                                  <w:b/>
                                  <w:sz w:val="20"/>
                                </w:rPr>
                                <w:t>всеки вид инфраструктура</w:t>
                              </w:r>
                              <w:r w:rsidRPr="00864A2F">
                                <w:rPr>
                                  <w:sz w:val="20"/>
                                </w:rPr>
                                <w:t xml:space="preserve">, която е  предназначена </w:t>
                              </w:r>
                              <w:r w:rsidRPr="00864A2F">
                                <w:rPr>
                                  <w:i/>
                                  <w:sz w:val="20"/>
                                </w:rPr>
                                <w:t xml:space="preserve">за </w:t>
                              </w:r>
                              <w:r w:rsidRPr="00864A2F">
                                <w:rPr>
                                  <w:i/>
                                  <w:sz w:val="20"/>
                                  <w:u w:val="single"/>
                                </w:rPr>
                                <w:t>икономическа експлоатация</w:t>
                              </w:r>
                              <w:r w:rsidRPr="00864A2F">
                                <w:rPr>
                                  <w:sz w:val="20"/>
                                </w:rPr>
                                <w:t xml:space="preserve">  представлява </w:t>
                              </w:r>
                              <w:r w:rsidRPr="00864A2F">
                                <w:rPr>
                                  <w:b/>
                                  <w:sz w:val="20"/>
                                </w:rPr>
                                <w:t>икономическа дейност</w:t>
                              </w:r>
                              <w:r w:rsidRPr="00864A2F">
                                <w:rPr>
                                  <w:sz w:val="20"/>
                                </w:rPr>
                                <w:t>.</w:t>
                              </w:r>
                            </w:p>
                            <w:p w14:paraId="0D76D953" w14:textId="77777777" w:rsidR="004E3164" w:rsidRPr="00864A2F" w:rsidRDefault="004E3164" w:rsidP="00864A2F">
                              <w:pPr>
                                <w:numPr>
                                  <w:ilvl w:val="0"/>
                                  <w:numId w:val="85"/>
                                </w:numPr>
                                <w:spacing w:line="276" w:lineRule="auto"/>
                                <w:ind w:left="0" w:firstLine="0"/>
                                <w:jc w:val="left"/>
                                <w:rPr>
                                  <w:i/>
                                  <w:sz w:val="20"/>
                                </w:rPr>
                              </w:pPr>
                              <w:r w:rsidRPr="00864A2F">
                                <w:rPr>
                                  <w:b/>
                                  <w:i/>
                                  <w:sz w:val="20"/>
                                </w:rPr>
                                <w:t>неразделна част</w:t>
                              </w:r>
                              <w:r w:rsidRPr="00864A2F">
                                <w:rPr>
                                  <w:i/>
                                  <w:sz w:val="20"/>
                                </w:rPr>
                                <w:t xml:space="preserve"> от икономическата експлоатация; </w:t>
                              </w:r>
                            </w:p>
                            <w:p w14:paraId="237BFAF4" w14:textId="77777777" w:rsidR="004E3164" w:rsidRPr="00864A2F" w:rsidRDefault="004E3164" w:rsidP="00864A2F">
                              <w:pPr>
                                <w:numPr>
                                  <w:ilvl w:val="0"/>
                                  <w:numId w:val="85"/>
                                </w:numPr>
                                <w:spacing w:line="276" w:lineRule="auto"/>
                                <w:ind w:left="0" w:firstLine="0"/>
                                <w:rPr>
                                  <w:sz w:val="20"/>
                                </w:rPr>
                              </w:pPr>
                              <w:r w:rsidRPr="00864A2F">
                                <w:rPr>
                                  <w:i/>
                                  <w:sz w:val="20"/>
                                </w:rPr>
                                <w:t xml:space="preserve">независи от </w:t>
                              </w:r>
                              <w:r w:rsidRPr="00864A2F">
                                <w:rPr>
                                  <w:b/>
                                  <w:i/>
                                  <w:sz w:val="20"/>
                                </w:rPr>
                                <w:t>статута</w:t>
                              </w:r>
                              <w:r w:rsidRPr="00864A2F">
                                <w:rPr>
                                  <w:i/>
                                  <w:sz w:val="20"/>
                                </w:rPr>
                                <w:t xml:space="preserve"> на предприятието, което я експлоатира</w:t>
                              </w:r>
                              <w:r w:rsidRPr="00864A2F">
                                <w:rPr>
                                  <w:sz w:val="20"/>
                                </w:rPr>
                                <w:t xml:space="preserve">. </w:t>
                              </w:r>
                            </w:p>
                            <w:p w14:paraId="66572626" w14:textId="77777777" w:rsidR="004E3164" w:rsidRPr="00864A2F" w:rsidRDefault="004E3164" w:rsidP="00864A2F">
                              <w:pPr>
                                <w:ind w:firstLine="0"/>
                                <w:jc w:val="center"/>
                                <w:rPr>
                                  <w:sz w:val="20"/>
                                </w:rPr>
                              </w:pPr>
                            </w:p>
                          </w:txbxContent>
                        </wps:txbx>
                        <wps:bodyPr rot="0" vert="horz" wrap="square" lIns="91440" tIns="45720" rIns="91440" bIns="45720" anchor="t" anchorCtr="0" upright="1">
                          <a:noAutofit/>
                        </wps:bodyPr>
                      </wps:wsp>
                    </wpg:wgp>
                  </a:graphicData>
                </a:graphic>
              </wp:inline>
            </w:drawing>
          </mc:Choice>
          <mc:Fallback>
            <w:pict>
              <v:group w14:anchorId="5F028BBF" id="Group 1597" o:spid="_x0000_s1212" style="width:338pt;height:134.1pt;mso-position-horizontal-relative:char;mso-position-vertical-relative:line" coordorigin="2734,7541" coordsize="6760,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">
                <v:shape id="AutoShape 33" o:spid="_x0000_s1213" type="#_x0000_t116" style="position:absolute;left:3986;top:7541;width:4101;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" stroked="f" strokecolor="#666" strokeweight="1pt">
                  <v:fill color2="#999" focus="100%" type="gradient"/>
                  <v:shadow on="t" color="#7f7f7f" opacity=".5" offset="1pt"/>
                  <v:textbox>
                    <w:txbxContent>
                      <w:p w14:paraId="1CC33DB0" w14:textId="77777777" w:rsidR="004E3164" w:rsidRPr="00864A2F" w:rsidRDefault="004E3164" w:rsidP="00864A2F">
                        <w:pPr>
                          <w:ind w:firstLine="0"/>
                          <w:jc w:val="center"/>
                          <w:rPr>
                            <w:sz w:val="20"/>
                          </w:rPr>
                        </w:pPr>
                        <w:r w:rsidRPr="00864A2F">
                          <w:rPr>
                            <w:b/>
                            <w:sz w:val="20"/>
                          </w:rPr>
                          <w:t>Държавни ресурси</w:t>
                        </w:r>
                      </w:p>
                      <w:p w14:paraId="09224E06" w14:textId="77777777" w:rsidR="004E3164" w:rsidRPr="00864A2F" w:rsidRDefault="004E3164" w:rsidP="00864A2F">
                        <w:pPr>
                          <w:ind w:firstLine="0"/>
                          <w:jc w:val="center"/>
                          <w:rPr>
                            <w:color w:val="FF0000"/>
                            <w:sz w:val="20"/>
                          </w:rPr>
                        </w:pPr>
                      </w:p>
                    </w:txbxContent>
                  </v:textbox>
                </v:shape>
                <v:shape id="AutoShape 34" o:spid="_x0000_s1214" type="#_x0000_t32" style="position:absolute;left:6107;top:8073;width:0;height: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">
                  <v:stroke endarrow="block"/>
                </v:shape>
                <v:rect id="Rectangle 35" o:spid="_x0000_s1215" style="position:absolute;left:2734;top:8540;width:6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" stroked="f" strokecolor="#95b3d7" strokeweight="1pt">
                  <v:fill color2="#b8cce4" focus="100%" type="gradient"/>
                  <v:shadow on="t" color="#243f60" opacity=".5" offset="1pt"/>
                  <v:textbox>
                    <w:txbxContent>
                      <w:p w14:paraId="28097268" w14:textId="77777777" w:rsidR="004E3164" w:rsidRPr="00864A2F" w:rsidRDefault="004E3164" w:rsidP="00864A2F">
                        <w:pPr>
                          <w:ind w:firstLine="0"/>
                          <w:jc w:val="center"/>
                          <w:rPr>
                            <w:sz w:val="20"/>
                          </w:rPr>
                        </w:pPr>
                        <w:r w:rsidRPr="00864A2F">
                          <w:rPr>
                            <w:sz w:val="20"/>
                          </w:rPr>
                          <w:t xml:space="preserve">Публичното финансиране на строителството на </w:t>
                        </w:r>
                        <w:r w:rsidRPr="00864A2F">
                          <w:rPr>
                            <w:b/>
                            <w:sz w:val="20"/>
                          </w:rPr>
                          <w:t>всеки вид инфраструктура</w:t>
                        </w:r>
                        <w:r w:rsidRPr="00864A2F">
                          <w:rPr>
                            <w:sz w:val="20"/>
                          </w:rPr>
                          <w:t xml:space="preserve">, която е  предназначена </w:t>
                        </w:r>
                        <w:r w:rsidRPr="00864A2F">
                          <w:rPr>
                            <w:i/>
                            <w:sz w:val="20"/>
                          </w:rPr>
                          <w:t xml:space="preserve">за </w:t>
                        </w:r>
                        <w:r w:rsidRPr="00864A2F">
                          <w:rPr>
                            <w:i/>
                            <w:sz w:val="20"/>
                            <w:u w:val="single"/>
                          </w:rPr>
                          <w:t>икономическа експлоатация</w:t>
                        </w:r>
                        <w:r w:rsidRPr="00864A2F">
                          <w:rPr>
                            <w:sz w:val="20"/>
                          </w:rPr>
                          <w:t xml:space="preserve">  представлява </w:t>
                        </w:r>
                        <w:r w:rsidRPr="00864A2F">
                          <w:rPr>
                            <w:b/>
                            <w:sz w:val="20"/>
                          </w:rPr>
                          <w:t>икономическа дейност</w:t>
                        </w:r>
                        <w:r w:rsidRPr="00864A2F">
                          <w:rPr>
                            <w:sz w:val="20"/>
                          </w:rPr>
                          <w:t>.</w:t>
                        </w:r>
                      </w:p>
                      <w:p w14:paraId="0D76D953" w14:textId="77777777" w:rsidR="004E3164" w:rsidRPr="00864A2F" w:rsidRDefault="004E3164" w:rsidP="00864A2F">
                        <w:pPr>
                          <w:numPr>
                            <w:ilvl w:val="0"/>
                            <w:numId w:val="85"/>
                          </w:numPr>
                          <w:spacing w:line="276" w:lineRule="auto"/>
                          <w:ind w:left="0" w:firstLine="0"/>
                          <w:jc w:val="left"/>
                          <w:rPr>
                            <w:i/>
                            <w:sz w:val="20"/>
                          </w:rPr>
                        </w:pPr>
                        <w:r w:rsidRPr="00864A2F">
                          <w:rPr>
                            <w:b/>
                            <w:i/>
                            <w:sz w:val="20"/>
                          </w:rPr>
                          <w:t>неразделна част</w:t>
                        </w:r>
                        <w:r w:rsidRPr="00864A2F">
                          <w:rPr>
                            <w:i/>
                            <w:sz w:val="20"/>
                          </w:rPr>
                          <w:t xml:space="preserve"> от икономическата експлоатация; </w:t>
                        </w:r>
                      </w:p>
                      <w:p w14:paraId="237BFAF4" w14:textId="77777777" w:rsidR="004E3164" w:rsidRPr="00864A2F" w:rsidRDefault="004E3164" w:rsidP="00864A2F">
                        <w:pPr>
                          <w:numPr>
                            <w:ilvl w:val="0"/>
                            <w:numId w:val="85"/>
                          </w:numPr>
                          <w:spacing w:line="276" w:lineRule="auto"/>
                          <w:ind w:left="0" w:firstLine="0"/>
                          <w:rPr>
                            <w:sz w:val="20"/>
                          </w:rPr>
                        </w:pPr>
                        <w:r w:rsidRPr="00864A2F">
                          <w:rPr>
                            <w:i/>
                            <w:sz w:val="20"/>
                          </w:rPr>
                          <w:t xml:space="preserve">независи от </w:t>
                        </w:r>
                        <w:r w:rsidRPr="00864A2F">
                          <w:rPr>
                            <w:b/>
                            <w:i/>
                            <w:sz w:val="20"/>
                          </w:rPr>
                          <w:t>статута</w:t>
                        </w:r>
                        <w:r w:rsidRPr="00864A2F">
                          <w:rPr>
                            <w:i/>
                            <w:sz w:val="20"/>
                          </w:rPr>
                          <w:t xml:space="preserve"> на предприятието, което я експлоатира</w:t>
                        </w:r>
                        <w:r w:rsidRPr="00864A2F">
                          <w:rPr>
                            <w:sz w:val="20"/>
                          </w:rPr>
                          <w:t xml:space="preserve">. </w:t>
                        </w:r>
                      </w:p>
                      <w:p w14:paraId="66572626" w14:textId="77777777" w:rsidR="004E3164" w:rsidRPr="00864A2F" w:rsidRDefault="004E3164" w:rsidP="00864A2F">
                        <w:pPr>
                          <w:ind w:firstLine="0"/>
                          <w:jc w:val="center"/>
                          <w:rPr>
                            <w:sz w:val="20"/>
                          </w:rPr>
                        </w:pPr>
                      </w:p>
                    </w:txbxContent>
                  </v:textbox>
                </v:rect>
                <w10:anchorlock/>
              </v:group>
            </w:pict>
          </mc:Fallback>
        </mc:AlternateContent>
      </w:r>
    </w:p>
    <w:p w14:paraId="295D789E" w14:textId="77777777" w:rsidR="00D603F5" w:rsidRPr="001B0EA3" w:rsidRDefault="00D603F5" w:rsidP="00660856">
      <w:pPr>
        <w:ind w:firstLine="539"/>
        <w:rPr>
          <w:szCs w:val="24"/>
          <w:lang w:eastAsia="en-US"/>
        </w:rPr>
      </w:pPr>
    </w:p>
    <w:p w14:paraId="01E91CFE" w14:textId="77777777" w:rsidR="00604F78" w:rsidRPr="001B0EA3" w:rsidRDefault="00604F78" w:rsidP="009A2B56">
      <w:pPr>
        <w:rPr>
          <w:lang w:eastAsia="en-US"/>
        </w:rPr>
      </w:pPr>
      <w:r w:rsidRPr="001B0EA3">
        <w:rPr>
          <w:lang w:eastAsia="en-US"/>
        </w:rPr>
        <w:t xml:space="preserve">По –детайлни разяснения относно понятията предприятие и икономическа дейност са дадени в раздел 2.  на Известието </w:t>
      </w:r>
      <w:r w:rsidRPr="001B0EA3">
        <w:rPr>
          <w:i/>
          <w:lang w:eastAsia="en-US"/>
        </w:rPr>
        <w:t xml:space="preserve">(от </w:t>
      </w:r>
      <w:r w:rsidR="00D132F7">
        <w:rPr>
          <w:i/>
          <w:lang w:eastAsia="en-US"/>
        </w:rPr>
        <w:t>т</w:t>
      </w:r>
      <w:r w:rsidRPr="001B0EA3">
        <w:rPr>
          <w:i/>
          <w:lang w:eastAsia="en-US"/>
        </w:rPr>
        <w:t xml:space="preserve">. 6 до 37) </w:t>
      </w:r>
      <w:r w:rsidRPr="001B0EA3">
        <w:rPr>
          <w:lang w:eastAsia="en-US"/>
        </w:rPr>
        <w:t>и аналитичните  матрици (</w:t>
      </w:r>
      <w:r w:rsidRPr="001B0EA3">
        <w:rPr>
          <w:i/>
          <w:lang w:eastAsia="en-US"/>
        </w:rPr>
        <w:t>Приложения № 2.05.</w:t>
      </w:r>
      <w:r w:rsidRPr="001B0EA3">
        <w:rPr>
          <w:lang w:eastAsia="en-US"/>
        </w:rPr>
        <w:t xml:space="preserve"> </w:t>
      </w:r>
      <w:r w:rsidRPr="001B0EA3">
        <w:rPr>
          <w:i/>
          <w:lang w:eastAsia="en-US"/>
        </w:rPr>
        <w:t>и</w:t>
      </w:r>
      <w:r w:rsidRPr="001B0EA3">
        <w:rPr>
          <w:lang w:eastAsia="en-US"/>
        </w:rPr>
        <w:t xml:space="preserve"> </w:t>
      </w:r>
      <w:r w:rsidRPr="001B0EA3">
        <w:rPr>
          <w:i/>
          <w:lang w:eastAsia="en-US"/>
        </w:rPr>
        <w:t>№ 2.06.).</w:t>
      </w:r>
    </w:p>
    <w:p w14:paraId="6709FCB6" w14:textId="77777777" w:rsidR="00D603F5" w:rsidRPr="001B0EA3" w:rsidRDefault="00D603F5" w:rsidP="009A2B56">
      <w:pPr>
        <w:rPr>
          <w:lang w:eastAsia="en-US"/>
        </w:rPr>
      </w:pPr>
      <w:r w:rsidRPr="001B0EA3">
        <w:rPr>
          <w:lang w:eastAsia="en-US"/>
        </w:rPr>
        <w:t xml:space="preserve">Разписаните процедури за ДП в </w:t>
      </w:r>
      <w:r w:rsidR="00D132F7" w:rsidRPr="00D132F7">
        <w:rPr>
          <w:lang w:eastAsia="en-US"/>
        </w:rPr>
        <w:t xml:space="preserve">настоящата </w:t>
      </w:r>
      <w:r w:rsidRPr="001B0EA3">
        <w:rPr>
          <w:b/>
          <w:lang w:eastAsia="en-US"/>
        </w:rPr>
        <w:t xml:space="preserve">глава </w:t>
      </w:r>
      <w:r w:rsidRPr="001B0EA3">
        <w:rPr>
          <w:lang w:eastAsia="en-US"/>
        </w:rPr>
        <w:t>на процедурния наръчник не са адресирани към конкретен случай или характеристики на определена мярка и не може да се използва за ограничаване на отговорността при действия в нарушение на законодателството от страна на администраторите на помощ.</w:t>
      </w:r>
    </w:p>
    <w:p w14:paraId="0530B40E" w14:textId="77777777" w:rsidR="00D603F5" w:rsidRPr="001B0EA3" w:rsidRDefault="00D603F5" w:rsidP="009A2B56">
      <w:pPr>
        <w:rPr>
          <w:lang w:eastAsia="en-US"/>
        </w:rPr>
      </w:pPr>
      <w:r w:rsidRPr="001B0EA3">
        <w:rPr>
          <w:lang w:eastAsia="en-US"/>
        </w:rPr>
        <w:t xml:space="preserve">Никой администратор на ДП  не може да се позовава и да тълкува  процедурите за ДП при разработването и оценката на конкретна </w:t>
      </w:r>
      <w:r w:rsidRPr="001B0EA3">
        <w:rPr>
          <w:b/>
          <w:lang w:eastAsia="en-US"/>
        </w:rPr>
        <w:t>„мярка“ за подпомагане</w:t>
      </w:r>
      <w:r w:rsidRPr="001B0EA3">
        <w:rPr>
          <w:lang w:eastAsia="en-US"/>
        </w:rPr>
        <w:t xml:space="preserve"> в противоречие с действащото законодателство по държавните помощи. </w:t>
      </w:r>
    </w:p>
    <w:p w14:paraId="387830B6" w14:textId="77777777" w:rsidR="00D603F5" w:rsidRDefault="00D603F5" w:rsidP="009A2B56">
      <w:pPr>
        <w:rPr>
          <w:b/>
          <w:lang w:eastAsia="en-US"/>
        </w:rPr>
      </w:pPr>
      <w:r w:rsidRPr="001B0EA3">
        <w:rPr>
          <w:lang w:eastAsia="en-US"/>
        </w:rPr>
        <w:t>Целта на процедури</w:t>
      </w:r>
      <w:r w:rsidR="00425754" w:rsidRPr="001B0EA3">
        <w:rPr>
          <w:lang w:eastAsia="en-US"/>
        </w:rPr>
        <w:t>те</w:t>
      </w:r>
      <w:r w:rsidRPr="001B0EA3">
        <w:rPr>
          <w:lang w:eastAsia="en-US"/>
        </w:rPr>
        <w:t xml:space="preserve"> за ДП в </w:t>
      </w:r>
      <w:r w:rsidR="00A261FA" w:rsidRPr="00A261FA">
        <w:rPr>
          <w:lang w:eastAsia="en-US"/>
        </w:rPr>
        <w:t xml:space="preserve">настоящата </w:t>
      </w:r>
      <w:r w:rsidRPr="001B0EA3">
        <w:rPr>
          <w:b/>
          <w:lang w:eastAsia="en-US"/>
        </w:rPr>
        <w:t xml:space="preserve">глава </w:t>
      </w:r>
      <w:r w:rsidRPr="001B0EA3">
        <w:rPr>
          <w:lang w:eastAsia="en-US"/>
        </w:rPr>
        <w:t xml:space="preserve">на процедурния наръчник е да създаде условия за прилагане на  единен (унифициран) подход през програмния период 2014-2020 г. по отношение въвеждането на съществени изисквания, свързани с процедурите, законодателството и постоянната практика на ЕК и Съда на ЕС по ДП. Прилагането на унифициран подход се изразява </w:t>
      </w:r>
      <w:r w:rsidRPr="001B0EA3">
        <w:rPr>
          <w:b/>
          <w:lang w:eastAsia="en-US"/>
        </w:rPr>
        <w:t xml:space="preserve">в спазване на определена последователност и логическа взаимовръзка между съществените елементи от режима по ДП. </w:t>
      </w:r>
    </w:p>
    <w:p w14:paraId="75F195B9" w14:textId="77777777" w:rsidR="002133BB" w:rsidRPr="001B0EA3" w:rsidRDefault="002133BB" w:rsidP="00660856">
      <w:pPr>
        <w:tabs>
          <w:tab w:val="center" w:pos="4153"/>
          <w:tab w:val="right" w:pos="8306"/>
        </w:tabs>
        <w:rPr>
          <w:b/>
          <w:szCs w:val="24"/>
          <w:lang w:eastAsia="en-US"/>
        </w:rPr>
      </w:pPr>
    </w:p>
    <w:p w14:paraId="5009D1B8" w14:textId="77777777" w:rsidR="002133BB" w:rsidRDefault="00D603F5" w:rsidP="002133BB">
      <w:pPr>
        <w:pStyle w:val="Style1"/>
      </w:pPr>
      <w:bookmarkStart w:id="325" w:name="_Ref408991557"/>
      <w:bookmarkStart w:id="326" w:name="_Ref408991760"/>
      <w:bookmarkStart w:id="327" w:name="_Ref408993954"/>
      <w:bookmarkStart w:id="328" w:name="_Toc479775572"/>
      <w:bookmarkStart w:id="329" w:name="_Toc140150178"/>
      <w:r w:rsidRPr="001B0EA3">
        <w:t>Определяне на приложимостта на чл. 107, параграф 1 от ДФЕС при програмиране и  разработване на мерки</w:t>
      </w:r>
      <w:bookmarkStart w:id="330" w:name="_Toc479775573"/>
      <w:bookmarkEnd w:id="325"/>
      <w:bookmarkEnd w:id="326"/>
      <w:bookmarkEnd w:id="327"/>
      <w:bookmarkEnd w:id="328"/>
      <w:bookmarkEnd w:id="329"/>
    </w:p>
    <w:p w14:paraId="23BF4EE5" w14:textId="77777777" w:rsidR="002133BB" w:rsidRDefault="002133BB" w:rsidP="009A2B56">
      <w:pPr>
        <w:rPr>
          <w:lang w:eastAsia="en-US"/>
        </w:rPr>
      </w:pPr>
      <w:r w:rsidRPr="001B0EA3">
        <w:rPr>
          <w:lang w:eastAsia="en-US"/>
        </w:rPr>
        <w:t>С цел да се прецизира и детайлизира съществуващата уредба за ефективното прилагане на правилата на ЕС за ДП на национално ниво, като бъде съобразена със спецификите в областта на Европейските структурни и инвестиционни фондове (ЕСИФ), както и да унифицира практиката на УО</w:t>
      </w:r>
      <w:r>
        <w:rPr>
          <w:lang w:eastAsia="en-US"/>
        </w:rPr>
        <w:t xml:space="preserve"> на ОПТТИ</w:t>
      </w:r>
      <w:r w:rsidRPr="001B0EA3">
        <w:rPr>
          <w:lang w:eastAsia="en-US"/>
        </w:rPr>
        <w:t>, без да въвежда стандартизирани текстове е необходимо да се въведат следните процедури, базирани на алгоритми за действие за:</w:t>
      </w:r>
    </w:p>
    <w:p w14:paraId="7D4272DE" w14:textId="77777777" w:rsidR="009A2B56" w:rsidRPr="001B0EA3" w:rsidRDefault="009A2B56" w:rsidP="009A2B56">
      <w:pPr>
        <w:rPr>
          <w:lang w:eastAsia="en-US"/>
        </w:rPr>
      </w:pPr>
    </w:p>
    <w:p w14:paraId="793D9A04" w14:textId="77777777" w:rsidR="00D603F5" w:rsidRPr="001B0EA3" w:rsidRDefault="00D603F5" w:rsidP="00B502C7">
      <w:pPr>
        <w:pStyle w:val="Style2"/>
        <w:rPr>
          <w:lang w:eastAsia="bg-BG"/>
        </w:rPr>
      </w:pPr>
      <w:bookmarkStart w:id="331" w:name="_Toc140150179"/>
      <w:r w:rsidRPr="001B0EA3">
        <w:rPr>
          <w:lang w:eastAsia="bg-BG"/>
        </w:rPr>
        <w:t>Тест за ДП</w:t>
      </w:r>
      <w:bookmarkEnd w:id="330"/>
      <w:bookmarkEnd w:id="331"/>
    </w:p>
    <w:p w14:paraId="4B4A96E5" w14:textId="77777777" w:rsidR="00D603F5" w:rsidRDefault="00D603F5" w:rsidP="009A2B56">
      <w:pPr>
        <w:rPr>
          <w:lang w:eastAsia="en-US"/>
        </w:rPr>
      </w:pPr>
      <w:r w:rsidRPr="001B0EA3">
        <w:rPr>
          <w:lang w:eastAsia="en-US"/>
        </w:rPr>
        <w:t xml:space="preserve">С цел спазване </w:t>
      </w:r>
      <w:r w:rsidR="009C12E3" w:rsidRPr="009C12E3">
        <w:rPr>
          <w:lang w:eastAsia="en-US"/>
        </w:rPr>
        <w:t>из</w:t>
      </w:r>
      <w:r w:rsidR="00957391">
        <w:rPr>
          <w:lang w:eastAsia="en-US"/>
        </w:rPr>
        <w:t>и</w:t>
      </w:r>
      <w:r w:rsidR="009C12E3" w:rsidRPr="009C12E3">
        <w:rPr>
          <w:lang w:eastAsia="en-US"/>
        </w:rPr>
        <w:t xml:space="preserve">скванията </w:t>
      </w:r>
      <w:r w:rsidRPr="001B0EA3">
        <w:rPr>
          <w:lang w:eastAsia="en-US"/>
        </w:rPr>
        <w:t xml:space="preserve">на чл. 6 от Регламент № 1303/2013 г. при оценката на проектните предложения за предоставяне на  безвъзмездна финансова помощ (БФП) по ОПТТИ, се включа  процедура </w:t>
      </w:r>
      <w:r w:rsidRPr="001B0EA3">
        <w:rPr>
          <w:b/>
          <w:lang w:eastAsia="en-US"/>
        </w:rPr>
        <w:t>за извършване на предварителна оценка дали проектните предложения, попадат в обхвата на правилата по ДП</w:t>
      </w:r>
      <w:r w:rsidRPr="001B0EA3">
        <w:rPr>
          <w:lang w:eastAsia="en-US"/>
        </w:rPr>
        <w:t xml:space="preserve">. Съобразно трайната практика на Съда на ЕС и Европейската комисия, оценката се базира на последователен анализ за наличие </w:t>
      </w:r>
      <w:r w:rsidRPr="001B0EA3">
        <w:rPr>
          <w:lang w:eastAsia="en-US"/>
        </w:rPr>
        <w:lastRenderedPageBreak/>
        <w:t xml:space="preserve">на критериите </w:t>
      </w:r>
      <w:r w:rsidRPr="001B0EA3">
        <w:rPr>
          <w:b/>
          <w:lang w:eastAsia="en-US"/>
        </w:rPr>
        <w:t>на „теста за държавна помощ”, съгласно чл. 107, параграф 1 от ДФЕС</w:t>
      </w:r>
      <w:r w:rsidRPr="001B0EA3">
        <w:rPr>
          <w:lang w:eastAsia="en-US"/>
        </w:rPr>
        <w:t>, който определя:</w:t>
      </w:r>
    </w:p>
    <w:p w14:paraId="078BAA62" w14:textId="77777777" w:rsidR="002133BB" w:rsidRPr="001B0EA3" w:rsidRDefault="002133BB" w:rsidP="009A2B56">
      <w:pPr>
        <w:rPr>
          <w:lang w:eastAsia="en-US"/>
        </w:rPr>
      </w:pPr>
    </w:p>
    <w:p w14:paraId="14142741" w14:textId="77777777" w:rsidR="00D603F5" w:rsidRPr="001B0EA3" w:rsidRDefault="00D603F5" w:rsidP="009A2B56">
      <w:pPr>
        <w:rPr>
          <w:lang w:eastAsia="en-US"/>
        </w:rPr>
      </w:pPr>
      <w:r w:rsidRPr="001B0EA3">
        <w:rPr>
          <w:lang w:eastAsia="en-US"/>
        </w:rPr>
        <w:t xml:space="preserve"> „Освен когато е предвидено друга в Договорите, </w:t>
      </w:r>
      <w:r w:rsidRPr="001B0EA3">
        <w:rPr>
          <w:b/>
          <w:lang w:eastAsia="en-US"/>
        </w:rPr>
        <w:t>всяка помощ</w:t>
      </w:r>
      <w:r w:rsidRPr="001B0EA3">
        <w:rPr>
          <w:lang w:eastAsia="en-US"/>
        </w:rPr>
        <w:t xml:space="preserve">, предоставена от държава членка (ДЧ) или чрез ресурси на ДЧ, под каквато и да било форма, която нарушава или заплашва да наруши конкуренцията чрез поставяне в по-благоприятно положение на определени предприятия или производството на някои стоки, доколкото засяга търговията между ДЧ </w:t>
      </w:r>
      <w:r w:rsidRPr="001B0EA3">
        <w:rPr>
          <w:b/>
          <w:lang w:eastAsia="en-US"/>
        </w:rPr>
        <w:t>е несъвместима с вътрешния пазар</w:t>
      </w:r>
      <w:r w:rsidRPr="001B0EA3">
        <w:rPr>
          <w:lang w:eastAsia="en-US"/>
        </w:rPr>
        <w:t>.</w:t>
      </w:r>
    </w:p>
    <w:p w14:paraId="64329E2F" w14:textId="77777777" w:rsidR="00D603F5" w:rsidRPr="001B0EA3" w:rsidRDefault="00D603F5" w:rsidP="009A2B56">
      <w:pPr>
        <w:rPr>
          <w:lang w:eastAsia="en-US"/>
        </w:rPr>
      </w:pPr>
      <w:r w:rsidRPr="001B0EA3">
        <w:rPr>
          <w:lang w:eastAsia="en-US"/>
        </w:rPr>
        <w:t xml:space="preserve">В дефиницията по чл. 107, параграф 1 от ДФЕС са заложени </w:t>
      </w:r>
      <w:r w:rsidR="00C143A5" w:rsidRPr="001B0EA3">
        <w:rPr>
          <w:lang w:eastAsia="en-US"/>
        </w:rPr>
        <w:t xml:space="preserve">четири </w:t>
      </w:r>
      <w:r w:rsidRPr="001B0EA3">
        <w:rPr>
          <w:lang w:eastAsia="en-US"/>
        </w:rPr>
        <w:t xml:space="preserve">елемента </w:t>
      </w:r>
      <w:r w:rsidRPr="001B0EA3">
        <w:rPr>
          <w:i/>
          <w:lang w:eastAsia="en-US"/>
        </w:rPr>
        <w:t>(критерии)</w:t>
      </w:r>
      <w:r w:rsidRPr="001B0EA3">
        <w:rPr>
          <w:lang w:eastAsia="en-US"/>
        </w:rPr>
        <w:t xml:space="preserve">, които характеризират наличие на ДП: </w:t>
      </w:r>
    </w:p>
    <w:p w14:paraId="04EB6C69" w14:textId="77777777" w:rsidR="00D603F5" w:rsidRPr="001B0EA3" w:rsidRDefault="00D603F5" w:rsidP="009A2B56">
      <w:pPr>
        <w:pStyle w:val="ListParagraph"/>
        <w:numPr>
          <w:ilvl w:val="0"/>
          <w:numId w:val="426"/>
        </w:numPr>
        <w:tabs>
          <w:tab w:val="left" w:pos="1134"/>
        </w:tabs>
        <w:ind w:left="0" w:firstLine="851"/>
        <w:rPr>
          <w:lang w:eastAsia="en-US"/>
        </w:rPr>
      </w:pPr>
      <w:r w:rsidRPr="001B0EA3">
        <w:rPr>
          <w:lang w:eastAsia="en-US"/>
        </w:rPr>
        <w:t xml:space="preserve">Наличие на помощ чрез </w:t>
      </w:r>
      <w:r w:rsidRPr="009A2B56">
        <w:rPr>
          <w:b/>
          <w:lang w:eastAsia="en-US"/>
        </w:rPr>
        <w:t>предоставяне на държавни (публични) ресурси</w:t>
      </w:r>
      <w:r w:rsidRPr="001B0EA3">
        <w:rPr>
          <w:lang w:eastAsia="en-US"/>
        </w:rPr>
        <w:t xml:space="preserve"> или </w:t>
      </w:r>
      <w:r w:rsidRPr="009A2B56">
        <w:rPr>
          <w:b/>
          <w:lang w:eastAsia="en-US"/>
        </w:rPr>
        <w:t xml:space="preserve">управлявани </w:t>
      </w:r>
      <w:r w:rsidRPr="001B0EA3">
        <w:rPr>
          <w:lang w:eastAsia="en-US"/>
        </w:rPr>
        <w:t>от ДЧ ресурси, под каквато и да било форма;</w:t>
      </w:r>
    </w:p>
    <w:p w14:paraId="56AAAADF" w14:textId="77777777" w:rsidR="00D603F5" w:rsidRPr="001B0EA3" w:rsidRDefault="00D603F5" w:rsidP="009A2B56">
      <w:pPr>
        <w:pStyle w:val="ListParagraph"/>
        <w:numPr>
          <w:ilvl w:val="0"/>
          <w:numId w:val="426"/>
        </w:numPr>
        <w:tabs>
          <w:tab w:val="left" w:pos="1134"/>
        </w:tabs>
        <w:ind w:left="0" w:firstLine="851"/>
        <w:rPr>
          <w:lang w:eastAsia="en-US"/>
        </w:rPr>
      </w:pPr>
      <w:r w:rsidRPr="001B0EA3">
        <w:rPr>
          <w:lang w:eastAsia="en-US"/>
        </w:rPr>
        <w:t xml:space="preserve">Помощта създава условия за пряко или непряко </w:t>
      </w:r>
      <w:r w:rsidRPr="009A2B56">
        <w:rPr>
          <w:b/>
          <w:lang w:eastAsia="en-US"/>
        </w:rPr>
        <w:t>икономическо предимство</w:t>
      </w:r>
      <w:r w:rsidRPr="001B0EA3">
        <w:rPr>
          <w:lang w:eastAsia="en-US"/>
        </w:rPr>
        <w:t xml:space="preserve"> и/или поставя в </w:t>
      </w:r>
      <w:r w:rsidRPr="009A2B56">
        <w:rPr>
          <w:b/>
          <w:lang w:eastAsia="en-US"/>
        </w:rPr>
        <w:t>по-благоприятно положение</w:t>
      </w:r>
      <w:r w:rsidRPr="001B0EA3">
        <w:rPr>
          <w:lang w:eastAsia="en-US"/>
        </w:rPr>
        <w:t xml:space="preserve"> на получателя;</w:t>
      </w:r>
    </w:p>
    <w:p w14:paraId="6C6A05B9" w14:textId="77777777" w:rsidR="00D603F5" w:rsidRPr="001B0EA3" w:rsidRDefault="00D603F5" w:rsidP="009A2B56">
      <w:pPr>
        <w:pStyle w:val="ListParagraph"/>
        <w:numPr>
          <w:ilvl w:val="0"/>
          <w:numId w:val="426"/>
        </w:numPr>
        <w:tabs>
          <w:tab w:val="left" w:pos="1134"/>
        </w:tabs>
        <w:ind w:left="0" w:firstLine="851"/>
        <w:rPr>
          <w:lang w:eastAsia="en-US"/>
        </w:rPr>
      </w:pPr>
      <w:r w:rsidRPr="001B0EA3">
        <w:rPr>
          <w:lang w:eastAsia="en-US"/>
        </w:rPr>
        <w:t xml:space="preserve">Помощта се предоставя на </w:t>
      </w:r>
      <w:r w:rsidRPr="009A2B56">
        <w:rPr>
          <w:b/>
          <w:lang w:eastAsia="en-US"/>
        </w:rPr>
        <w:t>определени предприятия</w:t>
      </w:r>
      <w:r w:rsidRPr="001B0EA3">
        <w:rPr>
          <w:lang w:eastAsia="en-US"/>
        </w:rPr>
        <w:t xml:space="preserve"> или за производството на </w:t>
      </w:r>
      <w:r w:rsidRPr="009A2B56">
        <w:rPr>
          <w:b/>
          <w:lang w:eastAsia="en-US"/>
        </w:rPr>
        <w:t>определени стоки</w:t>
      </w:r>
      <w:r w:rsidRPr="001B0EA3">
        <w:rPr>
          <w:lang w:eastAsia="en-US"/>
        </w:rPr>
        <w:t>;</w:t>
      </w:r>
    </w:p>
    <w:p w14:paraId="3A6A8CCF" w14:textId="77777777" w:rsidR="00D603F5" w:rsidRDefault="00D603F5" w:rsidP="009A2B56">
      <w:pPr>
        <w:pStyle w:val="ListParagraph"/>
        <w:numPr>
          <w:ilvl w:val="0"/>
          <w:numId w:val="426"/>
        </w:numPr>
        <w:tabs>
          <w:tab w:val="left" w:pos="1134"/>
        </w:tabs>
        <w:ind w:left="0" w:firstLine="851"/>
        <w:rPr>
          <w:lang w:eastAsia="en-US"/>
        </w:rPr>
      </w:pPr>
      <w:r w:rsidRPr="001B0EA3">
        <w:rPr>
          <w:lang w:eastAsia="en-US"/>
        </w:rPr>
        <w:t xml:space="preserve">Помощта води до нарушаване или заплашва да </w:t>
      </w:r>
      <w:r w:rsidRPr="009A2B56">
        <w:rPr>
          <w:b/>
          <w:lang w:eastAsia="en-US"/>
        </w:rPr>
        <w:t>наруши конкуренцията</w:t>
      </w:r>
      <w:r w:rsidR="00C143A5" w:rsidRPr="001B0EA3">
        <w:rPr>
          <w:lang w:eastAsia="en-US"/>
        </w:rPr>
        <w:t xml:space="preserve"> и</w:t>
      </w:r>
      <w:r w:rsidR="00C143A5" w:rsidRPr="009A2B56">
        <w:rPr>
          <w:b/>
          <w:lang w:eastAsia="en-US"/>
        </w:rPr>
        <w:t xml:space="preserve"> </w:t>
      </w:r>
      <w:r w:rsidR="00C143A5" w:rsidRPr="001B0EA3">
        <w:rPr>
          <w:lang w:eastAsia="en-US"/>
        </w:rPr>
        <w:t xml:space="preserve">засяга </w:t>
      </w:r>
      <w:r w:rsidR="00C143A5" w:rsidRPr="009A2B56">
        <w:rPr>
          <w:b/>
          <w:lang w:eastAsia="en-US"/>
        </w:rPr>
        <w:t>търговията между ДЧ</w:t>
      </w:r>
      <w:r w:rsidRPr="001B0EA3">
        <w:rPr>
          <w:lang w:eastAsia="en-US"/>
        </w:rPr>
        <w:t>;</w:t>
      </w:r>
    </w:p>
    <w:p w14:paraId="24A8ABC1" w14:textId="77777777" w:rsidR="009A2B56" w:rsidRPr="001B0EA3" w:rsidRDefault="009A2B56" w:rsidP="009A2B56">
      <w:pPr>
        <w:tabs>
          <w:tab w:val="left" w:pos="1134"/>
        </w:tabs>
        <w:rPr>
          <w:lang w:eastAsia="en-US"/>
        </w:rPr>
      </w:pPr>
    </w:p>
    <w:p w14:paraId="75D1DAAF" w14:textId="77777777" w:rsidR="00D603F5" w:rsidRPr="001B0EA3" w:rsidRDefault="00604F78" w:rsidP="009A2B56">
      <w:pPr>
        <w:rPr>
          <w:lang w:eastAsia="en-US"/>
        </w:rPr>
      </w:pPr>
      <w:r w:rsidRPr="001B0EA3">
        <w:rPr>
          <w:lang w:eastAsia="en-US"/>
        </w:rPr>
        <w:t xml:space="preserve">Само при </w:t>
      </w:r>
      <w:r w:rsidR="00D603F5" w:rsidRPr="001B0EA3">
        <w:rPr>
          <w:b/>
          <w:lang w:eastAsia="en-US"/>
        </w:rPr>
        <w:t>кумулативното</w:t>
      </w:r>
      <w:r w:rsidR="00D603F5" w:rsidRPr="001B0EA3">
        <w:rPr>
          <w:lang w:eastAsia="en-US"/>
        </w:rPr>
        <w:t xml:space="preserve">  (едновременно)  изпълнение на всичките </w:t>
      </w:r>
      <w:r w:rsidR="00C143A5" w:rsidRPr="001B0EA3">
        <w:rPr>
          <w:lang w:eastAsia="en-US"/>
        </w:rPr>
        <w:t xml:space="preserve">четири </w:t>
      </w:r>
      <w:r w:rsidR="00D603F5" w:rsidRPr="001B0EA3">
        <w:rPr>
          <w:b/>
          <w:lang w:eastAsia="en-US"/>
        </w:rPr>
        <w:t>критерия</w:t>
      </w:r>
      <w:r w:rsidR="00D603F5" w:rsidRPr="001B0EA3">
        <w:rPr>
          <w:lang w:eastAsia="en-US"/>
        </w:rPr>
        <w:t xml:space="preserve"> се приема, че е налице ДП , както е показано на </w:t>
      </w:r>
      <w:r w:rsidR="00D603F5" w:rsidRPr="001B0EA3">
        <w:rPr>
          <w:b/>
          <w:lang w:eastAsia="en-US"/>
        </w:rPr>
        <w:t>Фиг. 2.3</w:t>
      </w:r>
      <w:r w:rsidR="00D603F5" w:rsidRPr="001B0EA3">
        <w:rPr>
          <w:lang w:eastAsia="en-US"/>
        </w:rPr>
        <w:t xml:space="preserve">. </w:t>
      </w:r>
    </w:p>
    <w:p w14:paraId="0EBF6809" w14:textId="77777777" w:rsidR="00604F78" w:rsidRPr="001B0EA3" w:rsidRDefault="00C143A5" w:rsidP="009A2B56">
      <w:pPr>
        <w:rPr>
          <w:lang w:eastAsia="en-US"/>
        </w:rPr>
      </w:pPr>
      <w:r w:rsidRPr="001B0EA3">
        <w:rPr>
          <w:lang w:eastAsia="en-US"/>
        </w:rPr>
        <w:t>При извършване на проверките по Теста за ДП освен представените по-долу указания по отделните елементи на понятието ДП, следва да се вземат  предвид и указанията за всеки конкретен вид инфраструктура от  Аналитичните матрици, които ЕК е разработила към м. септември 2015 г.</w:t>
      </w:r>
      <w:r w:rsidRPr="001B0EA3">
        <w:rPr>
          <w:szCs w:val="24"/>
          <w:lang w:eastAsia="en-US"/>
        </w:rPr>
        <w:t xml:space="preserve"> (</w:t>
      </w:r>
      <w:hyperlink r:id="rId45" w:tooltip="State Aid Grids 2015 en" w:history="1">
        <w:r w:rsidR="0081741C" w:rsidRPr="00251D03">
          <w:rPr>
            <w:rStyle w:val="Hyperlink"/>
            <w:i/>
            <w:szCs w:val="24"/>
            <w:lang w:eastAsia="en-US"/>
          </w:rPr>
          <w:t>Приложение № 2.05</w:t>
        </w:r>
      </w:hyperlink>
      <w:r w:rsidRPr="001B0EA3">
        <w:rPr>
          <w:i/>
          <w:szCs w:val="24"/>
          <w:lang w:eastAsia="en-US"/>
        </w:rPr>
        <w:t xml:space="preserve"> - на английски език)</w:t>
      </w:r>
      <w:r w:rsidR="00604F78" w:rsidRPr="001B0EA3">
        <w:rPr>
          <w:i/>
          <w:szCs w:val="24"/>
          <w:lang w:eastAsia="en-US"/>
        </w:rPr>
        <w:t xml:space="preserve"> ) </w:t>
      </w:r>
      <w:r w:rsidR="00604F78" w:rsidRPr="001B0EA3">
        <w:rPr>
          <w:szCs w:val="24"/>
          <w:lang w:eastAsia="en-US"/>
        </w:rPr>
        <w:t xml:space="preserve">и </w:t>
      </w:r>
      <w:r w:rsidR="00E813B6" w:rsidRPr="001B0EA3">
        <w:rPr>
          <w:szCs w:val="24"/>
          <w:lang w:eastAsia="en-US"/>
        </w:rPr>
        <w:t>актуализираните</w:t>
      </w:r>
      <w:r w:rsidR="00604F78" w:rsidRPr="001B0EA3">
        <w:rPr>
          <w:szCs w:val="24"/>
          <w:lang w:eastAsia="en-US"/>
        </w:rPr>
        <w:t xml:space="preserve"> през 2016 г. „Аналитични матрици за инфраструктура“ </w:t>
      </w:r>
      <w:r w:rsidR="00604F78" w:rsidRPr="001B0EA3">
        <w:rPr>
          <w:i/>
          <w:szCs w:val="24"/>
          <w:lang w:eastAsia="en-US"/>
        </w:rPr>
        <w:t>(</w:t>
      </w:r>
      <w:hyperlink r:id="rId46" w:tooltip="State Aid Analytical Grids for infrastructure update 2016 en" w:history="1">
        <w:r w:rsidR="00004625" w:rsidRPr="00251D03">
          <w:rPr>
            <w:rStyle w:val="Hyperlink"/>
            <w:i/>
            <w:szCs w:val="24"/>
            <w:lang w:eastAsia="en-US"/>
          </w:rPr>
          <w:t>Приложение № 2.06</w:t>
        </w:r>
      </w:hyperlink>
      <w:r w:rsidR="00604F78" w:rsidRPr="001B0EA3">
        <w:rPr>
          <w:i/>
          <w:szCs w:val="24"/>
          <w:lang w:eastAsia="en-US"/>
        </w:rPr>
        <w:t xml:space="preserve"> - на английски език) .</w:t>
      </w:r>
    </w:p>
    <w:p w14:paraId="6006C981" w14:textId="77777777" w:rsidR="00604F78" w:rsidRPr="001B0EA3" w:rsidRDefault="00604F78" w:rsidP="009A2B56">
      <w:pPr>
        <w:rPr>
          <w:lang w:eastAsia="en-US"/>
        </w:rPr>
      </w:pPr>
      <w:r w:rsidRPr="001B0EA3">
        <w:rPr>
          <w:lang w:eastAsia="en-US"/>
        </w:rPr>
        <w:br w:type="page"/>
      </w:r>
    </w:p>
    <w:p w14:paraId="7F6D4874" w14:textId="77777777" w:rsidR="00C143A5" w:rsidRPr="001B0EA3" w:rsidRDefault="00C143A5" w:rsidP="0015164B">
      <w:pPr>
        <w:ind w:firstLine="709"/>
        <w:rPr>
          <w:szCs w:val="22"/>
          <w:lang w:eastAsia="en-US"/>
        </w:rPr>
      </w:pPr>
    </w:p>
    <w:p w14:paraId="1E818E3E" w14:textId="77777777" w:rsidR="00D603F5" w:rsidRPr="009A2B56" w:rsidRDefault="00D603F5" w:rsidP="001E404B">
      <w:pPr>
        <w:ind w:firstLine="0"/>
        <w:jc w:val="center"/>
        <w:rPr>
          <w:b/>
          <w:lang w:eastAsia="en-US"/>
        </w:rPr>
      </w:pPr>
      <w:r w:rsidRPr="009A2B56">
        <w:rPr>
          <w:b/>
          <w:lang w:eastAsia="en-US"/>
        </w:rPr>
        <w:t>Фиг. 2.3. Обобщен Алгоритъм на теста за ДП</w:t>
      </w:r>
    </w:p>
    <w:p w14:paraId="6B3A9CFD" w14:textId="77777777" w:rsidR="003539A1" w:rsidRPr="001B0EA3" w:rsidRDefault="003539A1" w:rsidP="00890B4B">
      <w:pPr>
        <w:rPr>
          <w:b/>
          <w:szCs w:val="22"/>
          <w:lang w:eastAsia="en-US"/>
        </w:rPr>
      </w:pPr>
    </w:p>
    <w:p w14:paraId="42A58627" w14:textId="77777777" w:rsidR="00C143A5" w:rsidRPr="001B0EA3" w:rsidRDefault="00937754" w:rsidP="00890B4B">
      <w:pPr>
        <w:ind w:firstLine="0"/>
        <w:jc w:val="center"/>
        <w:rPr>
          <w:b/>
          <w:szCs w:val="22"/>
          <w:lang w:eastAsia="en-US"/>
        </w:rPr>
      </w:pPr>
      <w:r w:rsidRPr="001B0EA3">
        <w:rPr>
          <w:noProof/>
          <w:lang w:eastAsia="bg-BG"/>
        </w:rPr>
        <mc:AlternateContent>
          <mc:Choice Requires="wpg">
            <w:drawing>
              <wp:inline distT="0" distB="0" distL="0" distR="0" wp14:anchorId="4F5BBF02" wp14:editId="0DBB9E19">
                <wp:extent cx="5666105" cy="5157470"/>
                <wp:effectExtent l="0" t="0" r="10795" b="62230"/>
                <wp:docPr id="171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105" cy="5157470"/>
                          <a:chOff x="2424" y="3410"/>
                          <a:chExt cx="7992" cy="6712"/>
                        </a:xfrm>
                      </wpg:grpSpPr>
                      <wps:wsp>
                        <wps:cNvPr id="1717" name="Flowchart: Process 872"/>
                        <wps:cNvSpPr>
                          <a:spLocks noChangeArrowheads="1"/>
                        </wps:cNvSpPr>
                        <wps:spPr bwMode="auto">
                          <a:xfrm>
                            <a:off x="8182" y="3410"/>
                            <a:ext cx="2234" cy="6712"/>
                          </a:xfrm>
                          <a:prstGeom prst="flowChartProcess">
                            <a:avLst/>
                          </a:prstGeom>
                          <a:gradFill rotWithShape="0">
                            <a:gsLst>
                              <a:gs pos="0">
                                <a:srgbClr val="FFFFFF"/>
                              </a:gs>
                              <a:gs pos="100000">
                                <a:srgbClr val="D6E3BC"/>
                              </a:gs>
                            </a:gsLst>
                            <a:lin ang="5400000" scaled="1"/>
                          </a:gradFill>
                          <a:ln>
                            <a:noFill/>
                          </a:ln>
                          <a:effectLst>
                            <a:outerShdw dist="28398" dir="3806097" algn="ctr" rotWithShape="0">
                              <a:srgbClr val="4E6128">
                                <a:alpha val="50000"/>
                              </a:srgbClr>
                            </a:outerShdw>
                          </a:effectLst>
                          <a:extLst>
                            <a:ext uri="{91240B29-F687-4F45-9708-019B960494DF}">
                              <a14:hiddenLine xmlns:a14="http://schemas.microsoft.com/office/drawing/2010/main" w="12700">
                                <a:solidFill>
                                  <a:srgbClr val="C2D69B"/>
                                </a:solidFill>
                                <a:miter lim="800000"/>
                                <a:headEnd/>
                                <a:tailEnd/>
                              </a14:hiddenLine>
                            </a:ext>
                          </a:extLst>
                        </wps:spPr>
                        <wps:txbx>
                          <w:txbxContent>
                            <w:p w14:paraId="40C79508" w14:textId="77777777" w:rsidR="004E3164" w:rsidRPr="009A2B56" w:rsidRDefault="004E3164" w:rsidP="009A2B56">
                              <w:pPr>
                                <w:ind w:firstLine="0"/>
                                <w:jc w:val="center"/>
                                <w:rPr>
                                  <w:b/>
                                  <w:sz w:val="20"/>
                                </w:rPr>
                              </w:pPr>
                              <w:r w:rsidRPr="009A2B56">
                                <w:rPr>
                                  <w:b/>
                                  <w:sz w:val="20"/>
                                </w:rPr>
                                <w:t xml:space="preserve">Не </w:t>
                              </w:r>
                              <w:r w:rsidRPr="009A2B56">
                                <w:rPr>
                                  <w:b/>
                                  <w:sz w:val="20"/>
                                  <w:lang w:val="en-GB"/>
                                </w:rPr>
                                <w:t xml:space="preserve">e </w:t>
                              </w:r>
                              <w:r w:rsidRPr="009A2B56">
                                <w:rPr>
                                  <w:b/>
                                  <w:sz w:val="20"/>
                                </w:rPr>
                                <w:t xml:space="preserve">налична ДП </w:t>
                              </w:r>
                            </w:p>
                          </w:txbxContent>
                        </wps:txbx>
                        <wps:bodyPr rot="0" vert="horz" wrap="square" lIns="91440" tIns="45720" rIns="91440" bIns="45720" anchor="ctr" anchorCtr="0" upright="1">
                          <a:noAutofit/>
                        </wps:bodyPr>
                      </wps:wsp>
                      <wpg:grpSp>
                        <wpg:cNvPr id="1718" name="Group 266"/>
                        <wpg:cNvGrpSpPr>
                          <a:grpSpLocks/>
                        </wpg:cNvGrpSpPr>
                        <wpg:grpSpPr bwMode="auto">
                          <a:xfrm>
                            <a:off x="2424" y="3655"/>
                            <a:ext cx="5475" cy="1520"/>
                            <a:chOff x="1320" y="2236"/>
                            <a:chExt cx="5475" cy="1520"/>
                          </a:xfrm>
                        </wpg:grpSpPr>
                        <wps:wsp>
                          <wps:cNvPr id="1719" name="AutoShape 267"/>
                          <wps:cNvSpPr>
                            <a:spLocks noChangeArrowheads="1"/>
                          </wps:cNvSpPr>
                          <wps:spPr bwMode="auto">
                            <a:xfrm>
                              <a:off x="1320" y="2236"/>
                              <a:ext cx="5475" cy="480"/>
                            </a:xfrm>
                            <a:prstGeom prst="flowChart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64877827" w14:textId="77777777" w:rsidR="004E3164" w:rsidRPr="009A2B56" w:rsidRDefault="004E3164" w:rsidP="009A2B56">
                                <w:pPr>
                                  <w:pStyle w:val="ListParagraph"/>
                                  <w:numPr>
                                    <w:ilvl w:val="0"/>
                                    <w:numId w:val="245"/>
                                  </w:numPr>
                                  <w:ind w:left="0" w:firstLine="0"/>
                                  <w:jc w:val="center"/>
                                  <w:rPr>
                                    <w:sz w:val="20"/>
                                  </w:rPr>
                                </w:pPr>
                                <w:r w:rsidRPr="009A2B56">
                                  <w:rPr>
                                    <w:sz w:val="20"/>
                                  </w:rPr>
                                  <w:t>Предоставяне на държавни или управлявани от държавата ресурси</w:t>
                                </w:r>
                              </w:p>
                              <w:p w14:paraId="3C1964C2" w14:textId="77777777" w:rsidR="004E3164" w:rsidRPr="009A2B56" w:rsidRDefault="004E3164" w:rsidP="009A2B56">
                                <w:pPr>
                                  <w:ind w:firstLine="0"/>
                                  <w:jc w:val="center"/>
                                  <w:rPr>
                                    <w:sz w:val="20"/>
                                  </w:rPr>
                                </w:pPr>
                              </w:p>
                              <w:p w14:paraId="353B323B" w14:textId="77777777" w:rsidR="004E3164" w:rsidRPr="009A2B56" w:rsidRDefault="004E3164" w:rsidP="009A2B56">
                                <w:pPr>
                                  <w:ind w:firstLine="0"/>
                                  <w:jc w:val="center"/>
                                  <w:rPr>
                                    <w:sz w:val="20"/>
                                  </w:rPr>
                                </w:pPr>
                              </w:p>
                            </w:txbxContent>
                          </wps:txbx>
                          <wps:bodyPr rot="0" vert="horz" wrap="square" lIns="91440" tIns="45720" rIns="91440" bIns="45720" anchor="t" anchorCtr="0" upright="1">
                            <a:noAutofit/>
                          </wps:bodyPr>
                        </wps:wsp>
                        <wps:wsp>
                          <wps:cNvPr id="1720" name="Diamond 635"/>
                          <wps:cNvSpPr>
                            <a:spLocks noChangeArrowheads="1"/>
                          </wps:cNvSpPr>
                          <wps:spPr bwMode="auto">
                            <a:xfrm>
                              <a:off x="3798" y="3028"/>
                              <a:ext cx="520" cy="340"/>
                            </a:xfrm>
                            <a:prstGeom prst="diamond">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ctr" anchorCtr="0" upright="1">
                            <a:noAutofit/>
                          </wps:bodyPr>
                        </wps:wsp>
                        <wps:wsp>
                          <wps:cNvPr id="1721" name="AutoShape 269"/>
                          <wps:cNvCnPr/>
                          <wps:spPr bwMode="auto">
                            <a:xfrm>
                              <a:off x="4058" y="3392"/>
                              <a:ext cx="0" cy="27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2" name="AutoShape 270"/>
                          <wps:cNvCnPr/>
                          <wps:spPr bwMode="auto">
                            <a:xfrm>
                              <a:off x="4058" y="2749"/>
                              <a:ext cx="0" cy="27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3" name="AutoShape 271"/>
                          <wps:cNvCnPr/>
                          <wps:spPr bwMode="auto">
                            <a:xfrm>
                              <a:off x="4359" y="3204"/>
                              <a:ext cx="2337"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4" name="Text Box 272"/>
                          <wps:cNvSpPr txBox="1">
                            <a:spLocks noChangeArrowheads="1"/>
                          </wps:cNvSpPr>
                          <wps:spPr bwMode="auto">
                            <a:xfrm>
                              <a:off x="3274" y="3295"/>
                              <a:ext cx="591" cy="376"/>
                            </a:xfrm>
                            <a:prstGeom prst="rect">
                              <a:avLst/>
                            </a:prstGeom>
                            <a:solidFill>
                              <a:srgbClr val="FFFFFF"/>
                            </a:solidFill>
                            <a:ln w="9525">
                              <a:solidFill>
                                <a:srgbClr val="FFFFFF"/>
                              </a:solidFill>
                              <a:miter lim="800000"/>
                              <a:headEnd/>
                              <a:tailEnd/>
                            </a:ln>
                          </wps:spPr>
                          <wps:txbx>
                            <w:txbxContent>
                              <w:p w14:paraId="758F1606" w14:textId="77777777" w:rsidR="004E3164" w:rsidRPr="009A2B56" w:rsidRDefault="004E3164" w:rsidP="009A2B56">
                                <w:pPr>
                                  <w:ind w:firstLine="0"/>
                                  <w:jc w:val="center"/>
                                  <w:rPr>
                                    <w:color w:val="FF0000"/>
                                    <w:sz w:val="20"/>
                                  </w:rPr>
                                </w:pPr>
                                <w:r w:rsidRPr="009A2B56">
                                  <w:rPr>
                                    <w:color w:val="FF0000"/>
                                    <w:sz w:val="20"/>
                                  </w:rPr>
                                  <w:t>да</w:t>
                                </w:r>
                              </w:p>
                            </w:txbxContent>
                          </wps:txbx>
                          <wps:bodyPr rot="0" vert="horz" wrap="square" lIns="91440" tIns="45720" rIns="91440" bIns="45720" anchor="t" anchorCtr="0" upright="1">
                            <a:noAutofit/>
                          </wps:bodyPr>
                        </wps:wsp>
                        <wps:wsp>
                          <wps:cNvPr id="1725" name="Text Box 273"/>
                          <wps:cNvSpPr txBox="1">
                            <a:spLocks noChangeArrowheads="1"/>
                          </wps:cNvSpPr>
                          <wps:spPr bwMode="auto">
                            <a:xfrm>
                              <a:off x="5040" y="3295"/>
                              <a:ext cx="591" cy="461"/>
                            </a:xfrm>
                            <a:prstGeom prst="rect">
                              <a:avLst/>
                            </a:prstGeom>
                            <a:solidFill>
                              <a:srgbClr val="FFFFFF"/>
                            </a:solidFill>
                            <a:ln w="9525">
                              <a:solidFill>
                                <a:srgbClr val="FFFFFF"/>
                              </a:solidFill>
                              <a:miter lim="800000"/>
                              <a:headEnd/>
                              <a:tailEnd/>
                            </a:ln>
                          </wps:spPr>
                          <wps:txbx>
                            <w:txbxContent>
                              <w:p w14:paraId="59163E74" w14:textId="77777777" w:rsidR="004E3164" w:rsidRPr="009A2B56" w:rsidRDefault="004E3164" w:rsidP="009A2B56">
                                <w:pPr>
                                  <w:ind w:firstLine="0"/>
                                  <w:jc w:val="center"/>
                                  <w:rPr>
                                    <w:sz w:val="20"/>
                                  </w:rPr>
                                </w:pPr>
                                <w:r w:rsidRPr="009A2B56">
                                  <w:rPr>
                                    <w:sz w:val="20"/>
                                  </w:rPr>
                                  <w:t>не</w:t>
                                </w:r>
                              </w:p>
                            </w:txbxContent>
                          </wps:txbx>
                          <wps:bodyPr rot="0" vert="horz" wrap="square" lIns="91440" tIns="45720" rIns="91440" bIns="45720" anchor="t" anchorCtr="0" upright="1">
                            <a:noAutofit/>
                          </wps:bodyPr>
                        </wps:wsp>
                      </wpg:grpSp>
                      <wpg:grpSp>
                        <wpg:cNvPr id="1726" name="Group 274"/>
                        <wpg:cNvGrpSpPr>
                          <a:grpSpLocks/>
                        </wpg:cNvGrpSpPr>
                        <wpg:grpSpPr bwMode="auto">
                          <a:xfrm>
                            <a:off x="2436" y="5107"/>
                            <a:ext cx="5475" cy="1520"/>
                            <a:chOff x="1320" y="2236"/>
                            <a:chExt cx="5475" cy="1520"/>
                          </a:xfrm>
                        </wpg:grpSpPr>
                        <wps:wsp>
                          <wps:cNvPr id="1727" name="AutoShape 275"/>
                          <wps:cNvSpPr>
                            <a:spLocks noChangeArrowheads="1"/>
                          </wps:cNvSpPr>
                          <wps:spPr bwMode="auto">
                            <a:xfrm>
                              <a:off x="1320" y="2236"/>
                              <a:ext cx="5475" cy="480"/>
                            </a:xfrm>
                            <a:prstGeom prst="flowChart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5B6031F" w14:textId="77777777" w:rsidR="004E3164" w:rsidRPr="009A2B56" w:rsidRDefault="004E3164" w:rsidP="009A2B56">
                                <w:pPr>
                                  <w:ind w:firstLine="0"/>
                                  <w:jc w:val="center"/>
                                  <w:rPr>
                                    <w:sz w:val="20"/>
                                  </w:rPr>
                                </w:pPr>
                                <w:r w:rsidRPr="009A2B56">
                                  <w:rPr>
                                    <w:sz w:val="20"/>
                                  </w:rPr>
                                  <w:t xml:space="preserve">2. Наличие на условия за </w:t>
                                </w:r>
                                <w:r w:rsidRPr="009A2B56">
                                  <w:rPr>
                                    <w:b/>
                                    <w:sz w:val="20"/>
                                  </w:rPr>
                                  <w:t>икономическа дейност</w:t>
                                </w:r>
                                <w:r w:rsidRPr="009A2B56">
                                  <w:rPr>
                                    <w:sz w:val="20"/>
                                  </w:rPr>
                                  <w:t xml:space="preserve"> </w:t>
                                </w:r>
                                <w:r w:rsidRPr="009A2B56">
                                  <w:rPr>
                                    <w:b/>
                                    <w:sz w:val="20"/>
                                  </w:rPr>
                                  <w:t>и</w:t>
                                </w:r>
                                <w:r w:rsidRPr="009A2B56">
                                  <w:rPr>
                                    <w:sz w:val="20"/>
                                  </w:rPr>
                                  <w:t xml:space="preserve">  </w:t>
                                </w:r>
                                <w:r w:rsidRPr="009A2B56">
                                  <w:rPr>
                                    <w:b/>
                                    <w:sz w:val="20"/>
                                  </w:rPr>
                                  <w:t>икономическо предимство</w:t>
                                </w:r>
                              </w:p>
                            </w:txbxContent>
                          </wps:txbx>
                          <wps:bodyPr rot="0" vert="horz" wrap="square" lIns="91440" tIns="45720" rIns="91440" bIns="45720" anchor="t" anchorCtr="0" upright="1">
                            <a:noAutofit/>
                          </wps:bodyPr>
                        </wps:wsp>
                        <wps:wsp>
                          <wps:cNvPr id="1728" name="Diamond 635"/>
                          <wps:cNvSpPr>
                            <a:spLocks noChangeArrowheads="1"/>
                          </wps:cNvSpPr>
                          <wps:spPr bwMode="auto">
                            <a:xfrm>
                              <a:off x="3798" y="3028"/>
                              <a:ext cx="520" cy="340"/>
                            </a:xfrm>
                            <a:prstGeom prst="diamond">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ctr" anchorCtr="0" upright="1">
                            <a:noAutofit/>
                          </wps:bodyPr>
                        </wps:wsp>
                        <wps:wsp>
                          <wps:cNvPr id="1729" name="AutoShape 277"/>
                          <wps:cNvCnPr/>
                          <wps:spPr bwMode="auto">
                            <a:xfrm>
                              <a:off x="4058" y="3392"/>
                              <a:ext cx="0" cy="27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0" name="AutoShape 278"/>
                          <wps:cNvCnPr/>
                          <wps:spPr bwMode="auto">
                            <a:xfrm>
                              <a:off x="4058" y="2749"/>
                              <a:ext cx="0" cy="27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1" name="AutoShape 279"/>
                          <wps:cNvCnPr/>
                          <wps:spPr bwMode="auto">
                            <a:xfrm>
                              <a:off x="4359" y="3204"/>
                              <a:ext cx="2337"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2" name="Text Box 280"/>
                          <wps:cNvSpPr txBox="1">
                            <a:spLocks noChangeArrowheads="1"/>
                          </wps:cNvSpPr>
                          <wps:spPr bwMode="auto">
                            <a:xfrm>
                              <a:off x="3274" y="3295"/>
                              <a:ext cx="591" cy="376"/>
                            </a:xfrm>
                            <a:prstGeom prst="rect">
                              <a:avLst/>
                            </a:prstGeom>
                            <a:solidFill>
                              <a:srgbClr val="FFFFFF"/>
                            </a:solidFill>
                            <a:ln w="9525">
                              <a:solidFill>
                                <a:srgbClr val="FFFFFF"/>
                              </a:solidFill>
                              <a:miter lim="800000"/>
                              <a:headEnd/>
                              <a:tailEnd/>
                            </a:ln>
                          </wps:spPr>
                          <wps:txbx>
                            <w:txbxContent>
                              <w:p w14:paraId="2D82CD60" w14:textId="77777777" w:rsidR="004E3164" w:rsidRPr="009A2B56" w:rsidRDefault="004E3164" w:rsidP="009A2B56">
                                <w:pPr>
                                  <w:ind w:firstLine="0"/>
                                  <w:jc w:val="center"/>
                                  <w:rPr>
                                    <w:color w:val="FF0000"/>
                                    <w:sz w:val="20"/>
                                  </w:rPr>
                                </w:pPr>
                                <w:r w:rsidRPr="009A2B56">
                                  <w:rPr>
                                    <w:color w:val="FF0000"/>
                                    <w:sz w:val="20"/>
                                  </w:rPr>
                                  <w:t>да</w:t>
                                </w:r>
                              </w:p>
                            </w:txbxContent>
                          </wps:txbx>
                          <wps:bodyPr rot="0" vert="horz" wrap="square" lIns="91440" tIns="45720" rIns="91440" bIns="45720" anchor="t" anchorCtr="0" upright="1">
                            <a:noAutofit/>
                          </wps:bodyPr>
                        </wps:wsp>
                        <wps:wsp>
                          <wps:cNvPr id="1733" name="Text Box 281"/>
                          <wps:cNvSpPr txBox="1">
                            <a:spLocks noChangeArrowheads="1"/>
                          </wps:cNvSpPr>
                          <wps:spPr bwMode="auto">
                            <a:xfrm>
                              <a:off x="5040" y="3295"/>
                              <a:ext cx="591" cy="461"/>
                            </a:xfrm>
                            <a:prstGeom prst="rect">
                              <a:avLst/>
                            </a:prstGeom>
                            <a:solidFill>
                              <a:srgbClr val="FFFFFF"/>
                            </a:solidFill>
                            <a:ln w="9525">
                              <a:solidFill>
                                <a:srgbClr val="FFFFFF"/>
                              </a:solidFill>
                              <a:miter lim="800000"/>
                              <a:headEnd/>
                              <a:tailEnd/>
                            </a:ln>
                          </wps:spPr>
                          <wps:txbx>
                            <w:txbxContent>
                              <w:p w14:paraId="3D6048E8" w14:textId="77777777" w:rsidR="004E3164" w:rsidRPr="009A2B56" w:rsidRDefault="004E3164" w:rsidP="009A2B56">
                                <w:pPr>
                                  <w:ind w:firstLine="0"/>
                                  <w:jc w:val="center"/>
                                  <w:rPr>
                                    <w:sz w:val="20"/>
                                  </w:rPr>
                                </w:pPr>
                                <w:r w:rsidRPr="009A2B56">
                                  <w:rPr>
                                    <w:sz w:val="20"/>
                                  </w:rPr>
                                  <w:t>не</w:t>
                                </w:r>
                              </w:p>
                            </w:txbxContent>
                          </wps:txbx>
                          <wps:bodyPr rot="0" vert="horz" wrap="square" lIns="91440" tIns="45720" rIns="91440" bIns="45720" anchor="t" anchorCtr="0" upright="1">
                            <a:noAutofit/>
                          </wps:bodyPr>
                        </wps:wsp>
                      </wpg:grpSp>
                      <wpg:grpSp>
                        <wpg:cNvPr id="1734" name="Group 282"/>
                        <wpg:cNvGrpSpPr>
                          <a:grpSpLocks/>
                        </wpg:cNvGrpSpPr>
                        <wpg:grpSpPr bwMode="auto">
                          <a:xfrm>
                            <a:off x="2448" y="6583"/>
                            <a:ext cx="5475" cy="1520"/>
                            <a:chOff x="1320" y="2236"/>
                            <a:chExt cx="5475" cy="1520"/>
                          </a:xfrm>
                        </wpg:grpSpPr>
                        <wps:wsp>
                          <wps:cNvPr id="1735" name="AutoShape 283"/>
                          <wps:cNvSpPr>
                            <a:spLocks noChangeArrowheads="1"/>
                          </wps:cNvSpPr>
                          <wps:spPr bwMode="auto">
                            <a:xfrm>
                              <a:off x="1320" y="2236"/>
                              <a:ext cx="5475" cy="480"/>
                            </a:xfrm>
                            <a:prstGeom prst="flowChart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0C754F36" w14:textId="77777777" w:rsidR="004E3164" w:rsidRPr="009A2B56" w:rsidRDefault="004E3164" w:rsidP="009A2B56">
                                <w:pPr>
                                  <w:ind w:firstLine="0"/>
                                  <w:jc w:val="center"/>
                                  <w:rPr>
                                    <w:sz w:val="20"/>
                                  </w:rPr>
                                </w:pPr>
                                <w:r w:rsidRPr="009A2B56">
                                  <w:rPr>
                                    <w:sz w:val="20"/>
                                  </w:rPr>
                                  <w:t xml:space="preserve">3. Предоставя се на </w:t>
                                </w:r>
                                <w:r w:rsidRPr="009A2B56">
                                  <w:rPr>
                                    <w:b/>
                                    <w:sz w:val="20"/>
                                  </w:rPr>
                                  <w:t>определени предприятия</w:t>
                                </w:r>
                                <w:r w:rsidRPr="009A2B56">
                                  <w:rPr>
                                    <w:sz w:val="20"/>
                                  </w:rPr>
                                  <w:t xml:space="preserve"> или производството </w:t>
                                </w:r>
                              </w:p>
                            </w:txbxContent>
                          </wps:txbx>
                          <wps:bodyPr rot="0" vert="horz" wrap="square" lIns="91440" tIns="45720" rIns="91440" bIns="45720" anchor="t" anchorCtr="0" upright="1">
                            <a:noAutofit/>
                          </wps:bodyPr>
                        </wps:wsp>
                        <wps:wsp>
                          <wps:cNvPr id="1736" name="Diamond 635"/>
                          <wps:cNvSpPr>
                            <a:spLocks noChangeArrowheads="1"/>
                          </wps:cNvSpPr>
                          <wps:spPr bwMode="auto">
                            <a:xfrm>
                              <a:off x="3798" y="3028"/>
                              <a:ext cx="520" cy="340"/>
                            </a:xfrm>
                            <a:prstGeom prst="diamond">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ctr" anchorCtr="0" upright="1">
                            <a:noAutofit/>
                          </wps:bodyPr>
                        </wps:wsp>
                        <wps:wsp>
                          <wps:cNvPr id="1737" name="AutoShape 285"/>
                          <wps:cNvCnPr/>
                          <wps:spPr bwMode="auto">
                            <a:xfrm>
                              <a:off x="4058" y="3392"/>
                              <a:ext cx="0" cy="27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8" name="AutoShape 286"/>
                          <wps:cNvCnPr/>
                          <wps:spPr bwMode="auto">
                            <a:xfrm>
                              <a:off x="4058" y="2749"/>
                              <a:ext cx="0" cy="27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9" name="AutoShape 287"/>
                          <wps:cNvCnPr/>
                          <wps:spPr bwMode="auto">
                            <a:xfrm>
                              <a:off x="4359" y="3204"/>
                              <a:ext cx="2337"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0" name="Text Box 288"/>
                          <wps:cNvSpPr txBox="1">
                            <a:spLocks noChangeArrowheads="1"/>
                          </wps:cNvSpPr>
                          <wps:spPr bwMode="auto">
                            <a:xfrm>
                              <a:off x="3274" y="3295"/>
                              <a:ext cx="591" cy="376"/>
                            </a:xfrm>
                            <a:prstGeom prst="rect">
                              <a:avLst/>
                            </a:prstGeom>
                            <a:solidFill>
                              <a:srgbClr val="FFFFFF"/>
                            </a:solidFill>
                            <a:ln w="9525">
                              <a:solidFill>
                                <a:srgbClr val="FFFFFF"/>
                              </a:solidFill>
                              <a:miter lim="800000"/>
                              <a:headEnd/>
                              <a:tailEnd/>
                            </a:ln>
                          </wps:spPr>
                          <wps:txbx>
                            <w:txbxContent>
                              <w:p w14:paraId="5BD7F445" w14:textId="77777777" w:rsidR="004E3164" w:rsidRPr="009A2B56" w:rsidRDefault="004E3164" w:rsidP="009A2B56">
                                <w:pPr>
                                  <w:ind w:firstLine="0"/>
                                  <w:jc w:val="center"/>
                                  <w:rPr>
                                    <w:color w:val="FF0000"/>
                                    <w:sz w:val="20"/>
                                  </w:rPr>
                                </w:pPr>
                                <w:r w:rsidRPr="009A2B56">
                                  <w:rPr>
                                    <w:color w:val="FF0000"/>
                                    <w:sz w:val="20"/>
                                  </w:rPr>
                                  <w:t>да</w:t>
                                </w:r>
                              </w:p>
                            </w:txbxContent>
                          </wps:txbx>
                          <wps:bodyPr rot="0" vert="horz" wrap="square" lIns="91440" tIns="45720" rIns="91440" bIns="45720" anchor="t" anchorCtr="0" upright="1">
                            <a:noAutofit/>
                          </wps:bodyPr>
                        </wps:wsp>
                        <wps:wsp>
                          <wps:cNvPr id="1741" name="Text Box 289"/>
                          <wps:cNvSpPr txBox="1">
                            <a:spLocks noChangeArrowheads="1"/>
                          </wps:cNvSpPr>
                          <wps:spPr bwMode="auto">
                            <a:xfrm>
                              <a:off x="5040" y="3295"/>
                              <a:ext cx="591" cy="461"/>
                            </a:xfrm>
                            <a:prstGeom prst="rect">
                              <a:avLst/>
                            </a:prstGeom>
                            <a:solidFill>
                              <a:srgbClr val="FFFFFF"/>
                            </a:solidFill>
                            <a:ln w="9525">
                              <a:solidFill>
                                <a:srgbClr val="FFFFFF"/>
                              </a:solidFill>
                              <a:miter lim="800000"/>
                              <a:headEnd/>
                              <a:tailEnd/>
                            </a:ln>
                          </wps:spPr>
                          <wps:txbx>
                            <w:txbxContent>
                              <w:p w14:paraId="7CA50BFC" w14:textId="77777777" w:rsidR="004E3164" w:rsidRPr="009A2B56" w:rsidRDefault="004E3164" w:rsidP="009A2B56">
                                <w:pPr>
                                  <w:ind w:firstLine="0"/>
                                  <w:jc w:val="center"/>
                                  <w:rPr>
                                    <w:sz w:val="20"/>
                                  </w:rPr>
                                </w:pPr>
                                <w:r w:rsidRPr="009A2B56">
                                  <w:rPr>
                                    <w:sz w:val="20"/>
                                  </w:rPr>
                                  <w:t>не</w:t>
                                </w:r>
                              </w:p>
                            </w:txbxContent>
                          </wps:txbx>
                          <wps:bodyPr rot="0" vert="horz" wrap="square" lIns="91440" tIns="45720" rIns="91440" bIns="45720" anchor="t" anchorCtr="0" upright="1">
                            <a:noAutofit/>
                          </wps:bodyPr>
                        </wps:wsp>
                      </wpg:grpSp>
                      <wpg:grpSp>
                        <wpg:cNvPr id="1742" name="Group 290"/>
                        <wpg:cNvGrpSpPr>
                          <a:grpSpLocks/>
                        </wpg:cNvGrpSpPr>
                        <wpg:grpSpPr bwMode="auto">
                          <a:xfrm>
                            <a:off x="2460" y="8072"/>
                            <a:ext cx="5475" cy="899"/>
                            <a:chOff x="1320" y="2236"/>
                            <a:chExt cx="5475" cy="792"/>
                          </a:xfrm>
                        </wpg:grpSpPr>
                        <wps:wsp>
                          <wps:cNvPr id="1743" name="AutoShape 291"/>
                          <wps:cNvSpPr>
                            <a:spLocks noChangeArrowheads="1"/>
                          </wps:cNvSpPr>
                          <wps:spPr bwMode="auto">
                            <a:xfrm>
                              <a:off x="1320" y="2236"/>
                              <a:ext cx="5475" cy="480"/>
                            </a:xfrm>
                            <a:prstGeom prst="flowChart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6DBA7A1A" w14:textId="77777777" w:rsidR="004E3164" w:rsidRPr="009A2B56" w:rsidRDefault="004E3164" w:rsidP="009A2B56">
                                <w:pPr>
                                  <w:ind w:firstLine="0"/>
                                  <w:jc w:val="center"/>
                                  <w:rPr>
                                    <w:sz w:val="20"/>
                                  </w:rPr>
                                </w:pPr>
                                <w:r w:rsidRPr="009A2B56">
                                  <w:rPr>
                                    <w:sz w:val="20"/>
                                  </w:rPr>
                                  <w:t xml:space="preserve">4. Води до нарушаване или заплашва да </w:t>
                                </w:r>
                                <w:r w:rsidRPr="009A2B56">
                                  <w:rPr>
                                    <w:b/>
                                    <w:sz w:val="20"/>
                                  </w:rPr>
                                  <w:t>наруши конкуренцията и засяга търговията между ДЧ</w:t>
                                </w:r>
                              </w:p>
                              <w:p w14:paraId="25EB33D4" w14:textId="77777777" w:rsidR="004E3164" w:rsidRPr="009A2B56" w:rsidRDefault="004E3164" w:rsidP="009A2B56">
                                <w:pPr>
                                  <w:ind w:firstLine="0"/>
                                  <w:jc w:val="center"/>
                                  <w:rPr>
                                    <w:sz w:val="20"/>
                                  </w:rPr>
                                </w:pPr>
                              </w:p>
                              <w:p w14:paraId="4B301392" w14:textId="77777777" w:rsidR="004E3164" w:rsidRPr="009A2B56" w:rsidRDefault="004E3164" w:rsidP="009A2B56">
                                <w:pPr>
                                  <w:ind w:firstLine="0"/>
                                  <w:jc w:val="center"/>
                                  <w:rPr>
                                    <w:sz w:val="20"/>
                                  </w:rPr>
                                </w:pPr>
                              </w:p>
                            </w:txbxContent>
                          </wps:txbx>
                          <wps:bodyPr rot="0" vert="horz" wrap="square" lIns="91440" tIns="45720" rIns="91440" bIns="45720" anchor="t" anchorCtr="0" upright="1">
                            <a:noAutofit/>
                          </wps:bodyPr>
                        </wps:wsp>
                        <wps:wsp>
                          <wps:cNvPr id="1744" name="AutoShape 294"/>
                          <wps:cNvCnPr/>
                          <wps:spPr bwMode="auto">
                            <a:xfrm>
                              <a:off x="4058" y="2749"/>
                              <a:ext cx="0" cy="27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745" name="Group 298"/>
                        <wpg:cNvGrpSpPr>
                          <a:grpSpLocks/>
                        </wpg:cNvGrpSpPr>
                        <wpg:grpSpPr bwMode="auto">
                          <a:xfrm>
                            <a:off x="4356" y="8971"/>
                            <a:ext cx="3468" cy="619"/>
                            <a:chOff x="3204" y="1336"/>
                            <a:chExt cx="3468" cy="619"/>
                          </a:xfrm>
                        </wpg:grpSpPr>
                        <wps:wsp>
                          <wps:cNvPr id="1746" name="Diamond 635"/>
                          <wps:cNvSpPr>
                            <a:spLocks noChangeArrowheads="1"/>
                          </wps:cNvSpPr>
                          <wps:spPr bwMode="auto">
                            <a:xfrm>
                              <a:off x="3798" y="1336"/>
                              <a:ext cx="520" cy="340"/>
                            </a:xfrm>
                            <a:prstGeom prst="diamond">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ctr" anchorCtr="0" upright="1">
                            <a:noAutofit/>
                          </wps:bodyPr>
                        </wps:wsp>
                        <wps:wsp>
                          <wps:cNvPr id="1747" name="AutoShape 301"/>
                          <wps:cNvCnPr/>
                          <wps:spPr bwMode="auto">
                            <a:xfrm>
                              <a:off x="4070" y="1676"/>
                              <a:ext cx="0" cy="27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8" name="AutoShape 303"/>
                          <wps:cNvCnPr/>
                          <wps:spPr bwMode="auto">
                            <a:xfrm>
                              <a:off x="4335" y="1557"/>
                              <a:ext cx="2337"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9" name="Text Box 304"/>
                          <wps:cNvSpPr txBox="1">
                            <a:spLocks noChangeArrowheads="1"/>
                          </wps:cNvSpPr>
                          <wps:spPr bwMode="auto">
                            <a:xfrm>
                              <a:off x="3204" y="1579"/>
                              <a:ext cx="591" cy="376"/>
                            </a:xfrm>
                            <a:prstGeom prst="rect">
                              <a:avLst/>
                            </a:prstGeom>
                            <a:solidFill>
                              <a:srgbClr val="FFFFFF"/>
                            </a:solidFill>
                            <a:ln w="9525">
                              <a:solidFill>
                                <a:srgbClr val="FFFFFF"/>
                              </a:solidFill>
                              <a:miter lim="800000"/>
                              <a:headEnd/>
                              <a:tailEnd/>
                            </a:ln>
                          </wps:spPr>
                          <wps:txbx>
                            <w:txbxContent>
                              <w:p w14:paraId="54DD0780" w14:textId="77777777" w:rsidR="004E3164" w:rsidRPr="009A2B56" w:rsidRDefault="004E3164" w:rsidP="009A2B56">
                                <w:pPr>
                                  <w:ind w:firstLine="0"/>
                                  <w:jc w:val="center"/>
                                  <w:rPr>
                                    <w:color w:val="FF0000"/>
                                    <w:sz w:val="20"/>
                                  </w:rPr>
                                </w:pPr>
                                <w:r w:rsidRPr="009A2B56">
                                  <w:rPr>
                                    <w:color w:val="FF0000"/>
                                    <w:sz w:val="20"/>
                                  </w:rPr>
                                  <w:t>да</w:t>
                                </w:r>
                              </w:p>
                            </w:txbxContent>
                          </wps:txbx>
                          <wps:bodyPr rot="0" vert="horz" wrap="square" lIns="91440" tIns="45720" rIns="91440" bIns="45720" anchor="t" anchorCtr="0" upright="1">
                            <a:noAutofit/>
                          </wps:bodyPr>
                        </wps:wsp>
                        <wps:wsp>
                          <wps:cNvPr id="1770" name="Text Box 305"/>
                          <wps:cNvSpPr txBox="1">
                            <a:spLocks noChangeArrowheads="1"/>
                          </wps:cNvSpPr>
                          <wps:spPr bwMode="auto">
                            <a:xfrm>
                              <a:off x="5016" y="1608"/>
                              <a:ext cx="591" cy="333"/>
                            </a:xfrm>
                            <a:prstGeom prst="rect">
                              <a:avLst/>
                            </a:prstGeom>
                            <a:solidFill>
                              <a:srgbClr val="FFFFFF"/>
                            </a:solidFill>
                            <a:ln w="9525">
                              <a:solidFill>
                                <a:srgbClr val="FFFFFF"/>
                              </a:solidFill>
                              <a:miter lim="800000"/>
                              <a:headEnd/>
                              <a:tailEnd/>
                            </a:ln>
                          </wps:spPr>
                          <wps:txbx>
                            <w:txbxContent>
                              <w:p w14:paraId="41710D75" w14:textId="77777777" w:rsidR="004E3164" w:rsidRPr="009A2B56" w:rsidRDefault="004E3164" w:rsidP="009A2B56">
                                <w:pPr>
                                  <w:ind w:firstLine="0"/>
                                  <w:jc w:val="center"/>
                                  <w:rPr>
                                    <w:sz w:val="20"/>
                                  </w:rPr>
                                </w:pPr>
                                <w:r w:rsidRPr="009A2B56">
                                  <w:rPr>
                                    <w:sz w:val="20"/>
                                  </w:rPr>
                                  <w:t>не</w:t>
                                </w:r>
                              </w:p>
                            </w:txbxContent>
                          </wps:txbx>
                          <wps:bodyPr rot="0" vert="horz" wrap="square" lIns="91440" tIns="45720" rIns="91440" bIns="45720" anchor="t" anchorCtr="0" upright="1">
                            <a:noAutofit/>
                          </wps:bodyPr>
                        </wps:wsp>
                      </wpg:grpSp>
                      <wps:wsp>
                        <wps:cNvPr id="1771" name="Flowchart: Process 878"/>
                        <wps:cNvSpPr>
                          <a:spLocks noChangeArrowheads="1"/>
                        </wps:cNvSpPr>
                        <wps:spPr bwMode="auto">
                          <a:xfrm>
                            <a:off x="2484" y="9642"/>
                            <a:ext cx="5475" cy="480"/>
                          </a:xfrm>
                          <a:prstGeom prst="flowChart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014884F3" w14:textId="77777777" w:rsidR="004E3164" w:rsidRPr="009A2B56" w:rsidRDefault="004E3164" w:rsidP="009A2B56">
                              <w:pPr>
                                <w:ind w:firstLine="0"/>
                                <w:jc w:val="center"/>
                                <w:rPr>
                                  <w:sz w:val="20"/>
                                </w:rPr>
                              </w:pPr>
                              <w:r w:rsidRPr="009A2B56">
                                <w:rPr>
                                  <w:color w:val="FF0000"/>
                                  <w:sz w:val="20"/>
                                </w:rPr>
                                <w:t xml:space="preserve">Наличие на </w:t>
                              </w:r>
                              <w:r w:rsidRPr="009A2B56">
                                <w:rPr>
                                  <w:b/>
                                  <w:color w:val="FF0000"/>
                                  <w:sz w:val="20"/>
                                </w:rPr>
                                <w:t xml:space="preserve">ДП </w:t>
                              </w:r>
                            </w:p>
                          </w:txbxContent>
                        </wps:txbx>
                        <wps:bodyPr rot="0" vert="horz" wrap="square" lIns="91440" tIns="45720" rIns="91440" bIns="45720" anchor="t" anchorCtr="0" upright="1">
                          <a:noAutofit/>
                        </wps:bodyPr>
                      </wps:wsp>
                    </wpg:wgp>
                  </a:graphicData>
                </a:graphic>
              </wp:inline>
            </w:drawing>
          </mc:Choice>
          <mc:Fallback>
            <w:pict>
              <v:group w14:anchorId="4F5BBF02" id="Group 256" o:spid="_x0000_s1216" style="width:446.15pt;height:406.1pt;mso-position-horizontal-relative:char;mso-position-vertical-relative:line" coordorigin="2424,3410" coordsize="7992,6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">
                <v:shapetype id="_x0000_t109" coordsize="21600,21600" o:spt="109" path="m,l,21600r21600,l21600,xe">
                  <v:stroke joinstyle="miter"/>
                  <v:path gradientshapeok="t" o:connecttype="rect"/>
                </v:shapetype>
                <v:shape id="Flowchart: Process 872" o:spid="_x0000_s1217" type="#_x0000_t109" style="position:absolute;left:8182;top:3410;width:2234;height:6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" stroked="f" strokecolor="#c2d69b" strokeweight="1pt">
                  <v:fill color2="#d6e3bc" focus="100%" type="gradient"/>
                  <v:shadow on="t" color="#4e6128" opacity=".5" offset="1pt"/>
                  <v:textbox>
                    <w:txbxContent>
                      <w:p w14:paraId="40C79508" w14:textId="77777777" w:rsidR="004E3164" w:rsidRPr="009A2B56" w:rsidRDefault="004E3164" w:rsidP="009A2B56">
                        <w:pPr>
                          <w:ind w:firstLine="0"/>
                          <w:jc w:val="center"/>
                          <w:rPr>
                            <w:b/>
                            <w:sz w:val="20"/>
                          </w:rPr>
                        </w:pPr>
                        <w:r w:rsidRPr="009A2B56">
                          <w:rPr>
                            <w:b/>
                            <w:sz w:val="20"/>
                          </w:rPr>
                          <w:t xml:space="preserve">Не </w:t>
                        </w:r>
                        <w:r w:rsidRPr="009A2B56">
                          <w:rPr>
                            <w:b/>
                            <w:sz w:val="20"/>
                            <w:lang w:val="en-GB"/>
                          </w:rPr>
                          <w:t xml:space="preserve">e </w:t>
                        </w:r>
                        <w:r w:rsidRPr="009A2B56">
                          <w:rPr>
                            <w:b/>
                            <w:sz w:val="20"/>
                          </w:rPr>
                          <w:t xml:space="preserve">налична ДП </w:t>
                        </w:r>
                      </w:p>
                    </w:txbxContent>
                  </v:textbox>
                </v:shape>
                <v:group id="Group 266" o:spid="_x0000_s1218" style="position:absolute;left:2424;top:3655;width:5475;height:1520" coordorigin="1320,2236" coordsize="547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7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gyjcygl7fAQAA//8DAFBLAQItABQABgAIAAAAIQDb4fbL7gAAAIUBAAATAAAAAAAA&#10;AAAAAAAAAAAAAABbQ29udGVudF9UeXBlc10ueG1sUEsBAi0AFAAGAAgAAAAhAFr0LFu/AAAAFQEA&#10;AAsAAAAAAAAAAAAAAAAAHwEAAF9yZWxzLy5yZWxzUEsBAi0AFAAGAAgAAAAhANSfPt3HAAAA3QAA&#10;AA8AAAAAAAAAAAAAAAAABwIAAGRycy9kb3ducmV2LnhtbFBLBQYAAAAAAwADALcAAAD7AgAAAAA=&#10;">
                  <v:shape id="AutoShape 267" o:spid="_x0000_s1219" type="#_x0000_t109" style="position:absolute;left:1320;top:2236;width:547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" strokecolor="#95b3d7" strokeweight="1pt">
                    <v:fill color2="#b8cce4" focus="100%" type="gradient"/>
                    <v:shadow on="t" color="#243f60" opacity=".5" offset="1pt"/>
                    <v:textbox>
                      <w:txbxContent>
                        <w:p w14:paraId="64877827" w14:textId="77777777" w:rsidR="004E3164" w:rsidRPr="009A2B56" w:rsidRDefault="004E3164" w:rsidP="009A2B56">
                          <w:pPr>
                            <w:pStyle w:val="ListParagraph"/>
                            <w:numPr>
                              <w:ilvl w:val="0"/>
                              <w:numId w:val="245"/>
                            </w:numPr>
                            <w:ind w:left="0" w:firstLine="0"/>
                            <w:jc w:val="center"/>
                            <w:rPr>
                              <w:sz w:val="20"/>
                            </w:rPr>
                          </w:pPr>
                          <w:r w:rsidRPr="009A2B56">
                            <w:rPr>
                              <w:sz w:val="20"/>
                            </w:rPr>
                            <w:t>Предоставяне на държавни или управлявани от държавата ресурси</w:t>
                          </w:r>
                        </w:p>
                        <w:p w14:paraId="3C1964C2" w14:textId="77777777" w:rsidR="004E3164" w:rsidRPr="009A2B56" w:rsidRDefault="004E3164" w:rsidP="009A2B56">
                          <w:pPr>
                            <w:ind w:firstLine="0"/>
                            <w:jc w:val="center"/>
                            <w:rPr>
                              <w:sz w:val="20"/>
                            </w:rPr>
                          </w:pPr>
                        </w:p>
                        <w:p w14:paraId="353B323B" w14:textId="77777777" w:rsidR="004E3164" w:rsidRPr="009A2B56" w:rsidRDefault="004E3164" w:rsidP="009A2B56">
                          <w:pPr>
                            <w:ind w:firstLine="0"/>
                            <w:jc w:val="center"/>
                            <w:rPr>
                              <w:sz w:val="20"/>
                            </w:rPr>
                          </w:pPr>
                        </w:p>
                      </w:txbxContent>
                    </v:textbox>
                  </v:shape>
                  <v:shapetype id="_x0000_t4" coordsize="21600,21600" o:spt="4" path="m10800,l,10800,10800,21600,21600,10800xe">
                    <v:stroke joinstyle="miter"/>
                    <v:path gradientshapeok="t" o:connecttype="rect" textboxrect="5400,5400,16200,16200"/>
                  </v:shapetype>
                  <v:shape id="Diamond 635" o:spid="_x0000_s1220" type="#_x0000_t4" style="position:absolute;left:3798;top:3028;width:520;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" strokecolor="#fabf8f" strokeweight="1pt">
                    <v:fill color2="#fbd4b4" focus="100%" type="gradient"/>
                    <v:shadow on="t" color="#974706" opacity=".5" offset="1pt"/>
                  </v:shape>
                  <v:shape id="AutoShape 269" o:spid="_x0000_s1221" type="#_x0000_t32" style="position:absolute;left:4058;top:3392;width:0;height: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" strokeweight="1.5pt">
                    <v:stroke endarrow="block"/>
                  </v:shape>
                  <v:shape id="AutoShape 270" o:spid="_x0000_s1222" type="#_x0000_t32" style="position:absolute;left:4058;top:2749;width:0;height: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" strokeweight="1.5pt">
                    <v:stroke endarrow="block"/>
                  </v:shape>
                  <v:shape id="AutoShape 271" o:spid="_x0000_s1223" type="#_x0000_t32" style="position:absolute;left:4359;top:3204;width:23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" strokeweight="1.5pt">
                    <v:stroke endarrow="block"/>
                  </v:shape>
                  <v:shape id="Text Box 272" o:spid="_x0000_s1224" type="#_x0000_t202" style="position:absolute;left:3274;top:3295;width:591;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" strokecolor="white">
                    <v:textbox>
                      <w:txbxContent>
                        <w:p w14:paraId="758F1606" w14:textId="77777777" w:rsidR="004E3164" w:rsidRPr="009A2B56" w:rsidRDefault="004E3164" w:rsidP="009A2B56">
                          <w:pPr>
                            <w:ind w:firstLine="0"/>
                            <w:jc w:val="center"/>
                            <w:rPr>
                              <w:color w:val="FF0000"/>
                              <w:sz w:val="20"/>
                            </w:rPr>
                          </w:pPr>
                          <w:r w:rsidRPr="009A2B56">
                            <w:rPr>
                              <w:color w:val="FF0000"/>
                              <w:sz w:val="20"/>
                            </w:rPr>
                            <w:t>да</w:t>
                          </w:r>
                        </w:p>
                      </w:txbxContent>
                    </v:textbox>
                  </v:shape>
                  <v:shape id="Text Box 273" o:spid="_x0000_s1225" type="#_x0000_t202" style="position:absolute;left:5040;top:3295;width:591;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" strokecolor="white">
                    <v:textbox>
                      <w:txbxContent>
                        <w:p w14:paraId="59163E74" w14:textId="77777777" w:rsidR="004E3164" w:rsidRPr="009A2B56" w:rsidRDefault="004E3164" w:rsidP="009A2B56">
                          <w:pPr>
                            <w:ind w:firstLine="0"/>
                            <w:jc w:val="center"/>
                            <w:rPr>
                              <w:sz w:val="20"/>
                            </w:rPr>
                          </w:pPr>
                          <w:r w:rsidRPr="009A2B56">
                            <w:rPr>
                              <w:sz w:val="20"/>
                            </w:rPr>
                            <w:t>не</w:t>
                          </w:r>
                        </w:p>
                      </w:txbxContent>
                    </v:textbox>
                  </v:shape>
                </v:group>
                <v:group id="Group 274" o:spid="_x0000_s1226" style="position:absolute;left:2436;top:5107;width:5475;height:1520" coordorigin="1320,2236" coordsize="547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">
                  <v:shape id="AutoShape 275" o:spid="_x0000_s1227" type="#_x0000_t109" style="position:absolute;left:1320;top:2236;width:547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" strokecolor="#95b3d7" strokeweight="1pt">
                    <v:fill color2="#b8cce4" focus="100%" type="gradient"/>
                    <v:shadow on="t" color="#243f60" opacity=".5" offset="1pt"/>
                    <v:textbox>
                      <w:txbxContent>
                        <w:p w14:paraId="15B6031F" w14:textId="77777777" w:rsidR="004E3164" w:rsidRPr="009A2B56" w:rsidRDefault="004E3164" w:rsidP="009A2B56">
                          <w:pPr>
                            <w:ind w:firstLine="0"/>
                            <w:jc w:val="center"/>
                            <w:rPr>
                              <w:sz w:val="20"/>
                            </w:rPr>
                          </w:pPr>
                          <w:r w:rsidRPr="009A2B56">
                            <w:rPr>
                              <w:sz w:val="20"/>
                            </w:rPr>
                            <w:t xml:space="preserve">2. Наличие на условия за </w:t>
                          </w:r>
                          <w:r w:rsidRPr="009A2B56">
                            <w:rPr>
                              <w:b/>
                              <w:sz w:val="20"/>
                            </w:rPr>
                            <w:t>икономическа дейност</w:t>
                          </w:r>
                          <w:r w:rsidRPr="009A2B56">
                            <w:rPr>
                              <w:sz w:val="20"/>
                            </w:rPr>
                            <w:t xml:space="preserve"> </w:t>
                          </w:r>
                          <w:r w:rsidRPr="009A2B56">
                            <w:rPr>
                              <w:b/>
                              <w:sz w:val="20"/>
                            </w:rPr>
                            <w:t>и</w:t>
                          </w:r>
                          <w:r w:rsidRPr="009A2B56">
                            <w:rPr>
                              <w:sz w:val="20"/>
                            </w:rPr>
                            <w:t xml:space="preserve">  </w:t>
                          </w:r>
                          <w:r w:rsidRPr="009A2B56">
                            <w:rPr>
                              <w:b/>
                              <w:sz w:val="20"/>
                            </w:rPr>
                            <w:t>икономическо предимство</w:t>
                          </w:r>
                        </w:p>
                      </w:txbxContent>
                    </v:textbox>
                  </v:shape>
                  <v:shape id="Diamond 635" o:spid="_x0000_s1228" type="#_x0000_t4" style="position:absolute;left:3798;top:3028;width:520;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" strokecolor="#fabf8f" strokeweight="1pt">
                    <v:fill color2="#fbd4b4" focus="100%" type="gradient"/>
                    <v:shadow on="t" color="#974706" opacity=".5" offset="1pt"/>
                  </v:shape>
                  <v:shape id="AutoShape 277" o:spid="_x0000_s1229" type="#_x0000_t32" style="position:absolute;left:4058;top:3392;width:0;height: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" strokeweight="1.5pt">
                    <v:stroke endarrow="block"/>
                  </v:shape>
                  <v:shape id="AutoShape 278" o:spid="_x0000_s1230" type="#_x0000_t32" style="position:absolute;left:4058;top:2749;width:0;height: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" strokeweight="1.5pt">
                    <v:stroke endarrow="block"/>
                  </v:shape>
                  <v:shape id="AutoShape 279" o:spid="_x0000_s1231" type="#_x0000_t32" style="position:absolute;left:4359;top:3204;width:23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" strokeweight="1.5pt">
                    <v:stroke endarrow="block"/>
                  </v:shape>
                  <v:shape id="Text Box 280" o:spid="_x0000_s1232" type="#_x0000_t202" style="position:absolute;left:3274;top:3295;width:591;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" strokecolor="white">
                    <v:textbox>
                      <w:txbxContent>
                        <w:p w14:paraId="2D82CD60" w14:textId="77777777" w:rsidR="004E3164" w:rsidRPr="009A2B56" w:rsidRDefault="004E3164" w:rsidP="009A2B56">
                          <w:pPr>
                            <w:ind w:firstLine="0"/>
                            <w:jc w:val="center"/>
                            <w:rPr>
                              <w:color w:val="FF0000"/>
                              <w:sz w:val="20"/>
                            </w:rPr>
                          </w:pPr>
                          <w:r w:rsidRPr="009A2B56">
                            <w:rPr>
                              <w:color w:val="FF0000"/>
                              <w:sz w:val="20"/>
                            </w:rPr>
                            <w:t>да</w:t>
                          </w:r>
                        </w:p>
                      </w:txbxContent>
                    </v:textbox>
                  </v:shape>
                  <v:shape id="Text Box 281" o:spid="_x0000_s1233" type="#_x0000_t202" style="position:absolute;left:5040;top:3295;width:591;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" strokecolor="white">
                    <v:textbox>
                      <w:txbxContent>
                        <w:p w14:paraId="3D6048E8" w14:textId="77777777" w:rsidR="004E3164" w:rsidRPr="009A2B56" w:rsidRDefault="004E3164" w:rsidP="009A2B56">
                          <w:pPr>
                            <w:ind w:firstLine="0"/>
                            <w:jc w:val="center"/>
                            <w:rPr>
                              <w:sz w:val="20"/>
                            </w:rPr>
                          </w:pPr>
                          <w:r w:rsidRPr="009A2B56">
                            <w:rPr>
                              <w:sz w:val="20"/>
                            </w:rPr>
                            <w:t>не</w:t>
                          </w:r>
                        </w:p>
                      </w:txbxContent>
                    </v:textbox>
                  </v:shape>
                </v:group>
                <v:group id="Group 282" o:spid="_x0000_s1234" style="position:absolute;left:2448;top:6583;width:5475;height:1520" coordorigin="1320,2236" coordsize="547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">
                  <v:shape id="AutoShape 283" o:spid="_x0000_s1235" type="#_x0000_t109" style="position:absolute;left:1320;top:2236;width:547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" strokecolor="#95b3d7" strokeweight="1pt">
                    <v:fill color2="#b8cce4" focus="100%" type="gradient"/>
                    <v:shadow on="t" color="#243f60" opacity=".5" offset="1pt"/>
                    <v:textbox>
                      <w:txbxContent>
                        <w:p w14:paraId="0C754F36" w14:textId="77777777" w:rsidR="004E3164" w:rsidRPr="009A2B56" w:rsidRDefault="004E3164" w:rsidP="009A2B56">
                          <w:pPr>
                            <w:ind w:firstLine="0"/>
                            <w:jc w:val="center"/>
                            <w:rPr>
                              <w:sz w:val="20"/>
                            </w:rPr>
                          </w:pPr>
                          <w:r w:rsidRPr="009A2B56">
                            <w:rPr>
                              <w:sz w:val="20"/>
                            </w:rPr>
                            <w:t xml:space="preserve">3. Предоставя се на </w:t>
                          </w:r>
                          <w:r w:rsidRPr="009A2B56">
                            <w:rPr>
                              <w:b/>
                              <w:sz w:val="20"/>
                            </w:rPr>
                            <w:t>определени предприятия</w:t>
                          </w:r>
                          <w:r w:rsidRPr="009A2B56">
                            <w:rPr>
                              <w:sz w:val="20"/>
                            </w:rPr>
                            <w:t xml:space="preserve"> или производството </w:t>
                          </w:r>
                        </w:p>
                      </w:txbxContent>
                    </v:textbox>
                  </v:shape>
                  <v:shape id="Diamond 635" o:spid="_x0000_s1236" type="#_x0000_t4" style="position:absolute;left:3798;top:3028;width:520;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" strokecolor="#fabf8f" strokeweight="1pt">
                    <v:fill color2="#fbd4b4" focus="100%" type="gradient"/>
                    <v:shadow on="t" color="#974706" opacity=".5" offset="1pt"/>
                  </v:shape>
                  <v:shape id="AutoShape 285" o:spid="_x0000_s1237" type="#_x0000_t32" style="position:absolute;left:4058;top:3392;width:0;height: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" strokeweight="1.5pt">
                    <v:stroke endarrow="block"/>
                  </v:shape>
                  <v:shape id="AutoShape 286" o:spid="_x0000_s1238" type="#_x0000_t32" style="position:absolute;left:4058;top:2749;width:0;height: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" strokeweight="1.5pt">
                    <v:stroke endarrow="block"/>
                  </v:shape>
                  <v:shape id="AutoShape 287" o:spid="_x0000_s1239" type="#_x0000_t32" style="position:absolute;left:4359;top:3204;width:23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" strokeweight="1.5pt">
                    <v:stroke endarrow="block"/>
                  </v:shape>
                  <v:shape id="Text Box 288" o:spid="_x0000_s1240" type="#_x0000_t202" style="position:absolute;left:3274;top:3295;width:591;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" strokecolor="white">
                    <v:textbox>
                      <w:txbxContent>
                        <w:p w14:paraId="5BD7F445" w14:textId="77777777" w:rsidR="004E3164" w:rsidRPr="009A2B56" w:rsidRDefault="004E3164" w:rsidP="009A2B56">
                          <w:pPr>
                            <w:ind w:firstLine="0"/>
                            <w:jc w:val="center"/>
                            <w:rPr>
                              <w:color w:val="FF0000"/>
                              <w:sz w:val="20"/>
                            </w:rPr>
                          </w:pPr>
                          <w:r w:rsidRPr="009A2B56">
                            <w:rPr>
                              <w:color w:val="FF0000"/>
                              <w:sz w:val="20"/>
                            </w:rPr>
                            <w:t>да</w:t>
                          </w:r>
                        </w:p>
                      </w:txbxContent>
                    </v:textbox>
                  </v:shape>
                  <v:shape id="Text Box 289" o:spid="_x0000_s1241" type="#_x0000_t202" style="position:absolute;left:5040;top:3295;width:591;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" strokecolor="white">
                    <v:textbox>
                      <w:txbxContent>
                        <w:p w14:paraId="7CA50BFC" w14:textId="77777777" w:rsidR="004E3164" w:rsidRPr="009A2B56" w:rsidRDefault="004E3164" w:rsidP="009A2B56">
                          <w:pPr>
                            <w:ind w:firstLine="0"/>
                            <w:jc w:val="center"/>
                            <w:rPr>
                              <w:sz w:val="20"/>
                            </w:rPr>
                          </w:pPr>
                          <w:r w:rsidRPr="009A2B56">
                            <w:rPr>
                              <w:sz w:val="20"/>
                            </w:rPr>
                            <w:t>не</w:t>
                          </w:r>
                        </w:p>
                      </w:txbxContent>
                    </v:textbox>
                  </v:shape>
                </v:group>
                <v:group id="Group 290" o:spid="_x0000_s1242" style="position:absolute;left:2460;top:8072;width:5475;height:899" coordorigin="1320,2236" coordsize="547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">
                  <v:shape id="AutoShape 291" o:spid="_x0000_s1243" type="#_x0000_t109" style="position:absolute;left:1320;top:2236;width:547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" strokecolor="#95b3d7" strokeweight="1pt">
                    <v:fill color2="#b8cce4" focus="100%" type="gradient"/>
                    <v:shadow on="t" color="#243f60" opacity=".5" offset="1pt"/>
                    <v:textbox>
                      <w:txbxContent>
                        <w:p w14:paraId="6DBA7A1A" w14:textId="77777777" w:rsidR="004E3164" w:rsidRPr="009A2B56" w:rsidRDefault="004E3164" w:rsidP="009A2B56">
                          <w:pPr>
                            <w:ind w:firstLine="0"/>
                            <w:jc w:val="center"/>
                            <w:rPr>
                              <w:sz w:val="20"/>
                            </w:rPr>
                          </w:pPr>
                          <w:r w:rsidRPr="009A2B56">
                            <w:rPr>
                              <w:sz w:val="20"/>
                            </w:rPr>
                            <w:t xml:space="preserve">4. Води до нарушаване или заплашва да </w:t>
                          </w:r>
                          <w:r w:rsidRPr="009A2B56">
                            <w:rPr>
                              <w:b/>
                              <w:sz w:val="20"/>
                            </w:rPr>
                            <w:t>наруши конкуренцията и засяга търговията между ДЧ</w:t>
                          </w:r>
                        </w:p>
                        <w:p w14:paraId="25EB33D4" w14:textId="77777777" w:rsidR="004E3164" w:rsidRPr="009A2B56" w:rsidRDefault="004E3164" w:rsidP="009A2B56">
                          <w:pPr>
                            <w:ind w:firstLine="0"/>
                            <w:jc w:val="center"/>
                            <w:rPr>
                              <w:sz w:val="20"/>
                            </w:rPr>
                          </w:pPr>
                        </w:p>
                        <w:p w14:paraId="4B301392" w14:textId="77777777" w:rsidR="004E3164" w:rsidRPr="009A2B56" w:rsidRDefault="004E3164" w:rsidP="009A2B56">
                          <w:pPr>
                            <w:ind w:firstLine="0"/>
                            <w:jc w:val="center"/>
                            <w:rPr>
                              <w:sz w:val="20"/>
                            </w:rPr>
                          </w:pPr>
                        </w:p>
                      </w:txbxContent>
                    </v:textbox>
                  </v:shape>
                  <v:shape id="AutoShape 294" o:spid="_x0000_s1244" type="#_x0000_t32" style="position:absolute;left:4058;top:2749;width:0;height: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" strokeweight="1.5pt">
                    <v:stroke endarrow="block"/>
                  </v:shape>
                </v:group>
                <v:group id="Group 298" o:spid="_x0000_s1245" style="position:absolute;left:4356;top:8971;width:3468;height:619" coordorigin="3204,1336" coordsize="3468,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">
                  <v:shape id="Diamond 635" o:spid="_x0000_s1246" type="#_x0000_t4" style="position:absolute;left:3798;top:1336;width:520;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" strokecolor="#fabf8f" strokeweight="1pt">
                    <v:fill color2="#fbd4b4" focus="100%" type="gradient"/>
                    <v:shadow on="t" color="#974706" opacity=".5" offset="1pt"/>
                  </v:shape>
                  <v:shape id="AutoShape 301" o:spid="_x0000_s1247" type="#_x0000_t32" style="position:absolute;left:4070;top:1676;width:0;height: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" strokeweight="1.5pt">
                    <v:stroke endarrow="block"/>
                  </v:shape>
                  <v:shape id="AutoShape 303" o:spid="_x0000_s1248" type="#_x0000_t32" style="position:absolute;left:4335;top:1557;width:23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" strokeweight="1.5pt">
                    <v:stroke endarrow="block"/>
                  </v:shape>
                  <v:shape id="Text Box 304" o:spid="_x0000_s1249" type="#_x0000_t202" style="position:absolute;left:3204;top:1579;width:591;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" strokecolor="white">
                    <v:textbox>
                      <w:txbxContent>
                        <w:p w14:paraId="54DD0780" w14:textId="77777777" w:rsidR="004E3164" w:rsidRPr="009A2B56" w:rsidRDefault="004E3164" w:rsidP="009A2B56">
                          <w:pPr>
                            <w:ind w:firstLine="0"/>
                            <w:jc w:val="center"/>
                            <w:rPr>
                              <w:color w:val="FF0000"/>
                              <w:sz w:val="20"/>
                            </w:rPr>
                          </w:pPr>
                          <w:r w:rsidRPr="009A2B56">
                            <w:rPr>
                              <w:color w:val="FF0000"/>
                              <w:sz w:val="20"/>
                            </w:rPr>
                            <w:t>да</w:t>
                          </w:r>
                        </w:p>
                      </w:txbxContent>
                    </v:textbox>
                  </v:shape>
                  <v:shape id="Text Box 305" o:spid="_x0000_s1250" type="#_x0000_t202" style="position:absolute;left:5016;top:1608;width:591;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" strokecolor="white">
                    <v:textbox>
                      <w:txbxContent>
                        <w:p w14:paraId="41710D75" w14:textId="77777777" w:rsidR="004E3164" w:rsidRPr="009A2B56" w:rsidRDefault="004E3164" w:rsidP="009A2B56">
                          <w:pPr>
                            <w:ind w:firstLine="0"/>
                            <w:jc w:val="center"/>
                            <w:rPr>
                              <w:sz w:val="20"/>
                            </w:rPr>
                          </w:pPr>
                          <w:r w:rsidRPr="009A2B56">
                            <w:rPr>
                              <w:sz w:val="20"/>
                            </w:rPr>
                            <w:t>не</w:t>
                          </w:r>
                        </w:p>
                      </w:txbxContent>
                    </v:textbox>
                  </v:shape>
                </v:group>
                <v:shape id="Flowchart: Process 878" o:spid="_x0000_s1251" type="#_x0000_t109" style="position:absolute;left:2484;top:9642;width:547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" strokecolor="#fabf8f" strokeweight="1pt">
                  <v:fill color2="#fbd4b4" focus="100%" type="gradient"/>
                  <v:shadow on="t" color="#974706" opacity=".5" offset="1pt"/>
                  <v:textbox>
                    <w:txbxContent>
                      <w:p w14:paraId="014884F3" w14:textId="77777777" w:rsidR="004E3164" w:rsidRPr="009A2B56" w:rsidRDefault="004E3164" w:rsidP="009A2B56">
                        <w:pPr>
                          <w:ind w:firstLine="0"/>
                          <w:jc w:val="center"/>
                          <w:rPr>
                            <w:sz w:val="20"/>
                          </w:rPr>
                        </w:pPr>
                        <w:r w:rsidRPr="009A2B56">
                          <w:rPr>
                            <w:color w:val="FF0000"/>
                            <w:sz w:val="20"/>
                          </w:rPr>
                          <w:t xml:space="preserve">Наличие на </w:t>
                        </w:r>
                        <w:r w:rsidRPr="009A2B56">
                          <w:rPr>
                            <w:b/>
                            <w:color w:val="FF0000"/>
                            <w:sz w:val="20"/>
                          </w:rPr>
                          <w:t xml:space="preserve">ДП </w:t>
                        </w:r>
                      </w:p>
                    </w:txbxContent>
                  </v:textbox>
                </v:shape>
                <w10:anchorlock/>
              </v:group>
            </w:pict>
          </mc:Fallback>
        </mc:AlternateContent>
      </w:r>
    </w:p>
    <w:p w14:paraId="631863E7" w14:textId="77777777" w:rsidR="00D603F5" w:rsidRPr="001B0EA3" w:rsidRDefault="00D603F5" w:rsidP="00890B4B">
      <w:pPr>
        <w:rPr>
          <w:b/>
          <w:szCs w:val="22"/>
          <w:lang w:eastAsia="en-US"/>
        </w:rPr>
      </w:pPr>
    </w:p>
    <w:p w14:paraId="39BD77AD" w14:textId="77777777" w:rsidR="00D603F5" w:rsidRDefault="00D603F5" w:rsidP="009A2B56">
      <w:pPr>
        <w:rPr>
          <w:lang w:eastAsia="en-US"/>
        </w:rPr>
      </w:pPr>
      <w:r w:rsidRPr="001B0EA3">
        <w:rPr>
          <w:lang w:eastAsia="en-US"/>
        </w:rPr>
        <w:t>Поради спецификата</w:t>
      </w:r>
      <w:r w:rsidR="00425754" w:rsidRPr="001B0EA3">
        <w:rPr>
          <w:lang w:eastAsia="en-US"/>
        </w:rPr>
        <w:t>,</w:t>
      </w:r>
      <w:r w:rsidRPr="001B0EA3">
        <w:rPr>
          <w:lang w:eastAsia="en-US"/>
        </w:rPr>
        <w:t xml:space="preserve"> наложена от  нормативната уредба при определянето наличието на всеки от </w:t>
      </w:r>
      <w:r w:rsidR="00C143A5" w:rsidRPr="001B0EA3">
        <w:rPr>
          <w:lang w:eastAsia="en-US"/>
        </w:rPr>
        <w:t xml:space="preserve">четирите </w:t>
      </w:r>
      <w:r w:rsidRPr="001B0EA3">
        <w:rPr>
          <w:lang w:eastAsia="en-US"/>
        </w:rPr>
        <w:t xml:space="preserve">елемента, когато се прави предварително оценка на конкретна мярка (проектно предложение)  следва да се има предвид следното:  </w:t>
      </w:r>
    </w:p>
    <w:p w14:paraId="34A4EAC2" w14:textId="77777777" w:rsidR="009A2B56" w:rsidRPr="001B0EA3" w:rsidRDefault="009A2B56" w:rsidP="009A2B56">
      <w:pPr>
        <w:rPr>
          <w:lang w:eastAsia="en-US"/>
        </w:rPr>
      </w:pPr>
    </w:p>
    <w:p w14:paraId="35CEF62F" w14:textId="77777777" w:rsidR="00D603F5" w:rsidRPr="00842ECC" w:rsidRDefault="00D603F5" w:rsidP="00ED358C">
      <w:pPr>
        <w:pStyle w:val="Style3"/>
        <w:rPr>
          <w:lang w:val="bg-BG" w:eastAsia="en-US"/>
        </w:rPr>
      </w:pPr>
      <w:bookmarkStart w:id="332" w:name="_Toc479775574"/>
      <w:r w:rsidRPr="00842ECC">
        <w:rPr>
          <w:lang w:val="bg-BG" w:eastAsia="en-US"/>
        </w:rPr>
        <w:t>Наличие на предоставяне на държавни ресурси или управлявани от ДЧ ресурси</w:t>
      </w:r>
      <w:r w:rsidR="00C143A5" w:rsidRPr="00842ECC">
        <w:rPr>
          <w:lang w:val="bg-BG" w:eastAsia="en-US"/>
        </w:rPr>
        <w:t xml:space="preserve"> (фиг. 2.4)</w:t>
      </w:r>
      <w:bookmarkEnd w:id="332"/>
    </w:p>
    <w:p w14:paraId="5FC73D84" w14:textId="77777777" w:rsidR="00A85738" w:rsidRPr="001B0EA3" w:rsidRDefault="00A85738" w:rsidP="009A2B56">
      <w:pPr>
        <w:rPr>
          <w:lang w:eastAsia="en-US"/>
        </w:rPr>
      </w:pPr>
    </w:p>
    <w:p w14:paraId="798FE5FD" w14:textId="77777777" w:rsidR="00A85738" w:rsidRPr="001B0EA3" w:rsidRDefault="00A85738" w:rsidP="009A2B56">
      <w:pPr>
        <w:rPr>
          <w:lang w:eastAsia="en-US"/>
        </w:rPr>
      </w:pPr>
      <w:r w:rsidRPr="001B0EA3">
        <w:rPr>
          <w:lang w:eastAsia="en-US"/>
        </w:rPr>
        <w:t xml:space="preserve">Като основна </w:t>
      </w:r>
      <w:r w:rsidRPr="001B0EA3">
        <w:rPr>
          <w:b/>
          <w:lang w:eastAsia="en-US"/>
        </w:rPr>
        <w:t>предпоставка</w:t>
      </w:r>
      <w:r w:rsidRPr="001B0EA3">
        <w:rPr>
          <w:lang w:eastAsia="en-US"/>
        </w:rPr>
        <w:t xml:space="preserve"> за наличието на ДП  в настоящия процедурен наръчник се разглежда наличието на </w:t>
      </w:r>
      <w:r w:rsidRPr="001B0EA3">
        <w:rPr>
          <w:b/>
          <w:lang w:eastAsia="en-US"/>
        </w:rPr>
        <w:t>предоставяне на държавни ресурси</w:t>
      </w:r>
      <w:r w:rsidRPr="001B0EA3">
        <w:rPr>
          <w:lang w:eastAsia="en-US"/>
        </w:rPr>
        <w:t xml:space="preserve"> или управлявани от ДЧ ресурси </w:t>
      </w:r>
      <w:r w:rsidRPr="001E404B">
        <w:rPr>
          <w:b/>
          <w:lang w:eastAsia="en-US"/>
        </w:rPr>
        <w:t>на</w:t>
      </w:r>
      <w:r w:rsidRPr="001B0EA3">
        <w:rPr>
          <w:lang w:eastAsia="en-US"/>
        </w:rPr>
        <w:t xml:space="preserve"> </w:t>
      </w:r>
      <w:r w:rsidRPr="001B0EA3">
        <w:rPr>
          <w:b/>
          <w:lang w:eastAsia="en-US"/>
        </w:rPr>
        <w:t xml:space="preserve">бенефициент </w:t>
      </w:r>
      <w:r w:rsidRPr="001B0EA3">
        <w:rPr>
          <w:lang w:eastAsia="en-US"/>
        </w:rPr>
        <w:t xml:space="preserve">на помощта, който осъществява </w:t>
      </w:r>
      <w:r w:rsidRPr="001B0EA3">
        <w:rPr>
          <w:b/>
          <w:lang w:eastAsia="en-US"/>
        </w:rPr>
        <w:t>икономическа дейност</w:t>
      </w:r>
      <w:r w:rsidRPr="001B0EA3">
        <w:rPr>
          <w:lang w:eastAsia="en-US"/>
        </w:rPr>
        <w:t xml:space="preserve"> или проекта се отнася за </w:t>
      </w:r>
      <w:r w:rsidRPr="001B0EA3">
        <w:rPr>
          <w:b/>
          <w:lang w:eastAsia="en-US"/>
        </w:rPr>
        <w:t>инфраструктура</w:t>
      </w:r>
      <w:r w:rsidRPr="001B0EA3">
        <w:rPr>
          <w:lang w:eastAsia="en-US"/>
        </w:rPr>
        <w:t xml:space="preserve">, предназначена за последваща </w:t>
      </w:r>
      <w:r w:rsidRPr="001B0EA3">
        <w:rPr>
          <w:b/>
          <w:lang w:eastAsia="en-US"/>
        </w:rPr>
        <w:t xml:space="preserve">икономическа експлоатация. </w:t>
      </w:r>
      <w:r w:rsidRPr="001B0EA3">
        <w:rPr>
          <w:lang w:eastAsia="en-US"/>
        </w:rPr>
        <w:t xml:space="preserve">Тестът за ДП следва да започне с преценка, на база информацията във формуляра за кандидатстване, дали са налице всички предпоставките </w:t>
      </w:r>
      <w:r w:rsidRPr="001B0EA3">
        <w:rPr>
          <w:i/>
          <w:lang w:eastAsia="en-US"/>
        </w:rPr>
        <w:t>(критериите)</w:t>
      </w:r>
      <w:r w:rsidRPr="001B0EA3">
        <w:rPr>
          <w:lang w:eastAsia="en-US"/>
        </w:rPr>
        <w:t xml:space="preserve"> за наличие на ДП, посочени във фиг.2.3. </w:t>
      </w:r>
    </w:p>
    <w:p w14:paraId="2077107A" w14:textId="77777777" w:rsidR="00D603F5" w:rsidRPr="001B0EA3" w:rsidRDefault="00D603F5" w:rsidP="009A2B56">
      <w:pPr>
        <w:rPr>
          <w:lang w:eastAsia="en-US"/>
        </w:rPr>
      </w:pPr>
      <w:r w:rsidRPr="001B0EA3">
        <w:rPr>
          <w:lang w:eastAsia="en-US"/>
        </w:rPr>
        <w:t>Само предимствата, които са предоставени пряко или непряко посредством държавни ресурси, могат да представляват ДП по смисъла на член 107, параграф 1 от ДФЕС</w:t>
      </w:r>
      <w:r w:rsidR="00604F78" w:rsidRPr="001B0EA3">
        <w:rPr>
          <w:lang w:eastAsia="en-US"/>
        </w:rPr>
        <w:t xml:space="preserve"> </w:t>
      </w:r>
      <w:r w:rsidR="00604F78" w:rsidRPr="001B0EA3">
        <w:rPr>
          <w:i/>
          <w:lang w:eastAsia="en-US"/>
        </w:rPr>
        <w:t>(т. 47 от Известието)</w:t>
      </w:r>
      <w:r w:rsidRPr="001B0EA3">
        <w:rPr>
          <w:lang w:eastAsia="en-US"/>
        </w:rPr>
        <w:t xml:space="preserve">. За да е изпълнено това  условие трябва да е налице </w:t>
      </w:r>
      <w:r w:rsidRPr="001B0EA3">
        <w:rPr>
          <w:b/>
          <w:lang w:eastAsia="en-US"/>
        </w:rPr>
        <w:t>предоставяне/трансфер на  публични ресурси (средства)</w:t>
      </w:r>
      <w:r w:rsidRPr="001B0EA3">
        <w:rPr>
          <w:lang w:eastAsia="en-US"/>
        </w:rPr>
        <w:t xml:space="preserve"> пряко или косвено, независимо под каква форма. </w:t>
      </w:r>
    </w:p>
    <w:p w14:paraId="12BFCBA6" w14:textId="77777777" w:rsidR="00D603F5" w:rsidRPr="001B0EA3" w:rsidRDefault="00D603F5" w:rsidP="009A2B56">
      <w:pPr>
        <w:rPr>
          <w:lang w:eastAsia="en-US"/>
        </w:rPr>
      </w:pPr>
      <w:r w:rsidRPr="001B0EA3">
        <w:rPr>
          <w:lang w:eastAsia="en-US"/>
        </w:rPr>
        <w:lastRenderedPageBreak/>
        <w:t>Държавните ресурси включват всички ресурси на публичния сектор, в това число ресурсите на вътрешнодържавните субекти (децентрализирани, обединени на федеративни начала, регионални или други)</w:t>
      </w:r>
      <w:r w:rsidR="00604F78" w:rsidRPr="001B0EA3">
        <w:rPr>
          <w:lang w:eastAsia="en-US"/>
        </w:rPr>
        <w:t>,</w:t>
      </w:r>
      <w:r w:rsidRPr="001B0EA3">
        <w:rPr>
          <w:lang w:eastAsia="en-US"/>
        </w:rPr>
        <w:t xml:space="preserve"> </w:t>
      </w:r>
      <w:r w:rsidR="00604F78" w:rsidRPr="001B0EA3">
        <w:rPr>
          <w:lang w:eastAsia="en-US"/>
        </w:rPr>
        <w:t xml:space="preserve">а </w:t>
      </w:r>
      <w:r w:rsidRPr="001B0EA3">
        <w:rPr>
          <w:lang w:eastAsia="en-US"/>
        </w:rPr>
        <w:t>при определени обстоятелства</w:t>
      </w:r>
      <w:r w:rsidR="00604F78" w:rsidRPr="001B0EA3">
        <w:rPr>
          <w:lang w:eastAsia="en-US"/>
        </w:rPr>
        <w:t>, и</w:t>
      </w:r>
      <w:r w:rsidRPr="001B0EA3">
        <w:rPr>
          <w:lang w:eastAsia="en-US"/>
        </w:rPr>
        <w:t xml:space="preserve"> ресурсите на частни организации</w:t>
      </w:r>
      <w:r w:rsidR="00604F78" w:rsidRPr="001B0EA3">
        <w:rPr>
          <w:lang w:eastAsia="en-US"/>
        </w:rPr>
        <w:t xml:space="preserve"> </w:t>
      </w:r>
      <w:r w:rsidR="00604F78" w:rsidRPr="001B0EA3">
        <w:rPr>
          <w:i/>
          <w:lang w:eastAsia="en-US"/>
        </w:rPr>
        <w:t>(т. 48 от Известието)</w:t>
      </w:r>
      <w:r w:rsidRPr="001B0EA3">
        <w:rPr>
          <w:lang w:eastAsia="en-US"/>
        </w:rPr>
        <w:t xml:space="preserve">. </w:t>
      </w:r>
    </w:p>
    <w:p w14:paraId="62F4630A" w14:textId="77777777" w:rsidR="000D27C3" w:rsidRPr="001B0EA3" w:rsidRDefault="00D603F5" w:rsidP="009A2B56">
      <w:pPr>
        <w:rPr>
          <w:lang w:eastAsia="en-US"/>
        </w:rPr>
      </w:pPr>
      <w:r w:rsidRPr="001B0EA3">
        <w:rPr>
          <w:lang w:eastAsia="en-US"/>
        </w:rPr>
        <w:t xml:space="preserve">Трансферът на държавни ресурси може да се осъществи под различни форми, като </w:t>
      </w:r>
      <w:r w:rsidRPr="001B0EA3">
        <w:rPr>
          <w:b/>
          <w:lang w:eastAsia="en-US"/>
        </w:rPr>
        <w:t>преки безвъзмездни помощи,</w:t>
      </w:r>
      <w:r w:rsidRPr="001B0EA3">
        <w:rPr>
          <w:lang w:eastAsia="en-US"/>
        </w:rPr>
        <w:t xml:space="preserve"> заеми, гаранции, преки инвестиции в капитала на </w:t>
      </w:r>
      <w:r w:rsidR="00BE546D" w:rsidRPr="001B0EA3">
        <w:rPr>
          <w:lang w:eastAsia="en-US"/>
        </w:rPr>
        <w:t>дружествата и плащания в натура</w:t>
      </w:r>
      <w:r w:rsidRPr="001B0EA3">
        <w:rPr>
          <w:lang w:eastAsia="en-US"/>
        </w:rPr>
        <w:t xml:space="preserve">. Твърдият и конкретен </w:t>
      </w:r>
      <w:r w:rsidRPr="001B0EA3">
        <w:rPr>
          <w:b/>
          <w:lang w:eastAsia="en-US"/>
        </w:rPr>
        <w:t xml:space="preserve">ангажимент </w:t>
      </w:r>
      <w:r w:rsidRPr="001B0EA3">
        <w:rPr>
          <w:lang w:eastAsia="en-US"/>
        </w:rPr>
        <w:t xml:space="preserve">за предоставяне на държавни ресурси на </w:t>
      </w:r>
      <w:r w:rsidRPr="001B0EA3">
        <w:rPr>
          <w:b/>
          <w:lang w:eastAsia="en-US"/>
        </w:rPr>
        <w:t>по-късен етап</w:t>
      </w:r>
      <w:r w:rsidRPr="001B0EA3">
        <w:rPr>
          <w:lang w:eastAsia="en-US"/>
        </w:rPr>
        <w:t xml:space="preserve"> също се счита за трансфер на държавни ресурси. </w:t>
      </w:r>
      <w:r w:rsidR="000D27C3" w:rsidRPr="001B0EA3">
        <w:rPr>
          <w:lang w:eastAsia="en-US"/>
        </w:rPr>
        <w:t xml:space="preserve">Не е необходимо да бъде извършван действителен трансфер на средства, отказът от приходи, които в противен случай биха били платени на държавата, представлява </w:t>
      </w:r>
      <w:r w:rsidR="000D27C3" w:rsidRPr="001B0EA3">
        <w:rPr>
          <w:b/>
          <w:lang w:eastAsia="en-US"/>
        </w:rPr>
        <w:t>трансфер на държавни ресурси</w:t>
      </w:r>
      <w:r w:rsidR="000D27C3" w:rsidRPr="001B0EA3">
        <w:rPr>
          <w:lang w:eastAsia="en-US"/>
        </w:rPr>
        <w:t xml:space="preserve">. </w:t>
      </w:r>
      <w:r w:rsidR="000D27C3" w:rsidRPr="001B0EA3">
        <w:rPr>
          <w:i/>
          <w:lang w:eastAsia="en-US"/>
        </w:rPr>
        <w:t xml:space="preserve"> (т. 51 от Известието).</w:t>
      </w:r>
    </w:p>
    <w:p w14:paraId="54885843" w14:textId="77777777" w:rsidR="00A66C15" w:rsidRPr="001B0EA3" w:rsidRDefault="00A66C15" w:rsidP="009A2B56">
      <w:pPr>
        <w:rPr>
          <w:lang w:eastAsia="en-US"/>
        </w:rPr>
      </w:pPr>
      <w:r w:rsidRPr="001B0EA3">
        <w:rPr>
          <w:lang w:eastAsia="en-US"/>
        </w:rPr>
        <w:t xml:space="preserve">За </w:t>
      </w:r>
      <w:r w:rsidRPr="001B0EA3">
        <w:rPr>
          <w:b/>
          <w:lang w:eastAsia="en-US"/>
        </w:rPr>
        <w:t>трансфер на публични ресурси</w:t>
      </w:r>
      <w:r w:rsidRPr="001B0EA3">
        <w:rPr>
          <w:lang w:eastAsia="en-US"/>
        </w:rPr>
        <w:t xml:space="preserve"> се считат и случаите, когато ДЧ контролира разпределението на средства, предоставени от различни  донорски организации</w:t>
      </w:r>
      <w:r w:rsidRPr="001B0EA3">
        <w:rPr>
          <w:b/>
          <w:lang w:eastAsia="en-US"/>
        </w:rPr>
        <w:t xml:space="preserve">. </w:t>
      </w:r>
      <w:r w:rsidRPr="001B0EA3">
        <w:rPr>
          <w:lang w:eastAsia="en-US"/>
        </w:rPr>
        <w:t xml:space="preserve">  Произходът на ресурсите не е от значение, при условие, че преди да бъдат пряко или косвено  прехвърлени на бенефициентите, те полежат на публичен контрол и следователно са на разположение на националните органи, дори и ресурсите да не стават публична собственост. </w:t>
      </w:r>
      <w:r w:rsidRPr="001B0EA3">
        <w:rPr>
          <w:i/>
          <w:lang w:eastAsia="en-US"/>
        </w:rPr>
        <w:t>(т. 57 от Известието)</w:t>
      </w:r>
    </w:p>
    <w:p w14:paraId="0DAEF62F" w14:textId="77777777" w:rsidR="00A66C15" w:rsidRPr="001B0EA3" w:rsidRDefault="00A66C15" w:rsidP="009A2B56">
      <w:pPr>
        <w:rPr>
          <w:lang w:eastAsia="en-US"/>
        </w:rPr>
      </w:pPr>
      <w:r w:rsidRPr="001B0EA3">
        <w:rPr>
          <w:lang w:eastAsia="en-US"/>
        </w:rPr>
        <w:t xml:space="preserve">В тази връзка ресурсите, получавани  от ЕС (напр. от структурните и инвестиционни фондове), от ЕИБ или Европейския </w:t>
      </w:r>
      <w:r w:rsidR="00E813B6" w:rsidRPr="001B0EA3">
        <w:rPr>
          <w:lang w:eastAsia="en-US"/>
        </w:rPr>
        <w:t>инвестиционен</w:t>
      </w:r>
      <w:r w:rsidRPr="001B0EA3">
        <w:rPr>
          <w:lang w:eastAsia="en-US"/>
        </w:rPr>
        <w:t xml:space="preserve"> фонд, или от международни финансови институции като МВФ или ЕБВР също следва да се </w:t>
      </w:r>
      <w:r w:rsidRPr="001B0EA3">
        <w:rPr>
          <w:b/>
          <w:lang w:eastAsia="en-US"/>
        </w:rPr>
        <w:t>считат за държавни ресурси</w:t>
      </w:r>
      <w:r w:rsidRPr="001B0EA3">
        <w:rPr>
          <w:lang w:eastAsia="en-US"/>
        </w:rPr>
        <w:t xml:space="preserve">, ако националните органи </w:t>
      </w:r>
      <w:r w:rsidRPr="001B0EA3">
        <w:rPr>
          <w:b/>
          <w:lang w:eastAsia="en-US"/>
        </w:rPr>
        <w:t>имат дискреционно</w:t>
      </w:r>
      <w:r w:rsidRPr="001B0EA3">
        <w:rPr>
          <w:lang w:eastAsia="en-US"/>
        </w:rPr>
        <w:t xml:space="preserve"> право </w:t>
      </w:r>
      <w:r w:rsidRPr="001B0EA3">
        <w:rPr>
          <w:i/>
          <w:lang w:eastAsia="en-US"/>
        </w:rPr>
        <w:t>(правото да ги използват/разпределят по собствена преценка)</w:t>
      </w:r>
      <w:r w:rsidRPr="001B0EA3">
        <w:rPr>
          <w:lang w:eastAsia="en-US"/>
        </w:rPr>
        <w:t xml:space="preserve"> по използването на тези ресурси (</w:t>
      </w:r>
      <w:r w:rsidRPr="001B0EA3">
        <w:rPr>
          <w:b/>
          <w:lang w:eastAsia="en-US"/>
        </w:rPr>
        <w:t>по-специално подбора на получателите</w:t>
      </w:r>
      <w:r w:rsidRPr="001B0EA3">
        <w:rPr>
          <w:i/>
          <w:lang w:eastAsia="en-US"/>
        </w:rPr>
        <w:t>).   (т. 60 от Известието</w:t>
      </w:r>
      <w:r w:rsidRPr="001B0EA3">
        <w:rPr>
          <w:lang w:eastAsia="en-US"/>
        </w:rPr>
        <w:t>)</w:t>
      </w:r>
    </w:p>
    <w:p w14:paraId="0C271583" w14:textId="77777777" w:rsidR="00A66C15" w:rsidRPr="001B0EA3" w:rsidRDefault="00A66C15" w:rsidP="009A2B56">
      <w:pPr>
        <w:rPr>
          <w:lang w:eastAsia="en-US"/>
        </w:rPr>
      </w:pPr>
      <w:r w:rsidRPr="001B0EA3">
        <w:rPr>
          <w:lang w:eastAsia="en-US"/>
        </w:rPr>
        <w:tab/>
      </w:r>
    </w:p>
    <w:p w14:paraId="5270EB0D" w14:textId="77777777" w:rsidR="00A66C15" w:rsidRPr="001B0EA3" w:rsidRDefault="0015164B" w:rsidP="009A2B56">
      <w:pPr>
        <w:rPr>
          <w:lang w:eastAsia="en-US"/>
        </w:rPr>
      </w:pPr>
      <w:r w:rsidRPr="001B0EA3">
        <w:rPr>
          <w:lang w:eastAsia="en-US"/>
        </w:rPr>
        <w:t>По</w:t>
      </w:r>
      <w:r w:rsidR="00A66C15" w:rsidRPr="001B0EA3">
        <w:rPr>
          <w:lang w:eastAsia="en-US"/>
        </w:rPr>
        <w:t>–детайлни разяснения относно критерия „</w:t>
      </w:r>
      <w:r w:rsidR="00A66C15" w:rsidRPr="001B0EA3">
        <w:rPr>
          <w:b/>
          <w:lang w:eastAsia="en-US"/>
        </w:rPr>
        <w:t>предоставяне на държавни ресурси“</w:t>
      </w:r>
      <w:r w:rsidR="00A66C15" w:rsidRPr="001B0EA3">
        <w:rPr>
          <w:lang w:eastAsia="en-US"/>
        </w:rPr>
        <w:t xml:space="preserve"> са дадени в раздел 3. „“Държавен произход“ на Известието </w:t>
      </w:r>
      <w:r w:rsidR="00A66C15" w:rsidRPr="001B0EA3">
        <w:rPr>
          <w:i/>
          <w:lang w:eastAsia="en-US"/>
        </w:rPr>
        <w:t>(от . 38 до 65).</w:t>
      </w:r>
    </w:p>
    <w:p w14:paraId="50F62EDC" w14:textId="77777777" w:rsidR="00D603F5" w:rsidRPr="001B0EA3" w:rsidRDefault="00D603F5" w:rsidP="009A2B56">
      <w:pPr>
        <w:rPr>
          <w:lang w:eastAsia="en-US"/>
        </w:rPr>
      </w:pPr>
    </w:p>
    <w:p w14:paraId="0F707F4C" w14:textId="77777777" w:rsidR="00D603F5" w:rsidRPr="001B0EA3" w:rsidRDefault="00D603F5" w:rsidP="009A2B56">
      <w:pPr>
        <w:rPr>
          <w:lang w:eastAsia="en-US"/>
        </w:rPr>
        <w:sectPr w:rsidR="00D603F5" w:rsidRPr="001B0EA3" w:rsidSect="002305A7">
          <w:pgSz w:w="11906" w:h="16838" w:code="9"/>
          <w:pgMar w:top="1134" w:right="851" w:bottom="1134" w:left="1418" w:header="507" w:footer="241" w:gutter="0"/>
          <w:cols w:space="708"/>
          <w:docGrid w:linePitch="272"/>
        </w:sectPr>
      </w:pPr>
    </w:p>
    <w:p w14:paraId="69D04420" w14:textId="77777777" w:rsidR="00D603F5" w:rsidRPr="001B0EA3" w:rsidRDefault="00D603F5" w:rsidP="00511860">
      <w:pPr>
        <w:spacing w:beforeLines="60" w:before="144" w:afterLines="60" w:after="144"/>
        <w:rPr>
          <w:szCs w:val="22"/>
          <w:lang w:eastAsia="en-US"/>
        </w:rPr>
      </w:pPr>
    </w:p>
    <w:p w14:paraId="75D25E55" w14:textId="77777777" w:rsidR="00D603F5" w:rsidRPr="009A2B56" w:rsidRDefault="00D603F5" w:rsidP="003B124D">
      <w:pPr>
        <w:ind w:firstLine="0"/>
        <w:jc w:val="center"/>
        <w:rPr>
          <w:b/>
          <w:lang w:eastAsia="en-US"/>
        </w:rPr>
      </w:pPr>
      <w:r w:rsidRPr="009A2B56">
        <w:rPr>
          <w:b/>
          <w:lang w:eastAsia="en-US"/>
        </w:rPr>
        <w:t>Фиг. 2.4. Източници за финансиране на ДП</w:t>
      </w:r>
    </w:p>
    <w:p w14:paraId="2279D380" w14:textId="77777777" w:rsidR="009D48E1" w:rsidRPr="001B0EA3" w:rsidRDefault="009D48E1" w:rsidP="003B124D">
      <w:pPr>
        <w:spacing w:beforeLines="60" w:before="144" w:afterLines="60" w:after="144"/>
        <w:ind w:firstLine="0"/>
        <w:jc w:val="center"/>
        <w:rPr>
          <w:szCs w:val="22"/>
          <w:lang w:eastAsia="en-US"/>
        </w:rPr>
      </w:pPr>
    </w:p>
    <w:p w14:paraId="36B38947" w14:textId="77777777" w:rsidR="00D603F5" w:rsidRPr="001B0EA3" w:rsidRDefault="00937754" w:rsidP="003B124D">
      <w:pPr>
        <w:spacing w:beforeLines="60" w:before="144" w:afterLines="60" w:after="144"/>
        <w:ind w:firstLine="0"/>
        <w:jc w:val="center"/>
        <w:rPr>
          <w:szCs w:val="22"/>
          <w:lang w:eastAsia="en-US"/>
        </w:rPr>
      </w:pPr>
      <w:r w:rsidRPr="001B0EA3">
        <w:rPr>
          <w:noProof/>
          <w:lang w:eastAsia="bg-BG"/>
        </w:rPr>
        <mc:AlternateContent>
          <mc:Choice Requires="wpg">
            <w:drawing>
              <wp:inline distT="0" distB="0" distL="0" distR="0" wp14:anchorId="71ACEDE9" wp14:editId="122FF2C4">
                <wp:extent cx="7695565" cy="4791075"/>
                <wp:effectExtent l="0" t="0" r="19685" b="47625"/>
                <wp:docPr id="245" name="Group 2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5565" cy="4791075"/>
                          <a:chOff x="1152" y="1859"/>
                          <a:chExt cx="12119" cy="7545"/>
                        </a:xfrm>
                      </wpg:grpSpPr>
                      <wps:wsp>
                        <wps:cNvPr id="246" name="AutoShape 214"/>
                        <wps:cNvSpPr>
                          <a:spLocks noChangeArrowheads="1"/>
                        </wps:cNvSpPr>
                        <wps:spPr bwMode="auto">
                          <a:xfrm>
                            <a:off x="5828" y="7491"/>
                            <a:ext cx="2881" cy="704"/>
                          </a:xfrm>
                          <a:prstGeom prst="flowChartPreparation">
                            <a:avLst/>
                          </a:prstGeom>
                          <a:gradFill rotWithShape="0">
                            <a:gsLst>
                              <a:gs pos="0">
                                <a:srgbClr val="FFFFFF"/>
                              </a:gs>
                              <a:gs pos="100000">
                                <a:srgbClr val="E5B8B7"/>
                              </a:gs>
                            </a:gsLst>
                            <a:lin ang="5400000" scaled="1"/>
                          </a:gradFill>
                          <a:ln>
                            <a:noFill/>
                          </a:ln>
                          <a:effectLst>
                            <a:outerShdw dist="28398" dir="3806097" algn="ctr" rotWithShape="0">
                              <a:srgbClr val="622423">
                                <a:alpha val="50000"/>
                              </a:srgbClr>
                            </a:outerShdw>
                          </a:effectLst>
                          <a:extLst>
                            <a:ext uri="{91240B29-F687-4F45-9708-019B960494DF}">
                              <a14:hiddenLine xmlns:a14="http://schemas.microsoft.com/office/drawing/2010/main" w="12700">
                                <a:solidFill>
                                  <a:srgbClr val="D99594"/>
                                </a:solidFill>
                                <a:miter lim="800000"/>
                                <a:headEnd/>
                                <a:tailEnd/>
                              </a14:hiddenLine>
                            </a:ext>
                          </a:extLst>
                        </wps:spPr>
                        <wps:txbx>
                          <w:txbxContent>
                            <w:p w14:paraId="4CDB547C" w14:textId="77777777" w:rsidR="004E3164" w:rsidRPr="009A2B56" w:rsidRDefault="004E3164" w:rsidP="009A2B56">
                              <w:pPr>
                                <w:ind w:firstLine="0"/>
                                <w:jc w:val="center"/>
                                <w:rPr>
                                  <w:b/>
                                  <w:color w:val="FF0000"/>
                                  <w:sz w:val="20"/>
                                </w:rPr>
                              </w:pPr>
                              <w:r w:rsidRPr="009A2B56">
                                <w:rPr>
                                  <w:b/>
                                  <w:color w:val="FF0000"/>
                                  <w:sz w:val="20"/>
                                </w:rPr>
                                <w:t>Държавна помощ</w:t>
                              </w:r>
                            </w:p>
                          </w:txbxContent>
                        </wps:txbx>
                        <wps:bodyPr rot="0" vert="horz" wrap="square" lIns="91440" tIns="45720" rIns="91440" bIns="45720" anchor="t" anchorCtr="0" upright="1">
                          <a:noAutofit/>
                        </wps:bodyPr>
                      </wps:wsp>
                      <wpg:grpSp>
                        <wpg:cNvPr id="247" name="Group 215"/>
                        <wpg:cNvGrpSpPr>
                          <a:grpSpLocks/>
                        </wpg:cNvGrpSpPr>
                        <wpg:grpSpPr bwMode="auto">
                          <a:xfrm>
                            <a:off x="1152" y="1859"/>
                            <a:ext cx="12119" cy="7545"/>
                            <a:chOff x="1152" y="1859"/>
                            <a:chExt cx="12119" cy="7545"/>
                          </a:xfrm>
                        </wpg:grpSpPr>
                        <wps:wsp>
                          <wps:cNvPr id="248" name="Rectangle 216"/>
                          <wps:cNvSpPr>
                            <a:spLocks noChangeArrowheads="1"/>
                          </wps:cNvSpPr>
                          <wps:spPr bwMode="auto">
                            <a:xfrm>
                              <a:off x="5645" y="4304"/>
                              <a:ext cx="3381" cy="786"/>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14:paraId="1320A961" w14:textId="77777777" w:rsidR="004E3164" w:rsidRPr="009A2B56" w:rsidRDefault="004E3164" w:rsidP="009A2B56">
                                <w:pPr>
                                  <w:ind w:firstLine="0"/>
                                  <w:jc w:val="center"/>
                                  <w:rPr>
                                    <w:sz w:val="20"/>
                                  </w:rPr>
                                </w:pPr>
                                <w:r w:rsidRPr="009A2B56">
                                  <w:rPr>
                                    <w:sz w:val="20"/>
                                  </w:rPr>
                                  <w:t xml:space="preserve">Публични органи или държавни (публични) предприятия </w:t>
                                </w:r>
                              </w:p>
                            </w:txbxContent>
                          </wps:txbx>
                          <wps:bodyPr rot="0" vert="horz" wrap="square" lIns="91440" tIns="45720" rIns="91440" bIns="45720" anchor="t" anchorCtr="0" upright="1">
                            <a:noAutofit/>
                          </wps:bodyPr>
                        </wps:wsp>
                        <wps:wsp>
                          <wps:cNvPr id="249" name="Rectangle 217"/>
                          <wps:cNvSpPr>
                            <a:spLocks noChangeArrowheads="1"/>
                          </wps:cNvSpPr>
                          <wps:spPr bwMode="auto">
                            <a:xfrm>
                              <a:off x="9328" y="4255"/>
                              <a:ext cx="3262" cy="786"/>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14:paraId="37D775B9" w14:textId="77777777" w:rsidR="004E3164" w:rsidRPr="009A2B56" w:rsidRDefault="004E3164" w:rsidP="009A2B56">
                                <w:pPr>
                                  <w:ind w:firstLine="0"/>
                                  <w:jc w:val="center"/>
                                  <w:rPr>
                                    <w:sz w:val="20"/>
                                  </w:rPr>
                                </w:pPr>
                                <w:r w:rsidRPr="009A2B56">
                                  <w:rPr>
                                    <w:sz w:val="20"/>
                                  </w:rPr>
                                  <w:t xml:space="preserve">Фондове контролирани от държавата </w:t>
                                </w:r>
                              </w:p>
                            </w:txbxContent>
                          </wps:txbx>
                          <wps:bodyPr rot="0" vert="horz" wrap="square" lIns="91440" tIns="45720" rIns="91440" bIns="45720" anchor="t" anchorCtr="0" upright="1">
                            <a:noAutofit/>
                          </wps:bodyPr>
                        </wps:wsp>
                        <wps:wsp>
                          <wps:cNvPr id="250" name="Rectangle 218"/>
                          <wps:cNvSpPr>
                            <a:spLocks noChangeArrowheads="1"/>
                          </wps:cNvSpPr>
                          <wps:spPr bwMode="auto">
                            <a:xfrm>
                              <a:off x="5512" y="5892"/>
                              <a:ext cx="3514" cy="900"/>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14:paraId="302784B1" w14:textId="77777777" w:rsidR="004E3164" w:rsidRPr="009A2B56" w:rsidRDefault="004E3164" w:rsidP="009A2B56">
                                <w:pPr>
                                  <w:ind w:firstLine="0"/>
                                  <w:jc w:val="center"/>
                                  <w:rPr>
                                    <w:sz w:val="20"/>
                                  </w:rPr>
                                </w:pPr>
                                <w:r w:rsidRPr="009A2B56">
                                  <w:rPr>
                                    <w:sz w:val="20"/>
                                  </w:rPr>
                                  <w:t xml:space="preserve">Действия </w:t>
                                </w:r>
                                <w:r w:rsidRPr="009A2B56">
                                  <w:rPr>
                                    <w:b/>
                                    <w:sz w:val="20"/>
                                  </w:rPr>
                                  <w:t xml:space="preserve">вменени </w:t>
                                </w:r>
                                <w:r w:rsidRPr="009A2B56">
                                  <w:rPr>
                                    <w:sz w:val="20"/>
                                  </w:rPr>
                                  <w:t>на държавата</w:t>
                                </w:r>
                              </w:p>
                            </w:txbxContent>
                          </wps:txbx>
                          <wps:bodyPr rot="0" vert="horz" wrap="square" lIns="91440" tIns="45720" rIns="91440" bIns="45720" anchor="t" anchorCtr="0" upright="1">
                            <a:noAutofit/>
                          </wps:bodyPr>
                        </wps:wsp>
                        <wps:wsp>
                          <wps:cNvPr id="251" name="AutoShape 219"/>
                          <wps:cNvSpPr>
                            <a:spLocks noChangeArrowheads="1"/>
                          </wps:cNvSpPr>
                          <wps:spPr bwMode="auto">
                            <a:xfrm>
                              <a:off x="9521" y="5624"/>
                              <a:ext cx="3284" cy="1381"/>
                            </a:xfrm>
                            <a:prstGeom prst="roundRect">
                              <a:avLst>
                                <a:gd name="adj" fmla="val 16667"/>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round/>
                                  <a:headEnd/>
                                  <a:tailEnd/>
                                </a14:hiddenLine>
                              </a:ext>
                            </a:extLst>
                          </wps:spPr>
                          <wps:txbx>
                            <w:txbxContent>
                              <w:p w14:paraId="46D3097E" w14:textId="77777777" w:rsidR="004E3164" w:rsidRPr="009A2B56" w:rsidRDefault="004E3164" w:rsidP="009A2B56">
                                <w:pPr>
                                  <w:ind w:firstLine="0"/>
                                  <w:jc w:val="center"/>
                                  <w:rPr>
                                    <w:b/>
                                    <w:sz w:val="20"/>
                                    <w:lang w:val="en-GB"/>
                                  </w:rPr>
                                </w:pPr>
                                <w:r w:rsidRPr="009A2B56">
                                  <w:rPr>
                                    <w:sz w:val="20"/>
                                  </w:rPr>
                                  <w:t xml:space="preserve">Дори ако фондовете се контролират от </w:t>
                                </w:r>
                                <w:r w:rsidRPr="009A2B56">
                                  <w:rPr>
                                    <w:b/>
                                    <w:sz w:val="20"/>
                                  </w:rPr>
                                  <w:t>частни</w:t>
                                </w:r>
                                <w:r w:rsidRPr="009A2B56">
                                  <w:rPr>
                                    <w:sz w:val="20"/>
                                  </w:rPr>
                                  <w:t xml:space="preserve"> предприятия или </w:t>
                                </w:r>
                                <w:r w:rsidRPr="009A2B56">
                                  <w:rPr>
                                    <w:b/>
                                    <w:sz w:val="20"/>
                                  </w:rPr>
                                  <w:t>не са влизали</w:t>
                                </w:r>
                                <w:r w:rsidRPr="009A2B56">
                                  <w:rPr>
                                    <w:sz w:val="20"/>
                                  </w:rPr>
                                  <w:t xml:space="preserve"> в публичния бюджет </w:t>
                                </w:r>
                              </w:p>
                            </w:txbxContent>
                          </wps:txbx>
                          <wps:bodyPr rot="0" vert="horz" wrap="square" lIns="91440" tIns="45720" rIns="91440" bIns="45720" anchor="t" anchorCtr="0" upright="1">
                            <a:noAutofit/>
                          </wps:bodyPr>
                        </wps:wsp>
                        <wps:wsp>
                          <wps:cNvPr id="252" name="AutoShape 220"/>
                          <wps:cNvSpPr>
                            <a:spLocks noChangeArrowheads="1"/>
                          </wps:cNvSpPr>
                          <wps:spPr bwMode="auto">
                            <a:xfrm>
                              <a:off x="4680" y="8668"/>
                              <a:ext cx="5144" cy="736"/>
                            </a:xfrm>
                            <a:prstGeom prst="flowChartTerminator">
                              <a:avLst/>
                            </a:prstGeom>
                            <a:gradFill rotWithShape="0">
                              <a:gsLst>
                                <a:gs pos="0">
                                  <a:srgbClr val="FFFFFF"/>
                                </a:gs>
                                <a:gs pos="100000">
                                  <a:srgbClr val="FBD4B4"/>
                                </a:gs>
                              </a:gsLst>
                              <a:lin ang="5400000" scaled="1"/>
                            </a:gradFill>
                            <a:ln>
                              <a:noFill/>
                            </a:ln>
                            <a:effectLst>
                              <a:outerShdw dist="28398" dir="3806097" algn="ctr" rotWithShape="0">
                                <a:srgbClr val="974706">
                                  <a:alpha val="50000"/>
                                </a:srgbClr>
                              </a:outerShdw>
                            </a:effectLst>
                            <a:extLst>
                              <a:ext uri="{91240B29-F687-4F45-9708-019B960494DF}">
                                <a14:hiddenLine xmlns:a14="http://schemas.microsoft.com/office/drawing/2010/main" w="12700">
                                  <a:solidFill>
                                    <a:srgbClr val="FABF8F"/>
                                  </a:solidFill>
                                  <a:miter lim="800000"/>
                                  <a:headEnd/>
                                  <a:tailEnd/>
                                </a14:hiddenLine>
                              </a:ext>
                            </a:extLst>
                          </wps:spPr>
                          <wps:txbx>
                            <w:txbxContent>
                              <w:p w14:paraId="4D1D4930" w14:textId="77777777" w:rsidR="004E3164" w:rsidRPr="009A2B56" w:rsidRDefault="004E3164" w:rsidP="009A2B56">
                                <w:pPr>
                                  <w:ind w:firstLine="0"/>
                                  <w:jc w:val="center"/>
                                  <w:rPr>
                                    <w:sz w:val="20"/>
                                  </w:rPr>
                                </w:pPr>
                                <w:r w:rsidRPr="009A2B56">
                                  <w:rPr>
                                    <w:b/>
                                    <w:sz w:val="20"/>
                                  </w:rPr>
                                  <w:t>Предприятие</w:t>
                                </w:r>
                                <w:r w:rsidRPr="009A2B56">
                                  <w:rPr>
                                    <w:sz w:val="20"/>
                                  </w:rPr>
                                  <w:t xml:space="preserve"> - Бенефициент на помощта </w:t>
                                </w:r>
                              </w:p>
                              <w:p w14:paraId="778D9405" w14:textId="77777777" w:rsidR="004E3164" w:rsidRPr="009A2B56" w:rsidRDefault="004E3164" w:rsidP="009A2B56">
                                <w:pPr>
                                  <w:ind w:firstLine="0"/>
                                  <w:jc w:val="center"/>
                                  <w:rPr>
                                    <w:sz w:val="20"/>
                                  </w:rPr>
                                </w:pPr>
                              </w:p>
                            </w:txbxContent>
                          </wps:txbx>
                          <wps:bodyPr rot="0" vert="horz" wrap="square" lIns="91440" tIns="45720" rIns="91440" bIns="45720" anchor="t" anchorCtr="0" upright="1">
                            <a:noAutofit/>
                          </wps:bodyPr>
                        </wps:wsp>
                        <wps:wsp>
                          <wps:cNvPr id="253" name="AutoShape 221"/>
                          <wps:cNvCnPr>
                            <a:cxnSpLocks noChangeShapeType="1"/>
                          </wps:cNvCnPr>
                          <wps:spPr bwMode="auto">
                            <a:xfrm rot="16200000" flipH="1">
                              <a:off x="2308" y="4301"/>
                              <a:ext cx="4583" cy="2457"/>
                            </a:xfrm>
                            <a:prstGeom prst="bentConnector3">
                              <a:avLst>
                                <a:gd name="adj1" fmla="val 100370"/>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254" name="AutoShape 222"/>
                          <wps:cNvCnPr>
                            <a:cxnSpLocks noChangeShapeType="1"/>
                          </wps:cNvCnPr>
                          <wps:spPr bwMode="auto">
                            <a:xfrm rot="16200000" flipH="1">
                              <a:off x="573" y="4858"/>
                              <a:ext cx="5727" cy="2487"/>
                            </a:xfrm>
                            <a:prstGeom prst="bentConnector3">
                              <a:avLst>
                                <a:gd name="adj1" fmla="val 99421"/>
                              </a:avLst>
                            </a:prstGeom>
                            <a:noFill/>
                            <a:ln w="9525">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255" name="AutoShape 223"/>
                          <wps:cNvSpPr>
                            <a:spLocks noChangeArrowheads="1"/>
                          </wps:cNvSpPr>
                          <wps:spPr bwMode="auto">
                            <a:xfrm>
                              <a:off x="1152" y="4304"/>
                              <a:ext cx="1870" cy="2019"/>
                            </a:xfrm>
                            <a:prstGeom prst="roundRect">
                              <a:avLst>
                                <a:gd name="adj" fmla="val 16667"/>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round/>
                                  <a:headEnd/>
                                  <a:tailEnd/>
                                </a14:hiddenLine>
                              </a:ext>
                            </a:extLst>
                          </wps:spPr>
                          <wps:txbx>
                            <w:txbxContent>
                              <w:p w14:paraId="4938EE27" w14:textId="77777777" w:rsidR="004E3164" w:rsidRPr="009A2B56" w:rsidRDefault="004E3164" w:rsidP="009A2B56">
                                <w:pPr>
                                  <w:ind w:firstLine="0"/>
                                  <w:jc w:val="center"/>
                                  <w:rPr>
                                    <w:sz w:val="20"/>
                                  </w:rPr>
                                </w:pPr>
                                <w:r w:rsidRPr="009A2B56">
                                  <w:rPr>
                                    <w:b/>
                                    <w:sz w:val="20"/>
                                  </w:rPr>
                                  <w:t>Регулаторните  мерки</w:t>
                                </w:r>
                                <w:r w:rsidRPr="009A2B56">
                                  <w:rPr>
                                    <w:sz w:val="20"/>
                                  </w:rPr>
                                  <w:t xml:space="preserve"> </w:t>
                                </w:r>
                                <w:r w:rsidRPr="009A2B56">
                                  <w:rPr>
                                    <w:sz w:val="20"/>
                                    <w:u w:val="single"/>
                                  </w:rPr>
                                  <w:t>не са</w:t>
                                </w:r>
                                <w:r w:rsidRPr="009A2B56">
                                  <w:rPr>
                                    <w:sz w:val="20"/>
                                  </w:rPr>
                                  <w:t xml:space="preserve"> помощ, дори ако намаляват разходите на операторите </w:t>
                                </w:r>
                              </w:p>
                            </w:txbxContent>
                          </wps:txbx>
                          <wps:bodyPr rot="0" vert="horz" wrap="square" lIns="91440" tIns="45720" rIns="91440" bIns="45720" anchor="t" anchorCtr="0" upright="1">
                            <a:noAutofit/>
                          </wps:bodyPr>
                        </wps:wsp>
                        <wpg:grpSp>
                          <wpg:cNvPr id="1760" name="Group 224"/>
                          <wpg:cNvGrpSpPr>
                            <a:grpSpLocks/>
                          </wpg:cNvGrpSpPr>
                          <wpg:grpSpPr bwMode="auto">
                            <a:xfrm>
                              <a:off x="1293" y="1859"/>
                              <a:ext cx="11978" cy="2396"/>
                              <a:chOff x="1440" y="3092"/>
                              <a:chExt cx="11978" cy="2396"/>
                            </a:xfrm>
                          </wpg:grpSpPr>
                          <wps:wsp>
                            <wps:cNvPr id="1761" name="Rectangle 225"/>
                            <wps:cNvSpPr>
                              <a:spLocks noChangeArrowheads="1"/>
                            </wps:cNvSpPr>
                            <wps:spPr bwMode="auto">
                              <a:xfrm>
                                <a:off x="1440" y="3263"/>
                                <a:ext cx="2405" cy="1064"/>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14:paraId="4FBDBA1D" w14:textId="77777777" w:rsidR="004E3164" w:rsidRPr="009A2B56" w:rsidRDefault="004E3164" w:rsidP="009A2B56">
                                  <w:pPr>
                                    <w:ind w:firstLine="0"/>
                                    <w:jc w:val="center"/>
                                    <w:rPr>
                                      <w:b/>
                                      <w:sz w:val="20"/>
                                    </w:rPr>
                                  </w:pPr>
                                  <w:r w:rsidRPr="009A2B56">
                                    <w:rPr>
                                      <w:b/>
                                      <w:sz w:val="20"/>
                                    </w:rPr>
                                    <w:t>Държава:</w:t>
                                  </w:r>
                                </w:p>
                                <w:p w14:paraId="3C99BC0F" w14:textId="77777777" w:rsidR="004E3164" w:rsidRPr="009A2B56" w:rsidRDefault="004E3164" w:rsidP="009A2B56">
                                  <w:pPr>
                                    <w:ind w:firstLine="0"/>
                                    <w:jc w:val="center"/>
                                    <w:rPr>
                                      <w:sz w:val="20"/>
                                    </w:rPr>
                                  </w:pPr>
                                  <w:r w:rsidRPr="009A2B56">
                                    <w:rPr>
                                      <w:sz w:val="20"/>
                                    </w:rPr>
                                    <w:t xml:space="preserve">Всеки публичен орган </w:t>
                                  </w:r>
                                </w:p>
                              </w:txbxContent>
                            </wps:txbx>
                            <wps:bodyPr rot="0" vert="horz" wrap="square" lIns="91440" tIns="45720" rIns="91440" bIns="45720" anchor="t" anchorCtr="0" upright="1">
                              <a:noAutofit/>
                            </wps:bodyPr>
                          </wps:wsp>
                          <wps:wsp>
                            <wps:cNvPr id="1762" name="AutoShape 226"/>
                            <wps:cNvSpPr>
                              <a:spLocks noChangeArrowheads="1"/>
                            </wps:cNvSpPr>
                            <wps:spPr bwMode="auto">
                              <a:xfrm>
                                <a:off x="11160" y="3164"/>
                                <a:ext cx="2258" cy="998"/>
                              </a:xfrm>
                              <a:prstGeom prst="roundRect">
                                <a:avLst>
                                  <a:gd name="adj" fmla="val 16667"/>
                                </a:avLst>
                              </a:prstGeom>
                              <a:gradFill rotWithShape="0">
                                <a:gsLst>
                                  <a:gs pos="0">
                                    <a:srgbClr val="95B3D7"/>
                                  </a:gs>
                                  <a:gs pos="50000">
                                    <a:srgbClr val="4F81BD"/>
                                  </a:gs>
                                  <a:gs pos="100000">
                                    <a:srgbClr val="95B3D7"/>
                                  </a:gs>
                                </a:gsLst>
                                <a:lin ang="5400000" scaled="1"/>
                              </a:gradFill>
                              <a:ln>
                                <a:noFill/>
                              </a:ln>
                              <a:effectLst>
                                <a:outerShdw dist="28398" dir="3806097" algn="ctr" rotWithShape="0">
                                  <a:srgbClr val="243F60"/>
                                </a:outerShdw>
                              </a:effectLst>
                              <a:extLst>
                                <a:ext uri="{91240B29-F687-4F45-9708-019B960494DF}">
                                  <a14:hiddenLine xmlns:a14="http://schemas.microsoft.com/office/drawing/2010/main" w="12700">
                                    <a:solidFill>
                                      <a:srgbClr val="4F81BD"/>
                                    </a:solidFill>
                                    <a:round/>
                                    <a:headEnd/>
                                    <a:tailEnd/>
                                  </a14:hiddenLine>
                                </a:ext>
                              </a:extLst>
                            </wps:spPr>
                            <wps:txbx>
                              <w:txbxContent>
                                <w:p w14:paraId="03A2B264" w14:textId="77777777" w:rsidR="004E3164" w:rsidRPr="009A2B56" w:rsidRDefault="004E3164" w:rsidP="009A2B56">
                                  <w:pPr>
                                    <w:ind w:firstLine="0"/>
                                    <w:jc w:val="center"/>
                                    <w:rPr>
                                      <w:b/>
                                      <w:color w:val="FFFF00"/>
                                      <w:sz w:val="20"/>
                                    </w:rPr>
                                  </w:pPr>
                                  <w:r w:rsidRPr="009A2B56">
                                    <w:rPr>
                                      <w:color w:val="FFFF00"/>
                                      <w:sz w:val="20"/>
                                    </w:rPr>
                                    <w:t xml:space="preserve">Може да включва </w:t>
                                  </w:r>
                                  <w:r w:rsidRPr="009A2B56">
                                    <w:rPr>
                                      <w:b/>
                                      <w:color w:val="FFFF00"/>
                                      <w:sz w:val="20"/>
                                    </w:rPr>
                                    <w:t>ресурси от ЕС</w:t>
                                  </w:r>
                                </w:p>
                              </w:txbxContent>
                            </wps:txbx>
                            <wps:bodyPr rot="0" vert="horz" wrap="square" lIns="91440" tIns="45720" rIns="91440" bIns="45720" anchor="t" anchorCtr="0" upright="1">
                              <a:noAutofit/>
                            </wps:bodyPr>
                          </wps:wsp>
                          <wps:wsp>
                            <wps:cNvPr id="1763" name="Rectangle 227"/>
                            <wps:cNvSpPr>
                              <a:spLocks noChangeArrowheads="1"/>
                            </wps:cNvSpPr>
                            <wps:spPr bwMode="auto">
                              <a:xfrm>
                                <a:off x="7734" y="3164"/>
                                <a:ext cx="2405" cy="1357"/>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14:paraId="54289EDB" w14:textId="77777777" w:rsidR="004E3164" w:rsidRPr="009A2B56" w:rsidRDefault="004E3164" w:rsidP="009A2B56">
                                  <w:pPr>
                                    <w:ind w:firstLine="0"/>
                                    <w:jc w:val="center"/>
                                    <w:rPr>
                                      <w:i/>
                                      <w:sz w:val="20"/>
                                    </w:rPr>
                                  </w:pPr>
                                  <w:r w:rsidRPr="009A2B56">
                                    <w:rPr>
                                      <w:b/>
                                      <w:sz w:val="20"/>
                                    </w:rPr>
                                    <w:t xml:space="preserve">Държавни (публични) ресурси: </w:t>
                                  </w:r>
                                  <w:r w:rsidRPr="009A2B56">
                                    <w:rPr>
                                      <w:i/>
                                      <w:sz w:val="20"/>
                                    </w:rPr>
                                    <w:t xml:space="preserve">всички ресурси на  публичния сектор </w:t>
                                  </w:r>
                                </w:p>
                              </w:txbxContent>
                            </wps:txbx>
                            <wps:bodyPr rot="0" vert="horz" wrap="square" lIns="91440" tIns="45720" rIns="91440" bIns="45720" anchor="t" anchorCtr="0" upright="1">
                              <a:noAutofit/>
                            </wps:bodyPr>
                          </wps:wsp>
                          <wps:wsp>
                            <wps:cNvPr id="1764" name="AutoShape 228"/>
                            <wps:cNvSpPr>
                              <a:spLocks noChangeArrowheads="1"/>
                            </wps:cNvSpPr>
                            <wps:spPr bwMode="auto">
                              <a:xfrm>
                                <a:off x="4827" y="3092"/>
                                <a:ext cx="2046" cy="1603"/>
                              </a:xfrm>
                              <a:prstGeom prst="roundRect">
                                <a:avLst>
                                  <a:gd name="adj" fmla="val 16667"/>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round/>
                                    <a:headEnd/>
                                    <a:tailEnd/>
                                  </a14:hiddenLine>
                                </a:ext>
                              </a:extLst>
                            </wps:spPr>
                            <wps:txbx>
                              <w:txbxContent>
                                <w:p w14:paraId="34DE84E2" w14:textId="77777777" w:rsidR="004E3164" w:rsidRPr="009A2B56" w:rsidRDefault="004E3164" w:rsidP="009A2B56">
                                  <w:pPr>
                                    <w:ind w:firstLine="0"/>
                                    <w:jc w:val="center"/>
                                    <w:rPr>
                                      <w:b/>
                                      <w:sz w:val="20"/>
                                    </w:rPr>
                                  </w:pPr>
                                  <w:r w:rsidRPr="009A2B56">
                                    <w:rPr>
                                      <w:sz w:val="20"/>
                                    </w:rPr>
                                    <w:t>Мярката трябва да има въздействие върху</w:t>
                                  </w:r>
                                  <w:r w:rsidRPr="009A2B56">
                                    <w:rPr>
                                      <w:b/>
                                      <w:sz w:val="20"/>
                                    </w:rPr>
                                    <w:t xml:space="preserve"> бюджета</w:t>
                                  </w:r>
                                </w:p>
                              </w:txbxContent>
                            </wps:txbx>
                            <wps:bodyPr rot="0" vert="horz" wrap="square" lIns="91440" tIns="45720" rIns="91440" bIns="45720" anchor="t" anchorCtr="0" upright="1">
                              <a:noAutofit/>
                            </wps:bodyPr>
                          </wps:wsp>
                          <wps:wsp>
                            <wps:cNvPr id="1765" name="AutoShape 229"/>
                            <wps:cNvCnPr>
                              <a:cxnSpLocks noChangeShapeType="1"/>
                            </wps:cNvCnPr>
                            <wps:spPr bwMode="auto">
                              <a:xfrm flipH="1">
                                <a:off x="3845" y="3721"/>
                                <a:ext cx="98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6" name="AutoShape 230"/>
                            <wps:cNvCnPr>
                              <a:cxnSpLocks noChangeShapeType="1"/>
                            </wps:cNvCnPr>
                            <wps:spPr bwMode="auto">
                              <a:xfrm>
                                <a:off x="6873" y="3721"/>
                                <a:ext cx="8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7" name="AutoShape 231"/>
                            <wps:cNvCnPr>
                              <a:cxnSpLocks noChangeShapeType="1"/>
                            </wps:cNvCnPr>
                            <wps:spPr bwMode="auto">
                              <a:xfrm flipH="1">
                                <a:off x="10139" y="3836"/>
                                <a:ext cx="102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8" name="AutoShape 232"/>
                            <wps:cNvCnPr>
                              <a:cxnSpLocks noChangeShapeType="1"/>
                            </wps:cNvCnPr>
                            <wps:spPr bwMode="auto">
                              <a:xfrm flipH="1">
                                <a:off x="7530" y="4620"/>
                                <a:ext cx="1326" cy="868"/>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69" name="AutoShape 233"/>
                            <wps:cNvCnPr>
                              <a:cxnSpLocks noChangeShapeType="1"/>
                            </wps:cNvCnPr>
                            <wps:spPr bwMode="auto">
                              <a:xfrm>
                                <a:off x="8856" y="4620"/>
                                <a:ext cx="2304" cy="868"/>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2048" name="AutoShape 234"/>
                          <wps:cNvCnPr>
                            <a:cxnSpLocks noChangeShapeType="1"/>
                          </wps:cNvCnPr>
                          <wps:spPr bwMode="auto">
                            <a:xfrm>
                              <a:off x="7284" y="5041"/>
                              <a:ext cx="1" cy="85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49" name="AutoShape 235"/>
                          <wps:cNvCnPr>
                            <a:cxnSpLocks noChangeShapeType="1"/>
                          </wps:cNvCnPr>
                          <wps:spPr bwMode="auto">
                            <a:xfrm>
                              <a:off x="11013" y="5090"/>
                              <a:ext cx="0" cy="534"/>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50" name="AutoShape 236"/>
                          <wps:cNvCnPr>
                            <a:cxnSpLocks noChangeShapeType="1"/>
                          </wps:cNvCnPr>
                          <wps:spPr bwMode="auto">
                            <a:xfrm rot="10800000" flipV="1">
                              <a:off x="8709" y="7004"/>
                              <a:ext cx="2511" cy="834"/>
                            </a:xfrm>
                            <a:prstGeom prst="bentConnector3">
                              <a:avLst>
                                <a:gd name="adj1" fmla="val 79"/>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2051" name="AutoShape 237"/>
                        <wps:cNvCnPr>
                          <a:cxnSpLocks noChangeShapeType="1"/>
                        </wps:cNvCnPr>
                        <wps:spPr bwMode="auto">
                          <a:xfrm>
                            <a:off x="7281" y="6851"/>
                            <a:ext cx="0" cy="54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52" name="AutoShape 238"/>
                        <wps:cNvCnPr>
                          <a:cxnSpLocks noChangeShapeType="1"/>
                        </wps:cNvCnPr>
                        <wps:spPr bwMode="auto">
                          <a:xfrm>
                            <a:off x="7284" y="8258"/>
                            <a:ext cx="0" cy="409"/>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1ACEDE9" id="Group 2027" o:spid="_x0000_s1252" style="width:605.95pt;height:377.25pt;mso-position-horizontal-relative:char;mso-position-vertical-relative:line" coordorigin="1152,1859" coordsize="12119,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">
                <v:shapetype id="_x0000_t117" coordsize="21600,21600" o:spt="117" path="m4353,l17214,r4386,10800l17214,21600r-12861,l,10800xe">
                  <v:stroke joinstyle="miter"/>
                  <v:path gradientshapeok="t" o:connecttype="rect" textboxrect="4353,0,17214,21600"/>
                </v:shapetype>
                <v:shape id="AutoShape 214" o:spid="_x0000_s1253" type="#_x0000_t117" style="position:absolute;left:5828;top:7491;width:2881;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" stroked="f" strokecolor="#d99594" strokeweight="1pt">
                  <v:fill color2="#e5b8b7" focus="100%" type="gradient"/>
                  <v:shadow on="t" color="#622423" opacity=".5" offset="1pt"/>
                  <v:textbox>
                    <w:txbxContent>
                      <w:p w14:paraId="4CDB547C" w14:textId="77777777" w:rsidR="004E3164" w:rsidRPr="009A2B56" w:rsidRDefault="004E3164" w:rsidP="009A2B56">
                        <w:pPr>
                          <w:ind w:firstLine="0"/>
                          <w:jc w:val="center"/>
                          <w:rPr>
                            <w:b/>
                            <w:color w:val="FF0000"/>
                            <w:sz w:val="20"/>
                          </w:rPr>
                        </w:pPr>
                        <w:r w:rsidRPr="009A2B56">
                          <w:rPr>
                            <w:b/>
                            <w:color w:val="FF0000"/>
                            <w:sz w:val="20"/>
                          </w:rPr>
                          <w:t>Държавна помощ</w:t>
                        </w:r>
                      </w:p>
                    </w:txbxContent>
                  </v:textbox>
                </v:shape>
                <v:group id="Group 215" o:spid="_x0000_s1254" style="position:absolute;left:1152;top:1859;width:12119;height:7545" coordorigin="1152,1859" coordsize="12119,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rect id="Rectangle 216" o:spid="_x0000_s1255" style="position:absolute;left:5645;top:4304;width:3381;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" stroked="f" strokecolor="#666" strokeweight="1pt">
                    <v:fill color2="#999" focus="100%" type="gradient"/>
                    <v:shadow on="t" color="#7f7f7f" opacity=".5" offset="1pt"/>
                    <v:textbox>
                      <w:txbxContent>
                        <w:p w14:paraId="1320A961" w14:textId="77777777" w:rsidR="004E3164" w:rsidRPr="009A2B56" w:rsidRDefault="004E3164" w:rsidP="009A2B56">
                          <w:pPr>
                            <w:ind w:firstLine="0"/>
                            <w:jc w:val="center"/>
                            <w:rPr>
                              <w:sz w:val="20"/>
                            </w:rPr>
                          </w:pPr>
                          <w:r w:rsidRPr="009A2B56">
                            <w:rPr>
                              <w:sz w:val="20"/>
                            </w:rPr>
                            <w:t xml:space="preserve">Публични органи или държавни (публични) предприятия </w:t>
                          </w:r>
                        </w:p>
                      </w:txbxContent>
                    </v:textbox>
                  </v:rect>
                  <v:rect id="Rectangle 217" o:spid="_x0000_s1256" style="position:absolute;left:9328;top:4255;width:3262;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" stroked="f" strokecolor="#666" strokeweight="1pt">
                    <v:fill color2="#999" focus="100%" type="gradient"/>
                    <v:shadow on="t" color="#7f7f7f" opacity=".5" offset="1pt"/>
                    <v:textbox>
                      <w:txbxContent>
                        <w:p w14:paraId="37D775B9" w14:textId="77777777" w:rsidR="004E3164" w:rsidRPr="009A2B56" w:rsidRDefault="004E3164" w:rsidP="009A2B56">
                          <w:pPr>
                            <w:ind w:firstLine="0"/>
                            <w:jc w:val="center"/>
                            <w:rPr>
                              <w:sz w:val="20"/>
                            </w:rPr>
                          </w:pPr>
                          <w:r w:rsidRPr="009A2B56">
                            <w:rPr>
                              <w:sz w:val="20"/>
                            </w:rPr>
                            <w:t xml:space="preserve">Фондове контролирани от държавата </w:t>
                          </w:r>
                        </w:p>
                      </w:txbxContent>
                    </v:textbox>
                  </v:rect>
                  <v:rect id="Rectangle 218" o:spid="_x0000_s1257" style="position:absolute;left:5512;top:5892;width:3514;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" stroked="f" strokecolor="#666" strokeweight="1pt">
                    <v:fill color2="#999" focus="100%" type="gradient"/>
                    <v:shadow on="t" color="#7f7f7f" opacity=".5" offset="1pt"/>
                    <v:textbox>
                      <w:txbxContent>
                        <w:p w14:paraId="302784B1" w14:textId="77777777" w:rsidR="004E3164" w:rsidRPr="009A2B56" w:rsidRDefault="004E3164" w:rsidP="009A2B56">
                          <w:pPr>
                            <w:ind w:firstLine="0"/>
                            <w:jc w:val="center"/>
                            <w:rPr>
                              <w:sz w:val="20"/>
                            </w:rPr>
                          </w:pPr>
                          <w:r w:rsidRPr="009A2B56">
                            <w:rPr>
                              <w:sz w:val="20"/>
                            </w:rPr>
                            <w:t xml:space="preserve">Действия </w:t>
                          </w:r>
                          <w:r w:rsidRPr="009A2B56">
                            <w:rPr>
                              <w:b/>
                              <w:sz w:val="20"/>
                            </w:rPr>
                            <w:t xml:space="preserve">вменени </w:t>
                          </w:r>
                          <w:r w:rsidRPr="009A2B56">
                            <w:rPr>
                              <w:sz w:val="20"/>
                            </w:rPr>
                            <w:t>на държавата</w:t>
                          </w:r>
                        </w:p>
                      </w:txbxContent>
                    </v:textbox>
                  </v:rect>
                  <v:roundrect id="AutoShape 219" o:spid="_x0000_s1258" style="position:absolute;left:9521;top:5624;width:3284;height:13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" stroked="f" strokecolor="#95b3d7" strokeweight="1pt">
                    <v:fill color2="#b8cce4" focus="100%" type="gradient"/>
                    <v:shadow on="t" color="#243f60" opacity=".5" offset="1pt"/>
                    <v:textbox>
                      <w:txbxContent>
                        <w:p w14:paraId="46D3097E" w14:textId="77777777" w:rsidR="004E3164" w:rsidRPr="009A2B56" w:rsidRDefault="004E3164" w:rsidP="009A2B56">
                          <w:pPr>
                            <w:ind w:firstLine="0"/>
                            <w:jc w:val="center"/>
                            <w:rPr>
                              <w:b/>
                              <w:sz w:val="20"/>
                              <w:lang w:val="en-GB"/>
                            </w:rPr>
                          </w:pPr>
                          <w:r w:rsidRPr="009A2B56">
                            <w:rPr>
                              <w:sz w:val="20"/>
                            </w:rPr>
                            <w:t xml:space="preserve">Дори ако фондовете се контролират от </w:t>
                          </w:r>
                          <w:r w:rsidRPr="009A2B56">
                            <w:rPr>
                              <w:b/>
                              <w:sz w:val="20"/>
                            </w:rPr>
                            <w:t>частни</w:t>
                          </w:r>
                          <w:r w:rsidRPr="009A2B56">
                            <w:rPr>
                              <w:sz w:val="20"/>
                            </w:rPr>
                            <w:t xml:space="preserve"> предприятия или </w:t>
                          </w:r>
                          <w:r w:rsidRPr="009A2B56">
                            <w:rPr>
                              <w:b/>
                              <w:sz w:val="20"/>
                            </w:rPr>
                            <w:t>не са влизали</w:t>
                          </w:r>
                          <w:r w:rsidRPr="009A2B56">
                            <w:rPr>
                              <w:sz w:val="20"/>
                            </w:rPr>
                            <w:t xml:space="preserve"> в публичния бюджет </w:t>
                          </w:r>
                        </w:p>
                      </w:txbxContent>
                    </v:textbox>
                  </v:roundrect>
                  <v:shape id="AutoShape 220" o:spid="_x0000_s1259" type="#_x0000_t116" style="position:absolute;left:4680;top:8668;width:5144;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" stroked="f" strokecolor="#fabf8f" strokeweight="1pt">
                    <v:fill color2="#fbd4b4" focus="100%" type="gradient"/>
                    <v:shadow on="t" color="#974706" opacity=".5" offset="1pt"/>
                    <v:textbox>
                      <w:txbxContent>
                        <w:p w14:paraId="4D1D4930" w14:textId="77777777" w:rsidR="004E3164" w:rsidRPr="009A2B56" w:rsidRDefault="004E3164" w:rsidP="009A2B56">
                          <w:pPr>
                            <w:ind w:firstLine="0"/>
                            <w:jc w:val="center"/>
                            <w:rPr>
                              <w:sz w:val="20"/>
                            </w:rPr>
                          </w:pPr>
                          <w:r w:rsidRPr="009A2B56">
                            <w:rPr>
                              <w:b/>
                              <w:sz w:val="20"/>
                            </w:rPr>
                            <w:t>Предприятие</w:t>
                          </w:r>
                          <w:r w:rsidRPr="009A2B56">
                            <w:rPr>
                              <w:sz w:val="20"/>
                            </w:rPr>
                            <w:t xml:space="preserve"> - Бенефициент на помощта </w:t>
                          </w:r>
                        </w:p>
                        <w:p w14:paraId="778D9405" w14:textId="77777777" w:rsidR="004E3164" w:rsidRPr="009A2B56" w:rsidRDefault="004E3164" w:rsidP="009A2B56">
                          <w:pPr>
                            <w:ind w:firstLine="0"/>
                            <w:jc w:val="center"/>
                            <w:rPr>
                              <w:sz w:val="20"/>
                            </w:rPr>
                          </w:pP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21" o:spid="_x0000_s1260" type="#_x0000_t34" style="position:absolute;left:2308;top:4301;width:4583;height:245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" adj="21680" strokeweight="1.25pt"/>
                  <v:shape id="AutoShape 222" o:spid="_x0000_s1261" type="#_x0000_t34" style="position:absolute;left:573;top:4858;width:5727;height:248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" adj="21475">
                    <v:stroke dashstyle="dash"/>
                  </v:shape>
                  <v:roundrect id="AutoShape 223" o:spid="_x0000_s1262" style="position:absolute;left:1152;top:4304;width:1870;height:20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" stroked="f" strokecolor="#95b3d7" strokeweight="1pt">
                    <v:fill color2="#b8cce4" focus="100%" type="gradient"/>
                    <v:shadow on="t" color="#243f60" opacity=".5" offset="1pt"/>
                    <v:textbox>
                      <w:txbxContent>
                        <w:p w14:paraId="4938EE27" w14:textId="77777777" w:rsidR="004E3164" w:rsidRPr="009A2B56" w:rsidRDefault="004E3164" w:rsidP="009A2B56">
                          <w:pPr>
                            <w:ind w:firstLine="0"/>
                            <w:jc w:val="center"/>
                            <w:rPr>
                              <w:sz w:val="20"/>
                            </w:rPr>
                          </w:pPr>
                          <w:r w:rsidRPr="009A2B56">
                            <w:rPr>
                              <w:b/>
                              <w:sz w:val="20"/>
                            </w:rPr>
                            <w:t>Регулаторните  мерки</w:t>
                          </w:r>
                          <w:r w:rsidRPr="009A2B56">
                            <w:rPr>
                              <w:sz w:val="20"/>
                            </w:rPr>
                            <w:t xml:space="preserve"> </w:t>
                          </w:r>
                          <w:r w:rsidRPr="009A2B56">
                            <w:rPr>
                              <w:sz w:val="20"/>
                              <w:u w:val="single"/>
                            </w:rPr>
                            <w:t>не са</w:t>
                          </w:r>
                          <w:r w:rsidRPr="009A2B56">
                            <w:rPr>
                              <w:sz w:val="20"/>
                            </w:rPr>
                            <w:t xml:space="preserve"> помощ, дори ако намаляват разходите на операторите </w:t>
                          </w:r>
                        </w:p>
                      </w:txbxContent>
                    </v:textbox>
                  </v:roundrect>
                  <v:group id="Group 224" o:spid="_x0000_s1263" style="position:absolute;left:1293;top:1859;width:11978;height:2396" coordorigin="1440,3092" coordsize="11978,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0G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wyzcygl7+AgAA//8DAFBLAQItABQABgAIAAAAIQDb4fbL7gAAAIUBAAATAAAAAAAA&#10;AAAAAAAAAAAAAABbQ29udGVudF9UeXBlc10ueG1sUEsBAi0AFAAGAAgAAAAhAFr0LFu/AAAAFQEA&#10;AAsAAAAAAAAAAAAAAAAAHwEAAF9yZWxzLy5yZWxzUEsBAi0AFAAGAAgAAAAhAHLvQabHAAAA3QAA&#10;AA8AAAAAAAAAAAAAAAAABwIAAGRycy9kb3ducmV2LnhtbFBLBQYAAAAAAwADALcAAAD7AgAAAAA=&#10;">
                    <v:rect id="Rectangle 225" o:spid="_x0000_s1264" style="position:absolute;left:1440;top:3263;width:2405;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" stroked="f" strokecolor="#666" strokeweight="1pt">
                      <v:fill color2="#999" focus="100%" type="gradient"/>
                      <v:shadow on="t" color="#7f7f7f" opacity=".5" offset="1pt"/>
                      <v:textbox>
                        <w:txbxContent>
                          <w:p w14:paraId="4FBDBA1D" w14:textId="77777777" w:rsidR="004E3164" w:rsidRPr="009A2B56" w:rsidRDefault="004E3164" w:rsidP="009A2B56">
                            <w:pPr>
                              <w:ind w:firstLine="0"/>
                              <w:jc w:val="center"/>
                              <w:rPr>
                                <w:b/>
                                <w:sz w:val="20"/>
                              </w:rPr>
                            </w:pPr>
                            <w:r w:rsidRPr="009A2B56">
                              <w:rPr>
                                <w:b/>
                                <w:sz w:val="20"/>
                              </w:rPr>
                              <w:t>Държава:</w:t>
                            </w:r>
                          </w:p>
                          <w:p w14:paraId="3C99BC0F" w14:textId="77777777" w:rsidR="004E3164" w:rsidRPr="009A2B56" w:rsidRDefault="004E3164" w:rsidP="009A2B56">
                            <w:pPr>
                              <w:ind w:firstLine="0"/>
                              <w:jc w:val="center"/>
                              <w:rPr>
                                <w:sz w:val="20"/>
                              </w:rPr>
                            </w:pPr>
                            <w:r w:rsidRPr="009A2B56">
                              <w:rPr>
                                <w:sz w:val="20"/>
                              </w:rPr>
                              <w:t xml:space="preserve">Всеки публичен орган </w:t>
                            </w:r>
                          </w:p>
                        </w:txbxContent>
                      </v:textbox>
                    </v:rect>
                    <v:roundrect id="AutoShape 226" o:spid="_x0000_s1265" style="position:absolute;left:11160;top:3164;width:2258;height:9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" fillcolor="#95b3d7" stroked="f" strokecolor="#4f81bd" strokeweight="1pt">
                      <v:fill color2="#4f81bd" focus="50%" type="gradient"/>
                      <v:shadow on="t" color="#243f60" offset="1pt"/>
                      <v:textbox>
                        <w:txbxContent>
                          <w:p w14:paraId="03A2B264" w14:textId="77777777" w:rsidR="004E3164" w:rsidRPr="009A2B56" w:rsidRDefault="004E3164" w:rsidP="009A2B56">
                            <w:pPr>
                              <w:ind w:firstLine="0"/>
                              <w:jc w:val="center"/>
                              <w:rPr>
                                <w:b/>
                                <w:color w:val="FFFF00"/>
                                <w:sz w:val="20"/>
                              </w:rPr>
                            </w:pPr>
                            <w:r w:rsidRPr="009A2B56">
                              <w:rPr>
                                <w:color w:val="FFFF00"/>
                                <w:sz w:val="20"/>
                              </w:rPr>
                              <w:t xml:space="preserve">Може да включва </w:t>
                            </w:r>
                            <w:r w:rsidRPr="009A2B56">
                              <w:rPr>
                                <w:b/>
                                <w:color w:val="FFFF00"/>
                                <w:sz w:val="20"/>
                              </w:rPr>
                              <w:t>ресурси от ЕС</w:t>
                            </w:r>
                          </w:p>
                        </w:txbxContent>
                      </v:textbox>
                    </v:roundrect>
                    <v:rect id="Rectangle 227" o:spid="_x0000_s1266" style="position:absolute;left:7734;top:3164;width:2405;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" stroked="f" strokecolor="#666" strokeweight="1pt">
                      <v:fill color2="#999" focus="100%" type="gradient"/>
                      <v:shadow on="t" color="#7f7f7f" opacity=".5" offset="1pt"/>
                      <v:textbox>
                        <w:txbxContent>
                          <w:p w14:paraId="54289EDB" w14:textId="77777777" w:rsidR="004E3164" w:rsidRPr="009A2B56" w:rsidRDefault="004E3164" w:rsidP="009A2B56">
                            <w:pPr>
                              <w:ind w:firstLine="0"/>
                              <w:jc w:val="center"/>
                              <w:rPr>
                                <w:i/>
                                <w:sz w:val="20"/>
                              </w:rPr>
                            </w:pPr>
                            <w:r w:rsidRPr="009A2B56">
                              <w:rPr>
                                <w:b/>
                                <w:sz w:val="20"/>
                              </w:rPr>
                              <w:t xml:space="preserve">Държавни (публични) ресурси: </w:t>
                            </w:r>
                            <w:r w:rsidRPr="009A2B56">
                              <w:rPr>
                                <w:i/>
                                <w:sz w:val="20"/>
                              </w:rPr>
                              <w:t xml:space="preserve">всички ресурси на  публичния сектор </w:t>
                            </w:r>
                          </w:p>
                        </w:txbxContent>
                      </v:textbox>
                    </v:rect>
                    <v:roundrect id="AutoShape 228" o:spid="_x0000_s1267" style="position:absolute;left:4827;top:3092;width:2046;height:16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" stroked="f" strokecolor="#95b3d7" strokeweight="1pt">
                      <v:fill color2="#b8cce4" focus="100%" type="gradient"/>
                      <v:shadow on="t" color="#243f60" opacity=".5" offset="1pt"/>
                      <v:textbox>
                        <w:txbxContent>
                          <w:p w14:paraId="34DE84E2" w14:textId="77777777" w:rsidR="004E3164" w:rsidRPr="009A2B56" w:rsidRDefault="004E3164" w:rsidP="009A2B56">
                            <w:pPr>
                              <w:ind w:firstLine="0"/>
                              <w:jc w:val="center"/>
                              <w:rPr>
                                <w:b/>
                                <w:sz w:val="20"/>
                              </w:rPr>
                            </w:pPr>
                            <w:r w:rsidRPr="009A2B56">
                              <w:rPr>
                                <w:sz w:val="20"/>
                              </w:rPr>
                              <w:t>Мярката трябва да има въздействие върху</w:t>
                            </w:r>
                            <w:r w:rsidRPr="009A2B56">
                              <w:rPr>
                                <w:b/>
                                <w:sz w:val="20"/>
                              </w:rPr>
                              <w:t xml:space="preserve"> бюджета</w:t>
                            </w:r>
                          </w:p>
                        </w:txbxContent>
                      </v:textbox>
                    </v:roundrect>
                    <v:shape id="AutoShape 229" o:spid="_x0000_s1268" type="#_x0000_t32" style="position:absolute;left:3845;top:3721;width:98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">
                      <v:stroke endarrow="block"/>
                    </v:shape>
                    <v:shape id="AutoShape 230" o:spid="_x0000_s1269" type="#_x0000_t32" style="position:absolute;left:6873;top:3721;width:8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">
                      <v:stroke endarrow="block"/>
                    </v:shape>
                    <v:shape id="AutoShape 231" o:spid="_x0000_s1270" type="#_x0000_t32" style="position:absolute;left:10139;top:3836;width:1021;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">
                      <v:stroke endarrow="block"/>
                    </v:shape>
                    <v:shape id="AutoShape 232" o:spid="_x0000_s1271" type="#_x0000_t32" style="position:absolute;left:7530;top:4620;width:1326;height:8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" strokeweight="1.25pt"/>
                    <v:shape id="AutoShape 233" o:spid="_x0000_s1272" type="#_x0000_t32" style="position:absolute;left:8856;top:4620;width:2304;height:8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" strokeweight="1.25pt"/>
                  </v:group>
                  <v:shape id="AutoShape 234" o:spid="_x0000_s1273" type="#_x0000_t32" style="position:absolute;left:7284;top:5041;width:1;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" strokeweight="1.25pt"/>
                  <v:shape id="AutoShape 235" o:spid="_x0000_s1274" type="#_x0000_t32" style="position:absolute;left:11013;top:5090;width:0;height: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" strokeweight="1.25pt"/>
                  <v:shape id="AutoShape 236" o:spid="_x0000_s1275" type="#_x0000_t34" style="position:absolute;left:8709;top:7004;width:2511;height:83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" adj="17" strokeweight="1.25pt"/>
                </v:group>
                <v:shape id="AutoShape 237" o:spid="_x0000_s1276" type="#_x0000_t32" style="position:absolute;left:7281;top:6851;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" strokeweight="1.25pt"/>
                <v:shape id="AutoShape 238" o:spid="_x0000_s1277" type="#_x0000_t32" style="position:absolute;left:7284;top:8258;width:0;height:4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" strokeweight="1.25pt">
                  <v:stroke endarrow="block"/>
                </v:shape>
                <w10:anchorlock/>
              </v:group>
            </w:pict>
          </mc:Fallback>
        </mc:AlternateContent>
      </w:r>
      <w:r w:rsidR="00D603F5" w:rsidRPr="001B0EA3">
        <w:rPr>
          <w:szCs w:val="22"/>
          <w:lang w:eastAsia="en-US"/>
        </w:rPr>
        <w:br w:type="page"/>
      </w:r>
    </w:p>
    <w:p w14:paraId="20A62FFA" w14:textId="77777777" w:rsidR="00D603F5" w:rsidRPr="001B0EA3" w:rsidRDefault="00D603F5" w:rsidP="003B124D">
      <w:pPr>
        <w:ind w:firstLine="0"/>
        <w:jc w:val="center"/>
        <w:rPr>
          <w:szCs w:val="22"/>
          <w:lang w:eastAsia="en-US"/>
        </w:rPr>
      </w:pPr>
    </w:p>
    <w:p w14:paraId="228B52BA" w14:textId="77777777" w:rsidR="00D603F5" w:rsidRPr="009A2B56" w:rsidRDefault="00D603F5" w:rsidP="003B124D">
      <w:pPr>
        <w:ind w:firstLine="0"/>
        <w:jc w:val="center"/>
        <w:rPr>
          <w:b/>
          <w:lang w:eastAsia="en-US"/>
        </w:rPr>
      </w:pPr>
      <w:r w:rsidRPr="009A2B56">
        <w:rPr>
          <w:b/>
          <w:lang w:eastAsia="en-US"/>
        </w:rPr>
        <w:t>Фиг. 2.5. Източници за финансиране  - държавни ресурси</w:t>
      </w:r>
    </w:p>
    <w:p w14:paraId="55F1794B" w14:textId="77777777" w:rsidR="00D603F5" w:rsidRPr="001B0EA3" w:rsidRDefault="00D603F5" w:rsidP="003B124D">
      <w:pPr>
        <w:spacing w:beforeLines="60" w:before="144" w:afterLines="60" w:after="144"/>
        <w:ind w:firstLine="0"/>
        <w:jc w:val="center"/>
        <w:rPr>
          <w:szCs w:val="22"/>
          <w:lang w:eastAsia="en-US"/>
        </w:rPr>
      </w:pPr>
    </w:p>
    <w:p w14:paraId="2BC71647" w14:textId="77777777" w:rsidR="00D603F5" w:rsidRPr="001B0EA3" w:rsidRDefault="00937754" w:rsidP="003B124D">
      <w:pPr>
        <w:spacing w:beforeLines="60" w:before="144" w:afterLines="60" w:after="144"/>
        <w:ind w:firstLine="0"/>
        <w:jc w:val="center"/>
        <w:rPr>
          <w:szCs w:val="22"/>
          <w:lang w:eastAsia="en-US"/>
        </w:rPr>
      </w:pPr>
      <w:r w:rsidRPr="001B0EA3">
        <w:rPr>
          <w:noProof/>
          <w:lang w:eastAsia="bg-BG"/>
        </w:rPr>
        <mc:AlternateContent>
          <mc:Choice Requires="wpg">
            <w:drawing>
              <wp:inline distT="0" distB="0" distL="0" distR="0" wp14:anchorId="54810B10" wp14:editId="7592580D">
                <wp:extent cx="8154670" cy="3656965"/>
                <wp:effectExtent l="0" t="0" r="36830" b="57785"/>
                <wp:docPr id="2053" name="Group 2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4670" cy="3656965"/>
                          <a:chOff x="1152" y="1699"/>
                          <a:chExt cx="11435" cy="3741"/>
                        </a:xfrm>
                      </wpg:grpSpPr>
                      <wps:wsp>
                        <wps:cNvPr id="2054" name="Rectangle 240"/>
                        <wps:cNvSpPr>
                          <a:spLocks noChangeArrowheads="1"/>
                        </wps:cNvSpPr>
                        <wps:spPr bwMode="auto">
                          <a:xfrm>
                            <a:off x="1152" y="1699"/>
                            <a:ext cx="11435" cy="142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2055" name="AutoShape 241"/>
                        <wps:cNvCnPr>
                          <a:cxnSpLocks noChangeShapeType="1"/>
                        </wps:cNvCnPr>
                        <wps:spPr bwMode="auto">
                          <a:xfrm>
                            <a:off x="7869" y="3032"/>
                            <a:ext cx="14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56" name="Group 242"/>
                        <wpg:cNvGrpSpPr>
                          <a:grpSpLocks/>
                        </wpg:cNvGrpSpPr>
                        <wpg:grpSpPr bwMode="auto">
                          <a:xfrm>
                            <a:off x="1152" y="1952"/>
                            <a:ext cx="11221" cy="3488"/>
                            <a:chOff x="1152" y="1952"/>
                            <a:chExt cx="11221" cy="3488"/>
                          </a:xfrm>
                        </wpg:grpSpPr>
                        <wps:wsp>
                          <wps:cNvPr id="2057" name="Rectangle 243"/>
                          <wps:cNvSpPr>
                            <a:spLocks noChangeArrowheads="1"/>
                          </wps:cNvSpPr>
                          <wps:spPr bwMode="auto">
                            <a:xfrm>
                              <a:off x="1293" y="1952"/>
                              <a:ext cx="1870" cy="823"/>
                            </a:xfrm>
                            <a:prstGeom prst="rect">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miter lim="800000"/>
                                  <a:headEnd/>
                                  <a:tailEnd/>
                                </a14:hiddenLine>
                              </a:ext>
                            </a:extLst>
                          </wps:spPr>
                          <wps:txbx>
                            <w:txbxContent>
                              <w:p w14:paraId="2E55270E" w14:textId="77777777" w:rsidR="004E3164" w:rsidRPr="005C27D1" w:rsidRDefault="004E3164" w:rsidP="001E404B">
                                <w:pPr>
                                  <w:ind w:firstLine="0"/>
                                  <w:jc w:val="center"/>
                                  <w:rPr>
                                    <w:sz w:val="16"/>
                                    <w:szCs w:val="16"/>
                                  </w:rPr>
                                </w:pPr>
                                <w:r w:rsidRPr="005C27D1">
                                  <w:rPr>
                                    <w:sz w:val="16"/>
                                    <w:szCs w:val="16"/>
                                  </w:rPr>
                                  <w:t xml:space="preserve">Други, контролирани от държавата ресурси и органи </w:t>
                                </w:r>
                              </w:p>
                            </w:txbxContent>
                          </wps:txbx>
                          <wps:bodyPr rot="0" vert="horz" wrap="square" lIns="91440" tIns="45720" rIns="91440" bIns="45720" anchor="t" anchorCtr="0" upright="1">
                            <a:noAutofit/>
                          </wps:bodyPr>
                        </wps:wsp>
                        <wps:wsp>
                          <wps:cNvPr id="2058" name="Rectangle 244"/>
                          <wps:cNvSpPr>
                            <a:spLocks noChangeArrowheads="1"/>
                          </wps:cNvSpPr>
                          <wps:spPr bwMode="auto">
                            <a:xfrm>
                              <a:off x="1152" y="4258"/>
                              <a:ext cx="11221" cy="1182"/>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CF7B85F" w14:textId="77777777" w:rsidR="004E3164" w:rsidRPr="00C15212" w:rsidRDefault="004E3164" w:rsidP="001E404B">
                                <w:pPr>
                                  <w:ind w:firstLine="0"/>
                                  <w:jc w:val="center"/>
                                </w:pPr>
                              </w:p>
                              <w:p w14:paraId="46691E9B" w14:textId="77777777" w:rsidR="004E3164" w:rsidRDefault="004E3164" w:rsidP="001E404B">
                                <w:pPr>
                                  <w:ind w:firstLine="0"/>
                                  <w:jc w:val="center"/>
                                </w:pPr>
                              </w:p>
                              <w:p w14:paraId="49C7F128" w14:textId="77777777" w:rsidR="004E3164" w:rsidRDefault="004E3164" w:rsidP="001E404B">
                                <w:pPr>
                                  <w:ind w:firstLine="0"/>
                                  <w:jc w:val="center"/>
                                </w:pPr>
                              </w:p>
                              <w:p w14:paraId="167B6500" w14:textId="77777777" w:rsidR="004E3164" w:rsidRDefault="004E3164" w:rsidP="001E404B">
                                <w:pPr>
                                  <w:ind w:firstLine="0"/>
                                  <w:jc w:val="center"/>
                                </w:pPr>
                              </w:p>
                              <w:p w14:paraId="16DE5FD5" w14:textId="77777777" w:rsidR="004E3164" w:rsidRPr="00C15212" w:rsidRDefault="004E3164" w:rsidP="001E404B">
                                <w:pPr>
                                  <w:ind w:firstLine="0"/>
                                  <w:jc w:val="center"/>
                                </w:pPr>
                              </w:p>
                              <w:p w14:paraId="6C0F3602" w14:textId="77777777" w:rsidR="004E3164" w:rsidRPr="00F97D3E" w:rsidRDefault="004E3164" w:rsidP="001E404B">
                                <w:pPr>
                                  <w:ind w:firstLine="0"/>
                                  <w:jc w:val="center"/>
                                </w:pPr>
                                <w:r w:rsidRPr="00F97D3E">
                                  <w:t>Получатели на помощта (</w:t>
                                </w:r>
                                <w:r w:rsidRPr="00F97D3E">
                                  <w:rPr>
                                    <w:b/>
                                  </w:rPr>
                                  <w:t>предприятия</w:t>
                                </w:r>
                                <w:r w:rsidRPr="00F97D3E">
                                  <w:t>)</w:t>
                                </w:r>
                              </w:p>
                            </w:txbxContent>
                          </wps:txbx>
                          <wps:bodyPr rot="0" vert="horz" wrap="square" lIns="91440" tIns="45720" rIns="91440" bIns="45720" anchor="t" anchorCtr="0" upright="1">
                            <a:noAutofit/>
                          </wps:bodyPr>
                        </wps:wsp>
                        <wps:wsp>
                          <wps:cNvPr id="2059" name="Rectangle 245"/>
                          <wps:cNvSpPr>
                            <a:spLocks noChangeArrowheads="1"/>
                          </wps:cNvSpPr>
                          <wps:spPr bwMode="auto">
                            <a:xfrm>
                              <a:off x="3271" y="1952"/>
                              <a:ext cx="1870" cy="823"/>
                            </a:xfrm>
                            <a:prstGeom prst="rect">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miter lim="800000"/>
                                  <a:headEnd/>
                                  <a:tailEnd/>
                                </a14:hiddenLine>
                              </a:ext>
                            </a:extLst>
                          </wps:spPr>
                          <wps:txbx>
                            <w:txbxContent>
                              <w:p w14:paraId="4317157D" w14:textId="77777777" w:rsidR="004E3164" w:rsidRPr="005C27D1" w:rsidRDefault="004E3164" w:rsidP="001E404B">
                                <w:pPr>
                                  <w:ind w:firstLine="0"/>
                                  <w:jc w:val="center"/>
                                  <w:rPr>
                                    <w:sz w:val="16"/>
                                    <w:szCs w:val="16"/>
                                  </w:rPr>
                                </w:pPr>
                                <w:r>
                                  <w:rPr>
                                    <w:sz w:val="16"/>
                                    <w:szCs w:val="16"/>
                                  </w:rPr>
                                  <w:t>Публични бюджети – държавен, общински и др.</w:t>
                                </w:r>
                              </w:p>
                            </w:txbxContent>
                          </wps:txbx>
                          <wps:bodyPr rot="0" vert="horz" wrap="square" lIns="91440" tIns="45720" rIns="91440" bIns="45720" anchor="t" anchorCtr="0" upright="1">
                            <a:noAutofit/>
                          </wps:bodyPr>
                        </wps:wsp>
                        <wps:wsp>
                          <wps:cNvPr id="2060" name="Rectangle 246"/>
                          <wps:cNvSpPr>
                            <a:spLocks noChangeArrowheads="1"/>
                          </wps:cNvSpPr>
                          <wps:spPr bwMode="auto">
                            <a:xfrm>
                              <a:off x="5253" y="1952"/>
                              <a:ext cx="1473" cy="823"/>
                            </a:xfrm>
                            <a:prstGeom prst="rect">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miter lim="800000"/>
                                  <a:headEnd/>
                                  <a:tailEnd/>
                                </a14:hiddenLine>
                              </a:ext>
                            </a:extLst>
                          </wps:spPr>
                          <wps:txbx>
                            <w:txbxContent>
                              <w:p w14:paraId="0576C7A5" w14:textId="77777777" w:rsidR="004E3164" w:rsidRPr="00CB544C" w:rsidRDefault="004E3164" w:rsidP="001E404B">
                                <w:pPr>
                                  <w:ind w:firstLine="0"/>
                                  <w:jc w:val="center"/>
                                  <w:rPr>
                                    <w:b/>
                                    <w:sz w:val="16"/>
                                    <w:szCs w:val="16"/>
                                  </w:rPr>
                                </w:pPr>
                                <w:r w:rsidRPr="00CB544C">
                                  <w:rPr>
                                    <w:b/>
                                    <w:sz w:val="16"/>
                                    <w:szCs w:val="16"/>
                                  </w:rPr>
                                  <w:t>ЕС</w:t>
                                </w:r>
                              </w:p>
                              <w:p w14:paraId="38D5BEC9" w14:textId="77777777" w:rsidR="004E3164" w:rsidRPr="005C27D1" w:rsidRDefault="004E3164" w:rsidP="001E404B">
                                <w:pPr>
                                  <w:ind w:firstLine="0"/>
                                  <w:jc w:val="center"/>
                                  <w:rPr>
                                    <w:sz w:val="16"/>
                                    <w:szCs w:val="16"/>
                                  </w:rPr>
                                </w:pPr>
                                <w:r>
                                  <w:rPr>
                                    <w:sz w:val="16"/>
                                    <w:szCs w:val="16"/>
                                  </w:rPr>
                                  <w:t xml:space="preserve">ЕСИФ:  </w:t>
                                </w:r>
                                <w:r w:rsidRPr="005C27D1">
                                  <w:rPr>
                                    <w:b/>
                                    <w:sz w:val="16"/>
                                    <w:szCs w:val="16"/>
                                  </w:rPr>
                                  <w:t>КФ, ЕФРР</w:t>
                                </w:r>
                              </w:p>
                            </w:txbxContent>
                          </wps:txbx>
                          <wps:bodyPr rot="0" vert="horz" wrap="square" lIns="91440" tIns="45720" rIns="91440" bIns="45720" anchor="t" anchorCtr="0" upright="1">
                            <a:noAutofit/>
                          </wps:bodyPr>
                        </wps:wsp>
                        <wps:wsp>
                          <wps:cNvPr id="2061" name="Rectangle 247"/>
                          <wps:cNvSpPr>
                            <a:spLocks noChangeArrowheads="1"/>
                          </wps:cNvSpPr>
                          <wps:spPr bwMode="auto">
                            <a:xfrm>
                              <a:off x="6869" y="1952"/>
                              <a:ext cx="1205" cy="823"/>
                            </a:xfrm>
                            <a:prstGeom prst="rect">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miter lim="800000"/>
                                  <a:headEnd/>
                                  <a:tailEnd/>
                                </a14:hiddenLine>
                              </a:ext>
                            </a:extLst>
                          </wps:spPr>
                          <wps:txbx>
                            <w:txbxContent>
                              <w:p w14:paraId="0AFF8098" w14:textId="77777777" w:rsidR="004E3164" w:rsidRPr="005C27D1" w:rsidRDefault="004E3164" w:rsidP="001E404B">
                                <w:pPr>
                                  <w:ind w:firstLine="0"/>
                                  <w:jc w:val="center"/>
                                  <w:rPr>
                                    <w:sz w:val="16"/>
                                    <w:szCs w:val="16"/>
                                  </w:rPr>
                                </w:pPr>
                                <w:r>
                                  <w:rPr>
                                    <w:sz w:val="16"/>
                                    <w:szCs w:val="16"/>
                                  </w:rPr>
                                  <w:t>Частен капитал</w:t>
                                </w:r>
                              </w:p>
                            </w:txbxContent>
                          </wps:txbx>
                          <wps:bodyPr rot="0" vert="horz" wrap="square" lIns="91440" tIns="45720" rIns="91440" bIns="45720" anchor="t" anchorCtr="0" upright="1">
                            <a:noAutofit/>
                          </wps:bodyPr>
                        </wps:wsp>
                        <wps:wsp>
                          <wps:cNvPr id="2062" name="Rectangle 248"/>
                          <wps:cNvSpPr>
                            <a:spLocks noChangeArrowheads="1"/>
                          </wps:cNvSpPr>
                          <wps:spPr bwMode="auto">
                            <a:xfrm>
                              <a:off x="8274" y="1952"/>
                              <a:ext cx="2046" cy="823"/>
                            </a:xfrm>
                            <a:prstGeom prst="rect">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miter lim="800000"/>
                                  <a:headEnd/>
                                  <a:tailEnd/>
                                </a14:hiddenLine>
                              </a:ext>
                            </a:extLst>
                          </wps:spPr>
                          <wps:txbx>
                            <w:txbxContent>
                              <w:p w14:paraId="02502D2A" w14:textId="77777777" w:rsidR="004E3164" w:rsidRDefault="004E3164" w:rsidP="001E404B">
                                <w:pPr>
                                  <w:ind w:firstLine="0"/>
                                  <w:jc w:val="center"/>
                                  <w:rPr>
                                    <w:sz w:val="16"/>
                                    <w:szCs w:val="16"/>
                                  </w:rPr>
                                </w:pPr>
                                <w:r w:rsidRPr="00CB544C">
                                  <w:rPr>
                                    <w:b/>
                                    <w:sz w:val="16"/>
                                    <w:szCs w:val="16"/>
                                  </w:rPr>
                                  <w:t>ЕС</w:t>
                                </w:r>
                              </w:p>
                              <w:p w14:paraId="58E14EE4" w14:textId="77777777" w:rsidR="004E3164" w:rsidRPr="00CB544C" w:rsidRDefault="004E3164" w:rsidP="001E404B">
                                <w:pPr>
                                  <w:ind w:firstLine="0"/>
                                  <w:jc w:val="center"/>
                                  <w:rPr>
                                    <w:sz w:val="16"/>
                                    <w:szCs w:val="16"/>
                                  </w:rPr>
                                </w:pPr>
                                <w:r>
                                  <w:rPr>
                                    <w:sz w:val="16"/>
                                    <w:szCs w:val="16"/>
                                  </w:rPr>
                                  <w:t xml:space="preserve">директно  предоставяни  фондове на </w:t>
                                </w:r>
                                <w:r w:rsidRPr="00CB544C">
                                  <w:rPr>
                                    <w:b/>
                                    <w:sz w:val="16"/>
                                    <w:szCs w:val="16"/>
                                  </w:rPr>
                                  <w:t>ЕС</w:t>
                                </w:r>
                              </w:p>
                            </w:txbxContent>
                          </wps:txbx>
                          <wps:bodyPr rot="0" vert="horz" wrap="square" lIns="91440" tIns="45720" rIns="91440" bIns="45720" anchor="t" anchorCtr="0" upright="1">
                            <a:noAutofit/>
                          </wps:bodyPr>
                        </wps:wsp>
                        <wps:wsp>
                          <wps:cNvPr id="2063" name="Rectangle 249"/>
                          <wps:cNvSpPr>
                            <a:spLocks noChangeArrowheads="1"/>
                          </wps:cNvSpPr>
                          <wps:spPr bwMode="auto">
                            <a:xfrm>
                              <a:off x="10466" y="1952"/>
                              <a:ext cx="1907" cy="823"/>
                            </a:xfrm>
                            <a:prstGeom prst="rect">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miter lim="800000"/>
                                  <a:headEnd/>
                                  <a:tailEnd/>
                                </a14:hiddenLine>
                              </a:ext>
                            </a:extLst>
                          </wps:spPr>
                          <wps:txbx>
                            <w:txbxContent>
                              <w:p w14:paraId="49578363" w14:textId="77777777" w:rsidR="004E3164" w:rsidRDefault="004E3164" w:rsidP="001E404B">
                                <w:pPr>
                                  <w:ind w:firstLine="0"/>
                                  <w:jc w:val="center"/>
                                  <w:rPr>
                                    <w:sz w:val="16"/>
                                    <w:szCs w:val="16"/>
                                  </w:rPr>
                                </w:pPr>
                                <w:r w:rsidRPr="00CB544C">
                                  <w:rPr>
                                    <w:b/>
                                    <w:sz w:val="16"/>
                                    <w:szCs w:val="16"/>
                                  </w:rPr>
                                  <w:t>ЕС</w:t>
                                </w:r>
                              </w:p>
                              <w:p w14:paraId="3D5852A5" w14:textId="77777777" w:rsidR="004E3164" w:rsidRPr="00CB544C" w:rsidRDefault="004E3164" w:rsidP="001E404B">
                                <w:pPr>
                                  <w:ind w:firstLine="0"/>
                                  <w:jc w:val="center"/>
                                  <w:rPr>
                                    <w:sz w:val="16"/>
                                    <w:szCs w:val="16"/>
                                  </w:rPr>
                                </w:pPr>
                                <w:r>
                                  <w:rPr>
                                    <w:sz w:val="16"/>
                                    <w:szCs w:val="16"/>
                                  </w:rPr>
                                  <w:t>Обща селскостопанска политика 1 –ви стълб</w:t>
                                </w:r>
                              </w:p>
                            </w:txbxContent>
                          </wps:txbx>
                          <wps:bodyPr rot="0" vert="horz" wrap="square" lIns="91440" tIns="45720" rIns="91440" bIns="45720" anchor="t" anchorCtr="0" upright="1">
                            <a:noAutofit/>
                          </wps:bodyPr>
                        </wps:wsp>
                        <wps:wsp>
                          <wps:cNvPr id="2064" name="AutoShape 250"/>
                          <wps:cNvCnPr>
                            <a:cxnSpLocks noChangeShapeType="1"/>
                          </wps:cNvCnPr>
                          <wps:spPr bwMode="auto">
                            <a:xfrm>
                              <a:off x="2120" y="2775"/>
                              <a:ext cx="0" cy="2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5" name="AutoShape 251"/>
                          <wps:cNvCnPr>
                            <a:cxnSpLocks noChangeShapeType="1"/>
                          </wps:cNvCnPr>
                          <wps:spPr bwMode="auto">
                            <a:xfrm>
                              <a:off x="4040" y="2775"/>
                              <a:ext cx="0" cy="2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6" name="AutoShape 252"/>
                          <wps:cNvCnPr>
                            <a:cxnSpLocks noChangeShapeType="1"/>
                          </wps:cNvCnPr>
                          <wps:spPr bwMode="auto">
                            <a:xfrm>
                              <a:off x="5960" y="2775"/>
                              <a:ext cx="0" cy="2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7" name="AutoShape 253"/>
                          <wps:cNvCnPr>
                            <a:cxnSpLocks noChangeShapeType="1"/>
                          </wps:cNvCnPr>
                          <wps:spPr bwMode="auto">
                            <a:xfrm>
                              <a:off x="7106" y="2775"/>
                              <a:ext cx="0" cy="2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8" name="AutoShape 254"/>
                          <wps:cNvCnPr>
                            <a:cxnSpLocks noChangeShapeType="1"/>
                          </wps:cNvCnPr>
                          <wps:spPr bwMode="auto">
                            <a:xfrm>
                              <a:off x="7494" y="2775"/>
                              <a:ext cx="0" cy="16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9" name="AutoShape 255"/>
                          <wps:cNvCnPr>
                            <a:cxnSpLocks noChangeShapeType="1"/>
                          </wps:cNvCnPr>
                          <wps:spPr bwMode="auto">
                            <a:xfrm>
                              <a:off x="7869" y="2775"/>
                              <a:ext cx="0" cy="2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0" name="AutoShape 256"/>
                          <wps:cNvCnPr>
                            <a:cxnSpLocks noChangeShapeType="1"/>
                          </wps:cNvCnPr>
                          <wps:spPr bwMode="auto">
                            <a:xfrm>
                              <a:off x="9275" y="2775"/>
                              <a:ext cx="0" cy="2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1" name="AutoShape 257"/>
                          <wps:cNvCnPr>
                            <a:cxnSpLocks noChangeShapeType="1"/>
                          </wps:cNvCnPr>
                          <wps:spPr bwMode="auto">
                            <a:xfrm>
                              <a:off x="11498" y="2775"/>
                              <a:ext cx="0" cy="16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2" name="AutoShape 258"/>
                          <wps:cNvCnPr>
                            <a:cxnSpLocks noChangeShapeType="1"/>
                          </wps:cNvCnPr>
                          <wps:spPr bwMode="auto">
                            <a:xfrm>
                              <a:off x="2120" y="3032"/>
                              <a:ext cx="498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3" name="AutoShape 259"/>
                          <wps:cNvCnPr>
                            <a:cxnSpLocks noChangeShapeType="1"/>
                          </wps:cNvCnPr>
                          <wps:spPr bwMode="auto">
                            <a:xfrm>
                              <a:off x="8572" y="3032"/>
                              <a:ext cx="0" cy="14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4" name="AutoShape 260"/>
                          <wps:cNvCnPr>
                            <a:cxnSpLocks noChangeShapeType="1"/>
                          </wps:cNvCnPr>
                          <wps:spPr bwMode="auto">
                            <a:xfrm>
                              <a:off x="4593" y="3032"/>
                              <a:ext cx="0" cy="14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5" name="AutoShape 261"/>
                          <wps:cNvSpPr>
                            <a:spLocks noChangeArrowheads="1"/>
                          </wps:cNvSpPr>
                          <wps:spPr bwMode="auto">
                            <a:xfrm>
                              <a:off x="2265" y="3396"/>
                              <a:ext cx="4101" cy="533"/>
                            </a:xfrm>
                            <a:prstGeom prst="flowChartTerminator">
                              <a:avLst/>
                            </a:prstGeom>
                            <a:gradFill rotWithShape="0">
                              <a:gsLst>
                                <a:gs pos="0">
                                  <a:srgbClr val="FFFFFF"/>
                                </a:gs>
                                <a:gs pos="100000">
                                  <a:srgbClr val="FBD4B4"/>
                                </a:gs>
                              </a:gsLst>
                              <a:lin ang="5400000" scaled="1"/>
                            </a:gradFill>
                            <a:ln w="12700">
                              <a:solidFill>
                                <a:srgbClr val="FF0000"/>
                              </a:solidFill>
                              <a:miter lim="800000"/>
                              <a:headEnd/>
                              <a:tailEnd/>
                            </a:ln>
                            <a:effectLst>
                              <a:outerShdw dist="28398" dir="3806097" algn="ctr" rotWithShape="0">
                                <a:srgbClr val="974706">
                                  <a:alpha val="50000"/>
                                </a:srgbClr>
                              </a:outerShdw>
                            </a:effectLst>
                          </wps:spPr>
                          <wps:txbx>
                            <w:txbxContent>
                              <w:p w14:paraId="15919558" w14:textId="77777777" w:rsidR="004E3164" w:rsidRPr="005C27D1" w:rsidRDefault="004E3164" w:rsidP="001E404B">
                                <w:pPr>
                                  <w:ind w:firstLine="0"/>
                                  <w:jc w:val="center"/>
                                  <w:rPr>
                                    <w:color w:val="FF0000"/>
                                  </w:rPr>
                                </w:pPr>
                                <w:r w:rsidRPr="005C27D1">
                                  <w:rPr>
                                    <w:b/>
                                    <w:color w:val="FF0000"/>
                                  </w:rPr>
                                  <w:t>Наличие на държавен контрол</w:t>
                                </w:r>
                              </w:p>
                              <w:p w14:paraId="0D1B0DAA" w14:textId="77777777" w:rsidR="004E3164" w:rsidRPr="005C27D1" w:rsidRDefault="004E3164" w:rsidP="001E404B">
                                <w:pPr>
                                  <w:ind w:firstLine="0"/>
                                  <w:jc w:val="center"/>
                                  <w:rPr>
                                    <w:color w:val="FF0000"/>
                                  </w:rPr>
                                </w:pPr>
                              </w:p>
                            </w:txbxContent>
                          </wps:txbx>
                          <wps:bodyPr rot="0" vert="horz" wrap="square" lIns="91440" tIns="45720" rIns="91440" bIns="45720" anchor="t" anchorCtr="0" upright="1">
                            <a:noAutofit/>
                          </wps:bodyPr>
                        </wps:wsp>
                        <wps:wsp>
                          <wps:cNvPr id="2076" name="AutoShape 262"/>
                          <wps:cNvSpPr>
                            <a:spLocks noChangeArrowheads="1"/>
                          </wps:cNvSpPr>
                          <wps:spPr bwMode="auto">
                            <a:xfrm>
                              <a:off x="7106" y="3396"/>
                              <a:ext cx="4494" cy="533"/>
                            </a:xfrm>
                            <a:prstGeom prst="flowChartTerminator">
                              <a:avLst/>
                            </a:prstGeom>
                            <a:gradFill rotWithShape="0">
                              <a:gsLst>
                                <a:gs pos="0">
                                  <a:srgbClr val="FFFFFF"/>
                                </a:gs>
                                <a:gs pos="100000">
                                  <a:srgbClr val="FBD4B4"/>
                                </a:gs>
                              </a:gsLst>
                              <a:lin ang="5400000" scaled="1"/>
                            </a:gradFill>
                            <a:ln w="12700">
                              <a:solidFill>
                                <a:srgbClr val="00B0F0"/>
                              </a:solidFill>
                              <a:miter lim="800000"/>
                              <a:headEnd/>
                              <a:tailEnd/>
                            </a:ln>
                            <a:effectLst>
                              <a:outerShdw dist="28398" dir="3806097" algn="ctr" rotWithShape="0">
                                <a:srgbClr val="974706">
                                  <a:alpha val="50000"/>
                                </a:srgbClr>
                              </a:outerShdw>
                            </a:effectLst>
                          </wps:spPr>
                          <wps:txbx>
                            <w:txbxContent>
                              <w:p w14:paraId="1B5D4423" w14:textId="77777777" w:rsidR="004E3164" w:rsidRPr="005C27D1" w:rsidRDefault="004E3164" w:rsidP="001E404B">
                                <w:pPr>
                                  <w:ind w:firstLine="0"/>
                                  <w:jc w:val="center"/>
                                  <w:rPr>
                                    <w:color w:val="00B0F0"/>
                                  </w:rPr>
                                </w:pPr>
                                <w:r w:rsidRPr="005C27D1">
                                  <w:rPr>
                                    <w:b/>
                                    <w:color w:val="00B0F0"/>
                                  </w:rPr>
                                  <w:t>Няма контрол от държавата</w:t>
                                </w:r>
                              </w:p>
                              <w:p w14:paraId="640BBB52" w14:textId="77777777" w:rsidR="004E3164" w:rsidRPr="005C27D1" w:rsidRDefault="004E3164" w:rsidP="001E404B">
                                <w:pPr>
                                  <w:ind w:firstLine="0"/>
                                  <w:jc w:val="center"/>
                                  <w:rPr>
                                    <w:color w:val="00B0F0"/>
                                  </w:rPr>
                                </w:pPr>
                              </w:p>
                            </w:txbxContent>
                          </wps:txbx>
                          <wps:bodyPr rot="0" vert="horz" wrap="square" lIns="91440" tIns="45720" rIns="91440" bIns="45720" anchor="t" anchorCtr="0" upright="1">
                            <a:noAutofit/>
                          </wps:bodyPr>
                        </wps:wsp>
                        <wps:wsp>
                          <wps:cNvPr id="2077" name="Rectangle 263"/>
                          <wps:cNvSpPr>
                            <a:spLocks noChangeArrowheads="1"/>
                          </wps:cNvSpPr>
                          <wps:spPr bwMode="auto">
                            <a:xfrm>
                              <a:off x="2855" y="4473"/>
                              <a:ext cx="3435" cy="430"/>
                            </a:xfrm>
                            <a:prstGeom prst="rect">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miter lim="800000"/>
                                  <a:headEnd/>
                                  <a:tailEnd/>
                                </a14:hiddenLine>
                              </a:ext>
                            </a:extLst>
                          </wps:spPr>
                          <wps:txbx>
                            <w:txbxContent>
                              <w:p w14:paraId="69CBDB83" w14:textId="77777777" w:rsidR="004E3164" w:rsidRPr="00C15212" w:rsidRDefault="004E3164" w:rsidP="001E404B">
                                <w:pPr>
                                  <w:ind w:firstLine="0"/>
                                  <w:jc w:val="center"/>
                                  <w:rPr>
                                    <w:b/>
                                    <w:color w:val="FF0000"/>
                                    <w:sz w:val="16"/>
                                    <w:szCs w:val="16"/>
                                  </w:rPr>
                                </w:pPr>
                                <w:r w:rsidRPr="00C15212">
                                  <w:rPr>
                                    <w:b/>
                                    <w:color w:val="FF0000"/>
                                    <w:sz w:val="16"/>
                                    <w:szCs w:val="16"/>
                                  </w:rPr>
                                  <w:t>Държавни ресурси</w:t>
                                </w:r>
                              </w:p>
                            </w:txbxContent>
                          </wps:txbx>
                          <wps:bodyPr rot="0" vert="horz" wrap="square" lIns="91440" tIns="45720" rIns="91440" bIns="45720" anchor="t" anchorCtr="0" upright="1">
                            <a:noAutofit/>
                          </wps:bodyPr>
                        </wps:wsp>
                        <wps:wsp>
                          <wps:cNvPr id="2078" name="Rectangle 264"/>
                          <wps:cNvSpPr>
                            <a:spLocks noChangeArrowheads="1"/>
                          </wps:cNvSpPr>
                          <wps:spPr bwMode="auto">
                            <a:xfrm>
                              <a:off x="7281" y="4473"/>
                              <a:ext cx="4534" cy="430"/>
                            </a:xfrm>
                            <a:prstGeom prst="rect">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miter lim="800000"/>
                                  <a:headEnd/>
                                  <a:tailEnd/>
                                </a14:hiddenLine>
                              </a:ext>
                            </a:extLst>
                          </wps:spPr>
                          <wps:txbx>
                            <w:txbxContent>
                              <w:p w14:paraId="4181F1C2" w14:textId="77777777" w:rsidR="004E3164" w:rsidRPr="00C15212" w:rsidRDefault="004E3164" w:rsidP="001E404B">
                                <w:pPr>
                                  <w:ind w:firstLine="0"/>
                                  <w:jc w:val="center"/>
                                  <w:rPr>
                                    <w:b/>
                                    <w:color w:val="00B0F0"/>
                                    <w:sz w:val="16"/>
                                    <w:szCs w:val="16"/>
                                  </w:rPr>
                                </w:pPr>
                                <w:r w:rsidRPr="00C15212">
                                  <w:rPr>
                                    <w:b/>
                                    <w:color w:val="00B0F0"/>
                                    <w:sz w:val="16"/>
                                    <w:szCs w:val="16"/>
                                  </w:rPr>
                                  <w:t>Не са държавни ресурси</w:t>
                                </w:r>
                              </w:p>
                            </w:txbxContent>
                          </wps:txbx>
                          <wps:bodyPr rot="0" vert="horz" wrap="square" lIns="91440" tIns="45720" rIns="91440" bIns="45720" anchor="t" anchorCtr="0" upright="1">
                            <a:noAutofit/>
                          </wps:bodyPr>
                        </wps:wsp>
                      </wpg:grpSp>
                    </wpg:wgp>
                  </a:graphicData>
                </a:graphic>
              </wp:inline>
            </w:drawing>
          </mc:Choice>
          <mc:Fallback>
            <w:pict>
              <v:group w14:anchorId="54810B10" id="Group 2053" o:spid="_x0000_s1278" style="width:642.1pt;height:287.95pt;mso-position-horizontal-relative:char;mso-position-vertical-relative:line" coordorigin="1152,1699" coordsize="11435,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">
                <v:rect id="Rectangle 240" o:spid="_x0000_s1279" style="position:absolute;left:1152;top:1699;width:1143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" strokecolor="#666" strokeweight="1pt">
                  <v:fill color2="#999" focus="100%" type="gradient"/>
                  <v:shadow on="t" color="#7f7f7f" opacity=".5" offset="1pt"/>
                </v:rect>
                <v:shape id="AutoShape 241" o:spid="_x0000_s1280" type="#_x0000_t32" style="position:absolute;left:7869;top:3032;width:14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"/>
                <v:group id="Group 242" o:spid="_x0000_s1281" style="position:absolute;left:1152;top:1952;width:11221;height:3488" coordorigin="1152,1952" coordsize="11221,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gaA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lK4vQlPQG6uAAAA//8DAFBLAQItABQABgAIAAAAIQDb4fbL7gAAAIUBAAATAAAAAAAA&#10;AAAAAAAAAAAAAABbQ29udGVudF9UeXBlc10ueG1sUEsBAi0AFAAGAAgAAAAhAFr0LFu/AAAAFQEA&#10;AAsAAAAAAAAAAAAAAAAAHwEAAF9yZWxzLy5yZWxzUEsBAi0AFAAGAAgAAAAhAOXmBoDHAAAA3QAA&#10;AA8AAAAAAAAAAAAAAAAABwIAAGRycy9kb3ducmV2LnhtbFBLBQYAAAAAAwADALcAAAD7AgAAAAA=&#10;">
                  <v:rect id="Rectangle 243" o:spid="_x0000_s1282" style="position:absolute;left:1293;top:1952;width:1870;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" stroked="f" strokecolor="#95b3d7" strokeweight="1pt">
                    <v:fill color2="#b8cce4" focus="100%" type="gradient"/>
                    <v:shadow on="t" color="#243f60" opacity=".5" offset="1pt"/>
                    <v:textbox>
                      <w:txbxContent>
                        <w:p w14:paraId="2E55270E" w14:textId="77777777" w:rsidR="004E3164" w:rsidRPr="005C27D1" w:rsidRDefault="004E3164" w:rsidP="001E404B">
                          <w:pPr>
                            <w:ind w:firstLine="0"/>
                            <w:jc w:val="center"/>
                            <w:rPr>
                              <w:sz w:val="16"/>
                              <w:szCs w:val="16"/>
                            </w:rPr>
                          </w:pPr>
                          <w:r w:rsidRPr="005C27D1">
                            <w:rPr>
                              <w:sz w:val="16"/>
                              <w:szCs w:val="16"/>
                            </w:rPr>
                            <w:t xml:space="preserve">Други, контролирани от държавата ресурси и органи </w:t>
                          </w:r>
                        </w:p>
                      </w:txbxContent>
                    </v:textbox>
                  </v:rect>
                  <v:rect id="Rectangle 244" o:spid="_x0000_s1283" style="position:absolute;left:1152;top:4258;width:11221;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" strokecolor="#666" strokeweight="1pt">
                    <v:fill color2="#999" focus="100%" type="gradient"/>
                    <v:shadow on="t" color="#7f7f7f" opacity=".5" offset="1pt"/>
                    <v:textbox>
                      <w:txbxContent>
                        <w:p w14:paraId="7CF7B85F" w14:textId="77777777" w:rsidR="004E3164" w:rsidRPr="00C15212" w:rsidRDefault="004E3164" w:rsidP="001E404B">
                          <w:pPr>
                            <w:ind w:firstLine="0"/>
                            <w:jc w:val="center"/>
                          </w:pPr>
                        </w:p>
                        <w:p w14:paraId="46691E9B" w14:textId="77777777" w:rsidR="004E3164" w:rsidRDefault="004E3164" w:rsidP="001E404B">
                          <w:pPr>
                            <w:ind w:firstLine="0"/>
                            <w:jc w:val="center"/>
                          </w:pPr>
                        </w:p>
                        <w:p w14:paraId="49C7F128" w14:textId="77777777" w:rsidR="004E3164" w:rsidRDefault="004E3164" w:rsidP="001E404B">
                          <w:pPr>
                            <w:ind w:firstLine="0"/>
                            <w:jc w:val="center"/>
                          </w:pPr>
                        </w:p>
                        <w:p w14:paraId="167B6500" w14:textId="77777777" w:rsidR="004E3164" w:rsidRDefault="004E3164" w:rsidP="001E404B">
                          <w:pPr>
                            <w:ind w:firstLine="0"/>
                            <w:jc w:val="center"/>
                          </w:pPr>
                        </w:p>
                        <w:p w14:paraId="16DE5FD5" w14:textId="77777777" w:rsidR="004E3164" w:rsidRPr="00C15212" w:rsidRDefault="004E3164" w:rsidP="001E404B">
                          <w:pPr>
                            <w:ind w:firstLine="0"/>
                            <w:jc w:val="center"/>
                          </w:pPr>
                        </w:p>
                        <w:p w14:paraId="6C0F3602" w14:textId="77777777" w:rsidR="004E3164" w:rsidRPr="00F97D3E" w:rsidRDefault="004E3164" w:rsidP="001E404B">
                          <w:pPr>
                            <w:ind w:firstLine="0"/>
                            <w:jc w:val="center"/>
                          </w:pPr>
                          <w:r w:rsidRPr="00F97D3E">
                            <w:t>Получатели на помощта (</w:t>
                          </w:r>
                          <w:r w:rsidRPr="00F97D3E">
                            <w:rPr>
                              <w:b/>
                            </w:rPr>
                            <w:t>предприятия</w:t>
                          </w:r>
                          <w:r w:rsidRPr="00F97D3E">
                            <w:t>)</w:t>
                          </w:r>
                        </w:p>
                      </w:txbxContent>
                    </v:textbox>
                  </v:rect>
                  <v:rect id="Rectangle 245" o:spid="_x0000_s1284" style="position:absolute;left:3271;top:1952;width:1870;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" stroked="f" strokecolor="#95b3d7" strokeweight="1pt">
                    <v:fill color2="#b8cce4" focus="100%" type="gradient"/>
                    <v:shadow on="t" color="#243f60" opacity=".5" offset="1pt"/>
                    <v:textbox>
                      <w:txbxContent>
                        <w:p w14:paraId="4317157D" w14:textId="77777777" w:rsidR="004E3164" w:rsidRPr="005C27D1" w:rsidRDefault="004E3164" w:rsidP="001E404B">
                          <w:pPr>
                            <w:ind w:firstLine="0"/>
                            <w:jc w:val="center"/>
                            <w:rPr>
                              <w:sz w:val="16"/>
                              <w:szCs w:val="16"/>
                            </w:rPr>
                          </w:pPr>
                          <w:r>
                            <w:rPr>
                              <w:sz w:val="16"/>
                              <w:szCs w:val="16"/>
                            </w:rPr>
                            <w:t>Публични бюджети – държавен, общински и др.</w:t>
                          </w:r>
                        </w:p>
                      </w:txbxContent>
                    </v:textbox>
                  </v:rect>
                  <v:rect id="Rectangle 246" o:spid="_x0000_s1285" style="position:absolute;left:5253;top:1952;width:1473;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" stroked="f" strokecolor="#95b3d7" strokeweight="1pt">
                    <v:fill color2="#b8cce4" focus="100%" type="gradient"/>
                    <v:shadow on="t" color="#243f60" opacity=".5" offset="1pt"/>
                    <v:textbox>
                      <w:txbxContent>
                        <w:p w14:paraId="0576C7A5" w14:textId="77777777" w:rsidR="004E3164" w:rsidRPr="00CB544C" w:rsidRDefault="004E3164" w:rsidP="001E404B">
                          <w:pPr>
                            <w:ind w:firstLine="0"/>
                            <w:jc w:val="center"/>
                            <w:rPr>
                              <w:b/>
                              <w:sz w:val="16"/>
                              <w:szCs w:val="16"/>
                            </w:rPr>
                          </w:pPr>
                          <w:r w:rsidRPr="00CB544C">
                            <w:rPr>
                              <w:b/>
                              <w:sz w:val="16"/>
                              <w:szCs w:val="16"/>
                            </w:rPr>
                            <w:t>ЕС</w:t>
                          </w:r>
                        </w:p>
                        <w:p w14:paraId="38D5BEC9" w14:textId="77777777" w:rsidR="004E3164" w:rsidRPr="005C27D1" w:rsidRDefault="004E3164" w:rsidP="001E404B">
                          <w:pPr>
                            <w:ind w:firstLine="0"/>
                            <w:jc w:val="center"/>
                            <w:rPr>
                              <w:sz w:val="16"/>
                              <w:szCs w:val="16"/>
                            </w:rPr>
                          </w:pPr>
                          <w:r>
                            <w:rPr>
                              <w:sz w:val="16"/>
                              <w:szCs w:val="16"/>
                            </w:rPr>
                            <w:t xml:space="preserve">ЕСИФ:  </w:t>
                          </w:r>
                          <w:r w:rsidRPr="005C27D1">
                            <w:rPr>
                              <w:b/>
                              <w:sz w:val="16"/>
                              <w:szCs w:val="16"/>
                            </w:rPr>
                            <w:t>КФ, ЕФРР</w:t>
                          </w:r>
                        </w:p>
                      </w:txbxContent>
                    </v:textbox>
                  </v:rect>
                  <v:rect id="Rectangle 247" o:spid="_x0000_s1286" style="position:absolute;left:6869;top:1952;width:1205;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" stroked="f" strokecolor="#95b3d7" strokeweight="1pt">
                    <v:fill color2="#b8cce4" focus="100%" type="gradient"/>
                    <v:shadow on="t" color="#243f60" opacity=".5" offset="1pt"/>
                    <v:textbox>
                      <w:txbxContent>
                        <w:p w14:paraId="0AFF8098" w14:textId="77777777" w:rsidR="004E3164" w:rsidRPr="005C27D1" w:rsidRDefault="004E3164" w:rsidP="001E404B">
                          <w:pPr>
                            <w:ind w:firstLine="0"/>
                            <w:jc w:val="center"/>
                            <w:rPr>
                              <w:sz w:val="16"/>
                              <w:szCs w:val="16"/>
                            </w:rPr>
                          </w:pPr>
                          <w:r>
                            <w:rPr>
                              <w:sz w:val="16"/>
                              <w:szCs w:val="16"/>
                            </w:rPr>
                            <w:t>Частен капитал</w:t>
                          </w:r>
                        </w:p>
                      </w:txbxContent>
                    </v:textbox>
                  </v:rect>
                  <v:rect id="Rectangle 248" o:spid="_x0000_s1287" style="position:absolute;left:8274;top:1952;width:2046;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" stroked="f" strokecolor="#95b3d7" strokeweight="1pt">
                    <v:fill color2="#b8cce4" focus="100%" type="gradient"/>
                    <v:shadow on="t" color="#243f60" opacity=".5" offset="1pt"/>
                    <v:textbox>
                      <w:txbxContent>
                        <w:p w14:paraId="02502D2A" w14:textId="77777777" w:rsidR="004E3164" w:rsidRDefault="004E3164" w:rsidP="001E404B">
                          <w:pPr>
                            <w:ind w:firstLine="0"/>
                            <w:jc w:val="center"/>
                            <w:rPr>
                              <w:sz w:val="16"/>
                              <w:szCs w:val="16"/>
                            </w:rPr>
                          </w:pPr>
                          <w:r w:rsidRPr="00CB544C">
                            <w:rPr>
                              <w:b/>
                              <w:sz w:val="16"/>
                              <w:szCs w:val="16"/>
                            </w:rPr>
                            <w:t>ЕС</w:t>
                          </w:r>
                        </w:p>
                        <w:p w14:paraId="58E14EE4" w14:textId="77777777" w:rsidR="004E3164" w:rsidRPr="00CB544C" w:rsidRDefault="004E3164" w:rsidP="001E404B">
                          <w:pPr>
                            <w:ind w:firstLine="0"/>
                            <w:jc w:val="center"/>
                            <w:rPr>
                              <w:sz w:val="16"/>
                              <w:szCs w:val="16"/>
                            </w:rPr>
                          </w:pPr>
                          <w:r>
                            <w:rPr>
                              <w:sz w:val="16"/>
                              <w:szCs w:val="16"/>
                            </w:rPr>
                            <w:t xml:space="preserve">директно  предоставяни  фондове на </w:t>
                          </w:r>
                          <w:r w:rsidRPr="00CB544C">
                            <w:rPr>
                              <w:b/>
                              <w:sz w:val="16"/>
                              <w:szCs w:val="16"/>
                            </w:rPr>
                            <w:t>ЕС</w:t>
                          </w:r>
                        </w:p>
                      </w:txbxContent>
                    </v:textbox>
                  </v:rect>
                  <v:rect id="Rectangle 249" o:spid="_x0000_s1288" style="position:absolute;left:10466;top:1952;width:1907;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" stroked="f" strokecolor="#95b3d7" strokeweight="1pt">
                    <v:fill color2="#b8cce4" focus="100%" type="gradient"/>
                    <v:shadow on="t" color="#243f60" opacity=".5" offset="1pt"/>
                    <v:textbox>
                      <w:txbxContent>
                        <w:p w14:paraId="49578363" w14:textId="77777777" w:rsidR="004E3164" w:rsidRDefault="004E3164" w:rsidP="001E404B">
                          <w:pPr>
                            <w:ind w:firstLine="0"/>
                            <w:jc w:val="center"/>
                            <w:rPr>
                              <w:sz w:val="16"/>
                              <w:szCs w:val="16"/>
                            </w:rPr>
                          </w:pPr>
                          <w:r w:rsidRPr="00CB544C">
                            <w:rPr>
                              <w:b/>
                              <w:sz w:val="16"/>
                              <w:szCs w:val="16"/>
                            </w:rPr>
                            <w:t>ЕС</w:t>
                          </w:r>
                        </w:p>
                        <w:p w14:paraId="3D5852A5" w14:textId="77777777" w:rsidR="004E3164" w:rsidRPr="00CB544C" w:rsidRDefault="004E3164" w:rsidP="001E404B">
                          <w:pPr>
                            <w:ind w:firstLine="0"/>
                            <w:jc w:val="center"/>
                            <w:rPr>
                              <w:sz w:val="16"/>
                              <w:szCs w:val="16"/>
                            </w:rPr>
                          </w:pPr>
                          <w:r>
                            <w:rPr>
                              <w:sz w:val="16"/>
                              <w:szCs w:val="16"/>
                            </w:rPr>
                            <w:t>Обща селскостопанска политика 1 –ви стълб</w:t>
                          </w:r>
                        </w:p>
                      </w:txbxContent>
                    </v:textbox>
                  </v:rect>
                  <v:shape id="AutoShape 250" o:spid="_x0000_s1289" type="#_x0000_t32" style="position:absolute;left:2120;top:2775;width:0;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"/>
                  <v:shape id="AutoShape 251" o:spid="_x0000_s1290" type="#_x0000_t32" style="position:absolute;left:4040;top:2775;width:0;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"/>
                  <v:shape id="AutoShape 252" o:spid="_x0000_s1291" type="#_x0000_t32" style="position:absolute;left:5960;top:2775;width:0;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"/>
                  <v:shape id="AutoShape 253" o:spid="_x0000_s1292" type="#_x0000_t32" style="position:absolute;left:7106;top:2775;width:0;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"/>
                  <v:shape id="AutoShape 254" o:spid="_x0000_s1293" type="#_x0000_t32" style="position:absolute;left:7494;top:2775;width:0;height:16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">
                    <v:stroke endarrow="block"/>
                  </v:shape>
                  <v:shape id="AutoShape 255" o:spid="_x0000_s1294" type="#_x0000_t32" style="position:absolute;left:7869;top:2775;width:0;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"/>
                  <v:shape id="AutoShape 256" o:spid="_x0000_s1295" type="#_x0000_t32" style="position:absolute;left:9275;top:2775;width:0;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"/>
                  <v:shape id="AutoShape 257" o:spid="_x0000_s1296" type="#_x0000_t32" style="position:absolute;left:11498;top:2775;width:0;height:16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">
                    <v:stroke endarrow="block"/>
                  </v:shape>
                  <v:shape id="AutoShape 258" o:spid="_x0000_s1297" type="#_x0000_t32" style="position:absolute;left:2120;top:3032;width:49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"/>
                  <v:shape id="AutoShape 259" o:spid="_x0000_s1298" type="#_x0000_t32" style="position:absolute;left:8572;top:3032;width:0;height:1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">
                    <v:stroke endarrow="block"/>
                  </v:shape>
                  <v:shape id="AutoShape 260" o:spid="_x0000_s1299" type="#_x0000_t32" style="position:absolute;left:4593;top:3032;width:0;height:1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">
                    <v:stroke endarrow="block"/>
                  </v:shape>
                  <v:shape id="AutoShape 261" o:spid="_x0000_s1300" type="#_x0000_t116" style="position:absolute;left:2265;top:3396;width:4101;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" strokecolor="red" strokeweight="1pt">
                    <v:fill color2="#fbd4b4" focus="100%" type="gradient"/>
                    <v:shadow on="t" color="#974706" opacity=".5" offset="1pt"/>
                    <v:textbox>
                      <w:txbxContent>
                        <w:p w14:paraId="15919558" w14:textId="77777777" w:rsidR="004E3164" w:rsidRPr="005C27D1" w:rsidRDefault="004E3164" w:rsidP="001E404B">
                          <w:pPr>
                            <w:ind w:firstLine="0"/>
                            <w:jc w:val="center"/>
                            <w:rPr>
                              <w:color w:val="FF0000"/>
                            </w:rPr>
                          </w:pPr>
                          <w:r w:rsidRPr="005C27D1">
                            <w:rPr>
                              <w:b/>
                              <w:color w:val="FF0000"/>
                            </w:rPr>
                            <w:t>Наличие на държавен контрол</w:t>
                          </w:r>
                        </w:p>
                        <w:p w14:paraId="0D1B0DAA" w14:textId="77777777" w:rsidR="004E3164" w:rsidRPr="005C27D1" w:rsidRDefault="004E3164" w:rsidP="001E404B">
                          <w:pPr>
                            <w:ind w:firstLine="0"/>
                            <w:jc w:val="center"/>
                            <w:rPr>
                              <w:color w:val="FF0000"/>
                            </w:rPr>
                          </w:pPr>
                        </w:p>
                      </w:txbxContent>
                    </v:textbox>
                  </v:shape>
                  <v:shape id="AutoShape 262" o:spid="_x0000_s1301" type="#_x0000_t116" style="position:absolute;left:7106;top:3396;width:4494;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" strokecolor="#00b0f0" strokeweight="1pt">
                    <v:fill color2="#fbd4b4" focus="100%" type="gradient"/>
                    <v:shadow on="t" color="#974706" opacity=".5" offset="1pt"/>
                    <v:textbox>
                      <w:txbxContent>
                        <w:p w14:paraId="1B5D4423" w14:textId="77777777" w:rsidR="004E3164" w:rsidRPr="005C27D1" w:rsidRDefault="004E3164" w:rsidP="001E404B">
                          <w:pPr>
                            <w:ind w:firstLine="0"/>
                            <w:jc w:val="center"/>
                            <w:rPr>
                              <w:color w:val="00B0F0"/>
                            </w:rPr>
                          </w:pPr>
                          <w:r w:rsidRPr="005C27D1">
                            <w:rPr>
                              <w:b/>
                              <w:color w:val="00B0F0"/>
                            </w:rPr>
                            <w:t>Няма контрол от държавата</w:t>
                          </w:r>
                        </w:p>
                        <w:p w14:paraId="640BBB52" w14:textId="77777777" w:rsidR="004E3164" w:rsidRPr="005C27D1" w:rsidRDefault="004E3164" w:rsidP="001E404B">
                          <w:pPr>
                            <w:ind w:firstLine="0"/>
                            <w:jc w:val="center"/>
                            <w:rPr>
                              <w:color w:val="00B0F0"/>
                            </w:rPr>
                          </w:pPr>
                        </w:p>
                      </w:txbxContent>
                    </v:textbox>
                  </v:shape>
                  <v:rect id="Rectangle 263" o:spid="_x0000_s1302" style="position:absolute;left:2855;top:4473;width:3435;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" stroked="f" strokecolor="#95b3d7" strokeweight="1pt">
                    <v:fill color2="#b8cce4" focus="100%" type="gradient"/>
                    <v:shadow on="t" color="#243f60" opacity=".5" offset="1pt"/>
                    <v:textbox>
                      <w:txbxContent>
                        <w:p w14:paraId="69CBDB83" w14:textId="77777777" w:rsidR="004E3164" w:rsidRPr="00C15212" w:rsidRDefault="004E3164" w:rsidP="001E404B">
                          <w:pPr>
                            <w:ind w:firstLine="0"/>
                            <w:jc w:val="center"/>
                            <w:rPr>
                              <w:b/>
                              <w:color w:val="FF0000"/>
                              <w:sz w:val="16"/>
                              <w:szCs w:val="16"/>
                            </w:rPr>
                          </w:pPr>
                          <w:r w:rsidRPr="00C15212">
                            <w:rPr>
                              <w:b/>
                              <w:color w:val="FF0000"/>
                              <w:sz w:val="16"/>
                              <w:szCs w:val="16"/>
                            </w:rPr>
                            <w:t>Държавни ресурси</w:t>
                          </w:r>
                        </w:p>
                      </w:txbxContent>
                    </v:textbox>
                  </v:rect>
                  <v:rect id="Rectangle 264" o:spid="_x0000_s1303" style="position:absolute;left:7281;top:4473;width:4534;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" stroked="f" strokecolor="#95b3d7" strokeweight="1pt">
                    <v:fill color2="#b8cce4" focus="100%" type="gradient"/>
                    <v:shadow on="t" color="#243f60" opacity=".5" offset="1pt"/>
                    <v:textbox>
                      <w:txbxContent>
                        <w:p w14:paraId="4181F1C2" w14:textId="77777777" w:rsidR="004E3164" w:rsidRPr="00C15212" w:rsidRDefault="004E3164" w:rsidP="001E404B">
                          <w:pPr>
                            <w:ind w:firstLine="0"/>
                            <w:jc w:val="center"/>
                            <w:rPr>
                              <w:b/>
                              <w:color w:val="00B0F0"/>
                              <w:sz w:val="16"/>
                              <w:szCs w:val="16"/>
                            </w:rPr>
                          </w:pPr>
                          <w:r w:rsidRPr="00C15212">
                            <w:rPr>
                              <w:b/>
                              <w:color w:val="00B0F0"/>
                              <w:sz w:val="16"/>
                              <w:szCs w:val="16"/>
                            </w:rPr>
                            <w:t>Не са държавни ресурси</w:t>
                          </w:r>
                        </w:p>
                      </w:txbxContent>
                    </v:textbox>
                  </v:rect>
                </v:group>
                <w10:anchorlock/>
              </v:group>
            </w:pict>
          </mc:Fallback>
        </mc:AlternateContent>
      </w:r>
    </w:p>
    <w:p w14:paraId="0FAE6814" w14:textId="77777777" w:rsidR="00D603F5" w:rsidRPr="001B0EA3" w:rsidRDefault="00D603F5" w:rsidP="003B124D">
      <w:pPr>
        <w:spacing w:beforeLines="60" w:before="144" w:afterLines="60" w:after="144"/>
        <w:ind w:firstLine="0"/>
        <w:jc w:val="center"/>
        <w:rPr>
          <w:szCs w:val="22"/>
          <w:lang w:eastAsia="en-US"/>
        </w:rPr>
        <w:sectPr w:rsidR="00D603F5" w:rsidRPr="001B0EA3" w:rsidSect="002E4F6D">
          <w:footerReference w:type="first" r:id="rId47"/>
          <w:pgSz w:w="16838" w:h="11906" w:orient="landscape" w:code="9"/>
          <w:pgMar w:top="1134" w:right="1134" w:bottom="1134" w:left="1134" w:header="505" w:footer="1009" w:gutter="0"/>
          <w:cols w:space="708"/>
          <w:docGrid w:linePitch="272"/>
        </w:sectPr>
      </w:pPr>
    </w:p>
    <w:p w14:paraId="30DB8947" w14:textId="77777777" w:rsidR="00D603F5" w:rsidRPr="00842ECC" w:rsidRDefault="00D603F5" w:rsidP="00ED358C">
      <w:pPr>
        <w:pStyle w:val="Style3"/>
        <w:rPr>
          <w:lang w:val="bg-BG" w:eastAsia="en-US"/>
        </w:rPr>
      </w:pPr>
      <w:bookmarkStart w:id="333" w:name="_Toc479775575"/>
      <w:r w:rsidRPr="00842ECC">
        <w:rPr>
          <w:lang w:val="bg-BG" w:eastAsia="en-US"/>
        </w:rPr>
        <w:lastRenderedPageBreak/>
        <w:t>Наличие на предоставяне пряко или непряко икономическо предимство</w:t>
      </w:r>
      <w:r w:rsidR="00A85738" w:rsidRPr="00842ECC">
        <w:rPr>
          <w:lang w:val="bg-BG" w:eastAsia="en-US"/>
        </w:rPr>
        <w:t xml:space="preserve"> (Фиг. 2.6.)</w:t>
      </w:r>
      <w:bookmarkEnd w:id="333"/>
    </w:p>
    <w:p w14:paraId="712E439A" w14:textId="77777777" w:rsidR="00A85738" w:rsidRPr="001B0EA3" w:rsidRDefault="00A85738" w:rsidP="00511860">
      <w:pPr>
        <w:tabs>
          <w:tab w:val="left" w:pos="1276"/>
        </w:tabs>
        <w:rPr>
          <w:szCs w:val="22"/>
          <w:lang w:eastAsia="en-US"/>
        </w:rPr>
      </w:pPr>
    </w:p>
    <w:p w14:paraId="16E470D8" w14:textId="77777777" w:rsidR="00D90E86" w:rsidRPr="001B0EA3" w:rsidRDefault="00A85738" w:rsidP="001E404B">
      <w:pPr>
        <w:rPr>
          <w:lang w:eastAsia="en-US"/>
        </w:rPr>
      </w:pPr>
      <w:r w:rsidRPr="001B0EA3">
        <w:rPr>
          <w:lang w:eastAsia="en-US"/>
        </w:rPr>
        <w:t xml:space="preserve">След като се установи  наличието на трансфер на държавни ресурси, следва да се продължи с преценка дали  бенефициента извършва </w:t>
      </w:r>
      <w:r w:rsidRPr="001B0EA3">
        <w:rPr>
          <w:b/>
          <w:lang w:eastAsia="en-US"/>
        </w:rPr>
        <w:t>икономическа дейност</w:t>
      </w:r>
      <w:r w:rsidRPr="001B0EA3">
        <w:rPr>
          <w:lang w:eastAsia="en-US"/>
        </w:rPr>
        <w:t xml:space="preserve"> или проекта  се отнася за </w:t>
      </w:r>
      <w:r w:rsidRPr="001B0EA3">
        <w:rPr>
          <w:b/>
          <w:lang w:eastAsia="en-US"/>
        </w:rPr>
        <w:t>инфраструктура</w:t>
      </w:r>
      <w:r w:rsidRPr="001B0EA3">
        <w:rPr>
          <w:lang w:eastAsia="en-US"/>
        </w:rPr>
        <w:t xml:space="preserve">, предназначена за последваща </w:t>
      </w:r>
      <w:r w:rsidRPr="001B0EA3">
        <w:rPr>
          <w:b/>
          <w:lang w:eastAsia="en-US"/>
        </w:rPr>
        <w:t>икономическа експлоатация</w:t>
      </w:r>
      <w:r w:rsidRPr="001B0EA3">
        <w:rPr>
          <w:lang w:eastAsia="en-US"/>
        </w:rPr>
        <w:t xml:space="preserve">.  </w:t>
      </w:r>
    </w:p>
    <w:p w14:paraId="54C9D8B9" w14:textId="77777777" w:rsidR="00D90E86" w:rsidRPr="001B0EA3" w:rsidRDefault="00D90E86" w:rsidP="001E404B">
      <w:pPr>
        <w:rPr>
          <w:lang w:eastAsia="en-US"/>
        </w:rPr>
      </w:pPr>
      <w:r w:rsidRPr="001B0EA3">
        <w:rPr>
          <w:lang w:eastAsia="en-US"/>
        </w:rPr>
        <w:t xml:space="preserve">Важно е при оценката правилно да се определи дали </w:t>
      </w:r>
      <w:r w:rsidRPr="001B0EA3">
        <w:rPr>
          <w:b/>
          <w:lang w:eastAsia="en-US"/>
        </w:rPr>
        <w:t>бенефициента на помощта</w:t>
      </w:r>
      <w:r w:rsidRPr="001B0EA3">
        <w:rPr>
          <w:lang w:eastAsia="en-US"/>
        </w:rPr>
        <w:t xml:space="preserve"> е </w:t>
      </w:r>
      <w:r w:rsidRPr="001B0EA3">
        <w:rPr>
          <w:b/>
          <w:lang w:eastAsia="en-US"/>
        </w:rPr>
        <w:t>предприятие</w:t>
      </w:r>
      <w:r w:rsidRPr="001B0EA3">
        <w:rPr>
          <w:lang w:eastAsia="en-US"/>
        </w:rPr>
        <w:t xml:space="preserve">, което осъществява </w:t>
      </w:r>
      <w:r w:rsidRPr="001B0EA3">
        <w:rPr>
          <w:b/>
          <w:lang w:eastAsia="en-US"/>
        </w:rPr>
        <w:t>икономическа дейност по отношение на мярката на помощ.</w:t>
      </w:r>
      <w:r w:rsidRPr="001B0EA3">
        <w:rPr>
          <w:lang w:eastAsia="en-US"/>
        </w:rPr>
        <w:t xml:space="preserve"> </w:t>
      </w:r>
    </w:p>
    <w:p w14:paraId="5E8C0B45" w14:textId="77777777" w:rsidR="00D90E86" w:rsidRPr="001B0EA3" w:rsidRDefault="009B028D" w:rsidP="001E404B">
      <w:pPr>
        <w:rPr>
          <w:i/>
          <w:szCs w:val="24"/>
          <w:lang w:eastAsia="en-US"/>
        </w:rPr>
      </w:pPr>
      <w:r w:rsidRPr="001B0EA3">
        <w:rPr>
          <w:lang w:eastAsia="en-US"/>
        </w:rPr>
        <w:t>Когато</w:t>
      </w:r>
      <w:r w:rsidR="00D90E86" w:rsidRPr="001B0EA3">
        <w:rPr>
          <w:lang w:eastAsia="en-US"/>
        </w:rPr>
        <w:t xml:space="preserve"> е посочено по-горе </w:t>
      </w:r>
      <w:r w:rsidR="00D90E86" w:rsidRPr="001B0EA3">
        <w:rPr>
          <w:szCs w:val="24"/>
          <w:lang w:eastAsia="en-US"/>
        </w:rPr>
        <w:t xml:space="preserve">детайлни разяснения относно понятията предприятие и икономическа дейност са дадени в раздел 2.  на Известието </w:t>
      </w:r>
      <w:r w:rsidR="00D90E86" w:rsidRPr="001B0EA3">
        <w:rPr>
          <w:i/>
          <w:szCs w:val="24"/>
          <w:lang w:eastAsia="en-US"/>
        </w:rPr>
        <w:t xml:space="preserve">(от </w:t>
      </w:r>
      <w:r w:rsidR="00D15D94">
        <w:rPr>
          <w:i/>
          <w:szCs w:val="24"/>
          <w:lang w:eastAsia="en-US"/>
        </w:rPr>
        <w:t>т</w:t>
      </w:r>
      <w:r w:rsidR="00D90E86" w:rsidRPr="001B0EA3">
        <w:rPr>
          <w:i/>
          <w:szCs w:val="24"/>
          <w:lang w:eastAsia="en-US"/>
        </w:rPr>
        <w:t xml:space="preserve">. 6 до 37) </w:t>
      </w:r>
      <w:r w:rsidR="00D90E86" w:rsidRPr="001B0EA3">
        <w:rPr>
          <w:szCs w:val="24"/>
          <w:lang w:eastAsia="en-US"/>
        </w:rPr>
        <w:t>и аналитичните  матрици (</w:t>
      </w:r>
      <w:r w:rsidR="00D90E86" w:rsidRPr="001B0EA3">
        <w:rPr>
          <w:i/>
          <w:szCs w:val="24"/>
          <w:lang w:eastAsia="en-US"/>
        </w:rPr>
        <w:t>Приложения № 2.05.</w:t>
      </w:r>
      <w:r w:rsidR="00D90E86" w:rsidRPr="001B0EA3">
        <w:rPr>
          <w:szCs w:val="24"/>
          <w:lang w:eastAsia="en-US"/>
        </w:rPr>
        <w:t xml:space="preserve"> </w:t>
      </w:r>
      <w:r w:rsidR="00D90E86" w:rsidRPr="001B0EA3">
        <w:rPr>
          <w:i/>
          <w:szCs w:val="24"/>
          <w:lang w:eastAsia="en-US"/>
        </w:rPr>
        <w:t>и</w:t>
      </w:r>
      <w:r w:rsidR="00D90E86" w:rsidRPr="001B0EA3">
        <w:rPr>
          <w:szCs w:val="24"/>
          <w:lang w:eastAsia="en-US"/>
        </w:rPr>
        <w:t xml:space="preserve"> </w:t>
      </w:r>
      <w:r w:rsidR="00D90E86" w:rsidRPr="001B0EA3">
        <w:rPr>
          <w:i/>
          <w:szCs w:val="24"/>
          <w:lang w:eastAsia="en-US"/>
        </w:rPr>
        <w:t xml:space="preserve">№ 2.06.). </w:t>
      </w:r>
    </w:p>
    <w:p w14:paraId="3D993CA5" w14:textId="77777777" w:rsidR="00D90E86" w:rsidRPr="001B0EA3" w:rsidRDefault="00D90E86" w:rsidP="001E404B">
      <w:pPr>
        <w:rPr>
          <w:lang w:eastAsia="en-US"/>
        </w:rPr>
      </w:pPr>
      <w:r w:rsidRPr="001B0EA3">
        <w:rPr>
          <w:lang w:eastAsia="en-US"/>
        </w:rPr>
        <w:t xml:space="preserve">В случай, че проектът е за строителството на </w:t>
      </w:r>
      <w:r w:rsidRPr="001B0EA3">
        <w:rPr>
          <w:b/>
          <w:lang w:eastAsia="en-US"/>
        </w:rPr>
        <w:t>инфраструктура</w:t>
      </w:r>
      <w:r w:rsidRPr="001B0EA3">
        <w:rPr>
          <w:lang w:eastAsia="en-US"/>
        </w:rPr>
        <w:t xml:space="preserve">, във ФК трябва ясно да се посочи, дали е предназначена за последваща </w:t>
      </w:r>
      <w:r w:rsidRPr="001B0EA3">
        <w:rPr>
          <w:b/>
          <w:lang w:eastAsia="en-US"/>
        </w:rPr>
        <w:t>икономическа експлоатация</w:t>
      </w:r>
      <w:r w:rsidRPr="001B0EA3">
        <w:rPr>
          <w:lang w:eastAsia="en-US"/>
        </w:rPr>
        <w:t xml:space="preserve">, което само по себе си представлява </w:t>
      </w:r>
      <w:r w:rsidRPr="001B0EA3">
        <w:rPr>
          <w:b/>
          <w:lang w:eastAsia="en-US"/>
        </w:rPr>
        <w:t>икономическа дейност.</w:t>
      </w:r>
      <w:r w:rsidRPr="001B0EA3">
        <w:rPr>
          <w:lang w:eastAsia="en-US"/>
        </w:rPr>
        <w:t xml:space="preserve"> </w:t>
      </w:r>
      <w:r w:rsidRPr="001B0EA3">
        <w:rPr>
          <w:i/>
          <w:lang w:eastAsia="en-US"/>
        </w:rPr>
        <w:t>(т. 202 от Известието)</w:t>
      </w:r>
      <w:r w:rsidRPr="001B0EA3">
        <w:rPr>
          <w:lang w:eastAsia="en-US"/>
        </w:rPr>
        <w:t>.</w:t>
      </w:r>
    </w:p>
    <w:p w14:paraId="3AB852F8" w14:textId="77777777" w:rsidR="00D90E86" w:rsidRPr="001B0EA3" w:rsidRDefault="00D90E86" w:rsidP="001E404B">
      <w:pPr>
        <w:rPr>
          <w:i/>
          <w:szCs w:val="24"/>
          <w:lang w:eastAsia="en-US"/>
        </w:rPr>
      </w:pPr>
      <w:r w:rsidRPr="001B0EA3">
        <w:rPr>
          <w:szCs w:val="24"/>
          <w:lang w:eastAsia="en-US"/>
        </w:rPr>
        <w:t xml:space="preserve">По –детайлни разяснения относно публичното </w:t>
      </w:r>
      <w:r w:rsidR="00E813B6" w:rsidRPr="001B0EA3">
        <w:rPr>
          <w:szCs w:val="24"/>
          <w:lang w:eastAsia="en-US"/>
        </w:rPr>
        <w:t>финансиране</w:t>
      </w:r>
      <w:r w:rsidRPr="001B0EA3">
        <w:rPr>
          <w:szCs w:val="24"/>
          <w:lang w:eastAsia="en-US"/>
        </w:rPr>
        <w:t xml:space="preserve"> на инфраструктура са дадени в раздел 7. на </w:t>
      </w:r>
      <w:r w:rsidR="00E813B6" w:rsidRPr="001B0EA3">
        <w:rPr>
          <w:szCs w:val="24"/>
          <w:lang w:eastAsia="en-US"/>
        </w:rPr>
        <w:t>Известието</w:t>
      </w:r>
      <w:r w:rsidRPr="001B0EA3">
        <w:rPr>
          <w:szCs w:val="24"/>
          <w:lang w:eastAsia="en-US"/>
        </w:rPr>
        <w:t xml:space="preserve"> </w:t>
      </w:r>
      <w:r w:rsidRPr="001B0EA3">
        <w:rPr>
          <w:i/>
          <w:szCs w:val="24"/>
          <w:lang w:eastAsia="en-US"/>
        </w:rPr>
        <w:t>(т. 199 до 228).</w:t>
      </w:r>
    </w:p>
    <w:p w14:paraId="4C53C371" w14:textId="77777777" w:rsidR="00D603F5" w:rsidRPr="001B0EA3" w:rsidRDefault="00D603F5" w:rsidP="001E404B">
      <w:pPr>
        <w:rPr>
          <w:lang w:eastAsia="en-US"/>
        </w:rPr>
      </w:pPr>
      <w:r w:rsidRPr="001B0EA3">
        <w:rPr>
          <w:lang w:eastAsia="en-US"/>
        </w:rPr>
        <w:t xml:space="preserve">По смисъла на член 107, параграф 1 от ДФЕС </w:t>
      </w:r>
      <w:r w:rsidRPr="001B0EA3">
        <w:rPr>
          <w:b/>
          <w:lang w:eastAsia="en-US"/>
        </w:rPr>
        <w:t>предимството</w:t>
      </w:r>
      <w:r w:rsidRPr="001B0EA3">
        <w:rPr>
          <w:lang w:eastAsia="en-US"/>
        </w:rPr>
        <w:t xml:space="preserve"> е всяка икономическа полза, която дадено </w:t>
      </w:r>
      <w:r w:rsidRPr="001B0EA3">
        <w:rPr>
          <w:b/>
          <w:lang w:eastAsia="en-US"/>
        </w:rPr>
        <w:t>предприятие</w:t>
      </w:r>
      <w:r w:rsidRPr="001B0EA3">
        <w:rPr>
          <w:lang w:eastAsia="en-US"/>
        </w:rPr>
        <w:t xml:space="preserve"> не би получило при нормални пазарни условия, т.е. в отсъствието на държавна намеса </w:t>
      </w:r>
      <w:r w:rsidR="009B028D" w:rsidRPr="001B0EA3">
        <w:rPr>
          <w:i/>
          <w:lang w:eastAsia="en-US"/>
        </w:rPr>
        <w:t>(т.66 от Известието)</w:t>
      </w:r>
      <w:r w:rsidRPr="001B0EA3">
        <w:rPr>
          <w:lang w:eastAsia="en-US"/>
        </w:rPr>
        <w:t>.</w:t>
      </w:r>
    </w:p>
    <w:p w14:paraId="447DAD9A" w14:textId="77777777" w:rsidR="009B028D" w:rsidRPr="001B0EA3" w:rsidRDefault="009B028D" w:rsidP="001E404B">
      <w:pPr>
        <w:rPr>
          <w:lang w:eastAsia="en-US"/>
        </w:rPr>
      </w:pPr>
      <w:r w:rsidRPr="001B0EA3">
        <w:rPr>
          <w:lang w:eastAsia="en-US"/>
        </w:rPr>
        <w:t xml:space="preserve">Когато финансовото положение на дадено предприятие е подобрено и/или предприятието бъде освободено от икономически тежести вследствие на държавната намеса, предоставена при различни от обичайните пазарни условия, тогава е налице </w:t>
      </w:r>
      <w:r w:rsidRPr="001B0EA3">
        <w:rPr>
          <w:b/>
          <w:lang w:eastAsia="en-US"/>
        </w:rPr>
        <w:t>предимство</w:t>
      </w:r>
      <w:r w:rsidRPr="001B0EA3">
        <w:rPr>
          <w:lang w:eastAsia="en-US"/>
        </w:rPr>
        <w:t>.</w:t>
      </w:r>
      <w:r w:rsidRPr="001B0EA3">
        <w:rPr>
          <w:i/>
          <w:lang w:eastAsia="en-US"/>
        </w:rPr>
        <w:t xml:space="preserve"> (т.67 и 68  от Известието)</w:t>
      </w:r>
      <w:r w:rsidR="004068F2" w:rsidRPr="001B0EA3">
        <w:rPr>
          <w:i/>
          <w:lang w:eastAsia="en-US"/>
        </w:rPr>
        <w:t>.</w:t>
      </w:r>
    </w:p>
    <w:p w14:paraId="2479C7D6" w14:textId="77777777" w:rsidR="009B028D" w:rsidRPr="001B0EA3" w:rsidRDefault="009B028D" w:rsidP="001E404B">
      <w:pPr>
        <w:rPr>
          <w:lang w:eastAsia="en-US"/>
        </w:rPr>
      </w:pPr>
      <w:r w:rsidRPr="001B0EA3">
        <w:rPr>
          <w:lang w:eastAsia="en-US"/>
        </w:rPr>
        <w:t>По –детайлни разяснения относно критерия „</w:t>
      </w:r>
      <w:r w:rsidRPr="001B0EA3">
        <w:rPr>
          <w:b/>
          <w:lang w:eastAsia="en-US"/>
        </w:rPr>
        <w:t>наличие на предимство“</w:t>
      </w:r>
      <w:r w:rsidRPr="001B0EA3">
        <w:rPr>
          <w:lang w:eastAsia="en-US"/>
        </w:rPr>
        <w:t xml:space="preserve"> са дадени в раздел 4. „Предимство“</w:t>
      </w:r>
      <w:r w:rsidR="004068F2" w:rsidRPr="001B0EA3">
        <w:rPr>
          <w:lang w:eastAsia="en-US"/>
        </w:rPr>
        <w:t xml:space="preserve"> </w:t>
      </w:r>
      <w:r w:rsidRPr="001B0EA3">
        <w:rPr>
          <w:lang w:eastAsia="en-US"/>
        </w:rPr>
        <w:t xml:space="preserve">на Известието </w:t>
      </w:r>
      <w:r w:rsidRPr="001B0EA3">
        <w:rPr>
          <w:i/>
          <w:lang w:eastAsia="en-US"/>
        </w:rPr>
        <w:t>(от . 66 до 116).</w:t>
      </w:r>
    </w:p>
    <w:p w14:paraId="6EF41CE1" w14:textId="77777777" w:rsidR="009B028D" w:rsidRPr="001B0EA3" w:rsidRDefault="009B028D" w:rsidP="001E404B">
      <w:pPr>
        <w:rPr>
          <w:lang w:eastAsia="en-US"/>
        </w:rPr>
      </w:pPr>
    </w:p>
    <w:p w14:paraId="2604D029" w14:textId="77777777" w:rsidR="009B028D" w:rsidRPr="001B0EA3" w:rsidRDefault="009B028D" w:rsidP="001E404B">
      <w:pPr>
        <w:rPr>
          <w:lang w:eastAsia="en-US"/>
        </w:rPr>
      </w:pPr>
    </w:p>
    <w:p w14:paraId="21B28871" w14:textId="77777777" w:rsidR="009B028D" w:rsidRPr="008E6361" w:rsidRDefault="009B028D" w:rsidP="001E404B">
      <w:pPr>
        <w:shd w:val="clear" w:color="auto" w:fill="1F4E79" w:themeFill="accent1" w:themeFillShade="80"/>
        <w:rPr>
          <w:b/>
          <w:color w:val="FFFFFF" w:themeColor="background1"/>
          <w:lang w:eastAsia="en-US"/>
        </w:rPr>
      </w:pPr>
      <w:r w:rsidRPr="008E6361">
        <w:rPr>
          <w:b/>
          <w:color w:val="FFFFFF" w:themeColor="background1"/>
          <w:lang w:eastAsia="en-US"/>
        </w:rPr>
        <w:t xml:space="preserve">Изключения от режима на ДП: </w:t>
      </w:r>
    </w:p>
    <w:p w14:paraId="59291ED5" w14:textId="77777777" w:rsidR="00B459DB" w:rsidRPr="001E404B" w:rsidRDefault="00B459DB" w:rsidP="001E404B">
      <w:pPr>
        <w:shd w:val="clear" w:color="auto" w:fill="1F4E79" w:themeFill="accent1" w:themeFillShade="80"/>
        <w:rPr>
          <w:color w:val="FFFFFF" w:themeColor="background1"/>
          <w:lang w:eastAsia="en-US"/>
        </w:rPr>
      </w:pPr>
    </w:p>
    <w:p w14:paraId="1990ABAC" w14:textId="77777777" w:rsidR="009B028D" w:rsidRPr="001E404B" w:rsidRDefault="009B028D" w:rsidP="001E404B">
      <w:pPr>
        <w:pStyle w:val="ListParagraph"/>
        <w:numPr>
          <w:ilvl w:val="0"/>
          <w:numId w:val="427"/>
        </w:numPr>
        <w:shd w:val="clear" w:color="auto" w:fill="1F4E79" w:themeFill="accent1" w:themeFillShade="80"/>
        <w:ind w:left="0" w:firstLine="851"/>
        <w:rPr>
          <w:color w:val="FFFFFF" w:themeColor="background1"/>
          <w:lang w:eastAsia="en-US"/>
        </w:rPr>
      </w:pPr>
      <w:r w:rsidRPr="001E404B">
        <w:rPr>
          <w:color w:val="FFFFFF" w:themeColor="background1"/>
          <w:lang w:eastAsia="en-US"/>
        </w:rPr>
        <w:t xml:space="preserve">мярка, при която бенефициента на помощта получава  компенсации  за разходи, </w:t>
      </w:r>
      <w:r w:rsidR="00E813B6" w:rsidRPr="001E404B">
        <w:rPr>
          <w:color w:val="FFFFFF" w:themeColor="background1"/>
          <w:lang w:eastAsia="en-US"/>
        </w:rPr>
        <w:t>направени</w:t>
      </w:r>
      <w:r w:rsidRPr="001E404B">
        <w:rPr>
          <w:color w:val="FFFFFF" w:themeColor="background1"/>
          <w:lang w:eastAsia="en-US"/>
        </w:rPr>
        <w:t xml:space="preserve"> при предоставяне на услуга от общ икономически интерес (УОИИ), когато са спазени така наречените условия Altmark, определени в т. 70 от Известието. </w:t>
      </w:r>
    </w:p>
    <w:p w14:paraId="5E16943D" w14:textId="77777777" w:rsidR="009B028D" w:rsidRPr="001E404B" w:rsidRDefault="009B028D" w:rsidP="001E404B">
      <w:pPr>
        <w:pStyle w:val="ListParagraph"/>
        <w:numPr>
          <w:ilvl w:val="0"/>
          <w:numId w:val="427"/>
        </w:numPr>
        <w:shd w:val="clear" w:color="auto" w:fill="1F4E79" w:themeFill="accent1" w:themeFillShade="80"/>
        <w:ind w:left="0" w:firstLine="851"/>
        <w:rPr>
          <w:color w:val="FFFFFF" w:themeColor="background1"/>
          <w:lang w:eastAsia="en-US"/>
        </w:rPr>
      </w:pPr>
      <w:r w:rsidRPr="001E404B">
        <w:rPr>
          <w:color w:val="FFFFFF" w:themeColor="background1"/>
          <w:lang w:eastAsia="en-US"/>
        </w:rPr>
        <w:t xml:space="preserve">мярката се отнася за </w:t>
      </w:r>
      <w:r w:rsidR="00E813B6" w:rsidRPr="001E404B">
        <w:rPr>
          <w:color w:val="FFFFFF" w:themeColor="background1"/>
          <w:lang w:eastAsia="en-US"/>
        </w:rPr>
        <w:t>възстановяване</w:t>
      </w:r>
      <w:r w:rsidRPr="001E404B">
        <w:rPr>
          <w:color w:val="FFFFFF" w:themeColor="background1"/>
          <w:lang w:eastAsia="en-US"/>
        </w:rPr>
        <w:t xml:space="preserve"> на неправомерно наложени данъци, при задължение на националните органи да компенсират щетите, които са причинили на определени предприятия или при плащането на компенсации за </w:t>
      </w:r>
      <w:r w:rsidR="00E813B6" w:rsidRPr="001E404B">
        <w:rPr>
          <w:color w:val="FFFFFF" w:themeColor="background1"/>
          <w:lang w:eastAsia="en-US"/>
        </w:rPr>
        <w:t>отчуждения</w:t>
      </w:r>
      <w:r w:rsidRPr="001E404B">
        <w:rPr>
          <w:color w:val="FFFFFF" w:themeColor="background1"/>
          <w:lang w:eastAsia="en-US"/>
        </w:rPr>
        <w:t>, при спазване условията, определени в т. 71 от Известието.</w:t>
      </w:r>
    </w:p>
    <w:p w14:paraId="2341CF30" w14:textId="77777777" w:rsidR="009B028D" w:rsidRPr="001E404B" w:rsidRDefault="009B028D" w:rsidP="001E404B">
      <w:pPr>
        <w:pStyle w:val="ListParagraph"/>
        <w:numPr>
          <w:ilvl w:val="0"/>
          <w:numId w:val="427"/>
        </w:numPr>
        <w:shd w:val="clear" w:color="auto" w:fill="1F4E79" w:themeFill="accent1" w:themeFillShade="80"/>
        <w:ind w:left="0" w:firstLine="851"/>
        <w:rPr>
          <w:color w:val="FFFFFF" w:themeColor="background1"/>
          <w:lang w:eastAsia="en-US"/>
        </w:rPr>
      </w:pPr>
      <w:r w:rsidRPr="001E404B">
        <w:rPr>
          <w:color w:val="FFFFFF" w:themeColor="background1"/>
          <w:lang w:eastAsia="en-US"/>
        </w:rPr>
        <w:t>при прилагането на марката е спазен „принципа на инвеститора в пазарни условия“,</w:t>
      </w:r>
      <w:r w:rsidR="001E404B" w:rsidRPr="00842ECC">
        <w:rPr>
          <w:color w:val="FFFFFF" w:themeColor="background1"/>
          <w:lang w:eastAsia="en-US"/>
        </w:rPr>
        <w:t xml:space="preserve"> </w:t>
      </w:r>
      <w:r w:rsidRPr="001E404B">
        <w:rPr>
          <w:color w:val="FFFFFF" w:themeColor="background1"/>
          <w:lang w:eastAsia="en-US"/>
        </w:rPr>
        <w:t xml:space="preserve">при спазване условията, определени в подраздел 4.2 „Критерий на оператора  в условията на пазарни икономика“ на  Известието </w:t>
      </w:r>
      <w:r w:rsidRPr="001E404B">
        <w:rPr>
          <w:i/>
          <w:color w:val="FFFFFF" w:themeColor="background1"/>
          <w:lang w:eastAsia="en-US"/>
        </w:rPr>
        <w:t>(от т. 73 до т. 114)</w:t>
      </w:r>
      <w:r w:rsidRPr="001E404B">
        <w:rPr>
          <w:color w:val="FFFFFF" w:themeColor="background1"/>
          <w:lang w:eastAsia="en-US"/>
        </w:rPr>
        <w:t>.</w:t>
      </w:r>
    </w:p>
    <w:p w14:paraId="2EB634E9" w14:textId="77777777" w:rsidR="009B028D" w:rsidRPr="001E404B" w:rsidRDefault="009B028D" w:rsidP="001E404B">
      <w:pPr>
        <w:pStyle w:val="ListParagraph"/>
        <w:numPr>
          <w:ilvl w:val="0"/>
          <w:numId w:val="427"/>
        </w:numPr>
        <w:shd w:val="clear" w:color="auto" w:fill="1F4E79" w:themeFill="accent1" w:themeFillShade="80"/>
        <w:ind w:left="0" w:firstLine="851"/>
        <w:rPr>
          <w:color w:val="FFFFFF" w:themeColor="background1"/>
          <w:lang w:eastAsia="en-US"/>
        </w:rPr>
      </w:pPr>
      <w:r w:rsidRPr="001E404B">
        <w:rPr>
          <w:color w:val="FFFFFF" w:themeColor="background1"/>
          <w:lang w:eastAsia="en-US"/>
        </w:rPr>
        <w:t xml:space="preserve">мярката се отнася за дейности/активи (включително инфраструктура), която не е предназначена за </w:t>
      </w:r>
      <w:r w:rsidR="00E813B6" w:rsidRPr="001E404B">
        <w:rPr>
          <w:color w:val="FFFFFF" w:themeColor="background1"/>
          <w:lang w:eastAsia="en-US"/>
        </w:rPr>
        <w:t>търговска</w:t>
      </w:r>
      <w:r w:rsidRPr="001E404B">
        <w:rPr>
          <w:color w:val="FFFFFF" w:themeColor="background1"/>
          <w:lang w:eastAsia="en-US"/>
        </w:rPr>
        <w:t xml:space="preserve"> </w:t>
      </w:r>
      <w:r w:rsidR="00E813B6" w:rsidRPr="001E404B">
        <w:rPr>
          <w:color w:val="FFFFFF" w:themeColor="background1"/>
          <w:lang w:eastAsia="en-US"/>
        </w:rPr>
        <w:t>експлоатация</w:t>
      </w:r>
      <w:r w:rsidRPr="001E404B">
        <w:rPr>
          <w:color w:val="FFFFFF" w:themeColor="background1"/>
          <w:lang w:eastAsia="en-US"/>
        </w:rPr>
        <w:t xml:space="preserve">, при спазване на условията, определени в </w:t>
      </w:r>
      <w:r w:rsidR="00E813B6" w:rsidRPr="001E404B">
        <w:rPr>
          <w:color w:val="FFFFFF" w:themeColor="background1"/>
          <w:lang w:eastAsia="en-US"/>
        </w:rPr>
        <w:t>подраздел</w:t>
      </w:r>
      <w:r w:rsidRPr="001E404B">
        <w:rPr>
          <w:color w:val="FFFFFF" w:themeColor="background1"/>
          <w:lang w:eastAsia="en-US"/>
        </w:rPr>
        <w:t xml:space="preserve"> 7.2    от Известието, т. 199 до 228.</w:t>
      </w:r>
    </w:p>
    <w:p w14:paraId="1F18ABA2" w14:textId="77777777" w:rsidR="009B028D" w:rsidRPr="001E404B" w:rsidRDefault="009B028D" w:rsidP="001E404B">
      <w:pPr>
        <w:shd w:val="clear" w:color="auto" w:fill="1F4E79" w:themeFill="accent1" w:themeFillShade="80"/>
        <w:rPr>
          <w:color w:val="FFFFFF" w:themeColor="background1"/>
          <w:lang w:eastAsia="en-US"/>
        </w:rPr>
      </w:pPr>
    </w:p>
    <w:p w14:paraId="107D294A" w14:textId="77777777" w:rsidR="00D603F5" w:rsidRDefault="009B028D" w:rsidP="001E404B">
      <w:pPr>
        <w:shd w:val="clear" w:color="auto" w:fill="1F4E79" w:themeFill="accent1" w:themeFillShade="80"/>
        <w:rPr>
          <w:b/>
          <w:color w:val="FFFFFF" w:themeColor="background1"/>
          <w:lang w:eastAsia="en-US"/>
        </w:rPr>
      </w:pPr>
      <w:r w:rsidRPr="008E6361">
        <w:rPr>
          <w:b/>
          <w:color w:val="FFFFFF" w:themeColor="background1"/>
          <w:lang w:eastAsia="en-US"/>
        </w:rPr>
        <w:t xml:space="preserve">В случай, че във ФК изчерпателно е мотивирано и обосновано, че мярката </w:t>
      </w:r>
      <w:r w:rsidR="00E813B6" w:rsidRPr="008E6361">
        <w:rPr>
          <w:b/>
          <w:color w:val="FFFFFF" w:themeColor="background1"/>
          <w:lang w:eastAsia="en-US"/>
        </w:rPr>
        <w:t>отговаря</w:t>
      </w:r>
      <w:r w:rsidRPr="008E6361">
        <w:rPr>
          <w:b/>
          <w:color w:val="FFFFFF" w:themeColor="background1"/>
          <w:lang w:eastAsia="en-US"/>
        </w:rPr>
        <w:t xml:space="preserve"> на някое от тези изключения не е необходимо да се предоставя информ</w:t>
      </w:r>
      <w:r w:rsidR="00DF3454" w:rsidRPr="008E6361">
        <w:rPr>
          <w:b/>
          <w:color w:val="FFFFFF" w:themeColor="background1"/>
          <w:lang w:eastAsia="en-US"/>
        </w:rPr>
        <w:t>а</w:t>
      </w:r>
      <w:r w:rsidRPr="008E6361">
        <w:rPr>
          <w:b/>
          <w:color w:val="FFFFFF" w:themeColor="background1"/>
          <w:lang w:eastAsia="en-US"/>
        </w:rPr>
        <w:t>ция по другите критерии</w:t>
      </w:r>
      <w:r w:rsidR="00D603F5" w:rsidRPr="008E6361">
        <w:rPr>
          <w:b/>
          <w:color w:val="FFFFFF" w:themeColor="background1"/>
          <w:lang w:eastAsia="en-US"/>
        </w:rPr>
        <w:t>.</w:t>
      </w:r>
    </w:p>
    <w:p w14:paraId="2CA5C1A4" w14:textId="77777777" w:rsidR="008E6361" w:rsidRPr="008E6361" w:rsidRDefault="008E6361" w:rsidP="001E404B">
      <w:pPr>
        <w:shd w:val="clear" w:color="auto" w:fill="1F4E79" w:themeFill="accent1" w:themeFillShade="80"/>
        <w:rPr>
          <w:b/>
          <w:color w:val="FFFFFF" w:themeColor="background1"/>
          <w:lang w:eastAsia="en-US"/>
        </w:rPr>
      </w:pPr>
    </w:p>
    <w:p w14:paraId="6E028E89" w14:textId="77777777" w:rsidR="00D603F5" w:rsidRPr="001B0EA3" w:rsidRDefault="00D603F5" w:rsidP="001E404B">
      <w:pPr>
        <w:rPr>
          <w:lang w:eastAsia="en-US"/>
        </w:rPr>
      </w:pPr>
    </w:p>
    <w:p w14:paraId="7323156D" w14:textId="77777777" w:rsidR="00D603F5" w:rsidRPr="001B0EA3" w:rsidRDefault="00D603F5" w:rsidP="001E404B">
      <w:pPr>
        <w:rPr>
          <w:lang w:eastAsia="en-US"/>
        </w:rPr>
        <w:sectPr w:rsidR="00D603F5" w:rsidRPr="001B0EA3" w:rsidSect="002305A7">
          <w:pgSz w:w="11906" w:h="16838" w:code="9"/>
          <w:pgMar w:top="1134" w:right="851" w:bottom="1134" w:left="1418" w:header="505" w:footer="238" w:gutter="0"/>
          <w:cols w:space="708"/>
          <w:docGrid w:linePitch="272"/>
        </w:sectPr>
      </w:pPr>
    </w:p>
    <w:p w14:paraId="23F9F9F3" w14:textId="77777777" w:rsidR="00D603F5" w:rsidRPr="001E404B" w:rsidRDefault="00D603F5" w:rsidP="003B124D">
      <w:pPr>
        <w:ind w:firstLine="0"/>
        <w:jc w:val="center"/>
        <w:rPr>
          <w:b/>
          <w:szCs w:val="22"/>
          <w:lang w:eastAsia="en-US"/>
        </w:rPr>
      </w:pPr>
      <w:r w:rsidRPr="001E404B">
        <w:rPr>
          <w:b/>
          <w:szCs w:val="22"/>
          <w:lang w:eastAsia="en-US"/>
        </w:rPr>
        <w:lastRenderedPageBreak/>
        <w:t>Фиг. 2.6. Определяне наличието на предимство</w:t>
      </w:r>
    </w:p>
    <w:p w14:paraId="47F6A2CA" w14:textId="77777777" w:rsidR="00D603F5" w:rsidRPr="001B0EA3" w:rsidRDefault="00937754" w:rsidP="003B124D">
      <w:pPr>
        <w:ind w:firstLine="0"/>
        <w:jc w:val="center"/>
        <w:rPr>
          <w:b/>
          <w:szCs w:val="22"/>
          <w:lang w:eastAsia="en-US"/>
        </w:rPr>
      </w:pPr>
      <w:r w:rsidRPr="001B0EA3">
        <w:rPr>
          <w:noProof/>
          <w:lang w:eastAsia="bg-BG"/>
        </w:rPr>
        <mc:AlternateContent>
          <mc:Choice Requires="wpg">
            <w:drawing>
              <wp:inline distT="0" distB="0" distL="0" distR="0" wp14:anchorId="0A48D280" wp14:editId="26C04202">
                <wp:extent cx="8048625" cy="5468620"/>
                <wp:effectExtent l="0" t="38100" r="28575" b="93980"/>
                <wp:docPr id="2079" name="Group 2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48625" cy="5468620"/>
                          <a:chOff x="2072" y="2696"/>
                          <a:chExt cx="12675" cy="8612"/>
                        </a:xfrm>
                      </wpg:grpSpPr>
                      <wps:wsp>
                        <wps:cNvPr id="2080" name="AutoShape 266"/>
                        <wps:cNvSpPr>
                          <a:spLocks noChangeArrowheads="1"/>
                        </wps:cNvSpPr>
                        <wps:spPr bwMode="auto">
                          <a:xfrm>
                            <a:off x="11150" y="2696"/>
                            <a:ext cx="3173" cy="494"/>
                          </a:xfrm>
                          <a:prstGeom prst="roundRect">
                            <a:avLst>
                              <a:gd name="adj" fmla="val 16667"/>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604EBE96" w14:textId="77777777" w:rsidR="004E3164" w:rsidRPr="00EB1523" w:rsidRDefault="004E3164" w:rsidP="001E404B">
                              <w:pPr>
                                <w:ind w:firstLine="0"/>
                                <w:jc w:val="center"/>
                                <w:rPr>
                                  <w:sz w:val="16"/>
                                  <w:szCs w:val="16"/>
                                </w:rPr>
                              </w:pPr>
                              <w:r>
                                <w:rPr>
                                  <w:sz w:val="16"/>
                                  <w:szCs w:val="16"/>
                                </w:rPr>
                                <w:t xml:space="preserve">Ситуацията </w:t>
                              </w:r>
                              <w:r w:rsidRPr="0043736B">
                                <w:rPr>
                                  <w:b/>
                                  <w:sz w:val="16"/>
                                  <w:szCs w:val="16"/>
                                  <w:u w:val="single"/>
                                </w:rPr>
                                <w:t>преди</w:t>
                              </w:r>
                              <w:r w:rsidRPr="0043736B">
                                <w:rPr>
                                  <w:sz w:val="16"/>
                                  <w:szCs w:val="16"/>
                                  <w:u w:val="single"/>
                                </w:rPr>
                                <w:t xml:space="preserve"> </w:t>
                              </w:r>
                              <w:r>
                                <w:rPr>
                                  <w:sz w:val="16"/>
                                  <w:szCs w:val="16"/>
                                </w:rPr>
                                <w:t xml:space="preserve">помощта или мярката </w:t>
                              </w:r>
                            </w:p>
                            <w:p w14:paraId="47F26ABE" w14:textId="77777777" w:rsidR="004E3164" w:rsidRPr="00EB1523" w:rsidRDefault="004E3164" w:rsidP="001E404B">
                              <w:pPr>
                                <w:ind w:firstLine="0"/>
                                <w:jc w:val="center"/>
                                <w:rPr>
                                  <w:sz w:val="16"/>
                                  <w:szCs w:val="16"/>
                                </w:rPr>
                              </w:pPr>
                            </w:p>
                          </w:txbxContent>
                        </wps:txbx>
                        <wps:bodyPr rot="0" vert="horz" wrap="square" lIns="91440" tIns="45720" rIns="91440" bIns="45720" anchor="t" anchorCtr="0" upright="1">
                          <a:noAutofit/>
                        </wps:bodyPr>
                      </wps:wsp>
                      <wpg:grpSp>
                        <wpg:cNvPr id="2081" name="Group 267"/>
                        <wpg:cNvGrpSpPr>
                          <a:grpSpLocks/>
                        </wpg:cNvGrpSpPr>
                        <wpg:grpSpPr bwMode="auto">
                          <a:xfrm>
                            <a:off x="2072" y="3190"/>
                            <a:ext cx="12675" cy="8118"/>
                            <a:chOff x="2072" y="3190"/>
                            <a:chExt cx="12675" cy="8118"/>
                          </a:xfrm>
                        </wpg:grpSpPr>
                        <wpg:grpSp>
                          <wpg:cNvPr id="2082" name="Group 268"/>
                          <wpg:cNvGrpSpPr>
                            <a:grpSpLocks/>
                          </wpg:cNvGrpSpPr>
                          <wpg:grpSpPr bwMode="auto">
                            <a:xfrm>
                              <a:off x="2072" y="3190"/>
                              <a:ext cx="11138" cy="4769"/>
                              <a:chOff x="2072" y="3190"/>
                              <a:chExt cx="11138" cy="4769"/>
                            </a:xfrm>
                          </wpg:grpSpPr>
                          <wps:wsp>
                            <wps:cNvPr id="2083" name="AutoShape 269"/>
                            <wps:cNvSpPr>
                              <a:spLocks noChangeArrowheads="1"/>
                            </wps:cNvSpPr>
                            <wps:spPr bwMode="auto">
                              <a:xfrm>
                                <a:off x="3525" y="6806"/>
                                <a:ext cx="538" cy="465"/>
                              </a:xfrm>
                              <a:prstGeom prst="flowChartDecision">
                                <a:avLst/>
                              </a:prstGeom>
                              <a:gradFill rotWithShape="0">
                                <a:gsLst>
                                  <a:gs pos="0">
                                    <a:srgbClr val="FFFFFF"/>
                                  </a:gs>
                                  <a:gs pos="100000">
                                    <a:srgbClr val="FBD4B4"/>
                                  </a:gs>
                                </a:gsLst>
                                <a:lin ang="5400000" scaled="1"/>
                              </a:gradFill>
                              <a:ln>
                                <a:noFill/>
                              </a:ln>
                              <a:effectLst>
                                <a:outerShdw dist="28398" dir="3806097" algn="ctr" rotWithShape="0">
                                  <a:srgbClr val="974706">
                                    <a:alpha val="50000"/>
                                  </a:srgbClr>
                                </a:outerShdw>
                              </a:effectLst>
                              <a:extLst>
                                <a:ext uri="{91240B29-F687-4F45-9708-019B960494DF}">
                                  <a14:hiddenLine xmlns:a14="http://schemas.microsoft.com/office/drawing/2010/main" w="12700">
                                    <a:solidFill>
                                      <a:srgbClr val="FABF8F"/>
                                    </a:solidFill>
                                    <a:miter lim="800000"/>
                                    <a:headEnd/>
                                    <a:tailEnd/>
                                  </a14:hiddenLine>
                                </a:ext>
                              </a:extLst>
                            </wps:spPr>
                            <wps:txbx>
                              <w:txbxContent>
                                <w:p w14:paraId="2475D0AB" w14:textId="77777777" w:rsidR="004E3164" w:rsidRPr="007A312F" w:rsidRDefault="004E3164" w:rsidP="001E404B">
                                  <w:pPr>
                                    <w:ind w:firstLine="0"/>
                                    <w:jc w:val="center"/>
                                    <w:rPr>
                                      <w:sz w:val="16"/>
                                      <w:szCs w:val="16"/>
                                    </w:rPr>
                                  </w:pPr>
                                </w:p>
                              </w:txbxContent>
                            </wps:txbx>
                            <wps:bodyPr rot="0" vert="horz" wrap="square" lIns="91440" tIns="45720" rIns="91440" bIns="45720" anchor="t" anchorCtr="0" upright="1">
                              <a:noAutofit/>
                            </wps:bodyPr>
                          </wps:wsp>
                          <wps:wsp>
                            <wps:cNvPr id="2084" name="AutoShape 270"/>
                            <wps:cNvCnPr>
                              <a:cxnSpLocks noChangeShapeType="1"/>
                            </wps:cNvCnPr>
                            <wps:spPr bwMode="auto">
                              <a:xfrm>
                                <a:off x="3767" y="6131"/>
                                <a:ext cx="15" cy="70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5" name="AutoShape 271"/>
                            <wps:cNvCnPr>
                              <a:cxnSpLocks noChangeShapeType="1"/>
                            </wps:cNvCnPr>
                            <wps:spPr bwMode="auto">
                              <a:xfrm flipH="1">
                                <a:off x="8887" y="5614"/>
                                <a:ext cx="262"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86" name="AutoShape 272"/>
                            <wps:cNvCnPr>
                              <a:cxnSpLocks noChangeShapeType="1"/>
                            </wps:cNvCnPr>
                            <wps:spPr bwMode="auto">
                              <a:xfrm>
                                <a:off x="11175" y="6052"/>
                                <a:ext cx="15" cy="1907"/>
                              </a:xfrm>
                              <a:prstGeom prst="straightConnector1">
                                <a:avLst/>
                              </a:prstGeom>
                              <a:noFill/>
                              <a:ln w="9525">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7" name="AutoShape 273"/>
                            <wps:cNvCnPr>
                              <a:cxnSpLocks noChangeShapeType="1"/>
                            </wps:cNvCnPr>
                            <wps:spPr bwMode="auto">
                              <a:xfrm>
                                <a:off x="3720" y="4324"/>
                                <a:ext cx="0" cy="838"/>
                              </a:xfrm>
                              <a:prstGeom prst="straightConnector1">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8" name="Text Box 274"/>
                            <wps:cNvSpPr txBox="1">
                              <a:spLocks noChangeArrowheads="1"/>
                            </wps:cNvSpPr>
                            <wps:spPr bwMode="auto">
                              <a:xfrm>
                                <a:off x="10858" y="6580"/>
                                <a:ext cx="573" cy="360"/>
                              </a:xfrm>
                              <a:prstGeom prst="rect">
                                <a:avLst/>
                              </a:prstGeom>
                              <a:gradFill rotWithShape="0">
                                <a:gsLst>
                                  <a:gs pos="0">
                                    <a:srgbClr val="FFFFFF"/>
                                  </a:gs>
                                  <a:gs pos="100000">
                                    <a:srgbClr val="999999"/>
                                  </a:gs>
                                </a:gsLst>
                                <a:lin ang="5400000" scaled="1"/>
                              </a:gradFill>
                              <a:ln w="12700" algn="ctr">
                                <a:solidFill>
                                  <a:srgbClr val="00B0F0"/>
                                </a:solidFill>
                                <a:miter lim="800000"/>
                                <a:headEnd/>
                                <a:tailEnd/>
                              </a:ln>
                              <a:effectLst>
                                <a:outerShdw dist="28398" dir="3806097" algn="ctr" rotWithShape="0">
                                  <a:srgbClr val="7F7F7F">
                                    <a:alpha val="50000"/>
                                  </a:srgbClr>
                                </a:outerShdw>
                              </a:effectLst>
                            </wps:spPr>
                            <wps:txbx>
                              <w:txbxContent>
                                <w:p w14:paraId="78407EE6" w14:textId="77777777" w:rsidR="004E3164" w:rsidRPr="0043736B" w:rsidRDefault="004E3164" w:rsidP="001E404B">
                                  <w:pPr>
                                    <w:ind w:firstLine="0"/>
                                    <w:jc w:val="center"/>
                                    <w:rPr>
                                      <w:color w:val="0070C0"/>
                                      <w:sz w:val="16"/>
                                      <w:szCs w:val="16"/>
                                    </w:rPr>
                                  </w:pPr>
                                  <w:r w:rsidRPr="0043736B">
                                    <w:rPr>
                                      <w:color w:val="0070C0"/>
                                      <w:sz w:val="16"/>
                                      <w:szCs w:val="16"/>
                                    </w:rPr>
                                    <w:t>да</w:t>
                                  </w:r>
                                </w:p>
                              </w:txbxContent>
                            </wps:txbx>
                            <wps:bodyPr rot="0" vert="horz" wrap="square" lIns="91440" tIns="45720" rIns="91440" bIns="45720" anchor="t" anchorCtr="0" upright="1">
                              <a:noAutofit/>
                            </wps:bodyPr>
                          </wps:wsp>
                          <wps:wsp>
                            <wps:cNvPr id="2089" name="AutoShape 275"/>
                            <wps:cNvCnPr>
                              <a:cxnSpLocks noChangeShapeType="1"/>
                            </wps:cNvCnPr>
                            <wps:spPr bwMode="auto">
                              <a:xfrm>
                                <a:off x="11190" y="4341"/>
                                <a:ext cx="0" cy="729"/>
                              </a:xfrm>
                              <a:prstGeom prst="straightConnector1">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0" name="AutoShape 276"/>
                            <wps:cNvSpPr>
                              <a:spLocks noChangeArrowheads="1"/>
                            </wps:cNvSpPr>
                            <wps:spPr bwMode="auto">
                              <a:xfrm>
                                <a:off x="6424" y="4951"/>
                                <a:ext cx="2455" cy="1213"/>
                              </a:xfrm>
                              <a:prstGeom prst="roundRect">
                                <a:avLst>
                                  <a:gd name="adj" fmla="val 16667"/>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round/>
                                    <a:headEnd/>
                                    <a:tailEnd/>
                                  </a14:hiddenLine>
                                </a:ext>
                              </a:extLst>
                            </wps:spPr>
                            <wps:txbx>
                              <w:txbxContent>
                                <w:p w14:paraId="10CC4C73" w14:textId="77777777" w:rsidR="004E3164" w:rsidRPr="00EB1523" w:rsidRDefault="004E3164" w:rsidP="001E404B">
                                  <w:pPr>
                                    <w:ind w:firstLine="0"/>
                                    <w:jc w:val="center"/>
                                    <w:rPr>
                                      <w:sz w:val="16"/>
                                      <w:szCs w:val="16"/>
                                    </w:rPr>
                                  </w:pPr>
                                  <w:r w:rsidRPr="00EB1523">
                                    <w:rPr>
                                      <w:sz w:val="16"/>
                                      <w:szCs w:val="16"/>
                                    </w:rPr>
                                    <w:t xml:space="preserve">Не се считат за намаление на разходите компенсации за </w:t>
                                  </w:r>
                                  <w:r w:rsidRPr="00EB1523">
                                    <w:rPr>
                                      <w:b/>
                                      <w:sz w:val="16"/>
                                      <w:szCs w:val="16"/>
                                    </w:rPr>
                                    <w:t>щети</w:t>
                                  </w:r>
                                  <w:r w:rsidRPr="00EB1523">
                                    <w:rPr>
                                      <w:sz w:val="16"/>
                                      <w:szCs w:val="16"/>
                                    </w:rPr>
                                    <w:t xml:space="preserve">, </w:t>
                                  </w:r>
                                  <w:r w:rsidRPr="00EB1523">
                                    <w:rPr>
                                      <w:b/>
                                      <w:sz w:val="16"/>
                                      <w:szCs w:val="16"/>
                                    </w:rPr>
                                    <w:t>причинени от държават</w:t>
                                  </w:r>
                                  <w:r>
                                    <w:rPr>
                                      <w:b/>
                                      <w:sz w:val="16"/>
                                      <w:szCs w:val="16"/>
                                    </w:rPr>
                                    <w:t xml:space="preserve">а, </w:t>
                                  </w:r>
                                  <w:r w:rsidRPr="00EB1523">
                                    <w:rPr>
                                      <w:sz w:val="16"/>
                                      <w:szCs w:val="16"/>
                                    </w:rPr>
                                    <w:t xml:space="preserve"> отчуждения и др.  </w:t>
                                  </w:r>
                                </w:p>
                                <w:p w14:paraId="089D9F6A" w14:textId="77777777" w:rsidR="004E3164" w:rsidRPr="00EB1523" w:rsidRDefault="004E3164" w:rsidP="001E404B">
                                  <w:pPr>
                                    <w:ind w:firstLine="0"/>
                                    <w:jc w:val="center"/>
                                    <w:rPr>
                                      <w:sz w:val="16"/>
                                      <w:szCs w:val="16"/>
                                    </w:rPr>
                                  </w:pPr>
                                </w:p>
                              </w:txbxContent>
                            </wps:txbx>
                            <wps:bodyPr rot="0" vert="horz" wrap="square" lIns="91440" tIns="45720" rIns="91440" bIns="45720" anchor="t" anchorCtr="0" upright="1">
                              <a:noAutofit/>
                            </wps:bodyPr>
                          </wps:wsp>
                          <wps:wsp>
                            <wps:cNvPr id="2091" name="Rectangle 277"/>
                            <wps:cNvSpPr>
                              <a:spLocks noChangeArrowheads="1"/>
                            </wps:cNvSpPr>
                            <wps:spPr bwMode="auto">
                              <a:xfrm>
                                <a:off x="9149" y="4951"/>
                                <a:ext cx="4061" cy="1101"/>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14:paraId="73D2247F" w14:textId="77777777" w:rsidR="004E3164" w:rsidRPr="00B80E14" w:rsidRDefault="004E3164" w:rsidP="001E404B">
                                  <w:pPr>
                                    <w:ind w:firstLine="0"/>
                                    <w:jc w:val="center"/>
                                    <w:rPr>
                                      <w:sz w:val="20"/>
                                    </w:rPr>
                                  </w:pPr>
                                  <w:r w:rsidRPr="00B80E14">
                                    <w:rPr>
                                      <w:sz w:val="20"/>
                                    </w:rPr>
                                    <w:t xml:space="preserve">Чрез мярката </w:t>
                                  </w:r>
                                  <w:r w:rsidRPr="00B80E14">
                                    <w:rPr>
                                      <w:b/>
                                      <w:sz w:val="20"/>
                                    </w:rPr>
                                    <w:t>намаляват</w:t>
                                  </w:r>
                                  <w:r w:rsidRPr="00B80E14">
                                    <w:rPr>
                                      <w:sz w:val="20"/>
                                    </w:rPr>
                                    <w:t xml:space="preserve"> ли се пряко или непряко </w:t>
                                  </w:r>
                                  <w:r w:rsidRPr="00B80E14">
                                    <w:rPr>
                                      <w:b/>
                                      <w:sz w:val="20"/>
                                    </w:rPr>
                                    <w:t>присъщите разходите</w:t>
                                  </w:r>
                                  <w:r w:rsidRPr="00B80E14">
                                    <w:rPr>
                                      <w:sz w:val="20"/>
                                    </w:rPr>
                                    <w:t xml:space="preserve">  на оператора?  </w:t>
                                  </w:r>
                                </w:p>
                              </w:txbxContent>
                            </wps:txbx>
                            <wps:bodyPr rot="0" vert="horz" wrap="square" lIns="91440" tIns="45720" rIns="91440" bIns="45720" anchor="t" anchorCtr="0" upright="1">
                              <a:noAutofit/>
                            </wps:bodyPr>
                          </wps:wsp>
                          <wps:wsp>
                            <wps:cNvPr id="2092" name="Rectangle 278"/>
                            <wps:cNvSpPr>
                              <a:spLocks noChangeArrowheads="1"/>
                            </wps:cNvSpPr>
                            <wps:spPr bwMode="auto">
                              <a:xfrm>
                                <a:off x="2132" y="5025"/>
                                <a:ext cx="3514" cy="1125"/>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14:paraId="239C741A" w14:textId="77777777" w:rsidR="004E3164" w:rsidRPr="00B80E14" w:rsidRDefault="004E3164" w:rsidP="001E404B">
                                  <w:pPr>
                                    <w:ind w:firstLine="0"/>
                                    <w:jc w:val="center"/>
                                    <w:rPr>
                                      <w:sz w:val="20"/>
                                    </w:rPr>
                                  </w:pPr>
                                  <w:r w:rsidRPr="00B80E14">
                                    <w:rPr>
                                      <w:sz w:val="20"/>
                                    </w:rPr>
                                    <w:t xml:space="preserve">Инвестицията се изпълнява при </w:t>
                                  </w:r>
                                  <w:r w:rsidRPr="00B80E14">
                                    <w:rPr>
                                      <w:b/>
                                      <w:sz w:val="20"/>
                                    </w:rPr>
                                    <w:t>нормални пазарни условия</w:t>
                                  </w:r>
                                  <w:r w:rsidRPr="00B80E14">
                                    <w:rPr>
                                      <w:sz w:val="20"/>
                                    </w:rPr>
                                    <w:t xml:space="preserve"> (ОУИП)</w:t>
                                  </w:r>
                                </w:p>
                                <w:p w14:paraId="441EC9E2" w14:textId="77777777" w:rsidR="004E3164" w:rsidRPr="00B80E14" w:rsidRDefault="004E3164" w:rsidP="001E404B">
                                  <w:pPr>
                                    <w:ind w:firstLine="0"/>
                                    <w:jc w:val="center"/>
                                    <w:rPr>
                                      <w:sz w:val="20"/>
                                    </w:rPr>
                                  </w:pPr>
                                </w:p>
                              </w:txbxContent>
                            </wps:txbx>
                            <wps:bodyPr rot="0" vert="horz" wrap="square" lIns="91440" tIns="45720" rIns="91440" bIns="45720" anchor="t" anchorCtr="0" upright="1">
                              <a:noAutofit/>
                            </wps:bodyPr>
                          </wps:wsp>
                          <wps:wsp>
                            <wps:cNvPr id="2093" name="Rectangle 279"/>
                            <wps:cNvSpPr>
                              <a:spLocks noChangeArrowheads="1"/>
                            </wps:cNvSpPr>
                            <wps:spPr bwMode="auto">
                              <a:xfrm>
                                <a:off x="2072" y="3190"/>
                                <a:ext cx="3514" cy="1064"/>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14:paraId="191AAD42" w14:textId="77777777" w:rsidR="004E3164" w:rsidRPr="00B80E14" w:rsidRDefault="004E3164" w:rsidP="001E404B">
                                  <w:pPr>
                                    <w:ind w:firstLine="0"/>
                                    <w:jc w:val="center"/>
                                    <w:rPr>
                                      <w:b/>
                                      <w:sz w:val="20"/>
                                    </w:rPr>
                                  </w:pPr>
                                  <w:r w:rsidRPr="00B80E14">
                                    <w:rPr>
                                      <w:sz w:val="20"/>
                                    </w:rPr>
                                    <w:t>Държавата действа като</w:t>
                                  </w:r>
                                  <w:r w:rsidRPr="00B80E14">
                                    <w:rPr>
                                      <w:b/>
                                      <w:sz w:val="20"/>
                                    </w:rPr>
                                    <w:t xml:space="preserve"> частен инвеститор </w:t>
                                  </w:r>
                                </w:p>
                                <w:p w14:paraId="2F757F70" w14:textId="77777777" w:rsidR="004E3164" w:rsidRPr="00B80E14" w:rsidRDefault="004E3164" w:rsidP="001E404B">
                                  <w:pPr>
                                    <w:ind w:firstLine="0"/>
                                    <w:jc w:val="center"/>
                                    <w:rPr>
                                      <w:i/>
                                      <w:sz w:val="20"/>
                                    </w:rPr>
                                  </w:pPr>
                                  <w:r w:rsidRPr="00B80E14">
                                    <w:rPr>
                                      <w:i/>
                                      <w:sz w:val="20"/>
                                    </w:rPr>
                                    <w:t>Всеки публичен орган</w:t>
                                  </w:r>
                                </w:p>
                              </w:txbxContent>
                            </wps:txbx>
                            <wps:bodyPr rot="0" vert="horz" wrap="square" lIns="91440" tIns="45720" rIns="91440" bIns="45720" anchor="t" anchorCtr="0" upright="1">
                              <a:noAutofit/>
                            </wps:bodyPr>
                          </wps:wsp>
                          <wps:wsp>
                            <wps:cNvPr id="2094" name="Rectangle 280"/>
                            <wps:cNvSpPr>
                              <a:spLocks noChangeArrowheads="1"/>
                            </wps:cNvSpPr>
                            <wps:spPr bwMode="auto">
                              <a:xfrm>
                                <a:off x="9256" y="3277"/>
                                <a:ext cx="3691" cy="1064"/>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14:paraId="1E9E3616" w14:textId="77777777" w:rsidR="004E3164" w:rsidRPr="00B80E14" w:rsidRDefault="004E3164" w:rsidP="001E404B">
                                  <w:pPr>
                                    <w:ind w:firstLine="0"/>
                                    <w:jc w:val="center"/>
                                    <w:rPr>
                                      <w:b/>
                                      <w:sz w:val="20"/>
                                    </w:rPr>
                                  </w:pPr>
                                  <w:r w:rsidRPr="00B80E14">
                                    <w:rPr>
                                      <w:sz w:val="20"/>
                                    </w:rPr>
                                    <w:t>Държавата действа</w:t>
                                  </w:r>
                                  <w:r w:rsidRPr="00B80E14">
                                    <w:rPr>
                                      <w:b/>
                                      <w:sz w:val="20"/>
                                    </w:rPr>
                                    <w:t xml:space="preserve"> </w:t>
                                  </w:r>
                                  <w:r w:rsidRPr="00B80E14">
                                    <w:rPr>
                                      <w:sz w:val="20"/>
                                    </w:rPr>
                                    <w:t>като</w:t>
                                  </w:r>
                                  <w:r w:rsidRPr="00B80E14">
                                    <w:rPr>
                                      <w:b/>
                                      <w:sz w:val="20"/>
                                    </w:rPr>
                                    <w:t xml:space="preserve"> публичен орган</w:t>
                                  </w:r>
                                </w:p>
                                <w:p w14:paraId="368DB66C" w14:textId="77777777" w:rsidR="004E3164" w:rsidRPr="00B80E14" w:rsidRDefault="004E3164" w:rsidP="001E404B">
                                  <w:pPr>
                                    <w:ind w:firstLine="0"/>
                                    <w:jc w:val="center"/>
                                    <w:rPr>
                                      <w:i/>
                                      <w:sz w:val="20"/>
                                    </w:rPr>
                                  </w:pPr>
                                </w:p>
                              </w:txbxContent>
                            </wps:txbx>
                            <wps:bodyPr rot="0" vert="horz" wrap="square" lIns="91440" tIns="45720" rIns="91440" bIns="45720" anchor="t" anchorCtr="0" upright="1">
                              <a:noAutofit/>
                            </wps:bodyPr>
                          </wps:wsp>
                        </wpg:grpSp>
                        <wpg:grpSp>
                          <wpg:cNvPr id="2095" name="Group 281"/>
                          <wpg:cNvGrpSpPr>
                            <a:grpSpLocks/>
                          </wpg:cNvGrpSpPr>
                          <wpg:grpSpPr bwMode="auto">
                            <a:xfrm>
                              <a:off x="3490" y="6222"/>
                              <a:ext cx="11257" cy="5086"/>
                              <a:chOff x="3490" y="6222"/>
                              <a:chExt cx="11257" cy="5086"/>
                            </a:xfrm>
                          </wpg:grpSpPr>
                          <wps:wsp>
                            <wps:cNvPr id="2096" name="AutoShape 282"/>
                            <wps:cNvSpPr>
                              <a:spLocks noChangeArrowheads="1"/>
                            </wps:cNvSpPr>
                            <wps:spPr bwMode="auto">
                              <a:xfrm>
                                <a:off x="4170" y="7320"/>
                                <a:ext cx="4547" cy="2506"/>
                              </a:xfrm>
                              <a:prstGeom prst="roundRect">
                                <a:avLst>
                                  <a:gd name="adj" fmla="val 16667"/>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round/>
                                    <a:headEnd/>
                                    <a:tailEnd/>
                                  </a14:hiddenLine>
                                </a:ext>
                              </a:extLst>
                            </wps:spPr>
                            <wps:txbx>
                              <w:txbxContent>
                                <w:p w14:paraId="7E6685AE" w14:textId="77777777" w:rsidR="004E3164" w:rsidRPr="004E6B6F" w:rsidRDefault="004E3164" w:rsidP="001E404B">
                                  <w:pPr>
                                    <w:ind w:firstLine="0"/>
                                    <w:jc w:val="center"/>
                                    <w:rPr>
                                      <w:sz w:val="18"/>
                                      <w:szCs w:val="18"/>
                                    </w:rPr>
                                  </w:pPr>
                                  <w:r w:rsidRPr="004E6B6F">
                                    <w:rPr>
                                      <w:b/>
                                      <w:sz w:val="18"/>
                                      <w:szCs w:val="18"/>
                                    </w:rPr>
                                    <w:t>Условия Алтмарк</w:t>
                                  </w:r>
                                  <w:r w:rsidRPr="004E6B6F">
                                    <w:rPr>
                                      <w:sz w:val="18"/>
                                      <w:szCs w:val="18"/>
                                    </w:rPr>
                                    <w:t>:</w:t>
                                  </w:r>
                                </w:p>
                                <w:p w14:paraId="3E23629E" w14:textId="77777777" w:rsidR="004E3164" w:rsidRPr="004E6B6F" w:rsidRDefault="004E3164" w:rsidP="001E404B">
                                  <w:pPr>
                                    <w:numPr>
                                      <w:ilvl w:val="0"/>
                                      <w:numId w:val="86"/>
                                    </w:numPr>
                                    <w:ind w:left="0" w:firstLine="0"/>
                                    <w:jc w:val="center"/>
                                    <w:rPr>
                                      <w:sz w:val="18"/>
                                      <w:szCs w:val="18"/>
                                    </w:rPr>
                                  </w:pPr>
                                  <w:r w:rsidRPr="004E6B6F">
                                    <w:rPr>
                                      <w:sz w:val="18"/>
                                      <w:szCs w:val="18"/>
                                    </w:rPr>
                                    <w:t xml:space="preserve">УОИИ трябва да са ясно </w:t>
                                  </w:r>
                                  <w:r w:rsidRPr="002074D9">
                                    <w:rPr>
                                      <w:b/>
                                      <w:sz w:val="18"/>
                                      <w:szCs w:val="18"/>
                                    </w:rPr>
                                    <w:t>определени;</w:t>
                                  </w:r>
                                </w:p>
                                <w:p w14:paraId="6E8B0B5B" w14:textId="77777777" w:rsidR="004E3164" w:rsidRPr="004E6B6F" w:rsidRDefault="004E3164" w:rsidP="001E404B">
                                  <w:pPr>
                                    <w:numPr>
                                      <w:ilvl w:val="0"/>
                                      <w:numId w:val="86"/>
                                    </w:numPr>
                                    <w:ind w:left="0" w:firstLine="0"/>
                                    <w:jc w:val="center"/>
                                    <w:rPr>
                                      <w:sz w:val="18"/>
                                      <w:szCs w:val="18"/>
                                    </w:rPr>
                                  </w:pPr>
                                  <w:r w:rsidRPr="004E6B6F">
                                    <w:rPr>
                                      <w:sz w:val="18"/>
                                      <w:szCs w:val="18"/>
                                    </w:rPr>
                                    <w:t xml:space="preserve">Параметрите на компенсацията  трябва да са </w:t>
                                  </w:r>
                                  <w:r w:rsidRPr="002074D9">
                                    <w:rPr>
                                      <w:b/>
                                      <w:sz w:val="18"/>
                                      <w:szCs w:val="18"/>
                                    </w:rPr>
                                    <w:t>предварително  установени</w:t>
                                  </w:r>
                                  <w:r w:rsidRPr="004E6B6F">
                                    <w:rPr>
                                      <w:sz w:val="18"/>
                                      <w:szCs w:val="18"/>
                                    </w:rPr>
                                    <w:t>;</w:t>
                                  </w:r>
                                </w:p>
                                <w:p w14:paraId="673F9898" w14:textId="77777777" w:rsidR="004E3164" w:rsidRDefault="004E3164" w:rsidP="001E404B">
                                  <w:pPr>
                                    <w:numPr>
                                      <w:ilvl w:val="0"/>
                                      <w:numId w:val="86"/>
                                    </w:numPr>
                                    <w:ind w:left="0" w:firstLine="0"/>
                                    <w:jc w:val="center"/>
                                    <w:rPr>
                                      <w:sz w:val="18"/>
                                      <w:szCs w:val="18"/>
                                    </w:rPr>
                                  </w:pPr>
                                  <w:r w:rsidRPr="004E6B6F">
                                    <w:rPr>
                                      <w:sz w:val="18"/>
                                      <w:szCs w:val="18"/>
                                    </w:rPr>
                                    <w:t>Компенсацията  не може да надвишава</w:t>
                                  </w:r>
                                  <w:r>
                                    <w:rPr>
                                      <w:sz w:val="18"/>
                                      <w:szCs w:val="18"/>
                                    </w:rPr>
                                    <w:t xml:space="preserve"> сумата покриване на  </w:t>
                                  </w:r>
                                  <w:r w:rsidRPr="002074D9">
                                    <w:rPr>
                                      <w:b/>
                                      <w:sz w:val="18"/>
                                      <w:szCs w:val="18"/>
                                    </w:rPr>
                                    <w:t>разходите з</w:t>
                                  </w:r>
                                  <w:r>
                                    <w:rPr>
                                      <w:sz w:val="18"/>
                                      <w:szCs w:val="18"/>
                                    </w:rPr>
                                    <w:t>а УОИИ,  като се приспаднат приходите при разумна печалба</w:t>
                                  </w:r>
                                  <w:r w:rsidRPr="004E6B6F">
                                    <w:rPr>
                                      <w:sz w:val="18"/>
                                      <w:szCs w:val="18"/>
                                    </w:rPr>
                                    <w:t>;</w:t>
                                  </w:r>
                                </w:p>
                                <w:p w14:paraId="0DCDE6D9" w14:textId="77777777" w:rsidR="004E3164" w:rsidRPr="00EC4961" w:rsidRDefault="004E3164" w:rsidP="001E404B">
                                  <w:pPr>
                                    <w:ind w:firstLine="0"/>
                                    <w:jc w:val="center"/>
                                    <w:rPr>
                                      <w:sz w:val="18"/>
                                      <w:szCs w:val="18"/>
                                    </w:rPr>
                                  </w:pPr>
                                  <w:r w:rsidRPr="00EC4961">
                                    <w:rPr>
                                      <w:sz w:val="18"/>
                                      <w:szCs w:val="18"/>
                                    </w:rPr>
                                    <w:t xml:space="preserve">Разходите не трябва да са по-високи от </w:t>
                                  </w:r>
                                  <w:r w:rsidRPr="00EC4961">
                                    <w:rPr>
                                      <w:b/>
                                      <w:sz w:val="18"/>
                                      <w:szCs w:val="18"/>
                                    </w:rPr>
                                    <w:t>присъщите за такава дейност</w:t>
                                  </w:r>
                                  <w:r w:rsidRPr="00EC4961">
                                    <w:rPr>
                                      <w:sz w:val="18"/>
                                      <w:szCs w:val="18"/>
                                    </w:rPr>
                                    <w:t>,</w:t>
                                  </w:r>
                                  <w:r>
                                    <w:rPr>
                                      <w:sz w:val="18"/>
                                      <w:szCs w:val="18"/>
                                    </w:rPr>
                                    <w:t xml:space="preserve"> </w:t>
                                  </w:r>
                                  <w:r w:rsidRPr="00EC4961">
                                    <w:rPr>
                                      <w:sz w:val="18"/>
                                      <w:szCs w:val="18"/>
                                    </w:rPr>
                                    <w:t xml:space="preserve">определени по обективен начин (чрез избор по ЗОП или  </w:t>
                                  </w:r>
                                  <w:r w:rsidRPr="008B2D84">
                                    <w:rPr>
                                      <w:sz w:val="18"/>
                                      <w:szCs w:val="18"/>
                                    </w:rPr>
                                    <w:t>сравнителен анализ);</w:t>
                                  </w:r>
                                </w:p>
                              </w:txbxContent>
                            </wps:txbx>
                            <wps:bodyPr rot="0" vert="horz" wrap="square" lIns="91440" tIns="45720" rIns="91440" bIns="45720" anchor="t" anchorCtr="0" upright="1">
                              <a:noAutofit/>
                            </wps:bodyPr>
                          </wps:wsp>
                          <wps:wsp>
                            <wps:cNvPr id="2097" name="AutoShape 283"/>
                            <wps:cNvCnPr>
                              <a:cxnSpLocks noChangeShapeType="1"/>
                            </wps:cNvCnPr>
                            <wps:spPr bwMode="auto">
                              <a:xfrm>
                                <a:off x="8717" y="8409"/>
                                <a:ext cx="539"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98" name="Rectangle 284"/>
                            <wps:cNvSpPr>
                              <a:spLocks noChangeArrowheads="1"/>
                            </wps:cNvSpPr>
                            <wps:spPr bwMode="auto">
                              <a:xfrm>
                                <a:off x="9256" y="7839"/>
                                <a:ext cx="3954" cy="1217"/>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14:paraId="25812889" w14:textId="77777777" w:rsidR="004E3164" w:rsidRPr="00B80E14" w:rsidRDefault="004E3164" w:rsidP="001E404B">
                                  <w:pPr>
                                    <w:ind w:firstLine="0"/>
                                    <w:jc w:val="center"/>
                                    <w:rPr>
                                      <w:sz w:val="20"/>
                                    </w:rPr>
                                  </w:pPr>
                                  <w:r w:rsidRPr="00B80E14">
                                    <w:rPr>
                                      <w:sz w:val="20"/>
                                    </w:rPr>
                                    <w:t xml:space="preserve">Мярката </w:t>
                                  </w:r>
                                  <w:r w:rsidRPr="00B80E14">
                                    <w:rPr>
                                      <w:b/>
                                      <w:sz w:val="20"/>
                                    </w:rPr>
                                    <w:t xml:space="preserve">компенсира </w:t>
                                  </w:r>
                                  <w:r w:rsidRPr="00B80E14">
                                    <w:rPr>
                                      <w:sz w:val="20"/>
                                    </w:rPr>
                                    <w:t>ли разходи от</w:t>
                                  </w:r>
                                  <w:r w:rsidRPr="00B80E14">
                                    <w:rPr>
                                      <w:b/>
                                      <w:sz w:val="20"/>
                                    </w:rPr>
                                    <w:t xml:space="preserve"> </w:t>
                                  </w:r>
                                  <w:r w:rsidRPr="00B80E14">
                                    <w:rPr>
                                      <w:sz w:val="20"/>
                                    </w:rPr>
                                    <w:t>предоставянето на</w:t>
                                  </w:r>
                                  <w:r w:rsidRPr="00B80E14">
                                    <w:rPr>
                                      <w:b/>
                                      <w:sz w:val="20"/>
                                    </w:rPr>
                                    <w:t xml:space="preserve">  услуги от общ икономически интерес (УОИИ), </w:t>
                                  </w:r>
                                  <w:r w:rsidRPr="00B80E14">
                                    <w:rPr>
                                      <w:sz w:val="20"/>
                                    </w:rPr>
                                    <w:t>съгласно</w:t>
                                  </w:r>
                                  <w:r w:rsidRPr="00B80E14">
                                    <w:rPr>
                                      <w:b/>
                                      <w:sz w:val="20"/>
                                    </w:rPr>
                                    <w:t xml:space="preserve"> условията Алтмарк  </w:t>
                                  </w:r>
                                  <w:r w:rsidRPr="00B80E14">
                                    <w:rPr>
                                      <w:sz w:val="20"/>
                                    </w:rPr>
                                    <w:t xml:space="preserve">?  </w:t>
                                  </w:r>
                                </w:p>
                              </w:txbxContent>
                            </wps:txbx>
                            <wps:bodyPr rot="0" vert="horz" wrap="square" lIns="91440" tIns="45720" rIns="91440" bIns="45720" anchor="t" anchorCtr="0" upright="1">
                              <a:noAutofit/>
                            </wps:bodyPr>
                          </wps:wsp>
                          <wps:wsp>
                            <wps:cNvPr id="2099" name="AutoShape 285"/>
                            <wps:cNvSpPr>
                              <a:spLocks noChangeArrowheads="1"/>
                            </wps:cNvSpPr>
                            <wps:spPr bwMode="auto">
                              <a:xfrm>
                                <a:off x="10875" y="9419"/>
                                <a:ext cx="538" cy="465"/>
                              </a:xfrm>
                              <a:prstGeom prst="flowChartDecision">
                                <a:avLst/>
                              </a:prstGeom>
                              <a:gradFill rotWithShape="0">
                                <a:gsLst>
                                  <a:gs pos="0">
                                    <a:srgbClr val="FFFFFF"/>
                                  </a:gs>
                                  <a:gs pos="100000">
                                    <a:srgbClr val="FBD4B4"/>
                                  </a:gs>
                                </a:gsLst>
                                <a:lin ang="5400000" scaled="1"/>
                              </a:gradFill>
                              <a:ln>
                                <a:noFill/>
                              </a:ln>
                              <a:effectLst>
                                <a:outerShdw dist="28398" dir="3806097" algn="ctr" rotWithShape="0">
                                  <a:srgbClr val="974706">
                                    <a:alpha val="50000"/>
                                  </a:srgbClr>
                                </a:outerShdw>
                              </a:effectLst>
                              <a:extLst>
                                <a:ext uri="{91240B29-F687-4F45-9708-019B960494DF}">
                                  <a14:hiddenLine xmlns:a14="http://schemas.microsoft.com/office/drawing/2010/main" w="12700">
                                    <a:solidFill>
                                      <a:srgbClr val="FABF8F"/>
                                    </a:solidFill>
                                    <a:miter lim="800000"/>
                                    <a:headEnd/>
                                    <a:tailEnd/>
                                  </a14:hiddenLine>
                                </a:ext>
                              </a:extLst>
                            </wps:spPr>
                            <wps:bodyPr rot="0" vert="horz" wrap="square" lIns="91440" tIns="45720" rIns="91440" bIns="45720" anchor="t" anchorCtr="0" upright="1">
                              <a:noAutofit/>
                            </wps:bodyPr>
                          </wps:wsp>
                          <wps:wsp>
                            <wps:cNvPr id="2100" name="AutoShape 286"/>
                            <wps:cNvCnPr>
                              <a:cxnSpLocks noChangeShapeType="1"/>
                            </wps:cNvCnPr>
                            <wps:spPr bwMode="auto">
                              <a:xfrm>
                                <a:off x="11175" y="9056"/>
                                <a:ext cx="15" cy="3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1" name="AutoShape 287"/>
                            <wps:cNvCnPr>
                              <a:cxnSpLocks noChangeShapeType="1"/>
                            </wps:cNvCnPr>
                            <wps:spPr bwMode="auto">
                              <a:xfrm>
                                <a:off x="4063" y="7097"/>
                                <a:ext cx="9952" cy="51"/>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102" name="AutoShape 288"/>
                            <wps:cNvCnPr>
                              <a:cxnSpLocks noChangeShapeType="1"/>
                            </wps:cNvCnPr>
                            <wps:spPr bwMode="auto">
                              <a:xfrm rot="16200000" flipH="1">
                                <a:off x="2440" y="8635"/>
                                <a:ext cx="3639" cy="877"/>
                              </a:xfrm>
                              <a:prstGeom prst="bentConnector3">
                                <a:avLst>
                                  <a:gd name="adj1" fmla="val 100134"/>
                                </a:avLst>
                              </a:prstGeom>
                              <a:noFill/>
                              <a:ln w="9525">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wps:wsp>
                            <wps:cNvPr id="2103" name="AutoShape 289"/>
                            <wps:cNvCnPr>
                              <a:cxnSpLocks noChangeShapeType="1"/>
                            </wps:cNvCnPr>
                            <wps:spPr bwMode="auto">
                              <a:xfrm rot="5400000">
                                <a:off x="10424" y="10127"/>
                                <a:ext cx="1009" cy="523"/>
                              </a:xfrm>
                              <a:prstGeom prst="bentConnector3">
                                <a:avLst>
                                  <a:gd name="adj1" fmla="val 98810"/>
                                </a:avLst>
                              </a:prstGeom>
                              <a:noFill/>
                              <a:ln w="9525">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wps:wsp>
                            <wps:cNvPr id="2104" name="AutoShape 290"/>
                            <wps:cNvCnPr>
                              <a:cxnSpLocks noChangeShapeType="1"/>
                            </wps:cNvCnPr>
                            <wps:spPr bwMode="auto">
                              <a:xfrm>
                                <a:off x="11413" y="9728"/>
                                <a:ext cx="2602" cy="0"/>
                              </a:xfrm>
                              <a:prstGeom prst="straightConnector1">
                                <a:avLst/>
                              </a:prstGeom>
                              <a:noFill/>
                              <a:ln w="158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5" name="Text Box 291"/>
                            <wps:cNvSpPr txBox="1">
                              <a:spLocks noChangeArrowheads="1"/>
                            </wps:cNvSpPr>
                            <wps:spPr bwMode="auto">
                              <a:xfrm>
                                <a:off x="11601" y="9524"/>
                                <a:ext cx="573" cy="360"/>
                              </a:xfrm>
                              <a:prstGeom prst="rect">
                                <a:avLst/>
                              </a:prstGeom>
                              <a:gradFill rotWithShape="0">
                                <a:gsLst>
                                  <a:gs pos="0">
                                    <a:srgbClr val="FFFFFF"/>
                                  </a:gs>
                                  <a:gs pos="100000">
                                    <a:srgbClr val="999999"/>
                                  </a:gs>
                                </a:gsLst>
                                <a:lin ang="5400000" scaled="1"/>
                              </a:gradFill>
                              <a:ln w="12700" algn="ctr">
                                <a:solidFill>
                                  <a:srgbClr val="FF0000"/>
                                </a:solidFill>
                                <a:miter lim="800000"/>
                                <a:headEnd/>
                                <a:tailEnd/>
                              </a:ln>
                              <a:effectLst>
                                <a:outerShdw dist="28398" dir="3806097" algn="ctr" rotWithShape="0">
                                  <a:srgbClr val="7F7F7F">
                                    <a:alpha val="50000"/>
                                  </a:srgbClr>
                                </a:outerShdw>
                              </a:effectLst>
                            </wps:spPr>
                            <wps:txbx>
                              <w:txbxContent>
                                <w:p w14:paraId="0CB258D8" w14:textId="77777777" w:rsidR="004E3164" w:rsidRPr="0043736B" w:rsidRDefault="004E3164" w:rsidP="001E404B">
                                  <w:pPr>
                                    <w:ind w:firstLine="0"/>
                                    <w:jc w:val="center"/>
                                    <w:rPr>
                                      <w:color w:val="FF0000"/>
                                      <w:sz w:val="16"/>
                                      <w:szCs w:val="16"/>
                                    </w:rPr>
                                  </w:pPr>
                                  <w:r>
                                    <w:rPr>
                                      <w:color w:val="FF0000"/>
                                      <w:sz w:val="16"/>
                                      <w:szCs w:val="16"/>
                                    </w:rPr>
                                    <w:t>н</w:t>
                                  </w:r>
                                  <w:r w:rsidRPr="0043736B">
                                    <w:rPr>
                                      <w:color w:val="FF0000"/>
                                      <w:sz w:val="16"/>
                                      <w:szCs w:val="16"/>
                                    </w:rPr>
                                    <w:t>е</w:t>
                                  </w:r>
                                </w:p>
                              </w:txbxContent>
                            </wps:txbx>
                            <wps:bodyPr rot="0" vert="horz" wrap="square" lIns="91440" tIns="45720" rIns="91440" bIns="45720" anchor="t" anchorCtr="0" upright="1">
                              <a:noAutofit/>
                            </wps:bodyPr>
                          </wps:wsp>
                          <wps:wsp>
                            <wps:cNvPr id="2106" name="Text Box 292"/>
                            <wps:cNvSpPr txBox="1">
                              <a:spLocks noChangeArrowheads="1"/>
                            </wps:cNvSpPr>
                            <wps:spPr bwMode="auto">
                              <a:xfrm>
                                <a:off x="5426" y="6877"/>
                                <a:ext cx="573" cy="360"/>
                              </a:xfrm>
                              <a:prstGeom prst="rect">
                                <a:avLst/>
                              </a:prstGeom>
                              <a:gradFill rotWithShape="0">
                                <a:gsLst>
                                  <a:gs pos="0">
                                    <a:srgbClr val="FFFFFF"/>
                                  </a:gs>
                                  <a:gs pos="100000">
                                    <a:srgbClr val="999999"/>
                                  </a:gs>
                                </a:gsLst>
                                <a:lin ang="5400000" scaled="1"/>
                              </a:gradFill>
                              <a:ln w="12700" algn="ctr">
                                <a:solidFill>
                                  <a:srgbClr val="FF0000"/>
                                </a:solidFill>
                                <a:miter lim="800000"/>
                                <a:headEnd/>
                                <a:tailEnd/>
                              </a:ln>
                              <a:effectLst>
                                <a:outerShdw dist="28398" dir="3806097" algn="ctr" rotWithShape="0">
                                  <a:srgbClr val="7F7F7F">
                                    <a:alpha val="50000"/>
                                  </a:srgbClr>
                                </a:outerShdw>
                              </a:effectLst>
                            </wps:spPr>
                            <wps:txbx>
                              <w:txbxContent>
                                <w:p w14:paraId="74FE8721" w14:textId="77777777" w:rsidR="004E3164" w:rsidRPr="0043736B" w:rsidRDefault="004E3164" w:rsidP="001E404B">
                                  <w:pPr>
                                    <w:ind w:firstLine="0"/>
                                    <w:jc w:val="center"/>
                                    <w:rPr>
                                      <w:color w:val="FF0000"/>
                                      <w:sz w:val="16"/>
                                      <w:szCs w:val="16"/>
                                    </w:rPr>
                                  </w:pPr>
                                  <w:r>
                                    <w:rPr>
                                      <w:color w:val="FF0000"/>
                                      <w:sz w:val="16"/>
                                      <w:szCs w:val="16"/>
                                    </w:rPr>
                                    <w:t>н</w:t>
                                  </w:r>
                                  <w:r w:rsidRPr="0043736B">
                                    <w:rPr>
                                      <w:color w:val="FF0000"/>
                                      <w:sz w:val="16"/>
                                      <w:szCs w:val="16"/>
                                    </w:rPr>
                                    <w:t>е</w:t>
                                  </w:r>
                                </w:p>
                              </w:txbxContent>
                            </wps:txbx>
                            <wps:bodyPr rot="0" vert="horz" wrap="square" lIns="91440" tIns="45720" rIns="91440" bIns="45720" anchor="t" anchorCtr="0" upright="1">
                              <a:noAutofit/>
                            </wps:bodyPr>
                          </wps:wsp>
                          <wps:wsp>
                            <wps:cNvPr id="2107" name="Text Box 293"/>
                            <wps:cNvSpPr txBox="1">
                              <a:spLocks noChangeArrowheads="1"/>
                            </wps:cNvSpPr>
                            <wps:spPr bwMode="auto">
                              <a:xfrm>
                                <a:off x="10875" y="10240"/>
                                <a:ext cx="573" cy="360"/>
                              </a:xfrm>
                              <a:prstGeom prst="rect">
                                <a:avLst/>
                              </a:prstGeom>
                              <a:gradFill rotWithShape="0">
                                <a:gsLst>
                                  <a:gs pos="0">
                                    <a:srgbClr val="FFFFFF"/>
                                  </a:gs>
                                  <a:gs pos="100000">
                                    <a:srgbClr val="999999"/>
                                  </a:gs>
                                </a:gsLst>
                                <a:lin ang="5400000" scaled="1"/>
                              </a:gradFill>
                              <a:ln w="12700" algn="ctr">
                                <a:solidFill>
                                  <a:srgbClr val="00B0F0"/>
                                </a:solidFill>
                                <a:miter lim="800000"/>
                                <a:headEnd/>
                                <a:tailEnd/>
                              </a:ln>
                              <a:effectLst>
                                <a:outerShdw dist="28398" dir="3806097" algn="ctr" rotWithShape="0">
                                  <a:srgbClr val="7F7F7F">
                                    <a:alpha val="50000"/>
                                  </a:srgbClr>
                                </a:outerShdw>
                              </a:effectLst>
                            </wps:spPr>
                            <wps:txbx>
                              <w:txbxContent>
                                <w:p w14:paraId="15A119A9" w14:textId="77777777" w:rsidR="004E3164" w:rsidRPr="0043736B" w:rsidRDefault="004E3164" w:rsidP="001E404B">
                                  <w:pPr>
                                    <w:ind w:firstLine="0"/>
                                    <w:jc w:val="center"/>
                                    <w:rPr>
                                      <w:color w:val="0070C0"/>
                                      <w:sz w:val="16"/>
                                      <w:szCs w:val="16"/>
                                    </w:rPr>
                                  </w:pPr>
                                  <w:r w:rsidRPr="0043736B">
                                    <w:rPr>
                                      <w:color w:val="0070C0"/>
                                      <w:sz w:val="16"/>
                                      <w:szCs w:val="16"/>
                                    </w:rPr>
                                    <w:t>да</w:t>
                                  </w:r>
                                </w:p>
                              </w:txbxContent>
                            </wps:txbx>
                            <wps:bodyPr rot="0" vert="horz" wrap="square" lIns="91440" tIns="45720" rIns="91440" bIns="45720" anchor="t" anchorCtr="0" upright="1">
                              <a:noAutofit/>
                            </wps:bodyPr>
                          </wps:wsp>
                          <wps:wsp>
                            <wps:cNvPr id="2108" name="Text Box 294"/>
                            <wps:cNvSpPr txBox="1">
                              <a:spLocks noChangeArrowheads="1"/>
                            </wps:cNvSpPr>
                            <wps:spPr bwMode="auto">
                              <a:xfrm>
                                <a:off x="3490" y="7637"/>
                                <a:ext cx="573" cy="360"/>
                              </a:xfrm>
                              <a:prstGeom prst="rect">
                                <a:avLst/>
                              </a:prstGeom>
                              <a:gradFill rotWithShape="0">
                                <a:gsLst>
                                  <a:gs pos="0">
                                    <a:srgbClr val="FFFFFF"/>
                                  </a:gs>
                                  <a:gs pos="100000">
                                    <a:srgbClr val="999999"/>
                                  </a:gs>
                                </a:gsLst>
                                <a:lin ang="5400000" scaled="1"/>
                              </a:gradFill>
                              <a:ln w="12700" algn="ctr">
                                <a:solidFill>
                                  <a:srgbClr val="00B0F0"/>
                                </a:solidFill>
                                <a:miter lim="800000"/>
                                <a:headEnd/>
                                <a:tailEnd/>
                              </a:ln>
                              <a:effectLst>
                                <a:outerShdw dist="28398" dir="3806097" algn="ctr" rotWithShape="0">
                                  <a:srgbClr val="7F7F7F">
                                    <a:alpha val="50000"/>
                                  </a:srgbClr>
                                </a:outerShdw>
                              </a:effectLst>
                            </wps:spPr>
                            <wps:txbx>
                              <w:txbxContent>
                                <w:p w14:paraId="31EA881F" w14:textId="77777777" w:rsidR="004E3164" w:rsidRPr="0043736B" w:rsidRDefault="004E3164" w:rsidP="001E404B">
                                  <w:pPr>
                                    <w:ind w:firstLine="0"/>
                                    <w:jc w:val="center"/>
                                    <w:rPr>
                                      <w:color w:val="0070C0"/>
                                      <w:sz w:val="16"/>
                                      <w:szCs w:val="16"/>
                                    </w:rPr>
                                  </w:pPr>
                                  <w:r w:rsidRPr="0043736B">
                                    <w:rPr>
                                      <w:color w:val="0070C0"/>
                                      <w:sz w:val="16"/>
                                      <w:szCs w:val="16"/>
                                    </w:rPr>
                                    <w:t>да</w:t>
                                  </w:r>
                                </w:p>
                              </w:txbxContent>
                            </wps:txbx>
                            <wps:bodyPr rot="0" vert="horz" wrap="square" lIns="91440" tIns="45720" rIns="91440" bIns="45720" anchor="t" anchorCtr="0" upright="1">
                              <a:noAutofit/>
                            </wps:bodyPr>
                          </wps:wsp>
                          <wps:wsp>
                            <wps:cNvPr id="2109" name="AutoShape 295"/>
                            <wps:cNvSpPr>
                              <a:spLocks noChangeArrowheads="1"/>
                            </wps:cNvSpPr>
                            <wps:spPr bwMode="auto">
                              <a:xfrm rot="16200000">
                                <a:off x="12180" y="8033"/>
                                <a:ext cx="4378" cy="756"/>
                              </a:xfrm>
                              <a:prstGeom prst="flowChartPreparation">
                                <a:avLst/>
                              </a:prstGeom>
                              <a:gradFill rotWithShape="0">
                                <a:gsLst>
                                  <a:gs pos="0">
                                    <a:srgbClr val="FFFFFF"/>
                                  </a:gs>
                                  <a:gs pos="100000">
                                    <a:srgbClr val="E5B8B7"/>
                                  </a:gs>
                                </a:gsLst>
                                <a:lin ang="5400000" scaled="1"/>
                              </a:gradFill>
                              <a:ln>
                                <a:noFill/>
                              </a:ln>
                              <a:effectLst>
                                <a:outerShdw dist="28398" dir="3806097" algn="ctr" rotWithShape="0">
                                  <a:srgbClr val="622423">
                                    <a:alpha val="50000"/>
                                  </a:srgbClr>
                                </a:outerShdw>
                              </a:effectLst>
                              <a:extLst>
                                <a:ext uri="{91240B29-F687-4F45-9708-019B960494DF}">
                                  <a14:hiddenLine xmlns:a14="http://schemas.microsoft.com/office/drawing/2010/main" w="12700">
                                    <a:solidFill>
                                      <a:srgbClr val="D99594"/>
                                    </a:solidFill>
                                    <a:miter lim="800000"/>
                                    <a:headEnd/>
                                    <a:tailEnd/>
                                  </a14:hiddenLine>
                                </a:ext>
                              </a:extLst>
                            </wps:spPr>
                            <wps:txbx>
                              <w:txbxContent>
                                <w:p w14:paraId="55A526B7" w14:textId="77777777" w:rsidR="004E3164" w:rsidRPr="00FC0C15" w:rsidRDefault="004E3164" w:rsidP="001E404B">
                                  <w:pPr>
                                    <w:ind w:firstLine="0"/>
                                    <w:jc w:val="center"/>
                                    <w:rPr>
                                      <w:b/>
                                      <w:color w:val="FF0000"/>
                                    </w:rPr>
                                  </w:pPr>
                                  <w:r>
                                    <w:rPr>
                                      <w:b/>
                                      <w:color w:val="FF0000"/>
                                    </w:rPr>
                                    <w:t>Наличие на предимство</w:t>
                                  </w:r>
                                </w:p>
                              </w:txbxContent>
                            </wps:txbx>
                            <wps:bodyPr rot="0" vert="vert270" wrap="square" lIns="91440" tIns="45720" rIns="91440" bIns="45720" anchor="t" anchorCtr="0" upright="1">
                              <a:noAutofit/>
                            </wps:bodyPr>
                          </wps:wsp>
                          <wps:wsp>
                            <wps:cNvPr id="2110" name="AutoShape 296"/>
                            <wps:cNvSpPr>
                              <a:spLocks noChangeArrowheads="1"/>
                            </wps:cNvSpPr>
                            <wps:spPr bwMode="auto">
                              <a:xfrm>
                                <a:off x="4698" y="10600"/>
                                <a:ext cx="6036" cy="523"/>
                              </a:xfrm>
                              <a:prstGeom prst="flowChartPreparation">
                                <a:avLst/>
                              </a:prstGeom>
                              <a:gradFill rotWithShape="0">
                                <a:gsLst>
                                  <a:gs pos="0">
                                    <a:srgbClr val="FFFFFF"/>
                                  </a:gs>
                                  <a:gs pos="100000">
                                    <a:srgbClr val="E5B8B7"/>
                                  </a:gs>
                                </a:gsLst>
                                <a:lin ang="5400000" scaled="1"/>
                              </a:gradFill>
                              <a:ln>
                                <a:noFill/>
                              </a:ln>
                              <a:effectLst>
                                <a:outerShdw dist="28398" dir="3806097" algn="ctr" rotWithShape="0">
                                  <a:srgbClr val="622423">
                                    <a:alpha val="50000"/>
                                  </a:srgbClr>
                                </a:outerShdw>
                              </a:effectLst>
                              <a:extLst>
                                <a:ext uri="{91240B29-F687-4F45-9708-019B960494DF}">
                                  <a14:hiddenLine xmlns:a14="http://schemas.microsoft.com/office/drawing/2010/main" w="12700">
                                    <a:solidFill>
                                      <a:srgbClr val="D99594"/>
                                    </a:solidFill>
                                    <a:miter lim="800000"/>
                                    <a:headEnd/>
                                    <a:tailEnd/>
                                  </a14:hiddenLine>
                                </a:ext>
                              </a:extLst>
                            </wps:spPr>
                            <wps:txbx>
                              <w:txbxContent>
                                <w:p w14:paraId="7B1365B9" w14:textId="77777777" w:rsidR="004E3164" w:rsidRPr="002074D9" w:rsidRDefault="004E3164" w:rsidP="001E404B">
                                  <w:pPr>
                                    <w:ind w:firstLine="0"/>
                                    <w:jc w:val="center"/>
                                    <w:rPr>
                                      <w:b/>
                                      <w:color w:val="0070C0"/>
                                    </w:rPr>
                                  </w:pPr>
                                  <w:r w:rsidRPr="002074D9">
                                    <w:rPr>
                                      <w:b/>
                                      <w:color w:val="0070C0"/>
                                    </w:rPr>
                                    <w:t>Не е налично предимство</w:t>
                                  </w:r>
                                </w:p>
                              </w:txbxContent>
                            </wps:txbx>
                            <wps:bodyPr rot="0" vert="horz" wrap="square" lIns="91440" tIns="45720" rIns="91440" bIns="45720" anchor="t" anchorCtr="0" upright="1">
                              <a:noAutofit/>
                            </wps:bodyPr>
                          </wps:wsp>
                          <wps:wsp>
                            <wps:cNvPr id="2111" name="AutoShape 297"/>
                            <wps:cNvSpPr>
                              <a:spLocks noChangeArrowheads="1"/>
                            </wps:cNvSpPr>
                            <wps:spPr bwMode="auto">
                              <a:xfrm>
                                <a:off x="11549" y="10893"/>
                                <a:ext cx="3119" cy="415"/>
                              </a:xfrm>
                              <a:prstGeom prst="roundRect">
                                <a:avLst>
                                  <a:gd name="adj" fmla="val 16667"/>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50ED098D" w14:textId="77777777" w:rsidR="004E3164" w:rsidRPr="00EB1523" w:rsidRDefault="004E3164" w:rsidP="001E404B">
                                  <w:pPr>
                                    <w:ind w:firstLine="0"/>
                                    <w:jc w:val="center"/>
                                    <w:rPr>
                                      <w:sz w:val="16"/>
                                      <w:szCs w:val="16"/>
                                    </w:rPr>
                                  </w:pPr>
                                  <w:r>
                                    <w:rPr>
                                      <w:sz w:val="16"/>
                                      <w:szCs w:val="16"/>
                                    </w:rPr>
                                    <w:t xml:space="preserve">Ситуацията </w:t>
                                  </w:r>
                                  <w:r>
                                    <w:rPr>
                                      <w:b/>
                                      <w:sz w:val="16"/>
                                      <w:szCs w:val="16"/>
                                      <w:u w:val="single"/>
                                    </w:rPr>
                                    <w:t xml:space="preserve">след </w:t>
                                  </w:r>
                                  <w:r>
                                    <w:rPr>
                                      <w:sz w:val="16"/>
                                      <w:szCs w:val="16"/>
                                    </w:rPr>
                                    <w:t xml:space="preserve">помощта или мярката </w:t>
                                  </w:r>
                                </w:p>
                                <w:p w14:paraId="30944E13" w14:textId="77777777" w:rsidR="004E3164" w:rsidRPr="00EB1523" w:rsidRDefault="004E3164" w:rsidP="001E404B">
                                  <w:pPr>
                                    <w:ind w:firstLine="0"/>
                                    <w:jc w:val="center"/>
                                    <w:rPr>
                                      <w:sz w:val="16"/>
                                      <w:szCs w:val="16"/>
                                    </w:rPr>
                                  </w:pPr>
                                </w:p>
                              </w:txbxContent>
                            </wps:txbx>
                            <wps:bodyPr rot="0" vert="horz" wrap="square" lIns="91440" tIns="45720" rIns="91440" bIns="45720" anchor="t" anchorCtr="0" upright="1">
                              <a:noAutofit/>
                            </wps:bodyPr>
                          </wps:wsp>
                        </wpg:grpSp>
                      </wpg:grpSp>
                    </wpg:wgp>
                  </a:graphicData>
                </a:graphic>
              </wp:inline>
            </w:drawing>
          </mc:Choice>
          <mc:Fallback>
            <w:pict>
              <v:group w14:anchorId="0A48D280" id="Group 2079" o:spid="_x0000_s1304" style="width:633.75pt;height:430.6pt;mso-position-horizontal-relative:char;mso-position-vertical-relative:line" coordorigin="2072,2696" coordsize="12675,8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">
                <v:roundrect id="AutoShape 266" o:spid="_x0000_s1305" style="position:absolute;left:11150;top:2696;width:3173;height:4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" fillcolor="#ffbe86" strokecolor="#f69240">
                  <v:fill color2="#ffebdb" rotate="t" angle="180" colors="0 #ffbe86;22938f #ffd0aa;1 #ffebdb" focus="100%" type="gradient"/>
                  <v:shadow on="t" color="black" opacity="24903f" origin=",.5" offset="0,.55556mm"/>
                  <v:textbox>
                    <w:txbxContent>
                      <w:p w14:paraId="604EBE96" w14:textId="77777777" w:rsidR="004E3164" w:rsidRPr="00EB1523" w:rsidRDefault="004E3164" w:rsidP="001E404B">
                        <w:pPr>
                          <w:ind w:firstLine="0"/>
                          <w:jc w:val="center"/>
                          <w:rPr>
                            <w:sz w:val="16"/>
                            <w:szCs w:val="16"/>
                          </w:rPr>
                        </w:pPr>
                        <w:r>
                          <w:rPr>
                            <w:sz w:val="16"/>
                            <w:szCs w:val="16"/>
                          </w:rPr>
                          <w:t xml:space="preserve">Ситуацията </w:t>
                        </w:r>
                        <w:r w:rsidRPr="0043736B">
                          <w:rPr>
                            <w:b/>
                            <w:sz w:val="16"/>
                            <w:szCs w:val="16"/>
                            <w:u w:val="single"/>
                          </w:rPr>
                          <w:t>преди</w:t>
                        </w:r>
                        <w:r w:rsidRPr="0043736B">
                          <w:rPr>
                            <w:sz w:val="16"/>
                            <w:szCs w:val="16"/>
                            <w:u w:val="single"/>
                          </w:rPr>
                          <w:t xml:space="preserve"> </w:t>
                        </w:r>
                        <w:r>
                          <w:rPr>
                            <w:sz w:val="16"/>
                            <w:szCs w:val="16"/>
                          </w:rPr>
                          <w:t xml:space="preserve">помощта или мярката </w:t>
                        </w:r>
                      </w:p>
                      <w:p w14:paraId="47F26ABE" w14:textId="77777777" w:rsidR="004E3164" w:rsidRPr="00EB1523" w:rsidRDefault="004E3164" w:rsidP="001E404B">
                        <w:pPr>
                          <w:ind w:firstLine="0"/>
                          <w:jc w:val="center"/>
                          <w:rPr>
                            <w:sz w:val="16"/>
                            <w:szCs w:val="16"/>
                          </w:rPr>
                        </w:pPr>
                      </w:p>
                    </w:txbxContent>
                  </v:textbox>
                </v:roundrect>
                <v:group id="Group 267" o:spid="_x0000_s1306" style="position:absolute;left:2072;top:3190;width:12675;height:8118" coordorigin="2072,3190" coordsize="1267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">
                  <v:group id="Group 268" o:spid="_x0000_s1307" style="position:absolute;left:2072;top:3190;width:11138;height:4769" coordorigin="2072,3190" coordsize="11138,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">
                    <v:shapetype id="_x0000_t110" coordsize="21600,21600" o:spt="110" path="m10800,l,10800,10800,21600,21600,10800xe">
                      <v:stroke joinstyle="miter"/>
                      <v:path gradientshapeok="t" o:connecttype="rect" textboxrect="5400,5400,16200,16200"/>
                    </v:shapetype>
                    <v:shape id="AutoShape 269" o:spid="_x0000_s1308" type="#_x0000_t110" style="position:absolute;left:3525;top:6806;width:538;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" stroked="f" strokecolor="#fabf8f" strokeweight="1pt">
                      <v:fill color2="#fbd4b4" focus="100%" type="gradient"/>
                      <v:shadow on="t" color="#974706" opacity=".5" offset="1pt"/>
                      <v:textbox>
                        <w:txbxContent>
                          <w:p w14:paraId="2475D0AB" w14:textId="77777777" w:rsidR="004E3164" w:rsidRPr="007A312F" w:rsidRDefault="004E3164" w:rsidP="001E404B">
                            <w:pPr>
                              <w:ind w:firstLine="0"/>
                              <w:jc w:val="center"/>
                              <w:rPr>
                                <w:sz w:val="16"/>
                                <w:szCs w:val="16"/>
                              </w:rPr>
                            </w:pPr>
                          </w:p>
                        </w:txbxContent>
                      </v:textbox>
                    </v:shape>
                    <v:shape id="AutoShape 270" o:spid="_x0000_s1309" type="#_x0000_t32" style="position:absolute;left:3767;top:6131;width:15;height: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" strokeweight="1.25pt">
                      <v:stroke endarrow="block"/>
                    </v:shape>
                    <v:shape id="AutoShape 271" o:spid="_x0000_s1310" type="#_x0000_t32" style="position:absolute;left:8887;top:5614;width:2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" strokeweight="1.25pt"/>
                    <v:shape id="AutoShape 272" o:spid="_x0000_s1311" type="#_x0000_t32" style="position:absolute;left:11175;top:6052;width:15;height:1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" strokecolor="#0070c0">
                      <v:stroke endarrow="block"/>
                    </v:shape>
                    <v:shape id="AutoShape 273" o:spid="_x0000_s1312" type="#_x0000_t32" style="position:absolute;left:3720;top:4324;width:0;height: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" strokeweight="1.25pt"/>
                    <v:shape id="Text Box 274" o:spid="_x0000_s1313" type="#_x0000_t202" style="position:absolute;left:10858;top:6580;width:57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" strokecolor="#00b0f0" strokeweight="1pt">
                      <v:fill color2="#999" focus="100%" type="gradient"/>
                      <v:shadow on="t" color="#7f7f7f" opacity=".5" offset="1pt"/>
                      <v:textbox>
                        <w:txbxContent>
                          <w:p w14:paraId="78407EE6" w14:textId="77777777" w:rsidR="004E3164" w:rsidRPr="0043736B" w:rsidRDefault="004E3164" w:rsidP="001E404B">
                            <w:pPr>
                              <w:ind w:firstLine="0"/>
                              <w:jc w:val="center"/>
                              <w:rPr>
                                <w:color w:val="0070C0"/>
                                <w:sz w:val="16"/>
                                <w:szCs w:val="16"/>
                              </w:rPr>
                            </w:pPr>
                            <w:r w:rsidRPr="0043736B">
                              <w:rPr>
                                <w:color w:val="0070C0"/>
                                <w:sz w:val="16"/>
                                <w:szCs w:val="16"/>
                              </w:rPr>
                              <w:t>да</w:t>
                            </w:r>
                          </w:p>
                        </w:txbxContent>
                      </v:textbox>
                    </v:shape>
                    <v:shape id="AutoShape 275" o:spid="_x0000_s1314" type="#_x0000_t32" style="position:absolute;left:11190;top:4341;width:0;height:7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" strokeweight="1.25pt"/>
                    <v:roundrect id="AutoShape 276" o:spid="_x0000_s1315" style="position:absolute;left:6424;top:4951;width:2455;height:12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" stroked="f" strokecolor="#95b3d7" strokeweight="1pt">
                      <v:fill color2="#b8cce4" focus="100%" type="gradient"/>
                      <v:shadow on="t" color="#243f60" opacity=".5" offset="1pt"/>
                      <v:textbox>
                        <w:txbxContent>
                          <w:p w14:paraId="10CC4C73" w14:textId="77777777" w:rsidR="004E3164" w:rsidRPr="00EB1523" w:rsidRDefault="004E3164" w:rsidP="001E404B">
                            <w:pPr>
                              <w:ind w:firstLine="0"/>
                              <w:jc w:val="center"/>
                              <w:rPr>
                                <w:sz w:val="16"/>
                                <w:szCs w:val="16"/>
                              </w:rPr>
                            </w:pPr>
                            <w:r w:rsidRPr="00EB1523">
                              <w:rPr>
                                <w:sz w:val="16"/>
                                <w:szCs w:val="16"/>
                              </w:rPr>
                              <w:t xml:space="preserve">Не се считат за намаление на разходите компенсации за </w:t>
                            </w:r>
                            <w:r w:rsidRPr="00EB1523">
                              <w:rPr>
                                <w:b/>
                                <w:sz w:val="16"/>
                                <w:szCs w:val="16"/>
                              </w:rPr>
                              <w:t>щети</w:t>
                            </w:r>
                            <w:r w:rsidRPr="00EB1523">
                              <w:rPr>
                                <w:sz w:val="16"/>
                                <w:szCs w:val="16"/>
                              </w:rPr>
                              <w:t xml:space="preserve">, </w:t>
                            </w:r>
                            <w:r w:rsidRPr="00EB1523">
                              <w:rPr>
                                <w:b/>
                                <w:sz w:val="16"/>
                                <w:szCs w:val="16"/>
                              </w:rPr>
                              <w:t>причинени от държават</w:t>
                            </w:r>
                            <w:r>
                              <w:rPr>
                                <w:b/>
                                <w:sz w:val="16"/>
                                <w:szCs w:val="16"/>
                              </w:rPr>
                              <w:t xml:space="preserve">а, </w:t>
                            </w:r>
                            <w:r w:rsidRPr="00EB1523">
                              <w:rPr>
                                <w:sz w:val="16"/>
                                <w:szCs w:val="16"/>
                              </w:rPr>
                              <w:t xml:space="preserve"> отчуждения и др.  </w:t>
                            </w:r>
                          </w:p>
                          <w:p w14:paraId="089D9F6A" w14:textId="77777777" w:rsidR="004E3164" w:rsidRPr="00EB1523" w:rsidRDefault="004E3164" w:rsidP="001E404B">
                            <w:pPr>
                              <w:ind w:firstLine="0"/>
                              <w:jc w:val="center"/>
                              <w:rPr>
                                <w:sz w:val="16"/>
                                <w:szCs w:val="16"/>
                              </w:rPr>
                            </w:pPr>
                          </w:p>
                        </w:txbxContent>
                      </v:textbox>
                    </v:roundrect>
                    <v:rect id="Rectangle 277" o:spid="_x0000_s1316" style="position:absolute;left:9149;top:4951;width:4061;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" stroked="f" strokecolor="#666" strokeweight="1pt">
                      <v:fill color2="#999" focus="100%" type="gradient"/>
                      <v:shadow on="t" color="#7f7f7f" opacity=".5" offset="1pt"/>
                      <v:textbox>
                        <w:txbxContent>
                          <w:p w14:paraId="73D2247F" w14:textId="77777777" w:rsidR="004E3164" w:rsidRPr="00B80E14" w:rsidRDefault="004E3164" w:rsidP="001E404B">
                            <w:pPr>
                              <w:ind w:firstLine="0"/>
                              <w:jc w:val="center"/>
                              <w:rPr>
                                <w:sz w:val="20"/>
                              </w:rPr>
                            </w:pPr>
                            <w:r w:rsidRPr="00B80E14">
                              <w:rPr>
                                <w:sz w:val="20"/>
                              </w:rPr>
                              <w:t xml:space="preserve">Чрез мярката </w:t>
                            </w:r>
                            <w:r w:rsidRPr="00B80E14">
                              <w:rPr>
                                <w:b/>
                                <w:sz w:val="20"/>
                              </w:rPr>
                              <w:t>намаляват</w:t>
                            </w:r>
                            <w:r w:rsidRPr="00B80E14">
                              <w:rPr>
                                <w:sz w:val="20"/>
                              </w:rPr>
                              <w:t xml:space="preserve"> ли се пряко или непряко </w:t>
                            </w:r>
                            <w:r w:rsidRPr="00B80E14">
                              <w:rPr>
                                <w:b/>
                                <w:sz w:val="20"/>
                              </w:rPr>
                              <w:t>присъщите разходите</w:t>
                            </w:r>
                            <w:r w:rsidRPr="00B80E14">
                              <w:rPr>
                                <w:sz w:val="20"/>
                              </w:rPr>
                              <w:t xml:space="preserve">  на оператора?  </w:t>
                            </w:r>
                          </w:p>
                        </w:txbxContent>
                      </v:textbox>
                    </v:rect>
                    <v:rect id="Rectangle 278" o:spid="_x0000_s1317" style="position:absolute;left:2132;top:5025;width:351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" stroked="f" strokecolor="#666" strokeweight="1pt">
                      <v:fill color2="#999" focus="100%" type="gradient"/>
                      <v:shadow on="t" color="#7f7f7f" opacity=".5" offset="1pt"/>
                      <v:textbox>
                        <w:txbxContent>
                          <w:p w14:paraId="239C741A" w14:textId="77777777" w:rsidR="004E3164" w:rsidRPr="00B80E14" w:rsidRDefault="004E3164" w:rsidP="001E404B">
                            <w:pPr>
                              <w:ind w:firstLine="0"/>
                              <w:jc w:val="center"/>
                              <w:rPr>
                                <w:sz w:val="20"/>
                              </w:rPr>
                            </w:pPr>
                            <w:r w:rsidRPr="00B80E14">
                              <w:rPr>
                                <w:sz w:val="20"/>
                              </w:rPr>
                              <w:t xml:space="preserve">Инвестицията се изпълнява при </w:t>
                            </w:r>
                            <w:r w:rsidRPr="00B80E14">
                              <w:rPr>
                                <w:b/>
                                <w:sz w:val="20"/>
                              </w:rPr>
                              <w:t>нормални пазарни условия</w:t>
                            </w:r>
                            <w:r w:rsidRPr="00B80E14">
                              <w:rPr>
                                <w:sz w:val="20"/>
                              </w:rPr>
                              <w:t xml:space="preserve"> (ОУИП)</w:t>
                            </w:r>
                          </w:p>
                          <w:p w14:paraId="441EC9E2" w14:textId="77777777" w:rsidR="004E3164" w:rsidRPr="00B80E14" w:rsidRDefault="004E3164" w:rsidP="001E404B">
                            <w:pPr>
                              <w:ind w:firstLine="0"/>
                              <w:jc w:val="center"/>
                              <w:rPr>
                                <w:sz w:val="20"/>
                              </w:rPr>
                            </w:pPr>
                          </w:p>
                        </w:txbxContent>
                      </v:textbox>
                    </v:rect>
                    <v:rect id="Rectangle 279" o:spid="_x0000_s1318" style="position:absolute;left:2072;top:3190;width:3514;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" stroked="f" strokecolor="#666" strokeweight="1pt">
                      <v:fill color2="#999" focus="100%" type="gradient"/>
                      <v:shadow on="t" color="#7f7f7f" opacity=".5" offset="1pt"/>
                      <v:textbox>
                        <w:txbxContent>
                          <w:p w14:paraId="191AAD42" w14:textId="77777777" w:rsidR="004E3164" w:rsidRPr="00B80E14" w:rsidRDefault="004E3164" w:rsidP="001E404B">
                            <w:pPr>
                              <w:ind w:firstLine="0"/>
                              <w:jc w:val="center"/>
                              <w:rPr>
                                <w:b/>
                                <w:sz w:val="20"/>
                              </w:rPr>
                            </w:pPr>
                            <w:r w:rsidRPr="00B80E14">
                              <w:rPr>
                                <w:sz w:val="20"/>
                              </w:rPr>
                              <w:t>Държавата действа като</w:t>
                            </w:r>
                            <w:r w:rsidRPr="00B80E14">
                              <w:rPr>
                                <w:b/>
                                <w:sz w:val="20"/>
                              </w:rPr>
                              <w:t xml:space="preserve"> частен инвеститор </w:t>
                            </w:r>
                          </w:p>
                          <w:p w14:paraId="2F757F70" w14:textId="77777777" w:rsidR="004E3164" w:rsidRPr="00B80E14" w:rsidRDefault="004E3164" w:rsidP="001E404B">
                            <w:pPr>
                              <w:ind w:firstLine="0"/>
                              <w:jc w:val="center"/>
                              <w:rPr>
                                <w:i/>
                                <w:sz w:val="20"/>
                              </w:rPr>
                            </w:pPr>
                            <w:r w:rsidRPr="00B80E14">
                              <w:rPr>
                                <w:i/>
                                <w:sz w:val="20"/>
                              </w:rPr>
                              <w:t>Всеки публичен орган</w:t>
                            </w:r>
                          </w:p>
                        </w:txbxContent>
                      </v:textbox>
                    </v:rect>
                    <v:rect id="Rectangle 280" o:spid="_x0000_s1319" style="position:absolute;left:9256;top:3277;width:3691;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" stroked="f" strokecolor="#666" strokeweight="1pt">
                      <v:fill color2="#999" focus="100%" type="gradient"/>
                      <v:shadow on="t" color="#7f7f7f" opacity=".5" offset="1pt"/>
                      <v:textbox>
                        <w:txbxContent>
                          <w:p w14:paraId="1E9E3616" w14:textId="77777777" w:rsidR="004E3164" w:rsidRPr="00B80E14" w:rsidRDefault="004E3164" w:rsidP="001E404B">
                            <w:pPr>
                              <w:ind w:firstLine="0"/>
                              <w:jc w:val="center"/>
                              <w:rPr>
                                <w:b/>
                                <w:sz w:val="20"/>
                              </w:rPr>
                            </w:pPr>
                            <w:r w:rsidRPr="00B80E14">
                              <w:rPr>
                                <w:sz w:val="20"/>
                              </w:rPr>
                              <w:t>Държавата действа</w:t>
                            </w:r>
                            <w:r w:rsidRPr="00B80E14">
                              <w:rPr>
                                <w:b/>
                                <w:sz w:val="20"/>
                              </w:rPr>
                              <w:t xml:space="preserve"> </w:t>
                            </w:r>
                            <w:r w:rsidRPr="00B80E14">
                              <w:rPr>
                                <w:sz w:val="20"/>
                              </w:rPr>
                              <w:t>като</w:t>
                            </w:r>
                            <w:r w:rsidRPr="00B80E14">
                              <w:rPr>
                                <w:b/>
                                <w:sz w:val="20"/>
                              </w:rPr>
                              <w:t xml:space="preserve"> публичен орган</w:t>
                            </w:r>
                          </w:p>
                          <w:p w14:paraId="368DB66C" w14:textId="77777777" w:rsidR="004E3164" w:rsidRPr="00B80E14" w:rsidRDefault="004E3164" w:rsidP="001E404B">
                            <w:pPr>
                              <w:ind w:firstLine="0"/>
                              <w:jc w:val="center"/>
                              <w:rPr>
                                <w:i/>
                                <w:sz w:val="20"/>
                              </w:rPr>
                            </w:pPr>
                          </w:p>
                        </w:txbxContent>
                      </v:textbox>
                    </v:rect>
                  </v:group>
                  <v:group id="Group 281" o:spid="_x0000_s1320" style="position:absolute;left:3490;top:6222;width:11257;height:5086" coordorigin="3490,6222" coordsize="11257,5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Jt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Vyn8vglPQK5/AAAA//8DAFBLAQItABQABgAIAAAAIQDb4fbL7gAAAIUBAAATAAAAAAAA&#10;AAAAAAAAAAAAAABbQ29udGVudF9UeXBlc10ueG1sUEsBAi0AFAAGAAgAAAAhAFr0LFu/AAAAFQEA&#10;AAsAAAAAAAAAAAAAAAAAHwEAAF9yZWxzLy5yZWxzUEsBAi0AFAAGAAgAAAAhAO6NIm3HAAAA3QAA&#10;AA8AAAAAAAAAAAAAAAAABwIAAGRycy9kb3ducmV2LnhtbFBLBQYAAAAAAwADALcAAAD7AgAAAAA=&#10;">
                    <v:roundrect id="AutoShape 282" o:spid="_x0000_s1321" style="position:absolute;left:4170;top:7320;width:4547;height:2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" stroked="f" strokecolor="#95b3d7" strokeweight="1pt">
                      <v:fill color2="#b8cce4" focus="100%" type="gradient"/>
                      <v:shadow on="t" color="#243f60" opacity=".5" offset="1pt"/>
                      <v:textbox>
                        <w:txbxContent>
                          <w:p w14:paraId="7E6685AE" w14:textId="77777777" w:rsidR="004E3164" w:rsidRPr="004E6B6F" w:rsidRDefault="004E3164" w:rsidP="001E404B">
                            <w:pPr>
                              <w:ind w:firstLine="0"/>
                              <w:jc w:val="center"/>
                              <w:rPr>
                                <w:sz w:val="18"/>
                                <w:szCs w:val="18"/>
                              </w:rPr>
                            </w:pPr>
                            <w:r w:rsidRPr="004E6B6F">
                              <w:rPr>
                                <w:b/>
                                <w:sz w:val="18"/>
                                <w:szCs w:val="18"/>
                              </w:rPr>
                              <w:t>Условия Алтмарк</w:t>
                            </w:r>
                            <w:r w:rsidRPr="004E6B6F">
                              <w:rPr>
                                <w:sz w:val="18"/>
                                <w:szCs w:val="18"/>
                              </w:rPr>
                              <w:t>:</w:t>
                            </w:r>
                          </w:p>
                          <w:p w14:paraId="3E23629E" w14:textId="77777777" w:rsidR="004E3164" w:rsidRPr="004E6B6F" w:rsidRDefault="004E3164" w:rsidP="001E404B">
                            <w:pPr>
                              <w:numPr>
                                <w:ilvl w:val="0"/>
                                <w:numId w:val="86"/>
                              </w:numPr>
                              <w:ind w:left="0" w:firstLine="0"/>
                              <w:jc w:val="center"/>
                              <w:rPr>
                                <w:sz w:val="18"/>
                                <w:szCs w:val="18"/>
                              </w:rPr>
                            </w:pPr>
                            <w:r w:rsidRPr="004E6B6F">
                              <w:rPr>
                                <w:sz w:val="18"/>
                                <w:szCs w:val="18"/>
                              </w:rPr>
                              <w:t xml:space="preserve">УОИИ трябва да са ясно </w:t>
                            </w:r>
                            <w:r w:rsidRPr="002074D9">
                              <w:rPr>
                                <w:b/>
                                <w:sz w:val="18"/>
                                <w:szCs w:val="18"/>
                              </w:rPr>
                              <w:t>определени;</w:t>
                            </w:r>
                          </w:p>
                          <w:p w14:paraId="6E8B0B5B" w14:textId="77777777" w:rsidR="004E3164" w:rsidRPr="004E6B6F" w:rsidRDefault="004E3164" w:rsidP="001E404B">
                            <w:pPr>
                              <w:numPr>
                                <w:ilvl w:val="0"/>
                                <w:numId w:val="86"/>
                              </w:numPr>
                              <w:ind w:left="0" w:firstLine="0"/>
                              <w:jc w:val="center"/>
                              <w:rPr>
                                <w:sz w:val="18"/>
                                <w:szCs w:val="18"/>
                              </w:rPr>
                            </w:pPr>
                            <w:r w:rsidRPr="004E6B6F">
                              <w:rPr>
                                <w:sz w:val="18"/>
                                <w:szCs w:val="18"/>
                              </w:rPr>
                              <w:t xml:space="preserve">Параметрите на компенсацията  трябва да са </w:t>
                            </w:r>
                            <w:r w:rsidRPr="002074D9">
                              <w:rPr>
                                <w:b/>
                                <w:sz w:val="18"/>
                                <w:szCs w:val="18"/>
                              </w:rPr>
                              <w:t>предварително  установени</w:t>
                            </w:r>
                            <w:r w:rsidRPr="004E6B6F">
                              <w:rPr>
                                <w:sz w:val="18"/>
                                <w:szCs w:val="18"/>
                              </w:rPr>
                              <w:t>;</w:t>
                            </w:r>
                          </w:p>
                          <w:p w14:paraId="673F9898" w14:textId="77777777" w:rsidR="004E3164" w:rsidRDefault="004E3164" w:rsidP="001E404B">
                            <w:pPr>
                              <w:numPr>
                                <w:ilvl w:val="0"/>
                                <w:numId w:val="86"/>
                              </w:numPr>
                              <w:ind w:left="0" w:firstLine="0"/>
                              <w:jc w:val="center"/>
                              <w:rPr>
                                <w:sz w:val="18"/>
                                <w:szCs w:val="18"/>
                              </w:rPr>
                            </w:pPr>
                            <w:r w:rsidRPr="004E6B6F">
                              <w:rPr>
                                <w:sz w:val="18"/>
                                <w:szCs w:val="18"/>
                              </w:rPr>
                              <w:t>Компенсацията  не може да надвишава</w:t>
                            </w:r>
                            <w:r>
                              <w:rPr>
                                <w:sz w:val="18"/>
                                <w:szCs w:val="18"/>
                              </w:rPr>
                              <w:t xml:space="preserve"> сумата покриване на  </w:t>
                            </w:r>
                            <w:r w:rsidRPr="002074D9">
                              <w:rPr>
                                <w:b/>
                                <w:sz w:val="18"/>
                                <w:szCs w:val="18"/>
                              </w:rPr>
                              <w:t>разходите з</w:t>
                            </w:r>
                            <w:r>
                              <w:rPr>
                                <w:sz w:val="18"/>
                                <w:szCs w:val="18"/>
                              </w:rPr>
                              <w:t>а УОИИ,  като се приспаднат приходите при разумна печалба</w:t>
                            </w:r>
                            <w:r w:rsidRPr="004E6B6F">
                              <w:rPr>
                                <w:sz w:val="18"/>
                                <w:szCs w:val="18"/>
                              </w:rPr>
                              <w:t>;</w:t>
                            </w:r>
                          </w:p>
                          <w:p w14:paraId="0DCDE6D9" w14:textId="77777777" w:rsidR="004E3164" w:rsidRPr="00EC4961" w:rsidRDefault="004E3164" w:rsidP="001E404B">
                            <w:pPr>
                              <w:ind w:firstLine="0"/>
                              <w:jc w:val="center"/>
                              <w:rPr>
                                <w:sz w:val="18"/>
                                <w:szCs w:val="18"/>
                              </w:rPr>
                            </w:pPr>
                            <w:r w:rsidRPr="00EC4961">
                              <w:rPr>
                                <w:sz w:val="18"/>
                                <w:szCs w:val="18"/>
                              </w:rPr>
                              <w:t xml:space="preserve">Разходите не трябва да са по-високи от </w:t>
                            </w:r>
                            <w:r w:rsidRPr="00EC4961">
                              <w:rPr>
                                <w:b/>
                                <w:sz w:val="18"/>
                                <w:szCs w:val="18"/>
                              </w:rPr>
                              <w:t>присъщите за такава дейност</w:t>
                            </w:r>
                            <w:r w:rsidRPr="00EC4961">
                              <w:rPr>
                                <w:sz w:val="18"/>
                                <w:szCs w:val="18"/>
                              </w:rPr>
                              <w:t>,</w:t>
                            </w:r>
                            <w:r>
                              <w:rPr>
                                <w:sz w:val="18"/>
                                <w:szCs w:val="18"/>
                              </w:rPr>
                              <w:t xml:space="preserve"> </w:t>
                            </w:r>
                            <w:r w:rsidRPr="00EC4961">
                              <w:rPr>
                                <w:sz w:val="18"/>
                                <w:szCs w:val="18"/>
                              </w:rPr>
                              <w:t xml:space="preserve">определени по обективен начин (чрез избор по ЗОП или  </w:t>
                            </w:r>
                            <w:r w:rsidRPr="008B2D84">
                              <w:rPr>
                                <w:sz w:val="18"/>
                                <w:szCs w:val="18"/>
                              </w:rPr>
                              <w:t>сравнителен анализ);</w:t>
                            </w:r>
                          </w:p>
                        </w:txbxContent>
                      </v:textbox>
                    </v:roundrect>
                    <v:shape id="AutoShape 283" o:spid="_x0000_s1322" type="#_x0000_t32" style="position:absolute;left:8717;top:8409;width:5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" strokeweight="1.25pt"/>
                    <v:rect id="Rectangle 284" o:spid="_x0000_s1323" style="position:absolute;left:9256;top:7839;width:395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" stroked="f" strokecolor="#666" strokeweight="1pt">
                      <v:fill color2="#999" focus="100%" type="gradient"/>
                      <v:shadow on="t" color="#7f7f7f" opacity=".5" offset="1pt"/>
                      <v:textbox>
                        <w:txbxContent>
                          <w:p w14:paraId="25812889" w14:textId="77777777" w:rsidR="004E3164" w:rsidRPr="00B80E14" w:rsidRDefault="004E3164" w:rsidP="001E404B">
                            <w:pPr>
                              <w:ind w:firstLine="0"/>
                              <w:jc w:val="center"/>
                              <w:rPr>
                                <w:sz w:val="20"/>
                              </w:rPr>
                            </w:pPr>
                            <w:r w:rsidRPr="00B80E14">
                              <w:rPr>
                                <w:sz w:val="20"/>
                              </w:rPr>
                              <w:t xml:space="preserve">Мярката </w:t>
                            </w:r>
                            <w:r w:rsidRPr="00B80E14">
                              <w:rPr>
                                <w:b/>
                                <w:sz w:val="20"/>
                              </w:rPr>
                              <w:t xml:space="preserve">компенсира </w:t>
                            </w:r>
                            <w:r w:rsidRPr="00B80E14">
                              <w:rPr>
                                <w:sz w:val="20"/>
                              </w:rPr>
                              <w:t>ли разходи от</w:t>
                            </w:r>
                            <w:r w:rsidRPr="00B80E14">
                              <w:rPr>
                                <w:b/>
                                <w:sz w:val="20"/>
                              </w:rPr>
                              <w:t xml:space="preserve"> </w:t>
                            </w:r>
                            <w:r w:rsidRPr="00B80E14">
                              <w:rPr>
                                <w:sz w:val="20"/>
                              </w:rPr>
                              <w:t>предоставянето на</w:t>
                            </w:r>
                            <w:r w:rsidRPr="00B80E14">
                              <w:rPr>
                                <w:b/>
                                <w:sz w:val="20"/>
                              </w:rPr>
                              <w:t xml:space="preserve">  услуги от общ икономически интерес (УОИИ), </w:t>
                            </w:r>
                            <w:r w:rsidRPr="00B80E14">
                              <w:rPr>
                                <w:sz w:val="20"/>
                              </w:rPr>
                              <w:t>съгласно</w:t>
                            </w:r>
                            <w:r w:rsidRPr="00B80E14">
                              <w:rPr>
                                <w:b/>
                                <w:sz w:val="20"/>
                              </w:rPr>
                              <w:t xml:space="preserve"> условията Алтмарк  </w:t>
                            </w:r>
                            <w:r w:rsidRPr="00B80E14">
                              <w:rPr>
                                <w:sz w:val="20"/>
                              </w:rPr>
                              <w:t xml:space="preserve">?  </w:t>
                            </w:r>
                          </w:p>
                        </w:txbxContent>
                      </v:textbox>
                    </v:rect>
                    <v:shape id="AutoShape 285" o:spid="_x0000_s1324" type="#_x0000_t110" style="position:absolute;left:10875;top:9419;width:538;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" stroked="f" strokecolor="#fabf8f" strokeweight="1pt">
                      <v:fill color2="#fbd4b4" focus="100%" type="gradient"/>
                      <v:shadow on="t" color="#974706" opacity=".5" offset="1pt"/>
                    </v:shape>
                    <v:shape id="AutoShape 286" o:spid="_x0000_s1325" type="#_x0000_t32" style="position:absolute;left:11175;top:9056;width:15;height:3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">
                      <v:stroke endarrow="block"/>
                    </v:shape>
                    <v:shape id="AutoShape 287" o:spid="_x0000_s1326" type="#_x0000_t32" style="position:absolute;left:4063;top:7097;width:9952;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" strokecolor="red">
                      <v:stroke endarrow="block"/>
                    </v:shape>
                    <v:shape id="AutoShape 288" o:spid="_x0000_s1327" type="#_x0000_t34" style="position:absolute;left:2440;top:8635;width:3639;height:87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" adj="21629" strokecolor="#0070c0">
                      <v:stroke endarrow="block"/>
                    </v:shape>
                    <v:shape id="AutoShape 289" o:spid="_x0000_s1328" type="#_x0000_t34" style="position:absolute;left:10424;top:10127;width:1009;height:52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" adj="21343" strokecolor="#0070c0">
                      <v:stroke endarrow="block"/>
                    </v:shape>
                    <v:shape id="AutoShape 290" o:spid="_x0000_s1329" type="#_x0000_t32" style="position:absolute;left:11413;top:9728;width:26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" strokecolor="red" strokeweight="1.25pt">
                      <v:stroke endarrow="block"/>
                    </v:shape>
                    <v:shape id="Text Box 291" o:spid="_x0000_s1330" type="#_x0000_t202" style="position:absolute;left:11601;top:9524;width:57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" strokecolor="red" strokeweight="1pt">
                      <v:fill color2="#999" focus="100%" type="gradient"/>
                      <v:shadow on="t" color="#7f7f7f" opacity=".5" offset="1pt"/>
                      <v:textbox>
                        <w:txbxContent>
                          <w:p w14:paraId="0CB258D8" w14:textId="77777777" w:rsidR="004E3164" w:rsidRPr="0043736B" w:rsidRDefault="004E3164" w:rsidP="001E404B">
                            <w:pPr>
                              <w:ind w:firstLine="0"/>
                              <w:jc w:val="center"/>
                              <w:rPr>
                                <w:color w:val="FF0000"/>
                                <w:sz w:val="16"/>
                                <w:szCs w:val="16"/>
                              </w:rPr>
                            </w:pPr>
                            <w:r>
                              <w:rPr>
                                <w:color w:val="FF0000"/>
                                <w:sz w:val="16"/>
                                <w:szCs w:val="16"/>
                              </w:rPr>
                              <w:t>н</w:t>
                            </w:r>
                            <w:r w:rsidRPr="0043736B">
                              <w:rPr>
                                <w:color w:val="FF0000"/>
                                <w:sz w:val="16"/>
                                <w:szCs w:val="16"/>
                              </w:rPr>
                              <w:t>е</w:t>
                            </w:r>
                          </w:p>
                        </w:txbxContent>
                      </v:textbox>
                    </v:shape>
                    <v:shape id="Text Box 292" o:spid="_x0000_s1331" type="#_x0000_t202" style="position:absolute;left:5426;top:6877;width:57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" strokecolor="red" strokeweight="1pt">
                      <v:fill color2="#999" focus="100%" type="gradient"/>
                      <v:shadow on="t" color="#7f7f7f" opacity=".5" offset="1pt"/>
                      <v:textbox>
                        <w:txbxContent>
                          <w:p w14:paraId="74FE8721" w14:textId="77777777" w:rsidR="004E3164" w:rsidRPr="0043736B" w:rsidRDefault="004E3164" w:rsidP="001E404B">
                            <w:pPr>
                              <w:ind w:firstLine="0"/>
                              <w:jc w:val="center"/>
                              <w:rPr>
                                <w:color w:val="FF0000"/>
                                <w:sz w:val="16"/>
                                <w:szCs w:val="16"/>
                              </w:rPr>
                            </w:pPr>
                            <w:r>
                              <w:rPr>
                                <w:color w:val="FF0000"/>
                                <w:sz w:val="16"/>
                                <w:szCs w:val="16"/>
                              </w:rPr>
                              <w:t>н</w:t>
                            </w:r>
                            <w:r w:rsidRPr="0043736B">
                              <w:rPr>
                                <w:color w:val="FF0000"/>
                                <w:sz w:val="16"/>
                                <w:szCs w:val="16"/>
                              </w:rPr>
                              <w:t>е</w:t>
                            </w:r>
                          </w:p>
                        </w:txbxContent>
                      </v:textbox>
                    </v:shape>
                    <v:shape id="Text Box 293" o:spid="_x0000_s1332" type="#_x0000_t202" style="position:absolute;left:10875;top:10240;width:57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" strokecolor="#00b0f0" strokeweight="1pt">
                      <v:fill color2="#999" focus="100%" type="gradient"/>
                      <v:shadow on="t" color="#7f7f7f" opacity=".5" offset="1pt"/>
                      <v:textbox>
                        <w:txbxContent>
                          <w:p w14:paraId="15A119A9" w14:textId="77777777" w:rsidR="004E3164" w:rsidRPr="0043736B" w:rsidRDefault="004E3164" w:rsidP="001E404B">
                            <w:pPr>
                              <w:ind w:firstLine="0"/>
                              <w:jc w:val="center"/>
                              <w:rPr>
                                <w:color w:val="0070C0"/>
                                <w:sz w:val="16"/>
                                <w:szCs w:val="16"/>
                              </w:rPr>
                            </w:pPr>
                            <w:r w:rsidRPr="0043736B">
                              <w:rPr>
                                <w:color w:val="0070C0"/>
                                <w:sz w:val="16"/>
                                <w:szCs w:val="16"/>
                              </w:rPr>
                              <w:t>да</w:t>
                            </w:r>
                          </w:p>
                        </w:txbxContent>
                      </v:textbox>
                    </v:shape>
                    <v:shape id="Text Box 294" o:spid="_x0000_s1333" type="#_x0000_t202" style="position:absolute;left:3490;top:7637;width:57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" strokecolor="#00b0f0" strokeweight="1pt">
                      <v:fill color2="#999" focus="100%" type="gradient"/>
                      <v:shadow on="t" color="#7f7f7f" opacity=".5" offset="1pt"/>
                      <v:textbox>
                        <w:txbxContent>
                          <w:p w14:paraId="31EA881F" w14:textId="77777777" w:rsidR="004E3164" w:rsidRPr="0043736B" w:rsidRDefault="004E3164" w:rsidP="001E404B">
                            <w:pPr>
                              <w:ind w:firstLine="0"/>
                              <w:jc w:val="center"/>
                              <w:rPr>
                                <w:color w:val="0070C0"/>
                                <w:sz w:val="16"/>
                                <w:szCs w:val="16"/>
                              </w:rPr>
                            </w:pPr>
                            <w:r w:rsidRPr="0043736B">
                              <w:rPr>
                                <w:color w:val="0070C0"/>
                                <w:sz w:val="16"/>
                                <w:szCs w:val="16"/>
                              </w:rPr>
                              <w:t>да</w:t>
                            </w:r>
                          </w:p>
                        </w:txbxContent>
                      </v:textbox>
                    </v:shape>
                    <v:shape id="AutoShape 295" o:spid="_x0000_s1334" type="#_x0000_t117" style="position:absolute;left:12180;top:8033;width:4378;height:7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" stroked="f" strokecolor="#d99594" strokeweight="1pt">
                      <v:fill color2="#e5b8b7" focus="100%" type="gradient"/>
                      <v:shadow on="t" color="#622423" opacity=".5" offset="1pt"/>
                      <v:textbox style="layout-flow:vertical;mso-layout-flow-alt:bottom-to-top">
                        <w:txbxContent>
                          <w:p w14:paraId="55A526B7" w14:textId="77777777" w:rsidR="004E3164" w:rsidRPr="00FC0C15" w:rsidRDefault="004E3164" w:rsidP="001E404B">
                            <w:pPr>
                              <w:ind w:firstLine="0"/>
                              <w:jc w:val="center"/>
                              <w:rPr>
                                <w:b/>
                                <w:color w:val="FF0000"/>
                              </w:rPr>
                            </w:pPr>
                            <w:r>
                              <w:rPr>
                                <w:b/>
                                <w:color w:val="FF0000"/>
                              </w:rPr>
                              <w:t>Наличие на предимство</w:t>
                            </w:r>
                          </w:p>
                        </w:txbxContent>
                      </v:textbox>
                    </v:shape>
                    <v:shape id="AutoShape 296" o:spid="_x0000_s1335" type="#_x0000_t117" style="position:absolute;left:4698;top:10600;width:6036;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" stroked="f" strokecolor="#d99594" strokeweight="1pt">
                      <v:fill color2="#e5b8b7" focus="100%" type="gradient"/>
                      <v:shadow on="t" color="#622423" opacity=".5" offset="1pt"/>
                      <v:textbox>
                        <w:txbxContent>
                          <w:p w14:paraId="7B1365B9" w14:textId="77777777" w:rsidR="004E3164" w:rsidRPr="002074D9" w:rsidRDefault="004E3164" w:rsidP="001E404B">
                            <w:pPr>
                              <w:ind w:firstLine="0"/>
                              <w:jc w:val="center"/>
                              <w:rPr>
                                <w:b/>
                                <w:color w:val="0070C0"/>
                              </w:rPr>
                            </w:pPr>
                            <w:r w:rsidRPr="002074D9">
                              <w:rPr>
                                <w:b/>
                                <w:color w:val="0070C0"/>
                              </w:rPr>
                              <w:t>Не е налично предимство</w:t>
                            </w:r>
                          </w:p>
                        </w:txbxContent>
                      </v:textbox>
                    </v:shape>
                    <v:roundrect id="AutoShape 297" o:spid="_x0000_s1336" style="position:absolute;left:11549;top:10893;width:3119;height:4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" fillcolor="#ffbe86" strokecolor="#f69240">
                      <v:fill color2="#ffebdb" rotate="t" angle="180" colors="0 #ffbe86;22938f #ffd0aa;1 #ffebdb" focus="100%" type="gradient"/>
                      <v:shadow on="t" color="black" opacity="24903f" origin=",.5" offset="0,.55556mm"/>
                      <v:textbox>
                        <w:txbxContent>
                          <w:p w14:paraId="50ED098D" w14:textId="77777777" w:rsidR="004E3164" w:rsidRPr="00EB1523" w:rsidRDefault="004E3164" w:rsidP="001E404B">
                            <w:pPr>
                              <w:ind w:firstLine="0"/>
                              <w:jc w:val="center"/>
                              <w:rPr>
                                <w:sz w:val="16"/>
                                <w:szCs w:val="16"/>
                              </w:rPr>
                            </w:pPr>
                            <w:r>
                              <w:rPr>
                                <w:sz w:val="16"/>
                                <w:szCs w:val="16"/>
                              </w:rPr>
                              <w:t xml:space="preserve">Ситуацията </w:t>
                            </w:r>
                            <w:r>
                              <w:rPr>
                                <w:b/>
                                <w:sz w:val="16"/>
                                <w:szCs w:val="16"/>
                                <w:u w:val="single"/>
                              </w:rPr>
                              <w:t xml:space="preserve">след </w:t>
                            </w:r>
                            <w:r>
                              <w:rPr>
                                <w:sz w:val="16"/>
                                <w:szCs w:val="16"/>
                              </w:rPr>
                              <w:t xml:space="preserve">помощта или мярката </w:t>
                            </w:r>
                          </w:p>
                          <w:p w14:paraId="30944E13" w14:textId="77777777" w:rsidR="004E3164" w:rsidRPr="00EB1523" w:rsidRDefault="004E3164" w:rsidP="001E404B">
                            <w:pPr>
                              <w:ind w:firstLine="0"/>
                              <w:jc w:val="center"/>
                              <w:rPr>
                                <w:sz w:val="16"/>
                                <w:szCs w:val="16"/>
                              </w:rPr>
                            </w:pPr>
                          </w:p>
                        </w:txbxContent>
                      </v:textbox>
                    </v:roundrect>
                  </v:group>
                </v:group>
                <w10:anchorlock/>
              </v:group>
            </w:pict>
          </mc:Fallback>
        </mc:AlternateContent>
      </w:r>
    </w:p>
    <w:p w14:paraId="5BCFEC1C" w14:textId="77777777" w:rsidR="00D603F5" w:rsidRPr="001B0EA3" w:rsidRDefault="00D603F5" w:rsidP="003B124D">
      <w:pPr>
        <w:spacing w:beforeLines="60" w:before="144" w:afterLines="60" w:after="144"/>
        <w:ind w:firstLine="0"/>
        <w:jc w:val="center"/>
        <w:rPr>
          <w:szCs w:val="22"/>
          <w:lang w:eastAsia="en-US"/>
        </w:rPr>
      </w:pPr>
    </w:p>
    <w:p w14:paraId="52A1C803" w14:textId="77777777" w:rsidR="00D603F5" w:rsidRPr="001B0EA3" w:rsidRDefault="00D603F5" w:rsidP="003B124D">
      <w:pPr>
        <w:tabs>
          <w:tab w:val="left" w:pos="851"/>
          <w:tab w:val="left" w:pos="993"/>
        </w:tabs>
        <w:spacing w:beforeLines="60" w:before="144" w:afterLines="60" w:after="144"/>
        <w:ind w:firstLine="0"/>
        <w:jc w:val="center"/>
        <w:rPr>
          <w:szCs w:val="22"/>
          <w:lang w:eastAsia="en-US"/>
        </w:rPr>
        <w:sectPr w:rsidR="00D603F5" w:rsidRPr="001B0EA3" w:rsidSect="002E4F6D">
          <w:pgSz w:w="16838" w:h="11906" w:orient="landscape" w:code="9"/>
          <w:pgMar w:top="1134" w:right="1134" w:bottom="1134" w:left="1134" w:header="505" w:footer="238" w:gutter="0"/>
          <w:cols w:space="708"/>
          <w:docGrid w:linePitch="272"/>
        </w:sectPr>
      </w:pPr>
    </w:p>
    <w:p w14:paraId="2382ECC4" w14:textId="77777777" w:rsidR="00D603F5" w:rsidRPr="00842ECC" w:rsidRDefault="00D603F5" w:rsidP="00ED358C">
      <w:pPr>
        <w:pStyle w:val="Style3"/>
        <w:rPr>
          <w:lang w:val="bg-BG" w:eastAsia="en-US"/>
        </w:rPr>
      </w:pPr>
      <w:bookmarkStart w:id="334" w:name="_Toc479775576"/>
      <w:r w:rsidRPr="00842ECC">
        <w:rPr>
          <w:lang w:val="bg-BG" w:eastAsia="en-US"/>
        </w:rPr>
        <w:lastRenderedPageBreak/>
        <w:t>Наличие на селективност (избирателност) -  предоставяне на помощта на  определени предприятия или за определени стоки</w:t>
      </w:r>
      <w:r w:rsidR="00EC4961" w:rsidRPr="00842ECC">
        <w:rPr>
          <w:lang w:val="bg-BG" w:eastAsia="en-US"/>
        </w:rPr>
        <w:t xml:space="preserve"> (Фиг. 2.7)</w:t>
      </w:r>
      <w:bookmarkEnd w:id="334"/>
    </w:p>
    <w:p w14:paraId="70C1CE3A" w14:textId="77777777" w:rsidR="00D603F5" w:rsidRPr="001B0EA3" w:rsidRDefault="00D603F5" w:rsidP="008E6361">
      <w:pPr>
        <w:rPr>
          <w:lang w:eastAsia="en-US"/>
        </w:rPr>
      </w:pPr>
      <w:r w:rsidRPr="001B0EA3">
        <w:rPr>
          <w:lang w:eastAsia="en-US"/>
        </w:rPr>
        <w:t>Държавната мярка попада в обхвата на член 107, параграф 1 от ДФЕС, ако поставя в по-благоприятно положение „</w:t>
      </w:r>
      <w:r w:rsidRPr="001B0EA3">
        <w:rPr>
          <w:b/>
          <w:lang w:eastAsia="en-US"/>
        </w:rPr>
        <w:t>определени</w:t>
      </w:r>
      <w:r w:rsidRPr="001B0EA3">
        <w:rPr>
          <w:lang w:eastAsia="en-US"/>
        </w:rPr>
        <w:t xml:space="preserve"> предприятия или производството на някои стоки“. Следователно не всички мерки, които поставят в по-благоприятно положение икономическите оператори съответстват на понятието за помощ</w:t>
      </w:r>
      <w:r w:rsidRPr="001B0EA3">
        <w:rPr>
          <w:b/>
          <w:lang w:eastAsia="en-US"/>
        </w:rPr>
        <w:t>, а само онези</w:t>
      </w:r>
      <w:r w:rsidRPr="001B0EA3">
        <w:rPr>
          <w:lang w:eastAsia="en-US"/>
        </w:rPr>
        <w:t xml:space="preserve">, които предоставят предимство по </w:t>
      </w:r>
      <w:r w:rsidRPr="001B0EA3">
        <w:rPr>
          <w:b/>
          <w:lang w:eastAsia="en-US"/>
        </w:rPr>
        <w:t>селективен начин</w:t>
      </w:r>
      <w:r w:rsidRPr="001B0EA3">
        <w:rPr>
          <w:lang w:eastAsia="en-US"/>
        </w:rPr>
        <w:t xml:space="preserve"> на определени предприятия или категории от предприятия или на някои икономически сектори</w:t>
      </w:r>
      <w:r w:rsidR="00DD3072" w:rsidRPr="001B0EA3">
        <w:rPr>
          <w:lang w:eastAsia="en-US"/>
        </w:rPr>
        <w:t xml:space="preserve"> </w:t>
      </w:r>
      <w:r w:rsidR="00DD3072" w:rsidRPr="001B0EA3">
        <w:rPr>
          <w:i/>
          <w:lang w:eastAsia="en-US"/>
        </w:rPr>
        <w:t>(т.117 от Известието)</w:t>
      </w:r>
      <w:r w:rsidRPr="001B0EA3">
        <w:rPr>
          <w:lang w:eastAsia="en-US"/>
        </w:rPr>
        <w:t>.</w:t>
      </w:r>
    </w:p>
    <w:p w14:paraId="56117BA8" w14:textId="77777777" w:rsidR="00DD3072" w:rsidRPr="001B0EA3" w:rsidRDefault="00DD3072" w:rsidP="008E6361">
      <w:pPr>
        <w:rPr>
          <w:lang w:eastAsia="en-US"/>
        </w:rPr>
      </w:pPr>
      <w:r w:rsidRPr="001B0EA3">
        <w:rPr>
          <w:lang w:eastAsia="en-US"/>
        </w:rPr>
        <w:t xml:space="preserve">За изясняване на понятието за селективност в </w:t>
      </w:r>
      <w:r w:rsidR="00E813B6" w:rsidRPr="001B0EA3">
        <w:rPr>
          <w:lang w:eastAsia="en-US"/>
        </w:rPr>
        <w:t>съответствие</w:t>
      </w:r>
      <w:r w:rsidRPr="001B0EA3">
        <w:rPr>
          <w:lang w:eastAsia="en-US"/>
        </w:rPr>
        <w:t xml:space="preserve"> с правото в областта на ДП е полезно да се  направи разграничение между избирателност по </w:t>
      </w:r>
      <w:r w:rsidRPr="001B0EA3">
        <w:rPr>
          <w:b/>
          <w:lang w:eastAsia="en-US"/>
        </w:rPr>
        <w:t>същество</w:t>
      </w:r>
      <w:r w:rsidRPr="001B0EA3">
        <w:rPr>
          <w:lang w:eastAsia="en-US"/>
        </w:rPr>
        <w:t xml:space="preserve"> и </w:t>
      </w:r>
      <w:r w:rsidRPr="001B0EA3">
        <w:rPr>
          <w:b/>
          <w:lang w:eastAsia="en-US"/>
        </w:rPr>
        <w:t>регионална</w:t>
      </w:r>
      <w:r w:rsidRPr="001B0EA3">
        <w:rPr>
          <w:lang w:eastAsia="en-US"/>
        </w:rPr>
        <w:t xml:space="preserve"> избирателност. </w:t>
      </w:r>
      <w:r w:rsidRPr="001B0EA3">
        <w:rPr>
          <w:i/>
          <w:lang w:eastAsia="en-US"/>
        </w:rPr>
        <w:t>(т.119 от Известието)</w:t>
      </w:r>
    </w:p>
    <w:p w14:paraId="77C1CE25" w14:textId="77777777" w:rsidR="00D603F5" w:rsidRPr="001B0EA3" w:rsidRDefault="00DD3072" w:rsidP="008E6361">
      <w:pPr>
        <w:rPr>
          <w:lang w:eastAsia="en-US"/>
        </w:rPr>
      </w:pPr>
      <w:r w:rsidRPr="001B0EA3">
        <w:rPr>
          <w:lang w:eastAsia="en-US"/>
        </w:rPr>
        <w:t>По–детайлни разяснения относно критерия „</w:t>
      </w:r>
      <w:r w:rsidRPr="001B0EA3">
        <w:rPr>
          <w:b/>
          <w:lang w:eastAsia="en-US"/>
        </w:rPr>
        <w:t>наличие на избирателност“</w:t>
      </w:r>
      <w:r w:rsidRPr="001B0EA3">
        <w:rPr>
          <w:lang w:eastAsia="en-US"/>
        </w:rPr>
        <w:t xml:space="preserve"> са дадени в раздел 5. „</w:t>
      </w:r>
      <w:r w:rsidR="00E813B6" w:rsidRPr="001B0EA3">
        <w:rPr>
          <w:lang w:eastAsia="en-US"/>
        </w:rPr>
        <w:t>Избирателност</w:t>
      </w:r>
      <w:r w:rsidRPr="001B0EA3">
        <w:rPr>
          <w:lang w:eastAsia="en-US"/>
        </w:rPr>
        <w:t xml:space="preserve">“  на Известието </w:t>
      </w:r>
      <w:r w:rsidRPr="001B0EA3">
        <w:rPr>
          <w:i/>
          <w:lang w:eastAsia="en-US"/>
        </w:rPr>
        <w:t>(от т. 117 до т. 184)</w:t>
      </w:r>
      <w:r w:rsidR="00D603F5" w:rsidRPr="001B0EA3">
        <w:rPr>
          <w:lang w:eastAsia="en-US"/>
        </w:rPr>
        <w:t>.</w:t>
      </w:r>
    </w:p>
    <w:p w14:paraId="610E53C8" w14:textId="77777777" w:rsidR="00D603F5" w:rsidRPr="001B0EA3" w:rsidRDefault="00D603F5" w:rsidP="008E6361">
      <w:pPr>
        <w:rPr>
          <w:lang w:eastAsia="en-US"/>
        </w:rPr>
      </w:pPr>
    </w:p>
    <w:p w14:paraId="7DB100AF" w14:textId="77777777" w:rsidR="00D603F5" w:rsidRPr="001B0EA3" w:rsidRDefault="00D603F5" w:rsidP="008E6361">
      <w:pPr>
        <w:rPr>
          <w:i/>
          <w:szCs w:val="22"/>
          <w:lang w:eastAsia="en-US"/>
        </w:rPr>
      </w:pPr>
      <w:r w:rsidRPr="001B0EA3">
        <w:rPr>
          <w:szCs w:val="22"/>
          <w:lang w:eastAsia="en-US"/>
        </w:rPr>
        <w:t xml:space="preserve">Фиг. 2.7. Определяне наличието на </w:t>
      </w:r>
      <w:r w:rsidRPr="001B0EA3">
        <w:rPr>
          <w:b/>
          <w:szCs w:val="22"/>
          <w:lang w:eastAsia="en-US"/>
        </w:rPr>
        <w:t xml:space="preserve">селективност </w:t>
      </w:r>
      <w:r w:rsidRPr="001B0EA3">
        <w:rPr>
          <w:i/>
          <w:szCs w:val="22"/>
          <w:lang w:eastAsia="en-US"/>
        </w:rPr>
        <w:t xml:space="preserve">(избирателност)  </w:t>
      </w:r>
    </w:p>
    <w:p w14:paraId="0A744266" w14:textId="77777777" w:rsidR="00D603F5" w:rsidRPr="001B0EA3" w:rsidRDefault="00D603F5" w:rsidP="00511860">
      <w:pPr>
        <w:tabs>
          <w:tab w:val="left" w:pos="851"/>
          <w:tab w:val="left" w:pos="993"/>
        </w:tabs>
        <w:spacing w:beforeLines="60" w:before="144" w:afterLines="60" w:after="144"/>
        <w:rPr>
          <w:i/>
          <w:szCs w:val="22"/>
          <w:lang w:eastAsia="en-US"/>
        </w:rPr>
      </w:pPr>
    </w:p>
    <w:p w14:paraId="2923EA3E" w14:textId="77777777" w:rsidR="00D603F5" w:rsidRPr="001B0EA3" w:rsidRDefault="00937754" w:rsidP="008E6361">
      <w:pPr>
        <w:spacing w:beforeLines="60" w:before="144" w:afterLines="60" w:after="144"/>
        <w:ind w:firstLine="0"/>
        <w:jc w:val="center"/>
        <w:rPr>
          <w:szCs w:val="22"/>
          <w:lang w:eastAsia="en-US"/>
        </w:rPr>
      </w:pPr>
      <w:r w:rsidRPr="001B0EA3">
        <w:rPr>
          <w:noProof/>
          <w:lang w:eastAsia="bg-BG"/>
        </w:rPr>
        <mc:AlternateContent>
          <mc:Choice Requires="wpg">
            <w:drawing>
              <wp:inline distT="0" distB="0" distL="0" distR="0" wp14:anchorId="38B10179" wp14:editId="79924204">
                <wp:extent cx="6142990" cy="4521200"/>
                <wp:effectExtent l="0" t="0" r="10160" b="31750"/>
                <wp:docPr id="2112"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990" cy="4521200"/>
                          <a:chOff x="3324" y="2297"/>
                          <a:chExt cx="7455" cy="7120"/>
                        </a:xfrm>
                      </wpg:grpSpPr>
                      <wps:wsp>
                        <wps:cNvPr id="2113" name="AutoShape 299"/>
                        <wps:cNvCnPr>
                          <a:cxnSpLocks noChangeShapeType="1"/>
                        </wps:cNvCnPr>
                        <wps:spPr bwMode="auto">
                          <a:xfrm>
                            <a:off x="8458" y="7231"/>
                            <a:ext cx="1787"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114" name="AutoShape 300"/>
                        <wps:cNvCnPr>
                          <a:cxnSpLocks noChangeShapeType="1"/>
                        </wps:cNvCnPr>
                        <wps:spPr bwMode="auto">
                          <a:xfrm>
                            <a:off x="8551" y="5138"/>
                            <a:ext cx="1427"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cNvPr id="2115" name="Group 301"/>
                        <wpg:cNvGrpSpPr>
                          <a:grpSpLocks/>
                        </wpg:cNvGrpSpPr>
                        <wpg:grpSpPr bwMode="auto">
                          <a:xfrm>
                            <a:off x="3324" y="2297"/>
                            <a:ext cx="7455" cy="7120"/>
                            <a:chOff x="3324" y="2297"/>
                            <a:chExt cx="7455" cy="7120"/>
                          </a:xfrm>
                        </wpg:grpSpPr>
                        <wps:wsp>
                          <wps:cNvPr id="2116" name="Rectangle 302"/>
                          <wps:cNvSpPr>
                            <a:spLocks noChangeArrowheads="1"/>
                          </wps:cNvSpPr>
                          <wps:spPr bwMode="auto">
                            <a:xfrm>
                              <a:off x="3623" y="4559"/>
                              <a:ext cx="4928" cy="1133"/>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14:paraId="16E602FE" w14:textId="77777777" w:rsidR="004E3164" w:rsidRPr="00B80E14" w:rsidRDefault="004E3164" w:rsidP="008E6361">
                                <w:pPr>
                                  <w:ind w:firstLine="0"/>
                                  <w:jc w:val="center"/>
                                  <w:rPr>
                                    <w:b/>
                                    <w:sz w:val="20"/>
                                  </w:rPr>
                                </w:pPr>
                                <w:r w:rsidRPr="00B80E14">
                                  <w:rPr>
                                    <w:sz w:val="20"/>
                                  </w:rPr>
                                  <w:t xml:space="preserve">Марка, която е (или може да бъде ограничена) вследствие на </w:t>
                                </w:r>
                                <w:r w:rsidRPr="00B80E14">
                                  <w:rPr>
                                    <w:b/>
                                    <w:sz w:val="20"/>
                                  </w:rPr>
                                  <w:t>дискреционни правомощия</w:t>
                                </w:r>
                                <w:r w:rsidRPr="00B80E14">
                                  <w:rPr>
                                    <w:sz w:val="20"/>
                                  </w:rPr>
                                  <w:t xml:space="preserve"> на администратора (прилага се по негова преценка </w:t>
                                </w:r>
                                <w:r w:rsidRPr="00B80E14">
                                  <w:rPr>
                                    <w:b/>
                                    <w:sz w:val="20"/>
                                  </w:rPr>
                                  <w:t>)</w:t>
                                </w:r>
                              </w:p>
                              <w:p w14:paraId="110D91D5" w14:textId="77777777" w:rsidR="004E3164" w:rsidRPr="00B80E14" w:rsidRDefault="004E3164" w:rsidP="008E6361">
                                <w:pPr>
                                  <w:ind w:firstLine="0"/>
                                  <w:jc w:val="center"/>
                                  <w:rPr>
                                    <w:b/>
                                    <w:sz w:val="20"/>
                                  </w:rPr>
                                </w:pPr>
                              </w:p>
                            </w:txbxContent>
                          </wps:txbx>
                          <wps:bodyPr rot="0" vert="horz" wrap="square" lIns="91440" tIns="45720" rIns="91440" bIns="45720" anchor="t" anchorCtr="0" upright="1">
                            <a:noAutofit/>
                          </wps:bodyPr>
                        </wps:wsp>
                        <wpg:grpSp>
                          <wpg:cNvPr id="2117" name="Group 303"/>
                          <wpg:cNvGrpSpPr>
                            <a:grpSpLocks/>
                          </wpg:cNvGrpSpPr>
                          <wpg:grpSpPr bwMode="auto">
                            <a:xfrm>
                              <a:off x="3324" y="2297"/>
                              <a:ext cx="7455" cy="7120"/>
                              <a:chOff x="3324" y="2297"/>
                              <a:chExt cx="7455" cy="7120"/>
                            </a:xfrm>
                          </wpg:grpSpPr>
                          <wps:wsp>
                            <wps:cNvPr id="2118" name="Rectangle 304"/>
                            <wps:cNvSpPr>
                              <a:spLocks noChangeArrowheads="1"/>
                            </wps:cNvSpPr>
                            <wps:spPr bwMode="auto">
                              <a:xfrm>
                                <a:off x="3530" y="2775"/>
                                <a:ext cx="4928" cy="774"/>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14:paraId="3339E353" w14:textId="77777777" w:rsidR="004E3164" w:rsidRPr="00B80E14" w:rsidRDefault="004E3164" w:rsidP="008E6361">
                                  <w:pPr>
                                    <w:ind w:firstLine="0"/>
                                    <w:jc w:val="center"/>
                                    <w:rPr>
                                      <w:b/>
                                      <w:sz w:val="20"/>
                                    </w:rPr>
                                  </w:pPr>
                                  <w:r w:rsidRPr="00B80E14">
                                    <w:rPr>
                                      <w:sz w:val="20"/>
                                    </w:rPr>
                                    <w:t xml:space="preserve">Марката ще постави ли в </w:t>
                                  </w:r>
                                  <w:r w:rsidRPr="00B80E14">
                                    <w:rPr>
                                      <w:b/>
                                      <w:sz w:val="20"/>
                                    </w:rPr>
                                    <w:t>по-благоприятно</w:t>
                                  </w:r>
                                  <w:r w:rsidRPr="00B80E14">
                                    <w:rPr>
                                      <w:sz w:val="20"/>
                                    </w:rPr>
                                    <w:t xml:space="preserve"> положение  </w:t>
                                  </w:r>
                                  <w:r w:rsidRPr="00B80E14">
                                    <w:rPr>
                                      <w:b/>
                                      <w:sz w:val="20"/>
                                    </w:rPr>
                                    <w:t>определени предприятия</w:t>
                                  </w:r>
                                  <w:r w:rsidRPr="00B80E14">
                                    <w:rPr>
                                      <w:sz w:val="20"/>
                                    </w:rPr>
                                    <w:t xml:space="preserve"> или </w:t>
                                  </w:r>
                                  <w:r w:rsidRPr="00B80E14">
                                    <w:rPr>
                                      <w:b/>
                                      <w:sz w:val="20"/>
                                    </w:rPr>
                                    <w:t>стоки</w:t>
                                  </w:r>
                                  <w:r w:rsidRPr="00B80E14">
                                    <w:rPr>
                                      <w:sz w:val="20"/>
                                    </w:rPr>
                                    <w:t xml:space="preserve"> </w:t>
                                  </w:r>
                                </w:p>
                              </w:txbxContent>
                            </wps:txbx>
                            <wps:bodyPr rot="0" vert="horz" wrap="square" lIns="91440" tIns="45720" rIns="91440" bIns="45720" anchor="t" anchorCtr="0" upright="1">
                              <a:noAutofit/>
                            </wps:bodyPr>
                          </wps:wsp>
                          <wps:wsp>
                            <wps:cNvPr id="2119" name="Rectangle 305"/>
                            <wps:cNvSpPr>
                              <a:spLocks noChangeArrowheads="1"/>
                            </wps:cNvSpPr>
                            <wps:spPr bwMode="auto">
                              <a:xfrm>
                                <a:off x="3530" y="6803"/>
                                <a:ext cx="4928" cy="800"/>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14:paraId="0251AF58" w14:textId="77777777" w:rsidR="004E3164" w:rsidRPr="00B80E14" w:rsidRDefault="004E3164" w:rsidP="008E6361">
                                  <w:pPr>
                                    <w:ind w:firstLine="0"/>
                                    <w:jc w:val="center"/>
                                    <w:rPr>
                                      <w:b/>
                                      <w:sz w:val="20"/>
                                    </w:rPr>
                                  </w:pPr>
                                  <w:r w:rsidRPr="00B80E14">
                                    <w:rPr>
                                      <w:sz w:val="20"/>
                                    </w:rPr>
                                    <w:t xml:space="preserve">Резултатите дават </w:t>
                                  </w:r>
                                  <w:r w:rsidRPr="00B80E14">
                                    <w:rPr>
                                      <w:b/>
                                      <w:sz w:val="20"/>
                                    </w:rPr>
                                    <w:t>предимство</w:t>
                                  </w:r>
                                  <w:r w:rsidRPr="00B80E14">
                                    <w:rPr>
                                      <w:sz w:val="20"/>
                                    </w:rPr>
                                    <w:t xml:space="preserve"> на </w:t>
                                  </w:r>
                                  <w:r w:rsidRPr="00B80E14">
                                    <w:rPr>
                                      <w:b/>
                                      <w:sz w:val="20"/>
                                    </w:rPr>
                                    <w:t>определени</w:t>
                                  </w:r>
                                  <w:r w:rsidRPr="00B80E14">
                                    <w:rPr>
                                      <w:sz w:val="20"/>
                                    </w:rPr>
                                    <w:t xml:space="preserve"> предприятия или стоки  </w:t>
                                  </w:r>
                                </w:p>
                              </w:txbxContent>
                            </wps:txbx>
                            <wps:bodyPr rot="0" vert="horz" wrap="square" lIns="91440" tIns="45720" rIns="91440" bIns="45720" anchor="t" anchorCtr="0" upright="1">
                              <a:noAutofit/>
                            </wps:bodyPr>
                          </wps:wsp>
                          <wps:wsp>
                            <wps:cNvPr id="2120" name="AutoShape 306"/>
                            <wps:cNvCnPr>
                              <a:cxnSpLocks noChangeShapeType="1"/>
                            </wps:cNvCnPr>
                            <wps:spPr bwMode="auto">
                              <a:xfrm>
                                <a:off x="6018" y="3549"/>
                                <a:ext cx="0" cy="1094"/>
                              </a:xfrm>
                              <a:prstGeom prst="straightConnector1">
                                <a:avLst/>
                              </a:prstGeom>
                              <a:noFill/>
                              <a:ln w="9525">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1" name="Text Box 307"/>
                            <wps:cNvSpPr txBox="1">
                              <a:spLocks noChangeArrowheads="1"/>
                            </wps:cNvSpPr>
                            <wps:spPr bwMode="auto">
                              <a:xfrm>
                                <a:off x="5783" y="3791"/>
                                <a:ext cx="555" cy="360"/>
                              </a:xfrm>
                              <a:prstGeom prst="rect">
                                <a:avLst/>
                              </a:prstGeom>
                              <a:gradFill rotWithShape="0">
                                <a:gsLst>
                                  <a:gs pos="0">
                                    <a:srgbClr val="FFFFFF"/>
                                  </a:gs>
                                  <a:gs pos="100000">
                                    <a:srgbClr val="999999"/>
                                  </a:gs>
                                </a:gsLst>
                                <a:lin ang="5400000" scaled="1"/>
                              </a:gradFill>
                              <a:ln w="12700" algn="ctr">
                                <a:solidFill>
                                  <a:srgbClr val="0070C0"/>
                                </a:solidFill>
                                <a:miter lim="800000"/>
                                <a:headEnd/>
                                <a:tailEnd/>
                              </a:ln>
                              <a:effectLst>
                                <a:outerShdw dist="28398" dir="3806097" algn="ctr" rotWithShape="0">
                                  <a:srgbClr val="7F7F7F">
                                    <a:alpha val="50000"/>
                                  </a:srgbClr>
                                </a:outerShdw>
                              </a:effectLst>
                            </wps:spPr>
                            <wps:txbx>
                              <w:txbxContent>
                                <w:p w14:paraId="7AC97964" w14:textId="77777777" w:rsidR="004E3164" w:rsidRPr="00E23636" w:rsidRDefault="004E3164" w:rsidP="008E6361">
                                  <w:pPr>
                                    <w:ind w:firstLine="0"/>
                                    <w:jc w:val="center"/>
                                    <w:rPr>
                                      <w:color w:val="0070C0"/>
                                      <w:sz w:val="16"/>
                                      <w:szCs w:val="16"/>
                                    </w:rPr>
                                  </w:pPr>
                                  <w:r w:rsidRPr="00E23636">
                                    <w:rPr>
                                      <w:color w:val="0070C0"/>
                                      <w:sz w:val="16"/>
                                      <w:szCs w:val="16"/>
                                    </w:rPr>
                                    <w:t>не</w:t>
                                  </w:r>
                                </w:p>
                              </w:txbxContent>
                            </wps:txbx>
                            <wps:bodyPr rot="0" vert="horz" wrap="square" lIns="91440" tIns="45720" rIns="91440" bIns="45720" anchor="t" anchorCtr="0" upright="1">
                              <a:noAutofit/>
                            </wps:bodyPr>
                          </wps:wsp>
                          <wpg:grpSp>
                            <wpg:cNvPr id="2122" name="Group 308"/>
                            <wpg:cNvGrpSpPr>
                              <a:grpSpLocks/>
                            </wpg:cNvGrpSpPr>
                            <wpg:grpSpPr bwMode="auto">
                              <a:xfrm>
                                <a:off x="8458" y="3017"/>
                                <a:ext cx="1666" cy="360"/>
                                <a:chOff x="7840" y="2453"/>
                                <a:chExt cx="1573" cy="360"/>
                              </a:xfrm>
                            </wpg:grpSpPr>
                            <wps:wsp>
                              <wps:cNvPr id="2123" name="AutoShape 309"/>
                              <wps:cNvCnPr>
                                <a:cxnSpLocks noChangeShapeType="1"/>
                              </wps:cNvCnPr>
                              <wps:spPr bwMode="auto">
                                <a:xfrm>
                                  <a:off x="7840" y="2587"/>
                                  <a:ext cx="1573"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124" name="Text Box 310"/>
                              <wps:cNvSpPr txBox="1">
                                <a:spLocks noChangeArrowheads="1"/>
                              </wps:cNvSpPr>
                              <wps:spPr bwMode="auto">
                                <a:xfrm>
                                  <a:off x="8241" y="2453"/>
                                  <a:ext cx="573" cy="360"/>
                                </a:xfrm>
                                <a:prstGeom prst="rect">
                                  <a:avLst/>
                                </a:prstGeom>
                                <a:gradFill rotWithShape="0">
                                  <a:gsLst>
                                    <a:gs pos="0">
                                      <a:srgbClr val="FFFFFF"/>
                                    </a:gs>
                                    <a:gs pos="100000">
                                      <a:srgbClr val="999999"/>
                                    </a:gs>
                                  </a:gsLst>
                                  <a:lin ang="5400000" scaled="1"/>
                                </a:gradFill>
                                <a:ln w="12700" algn="ctr">
                                  <a:solidFill>
                                    <a:srgbClr val="FF0000"/>
                                  </a:solidFill>
                                  <a:miter lim="800000"/>
                                  <a:headEnd/>
                                  <a:tailEnd/>
                                </a:ln>
                                <a:effectLst>
                                  <a:outerShdw dist="28398" dir="3806097" algn="ctr" rotWithShape="0">
                                    <a:srgbClr val="7F7F7F">
                                      <a:alpha val="50000"/>
                                    </a:srgbClr>
                                  </a:outerShdw>
                                </a:effectLst>
                              </wps:spPr>
                              <wps:txbx>
                                <w:txbxContent>
                                  <w:p w14:paraId="0613E45E" w14:textId="77777777" w:rsidR="004E3164" w:rsidRPr="00E23636" w:rsidRDefault="004E3164" w:rsidP="008E6361">
                                    <w:pPr>
                                      <w:ind w:firstLine="0"/>
                                      <w:jc w:val="center"/>
                                      <w:rPr>
                                        <w:color w:val="FF0000"/>
                                        <w:sz w:val="16"/>
                                        <w:szCs w:val="16"/>
                                      </w:rPr>
                                    </w:pPr>
                                    <w:r w:rsidRPr="00E23636">
                                      <w:rPr>
                                        <w:color w:val="FF0000"/>
                                        <w:sz w:val="16"/>
                                        <w:szCs w:val="16"/>
                                      </w:rPr>
                                      <w:t>да</w:t>
                                    </w:r>
                                  </w:p>
                                </w:txbxContent>
                              </wps:txbx>
                              <wps:bodyPr rot="0" vert="horz" wrap="square" lIns="91440" tIns="45720" rIns="91440" bIns="45720" anchor="t" anchorCtr="0" upright="1">
                                <a:noAutofit/>
                              </wps:bodyPr>
                            </wps:wsp>
                          </wpg:grpSp>
                          <wps:wsp>
                            <wps:cNvPr id="2125" name="AutoShape 311"/>
                            <wps:cNvCnPr>
                              <a:cxnSpLocks noChangeShapeType="1"/>
                            </wps:cNvCnPr>
                            <wps:spPr bwMode="auto">
                              <a:xfrm>
                                <a:off x="6111" y="5709"/>
                                <a:ext cx="0" cy="1094"/>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2126" name="Text Box 312"/>
                            <wps:cNvSpPr txBox="1">
                              <a:spLocks noChangeArrowheads="1"/>
                            </wps:cNvSpPr>
                            <wps:spPr bwMode="auto">
                              <a:xfrm>
                                <a:off x="5876" y="5951"/>
                                <a:ext cx="555" cy="360"/>
                              </a:xfrm>
                              <a:prstGeom prst="rect">
                                <a:avLst/>
                              </a:prstGeom>
                              <a:gradFill rotWithShape="0">
                                <a:gsLst>
                                  <a:gs pos="0">
                                    <a:srgbClr val="FFFFFF"/>
                                  </a:gs>
                                  <a:gs pos="100000">
                                    <a:srgbClr val="999999"/>
                                  </a:gs>
                                </a:gsLst>
                                <a:lin ang="5400000" scaled="1"/>
                              </a:gradFill>
                              <a:ln w="12700" algn="ctr">
                                <a:solidFill>
                                  <a:srgbClr val="0070C0"/>
                                </a:solidFill>
                                <a:miter lim="800000"/>
                                <a:headEnd/>
                                <a:tailEnd/>
                              </a:ln>
                              <a:effectLst>
                                <a:outerShdw dist="28398" dir="3806097" algn="ctr" rotWithShape="0">
                                  <a:srgbClr val="7F7F7F">
                                    <a:alpha val="50000"/>
                                  </a:srgbClr>
                                </a:outerShdw>
                              </a:effectLst>
                            </wps:spPr>
                            <wps:txbx>
                              <w:txbxContent>
                                <w:p w14:paraId="0014E460" w14:textId="77777777" w:rsidR="004E3164" w:rsidRPr="00E23636" w:rsidRDefault="004E3164" w:rsidP="008E6361">
                                  <w:pPr>
                                    <w:ind w:firstLine="0"/>
                                    <w:jc w:val="center"/>
                                    <w:rPr>
                                      <w:color w:val="0070C0"/>
                                      <w:sz w:val="16"/>
                                      <w:szCs w:val="16"/>
                                    </w:rPr>
                                  </w:pPr>
                                  <w:r w:rsidRPr="00E23636">
                                    <w:rPr>
                                      <w:color w:val="0070C0"/>
                                      <w:sz w:val="16"/>
                                      <w:szCs w:val="16"/>
                                    </w:rPr>
                                    <w:t>не</w:t>
                                  </w:r>
                                </w:p>
                              </w:txbxContent>
                            </wps:txbx>
                            <wps:bodyPr rot="0" vert="horz" wrap="square" lIns="91440" tIns="45720" rIns="91440" bIns="45720" anchor="t" anchorCtr="0" upright="1">
                              <a:noAutofit/>
                            </wps:bodyPr>
                          </wps:wsp>
                          <wps:wsp>
                            <wps:cNvPr id="2127" name="AutoShape 313"/>
                            <wps:cNvCnPr>
                              <a:cxnSpLocks noChangeShapeType="1"/>
                            </wps:cNvCnPr>
                            <wps:spPr bwMode="auto">
                              <a:xfrm>
                                <a:off x="6111" y="7589"/>
                                <a:ext cx="0" cy="1094"/>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2128" name="Text Box 314"/>
                            <wps:cNvSpPr txBox="1">
                              <a:spLocks noChangeArrowheads="1"/>
                            </wps:cNvSpPr>
                            <wps:spPr bwMode="auto">
                              <a:xfrm>
                                <a:off x="5876" y="7831"/>
                                <a:ext cx="555" cy="360"/>
                              </a:xfrm>
                              <a:prstGeom prst="rect">
                                <a:avLst/>
                              </a:prstGeom>
                              <a:gradFill rotWithShape="0">
                                <a:gsLst>
                                  <a:gs pos="0">
                                    <a:srgbClr val="FFFFFF"/>
                                  </a:gs>
                                  <a:gs pos="100000">
                                    <a:srgbClr val="999999"/>
                                  </a:gs>
                                </a:gsLst>
                                <a:lin ang="5400000" scaled="1"/>
                              </a:gradFill>
                              <a:ln w="12700" algn="ctr">
                                <a:solidFill>
                                  <a:srgbClr val="0070C0"/>
                                </a:solidFill>
                                <a:miter lim="800000"/>
                                <a:headEnd/>
                                <a:tailEnd/>
                              </a:ln>
                              <a:effectLst>
                                <a:outerShdw dist="28398" dir="3806097" algn="ctr" rotWithShape="0">
                                  <a:srgbClr val="7F7F7F">
                                    <a:alpha val="50000"/>
                                  </a:srgbClr>
                                </a:outerShdw>
                              </a:effectLst>
                            </wps:spPr>
                            <wps:txbx>
                              <w:txbxContent>
                                <w:p w14:paraId="13ED197B" w14:textId="77777777" w:rsidR="004E3164" w:rsidRPr="00E23636" w:rsidRDefault="004E3164" w:rsidP="008E6361">
                                  <w:pPr>
                                    <w:ind w:firstLine="0"/>
                                    <w:jc w:val="center"/>
                                    <w:rPr>
                                      <w:color w:val="0070C0"/>
                                      <w:sz w:val="16"/>
                                      <w:szCs w:val="16"/>
                                    </w:rPr>
                                  </w:pPr>
                                  <w:r w:rsidRPr="00E23636">
                                    <w:rPr>
                                      <w:color w:val="0070C0"/>
                                      <w:sz w:val="16"/>
                                      <w:szCs w:val="16"/>
                                    </w:rPr>
                                    <w:t>не</w:t>
                                  </w:r>
                                </w:p>
                              </w:txbxContent>
                            </wps:txbx>
                            <wps:bodyPr rot="0" vert="horz" wrap="square" lIns="91440" tIns="45720" rIns="91440" bIns="45720" anchor="t" anchorCtr="0" upright="1">
                              <a:noAutofit/>
                            </wps:bodyPr>
                          </wps:wsp>
                          <wps:wsp>
                            <wps:cNvPr id="2129" name="AutoShape 315"/>
                            <wps:cNvSpPr>
                              <a:spLocks noChangeArrowheads="1"/>
                            </wps:cNvSpPr>
                            <wps:spPr bwMode="auto">
                              <a:xfrm>
                                <a:off x="3324" y="8683"/>
                                <a:ext cx="5359" cy="734"/>
                              </a:xfrm>
                              <a:prstGeom prst="flowChartPreparation">
                                <a:avLst/>
                              </a:prstGeom>
                              <a:gradFill rotWithShape="0">
                                <a:gsLst>
                                  <a:gs pos="0">
                                    <a:srgbClr val="FFFFFF"/>
                                  </a:gs>
                                  <a:gs pos="100000">
                                    <a:srgbClr val="E5B8B7"/>
                                  </a:gs>
                                </a:gsLst>
                                <a:lin ang="5400000" scaled="1"/>
                              </a:gradFill>
                              <a:ln>
                                <a:noFill/>
                              </a:ln>
                              <a:effectLst>
                                <a:outerShdw dist="28398" dir="3806097" algn="ctr" rotWithShape="0">
                                  <a:srgbClr val="622423">
                                    <a:alpha val="50000"/>
                                  </a:srgbClr>
                                </a:outerShdw>
                              </a:effectLst>
                              <a:extLst>
                                <a:ext uri="{91240B29-F687-4F45-9708-019B960494DF}">
                                  <a14:hiddenLine xmlns:a14="http://schemas.microsoft.com/office/drawing/2010/main" w="12700">
                                    <a:solidFill>
                                      <a:srgbClr val="D99594"/>
                                    </a:solidFill>
                                    <a:miter lim="800000"/>
                                    <a:headEnd/>
                                    <a:tailEnd/>
                                  </a14:hiddenLine>
                                </a:ext>
                              </a:extLst>
                            </wps:spPr>
                            <wps:txbx>
                              <w:txbxContent>
                                <w:p w14:paraId="6DF1BBB5" w14:textId="77777777" w:rsidR="004E3164" w:rsidRPr="00636815" w:rsidRDefault="004E3164" w:rsidP="008E6361">
                                  <w:pPr>
                                    <w:ind w:firstLine="0"/>
                                    <w:jc w:val="center"/>
                                    <w:rPr>
                                      <w:b/>
                                      <w:color w:val="0070C0"/>
                                      <w:sz w:val="18"/>
                                      <w:szCs w:val="18"/>
                                    </w:rPr>
                                  </w:pPr>
                                  <w:r w:rsidRPr="006E03BD">
                                    <w:rPr>
                                      <w:color w:val="0070C0"/>
                                    </w:rPr>
                                    <w:t>Не е налична</w:t>
                                  </w:r>
                                  <w:r>
                                    <w:rPr>
                                      <w:b/>
                                      <w:color w:val="0070C0"/>
                                    </w:rPr>
                                    <w:t xml:space="preserve"> селективност </w:t>
                                  </w:r>
                                  <w:r w:rsidRPr="00636815">
                                    <w:rPr>
                                      <w:b/>
                                      <w:color w:val="0070C0"/>
                                      <w:sz w:val="18"/>
                                      <w:szCs w:val="18"/>
                                    </w:rPr>
                                    <w:t>(избирателност)</w:t>
                                  </w:r>
                                </w:p>
                              </w:txbxContent>
                            </wps:txbx>
                            <wps:bodyPr rot="0" vert="horz" wrap="square" lIns="91440" tIns="45720" rIns="91440" bIns="45720" anchor="t" anchorCtr="0" upright="1">
                              <a:noAutofit/>
                            </wps:bodyPr>
                          </wps:wsp>
                          <wps:wsp>
                            <wps:cNvPr id="2130" name="AutoShape 316"/>
                            <wps:cNvSpPr>
                              <a:spLocks noChangeArrowheads="1"/>
                            </wps:cNvSpPr>
                            <wps:spPr bwMode="auto">
                              <a:xfrm rot="16200000">
                                <a:off x="7645" y="4697"/>
                                <a:ext cx="5534" cy="734"/>
                              </a:xfrm>
                              <a:prstGeom prst="flowChartPreparation">
                                <a:avLst/>
                              </a:prstGeom>
                              <a:gradFill rotWithShape="0">
                                <a:gsLst>
                                  <a:gs pos="0">
                                    <a:srgbClr val="FFFFFF"/>
                                  </a:gs>
                                  <a:gs pos="100000">
                                    <a:srgbClr val="E5B8B7"/>
                                  </a:gs>
                                </a:gsLst>
                                <a:lin ang="5400000" scaled="1"/>
                              </a:gradFill>
                              <a:ln>
                                <a:noFill/>
                              </a:ln>
                              <a:effectLst>
                                <a:outerShdw dist="28398" dir="3806097" algn="ctr" rotWithShape="0">
                                  <a:srgbClr val="622423">
                                    <a:alpha val="50000"/>
                                  </a:srgbClr>
                                </a:outerShdw>
                              </a:effectLst>
                              <a:extLst>
                                <a:ext uri="{91240B29-F687-4F45-9708-019B960494DF}">
                                  <a14:hiddenLine xmlns:a14="http://schemas.microsoft.com/office/drawing/2010/main" w="12700">
                                    <a:solidFill>
                                      <a:srgbClr val="D99594"/>
                                    </a:solidFill>
                                    <a:miter lim="800000"/>
                                    <a:headEnd/>
                                    <a:tailEnd/>
                                  </a14:hiddenLine>
                                </a:ext>
                              </a:extLst>
                            </wps:spPr>
                            <wps:txbx>
                              <w:txbxContent>
                                <w:p w14:paraId="3B4549D2" w14:textId="77777777" w:rsidR="004E3164" w:rsidRPr="006E03BD" w:rsidRDefault="004E3164" w:rsidP="008E6361">
                                  <w:pPr>
                                    <w:ind w:firstLine="0"/>
                                    <w:jc w:val="center"/>
                                    <w:rPr>
                                      <w:color w:val="FF0000"/>
                                    </w:rPr>
                                  </w:pPr>
                                  <w:r w:rsidRPr="006E03BD">
                                    <w:rPr>
                                      <w:color w:val="FF0000"/>
                                    </w:rPr>
                                    <w:t xml:space="preserve">Наличие на </w:t>
                                  </w:r>
                                  <w:r>
                                    <w:rPr>
                                      <w:b/>
                                      <w:color w:val="FF0000"/>
                                    </w:rPr>
                                    <w:t xml:space="preserve">селективност </w:t>
                                  </w:r>
                                  <w:r w:rsidRPr="006E03BD">
                                    <w:rPr>
                                      <w:color w:val="FF0000"/>
                                      <w:sz w:val="18"/>
                                      <w:szCs w:val="18"/>
                                    </w:rPr>
                                    <w:t>(избирателност)</w:t>
                                  </w:r>
                                  <w:r w:rsidRPr="006E03BD">
                                    <w:rPr>
                                      <w:color w:val="FF0000"/>
                                    </w:rPr>
                                    <w:t xml:space="preserve"> </w:t>
                                  </w:r>
                                </w:p>
                              </w:txbxContent>
                            </wps:txbx>
                            <wps:bodyPr rot="0" vert="vert270" wrap="square" lIns="91440" tIns="45720" rIns="91440" bIns="45720" anchor="t" anchorCtr="0" upright="1">
                              <a:noAutofit/>
                            </wps:bodyPr>
                          </wps:wsp>
                          <wps:wsp>
                            <wps:cNvPr id="2131" name="Text Box 317"/>
                            <wps:cNvSpPr txBox="1">
                              <a:spLocks noChangeArrowheads="1"/>
                            </wps:cNvSpPr>
                            <wps:spPr bwMode="auto">
                              <a:xfrm>
                                <a:off x="8883" y="7097"/>
                                <a:ext cx="607" cy="360"/>
                              </a:xfrm>
                              <a:prstGeom prst="rect">
                                <a:avLst/>
                              </a:prstGeom>
                              <a:gradFill rotWithShape="0">
                                <a:gsLst>
                                  <a:gs pos="0">
                                    <a:srgbClr val="FFFFFF"/>
                                  </a:gs>
                                  <a:gs pos="100000">
                                    <a:srgbClr val="999999"/>
                                  </a:gs>
                                </a:gsLst>
                                <a:lin ang="5400000" scaled="1"/>
                              </a:gradFill>
                              <a:ln w="12700" algn="ctr">
                                <a:solidFill>
                                  <a:srgbClr val="FF0000"/>
                                </a:solidFill>
                                <a:miter lim="800000"/>
                                <a:headEnd/>
                                <a:tailEnd/>
                              </a:ln>
                              <a:effectLst>
                                <a:outerShdw dist="28398" dir="3806097" algn="ctr" rotWithShape="0">
                                  <a:srgbClr val="7F7F7F">
                                    <a:alpha val="50000"/>
                                  </a:srgbClr>
                                </a:outerShdw>
                              </a:effectLst>
                            </wps:spPr>
                            <wps:txbx>
                              <w:txbxContent>
                                <w:p w14:paraId="32AC00CE" w14:textId="77777777" w:rsidR="004E3164" w:rsidRPr="00E23636" w:rsidRDefault="004E3164" w:rsidP="008E6361">
                                  <w:pPr>
                                    <w:ind w:firstLine="0"/>
                                    <w:jc w:val="center"/>
                                    <w:rPr>
                                      <w:color w:val="FF0000"/>
                                      <w:sz w:val="16"/>
                                      <w:szCs w:val="16"/>
                                    </w:rPr>
                                  </w:pPr>
                                  <w:r w:rsidRPr="00E23636">
                                    <w:rPr>
                                      <w:color w:val="FF0000"/>
                                      <w:sz w:val="16"/>
                                      <w:szCs w:val="16"/>
                                    </w:rPr>
                                    <w:t>да</w:t>
                                  </w:r>
                                </w:p>
                              </w:txbxContent>
                            </wps:txbx>
                            <wps:bodyPr rot="0" vert="horz" wrap="square" lIns="91440" tIns="45720" rIns="91440" bIns="45720" anchor="t" anchorCtr="0" upright="1">
                              <a:noAutofit/>
                            </wps:bodyPr>
                          </wps:wsp>
                          <wps:wsp>
                            <wps:cNvPr id="2132" name="Text Box 318"/>
                            <wps:cNvSpPr txBox="1">
                              <a:spLocks noChangeArrowheads="1"/>
                            </wps:cNvSpPr>
                            <wps:spPr bwMode="auto">
                              <a:xfrm>
                                <a:off x="8952" y="5004"/>
                                <a:ext cx="573" cy="360"/>
                              </a:xfrm>
                              <a:prstGeom prst="rect">
                                <a:avLst/>
                              </a:prstGeom>
                              <a:gradFill rotWithShape="0">
                                <a:gsLst>
                                  <a:gs pos="0">
                                    <a:srgbClr val="FFFFFF"/>
                                  </a:gs>
                                  <a:gs pos="100000">
                                    <a:srgbClr val="999999"/>
                                  </a:gs>
                                </a:gsLst>
                                <a:lin ang="5400000" scaled="1"/>
                              </a:gradFill>
                              <a:ln w="12700" algn="ctr">
                                <a:solidFill>
                                  <a:srgbClr val="FF0000"/>
                                </a:solidFill>
                                <a:miter lim="800000"/>
                                <a:headEnd/>
                                <a:tailEnd/>
                              </a:ln>
                              <a:effectLst>
                                <a:outerShdw dist="28398" dir="3806097" algn="ctr" rotWithShape="0">
                                  <a:srgbClr val="7F7F7F">
                                    <a:alpha val="50000"/>
                                  </a:srgbClr>
                                </a:outerShdw>
                              </a:effectLst>
                            </wps:spPr>
                            <wps:txbx>
                              <w:txbxContent>
                                <w:p w14:paraId="38AA4175" w14:textId="77777777" w:rsidR="004E3164" w:rsidRPr="00E23636" w:rsidRDefault="004E3164" w:rsidP="008E6361">
                                  <w:pPr>
                                    <w:ind w:firstLine="0"/>
                                    <w:jc w:val="center"/>
                                    <w:rPr>
                                      <w:color w:val="FF0000"/>
                                      <w:sz w:val="16"/>
                                      <w:szCs w:val="16"/>
                                    </w:rPr>
                                  </w:pPr>
                                  <w:r w:rsidRPr="00E23636">
                                    <w:rPr>
                                      <w:color w:val="FF0000"/>
                                      <w:sz w:val="16"/>
                                      <w:szCs w:val="16"/>
                                    </w:rPr>
                                    <w:t>да</w:t>
                                  </w:r>
                                </w:p>
                              </w:txbxContent>
                            </wps:txbx>
                            <wps:bodyPr rot="0" vert="horz" wrap="square" lIns="91440" tIns="45720" rIns="91440" bIns="45720" anchor="t" anchorCtr="0" upright="1">
                              <a:noAutofit/>
                            </wps:bodyPr>
                          </wps:wsp>
                        </wpg:grpSp>
                      </wpg:grpSp>
                    </wpg:wgp>
                  </a:graphicData>
                </a:graphic>
              </wp:inline>
            </w:drawing>
          </mc:Choice>
          <mc:Fallback>
            <w:pict>
              <v:group w14:anchorId="38B10179" id="Group 2112" o:spid="_x0000_s1337" style="width:483.7pt;height:356pt;mso-position-horizontal-relative:char;mso-position-vertical-relative:line" coordorigin="3324,2297" coordsize="7455,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">
                <v:shape id="AutoShape 299" o:spid="_x0000_s1338" type="#_x0000_t32" style="position:absolute;left:8458;top:7231;width:17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" strokecolor="red">
                  <v:stroke endarrow="block"/>
                </v:shape>
                <v:shape id="AutoShape 300" o:spid="_x0000_s1339" type="#_x0000_t32" style="position:absolute;left:8551;top:5138;width:14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" strokecolor="red">
                  <v:stroke endarrow="block"/>
                </v:shape>
                <v:group id="Group 301" o:spid="_x0000_s1340" style="position:absolute;left:3324;top:2297;width:7455;height:7120" coordorigin="3324,2297" coordsize="7455,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">
                  <v:rect id="Rectangle 302" o:spid="_x0000_s1341" style="position:absolute;left:3623;top:4559;width:4928;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" stroked="f" strokecolor="#666" strokeweight="1pt">
                    <v:fill color2="#999" focus="100%" type="gradient"/>
                    <v:shadow on="t" color="#7f7f7f" opacity=".5" offset="1pt"/>
                    <v:textbox>
                      <w:txbxContent>
                        <w:p w14:paraId="16E602FE" w14:textId="77777777" w:rsidR="004E3164" w:rsidRPr="00B80E14" w:rsidRDefault="004E3164" w:rsidP="008E6361">
                          <w:pPr>
                            <w:ind w:firstLine="0"/>
                            <w:jc w:val="center"/>
                            <w:rPr>
                              <w:b/>
                              <w:sz w:val="20"/>
                            </w:rPr>
                          </w:pPr>
                          <w:r w:rsidRPr="00B80E14">
                            <w:rPr>
                              <w:sz w:val="20"/>
                            </w:rPr>
                            <w:t xml:space="preserve">Марка, която е (или може да бъде ограничена) вследствие на </w:t>
                          </w:r>
                          <w:r w:rsidRPr="00B80E14">
                            <w:rPr>
                              <w:b/>
                              <w:sz w:val="20"/>
                            </w:rPr>
                            <w:t>дискреционни правомощия</w:t>
                          </w:r>
                          <w:r w:rsidRPr="00B80E14">
                            <w:rPr>
                              <w:sz w:val="20"/>
                            </w:rPr>
                            <w:t xml:space="preserve"> на администратора (прилага се по негова преценка </w:t>
                          </w:r>
                          <w:r w:rsidRPr="00B80E14">
                            <w:rPr>
                              <w:b/>
                              <w:sz w:val="20"/>
                            </w:rPr>
                            <w:t>)</w:t>
                          </w:r>
                        </w:p>
                        <w:p w14:paraId="110D91D5" w14:textId="77777777" w:rsidR="004E3164" w:rsidRPr="00B80E14" w:rsidRDefault="004E3164" w:rsidP="008E6361">
                          <w:pPr>
                            <w:ind w:firstLine="0"/>
                            <w:jc w:val="center"/>
                            <w:rPr>
                              <w:b/>
                              <w:sz w:val="20"/>
                            </w:rPr>
                          </w:pPr>
                        </w:p>
                      </w:txbxContent>
                    </v:textbox>
                  </v:rect>
                  <v:group id="Group 303" o:spid="_x0000_s1342" style="position:absolute;left:3324;top:2297;width:7455;height:7120" coordorigin="3324,2297" coordsize="7455,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">
                    <v:rect id="Rectangle 304" o:spid="_x0000_s1343" style="position:absolute;left:3530;top:2775;width:4928;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" stroked="f" strokecolor="#666" strokeweight="1pt">
                      <v:fill color2="#999" focus="100%" type="gradient"/>
                      <v:shadow on="t" color="#7f7f7f" opacity=".5" offset="1pt"/>
                      <v:textbox>
                        <w:txbxContent>
                          <w:p w14:paraId="3339E353" w14:textId="77777777" w:rsidR="004E3164" w:rsidRPr="00B80E14" w:rsidRDefault="004E3164" w:rsidP="008E6361">
                            <w:pPr>
                              <w:ind w:firstLine="0"/>
                              <w:jc w:val="center"/>
                              <w:rPr>
                                <w:b/>
                                <w:sz w:val="20"/>
                              </w:rPr>
                            </w:pPr>
                            <w:r w:rsidRPr="00B80E14">
                              <w:rPr>
                                <w:sz w:val="20"/>
                              </w:rPr>
                              <w:t xml:space="preserve">Марката ще постави ли в </w:t>
                            </w:r>
                            <w:r w:rsidRPr="00B80E14">
                              <w:rPr>
                                <w:b/>
                                <w:sz w:val="20"/>
                              </w:rPr>
                              <w:t>по-благоприятно</w:t>
                            </w:r>
                            <w:r w:rsidRPr="00B80E14">
                              <w:rPr>
                                <w:sz w:val="20"/>
                              </w:rPr>
                              <w:t xml:space="preserve"> положение  </w:t>
                            </w:r>
                            <w:r w:rsidRPr="00B80E14">
                              <w:rPr>
                                <w:b/>
                                <w:sz w:val="20"/>
                              </w:rPr>
                              <w:t>определени предприятия</w:t>
                            </w:r>
                            <w:r w:rsidRPr="00B80E14">
                              <w:rPr>
                                <w:sz w:val="20"/>
                              </w:rPr>
                              <w:t xml:space="preserve"> или </w:t>
                            </w:r>
                            <w:r w:rsidRPr="00B80E14">
                              <w:rPr>
                                <w:b/>
                                <w:sz w:val="20"/>
                              </w:rPr>
                              <w:t>стоки</w:t>
                            </w:r>
                            <w:r w:rsidRPr="00B80E14">
                              <w:rPr>
                                <w:sz w:val="20"/>
                              </w:rPr>
                              <w:t xml:space="preserve"> </w:t>
                            </w:r>
                          </w:p>
                        </w:txbxContent>
                      </v:textbox>
                    </v:rect>
                    <v:rect id="Rectangle 305" o:spid="_x0000_s1344" style="position:absolute;left:3530;top:6803;width:4928;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" stroked="f" strokecolor="#666" strokeweight="1pt">
                      <v:fill color2="#999" focus="100%" type="gradient"/>
                      <v:shadow on="t" color="#7f7f7f" opacity=".5" offset="1pt"/>
                      <v:textbox>
                        <w:txbxContent>
                          <w:p w14:paraId="0251AF58" w14:textId="77777777" w:rsidR="004E3164" w:rsidRPr="00B80E14" w:rsidRDefault="004E3164" w:rsidP="008E6361">
                            <w:pPr>
                              <w:ind w:firstLine="0"/>
                              <w:jc w:val="center"/>
                              <w:rPr>
                                <w:b/>
                                <w:sz w:val="20"/>
                              </w:rPr>
                            </w:pPr>
                            <w:r w:rsidRPr="00B80E14">
                              <w:rPr>
                                <w:sz w:val="20"/>
                              </w:rPr>
                              <w:t xml:space="preserve">Резултатите дават </w:t>
                            </w:r>
                            <w:r w:rsidRPr="00B80E14">
                              <w:rPr>
                                <w:b/>
                                <w:sz w:val="20"/>
                              </w:rPr>
                              <w:t>предимство</w:t>
                            </w:r>
                            <w:r w:rsidRPr="00B80E14">
                              <w:rPr>
                                <w:sz w:val="20"/>
                              </w:rPr>
                              <w:t xml:space="preserve"> на </w:t>
                            </w:r>
                            <w:r w:rsidRPr="00B80E14">
                              <w:rPr>
                                <w:b/>
                                <w:sz w:val="20"/>
                              </w:rPr>
                              <w:t>определени</w:t>
                            </w:r>
                            <w:r w:rsidRPr="00B80E14">
                              <w:rPr>
                                <w:sz w:val="20"/>
                              </w:rPr>
                              <w:t xml:space="preserve"> предприятия или стоки  </w:t>
                            </w:r>
                          </w:p>
                        </w:txbxContent>
                      </v:textbox>
                    </v:rect>
                    <v:shape id="AutoShape 306" o:spid="_x0000_s1345" type="#_x0000_t32" style="position:absolute;left:6018;top:3549;width:0;height:1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" strokecolor="#0070c0">
                      <v:stroke endarrow="block"/>
                    </v:shape>
                    <v:shape id="Text Box 307" o:spid="_x0000_s1346" type="#_x0000_t202" style="position:absolute;left:5783;top:3791;width:55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" strokecolor="#0070c0" strokeweight="1pt">
                      <v:fill color2="#999" focus="100%" type="gradient"/>
                      <v:shadow on="t" color="#7f7f7f" opacity=".5" offset="1pt"/>
                      <v:textbox>
                        <w:txbxContent>
                          <w:p w14:paraId="7AC97964" w14:textId="77777777" w:rsidR="004E3164" w:rsidRPr="00E23636" w:rsidRDefault="004E3164" w:rsidP="008E6361">
                            <w:pPr>
                              <w:ind w:firstLine="0"/>
                              <w:jc w:val="center"/>
                              <w:rPr>
                                <w:color w:val="0070C0"/>
                                <w:sz w:val="16"/>
                                <w:szCs w:val="16"/>
                              </w:rPr>
                            </w:pPr>
                            <w:r w:rsidRPr="00E23636">
                              <w:rPr>
                                <w:color w:val="0070C0"/>
                                <w:sz w:val="16"/>
                                <w:szCs w:val="16"/>
                              </w:rPr>
                              <w:t>не</w:t>
                            </w:r>
                          </w:p>
                        </w:txbxContent>
                      </v:textbox>
                    </v:shape>
                    <v:group id="Group 308" o:spid="_x0000_s1347" style="position:absolute;left:8458;top:3017;width:1666;height:360" coordorigin="7840,2453" coordsize="157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">
                      <v:shape id="AutoShape 309" o:spid="_x0000_s1348" type="#_x0000_t32" style="position:absolute;left:7840;top:2587;width:15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" strokecolor="red">
                        <v:stroke endarrow="block"/>
                      </v:shape>
                      <v:shape id="Text Box 310" o:spid="_x0000_s1349" type="#_x0000_t202" style="position:absolute;left:8241;top:2453;width:57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" strokecolor="red" strokeweight="1pt">
                        <v:fill color2="#999" focus="100%" type="gradient"/>
                        <v:shadow on="t" color="#7f7f7f" opacity=".5" offset="1pt"/>
                        <v:textbox>
                          <w:txbxContent>
                            <w:p w14:paraId="0613E45E" w14:textId="77777777" w:rsidR="004E3164" w:rsidRPr="00E23636" w:rsidRDefault="004E3164" w:rsidP="008E6361">
                              <w:pPr>
                                <w:ind w:firstLine="0"/>
                                <w:jc w:val="center"/>
                                <w:rPr>
                                  <w:color w:val="FF0000"/>
                                  <w:sz w:val="16"/>
                                  <w:szCs w:val="16"/>
                                </w:rPr>
                              </w:pPr>
                              <w:r w:rsidRPr="00E23636">
                                <w:rPr>
                                  <w:color w:val="FF0000"/>
                                  <w:sz w:val="16"/>
                                  <w:szCs w:val="16"/>
                                </w:rPr>
                                <w:t>да</w:t>
                              </w:r>
                            </w:p>
                          </w:txbxContent>
                        </v:textbox>
                      </v:shape>
                    </v:group>
                    <v:shape id="AutoShape 311" o:spid="_x0000_s1350" type="#_x0000_t32" style="position:absolute;left:6111;top:5709;width:0;height:1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" strokecolor="#0070c0">
                      <v:stroke endarrow="block"/>
                    </v:shape>
                    <v:shape id="Text Box 312" o:spid="_x0000_s1351" type="#_x0000_t202" style="position:absolute;left:5876;top:5951;width:55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" strokecolor="#0070c0" strokeweight="1pt">
                      <v:fill color2="#999" focus="100%" type="gradient"/>
                      <v:shadow on="t" color="#7f7f7f" opacity=".5" offset="1pt"/>
                      <v:textbox>
                        <w:txbxContent>
                          <w:p w14:paraId="0014E460" w14:textId="77777777" w:rsidR="004E3164" w:rsidRPr="00E23636" w:rsidRDefault="004E3164" w:rsidP="008E6361">
                            <w:pPr>
                              <w:ind w:firstLine="0"/>
                              <w:jc w:val="center"/>
                              <w:rPr>
                                <w:color w:val="0070C0"/>
                                <w:sz w:val="16"/>
                                <w:szCs w:val="16"/>
                              </w:rPr>
                            </w:pPr>
                            <w:r w:rsidRPr="00E23636">
                              <w:rPr>
                                <w:color w:val="0070C0"/>
                                <w:sz w:val="16"/>
                                <w:szCs w:val="16"/>
                              </w:rPr>
                              <w:t>не</w:t>
                            </w:r>
                          </w:p>
                        </w:txbxContent>
                      </v:textbox>
                    </v:shape>
                    <v:shape id="AutoShape 313" o:spid="_x0000_s1352" type="#_x0000_t32" style="position:absolute;left:6111;top:7589;width:0;height:1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" strokecolor="#0070c0">
                      <v:stroke endarrow="block"/>
                    </v:shape>
                    <v:shape id="Text Box 314" o:spid="_x0000_s1353" type="#_x0000_t202" style="position:absolute;left:5876;top:7831;width:55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" strokecolor="#0070c0" strokeweight="1pt">
                      <v:fill color2="#999" focus="100%" type="gradient"/>
                      <v:shadow on="t" color="#7f7f7f" opacity=".5" offset="1pt"/>
                      <v:textbox>
                        <w:txbxContent>
                          <w:p w14:paraId="13ED197B" w14:textId="77777777" w:rsidR="004E3164" w:rsidRPr="00E23636" w:rsidRDefault="004E3164" w:rsidP="008E6361">
                            <w:pPr>
                              <w:ind w:firstLine="0"/>
                              <w:jc w:val="center"/>
                              <w:rPr>
                                <w:color w:val="0070C0"/>
                                <w:sz w:val="16"/>
                                <w:szCs w:val="16"/>
                              </w:rPr>
                            </w:pPr>
                            <w:r w:rsidRPr="00E23636">
                              <w:rPr>
                                <w:color w:val="0070C0"/>
                                <w:sz w:val="16"/>
                                <w:szCs w:val="16"/>
                              </w:rPr>
                              <w:t>не</w:t>
                            </w:r>
                          </w:p>
                        </w:txbxContent>
                      </v:textbox>
                    </v:shape>
                    <v:shape id="AutoShape 315" o:spid="_x0000_s1354" type="#_x0000_t117" style="position:absolute;left:3324;top:8683;width:5359;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" stroked="f" strokecolor="#d99594" strokeweight="1pt">
                      <v:fill color2="#e5b8b7" focus="100%" type="gradient"/>
                      <v:shadow on="t" color="#622423" opacity=".5" offset="1pt"/>
                      <v:textbox>
                        <w:txbxContent>
                          <w:p w14:paraId="6DF1BBB5" w14:textId="77777777" w:rsidR="004E3164" w:rsidRPr="00636815" w:rsidRDefault="004E3164" w:rsidP="008E6361">
                            <w:pPr>
                              <w:ind w:firstLine="0"/>
                              <w:jc w:val="center"/>
                              <w:rPr>
                                <w:b/>
                                <w:color w:val="0070C0"/>
                                <w:sz w:val="18"/>
                                <w:szCs w:val="18"/>
                              </w:rPr>
                            </w:pPr>
                            <w:r w:rsidRPr="006E03BD">
                              <w:rPr>
                                <w:color w:val="0070C0"/>
                              </w:rPr>
                              <w:t>Не е налична</w:t>
                            </w:r>
                            <w:r>
                              <w:rPr>
                                <w:b/>
                                <w:color w:val="0070C0"/>
                              </w:rPr>
                              <w:t xml:space="preserve"> селективност </w:t>
                            </w:r>
                            <w:r w:rsidRPr="00636815">
                              <w:rPr>
                                <w:b/>
                                <w:color w:val="0070C0"/>
                                <w:sz w:val="18"/>
                                <w:szCs w:val="18"/>
                              </w:rPr>
                              <w:t>(избирателност)</w:t>
                            </w:r>
                          </w:p>
                        </w:txbxContent>
                      </v:textbox>
                    </v:shape>
                    <v:shape id="AutoShape 316" o:spid="_x0000_s1355" type="#_x0000_t117" style="position:absolute;left:7645;top:4697;width:5534;height:7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" stroked="f" strokecolor="#d99594" strokeweight="1pt">
                      <v:fill color2="#e5b8b7" focus="100%" type="gradient"/>
                      <v:shadow on="t" color="#622423" opacity=".5" offset="1pt"/>
                      <v:textbox style="layout-flow:vertical;mso-layout-flow-alt:bottom-to-top">
                        <w:txbxContent>
                          <w:p w14:paraId="3B4549D2" w14:textId="77777777" w:rsidR="004E3164" w:rsidRPr="006E03BD" w:rsidRDefault="004E3164" w:rsidP="008E6361">
                            <w:pPr>
                              <w:ind w:firstLine="0"/>
                              <w:jc w:val="center"/>
                              <w:rPr>
                                <w:color w:val="FF0000"/>
                              </w:rPr>
                            </w:pPr>
                            <w:r w:rsidRPr="006E03BD">
                              <w:rPr>
                                <w:color w:val="FF0000"/>
                              </w:rPr>
                              <w:t xml:space="preserve">Наличие на </w:t>
                            </w:r>
                            <w:r>
                              <w:rPr>
                                <w:b/>
                                <w:color w:val="FF0000"/>
                              </w:rPr>
                              <w:t xml:space="preserve">селективност </w:t>
                            </w:r>
                            <w:r w:rsidRPr="006E03BD">
                              <w:rPr>
                                <w:color w:val="FF0000"/>
                                <w:sz w:val="18"/>
                                <w:szCs w:val="18"/>
                              </w:rPr>
                              <w:t>(избирателност)</w:t>
                            </w:r>
                            <w:r w:rsidRPr="006E03BD">
                              <w:rPr>
                                <w:color w:val="FF0000"/>
                              </w:rPr>
                              <w:t xml:space="preserve"> </w:t>
                            </w:r>
                          </w:p>
                        </w:txbxContent>
                      </v:textbox>
                    </v:shape>
                    <v:shape id="Text Box 317" o:spid="_x0000_s1356" type="#_x0000_t202" style="position:absolute;left:8883;top:7097;width:60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" strokecolor="red" strokeweight="1pt">
                      <v:fill color2="#999" focus="100%" type="gradient"/>
                      <v:shadow on="t" color="#7f7f7f" opacity=".5" offset="1pt"/>
                      <v:textbox>
                        <w:txbxContent>
                          <w:p w14:paraId="32AC00CE" w14:textId="77777777" w:rsidR="004E3164" w:rsidRPr="00E23636" w:rsidRDefault="004E3164" w:rsidP="008E6361">
                            <w:pPr>
                              <w:ind w:firstLine="0"/>
                              <w:jc w:val="center"/>
                              <w:rPr>
                                <w:color w:val="FF0000"/>
                                <w:sz w:val="16"/>
                                <w:szCs w:val="16"/>
                              </w:rPr>
                            </w:pPr>
                            <w:r w:rsidRPr="00E23636">
                              <w:rPr>
                                <w:color w:val="FF0000"/>
                                <w:sz w:val="16"/>
                                <w:szCs w:val="16"/>
                              </w:rPr>
                              <w:t>да</w:t>
                            </w:r>
                          </w:p>
                        </w:txbxContent>
                      </v:textbox>
                    </v:shape>
                    <v:shape id="Text Box 318" o:spid="_x0000_s1357" type="#_x0000_t202" style="position:absolute;left:8952;top:5004;width:57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" strokecolor="red" strokeweight="1pt">
                      <v:fill color2="#999" focus="100%" type="gradient"/>
                      <v:shadow on="t" color="#7f7f7f" opacity=".5" offset="1pt"/>
                      <v:textbox>
                        <w:txbxContent>
                          <w:p w14:paraId="38AA4175" w14:textId="77777777" w:rsidR="004E3164" w:rsidRPr="00E23636" w:rsidRDefault="004E3164" w:rsidP="008E6361">
                            <w:pPr>
                              <w:ind w:firstLine="0"/>
                              <w:jc w:val="center"/>
                              <w:rPr>
                                <w:color w:val="FF0000"/>
                                <w:sz w:val="16"/>
                                <w:szCs w:val="16"/>
                              </w:rPr>
                            </w:pPr>
                            <w:r w:rsidRPr="00E23636">
                              <w:rPr>
                                <w:color w:val="FF0000"/>
                                <w:sz w:val="16"/>
                                <w:szCs w:val="16"/>
                              </w:rPr>
                              <w:t>да</w:t>
                            </w:r>
                          </w:p>
                        </w:txbxContent>
                      </v:textbox>
                    </v:shape>
                  </v:group>
                </v:group>
                <w10:anchorlock/>
              </v:group>
            </w:pict>
          </mc:Fallback>
        </mc:AlternateContent>
      </w:r>
    </w:p>
    <w:p w14:paraId="61DE2649" w14:textId="77777777" w:rsidR="00D603F5" w:rsidRPr="001B0EA3" w:rsidRDefault="00D603F5" w:rsidP="00511860">
      <w:pPr>
        <w:tabs>
          <w:tab w:val="left" w:pos="851"/>
          <w:tab w:val="left" w:pos="993"/>
        </w:tabs>
        <w:spacing w:beforeLines="60" w:before="144" w:afterLines="60" w:after="144"/>
        <w:rPr>
          <w:szCs w:val="22"/>
          <w:lang w:eastAsia="en-US"/>
        </w:rPr>
      </w:pPr>
    </w:p>
    <w:p w14:paraId="226FAF97" w14:textId="77777777" w:rsidR="00D603F5" w:rsidRPr="00842ECC" w:rsidRDefault="00D603F5" w:rsidP="00ED358C">
      <w:pPr>
        <w:pStyle w:val="Style3"/>
        <w:rPr>
          <w:lang w:val="bg-BG" w:eastAsia="en-US"/>
        </w:rPr>
      </w:pPr>
      <w:bookmarkStart w:id="335" w:name="_Toc479775577"/>
      <w:r w:rsidRPr="00842ECC">
        <w:rPr>
          <w:lang w:val="bg-BG" w:eastAsia="en-US"/>
        </w:rPr>
        <w:t>Наличие на нарушаване или заплаха за нарушаване на конкуренцията</w:t>
      </w:r>
      <w:r w:rsidR="00EC4961" w:rsidRPr="00842ECC">
        <w:rPr>
          <w:lang w:val="bg-BG" w:eastAsia="en-US"/>
        </w:rPr>
        <w:t xml:space="preserve"> и засягане на търговията между ДЧ (Фиг. 2.8 и Фиг. 2.9)</w:t>
      </w:r>
      <w:bookmarkEnd w:id="335"/>
    </w:p>
    <w:p w14:paraId="31AFEB01" w14:textId="77777777" w:rsidR="00EC4961" w:rsidRPr="001B0EA3" w:rsidRDefault="00D603F5" w:rsidP="008E6361">
      <w:pPr>
        <w:rPr>
          <w:lang w:eastAsia="en-US"/>
        </w:rPr>
      </w:pPr>
      <w:r w:rsidRPr="001B0EA3">
        <w:rPr>
          <w:lang w:eastAsia="en-US"/>
        </w:rPr>
        <w:t xml:space="preserve">Предоставена от държавата мярка се счита, че </w:t>
      </w:r>
      <w:r w:rsidRPr="001B0EA3">
        <w:rPr>
          <w:b/>
          <w:lang w:eastAsia="en-US"/>
        </w:rPr>
        <w:t>нарушава или заплашва да наруши конкуренцията,</w:t>
      </w:r>
      <w:r w:rsidRPr="001B0EA3">
        <w:rPr>
          <w:lang w:eastAsia="en-US"/>
        </w:rPr>
        <w:t xml:space="preserve"> когато е в състояние да подобри конкурентните позиции на получателя в сравнение с други предприятия, с които се конкурира. Следователно за всички практически нужди нарушаване на конкуренцията по смисъла на член 107 от ДФЕС е налице, когато </w:t>
      </w:r>
      <w:r w:rsidRPr="001B0EA3">
        <w:rPr>
          <w:lang w:eastAsia="en-US"/>
        </w:rPr>
        <w:lastRenderedPageBreak/>
        <w:t xml:space="preserve">държавата предостави </w:t>
      </w:r>
      <w:r w:rsidRPr="001B0EA3">
        <w:rPr>
          <w:b/>
          <w:lang w:eastAsia="en-US"/>
        </w:rPr>
        <w:t>финансово предимство на дадено предприятие в либерализиран сектор</w:t>
      </w:r>
      <w:r w:rsidRPr="001B0EA3">
        <w:rPr>
          <w:lang w:eastAsia="en-US"/>
        </w:rPr>
        <w:t xml:space="preserve">, на който има </w:t>
      </w:r>
      <w:r w:rsidRPr="001B0EA3">
        <w:rPr>
          <w:b/>
          <w:lang w:eastAsia="en-US"/>
        </w:rPr>
        <w:t>или би могло да има конкуренция</w:t>
      </w:r>
      <w:r w:rsidRPr="001B0EA3">
        <w:rPr>
          <w:lang w:eastAsia="en-US"/>
        </w:rPr>
        <w:t>.</w:t>
      </w:r>
      <w:r w:rsidR="00E813B6" w:rsidRPr="001B0EA3">
        <w:rPr>
          <w:lang w:eastAsia="en-US"/>
        </w:rPr>
        <w:t xml:space="preserve"> </w:t>
      </w:r>
      <w:r w:rsidR="00EC4961" w:rsidRPr="001B0EA3">
        <w:rPr>
          <w:lang w:eastAsia="en-US"/>
        </w:rPr>
        <w:t>За достатъчно се счита да се докаже, че получателя на помощта се з</w:t>
      </w:r>
      <w:r w:rsidR="00EC4961" w:rsidRPr="001B0EA3">
        <w:rPr>
          <w:b/>
          <w:lang w:eastAsia="en-US"/>
        </w:rPr>
        <w:t>анимава със стопанска дейност  и работи на пазар</w:t>
      </w:r>
      <w:r w:rsidR="00EC4961" w:rsidRPr="001B0EA3">
        <w:rPr>
          <w:lang w:eastAsia="en-US"/>
        </w:rPr>
        <w:t xml:space="preserve">, на който се осъществява търговия  </w:t>
      </w:r>
      <w:r w:rsidR="00EC4961" w:rsidRPr="001B0EA3">
        <w:rPr>
          <w:b/>
          <w:lang w:eastAsia="en-US"/>
        </w:rPr>
        <w:t>между ДЧ</w:t>
      </w:r>
      <w:r w:rsidR="00EC4961" w:rsidRPr="001B0EA3">
        <w:rPr>
          <w:lang w:eastAsia="en-US"/>
        </w:rPr>
        <w:t>.</w:t>
      </w:r>
    </w:p>
    <w:p w14:paraId="44D75337" w14:textId="77777777" w:rsidR="006206C2" w:rsidRPr="001B0EA3" w:rsidRDefault="006206C2" w:rsidP="008E6361">
      <w:pPr>
        <w:rPr>
          <w:lang w:eastAsia="en-US"/>
        </w:rPr>
      </w:pPr>
      <w:r w:rsidRPr="001B0EA3">
        <w:rPr>
          <w:lang w:eastAsia="en-US"/>
        </w:rPr>
        <w:t xml:space="preserve">По –детайлни разяснения относно критерия „Наличие на нарушаване или заплаха за нарушаване на конкуренцията и засягане на търговията между ДЧ“ са дадени в раздел 5. „Засягане на търговията и </w:t>
      </w:r>
      <w:r w:rsidR="00E813B6" w:rsidRPr="001B0EA3">
        <w:rPr>
          <w:lang w:eastAsia="en-US"/>
        </w:rPr>
        <w:t>конкуренцията</w:t>
      </w:r>
      <w:r w:rsidRPr="001B0EA3">
        <w:rPr>
          <w:lang w:eastAsia="en-US"/>
        </w:rPr>
        <w:t>“  на Известието (</w:t>
      </w:r>
      <w:r w:rsidRPr="001E404B">
        <w:rPr>
          <w:i/>
          <w:lang w:eastAsia="en-US"/>
        </w:rPr>
        <w:t xml:space="preserve">от </w:t>
      </w:r>
      <w:r w:rsidR="00FA7DD6" w:rsidRPr="001E404B">
        <w:rPr>
          <w:i/>
          <w:lang w:eastAsia="en-US"/>
        </w:rPr>
        <w:t>т</w:t>
      </w:r>
      <w:r w:rsidRPr="001E404B">
        <w:rPr>
          <w:i/>
          <w:lang w:eastAsia="en-US"/>
        </w:rPr>
        <w:t xml:space="preserve">. 185 до </w:t>
      </w:r>
      <w:r w:rsidR="00FA7DD6" w:rsidRPr="001E404B">
        <w:rPr>
          <w:i/>
          <w:lang w:eastAsia="en-US"/>
        </w:rPr>
        <w:t xml:space="preserve">т. </w:t>
      </w:r>
      <w:r w:rsidRPr="001E404B">
        <w:rPr>
          <w:i/>
          <w:lang w:eastAsia="en-US"/>
        </w:rPr>
        <w:t>198</w:t>
      </w:r>
      <w:r w:rsidRPr="001B0EA3">
        <w:rPr>
          <w:lang w:eastAsia="en-US"/>
        </w:rPr>
        <w:t>).</w:t>
      </w:r>
    </w:p>
    <w:p w14:paraId="13A03442" w14:textId="77777777" w:rsidR="006206C2" w:rsidRPr="001B0EA3" w:rsidRDefault="006206C2" w:rsidP="008E6361">
      <w:pPr>
        <w:rPr>
          <w:lang w:eastAsia="en-US"/>
        </w:rPr>
      </w:pPr>
    </w:p>
    <w:p w14:paraId="04018233" w14:textId="77777777" w:rsidR="006206C2" w:rsidRPr="008E6361" w:rsidRDefault="006206C2" w:rsidP="008E6361">
      <w:pPr>
        <w:shd w:val="clear" w:color="auto" w:fill="1F4E79" w:themeFill="accent1" w:themeFillShade="80"/>
        <w:rPr>
          <w:b/>
          <w:color w:val="FFFFFF" w:themeColor="background1"/>
          <w:lang w:eastAsia="en-US"/>
        </w:rPr>
      </w:pPr>
      <w:r w:rsidRPr="008E6361">
        <w:rPr>
          <w:b/>
          <w:color w:val="FFFFFF" w:themeColor="background1"/>
          <w:lang w:eastAsia="en-US"/>
        </w:rPr>
        <w:t xml:space="preserve">Изключения от режима на ДП: </w:t>
      </w:r>
    </w:p>
    <w:p w14:paraId="48EC972C" w14:textId="77777777" w:rsidR="006206C2" w:rsidRPr="008E6361" w:rsidRDefault="006206C2" w:rsidP="008E6361">
      <w:pPr>
        <w:shd w:val="clear" w:color="auto" w:fill="1F4E79" w:themeFill="accent1" w:themeFillShade="80"/>
        <w:rPr>
          <w:b/>
          <w:color w:val="FFFFFF" w:themeColor="background1"/>
          <w:lang w:eastAsia="en-US"/>
        </w:rPr>
      </w:pPr>
    </w:p>
    <w:p w14:paraId="3770591D" w14:textId="77777777" w:rsidR="006206C2" w:rsidRPr="008E6361" w:rsidRDefault="006206C2" w:rsidP="008E6361">
      <w:pPr>
        <w:pStyle w:val="ListParagraph"/>
        <w:numPr>
          <w:ilvl w:val="0"/>
          <w:numId w:val="428"/>
        </w:numPr>
        <w:shd w:val="clear" w:color="auto" w:fill="1F4E79" w:themeFill="accent1" w:themeFillShade="80"/>
        <w:spacing w:line="259" w:lineRule="auto"/>
        <w:ind w:left="0" w:firstLine="851"/>
        <w:rPr>
          <w:color w:val="FFFFFF" w:themeColor="background1"/>
          <w:szCs w:val="24"/>
          <w:lang w:eastAsia="en-US"/>
        </w:rPr>
      </w:pPr>
      <w:r w:rsidRPr="008E6361">
        <w:rPr>
          <w:color w:val="FFFFFF" w:themeColor="background1"/>
          <w:szCs w:val="24"/>
          <w:lang w:eastAsia="en-US"/>
        </w:rPr>
        <w:t>дадена услуга е обект на законен монопол (установен в съответствие с правото на ЕС), при спазване условията, определени в т. 188 от Известието;</w:t>
      </w:r>
    </w:p>
    <w:p w14:paraId="6C17771D" w14:textId="77777777" w:rsidR="006206C2" w:rsidRPr="008E6361" w:rsidRDefault="006206C2" w:rsidP="008E6361">
      <w:pPr>
        <w:pStyle w:val="ListParagraph"/>
        <w:numPr>
          <w:ilvl w:val="0"/>
          <w:numId w:val="428"/>
        </w:numPr>
        <w:shd w:val="clear" w:color="auto" w:fill="1F4E79" w:themeFill="accent1" w:themeFillShade="80"/>
        <w:spacing w:line="259" w:lineRule="auto"/>
        <w:ind w:left="0" w:firstLine="851"/>
        <w:rPr>
          <w:color w:val="FFFFFF" w:themeColor="background1"/>
          <w:szCs w:val="24"/>
          <w:lang w:eastAsia="en-US"/>
        </w:rPr>
      </w:pPr>
      <w:r w:rsidRPr="008E6361">
        <w:rPr>
          <w:color w:val="FFFFFF" w:themeColor="background1"/>
          <w:szCs w:val="24"/>
          <w:lang w:eastAsia="en-US"/>
        </w:rPr>
        <w:t>марката има чисто местно въздействие, , при спазване условията, определени в т. 196 от Известието;</w:t>
      </w:r>
    </w:p>
    <w:p w14:paraId="5B417B9C" w14:textId="77777777" w:rsidR="006206C2" w:rsidRPr="008E6361" w:rsidRDefault="006206C2" w:rsidP="008E6361">
      <w:pPr>
        <w:shd w:val="clear" w:color="auto" w:fill="1F4E79" w:themeFill="accent1" w:themeFillShade="80"/>
        <w:rPr>
          <w:b/>
          <w:color w:val="FFFFFF" w:themeColor="background1"/>
          <w:lang w:eastAsia="en-US"/>
        </w:rPr>
      </w:pPr>
    </w:p>
    <w:p w14:paraId="7A2FF50C" w14:textId="77777777" w:rsidR="00D603F5" w:rsidRPr="008E6361" w:rsidRDefault="006206C2" w:rsidP="008E6361">
      <w:pPr>
        <w:shd w:val="clear" w:color="auto" w:fill="1F4E79" w:themeFill="accent1" w:themeFillShade="80"/>
        <w:rPr>
          <w:b/>
          <w:color w:val="FFFFFF" w:themeColor="background1"/>
          <w:szCs w:val="22"/>
          <w:lang w:eastAsia="en-US"/>
        </w:rPr>
      </w:pPr>
      <w:r w:rsidRPr="008E6361">
        <w:rPr>
          <w:b/>
          <w:color w:val="FFFFFF" w:themeColor="background1"/>
          <w:lang w:eastAsia="en-US"/>
        </w:rPr>
        <w:t xml:space="preserve">В случай, че във ФК изчерпателно е мотивирано и обосновано, че мярката </w:t>
      </w:r>
      <w:r w:rsidR="00E813B6" w:rsidRPr="008E6361">
        <w:rPr>
          <w:b/>
          <w:color w:val="FFFFFF" w:themeColor="background1"/>
          <w:lang w:eastAsia="en-US"/>
        </w:rPr>
        <w:t>отговаря</w:t>
      </w:r>
      <w:r w:rsidRPr="008E6361">
        <w:rPr>
          <w:b/>
          <w:color w:val="FFFFFF" w:themeColor="background1"/>
          <w:lang w:eastAsia="en-US"/>
        </w:rPr>
        <w:t xml:space="preserve"> на някое от тези изключения не е необходимо да се предоставя </w:t>
      </w:r>
      <w:r w:rsidR="00E813B6" w:rsidRPr="008E6361">
        <w:rPr>
          <w:b/>
          <w:color w:val="FFFFFF" w:themeColor="background1"/>
          <w:lang w:eastAsia="en-US"/>
        </w:rPr>
        <w:t>информация</w:t>
      </w:r>
      <w:r w:rsidRPr="008E6361">
        <w:rPr>
          <w:b/>
          <w:color w:val="FFFFFF" w:themeColor="background1"/>
          <w:lang w:eastAsia="en-US"/>
        </w:rPr>
        <w:t xml:space="preserve"> по другите критерии</w:t>
      </w:r>
      <w:r w:rsidR="00D603F5" w:rsidRPr="008E6361">
        <w:rPr>
          <w:b/>
          <w:color w:val="FFFFFF" w:themeColor="background1"/>
          <w:lang w:eastAsia="en-US"/>
        </w:rPr>
        <w:t>.</w:t>
      </w:r>
    </w:p>
    <w:p w14:paraId="1CD8C459" w14:textId="77777777" w:rsidR="006206C2" w:rsidRPr="008E6361" w:rsidRDefault="006206C2" w:rsidP="008E6361">
      <w:pPr>
        <w:shd w:val="clear" w:color="auto" w:fill="1F4E79" w:themeFill="accent1" w:themeFillShade="80"/>
        <w:rPr>
          <w:b/>
          <w:color w:val="FFFFFF" w:themeColor="background1"/>
          <w:szCs w:val="22"/>
          <w:lang w:eastAsia="en-US"/>
        </w:rPr>
      </w:pPr>
    </w:p>
    <w:p w14:paraId="42F14EE4" w14:textId="77777777" w:rsidR="00D83422" w:rsidRDefault="00D83422" w:rsidP="00D83422">
      <w:pPr>
        <w:rPr>
          <w:lang w:eastAsia="en-US"/>
        </w:rPr>
      </w:pPr>
    </w:p>
    <w:p w14:paraId="3E6C6263" w14:textId="77777777" w:rsidR="00D603F5" w:rsidRPr="00D83422" w:rsidRDefault="00D603F5" w:rsidP="00D83422">
      <w:pPr>
        <w:rPr>
          <w:b/>
          <w:lang w:eastAsia="en-US"/>
        </w:rPr>
      </w:pPr>
      <w:r w:rsidRPr="00D83422">
        <w:rPr>
          <w:b/>
          <w:lang w:eastAsia="en-US"/>
        </w:rPr>
        <w:t>Фиг. 2.8. Определяне нарушаване на конкуренцията</w:t>
      </w:r>
    </w:p>
    <w:p w14:paraId="5F073679" w14:textId="77777777" w:rsidR="00010D15" w:rsidRPr="001B0EA3" w:rsidRDefault="00010D15" w:rsidP="00511860">
      <w:pPr>
        <w:tabs>
          <w:tab w:val="left" w:pos="1134"/>
        </w:tabs>
        <w:spacing w:before="120"/>
        <w:rPr>
          <w:b/>
          <w:szCs w:val="22"/>
          <w:lang w:eastAsia="en-US"/>
        </w:rPr>
      </w:pPr>
    </w:p>
    <w:p w14:paraId="32C196E0" w14:textId="77777777" w:rsidR="00EC4961" w:rsidRPr="001B0EA3" w:rsidRDefault="00937754" w:rsidP="00D83422">
      <w:pPr>
        <w:spacing w:before="120"/>
        <w:ind w:firstLine="0"/>
        <w:jc w:val="center"/>
        <w:rPr>
          <w:b/>
          <w:szCs w:val="22"/>
          <w:lang w:eastAsia="en-US"/>
        </w:rPr>
      </w:pPr>
      <w:r w:rsidRPr="001B0EA3">
        <w:rPr>
          <w:noProof/>
          <w:lang w:eastAsia="bg-BG"/>
        </w:rPr>
        <mc:AlternateContent>
          <mc:Choice Requires="wpg">
            <w:drawing>
              <wp:inline distT="0" distB="0" distL="0" distR="0" wp14:anchorId="7AFB8318" wp14:editId="1DE12270">
                <wp:extent cx="5612765" cy="3242310"/>
                <wp:effectExtent l="0" t="0" r="26035" b="34290"/>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2765" cy="3242310"/>
                          <a:chOff x="0" y="-398593"/>
                          <a:chExt cx="5612765" cy="3242758"/>
                        </a:xfrm>
                      </wpg:grpSpPr>
                      <wpg:grpSp>
                        <wpg:cNvPr id="2042" name="Group 40"/>
                        <wpg:cNvGrpSpPr>
                          <a:grpSpLocks/>
                        </wpg:cNvGrpSpPr>
                        <wpg:grpSpPr bwMode="auto">
                          <a:xfrm>
                            <a:off x="0" y="0"/>
                            <a:ext cx="5612765" cy="2844165"/>
                            <a:chOff x="2138" y="11451"/>
                            <a:chExt cx="8839" cy="4479"/>
                          </a:xfrm>
                        </wpg:grpSpPr>
                        <wps:wsp>
                          <wps:cNvPr id="2043" name="Rectangle 327"/>
                          <wps:cNvSpPr>
                            <a:spLocks noChangeArrowheads="1"/>
                          </wps:cNvSpPr>
                          <wps:spPr bwMode="auto">
                            <a:xfrm>
                              <a:off x="2138" y="11552"/>
                              <a:ext cx="2680" cy="4308"/>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14:paraId="2459FBAA" w14:textId="77777777" w:rsidR="004E3164" w:rsidRPr="00322A26" w:rsidRDefault="004E3164" w:rsidP="00D83422">
                                <w:pPr>
                                  <w:ind w:firstLine="0"/>
                                  <w:jc w:val="center"/>
                                  <w:rPr>
                                    <w:b/>
                                  </w:rPr>
                                </w:pPr>
                              </w:p>
                            </w:txbxContent>
                          </wps:txbx>
                          <wps:bodyPr rot="0" vert="horz" wrap="square" lIns="91440" tIns="45720" rIns="91440" bIns="45720" anchor="t" anchorCtr="0" upright="1">
                            <a:noAutofit/>
                          </wps:bodyPr>
                        </wps:wsp>
                        <wpg:grpSp>
                          <wpg:cNvPr id="2044" name="Group 328"/>
                          <wpg:cNvGrpSpPr>
                            <a:grpSpLocks/>
                          </wpg:cNvGrpSpPr>
                          <wpg:grpSpPr bwMode="auto">
                            <a:xfrm>
                              <a:off x="2191" y="11612"/>
                              <a:ext cx="2147" cy="3795"/>
                              <a:chOff x="1573" y="10232"/>
                              <a:chExt cx="2147" cy="3795"/>
                            </a:xfrm>
                          </wpg:grpSpPr>
                          <wps:wsp>
                            <wps:cNvPr id="2045" name="AutoShape 329"/>
                            <wps:cNvSpPr>
                              <a:spLocks noChangeArrowheads="1"/>
                            </wps:cNvSpPr>
                            <wps:spPr bwMode="auto">
                              <a:xfrm>
                                <a:off x="1573" y="10232"/>
                                <a:ext cx="2147" cy="441"/>
                              </a:xfrm>
                              <a:prstGeom prst="flowChartTerminator">
                                <a:avLst/>
                              </a:prstGeom>
                              <a:gradFill rotWithShape="0">
                                <a:gsLst>
                                  <a:gs pos="0">
                                    <a:srgbClr val="FFFFFF"/>
                                  </a:gs>
                                  <a:gs pos="100000">
                                    <a:srgbClr val="FBD4B4"/>
                                  </a:gs>
                                </a:gsLst>
                                <a:lin ang="5400000" scaled="1"/>
                              </a:gradFill>
                              <a:ln w="12700">
                                <a:solidFill>
                                  <a:srgbClr val="FF0000"/>
                                </a:solidFill>
                                <a:miter lim="800000"/>
                                <a:headEnd/>
                                <a:tailEnd/>
                              </a:ln>
                              <a:effectLst>
                                <a:outerShdw dist="28398" dir="3806097" algn="ctr" rotWithShape="0">
                                  <a:srgbClr val="974706">
                                    <a:alpha val="50000"/>
                                  </a:srgbClr>
                                </a:outerShdw>
                              </a:effectLst>
                            </wps:spPr>
                            <wps:txbx>
                              <w:txbxContent>
                                <w:p w14:paraId="6138343A" w14:textId="77777777" w:rsidR="004E3164" w:rsidRPr="005C27D1" w:rsidRDefault="004E3164" w:rsidP="00D83422">
                                  <w:pPr>
                                    <w:ind w:firstLine="0"/>
                                    <w:jc w:val="center"/>
                                    <w:rPr>
                                      <w:color w:val="FF0000"/>
                                    </w:rPr>
                                  </w:pPr>
                                  <w:r>
                                    <w:rPr>
                                      <w:b/>
                                      <w:color w:val="FF0000"/>
                                      <w:sz w:val="16"/>
                                      <w:szCs w:val="16"/>
                                    </w:rPr>
                                    <w:t xml:space="preserve">Публичен орган </w:t>
                                  </w:r>
                                </w:p>
                                <w:p w14:paraId="44386DDC" w14:textId="77777777" w:rsidR="004E3164" w:rsidRPr="005C27D1" w:rsidRDefault="004E3164" w:rsidP="00D83422">
                                  <w:pPr>
                                    <w:ind w:firstLine="0"/>
                                    <w:jc w:val="center"/>
                                    <w:rPr>
                                      <w:color w:val="FF0000"/>
                                    </w:rPr>
                                  </w:pPr>
                                </w:p>
                              </w:txbxContent>
                            </wps:txbx>
                            <wps:bodyPr rot="0" vert="horz" wrap="square" lIns="91440" tIns="45720" rIns="91440" bIns="45720" anchor="t" anchorCtr="0" upright="1">
                              <a:noAutofit/>
                            </wps:bodyPr>
                          </wps:wsp>
                          <wps:wsp>
                            <wps:cNvPr id="2046" name="AutoShape 330"/>
                            <wps:cNvSpPr>
                              <a:spLocks noChangeArrowheads="1"/>
                            </wps:cNvSpPr>
                            <wps:spPr bwMode="auto">
                              <a:xfrm>
                                <a:off x="1573" y="13299"/>
                                <a:ext cx="2140" cy="728"/>
                              </a:xfrm>
                              <a:prstGeom prst="flowChartTerminator">
                                <a:avLst/>
                              </a:prstGeom>
                              <a:gradFill rotWithShape="0">
                                <a:gsLst>
                                  <a:gs pos="0">
                                    <a:srgbClr val="FFFFFF"/>
                                  </a:gs>
                                  <a:gs pos="100000">
                                    <a:srgbClr val="FBD4B4"/>
                                  </a:gs>
                                </a:gsLst>
                                <a:lin ang="5400000" scaled="1"/>
                              </a:gradFill>
                              <a:ln w="12700">
                                <a:solidFill>
                                  <a:srgbClr val="0070C0"/>
                                </a:solidFill>
                                <a:miter lim="800000"/>
                                <a:headEnd/>
                                <a:tailEnd/>
                              </a:ln>
                              <a:effectLst>
                                <a:outerShdw dist="28398" dir="3806097" algn="ctr" rotWithShape="0">
                                  <a:srgbClr val="974706">
                                    <a:alpha val="50000"/>
                                  </a:srgbClr>
                                </a:outerShdw>
                              </a:effectLst>
                            </wps:spPr>
                            <wps:txbx>
                              <w:txbxContent>
                                <w:p w14:paraId="5502DC58" w14:textId="77777777" w:rsidR="004E3164" w:rsidRPr="00E260DC" w:rsidRDefault="004E3164" w:rsidP="00D83422">
                                  <w:pPr>
                                    <w:ind w:firstLine="0"/>
                                    <w:jc w:val="center"/>
                                    <w:rPr>
                                      <w:b/>
                                      <w:color w:val="0070C0"/>
                                      <w:sz w:val="16"/>
                                      <w:szCs w:val="16"/>
                                    </w:rPr>
                                  </w:pPr>
                                  <w:r w:rsidRPr="00E260DC">
                                    <w:rPr>
                                      <w:b/>
                                      <w:color w:val="0070C0"/>
                                      <w:sz w:val="16"/>
                                      <w:szCs w:val="16"/>
                                    </w:rPr>
                                    <w:t>Предприятие</w:t>
                                  </w:r>
                                  <w:r>
                                    <w:rPr>
                                      <w:b/>
                                      <w:color w:val="0070C0"/>
                                      <w:sz w:val="16"/>
                                      <w:szCs w:val="16"/>
                                    </w:rPr>
                                    <w:t xml:space="preserve"> получател на помощта </w:t>
                                  </w:r>
                                  <w:r w:rsidRPr="00E260DC">
                                    <w:rPr>
                                      <w:b/>
                                      <w:color w:val="0070C0"/>
                                      <w:sz w:val="16"/>
                                      <w:szCs w:val="16"/>
                                    </w:rPr>
                                    <w:t xml:space="preserve"> </w:t>
                                  </w:r>
                                </w:p>
                                <w:p w14:paraId="69CC0B4F" w14:textId="77777777" w:rsidR="004E3164" w:rsidRPr="005C27D1" w:rsidRDefault="004E3164" w:rsidP="00D83422">
                                  <w:pPr>
                                    <w:ind w:firstLine="0"/>
                                    <w:jc w:val="center"/>
                                    <w:rPr>
                                      <w:color w:val="FF0000"/>
                                    </w:rPr>
                                  </w:pPr>
                                </w:p>
                              </w:txbxContent>
                            </wps:txbx>
                            <wps:bodyPr rot="0" vert="horz" wrap="square" lIns="91440" tIns="45720" rIns="91440" bIns="45720" anchor="t" anchorCtr="0" upright="1">
                              <a:noAutofit/>
                            </wps:bodyPr>
                          </wps:wsp>
                          <wps:wsp>
                            <wps:cNvPr id="2047" name="AutoShape 331"/>
                            <wps:cNvCnPr>
                              <a:cxnSpLocks noChangeShapeType="1"/>
                            </wps:cNvCnPr>
                            <wps:spPr bwMode="auto">
                              <a:xfrm flipH="1">
                                <a:off x="2587" y="10673"/>
                                <a:ext cx="13" cy="2626"/>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24" name="AutoShape 332"/>
                          <wps:cNvSpPr>
                            <a:spLocks noChangeArrowheads="1"/>
                          </wps:cNvSpPr>
                          <wps:spPr bwMode="auto">
                            <a:xfrm>
                              <a:off x="2191" y="12683"/>
                              <a:ext cx="4667" cy="1733"/>
                            </a:xfrm>
                            <a:prstGeom prst="roundRect">
                              <a:avLst>
                                <a:gd name="adj" fmla="val 16667"/>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round/>
                                  <a:headEnd/>
                                  <a:tailEnd/>
                                </a14:hiddenLine>
                              </a:ext>
                            </a:extLst>
                          </wps:spPr>
                          <wps:txbx>
                            <w:txbxContent>
                              <w:p w14:paraId="0CD41606" w14:textId="77777777" w:rsidR="004E3164" w:rsidRPr="002407E2" w:rsidRDefault="004E3164" w:rsidP="00D83422">
                                <w:pPr>
                                  <w:ind w:firstLine="0"/>
                                  <w:jc w:val="center"/>
                                  <w:rPr>
                                    <w:b/>
                                    <w:sz w:val="16"/>
                                    <w:szCs w:val="16"/>
                                  </w:rPr>
                                </w:pPr>
                                <w:r>
                                  <w:rPr>
                                    <w:b/>
                                    <w:sz w:val="16"/>
                                    <w:szCs w:val="16"/>
                                  </w:rPr>
                                  <w:t>Нарушение на конкуренцията</w:t>
                                </w:r>
                                <w:r w:rsidRPr="002407E2">
                                  <w:rPr>
                                    <w:b/>
                                    <w:sz w:val="16"/>
                                    <w:szCs w:val="16"/>
                                  </w:rPr>
                                  <w:t>:</w:t>
                                </w:r>
                              </w:p>
                              <w:p w14:paraId="3F5DAAD6" w14:textId="77777777" w:rsidR="004E3164" w:rsidRDefault="004E3164" w:rsidP="00D83422">
                                <w:pPr>
                                  <w:numPr>
                                    <w:ilvl w:val="0"/>
                                    <w:numId w:val="87"/>
                                  </w:numPr>
                                  <w:tabs>
                                    <w:tab w:val="left" w:pos="284"/>
                                  </w:tabs>
                                  <w:ind w:left="0" w:firstLine="0"/>
                                  <w:jc w:val="left"/>
                                  <w:rPr>
                                    <w:sz w:val="16"/>
                                    <w:szCs w:val="16"/>
                                  </w:rPr>
                                </w:pPr>
                                <w:r>
                                  <w:rPr>
                                    <w:sz w:val="16"/>
                                    <w:szCs w:val="16"/>
                                  </w:rPr>
                                  <w:t xml:space="preserve">В случай, че  </w:t>
                                </w:r>
                                <w:r w:rsidRPr="00D80501">
                                  <w:rPr>
                                    <w:b/>
                                    <w:sz w:val="16"/>
                                    <w:szCs w:val="16"/>
                                  </w:rPr>
                                  <w:t>търговията е засегната</w:t>
                                </w:r>
                                <w:r>
                                  <w:rPr>
                                    <w:sz w:val="16"/>
                                    <w:szCs w:val="16"/>
                                  </w:rPr>
                                  <w:t xml:space="preserve"> </w:t>
                                </w:r>
                                <w:r>
                                  <w:rPr>
                                    <w:rFonts w:cs="Calibri"/>
                                    <w:sz w:val="16"/>
                                    <w:szCs w:val="16"/>
                                  </w:rPr>
                                  <w:t>→</w:t>
                                </w:r>
                                <w:r>
                                  <w:rPr>
                                    <w:sz w:val="16"/>
                                    <w:szCs w:val="16"/>
                                  </w:rPr>
                                  <w:t xml:space="preserve"> </w:t>
                                </w:r>
                                <w:r w:rsidRPr="00D80501">
                                  <w:rPr>
                                    <w:b/>
                                    <w:sz w:val="16"/>
                                    <w:szCs w:val="16"/>
                                  </w:rPr>
                                  <w:t>конкуренцията е нарушена</w:t>
                                </w:r>
                                <w:r>
                                  <w:rPr>
                                    <w:sz w:val="16"/>
                                    <w:szCs w:val="16"/>
                                  </w:rPr>
                                  <w:t xml:space="preserve">;  </w:t>
                                </w:r>
                              </w:p>
                              <w:p w14:paraId="076FB899" w14:textId="77777777" w:rsidR="004E3164" w:rsidRDefault="004E3164" w:rsidP="00D83422">
                                <w:pPr>
                                  <w:numPr>
                                    <w:ilvl w:val="0"/>
                                    <w:numId w:val="87"/>
                                  </w:numPr>
                                  <w:tabs>
                                    <w:tab w:val="left" w:pos="284"/>
                                  </w:tabs>
                                  <w:ind w:left="0" w:firstLine="0"/>
                                  <w:jc w:val="left"/>
                                  <w:rPr>
                                    <w:sz w:val="16"/>
                                    <w:szCs w:val="16"/>
                                  </w:rPr>
                                </w:pPr>
                                <w:r w:rsidRPr="00D80501">
                                  <w:rPr>
                                    <w:b/>
                                    <w:sz w:val="16"/>
                                    <w:szCs w:val="16"/>
                                  </w:rPr>
                                  <w:t>Неподходящи аргументи</w:t>
                                </w:r>
                                <w:r>
                                  <w:rPr>
                                    <w:sz w:val="16"/>
                                    <w:szCs w:val="16"/>
                                  </w:rPr>
                                  <w:t xml:space="preserve">: </w:t>
                                </w:r>
                              </w:p>
                              <w:p w14:paraId="64098BCA" w14:textId="77777777" w:rsidR="004E3164" w:rsidRDefault="004E3164" w:rsidP="00D83422">
                                <w:pPr>
                                  <w:numPr>
                                    <w:ilvl w:val="1"/>
                                    <w:numId w:val="87"/>
                                  </w:numPr>
                                  <w:tabs>
                                    <w:tab w:val="left" w:pos="284"/>
                                  </w:tabs>
                                  <w:ind w:left="0" w:firstLine="0"/>
                                  <w:jc w:val="left"/>
                                  <w:rPr>
                                    <w:sz w:val="16"/>
                                    <w:szCs w:val="16"/>
                                  </w:rPr>
                                </w:pPr>
                                <w:r>
                                  <w:rPr>
                                    <w:sz w:val="16"/>
                                    <w:szCs w:val="16"/>
                                  </w:rPr>
                                  <w:t>Наличие на по- благоприятни условия в други ДЧ;</w:t>
                                </w:r>
                              </w:p>
                              <w:p w14:paraId="5D44A5CA" w14:textId="77777777" w:rsidR="004E3164" w:rsidRDefault="004E3164" w:rsidP="00D83422">
                                <w:pPr>
                                  <w:numPr>
                                    <w:ilvl w:val="1"/>
                                    <w:numId w:val="87"/>
                                  </w:numPr>
                                  <w:tabs>
                                    <w:tab w:val="left" w:pos="284"/>
                                  </w:tabs>
                                  <w:ind w:left="0" w:firstLine="0"/>
                                  <w:jc w:val="left"/>
                                  <w:rPr>
                                    <w:sz w:val="16"/>
                                    <w:szCs w:val="16"/>
                                  </w:rPr>
                                </w:pPr>
                                <w:r>
                                  <w:rPr>
                                    <w:sz w:val="16"/>
                                    <w:szCs w:val="16"/>
                                  </w:rPr>
                                  <w:t>Конкурента получава помощ в своята държава.</w:t>
                                </w:r>
                              </w:p>
                              <w:p w14:paraId="2D991552" w14:textId="77777777" w:rsidR="004E3164" w:rsidRPr="00EB1523" w:rsidRDefault="004E3164" w:rsidP="00D83422">
                                <w:pPr>
                                  <w:ind w:firstLine="0"/>
                                  <w:jc w:val="center"/>
                                  <w:rPr>
                                    <w:sz w:val="16"/>
                                    <w:szCs w:val="16"/>
                                  </w:rPr>
                                </w:pPr>
                              </w:p>
                              <w:p w14:paraId="64D3A395" w14:textId="77777777" w:rsidR="004E3164" w:rsidRPr="00EB1523" w:rsidRDefault="004E3164" w:rsidP="00D83422">
                                <w:pPr>
                                  <w:ind w:firstLine="0"/>
                                  <w:jc w:val="center"/>
                                  <w:rPr>
                                    <w:sz w:val="16"/>
                                    <w:szCs w:val="16"/>
                                  </w:rPr>
                                </w:pPr>
                              </w:p>
                            </w:txbxContent>
                          </wps:txbx>
                          <wps:bodyPr rot="0" vert="horz" wrap="square" lIns="91440" tIns="45720" rIns="91440" bIns="45720" anchor="t" anchorCtr="0" upright="1">
                            <a:noAutofit/>
                          </wps:bodyPr>
                        </wps:wsp>
                        <wps:wsp>
                          <wps:cNvPr id="225" name="Rectangle 333"/>
                          <wps:cNvSpPr>
                            <a:spLocks noChangeArrowheads="1"/>
                          </wps:cNvSpPr>
                          <wps:spPr bwMode="auto">
                            <a:xfrm>
                              <a:off x="7645" y="11451"/>
                              <a:ext cx="2687" cy="4308"/>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14:paraId="3A176281" w14:textId="77777777" w:rsidR="004E3164" w:rsidRPr="00322A26" w:rsidRDefault="004E3164" w:rsidP="00D83422">
                                <w:pPr>
                                  <w:ind w:firstLine="0"/>
                                  <w:jc w:val="center"/>
                                  <w:rPr>
                                    <w:b/>
                                  </w:rPr>
                                </w:pPr>
                              </w:p>
                            </w:txbxContent>
                          </wps:txbx>
                          <wps:bodyPr rot="0" vert="horz" wrap="square" lIns="91440" tIns="45720" rIns="91440" bIns="45720" anchor="t" anchorCtr="0" upright="1">
                            <a:noAutofit/>
                          </wps:bodyPr>
                        </wps:wsp>
                        <wps:wsp>
                          <wps:cNvPr id="1788" name="AutoShape 334"/>
                          <wps:cNvSpPr>
                            <a:spLocks noChangeArrowheads="1"/>
                          </wps:cNvSpPr>
                          <wps:spPr bwMode="auto">
                            <a:xfrm>
                              <a:off x="8038" y="11612"/>
                              <a:ext cx="2147" cy="701"/>
                            </a:xfrm>
                            <a:prstGeom prst="flowChartTerminator">
                              <a:avLst/>
                            </a:prstGeom>
                            <a:gradFill rotWithShape="0">
                              <a:gsLst>
                                <a:gs pos="0">
                                  <a:srgbClr val="FFFFFF"/>
                                </a:gs>
                                <a:gs pos="100000">
                                  <a:srgbClr val="FBD4B4"/>
                                </a:gs>
                              </a:gsLst>
                              <a:lin ang="5400000" scaled="1"/>
                            </a:gradFill>
                            <a:ln w="12700">
                              <a:solidFill>
                                <a:srgbClr val="FF0000"/>
                              </a:solidFill>
                              <a:miter lim="800000"/>
                              <a:headEnd/>
                              <a:tailEnd/>
                            </a:ln>
                            <a:effectLst>
                              <a:outerShdw dist="28398" dir="3806097" algn="ctr" rotWithShape="0">
                                <a:srgbClr val="974706">
                                  <a:alpha val="50000"/>
                                </a:srgbClr>
                              </a:outerShdw>
                            </a:effectLst>
                          </wps:spPr>
                          <wps:txbx>
                            <w:txbxContent>
                              <w:p w14:paraId="36E19B6A" w14:textId="77777777" w:rsidR="004E3164" w:rsidRPr="005C27D1" w:rsidRDefault="004E3164" w:rsidP="00D83422">
                                <w:pPr>
                                  <w:ind w:firstLine="0"/>
                                  <w:jc w:val="center"/>
                                  <w:rPr>
                                    <w:color w:val="FF0000"/>
                                  </w:rPr>
                                </w:pPr>
                                <w:r>
                                  <w:rPr>
                                    <w:b/>
                                    <w:color w:val="FF0000"/>
                                    <w:sz w:val="16"/>
                                    <w:szCs w:val="16"/>
                                  </w:rPr>
                                  <w:t>Публичен орган в друга ДЧ</w:t>
                                </w:r>
                              </w:p>
                              <w:p w14:paraId="0813F852" w14:textId="77777777" w:rsidR="004E3164" w:rsidRPr="005C27D1" w:rsidRDefault="004E3164" w:rsidP="00D83422">
                                <w:pPr>
                                  <w:ind w:firstLine="0"/>
                                  <w:jc w:val="center"/>
                                  <w:rPr>
                                    <w:color w:val="FF0000"/>
                                  </w:rPr>
                                </w:pPr>
                              </w:p>
                            </w:txbxContent>
                          </wps:txbx>
                          <wps:bodyPr rot="0" vert="horz" wrap="square" lIns="91440" tIns="45720" rIns="91440" bIns="45720" anchor="t" anchorCtr="0" upright="1">
                            <a:noAutofit/>
                          </wps:bodyPr>
                        </wps:wsp>
                        <wps:wsp>
                          <wps:cNvPr id="226" name="AutoShape 335"/>
                          <wps:cNvSpPr>
                            <a:spLocks noChangeArrowheads="1"/>
                          </wps:cNvSpPr>
                          <wps:spPr bwMode="auto">
                            <a:xfrm>
                              <a:off x="7945" y="14679"/>
                              <a:ext cx="2240" cy="941"/>
                            </a:xfrm>
                            <a:prstGeom prst="flowChartTerminator">
                              <a:avLst/>
                            </a:prstGeom>
                            <a:gradFill rotWithShape="0">
                              <a:gsLst>
                                <a:gs pos="0">
                                  <a:srgbClr val="FFFFFF"/>
                                </a:gs>
                                <a:gs pos="100000">
                                  <a:srgbClr val="FBD4B4"/>
                                </a:gs>
                              </a:gsLst>
                              <a:lin ang="5400000" scaled="1"/>
                            </a:gradFill>
                            <a:ln w="12700">
                              <a:solidFill>
                                <a:srgbClr val="0070C0"/>
                              </a:solidFill>
                              <a:miter lim="800000"/>
                              <a:headEnd/>
                              <a:tailEnd/>
                            </a:ln>
                            <a:effectLst>
                              <a:outerShdw dist="28398" dir="3806097" algn="ctr" rotWithShape="0">
                                <a:srgbClr val="974706">
                                  <a:alpha val="50000"/>
                                </a:srgbClr>
                              </a:outerShdw>
                            </a:effectLst>
                          </wps:spPr>
                          <wps:txbx>
                            <w:txbxContent>
                              <w:p w14:paraId="447C1A86" w14:textId="77777777" w:rsidR="004E3164" w:rsidRPr="00E260DC" w:rsidRDefault="004E3164" w:rsidP="00D83422">
                                <w:pPr>
                                  <w:ind w:firstLine="0"/>
                                  <w:jc w:val="center"/>
                                  <w:rPr>
                                    <w:b/>
                                    <w:color w:val="0070C0"/>
                                    <w:sz w:val="16"/>
                                    <w:szCs w:val="16"/>
                                  </w:rPr>
                                </w:pPr>
                                <w:r>
                                  <w:rPr>
                                    <w:b/>
                                    <w:color w:val="0070C0"/>
                                    <w:sz w:val="16"/>
                                    <w:szCs w:val="16"/>
                                  </w:rPr>
                                  <w:t xml:space="preserve">Конкурентно </w:t>
                                </w:r>
                                <w:r w:rsidRPr="00E260DC">
                                  <w:rPr>
                                    <w:b/>
                                    <w:color w:val="0070C0"/>
                                    <w:sz w:val="16"/>
                                    <w:szCs w:val="16"/>
                                  </w:rPr>
                                  <w:t>Предприятие</w:t>
                                </w:r>
                                <w:r>
                                  <w:rPr>
                                    <w:b/>
                                    <w:color w:val="0070C0"/>
                                    <w:sz w:val="16"/>
                                    <w:szCs w:val="16"/>
                                  </w:rPr>
                                  <w:t xml:space="preserve"> в друга ДЧ </w:t>
                                </w:r>
                                <w:r w:rsidRPr="00E260DC">
                                  <w:rPr>
                                    <w:b/>
                                    <w:color w:val="0070C0"/>
                                    <w:sz w:val="16"/>
                                    <w:szCs w:val="16"/>
                                  </w:rPr>
                                  <w:t xml:space="preserve"> </w:t>
                                </w:r>
                              </w:p>
                              <w:p w14:paraId="681268D6" w14:textId="77777777" w:rsidR="004E3164" w:rsidRPr="005C27D1" w:rsidRDefault="004E3164" w:rsidP="00D83422">
                                <w:pPr>
                                  <w:ind w:firstLine="0"/>
                                  <w:jc w:val="center"/>
                                  <w:rPr>
                                    <w:color w:val="FF0000"/>
                                  </w:rPr>
                                </w:pPr>
                              </w:p>
                            </w:txbxContent>
                          </wps:txbx>
                          <wps:bodyPr rot="0" vert="horz" wrap="square" lIns="91440" tIns="45720" rIns="91440" bIns="45720" anchor="t" anchorCtr="0" upright="1">
                            <a:noAutofit/>
                          </wps:bodyPr>
                        </wps:wsp>
                        <wps:wsp>
                          <wps:cNvPr id="227" name="AutoShape 336"/>
                          <wps:cNvCnPr>
                            <a:cxnSpLocks noChangeShapeType="1"/>
                          </wps:cNvCnPr>
                          <wps:spPr bwMode="auto">
                            <a:xfrm>
                              <a:off x="9031" y="12313"/>
                              <a:ext cx="0" cy="2366"/>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 name="AutoShape 337"/>
                          <wps:cNvSpPr>
                            <a:spLocks noChangeArrowheads="1"/>
                          </wps:cNvSpPr>
                          <wps:spPr bwMode="auto">
                            <a:xfrm>
                              <a:off x="4645" y="14603"/>
                              <a:ext cx="3106" cy="1327"/>
                            </a:xfrm>
                            <a:prstGeom prst="leftRightArrow">
                              <a:avLst>
                                <a:gd name="adj1" fmla="val 75556"/>
                                <a:gd name="adj2" fmla="val 43453"/>
                              </a:avLst>
                            </a:prstGeom>
                            <a:gradFill rotWithShape="0">
                              <a:gsLst>
                                <a:gs pos="0">
                                  <a:srgbClr val="FFFFFF"/>
                                </a:gs>
                                <a:gs pos="100000">
                                  <a:srgbClr val="E5B8B7"/>
                                </a:gs>
                              </a:gsLst>
                              <a:lin ang="5400000" scaled="1"/>
                            </a:gradFill>
                            <a:ln>
                              <a:noFill/>
                            </a:ln>
                            <a:effectLst>
                              <a:outerShdw dist="28398" dir="3806097" algn="ctr" rotWithShape="0">
                                <a:srgbClr val="622423">
                                  <a:alpha val="50000"/>
                                </a:srgbClr>
                              </a:outerShdw>
                            </a:effectLst>
                            <a:extLst>
                              <a:ext uri="{91240B29-F687-4F45-9708-019B960494DF}">
                                <a14:hiddenLine xmlns:a14="http://schemas.microsoft.com/office/drawing/2010/main" w="12700" algn="ctr">
                                  <a:solidFill>
                                    <a:srgbClr val="D99594"/>
                                  </a:solidFill>
                                  <a:miter lim="800000"/>
                                  <a:headEnd/>
                                  <a:tailEnd/>
                                </a14:hiddenLine>
                              </a:ext>
                            </a:extLst>
                          </wps:spPr>
                          <wps:txbx>
                            <w:txbxContent>
                              <w:p w14:paraId="0BFF3C61" w14:textId="77777777" w:rsidR="004E3164" w:rsidRDefault="004E3164" w:rsidP="00D83422">
                                <w:pPr>
                                  <w:ind w:firstLine="0"/>
                                  <w:jc w:val="center"/>
                                  <w:rPr>
                                    <w:sz w:val="16"/>
                                    <w:szCs w:val="16"/>
                                  </w:rPr>
                                </w:pPr>
                                <w:r>
                                  <w:rPr>
                                    <w:sz w:val="16"/>
                                    <w:szCs w:val="16"/>
                                  </w:rPr>
                                  <w:t xml:space="preserve">Ако е засегната </w:t>
                                </w:r>
                                <w:r w:rsidRPr="00FB75B2">
                                  <w:rPr>
                                    <w:b/>
                                    <w:sz w:val="16"/>
                                    <w:szCs w:val="16"/>
                                  </w:rPr>
                                  <w:t>търговията</w:t>
                                </w:r>
                                <w:r>
                                  <w:rPr>
                                    <w:sz w:val="16"/>
                                    <w:szCs w:val="16"/>
                                  </w:rPr>
                                  <w:t xml:space="preserve">, то много е вероятно да е нарушена и </w:t>
                                </w:r>
                                <w:r w:rsidRPr="00FB75B2">
                                  <w:rPr>
                                    <w:b/>
                                    <w:sz w:val="16"/>
                                    <w:szCs w:val="16"/>
                                  </w:rPr>
                                  <w:t>конкуренцията</w:t>
                                </w:r>
                                <w:r>
                                  <w:rPr>
                                    <w:sz w:val="16"/>
                                    <w:szCs w:val="16"/>
                                  </w:rPr>
                                  <w:t xml:space="preserve"> </w:t>
                                </w:r>
                              </w:p>
                            </w:txbxContent>
                          </wps:txbx>
                          <wps:bodyPr rot="0" vert="horz" wrap="square" lIns="91440" tIns="45720" rIns="91440" bIns="45720" anchor="t" anchorCtr="0" upright="1">
                            <a:noAutofit/>
                          </wps:bodyPr>
                        </wps:wsp>
                        <wps:wsp>
                          <wps:cNvPr id="229" name="AutoShape 338"/>
                          <wps:cNvSpPr>
                            <a:spLocks noChangeArrowheads="1"/>
                          </wps:cNvSpPr>
                          <wps:spPr bwMode="auto">
                            <a:xfrm>
                              <a:off x="9297" y="12803"/>
                              <a:ext cx="1680" cy="1267"/>
                            </a:xfrm>
                            <a:prstGeom prst="roundRect">
                              <a:avLst>
                                <a:gd name="adj" fmla="val 16667"/>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round/>
                                  <a:headEnd/>
                                  <a:tailEnd/>
                                </a14:hiddenLine>
                              </a:ext>
                            </a:extLst>
                          </wps:spPr>
                          <wps:txbx>
                            <w:txbxContent>
                              <w:p w14:paraId="1FA3EF44" w14:textId="77777777" w:rsidR="004E3164" w:rsidRPr="00EB1523" w:rsidRDefault="004E3164" w:rsidP="00D83422">
                                <w:pPr>
                                  <w:ind w:firstLine="0"/>
                                  <w:jc w:val="center"/>
                                  <w:rPr>
                                    <w:sz w:val="16"/>
                                    <w:szCs w:val="16"/>
                                  </w:rPr>
                                </w:pPr>
                              </w:p>
                              <w:p w14:paraId="6F1EB634" w14:textId="77777777" w:rsidR="004E3164" w:rsidRPr="00EB1523" w:rsidRDefault="004E3164" w:rsidP="00D83422">
                                <w:pPr>
                                  <w:ind w:firstLine="0"/>
                                  <w:jc w:val="center"/>
                                  <w:rPr>
                                    <w:sz w:val="16"/>
                                    <w:szCs w:val="16"/>
                                  </w:rPr>
                                </w:pPr>
                                <w:r>
                                  <w:rPr>
                                    <w:sz w:val="16"/>
                                    <w:szCs w:val="16"/>
                                  </w:rPr>
                                  <w:t>Не е от значение дали се предоставя помощ тук.</w:t>
                                </w:r>
                              </w:p>
                            </w:txbxContent>
                          </wps:txbx>
                          <wps:bodyPr rot="0" vert="horz" wrap="square" lIns="91440" tIns="45720" rIns="91440" bIns="45720" anchor="t" anchorCtr="0" upright="1">
                            <a:noAutofit/>
                          </wps:bodyPr>
                        </wps:wsp>
                      </wpg:grpSp>
                      <wps:wsp>
                        <wps:cNvPr id="244" name="Text Box 229"/>
                        <wps:cNvSpPr txBox="1"/>
                        <wps:spPr>
                          <a:xfrm>
                            <a:off x="908167" y="-398593"/>
                            <a:ext cx="1698130" cy="450850"/>
                          </a:xfrm>
                          <a:prstGeom prst="rect">
                            <a:avLst/>
                          </a:prstGeom>
                          <a:solidFill>
                            <a:sysClr val="window" lastClr="FFFFFF"/>
                          </a:solidFill>
                          <a:ln w="6350">
                            <a:solidFill>
                              <a:sysClr val="window" lastClr="FFFFFF"/>
                            </a:solidFill>
                          </a:ln>
                          <a:effectLst/>
                        </wps:spPr>
                        <wps:txbx>
                          <w:txbxContent>
                            <w:p w14:paraId="39EDF57D" w14:textId="77777777" w:rsidR="004E3164" w:rsidRPr="002F3791" w:rsidRDefault="004E3164" w:rsidP="00D83422">
                              <w:pPr>
                                <w:ind w:firstLine="0"/>
                                <w:jc w:val="center"/>
                                <w:rPr>
                                  <w:szCs w:val="24"/>
                                </w:rPr>
                              </w:pPr>
                              <w:r w:rsidRPr="00EC4961">
                                <w:rPr>
                                  <w:b/>
                                  <w:szCs w:val="24"/>
                                </w:rPr>
                                <w:t>ДЧ предоставя БФП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AFB8318" id="Group 230" o:spid="_x0000_s1358" style="width:441.95pt;height:255.3pt;mso-position-horizontal-relative:char;mso-position-vertical-relative:line" coordorigin=",-3985" coordsize="56127,3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">
                <v:group id="Group 40" o:spid="_x0000_s1359" style="position:absolute;width:56127;height:28441" coordorigin="2138,11451" coordsize="8839,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">
                  <v:rect id="Rectangle 327" o:spid="_x0000_s1360" style="position:absolute;left:2138;top:11552;width:2680;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" stroked="f" strokecolor="#666" strokeweight="1pt">
                    <v:fill color2="#999" focus="100%" type="gradient"/>
                    <v:shadow on="t" color="#7f7f7f" opacity=".5" offset="1pt"/>
                    <v:textbox>
                      <w:txbxContent>
                        <w:p w14:paraId="2459FBAA" w14:textId="77777777" w:rsidR="004E3164" w:rsidRPr="00322A26" w:rsidRDefault="004E3164" w:rsidP="00D83422">
                          <w:pPr>
                            <w:ind w:firstLine="0"/>
                            <w:jc w:val="center"/>
                            <w:rPr>
                              <w:b/>
                            </w:rPr>
                          </w:pPr>
                        </w:p>
                      </w:txbxContent>
                    </v:textbox>
                  </v:rect>
                  <v:group id="Group 328" o:spid="_x0000_s1361" style="position:absolute;left:2191;top:11612;width:2147;height:3795" coordorigin="1573,10232" coordsize="2147,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xxwAAAN0AAAAPAAAAZHJzL2Rvd25yZXYueG1sRI9Ba8JA&#10;FITvBf/D8gremk00LZ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P+hq7HHAAAA3QAA&#10;AA8AAAAAAAAAAAAAAAAABwIAAGRycy9kb3ducmV2LnhtbFBLBQYAAAAAAwADALcAAAD7AgAAAAA=&#10;">
                    <v:shape id="AutoShape 329" o:spid="_x0000_s1362" type="#_x0000_t116" style="position:absolute;left:1573;top:10232;width:2147;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" strokecolor="red" strokeweight="1pt">
                      <v:fill color2="#fbd4b4" focus="100%" type="gradient"/>
                      <v:shadow on="t" color="#974706" opacity=".5" offset="1pt"/>
                      <v:textbox>
                        <w:txbxContent>
                          <w:p w14:paraId="6138343A" w14:textId="77777777" w:rsidR="004E3164" w:rsidRPr="005C27D1" w:rsidRDefault="004E3164" w:rsidP="00D83422">
                            <w:pPr>
                              <w:ind w:firstLine="0"/>
                              <w:jc w:val="center"/>
                              <w:rPr>
                                <w:color w:val="FF0000"/>
                              </w:rPr>
                            </w:pPr>
                            <w:r>
                              <w:rPr>
                                <w:b/>
                                <w:color w:val="FF0000"/>
                                <w:sz w:val="16"/>
                                <w:szCs w:val="16"/>
                              </w:rPr>
                              <w:t xml:space="preserve">Публичен орган </w:t>
                            </w:r>
                          </w:p>
                          <w:p w14:paraId="44386DDC" w14:textId="77777777" w:rsidR="004E3164" w:rsidRPr="005C27D1" w:rsidRDefault="004E3164" w:rsidP="00D83422">
                            <w:pPr>
                              <w:ind w:firstLine="0"/>
                              <w:jc w:val="center"/>
                              <w:rPr>
                                <w:color w:val="FF0000"/>
                              </w:rPr>
                            </w:pPr>
                          </w:p>
                        </w:txbxContent>
                      </v:textbox>
                    </v:shape>
                    <v:shape id="AutoShape 330" o:spid="_x0000_s1363" type="#_x0000_t116" style="position:absolute;left:1573;top:13299;width:2140;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" strokecolor="#0070c0" strokeweight="1pt">
                      <v:fill color2="#fbd4b4" focus="100%" type="gradient"/>
                      <v:shadow on="t" color="#974706" opacity=".5" offset="1pt"/>
                      <v:textbox>
                        <w:txbxContent>
                          <w:p w14:paraId="5502DC58" w14:textId="77777777" w:rsidR="004E3164" w:rsidRPr="00E260DC" w:rsidRDefault="004E3164" w:rsidP="00D83422">
                            <w:pPr>
                              <w:ind w:firstLine="0"/>
                              <w:jc w:val="center"/>
                              <w:rPr>
                                <w:b/>
                                <w:color w:val="0070C0"/>
                                <w:sz w:val="16"/>
                                <w:szCs w:val="16"/>
                              </w:rPr>
                            </w:pPr>
                            <w:r w:rsidRPr="00E260DC">
                              <w:rPr>
                                <w:b/>
                                <w:color w:val="0070C0"/>
                                <w:sz w:val="16"/>
                                <w:szCs w:val="16"/>
                              </w:rPr>
                              <w:t>Предприятие</w:t>
                            </w:r>
                            <w:r>
                              <w:rPr>
                                <w:b/>
                                <w:color w:val="0070C0"/>
                                <w:sz w:val="16"/>
                                <w:szCs w:val="16"/>
                              </w:rPr>
                              <w:t xml:space="preserve"> получател на помощта </w:t>
                            </w:r>
                            <w:r w:rsidRPr="00E260DC">
                              <w:rPr>
                                <w:b/>
                                <w:color w:val="0070C0"/>
                                <w:sz w:val="16"/>
                                <w:szCs w:val="16"/>
                              </w:rPr>
                              <w:t xml:space="preserve"> </w:t>
                            </w:r>
                          </w:p>
                          <w:p w14:paraId="69CC0B4F" w14:textId="77777777" w:rsidR="004E3164" w:rsidRPr="005C27D1" w:rsidRDefault="004E3164" w:rsidP="00D83422">
                            <w:pPr>
                              <w:ind w:firstLine="0"/>
                              <w:jc w:val="center"/>
                              <w:rPr>
                                <w:color w:val="FF0000"/>
                              </w:rPr>
                            </w:pPr>
                          </w:p>
                        </w:txbxContent>
                      </v:textbox>
                    </v:shape>
                    <v:shape id="AutoShape 331" o:spid="_x0000_s1364" type="#_x0000_t32" style="position:absolute;left:2587;top:10673;width:13;height:26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" strokeweight="1.25pt">
                      <v:stroke endarrow="block"/>
                    </v:shape>
                  </v:group>
                  <v:roundrect id="AutoShape 332" o:spid="_x0000_s1365" style="position:absolute;left:2191;top:12683;width:4667;height:17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" stroked="f" strokecolor="#95b3d7" strokeweight="1pt">
                    <v:fill color2="#b8cce4" focus="100%" type="gradient"/>
                    <v:shadow on="t" color="#243f60" opacity=".5" offset="1pt"/>
                    <v:textbox>
                      <w:txbxContent>
                        <w:p w14:paraId="0CD41606" w14:textId="77777777" w:rsidR="004E3164" w:rsidRPr="002407E2" w:rsidRDefault="004E3164" w:rsidP="00D83422">
                          <w:pPr>
                            <w:ind w:firstLine="0"/>
                            <w:jc w:val="center"/>
                            <w:rPr>
                              <w:b/>
                              <w:sz w:val="16"/>
                              <w:szCs w:val="16"/>
                            </w:rPr>
                          </w:pPr>
                          <w:r>
                            <w:rPr>
                              <w:b/>
                              <w:sz w:val="16"/>
                              <w:szCs w:val="16"/>
                            </w:rPr>
                            <w:t>Нарушение на конкуренцията</w:t>
                          </w:r>
                          <w:r w:rsidRPr="002407E2">
                            <w:rPr>
                              <w:b/>
                              <w:sz w:val="16"/>
                              <w:szCs w:val="16"/>
                            </w:rPr>
                            <w:t>:</w:t>
                          </w:r>
                        </w:p>
                        <w:p w14:paraId="3F5DAAD6" w14:textId="77777777" w:rsidR="004E3164" w:rsidRDefault="004E3164" w:rsidP="00D83422">
                          <w:pPr>
                            <w:numPr>
                              <w:ilvl w:val="0"/>
                              <w:numId w:val="87"/>
                            </w:numPr>
                            <w:tabs>
                              <w:tab w:val="left" w:pos="284"/>
                            </w:tabs>
                            <w:ind w:left="0" w:firstLine="0"/>
                            <w:jc w:val="left"/>
                            <w:rPr>
                              <w:sz w:val="16"/>
                              <w:szCs w:val="16"/>
                            </w:rPr>
                          </w:pPr>
                          <w:r>
                            <w:rPr>
                              <w:sz w:val="16"/>
                              <w:szCs w:val="16"/>
                            </w:rPr>
                            <w:t xml:space="preserve">В случай, че  </w:t>
                          </w:r>
                          <w:r w:rsidRPr="00D80501">
                            <w:rPr>
                              <w:b/>
                              <w:sz w:val="16"/>
                              <w:szCs w:val="16"/>
                            </w:rPr>
                            <w:t>търговията е засегната</w:t>
                          </w:r>
                          <w:r>
                            <w:rPr>
                              <w:sz w:val="16"/>
                              <w:szCs w:val="16"/>
                            </w:rPr>
                            <w:t xml:space="preserve"> </w:t>
                          </w:r>
                          <w:r>
                            <w:rPr>
                              <w:rFonts w:cs="Calibri"/>
                              <w:sz w:val="16"/>
                              <w:szCs w:val="16"/>
                            </w:rPr>
                            <w:t>→</w:t>
                          </w:r>
                          <w:r>
                            <w:rPr>
                              <w:sz w:val="16"/>
                              <w:szCs w:val="16"/>
                            </w:rPr>
                            <w:t xml:space="preserve"> </w:t>
                          </w:r>
                          <w:r w:rsidRPr="00D80501">
                            <w:rPr>
                              <w:b/>
                              <w:sz w:val="16"/>
                              <w:szCs w:val="16"/>
                            </w:rPr>
                            <w:t>конкуренцията е нарушена</w:t>
                          </w:r>
                          <w:r>
                            <w:rPr>
                              <w:sz w:val="16"/>
                              <w:szCs w:val="16"/>
                            </w:rPr>
                            <w:t xml:space="preserve">;  </w:t>
                          </w:r>
                        </w:p>
                        <w:p w14:paraId="076FB899" w14:textId="77777777" w:rsidR="004E3164" w:rsidRDefault="004E3164" w:rsidP="00D83422">
                          <w:pPr>
                            <w:numPr>
                              <w:ilvl w:val="0"/>
                              <w:numId w:val="87"/>
                            </w:numPr>
                            <w:tabs>
                              <w:tab w:val="left" w:pos="284"/>
                            </w:tabs>
                            <w:ind w:left="0" w:firstLine="0"/>
                            <w:jc w:val="left"/>
                            <w:rPr>
                              <w:sz w:val="16"/>
                              <w:szCs w:val="16"/>
                            </w:rPr>
                          </w:pPr>
                          <w:r w:rsidRPr="00D80501">
                            <w:rPr>
                              <w:b/>
                              <w:sz w:val="16"/>
                              <w:szCs w:val="16"/>
                            </w:rPr>
                            <w:t>Неподходящи аргументи</w:t>
                          </w:r>
                          <w:r>
                            <w:rPr>
                              <w:sz w:val="16"/>
                              <w:szCs w:val="16"/>
                            </w:rPr>
                            <w:t xml:space="preserve">: </w:t>
                          </w:r>
                        </w:p>
                        <w:p w14:paraId="64098BCA" w14:textId="77777777" w:rsidR="004E3164" w:rsidRDefault="004E3164" w:rsidP="00D83422">
                          <w:pPr>
                            <w:numPr>
                              <w:ilvl w:val="1"/>
                              <w:numId w:val="87"/>
                            </w:numPr>
                            <w:tabs>
                              <w:tab w:val="left" w:pos="284"/>
                            </w:tabs>
                            <w:ind w:left="0" w:firstLine="0"/>
                            <w:jc w:val="left"/>
                            <w:rPr>
                              <w:sz w:val="16"/>
                              <w:szCs w:val="16"/>
                            </w:rPr>
                          </w:pPr>
                          <w:r>
                            <w:rPr>
                              <w:sz w:val="16"/>
                              <w:szCs w:val="16"/>
                            </w:rPr>
                            <w:t>Наличие на по- благоприятни условия в други ДЧ;</w:t>
                          </w:r>
                        </w:p>
                        <w:p w14:paraId="5D44A5CA" w14:textId="77777777" w:rsidR="004E3164" w:rsidRDefault="004E3164" w:rsidP="00D83422">
                          <w:pPr>
                            <w:numPr>
                              <w:ilvl w:val="1"/>
                              <w:numId w:val="87"/>
                            </w:numPr>
                            <w:tabs>
                              <w:tab w:val="left" w:pos="284"/>
                            </w:tabs>
                            <w:ind w:left="0" w:firstLine="0"/>
                            <w:jc w:val="left"/>
                            <w:rPr>
                              <w:sz w:val="16"/>
                              <w:szCs w:val="16"/>
                            </w:rPr>
                          </w:pPr>
                          <w:r>
                            <w:rPr>
                              <w:sz w:val="16"/>
                              <w:szCs w:val="16"/>
                            </w:rPr>
                            <w:t>Конкурента получава помощ в своята държава.</w:t>
                          </w:r>
                        </w:p>
                        <w:p w14:paraId="2D991552" w14:textId="77777777" w:rsidR="004E3164" w:rsidRPr="00EB1523" w:rsidRDefault="004E3164" w:rsidP="00D83422">
                          <w:pPr>
                            <w:ind w:firstLine="0"/>
                            <w:jc w:val="center"/>
                            <w:rPr>
                              <w:sz w:val="16"/>
                              <w:szCs w:val="16"/>
                            </w:rPr>
                          </w:pPr>
                        </w:p>
                        <w:p w14:paraId="64D3A395" w14:textId="77777777" w:rsidR="004E3164" w:rsidRPr="00EB1523" w:rsidRDefault="004E3164" w:rsidP="00D83422">
                          <w:pPr>
                            <w:ind w:firstLine="0"/>
                            <w:jc w:val="center"/>
                            <w:rPr>
                              <w:sz w:val="16"/>
                              <w:szCs w:val="16"/>
                            </w:rPr>
                          </w:pPr>
                        </w:p>
                      </w:txbxContent>
                    </v:textbox>
                  </v:roundrect>
                  <v:rect id="Rectangle 333" o:spid="_x0000_s1366" style="position:absolute;left:7645;top:11451;width:2687;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" stroked="f" strokecolor="#666" strokeweight="1pt">
                    <v:fill color2="#999" focus="100%" type="gradient"/>
                    <v:shadow on="t" color="#7f7f7f" opacity=".5" offset="1pt"/>
                    <v:textbox>
                      <w:txbxContent>
                        <w:p w14:paraId="3A176281" w14:textId="77777777" w:rsidR="004E3164" w:rsidRPr="00322A26" w:rsidRDefault="004E3164" w:rsidP="00D83422">
                          <w:pPr>
                            <w:ind w:firstLine="0"/>
                            <w:jc w:val="center"/>
                            <w:rPr>
                              <w:b/>
                            </w:rPr>
                          </w:pPr>
                        </w:p>
                      </w:txbxContent>
                    </v:textbox>
                  </v:rect>
                  <v:shape id="AutoShape 334" o:spid="_x0000_s1367" type="#_x0000_t116" style="position:absolute;left:8038;top:11612;width:2147;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" strokecolor="red" strokeweight="1pt">
                    <v:fill color2="#fbd4b4" focus="100%" type="gradient"/>
                    <v:shadow on="t" color="#974706" opacity=".5" offset="1pt"/>
                    <v:textbox>
                      <w:txbxContent>
                        <w:p w14:paraId="36E19B6A" w14:textId="77777777" w:rsidR="004E3164" w:rsidRPr="005C27D1" w:rsidRDefault="004E3164" w:rsidP="00D83422">
                          <w:pPr>
                            <w:ind w:firstLine="0"/>
                            <w:jc w:val="center"/>
                            <w:rPr>
                              <w:color w:val="FF0000"/>
                            </w:rPr>
                          </w:pPr>
                          <w:r>
                            <w:rPr>
                              <w:b/>
                              <w:color w:val="FF0000"/>
                              <w:sz w:val="16"/>
                              <w:szCs w:val="16"/>
                            </w:rPr>
                            <w:t>Публичен орган в друга ДЧ</w:t>
                          </w:r>
                        </w:p>
                        <w:p w14:paraId="0813F852" w14:textId="77777777" w:rsidR="004E3164" w:rsidRPr="005C27D1" w:rsidRDefault="004E3164" w:rsidP="00D83422">
                          <w:pPr>
                            <w:ind w:firstLine="0"/>
                            <w:jc w:val="center"/>
                            <w:rPr>
                              <w:color w:val="FF0000"/>
                            </w:rPr>
                          </w:pPr>
                        </w:p>
                      </w:txbxContent>
                    </v:textbox>
                  </v:shape>
                  <v:shape id="AutoShape 335" o:spid="_x0000_s1368" type="#_x0000_t116" style="position:absolute;left:7945;top:14679;width:2240;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" strokecolor="#0070c0" strokeweight="1pt">
                    <v:fill color2="#fbd4b4" focus="100%" type="gradient"/>
                    <v:shadow on="t" color="#974706" opacity=".5" offset="1pt"/>
                    <v:textbox>
                      <w:txbxContent>
                        <w:p w14:paraId="447C1A86" w14:textId="77777777" w:rsidR="004E3164" w:rsidRPr="00E260DC" w:rsidRDefault="004E3164" w:rsidP="00D83422">
                          <w:pPr>
                            <w:ind w:firstLine="0"/>
                            <w:jc w:val="center"/>
                            <w:rPr>
                              <w:b/>
                              <w:color w:val="0070C0"/>
                              <w:sz w:val="16"/>
                              <w:szCs w:val="16"/>
                            </w:rPr>
                          </w:pPr>
                          <w:r>
                            <w:rPr>
                              <w:b/>
                              <w:color w:val="0070C0"/>
                              <w:sz w:val="16"/>
                              <w:szCs w:val="16"/>
                            </w:rPr>
                            <w:t xml:space="preserve">Конкурентно </w:t>
                          </w:r>
                          <w:r w:rsidRPr="00E260DC">
                            <w:rPr>
                              <w:b/>
                              <w:color w:val="0070C0"/>
                              <w:sz w:val="16"/>
                              <w:szCs w:val="16"/>
                            </w:rPr>
                            <w:t>Предприятие</w:t>
                          </w:r>
                          <w:r>
                            <w:rPr>
                              <w:b/>
                              <w:color w:val="0070C0"/>
                              <w:sz w:val="16"/>
                              <w:szCs w:val="16"/>
                            </w:rPr>
                            <w:t xml:space="preserve"> в друга ДЧ </w:t>
                          </w:r>
                          <w:r w:rsidRPr="00E260DC">
                            <w:rPr>
                              <w:b/>
                              <w:color w:val="0070C0"/>
                              <w:sz w:val="16"/>
                              <w:szCs w:val="16"/>
                            </w:rPr>
                            <w:t xml:space="preserve"> </w:t>
                          </w:r>
                        </w:p>
                        <w:p w14:paraId="681268D6" w14:textId="77777777" w:rsidR="004E3164" w:rsidRPr="005C27D1" w:rsidRDefault="004E3164" w:rsidP="00D83422">
                          <w:pPr>
                            <w:ind w:firstLine="0"/>
                            <w:jc w:val="center"/>
                            <w:rPr>
                              <w:color w:val="FF0000"/>
                            </w:rPr>
                          </w:pPr>
                        </w:p>
                      </w:txbxContent>
                    </v:textbox>
                  </v:shape>
                  <v:shape id="AutoShape 336" o:spid="_x0000_s1369" type="#_x0000_t32" style="position:absolute;left:9031;top:12313;width:0;height:2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" strokeweight="1.25pt">
                    <v:stroke endarrow="block"/>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37" o:spid="_x0000_s1370" type="#_x0000_t69" style="position:absolute;left:4645;top:14603;width:3106;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" adj="4010,2640" stroked="f" strokecolor="#d99594" strokeweight="1pt">
                    <v:fill color2="#e5b8b7" focus="100%" type="gradient"/>
                    <v:shadow on="t" color="#622423" opacity=".5" offset="1pt"/>
                    <v:textbox>
                      <w:txbxContent>
                        <w:p w14:paraId="0BFF3C61" w14:textId="77777777" w:rsidR="004E3164" w:rsidRDefault="004E3164" w:rsidP="00D83422">
                          <w:pPr>
                            <w:ind w:firstLine="0"/>
                            <w:jc w:val="center"/>
                            <w:rPr>
                              <w:sz w:val="16"/>
                              <w:szCs w:val="16"/>
                            </w:rPr>
                          </w:pPr>
                          <w:r>
                            <w:rPr>
                              <w:sz w:val="16"/>
                              <w:szCs w:val="16"/>
                            </w:rPr>
                            <w:t xml:space="preserve">Ако е засегната </w:t>
                          </w:r>
                          <w:r w:rsidRPr="00FB75B2">
                            <w:rPr>
                              <w:b/>
                              <w:sz w:val="16"/>
                              <w:szCs w:val="16"/>
                            </w:rPr>
                            <w:t>търговията</w:t>
                          </w:r>
                          <w:r>
                            <w:rPr>
                              <w:sz w:val="16"/>
                              <w:szCs w:val="16"/>
                            </w:rPr>
                            <w:t xml:space="preserve">, то много е вероятно да е нарушена и </w:t>
                          </w:r>
                          <w:r w:rsidRPr="00FB75B2">
                            <w:rPr>
                              <w:b/>
                              <w:sz w:val="16"/>
                              <w:szCs w:val="16"/>
                            </w:rPr>
                            <w:t>конкуренцията</w:t>
                          </w:r>
                          <w:r>
                            <w:rPr>
                              <w:sz w:val="16"/>
                              <w:szCs w:val="16"/>
                            </w:rPr>
                            <w:t xml:space="preserve"> </w:t>
                          </w:r>
                        </w:p>
                      </w:txbxContent>
                    </v:textbox>
                  </v:shape>
                  <v:roundrect id="AutoShape 338" o:spid="_x0000_s1371" style="position:absolute;left:9297;top:12803;width:1680;height:12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" stroked="f" strokecolor="#95b3d7" strokeweight="1pt">
                    <v:fill color2="#b8cce4" focus="100%" type="gradient"/>
                    <v:shadow on="t" color="#243f60" opacity=".5" offset="1pt"/>
                    <v:textbox>
                      <w:txbxContent>
                        <w:p w14:paraId="1FA3EF44" w14:textId="77777777" w:rsidR="004E3164" w:rsidRPr="00EB1523" w:rsidRDefault="004E3164" w:rsidP="00D83422">
                          <w:pPr>
                            <w:ind w:firstLine="0"/>
                            <w:jc w:val="center"/>
                            <w:rPr>
                              <w:sz w:val="16"/>
                              <w:szCs w:val="16"/>
                            </w:rPr>
                          </w:pPr>
                        </w:p>
                        <w:p w14:paraId="6F1EB634" w14:textId="77777777" w:rsidR="004E3164" w:rsidRPr="00EB1523" w:rsidRDefault="004E3164" w:rsidP="00D83422">
                          <w:pPr>
                            <w:ind w:firstLine="0"/>
                            <w:jc w:val="center"/>
                            <w:rPr>
                              <w:sz w:val="16"/>
                              <w:szCs w:val="16"/>
                            </w:rPr>
                          </w:pPr>
                          <w:r>
                            <w:rPr>
                              <w:sz w:val="16"/>
                              <w:szCs w:val="16"/>
                            </w:rPr>
                            <w:t>Не е от значение дали се предоставя помощ тук.</w:t>
                          </w:r>
                        </w:p>
                      </w:txbxContent>
                    </v:textbox>
                  </v:roundrect>
                </v:group>
                <v:shape id="Text Box 229" o:spid="_x0000_s1372" type="#_x0000_t202" style="position:absolute;left:9081;top:-3985;width:16981;height:4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" fillcolor="window" strokecolor="window" strokeweight=".5pt">
                  <v:textbox>
                    <w:txbxContent>
                      <w:p w14:paraId="39EDF57D" w14:textId="77777777" w:rsidR="004E3164" w:rsidRPr="002F3791" w:rsidRDefault="004E3164" w:rsidP="00D83422">
                        <w:pPr>
                          <w:ind w:firstLine="0"/>
                          <w:jc w:val="center"/>
                          <w:rPr>
                            <w:szCs w:val="24"/>
                          </w:rPr>
                        </w:pPr>
                        <w:r w:rsidRPr="00EC4961">
                          <w:rPr>
                            <w:b/>
                            <w:szCs w:val="24"/>
                          </w:rPr>
                          <w:t>ДЧ предоставя БФП</w:t>
                        </w:r>
                      </w:p>
                    </w:txbxContent>
                  </v:textbox>
                </v:shape>
                <w10:anchorlock/>
              </v:group>
            </w:pict>
          </mc:Fallback>
        </mc:AlternateContent>
      </w:r>
    </w:p>
    <w:p w14:paraId="47C5DDD3" w14:textId="77777777" w:rsidR="00D603F5" w:rsidRPr="001B0EA3" w:rsidRDefault="00D603F5" w:rsidP="00511860">
      <w:pPr>
        <w:ind w:firstLine="540"/>
        <w:rPr>
          <w:szCs w:val="22"/>
          <w:lang w:eastAsia="en-US"/>
        </w:rPr>
      </w:pPr>
    </w:p>
    <w:p w14:paraId="0CDBC850" w14:textId="77777777" w:rsidR="00C52DBF" w:rsidRPr="001B0EA3" w:rsidRDefault="00C52DBF" w:rsidP="00511860">
      <w:pPr>
        <w:jc w:val="left"/>
        <w:rPr>
          <w:szCs w:val="22"/>
          <w:lang w:eastAsia="en-US"/>
        </w:rPr>
      </w:pPr>
      <w:r w:rsidRPr="001B0EA3">
        <w:rPr>
          <w:szCs w:val="22"/>
          <w:lang w:eastAsia="en-US"/>
        </w:rPr>
        <w:br w:type="page"/>
      </w:r>
    </w:p>
    <w:p w14:paraId="66A064AD" w14:textId="77777777" w:rsidR="00D603F5" w:rsidRPr="00D83422" w:rsidRDefault="00D603F5" w:rsidP="00D83422">
      <w:pPr>
        <w:rPr>
          <w:b/>
          <w:lang w:eastAsia="en-US"/>
        </w:rPr>
      </w:pPr>
      <w:r w:rsidRPr="00D83422">
        <w:rPr>
          <w:b/>
          <w:lang w:eastAsia="en-US"/>
        </w:rPr>
        <w:lastRenderedPageBreak/>
        <w:t>Фиг. 2.9. Засягане на търговията между ДЧ</w:t>
      </w:r>
    </w:p>
    <w:p w14:paraId="324322DB" w14:textId="77777777" w:rsidR="00D603F5" w:rsidRPr="001B0EA3" w:rsidRDefault="00D603F5" w:rsidP="00010D15">
      <w:pPr>
        <w:rPr>
          <w:b/>
          <w:szCs w:val="22"/>
          <w:lang w:eastAsia="en-US"/>
        </w:rPr>
      </w:pPr>
    </w:p>
    <w:p w14:paraId="549CF583" w14:textId="77777777" w:rsidR="00D603F5" w:rsidRPr="001B0EA3" w:rsidRDefault="00937754" w:rsidP="00D83422">
      <w:pPr>
        <w:ind w:firstLine="0"/>
        <w:jc w:val="center"/>
        <w:rPr>
          <w:b/>
          <w:szCs w:val="22"/>
          <w:lang w:eastAsia="en-US"/>
        </w:rPr>
      </w:pPr>
      <w:r w:rsidRPr="001B0EA3">
        <w:rPr>
          <w:noProof/>
          <w:lang w:eastAsia="bg-BG"/>
        </w:rPr>
        <mc:AlternateContent>
          <mc:Choice Requires="wpg">
            <w:drawing>
              <wp:inline distT="0" distB="0" distL="0" distR="0" wp14:anchorId="60F2D9C2" wp14:editId="5F98D4B8">
                <wp:extent cx="5932805" cy="2849245"/>
                <wp:effectExtent l="0" t="0" r="10795" b="46355"/>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805" cy="2849245"/>
                          <a:chOff x="3618" y="6472"/>
                          <a:chExt cx="7547" cy="4392"/>
                        </a:xfrm>
                      </wpg:grpSpPr>
                      <wps:wsp>
                        <wps:cNvPr id="232" name="Rectangle 320"/>
                        <wps:cNvSpPr>
                          <a:spLocks noChangeArrowheads="1"/>
                        </wps:cNvSpPr>
                        <wps:spPr bwMode="auto">
                          <a:xfrm>
                            <a:off x="3618" y="6472"/>
                            <a:ext cx="5173" cy="4392"/>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14:paraId="18F6D759" w14:textId="77777777" w:rsidR="004E3164" w:rsidRPr="00322A26" w:rsidRDefault="004E3164" w:rsidP="00D83422">
                              <w:pPr>
                                <w:ind w:firstLine="0"/>
                                <w:rPr>
                                  <w:b/>
                                </w:rPr>
                              </w:pPr>
                            </w:p>
                          </w:txbxContent>
                        </wps:txbx>
                        <wps:bodyPr rot="0" vert="horz" wrap="square" lIns="91440" tIns="45720" rIns="91440" bIns="45720" anchor="t" anchorCtr="0" upright="1">
                          <a:noAutofit/>
                        </wps:bodyPr>
                      </wps:wsp>
                      <wps:wsp>
                        <wps:cNvPr id="233" name="AutoShape 321"/>
                        <wps:cNvSpPr>
                          <a:spLocks noChangeArrowheads="1"/>
                        </wps:cNvSpPr>
                        <wps:spPr bwMode="auto">
                          <a:xfrm>
                            <a:off x="4451" y="6633"/>
                            <a:ext cx="3375" cy="441"/>
                          </a:xfrm>
                          <a:prstGeom prst="flowChartTerminator">
                            <a:avLst/>
                          </a:prstGeom>
                          <a:gradFill rotWithShape="0">
                            <a:gsLst>
                              <a:gs pos="0">
                                <a:srgbClr val="FFFFFF"/>
                              </a:gs>
                              <a:gs pos="100000">
                                <a:srgbClr val="FBD4B4"/>
                              </a:gs>
                            </a:gsLst>
                            <a:lin ang="5400000" scaled="1"/>
                          </a:gradFill>
                          <a:ln w="12700">
                            <a:solidFill>
                              <a:srgbClr val="FF0000"/>
                            </a:solidFill>
                            <a:miter lim="800000"/>
                            <a:headEnd/>
                            <a:tailEnd/>
                          </a:ln>
                          <a:effectLst>
                            <a:outerShdw dist="28398" dir="3806097" algn="ctr" rotWithShape="0">
                              <a:srgbClr val="974706">
                                <a:alpha val="50000"/>
                              </a:srgbClr>
                            </a:outerShdw>
                          </a:effectLst>
                        </wps:spPr>
                        <wps:txbx>
                          <w:txbxContent>
                            <w:p w14:paraId="142440F9" w14:textId="77777777" w:rsidR="004E3164" w:rsidRPr="005C27D1" w:rsidRDefault="004E3164" w:rsidP="00D83422">
                              <w:pPr>
                                <w:ind w:firstLine="0"/>
                                <w:rPr>
                                  <w:color w:val="FF0000"/>
                                </w:rPr>
                              </w:pPr>
                              <w:r>
                                <w:rPr>
                                  <w:b/>
                                  <w:color w:val="FF0000"/>
                                  <w:sz w:val="16"/>
                                  <w:szCs w:val="16"/>
                                </w:rPr>
                                <w:t xml:space="preserve">Публичен орган </w:t>
                              </w:r>
                            </w:p>
                            <w:p w14:paraId="4DDD4AFA" w14:textId="77777777" w:rsidR="004E3164" w:rsidRPr="005C27D1" w:rsidRDefault="004E3164" w:rsidP="00D83422">
                              <w:pPr>
                                <w:ind w:firstLine="0"/>
                                <w:rPr>
                                  <w:color w:val="FF0000"/>
                                </w:rPr>
                              </w:pPr>
                            </w:p>
                          </w:txbxContent>
                        </wps:txbx>
                        <wps:bodyPr rot="0" vert="horz" wrap="square" lIns="91440" tIns="45720" rIns="91440" bIns="45720" anchor="t" anchorCtr="0" upright="1">
                          <a:noAutofit/>
                        </wps:bodyPr>
                      </wps:wsp>
                      <wps:wsp>
                        <wps:cNvPr id="234" name="AutoShape 322"/>
                        <wps:cNvSpPr>
                          <a:spLocks noChangeArrowheads="1"/>
                        </wps:cNvSpPr>
                        <wps:spPr bwMode="auto">
                          <a:xfrm>
                            <a:off x="4451" y="9700"/>
                            <a:ext cx="3375" cy="973"/>
                          </a:xfrm>
                          <a:prstGeom prst="flowChartTerminator">
                            <a:avLst/>
                          </a:prstGeom>
                          <a:gradFill rotWithShape="0">
                            <a:gsLst>
                              <a:gs pos="0">
                                <a:srgbClr val="FFFFFF"/>
                              </a:gs>
                              <a:gs pos="100000">
                                <a:srgbClr val="FBD4B4"/>
                              </a:gs>
                            </a:gsLst>
                            <a:lin ang="5400000" scaled="1"/>
                          </a:gradFill>
                          <a:ln w="12700">
                            <a:solidFill>
                              <a:srgbClr val="0070C0"/>
                            </a:solidFill>
                            <a:miter lim="800000"/>
                            <a:headEnd/>
                            <a:tailEnd/>
                          </a:ln>
                          <a:effectLst>
                            <a:outerShdw dist="28398" dir="3806097" algn="ctr" rotWithShape="0">
                              <a:srgbClr val="974706">
                                <a:alpha val="50000"/>
                              </a:srgbClr>
                            </a:outerShdw>
                          </a:effectLst>
                        </wps:spPr>
                        <wps:txbx>
                          <w:txbxContent>
                            <w:p w14:paraId="2BE23840" w14:textId="77777777" w:rsidR="004E3164" w:rsidRPr="00E260DC" w:rsidRDefault="004E3164" w:rsidP="00D83422">
                              <w:pPr>
                                <w:ind w:firstLine="0"/>
                                <w:rPr>
                                  <w:b/>
                                  <w:color w:val="0070C0"/>
                                  <w:sz w:val="16"/>
                                  <w:szCs w:val="16"/>
                                </w:rPr>
                              </w:pPr>
                              <w:r w:rsidRPr="00E260DC">
                                <w:rPr>
                                  <w:b/>
                                  <w:color w:val="0070C0"/>
                                  <w:sz w:val="16"/>
                                  <w:szCs w:val="16"/>
                                </w:rPr>
                                <w:t xml:space="preserve">Предприятие: </w:t>
                              </w:r>
                            </w:p>
                            <w:p w14:paraId="2094BA55" w14:textId="77777777" w:rsidR="004E3164" w:rsidRPr="00E260DC" w:rsidRDefault="004E3164" w:rsidP="00D83422">
                              <w:pPr>
                                <w:ind w:firstLine="0"/>
                                <w:rPr>
                                  <w:color w:val="0070C0"/>
                                </w:rPr>
                              </w:pPr>
                              <w:r>
                                <w:rPr>
                                  <w:color w:val="0070C0"/>
                                  <w:sz w:val="16"/>
                                  <w:szCs w:val="16"/>
                                </w:rPr>
                                <w:t xml:space="preserve">няма нужда да </w:t>
                              </w:r>
                              <w:r w:rsidRPr="0028351B">
                                <w:rPr>
                                  <w:b/>
                                  <w:color w:val="0070C0"/>
                                  <w:sz w:val="16"/>
                                  <w:szCs w:val="16"/>
                                </w:rPr>
                                <w:t>изнася</w:t>
                              </w:r>
                              <w:r>
                                <w:rPr>
                                  <w:color w:val="0070C0"/>
                                  <w:sz w:val="16"/>
                                  <w:szCs w:val="16"/>
                                </w:rPr>
                                <w:t xml:space="preserve"> </w:t>
                              </w:r>
                              <w:r w:rsidRPr="00E260DC">
                                <w:rPr>
                                  <w:color w:val="0070C0"/>
                                  <w:sz w:val="16"/>
                                  <w:szCs w:val="16"/>
                                </w:rPr>
                                <w:t xml:space="preserve">или да се </w:t>
                              </w:r>
                              <w:r w:rsidRPr="0028351B">
                                <w:rPr>
                                  <w:b/>
                                  <w:color w:val="0070C0"/>
                                  <w:sz w:val="16"/>
                                  <w:szCs w:val="16"/>
                                </w:rPr>
                                <w:t>конкурира</w:t>
                              </w:r>
                              <w:r w:rsidRPr="00E260DC">
                                <w:rPr>
                                  <w:color w:val="0070C0"/>
                                  <w:sz w:val="16"/>
                                  <w:szCs w:val="16"/>
                                </w:rPr>
                                <w:t xml:space="preserve"> в други ДЧ</w:t>
                              </w:r>
                            </w:p>
                            <w:p w14:paraId="04BD0282" w14:textId="77777777" w:rsidR="004E3164" w:rsidRPr="005C27D1" w:rsidRDefault="004E3164" w:rsidP="00D83422">
                              <w:pPr>
                                <w:ind w:firstLine="0"/>
                                <w:rPr>
                                  <w:color w:val="FF0000"/>
                                </w:rPr>
                              </w:pPr>
                            </w:p>
                          </w:txbxContent>
                        </wps:txbx>
                        <wps:bodyPr rot="0" vert="horz" wrap="square" lIns="91440" tIns="45720" rIns="91440" bIns="45720" anchor="t" anchorCtr="0" upright="1">
                          <a:noAutofit/>
                        </wps:bodyPr>
                      </wps:wsp>
                      <wps:wsp>
                        <wps:cNvPr id="235" name="AutoShape 323"/>
                        <wps:cNvCnPr>
                          <a:cxnSpLocks noChangeShapeType="1"/>
                        </wps:cNvCnPr>
                        <wps:spPr bwMode="auto">
                          <a:xfrm flipH="1">
                            <a:off x="6138" y="7074"/>
                            <a:ext cx="13" cy="2626"/>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 name="AutoShape 324"/>
                        <wps:cNvSpPr>
                          <a:spLocks noChangeArrowheads="1"/>
                        </wps:cNvSpPr>
                        <wps:spPr bwMode="auto">
                          <a:xfrm>
                            <a:off x="7826" y="9344"/>
                            <a:ext cx="3339" cy="1520"/>
                          </a:xfrm>
                          <a:prstGeom prst="leftArrowCallout">
                            <a:avLst>
                              <a:gd name="adj1" fmla="val 5491"/>
                              <a:gd name="adj2" fmla="val 10366"/>
                              <a:gd name="adj3" fmla="val 29564"/>
                              <a:gd name="adj4" fmla="val 76380"/>
                            </a:avLst>
                          </a:prstGeom>
                          <a:gradFill rotWithShape="0">
                            <a:gsLst>
                              <a:gs pos="0">
                                <a:srgbClr val="C2D69B"/>
                              </a:gs>
                              <a:gs pos="50000">
                                <a:srgbClr val="EAF1DD"/>
                              </a:gs>
                              <a:gs pos="100000">
                                <a:srgbClr val="C2D69B"/>
                              </a:gs>
                            </a:gsLst>
                            <a:lin ang="18900000" scaled="1"/>
                          </a:gradFill>
                          <a:ln>
                            <a:noFill/>
                          </a:ln>
                          <a:effectLst>
                            <a:outerShdw dist="28398" dir="3806097" algn="ctr" rotWithShape="0">
                              <a:srgbClr val="4E6128">
                                <a:alpha val="50000"/>
                              </a:srgbClr>
                            </a:outerShdw>
                          </a:effectLst>
                          <a:extLst>
                            <a:ext uri="{91240B29-F687-4F45-9708-019B960494DF}">
                              <a14:hiddenLine xmlns:a14="http://schemas.microsoft.com/office/drawing/2010/main" w="12700" algn="ctr">
                                <a:solidFill>
                                  <a:srgbClr val="C2D69B"/>
                                </a:solidFill>
                                <a:miter lim="800000"/>
                                <a:headEnd/>
                                <a:tailEnd/>
                              </a14:hiddenLine>
                            </a:ext>
                          </a:extLst>
                        </wps:spPr>
                        <wps:txbx>
                          <w:txbxContent>
                            <w:p w14:paraId="7E6A691A" w14:textId="77777777" w:rsidR="004E3164" w:rsidRPr="0028351B" w:rsidRDefault="004E3164" w:rsidP="00D83422">
                              <w:pPr>
                                <w:ind w:firstLine="0"/>
                                <w:rPr>
                                  <w:sz w:val="16"/>
                                  <w:szCs w:val="16"/>
                                </w:rPr>
                              </w:pPr>
                              <w:r>
                                <w:rPr>
                                  <w:sz w:val="16"/>
                                  <w:szCs w:val="16"/>
                                </w:rPr>
                                <w:t xml:space="preserve">Помощта води да  затрудняване продажбата на чуждестранни продукти и услуги или основаването и оперирането на чуждестранни компании  </w:t>
                              </w:r>
                              <w:r w:rsidRPr="00FD4489">
                                <w:rPr>
                                  <w:i/>
                                  <w:sz w:val="16"/>
                                  <w:szCs w:val="16"/>
                                </w:rPr>
                                <w:t>(на този или друг пазар)</w:t>
                              </w:r>
                            </w:p>
                          </w:txbxContent>
                        </wps:txbx>
                        <wps:bodyPr rot="0" vert="horz" wrap="square" lIns="91440" tIns="45720" rIns="91440" bIns="45720" anchor="t" anchorCtr="0" upright="1">
                          <a:noAutofit/>
                        </wps:bodyPr>
                      </wps:wsp>
                      <wps:wsp>
                        <wps:cNvPr id="237" name="AutoShape 325"/>
                        <wps:cNvSpPr>
                          <a:spLocks noChangeArrowheads="1"/>
                        </wps:cNvSpPr>
                        <wps:spPr bwMode="auto">
                          <a:xfrm>
                            <a:off x="3845" y="7704"/>
                            <a:ext cx="4559" cy="1640"/>
                          </a:xfrm>
                          <a:prstGeom prst="roundRect">
                            <a:avLst>
                              <a:gd name="adj" fmla="val 16667"/>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round/>
                                <a:headEnd/>
                                <a:tailEnd/>
                              </a14:hiddenLine>
                            </a:ext>
                          </a:extLst>
                        </wps:spPr>
                        <wps:txbx>
                          <w:txbxContent>
                            <w:p w14:paraId="18B786E2" w14:textId="77777777" w:rsidR="004E3164" w:rsidRPr="002407E2" w:rsidRDefault="004E3164" w:rsidP="00D83422">
                              <w:pPr>
                                <w:ind w:firstLine="0"/>
                                <w:rPr>
                                  <w:b/>
                                  <w:sz w:val="16"/>
                                  <w:szCs w:val="16"/>
                                </w:rPr>
                              </w:pPr>
                              <w:r w:rsidRPr="002407E2">
                                <w:rPr>
                                  <w:b/>
                                  <w:sz w:val="16"/>
                                  <w:szCs w:val="16"/>
                                </w:rPr>
                                <w:t>Пряко или непряко въздействие върху търговията:</w:t>
                              </w:r>
                            </w:p>
                            <w:p w14:paraId="53BE3CCE" w14:textId="77777777" w:rsidR="004E3164" w:rsidRDefault="004E3164" w:rsidP="00D83422">
                              <w:pPr>
                                <w:numPr>
                                  <w:ilvl w:val="0"/>
                                  <w:numId w:val="87"/>
                                </w:numPr>
                                <w:tabs>
                                  <w:tab w:val="left" w:pos="284"/>
                                </w:tabs>
                                <w:ind w:left="0" w:firstLine="0"/>
                                <w:rPr>
                                  <w:sz w:val="16"/>
                                  <w:szCs w:val="16"/>
                                </w:rPr>
                              </w:pPr>
                              <w:r>
                                <w:rPr>
                                  <w:sz w:val="16"/>
                                  <w:szCs w:val="16"/>
                                </w:rPr>
                                <w:t>Не е необходимо да има пряк ефект;  достатъчно е да има  очаквания, че би могло да окаже ефект върху търговията и конкуренцията;  дори помощи с много малък размер могат да окажат въздействие върху търговията;</w:t>
                              </w:r>
                            </w:p>
                            <w:p w14:paraId="442F8739" w14:textId="77777777" w:rsidR="004E3164" w:rsidRPr="0028351B" w:rsidRDefault="004E3164" w:rsidP="00D83422">
                              <w:pPr>
                                <w:ind w:firstLine="0"/>
                                <w:rPr>
                                  <w:sz w:val="16"/>
                                  <w:szCs w:val="16"/>
                                </w:rPr>
                              </w:pPr>
                            </w:p>
                            <w:p w14:paraId="6E636E1F" w14:textId="77777777" w:rsidR="004E3164" w:rsidRPr="00EB1523" w:rsidRDefault="004E3164" w:rsidP="00D83422">
                              <w:pPr>
                                <w:ind w:firstLine="0"/>
                                <w:rPr>
                                  <w:sz w:val="16"/>
                                  <w:szCs w:val="16"/>
                                </w:rPr>
                              </w:pPr>
                            </w:p>
                            <w:p w14:paraId="778481FC" w14:textId="77777777" w:rsidR="004E3164" w:rsidRPr="00EB1523" w:rsidRDefault="004E3164" w:rsidP="00D83422">
                              <w:pPr>
                                <w:ind w:firstLine="0"/>
                                <w:rPr>
                                  <w:sz w:val="16"/>
                                  <w:szCs w:val="16"/>
                                </w:rPr>
                              </w:pPr>
                            </w:p>
                          </w:txbxContent>
                        </wps:txbx>
                        <wps:bodyPr rot="0" vert="horz" wrap="square" lIns="91440" tIns="45720" rIns="91440" bIns="45720" anchor="t" anchorCtr="0" upright="1">
                          <a:noAutofit/>
                        </wps:bodyPr>
                      </wps:wsp>
                    </wpg:wgp>
                  </a:graphicData>
                </a:graphic>
              </wp:inline>
            </w:drawing>
          </mc:Choice>
          <mc:Fallback>
            <w:pict>
              <v:group w14:anchorId="60F2D9C2" id="Group 231" o:spid="_x0000_s1373" style="width:467.15pt;height:224.35pt;mso-position-horizontal-relative:char;mso-position-vertical-relative:line" coordorigin="3618,6472" coordsize="7547,4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">
                <v:rect id="Rectangle 320" o:spid="_x0000_s1374" style="position:absolute;left:3618;top:6472;width:5173;height:4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" stroked="f" strokecolor="#666" strokeweight="1pt">
                  <v:fill color2="#999" focus="100%" type="gradient"/>
                  <v:shadow on="t" color="#7f7f7f" opacity=".5" offset="1pt"/>
                  <v:textbox>
                    <w:txbxContent>
                      <w:p w14:paraId="18F6D759" w14:textId="77777777" w:rsidR="004E3164" w:rsidRPr="00322A26" w:rsidRDefault="004E3164" w:rsidP="00D83422">
                        <w:pPr>
                          <w:ind w:firstLine="0"/>
                          <w:rPr>
                            <w:b/>
                          </w:rPr>
                        </w:pPr>
                      </w:p>
                    </w:txbxContent>
                  </v:textbox>
                </v:rect>
                <v:shape id="AutoShape 321" o:spid="_x0000_s1375" type="#_x0000_t116" style="position:absolute;left:4451;top:6633;width:3375;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" strokecolor="red" strokeweight="1pt">
                  <v:fill color2="#fbd4b4" focus="100%" type="gradient"/>
                  <v:shadow on="t" color="#974706" opacity=".5" offset="1pt"/>
                  <v:textbox>
                    <w:txbxContent>
                      <w:p w14:paraId="142440F9" w14:textId="77777777" w:rsidR="004E3164" w:rsidRPr="005C27D1" w:rsidRDefault="004E3164" w:rsidP="00D83422">
                        <w:pPr>
                          <w:ind w:firstLine="0"/>
                          <w:rPr>
                            <w:color w:val="FF0000"/>
                          </w:rPr>
                        </w:pPr>
                        <w:r>
                          <w:rPr>
                            <w:b/>
                            <w:color w:val="FF0000"/>
                            <w:sz w:val="16"/>
                            <w:szCs w:val="16"/>
                          </w:rPr>
                          <w:t xml:space="preserve">Публичен орган </w:t>
                        </w:r>
                      </w:p>
                      <w:p w14:paraId="4DDD4AFA" w14:textId="77777777" w:rsidR="004E3164" w:rsidRPr="005C27D1" w:rsidRDefault="004E3164" w:rsidP="00D83422">
                        <w:pPr>
                          <w:ind w:firstLine="0"/>
                          <w:rPr>
                            <w:color w:val="FF0000"/>
                          </w:rPr>
                        </w:pPr>
                      </w:p>
                    </w:txbxContent>
                  </v:textbox>
                </v:shape>
                <v:shape id="AutoShape 322" o:spid="_x0000_s1376" type="#_x0000_t116" style="position:absolute;left:4451;top:9700;width:3375;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" strokecolor="#0070c0" strokeweight="1pt">
                  <v:fill color2="#fbd4b4" focus="100%" type="gradient"/>
                  <v:shadow on="t" color="#974706" opacity=".5" offset="1pt"/>
                  <v:textbox>
                    <w:txbxContent>
                      <w:p w14:paraId="2BE23840" w14:textId="77777777" w:rsidR="004E3164" w:rsidRPr="00E260DC" w:rsidRDefault="004E3164" w:rsidP="00D83422">
                        <w:pPr>
                          <w:ind w:firstLine="0"/>
                          <w:rPr>
                            <w:b/>
                            <w:color w:val="0070C0"/>
                            <w:sz w:val="16"/>
                            <w:szCs w:val="16"/>
                          </w:rPr>
                        </w:pPr>
                        <w:r w:rsidRPr="00E260DC">
                          <w:rPr>
                            <w:b/>
                            <w:color w:val="0070C0"/>
                            <w:sz w:val="16"/>
                            <w:szCs w:val="16"/>
                          </w:rPr>
                          <w:t xml:space="preserve">Предприятие: </w:t>
                        </w:r>
                      </w:p>
                      <w:p w14:paraId="2094BA55" w14:textId="77777777" w:rsidR="004E3164" w:rsidRPr="00E260DC" w:rsidRDefault="004E3164" w:rsidP="00D83422">
                        <w:pPr>
                          <w:ind w:firstLine="0"/>
                          <w:rPr>
                            <w:color w:val="0070C0"/>
                          </w:rPr>
                        </w:pPr>
                        <w:r>
                          <w:rPr>
                            <w:color w:val="0070C0"/>
                            <w:sz w:val="16"/>
                            <w:szCs w:val="16"/>
                          </w:rPr>
                          <w:t xml:space="preserve">няма нужда да </w:t>
                        </w:r>
                        <w:r w:rsidRPr="0028351B">
                          <w:rPr>
                            <w:b/>
                            <w:color w:val="0070C0"/>
                            <w:sz w:val="16"/>
                            <w:szCs w:val="16"/>
                          </w:rPr>
                          <w:t>изнася</w:t>
                        </w:r>
                        <w:r>
                          <w:rPr>
                            <w:color w:val="0070C0"/>
                            <w:sz w:val="16"/>
                            <w:szCs w:val="16"/>
                          </w:rPr>
                          <w:t xml:space="preserve"> </w:t>
                        </w:r>
                        <w:r w:rsidRPr="00E260DC">
                          <w:rPr>
                            <w:color w:val="0070C0"/>
                            <w:sz w:val="16"/>
                            <w:szCs w:val="16"/>
                          </w:rPr>
                          <w:t xml:space="preserve">или да се </w:t>
                        </w:r>
                        <w:r w:rsidRPr="0028351B">
                          <w:rPr>
                            <w:b/>
                            <w:color w:val="0070C0"/>
                            <w:sz w:val="16"/>
                            <w:szCs w:val="16"/>
                          </w:rPr>
                          <w:t>конкурира</w:t>
                        </w:r>
                        <w:r w:rsidRPr="00E260DC">
                          <w:rPr>
                            <w:color w:val="0070C0"/>
                            <w:sz w:val="16"/>
                            <w:szCs w:val="16"/>
                          </w:rPr>
                          <w:t xml:space="preserve"> в други ДЧ</w:t>
                        </w:r>
                      </w:p>
                      <w:p w14:paraId="04BD0282" w14:textId="77777777" w:rsidR="004E3164" w:rsidRPr="005C27D1" w:rsidRDefault="004E3164" w:rsidP="00D83422">
                        <w:pPr>
                          <w:ind w:firstLine="0"/>
                          <w:rPr>
                            <w:color w:val="FF0000"/>
                          </w:rPr>
                        </w:pPr>
                      </w:p>
                    </w:txbxContent>
                  </v:textbox>
                </v:shape>
                <v:shape id="AutoShape 323" o:spid="_x0000_s1377" type="#_x0000_t32" style="position:absolute;left:6138;top:7074;width:13;height:26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" strokeweight="1.25pt">
                  <v:stroke endarrow="block"/>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324" o:spid="_x0000_s1378" type="#_x0000_t77" style="position:absolute;left:7826;top:9344;width:333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" adj="5102,8561,2907,10207" fillcolor="#c2d69b" stroked="f" strokecolor="#c2d69b" strokeweight="1pt">
                  <v:fill color2="#eaf1dd" angle="135" focus="50%" type="gradient"/>
                  <v:shadow on="t" color="#4e6128" opacity=".5" offset="1pt"/>
                  <v:textbox>
                    <w:txbxContent>
                      <w:p w14:paraId="7E6A691A" w14:textId="77777777" w:rsidR="004E3164" w:rsidRPr="0028351B" w:rsidRDefault="004E3164" w:rsidP="00D83422">
                        <w:pPr>
                          <w:ind w:firstLine="0"/>
                          <w:rPr>
                            <w:sz w:val="16"/>
                            <w:szCs w:val="16"/>
                          </w:rPr>
                        </w:pPr>
                        <w:r>
                          <w:rPr>
                            <w:sz w:val="16"/>
                            <w:szCs w:val="16"/>
                          </w:rPr>
                          <w:t xml:space="preserve">Помощта води да  затрудняване продажбата на чуждестранни продукти и услуги или основаването и оперирането на чуждестранни компании  </w:t>
                        </w:r>
                        <w:r w:rsidRPr="00FD4489">
                          <w:rPr>
                            <w:i/>
                            <w:sz w:val="16"/>
                            <w:szCs w:val="16"/>
                          </w:rPr>
                          <w:t>(на този или друг пазар)</w:t>
                        </w:r>
                      </w:p>
                    </w:txbxContent>
                  </v:textbox>
                </v:shape>
                <v:roundrect id="AutoShape 325" o:spid="_x0000_s1379" style="position:absolute;left:3845;top:7704;width:4559;height:16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" stroked="f" strokecolor="#95b3d7" strokeweight="1pt">
                  <v:fill color2="#b8cce4" focus="100%" type="gradient"/>
                  <v:shadow on="t" color="#243f60" opacity=".5" offset="1pt"/>
                  <v:textbox>
                    <w:txbxContent>
                      <w:p w14:paraId="18B786E2" w14:textId="77777777" w:rsidR="004E3164" w:rsidRPr="002407E2" w:rsidRDefault="004E3164" w:rsidP="00D83422">
                        <w:pPr>
                          <w:ind w:firstLine="0"/>
                          <w:rPr>
                            <w:b/>
                            <w:sz w:val="16"/>
                            <w:szCs w:val="16"/>
                          </w:rPr>
                        </w:pPr>
                        <w:r w:rsidRPr="002407E2">
                          <w:rPr>
                            <w:b/>
                            <w:sz w:val="16"/>
                            <w:szCs w:val="16"/>
                          </w:rPr>
                          <w:t>Пряко или непряко въздействие върху търговията:</w:t>
                        </w:r>
                      </w:p>
                      <w:p w14:paraId="53BE3CCE" w14:textId="77777777" w:rsidR="004E3164" w:rsidRDefault="004E3164" w:rsidP="00D83422">
                        <w:pPr>
                          <w:numPr>
                            <w:ilvl w:val="0"/>
                            <w:numId w:val="87"/>
                          </w:numPr>
                          <w:tabs>
                            <w:tab w:val="left" w:pos="284"/>
                          </w:tabs>
                          <w:ind w:left="0" w:firstLine="0"/>
                          <w:rPr>
                            <w:sz w:val="16"/>
                            <w:szCs w:val="16"/>
                          </w:rPr>
                        </w:pPr>
                        <w:r>
                          <w:rPr>
                            <w:sz w:val="16"/>
                            <w:szCs w:val="16"/>
                          </w:rPr>
                          <w:t>Не е необходимо да има пряк ефект;  достатъчно е да има  очаквания, че би могло да окаже ефект върху търговията и конкуренцията;  дори помощи с много малък размер могат да окажат въздействие върху търговията;</w:t>
                        </w:r>
                      </w:p>
                      <w:p w14:paraId="442F8739" w14:textId="77777777" w:rsidR="004E3164" w:rsidRPr="0028351B" w:rsidRDefault="004E3164" w:rsidP="00D83422">
                        <w:pPr>
                          <w:ind w:firstLine="0"/>
                          <w:rPr>
                            <w:sz w:val="16"/>
                            <w:szCs w:val="16"/>
                          </w:rPr>
                        </w:pPr>
                      </w:p>
                      <w:p w14:paraId="6E636E1F" w14:textId="77777777" w:rsidR="004E3164" w:rsidRPr="00EB1523" w:rsidRDefault="004E3164" w:rsidP="00D83422">
                        <w:pPr>
                          <w:ind w:firstLine="0"/>
                          <w:rPr>
                            <w:sz w:val="16"/>
                            <w:szCs w:val="16"/>
                          </w:rPr>
                        </w:pPr>
                      </w:p>
                      <w:p w14:paraId="778481FC" w14:textId="77777777" w:rsidR="004E3164" w:rsidRPr="00EB1523" w:rsidRDefault="004E3164" w:rsidP="00D83422">
                        <w:pPr>
                          <w:ind w:firstLine="0"/>
                          <w:rPr>
                            <w:sz w:val="16"/>
                            <w:szCs w:val="16"/>
                          </w:rPr>
                        </w:pPr>
                      </w:p>
                    </w:txbxContent>
                  </v:textbox>
                </v:roundrect>
                <w10:anchorlock/>
              </v:group>
            </w:pict>
          </mc:Fallback>
        </mc:AlternateContent>
      </w:r>
    </w:p>
    <w:p w14:paraId="24838725" w14:textId="77777777" w:rsidR="00D603F5" w:rsidRPr="001B0EA3" w:rsidRDefault="00D603F5" w:rsidP="00511860">
      <w:pPr>
        <w:rPr>
          <w:b/>
          <w:szCs w:val="22"/>
          <w:u w:val="single"/>
          <w:lang w:eastAsia="en-US"/>
        </w:rPr>
      </w:pPr>
    </w:p>
    <w:p w14:paraId="64E46723" w14:textId="77777777" w:rsidR="00D603F5" w:rsidRPr="001B0EA3" w:rsidRDefault="00D603F5" w:rsidP="00D83422">
      <w:pPr>
        <w:rPr>
          <w:lang w:eastAsia="en-US"/>
        </w:rPr>
      </w:pPr>
      <w:r w:rsidRPr="001B0EA3">
        <w:rPr>
          <w:lang w:eastAsia="en-US"/>
        </w:rPr>
        <w:t xml:space="preserve">Съобразно разпоредбата на чл. 2, т. 13 от Регламент № 1303/2013 г. минималната помощ </w:t>
      </w:r>
      <w:r w:rsidRPr="001B0EA3">
        <w:rPr>
          <w:b/>
          <w:lang w:eastAsia="en-US"/>
        </w:rPr>
        <w:t>(de minimis)</w:t>
      </w:r>
      <w:r w:rsidRPr="001B0EA3">
        <w:rPr>
          <w:lang w:eastAsia="en-US"/>
        </w:rPr>
        <w:t xml:space="preserve"> се третира като ДП за целите и критериите на финансирането от ЕСИФ, въпреки, че спрямо нея са приложими специфични правила от гледна точка на конкурентното право. </w:t>
      </w:r>
    </w:p>
    <w:p w14:paraId="29559B9C" w14:textId="77777777" w:rsidR="008B2D84" w:rsidRPr="00842ECC" w:rsidRDefault="008B2D84" w:rsidP="00ED358C">
      <w:pPr>
        <w:pStyle w:val="Style3"/>
        <w:rPr>
          <w:lang w:val="bg-BG" w:eastAsia="en-US"/>
        </w:rPr>
      </w:pPr>
      <w:bookmarkStart w:id="336" w:name="_Toc479775578"/>
      <w:r w:rsidRPr="00842ECC">
        <w:rPr>
          <w:lang w:val="bg-BG" w:eastAsia="en-US"/>
        </w:rPr>
        <w:t>Заключение от предварителната оценка на Теста за ДП</w:t>
      </w:r>
      <w:bookmarkEnd w:id="336"/>
    </w:p>
    <w:p w14:paraId="543F66BE" w14:textId="77777777" w:rsidR="00E76099" w:rsidRPr="001B0EA3" w:rsidRDefault="008B2D84" w:rsidP="00D83422">
      <w:pPr>
        <w:rPr>
          <w:lang w:eastAsia="en-US"/>
        </w:rPr>
      </w:pPr>
      <w:r w:rsidRPr="001B0EA3">
        <w:rPr>
          <w:lang w:eastAsia="en-US"/>
        </w:rPr>
        <w:t>При предварителната оценка за идентифициране наличието на елементите на дефиницията за ДП по чл. 107, параграф 1 от ДФЕС, УО се базира на установен алгоритъм от въпроси, отговорът на които позволява да се изведе мотивирано предварително заключение относно наличието на ДП</w:t>
      </w:r>
      <w:r w:rsidR="002A1921" w:rsidRPr="001B0EA3">
        <w:rPr>
          <w:lang w:eastAsia="en-US"/>
        </w:rPr>
        <w:t>. Предварителната оценка е разделена на два етапа, като първия етап включва проверка за съответствие на проекта с изключенията от режима по ДП</w:t>
      </w:r>
      <w:r w:rsidRPr="001B0EA3">
        <w:rPr>
          <w:lang w:eastAsia="en-US"/>
        </w:rPr>
        <w:t xml:space="preserve">  и се попълва контролен лист  - </w:t>
      </w:r>
      <w:hyperlink r:id="rId48" w:tooltip="Контролен лист за предварителна оценка за  определяне наличието на държавна помощ - Тест за държавна помощ - изключения" w:history="1">
        <w:r w:rsidR="004F4FFB" w:rsidRPr="00251D03">
          <w:rPr>
            <w:rStyle w:val="Hyperlink"/>
            <w:i/>
            <w:lang w:eastAsia="en-US"/>
          </w:rPr>
          <w:t>Приложение № 2.02</w:t>
        </w:r>
      </w:hyperlink>
      <w:r w:rsidR="00E76099" w:rsidRPr="001B0EA3">
        <w:rPr>
          <w:i/>
          <w:lang w:eastAsia="en-US"/>
        </w:rPr>
        <w:t xml:space="preserve"> </w:t>
      </w:r>
      <w:r w:rsidR="00E76099" w:rsidRPr="001B0EA3">
        <w:rPr>
          <w:lang w:eastAsia="en-US"/>
        </w:rPr>
        <w:t xml:space="preserve">и втори етап „Тест за ДП“ и проверка за </w:t>
      </w:r>
      <w:r w:rsidR="00E76099" w:rsidRPr="001B0EA3">
        <w:rPr>
          <w:szCs w:val="22"/>
          <w:lang w:eastAsia="en-US"/>
        </w:rPr>
        <w:t xml:space="preserve">съвместими с вътрешния пазар ДП и се попълва контролен лист - </w:t>
      </w:r>
      <w:hyperlink r:id="rId49" w:tooltip="Контролен лист за предварителна оценка за определяне на приложим към мярката режим  на съвместима държавна помощ" w:history="1">
        <w:r w:rsidR="00AE381A" w:rsidRPr="00251D03">
          <w:rPr>
            <w:rStyle w:val="Hyperlink"/>
            <w:i/>
            <w:lang w:eastAsia="en-US"/>
          </w:rPr>
          <w:t>Приложение № 2.03</w:t>
        </w:r>
      </w:hyperlink>
      <w:r w:rsidR="002A1921" w:rsidRPr="001B0EA3">
        <w:rPr>
          <w:lang w:eastAsia="en-US"/>
        </w:rPr>
        <w:t xml:space="preserve"> </w:t>
      </w:r>
    </w:p>
    <w:p w14:paraId="1F557445" w14:textId="77777777" w:rsidR="002A1921" w:rsidRPr="001B0EA3" w:rsidRDefault="002A1921" w:rsidP="00D83422">
      <w:pPr>
        <w:rPr>
          <w:szCs w:val="22"/>
          <w:lang w:eastAsia="en-US"/>
        </w:rPr>
      </w:pPr>
      <w:r w:rsidRPr="001B0EA3">
        <w:rPr>
          <w:szCs w:val="22"/>
          <w:lang w:eastAsia="en-US"/>
        </w:rPr>
        <w:t xml:space="preserve">В случай, че резултатът от предварителната оценка </w:t>
      </w:r>
      <w:r w:rsidR="000A785A" w:rsidRPr="001B0EA3">
        <w:rPr>
          <w:szCs w:val="22"/>
          <w:lang w:eastAsia="en-US"/>
        </w:rPr>
        <w:t>по първи етап относно</w:t>
      </w:r>
      <w:r w:rsidRPr="001B0EA3">
        <w:rPr>
          <w:szCs w:val="22"/>
          <w:lang w:eastAsia="en-US"/>
        </w:rPr>
        <w:t xml:space="preserve"> изключенията по критериите на теста за ДП е, че проектното предложение:</w:t>
      </w:r>
    </w:p>
    <w:p w14:paraId="2C5A4E77" w14:textId="77777777" w:rsidR="002A1921" w:rsidRPr="001B0EA3" w:rsidRDefault="002A1921" w:rsidP="00D83422">
      <w:pPr>
        <w:pStyle w:val="ListParagraph"/>
        <w:numPr>
          <w:ilvl w:val="0"/>
          <w:numId w:val="430"/>
        </w:numPr>
        <w:ind w:left="851" w:firstLine="0"/>
        <w:rPr>
          <w:lang w:eastAsia="en-US"/>
        </w:rPr>
      </w:pPr>
      <w:r w:rsidRPr="00D83422">
        <w:rPr>
          <w:b/>
          <w:lang w:eastAsia="en-US"/>
        </w:rPr>
        <w:t>отговаря</w:t>
      </w:r>
      <w:r w:rsidRPr="001B0EA3">
        <w:rPr>
          <w:lang w:eastAsia="en-US"/>
        </w:rPr>
        <w:t xml:space="preserve"> на поне едно от изключенията, оценката за наличие на ДП приключва с попълването на контролен лист - </w:t>
      </w:r>
      <w:hyperlink r:id="rId50" w:tooltip="Контролен лист за предварителна оценка за  определяне наличието на държавна помощ - Тест за държавна помощ - изключения" w:history="1">
        <w:r w:rsidR="00AE381A" w:rsidRPr="00251D03">
          <w:rPr>
            <w:rStyle w:val="Hyperlink"/>
            <w:i/>
            <w:lang w:eastAsia="en-US"/>
          </w:rPr>
          <w:t>Приложение № 2.02</w:t>
        </w:r>
      </w:hyperlink>
      <w:r w:rsidRPr="001B0EA3">
        <w:rPr>
          <w:lang w:eastAsia="en-US"/>
        </w:rPr>
        <w:t>;</w:t>
      </w:r>
    </w:p>
    <w:p w14:paraId="1F80E514" w14:textId="77777777" w:rsidR="002A1921" w:rsidRPr="001B0EA3" w:rsidRDefault="002A1921" w:rsidP="00D83422">
      <w:pPr>
        <w:pStyle w:val="ListParagraph"/>
        <w:numPr>
          <w:ilvl w:val="0"/>
          <w:numId w:val="430"/>
        </w:numPr>
        <w:ind w:left="851" w:firstLine="0"/>
        <w:rPr>
          <w:lang w:eastAsia="en-US"/>
        </w:rPr>
      </w:pPr>
      <w:r w:rsidRPr="00D83422">
        <w:rPr>
          <w:b/>
          <w:lang w:eastAsia="en-US"/>
        </w:rPr>
        <w:t>не отговаря</w:t>
      </w:r>
      <w:r w:rsidRPr="001B0EA3">
        <w:rPr>
          <w:lang w:eastAsia="en-US"/>
        </w:rPr>
        <w:t xml:space="preserve"> на поне едно от изключенията, предварителната оценка продължава като се изследва дали тази помощ попада в обхвата на режим на съвместими с вътрешния пазар ДП и се попълва контролен лист - </w:t>
      </w:r>
      <w:hyperlink r:id="rId51" w:tooltip="Контролен лист за предварителна оценка за определяне на приложим към мярката режим  на съвместима държавна помощ" w:history="1">
        <w:r w:rsidR="00AE381A" w:rsidRPr="00251D03">
          <w:rPr>
            <w:rStyle w:val="Hyperlink"/>
            <w:i/>
            <w:lang w:eastAsia="en-US"/>
          </w:rPr>
          <w:t>Приложение № 2.03</w:t>
        </w:r>
      </w:hyperlink>
    </w:p>
    <w:p w14:paraId="2EE0EC6F" w14:textId="77777777" w:rsidR="008B2D84" w:rsidRPr="001B0EA3" w:rsidRDefault="008B2D84" w:rsidP="00D83422">
      <w:pPr>
        <w:rPr>
          <w:b/>
          <w:i/>
          <w:lang w:eastAsia="en-US"/>
        </w:rPr>
      </w:pPr>
      <w:r w:rsidRPr="001B0EA3">
        <w:rPr>
          <w:lang w:eastAsia="en-US"/>
        </w:rPr>
        <w:t xml:space="preserve">При извършване на проверките по Теста за ДП освен представения  по-горе алгоритъм се вземат  предвид и указанията за всеки конкретен вид инфраструктура от </w:t>
      </w:r>
      <w:r w:rsidRPr="001B0EA3">
        <w:rPr>
          <w:b/>
          <w:lang w:eastAsia="en-US"/>
        </w:rPr>
        <w:t>Аналитичните матрици</w:t>
      </w:r>
      <w:r w:rsidRPr="001B0EA3">
        <w:rPr>
          <w:lang w:eastAsia="en-US"/>
        </w:rPr>
        <w:t xml:space="preserve">, които ЕК е разработила към м. септември 2015 г. </w:t>
      </w:r>
      <w:r w:rsidRPr="001B0EA3">
        <w:rPr>
          <w:i/>
          <w:lang w:eastAsia="en-US"/>
        </w:rPr>
        <w:t>(</w:t>
      </w:r>
      <w:hyperlink r:id="rId52" w:tooltip="State Aid Grids 2015 en" w:history="1">
        <w:r w:rsidR="00AE381A" w:rsidRPr="00251D03">
          <w:rPr>
            <w:rStyle w:val="Hyperlink"/>
            <w:i/>
            <w:lang w:eastAsia="en-US"/>
          </w:rPr>
          <w:t>Приложение № 2.05</w:t>
        </w:r>
      </w:hyperlink>
      <w:r w:rsidRPr="001B0EA3">
        <w:rPr>
          <w:i/>
          <w:lang w:eastAsia="en-US"/>
        </w:rPr>
        <w:t xml:space="preserve"> - на английски език)</w:t>
      </w:r>
      <w:r w:rsidR="007E58CA" w:rsidRPr="001B0EA3">
        <w:rPr>
          <w:lang w:eastAsia="en-US"/>
        </w:rPr>
        <w:t xml:space="preserve"> и </w:t>
      </w:r>
      <w:r w:rsidR="00E813B6" w:rsidRPr="001B0EA3">
        <w:rPr>
          <w:lang w:eastAsia="en-US"/>
        </w:rPr>
        <w:t>актуализираните</w:t>
      </w:r>
      <w:r w:rsidR="007E58CA" w:rsidRPr="001B0EA3">
        <w:rPr>
          <w:lang w:eastAsia="en-US"/>
        </w:rPr>
        <w:t xml:space="preserve"> през 2016 г. „Аналитични матрици за инфраструктура“ </w:t>
      </w:r>
      <w:r w:rsidR="007E58CA" w:rsidRPr="001B0EA3">
        <w:rPr>
          <w:i/>
          <w:lang w:eastAsia="en-US"/>
        </w:rPr>
        <w:t>(</w:t>
      </w:r>
      <w:hyperlink r:id="rId53" w:tooltip="State Aid Analytical Grids for infrastructure update 2016 en" w:history="1">
        <w:r w:rsidR="00AE381A" w:rsidRPr="00251D03">
          <w:rPr>
            <w:rStyle w:val="Hyperlink"/>
            <w:i/>
            <w:lang w:eastAsia="en-US"/>
          </w:rPr>
          <w:t>Приложение № 2.06</w:t>
        </w:r>
      </w:hyperlink>
      <w:r w:rsidR="007E58CA" w:rsidRPr="001B0EA3">
        <w:rPr>
          <w:i/>
          <w:lang w:eastAsia="en-US"/>
        </w:rPr>
        <w:t xml:space="preserve"> - на английски език).</w:t>
      </w:r>
      <w:r w:rsidRPr="001B0EA3">
        <w:rPr>
          <w:i/>
          <w:lang w:eastAsia="en-US"/>
        </w:rPr>
        <w:t xml:space="preserve">. </w:t>
      </w:r>
    </w:p>
    <w:p w14:paraId="05DB32B3" w14:textId="77777777" w:rsidR="008B2D84" w:rsidRPr="001B0EA3" w:rsidRDefault="008B2D84" w:rsidP="00D83422">
      <w:pPr>
        <w:rPr>
          <w:szCs w:val="22"/>
          <w:lang w:eastAsia="en-US"/>
        </w:rPr>
      </w:pPr>
      <w:r w:rsidRPr="001B0EA3">
        <w:rPr>
          <w:szCs w:val="22"/>
          <w:lang w:eastAsia="en-US"/>
        </w:rPr>
        <w:t>В зависимост от заключението от  предварителната оценка за наличие на ДП се предприемат следните действия:</w:t>
      </w:r>
    </w:p>
    <w:p w14:paraId="45349E5F" w14:textId="77777777" w:rsidR="000A785A" w:rsidRPr="001B0EA3" w:rsidRDefault="008B2D84" w:rsidP="00D83422">
      <w:pPr>
        <w:pStyle w:val="ListParagraph"/>
        <w:numPr>
          <w:ilvl w:val="0"/>
          <w:numId w:val="431"/>
        </w:numPr>
        <w:ind w:left="0" w:firstLine="851"/>
        <w:rPr>
          <w:lang w:eastAsia="en-US"/>
        </w:rPr>
      </w:pPr>
      <w:r w:rsidRPr="001B0EA3">
        <w:rPr>
          <w:lang w:eastAsia="en-US"/>
        </w:rPr>
        <w:t xml:space="preserve">Ако </w:t>
      </w:r>
      <w:r w:rsidRPr="00D83422">
        <w:rPr>
          <w:b/>
          <w:lang w:eastAsia="en-US"/>
        </w:rPr>
        <w:t>предварително заключение</w:t>
      </w:r>
      <w:r w:rsidRPr="001B0EA3">
        <w:rPr>
          <w:lang w:eastAsia="en-US"/>
        </w:rPr>
        <w:t xml:space="preserve"> от теста за ДП е, че мярката </w:t>
      </w:r>
      <w:r w:rsidRPr="00D83422">
        <w:rPr>
          <w:b/>
          <w:lang w:eastAsia="en-US"/>
        </w:rPr>
        <w:t>не представлява</w:t>
      </w:r>
      <w:r w:rsidRPr="001B0EA3">
        <w:rPr>
          <w:lang w:eastAsia="en-US"/>
        </w:rPr>
        <w:t xml:space="preserve"> ДП, за определянето на условията и размера на БФП по проекта се спазват само правилата по ЕСИФ, освен в случаите, когато мярката трябва да отговаря на изрични условия, за да се гарантира, че същата не представлява ДП. В тези случаи освен, на правилата по ЕСИФ, мярката е необходимо да отговаря и на тези специфични условия.</w:t>
      </w:r>
    </w:p>
    <w:p w14:paraId="0EAC75D6" w14:textId="77777777" w:rsidR="000A785A" w:rsidRPr="00D83422" w:rsidRDefault="000A785A" w:rsidP="00D83422">
      <w:pPr>
        <w:pStyle w:val="ListParagraph"/>
        <w:numPr>
          <w:ilvl w:val="0"/>
          <w:numId w:val="431"/>
        </w:numPr>
        <w:ind w:left="0" w:firstLine="851"/>
        <w:rPr>
          <w:szCs w:val="24"/>
          <w:lang w:eastAsia="bg-BG"/>
        </w:rPr>
      </w:pPr>
      <w:r w:rsidRPr="00D83422">
        <w:rPr>
          <w:szCs w:val="24"/>
          <w:lang w:eastAsia="bg-BG"/>
        </w:rPr>
        <w:lastRenderedPageBreak/>
        <w:t>Ако в резултат от теста за държавна помощ предварителното заключение е, че проектното предложение съдържа ДП, предварителната оценка продължава като се проверява  дали тази помощ на попада в обхвата на съвместимите с вътрешния пазар режими на помощи по реда описан в раздел 7.2 и илюстриран във фиг. 2.10</w:t>
      </w:r>
    </w:p>
    <w:p w14:paraId="0931459F" w14:textId="77777777" w:rsidR="000A785A" w:rsidRPr="001B0EA3" w:rsidRDefault="000A785A" w:rsidP="00511860">
      <w:pPr>
        <w:tabs>
          <w:tab w:val="left" w:pos="851"/>
        </w:tabs>
        <w:autoSpaceDE w:val="0"/>
        <w:autoSpaceDN w:val="0"/>
        <w:adjustRightInd w:val="0"/>
        <w:spacing w:beforeLines="60" w:before="144" w:afterLines="60" w:after="144"/>
        <w:ind w:firstLine="567"/>
        <w:contextualSpacing/>
        <w:rPr>
          <w:szCs w:val="24"/>
          <w:lang w:eastAsia="bg-BG"/>
        </w:rPr>
      </w:pPr>
      <w:r w:rsidRPr="001B0EA3">
        <w:rPr>
          <w:szCs w:val="24"/>
          <w:lang w:eastAsia="bg-BG"/>
        </w:rPr>
        <w:t xml:space="preserve">В случай, че при оценката на проектно предложение се установи, че с общия размер на безвъзмездната финансова помощ, за която се кандидатства, ще бъде надхвърлен праг на допустимите държавни/минимални помощи по приложим </w:t>
      </w:r>
      <w:r w:rsidRPr="001B0EA3">
        <w:rPr>
          <w:szCs w:val="24"/>
          <w:lang w:eastAsia="en-US"/>
        </w:rPr>
        <w:t>за</w:t>
      </w:r>
      <w:r w:rsidRPr="001B0EA3">
        <w:rPr>
          <w:szCs w:val="24"/>
          <w:lang w:eastAsia="bg-BG"/>
        </w:rPr>
        <w:t xml:space="preserve"> мярката съвместим режим на ДП, по предложение на оценителната комисия Ръководителя на УО определя размера на БФП до максимално допустимия размер, като информира бенефициента за извършената промяна. </w:t>
      </w:r>
    </w:p>
    <w:p w14:paraId="4248A50D" w14:textId="77777777" w:rsidR="000A785A" w:rsidRPr="001B0EA3" w:rsidRDefault="000A785A" w:rsidP="00511860">
      <w:pPr>
        <w:tabs>
          <w:tab w:val="left" w:pos="851"/>
        </w:tabs>
        <w:autoSpaceDE w:val="0"/>
        <w:autoSpaceDN w:val="0"/>
        <w:adjustRightInd w:val="0"/>
        <w:spacing w:beforeLines="60" w:before="144" w:afterLines="60" w:after="144"/>
        <w:ind w:firstLine="567"/>
        <w:contextualSpacing/>
        <w:rPr>
          <w:szCs w:val="24"/>
          <w:lang w:eastAsia="en-US"/>
        </w:rPr>
      </w:pPr>
      <w:r w:rsidRPr="001B0EA3">
        <w:rPr>
          <w:szCs w:val="24"/>
          <w:lang w:eastAsia="en-US"/>
        </w:rPr>
        <w:t xml:space="preserve">Ако идентифицираната ДП, чрез теста за ДП, </w:t>
      </w:r>
      <w:r w:rsidRPr="001B0EA3">
        <w:rPr>
          <w:b/>
          <w:szCs w:val="24"/>
          <w:lang w:eastAsia="en-US"/>
        </w:rPr>
        <w:t>не съответства</w:t>
      </w:r>
      <w:r w:rsidRPr="001B0EA3">
        <w:rPr>
          <w:szCs w:val="24"/>
          <w:lang w:eastAsia="en-US"/>
        </w:rPr>
        <w:t xml:space="preserve"> и не попада обхвата на  съвместимите с вътрешния пазар помощи режими, то мярката по проектното предложение подлежи на подаване </w:t>
      </w:r>
      <w:r w:rsidRPr="001B0EA3">
        <w:rPr>
          <w:b/>
          <w:szCs w:val="24"/>
          <w:lang w:eastAsia="en-US"/>
        </w:rPr>
        <w:t>на уведомление (нотификация) до ЕК</w:t>
      </w:r>
      <w:r w:rsidRPr="001B0EA3">
        <w:rPr>
          <w:szCs w:val="24"/>
          <w:lang w:eastAsia="en-US"/>
        </w:rPr>
        <w:t xml:space="preserve"> </w:t>
      </w:r>
      <w:r w:rsidR="00957391" w:rsidRPr="00957391">
        <w:rPr>
          <w:szCs w:val="24"/>
          <w:lang w:eastAsia="en-US"/>
        </w:rPr>
        <w:t>(</w:t>
      </w:r>
      <w:r w:rsidR="00957391" w:rsidRPr="001E404B">
        <w:rPr>
          <w:i/>
          <w:szCs w:val="24"/>
          <w:lang w:eastAsia="en-US"/>
        </w:rPr>
        <w:t>чл. 21 от ЗДП</w:t>
      </w:r>
      <w:r w:rsidR="00957391" w:rsidRPr="00957391">
        <w:rPr>
          <w:szCs w:val="24"/>
          <w:lang w:eastAsia="en-US"/>
        </w:rPr>
        <w:t>)</w:t>
      </w:r>
      <w:r w:rsidR="00957391">
        <w:rPr>
          <w:szCs w:val="24"/>
          <w:lang w:eastAsia="en-US"/>
        </w:rPr>
        <w:t xml:space="preserve"> </w:t>
      </w:r>
      <w:r w:rsidRPr="001B0EA3">
        <w:rPr>
          <w:szCs w:val="24"/>
          <w:lang w:eastAsia="en-US"/>
        </w:rPr>
        <w:t xml:space="preserve">и  прилага така нареченото правило за изчакване </w:t>
      </w:r>
      <w:r w:rsidRPr="001B0EA3">
        <w:rPr>
          <w:b/>
          <w:szCs w:val="24"/>
          <w:lang w:eastAsia="en-US"/>
        </w:rPr>
        <w:t xml:space="preserve">- не може да се предостави БФП преди решение на ЕК </w:t>
      </w:r>
      <w:r w:rsidRPr="001B0EA3">
        <w:rPr>
          <w:szCs w:val="24"/>
          <w:lang w:eastAsia="en-US"/>
        </w:rPr>
        <w:t>по уведомлението</w:t>
      </w:r>
      <w:r w:rsidR="00957391">
        <w:rPr>
          <w:szCs w:val="24"/>
          <w:lang w:eastAsia="en-US"/>
        </w:rPr>
        <w:t xml:space="preserve"> </w:t>
      </w:r>
      <w:r w:rsidR="00957391" w:rsidRPr="00957391">
        <w:rPr>
          <w:szCs w:val="24"/>
          <w:lang w:eastAsia="en-US"/>
        </w:rPr>
        <w:t>(</w:t>
      </w:r>
      <w:r w:rsidR="00957391" w:rsidRPr="001E404B">
        <w:rPr>
          <w:i/>
          <w:szCs w:val="24"/>
          <w:lang w:eastAsia="en-US"/>
        </w:rPr>
        <w:t>чл.14 от ЗДП</w:t>
      </w:r>
      <w:r w:rsidR="00957391" w:rsidRPr="00957391">
        <w:rPr>
          <w:szCs w:val="24"/>
          <w:lang w:eastAsia="en-US"/>
        </w:rPr>
        <w:t>)</w:t>
      </w:r>
      <w:r w:rsidRPr="001B0EA3">
        <w:rPr>
          <w:szCs w:val="24"/>
          <w:lang w:eastAsia="en-US"/>
        </w:rPr>
        <w:t>.</w:t>
      </w:r>
    </w:p>
    <w:p w14:paraId="77F0B7B7" w14:textId="77777777" w:rsidR="008B2D84" w:rsidRPr="001B0EA3" w:rsidRDefault="008B2D84" w:rsidP="00511860">
      <w:pPr>
        <w:tabs>
          <w:tab w:val="left" w:pos="851"/>
        </w:tabs>
        <w:ind w:firstLine="567"/>
        <w:rPr>
          <w:rFonts w:ascii="TimesNewRoman" w:hAnsi="TimesNewRoman" w:cs="TimesNewRoman"/>
          <w:lang w:eastAsia="bg-BG"/>
        </w:rPr>
      </w:pPr>
    </w:p>
    <w:p w14:paraId="68C4D912" w14:textId="77777777" w:rsidR="00D603F5" w:rsidRPr="00842ECC" w:rsidRDefault="008B2D84" w:rsidP="00B502C7">
      <w:pPr>
        <w:pStyle w:val="Style2"/>
        <w:rPr>
          <w:lang w:val="bg-BG" w:eastAsia="bg-BG"/>
        </w:rPr>
      </w:pPr>
      <w:bookmarkStart w:id="337" w:name="_Toc425170734"/>
      <w:bookmarkStart w:id="338" w:name="_Toc479775579"/>
      <w:bookmarkStart w:id="339" w:name="_Toc140150180"/>
      <w:r w:rsidRPr="00842ECC">
        <w:rPr>
          <w:lang w:val="bg-BG" w:eastAsia="bg-BG"/>
        </w:rPr>
        <w:t>Определяне на приложим режим на съвместими с вътрешния пазар ДП</w:t>
      </w:r>
      <w:bookmarkEnd w:id="337"/>
      <w:bookmarkEnd w:id="338"/>
      <w:bookmarkEnd w:id="339"/>
      <w:r w:rsidR="00D603F5" w:rsidRPr="00842ECC">
        <w:rPr>
          <w:lang w:val="bg-BG" w:eastAsia="bg-BG"/>
        </w:rPr>
        <w:tab/>
      </w:r>
    </w:p>
    <w:p w14:paraId="62C86F76" w14:textId="77777777" w:rsidR="008B2D84" w:rsidRPr="00842ECC" w:rsidRDefault="008B2D84" w:rsidP="00ED358C">
      <w:pPr>
        <w:pStyle w:val="Style3"/>
        <w:rPr>
          <w:lang w:val="bg-BG" w:eastAsia="bg-BG"/>
        </w:rPr>
      </w:pPr>
      <w:bookmarkStart w:id="340" w:name="_Toc425170735"/>
      <w:bookmarkStart w:id="341" w:name="_Toc479775580"/>
      <w:r w:rsidRPr="00842ECC">
        <w:rPr>
          <w:lang w:val="bg-BG" w:eastAsia="bg-BG"/>
        </w:rPr>
        <w:t>Съвместими с вътрешния пазар ДП – общи положения</w:t>
      </w:r>
      <w:bookmarkEnd w:id="340"/>
      <w:bookmarkEnd w:id="341"/>
      <w:r w:rsidRPr="00842ECC">
        <w:rPr>
          <w:lang w:val="bg-BG" w:eastAsia="bg-BG"/>
        </w:rPr>
        <w:t xml:space="preserve"> </w:t>
      </w:r>
    </w:p>
    <w:p w14:paraId="3E68FF99" w14:textId="77777777" w:rsidR="008B2D84" w:rsidRPr="00EB5875" w:rsidRDefault="008B2D84" w:rsidP="00511860">
      <w:pPr>
        <w:autoSpaceDE w:val="0"/>
        <w:autoSpaceDN w:val="0"/>
        <w:adjustRightInd w:val="0"/>
        <w:rPr>
          <w:szCs w:val="24"/>
          <w:lang w:eastAsia="bg-BG"/>
        </w:rPr>
      </w:pPr>
      <w:r w:rsidRPr="00EB5875">
        <w:rPr>
          <w:szCs w:val="24"/>
          <w:lang w:eastAsia="bg-BG"/>
        </w:rPr>
        <w:t>Съгласно член 107, параграф 1 от ДФЕС, мерките за помощи, които отговарят на всички горепосочени критерии</w:t>
      </w:r>
      <w:r w:rsidR="00D15D94" w:rsidRPr="00EB5875">
        <w:rPr>
          <w:szCs w:val="24"/>
          <w:lang w:eastAsia="bg-BG"/>
        </w:rPr>
        <w:t xml:space="preserve"> от Теста за ДП</w:t>
      </w:r>
      <w:r w:rsidRPr="00EB5875">
        <w:rPr>
          <w:szCs w:val="24"/>
          <w:lang w:eastAsia="bg-BG"/>
        </w:rPr>
        <w:t xml:space="preserve">, са по принцип </w:t>
      </w:r>
      <w:r w:rsidRPr="00EB5875">
        <w:rPr>
          <w:b/>
          <w:szCs w:val="24"/>
          <w:lang w:eastAsia="bg-BG"/>
        </w:rPr>
        <w:t>несъвместими с общия пазар и не могат да бъдат предоставяна или прилагани</w:t>
      </w:r>
      <w:r w:rsidR="00D15D94" w:rsidRPr="00EB5875">
        <w:rPr>
          <w:b/>
          <w:szCs w:val="24"/>
          <w:lang w:eastAsia="bg-BG"/>
        </w:rPr>
        <w:t xml:space="preserve"> </w:t>
      </w:r>
      <w:r w:rsidR="00D15D94" w:rsidRPr="001E404B">
        <w:rPr>
          <w:b/>
          <w:i/>
          <w:szCs w:val="24"/>
          <w:lang w:eastAsia="bg-BG"/>
        </w:rPr>
        <w:t>(чл. 4, ал.1 от ЗДП)</w:t>
      </w:r>
      <w:r w:rsidRPr="00EB5875">
        <w:rPr>
          <w:szCs w:val="24"/>
          <w:lang w:eastAsia="bg-BG"/>
        </w:rPr>
        <w:t>.</w:t>
      </w:r>
    </w:p>
    <w:p w14:paraId="5D22627A" w14:textId="77777777" w:rsidR="008B2D84" w:rsidRPr="00EB5875" w:rsidRDefault="008B2D84" w:rsidP="00511860">
      <w:pPr>
        <w:autoSpaceDE w:val="0"/>
        <w:autoSpaceDN w:val="0"/>
        <w:adjustRightInd w:val="0"/>
        <w:rPr>
          <w:szCs w:val="24"/>
          <w:lang w:eastAsia="bg-BG"/>
        </w:rPr>
      </w:pPr>
    </w:p>
    <w:p w14:paraId="0B28D09E" w14:textId="77777777" w:rsidR="008B2D84" w:rsidRPr="00EB5875" w:rsidRDefault="008B2D84" w:rsidP="00511860">
      <w:pPr>
        <w:autoSpaceDE w:val="0"/>
        <w:autoSpaceDN w:val="0"/>
        <w:adjustRightInd w:val="0"/>
        <w:rPr>
          <w:szCs w:val="24"/>
          <w:lang w:eastAsia="bg-BG"/>
        </w:rPr>
      </w:pPr>
      <w:r w:rsidRPr="00EB5875">
        <w:rPr>
          <w:szCs w:val="24"/>
          <w:lang w:eastAsia="bg-BG"/>
        </w:rPr>
        <w:t xml:space="preserve">Принципът на несъвместимост </w:t>
      </w:r>
      <w:r w:rsidRPr="00EB5875">
        <w:rPr>
          <w:b/>
          <w:szCs w:val="24"/>
          <w:lang w:eastAsia="bg-BG"/>
        </w:rPr>
        <w:t xml:space="preserve">обаче </w:t>
      </w:r>
      <w:r w:rsidRPr="00EB5875">
        <w:rPr>
          <w:b/>
          <w:szCs w:val="24"/>
          <w:u w:val="single"/>
          <w:lang w:eastAsia="bg-BG"/>
        </w:rPr>
        <w:t>не означава цялостна забрана</w:t>
      </w:r>
      <w:r w:rsidRPr="00EB5875">
        <w:rPr>
          <w:szCs w:val="24"/>
          <w:lang w:eastAsia="bg-BG"/>
        </w:rPr>
        <w:t xml:space="preserve">. В ДФЕС са дефинирани изключения от правилото за забрана на предоставянето на ДП, чрез които планираната помощ, въпреки че отговаря на петте критерия  и се квалифицира като ДП, може да бъде разрешена и приета за допустима (съвместима) ДП от общ интерес за ЕС.  </w:t>
      </w:r>
    </w:p>
    <w:p w14:paraId="37D7FF43" w14:textId="77777777" w:rsidR="008B2D84" w:rsidRPr="00EB5875" w:rsidRDefault="008B2D84" w:rsidP="00511860">
      <w:pPr>
        <w:autoSpaceDE w:val="0"/>
        <w:autoSpaceDN w:val="0"/>
        <w:adjustRightInd w:val="0"/>
        <w:rPr>
          <w:szCs w:val="24"/>
          <w:lang w:eastAsia="bg-BG"/>
        </w:rPr>
      </w:pPr>
      <w:r w:rsidRPr="00EB5875">
        <w:rPr>
          <w:szCs w:val="24"/>
          <w:lang w:eastAsia="bg-BG"/>
        </w:rPr>
        <w:t>В членове 107, параграф 2 и 107, параграф 3 от ДФЕС са определени случаи, в които ДП може да се счита за съвместима (така наречените „</w:t>
      </w:r>
      <w:r w:rsidRPr="00EB5875">
        <w:rPr>
          <w:i/>
          <w:iCs/>
          <w:szCs w:val="24"/>
          <w:lang w:eastAsia="bg-BG"/>
        </w:rPr>
        <w:t xml:space="preserve">освобождавания“). </w:t>
      </w:r>
      <w:r w:rsidRPr="00EB5875">
        <w:rPr>
          <w:szCs w:val="24"/>
          <w:lang w:eastAsia="bg-BG"/>
        </w:rPr>
        <w:t>Съществуването на тези „</w:t>
      </w:r>
      <w:r w:rsidRPr="00EB5875">
        <w:rPr>
          <w:i/>
          <w:szCs w:val="24"/>
          <w:lang w:eastAsia="bg-BG"/>
        </w:rPr>
        <w:t>освобождавания“</w:t>
      </w:r>
      <w:r w:rsidRPr="00EB5875">
        <w:rPr>
          <w:szCs w:val="24"/>
          <w:lang w:eastAsia="bg-BG"/>
        </w:rPr>
        <w:t xml:space="preserve"> също оправдава контрола от страна на ЕК и държавите-членки на планираните мерки за ДП, предвидени в член 108 от ДФЕС. Този член предвижда, че държавите-членки трябва да уведомяват ЕК за всеки план за предоставяне на ДП преди осъществяването на този план. Той дава на ЕК и правото да решава дали предлаганата мярка за помощ отговаря на изискванията за освобождаване или дали „</w:t>
      </w:r>
      <w:r w:rsidRPr="00EB5875">
        <w:rPr>
          <w:i/>
          <w:iCs/>
          <w:szCs w:val="24"/>
          <w:lang w:eastAsia="bg-BG"/>
        </w:rPr>
        <w:t>въпросната държава-членка следва да отмени или измени тази помощ“</w:t>
      </w:r>
      <w:r w:rsidRPr="00EB5875">
        <w:rPr>
          <w:szCs w:val="24"/>
          <w:lang w:eastAsia="bg-BG"/>
        </w:rPr>
        <w:t xml:space="preserve">.  </w:t>
      </w:r>
    </w:p>
    <w:p w14:paraId="74687A37" w14:textId="77777777" w:rsidR="008B2D84" w:rsidRPr="001B0EA3" w:rsidRDefault="008B2D84" w:rsidP="00511860">
      <w:pPr>
        <w:autoSpaceDE w:val="0"/>
        <w:autoSpaceDN w:val="0"/>
        <w:adjustRightInd w:val="0"/>
        <w:ind w:firstLine="284"/>
        <w:rPr>
          <w:rFonts w:ascii="TimesNewRoman" w:hAnsi="TimesNewRoman" w:cs="TimesNewRoman"/>
          <w:szCs w:val="24"/>
          <w:lang w:eastAsia="bg-BG"/>
        </w:rPr>
      </w:pPr>
    </w:p>
    <w:p w14:paraId="672577C1" w14:textId="77777777" w:rsidR="008B2D84" w:rsidRPr="001B0EA3" w:rsidRDefault="008B2D84" w:rsidP="00511860">
      <w:pPr>
        <w:rPr>
          <w:szCs w:val="22"/>
          <w:lang w:eastAsia="en-US"/>
        </w:rPr>
      </w:pPr>
      <w:r w:rsidRPr="001B0EA3">
        <w:rPr>
          <w:szCs w:val="22"/>
          <w:lang w:eastAsia="en-US"/>
        </w:rPr>
        <w:t xml:space="preserve">- Съгласно </w:t>
      </w:r>
      <w:r w:rsidRPr="001B0EA3">
        <w:rPr>
          <w:b/>
          <w:szCs w:val="22"/>
          <w:lang w:eastAsia="en-US"/>
        </w:rPr>
        <w:t>чл. 107, параграф 2 на ДФЕС</w:t>
      </w:r>
      <w:r w:rsidRPr="001B0EA3">
        <w:rPr>
          <w:rFonts w:ascii="Times New Roman Bold" w:hAnsi="Times New Roman Bold"/>
          <w:b/>
          <w:color w:val="000000"/>
          <w:szCs w:val="22"/>
          <w:lang w:eastAsia="en-US"/>
        </w:rPr>
        <w:t xml:space="preserve"> з</w:t>
      </w:r>
      <w:r w:rsidRPr="001B0EA3">
        <w:rPr>
          <w:szCs w:val="22"/>
          <w:lang w:eastAsia="en-US"/>
        </w:rPr>
        <w:t>а съвместими с вътрешния пазар се считат:</w:t>
      </w:r>
    </w:p>
    <w:p w14:paraId="237016FC" w14:textId="77777777" w:rsidR="008B2D84" w:rsidRPr="001B0EA3" w:rsidRDefault="008B2D84" w:rsidP="00511860">
      <w:pPr>
        <w:rPr>
          <w:szCs w:val="22"/>
          <w:lang w:eastAsia="en-US"/>
        </w:rPr>
      </w:pPr>
      <w:r w:rsidRPr="001B0EA3">
        <w:rPr>
          <w:szCs w:val="22"/>
          <w:lang w:eastAsia="en-US"/>
        </w:rPr>
        <w:t xml:space="preserve"> а) помощи със социален характер, предоставени на отделни потребители при условие, че тези помощи се предоставят, без да се прави разграничение по отношение на произхода на засегнатите стоки; </w:t>
      </w:r>
    </w:p>
    <w:p w14:paraId="1E2E7C4B" w14:textId="77777777" w:rsidR="008B2D84" w:rsidRPr="001B0EA3" w:rsidRDefault="008B2D84" w:rsidP="00511860">
      <w:pPr>
        <w:rPr>
          <w:szCs w:val="22"/>
          <w:lang w:eastAsia="en-US"/>
        </w:rPr>
      </w:pPr>
      <w:r w:rsidRPr="001B0EA3">
        <w:rPr>
          <w:szCs w:val="22"/>
          <w:lang w:eastAsia="en-US"/>
        </w:rPr>
        <w:t xml:space="preserve">б) помощи за отстраняване на щети, причинени от природни бедствия или други извънредни събития; </w:t>
      </w:r>
    </w:p>
    <w:p w14:paraId="78630C4E" w14:textId="77777777" w:rsidR="008B2D84" w:rsidRPr="001B0EA3" w:rsidRDefault="008B2D84" w:rsidP="00511860">
      <w:pPr>
        <w:rPr>
          <w:szCs w:val="22"/>
          <w:lang w:eastAsia="en-US"/>
        </w:rPr>
      </w:pPr>
      <w:r w:rsidRPr="001B0EA3">
        <w:rPr>
          <w:szCs w:val="22"/>
          <w:lang w:eastAsia="en-US"/>
        </w:rPr>
        <w:t>в) помощи, предоставени на икономиката в отделни региони на Федерална република Германия, които са засегнати от разделението на Германия, доколкото тези помощи са необходими, за да се компенсират икономическите затруднения, предизвикани от това разделение. Пет години след влизането в сила на Договора от Лисабон, Съветът, по предложение на Комисията, може да приеме решение за отмяна на настоящата буква.</w:t>
      </w:r>
    </w:p>
    <w:p w14:paraId="0ADBFBFC" w14:textId="77777777" w:rsidR="008B2D84" w:rsidRPr="001B0EA3" w:rsidRDefault="008B2D84" w:rsidP="00511860">
      <w:pPr>
        <w:rPr>
          <w:szCs w:val="22"/>
          <w:lang w:eastAsia="en-US"/>
        </w:rPr>
      </w:pPr>
    </w:p>
    <w:p w14:paraId="345E9889" w14:textId="77777777" w:rsidR="008B2D84" w:rsidRPr="001B0EA3" w:rsidRDefault="008B2D84" w:rsidP="00511860">
      <w:pPr>
        <w:jc w:val="left"/>
        <w:rPr>
          <w:szCs w:val="22"/>
          <w:lang w:eastAsia="en-US"/>
        </w:rPr>
      </w:pPr>
      <w:r w:rsidRPr="001B0EA3">
        <w:rPr>
          <w:rFonts w:ascii="Times New Roman Bold" w:hAnsi="Times New Roman Bold"/>
          <w:color w:val="000000"/>
          <w:szCs w:val="22"/>
          <w:lang w:eastAsia="en-US"/>
        </w:rPr>
        <w:t xml:space="preserve">- </w:t>
      </w:r>
      <w:r w:rsidRPr="001B0EA3">
        <w:rPr>
          <w:szCs w:val="22"/>
          <w:lang w:eastAsia="en-US"/>
        </w:rPr>
        <w:t xml:space="preserve">Съгласно </w:t>
      </w:r>
      <w:r w:rsidRPr="001B0EA3">
        <w:rPr>
          <w:b/>
          <w:szCs w:val="22"/>
          <w:lang w:eastAsia="en-US"/>
        </w:rPr>
        <w:t>чл. 107, параграф 3 на ДФЕС</w:t>
      </w:r>
      <w:r w:rsidRPr="001B0EA3">
        <w:rPr>
          <w:rFonts w:ascii="Times New Roman Bold" w:hAnsi="Times New Roman Bold"/>
          <w:color w:val="000000"/>
          <w:szCs w:val="22"/>
          <w:lang w:eastAsia="en-US"/>
        </w:rPr>
        <w:t xml:space="preserve"> з</w:t>
      </w:r>
      <w:r w:rsidRPr="001B0EA3">
        <w:rPr>
          <w:szCs w:val="22"/>
          <w:lang w:eastAsia="en-US"/>
        </w:rPr>
        <w:t>а съвместими с вътрешния пазар могат да се приемат:</w:t>
      </w:r>
    </w:p>
    <w:p w14:paraId="2C0E9D22" w14:textId="77777777" w:rsidR="008B2D84" w:rsidRPr="001B0EA3" w:rsidRDefault="008B2D84" w:rsidP="00511860">
      <w:pPr>
        <w:rPr>
          <w:szCs w:val="22"/>
          <w:lang w:eastAsia="en-US"/>
        </w:rPr>
      </w:pPr>
      <w:r w:rsidRPr="001B0EA3">
        <w:rPr>
          <w:szCs w:val="22"/>
          <w:lang w:eastAsia="en-US"/>
        </w:rPr>
        <w:t xml:space="preserve"> а) помощите за насърчаване на икономическото развитие на региони, където жизненото равнище е необичайно ниско или където има високо равнище на непълна заетост, </w:t>
      </w:r>
      <w:r w:rsidRPr="001B0EA3">
        <w:rPr>
          <w:szCs w:val="22"/>
          <w:lang w:eastAsia="en-US"/>
        </w:rPr>
        <w:lastRenderedPageBreak/>
        <w:t xml:space="preserve">както и на регионите, посочени в член 349 на ДФЕС, като се вземе предвид структурната, икономическата и социалната ситуация в тях; </w:t>
      </w:r>
    </w:p>
    <w:p w14:paraId="47AEE144" w14:textId="77777777" w:rsidR="008B2D84" w:rsidRPr="001B0EA3" w:rsidRDefault="008B2D84" w:rsidP="00511860">
      <w:pPr>
        <w:rPr>
          <w:szCs w:val="22"/>
          <w:lang w:eastAsia="en-US"/>
        </w:rPr>
      </w:pPr>
      <w:r w:rsidRPr="001B0EA3">
        <w:rPr>
          <w:szCs w:val="22"/>
          <w:lang w:eastAsia="en-US"/>
        </w:rPr>
        <w:t>б) помощите за насърчаване изпълнението на важен проект от общоевропейски интерес или за преодоляването на сериозни затруднения в икономиката на държава-членка;</w:t>
      </w:r>
    </w:p>
    <w:p w14:paraId="1B04C539" w14:textId="77777777" w:rsidR="008B2D84" w:rsidRPr="001B0EA3" w:rsidRDefault="008B2D84" w:rsidP="00511860">
      <w:pPr>
        <w:rPr>
          <w:szCs w:val="22"/>
          <w:lang w:eastAsia="en-US"/>
        </w:rPr>
      </w:pPr>
      <w:r w:rsidRPr="001B0EA3">
        <w:rPr>
          <w:szCs w:val="22"/>
          <w:lang w:eastAsia="en-US"/>
        </w:rPr>
        <w:t xml:space="preserve">в) помощите, които имат за цел да улеснят развитието на някои икономически дейности или на някои икономически региони, доколкото тези помощи не засягат по неблагоприятен начин условията на търговия до степен, която противоречи на общия интерес; </w:t>
      </w:r>
    </w:p>
    <w:p w14:paraId="210ED52E" w14:textId="77777777" w:rsidR="008B2D84" w:rsidRPr="001B0EA3" w:rsidRDefault="008B2D84" w:rsidP="00511860">
      <w:pPr>
        <w:rPr>
          <w:szCs w:val="22"/>
          <w:lang w:eastAsia="en-US"/>
        </w:rPr>
      </w:pPr>
      <w:r w:rsidRPr="001B0EA3">
        <w:rPr>
          <w:szCs w:val="22"/>
          <w:lang w:eastAsia="en-US"/>
        </w:rPr>
        <w:t xml:space="preserve">г) помощите за насърчаване на културата и опазване на наследството, доколкото тези помощи не засягат условията на търговия и конкуренция в рамките на Съюза в степен, противоречаща на общия интерес; </w:t>
      </w:r>
    </w:p>
    <w:p w14:paraId="51150566" w14:textId="77777777" w:rsidR="008B2D84" w:rsidRPr="001B0EA3" w:rsidRDefault="008B2D84" w:rsidP="00511860">
      <w:pPr>
        <w:rPr>
          <w:szCs w:val="22"/>
          <w:lang w:eastAsia="en-US"/>
        </w:rPr>
      </w:pPr>
      <w:r w:rsidRPr="001B0EA3">
        <w:rPr>
          <w:szCs w:val="22"/>
          <w:lang w:eastAsia="en-US"/>
        </w:rPr>
        <w:t>д) такива други видове помощи, каквито могат да бъдат определени с решение на Съвета, по предложение на Комисията.</w:t>
      </w:r>
    </w:p>
    <w:p w14:paraId="2E7D0308" w14:textId="77777777" w:rsidR="008B2D84" w:rsidRPr="00EB5875" w:rsidRDefault="008B2D84" w:rsidP="00511860">
      <w:pPr>
        <w:rPr>
          <w:szCs w:val="22"/>
          <w:lang w:eastAsia="en-US"/>
        </w:rPr>
      </w:pPr>
    </w:p>
    <w:p w14:paraId="0CEA0FBE" w14:textId="77777777" w:rsidR="008B2D84" w:rsidRPr="00EB5875" w:rsidRDefault="008B2D84" w:rsidP="00511860">
      <w:pPr>
        <w:autoSpaceDE w:val="0"/>
        <w:autoSpaceDN w:val="0"/>
        <w:adjustRightInd w:val="0"/>
        <w:ind w:firstLine="284"/>
        <w:rPr>
          <w:szCs w:val="22"/>
          <w:lang w:eastAsia="en-US"/>
        </w:rPr>
      </w:pPr>
      <w:r w:rsidRPr="00EB5875">
        <w:rPr>
          <w:szCs w:val="24"/>
          <w:lang w:eastAsia="bg-BG"/>
        </w:rPr>
        <w:t>Допълнително в чл. 93  и чл. 106, параграф 2  на ДФЕС също са предвидени „освобождавания“, свързани с предоставяне на  публични услуги в транспорта и услуги от общ икономически интерес (УОИИ).</w:t>
      </w:r>
    </w:p>
    <w:p w14:paraId="0A6AAA98" w14:textId="77777777" w:rsidR="008B2D84" w:rsidRPr="001B0EA3" w:rsidRDefault="008B2D84" w:rsidP="00890B4B">
      <w:pPr>
        <w:pStyle w:val="ListParagraph"/>
        <w:numPr>
          <w:ilvl w:val="0"/>
          <w:numId w:val="83"/>
        </w:numPr>
        <w:shd w:val="clear" w:color="auto" w:fill="FFFFFF"/>
        <w:tabs>
          <w:tab w:val="left" w:pos="142"/>
        </w:tabs>
        <w:spacing w:before="120" w:after="120"/>
        <w:ind w:left="0" w:firstLine="0"/>
        <w:rPr>
          <w:szCs w:val="22"/>
          <w:lang w:eastAsia="en-US"/>
        </w:rPr>
      </w:pPr>
      <w:r w:rsidRPr="00EB5875">
        <w:rPr>
          <w:szCs w:val="22"/>
          <w:lang w:eastAsia="en-US"/>
        </w:rPr>
        <w:t xml:space="preserve">Съгласно </w:t>
      </w:r>
      <w:r w:rsidRPr="00EB5875">
        <w:rPr>
          <w:b/>
          <w:szCs w:val="22"/>
          <w:lang w:eastAsia="en-US"/>
        </w:rPr>
        <w:t>на чл. 93 на ДФЕС</w:t>
      </w:r>
      <w:r w:rsidRPr="00EB5875">
        <w:rPr>
          <w:color w:val="000000"/>
          <w:szCs w:val="22"/>
          <w:lang w:eastAsia="en-US"/>
        </w:rPr>
        <w:t xml:space="preserve"> „</w:t>
      </w:r>
      <w:r w:rsidRPr="00EB5875">
        <w:rPr>
          <w:b/>
          <w:color w:val="000000"/>
          <w:szCs w:val="22"/>
          <w:lang w:eastAsia="en-US"/>
        </w:rPr>
        <w:t xml:space="preserve"> </w:t>
      </w:r>
      <w:r w:rsidRPr="00EB5875">
        <w:rPr>
          <w:szCs w:val="22"/>
          <w:lang w:eastAsia="en-US"/>
        </w:rPr>
        <w:t>Съвместими с Договорите са помощите, които отговарят на</w:t>
      </w:r>
      <w:r w:rsidRPr="001B0EA3">
        <w:rPr>
          <w:szCs w:val="22"/>
          <w:lang w:eastAsia="en-US"/>
        </w:rPr>
        <w:t xml:space="preserve"> </w:t>
      </w:r>
      <w:r w:rsidRPr="001B0EA3">
        <w:rPr>
          <w:b/>
          <w:szCs w:val="22"/>
          <w:lang w:eastAsia="en-US"/>
        </w:rPr>
        <w:t>нуждата от координация на транспорта</w:t>
      </w:r>
      <w:r w:rsidRPr="001B0EA3">
        <w:rPr>
          <w:szCs w:val="22"/>
          <w:lang w:eastAsia="en-US"/>
        </w:rPr>
        <w:t xml:space="preserve"> или които </w:t>
      </w:r>
      <w:r w:rsidRPr="001B0EA3">
        <w:rPr>
          <w:b/>
          <w:szCs w:val="22"/>
          <w:lang w:eastAsia="en-US"/>
        </w:rPr>
        <w:t>представляват компенсация за изпълнението</w:t>
      </w:r>
      <w:r w:rsidRPr="001B0EA3">
        <w:rPr>
          <w:szCs w:val="22"/>
          <w:lang w:eastAsia="en-US"/>
        </w:rPr>
        <w:t xml:space="preserve"> на някои задължения, които са присъщи на понятието за публична услуга.</w:t>
      </w:r>
    </w:p>
    <w:p w14:paraId="391F3008" w14:textId="77777777" w:rsidR="008B2D84" w:rsidRPr="001B0EA3" w:rsidRDefault="008B2D84" w:rsidP="00890B4B">
      <w:pPr>
        <w:pStyle w:val="ListParagraph"/>
        <w:shd w:val="clear" w:color="auto" w:fill="FFFFFF"/>
        <w:tabs>
          <w:tab w:val="left" w:pos="142"/>
        </w:tabs>
        <w:spacing w:before="120" w:after="120"/>
        <w:ind w:left="0"/>
        <w:rPr>
          <w:szCs w:val="22"/>
          <w:lang w:eastAsia="en-US"/>
        </w:rPr>
      </w:pPr>
    </w:p>
    <w:p w14:paraId="7C828030" w14:textId="77777777" w:rsidR="008B2D84" w:rsidRPr="001B0EA3" w:rsidRDefault="008B2D84" w:rsidP="00890B4B">
      <w:pPr>
        <w:pStyle w:val="ListParagraph"/>
        <w:numPr>
          <w:ilvl w:val="0"/>
          <w:numId w:val="83"/>
        </w:numPr>
        <w:shd w:val="clear" w:color="auto" w:fill="FFFFFF"/>
        <w:tabs>
          <w:tab w:val="left" w:pos="142"/>
        </w:tabs>
        <w:spacing w:before="120" w:after="120"/>
        <w:ind w:left="0" w:firstLine="0"/>
        <w:jc w:val="left"/>
        <w:rPr>
          <w:szCs w:val="22"/>
          <w:lang w:eastAsia="en-US"/>
        </w:rPr>
      </w:pPr>
      <w:r w:rsidRPr="001B0EA3">
        <w:rPr>
          <w:szCs w:val="22"/>
          <w:lang w:eastAsia="en-US"/>
        </w:rPr>
        <w:t xml:space="preserve">Съвместима ДП, попадаща в обхвата на </w:t>
      </w:r>
      <w:r w:rsidRPr="001B0EA3">
        <w:rPr>
          <w:b/>
          <w:szCs w:val="22"/>
          <w:lang w:eastAsia="en-US"/>
        </w:rPr>
        <w:t>чл. 106, параграф 2 на ДФЕС</w:t>
      </w:r>
      <w:r w:rsidRPr="001B0EA3">
        <w:rPr>
          <w:szCs w:val="22"/>
          <w:lang w:eastAsia="en-US"/>
        </w:rPr>
        <w:t>;</w:t>
      </w:r>
    </w:p>
    <w:p w14:paraId="357CB71C" w14:textId="77777777" w:rsidR="008B2D84" w:rsidRPr="001B0EA3" w:rsidRDefault="008B2D84" w:rsidP="00511860">
      <w:pPr>
        <w:ind w:firstLine="709"/>
        <w:rPr>
          <w:szCs w:val="22"/>
          <w:lang w:eastAsia="en-US"/>
        </w:rPr>
      </w:pPr>
      <w:r w:rsidRPr="001B0EA3">
        <w:rPr>
          <w:szCs w:val="22"/>
          <w:lang w:eastAsia="en-US"/>
        </w:rPr>
        <w:t xml:space="preserve">Предприятията, които са натоварени с функцията да оказват </w:t>
      </w:r>
      <w:r w:rsidRPr="001B0EA3">
        <w:rPr>
          <w:b/>
          <w:szCs w:val="22"/>
          <w:lang w:eastAsia="en-US"/>
        </w:rPr>
        <w:t>УОИИ</w:t>
      </w:r>
      <w:r w:rsidRPr="001B0EA3">
        <w:rPr>
          <w:szCs w:val="22"/>
          <w:lang w:eastAsia="en-US"/>
        </w:rPr>
        <w:t xml:space="preserve"> или които имат характер на фискален монопол, се подчиняват на разпоредбите, съдържащи се в Договорите, и в частност на правилата на конкуренцията, доколкото прилагането на тези правила не препятства юридически или фактически изпълнението на специфичните задачи, които са им възложени. Развитието на търговията не трябва да се засяга до степен, която би била в противоречие с интересите на ЕС.</w:t>
      </w:r>
    </w:p>
    <w:p w14:paraId="0C8988D0" w14:textId="77777777" w:rsidR="008B2D84" w:rsidRPr="001B0EA3" w:rsidRDefault="008B2D84" w:rsidP="00511860">
      <w:pPr>
        <w:rPr>
          <w:szCs w:val="22"/>
          <w:lang w:eastAsia="en-US"/>
        </w:rPr>
      </w:pPr>
    </w:p>
    <w:p w14:paraId="13524CA9" w14:textId="77777777" w:rsidR="008B2D84" w:rsidRPr="001B0EA3" w:rsidRDefault="008B2D84" w:rsidP="00511860">
      <w:pPr>
        <w:ind w:firstLine="709"/>
        <w:rPr>
          <w:szCs w:val="22"/>
          <w:lang w:eastAsia="en-US"/>
        </w:rPr>
      </w:pPr>
      <w:r w:rsidRPr="001B0EA3">
        <w:rPr>
          <w:szCs w:val="22"/>
          <w:lang w:eastAsia="en-US"/>
        </w:rPr>
        <w:t>Прилагането на чл. 106, параграф 2 на ДФЕС е уредена по изричен начин чрез разпоредби в Решение за УОИИ , Рамка за УОИИ  и в частност Регламент 1370/2007. В този смисъл, едва след като се установи, че мярката  не може да попадне в обхвата на никой от тези актове на ЕК, следва същата да бъде нотифицирана пред ЕК директно по чл. 1061 параграф 2 от ДФЕС.</w:t>
      </w:r>
    </w:p>
    <w:p w14:paraId="5753B29B" w14:textId="77777777" w:rsidR="008B2D84" w:rsidRPr="001B0EA3" w:rsidRDefault="008B2D84" w:rsidP="00511860">
      <w:pPr>
        <w:rPr>
          <w:szCs w:val="22"/>
          <w:lang w:eastAsia="en-US"/>
        </w:rPr>
      </w:pPr>
    </w:p>
    <w:p w14:paraId="40F7BB87" w14:textId="77777777" w:rsidR="008B2D84" w:rsidRPr="00842ECC" w:rsidRDefault="008B2D84" w:rsidP="00ED358C">
      <w:pPr>
        <w:pStyle w:val="Style3"/>
        <w:rPr>
          <w:lang w:val="bg-BG" w:eastAsia="en-US"/>
        </w:rPr>
      </w:pPr>
      <w:bookmarkStart w:id="342" w:name="_Toc479775581"/>
      <w:r w:rsidRPr="00842ECC">
        <w:rPr>
          <w:lang w:val="bg-BG" w:eastAsia="en-US"/>
        </w:rPr>
        <w:t>Проверка за определяне на приложим режим на съвместими с вътрешния пазар ДП</w:t>
      </w:r>
      <w:r w:rsidRPr="00842ECC">
        <w:rPr>
          <w:rFonts w:ascii="Calibri" w:hAnsi="Calibri"/>
          <w:lang w:val="bg-BG" w:eastAsia="en-US"/>
        </w:rPr>
        <w:t xml:space="preserve"> </w:t>
      </w:r>
      <w:r w:rsidRPr="00842ECC">
        <w:rPr>
          <w:lang w:val="bg-BG" w:eastAsia="en-US"/>
        </w:rPr>
        <w:t>(фиг.2.10)</w:t>
      </w:r>
      <w:bookmarkEnd w:id="342"/>
    </w:p>
    <w:p w14:paraId="7AE1EE00" w14:textId="77777777" w:rsidR="00D15D94" w:rsidRPr="00D15D94" w:rsidRDefault="00D15D94" w:rsidP="00D15D94"/>
    <w:p w14:paraId="48746C89" w14:textId="77777777" w:rsidR="00D15D94" w:rsidRPr="001E404B" w:rsidRDefault="00D15D94" w:rsidP="001E404B">
      <w:pPr>
        <w:ind w:firstLine="709"/>
        <w:rPr>
          <w:szCs w:val="22"/>
          <w:lang w:eastAsia="en-US"/>
        </w:rPr>
      </w:pPr>
      <w:r w:rsidRPr="001E404B">
        <w:rPr>
          <w:szCs w:val="22"/>
          <w:lang w:eastAsia="en-US"/>
        </w:rPr>
        <w:t>В глава пета на ЗДП са определени два основни вида държанни помощи – такива, за които се изисква уведомяване на ЕК (</w:t>
      </w:r>
      <w:r w:rsidRPr="001E404B">
        <w:rPr>
          <w:i/>
          <w:szCs w:val="22"/>
          <w:lang w:eastAsia="en-US"/>
        </w:rPr>
        <w:t>чл. 21 от ЗДП</w:t>
      </w:r>
      <w:r w:rsidRPr="001E404B">
        <w:rPr>
          <w:szCs w:val="22"/>
          <w:lang w:eastAsia="en-US"/>
        </w:rPr>
        <w:t>) и държавни помощи, за които не се изисква уведомяване на ЕК (</w:t>
      </w:r>
      <w:r w:rsidRPr="001E404B">
        <w:rPr>
          <w:i/>
          <w:szCs w:val="22"/>
          <w:lang w:eastAsia="en-US"/>
        </w:rPr>
        <w:t>чл. 26 от ЗДП</w:t>
      </w:r>
      <w:r w:rsidRPr="001E404B">
        <w:rPr>
          <w:szCs w:val="22"/>
          <w:lang w:eastAsia="en-US"/>
        </w:rPr>
        <w:t>).</w:t>
      </w:r>
    </w:p>
    <w:p w14:paraId="3574AB65" w14:textId="77777777" w:rsidR="00D15D94" w:rsidRPr="00D15D94" w:rsidRDefault="00D15D94" w:rsidP="00D15D94"/>
    <w:p w14:paraId="57E0238C" w14:textId="77777777" w:rsidR="008B2D84" w:rsidRPr="00842ECC" w:rsidRDefault="008B2D84" w:rsidP="00D8216B">
      <w:pPr>
        <w:pStyle w:val="Style4"/>
        <w:rPr>
          <w:lang w:val="bg-BG" w:eastAsia="en-US"/>
        </w:rPr>
      </w:pPr>
      <w:bookmarkStart w:id="343" w:name="_Toc425170737"/>
      <w:bookmarkStart w:id="344" w:name="_Toc479775582"/>
      <w:r w:rsidRPr="00842ECC">
        <w:rPr>
          <w:lang w:val="bg-BG" w:eastAsia="en-US"/>
        </w:rPr>
        <w:t xml:space="preserve">Минимална помощ (помощ </w:t>
      </w:r>
      <w:r w:rsidRPr="00737E35">
        <w:rPr>
          <w:i/>
          <w:lang w:eastAsia="en-US"/>
        </w:rPr>
        <w:t>de</w:t>
      </w:r>
      <w:r w:rsidRPr="00842ECC">
        <w:rPr>
          <w:i/>
          <w:lang w:val="bg-BG" w:eastAsia="en-US"/>
        </w:rPr>
        <w:t xml:space="preserve"> </w:t>
      </w:r>
      <w:r w:rsidRPr="00737E35">
        <w:rPr>
          <w:i/>
          <w:lang w:eastAsia="en-US"/>
        </w:rPr>
        <w:t>minimis</w:t>
      </w:r>
      <w:r w:rsidRPr="00842ECC">
        <w:rPr>
          <w:lang w:val="bg-BG" w:eastAsia="en-US"/>
        </w:rPr>
        <w:t xml:space="preserve">) - Регламент № 1407/2013 </w:t>
      </w:r>
      <w:r w:rsidRPr="00737E35">
        <w:rPr>
          <w:vertAlign w:val="superscript"/>
          <w:lang w:eastAsia="en-US"/>
        </w:rPr>
        <w:footnoteReference w:id="15"/>
      </w:r>
      <w:r w:rsidR="00D8216B" w:rsidRPr="00737E35">
        <w:rPr>
          <w:lang w:val="bg-BG" w:eastAsia="en-US"/>
        </w:rPr>
        <w:t xml:space="preserve"> </w:t>
      </w:r>
      <w:r w:rsidR="007B4916" w:rsidRPr="00842ECC">
        <w:rPr>
          <w:szCs w:val="22"/>
          <w:lang w:val="bg-BG" w:eastAsia="en-US"/>
        </w:rPr>
        <w:t>и Регламент (ЕС) 360/2012</w:t>
      </w:r>
      <w:r w:rsidR="007B4916" w:rsidRPr="001E404B">
        <w:rPr>
          <w:szCs w:val="22"/>
          <w:vertAlign w:val="superscript"/>
          <w:lang w:eastAsia="en-US"/>
        </w:rPr>
        <w:footnoteReference w:id="16"/>
      </w:r>
      <w:r w:rsidR="007B4916" w:rsidRPr="00842ECC">
        <w:rPr>
          <w:szCs w:val="22"/>
          <w:lang w:val="bg-BG" w:eastAsia="en-US"/>
        </w:rPr>
        <w:t>;</w:t>
      </w:r>
      <w:bookmarkEnd w:id="343"/>
      <w:bookmarkEnd w:id="344"/>
      <w:r w:rsidRPr="00842ECC">
        <w:rPr>
          <w:lang w:val="bg-BG" w:eastAsia="en-US"/>
        </w:rPr>
        <w:t xml:space="preserve"> </w:t>
      </w:r>
    </w:p>
    <w:p w14:paraId="4CC0943D" w14:textId="77777777" w:rsidR="008B2D84" w:rsidRDefault="008B2D84" w:rsidP="00511860">
      <w:pPr>
        <w:spacing w:beforeLines="60" w:before="144" w:afterLines="60" w:after="144"/>
        <w:rPr>
          <w:szCs w:val="22"/>
          <w:lang w:eastAsia="en-US"/>
        </w:rPr>
      </w:pPr>
      <w:r w:rsidRPr="001B0EA3">
        <w:rPr>
          <w:szCs w:val="22"/>
          <w:lang w:eastAsia="en-US"/>
        </w:rPr>
        <w:lastRenderedPageBreak/>
        <w:t xml:space="preserve">Приема се, че мерките за помощ, които не отговарят на всички критерии по член 107, параграф 1 от Договора и следователно са освободени от изискването за уведомяване по член 108, параграф 3 от Договора, ако изпълняват следните условията за минимална помощ: </w:t>
      </w:r>
    </w:p>
    <w:p w14:paraId="1303D4F6" w14:textId="77777777" w:rsidR="00D8216B" w:rsidRPr="00EB0541" w:rsidRDefault="00D8216B" w:rsidP="00D8216B">
      <w:pPr>
        <w:spacing w:beforeLines="60" w:before="144" w:afterLines="60" w:after="144"/>
        <w:rPr>
          <w:szCs w:val="22"/>
          <w:lang w:eastAsia="en-US"/>
        </w:rPr>
      </w:pPr>
      <w:r w:rsidRPr="004A5237">
        <w:rPr>
          <w:b/>
          <w:i/>
          <w:szCs w:val="22"/>
          <w:lang w:eastAsia="en-US"/>
        </w:rPr>
        <w:t>Минимална помощ по Регламент (ЕС) № 1407/2013</w:t>
      </w:r>
    </w:p>
    <w:p w14:paraId="150D8AF5" w14:textId="77777777" w:rsidR="008B2D84" w:rsidRPr="001B0EA3" w:rsidRDefault="00D8216B" w:rsidP="00D8216B">
      <w:pPr>
        <w:numPr>
          <w:ilvl w:val="0"/>
          <w:numId w:val="83"/>
        </w:numPr>
        <w:tabs>
          <w:tab w:val="left" w:pos="1134"/>
        </w:tabs>
        <w:autoSpaceDE w:val="0"/>
        <w:autoSpaceDN w:val="0"/>
        <w:adjustRightInd w:val="0"/>
        <w:ind w:left="0" w:firstLine="851"/>
        <w:rPr>
          <w:szCs w:val="22"/>
          <w:lang w:eastAsia="en-US"/>
        </w:rPr>
      </w:pPr>
      <w:r w:rsidRPr="00D8216B">
        <w:rPr>
          <w:szCs w:val="22"/>
          <w:lang w:eastAsia="en-US"/>
        </w:rPr>
        <w:t xml:space="preserve">Общият размер на минималната помощ, предоставена на всяко едно предприятие, предоставящо услуги от общ икономически интерес, не може да надхвърля 500 000 EUR за период от три данъчни години. </w:t>
      </w:r>
      <w:r w:rsidR="008B2D84" w:rsidRPr="001B0EA3">
        <w:rPr>
          <w:szCs w:val="22"/>
          <w:lang w:eastAsia="en-US"/>
        </w:rPr>
        <w:t xml:space="preserve">Общият размер на помощта </w:t>
      </w:r>
      <w:r w:rsidR="008B2D84" w:rsidRPr="001B0EA3">
        <w:rPr>
          <w:i/>
          <w:szCs w:val="22"/>
          <w:lang w:eastAsia="en-US"/>
        </w:rPr>
        <w:t>de minimis</w:t>
      </w:r>
      <w:r w:rsidR="008B2D84" w:rsidRPr="001B0EA3">
        <w:rPr>
          <w:szCs w:val="22"/>
          <w:lang w:eastAsia="en-US"/>
        </w:rPr>
        <w:t xml:space="preserve">, предоставяна във всяка държава членка на едно и също предприятие, </w:t>
      </w:r>
      <w:r w:rsidR="008B2D84" w:rsidRPr="001B0EA3">
        <w:rPr>
          <w:b/>
          <w:szCs w:val="22"/>
          <w:lang w:eastAsia="en-US"/>
        </w:rPr>
        <w:t>не надхвърля 200 000 EUR</w:t>
      </w:r>
      <w:r w:rsidR="008B2D84" w:rsidRPr="001B0EA3">
        <w:rPr>
          <w:szCs w:val="22"/>
          <w:lang w:eastAsia="en-US"/>
        </w:rPr>
        <w:t xml:space="preserve"> за период </w:t>
      </w:r>
      <w:r w:rsidR="008B2D84" w:rsidRPr="001B0EA3">
        <w:rPr>
          <w:b/>
          <w:szCs w:val="22"/>
          <w:lang w:eastAsia="en-US"/>
        </w:rPr>
        <w:t>от три бюджетни години</w:t>
      </w:r>
      <w:r w:rsidR="008B2D84" w:rsidRPr="001B0EA3">
        <w:rPr>
          <w:szCs w:val="22"/>
          <w:lang w:eastAsia="en-US"/>
        </w:rPr>
        <w:t xml:space="preserve">. </w:t>
      </w:r>
      <w:r w:rsidR="008B2D84" w:rsidRPr="001B0EA3">
        <w:rPr>
          <w:szCs w:val="24"/>
          <w:lang w:eastAsia="bg-BG"/>
        </w:rPr>
        <w:t>Общият</w:t>
      </w:r>
      <w:r w:rsidR="008B2D84" w:rsidRPr="001B0EA3">
        <w:rPr>
          <w:szCs w:val="22"/>
          <w:lang w:eastAsia="en-US"/>
        </w:rPr>
        <w:t xml:space="preserve"> размер на помощта </w:t>
      </w:r>
      <w:r w:rsidR="008B2D84" w:rsidRPr="001B0EA3">
        <w:rPr>
          <w:i/>
          <w:szCs w:val="22"/>
          <w:lang w:eastAsia="en-US"/>
        </w:rPr>
        <w:t>de minimis</w:t>
      </w:r>
      <w:r w:rsidR="008B2D84" w:rsidRPr="001B0EA3">
        <w:rPr>
          <w:szCs w:val="22"/>
          <w:lang w:eastAsia="en-US"/>
        </w:rPr>
        <w:t xml:space="preserve">, предоставяна във всяка държава членка на едно и също предприятие, което осъществява сухопътни товарни превози за чужда сметка или срещу възнаграждение, не надхвърля 100 000 EUR за период от три бюджетни години. Тази помощ </w:t>
      </w:r>
      <w:r w:rsidR="008B2D84" w:rsidRPr="001B0EA3">
        <w:rPr>
          <w:i/>
          <w:szCs w:val="22"/>
          <w:lang w:eastAsia="en-US"/>
        </w:rPr>
        <w:t>de minimis</w:t>
      </w:r>
      <w:r w:rsidR="008B2D84" w:rsidRPr="001B0EA3">
        <w:rPr>
          <w:szCs w:val="22"/>
          <w:lang w:eastAsia="en-US"/>
        </w:rPr>
        <w:t xml:space="preserve"> не се използва за придобиването на товарни автомобили за сухопътен транспорт. </w:t>
      </w:r>
    </w:p>
    <w:p w14:paraId="43988536" w14:textId="77777777" w:rsidR="008B2D84" w:rsidRDefault="008B2D84" w:rsidP="0054623A">
      <w:pPr>
        <w:numPr>
          <w:ilvl w:val="0"/>
          <w:numId w:val="83"/>
        </w:numPr>
        <w:tabs>
          <w:tab w:val="left" w:pos="567"/>
          <w:tab w:val="left" w:pos="1134"/>
          <w:tab w:val="left" w:pos="2552"/>
        </w:tabs>
        <w:autoSpaceDE w:val="0"/>
        <w:autoSpaceDN w:val="0"/>
        <w:adjustRightInd w:val="0"/>
        <w:ind w:left="0" w:firstLine="851"/>
        <w:rPr>
          <w:szCs w:val="22"/>
          <w:lang w:eastAsia="en-US"/>
        </w:rPr>
      </w:pPr>
      <w:r w:rsidRPr="001B0EA3">
        <w:rPr>
          <w:szCs w:val="22"/>
          <w:lang w:eastAsia="en-US"/>
        </w:rPr>
        <w:t xml:space="preserve">Ако дадено предприятие изпълнява сухопътни товарни превози за чужда сметка или срещу възнаграждение, както и ако извършва други дейности, за които се прилага таванът от 200 000 EUR, таванът от 200 000 EUR се прилага за предприятието, при условие че съответната държава членка </w:t>
      </w:r>
      <w:r w:rsidRPr="001B0EA3">
        <w:rPr>
          <w:szCs w:val="24"/>
          <w:lang w:eastAsia="bg-BG"/>
        </w:rPr>
        <w:t>гарантира</w:t>
      </w:r>
      <w:r w:rsidRPr="001B0EA3">
        <w:rPr>
          <w:szCs w:val="22"/>
          <w:lang w:eastAsia="en-US"/>
        </w:rPr>
        <w:t xml:space="preserve"> посредством подходящи средства, като например отделяне на дейностите или разграничаване на разходите, че помощите за дейността по сухопътни товарни превози не надвишават 100 000 EUR и че помощите de minimis не се използват за придобиване на товарни автомобили.</w:t>
      </w:r>
    </w:p>
    <w:p w14:paraId="4D3B48E6" w14:textId="77777777" w:rsidR="00D8216B" w:rsidRPr="001B0EA3" w:rsidRDefault="00D8216B" w:rsidP="00D8216B">
      <w:pPr>
        <w:tabs>
          <w:tab w:val="left" w:pos="567"/>
          <w:tab w:val="left" w:pos="1134"/>
          <w:tab w:val="left" w:pos="2552"/>
        </w:tabs>
        <w:autoSpaceDE w:val="0"/>
        <w:autoSpaceDN w:val="0"/>
        <w:adjustRightInd w:val="0"/>
        <w:rPr>
          <w:szCs w:val="22"/>
          <w:lang w:eastAsia="en-US"/>
        </w:rPr>
      </w:pPr>
    </w:p>
    <w:p w14:paraId="7668890D" w14:textId="77777777" w:rsidR="007B4916" w:rsidRPr="00842ECC" w:rsidRDefault="007B4916" w:rsidP="007B4916">
      <w:pPr>
        <w:tabs>
          <w:tab w:val="left" w:pos="567"/>
          <w:tab w:val="left" w:pos="1134"/>
          <w:tab w:val="left" w:pos="2552"/>
        </w:tabs>
        <w:autoSpaceDE w:val="0"/>
        <w:autoSpaceDN w:val="0"/>
        <w:adjustRightInd w:val="0"/>
        <w:rPr>
          <w:b/>
          <w:i/>
          <w:szCs w:val="22"/>
          <w:lang w:eastAsia="en-US"/>
        </w:rPr>
      </w:pPr>
      <w:r w:rsidRPr="004A5237">
        <w:rPr>
          <w:b/>
          <w:i/>
          <w:szCs w:val="22"/>
          <w:lang w:eastAsia="en-US"/>
        </w:rPr>
        <w:t>Минимална помощ по Регламент (ЕС) № 360/201</w:t>
      </w:r>
      <w:r w:rsidRPr="00CB0585">
        <w:rPr>
          <w:b/>
          <w:i/>
          <w:szCs w:val="22"/>
          <w:lang w:eastAsia="en-US"/>
        </w:rPr>
        <w:t xml:space="preserve">2 </w:t>
      </w:r>
      <w:r w:rsidR="00CB0585" w:rsidRPr="00842ECC">
        <w:rPr>
          <w:rFonts w:ascii="Times New Roman Bold" w:hAnsi="Times New Roman Bold"/>
          <w:b/>
          <w:i/>
          <w:szCs w:val="22"/>
          <w:vertAlign w:val="superscript"/>
          <w:lang w:eastAsia="en-US"/>
        </w:rPr>
        <w:t>16</w:t>
      </w:r>
    </w:p>
    <w:p w14:paraId="235EAE56" w14:textId="77777777" w:rsidR="007B4916" w:rsidRDefault="007B4916" w:rsidP="007B4916">
      <w:pPr>
        <w:numPr>
          <w:ilvl w:val="0"/>
          <w:numId w:val="83"/>
        </w:numPr>
        <w:tabs>
          <w:tab w:val="left" w:pos="1134"/>
        </w:tabs>
        <w:autoSpaceDE w:val="0"/>
        <w:autoSpaceDN w:val="0"/>
        <w:adjustRightInd w:val="0"/>
        <w:ind w:left="0" w:firstLine="851"/>
        <w:rPr>
          <w:szCs w:val="22"/>
          <w:lang w:eastAsia="en-US"/>
        </w:rPr>
      </w:pPr>
      <w:r w:rsidRPr="004A5237">
        <w:rPr>
          <w:szCs w:val="22"/>
          <w:lang w:eastAsia="en-US"/>
        </w:rPr>
        <w:t xml:space="preserve">Общият размер на минималната помощ, предоставена на всяко едно предприятие, предоставящо </w:t>
      </w:r>
      <w:r w:rsidRPr="004A5237">
        <w:rPr>
          <w:b/>
          <w:szCs w:val="22"/>
          <w:lang w:eastAsia="en-US"/>
        </w:rPr>
        <w:t>услуги от общ икономически интерес</w:t>
      </w:r>
      <w:r w:rsidRPr="004A5237">
        <w:rPr>
          <w:szCs w:val="22"/>
          <w:lang w:eastAsia="en-US"/>
        </w:rPr>
        <w:t>, не може да надхвърля 500 000 EUR за период от три данъчни години.</w:t>
      </w:r>
      <w:r>
        <w:rPr>
          <w:szCs w:val="22"/>
          <w:lang w:eastAsia="en-US"/>
        </w:rPr>
        <w:t xml:space="preserve"> </w:t>
      </w:r>
      <w:r w:rsidRPr="009953DC">
        <w:rPr>
          <w:szCs w:val="22"/>
          <w:lang w:eastAsia="en-US"/>
        </w:rPr>
        <w:t>Този таван се прилага независимо от формата на минималната помощ и независимо от това дали предоставената от държавата членка помощ се финансира изцяло или частично с ресурси, произхождащи от Съюза. Периодът се определя на база данъчните години, използвани от предприятието в съответната държава членка.</w:t>
      </w:r>
    </w:p>
    <w:p w14:paraId="0252E167" w14:textId="77777777" w:rsidR="008B2D84" w:rsidRPr="001B0EA3" w:rsidRDefault="008B2D84" w:rsidP="00511860">
      <w:pPr>
        <w:tabs>
          <w:tab w:val="left" w:pos="567"/>
          <w:tab w:val="left" w:pos="1134"/>
          <w:tab w:val="left" w:pos="2552"/>
        </w:tabs>
        <w:autoSpaceDE w:val="0"/>
        <w:autoSpaceDN w:val="0"/>
        <w:adjustRightInd w:val="0"/>
        <w:rPr>
          <w:szCs w:val="22"/>
          <w:lang w:eastAsia="en-US"/>
        </w:rPr>
      </w:pPr>
    </w:p>
    <w:p w14:paraId="409DDCD2" w14:textId="77777777" w:rsidR="0015604B" w:rsidRPr="001B0EA3" w:rsidRDefault="008B2D84" w:rsidP="00D8216B">
      <w:pPr>
        <w:autoSpaceDE w:val="0"/>
        <w:autoSpaceDN w:val="0"/>
        <w:adjustRightInd w:val="0"/>
        <w:rPr>
          <w:szCs w:val="22"/>
          <w:lang w:eastAsia="en-US"/>
        </w:rPr>
      </w:pPr>
      <w:r w:rsidRPr="001B0EA3">
        <w:rPr>
          <w:szCs w:val="22"/>
          <w:lang w:eastAsia="en-US"/>
        </w:rPr>
        <w:t>При съгласуване прилагането на този режим с МФ</w:t>
      </w:r>
      <w:r w:rsidRPr="001B0EA3">
        <w:rPr>
          <w:b/>
          <w:szCs w:val="22"/>
          <w:lang w:eastAsia="en-US"/>
        </w:rPr>
        <w:t xml:space="preserve"> </w:t>
      </w:r>
      <w:r w:rsidRPr="001B0EA3">
        <w:rPr>
          <w:szCs w:val="22"/>
          <w:lang w:eastAsia="en-US"/>
        </w:rPr>
        <w:t xml:space="preserve">се прилагат процедурите </w:t>
      </w:r>
      <w:r w:rsidRPr="001B0EA3">
        <w:rPr>
          <w:b/>
          <w:szCs w:val="22"/>
          <w:lang w:eastAsia="en-US"/>
        </w:rPr>
        <w:t xml:space="preserve">по чл. </w:t>
      </w:r>
      <w:r w:rsidR="00D8216B">
        <w:rPr>
          <w:b/>
          <w:szCs w:val="22"/>
          <w:lang w:eastAsia="en-US"/>
        </w:rPr>
        <w:t>32</w:t>
      </w:r>
      <w:r w:rsidRPr="001B0EA3">
        <w:rPr>
          <w:b/>
          <w:szCs w:val="22"/>
          <w:lang w:eastAsia="en-US"/>
        </w:rPr>
        <w:t xml:space="preserve">. от </w:t>
      </w:r>
      <w:r w:rsidR="00D8216B" w:rsidRPr="00D8216B">
        <w:rPr>
          <w:b/>
          <w:szCs w:val="22"/>
          <w:lang w:eastAsia="en-US"/>
        </w:rPr>
        <w:t xml:space="preserve">ЗДП и чл. 9. от ПП </w:t>
      </w:r>
      <w:r w:rsidRPr="001B0EA3">
        <w:rPr>
          <w:b/>
          <w:szCs w:val="22"/>
          <w:lang w:eastAsia="en-US"/>
        </w:rPr>
        <w:t>ЗДП</w:t>
      </w:r>
      <w:r w:rsidRPr="001B0EA3">
        <w:rPr>
          <w:szCs w:val="22"/>
          <w:lang w:eastAsia="en-US"/>
        </w:rPr>
        <w:t>.</w:t>
      </w:r>
      <w:r w:rsidR="00D603F5" w:rsidRPr="001B0EA3">
        <w:rPr>
          <w:szCs w:val="22"/>
          <w:lang w:eastAsia="en-US"/>
        </w:rPr>
        <w:t xml:space="preserve"> </w:t>
      </w:r>
    </w:p>
    <w:p w14:paraId="032D4B2C" w14:textId="77777777" w:rsidR="00D8216B" w:rsidRDefault="00D8216B" w:rsidP="001E404B">
      <w:pPr>
        <w:tabs>
          <w:tab w:val="left" w:pos="1134"/>
        </w:tabs>
        <w:autoSpaceDE w:val="0"/>
        <w:autoSpaceDN w:val="0"/>
        <w:adjustRightInd w:val="0"/>
        <w:ind w:left="851"/>
        <w:rPr>
          <w:szCs w:val="22"/>
          <w:lang w:eastAsia="en-US"/>
        </w:rPr>
      </w:pPr>
    </w:p>
    <w:p w14:paraId="7BA98A28" w14:textId="77777777" w:rsidR="007B4916" w:rsidRDefault="007B4916" w:rsidP="001E404B">
      <w:pPr>
        <w:tabs>
          <w:tab w:val="left" w:pos="1134"/>
        </w:tabs>
        <w:autoSpaceDE w:val="0"/>
        <w:autoSpaceDN w:val="0"/>
        <w:adjustRightInd w:val="0"/>
        <w:ind w:left="851"/>
        <w:rPr>
          <w:szCs w:val="22"/>
          <w:lang w:eastAsia="en-US"/>
        </w:rPr>
      </w:pPr>
    </w:p>
    <w:p w14:paraId="3226230F" w14:textId="77777777" w:rsidR="007B4916" w:rsidRDefault="007B4916" w:rsidP="001E404B">
      <w:pPr>
        <w:tabs>
          <w:tab w:val="left" w:pos="1134"/>
        </w:tabs>
        <w:autoSpaceDE w:val="0"/>
        <w:autoSpaceDN w:val="0"/>
        <w:adjustRightInd w:val="0"/>
        <w:ind w:left="851"/>
        <w:rPr>
          <w:szCs w:val="22"/>
          <w:lang w:eastAsia="en-US"/>
        </w:rPr>
      </w:pPr>
    </w:p>
    <w:p w14:paraId="7C1BD109" w14:textId="77777777" w:rsidR="00020DA9" w:rsidRDefault="00020DA9">
      <w:pPr>
        <w:ind w:firstLine="0"/>
        <w:jc w:val="left"/>
        <w:rPr>
          <w:szCs w:val="22"/>
          <w:lang w:eastAsia="en-US"/>
        </w:rPr>
      </w:pPr>
      <w:r>
        <w:rPr>
          <w:szCs w:val="22"/>
          <w:lang w:eastAsia="en-US"/>
        </w:rPr>
        <w:br w:type="page"/>
      </w:r>
    </w:p>
    <w:p w14:paraId="522F3743" w14:textId="77777777" w:rsidR="007B4916" w:rsidRDefault="007B4916" w:rsidP="001E404B">
      <w:pPr>
        <w:tabs>
          <w:tab w:val="left" w:pos="1134"/>
        </w:tabs>
        <w:autoSpaceDE w:val="0"/>
        <w:autoSpaceDN w:val="0"/>
        <w:adjustRightInd w:val="0"/>
        <w:ind w:left="851"/>
        <w:rPr>
          <w:szCs w:val="22"/>
          <w:lang w:eastAsia="en-US"/>
        </w:rPr>
      </w:pPr>
    </w:p>
    <w:p w14:paraId="7867DBE1" w14:textId="77777777" w:rsidR="00D603F5" w:rsidRPr="001B0EA3" w:rsidRDefault="00D603F5" w:rsidP="00511860">
      <w:pPr>
        <w:tabs>
          <w:tab w:val="left" w:pos="567"/>
          <w:tab w:val="left" w:pos="1134"/>
          <w:tab w:val="left" w:pos="2552"/>
        </w:tabs>
        <w:autoSpaceDE w:val="0"/>
        <w:autoSpaceDN w:val="0"/>
        <w:adjustRightInd w:val="0"/>
        <w:rPr>
          <w:szCs w:val="22"/>
          <w:lang w:eastAsia="en-US"/>
        </w:rPr>
      </w:pPr>
      <w:r w:rsidRPr="001B0EA3">
        <w:rPr>
          <w:szCs w:val="22"/>
          <w:lang w:eastAsia="en-US"/>
        </w:rPr>
        <w:t xml:space="preserve">Фиг. 2.10. Алгоритъм за проверка </w:t>
      </w:r>
      <w:r w:rsidR="008B2D84" w:rsidRPr="001B0EA3">
        <w:rPr>
          <w:szCs w:val="22"/>
          <w:lang w:eastAsia="en-US"/>
        </w:rPr>
        <w:t xml:space="preserve">за определяне на приложим режим </w:t>
      </w:r>
      <w:r w:rsidRPr="001B0EA3">
        <w:rPr>
          <w:szCs w:val="22"/>
          <w:lang w:eastAsia="en-US"/>
        </w:rPr>
        <w:t>на съвместимост на ДП с вътрешния пазар</w:t>
      </w:r>
    </w:p>
    <w:p w14:paraId="436B3F13" w14:textId="77777777" w:rsidR="00010D15" w:rsidRPr="001B0EA3" w:rsidRDefault="00010D15" w:rsidP="00511860">
      <w:pPr>
        <w:tabs>
          <w:tab w:val="left" w:pos="567"/>
          <w:tab w:val="left" w:pos="1134"/>
          <w:tab w:val="left" w:pos="2552"/>
        </w:tabs>
        <w:autoSpaceDE w:val="0"/>
        <w:autoSpaceDN w:val="0"/>
        <w:adjustRightInd w:val="0"/>
        <w:rPr>
          <w:szCs w:val="22"/>
          <w:lang w:eastAsia="en-US"/>
        </w:rPr>
      </w:pPr>
    </w:p>
    <w:p w14:paraId="045F8AF5" w14:textId="77777777" w:rsidR="00D603F5" w:rsidRPr="001B0EA3" w:rsidRDefault="00937754" w:rsidP="00D83422">
      <w:pPr>
        <w:ind w:firstLine="0"/>
        <w:rPr>
          <w:szCs w:val="22"/>
          <w:lang w:eastAsia="en-US"/>
        </w:rPr>
      </w:pPr>
      <w:r w:rsidRPr="001B0EA3">
        <w:rPr>
          <w:noProof/>
          <w:lang w:eastAsia="bg-BG"/>
        </w:rPr>
        <mc:AlternateContent>
          <mc:Choice Requires="wpg">
            <w:drawing>
              <wp:inline distT="0" distB="0" distL="0" distR="0" wp14:anchorId="0525909B" wp14:editId="0D294428">
                <wp:extent cx="6471920" cy="5876290"/>
                <wp:effectExtent l="0" t="0" r="24130" b="48260"/>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1920" cy="5876290"/>
                          <a:chOff x="0" y="0"/>
                          <a:chExt cx="6942514" cy="5876261"/>
                        </a:xfrm>
                      </wpg:grpSpPr>
                      <wps:wsp>
                        <wps:cNvPr id="239" name="AutoShape 365"/>
                        <wps:cNvSpPr>
                          <a:spLocks noChangeArrowheads="1"/>
                        </wps:cNvSpPr>
                        <wps:spPr bwMode="auto">
                          <a:xfrm>
                            <a:off x="42531" y="5571461"/>
                            <a:ext cx="3476625" cy="304800"/>
                          </a:xfrm>
                          <a:prstGeom prst="flowChart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6F00B56D" w14:textId="77777777" w:rsidR="004E3164" w:rsidRPr="00F12C17" w:rsidRDefault="004E3164" w:rsidP="00D83422">
                              <w:pPr>
                                <w:ind w:firstLine="0"/>
                                <w:jc w:val="center"/>
                                <w:rPr>
                                  <w:b/>
                                  <w:color w:val="FF0000"/>
                                </w:rPr>
                              </w:pPr>
                              <w:r w:rsidRPr="00F12C17">
                                <w:rPr>
                                  <w:b/>
                                  <w:color w:val="FF0000"/>
                                  <w:szCs w:val="24"/>
                                </w:rPr>
                                <w:t xml:space="preserve">Несъвместима ДП </w:t>
                              </w:r>
                            </w:p>
                          </w:txbxContent>
                        </wps:txbx>
                        <wps:bodyPr rot="0" vert="horz" wrap="square" lIns="91440" tIns="45720" rIns="91440" bIns="45720" anchor="t" anchorCtr="0" upright="1">
                          <a:noAutofit/>
                        </wps:bodyPr>
                      </wps:wsp>
                      <wps:wsp>
                        <wps:cNvPr id="240" name="AutoShape 326"/>
                        <wps:cNvSpPr>
                          <a:spLocks noChangeArrowheads="1"/>
                        </wps:cNvSpPr>
                        <wps:spPr bwMode="auto">
                          <a:xfrm>
                            <a:off x="42531" y="4391247"/>
                            <a:ext cx="3476625" cy="424815"/>
                          </a:xfrm>
                          <a:prstGeom prst="flowChart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0478CCA4" w14:textId="77777777" w:rsidR="004E3164" w:rsidRPr="00B80E14" w:rsidRDefault="004E3164" w:rsidP="00D83422">
                              <w:pPr>
                                <w:ind w:firstLine="0"/>
                                <w:jc w:val="center"/>
                                <w:rPr>
                                  <w:sz w:val="20"/>
                                </w:rPr>
                              </w:pPr>
                              <w:r w:rsidRPr="00B80E14">
                                <w:rPr>
                                  <w:sz w:val="20"/>
                                </w:rPr>
                                <w:t>ДП, подлежаща на уведомление (нотификация) до ЕК</w:t>
                              </w:r>
                            </w:p>
                            <w:p w14:paraId="294F514C" w14:textId="77777777" w:rsidR="004E3164" w:rsidRPr="00B80E14" w:rsidRDefault="004E3164" w:rsidP="00D83422">
                              <w:pPr>
                                <w:ind w:firstLine="0"/>
                                <w:jc w:val="center"/>
                                <w:rPr>
                                  <w:sz w:val="20"/>
                                </w:rPr>
                              </w:pPr>
                            </w:p>
                          </w:txbxContent>
                        </wps:txbx>
                        <wps:bodyPr rot="0" vert="horz" wrap="square" lIns="91440" tIns="45720" rIns="91440" bIns="45720" anchor="t" anchorCtr="0" upright="1">
                          <a:noAutofit/>
                        </wps:bodyPr>
                      </wps:wsp>
                      <wps:wsp>
                        <wps:cNvPr id="241" name="AutoShape 308"/>
                        <wps:cNvSpPr>
                          <a:spLocks noChangeArrowheads="1"/>
                        </wps:cNvSpPr>
                        <wps:spPr bwMode="auto">
                          <a:xfrm>
                            <a:off x="3923414" y="3785191"/>
                            <a:ext cx="2997835" cy="329565"/>
                          </a:xfrm>
                          <a:prstGeom prst="flowChartProcess">
                            <a:avLst/>
                          </a:prstGeom>
                          <a:gradFill rotWithShape="0">
                            <a:gsLst>
                              <a:gs pos="0">
                                <a:srgbClr val="FFFFFF"/>
                              </a:gs>
                              <a:gs pos="100000">
                                <a:srgbClr val="D6E3BC"/>
                              </a:gs>
                            </a:gsLst>
                            <a:lin ang="5400000" scaled="1"/>
                          </a:gradFill>
                          <a:ln>
                            <a:noFill/>
                          </a:ln>
                          <a:effectLst>
                            <a:outerShdw dist="28398" dir="3806097" algn="ctr" rotWithShape="0">
                              <a:srgbClr val="4E6128">
                                <a:alpha val="50000"/>
                              </a:srgbClr>
                            </a:outerShdw>
                          </a:effectLst>
                          <a:extLst>
                            <a:ext uri="{91240B29-F687-4F45-9708-019B960494DF}">
                              <a14:hiddenLine xmlns:a14="http://schemas.microsoft.com/office/drawing/2010/main" w="12700">
                                <a:solidFill>
                                  <a:srgbClr val="C2D69B"/>
                                </a:solidFill>
                                <a:miter lim="800000"/>
                                <a:headEnd/>
                                <a:tailEnd/>
                              </a14:hiddenLine>
                            </a:ext>
                          </a:extLst>
                        </wps:spPr>
                        <wps:txbx>
                          <w:txbxContent>
                            <w:p w14:paraId="778CA0C7" w14:textId="77777777" w:rsidR="004E3164" w:rsidRDefault="004E3164" w:rsidP="00D83422">
                              <w:pPr>
                                <w:ind w:firstLine="0"/>
                                <w:jc w:val="center"/>
                              </w:pPr>
                              <w:r>
                                <w:rPr>
                                  <w:sz w:val="17"/>
                                </w:rPr>
                                <w:t xml:space="preserve">Прилага се  по реда на  </w:t>
                              </w:r>
                              <w:r>
                                <w:t xml:space="preserve">чл. </w:t>
                              </w:r>
                              <w:r w:rsidRPr="00CB0585">
                                <w:t>10 от ПП</w:t>
                              </w:r>
                              <w:r>
                                <w:t xml:space="preserve"> ЗДП</w:t>
                              </w:r>
                            </w:p>
                            <w:p w14:paraId="6900DAD1" w14:textId="77777777" w:rsidR="004E3164" w:rsidRDefault="004E3164" w:rsidP="00D83422">
                              <w:pPr>
                                <w:ind w:firstLine="0"/>
                                <w:jc w:val="center"/>
                                <w:rPr>
                                  <w:sz w:val="17"/>
                                </w:rPr>
                              </w:pPr>
                            </w:p>
                            <w:p w14:paraId="60D76CC0" w14:textId="77777777" w:rsidR="004E3164" w:rsidRDefault="004E3164" w:rsidP="00D83422">
                              <w:pPr>
                                <w:ind w:firstLine="0"/>
                                <w:jc w:val="center"/>
                                <w:rPr>
                                  <w:sz w:val="17"/>
                                </w:rPr>
                              </w:pPr>
                            </w:p>
                            <w:p w14:paraId="4373E003" w14:textId="77777777" w:rsidR="004E3164" w:rsidRDefault="004E3164" w:rsidP="00D83422">
                              <w:pPr>
                                <w:ind w:firstLine="0"/>
                                <w:jc w:val="center"/>
                                <w:rPr>
                                  <w:sz w:val="17"/>
                                </w:rPr>
                              </w:pPr>
                            </w:p>
                            <w:p w14:paraId="4F6599E5" w14:textId="77777777" w:rsidR="004E3164" w:rsidRDefault="004E3164" w:rsidP="00D83422">
                              <w:pPr>
                                <w:ind w:firstLine="0"/>
                                <w:jc w:val="center"/>
                                <w:rPr>
                                  <w:sz w:val="17"/>
                                </w:rPr>
                              </w:pPr>
                            </w:p>
                            <w:p w14:paraId="07CDD8FC" w14:textId="77777777" w:rsidR="004E3164" w:rsidRDefault="004E3164" w:rsidP="00D83422">
                              <w:pPr>
                                <w:ind w:firstLine="0"/>
                                <w:jc w:val="center"/>
                                <w:rPr>
                                  <w:sz w:val="17"/>
                                </w:rPr>
                              </w:pPr>
                            </w:p>
                            <w:p w14:paraId="7F09F982" w14:textId="77777777" w:rsidR="004E3164" w:rsidRDefault="004E3164" w:rsidP="00D83422">
                              <w:pPr>
                                <w:ind w:firstLine="0"/>
                                <w:jc w:val="center"/>
                                <w:rPr>
                                  <w:sz w:val="18"/>
                                  <w:szCs w:val="18"/>
                                </w:rPr>
                              </w:pPr>
                              <w:r w:rsidRPr="00D5620C">
                                <w:rPr>
                                  <w:sz w:val="18"/>
                                  <w:szCs w:val="18"/>
                                </w:rPr>
                                <w:t xml:space="preserve">Не подлежи на уведомление. </w:t>
                              </w:r>
                            </w:p>
                            <w:p w14:paraId="3CB5F8BF" w14:textId="77777777" w:rsidR="004E3164" w:rsidRPr="00B70B70" w:rsidRDefault="004E3164" w:rsidP="00D83422">
                              <w:pPr>
                                <w:ind w:firstLine="0"/>
                                <w:jc w:val="center"/>
                                <w:rPr>
                                  <w:sz w:val="36"/>
                                </w:rPr>
                              </w:pPr>
                              <w:r w:rsidRPr="00D5620C">
                                <w:rPr>
                                  <w:color w:val="FF0000"/>
                                  <w:sz w:val="18"/>
                                  <w:szCs w:val="18"/>
                                </w:rPr>
                                <w:t>Прилагат се разпоредбите и правилата от нормативните документи с които са дефинирани съответната категории</w:t>
                              </w:r>
                              <w:r w:rsidRPr="0095602E">
                                <w:rPr>
                                  <w:color w:val="FF0000"/>
                                  <w:sz w:val="17"/>
                                </w:rPr>
                                <w:t>.</w:t>
                              </w:r>
                            </w:p>
                            <w:p w14:paraId="2C148F6E" w14:textId="77777777" w:rsidR="004E3164" w:rsidRDefault="004E3164" w:rsidP="00D83422">
                              <w:pPr>
                                <w:ind w:firstLine="0"/>
                                <w:jc w:val="center"/>
                              </w:pPr>
                            </w:p>
                          </w:txbxContent>
                        </wps:txbx>
                        <wps:bodyPr rot="0" vert="horz" wrap="square" lIns="91440" tIns="45720" rIns="91440" bIns="45720" anchor="t" anchorCtr="0" upright="1">
                          <a:noAutofit/>
                        </wps:bodyPr>
                      </wps:wsp>
                      <wps:wsp>
                        <wps:cNvPr id="242" name="AutoShape 308"/>
                        <wps:cNvSpPr>
                          <a:spLocks noChangeArrowheads="1"/>
                        </wps:cNvSpPr>
                        <wps:spPr bwMode="auto">
                          <a:xfrm>
                            <a:off x="3848986" y="5039833"/>
                            <a:ext cx="2997835" cy="307975"/>
                          </a:xfrm>
                          <a:prstGeom prst="flowChartProcess">
                            <a:avLst/>
                          </a:prstGeom>
                          <a:gradFill rotWithShape="0">
                            <a:gsLst>
                              <a:gs pos="0">
                                <a:srgbClr val="FFFFFF"/>
                              </a:gs>
                              <a:gs pos="100000">
                                <a:srgbClr val="D6E3BC"/>
                              </a:gs>
                            </a:gsLst>
                            <a:lin ang="5400000" scaled="1"/>
                          </a:gradFill>
                          <a:ln>
                            <a:noFill/>
                          </a:ln>
                          <a:effectLst>
                            <a:outerShdw dist="28398" dir="3806097" algn="ctr" rotWithShape="0">
                              <a:srgbClr val="4E6128">
                                <a:alpha val="50000"/>
                              </a:srgbClr>
                            </a:outerShdw>
                          </a:effectLst>
                          <a:extLst>
                            <a:ext uri="{91240B29-F687-4F45-9708-019B960494DF}">
                              <a14:hiddenLine xmlns:a14="http://schemas.microsoft.com/office/drawing/2010/main" w="12700">
                                <a:solidFill>
                                  <a:srgbClr val="C2D69B"/>
                                </a:solidFill>
                                <a:miter lim="800000"/>
                                <a:headEnd/>
                                <a:tailEnd/>
                              </a14:hiddenLine>
                            </a:ext>
                          </a:extLst>
                        </wps:spPr>
                        <wps:txbx>
                          <w:txbxContent>
                            <w:p w14:paraId="46DE7809" w14:textId="77777777" w:rsidR="004E3164" w:rsidRDefault="004E3164" w:rsidP="00D83422">
                              <w:pPr>
                                <w:ind w:firstLine="0"/>
                                <w:jc w:val="center"/>
                              </w:pPr>
                              <w:r>
                                <w:rPr>
                                  <w:sz w:val="17"/>
                                </w:rPr>
                                <w:t xml:space="preserve">Прилага се  по реда на  </w:t>
                              </w:r>
                              <w:r>
                                <w:t xml:space="preserve">чл. </w:t>
                              </w:r>
                              <w:r w:rsidRPr="00CB0585">
                                <w:t>4 от ПП</w:t>
                              </w:r>
                              <w:r>
                                <w:t xml:space="preserve"> ЗДП</w:t>
                              </w:r>
                            </w:p>
                            <w:p w14:paraId="5FAFDCDD" w14:textId="77777777" w:rsidR="004E3164" w:rsidRDefault="004E3164" w:rsidP="00D83422">
                              <w:pPr>
                                <w:ind w:firstLine="0"/>
                                <w:jc w:val="center"/>
                                <w:rPr>
                                  <w:sz w:val="17"/>
                                </w:rPr>
                              </w:pPr>
                            </w:p>
                            <w:p w14:paraId="78B90431" w14:textId="77777777" w:rsidR="004E3164" w:rsidRDefault="004E3164" w:rsidP="00D83422">
                              <w:pPr>
                                <w:ind w:firstLine="0"/>
                                <w:jc w:val="center"/>
                                <w:rPr>
                                  <w:sz w:val="17"/>
                                </w:rPr>
                              </w:pPr>
                            </w:p>
                            <w:p w14:paraId="6CE2B9F1" w14:textId="77777777" w:rsidR="004E3164" w:rsidRDefault="004E3164" w:rsidP="00D83422">
                              <w:pPr>
                                <w:ind w:firstLine="0"/>
                                <w:jc w:val="center"/>
                                <w:rPr>
                                  <w:sz w:val="17"/>
                                </w:rPr>
                              </w:pPr>
                            </w:p>
                            <w:p w14:paraId="5104535A" w14:textId="77777777" w:rsidR="004E3164" w:rsidRDefault="004E3164" w:rsidP="00D83422">
                              <w:pPr>
                                <w:ind w:firstLine="0"/>
                                <w:jc w:val="center"/>
                                <w:rPr>
                                  <w:sz w:val="17"/>
                                </w:rPr>
                              </w:pPr>
                            </w:p>
                            <w:p w14:paraId="2DFE86D4" w14:textId="77777777" w:rsidR="004E3164" w:rsidRDefault="004E3164" w:rsidP="00D83422">
                              <w:pPr>
                                <w:ind w:firstLine="0"/>
                                <w:jc w:val="center"/>
                                <w:rPr>
                                  <w:sz w:val="17"/>
                                </w:rPr>
                              </w:pPr>
                            </w:p>
                            <w:p w14:paraId="18873268" w14:textId="77777777" w:rsidR="004E3164" w:rsidRDefault="004E3164" w:rsidP="00D83422">
                              <w:pPr>
                                <w:ind w:firstLine="0"/>
                                <w:jc w:val="center"/>
                                <w:rPr>
                                  <w:sz w:val="18"/>
                                  <w:szCs w:val="18"/>
                                </w:rPr>
                              </w:pPr>
                              <w:r w:rsidRPr="00D5620C">
                                <w:rPr>
                                  <w:sz w:val="18"/>
                                  <w:szCs w:val="18"/>
                                </w:rPr>
                                <w:t xml:space="preserve">Не подлежи на уведомление. </w:t>
                              </w:r>
                            </w:p>
                            <w:p w14:paraId="15A58CE3" w14:textId="77777777" w:rsidR="004E3164" w:rsidRPr="00B70B70" w:rsidRDefault="004E3164" w:rsidP="00D83422">
                              <w:pPr>
                                <w:ind w:firstLine="0"/>
                                <w:jc w:val="center"/>
                                <w:rPr>
                                  <w:sz w:val="36"/>
                                </w:rPr>
                              </w:pPr>
                              <w:r w:rsidRPr="00D5620C">
                                <w:rPr>
                                  <w:color w:val="FF0000"/>
                                  <w:sz w:val="18"/>
                                  <w:szCs w:val="18"/>
                                </w:rPr>
                                <w:t>Прилагат се разпоредбите и правилата от нормативните документи с които са дефинирани съответната категории</w:t>
                              </w:r>
                              <w:r w:rsidRPr="0095602E">
                                <w:rPr>
                                  <w:color w:val="FF0000"/>
                                  <w:sz w:val="17"/>
                                </w:rPr>
                                <w:t>.</w:t>
                              </w:r>
                            </w:p>
                            <w:p w14:paraId="0B1A906C" w14:textId="77777777" w:rsidR="004E3164" w:rsidRDefault="004E3164" w:rsidP="00D83422">
                              <w:pPr>
                                <w:ind w:firstLine="0"/>
                                <w:jc w:val="center"/>
                              </w:pPr>
                            </w:p>
                          </w:txbxContent>
                        </wps:txbx>
                        <wps:bodyPr rot="0" vert="horz" wrap="square" lIns="91440" tIns="45720" rIns="91440" bIns="45720" anchor="t" anchorCtr="0" upright="1">
                          <a:noAutofit/>
                        </wps:bodyPr>
                      </wps:wsp>
                      <wpg:grpSp>
                        <wpg:cNvPr id="243" name="Group 243"/>
                        <wpg:cNvGrpSpPr/>
                        <wpg:grpSpPr>
                          <a:xfrm>
                            <a:off x="0" y="0"/>
                            <a:ext cx="6942514" cy="3625688"/>
                            <a:chOff x="0" y="0"/>
                            <a:chExt cx="6942514" cy="3625688"/>
                          </a:xfrm>
                        </wpg:grpSpPr>
                        <wps:wsp>
                          <wps:cNvPr id="2041" name="AutoShape 326"/>
                          <wps:cNvSpPr>
                            <a:spLocks noChangeArrowheads="1"/>
                          </wps:cNvSpPr>
                          <wps:spPr bwMode="auto">
                            <a:xfrm>
                              <a:off x="63796" y="3211033"/>
                              <a:ext cx="3476625" cy="414655"/>
                            </a:xfrm>
                            <a:prstGeom prst="flowChart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03CD313D" w14:textId="77777777" w:rsidR="004E3164" w:rsidRPr="00B80E14" w:rsidRDefault="004E3164" w:rsidP="00D83422">
                                <w:pPr>
                                  <w:ind w:firstLine="0"/>
                                  <w:jc w:val="center"/>
                                  <w:rPr>
                                    <w:sz w:val="20"/>
                                  </w:rPr>
                                </w:pPr>
                                <w:r w:rsidRPr="00B80E14">
                                  <w:rPr>
                                    <w:sz w:val="20"/>
                                  </w:rPr>
                                  <w:t xml:space="preserve">ДП, освободена от задължението за уведомяване, различно от ОРГО   </w:t>
                                </w:r>
                              </w:p>
                            </w:txbxContent>
                          </wps:txbx>
                          <wps:bodyPr rot="0" vert="horz" wrap="square" lIns="91440" tIns="45720" rIns="91440" bIns="45720" anchor="t" anchorCtr="0" upright="1">
                            <a:noAutofit/>
                          </wps:bodyPr>
                        </wps:wsp>
                        <wps:wsp>
                          <wps:cNvPr id="720" name="AutoShape 326"/>
                          <wps:cNvSpPr>
                            <a:spLocks noChangeArrowheads="1"/>
                          </wps:cNvSpPr>
                          <wps:spPr bwMode="auto">
                            <a:xfrm>
                              <a:off x="42531" y="2126512"/>
                              <a:ext cx="3476625" cy="414655"/>
                            </a:xfrm>
                            <a:prstGeom prst="flowChart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39A5831C" w14:textId="77777777" w:rsidR="004E3164" w:rsidRPr="00B80E14" w:rsidRDefault="004E3164" w:rsidP="00D83422">
                                <w:pPr>
                                  <w:ind w:firstLine="0"/>
                                  <w:jc w:val="center"/>
                                  <w:rPr>
                                    <w:sz w:val="20"/>
                                  </w:rPr>
                                </w:pPr>
                                <w:r w:rsidRPr="00B80E14">
                                  <w:rPr>
                                    <w:sz w:val="20"/>
                                  </w:rPr>
                                  <w:t xml:space="preserve"> ДП, попадаща в обхвата на  ОРГО, но подлежаща на индивидуално уведомление</w:t>
                                </w:r>
                              </w:p>
                            </w:txbxContent>
                          </wps:txbx>
                          <wps:bodyPr rot="0" vert="horz" wrap="square" lIns="91440" tIns="45720" rIns="91440" bIns="45720" anchor="t" anchorCtr="0" upright="1">
                            <a:noAutofit/>
                          </wps:bodyPr>
                        </wps:wsp>
                        <wps:wsp>
                          <wps:cNvPr id="721" name="AutoShape 308"/>
                          <wps:cNvSpPr>
                            <a:spLocks noChangeArrowheads="1"/>
                          </wps:cNvSpPr>
                          <wps:spPr bwMode="auto">
                            <a:xfrm>
                              <a:off x="3923414" y="2700670"/>
                              <a:ext cx="2997835" cy="414655"/>
                            </a:xfrm>
                            <a:prstGeom prst="flowChartProcess">
                              <a:avLst/>
                            </a:prstGeom>
                            <a:gradFill rotWithShape="0">
                              <a:gsLst>
                                <a:gs pos="0">
                                  <a:srgbClr val="FFFFFF"/>
                                </a:gs>
                                <a:gs pos="100000">
                                  <a:srgbClr val="D6E3BC"/>
                                </a:gs>
                              </a:gsLst>
                              <a:lin ang="5400000" scaled="1"/>
                            </a:gradFill>
                            <a:ln>
                              <a:noFill/>
                            </a:ln>
                            <a:effectLst>
                              <a:outerShdw dist="28398" dir="3806097" algn="ctr" rotWithShape="0">
                                <a:srgbClr val="4E6128">
                                  <a:alpha val="50000"/>
                                </a:srgbClr>
                              </a:outerShdw>
                            </a:effectLst>
                            <a:extLst>
                              <a:ext uri="{91240B29-F687-4F45-9708-019B960494DF}">
                                <a14:hiddenLine xmlns:a14="http://schemas.microsoft.com/office/drawing/2010/main" w="12700">
                                  <a:solidFill>
                                    <a:srgbClr val="C2D69B"/>
                                  </a:solidFill>
                                  <a:miter lim="800000"/>
                                  <a:headEnd/>
                                  <a:tailEnd/>
                                </a14:hiddenLine>
                              </a:ext>
                            </a:extLst>
                          </wps:spPr>
                          <wps:txbx>
                            <w:txbxContent>
                              <w:p w14:paraId="29050386" w14:textId="77777777" w:rsidR="004E3164" w:rsidRDefault="004E3164" w:rsidP="00D83422">
                                <w:pPr>
                                  <w:ind w:firstLine="0"/>
                                  <w:jc w:val="center"/>
                                </w:pPr>
                                <w:r>
                                  <w:rPr>
                                    <w:sz w:val="17"/>
                                  </w:rPr>
                                  <w:t xml:space="preserve">Прилага се  по реда на  </w:t>
                                </w:r>
                                <w:r>
                                  <w:t xml:space="preserve">чл. </w:t>
                                </w:r>
                                <w:r w:rsidRPr="00737E35">
                                  <w:rPr>
                                    <w:lang w:val="en-US"/>
                                  </w:rPr>
                                  <w:t xml:space="preserve">27, чл. 28 и чл. 29 от ЗДП, чл. 4 и глава 4 от ПП </w:t>
                                </w:r>
                                <w:r>
                                  <w:t>ЗДП</w:t>
                                </w:r>
                              </w:p>
                              <w:p w14:paraId="4064EFCA" w14:textId="77777777" w:rsidR="004E3164" w:rsidRDefault="004E3164" w:rsidP="00D83422">
                                <w:pPr>
                                  <w:ind w:firstLine="0"/>
                                  <w:jc w:val="center"/>
                                  <w:rPr>
                                    <w:sz w:val="17"/>
                                  </w:rPr>
                                </w:pPr>
                              </w:p>
                              <w:p w14:paraId="7B4FF67D" w14:textId="77777777" w:rsidR="004E3164" w:rsidRDefault="004E3164" w:rsidP="00D83422">
                                <w:pPr>
                                  <w:ind w:firstLine="0"/>
                                  <w:jc w:val="center"/>
                                  <w:rPr>
                                    <w:sz w:val="17"/>
                                  </w:rPr>
                                </w:pPr>
                              </w:p>
                              <w:p w14:paraId="45B01F02" w14:textId="77777777" w:rsidR="004E3164" w:rsidRDefault="004E3164" w:rsidP="00D83422">
                                <w:pPr>
                                  <w:ind w:firstLine="0"/>
                                  <w:jc w:val="center"/>
                                  <w:rPr>
                                    <w:sz w:val="17"/>
                                  </w:rPr>
                                </w:pPr>
                              </w:p>
                              <w:p w14:paraId="10A26479" w14:textId="77777777" w:rsidR="004E3164" w:rsidRDefault="004E3164" w:rsidP="00D83422">
                                <w:pPr>
                                  <w:ind w:firstLine="0"/>
                                  <w:jc w:val="center"/>
                                  <w:rPr>
                                    <w:sz w:val="17"/>
                                  </w:rPr>
                                </w:pPr>
                              </w:p>
                              <w:p w14:paraId="40F53A24" w14:textId="77777777" w:rsidR="004E3164" w:rsidRDefault="004E3164" w:rsidP="00D83422">
                                <w:pPr>
                                  <w:ind w:firstLine="0"/>
                                  <w:jc w:val="center"/>
                                  <w:rPr>
                                    <w:sz w:val="17"/>
                                  </w:rPr>
                                </w:pPr>
                              </w:p>
                              <w:p w14:paraId="1AC45C29" w14:textId="77777777" w:rsidR="004E3164" w:rsidRDefault="004E3164" w:rsidP="00D83422">
                                <w:pPr>
                                  <w:ind w:firstLine="0"/>
                                  <w:jc w:val="center"/>
                                  <w:rPr>
                                    <w:sz w:val="18"/>
                                    <w:szCs w:val="18"/>
                                  </w:rPr>
                                </w:pPr>
                                <w:r w:rsidRPr="00D5620C">
                                  <w:rPr>
                                    <w:sz w:val="18"/>
                                    <w:szCs w:val="18"/>
                                  </w:rPr>
                                  <w:t xml:space="preserve">Не подлежи на уведомление. </w:t>
                                </w:r>
                              </w:p>
                              <w:p w14:paraId="7A1045A4" w14:textId="77777777" w:rsidR="004E3164" w:rsidRPr="00B70B70" w:rsidRDefault="004E3164" w:rsidP="00D83422">
                                <w:pPr>
                                  <w:ind w:firstLine="0"/>
                                  <w:jc w:val="center"/>
                                  <w:rPr>
                                    <w:sz w:val="36"/>
                                  </w:rPr>
                                </w:pPr>
                                <w:r w:rsidRPr="00D5620C">
                                  <w:rPr>
                                    <w:color w:val="FF0000"/>
                                    <w:sz w:val="18"/>
                                    <w:szCs w:val="18"/>
                                  </w:rPr>
                                  <w:t>Прилагат се разпоредбите и правилата от нормативните документи с които са дефинирани съответната категории</w:t>
                                </w:r>
                                <w:r w:rsidRPr="0095602E">
                                  <w:rPr>
                                    <w:color w:val="FF0000"/>
                                    <w:sz w:val="17"/>
                                  </w:rPr>
                                  <w:t>.</w:t>
                                </w:r>
                              </w:p>
                              <w:p w14:paraId="5D4C9FFC" w14:textId="77777777" w:rsidR="004E3164" w:rsidRDefault="004E3164" w:rsidP="00D83422">
                                <w:pPr>
                                  <w:ind w:firstLine="0"/>
                                  <w:jc w:val="center"/>
                                </w:pPr>
                              </w:p>
                            </w:txbxContent>
                          </wps:txbx>
                          <wps:bodyPr rot="0" vert="horz" wrap="square" lIns="91440" tIns="45720" rIns="91440" bIns="45720" anchor="t" anchorCtr="0" upright="1">
                            <a:noAutofit/>
                          </wps:bodyPr>
                        </wps:wsp>
                        <wpg:grpSp>
                          <wpg:cNvPr id="722" name="Group 722"/>
                          <wpg:cNvGrpSpPr/>
                          <wpg:grpSpPr>
                            <a:xfrm>
                              <a:off x="0" y="0"/>
                              <a:ext cx="6942514" cy="2083568"/>
                              <a:chOff x="0" y="0"/>
                              <a:chExt cx="6942514" cy="2083568"/>
                            </a:xfrm>
                          </wpg:grpSpPr>
                          <wps:wsp>
                            <wps:cNvPr id="723" name="AutoShape 308"/>
                            <wps:cNvSpPr>
                              <a:spLocks noChangeArrowheads="1"/>
                            </wps:cNvSpPr>
                            <wps:spPr bwMode="auto">
                              <a:xfrm>
                                <a:off x="3944679" y="542261"/>
                                <a:ext cx="2997835" cy="435930"/>
                              </a:xfrm>
                              <a:prstGeom prst="flowChartProcess">
                                <a:avLst/>
                              </a:prstGeom>
                              <a:gradFill rotWithShape="0">
                                <a:gsLst>
                                  <a:gs pos="0">
                                    <a:srgbClr val="FFFFFF"/>
                                  </a:gs>
                                  <a:gs pos="100000">
                                    <a:srgbClr val="D6E3BC"/>
                                  </a:gs>
                                </a:gsLst>
                                <a:lin ang="5400000" scaled="1"/>
                              </a:gradFill>
                              <a:ln>
                                <a:noFill/>
                              </a:ln>
                              <a:effectLst>
                                <a:outerShdw dist="28398" dir="3806097" algn="ctr" rotWithShape="0">
                                  <a:srgbClr val="4E6128">
                                    <a:alpha val="50000"/>
                                  </a:srgbClr>
                                </a:outerShdw>
                              </a:effectLst>
                              <a:extLst>
                                <a:ext uri="{91240B29-F687-4F45-9708-019B960494DF}">
                                  <a14:hiddenLine xmlns:a14="http://schemas.microsoft.com/office/drawing/2010/main" w="12700">
                                    <a:solidFill>
                                      <a:srgbClr val="C2D69B"/>
                                    </a:solidFill>
                                    <a:miter lim="800000"/>
                                    <a:headEnd/>
                                    <a:tailEnd/>
                                  </a14:hiddenLine>
                                </a:ext>
                              </a:extLst>
                            </wps:spPr>
                            <wps:txbx>
                              <w:txbxContent>
                                <w:p w14:paraId="7449FCC5" w14:textId="77777777" w:rsidR="004E3164" w:rsidRDefault="004E3164" w:rsidP="00D83422">
                                  <w:pPr>
                                    <w:ind w:firstLine="0"/>
                                    <w:jc w:val="center"/>
                                  </w:pPr>
                                  <w:r>
                                    <w:rPr>
                                      <w:sz w:val="17"/>
                                    </w:rPr>
                                    <w:t xml:space="preserve">Прилага се  по реда на </w:t>
                                  </w:r>
                                  <w:r>
                                    <w:t>чл. 32 от ЗДП</w:t>
                                  </w:r>
                                  <w:r w:rsidRPr="00737E35">
                                    <w:t xml:space="preserve"> и чл. 9. от ПП ЗДП</w:t>
                                  </w:r>
                                </w:p>
                              </w:txbxContent>
                            </wps:txbx>
                            <wps:bodyPr rot="0" vert="horz" wrap="square" lIns="91440" tIns="45720" rIns="91440" bIns="45720" anchor="t" anchorCtr="0" upright="1">
                              <a:noAutofit/>
                            </wps:bodyPr>
                          </wps:wsp>
                          <wpg:grpSp>
                            <wpg:cNvPr id="724" name="Group 724"/>
                            <wpg:cNvGrpSpPr/>
                            <wpg:grpSpPr>
                              <a:xfrm>
                                <a:off x="1307805" y="446568"/>
                                <a:ext cx="2636520" cy="632460"/>
                                <a:chOff x="0" y="0"/>
                                <a:chExt cx="2637360" cy="632977"/>
                              </a:xfrm>
                            </wpg:grpSpPr>
                            <wps:wsp>
                              <wps:cNvPr id="725" name="Text Box 315"/>
                              <wps:cNvSpPr txBox="1">
                                <a:spLocks noChangeArrowheads="1"/>
                              </wps:cNvSpPr>
                              <wps:spPr bwMode="auto">
                                <a:xfrm>
                                  <a:off x="0" y="340242"/>
                                  <a:ext cx="375285" cy="238760"/>
                                </a:xfrm>
                                <a:prstGeom prst="rect">
                                  <a:avLst/>
                                </a:prstGeom>
                                <a:solidFill>
                                  <a:srgbClr val="FFFFFF"/>
                                </a:solidFill>
                                <a:ln w="9525">
                                  <a:solidFill>
                                    <a:srgbClr val="FFFFFF"/>
                                  </a:solidFill>
                                  <a:miter lim="800000"/>
                                  <a:headEnd/>
                                  <a:tailEnd/>
                                </a:ln>
                              </wps:spPr>
                              <wps:txbx>
                                <w:txbxContent>
                                  <w:p w14:paraId="3A49C6A4" w14:textId="77777777" w:rsidR="004E3164" w:rsidRPr="00DC7796" w:rsidRDefault="004E3164" w:rsidP="00D83422">
                                    <w:pPr>
                                      <w:ind w:firstLine="0"/>
                                      <w:jc w:val="center"/>
                                      <w:rPr>
                                        <w:color w:val="FF0000"/>
                                        <w:szCs w:val="24"/>
                                      </w:rPr>
                                    </w:pPr>
                                    <w:r w:rsidRPr="00DC7796">
                                      <w:rPr>
                                        <w:color w:val="FF0000"/>
                                        <w:szCs w:val="24"/>
                                      </w:rPr>
                                      <w:t>не</w:t>
                                    </w:r>
                                  </w:p>
                                </w:txbxContent>
                              </wps:txbx>
                              <wps:bodyPr rot="0" vert="horz" wrap="square" lIns="91440" tIns="45720" rIns="91440" bIns="45720" anchor="t" anchorCtr="0" upright="1">
                                <a:noAutofit/>
                              </wps:bodyPr>
                            </wps:wsp>
                            <wpg:grpSp>
                              <wpg:cNvPr id="726" name="Group 726"/>
                              <wpg:cNvGrpSpPr/>
                              <wpg:grpSpPr>
                                <a:xfrm>
                                  <a:off x="329610" y="0"/>
                                  <a:ext cx="2307750" cy="632977"/>
                                  <a:chOff x="0" y="0"/>
                                  <a:chExt cx="2307750" cy="632977"/>
                                </a:xfrm>
                              </wpg:grpSpPr>
                              <wpg:grpSp>
                                <wpg:cNvPr id="727" name="Group 727"/>
                                <wpg:cNvGrpSpPr/>
                                <wpg:grpSpPr>
                                  <a:xfrm>
                                    <a:off x="0" y="0"/>
                                    <a:ext cx="2307750" cy="581202"/>
                                    <a:chOff x="0" y="0"/>
                                    <a:chExt cx="2307750" cy="581202"/>
                                  </a:xfrm>
                                </wpg:grpSpPr>
                                <wps:wsp>
                                  <wps:cNvPr id="728" name="Diamond 635"/>
                                  <wps:cNvSpPr>
                                    <a:spLocks noChangeArrowheads="1"/>
                                  </wps:cNvSpPr>
                                  <wps:spPr bwMode="auto">
                                    <a:xfrm>
                                      <a:off x="0" y="170121"/>
                                      <a:ext cx="330200" cy="215900"/>
                                    </a:xfrm>
                                    <a:prstGeom prst="diamond">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ctr" anchorCtr="0" upright="1">
                                    <a:noAutofit/>
                                  </wps:bodyPr>
                                </wps:wsp>
                                <wps:wsp>
                                  <wps:cNvPr id="729" name="AutoShape 312"/>
                                  <wps:cNvCnPr/>
                                  <wps:spPr bwMode="auto">
                                    <a:xfrm>
                                      <a:off x="159488" y="404037"/>
                                      <a:ext cx="0" cy="17716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0" name="AutoShape 313"/>
                                  <wps:cNvCnPr/>
                                  <wps:spPr bwMode="auto">
                                    <a:xfrm>
                                      <a:off x="159488" y="0"/>
                                      <a:ext cx="0" cy="17716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1" name="AutoShape 314"/>
                                  <wps:cNvCnPr/>
                                  <wps:spPr bwMode="auto">
                                    <a:xfrm>
                                      <a:off x="350874" y="287079"/>
                                      <a:ext cx="1956876"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32" name="Text Box 316"/>
                                <wps:cNvSpPr txBox="1">
                                  <a:spLocks noChangeArrowheads="1"/>
                                </wps:cNvSpPr>
                                <wps:spPr bwMode="auto">
                                  <a:xfrm>
                                    <a:off x="786809" y="340242"/>
                                    <a:ext cx="375285" cy="292735"/>
                                  </a:xfrm>
                                  <a:prstGeom prst="rect">
                                    <a:avLst/>
                                  </a:prstGeom>
                                  <a:solidFill>
                                    <a:srgbClr val="FFFFFF"/>
                                  </a:solidFill>
                                  <a:ln w="9525">
                                    <a:solidFill>
                                      <a:srgbClr val="FFFFFF"/>
                                    </a:solidFill>
                                    <a:miter lim="800000"/>
                                    <a:headEnd/>
                                    <a:tailEnd/>
                                  </a:ln>
                                </wps:spPr>
                                <wps:txbx>
                                  <w:txbxContent>
                                    <w:p w14:paraId="7B9642AF" w14:textId="77777777" w:rsidR="004E3164" w:rsidRPr="00DC7796" w:rsidRDefault="004E3164" w:rsidP="00D83422">
                                      <w:pPr>
                                        <w:ind w:firstLine="0"/>
                                        <w:jc w:val="center"/>
                                        <w:rPr>
                                          <w:szCs w:val="24"/>
                                        </w:rPr>
                                      </w:pPr>
                                      <w:r w:rsidRPr="00DC7796">
                                        <w:rPr>
                                          <w:szCs w:val="24"/>
                                        </w:rPr>
                                        <w:t>да</w:t>
                                      </w:r>
                                    </w:p>
                                  </w:txbxContent>
                                </wps:txbx>
                                <wps:bodyPr rot="0" vert="horz" wrap="square" lIns="91440" tIns="45720" rIns="91440" bIns="45720" anchor="t" anchorCtr="0" upright="1">
                                  <a:noAutofit/>
                                </wps:bodyPr>
                              </wps:wsp>
                            </wpg:grpSp>
                          </wpg:grpSp>
                          <wps:wsp>
                            <wps:cNvPr id="733" name="AutoShape 342"/>
                            <wps:cNvSpPr>
                              <a:spLocks noChangeArrowheads="1"/>
                            </wps:cNvSpPr>
                            <wps:spPr bwMode="auto">
                              <a:xfrm>
                                <a:off x="0" y="1063256"/>
                                <a:ext cx="3476625" cy="393065"/>
                              </a:xfrm>
                              <a:prstGeom prst="flowChart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02463797" w14:textId="77777777" w:rsidR="004E3164" w:rsidRPr="00B80E14" w:rsidRDefault="004E3164" w:rsidP="00D83422">
                                  <w:pPr>
                                    <w:ind w:firstLine="0"/>
                                    <w:jc w:val="center"/>
                                    <w:rPr>
                                      <w:sz w:val="20"/>
                                    </w:rPr>
                                  </w:pPr>
                                  <w:r w:rsidRPr="00B80E14">
                                    <w:rPr>
                                      <w:sz w:val="20"/>
                                    </w:rPr>
                                    <w:t>ДП, попадаща в обхвата на  ОРГО</w:t>
                                  </w:r>
                                </w:p>
                              </w:txbxContent>
                            </wps:txbx>
                            <wps:bodyPr rot="0" vert="horz" wrap="square" lIns="91440" tIns="45720" rIns="91440" bIns="45720" anchor="t" anchorCtr="0" upright="1">
                              <a:noAutofit/>
                            </wps:bodyPr>
                          </wps:wsp>
                          <wps:wsp>
                            <wps:cNvPr id="734" name="AutoShape 358"/>
                            <wps:cNvSpPr>
                              <a:spLocks noChangeArrowheads="1"/>
                            </wps:cNvSpPr>
                            <wps:spPr bwMode="auto">
                              <a:xfrm>
                                <a:off x="116959" y="0"/>
                                <a:ext cx="3392170" cy="445770"/>
                              </a:xfrm>
                              <a:prstGeom prst="flowChart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5EE3D8E3" w14:textId="77777777" w:rsidR="004E3164" w:rsidRPr="00B80E14" w:rsidRDefault="004E3164" w:rsidP="00D83422">
                                  <w:pPr>
                                    <w:ind w:firstLine="0"/>
                                    <w:jc w:val="center"/>
                                    <w:rPr>
                                      <w:i/>
                                      <w:sz w:val="20"/>
                                    </w:rPr>
                                  </w:pPr>
                                  <w:r w:rsidRPr="00B80E14">
                                    <w:rPr>
                                      <w:sz w:val="20"/>
                                    </w:rPr>
                                    <w:t xml:space="preserve">Минимална  помощ </w:t>
                                  </w:r>
                                  <w:r w:rsidRPr="00B80E14">
                                    <w:rPr>
                                      <w:i/>
                                      <w:sz w:val="20"/>
                                    </w:rPr>
                                    <w:t>(de minimis)</w:t>
                                  </w:r>
                                </w:p>
                              </w:txbxContent>
                            </wps:txbx>
                            <wps:bodyPr rot="0" vert="horz" wrap="square" lIns="91440" tIns="45720" rIns="91440" bIns="45720" anchor="t" anchorCtr="0" upright="1">
                              <a:noAutofit/>
                            </wps:bodyPr>
                          </wps:wsp>
                          <wps:wsp>
                            <wps:cNvPr id="735" name="AutoShape 308"/>
                            <wps:cNvSpPr>
                              <a:spLocks noChangeArrowheads="1"/>
                            </wps:cNvSpPr>
                            <wps:spPr bwMode="auto">
                              <a:xfrm>
                                <a:off x="3944679" y="1594884"/>
                                <a:ext cx="2997835" cy="414660"/>
                              </a:xfrm>
                              <a:prstGeom prst="flowChartProcess">
                                <a:avLst/>
                              </a:prstGeom>
                              <a:gradFill rotWithShape="0">
                                <a:gsLst>
                                  <a:gs pos="0">
                                    <a:srgbClr val="FFFFFF"/>
                                  </a:gs>
                                  <a:gs pos="100000">
                                    <a:srgbClr val="D6E3BC"/>
                                  </a:gs>
                                </a:gsLst>
                                <a:lin ang="5400000" scaled="1"/>
                              </a:gradFill>
                              <a:ln>
                                <a:noFill/>
                              </a:ln>
                              <a:effectLst>
                                <a:outerShdw dist="28398" dir="3806097" algn="ctr" rotWithShape="0">
                                  <a:srgbClr val="4E6128">
                                    <a:alpha val="50000"/>
                                  </a:srgbClr>
                                </a:outerShdw>
                              </a:effectLst>
                              <a:extLst>
                                <a:ext uri="{91240B29-F687-4F45-9708-019B960494DF}">
                                  <a14:hiddenLine xmlns:a14="http://schemas.microsoft.com/office/drawing/2010/main" w="12700">
                                    <a:solidFill>
                                      <a:srgbClr val="C2D69B"/>
                                    </a:solidFill>
                                    <a:miter lim="800000"/>
                                    <a:headEnd/>
                                    <a:tailEnd/>
                                  </a14:hiddenLine>
                                </a:ext>
                              </a:extLst>
                            </wps:spPr>
                            <wps:txbx>
                              <w:txbxContent>
                                <w:p w14:paraId="51AEA624" w14:textId="77777777" w:rsidR="004E3164" w:rsidRDefault="004E3164" w:rsidP="00D83422">
                                  <w:pPr>
                                    <w:ind w:firstLine="0"/>
                                    <w:jc w:val="center"/>
                                  </w:pPr>
                                  <w:r>
                                    <w:rPr>
                                      <w:sz w:val="17"/>
                                    </w:rPr>
                                    <w:t xml:space="preserve">Прилага се  по реда на  </w:t>
                                  </w:r>
                                  <w:r>
                                    <w:t xml:space="preserve">чл. </w:t>
                                  </w:r>
                                  <w:r w:rsidRPr="00737E35">
                                    <w:t>27, чл. 28 и чл. 29 от ЗДП и глава 4 от ПП</w:t>
                                  </w:r>
                                  <w:r>
                                    <w:t xml:space="preserve"> ЗДП</w:t>
                                  </w:r>
                                </w:p>
                                <w:p w14:paraId="3428A040" w14:textId="77777777" w:rsidR="004E3164" w:rsidRDefault="004E3164" w:rsidP="00D83422">
                                  <w:pPr>
                                    <w:ind w:firstLine="0"/>
                                    <w:jc w:val="center"/>
                                    <w:rPr>
                                      <w:sz w:val="17"/>
                                    </w:rPr>
                                  </w:pPr>
                                </w:p>
                                <w:p w14:paraId="159883AE" w14:textId="77777777" w:rsidR="004E3164" w:rsidRDefault="004E3164" w:rsidP="00D83422">
                                  <w:pPr>
                                    <w:ind w:firstLine="0"/>
                                    <w:jc w:val="center"/>
                                    <w:rPr>
                                      <w:sz w:val="17"/>
                                    </w:rPr>
                                  </w:pPr>
                                </w:p>
                                <w:p w14:paraId="1700682E" w14:textId="77777777" w:rsidR="004E3164" w:rsidRDefault="004E3164" w:rsidP="00D83422">
                                  <w:pPr>
                                    <w:ind w:firstLine="0"/>
                                    <w:jc w:val="center"/>
                                    <w:rPr>
                                      <w:sz w:val="17"/>
                                    </w:rPr>
                                  </w:pPr>
                                </w:p>
                                <w:p w14:paraId="05A96882" w14:textId="77777777" w:rsidR="004E3164" w:rsidRDefault="004E3164" w:rsidP="00D83422">
                                  <w:pPr>
                                    <w:ind w:firstLine="0"/>
                                    <w:jc w:val="center"/>
                                    <w:rPr>
                                      <w:sz w:val="17"/>
                                    </w:rPr>
                                  </w:pPr>
                                </w:p>
                                <w:p w14:paraId="4F1AF4C1" w14:textId="77777777" w:rsidR="004E3164" w:rsidRDefault="004E3164" w:rsidP="00D83422">
                                  <w:pPr>
                                    <w:ind w:firstLine="0"/>
                                    <w:jc w:val="center"/>
                                    <w:rPr>
                                      <w:sz w:val="17"/>
                                    </w:rPr>
                                  </w:pPr>
                                </w:p>
                                <w:p w14:paraId="582C6C6C" w14:textId="77777777" w:rsidR="004E3164" w:rsidRDefault="004E3164" w:rsidP="00D83422">
                                  <w:pPr>
                                    <w:ind w:firstLine="0"/>
                                    <w:jc w:val="center"/>
                                    <w:rPr>
                                      <w:sz w:val="17"/>
                                    </w:rPr>
                                  </w:pPr>
                                </w:p>
                                <w:p w14:paraId="3B48630C" w14:textId="77777777" w:rsidR="004E3164" w:rsidRDefault="004E3164" w:rsidP="00D83422">
                                  <w:pPr>
                                    <w:ind w:firstLine="0"/>
                                    <w:jc w:val="center"/>
                                    <w:rPr>
                                      <w:sz w:val="18"/>
                                      <w:szCs w:val="18"/>
                                    </w:rPr>
                                  </w:pPr>
                                  <w:r w:rsidRPr="00D5620C">
                                    <w:rPr>
                                      <w:sz w:val="18"/>
                                      <w:szCs w:val="18"/>
                                    </w:rPr>
                                    <w:t xml:space="preserve">Не подлежи на уведомление. </w:t>
                                  </w:r>
                                </w:p>
                                <w:p w14:paraId="630C87D8" w14:textId="77777777" w:rsidR="004E3164" w:rsidRPr="00B70B70" w:rsidRDefault="004E3164" w:rsidP="00D83422">
                                  <w:pPr>
                                    <w:ind w:firstLine="0"/>
                                    <w:jc w:val="center"/>
                                    <w:rPr>
                                      <w:sz w:val="36"/>
                                    </w:rPr>
                                  </w:pPr>
                                  <w:r w:rsidRPr="00D5620C">
                                    <w:rPr>
                                      <w:color w:val="FF0000"/>
                                      <w:sz w:val="18"/>
                                      <w:szCs w:val="18"/>
                                    </w:rPr>
                                    <w:t>Прилагат се разпоредбите и правилата от нормативните документи с които са дефинирани съответната категории</w:t>
                                  </w:r>
                                  <w:r w:rsidRPr="0095602E">
                                    <w:rPr>
                                      <w:color w:val="FF0000"/>
                                      <w:sz w:val="17"/>
                                    </w:rPr>
                                    <w:t>.</w:t>
                                  </w:r>
                                </w:p>
                                <w:p w14:paraId="72C4440E" w14:textId="77777777" w:rsidR="004E3164" w:rsidRDefault="004E3164" w:rsidP="00D83422">
                                  <w:pPr>
                                    <w:ind w:firstLine="0"/>
                                    <w:jc w:val="center"/>
                                  </w:pPr>
                                </w:p>
                              </w:txbxContent>
                            </wps:txbx>
                            <wps:bodyPr rot="0" vert="horz" wrap="square" lIns="91440" tIns="45720" rIns="91440" bIns="45720" anchor="t" anchorCtr="0" upright="1">
                              <a:noAutofit/>
                            </wps:bodyPr>
                          </wps:wsp>
                          <wpg:grpSp>
                            <wpg:cNvPr id="923" name="Group 923"/>
                            <wpg:cNvGrpSpPr/>
                            <wpg:grpSpPr>
                              <a:xfrm>
                                <a:off x="1286540" y="1446028"/>
                                <a:ext cx="2636520" cy="637540"/>
                                <a:chOff x="0" y="0"/>
                                <a:chExt cx="2637360" cy="638475"/>
                              </a:xfrm>
                            </wpg:grpSpPr>
                            <wps:wsp>
                              <wps:cNvPr id="924" name="Text Box 315"/>
                              <wps:cNvSpPr txBox="1">
                                <a:spLocks noChangeArrowheads="1"/>
                              </wps:cNvSpPr>
                              <wps:spPr bwMode="auto">
                                <a:xfrm>
                                  <a:off x="0" y="340242"/>
                                  <a:ext cx="375285" cy="298233"/>
                                </a:xfrm>
                                <a:prstGeom prst="rect">
                                  <a:avLst/>
                                </a:prstGeom>
                                <a:solidFill>
                                  <a:srgbClr val="FFFFFF"/>
                                </a:solidFill>
                                <a:ln w="9525">
                                  <a:solidFill>
                                    <a:srgbClr val="FFFFFF"/>
                                  </a:solidFill>
                                  <a:miter lim="800000"/>
                                  <a:headEnd/>
                                  <a:tailEnd/>
                                </a:ln>
                              </wps:spPr>
                              <wps:txbx>
                                <w:txbxContent>
                                  <w:p w14:paraId="694FDBCE" w14:textId="77777777" w:rsidR="004E3164" w:rsidRPr="00DC7796" w:rsidRDefault="004E3164" w:rsidP="00D83422">
                                    <w:pPr>
                                      <w:ind w:firstLine="0"/>
                                      <w:jc w:val="center"/>
                                      <w:rPr>
                                        <w:color w:val="FF0000"/>
                                        <w:szCs w:val="24"/>
                                      </w:rPr>
                                    </w:pPr>
                                    <w:r w:rsidRPr="00DC7796">
                                      <w:rPr>
                                        <w:color w:val="FF0000"/>
                                        <w:szCs w:val="24"/>
                                      </w:rPr>
                                      <w:t>не</w:t>
                                    </w:r>
                                  </w:p>
                                </w:txbxContent>
                              </wps:txbx>
                              <wps:bodyPr rot="0" vert="horz" wrap="square" lIns="91440" tIns="45720" rIns="91440" bIns="45720" anchor="t" anchorCtr="0" upright="1">
                                <a:noAutofit/>
                              </wps:bodyPr>
                            </wps:wsp>
                            <wpg:grpSp>
                              <wpg:cNvPr id="925" name="Group 925"/>
                              <wpg:cNvGrpSpPr/>
                              <wpg:grpSpPr>
                                <a:xfrm>
                                  <a:off x="329610" y="0"/>
                                  <a:ext cx="2307750" cy="632977"/>
                                  <a:chOff x="0" y="0"/>
                                  <a:chExt cx="2307750" cy="632977"/>
                                </a:xfrm>
                              </wpg:grpSpPr>
                              <wpg:grpSp>
                                <wpg:cNvPr id="926" name="Group 926"/>
                                <wpg:cNvGrpSpPr/>
                                <wpg:grpSpPr>
                                  <a:xfrm>
                                    <a:off x="0" y="0"/>
                                    <a:ext cx="2307750" cy="581202"/>
                                    <a:chOff x="0" y="0"/>
                                    <a:chExt cx="2307750" cy="581202"/>
                                  </a:xfrm>
                                </wpg:grpSpPr>
                                <wps:wsp>
                                  <wps:cNvPr id="927" name="Diamond 635"/>
                                  <wps:cNvSpPr>
                                    <a:spLocks noChangeArrowheads="1"/>
                                  </wps:cNvSpPr>
                                  <wps:spPr bwMode="auto">
                                    <a:xfrm>
                                      <a:off x="0" y="170121"/>
                                      <a:ext cx="330200" cy="215900"/>
                                    </a:xfrm>
                                    <a:prstGeom prst="diamond">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ctr" anchorCtr="0" upright="1">
                                    <a:noAutofit/>
                                  </wps:bodyPr>
                                </wps:wsp>
                                <wps:wsp>
                                  <wps:cNvPr id="992" name="AutoShape 312"/>
                                  <wps:cNvCnPr/>
                                  <wps:spPr bwMode="auto">
                                    <a:xfrm>
                                      <a:off x="159488" y="404037"/>
                                      <a:ext cx="0" cy="17716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3" name="AutoShape 313"/>
                                  <wps:cNvCnPr/>
                                  <wps:spPr bwMode="auto">
                                    <a:xfrm>
                                      <a:off x="159488" y="0"/>
                                      <a:ext cx="0" cy="17716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4" name="AutoShape 314"/>
                                  <wps:cNvCnPr/>
                                  <wps:spPr bwMode="auto">
                                    <a:xfrm>
                                      <a:off x="350874" y="287079"/>
                                      <a:ext cx="1956876"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98" name="Text Box 316"/>
                                <wps:cNvSpPr txBox="1">
                                  <a:spLocks noChangeArrowheads="1"/>
                                </wps:cNvSpPr>
                                <wps:spPr bwMode="auto">
                                  <a:xfrm>
                                    <a:off x="786809" y="340242"/>
                                    <a:ext cx="375285" cy="292735"/>
                                  </a:xfrm>
                                  <a:prstGeom prst="rect">
                                    <a:avLst/>
                                  </a:prstGeom>
                                  <a:solidFill>
                                    <a:srgbClr val="FFFFFF"/>
                                  </a:solidFill>
                                  <a:ln w="9525">
                                    <a:solidFill>
                                      <a:srgbClr val="FFFFFF"/>
                                    </a:solidFill>
                                    <a:miter lim="800000"/>
                                    <a:headEnd/>
                                    <a:tailEnd/>
                                  </a:ln>
                                </wps:spPr>
                                <wps:txbx>
                                  <w:txbxContent>
                                    <w:p w14:paraId="054F54C2" w14:textId="77777777" w:rsidR="004E3164" w:rsidRPr="00DC7796" w:rsidRDefault="004E3164" w:rsidP="00D83422">
                                      <w:pPr>
                                        <w:ind w:firstLine="0"/>
                                        <w:jc w:val="center"/>
                                        <w:rPr>
                                          <w:szCs w:val="24"/>
                                        </w:rPr>
                                      </w:pPr>
                                      <w:r w:rsidRPr="00DC7796">
                                        <w:rPr>
                                          <w:szCs w:val="24"/>
                                        </w:rPr>
                                        <w:t>да</w:t>
                                      </w:r>
                                    </w:p>
                                  </w:txbxContent>
                                </wps:txbx>
                                <wps:bodyPr rot="0" vert="horz" wrap="square" lIns="91440" tIns="45720" rIns="91440" bIns="45720" anchor="t" anchorCtr="0" upright="1">
                                  <a:noAutofit/>
                                </wps:bodyPr>
                              </wps:wsp>
                            </wpg:grpSp>
                          </wpg:grpSp>
                        </wpg:grpSp>
                        <wpg:grpSp>
                          <wpg:cNvPr id="1099" name="Group 1099"/>
                          <wpg:cNvGrpSpPr/>
                          <wpg:grpSpPr>
                            <a:xfrm>
                              <a:off x="1307805" y="2573080"/>
                              <a:ext cx="2636520" cy="631825"/>
                              <a:chOff x="0" y="0"/>
                              <a:chExt cx="2637360" cy="632977"/>
                            </a:xfrm>
                          </wpg:grpSpPr>
                          <wps:wsp>
                            <wps:cNvPr id="1100" name="Text Box 315"/>
                            <wps:cNvSpPr txBox="1">
                              <a:spLocks noChangeArrowheads="1"/>
                            </wps:cNvSpPr>
                            <wps:spPr bwMode="auto">
                              <a:xfrm>
                                <a:off x="0" y="282471"/>
                                <a:ext cx="375285" cy="298233"/>
                              </a:xfrm>
                              <a:prstGeom prst="rect">
                                <a:avLst/>
                              </a:prstGeom>
                              <a:solidFill>
                                <a:srgbClr val="FFFFFF"/>
                              </a:solidFill>
                              <a:ln w="9525">
                                <a:solidFill>
                                  <a:srgbClr val="FFFFFF"/>
                                </a:solidFill>
                                <a:miter lim="800000"/>
                                <a:headEnd/>
                                <a:tailEnd/>
                              </a:ln>
                            </wps:spPr>
                            <wps:txbx>
                              <w:txbxContent>
                                <w:p w14:paraId="15D49CB6" w14:textId="77777777" w:rsidR="004E3164" w:rsidRPr="00DC7796" w:rsidRDefault="004E3164" w:rsidP="00D83422">
                                  <w:pPr>
                                    <w:ind w:firstLine="0"/>
                                    <w:jc w:val="center"/>
                                    <w:rPr>
                                      <w:color w:val="FF0000"/>
                                      <w:szCs w:val="24"/>
                                    </w:rPr>
                                  </w:pPr>
                                  <w:r w:rsidRPr="00DC7796">
                                    <w:rPr>
                                      <w:color w:val="FF0000"/>
                                      <w:szCs w:val="24"/>
                                    </w:rPr>
                                    <w:t>не</w:t>
                                  </w:r>
                                </w:p>
                              </w:txbxContent>
                            </wps:txbx>
                            <wps:bodyPr rot="0" vert="horz" wrap="square" lIns="91440" tIns="45720" rIns="91440" bIns="45720" anchor="t" anchorCtr="0" upright="1">
                              <a:noAutofit/>
                            </wps:bodyPr>
                          </wps:wsp>
                          <wpg:grpSp>
                            <wpg:cNvPr id="1101" name="Group 1101"/>
                            <wpg:cNvGrpSpPr/>
                            <wpg:grpSpPr>
                              <a:xfrm>
                                <a:off x="329610" y="0"/>
                                <a:ext cx="2307750" cy="632977"/>
                                <a:chOff x="0" y="0"/>
                                <a:chExt cx="2307750" cy="632977"/>
                              </a:xfrm>
                            </wpg:grpSpPr>
                            <wpg:grpSp>
                              <wpg:cNvPr id="1102" name="Group 1102"/>
                              <wpg:cNvGrpSpPr/>
                              <wpg:grpSpPr>
                                <a:xfrm>
                                  <a:off x="0" y="0"/>
                                  <a:ext cx="2307750" cy="581202"/>
                                  <a:chOff x="0" y="0"/>
                                  <a:chExt cx="2307750" cy="581202"/>
                                </a:xfrm>
                              </wpg:grpSpPr>
                              <wps:wsp>
                                <wps:cNvPr id="1103" name="Diamond 635"/>
                                <wps:cNvSpPr>
                                  <a:spLocks noChangeArrowheads="1"/>
                                </wps:cNvSpPr>
                                <wps:spPr bwMode="auto">
                                  <a:xfrm>
                                    <a:off x="0" y="170121"/>
                                    <a:ext cx="330200" cy="215900"/>
                                  </a:xfrm>
                                  <a:prstGeom prst="diamond">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ctr" anchorCtr="0" upright="1">
                                  <a:noAutofit/>
                                </wps:bodyPr>
                              </wps:wsp>
                              <wps:wsp>
                                <wps:cNvPr id="1111" name="AutoShape 312"/>
                                <wps:cNvCnPr/>
                                <wps:spPr bwMode="auto">
                                  <a:xfrm>
                                    <a:off x="159488" y="404037"/>
                                    <a:ext cx="0" cy="17716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6" name="AutoShape 313"/>
                                <wps:cNvCnPr/>
                                <wps:spPr bwMode="auto">
                                  <a:xfrm>
                                    <a:off x="159488" y="0"/>
                                    <a:ext cx="0" cy="17716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7" name="AutoShape 314"/>
                                <wps:cNvCnPr/>
                                <wps:spPr bwMode="auto">
                                  <a:xfrm>
                                    <a:off x="350874" y="287079"/>
                                    <a:ext cx="1956876"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288" name="Text Box 316"/>
                              <wps:cNvSpPr txBox="1">
                                <a:spLocks noChangeArrowheads="1"/>
                              </wps:cNvSpPr>
                              <wps:spPr bwMode="auto">
                                <a:xfrm>
                                  <a:off x="786809" y="340242"/>
                                  <a:ext cx="375285" cy="292735"/>
                                </a:xfrm>
                                <a:prstGeom prst="rect">
                                  <a:avLst/>
                                </a:prstGeom>
                                <a:solidFill>
                                  <a:srgbClr val="FFFFFF"/>
                                </a:solidFill>
                                <a:ln w="9525">
                                  <a:solidFill>
                                    <a:srgbClr val="FFFFFF"/>
                                  </a:solidFill>
                                  <a:miter lim="800000"/>
                                  <a:headEnd/>
                                  <a:tailEnd/>
                                </a:ln>
                              </wps:spPr>
                              <wps:txbx>
                                <w:txbxContent>
                                  <w:p w14:paraId="67C1FDFE" w14:textId="77777777" w:rsidR="004E3164" w:rsidRPr="00DC7796" w:rsidRDefault="004E3164" w:rsidP="00D83422">
                                    <w:pPr>
                                      <w:ind w:firstLine="0"/>
                                      <w:jc w:val="center"/>
                                      <w:rPr>
                                        <w:szCs w:val="24"/>
                                      </w:rPr>
                                    </w:pPr>
                                    <w:r w:rsidRPr="00DC7796">
                                      <w:rPr>
                                        <w:szCs w:val="24"/>
                                      </w:rPr>
                                      <w:t>да</w:t>
                                    </w:r>
                                  </w:p>
                                </w:txbxContent>
                              </wps:txbx>
                              <wps:bodyPr rot="0" vert="horz" wrap="square" lIns="91440" tIns="45720" rIns="91440" bIns="45720" anchor="t" anchorCtr="0" upright="1">
                                <a:noAutofit/>
                              </wps:bodyPr>
                            </wps:wsp>
                          </wpg:grpSp>
                        </wpg:grpSp>
                      </wpg:grpSp>
                      <wpg:grpSp>
                        <wpg:cNvPr id="1289" name="Group 1289"/>
                        <wpg:cNvGrpSpPr/>
                        <wpg:grpSpPr>
                          <a:xfrm>
                            <a:off x="1233377" y="3732028"/>
                            <a:ext cx="2636520" cy="637540"/>
                            <a:chOff x="0" y="0"/>
                            <a:chExt cx="2637360" cy="638475"/>
                          </a:xfrm>
                        </wpg:grpSpPr>
                        <wps:wsp>
                          <wps:cNvPr id="1290" name="Text Box 315"/>
                          <wps:cNvSpPr txBox="1">
                            <a:spLocks noChangeArrowheads="1"/>
                          </wps:cNvSpPr>
                          <wps:spPr bwMode="auto">
                            <a:xfrm>
                              <a:off x="0" y="340242"/>
                              <a:ext cx="375285" cy="298233"/>
                            </a:xfrm>
                            <a:prstGeom prst="rect">
                              <a:avLst/>
                            </a:prstGeom>
                            <a:solidFill>
                              <a:srgbClr val="FFFFFF"/>
                            </a:solidFill>
                            <a:ln w="9525">
                              <a:solidFill>
                                <a:srgbClr val="FFFFFF"/>
                              </a:solidFill>
                              <a:miter lim="800000"/>
                              <a:headEnd/>
                              <a:tailEnd/>
                            </a:ln>
                          </wps:spPr>
                          <wps:txbx>
                            <w:txbxContent>
                              <w:p w14:paraId="7E000A38" w14:textId="77777777" w:rsidR="004E3164" w:rsidRPr="00DC7796" w:rsidRDefault="004E3164" w:rsidP="00D83422">
                                <w:pPr>
                                  <w:ind w:firstLine="0"/>
                                  <w:jc w:val="center"/>
                                  <w:rPr>
                                    <w:color w:val="FF0000"/>
                                    <w:szCs w:val="24"/>
                                  </w:rPr>
                                </w:pPr>
                                <w:r w:rsidRPr="00DC7796">
                                  <w:rPr>
                                    <w:color w:val="FF0000"/>
                                    <w:szCs w:val="24"/>
                                  </w:rPr>
                                  <w:t>не</w:t>
                                </w:r>
                              </w:p>
                            </w:txbxContent>
                          </wps:txbx>
                          <wps:bodyPr rot="0" vert="horz" wrap="square" lIns="91440" tIns="45720" rIns="91440" bIns="45720" anchor="t" anchorCtr="0" upright="1">
                            <a:noAutofit/>
                          </wps:bodyPr>
                        </wps:wsp>
                        <wpg:grpSp>
                          <wpg:cNvPr id="1291" name="Group 1291"/>
                          <wpg:cNvGrpSpPr/>
                          <wpg:grpSpPr>
                            <a:xfrm>
                              <a:off x="329610" y="0"/>
                              <a:ext cx="2307750" cy="632977"/>
                              <a:chOff x="0" y="0"/>
                              <a:chExt cx="2307750" cy="632977"/>
                            </a:xfrm>
                          </wpg:grpSpPr>
                          <wpg:grpSp>
                            <wpg:cNvPr id="1292" name="Group 1292"/>
                            <wpg:cNvGrpSpPr/>
                            <wpg:grpSpPr>
                              <a:xfrm>
                                <a:off x="0" y="0"/>
                                <a:ext cx="2307750" cy="581202"/>
                                <a:chOff x="0" y="0"/>
                                <a:chExt cx="2307750" cy="581202"/>
                              </a:xfrm>
                            </wpg:grpSpPr>
                            <wps:wsp>
                              <wps:cNvPr id="1293" name="Diamond 635"/>
                              <wps:cNvSpPr>
                                <a:spLocks noChangeArrowheads="1"/>
                              </wps:cNvSpPr>
                              <wps:spPr bwMode="auto">
                                <a:xfrm>
                                  <a:off x="0" y="170121"/>
                                  <a:ext cx="330200" cy="215900"/>
                                </a:xfrm>
                                <a:prstGeom prst="diamond">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ctr" anchorCtr="0" upright="1">
                                <a:noAutofit/>
                              </wps:bodyPr>
                            </wps:wsp>
                            <wps:wsp>
                              <wps:cNvPr id="1294" name="AutoShape 312"/>
                              <wps:cNvCnPr/>
                              <wps:spPr bwMode="auto">
                                <a:xfrm>
                                  <a:off x="159488" y="404037"/>
                                  <a:ext cx="0" cy="17716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2" name="AutoShape 313"/>
                              <wps:cNvCnPr/>
                              <wps:spPr bwMode="auto">
                                <a:xfrm>
                                  <a:off x="159488" y="0"/>
                                  <a:ext cx="0" cy="17716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3" name="AutoShape 314"/>
                              <wps:cNvCnPr/>
                              <wps:spPr bwMode="auto">
                                <a:xfrm>
                                  <a:off x="350874" y="287079"/>
                                  <a:ext cx="1956876"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324" name="Text Box 316"/>
                            <wps:cNvSpPr txBox="1">
                              <a:spLocks noChangeArrowheads="1"/>
                            </wps:cNvSpPr>
                            <wps:spPr bwMode="auto">
                              <a:xfrm>
                                <a:off x="786809" y="340242"/>
                                <a:ext cx="375285" cy="292735"/>
                              </a:xfrm>
                              <a:prstGeom prst="rect">
                                <a:avLst/>
                              </a:prstGeom>
                              <a:solidFill>
                                <a:srgbClr val="FFFFFF"/>
                              </a:solidFill>
                              <a:ln w="9525">
                                <a:solidFill>
                                  <a:srgbClr val="FFFFFF"/>
                                </a:solidFill>
                                <a:miter lim="800000"/>
                                <a:headEnd/>
                                <a:tailEnd/>
                              </a:ln>
                            </wps:spPr>
                            <wps:txbx>
                              <w:txbxContent>
                                <w:p w14:paraId="0B3CEE32" w14:textId="77777777" w:rsidR="004E3164" w:rsidRPr="00DC7796" w:rsidRDefault="004E3164" w:rsidP="00D83422">
                                  <w:pPr>
                                    <w:ind w:firstLine="0"/>
                                    <w:jc w:val="center"/>
                                    <w:rPr>
                                      <w:szCs w:val="24"/>
                                    </w:rPr>
                                  </w:pPr>
                                  <w:r w:rsidRPr="00DC7796">
                                    <w:rPr>
                                      <w:szCs w:val="24"/>
                                    </w:rPr>
                                    <w:t>да</w:t>
                                  </w:r>
                                </w:p>
                              </w:txbxContent>
                            </wps:txbx>
                            <wps:bodyPr rot="0" vert="horz" wrap="square" lIns="91440" tIns="45720" rIns="91440" bIns="45720" anchor="t" anchorCtr="0" upright="1">
                              <a:noAutofit/>
                            </wps:bodyPr>
                          </wps:wsp>
                        </wpg:grpSp>
                      </wpg:grpSp>
                      <wpg:grpSp>
                        <wpg:cNvPr id="1325" name="Group 1325"/>
                        <wpg:cNvGrpSpPr/>
                        <wpg:grpSpPr>
                          <a:xfrm>
                            <a:off x="1233377" y="4869712"/>
                            <a:ext cx="2636520" cy="637540"/>
                            <a:chOff x="0" y="0"/>
                            <a:chExt cx="2637360" cy="638475"/>
                          </a:xfrm>
                        </wpg:grpSpPr>
                        <wps:wsp>
                          <wps:cNvPr id="1326" name="Text Box 315"/>
                          <wps:cNvSpPr txBox="1">
                            <a:spLocks noChangeArrowheads="1"/>
                          </wps:cNvSpPr>
                          <wps:spPr bwMode="auto">
                            <a:xfrm>
                              <a:off x="0" y="340242"/>
                              <a:ext cx="375285" cy="298233"/>
                            </a:xfrm>
                            <a:prstGeom prst="rect">
                              <a:avLst/>
                            </a:prstGeom>
                            <a:solidFill>
                              <a:srgbClr val="FFFFFF"/>
                            </a:solidFill>
                            <a:ln w="9525">
                              <a:solidFill>
                                <a:srgbClr val="FFFFFF"/>
                              </a:solidFill>
                              <a:miter lim="800000"/>
                              <a:headEnd/>
                              <a:tailEnd/>
                            </a:ln>
                          </wps:spPr>
                          <wps:txbx>
                            <w:txbxContent>
                              <w:p w14:paraId="507C39B1" w14:textId="77777777" w:rsidR="004E3164" w:rsidRPr="00DC7796" w:rsidRDefault="004E3164" w:rsidP="00D83422">
                                <w:pPr>
                                  <w:ind w:firstLine="0"/>
                                  <w:jc w:val="center"/>
                                  <w:rPr>
                                    <w:color w:val="FF0000"/>
                                    <w:szCs w:val="24"/>
                                  </w:rPr>
                                </w:pPr>
                                <w:r w:rsidRPr="00DC7796">
                                  <w:rPr>
                                    <w:color w:val="FF0000"/>
                                    <w:szCs w:val="24"/>
                                  </w:rPr>
                                  <w:t>не</w:t>
                                </w:r>
                              </w:p>
                            </w:txbxContent>
                          </wps:txbx>
                          <wps:bodyPr rot="0" vert="horz" wrap="square" lIns="91440" tIns="45720" rIns="91440" bIns="45720" anchor="t" anchorCtr="0" upright="1">
                            <a:noAutofit/>
                          </wps:bodyPr>
                        </wps:wsp>
                        <wpg:grpSp>
                          <wpg:cNvPr id="1327" name="Group 1327"/>
                          <wpg:cNvGrpSpPr/>
                          <wpg:grpSpPr>
                            <a:xfrm>
                              <a:off x="329610" y="0"/>
                              <a:ext cx="2307750" cy="632977"/>
                              <a:chOff x="0" y="0"/>
                              <a:chExt cx="2307750" cy="632977"/>
                            </a:xfrm>
                          </wpg:grpSpPr>
                          <wpg:grpSp>
                            <wpg:cNvPr id="1328" name="Group 1328"/>
                            <wpg:cNvGrpSpPr/>
                            <wpg:grpSpPr>
                              <a:xfrm>
                                <a:off x="0" y="0"/>
                                <a:ext cx="2307750" cy="581202"/>
                                <a:chOff x="0" y="0"/>
                                <a:chExt cx="2307750" cy="581202"/>
                              </a:xfrm>
                            </wpg:grpSpPr>
                            <wps:wsp>
                              <wps:cNvPr id="1329" name="Diamond 635"/>
                              <wps:cNvSpPr>
                                <a:spLocks noChangeArrowheads="1"/>
                              </wps:cNvSpPr>
                              <wps:spPr bwMode="auto">
                                <a:xfrm>
                                  <a:off x="0" y="170121"/>
                                  <a:ext cx="330200" cy="215900"/>
                                </a:xfrm>
                                <a:prstGeom prst="diamond">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ctr" anchorCtr="0" upright="1">
                                <a:noAutofit/>
                              </wps:bodyPr>
                            </wps:wsp>
                            <wps:wsp>
                              <wps:cNvPr id="1330" name="AutoShape 312"/>
                              <wps:cNvCnPr/>
                              <wps:spPr bwMode="auto">
                                <a:xfrm>
                                  <a:off x="159488" y="404037"/>
                                  <a:ext cx="0" cy="17716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1" name="AutoShape 313"/>
                              <wps:cNvCnPr/>
                              <wps:spPr bwMode="auto">
                                <a:xfrm>
                                  <a:off x="159488" y="0"/>
                                  <a:ext cx="0" cy="17716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2" name="AutoShape 314"/>
                              <wps:cNvCnPr/>
                              <wps:spPr bwMode="auto">
                                <a:xfrm>
                                  <a:off x="350874" y="287079"/>
                                  <a:ext cx="1956876"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333" name="Text Box 316"/>
                            <wps:cNvSpPr txBox="1">
                              <a:spLocks noChangeArrowheads="1"/>
                            </wps:cNvSpPr>
                            <wps:spPr bwMode="auto">
                              <a:xfrm>
                                <a:off x="786809" y="340242"/>
                                <a:ext cx="375285" cy="292735"/>
                              </a:xfrm>
                              <a:prstGeom prst="rect">
                                <a:avLst/>
                              </a:prstGeom>
                              <a:solidFill>
                                <a:srgbClr val="FFFFFF"/>
                              </a:solidFill>
                              <a:ln w="9525">
                                <a:solidFill>
                                  <a:srgbClr val="FFFFFF"/>
                                </a:solidFill>
                                <a:miter lim="800000"/>
                                <a:headEnd/>
                                <a:tailEnd/>
                              </a:ln>
                            </wps:spPr>
                            <wps:txbx>
                              <w:txbxContent>
                                <w:p w14:paraId="3E43C300" w14:textId="77777777" w:rsidR="004E3164" w:rsidRPr="00DC7796" w:rsidRDefault="004E3164" w:rsidP="00D83422">
                                  <w:pPr>
                                    <w:ind w:firstLine="0"/>
                                    <w:jc w:val="center"/>
                                    <w:rPr>
                                      <w:szCs w:val="24"/>
                                    </w:rPr>
                                  </w:pPr>
                                  <w:r w:rsidRPr="00DC7796">
                                    <w:rPr>
                                      <w:szCs w:val="24"/>
                                    </w:rPr>
                                    <w:t>да</w:t>
                                  </w:r>
                                </w:p>
                              </w:txbxContent>
                            </wps:txbx>
                            <wps:bodyPr rot="0" vert="horz" wrap="square" lIns="91440" tIns="45720" rIns="91440" bIns="45720" anchor="t" anchorCtr="0" upright="1">
                              <a:noAutofit/>
                            </wps:bodyPr>
                          </wps:wsp>
                        </wpg:grpSp>
                      </wpg:grpSp>
                    </wpg:wgp>
                  </a:graphicData>
                </a:graphic>
              </wp:inline>
            </w:drawing>
          </mc:Choice>
          <mc:Fallback>
            <w:pict>
              <v:group w14:anchorId="0525909B" id="Group 238" o:spid="_x0000_s1380" style="width:509.6pt;height:462.7pt;mso-position-horizontal-relative:char;mso-position-vertical-relative:line" coordsize="69425,58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">
                <v:shape id="AutoShape 365" o:spid="_x0000_s1381" type="#_x0000_t109" style="position:absolute;left:425;top:55714;width:3476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" strokecolor="#fabf8f" strokeweight="1pt">
                  <v:fill color2="#fbd4b4" focus="100%" type="gradient"/>
                  <v:shadow on="t" color="#974706" opacity=".5" offset="1pt"/>
                  <v:textbox>
                    <w:txbxContent>
                      <w:p w14:paraId="6F00B56D" w14:textId="77777777" w:rsidR="004E3164" w:rsidRPr="00F12C17" w:rsidRDefault="004E3164" w:rsidP="00D83422">
                        <w:pPr>
                          <w:ind w:firstLine="0"/>
                          <w:jc w:val="center"/>
                          <w:rPr>
                            <w:b/>
                            <w:color w:val="FF0000"/>
                          </w:rPr>
                        </w:pPr>
                        <w:r w:rsidRPr="00F12C17">
                          <w:rPr>
                            <w:b/>
                            <w:color w:val="FF0000"/>
                            <w:szCs w:val="24"/>
                          </w:rPr>
                          <w:t xml:space="preserve">Несъвместима ДП </w:t>
                        </w:r>
                      </w:p>
                    </w:txbxContent>
                  </v:textbox>
                </v:shape>
                <v:shape id="AutoShape 326" o:spid="_x0000_s1382" type="#_x0000_t109" style="position:absolute;left:425;top:43912;width:34766;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" strokecolor="#95b3d7" strokeweight="1pt">
                  <v:fill color2="#b8cce4" focus="100%" type="gradient"/>
                  <v:shadow on="t" color="#243f60" opacity=".5" offset="1pt"/>
                  <v:textbox>
                    <w:txbxContent>
                      <w:p w14:paraId="0478CCA4" w14:textId="77777777" w:rsidR="004E3164" w:rsidRPr="00B80E14" w:rsidRDefault="004E3164" w:rsidP="00D83422">
                        <w:pPr>
                          <w:ind w:firstLine="0"/>
                          <w:jc w:val="center"/>
                          <w:rPr>
                            <w:sz w:val="20"/>
                          </w:rPr>
                        </w:pPr>
                        <w:r w:rsidRPr="00B80E14">
                          <w:rPr>
                            <w:sz w:val="20"/>
                          </w:rPr>
                          <w:t>ДП, подлежаща на уведомление (нотификация) до ЕК</w:t>
                        </w:r>
                      </w:p>
                      <w:p w14:paraId="294F514C" w14:textId="77777777" w:rsidR="004E3164" w:rsidRPr="00B80E14" w:rsidRDefault="004E3164" w:rsidP="00D83422">
                        <w:pPr>
                          <w:ind w:firstLine="0"/>
                          <w:jc w:val="center"/>
                          <w:rPr>
                            <w:sz w:val="20"/>
                          </w:rPr>
                        </w:pPr>
                      </w:p>
                    </w:txbxContent>
                  </v:textbox>
                </v:shape>
                <v:shape id="AutoShape 308" o:spid="_x0000_s1383" type="#_x0000_t109" style="position:absolute;left:39234;top:37851;width:29978;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" stroked="f" strokecolor="#c2d69b" strokeweight="1pt">
                  <v:fill color2="#d6e3bc" focus="100%" type="gradient"/>
                  <v:shadow on="t" color="#4e6128" opacity=".5" offset="1pt"/>
                  <v:textbox>
                    <w:txbxContent>
                      <w:p w14:paraId="778CA0C7" w14:textId="77777777" w:rsidR="004E3164" w:rsidRDefault="004E3164" w:rsidP="00D83422">
                        <w:pPr>
                          <w:ind w:firstLine="0"/>
                          <w:jc w:val="center"/>
                        </w:pPr>
                        <w:r>
                          <w:rPr>
                            <w:sz w:val="17"/>
                          </w:rPr>
                          <w:t xml:space="preserve">Прилага се  по реда на  </w:t>
                        </w:r>
                        <w:r>
                          <w:t xml:space="preserve">чл. </w:t>
                        </w:r>
                        <w:r w:rsidRPr="00CB0585">
                          <w:t>10 от ПП</w:t>
                        </w:r>
                        <w:r>
                          <w:t xml:space="preserve"> ЗДП</w:t>
                        </w:r>
                      </w:p>
                      <w:p w14:paraId="6900DAD1" w14:textId="77777777" w:rsidR="004E3164" w:rsidRDefault="004E3164" w:rsidP="00D83422">
                        <w:pPr>
                          <w:ind w:firstLine="0"/>
                          <w:jc w:val="center"/>
                          <w:rPr>
                            <w:sz w:val="17"/>
                          </w:rPr>
                        </w:pPr>
                      </w:p>
                      <w:p w14:paraId="60D76CC0" w14:textId="77777777" w:rsidR="004E3164" w:rsidRDefault="004E3164" w:rsidP="00D83422">
                        <w:pPr>
                          <w:ind w:firstLine="0"/>
                          <w:jc w:val="center"/>
                          <w:rPr>
                            <w:sz w:val="17"/>
                          </w:rPr>
                        </w:pPr>
                      </w:p>
                      <w:p w14:paraId="4373E003" w14:textId="77777777" w:rsidR="004E3164" w:rsidRDefault="004E3164" w:rsidP="00D83422">
                        <w:pPr>
                          <w:ind w:firstLine="0"/>
                          <w:jc w:val="center"/>
                          <w:rPr>
                            <w:sz w:val="17"/>
                          </w:rPr>
                        </w:pPr>
                      </w:p>
                      <w:p w14:paraId="4F6599E5" w14:textId="77777777" w:rsidR="004E3164" w:rsidRDefault="004E3164" w:rsidP="00D83422">
                        <w:pPr>
                          <w:ind w:firstLine="0"/>
                          <w:jc w:val="center"/>
                          <w:rPr>
                            <w:sz w:val="17"/>
                          </w:rPr>
                        </w:pPr>
                      </w:p>
                      <w:p w14:paraId="07CDD8FC" w14:textId="77777777" w:rsidR="004E3164" w:rsidRDefault="004E3164" w:rsidP="00D83422">
                        <w:pPr>
                          <w:ind w:firstLine="0"/>
                          <w:jc w:val="center"/>
                          <w:rPr>
                            <w:sz w:val="17"/>
                          </w:rPr>
                        </w:pPr>
                      </w:p>
                      <w:p w14:paraId="7F09F982" w14:textId="77777777" w:rsidR="004E3164" w:rsidRDefault="004E3164" w:rsidP="00D83422">
                        <w:pPr>
                          <w:ind w:firstLine="0"/>
                          <w:jc w:val="center"/>
                          <w:rPr>
                            <w:sz w:val="18"/>
                            <w:szCs w:val="18"/>
                          </w:rPr>
                        </w:pPr>
                        <w:r w:rsidRPr="00D5620C">
                          <w:rPr>
                            <w:sz w:val="18"/>
                            <w:szCs w:val="18"/>
                          </w:rPr>
                          <w:t xml:space="preserve">Не подлежи на уведомление. </w:t>
                        </w:r>
                      </w:p>
                      <w:p w14:paraId="3CB5F8BF" w14:textId="77777777" w:rsidR="004E3164" w:rsidRPr="00B70B70" w:rsidRDefault="004E3164" w:rsidP="00D83422">
                        <w:pPr>
                          <w:ind w:firstLine="0"/>
                          <w:jc w:val="center"/>
                          <w:rPr>
                            <w:sz w:val="36"/>
                          </w:rPr>
                        </w:pPr>
                        <w:r w:rsidRPr="00D5620C">
                          <w:rPr>
                            <w:color w:val="FF0000"/>
                            <w:sz w:val="18"/>
                            <w:szCs w:val="18"/>
                          </w:rPr>
                          <w:t>Прилагат се разпоредбите и правилата от нормативните документи с които са дефинирани съответната категории</w:t>
                        </w:r>
                        <w:r w:rsidRPr="0095602E">
                          <w:rPr>
                            <w:color w:val="FF0000"/>
                            <w:sz w:val="17"/>
                          </w:rPr>
                          <w:t>.</w:t>
                        </w:r>
                      </w:p>
                      <w:p w14:paraId="2C148F6E" w14:textId="77777777" w:rsidR="004E3164" w:rsidRDefault="004E3164" w:rsidP="00D83422">
                        <w:pPr>
                          <w:ind w:firstLine="0"/>
                          <w:jc w:val="center"/>
                        </w:pPr>
                      </w:p>
                    </w:txbxContent>
                  </v:textbox>
                </v:shape>
                <v:shape id="AutoShape 308" o:spid="_x0000_s1384" type="#_x0000_t109" style="position:absolute;left:38489;top:50398;width:29979;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" stroked="f" strokecolor="#c2d69b" strokeweight="1pt">
                  <v:fill color2="#d6e3bc" focus="100%" type="gradient"/>
                  <v:shadow on="t" color="#4e6128" opacity=".5" offset="1pt"/>
                  <v:textbox>
                    <w:txbxContent>
                      <w:p w14:paraId="46DE7809" w14:textId="77777777" w:rsidR="004E3164" w:rsidRDefault="004E3164" w:rsidP="00D83422">
                        <w:pPr>
                          <w:ind w:firstLine="0"/>
                          <w:jc w:val="center"/>
                        </w:pPr>
                        <w:r>
                          <w:rPr>
                            <w:sz w:val="17"/>
                          </w:rPr>
                          <w:t xml:space="preserve">Прилага се  по реда на  </w:t>
                        </w:r>
                        <w:r>
                          <w:t xml:space="preserve">чл. </w:t>
                        </w:r>
                        <w:r w:rsidRPr="00CB0585">
                          <w:t>4 от ПП</w:t>
                        </w:r>
                        <w:r>
                          <w:t xml:space="preserve"> ЗДП</w:t>
                        </w:r>
                      </w:p>
                      <w:p w14:paraId="5FAFDCDD" w14:textId="77777777" w:rsidR="004E3164" w:rsidRDefault="004E3164" w:rsidP="00D83422">
                        <w:pPr>
                          <w:ind w:firstLine="0"/>
                          <w:jc w:val="center"/>
                          <w:rPr>
                            <w:sz w:val="17"/>
                          </w:rPr>
                        </w:pPr>
                      </w:p>
                      <w:p w14:paraId="78B90431" w14:textId="77777777" w:rsidR="004E3164" w:rsidRDefault="004E3164" w:rsidP="00D83422">
                        <w:pPr>
                          <w:ind w:firstLine="0"/>
                          <w:jc w:val="center"/>
                          <w:rPr>
                            <w:sz w:val="17"/>
                          </w:rPr>
                        </w:pPr>
                      </w:p>
                      <w:p w14:paraId="6CE2B9F1" w14:textId="77777777" w:rsidR="004E3164" w:rsidRDefault="004E3164" w:rsidP="00D83422">
                        <w:pPr>
                          <w:ind w:firstLine="0"/>
                          <w:jc w:val="center"/>
                          <w:rPr>
                            <w:sz w:val="17"/>
                          </w:rPr>
                        </w:pPr>
                      </w:p>
                      <w:p w14:paraId="5104535A" w14:textId="77777777" w:rsidR="004E3164" w:rsidRDefault="004E3164" w:rsidP="00D83422">
                        <w:pPr>
                          <w:ind w:firstLine="0"/>
                          <w:jc w:val="center"/>
                          <w:rPr>
                            <w:sz w:val="17"/>
                          </w:rPr>
                        </w:pPr>
                      </w:p>
                      <w:p w14:paraId="2DFE86D4" w14:textId="77777777" w:rsidR="004E3164" w:rsidRDefault="004E3164" w:rsidP="00D83422">
                        <w:pPr>
                          <w:ind w:firstLine="0"/>
                          <w:jc w:val="center"/>
                          <w:rPr>
                            <w:sz w:val="17"/>
                          </w:rPr>
                        </w:pPr>
                      </w:p>
                      <w:p w14:paraId="18873268" w14:textId="77777777" w:rsidR="004E3164" w:rsidRDefault="004E3164" w:rsidP="00D83422">
                        <w:pPr>
                          <w:ind w:firstLine="0"/>
                          <w:jc w:val="center"/>
                          <w:rPr>
                            <w:sz w:val="18"/>
                            <w:szCs w:val="18"/>
                          </w:rPr>
                        </w:pPr>
                        <w:r w:rsidRPr="00D5620C">
                          <w:rPr>
                            <w:sz w:val="18"/>
                            <w:szCs w:val="18"/>
                          </w:rPr>
                          <w:t xml:space="preserve">Не подлежи на уведомление. </w:t>
                        </w:r>
                      </w:p>
                      <w:p w14:paraId="15A58CE3" w14:textId="77777777" w:rsidR="004E3164" w:rsidRPr="00B70B70" w:rsidRDefault="004E3164" w:rsidP="00D83422">
                        <w:pPr>
                          <w:ind w:firstLine="0"/>
                          <w:jc w:val="center"/>
                          <w:rPr>
                            <w:sz w:val="36"/>
                          </w:rPr>
                        </w:pPr>
                        <w:r w:rsidRPr="00D5620C">
                          <w:rPr>
                            <w:color w:val="FF0000"/>
                            <w:sz w:val="18"/>
                            <w:szCs w:val="18"/>
                          </w:rPr>
                          <w:t>Прилагат се разпоредбите и правилата от нормативните документи с които са дефинирани съответната категории</w:t>
                        </w:r>
                        <w:r w:rsidRPr="0095602E">
                          <w:rPr>
                            <w:color w:val="FF0000"/>
                            <w:sz w:val="17"/>
                          </w:rPr>
                          <w:t>.</w:t>
                        </w:r>
                      </w:p>
                      <w:p w14:paraId="0B1A906C" w14:textId="77777777" w:rsidR="004E3164" w:rsidRDefault="004E3164" w:rsidP="00D83422">
                        <w:pPr>
                          <w:ind w:firstLine="0"/>
                          <w:jc w:val="center"/>
                        </w:pPr>
                      </w:p>
                    </w:txbxContent>
                  </v:textbox>
                </v:shape>
                <v:group id="Group 243" o:spid="_x0000_s1385" style="position:absolute;width:69425;height:36256" coordsize="69425,3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AutoShape 326" o:spid="_x0000_s1386" type="#_x0000_t109" style="position:absolute;left:637;top:32110;width:34767;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" strokecolor="#95b3d7" strokeweight="1pt">
                    <v:fill color2="#b8cce4" focus="100%" type="gradient"/>
                    <v:shadow on="t" color="#243f60" opacity=".5" offset="1pt"/>
                    <v:textbox>
                      <w:txbxContent>
                        <w:p w14:paraId="03CD313D" w14:textId="77777777" w:rsidR="004E3164" w:rsidRPr="00B80E14" w:rsidRDefault="004E3164" w:rsidP="00D83422">
                          <w:pPr>
                            <w:ind w:firstLine="0"/>
                            <w:jc w:val="center"/>
                            <w:rPr>
                              <w:sz w:val="20"/>
                            </w:rPr>
                          </w:pPr>
                          <w:r w:rsidRPr="00B80E14">
                            <w:rPr>
                              <w:sz w:val="20"/>
                            </w:rPr>
                            <w:t xml:space="preserve">ДП, освободена от задължението за уведомяване, различно от ОРГО   </w:t>
                          </w:r>
                        </w:p>
                      </w:txbxContent>
                    </v:textbox>
                  </v:shape>
                  <v:shape id="AutoShape 326" o:spid="_x0000_s1387" type="#_x0000_t109" style="position:absolute;left:425;top:21265;width:34766;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" strokecolor="#95b3d7" strokeweight="1pt">
                    <v:fill color2="#b8cce4" focus="100%" type="gradient"/>
                    <v:shadow on="t" color="#243f60" opacity=".5" offset="1pt"/>
                    <v:textbox>
                      <w:txbxContent>
                        <w:p w14:paraId="39A5831C" w14:textId="77777777" w:rsidR="004E3164" w:rsidRPr="00B80E14" w:rsidRDefault="004E3164" w:rsidP="00D83422">
                          <w:pPr>
                            <w:ind w:firstLine="0"/>
                            <w:jc w:val="center"/>
                            <w:rPr>
                              <w:sz w:val="20"/>
                            </w:rPr>
                          </w:pPr>
                          <w:r w:rsidRPr="00B80E14">
                            <w:rPr>
                              <w:sz w:val="20"/>
                            </w:rPr>
                            <w:t xml:space="preserve"> ДП, попадаща в обхвата на  ОРГО, но подлежаща на индивидуално уведомление</w:t>
                          </w:r>
                        </w:p>
                      </w:txbxContent>
                    </v:textbox>
                  </v:shape>
                  <v:shape id="AutoShape 308" o:spid="_x0000_s1388" type="#_x0000_t109" style="position:absolute;left:39234;top:27006;width:29978;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" stroked="f" strokecolor="#c2d69b" strokeweight="1pt">
                    <v:fill color2="#d6e3bc" focus="100%" type="gradient"/>
                    <v:shadow on="t" color="#4e6128" opacity=".5" offset="1pt"/>
                    <v:textbox>
                      <w:txbxContent>
                        <w:p w14:paraId="29050386" w14:textId="77777777" w:rsidR="004E3164" w:rsidRDefault="004E3164" w:rsidP="00D83422">
                          <w:pPr>
                            <w:ind w:firstLine="0"/>
                            <w:jc w:val="center"/>
                          </w:pPr>
                          <w:r>
                            <w:rPr>
                              <w:sz w:val="17"/>
                            </w:rPr>
                            <w:t xml:space="preserve">Прилага се  по реда на  </w:t>
                          </w:r>
                          <w:r>
                            <w:t xml:space="preserve">чл. </w:t>
                          </w:r>
                          <w:r w:rsidRPr="00737E35">
                            <w:rPr>
                              <w:lang w:val="en-US"/>
                            </w:rPr>
                            <w:t xml:space="preserve">27, чл. 28 и чл. 29 от ЗДП, чл. 4 и глава 4 от ПП </w:t>
                          </w:r>
                          <w:r>
                            <w:t>ЗДП</w:t>
                          </w:r>
                        </w:p>
                        <w:p w14:paraId="4064EFCA" w14:textId="77777777" w:rsidR="004E3164" w:rsidRDefault="004E3164" w:rsidP="00D83422">
                          <w:pPr>
                            <w:ind w:firstLine="0"/>
                            <w:jc w:val="center"/>
                            <w:rPr>
                              <w:sz w:val="17"/>
                            </w:rPr>
                          </w:pPr>
                        </w:p>
                        <w:p w14:paraId="7B4FF67D" w14:textId="77777777" w:rsidR="004E3164" w:rsidRDefault="004E3164" w:rsidP="00D83422">
                          <w:pPr>
                            <w:ind w:firstLine="0"/>
                            <w:jc w:val="center"/>
                            <w:rPr>
                              <w:sz w:val="17"/>
                            </w:rPr>
                          </w:pPr>
                        </w:p>
                        <w:p w14:paraId="45B01F02" w14:textId="77777777" w:rsidR="004E3164" w:rsidRDefault="004E3164" w:rsidP="00D83422">
                          <w:pPr>
                            <w:ind w:firstLine="0"/>
                            <w:jc w:val="center"/>
                            <w:rPr>
                              <w:sz w:val="17"/>
                            </w:rPr>
                          </w:pPr>
                        </w:p>
                        <w:p w14:paraId="10A26479" w14:textId="77777777" w:rsidR="004E3164" w:rsidRDefault="004E3164" w:rsidP="00D83422">
                          <w:pPr>
                            <w:ind w:firstLine="0"/>
                            <w:jc w:val="center"/>
                            <w:rPr>
                              <w:sz w:val="17"/>
                            </w:rPr>
                          </w:pPr>
                        </w:p>
                        <w:p w14:paraId="40F53A24" w14:textId="77777777" w:rsidR="004E3164" w:rsidRDefault="004E3164" w:rsidP="00D83422">
                          <w:pPr>
                            <w:ind w:firstLine="0"/>
                            <w:jc w:val="center"/>
                            <w:rPr>
                              <w:sz w:val="17"/>
                            </w:rPr>
                          </w:pPr>
                        </w:p>
                        <w:p w14:paraId="1AC45C29" w14:textId="77777777" w:rsidR="004E3164" w:rsidRDefault="004E3164" w:rsidP="00D83422">
                          <w:pPr>
                            <w:ind w:firstLine="0"/>
                            <w:jc w:val="center"/>
                            <w:rPr>
                              <w:sz w:val="18"/>
                              <w:szCs w:val="18"/>
                            </w:rPr>
                          </w:pPr>
                          <w:r w:rsidRPr="00D5620C">
                            <w:rPr>
                              <w:sz w:val="18"/>
                              <w:szCs w:val="18"/>
                            </w:rPr>
                            <w:t xml:space="preserve">Не подлежи на уведомление. </w:t>
                          </w:r>
                        </w:p>
                        <w:p w14:paraId="7A1045A4" w14:textId="77777777" w:rsidR="004E3164" w:rsidRPr="00B70B70" w:rsidRDefault="004E3164" w:rsidP="00D83422">
                          <w:pPr>
                            <w:ind w:firstLine="0"/>
                            <w:jc w:val="center"/>
                            <w:rPr>
                              <w:sz w:val="36"/>
                            </w:rPr>
                          </w:pPr>
                          <w:r w:rsidRPr="00D5620C">
                            <w:rPr>
                              <w:color w:val="FF0000"/>
                              <w:sz w:val="18"/>
                              <w:szCs w:val="18"/>
                            </w:rPr>
                            <w:t>Прилагат се разпоредбите и правилата от нормативните документи с които са дефинирани съответната категории</w:t>
                          </w:r>
                          <w:r w:rsidRPr="0095602E">
                            <w:rPr>
                              <w:color w:val="FF0000"/>
                              <w:sz w:val="17"/>
                            </w:rPr>
                            <w:t>.</w:t>
                          </w:r>
                        </w:p>
                        <w:p w14:paraId="5D4C9FFC" w14:textId="77777777" w:rsidR="004E3164" w:rsidRDefault="004E3164" w:rsidP="00D83422">
                          <w:pPr>
                            <w:ind w:firstLine="0"/>
                            <w:jc w:val="center"/>
                          </w:pPr>
                        </w:p>
                      </w:txbxContent>
                    </v:textbox>
                  </v:shape>
                  <v:group id="Group 722" o:spid="_x0000_s1389" style="position:absolute;width:69425;height:20835" coordsize="69425,2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AutoShape 308" o:spid="_x0000_s1390" type="#_x0000_t109" style="position:absolute;left:39446;top:5422;width:29979;height:4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" stroked="f" strokecolor="#c2d69b" strokeweight="1pt">
                      <v:fill color2="#d6e3bc" focus="100%" type="gradient"/>
                      <v:shadow on="t" color="#4e6128" opacity=".5" offset="1pt"/>
                      <v:textbox>
                        <w:txbxContent>
                          <w:p w14:paraId="7449FCC5" w14:textId="77777777" w:rsidR="004E3164" w:rsidRDefault="004E3164" w:rsidP="00D83422">
                            <w:pPr>
                              <w:ind w:firstLine="0"/>
                              <w:jc w:val="center"/>
                            </w:pPr>
                            <w:r>
                              <w:rPr>
                                <w:sz w:val="17"/>
                              </w:rPr>
                              <w:t xml:space="preserve">Прилага се  по реда на </w:t>
                            </w:r>
                            <w:r>
                              <w:t>чл. 32 от ЗДП</w:t>
                            </w:r>
                            <w:r w:rsidRPr="00737E35">
                              <w:t xml:space="preserve"> и чл. 9. от ПП ЗДП</w:t>
                            </w:r>
                          </w:p>
                        </w:txbxContent>
                      </v:textbox>
                    </v:shape>
                    <v:group id="Group 724" o:spid="_x0000_s1391" style="position:absolute;left:13078;top:4465;width:26365;height:6325" coordsize="26373,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shape id="Text Box 315" o:spid="_x0000_s1392" type="#_x0000_t202" style="position:absolute;top:3402;width:3752;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" strokecolor="white">
                        <v:textbox>
                          <w:txbxContent>
                            <w:p w14:paraId="3A49C6A4" w14:textId="77777777" w:rsidR="004E3164" w:rsidRPr="00DC7796" w:rsidRDefault="004E3164" w:rsidP="00D83422">
                              <w:pPr>
                                <w:ind w:firstLine="0"/>
                                <w:jc w:val="center"/>
                                <w:rPr>
                                  <w:color w:val="FF0000"/>
                                  <w:szCs w:val="24"/>
                                </w:rPr>
                              </w:pPr>
                              <w:r w:rsidRPr="00DC7796">
                                <w:rPr>
                                  <w:color w:val="FF0000"/>
                                  <w:szCs w:val="24"/>
                                </w:rPr>
                                <w:t>не</w:t>
                              </w:r>
                            </w:p>
                          </w:txbxContent>
                        </v:textbox>
                      </v:shape>
                      <v:group id="Group 726" o:spid="_x0000_s1393" style="position:absolute;left:3296;width:23077;height:6329" coordsize="23077,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group id="Group 727" o:spid="_x0000_s1394" style="position:absolute;width:23077;height:5812" coordsize="23077,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Diamond 635" o:spid="_x0000_s1395" type="#_x0000_t4" style="position:absolute;top:1701;width:3302;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" strokecolor="#fabf8f" strokeweight="1pt">
                            <v:fill color2="#fbd4b4" focus="100%" type="gradient"/>
                            <v:shadow on="t" color="#974706" opacity=".5" offset="1pt"/>
                          </v:shape>
                          <v:shape id="AutoShape 312" o:spid="_x0000_s1396" type="#_x0000_t32" style="position:absolute;left:1594;top:4040;width:0;height:17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" strokeweight="1.5pt">
                            <v:stroke endarrow="block"/>
                          </v:shape>
                          <v:shape id="AutoShape 313" o:spid="_x0000_s1397" type="#_x0000_t32" style="position:absolute;left:1594;width:0;height:17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" strokeweight="1.5pt">
                            <v:stroke endarrow="block"/>
                          </v:shape>
                          <v:shape id="AutoShape 314" o:spid="_x0000_s1398" type="#_x0000_t32" style="position:absolute;left:3508;top:2870;width:195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" strokeweight="1.5pt">
                            <v:stroke endarrow="block"/>
                          </v:shape>
                        </v:group>
                        <v:shape id="Text Box 316" o:spid="_x0000_s1399" type="#_x0000_t202" style="position:absolute;left:7868;top:3402;width:3752;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" strokecolor="white">
                          <v:textbox>
                            <w:txbxContent>
                              <w:p w14:paraId="7B9642AF" w14:textId="77777777" w:rsidR="004E3164" w:rsidRPr="00DC7796" w:rsidRDefault="004E3164" w:rsidP="00D83422">
                                <w:pPr>
                                  <w:ind w:firstLine="0"/>
                                  <w:jc w:val="center"/>
                                  <w:rPr>
                                    <w:szCs w:val="24"/>
                                  </w:rPr>
                                </w:pPr>
                                <w:r w:rsidRPr="00DC7796">
                                  <w:rPr>
                                    <w:szCs w:val="24"/>
                                  </w:rPr>
                                  <w:t>да</w:t>
                                </w:r>
                              </w:p>
                            </w:txbxContent>
                          </v:textbox>
                        </v:shape>
                      </v:group>
                    </v:group>
                    <v:shape id="AutoShape 342" o:spid="_x0000_s1400" type="#_x0000_t109" style="position:absolute;top:10632;width:34766;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" strokecolor="#95b3d7" strokeweight="1pt">
                      <v:fill color2="#b8cce4" focus="100%" type="gradient"/>
                      <v:shadow on="t" color="#243f60" opacity=".5" offset="1pt"/>
                      <v:textbox>
                        <w:txbxContent>
                          <w:p w14:paraId="02463797" w14:textId="77777777" w:rsidR="004E3164" w:rsidRPr="00B80E14" w:rsidRDefault="004E3164" w:rsidP="00D83422">
                            <w:pPr>
                              <w:ind w:firstLine="0"/>
                              <w:jc w:val="center"/>
                              <w:rPr>
                                <w:sz w:val="20"/>
                              </w:rPr>
                            </w:pPr>
                            <w:r w:rsidRPr="00B80E14">
                              <w:rPr>
                                <w:sz w:val="20"/>
                              </w:rPr>
                              <w:t>ДП, попадаща в обхвата на  ОРГО</w:t>
                            </w:r>
                          </w:p>
                        </w:txbxContent>
                      </v:textbox>
                    </v:shape>
                    <v:shape id="AutoShape 358" o:spid="_x0000_s1401" type="#_x0000_t109" style="position:absolute;left:1169;width:33922;height: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" strokecolor="#95b3d7" strokeweight="1pt">
                      <v:fill color2="#b8cce4" focus="100%" type="gradient"/>
                      <v:shadow on="t" color="#243f60" opacity=".5" offset="1pt"/>
                      <v:textbox>
                        <w:txbxContent>
                          <w:p w14:paraId="5EE3D8E3" w14:textId="77777777" w:rsidR="004E3164" w:rsidRPr="00B80E14" w:rsidRDefault="004E3164" w:rsidP="00D83422">
                            <w:pPr>
                              <w:ind w:firstLine="0"/>
                              <w:jc w:val="center"/>
                              <w:rPr>
                                <w:i/>
                                <w:sz w:val="20"/>
                              </w:rPr>
                            </w:pPr>
                            <w:r w:rsidRPr="00B80E14">
                              <w:rPr>
                                <w:sz w:val="20"/>
                              </w:rPr>
                              <w:t xml:space="preserve">Минимална  помощ </w:t>
                            </w:r>
                            <w:r w:rsidRPr="00B80E14">
                              <w:rPr>
                                <w:i/>
                                <w:sz w:val="20"/>
                              </w:rPr>
                              <w:t>(de minimis)</w:t>
                            </w:r>
                          </w:p>
                        </w:txbxContent>
                      </v:textbox>
                    </v:shape>
                    <v:shape id="AutoShape 308" o:spid="_x0000_s1402" type="#_x0000_t109" style="position:absolute;left:39446;top:15948;width:29979;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" stroked="f" strokecolor="#c2d69b" strokeweight="1pt">
                      <v:fill color2="#d6e3bc" focus="100%" type="gradient"/>
                      <v:shadow on="t" color="#4e6128" opacity=".5" offset="1pt"/>
                      <v:textbox>
                        <w:txbxContent>
                          <w:p w14:paraId="51AEA624" w14:textId="77777777" w:rsidR="004E3164" w:rsidRDefault="004E3164" w:rsidP="00D83422">
                            <w:pPr>
                              <w:ind w:firstLine="0"/>
                              <w:jc w:val="center"/>
                            </w:pPr>
                            <w:r>
                              <w:rPr>
                                <w:sz w:val="17"/>
                              </w:rPr>
                              <w:t xml:space="preserve">Прилага се  по реда на  </w:t>
                            </w:r>
                            <w:r>
                              <w:t xml:space="preserve">чл. </w:t>
                            </w:r>
                            <w:r w:rsidRPr="00737E35">
                              <w:t>27, чл. 28 и чл. 29 от ЗДП и глава 4 от ПП</w:t>
                            </w:r>
                            <w:r>
                              <w:t xml:space="preserve"> ЗДП</w:t>
                            </w:r>
                          </w:p>
                          <w:p w14:paraId="3428A040" w14:textId="77777777" w:rsidR="004E3164" w:rsidRDefault="004E3164" w:rsidP="00D83422">
                            <w:pPr>
                              <w:ind w:firstLine="0"/>
                              <w:jc w:val="center"/>
                              <w:rPr>
                                <w:sz w:val="17"/>
                              </w:rPr>
                            </w:pPr>
                          </w:p>
                          <w:p w14:paraId="159883AE" w14:textId="77777777" w:rsidR="004E3164" w:rsidRDefault="004E3164" w:rsidP="00D83422">
                            <w:pPr>
                              <w:ind w:firstLine="0"/>
                              <w:jc w:val="center"/>
                              <w:rPr>
                                <w:sz w:val="17"/>
                              </w:rPr>
                            </w:pPr>
                          </w:p>
                          <w:p w14:paraId="1700682E" w14:textId="77777777" w:rsidR="004E3164" w:rsidRDefault="004E3164" w:rsidP="00D83422">
                            <w:pPr>
                              <w:ind w:firstLine="0"/>
                              <w:jc w:val="center"/>
                              <w:rPr>
                                <w:sz w:val="17"/>
                              </w:rPr>
                            </w:pPr>
                          </w:p>
                          <w:p w14:paraId="05A96882" w14:textId="77777777" w:rsidR="004E3164" w:rsidRDefault="004E3164" w:rsidP="00D83422">
                            <w:pPr>
                              <w:ind w:firstLine="0"/>
                              <w:jc w:val="center"/>
                              <w:rPr>
                                <w:sz w:val="17"/>
                              </w:rPr>
                            </w:pPr>
                          </w:p>
                          <w:p w14:paraId="4F1AF4C1" w14:textId="77777777" w:rsidR="004E3164" w:rsidRDefault="004E3164" w:rsidP="00D83422">
                            <w:pPr>
                              <w:ind w:firstLine="0"/>
                              <w:jc w:val="center"/>
                              <w:rPr>
                                <w:sz w:val="17"/>
                              </w:rPr>
                            </w:pPr>
                          </w:p>
                          <w:p w14:paraId="582C6C6C" w14:textId="77777777" w:rsidR="004E3164" w:rsidRDefault="004E3164" w:rsidP="00D83422">
                            <w:pPr>
                              <w:ind w:firstLine="0"/>
                              <w:jc w:val="center"/>
                              <w:rPr>
                                <w:sz w:val="17"/>
                              </w:rPr>
                            </w:pPr>
                          </w:p>
                          <w:p w14:paraId="3B48630C" w14:textId="77777777" w:rsidR="004E3164" w:rsidRDefault="004E3164" w:rsidP="00D83422">
                            <w:pPr>
                              <w:ind w:firstLine="0"/>
                              <w:jc w:val="center"/>
                              <w:rPr>
                                <w:sz w:val="18"/>
                                <w:szCs w:val="18"/>
                              </w:rPr>
                            </w:pPr>
                            <w:r w:rsidRPr="00D5620C">
                              <w:rPr>
                                <w:sz w:val="18"/>
                                <w:szCs w:val="18"/>
                              </w:rPr>
                              <w:t xml:space="preserve">Не подлежи на уведомление. </w:t>
                            </w:r>
                          </w:p>
                          <w:p w14:paraId="630C87D8" w14:textId="77777777" w:rsidR="004E3164" w:rsidRPr="00B70B70" w:rsidRDefault="004E3164" w:rsidP="00D83422">
                            <w:pPr>
                              <w:ind w:firstLine="0"/>
                              <w:jc w:val="center"/>
                              <w:rPr>
                                <w:sz w:val="36"/>
                              </w:rPr>
                            </w:pPr>
                            <w:r w:rsidRPr="00D5620C">
                              <w:rPr>
                                <w:color w:val="FF0000"/>
                                <w:sz w:val="18"/>
                                <w:szCs w:val="18"/>
                              </w:rPr>
                              <w:t>Прилагат се разпоредбите и правилата от нормативните документи с които са дефинирани съответната категории</w:t>
                            </w:r>
                            <w:r w:rsidRPr="0095602E">
                              <w:rPr>
                                <w:color w:val="FF0000"/>
                                <w:sz w:val="17"/>
                              </w:rPr>
                              <w:t>.</w:t>
                            </w:r>
                          </w:p>
                          <w:p w14:paraId="72C4440E" w14:textId="77777777" w:rsidR="004E3164" w:rsidRDefault="004E3164" w:rsidP="00D83422">
                            <w:pPr>
                              <w:ind w:firstLine="0"/>
                              <w:jc w:val="center"/>
                            </w:pPr>
                          </w:p>
                        </w:txbxContent>
                      </v:textbox>
                    </v:shape>
                    <v:group id="Group 923" o:spid="_x0000_s1403" style="position:absolute;left:12865;top:14460;width:26365;height:6375" coordsize="2637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Text Box 315" o:spid="_x0000_s1404" type="#_x0000_t202" style="position:absolute;top:3402;width:3752;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" strokecolor="white">
                        <v:textbox>
                          <w:txbxContent>
                            <w:p w14:paraId="694FDBCE" w14:textId="77777777" w:rsidR="004E3164" w:rsidRPr="00DC7796" w:rsidRDefault="004E3164" w:rsidP="00D83422">
                              <w:pPr>
                                <w:ind w:firstLine="0"/>
                                <w:jc w:val="center"/>
                                <w:rPr>
                                  <w:color w:val="FF0000"/>
                                  <w:szCs w:val="24"/>
                                </w:rPr>
                              </w:pPr>
                              <w:r w:rsidRPr="00DC7796">
                                <w:rPr>
                                  <w:color w:val="FF0000"/>
                                  <w:szCs w:val="24"/>
                                </w:rPr>
                                <w:t>не</w:t>
                              </w:r>
                            </w:p>
                          </w:txbxContent>
                        </v:textbox>
                      </v:shape>
                      <v:group id="Group 925" o:spid="_x0000_s1405" style="position:absolute;left:3296;width:23077;height:6329" coordsize="23077,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group id="Group 926" o:spid="_x0000_s1406" style="position:absolute;width:23077;height:5812" coordsize="23077,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shape id="Diamond 635" o:spid="_x0000_s1407" type="#_x0000_t4" style="position:absolute;top:1701;width:3302;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" strokecolor="#fabf8f" strokeweight="1pt">
                            <v:fill color2="#fbd4b4" focus="100%" type="gradient"/>
                            <v:shadow on="t" color="#974706" opacity=".5" offset="1pt"/>
                          </v:shape>
                          <v:shape id="AutoShape 312" o:spid="_x0000_s1408" type="#_x0000_t32" style="position:absolute;left:1594;top:4040;width:0;height:17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" strokeweight="1.5pt">
                            <v:stroke endarrow="block"/>
                          </v:shape>
                          <v:shape id="AutoShape 313" o:spid="_x0000_s1409" type="#_x0000_t32" style="position:absolute;left:1594;width:0;height:17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" strokeweight="1.5pt">
                            <v:stroke endarrow="block"/>
                          </v:shape>
                          <v:shape id="AutoShape 314" o:spid="_x0000_s1410" type="#_x0000_t32" style="position:absolute;left:3508;top:2870;width:195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" strokeweight="1.5pt">
                            <v:stroke endarrow="block"/>
                          </v:shape>
                        </v:group>
                        <v:shape id="Text Box 316" o:spid="_x0000_s1411" type="#_x0000_t202" style="position:absolute;left:7868;top:3402;width:3752;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" strokecolor="white">
                          <v:textbox>
                            <w:txbxContent>
                              <w:p w14:paraId="054F54C2" w14:textId="77777777" w:rsidR="004E3164" w:rsidRPr="00DC7796" w:rsidRDefault="004E3164" w:rsidP="00D83422">
                                <w:pPr>
                                  <w:ind w:firstLine="0"/>
                                  <w:jc w:val="center"/>
                                  <w:rPr>
                                    <w:szCs w:val="24"/>
                                  </w:rPr>
                                </w:pPr>
                                <w:r w:rsidRPr="00DC7796">
                                  <w:rPr>
                                    <w:szCs w:val="24"/>
                                  </w:rPr>
                                  <w:t>да</w:t>
                                </w:r>
                              </w:p>
                            </w:txbxContent>
                          </v:textbox>
                        </v:shape>
                      </v:group>
                    </v:group>
                  </v:group>
                  <v:group id="Group 1099" o:spid="_x0000_s1412" style="position:absolute;left:13078;top:25730;width:26365;height:6319" coordsize="26373,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Text Box 315" o:spid="_x0000_s1413" type="#_x0000_t202" style="position:absolute;top:2824;width:3752;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" strokecolor="white">
                      <v:textbox>
                        <w:txbxContent>
                          <w:p w14:paraId="15D49CB6" w14:textId="77777777" w:rsidR="004E3164" w:rsidRPr="00DC7796" w:rsidRDefault="004E3164" w:rsidP="00D83422">
                            <w:pPr>
                              <w:ind w:firstLine="0"/>
                              <w:jc w:val="center"/>
                              <w:rPr>
                                <w:color w:val="FF0000"/>
                                <w:szCs w:val="24"/>
                              </w:rPr>
                            </w:pPr>
                            <w:r w:rsidRPr="00DC7796">
                              <w:rPr>
                                <w:color w:val="FF0000"/>
                                <w:szCs w:val="24"/>
                              </w:rPr>
                              <w:t>не</w:t>
                            </w:r>
                          </w:p>
                        </w:txbxContent>
                      </v:textbox>
                    </v:shape>
                    <v:group id="Group 1101" o:spid="_x0000_s1414" style="position:absolute;left:3296;width:23077;height:6329" coordsize="23077,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group id="Group 1102" o:spid="_x0000_s1415" style="position:absolute;width:23077;height:5812" coordsize="23077,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Diamond 635" o:spid="_x0000_s1416" type="#_x0000_t4" style="position:absolute;top:1701;width:3302;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" strokecolor="#fabf8f" strokeweight="1pt">
                          <v:fill color2="#fbd4b4" focus="100%" type="gradient"/>
                          <v:shadow on="t" color="#974706" opacity=".5" offset="1pt"/>
                        </v:shape>
                        <v:shape id="AutoShape 312" o:spid="_x0000_s1417" type="#_x0000_t32" style="position:absolute;left:1594;top:4040;width:0;height:17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" strokeweight="1.5pt">
                          <v:stroke endarrow="block"/>
                        </v:shape>
                        <v:shape id="AutoShape 313" o:spid="_x0000_s1418" type="#_x0000_t32" style="position:absolute;left:1594;width:0;height:17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" strokeweight="1.5pt">
                          <v:stroke endarrow="block"/>
                        </v:shape>
                        <v:shape id="AutoShape 314" o:spid="_x0000_s1419" type="#_x0000_t32" style="position:absolute;left:3508;top:2870;width:195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" strokeweight="1.5pt">
                          <v:stroke endarrow="block"/>
                        </v:shape>
                      </v:group>
                      <v:shape id="Text Box 316" o:spid="_x0000_s1420" type="#_x0000_t202" style="position:absolute;left:7868;top:3402;width:3752;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" strokecolor="white">
                        <v:textbox>
                          <w:txbxContent>
                            <w:p w14:paraId="67C1FDFE" w14:textId="77777777" w:rsidR="004E3164" w:rsidRPr="00DC7796" w:rsidRDefault="004E3164" w:rsidP="00D83422">
                              <w:pPr>
                                <w:ind w:firstLine="0"/>
                                <w:jc w:val="center"/>
                                <w:rPr>
                                  <w:szCs w:val="24"/>
                                </w:rPr>
                              </w:pPr>
                              <w:r w:rsidRPr="00DC7796">
                                <w:rPr>
                                  <w:szCs w:val="24"/>
                                </w:rPr>
                                <w:t>да</w:t>
                              </w:r>
                            </w:p>
                          </w:txbxContent>
                        </v:textbox>
                      </v:shape>
                    </v:group>
                  </v:group>
                </v:group>
                <v:group id="Group 1289" o:spid="_x0000_s1421" style="position:absolute;left:12333;top:37320;width:26365;height:6375" coordsize="2637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Text Box 315" o:spid="_x0000_s1422" type="#_x0000_t202" style="position:absolute;top:3402;width:3752;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" strokecolor="white">
                    <v:textbox>
                      <w:txbxContent>
                        <w:p w14:paraId="7E000A38" w14:textId="77777777" w:rsidR="004E3164" w:rsidRPr="00DC7796" w:rsidRDefault="004E3164" w:rsidP="00D83422">
                          <w:pPr>
                            <w:ind w:firstLine="0"/>
                            <w:jc w:val="center"/>
                            <w:rPr>
                              <w:color w:val="FF0000"/>
                              <w:szCs w:val="24"/>
                            </w:rPr>
                          </w:pPr>
                          <w:r w:rsidRPr="00DC7796">
                            <w:rPr>
                              <w:color w:val="FF0000"/>
                              <w:szCs w:val="24"/>
                            </w:rPr>
                            <w:t>не</w:t>
                          </w:r>
                        </w:p>
                      </w:txbxContent>
                    </v:textbox>
                  </v:shape>
                  <v:group id="Group 1291" o:spid="_x0000_s1423" style="position:absolute;left:3296;width:23077;height:6329" coordsize="23077,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group id="Group 1292" o:spid="_x0000_s1424" style="position:absolute;width:23077;height:5812" coordsize="23077,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shape id="Diamond 635" o:spid="_x0000_s1425" type="#_x0000_t4" style="position:absolute;top:1701;width:3302;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" strokecolor="#fabf8f" strokeweight="1pt">
                        <v:fill color2="#fbd4b4" focus="100%" type="gradient"/>
                        <v:shadow on="t" color="#974706" opacity=".5" offset="1pt"/>
                      </v:shape>
                      <v:shape id="AutoShape 312" o:spid="_x0000_s1426" type="#_x0000_t32" style="position:absolute;left:1594;top:4040;width:0;height:17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" strokeweight="1.5pt">
                        <v:stroke endarrow="block"/>
                      </v:shape>
                      <v:shape id="AutoShape 313" o:spid="_x0000_s1427" type="#_x0000_t32" style="position:absolute;left:1594;width:0;height:17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" strokeweight="1.5pt">
                        <v:stroke endarrow="block"/>
                      </v:shape>
                      <v:shape id="AutoShape 314" o:spid="_x0000_s1428" type="#_x0000_t32" style="position:absolute;left:3508;top:2870;width:195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" strokeweight="1.5pt">
                        <v:stroke endarrow="block"/>
                      </v:shape>
                    </v:group>
                    <v:shape id="Text Box 316" o:spid="_x0000_s1429" type="#_x0000_t202" style="position:absolute;left:7868;top:3402;width:3752;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" strokecolor="white">
                      <v:textbox>
                        <w:txbxContent>
                          <w:p w14:paraId="0B3CEE32" w14:textId="77777777" w:rsidR="004E3164" w:rsidRPr="00DC7796" w:rsidRDefault="004E3164" w:rsidP="00D83422">
                            <w:pPr>
                              <w:ind w:firstLine="0"/>
                              <w:jc w:val="center"/>
                              <w:rPr>
                                <w:szCs w:val="24"/>
                              </w:rPr>
                            </w:pPr>
                            <w:r w:rsidRPr="00DC7796">
                              <w:rPr>
                                <w:szCs w:val="24"/>
                              </w:rPr>
                              <w:t>да</w:t>
                            </w:r>
                          </w:p>
                        </w:txbxContent>
                      </v:textbox>
                    </v:shape>
                  </v:group>
                </v:group>
                <v:group id="Group 1325" o:spid="_x0000_s1430" style="position:absolute;left:12333;top:48697;width:26365;height:6375" coordsize="2637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shape id="Text Box 315" o:spid="_x0000_s1431" type="#_x0000_t202" style="position:absolute;top:3402;width:3752;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" strokecolor="white">
                    <v:textbox>
                      <w:txbxContent>
                        <w:p w14:paraId="507C39B1" w14:textId="77777777" w:rsidR="004E3164" w:rsidRPr="00DC7796" w:rsidRDefault="004E3164" w:rsidP="00D83422">
                          <w:pPr>
                            <w:ind w:firstLine="0"/>
                            <w:jc w:val="center"/>
                            <w:rPr>
                              <w:color w:val="FF0000"/>
                              <w:szCs w:val="24"/>
                            </w:rPr>
                          </w:pPr>
                          <w:r w:rsidRPr="00DC7796">
                            <w:rPr>
                              <w:color w:val="FF0000"/>
                              <w:szCs w:val="24"/>
                            </w:rPr>
                            <w:t>не</w:t>
                          </w:r>
                        </w:p>
                      </w:txbxContent>
                    </v:textbox>
                  </v:shape>
                  <v:group id="Group 1327" o:spid="_x0000_s1432" style="position:absolute;left:3296;width:23077;height:6329" coordsize="23077,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group id="Group 1328" o:spid="_x0000_s1433" style="position:absolute;width:23077;height:5812" coordsize="23077,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h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4Ir38gIevUEAAD//wMAUEsBAi0AFAAGAAgAAAAhANvh9svuAAAAhQEAABMAAAAAAAAA&#10;AAAAAAAAAAAAAFtDb250ZW50X1R5cGVzXS54bWxQSwECLQAUAAYACAAAACEAWvQsW78AAAAVAQAA&#10;CwAAAAAAAAAAAAAAAAAfAQAAX3JlbHMvLnJlbHNQSwECLQAUAAYACAAAACEAAXxYecYAAADdAAAA&#10;DwAAAAAAAAAAAAAAAAAHAgAAZHJzL2Rvd25yZXYueG1sUEsFBgAAAAADAAMAtwAAAPoCAAAAAA==&#10;">
                      <v:shape id="Diamond 635" o:spid="_x0000_s1434" type="#_x0000_t4" style="position:absolute;top:1701;width:3302;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" strokecolor="#fabf8f" strokeweight="1pt">
                        <v:fill color2="#fbd4b4" focus="100%" type="gradient"/>
                        <v:shadow on="t" color="#974706" opacity=".5" offset="1pt"/>
                      </v:shape>
                      <v:shape id="AutoShape 312" o:spid="_x0000_s1435" type="#_x0000_t32" style="position:absolute;left:1594;top:4040;width:0;height:17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" strokeweight="1.5pt">
                        <v:stroke endarrow="block"/>
                      </v:shape>
                      <v:shape id="AutoShape 313" o:spid="_x0000_s1436" type="#_x0000_t32" style="position:absolute;left:1594;width:0;height:17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" strokeweight="1.5pt">
                        <v:stroke endarrow="block"/>
                      </v:shape>
                      <v:shape id="AutoShape 314" o:spid="_x0000_s1437" type="#_x0000_t32" style="position:absolute;left:3508;top:2870;width:195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" strokeweight="1.5pt">
                        <v:stroke endarrow="block"/>
                      </v:shape>
                    </v:group>
                    <v:shape id="Text Box 316" o:spid="_x0000_s1438" type="#_x0000_t202" style="position:absolute;left:7868;top:3402;width:3752;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" strokecolor="white">
                      <v:textbox>
                        <w:txbxContent>
                          <w:p w14:paraId="3E43C300" w14:textId="77777777" w:rsidR="004E3164" w:rsidRPr="00DC7796" w:rsidRDefault="004E3164" w:rsidP="00D83422">
                            <w:pPr>
                              <w:ind w:firstLine="0"/>
                              <w:jc w:val="center"/>
                              <w:rPr>
                                <w:szCs w:val="24"/>
                              </w:rPr>
                            </w:pPr>
                            <w:r w:rsidRPr="00DC7796">
                              <w:rPr>
                                <w:szCs w:val="24"/>
                              </w:rPr>
                              <w:t>да</w:t>
                            </w:r>
                          </w:p>
                        </w:txbxContent>
                      </v:textbox>
                    </v:shape>
                  </v:group>
                </v:group>
                <w10:anchorlock/>
              </v:group>
            </w:pict>
          </mc:Fallback>
        </mc:AlternateContent>
      </w:r>
      <w:r w:rsidR="00D603F5" w:rsidRPr="001B0EA3">
        <w:rPr>
          <w:szCs w:val="22"/>
          <w:lang w:eastAsia="en-US"/>
        </w:rPr>
        <w:br w:type="page"/>
      </w:r>
    </w:p>
    <w:p w14:paraId="60627E51" w14:textId="77777777" w:rsidR="00512C85" w:rsidRPr="00842ECC" w:rsidRDefault="00512C85" w:rsidP="00ED358C">
      <w:pPr>
        <w:pStyle w:val="Style4"/>
        <w:rPr>
          <w:lang w:val="bg-BG" w:eastAsia="en-US"/>
        </w:rPr>
      </w:pPr>
      <w:bookmarkStart w:id="345" w:name="_Toc425170738"/>
      <w:bookmarkStart w:id="346" w:name="_Toc479775583"/>
      <w:r w:rsidRPr="00842ECC">
        <w:rPr>
          <w:lang w:val="bg-BG" w:eastAsia="en-US"/>
        </w:rPr>
        <w:lastRenderedPageBreak/>
        <w:t>ДП, попадаща в обхвата на Общия Регламент № 651/2014 г. за групово освобождаване (ОРГО)</w:t>
      </w:r>
      <w:r w:rsidRPr="001B0EA3">
        <w:rPr>
          <w:rStyle w:val="FootnoteReference"/>
          <w:szCs w:val="22"/>
          <w:lang w:eastAsia="en-US"/>
        </w:rPr>
        <w:footnoteReference w:id="17"/>
      </w:r>
      <w:bookmarkEnd w:id="345"/>
      <w:bookmarkEnd w:id="346"/>
    </w:p>
    <w:p w14:paraId="3D94D4CC" w14:textId="77777777" w:rsidR="00512C85" w:rsidRPr="001B0EA3" w:rsidRDefault="00512C85" w:rsidP="00511860">
      <w:pPr>
        <w:spacing w:before="120"/>
        <w:rPr>
          <w:color w:val="000000"/>
          <w:szCs w:val="24"/>
          <w:lang w:eastAsia="en-GB"/>
        </w:rPr>
      </w:pPr>
      <w:r w:rsidRPr="001B0EA3">
        <w:rPr>
          <w:color w:val="000000"/>
          <w:szCs w:val="24"/>
          <w:lang w:eastAsia="en-GB"/>
        </w:rPr>
        <w:t>Категории помощи попадащи в обхвата на ОРГО (чл. 1, параграф 1 от Регламента за ОРГО)</w:t>
      </w:r>
      <w:r w:rsidR="00650C5D">
        <w:rPr>
          <w:color w:val="000000"/>
          <w:szCs w:val="24"/>
          <w:lang w:eastAsia="en-GB"/>
        </w:rPr>
        <w:t>,</w:t>
      </w:r>
      <w:r w:rsidRPr="001B0EA3">
        <w:rPr>
          <w:color w:val="000000"/>
          <w:szCs w:val="24"/>
          <w:lang w:eastAsia="en-GB"/>
        </w:rPr>
        <w:t xml:space="preserve"> </w:t>
      </w:r>
      <w:r w:rsidR="00650C5D" w:rsidRPr="00650C5D">
        <w:rPr>
          <w:color w:val="000000"/>
          <w:szCs w:val="24"/>
          <w:lang w:eastAsia="en-GB"/>
        </w:rPr>
        <w:t>изменен и допълнен от Регламент (ЕС) № 2017/1084</w:t>
      </w:r>
      <w:r w:rsidRPr="001B0EA3">
        <w:rPr>
          <w:color w:val="000000"/>
          <w:szCs w:val="24"/>
          <w:lang w:eastAsia="en-GB"/>
        </w:rPr>
        <w:t>:</w:t>
      </w:r>
    </w:p>
    <w:p w14:paraId="11B47B1E" w14:textId="77777777" w:rsidR="00512C85" w:rsidRPr="001B0EA3" w:rsidRDefault="00512C85" w:rsidP="00511860">
      <w:pPr>
        <w:rPr>
          <w:szCs w:val="22"/>
          <w:lang w:eastAsia="en-US"/>
        </w:rPr>
      </w:pPr>
      <w:r w:rsidRPr="001B0EA3">
        <w:rPr>
          <w:szCs w:val="22"/>
          <w:lang w:eastAsia="en-US"/>
        </w:rPr>
        <w:t>а) регионални помощи;</w:t>
      </w:r>
    </w:p>
    <w:p w14:paraId="53E3DBAE" w14:textId="77777777" w:rsidR="00512C85" w:rsidRPr="001B0EA3" w:rsidRDefault="00512C85" w:rsidP="00511860">
      <w:pPr>
        <w:rPr>
          <w:szCs w:val="22"/>
          <w:lang w:eastAsia="en-US"/>
        </w:rPr>
      </w:pPr>
      <w:r w:rsidRPr="001B0EA3">
        <w:rPr>
          <w:szCs w:val="22"/>
          <w:lang w:eastAsia="en-US"/>
        </w:rPr>
        <w:t>б) помощи за МСП под формата на инвестиционни помощи, оперативни помощи и достъп на МСП до финансиране;</w:t>
      </w:r>
    </w:p>
    <w:p w14:paraId="676F7B60" w14:textId="77777777" w:rsidR="00512C85" w:rsidRPr="001B0EA3" w:rsidRDefault="00512C85" w:rsidP="00511860">
      <w:pPr>
        <w:rPr>
          <w:szCs w:val="22"/>
          <w:lang w:eastAsia="en-US"/>
        </w:rPr>
      </w:pPr>
      <w:r w:rsidRPr="001B0EA3">
        <w:rPr>
          <w:szCs w:val="22"/>
          <w:lang w:eastAsia="en-US"/>
        </w:rPr>
        <w:t>в) помощи за опазване на околната среда;</w:t>
      </w:r>
    </w:p>
    <w:p w14:paraId="3ADCF18F" w14:textId="77777777" w:rsidR="00512C85" w:rsidRPr="001B0EA3" w:rsidRDefault="00512C85" w:rsidP="00511860">
      <w:pPr>
        <w:rPr>
          <w:szCs w:val="22"/>
          <w:lang w:eastAsia="en-US"/>
        </w:rPr>
      </w:pPr>
      <w:r w:rsidRPr="001B0EA3">
        <w:rPr>
          <w:szCs w:val="22"/>
          <w:lang w:eastAsia="en-US"/>
        </w:rPr>
        <w:t>г) помощи за научноизследователска и развойна дейност и иновации;</w:t>
      </w:r>
    </w:p>
    <w:p w14:paraId="492BD311" w14:textId="77777777" w:rsidR="00512C85" w:rsidRPr="001B0EA3" w:rsidRDefault="00512C85" w:rsidP="00511860">
      <w:pPr>
        <w:rPr>
          <w:szCs w:val="22"/>
          <w:lang w:eastAsia="en-US"/>
        </w:rPr>
      </w:pPr>
      <w:r w:rsidRPr="001B0EA3">
        <w:rPr>
          <w:szCs w:val="22"/>
          <w:lang w:eastAsia="en-US"/>
        </w:rPr>
        <w:t>д) помощи за обучение;</w:t>
      </w:r>
    </w:p>
    <w:p w14:paraId="314CFE08" w14:textId="77777777" w:rsidR="00512C85" w:rsidRPr="001B0EA3" w:rsidRDefault="00512C85" w:rsidP="00511860">
      <w:pPr>
        <w:rPr>
          <w:szCs w:val="22"/>
          <w:lang w:eastAsia="en-US"/>
        </w:rPr>
      </w:pPr>
      <w:r w:rsidRPr="001B0EA3">
        <w:rPr>
          <w:szCs w:val="22"/>
          <w:lang w:eastAsia="en-US"/>
        </w:rPr>
        <w:t>е) помощи за наемане на работещи в неравностойно положение и работещи с увреждания;</w:t>
      </w:r>
    </w:p>
    <w:p w14:paraId="71BA3DFD" w14:textId="77777777" w:rsidR="00512C85" w:rsidRPr="001B0EA3" w:rsidRDefault="00512C85" w:rsidP="00511860">
      <w:pPr>
        <w:rPr>
          <w:szCs w:val="22"/>
          <w:lang w:eastAsia="en-US"/>
        </w:rPr>
      </w:pPr>
      <w:r w:rsidRPr="001B0EA3">
        <w:rPr>
          <w:szCs w:val="22"/>
          <w:lang w:eastAsia="en-US"/>
        </w:rPr>
        <w:t>ж) помощи за отстраняване на щети, причинени от някои природни бедствия;</w:t>
      </w:r>
    </w:p>
    <w:p w14:paraId="10E8FEE3" w14:textId="77777777" w:rsidR="00512C85" w:rsidRPr="001B0EA3" w:rsidRDefault="00512C85" w:rsidP="00511860">
      <w:pPr>
        <w:rPr>
          <w:szCs w:val="22"/>
          <w:lang w:eastAsia="en-US"/>
        </w:rPr>
      </w:pPr>
      <w:r w:rsidRPr="001B0EA3">
        <w:rPr>
          <w:szCs w:val="22"/>
          <w:lang w:eastAsia="en-US"/>
        </w:rPr>
        <w:t>з) социални помощи за транспорт за живеещите в отдалечени региони;</w:t>
      </w:r>
    </w:p>
    <w:p w14:paraId="5586F433" w14:textId="77777777" w:rsidR="00512C85" w:rsidRPr="001B0EA3" w:rsidRDefault="00512C85" w:rsidP="00511860">
      <w:pPr>
        <w:rPr>
          <w:szCs w:val="22"/>
          <w:lang w:eastAsia="en-US"/>
        </w:rPr>
      </w:pPr>
      <w:r w:rsidRPr="001B0EA3">
        <w:rPr>
          <w:szCs w:val="22"/>
          <w:lang w:eastAsia="en-US"/>
        </w:rPr>
        <w:t>и) помощи за широколентови инфраструктури;</w:t>
      </w:r>
    </w:p>
    <w:p w14:paraId="35532909" w14:textId="77777777" w:rsidR="00512C85" w:rsidRPr="001B0EA3" w:rsidRDefault="00512C85" w:rsidP="00511860">
      <w:pPr>
        <w:rPr>
          <w:szCs w:val="22"/>
          <w:lang w:eastAsia="en-US"/>
        </w:rPr>
      </w:pPr>
      <w:r w:rsidRPr="001B0EA3">
        <w:rPr>
          <w:szCs w:val="22"/>
          <w:lang w:eastAsia="en-US"/>
        </w:rPr>
        <w:t>й) помощи за култура и опазване на културното наследство;</w:t>
      </w:r>
    </w:p>
    <w:p w14:paraId="525A164F" w14:textId="77777777" w:rsidR="00512C85" w:rsidRPr="001B0EA3" w:rsidRDefault="00512C85" w:rsidP="00511860">
      <w:pPr>
        <w:rPr>
          <w:szCs w:val="22"/>
          <w:lang w:eastAsia="en-US"/>
        </w:rPr>
      </w:pPr>
      <w:r w:rsidRPr="001B0EA3">
        <w:rPr>
          <w:szCs w:val="22"/>
          <w:lang w:eastAsia="en-US"/>
        </w:rPr>
        <w:t>к) помощи за спортн</w:t>
      </w:r>
      <w:r w:rsidR="00650C5D">
        <w:rPr>
          <w:szCs w:val="22"/>
          <w:lang w:eastAsia="en-US"/>
        </w:rPr>
        <w:t>а</w:t>
      </w:r>
      <w:r w:rsidRPr="001B0EA3">
        <w:rPr>
          <w:szCs w:val="22"/>
          <w:lang w:eastAsia="en-US"/>
        </w:rPr>
        <w:t xml:space="preserve"> и мултифункционалн</w:t>
      </w:r>
      <w:r w:rsidR="00650C5D">
        <w:rPr>
          <w:szCs w:val="22"/>
          <w:lang w:eastAsia="en-US"/>
        </w:rPr>
        <w:t>а</w:t>
      </w:r>
      <w:r w:rsidRPr="001B0EA3">
        <w:rPr>
          <w:szCs w:val="22"/>
          <w:lang w:eastAsia="en-US"/>
        </w:rPr>
        <w:t xml:space="preserve"> инфраструктур</w:t>
      </w:r>
      <w:r w:rsidR="00650C5D">
        <w:rPr>
          <w:szCs w:val="22"/>
          <w:lang w:eastAsia="en-US"/>
        </w:rPr>
        <w:t>а</w:t>
      </w:r>
      <w:r w:rsidRPr="001B0EA3">
        <w:rPr>
          <w:szCs w:val="22"/>
          <w:lang w:eastAsia="en-US"/>
        </w:rPr>
        <w:t xml:space="preserve"> за отдих;</w:t>
      </w:r>
    </w:p>
    <w:p w14:paraId="6516BEF2" w14:textId="77777777" w:rsidR="00512C85" w:rsidRPr="001B0EA3" w:rsidRDefault="00512C85" w:rsidP="00511860">
      <w:pPr>
        <w:rPr>
          <w:szCs w:val="22"/>
          <w:lang w:eastAsia="en-US"/>
        </w:rPr>
      </w:pPr>
      <w:r w:rsidRPr="001B0EA3">
        <w:rPr>
          <w:szCs w:val="22"/>
          <w:lang w:eastAsia="en-US"/>
        </w:rPr>
        <w:t>л) помощи за местни инфраструктури</w:t>
      </w:r>
      <w:r w:rsidR="00650C5D">
        <w:rPr>
          <w:szCs w:val="22"/>
          <w:lang w:eastAsia="en-US"/>
        </w:rPr>
        <w:t>;</w:t>
      </w:r>
    </w:p>
    <w:p w14:paraId="34A8397C" w14:textId="77777777" w:rsidR="00650C5D" w:rsidRPr="00CA6B45" w:rsidRDefault="00650C5D" w:rsidP="00650C5D">
      <w:pPr>
        <w:tabs>
          <w:tab w:val="left" w:pos="567"/>
          <w:tab w:val="left" w:pos="1134"/>
          <w:tab w:val="left" w:pos="2552"/>
        </w:tabs>
        <w:autoSpaceDE w:val="0"/>
        <w:autoSpaceDN w:val="0"/>
        <w:adjustRightInd w:val="0"/>
        <w:ind w:left="851"/>
        <w:rPr>
          <w:szCs w:val="22"/>
          <w:lang w:eastAsia="en-US"/>
        </w:rPr>
      </w:pPr>
      <w:r>
        <w:rPr>
          <w:szCs w:val="22"/>
          <w:lang w:eastAsia="en-US"/>
        </w:rPr>
        <w:t>м) помощи за рег</w:t>
      </w:r>
      <w:r w:rsidRPr="00CA6B45">
        <w:rPr>
          <w:szCs w:val="22"/>
          <w:lang w:eastAsia="en-US"/>
        </w:rPr>
        <w:t>ионални летища;</w:t>
      </w:r>
    </w:p>
    <w:p w14:paraId="34B20F48" w14:textId="77777777" w:rsidR="00650C5D" w:rsidRPr="00CA6B45" w:rsidRDefault="00650C5D" w:rsidP="00650C5D">
      <w:pPr>
        <w:tabs>
          <w:tab w:val="left" w:pos="567"/>
          <w:tab w:val="left" w:pos="1134"/>
          <w:tab w:val="left" w:pos="2552"/>
        </w:tabs>
        <w:autoSpaceDE w:val="0"/>
        <w:autoSpaceDN w:val="0"/>
        <w:adjustRightInd w:val="0"/>
        <w:ind w:left="851"/>
        <w:rPr>
          <w:szCs w:val="22"/>
          <w:lang w:eastAsia="en-US"/>
        </w:rPr>
      </w:pPr>
      <w:r w:rsidRPr="00CA6B45">
        <w:rPr>
          <w:szCs w:val="22"/>
          <w:lang w:eastAsia="en-US"/>
        </w:rPr>
        <w:t>н) помощи за пристанища.</w:t>
      </w:r>
    </w:p>
    <w:p w14:paraId="2E0110B4" w14:textId="77777777" w:rsidR="00512C85" w:rsidRPr="001B0EA3" w:rsidRDefault="00512C85" w:rsidP="00511860">
      <w:pPr>
        <w:rPr>
          <w:szCs w:val="22"/>
          <w:lang w:eastAsia="en-US"/>
        </w:rPr>
      </w:pPr>
    </w:p>
    <w:p w14:paraId="79EA912B" w14:textId="77777777" w:rsidR="00512C85" w:rsidRPr="001B0EA3" w:rsidRDefault="00512C85" w:rsidP="00511860">
      <w:pPr>
        <w:ind w:firstLine="709"/>
        <w:rPr>
          <w:b/>
          <w:szCs w:val="22"/>
          <w:lang w:eastAsia="en-US"/>
        </w:rPr>
      </w:pPr>
      <w:r w:rsidRPr="001B0EA3">
        <w:rPr>
          <w:szCs w:val="22"/>
          <w:lang w:eastAsia="en-US"/>
        </w:rPr>
        <w:t>При съгласуване прилагането на този режим с МФ</w:t>
      </w:r>
      <w:r w:rsidRPr="001B0EA3">
        <w:rPr>
          <w:b/>
          <w:szCs w:val="22"/>
          <w:lang w:eastAsia="en-US"/>
        </w:rPr>
        <w:t xml:space="preserve"> </w:t>
      </w:r>
      <w:r w:rsidRPr="001B0EA3">
        <w:rPr>
          <w:szCs w:val="22"/>
          <w:lang w:eastAsia="en-US"/>
        </w:rPr>
        <w:t xml:space="preserve">се прилагат процедурите </w:t>
      </w:r>
      <w:r w:rsidR="00650C5D" w:rsidRPr="00650C5D">
        <w:rPr>
          <w:szCs w:val="22"/>
          <w:lang w:eastAsia="en-US"/>
        </w:rPr>
        <w:t>на чл. 27, чл. 28 и чл. 29 от ЗДП и глава 4 от ПП ЗДП</w:t>
      </w:r>
      <w:r w:rsidRPr="001B0EA3">
        <w:rPr>
          <w:b/>
          <w:szCs w:val="22"/>
          <w:lang w:eastAsia="en-US"/>
        </w:rPr>
        <w:t>.</w:t>
      </w:r>
    </w:p>
    <w:p w14:paraId="36D01F46" w14:textId="77777777" w:rsidR="00512C85" w:rsidRPr="001B0EA3" w:rsidRDefault="00512C85" w:rsidP="00511860">
      <w:pPr>
        <w:rPr>
          <w:szCs w:val="22"/>
          <w:lang w:eastAsia="en-US"/>
        </w:rPr>
      </w:pPr>
    </w:p>
    <w:p w14:paraId="694C959F" w14:textId="77777777" w:rsidR="00512C85" w:rsidRPr="00842ECC" w:rsidRDefault="00512C85" w:rsidP="005E0B75">
      <w:pPr>
        <w:pStyle w:val="Style4"/>
        <w:rPr>
          <w:i/>
          <w:lang w:val="bg-BG" w:eastAsia="en-US"/>
        </w:rPr>
      </w:pPr>
      <w:bookmarkStart w:id="347" w:name="_Toc425170739"/>
      <w:bookmarkStart w:id="348" w:name="_Toc479775584"/>
      <w:r w:rsidRPr="00842ECC">
        <w:rPr>
          <w:lang w:val="bg-BG" w:eastAsia="en-US"/>
        </w:rPr>
        <w:t xml:space="preserve">ДП </w:t>
      </w:r>
      <w:r w:rsidRPr="00842ECC">
        <w:rPr>
          <w:i/>
          <w:lang w:val="bg-BG" w:eastAsia="en-US"/>
        </w:rPr>
        <w:t>(за помощи над 150 млн. евро)</w:t>
      </w:r>
      <w:r w:rsidRPr="00842ECC">
        <w:rPr>
          <w:lang w:val="bg-BG" w:eastAsia="en-US"/>
        </w:rPr>
        <w:t>, попадаща в обхвата на ОРГО, но подлежаща на индивидуално уведомление – чл. 1,</w:t>
      </w:r>
      <w:r w:rsidR="005E0B75" w:rsidRPr="00842ECC">
        <w:rPr>
          <w:lang w:val="bg-BG"/>
        </w:rPr>
        <w:t xml:space="preserve"> </w:t>
      </w:r>
      <w:r w:rsidR="005E0B75" w:rsidRPr="00842ECC">
        <w:rPr>
          <w:lang w:val="bg-BG" w:eastAsia="en-US"/>
        </w:rPr>
        <w:t>параграф</w:t>
      </w:r>
      <w:r w:rsidRPr="00842ECC">
        <w:rPr>
          <w:lang w:val="bg-BG" w:eastAsia="en-US"/>
        </w:rPr>
        <w:t xml:space="preserve"> 2,  букв</w:t>
      </w:r>
      <w:r w:rsidR="005E0B75">
        <w:rPr>
          <w:lang w:val="bg-BG" w:eastAsia="en-US"/>
        </w:rPr>
        <w:t>а</w:t>
      </w:r>
      <w:r w:rsidRPr="00842ECC">
        <w:rPr>
          <w:lang w:val="bg-BG" w:eastAsia="en-US"/>
        </w:rPr>
        <w:t xml:space="preserve"> а) от същия.</w:t>
      </w:r>
      <w:bookmarkEnd w:id="347"/>
      <w:bookmarkEnd w:id="348"/>
    </w:p>
    <w:p w14:paraId="3A14E2C2" w14:textId="77777777" w:rsidR="00512C85" w:rsidRPr="004C7998" w:rsidRDefault="00512C85" w:rsidP="004C7998">
      <w:pPr>
        <w:ind w:firstLine="709"/>
        <w:rPr>
          <w:szCs w:val="22"/>
          <w:lang w:eastAsia="en-US"/>
        </w:rPr>
      </w:pPr>
      <w:r w:rsidRPr="004C7998">
        <w:rPr>
          <w:szCs w:val="22"/>
          <w:lang w:eastAsia="en-US"/>
        </w:rPr>
        <w:t xml:space="preserve">На практика, процедурата по съгласуването на самата мярка по ОРГО по е същество е същата като тази на всички останали мерки по ОРГО – съвместимостта се оценява от МФ. </w:t>
      </w:r>
    </w:p>
    <w:p w14:paraId="4E4BF8D4" w14:textId="77777777" w:rsidR="00512C85" w:rsidRPr="004C7998" w:rsidRDefault="00512C85" w:rsidP="004C7998">
      <w:pPr>
        <w:ind w:firstLine="709"/>
        <w:rPr>
          <w:szCs w:val="22"/>
          <w:lang w:eastAsia="en-US"/>
        </w:rPr>
      </w:pPr>
      <w:r w:rsidRPr="004C7998">
        <w:rPr>
          <w:szCs w:val="22"/>
          <w:lang w:eastAsia="en-US"/>
        </w:rPr>
        <w:t>Специфичното в случая е, че поради големият размер на тези мерки, е необходимо те да бъдат оценени по отношение на ефекта, който ще предизвикат от прилагането си. За целта е необходимо, паралелно с оценката им по ОРГО, да бъде разработен и “план за оценка” (</w:t>
      </w:r>
      <w:r w:rsidRPr="004C7998">
        <w:rPr>
          <w:i/>
          <w:szCs w:val="22"/>
          <w:lang w:eastAsia="en-US"/>
        </w:rPr>
        <w:t>evaluation plan</w:t>
      </w:r>
      <w:r w:rsidRPr="004C7998">
        <w:rPr>
          <w:szCs w:val="22"/>
          <w:lang w:eastAsia="en-US"/>
        </w:rPr>
        <w:t xml:space="preserve">), за който трябва да се уведоми ЕК, не по-късно от 20 дни от влизане в сила на мярката, одобрена по ОРГО от МФ. В противен случай, мярката може да се прилага само за период от 6 месеца от влизането й в сила. За целта, процедурата е същата като по ОРГО, т.е. по </w:t>
      </w:r>
      <w:r w:rsidR="005E0B75" w:rsidRPr="005E0B75">
        <w:rPr>
          <w:szCs w:val="22"/>
          <w:lang w:eastAsia="en-US"/>
        </w:rPr>
        <w:t xml:space="preserve">реда на </w:t>
      </w:r>
      <w:r w:rsidR="005E0B75" w:rsidRPr="001E404B">
        <w:rPr>
          <w:b/>
          <w:szCs w:val="22"/>
          <w:lang w:eastAsia="en-US"/>
        </w:rPr>
        <w:t>чл. 27, чл. 28 и чл. 29 от ЗДП и глава 4 от ПП</w:t>
      </w:r>
      <w:r w:rsidRPr="001E404B">
        <w:rPr>
          <w:b/>
          <w:szCs w:val="22"/>
          <w:lang w:eastAsia="en-US"/>
        </w:rPr>
        <w:t xml:space="preserve"> ЗДП</w:t>
      </w:r>
      <w:r w:rsidRPr="004C7998">
        <w:rPr>
          <w:szCs w:val="22"/>
          <w:lang w:eastAsia="en-US"/>
        </w:rPr>
        <w:t xml:space="preserve">, </w:t>
      </w:r>
      <w:r w:rsidR="005E0B75">
        <w:rPr>
          <w:szCs w:val="22"/>
          <w:lang w:eastAsia="en-US"/>
        </w:rPr>
        <w:t>като</w:t>
      </w:r>
      <w:r w:rsidRPr="004C7998">
        <w:rPr>
          <w:szCs w:val="22"/>
          <w:lang w:eastAsia="en-US"/>
        </w:rPr>
        <w:t xml:space="preserve"> паралелно се препоръчва ранен контакт с ЕК по отношение на изчистването на детайлите по плана за оценка</w:t>
      </w:r>
      <w:r w:rsidR="005E0B75">
        <w:rPr>
          <w:szCs w:val="22"/>
          <w:lang w:eastAsia="en-US"/>
        </w:rPr>
        <w:t xml:space="preserve"> </w:t>
      </w:r>
      <w:r w:rsidR="005E0B75" w:rsidRPr="005E0B75">
        <w:rPr>
          <w:szCs w:val="22"/>
          <w:lang w:eastAsia="en-US"/>
        </w:rPr>
        <w:t xml:space="preserve">по реда на </w:t>
      </w:r>
      <w:r w:rsidR="005E0B75" w:rsidRPr="001E404B">
        <w:rPr>
          <w:b/>
          <w:szCs w:val="22"/>
          <w:lang w:eastAsia="en-US"/>
        </w:rPr>
        <w:t>чл. 4 от ППЗДП</w:t>
      </w:r>
      <w:r w:rsidRPr="005E0B75">
        <w:rPr>
          <w:szCs w:val="22"/>
          <w:lang w:eastAsia="en-US"/>
        </w:rPr>
        <w:t>.</w:t>
      </w:r>
    </w:p>
    <w:p w14:paraId="5395BA60" w14:textId="77777777" w:rsidR="00512C85" w:rsidRPr="004C7998" w:rsidRDefault="00512C85" w:rsidP="004C7998">
      <w:pPr>
        <w:ind w:firstLine="709"/>
        <w:rPr>
          <w:szCs w:val="22"/>
          <w:lang w:eastAsia="en-US"/>
        </w:rPr>
      </w:pPr>
      <w:r w:rsidRPr="004C7998">
        <w:rPr>
          <w:szCs w:val="22"/>
          <w:lang w:eastAsia="en-US"/>
        </w:rPr>
        <w:t xml:space="preserve">При съгласуване прилагането на този режим с МФ се прилагат процедурите по </w:t>
      </w:r>
      <w:r w:rsidR="005E0B75" w:rsidRPr="001E404B">
        <w:rPr>
          <w:szCs w:val="22"/>
          <w:lang w:eastAsia="en-US"/>
        </w:rPr>
        <w:t>чл. 27, чл. 28 и чл. 29 от ЗДП</w:t>
      </w:r>
      <w:r w:rsidR="005E0B75" w:rsidRPr="005E0B75">
        <w:rPr>
          <w:b/>
          <w:szCs w:val="22"/>
          <w:lang w:eastAsia="en-US"/>
        </w:rPr>
        <w:t>, чл. 4 и глава 4 от ПП</w:t>
      </w:r>
      <w:r w:rsidRPr="004C7998">
        <w:rPr>
          <w:b/>
          <w:szCs w:val="22"/>
          <w:lang w:eastAsia="en-US"/>
        </w:rPr>
        <w:t xml:space="preserve"> ЗДП</w:t>
      </w:r>
      <w:r w:rsidRPr="004C7998">
        <w:rPr>
          <w:szCs w:val="22"/>
          <w:lang w:eastAsia="en-US"/>
        </w:rPr>
        <w:t>.</w:t>
      </w:r>
    </w:p>
    <w:p w14:paraId="321BDB27" w14:textId="77777777" w:rsidR="00512C85" w:rsidRPr="00842ECC" w:rsidRDefault="00512C85" w:rsidP="005E0B75">
      <w:pPr>
        <w:pStyle w:val="Style4"/>
        <w:rPr>
          <w:i/>
          <w:lang w:val="bg-BG" w:eastAsia="en-US"/>
        </w:rPr>
      </w:pPr>
      <w:bookmarkStart w:id="349" w:name="_Toc425170740"/>
      <w:bookmarkStart w:id="350" w:name="_Toc479775585"/>
      <w:r w:rsidRPr="00842ECC">
        <w:rPr>
          <w:lang w:val="bg-BG" w:eastAsia="en-US"/>
        </w:rPr>
        <w:lastRenderedPageBreak/>
        <w:t>ДП, освободена от задължението за уведомяване на основание, различно от ОРГО  –</w:t>
      </w:r>
      <w:r w:rsidR="005E0B75">
        <w:rPr>
          <w:lang w:val="bg-BG" w:eastAsia="en-US"/>
        </w:rPr>
        <w:t xml:space="preserve"> </w:t>
      </w:r>
      <w:r w:rsidRPr="00842ECC">
        <w:rPr>
          <w:b w:val="0"/>
          <w:lang w:val="bg-BG" w:eastAsia="en-US"/>
        </w:rPr>
        <w:t>Регламент 1370/2007</w:t>
      </w:r>
      <w:r w:rsidRPr="001E404B">
        <w:rPr>
          <w:b w:val="0"/>
          <w:sz w:val="22"/>
          <w:vertAlign w:val="superscript"/>
          <w:lang w:eastAsia="en-US"/>
        </w:rPr>
        <w:footnoteReference w:id="18"/>
      </w:r>
      <w:r w:rsidRPr="00842ECC">
        <w:rPr>
          <w:b w:val="0"/>
          <w:lang w:val="bg-BG" w:eastAsia="en-US"/>
        </w:rPr>
        <w:t xml:space="preserve"> , Решение за УОИИ</w:t>
      </w:r>
      <w:r w:rsidRPr="001E404B">
        <w:rPr>
          <w:b w:val="0"/>
          <w:sz w:val="22"/>
          <w:vertAlign w:val="superscript"/>
          <w:lang w:eastAsia="en-US"/>
        </w:rPr>
        <w:footnoteReference w:id="19"/>
      </w:r>
      <w:r w:rsidR="005E0B75" w:rsidRPr="001E404B">
        <w:rPr>
          <w:b w:val="0"/>
          <w:lang w:val="bg-BG" w:eastAsia="en-US"/>
        </w:rPr>
        <w:t xml:space="preserve"> или друг акт на на Съвета на Европейския съюз или на Европейската комисия, с който се урежда възможността да не се прилага задължението за уведомяване съгласно чл. 108, параграф 3 от ДФЕС</w:t>
      </w:r>
      <w:r w:rsidRPr="00842ECC">
        <w:rPr>
          <w:b w:val="0"/>
          <w:lang w:val="bg-BG" w:eastAsia="en-US"/>
        </w:rPr>
        <w:t>.</w:t>
      </w:r>
      <w:bookmarkEnd w:id="349"/>
      <w:bookmarkEnd w:id="350"/>
    </w:p>
    <w:p w14:paraId="71B33EAE" w14:textId="77777777" w:rsidR="00512C85" w:rsidRPr="001B0EA3" w:rsidRDefault="00512C85" w:rsidP="00511860">
      <w:pPr>
        <w:spacing w:after="60"/>
        <w:ind w:firstLine="709"/>
        <w:rPr>
          <w:szCs w:val="24"/>
          <w:lang w:eastAsia="en-US"/>
        </w:rPr>
      </w:pPr>
      <w:r w:rsidRPr="001B0EA3">
        <w:rPr>
          <w:szCs w:val="24"/>
          <w:lang w:eastAsia="en-US"/>
        </w:rPr>
        <w:t xml:space="preserve">За </w:t>
      </w:r>
      <w:r w:rsidRPr="001B0EA3">
        <w:rPr>
          <w:szCs w:val="24"/>
          <w:u w:val="single"/>
          <w:lang w:eastAsia="en-US"/>
        </w:rPr>
        <w:t>някои видове ДП съвместимостта се съдържат изрични Насоки, Съобщения или Рамки на ЕК (съобразно целта на помощта):</w:t>
      </w:r>
      <w:r w:rsidRPr="001B0EA3">
        <w:rPr>
          <w:szCs w:val="24"/>
          <w:lang w:eastAsia="en-US"/>
        </w:rPr>
        <w:t xml:space="preserve"> </w:t>
      </w:r>
    </w:p>
    <w:p w14:paraId="04789F69" w14:textId="77777777" w:rsidR="00512C85" w:rsidRPr="001B0EA3" w:rsidRDefault="00512C85" w:rsidP="00511860">
      <w:pPr>
        <w:spacing w:after="60"/>
        <w:ind w:firstLine="709"/>
        <w:rPr>
          <w:szCs w:val="24"/>
          <w:lang w:eastAsia="en-US"/>
        </w:rPr>
      </w:pPr>
      <w:r w:rsidRPr="001B0EA3">
        <w:rPr>
          <w:szCs w:val="24"/>
          <w:lang w:eastAsia="en-US"/>
        </w:rPr>
        <w:t>- Насоките за регионална помощ</w:t>
      </w:r>
      <w:r w:rsidRPr="001B0EA3">
        <w:rPr>
          <w:szCs w:val="24"/>
          <w:vertAlign w:val="superscript"/>
          <w:lang w:eastAsia="en-US"/>
        </w:rPr>
        <w:footnoteReference w:id="20"/>
      </w:r>
      <w:r w:rsidRPr="001B0EA3">
        <w:rPr>
          <w:szCs w:val="24"/>
          <w:lang w:eastAsia="en-US"/>
        </w:rPr>
        <w:t>; Насоки за широколентов достъп</w:t>
      </w:r>
      <w:r w:rsidRPr="001B0EA3">
        <w:rPr>
          <w:szCs w:val="24"/>
          <w:vertAlign w:val="superscript"/>
          <w:lang w:eastAsia="en-US"/>
        </w:rPr>
        <w:footnoteReference w:id="21"/>
      </w:r>
      <w:r w:rsidRPr="001B0EA3">
        <w:rPr>
          <w:szCs w:val="24"/>
          <w:lang w:eastAsia="en-US"/>
        </w:rPr>
        <w:t>; Насоки за насърчаване на инвестициите в рисково финансиране</w:t>
      </w:r>
      <w:r w:rsidRPr="001B0EA3">
        <w:rPr>
          <w:szCs w:val="24"/>
          <w:vertAlign w:val="superscript"/>
          <w:lang w:eastAsia="en-US"/>
        </w:rPr>
        <w:footnoteReference w:id="22"/>
      </w:r>
      <w:r w:rsidRPr="001B0EA3">
        <w:rPr>
          <w:szCs w:val="24"/>
          <w:lang w:eastAsia="en-US"/>
        </w:rPr>
        <w:t>; Насоки за оздравяване и преструктуриране на нефинансови предприятия в затруднено положение</w:t>
      </w:r>
      <w:r w:rsidRPr="001B0EA3">
        <w:rPr>
          <w:szCs w:val="24"/>
          <w:vertAlign w:val="superscript"/>
          <w:lang w:eastAsia="en-US"/>
        </w:rPr>
        <w:footnoteReference w:id="23"/>
      </w:r>
      <w:r w:rsidRPr="001B0EA3">
        <w:rPr>
          <w:szCs w:val="24"/>
          <w:lang w:eastAsia="en-US"/>
        </w:rPr>
        <w:t>; Насоки за летища и авиокомпании</w:t>
      </w:r>
      <w:r w:rsidRPr="001B0EA3">
        <w:rPr>
          <w:szCs w:val="24"/>
          <w:vertAlign w:val="superscript"/>
          <w:lang w:eastAsia="en-US"/>
        </w:rPr>
        <w:footnoteReference w:id="24"/>
      </w:r>
      <w:r w:rsidRPr="001B0EA3">
        <w:rPr>
          <w:szCs w:val="24"/>
          <w:lang w:eastAsia="en-US"/>
        </w:rPr>
        <w:t>; Насоки за опазване на околната среда и за енергетика</w:t>
      </w:r>
      <w:r w:rsidRPr="001B0EA3">
        <w:rPr>
          <w:szCs w:val="24"/>
          <w:vertAlign w:val="superscript"/>
          <w:lang w:eastAsia="en-US"/>
        </w:rPr>
        <w:footnoteReference w:id="25"/>
      </w:r>
      <w:r w:rsidRPr="001B0EA3">
        <w:rPr>
          <w:szCs w:val="24"/>
          <w:lang w:eastAsia="en-US"/>
        </w:rPr>
        <w:t>; Насоки в контекста на схемата за търговия с квоти за емисии на парников газ</w:t>
      </w:r>
      <w:r w:rsidRPr="001B0EA3">
        <w:rPr>
          <w:szCs w:val="24"/>
          <w:vertAlign w:val="superscript"/>
          <w:lang w:eastAsia="en-US"/>
        </w:rPr>
        <w:footnoteReference w:id="26"/>
      </w:r>
      <w:r w:rsidRPr="001B0EA3">
        <w:rPr>
          <w:szCs w:val="24"/>
          <w:lang w:eastAsia="en-US"/>
        </w:rPr>
        <w:t xml:space="preserve">; </w:t>
      </w:r>
    </w:p>
    <w:p w14:paraId="22883EE9" w14:textId="77777777" w:rsidR="00512C85" w:rsidRPr="001B0EA3" w:rsidRDefault="00512C85" w:rsidP="00511860">
      <w:pPr>
        <w:spacing w:after="60"/>
        <w:ind w:firstLine="709"/>
        <w:rPr>
          <w:szCs w:val="24"/>
          <w:lang w:eastAsia="en-US"/>
        </w:rPr>
      </w:pPr>
      <w:r w:rsidRPr="001B0EA3">
        <w:rPr>
          <w:szCs w:val="24"/>
          <w:lang w:eastAsia="en-US"/>
        </w:rPr>
        <w:t>- Съобщение за филми и други аудиовизуални произведения</w:t>
      </w:r>
      <w:r w:rsidRPr="001B0EA3">
        <w:rPr>
          <w:szCs w:val="24"/>
          <w:vertAlign w:val="superscript"/>
          <w:lang w:eastAsia="en-US"/>
        </w:rPr>
        <w:footnoteReference w:id="27"/>
      </w:r>
      <w:r w:rsidRPr="001B0EA3">
        <w:rPr>
          <w:szCs w:val="24"/>
          <w:lang w:eastAsia="en-US"/>
        </w:rPr>
        <w:t>; Съобщение за банките</w:t>
      </w:r>
      <w:r w:rsidRPr="001B0EA3">
        <w:rPr>
          <w:szCs w:val="24"/>
          <w:vertAlign w:val="superscript"/>
          <w:lang w:eastAsia="en-US"/>
        </w:rPr>
        <w:footnoteReference w:id="28"/>
      </w:r>
      <w:r w:rsidRPr="001B0EA3">
        <w:rPr>
          <w:szCs w:val="24"/>
          <w:lang w:eastAsia="en-US"/>
        </w:rPr>
        <w:t xml:space="preserve">; </w:t>
      </w:r>
    </w:p>
    <w:p w14:paraId="5FE23A39" w14:textId="77777777" w:rsidR="00512C85" w:rsidRPr="001B0EA3" w:rsidRDefault="00512C85" w:rsidP="00511860">
      <w:pPr>
        <w:spacing w:after="60"/>
        <w:ind w:firstLine="709"/>
        <w:rPr>
          <w:szCs w:val="24"/>
          <w:lang w:eastAsia="en-US"/>
        </w:rPr>
      </w:pPr>
      <w:r w:rsidRPr="001B0EA3">
        <w:rPr>
          <w:rFonts w:ascii="EUAlbertina" w:eastAsia="Calibri" w:hAnsi="EUAlbertina" w:cs="EUAlbertina"/>
          <w:color w:val="000000"/>
          <w:szCs w:val="24"/>
          <w:lang w:eastAsia="en-US"/>
        </w:rPr>
        <w:t xml:space="preserve">- </w:t>
      </w:r>
      <w:r w:rsidRPr="001B0EA3">
        <w:rPr>
          <w:szCs w:val="24"/>
          <w:lang w:eastAsia="en-US"/>
        </w:rPr>
        <w:t>Рамка НИРИ</w:t>
      </w:r>
      <w:r w:rsidRPr="001B0EA3">
        <w:rPr>
          <w:szCs w:val="24"/>
          <w:vertAlign w:val="superscript"/>
          <w:lang w:eastAsia="en-US"/>
        </w:rPr>
        <w:footnoteReference w:id="29"/>
      </w:r>
      <w:r w:rsidRPr="001B0EA3">
        <w:rPr>
          <w:szCs w:val="24"/>
          <w:lang w:eastAsia="en-US"/>
        </w:rPr>
        <w:t>, Рамка за УОИИ</w:t>
      </w:r>
      <w:r w:rsidRPr="001B0EA3">
        <w:rPr>
          <w:szCs w:val="24"/>
          <w:vertAlign w:val="superscript"/>
          <w:lang w:eastAsia="en-US"/>
        </w:rPr>
        <w:footnoteReference w:id="30"/>
      </w:r>
      <w:r w:rsidRPr="001B0EA3">
        <w:rPr>
          <w:szCs w:val="24"/>
          <w:lang w:eastAsia="en-US"/>
        </w:rPr>
        <w:t xml:space="preserve">; </w:t>
      </w:r>
    </w:p>
    <w:p w14:paraId="04E084C9" w14:textId="77777777" w:rsidR="00512C85" w:rsidRPr="001B0EA3" w:rsidRDefault="00512C85" w:rsidP="00511860">
      <w:pPr>
        <w:spacing w:after="60"/>
        <w:ind w:firstLine="709"/>
        <w:rPr>
          <w:szCs w:val="24"/>
          <w:lang w:eastAsia="en-US"/>
        </w:rPr>
      </w:pPr>
      <w:r w:rsidRPr="001B0EA3">
        <w:rPr>
          <w:szCs w:val="24"/>
          <w:lang w:eastAsia="en-US"/>
        </w:rPr>
        <w:lastRenderedPageBreak/>
        <w:t xml:space="preserve">- Критерии за анализа на съвместимостта с вътрешния пазар на държавна помощ за насърчаване изпълнението на важни проекти от </w:t>
      </w:r>
      <w:r w:rsidR="00E813B6" w:rsidRPr="001B0EA3">
        <w:rPr>
          <w:szCs w:val="24"/>
          <w:lang w:eastAsia="en-US"/>
        </w:rPr>
        <w:t>общоевропейски</w:t>
      </w:r>
      <w:r w:rsidRPr="001B0EA3">
        <w:rPr>
          <w:szCs w:val="24"/>
          <w:lang w:eastAsia="en-US"/>
        </w:rPr>
        <w:t xml:space="preserve"> интерес</w:t>
      </w:r>
      <w:r w:rsidRPr="001B0EA3">
        <w:rPr>
          <w:szCs w:val="24"/>
          <w:vertAlign w:val="superscript"/>
          <w:lang w:eastAsia="en-US"/>
        </w:rPr>
        <w:footnoteReference w:id="31"/>
      </w:r>
      <w:r w:rsidRPr="001B0EA3">
        <w:rPr>
          <w:szCs w:val="24"/>
          <w:lang w:eastAsia="en-US"/>
        </w:rPr>
        <w:t>;</w:t>
      </w:r>
    </w:p>
    <w:p w14:paraId="3452D1F6" w14:textId="77777777" w:rsidR="00512C85" w:rsidRPr="001B0EA3" w:rsidRDefault="00512C85" w:rsidP="00511860">
      <w:pPr>
        <w:spacing w:after="60"/>
        <w:ind w:firstLine="709"/>
        <w:rPr>
          <w:szCs w:val="24"/>
          <w:lang w:eastAsia="en-US"/>
        </w:rPr>
      </w:pPr>
      <w:r w:rsidRPr="001B0EA3">
        <w:rPr>
          <w:szCs w:val="24"/>
          <w:lang w:eastAsia="en-US"/>
        </w:rPr>
        <w:t>В това число и  специфични инструменти за помощ, като:</w:t>
      </w:r>
    </w:p>
    <w:p w14:paraId="684D9405" w14:textId="77777777" w:rsidR="00512C85" w:rsidRPr="001B0EA3" w:rsidRDefault="00512C85" w:rsidP="00511860">
      <w:pPr>
        <w:spacing w:after="60"/>
        <w:ind w:firstLine="709"/>
        <w:rPr>
          <w:szCs w:val="24"/>
          <w:lang w:eastAsia="en-US"/>
        </w:rPr>
      </w:pPr>
      <w:r w:rsidRPr="001B0EA3">
        <w:rPr>
          <w:szCs w:val="24"/>
          <w:lang w:eastAsia="en-US"/>
        </w:rPr>
        <w:t>- Съобщение на Комисията относно елементите на държавна помощ при продажба на земя и сгради от публични органи</w:t>
      </w:r>
      <w:r w:rsidRPr="001B0EA3">
        <w:rPr>
          <w:szCs w:val="24"/>
          <w:vertAlign w:val="superscript"/>
          <w:lang w:eastAsia="en-US"/>
        </w:rPr>
        <w:footnoteReference w:id="32"/>
      </w:r>
      <w:r w:rsidRPr="001B0EA3">
        <w:rPr>
          <w:szCs w:val="24"/>
          <w:lang w:eastAsia="en-US"/>
        </w:rPr>
        <w:t>; Известие на Комисията относно прилагането на членове 87 и 88 от Договора за ЕО по отношение на държавните помощи под формата на гаранции</w:t>
      </w:r>
      <w:r w:rsidRPr="001B0EA3">
        <w:rPr>
          <w:szCs w:val="24"/>
          <w:vertAlign w:val="superscript"/>
          <w:lang w:eastAsia="en-US"/>
        </w:rPr>
        <w:footnoteReference w:id="33"/>
      </w:r>
      <w:r w:rsidRPr="001B0EA3">
        <w:rPr>
          <w:szCs w:val="24"/>
          <w:lang w:eastAsia="en-US"/>
        </w:rPr>
        <w:t>; Съобщение на Комисията до държавите-членки относно прилагането на членове 107 и 108 от ДФЕС към застраховането на краткосрочни експортни кредити.</w:t>
      </w:r>
      <w:r w:rsidRPr="001B0EA3">
        <w:rPr>
          <w:szCs w:val="24"/>
          <w:vertAlign w:val="superscript"/>
          <w:lang w:eastAsia="en-US"/>
        </w:rPr>
        <w:footnoteReference w:id="34"/>
      </w:r>
    </w:p>
    <w:p w14:paraId="033472DD" w14:textId="77777777" w:rsidR="00512C85" w:rsidRPr="001B0EA3" w:rsidRDefault="00512C85" w:rsidP="00511860">
      <w:pPr>
        <w:spacing w:after="60"/>
        <w:ind w:firstLine="709"/>
        <w:rPr>
          <w:szCs w:val="24"/>
          <w:lang w:eastAsia="en-US"/>
        </w:rPr>
      </w:pPr>
    </w:p>
    <w:p w14:paraId="0E27431B" w14:textId="77777777" w:rsidR="00512C85" w:rsidRPr="001B0EA3" w:rsidRDefault="00512C85" w:rsidP="00511860">
      <w:pPr>
        <w:spacing w:after="60"/>
        <w:ind w:firstLine="709"/>
        <w:rPr>
          <w:b/>
          <w:szCs w:val="24"/>
          <w:lang w:eastAsia="en-US"/>
        </w:rPr>
      </w:pPr>
      <w:r w:rsidRPr="001B0EA3">
        <w:rPr>
          <w:szCs w:val="24"/>
          <w:lang w:eastAsia="en-US"/>
        </w:rPr>
        <w:t xml:space="preserve">При съгласуване прилагането на този режим </w:t>
      </w:r>
      <w:r w:rsidRPr="001B0EA3">
        <w:rPr>
          <w:szCs w:val="22"/>
          <w:lang w:eastAsia="en-US"/>
        </w:rPr>
        <w:t>с МФ</w:t>
      </w:r>
      <w:r w:rsidRPr="001B0EA3">
        <w:rPr>
          <w:b/>
          <w:szCs w:val="22"/>
          <w:lang w:eastAsia="en-US"/>
        </w:rPr>
        <w:t xml:space="preserve"> </w:t>
      </w:r>
      <w:r w:rsidRPr="001B0EA3">
        <w:rPr>
          <w:szCs w:val="24"/>
          <w:lang w:eastAsia="en-US"/>
        </w:rPr>
        <w:t xml:space="preserve">се прилагат процедурите </w:t>
      </w:r>
      <w:r w:rsidRPr="001B0EA3">
        <w:rPr>
          <w:b/>
          <w:szCs w:val="24"/>
          <w:lang w:eastAsia="en-US"/>
        </w:rPr>
        <w:t xml:space="preserve">по чл. </w:t>
      </w:r>
      <w:r w:rsidR="005E0B75">
        <w:rPr>
          <w:b/>
          <w:szCs w:val="24"/>
          <w:lang w:eastAsia="en-US"/>
        </w:rPr>
        <w:t>10</w:t>
      </w:r>
      <w:r w:rsidRPr="001B0EA3">
        <w:rPr>
          <w:b/>
          <w:szCs w:val="24"/>
          <w:lang w:eastAsia="en-US"/>
        </w:rPr>
        <w:t xml:space="preserve">. от </w:t>
      </w:r>
      <w:r w:rsidR="005E0B75">
        <w:rPr>
          <w:b/>
          <w:szCs w:val="24"/>
          <w:lang w:eastAsia="en-US"/>
        </w:rPr>
        <w:t xml:space="preserve">ПП </w:t>
      </w:r>
      <w:r w:rsidRPr="001B0EA3">
        <w:rPr>
          <w:b/>
          <w:szCs w:val="24"/>
          <w:lang w:eastAsia="en-US"/>
        </w:rPr>
        <w:t>ЗДП.</w:t>
      </w:r>
    </w:p>
    <w:p w14:paraId="13462CD8" w14:textId="77777777" w:rsidR="00512C85" w:rsidRPr="00842ECC" w:rsidRDefault="00512C85" w:rsidP="00ED358C">
      <w:pPr>
        <w:pStyle w:val="Style4"/>
        <w:rPr>
          <w:lang w:val="bg-BG" w:eastAsia="en-US"/>
        </w:rPr>
      </w:pPr>
      <w:bookmarkStart w:id="351" w:name="_Toc425170741"/>
      <w:bookmarkStart w:id="352" w:name="_Toc479775586"/>
      <w:r w:rsidRPr="00842ECC">
        <w:rPr>
          <w:lang w:val="bg-BG" w:eastAsia="en-US"/>
        </w:rPr>
        <w:t>ДП, подлежаща на уведомление (нотификация) до ЕК и одобряването й от Комисията - всички останали случаи, които непосочени в режимите от 7.2.2.1. до 7.2.2.4.</w:t>
      </w:r>
      <w:bookmarkEnd w:id="351"/>
      <w:bookmarkEnd w:id="352"/>
      <w:r w:rsidRPr="00842ECC">
        <w:rPr>
          <w:lang w:val="bg-BG" w:eastAsia="en-US"/>
        </w:rPr>
        <w:t xml:space="preserve">  </w:t>
      </w:r>
    </w:p>
    <w:p w14:paraId="06331045" w14:textId="77777777" w:rsidR="00512C85" w:rsidRPr="0092742A" w:rsidRDefault="00512C85" w:rsidP="0092742A">
      <w:pPr>
        <w:spacing w:after="60"/>
        <w:ind w:firstLine="709"/>
        <w:rPr>
          <w:szCs w:val="24"/>
          <w:lang w:eastAsia="en-US"/>
        </w:rPr>
      </w:pPr>
      <w:r w:rsidRPr="0092742A">
        <w:rPr>
          <w:szCs w:val="24"/>
          <w:lang w:eastAsia="en-US"/>
        </w:rPr>
        <w:t xml:space="preserve">За ДП по </w:t>
      </w:r>
      <w:r w:rsidRPr="004C7998">
        <w:rPr>
          <w:b/>
          <w:szCs w:val="24"/>
          <w:lang w:eastAsia="en-US"/>
        </w:rPr>
        <w:t>чл. 93; чл. 106, параграф 2; чл. 107, параграф 2; чл. 107, параграф 3 от ДФЕС</w:t>
      </w:r>
      <w:r w:rsidRPr="0092742A">
        <w:rPr>
          <w:szCs w:val="24"/>
          <w:lang w:eastAsia="en-US"/>
        </w:rPr>
        <w:t>, за които няма специфични актове или мярката не може да се вмести в изрично създадени от ЕК актове, се прави уведомление директно по чл. 108 от ДФЕС за одобрение от ЕС.</w:t>
      </w:r>
    </w:p>
    <w:p w14:paraId="7003EA93" w14:textId="77777777" w:rsidR="00512C85" w:rsidRPr="0092742A" w:rsidRDefault="00512C85" w:rsidP="0092742A">
      <w:pPr>
        <w:spacing w:after="60"/>
        <w:ind w:firstLine="709"/>
        <w:rPr>
          <w:szCs w:val="24"/>
          <w:lang w:eastAsia="en-US"/>
        </w:rPr>
      </w:pPr>
      <w:r w:rsidRPr="0092742A">
        <w:rPr>
          <w:szCs w:val="24"/>
          <w:lang w:eastAsia="en-US"/>
        </w:rPr>
        <w:t xml:space="preserve">При съгласуване прилагането </w:t>
      </w:r>
      <w:r w:rsidR="005E0B75">
        <w:rPr>
          <w:szCs w:val="24"/>
          <w:lang w:eastAsia="en-US"/>
        </w:rPr>
        <w:t xml:space="preserve">на </w:t>
      </w:r>
      <w:r w:rsidRPr="0092742A">
        <w:rPr>
          <w:szCs w:val="24"/>
          <w:lang w:eastAsia="en-US"/>
        </w:rPr>
        <w:t xml:space="preserve">режим, попадащ в тази категория мярката следва предварително да се съгласува с министъра на финансите, след което да бъде одобрена от ЕС, като се спазва предвидения в </w:t>
      </w:r>
      <w:r w:rsidR="001D06D6" w:rsidRPr="001D06D6">
        <w:rPr>
          <w:szCs w:val="24"/>
          <w:lang w:eastAsia="en-US"/>
        </w:rPr>
        <w:t>чл. 4 от ПП</w:t>
      </w:r>
      <w:r w:rsidRPr="0092742A">
        <w:rPr>
          <w:szCs w:val="24"/>
          <w:lang w:eastAsia="en-US"/>
        </w:rPr>
        <w:t xml:space="preserve"> ЗДП ред.</w:t>
      </w:r>
    </w:p>
    <w:p w14:paraId="614AFC7E" w14:textId="77777777" w:rsidR="00D603F5" w:rsidRPr="00842ECC" w:rsidRDefault="00563266" w:rsidP="00ED358C">
      <w:pPr>
        <w:pStyle w:val="Style3"/>
        <w:rPr>
          <w:lang w:val="bg-BG" w:eastAsia="en-US"/>
        </w:rPr>
      </w:pPr>
      <w:bookmarkStart w:id="353" w:name="_Toc479775587"/>
      <w:r w:rsidRPr="00842ECC">
        <w:rPr>
          <w:lang w:val="bg-BG" w:eastAsia="en-US"/>
        </w:rPr>
        <w:t xml:space="preserve">Заключение от </w:t>
      </w:r>
      <w:bookmarkStart w:id="354" w:name="_Toc425152084"/>
      <w:bookmarkStart w:id="355" w:name="_Toc425153976"/>
      <w:bookmarkStart w:id="356" w:name="_Toc425154374"/>
      <w:bookmarkStart w:id="357" w:name="_Toc425154771"/>
      <w:bookmarkStart w:id="358" w:name="_Toc425155888"/>
      <w:bookmarkStart w:id="359" w:name="_Toc425156288"/>
      <w:bookmarkStart w:id="360" w:name="_Toc425152085"/>
      <w:bookmarkStart w:id="361" w:name="_Toc425153977"/>
      <w:bookmarkStart w:id="362" w:name="_Toc425154375"/>
      <w:bookmarkStart w:id="363" w:name="_Toc425154772"/>
      <w:bookmarkStart w:id="364" w:name="_Toc425155889"/>
      <w:bookmarkStart w:id="365" w:name="_Toc425156289"/>
      <w:bookmarkStart w:id="366" w:name="_Toc425152086"/>
      <w:bookmarkStart w:id="367" w:name="_Toc425153978"/>
      <w:bookmarkStart w:id="368" w:name="_Toc425154376"/>
      <w:bookmarkStart w:id="369" w:name="_Toc425154773"/>
      <w:bookmarkStart w:id="370" w:name="_Toc425155890"/>
      <w:bookmarkStart w:id="371" w:name="_Toc425156290"/>
      <w:bookmarkStart w:id="372" w:name="_Toc425152087"/>
      <w:bookmarkStart w:id="373" w:name="_Toc425153979"/>
      <w:bookmarkStart w:id="374" w:name="_Toc425154377"/>
      <w:bookmarkStart w:id="375" w:name="_Toc425154774"/>
      <w:bookmarkStart w:id="376" w:name="_Toc425155891"/>
      <w:bookmarkStart w:id="377" w:name="_Toc425156291"/>
      <w:bookmarkStart w:id="378" w:name="_Toc425152088"/>
      <w:bookmarkStart w:id="379" w:name="_Toc425153980"/>
      <w:bookmarkStart w:id="380" w:name="_Toc425154378"/>
      <w:bookmarkStart w:id="381" w:name="_Toc425154775"/>
      <w:bookmarkStart w:id="382" w:name="_Toc425155892"/>
      <w:bookmarkStart w:id="383" w:name="_Toc425156292"/>
      <w:bookmarkStart w:id="384" w:name="_Toc425152089"/>
      <w:bookmarkStart w:id="385" w:name="_Toc425153981"/>
      <w:bookmarkStart w:id="386" w:name="_Toc425154379"/>
      <w:bookmarkStart w:id="387" w:name="_Toc425154776"/>
      <w:bookmarkStart w:id="388" w:name="_Toc425155893"/>
      <w:bookmarkStart w:id="389" w:name="_Toc425156293"/>
      <w:bookmarkStart w:id="390" w:name="_Toc425152090"/>
      <w:bookmarkStart w:id="391" w:name="_Toc425153982"/>
      <w:bookmarkStart w:id="392" w:name="_Toc425154380"/>
      <w:bookmarkStart w:id="393" w:name="_Toc425154777"/>
      <w:bookmarkStart w:id="394" w:name="_Toc425155894"/>
      <w:bookmarkStart w:id="395" w:name="_Toc425156294"/>
      <w:bookmarkStart w:id="396" w:name="_Toc425152091"/>
      <w:bookmarkStart w:id="397" w:name="_Toc425153983"/>
      <w:bookmarkStart w:id="398" w:name="_Toc425154381"/>
      <w:bookmarkStart w:id="399" w:name="_Toc425154778"/>
      <w:bookmarkStart w:id="400" w:name="_Toc425155895"/>
      <w:bookmarkStart w:id="401" w:name="_Toc425156295"/>
      <w:bookmarkStart w:id="402" w:name="_Toc425152092"/>
      <w:bookmarkStart w:id="403" w:name="_Toc425153984"/>
      <w:bookmarkStart w:id="404" w:name="_Toc425154382"/>
      <w:bookmarkStart w:id="405" w:name="_Toc425154779"/>
      <w:bookmarkStart w:id="406" w:name="_Toc425155896"/>
      <w:bookmarkStart w:id="407" w:name="_Toc425156296"/>
      <w:bookmarkStart w:id="408" w:name="_Toc425152093"/>
      <w:bookmarkStart w:id="409" w:name="_Toc425153985"/>
      <w:bookmarkStart w:id="410" w:name="_Toc425154383"/>
      <w:bookmarkStart w:id="411" w:name="_Toc425154780"/>
      <w:bookmarkStart w:id="412" w:name="_Toc425155897"/>
      <w:bookmarkStart w:id="413" w:name="_Toc425156297"/>
      <w:bookmarkStart w:id="414" w:name="_Toc425152094"/>
      <w:bookmarkStart w:id="415" w:name="_Toc425153986"/>
      <w:bookmarkStart w:id="416" w:name="_Toc425154384"/>
      <w:bookmarkStart w:id="417" w:name="_Toc425154781"/>
      <w:bookmarkStart w:id="418" w:name="_Toc425155898"/>
      <w:bookmarkStart w:id="419" w:name="_Toc425156298"/>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Pr="00842ECC">
        <w:rPr>
          <w:lang w:val="bg-BG" w:eastAsia="en-US"/>
        </w:rPr>
        <w:t>предварителната оценка за определяне на приложим към мярката режим на съвместима държавна помощ</w:t>
      </w:r>
      <w:bookmarkEnd w:id="353"/>
    </w:p>
    <w:p w14:paraId="14C5479E" w14:textId="77777777" w:rsidR="00563266" w:rsidRPr="001B0EA3" w:rsidRDefault="00563266" w:rsidP="00563266">
      <w:pPr>
        <w:tabs>
          <w:tab w:val="left" w:pos="426"/>
        </w:tabs>
        <w:spacing w:beforeLines="60" w:before="144" w:afterLines="60" w:after="144"/>
        <w:rPr>
          <w:b/>
          <w:szCs w:val="22"/>
          <w:lang w:eastAsia="en-US"/>
        </w:rPr>
      </w:pPr>
      <w:r w:rsidRPr="001B0EA3">
        <w:rPr>
          <w:szCs w:val="22"/>
          <w:lang w:eastAsia="en-US"/>
        </w:rPr>
        <w:t xml:space="preserve">При предварителната оценка за идентифициране наличието на елементите на дефиницията за ДП по чл. 107, параграф 1 от ДФЕС, УО се базира на установен алгоритъм от въпроси, отговорът на които позволява да се изведе мотивирано предварително заключение относно </w:t>
      </w:r>
      <w:r w:rsidR="00D809BE" w:rsidRPr="001B0EA3">
        <w:rPr>
          <w:szCs w:val="22"/>
          <w:lang w:eastAsia="en-US"/>
        </w:rPr>
        <w:t xml:space="preserve">изключенията </w:t>
      </w:r>
      <w:r w:rsidR="00D809BE" w:rsidRPr="001B0EA3">
        <w:rPr>
          <w:b/>
          <w:szCs w:val="22"/>
          <w:lang w:eastAsia="en-US"/>
        </w:rPr>
        <w:t xml:space="preserve">от режима на </w:t>
      </w:r>
      <w:r w:rsidRPr="001B0EA3">
        <w:rPr>
          <w:b/>
          <w:szCs w:val="22"/>
          <w:lang w:eastAsia="en-US"/>
        </w:rPr>
        <w:t xml:space="preserve">ДП </w:t>
      </w:r>
      <w:r w:rsidRPr="001B0EA3">
        <w:rPr>
          <w:b/>
          <w:i/>
          <w:szCs w:val="22"/>
          <w:lang w:eastAsia="en-US"/>
        </w:rPr>
        <w:t>(</w:t>
      </w:r>
      <w:hyperlink r:id="rId54" w:tooltip="Контролен лист за предварителна оценка за  определяне наличието на държавна помощ - Тест за държавна помощ - изключения" w:history="1">
        <w:r w:rsidR="00AE381A" w:rsidRPr="00251D03">
          <w:rPr>
            <w:rStyle w:val="Hyperlink"/>
            <w:i/>
            <w:szCs w:val="22"/>
            <w:lang w:eastAsia="en-US"/>
          </w:rPr>
          <w:t>Приложение № 2.02</w:t>
        </w:r>
      </w:hyperlink>
      <w:r w:rsidRPr="001B0EA3">
        <w:rPr>
          <w:b/>
          <w:i/>
          <w:szCs w:val="22"/>
          <w:lang w:eastAsia="en-US"/>
        </w:rPr>
        <w:t>)</w:t>
      </w:r>
      <w:r w:rsidRPr="001B0EA3">
        <w:rPr>
          <w:i/>
          <w:szCs w:val="22"/>
          <w:lang w:eastAsia="en-US"/>
        </w:rPr>
        <w:t xml:space="preserve"> </w:t>
      </w:r>
      <w:r w:rsidRPr="001B0EA3">
        <w:rPr>
          <w:szCs w:val="22"/>
          <w:lang w:eastAsia="en-US"/>
        </w:rPr>
        <w:t>и последяващо определяне на приложим към мярката режим на съвместима</w:t>
      </w:r>
      <w:r w:rsidRPr="001B0EA3">
        <w:rPr>
          <w:b/>
          <w:szCs w:val="22"/>
          <w:lang w:eastAsia="en-US"/>
        </w:rPr>
        <w:t xml:space="preserve"> ДП </w:t>
      </w:r>
      <w:r w:rsidRPr="001B0EA3">
        <w:rPr>
          <w:b/>
          <w:i/>
          <w:szCs w:val="22"/>
          <w:lang w:eastAsia="en-US"/>
        </w:rPr>
        <w:t>(</w:t>
      </w:r>
      <w:hyperlink r:id="rId55" w:tooltip="Контролен лист за предварителна оценка за определяне на приложим към мярката режим  на съвместима държавна помощ" w:history="1">
        <w:r w:rsidR="00AE381A" w:rsidRPr="00251D03">
          <w:rPr>
            <w:rStyle w:val="Hyperlink"/>
            <w:i/>
            <w:szCs w:val="22"/>
            <w:lang w:eastAsia="en-US"/>
          </w:rPr>
          <w:t>Приложение № 2.03</w:t>
        </w:r>
      </w:hyperlink>
      <w:r w:rsidRPr="001B0EA3">
        <w:rPr>
          <w:b/>
          <w:i/>
          <w:szCs w:val="22"/>
          <w:lang w:eastAsia="en-US"/>
        </w:rPr>
        <w:t>)</w:t>
      </w:r>
      <w:r w:rsidRPr="001B0EA3">
        <w:rPr>
          <w:b/>
          <w:szCs w:val="22"/>
          <w:lang w:eastAsia="en-US"/>
        </w:rPr>
        <w:t>.</w:t>
      </w:r>
    </w:p>
    <w:p w14:paraId="6F5923B4" w14:textId="77777777" w:rsidR="00563266" w:rsidRPr="001B0EA3" w:rsidRDefault="00563266" w:rsidP="00563266">
      <w:pPr>
        <w:tabs>
          <w:tab w:val="left" w:pos="426"/>
        </w:tabs>
        <w:spacing w:beforeLines="60" w:before="144" w:afterLines="60" w:after="144"/>
        <w:rPr>
          <w:szCs w:val="22"/>
          <w:lang w:eastAsia="en-US"/>
        </w:rPr>
      </w:pPr>
      <w:r w:rsidRPr="001B0EA3">
        <w:rPr>
          <w:szCs w:val="22"/>
          <w:lang w:eastAsia="en-US"/>
        </w:rPr>
        <w:t>В зависимост от заключението от  предварителната оценка за наличие и съвместимост на ДП се предприемат следните действия:</w:t>
      </w:r>
    </w:p>
    <w:p w14:paraId="49BBB025" w14:textId="77777777" w:rsidR="00563266" w:rsidRPr="007F3FB7" w:rsidRDefault="00563266" w:rsidP="00AE1F0D">
      <w:pPr>
        <w:pStyle w:val="ListParagraph"/>
        <w:numPr>
          <w:ilvl w:val="1"/>
          <w:numId w:val="389"/>
        </w:numPr>
        <w:tabs>
          <w:tab w:val="left" w:pos="851"/>
          <w:tab w:val="left" w:pos="1134"/>
        </w:tabs>
        <w:ind w:left="164" w:firstLine="545"/>
        <w:rPr>
          <w:szCs w:val="22"/>
          <w:lang w:eastAsia="en-US"/>
        </w:rPr>
      </w:pPr>
      <w:r w:rsidRPr="00382741">
        <w:rPr>
          <w:szCs w:val="22"/>
          <w:lang w:eastAsia="en-US"/>
        </w:rPr>
        <w:t xml:space="preserve">Ако </w:t>
      </w:r>
      <w:r w:rsidRPr="00382741">
        <w:rPr>
          <w:b/>
          <w:szCs w:val="22"/>
          <w:lang w:eastAsia="en-US"/>
        </w:rPr>
        <w:t xml:space="preserve">предварително заключение </w:t>
      </w:r>
      <w:r w:rsidRPr="003C2A10">
        <w:rPr>
          <w:szCs w:val="22"/>
          <w:lang w:eastAsia="en-US"/>
        </w:rPr>
        <w:t xml:space="preserve">от теста за ДП е, че мярката </w:t>
      </w:r>
      <w:r w:rsidRPr="00F772CC">
        <w:rPr>
          <w:b/>
          <w:szCs w:val="22"/>
          <w:lang w:eastAsia="en-US"/>
        </w:rPr>
        <w:t>не представлява ДП,</w:t>
      </w:r>
      <w:r w:rsidRPr="00F772CC">
        <w:rPr>
          <w:szCs w:val="22"/>
          <w:lang w:eastAsia="en-US"/>
        </w:rPr>
        <w:t xml:space="preserve"> за определянето на условията и размера на БФП по проекта се спазват само правилата по ЕСИФ, освен в случаите, когато мярката трябва да отговаря на изрични условия, за да се гарантира, че същата не представлява ДП. В тези случаи освен, на правилата по ЕСИФ</w:t>
      </w:r>
      <w:r w:rsidRPr="007F3FB7">
        <w:rPr>
          <w:szCs w:val="22"/>
          <w:lang w:eastAsia="en-US"/>
        </w:rPr>
        <w:t xml:space="preserve">, мярката е необходимо да отговаря и на тези специфични условия. </w:t>
      </w:r>
    </w:p>
    <w:p w14:paraId="406149BE" w14:textId="77777777" w:rsidR="00563266" w:rsidRPr="001B0EA3" w:rsidRDefault="00563266" w:rsidP="00AE1F0D">
      <w:pPr>
        <w:pStyle w:val="ListParagraph"/>
        <w:tabs>
          <w:tab w:val="left" w:pos="851"/>
        </w:tabs>
        <w:ind w:left="2127" w:firstLine="0"/>
        <w:rPr>
          <w:lang w:eastAsia="en-US"/>
        </w:rPr>
      </w:pPr>
    </w:p>
    <w:p w14:paraId="6F56D0BE" w14:textId="77777777" w:rsidR="00563266" w:rsidRPr="001B0EA3" w:rsidRDefault="00563266" w:rsidP="00AE1F0D">
      <w:pPr>
        <w:pStyle w:val="ListParagraph"/>
        <w:numPr>
          <w:ilvl w:val="1"/>
          <w:numId w:val="389"/>
        </w:numPr>
        <w:tabs>
          <w:tab w:val="left" w:pos="851"/>
          <w:tab w:val="left" w:pos="1134"/>
        </w:tabs>
        <w:ind w:left="164" w:firstLine="545"/>
        <w:rPr>
          <w:lang w:eastAsia="en-US"/>
        </w:rPr>
      </w:pPr>
      <w:r w:rsidRPr="001B0EA3">
        <w:rPr>
          <w:lang w:eastAsia="en-US"/>
        </w:rPr>
        <w:t xml:space="preserve">В случай, че предварителното заключение от  теста за ДП е наличието на  ДП, която  </w:t>
      </w:r>
      <w:r w:rsidRPr="001B0EA3">
        <w:rPr>
          <w:b/>
          <w:lang w:eastAsia="en-US"/>
        </w:rPr>
        <w:t xml:space="preserve">попада в обхвата </w:t>
      </w:r>
      <w:r w:rsidRPr="001B0EA3">
        <w:rPr>
          <w:lang w:eastAsia="en-US"/>
        </w:rPr>
        <w:t>на режим на съвместимите помощи</w:t>
      </w:r>
      <w:r w:rsidRPr="001B0EA3">
        <w:rPr>
          <w:b/>
          <w:lang w:eastAsia="en-US"/>
        </w:rPr>
        <w:t xml:space="preserve">, при определянето на условията и размера на БФП, </w:t>
      </w:r>
      <w:r w:rsidRPr="001B0EA3">
        <w:rPr>
          <w:lang w:eastAsia="en-US"/>
        </w:rPr>
        <w:t>освен правилата по ЕСИФ, трябва да се вземат предвид и условията и ограниченията, които налагат разпоредбите на съответната съвместима помощ, като се има предвид следното:</w:t>
      </w:r>
    </w:p>
    <w:p w14:paraId="7092F73E" w14:textId="77777777" w:rsidR="00563266" w:rsidRPr="001B0EA3" w:rsidRDefault="00563266" w:rsidP="00AE1F0D">
      <w:pPr>
        <w:pStyle w:val="ListParagraph"/>
        <w:tabs>
          <w:tab w:val="left" w:pos="851"/>
        </w:tabs>
        <w:ind w:left="2127" w:firstLine="0"/>
        <w:rPr>
          <w:lang w:eastAsia="en-US"/>
        </w:rPr>
      </w:pPr>
    </w:p>
    <w:p w14:paraId="5123E6DB" w14:textId="77777777" w:rsidR="00563266" w:rsidRPr="001B0EA3" w:rsidRDefault="00563266" w:rsidP="001D06D6">
      <w:pPr>
        <w:pStyle w:val="ListParagraph"/>
        <w:numPr>
          <w:ilvl w:val="1"/>
          <w:numId w:val="157"/>
        </w:numPr>
        <w:tabs>
          <w:tab w:val="left" w:pos="1134"/>
        </w:tabs>
        <w:spacing w:beforeLines="60" w:before="144" w:afterLines="60" w:after="144"/>
        <w:ind w:left="0" w:firstLine="851"/>
        <w:rPr>
          <w:szCs w:val="22"/>
          <w:lang w:eastAsia="en-US"/>
        </w:rPr>
      </w:pPr>
      <w:r w:rsidRPr="001B0EA3">
        <w:rPr>
          <w:szCs w:val="22"/>
          <w:lang w:eastAsia="en-US"/>
        </w:rPr>
        <w:lastRenderedPageBreak/>
        <w:t xml:space="preserve">когато мярката представлява </w:t>
      </w:r>
      <w:r w:rsidRPr="001B0EA3">
        <w:rPr>
          <w:b/>
          <w:szCs w:val="22"/>
          <w:lang w:eastAsia="en-US"/>
        </w:rPr>
        <w:t>минимална помощ</w:t>
      </w:r>
      <w:r w:rsidRPr="001B0EA3">
        <w:rPr>
          <w:szCs w:val="22"/>
          <w:lang w:eastAsia="en-US"/>
        </w:rPr>
        <w:t xml:space="preserve"> </w:t>
      </w:r>
      <w:r w:rsidRPr="001B0EA3">
        <w:rPr>
          <w:i/>
          <w:szCs w:val="22"/>
          <w:lang w:eastAsia="en-US"/>
        </w:rPr>
        <w:t xml:space="preserve">(de minimis)- </w:t>
      </w:r>
      <w:r w:rsidRPr="001B0EA3">
        <w:rPr>
          <w:szCs w:val="22"/>
          <w:lang w:eastAsia="en-US"/>
        </w:rPr>
        <w:t>прилагането на</w:t>
      </w:r>
      <w:r w:rsidRPr="001B0EA3">
        <w:rPr>
          <w:i/>
          <w:szCs w:val="22"/>
          <w:lang w:eastAsia="en-US"/>
        </w:rPr>
        <w:t xml:space="preserve"> </w:t>
      </w:r>
      <w:r w:rsidRPr="001B0EA3">
        <w:rPr>
          <w:szCs w:val="22"/>
          <w:lang w:eastAsia="en-US"/>
        </w:rPr>
        <w:t xml:space="preserve">същата следва да бъде приведено в съответствие с разпоредбите </w:t>
      </w:r>
      <w:r w:rsidR="001D06D6" w:rsidRPr="001D06D6">
        <w:rPr>
          <w:szCs w:val="22"/>
          <w:lang w:eastAsia="en-US"/>
        </w:rPr>
        <w:t>по реда на чл. 32 от ЗДП и чл. 9 от ПП</w:t>
      </w:r>
      <w:r w:rsidRPr="001B0EA3">
        <w:rPr>
          <w:szCs w:val="22"/>
          <w:lang w:eastAsia="en-US"/>
        </w:rPr>
        <w:t xml:space="preserve"> ЗДП;</w:t>
      </w:r>
    </w:p>
    <w:p w14:paraId="695C3799" w14:textId="77777777" w:rsidR="00563266" w:rsidRPr="001B0EA3" w:rsidRDefault="00563266" w:rsidP="00563266">
      <w:pPr>
        <w:pStyle w:val="ListParagraph"/>
        <w:tabs>
          <w:tab w:val="left" w:pos="426"/>
          <w:tab w:val="left" w:pos="1134"/>
        </w:tabs>
        <w:spacing w:beforeLines="60" w:before="144" w:afterLines="60" w:after="144"/>
        <w:ind w:left="851"/>
        <w:rPr>
          <w:szCs w:val="22"/>
          <w:lang w:eastAsia="en-US"/>
        </w:rPr>
      </w:pPr>
    </w:p>
    <w:p w14:paraId="11CDD2D5" w14:textId="77777777" w:rsidR="00563266" w:rsidRPr="001B0EA3" w:rsidRDefault="00563266" w:rsidP="001D06D6">
      <w:pPr>
        <w:pStyle w:val="ListParagraph"/>
        <w:numPr>
          <w:ilvl w:val="1"/>
          <w:numId w:val="157"/>
        </w:numPr>
        <w:tabs>
          <w:tab w:val="left" w:pos="1134"/>
        </w:tabs>
        <w:ind w:left="0" w:firstLine="851"/>
        <w:rPr>
          <w:szCs w:val="22"/>
          <w:lang w:eastAsia="en-US"/>
        </w:rPr>
      </w:pPr>
      <w:r w:rsidRPr="001B0EA3">
        <w:rPr>
          <w:szCs w:val="22"/>
          <w:lang w:eastAsia="en-US"/>
        </w:rPr>
        <w:t xml:space="preserve">когато мярката попада в обхвата </w:t>
      </w:r>
      <w:r w:rsidRPr="001B0EA3">
        <w:rPr>
          <w:b/>
          <w:szCs w:val="22"/>
          <w:lang w:eastAsia="en-US"/>
        </w:rPr>
        <w:t>на ОРГО</w:t>
      </w:r>
      <w:r w:rsidRPr="001B0EA3">
        <w:rPr>
          <w:szCs w:val="22"/>
          <w:lang w:eastAsia="en-US"/>
        </w:rPr>
        <w:t xml:space="preserve"> или друг акт на ЕК за групово освобождаване </w:t>
      </w:r>
      <w:r w:rsidRPr="001B0EA3">
        <w:rPr>
          <w:i/>
          <w:szCs w:val="22"/>
          <w:lang w:eastAsia="en-US"/>
        </w:rPr>
        <w:t>(напр.</w:t>
      </w:r>
      <w:r w:rsidR="00E813B6" w:rsidRPr="001B0EA3">
        <w:rPr>
          <w:i/>
          <w:szCs w:val="22"/>
          <w:lang w:eastAsia="en-US"/>
        </w:rPr>
        <w:t xml:space="preserve"> </w:t>
      </w:r>
      <w:r w:rsidRPr="001B0EA3">
        <w:rPr>
          <w:i/>
          <w:szCs w:val="22"/>
          <w:lang w:eastAsia="en-US"/>
        </w:rPr>
        <w:t xml:space="preserve">Регламент 1370/2007 или Решение за УОИИ ) – </w:t>
      </w:r>
      <w:r w:rsidRPr="001B0EA3">
        <w:rPr>
          <w:szCs w:val="22"/>
          <w:lang w:eastAsia="en-US"/>
        </w:rPr>
        <w:t xml:space="preserve">прилагането на същата трябва да бъде одобрено от министъра на финансите  по предвидения </w:t>
      </w:r>
      <w:r w:rsidR="001D06D6" w:rsidRPr="001D06D6">
        <w:rPr>
          <w:szCs w:val="22"/>
          <w:lang w:eastAsia="en-US"/>
        </w:rPr>
        <w:t xml:space="preserve">по реда на чл. 27, чл. 28 и чл. 29 от ЗДП и глава 4 от ПП ЗДП или чл. 10 от ПП </w:t>
      </w:r>
      <w:r w:rsidRPr="001B0EA3">
        <w:rPr>
          <w:szCs w:val="22"/>
          <w:lang w:eastAsia="en-US"/>
        </w:rPr>
        <w:t>ЗДП;</w:t>
      </w:r>
    </w:p>
    <w:p w14:paraId="201DFE96" w14:textId="77777777" w:rsidR="00563266" w:rsidRPr="001B0EA3" w:rsidRDefault="00563266" w:rsidP="0019114B">
      <w:pPr>
        <w:pStyle w:val="ListParagraph"/>
        <w:ind w:left="0"/>
        <w:rPr>
          <w:szCs w:val="22"/>
          <w:lang w:eastAsia="en-US"/>
        </w:rPr>
      </w:pPr>
    </w:p>
    <w:p w14:paraId="39BC85BA" w14:textId="77777777" w:rsidR="00563266" w:rsidRPr="001B0EA3" w:rsidRDefault="00563266" w:rsidP="001D06D6">
      <w:pPr>
        <w:pStyle w:val="ListParagraph"/>
        <w:numPr>
          <w:ilvl w:val="1"/>
          <w:numId w:val="157"/>
        </w:numPr>
        <w:tabs>
          <w:tab w:val="left" w:pos="1134"/>
        </w:tabs>
        <w:spacing w:beforeLines="60" w:before="144" w:afterLines="60" w:after="144"/>
        <w:ind w:left="0" w:firstLine="851"/>
        <w:rPr>
          <w:szCs w:val="22"/>
          <w:lang w:eastAsia="en-US"/>
        </w:rPr>
      </w:pPr>
      <w:r w:rsidRPr="001B0EA3">
        <w:rPr>
          <w:szCs w:val="22"/>
          <w:lang w:eastAsia="en-US"/>
        </w:rPr>
        <w:t xml:space="preserve">когато мярката подлежи </w:t>
      </w:r>
      <w:r w:rsidRPr="001B0EA3">
        <w:rPr>
          <w:b/>
          <w:szCs w:val="22"/>
          <w:lang w:eastAsia="en-US"/>
        </w:rPr>
        <w:t>на уведомление (нотификация) пред ЕК</w:t>
      </w:r>
      <w:r w:rsidRPr="001B0EA3">
        <w:rPr>
          <w:szCs w:val="22"/>
          <w:lang w:eastAsia="en-US"/>
        </w:rPr>
        <w:t xml:space="preserve"> </w:t>
      </w:r>
      <w:r w:rsidRPr="001B0EA3">
        <w:rPr>
          <w:i/>
          <w:szCs w:val="22"/>
          <w:lang w:eastAsia="en-US"/>
        </w:rPr>
        <w:t>(по Насоки за регионална помощ, Рамка на УОИИ или  директно по ДФЕС -  чл. 93; чл. 106, параграф 3; чл.107, параграфи 2 и 3)</w:t>
      </w:r>
      <w:r w:rsidRPr="001B0EA3">
        <w:rPr>
          <w:szCs w:val="22"/>
          <w:lang w:eastAsia="en-US"/>
        </w:rPr>
        <w:t xml:space="preserve"> – прилагането на помощта следва да бъде </w:t>
      </w:r>
      <w:r w:rsidRPr="001B0EA3">
        <w:rPr>
          <w:b/>
          <w:szCs w:val="22"/>
          <w:lang w:eastAsia="en-US"/>
        </w:rPr>
        <w:t>предварително</w:t>
      </w:r>
      <w:r w:rsidRPr="001B0EA3">
        <w:rPr>
          <w:szCs w:val="22"/>
          <w:lang w:eastAsia="en-US"/>
        </w:rPr>
        <w:t xml:space="preserve"> </w:t>
      </w:r>
      <w:r w:rsidRPr="001B0EA3">
        <w:rPr>
          <w:b/>
          <w:szCs w:val="22"/>
          <w:lang w:eastAsia="en-US"/>
        </w:rPr>
        <w:t xml:space="preserve">съгласувано </w:t>
      </w:r>
      <w:r w:rsidRPr="001B0EA3">
        <w:rPr>
          <w:szCs w:val="22"/>
          <w:lang w:eastAsia="en-US"/>
        </w:rPr>
        <w:t xml:space="preserve">с министъра на финансите, след което </w:t>
      </w:r>
      <w:r w:rsidRPr="001B0EA3">
        <w:rPr>
          <w:b/>
          <w:szCs w:val="22"/>
          <w:lang w:eastAsia="en-US"/>
        </w:rPr>
        <w:t>одобрено</w:t>
      </w:r>
      <w:r w:rsidRPr="001B0EA3">
        <w:rPr>
          <w:szCs w:val="22"/>
          <w:lang w:eastAsia="en-US"/>
        </w:rPr>
        <w:t xml:space="preserve"> от ЕК по предвидения в чл. </w:t>
      </w:r>
      <w:r w:rsidR="001D06D6" w:rsidRPr="001D06D6">
        <w:rPr>
          <w:szCs w:val="22"/>
          <w:lang w:eastAsia="en-US"/>
        </w:rPr>
        <w:t>4 от ПП</w:t>
      </w:r>
      <w:r w:rsidRPr="001B0EA3">
        <w:rPr>
          <w:szCs w:val="22"/>
          <w:lang w:eastAsia="en-US"/>
        </w:rPr>
        <w:t xml:space="preserve"> ЗДП ред.</w:t>
      </w:r>
    </w:p>
    <w:p w14:paraId="1063041E" w14:textId="77777777" w:rsidR="00563266" w:rsidRPr="001B0EA3" w:rsidRDefault="00563266" w:rsidP="00511E7C">
      <w:pPr>
        <w:tabs>
          <w:tab w:val="left" w:pos="426"/>
          <w:tab w:val="left" w:pos="709"/>
          <w:tab w:val="left" w:pos="1134"/>
        </w:tabs>
        <w:spacing w:beforeLines="60" w:before="144" w:afterLines="60" w:after="144"/>
        <w:rPr>
          <w:szCs w:val="22"/>
          <w:lang w:eastAsia="en-US"/>
        </w:rPr>
      </w:pPr>
      <w:r w:rsidRPr="001B0EA3">
        <w:rPr>
          <w:szCs w:val="22"/>
          <w:lang w:eastAsia="en-US"/>
        </w:rPr>
        <w:t xml:space="preserve">В този случай </w:t>
      </w:r>
      <w:r w:rsidRPr="001B0EA3">
        <w:rPr>
          <w:i/>
          <w:szCs w:val="22"/>
          <w:lang w:eastAsia="en-US"/>
        </w:rPr>
        <w:t>(по буква „в“)</w:t>
      </w:r>
      <w:r w:rsidRPr="001B0EA3">
        <w:rPr>
          <w:szCs w:val="22"/>
          <w:lang w:eastAsia="en-US"/>
        </w:rPr>
        <w:t xml:space="preserve"> </w:t>
      </w:r>
      <w:r w:rsidRPr="001B0EA3">
        <w:rPr>
          <w:b/>
          <w:szCs w:val="22"/>
          <w:lang w:eastAsia="en-US"/>
        </w:rPr>
        <w:t xml:space="preserve">не може да се предостави БФП преди решение на ЕК </w:t>
      </w:r>
      <w:r w:rsidRPr="001B0EA3">
        <w:rPr>
          <w:szCs w:val="22"/>
          <w:lang w:eastAsia="en-US"/>
        </w:rPr>
        <w:t xml:space="preserve">по уведомлението. Ако Решението на ЕК е положително, т.е. идентифицираната ДП чрез теста за ДП попада в обхвата  </w:t>
      </w:r>
      <w:r w:rsidRPr="001B0EA3">
        <w:rPr>
          <w:b/>
          <w:szCs w:val="22"/>
          <w:lang w:eastAsia="en-US"/>
        </w:rPr>
        <w:t>съвместим с вътрешния пазар режим на ДП,</w:t>
      </w:r>
      <w:r w:rsidRPr="001B0EA3">
        <w:rPr>
          <w:szCs w:val="22"/>
          <w:lang w:eastAsia="en-US"/>
        </w:rPr>
        <w:t xml:space="preserve"> мярката може да бъде предоставена и въведена в действие. При тази хипотеза трябва да се спазват условията и механизма на прилагане на съответния съвместим режим на ДП, което УО следва  </w:t>
      </w:r>
      <w:r w:rsidRPr="001B0EA3">
        <w:rPr>
          <w:b/>
          <w:szCs w:val="22"/>
          <w:lang w:eastAsia="en-US"/>
        </w:rPr>
        <w:t xml:space="preserve">се наблюдава и контролира от УО </w:t>
      </w:r>
      <w:r w:rsidRPr="001B0EA3">
        <w:rPr>
          <w:szCs w:val="22"/>
          <w:lang w:eastAsia="en-US"/>
        </w:rPr>
        <w:t>или  администратора на ДП, ако е различен от УО в съответствие с процедурите от т.8  от настоящия наръчник.</w:t>
      </w:r>
    </w:p>
    <w:p w14:paraId="41A1BAAE" w14:textId="77777777" w:rsidR="00563266" w:rsidRPr="001B0EA3" w:rsidRDefault="00563266" w:rsidP="00511E7C">
      <w:pPr>
        <w:tabs>
          <w:tab w:val="left" w:pos="0"/>
          <w:tab w:val="left" w:pos="709"/>
        </w:tabs>
        <w:autoSpaceDE w:val="0"/>
        <w:autoSpaceDN w:val="0"/>
        <w:adjustRightInd w:val="0"/>
        <w:spacing w:beforeLines="60" w:before="144" w:afterLines="60" w:after="144"/>
        <w:rPr>
          <w:szCs w:val="22"/>
          <w:lang w:eastAsia="en-US"/>
        </w:rPr>
      </w:pPr>
      <w:r w:rsidRPr="001B0EA3">
        <w:rPr>
          <w:szCs w:val="24"/>
          <w:lang w:eastAsia="bg-BG"/>
        </w:rPr>
        <w:t xml:space="preserve">Когато при предварителната оценка на конкретно проектно предложение се установи, че с помощта, за която се кандидатства, </w:t>
      </w:r>
      <w:r w:rsidRPr="001B0EA3">
        <w:rPr>
          <w:b/>
          <w:szCs w:val="24"/>
          <w:lang w:eastAsia="bg-BG"/>
        </w:rPr>
        <w:t xml:space="preserve">ще бъде надхвърлен прагът на допустимите държавни/минимални помощи </w:t>
      </w:r>
      <w:r w:rsidRPr="001B0EA3">
        <w:rPr>
          <w:szCs w:val="24"/>
          <w:lang w:eastAsia="bg-BG"/>
        </w:rPr>
        <w:t xml:space="preserve">за </w:t>
      </w:r>
      <w:r w:rsidRPr="001B0EA3">
        <w:rPr>
          <w:szCs w:val="22"/>
          <w:lang w:eastAsia="en-US"/>
        </w:rPr>
        <w:t>съответния режим на съвместими ДП</w:t>
      </w:r>
      <w:r w:rsidRPr="001B0EA3">
        <w:rPr>
          <w:szCs w:val="24"/>
          <w:lang w:eastAsia="bg-BG"/>
        </w:rPr>
        <w:t xml:space="preserve">, оценителната комисия следва да намали служебно размера на БФП до максимално допустимия размер, като информира кандидата за извършената корекция. Тази корекция не може да води до подобряване на качеството на проектното предложение и до нарушаване на принципите по чл. </w:t>
      </w:r>
      <w:r w:rsidR="00D809BE" w:rsidRPr="001B0EA3">
        <w:rPr>
          <w:szCs w:val="24"/>
          <w:lang w:eastAsia="bg-BG"/>
        </w:rPr>
        <w:t>29, ал. 1 от ЗУСЕСИФ.</w:t>
      </w:r>
    </w:p>
    <w:p w14:paraId="74837F7F" w14:textId="77777777" w:rsidR="00D603F5" w:rsidRPr="008A4483" w:rsidRDefault="00563266" w:rsidP="00AE1F0D">
      <w:pPr>
        <w:pStyle w:val="ListParagraph"/>
        <w:numPr>
          <w:ilvl w:val="1"/>
          <w:numId w:val="389"/>
        </w:numPr>
        <w:tabs>
          <w:tab w:val="left" w:pos="851"/>
          <w:tab w:val="left" w:pos="1134"/>
        </w:tabs>
        <w:ind w:left="164" w:firstLine="545"/>
        <w:rPr>
          <w:szCs w:val="22"/>
          <w:lang w:eastAsia="en-US"/>
        </w:rPr>
      </w:pPr>
      <w:r w:rsidRPr="001B0EA3">
        <w:rPr>
          <w:szCs w:val="22"/>
          <w:lang w:eastAsia="en-US"/>
        </w:rPr>
        <w:t xml:space="preserve">Ако решението на ЕК по уведомление е отрицателно, т.е. идентифицираната ДП чрез теста за ДП </w:t>
      </w:r>
      <w:r w:rsidRPr="001B0EA3">
        <w:rPr>
          <w:b/>
          <w:szCs w:val="22"/>
          <w:lang w:eastAsia="en-US"/>
        </w:rPr>
        <w:t>не съответства,</w:t>
      </w:r>
      <w:r w:rsidRPr="001B0EA3">
        <w:rPr>
          <w:szCs w:val="22"/>
          <w:lang w:eastAsia="en-US"/>
        </w:rPr>
        <w:t xml:space="preserve"> не попада и не може да бъде приведена да попадне в обхвата </w:t>
      </w:r>
      <w:r w:rsidRPr="001B0EA3">
        <w:rPr>
          <w:b/>
          <w:szCs w:val="22"/>
          <w:lang w:eastAsia="en-US"/>
        </w:rPr>
        <w:t>на съвместимите с вътрешния пазар режим/и на помощ/и</w:t>
      </w:r>
      <w:r w:rsidRPr="001B0EA3">
        <w:rPr>
          <w:szCs w:val="22"/>
          <w:lang w:eastAsia="en-US"/>
        </w:rPr>
        <w:t xml:space="preserve">, то за марката по проектното предложение </w:t>
      </w:r>
      <w:r w:rsidRPr="001B0EA3">
        <w:rPr>
          <w:b/>
          <w:szCs w:val="22"/>
          <w:lang w:eastAsia="en-US"/>
        </w:rPr>
        <w:t xml:space="preserve">не може да бъде предоставена БФП по ОПТТИ </w:t>
      </w:r>
      <w:r w:rsidRPr="001B0EA3">
        <w:rPr>
          <w:szCs w:val="22"/>
          <w:lang w:eastAsia="en-US"/>
        </w:rPr>
        <w:t>и</w:t>
      </w:r>
      <w:r w:rsidRPr="001B0EA3">
        <w:rPr>
          <w:b/>
          <w:szCs w:val="22"/>
          <w:lang w:eastAsia="en-US"/>
        </w:rPr>
        <w:t xml:space="preserve"> мярката не може да бъде </w:t>
      </w:r>
      <w:r w:rsidRPr="001B0EA3">
        <w:rPr>
          <w:szCs w:val="22"/>
          <w:lang w:eastAsia="en-US"/>
        </w:rPr>
        <w:t>въведена в действие</w:t>
      </w:r>
      <w:r w:rsidR="00D603F5" w:rsidRPr="001B0EA3">
        <w:rPr>
          <w:szCs w:val="24"/>
          <w:lang w:eastAsia="bg-BG"/>
        </w:rPr>
        <w:t>.</w:t>
      </w:r>
    </w:p>
    <w:p w14:paraId="73BF269E" w14:textId="77777777" w:rsidR="008A4483" w:rsidRPr="008A4483" w:rsidRDefault="008A4483" w:rsidP="008A4483">
      <w:pPr>
        <w:tabs>
          <w:tab w:val="left" w:pos="426"/>
          <w:tab w:val="left" w:pos="1134"/>
        </w:tabs>
        <w:spacing w:beforeLines="60" w:before="144" w:afterLines="60" w:after="144"/>
        <w:rPr>
          <w:szCs w:val="22"/>
          <w:lang w:eastAsia="en-US"/>
        </w:rPr>
      </w:pPr>
    </w:p>
    <w:p w14:paraId="0739626E" w14:textId="77777777" w:rsidR="001C31EF" w:rsidRPr="00842ECC" w:rsidRDefault="001C31EF" w:rsidP="001E404B">
      <w:pPr>
        <w:pStyle w:val="Style2"/>
        <w:rPr>
          <w:lang w:val="bg-BG" w:eastAsia="bg-BG"/>
        </w:rPr>
      </w:pPr>
      <w:bookmarkStart w:id="420" w:name="_Toc532552459"/>
      <w:bookmarkStart w:id="421" w:name="_Toc140150181"/>
      <w:r w:rsidRPr="00842ECC">
        <w:rPr>
          <w:rFonts w:hint="eastAsia"/>
          <w:lang w:val="bg-BG" w:eastAsia="bg-BG"/>
        </w:rPr>
        <w:t>Определяне</w:t>
      </w:r>
      <w:r w:rsidRPr="00842ECC">
        <w:rPr>
          <w:lang w:val="bg-BG" w:eastAsia="bg-BG"/>
        </w:rPr>
        <w:t xml:space="preserve"> </w:t>
      </w:r>
      <w:r w:rsidRPr="00842ECC">
        <w:rPr>
          <w:rFonts w:hint="eastAsia"/>
          <w:lang w:val="bg-BG" w:eastAsia="bg-BG"/>
        </w:rPr>
        <w:t>на</w:t>
      </w:r>
      <w:r w:rsidRPr="00842ECC">
        <w:rPr>
          <w:lang w:val="bg-BG" w:eastAsia="bg-BG"/>
        </w:rPr>
        <w:t xml:space="preserve"> </w:t>
      </w:r>
      <w:r w:rsidRPr="00842ECC">
        <w:rPr>
          <w:rFonts w:hint="eastAsia"/>
          <w:lang w:val="bg-BG" w:eastAsia="bg-BG"/>
        </w:rPr>
        <w:t>условията</w:t>
      </w:r>
      <w:r w:rsidRPr="00842ECC">
        <w:rPr>
          <w:lang w:val="bg-BG" w:eastAsia="bg-BG"/>
        </w:rPr>
        <w:t xml:space="preserve"> </w:t>
      </w:r>
      <w:r w:rsidRPr="00842ECC">
        <w:rPr>
          <w:rFonts w:hint="eastAsia"/>
          <w:lang w:val="bg-BG" w:eastAsia="bg-BG"/>
        </w:rPr>
        <w:t>за</w:t>
      </w:r>
      <w:r w:rsidRPr="00842ECC">
        <w:rPr>
          <w:lang w:val="bg-BG" w:eastAsia="bg-BG"/>
        </w:rPr>
        <w:t xml:space="preserve"> </w:t>
      </w:r>
      <w:r w:rsidRPr="00842ECC">
        <w:rPr>
          <w:rFonts w:hint="eastAsia"/>
          <w:lang w:val="bg-BG" w:eastAsia="bg-BG"/>
        </w:rPr>
        <w:t>прилагане</w:t>
      </w:r>
      <w:r w:rsidRPr="00842ECC">
        <w:rPr>
          <w:lang w:val="bg-BG" w:eastAsia="bg-BG"/>
        </w:rPr>
        <w:t xml:space="preserve"> </w:t>
      </w:r>
      <w:r w:rsidRPr="00842ECC">
        <w:rPr>
          <w:rFonts w:hint="eastAsia"/>
          <w:lang w:val="bg-BG" w:eastAsia="bg-BG"/>
        </w:rPr>
        <w:t>на</w:t>
      </w:r>
      <w:r w:rsidRPr="00842ECC">
        <w:rPr>
          <w:lang w:val="bg-BG" w:eastAsia="bg-BG"/>
        </w:rPr>
        <w:t xml:space="preserve"> </w:t>
      </w:r>
      <w:r w:rsidRPr="00842ECC">
        <w:rPr>
          <w:rFonts w:hint="eastAsia"/>
          <w:lang w:val="bg-BG" w:eastAsia="bg-BG"/>
        </w:rPr>
        <w:t>конкретна</w:t>
      </w:r>
      <w:r w:rsidRPr="00842ECC">
        <w:rPr>
          <w:lang w:val="bg-BG" w:eastAsia="bg-BG"/>
        </w:rPr>
        <w:t xml:space="preserve"> </w:t>
      </w:r>
      <w:r w:rsidRPr="00842ECC">
        <w:rPr>
          <w:rFonts w:hint="eastAsia"/>
          <w:lang w:val="bg-BG" w:eastAsia="bg-BG"/>
        </w:rPr>
        <w:t>мярка</w:t>
      </w:r>
      <w:r w:rsidRPr="00842ECC">
        <w:rPr>
          <w:lang w:val="bg-BG" w:eastAsia="bg-BG"/>
        </w:rPr>
        <w:t xml:space="preserve"> </w:t>
      </w:r>
      <w:r w:rsidRPr="00842ECC">
        <w:rPr>
          <w:rFonts w:hint="eastAsia"/>
          <w:lang w:val="bg-BG" w:eastAsia="bg-BG"/>
        </w:rPr>
        <w:t>по</w:t>
      </w:r>
      <w:r w:rsidRPr="00842ECC">
        <w:rPr>
          <w:lang w:val="bg-BG" w:eastAsia="bg-BG"/>
        </w:rPr>
        <w:t xml:space="preserve"> </w:t>
      </w:r>
      <w:r w:rsidRPr="00842ECC">
        <w:rPr>
          <w:rFonts w:hint="eastAsia"/>
          <w:lang w:val="bg-BG" w:eastAsia="bg-BG"/>
        </w:rPr>
        <w:t>приложим</w:t>
      </w:r>
      <w:r w:rsidRPr="00842ECC">
        <w:rPr>
          <w:lang w:val="bg-BG" w:eastAsia="bg-BG"/>
        </w:rPr>
        <w:t xml:space="preserve"> </w:t>
      </w:r>
      <w:r w:rsidRPr="00842ECC">
        <w:rPr>
          <w:rFonts w:hint="eastAsia"/>
          <w:lang w:val="bg-BG" w:eastAsia="bg-BG"/>
        </w:rPr>
        <w:t>режим</w:t>
      </w:r>
      <w:r w:rsidRPr="00842ECC">
        <w:rPr>
          <w:lang w:val="bg-BG" w:eastAsia="bg-BG"/>
        </w:rPr>
        <w:t xml:space="preserve"> </w:t>
      </w:r>
      <w:r w:rsidRPr="00842ECC">
        <w:rPr>
          <w:rFonts w:hint="eastAsia"/>
          <w:lang w:val="bg-BG" w:eastAsia="bg-BG"/>
        </w:rPr>
        <w:t>на</w:t>
      </w:r>
      <w:r w:rsidRPr="00842ECC">
        <w:rPr>
          <w:lang w:val="bg-BG" w:eastAsia="bg-BG"/>
        </w:rPr>
        <w:t xml:space="preserve"> </w:t>
      </w:r>
      <w:r w:rsidRPr="00842ECC">
        <w:rPr>
          <w:rFonts w:hint="eastAsia"/>
          <w:lang w:val="bg-BG" w:eastAsia="bg-BG"/>
        </w:rPr>
        <w:t>съвместима</w:t>
      </w:r>
      <w:r w:rsidRPr="00842ECC">
        <w:rPr>
          <w:lang w:val="bg-BG" w:eastAsia="bg-BG"/>
        </w:rPr>
        <w:t xml:space="preserve"> </w:t>
      </w:r>
      <w:r w:rsidRPr="00842ECC">
        <w:rPr>
          <w:rFonts w:hint="eastAsia"/>
          <w:lang w:val="bg-BG" w:eastAsia="bg-BG"/>
        </w:rPr>
        <w:t>ДП</w:t>
      </w:r>
      <w:bookmarkEnd w:id="420"/>
      <w:bookmarkEnd w:id="421"/>
    </w:p>
    <w:p w14:paraId="3F81C025" w14:textId="77777777" w:rsidR="001C31EF" w:rsidRDefault="001C31EF" w:rsidP="001C31EF">
      <w:pPr>
        <w:tabs>
          <w:tab w:val="left" w:pos="0"/>
          <w:tab w:val="left" w:pos="709"/>
        </w:tabs>
        <w:autoSpaceDE w:val="0"/>
        <w:autoSpaceDN w:val="0"/>
        <w:adjustRightInd w:val="0"/>
        <w:spacing w:beforeLines="60" w:before="144" w:afterLines="60" w:after="144"/>
        <w:rPr>
          <w:i/>
          <w:szCs w:val="22"/>
          <w:lang w:eastAsia="en-US"/>
        </w:rPr>
      </w:pPr>
      <w:r>
        <w:rPr>
          <w:szCs w:val="24"/>
          <w:lang w:eastAsia="bg-BG"/>
        </w:rPr>
        <w:tab/>
      </w:r>
      <w:r w:rsidRPr="00B2369F">
        <w:rPr>
          <w:szCs w:val="24"/>
          <w:lang w:eastAsia="bg-BG"/>
        </w:rPr>
        <w:t>Процедурата</w:t>
      </w:r>
      <w:r w:rsidRPr="00683029">
        <w:rPr>
          <w:szCs w:val="22"/>
          <w:lang w:eastAsia="en-US"/>
        </w:rPr>
        <w:t xml:space="preserve"> се прилага, когато предварителното заключение на УО на ОПТТИ от процедур</w:t>
      </w:r>
      <w:r>
        <w:rPr>
          <w:szCs w:val="22"/>
          <w:lang w:eastAsia="en-US"/>
        </w:rPr>
        <w:t>а</w:t>
      </w:r>
      <w:r w:rsidRPr="00683029">
        <w:rPr>
          <w:szCs w:val="22"/>
          <w:lang w:eastAsia="en-US"/>
        </w:rPr>
        <w:t>т</w:t>
      </w:r>
      <w:r>
        <w:rPr>
          <w:szCs w:val="22"/>
          <w:lang w:eastAsia="en-US"/>
        </w:rPr>
        <w:t>а</w:t>
      </w:r>
      <w:r w:rsidRPr="00683029">
        <w:rPr>
          <w:szCs w:val="22"/>
          <w:lang w:eastAsia="en-US"/>
        </w:rPr>
        <w:t xml:space="preserve"> </w:t>
      </w:r>
      <w:r w:rsidRPr="00B2369F">
        <w:rPr>
          <w:b/>
          <w:szCs w:val="22"/>
          <w:lang w:eastAsia="en-US"/>
        </w:rPr>
        <w:t>по точка 7</w:t>
      </w:r>
      <w:r w:rsidRPr="002277B1">
        <w:rPr>
          <w:b/>
          <w:szCs w:val="22"/>
          <w:lang w:eastAsia="en-US"/>
        </w:rPr>
        <w:t>.1</w:t>
      </w:r>
      <w:r w:rsidRPr="00683029">
        <w:rPr>
          <w:szCs w:val="22"/>
          <w:lang w:eastAsia="en-US"/>
        </w:rPr>
        <w:t xml:space="preserve"> </w:t>
      </w:r>
      <w:r>
        <w:rPr>
          <w:szCs w:val="22"/>
          <w:lang w:eastAsia="en-US"/>
        </w:rPr>
        <w:t xml:space="preserve">е за наличие на ДП и по </w:t>
      </w:r>
      <w:r w:rsidRPr="00B2369F">
        <w:rPr>
          <w:b/>
          <w:szCs w:val="22"/>
          <w:lang w:eastAsia="en-US"/>
        </w:rPr>
        <w:t>т. 7.2</w:t>
      </w:r>
      <w:r>
        <w:rPr>
          <w:szCs w:val="22"/>
          <w:lang w:eastAsia="en-US"/>
        </w:rPr>
        <w:t xml:space="preserve"> е определен приложимия режим на ДП и </w:t>
      </w:r>
      <w:r w:rsidRPr="00683029">
        <w:rPr>
          <w:szCs w:val="22"/>
          <w:lang w:eastAsia="en-US"/>
        </w:rPr>
        <w:t xml:space="preserve">във връзка с това УО на ОПТТИ следва да изготви конкретни указания с условията за прилагане на конкретна мярка по приложимия режим на съвместима ДП. </w:t>
      </w:r>
      <w:r w:rsidRPr="00B2369F">
        <w:rPr>
          <w:i/>
          <w:szCs w:val="22"/>
          <w:lang w:eastAsia="en-US"/>
        </w:rPr>
        <w:t>(предоставяне на БФП за изпълнение на конкретен проект)</w:t>
      </w:r>
    </w:p>
    <w:p w14:paraId="6FB52F65" w14:textId="77777777" w:rsidR="001C31EF" w:rsidRPr="005B04E5" w:rsidRDefault="001C31EF" w:rsidP="001C31EF">
      <w:pPr>
        <w:spacing w:beforeLines="60" w:before="144" w:afterLines="60" w:after="144"/>
        <w:rPr>
          <w:szCs w:val="22"/>
          <w:lang w:eastAsia="en-US"/>
        </w:rPr>
      </w:pPr>
      <w:r w:rsidRPr="005B04E5">
        <w:rPr>
          <w:szCs w:val="22"/>
          <w:lang w:eastAsia="en-US"/>
        </w:rPr>
        <w:t xml:space="preserve">Приложимостта на определени правила за осигуряване на съвместимост по държавните помощи се определя </w:t>
      </w:r>
      <w:r w:rsidRPr="005B04E5">
        <w:rPr>
          <w:b/>
          <w:szCs w:val="22"/>
          <w:lang w:eastAsia="en-US"/>
        </w:rPr>
        <w:t>в зависимост от целта на планираната мярка</w:t>
      </w:r>
      <w:r w:rsidRPr="005B04E5">
        <w:rPr>
          <w:szCs w:val="22"/>
          <w:lang w:eastAsia="en-US"/>
        </w:rPr>
        <w:t xml:space="preserve">, а в конкретни случаи - и в зависимост от планираните </w:t>
      </w:r>
      <w:r w:rsidRPr="005B04E5">
        <w:rPr>
          <w:b/>
          <w:szCs w:val="22"/>
          <w:lang w:eastAsia="en-US"/>
        </w:rPr>
        <w:t>размери на помощ</w:t>
      </w:r>
      <w:r w:rsidRPr="005B04E5">
        <w:rPr>
          <w:szCs w:val="22"/>
          <w:lang w:eastAsia="en-US"/>
        </w:rPr>
        <w:t xml:space="preserve">. </w:t>
      </w:r>
    </w:p>
    <w:p w14:paraId="14E81B5F" w14:textId="77777777" w:rsidR="001C31EF" w:rsidRPr="005B04E5" w:rsidRDefault="001C31EF" w:rsidP="001C31EF">
      <w:pPr>
        <w:spacing w:beforeLines="60" w:before="144" w:afterLines="60" w:after="144"/>
        <w:rPr>
          <w:szCs w:val="22"/>
          <w:lang w:eastAsia="en-US"/>
        </w:rPr>
      </w:pPr>
      <w:r w:rsidRPr="005B04E5">
        <w:rPr>
          <w:szCs w:val="22"/>
          <w:lang w:eastAsia="en-US"/>
        </w:rPr>
        <w:t xml:space="preserve">За да бъде в състояние УО да определи условията на мярката коректно, целта следва да </w:t>
      </w:r>
      <w:r w:rsidRPr="005B04E5">
        <w:rPr>
          <w:b/>
          <w:szCs w:val="22"/>
          <w:lang w:eastAsia="en-US"/>
        </w:rPr>
        <w:t>бъде формулирана ясно.</w:t>
      </w:r>
      <w:r w:rsidRPr="005B04E5">
        <w:rPr>
          <w:szCs w:val="22"/>
          <w:lang w:eastAsia="en-US"/>
        </w:rPr>
        <w:t xml:space="preserve"> В случаите, когато планираната операция има първостепенна и второстепенна цел те следва да бъдат дефинирани, ясно определени и разграничими. </w:t>
      </w:r>
    </w:p>
    <w:p w14:paraId="276ED1B9" w14:textId="77777777" w:rsidR="001C31EF" w:rsidRPr="005B04E5" w:rsidRDefault="001C31EF" w:rsidP="001C31EF">
      <w:pPr>
        <w:spacing w:beforeLines="60" w:before="144" w:afterLines="60" w:after="144"/>
        <w:rPr>
          <w:szCs w:val="22"/>
          <w:lang w:eastAsia="en-GB"/>
        </w:rPr>
      </w:pPr>
      <w:r w:rsidRPr="005B04E5">
        <w:rPr>
          <w:szCs w:val="22"/>
          <w:lang w:eastAsia="en-US"/>
        </w:rPr>
        <w:lastRenderedPageBreak/>
        <w:t xml:space="preserve">Условията за съвместимост на помощите, развити в acquis communautaire са съобразени приоритетно с разпоредбите на ДФЕС, преследваните от ЕС общи цели и </w:t>
      </w:r>
      <w:r w:rsidRPr="005B04E5">
        <w:rPr>
          <w:szCs w:val="22"/>
          <w:lang w:eastAsia="en-GB"/>
        </w:rPr>
        <w:t xml:space="preserve">желаните ефекти от помощта. За да се намали необходимостта от последващи изменения във вече избрани операции </w:t>
      </w:r>
      <w:r w:rsidRPr="005B04E5">
        <w:rPr>
          <w:i/>
          <w:szCs w:val="22"/>
          <w:lang w:eastAsia="en-GB"/>
        </w:rPr>
        <w:t>(проекти)</w:t>
      </w:r>
      <w:r w:rsidRPr="005B04E5">
        <w:rPr>
          <w:szCs w:val="22"/>
          <w:lang w:eastAsia="en-GB"/>
        </w:rPr>
        <w:t xml:space="preserve">, при програмирането на мерките </w:t>
      </w:r>
      <w:r w:rsidRPr="005B04E5">
        <w:rPr>
          <w:szCs w:val="22"/>
          <w:u w:val="single"/>
          <w:lang w:eastAsia="en-GB"/>
        </w:rPr>
        <w:t>(подготовката на проектите)</w:t>
      </w:r>
      <w:r w:rsidRPr="005B04E5">
        <w:rPr>
          <w:szCs w:val="22"/>
          <w:lang w:eastAsia="en-GB"/>
        </w:rPr>
        <w:t xml:space="preserve"> УО на ОПТТИ, на база процедурите по</w:t>
      </w:r>
      <w:r w:rsidRPr="00AE0E55">
        <w:rPr>
          <w:b/>
          <w:szCs w:val="22"/>
          <w:lang w:eastAsia="en-GB"/>
        </w:rPr>
        <w:t xml:space="preserve"> </w:t>
      </w:r>
      <w:r w:rsidRPr="00B20E7D">
        <w:rPr>
          <w:b/>
          <w:szCs w:val="22"/>
          <w:lang w:eastAsia="en-GB"/>
        </w:rPr>
        <w:t>т.7.1.</w:t>
      </w:r>
      <w:r w:rsidRPr="005B04E5">
        <w:rPr>
          <w:szCs w:val="22"/>
          <w:lang w:eastAsia="en-GB"/>
        </w:rPr>
        <w:t xml:space="preserve"> и </w:t>
      </w:r>
      <w:r>
        <w:rPr>
          <w:szCs w:val="22"/>
          <w:lang w:eastAsia="en-GB"/>
        </w:rPr>
        <w:t xml:space="preserve"> </w:t>
      </w:r>
      <w:r w:rsidRPr="00B20E7D">
        <w:rPr>
          <w:b/>
          <w:szCs w:val="22"/>
          <w:lang w:eastAsia="en-GB"/>
        </w:rPr>
        <w:t>т.7.2</w:t>
      </w:r>
      <w:r w:rsidRPr="005B04E5">
        <w:rPr>
          <w:szCs w:val="22"/>
          <w:lang w:eastAsia="en-GB"/>
        </w:rPr>
        <w:t>,</w:t>
      </w:r>
      <w:r>
        <w:rPr>
          <w:szCs w:val="22"/>
          <w:lang w:eastAsia="en-GB"/>
        </w:rPr>
        <w:t>,</w:t>
      </w:r>
      <w:r w:rsidRPr="005B04E5">
        <w:rPr>
          <w:szCs w:val="22"/>
          <w:lang w:eastAsia="en-GB"/>
        </w:rPr>
        <w:t xml:space="preserve">  ще </w:t>
      </w:r>
      <w:r w:rsidRPr="005B04E5">
        <w:rPr>
          <w:b/>
          <w:szCs w:val="22"/>
          <w:lang w:eastAsia="en-GB"/>
        </w:rPr>
        <w:t xml:space="preserve">съобрази същността на мерките с ясно дефинираните цели и свързаните с тях ефекти, които се целят. </w:t>
      </w:r>
      <w:r w:rsidRPr="005B04E5">
        <w:rPr>
          <w:szCs w:val="22"/>
          <w:lang w:eastAsia="en-GB"/>
        </w:rPr>
        <w:t>Целта е</w:t>
      </w:r>
      <w:r w:rsidRPr="005B04E5">
        <w:rPr>
          <w:b/>
          <w:szCs w:val="22"/>
          <w:lang w:eastAsia="en-GB"/>
        </w:rPr>
        <w:t xml:space="preserve"> </w:t>
      </w:r>
      <w:r w:rsidRPr="005B04E5">
        <w:rPr>
          <w:szCs w:val="22"/>
          <w:lang w:eastAsia="en-GB"/>
        </w:rPr>
        <w:t xml:space="preserve">на следващ етап, при изготвяне на насоки/покани за кандидатстване/типови договори с бенефициенти и пр. да може да се прецизират конкретните условия за съвместимост. </w:t>
      </w:r>
    </w:p>
    <w:p w14:paraId="61706140" w14:textId="77777777" w:rsidR="001C31EF" w:rsidRPr="00C750EE" w:rsidRDefault="001C31EF" w:rsidP="001C31EF">
      <w:pPr>
        <w:spacing w:beforeLines="60" w:before="144" w:afterLines="60" w:after="144"/>
        <w:rPr>
          <w:szCs w:val="24"/>
          <w:lang w:eastAsia="en-US"/>
        </w:rPr>
      </w:pPr>
      <w:r w:rsidRPr="005B04E5">
        <w:rPr>
          <w:szCs w:val="22"/>
          <w:lang w:eastAsia="en-GB"/>
        </w:rPr>
        <w:t xml:space="preserve">В процедурата </w:t>
      </w:r>
      <w:r w:rsidRPr="005B04E5">
        <w:rPr>
          <w:b/>
          <w:szCs w:val="22"/>
          <w:lang w:eastAsia="en-US"/>
        </w:rPr>
        <w:t xml:space="preserve">по точка </w:t>
      </w:r>
      <w:r w:rsidRPr="005B04E5">
        <w:rPr>
          <w:b/>
          <w:szCs w:val="22"/>
          <w:lang w:eastAsia="en-US"/>
        </w:rPr>
        <w:fldChar w:fldCharType="begin"/>
      </w:r>
      <w:r w:rsidRPr="005B04E5">
        <w:rPr>
          <w:b/>
          <w:szCs w:val="22"/>
          <w:lang w:eastAsia="en-US"/>
        </w:rPr>
        <w:instrText xml:space="preserve"> REF _Ref408991557 \r \h  \* MERGEFORMAT </w:instrText>
      </w:r>
      <w:r w:rsidRPr="005B04E5">
        <w:rPr>
          <w:b/>
          <w:szCs w:val="22"/>
          <w:lang w:eastAsia="en-US"/>
        </w:rPr>
      </w:r>
      <w:r w:rsidRPr="005B04E5">
        <w:rPr>
          <w:b/>
          <w:szCs w:val="22"/>
          <w:lang w:eastAsia="en-US"/>
        </w:rPr>
        <w:fldChar w:fldCharType="separate"/>
      </w:r>
      <w:r w:rsidR="00F22141">
        <w:rPr>
          <w:b/>
          <w:szCs w:val="22"/>
          <w:lang w:eastAsia="en-US"/>
        </w:rPr>
        <w:t>7</w:t>
      </w:r>
      <w:r w:rsidRPr="005B04E5">
        <w:rPr>
          <w:b/>
          <w:szCs w:val="22"/>
          <w:lang w:eastAsia="en-US"/>
        </w:rPr>
        <w:fldChar w:fldCharType="end"/>
      </w:r>
      <w:r w:rsidRPr="00842ECC">
        <w:rPr>
          <w:b/>
          <w:szCs w:val="22"/>
          <w:lang w:eastAsia="en-US"/>
        </w:rPr>
        <w:t>.2.2.</w:t>
      </w:r>
      <w:r w:rsidRPr="005B04E5">
        <w:rPr>
          <w:szCs w:val="22"/>
          <w:lang w:eastAsia="en-US"/>
        </w:rPr>
        <w:t xml:space="preserve"> </w:t>
      </w:r>
      <w:r w:rsidRPr="005B04E5">
        <w:rPr>
          <w:szCs w:val="22"/>
          <w:lang w:eastAsia="en-GB"/>
        </w:rPr>
        <w:t>се изследва съвместимостта с вътрешния пазар на установената с предварителното заключение ДП</w:t>
      </w:r>
      <w:r w:rsidRPr="00842ECC">
        <w:rPr>
          <w:szCs w:val="22"/>
          <w:lang w:eastAsia="en-GB"/>
        </w:rPr>
        <w:t>.</w:t>
      </w:r>
    </w:p>
    <w:p w14:paraId="2F4FB32F" w14:textId="77777777" w:rsidR="001C31EF" w:rsidRPr="005B04E5" w:rsidRDefault="001C31EF" w:rsidP="001C31EF">
      <w:pPr>
        <w:spacing w:beforeLines="60" w:before="144" w:afterLines="60" w:after="144"/>
        <w:rPr>
          <w:szCs w:val="22"/>
          <w:lang w:eastAsia="en-US"/>
        </w:rPr>
      </w:pPr>
      <w:r w:rsidRPr="005B04E5">
        <w:rPr>
          <w:szCs w:val="22"/>
          <w:lang w:eastAsia="en-US"/>
        </w:rPr>
        <w:t>В случай, че установената ДП не попада в никоя форми на съвместимост</w:t>
      </w:r>
      <w:r>
        <w:rPr>
          <w:szCs w:val="22"/>
          <w:lang w:eastAsia="en-US"/>
        </w:rPr>
        <w:t xml:space="preserve">, за които не се изисква уведомление (т.т. 7.2.2.1, 7.2.2.2 и 7.2.2.4 по-горе) </w:t>
      </w:r>
      <w:r w:rsidRPr="005B04E5">
        <w:rPr>
          <w:szCs w:val="22"/>
          <w:lang w:eastAsia="en-US"/>
        </w:rPr>
        <w:t>то тя подлежи на подаване на У</w:t>
      </w:r>
      <w:r>
        <w:rPr>
          <w:szCs w:val="22"/>
          <w:lang w:eastAsia="en-US"/>
        </w:rPr>
        <w:t xml:space="preserve">ведомление за </w:t>
      </w:r>
      <w:r w:rsidRPr="005B04E5">
        <w:rPr>
          <w:szCs w:val="22"/>
          <w:lang w:eastAsia="en-US"/>
        </w:rPr>
        <w:t xml:space="preserve">ДП до ЕК. По отношение на този тип помощи се прилага процедурата по </w:t>
      </w:r>
      <w:r w:rsidRPr="005B04E5">
        <w:rPr>
          <w:b/>
          <w:szCs w:val="22"/>
          <w:lang w:eastAsia="en-US"/>
        </w:rPr>
        <w:t xml:space="preserve">точка </w:t>
      </w:r>
      <w:r w:rsidRPr="005B04E5">
        <w:rPr>
          <w:b/>
          <w:szCs w:val="22"/>
          <w:lang w:eastAsia="en-US"/>
        </w:rPr>
        <w:fldChar w:fldCharType="begin"/>
      </w:r>
      <w:r w:rsidRPr="005B04E5">
        <w:rPr>
          <w:b/>
          <w:szCs w:val="22"/>
          <w:lang w:eastAsia="en-US"/>
        </w:rPr>
        <w:instrText xml:space="preserve"> REF _Ref408991715 \r \h  \* MERGEFORMAT </w:instrText>
      </w:r>
      <w:r w:rsidRPr="005B04E5">
        <w:rPr>
          <w:b/>
          <w:szCs w:val="22"/>
          <w:lang w:eastAsia="en-US"/>
        </w:rPr>
      </w:r>
      <w:r w:rsidRPr="005B04E5">
        <w:rPr>
          <w:b/>
          <w:szCs w:val="22"/>
          <w:lang w:eastAsia="en-US"/>
        </w:rPr>
        <w:fldChar w:fldCharType="separate"/>
      </w:r>
      <w:r w:rsidR="00F22141">
        <w:rPr>
          <w:b/>
          <w:szCs w:val="22"/>
          <w:lang w:eastAsia="en-US"/>
        </w:rPr>
        <w:t>8</w:t>
      </w:r>
      <w:r w:rsidRPr="005B04E5">
        <w:rPr>
          <w:b/>
          <w:szCs w:val="22"/>
          <w:lang w:eastAsia="en-US"/>
        </w:rPr>
        <w:fldChar w:fldCharType="end"/>
      </w:r>
      <w:r w:rsidRPr="005B04E5">
        <w:rPr>
          <w:szCs w:val="22"/>
          <w:lang w:eastAsia="en-US"/>
        </w:rPr>
        <w:t>, като процеса на подготовка на У</w:t>
      </w:r>
      <w:r>
        <w:rPr>
          <w:szCs w:val="22"/>
          <w:lang w:eastAsia="en-US"/>
        </w:rPr>
        <w:t xml:space="preserve">ведомление за </w:t>
      </w:r>
      <w:r w:rsidRPr="005B04E5">
        <w:rPr>
          <w:szCs w:val="22"/>
          <w:lang w:eastAsia="en-US"/>
        </w:rPr>
        <w:t xml:space="preserve">ДП </w:t>
      </w:r>
      <w:r w:rsidRPr="0066542B">
        <w:rPr>
          <w:szCs w:val="22"/>
          <w:lang w:eastAsia="en-US"/>
        </w:rPr>
        <w:t xml:space="preserve">се </w:t>
      </w:r>
      <w:r w:rsidRPr="005B04E5">
        <w:rPr>
          <w:szCs w:val="22"/>
          <w:lang w:eastAsia="en-US"/>
        </w:rPr>
        <w:t xml:space="preserve">съобразно приложимия акт на ЕК, постановяващ условията за съвместимост за конкретния вид помощ. </w:t>
      </w:r>
    </w:p>
    <w:p w14:paraId="1F99F13C" w14:textId="77777777" w:rsidR="001C31EF" w:rsidRPr="005B04E5" w:rsidRDefault="001C31EF" w:rsidP="001C31EF">
      <w:pPr>
        <w:spacing w:beforeLines="60" w:before="144" w:afterLines="60" w:after="144"/>
        <w:rPr>
          <w:szCs w:val="22"/>
          <w:lang w:eastAsia="en-US"/>
        </w:rPr>
      </w:pPr>
      <w:r w:rsidRPr="005B04E5">
        <w:rPr>
          <w:szCs w:val="22"/>
          <w:lang w:eastAsia="en-US"/>
        </w:rPr>
        <w:t xml:space="preserve">В общия случай </w:t>
      </w:r>
      <w:r>
        <w:rPr>
          <w:szCs w:val="22"/>
          <w:lang w:eastAsia="en-US"/>
        </w:rPr>
        <w:t>при предостаянето на ДП се прилагат следните принципи, определени в чл. 5, ал. 1 от ЗДП</w:t>
      </w:r>
      <w:r w:rsidRPr="005B04E5">
        <w:rPr>
          <w:szCs w:val="22"/>
          <w:lang w:eastAsia="en-US"/>
        </w:rPr>
        <w:t xml:space="preserve">: </w:t>
      </w:r>
    </w:p>
    <w:p w14:paraId="6FC8587F" w14:textId="77777777" w:rsidR="001C31EF" w:rsidRPr="00B2369F" w:rsidRDefault="001C31EF" w:rsidP="001C31EF">
      <w:pPr>
        <w:numPr>
          <w:ilvl w:val="0"/>
          <w:numId w:val="144"/>
        </w:numPr>
        <w:ind w:left="0" w:firstLine="851"/>
        <w:rPr>
          <w:szCs w:val="22"/>
          <w:lang w:val="x-none" w:eastAsia="en-US"/>
        </w:rPr>
      </w:pPr>
      <w:r w:rsidRPr="00B2369F">
        <w:rPr>
          <w:b/>
          <w:szCs w:val="22"/>
          <w:lang w:eastAsia="en-US"/>
        </w:rPr>
        <w:t>необходимост</w:t>
      </w:r>
      <w:r>
        <w:rPr>
          <w:szCs w:val="22"/>
          <w:lang w:eastAsia="en-US"/>
        </w:rPr>
        <w:t xml:space="preserve"> </w:t>
      </w:r>
      <w:r w:rsidRPr="000F42CA">
        <w:rPr>
          <w:szCs w:val="22"/>
          <w:lang w:val="x-none" w:eastAsia="en-US"/>
        </w:rPr>
        <w:t>– насочване на държавната помощ към сфери на дейност, за които е нужно съществено подобрение или развитие, което не може да се осъществи при нормални пазарни условия;</w:t>
      </w:r>
    </w:p>
    <w:p w14:paraId="73F7E7D6" w14:textId="77777777" w:rsidR="001C31EF" w:rsidRPr="005B04E5" w:rsidRDefault="001C31EF" w:rsidP="001C31EF">
      <w:pPr>
        <w:numPr>
          <w:ilvl w:val="0"/>
          <w:numId w:val="144"/>
        </w:numPr>
        <w:ind w:left="0" w:firstLine="851"/>
        <w:rPr>
          <w:szCs w:val="22"/>
          <w:lang w:eastAsia="en-US"/>
        </w:rPr>
      </w:pPr>
      <w:r w:rsidRPr="00B2369F">
        <w:rPr>
          <w:b/>
          <w:szCs w:val="22"/>
          <w:lang w:eastAsia="en-US"/>
        </w:rPr>
        <w:t>целесъобразност</w:t>
      </w:r>
      <w:r w:rsidRPr="00B2369F">
        <w:rPr>
          <w:szCs w:val="22"/>
          <w:lang w:eastAsia="en-US"/>
        </w:rPr>
        <w:t xml:space="preserve"> </w:t>
      </w:r>
      <w:r>
        <w:rPr>
          <w:szCs w:val="24"/>
          <w:lang w:val="x-none"/>
        </w:rPr>
        <w:t>– подпомагане постигането на цел от общ интерес за Европейския съюз, включително при съпоставяне на действителните и очакваните резултати</w:t>
      </w:r>
      <w:r>
        <w:rPr>
          <w:szCs w:val="22"/>
          <w:lang w:eastAsia="en-US"/>
        </w:rPr>
        <w:t>;</w:t>
      </w:r>
      <w:r w:rsidRPr="005B04E5">
        <w:rPr>
          <w:szCs w:val="22"/>
          <w:lang w:eastAsia="en-US"/>
        </w:rPr>
        <w:t xml:space="preserve"> </w:t>
      </w:r>
    </w:p>
    <w:p w14:paraId="0885E592" w14:textId="77777777" w:rsidR="001C31EF" w:rsidRPr="00D91138" w:rsidRDefault="001C31EF" w:rsidP="001C31EF">
      <w:pPr>
        <w:numPr>
          <w:ilvl w:val="0"/>
          <w:numId w:val="144"/>
        </w:numPr>
        <w:ind w:left="0" w:firstLine="851"/>
        <w:rPr>
          <w:szCs w:val="22"/>
          <w:lang w:eastAsia="en-US"/>
        </w:rPr>
      </w:pPr>
      <w:r w:rsidRPr="00B2369F">
        <w:rPr>
          <w:b/>
          <w:szCs w:val="22"/>
          <w:lang w:eastAsia="en-US"/>
        </w:rPr>
        <w:t>пропорционалност и ефективност</w:t>
      </w:r>
      <w:r>
        <w:rPr>
          <w:szCs w:val="22"/>
          <w:lang w:eastAsia="en-US"/>
        </w:rPr>
        <w:t xml:space="preserve"> </w:t>
      </w:r>
      <w:r>
        <w:rPr>
          <w:szCs w:val="24"/>
          <w:lang w:val="x-none"/>
        </w:rPr>
        <w:t>– изискванията трябва да са подходящи за постигане на преследваната цел и не трябва да надхвърлят необходимото за нейното постигане, като се целят максимални резултати с най-малък размер на държавната помощ</w:t>
      </w:r>
      <w:r>
        <w:rPr>
          <w:szCs w:val="22"/>
          <w:lang w:eastAsia="en-US"/>
        </w:rPr>
        <w:t>;</w:t>
      </w:r>
      <w:r w:rsidRPr="00D91138">
        <w:rPr>
          <w:szCs w:val="22"/>
          <w:lang w:eastAsia="en-US"/>
        </w:rPr>
        <w:t xml:space="preserve"> </w:t>
      </w:r>
    </w:p>
    <w:p w14:paraId="13C4CA03" w14:textId="77777777" w:rsidR="001C31EF" w:rsidRDefault="001C31EF" w:rsidP="001C31EF">
      <w:pPr>
        <w:numPr>
          <w:ilvl w:val="0"/>
          <w:numId w:val="144"/>
        </w:numPr>
        <w:ind w:left="0" w:firstLine="851"/>
        <w:rPr>
          <w:szCs w:val="22"/>
          <w:lang w:eastAsia="en-US"/>
        </w:rPr>
      </w:pPr>
      <w:r w:rsidRPr="00B2369F">
        <w:rPr>
          <w:b/>
          <w:szCs w:val="22"/>
          <w:lang w:eastAsia="en-US"/>
        </w:rPr>
        <w:t>прозрачност</w:t>
      </w:r>
      <w:r w:rsidRPr="005B04E5">
        <w:rPr>
          <w:szCs w:val="22"/>
          <w:lang w:eastAsia="en-US"/>
        </w:rPr>
        <w:t xml:space="preserve"> </w:t>
      </w:r>
      <w:r w:rsidRPr="000F42CA">
        <w:rPr>
          <w:szCs w:val="22"/>
          <w:lang w:val="x-none" w:eastAsia="en-US"/>
        </w:rPr>
        <w:t>– осигуряване на правила за публичност при предоставянето и разходването на публични средства по начин, който позволява достъп, използване и анализ на информация за финансовите взаимоотношения и който дава възможност за извършване на наблюдение, координация и контрол</w:t>
      </w:r>
      <w:r>
        <w:rPr>
          <w:szCs w:val="22"/>
          <w:lang w:eastAsia="en-US"/>
        </w:rPr>
        <w:t>;</w:t>
      </w:r>
    </w:p>
    <w:p w14:paraId="7F86A2DD" w14:textId="77777777" w:rsidR="001C31EF" w:rsidRPr="005B04E5" w:rsidRDefault="001C31EF" w:rsidP="001C31EF">
      <w:pPr>
        <w:numPr>
          <w:ilvl w:val="0"/>
          <w:numId w:val="144"/>
        </w:numPr>
        <w:ind w:left="0" w:firstLine="851"/>
        <w:rPr>
          <w:szCs w:val="22"/>
          <w:lang w:eastAsia="en-US"/>
        </w:rPr>
      </w:pPr>
      <w:r w:rsidRPr="00B2369F">
        <w:rPr>
          <w:b/>
          <w:szCs w:val="22"/>
          <w:lang w:eastAsia="en-US"/>
        </w:rPr>
        <w:t>балансираност</w:t>
      </w:r>
      <w:r>
        <w:rPr>
          <w:szCs w:val="22"/>
          <w:lang w:eastAsia="en-US"/>
        </w:rPr>
        <w:t xml:space="preserve"> </w:t>
      </w:r>
      <w:r>
        <w:rPr>
          <w:szCs w:val="24"/>
          <w:lang w:val="x-none"/>
        </w:rPr>
        <w:t>– достигане на положителен резултат при отчитане на отрицателните ефекти върху конкуренцията</w:t>
      </w:r>
      <w:r>
        <w:rPr>
          <w:szCs w:val="22"/>
          <w:lang w:eastAsia="en-US"/>
        </w:rPr>
        <w:t>;</w:t>
      </w:r>
      <w:r w:rsidRPr="005B04E5">
        <w:rPr>
          <w:szCs w:val="22"/>
          <w:lang w:eastAsia="en-US"/>
        </w:rPr>
        <w:t xml:space="preserve"> </w:t>
      </w:r>
    </w:p>
    <w:p w14:paraId="6B22E6F4" w14:textId="77777777" w:rsidR="001C31EF" w:rsidRDefault="001C31EF" w:rsidP="001C31EF">
      <w:pPr>
        <w:numPr>
          <w:ilvl w:val="0"/>
          <w:numId w:val="144"/>
        </w:numPr>
        <w:ind w:left="0" w:firstLine="851"/>
        <w:rPr>
          <w:szCs w:val="22"/>
          <w:lang w:eastAsia="en-US"/>
        </w:rPr>
      </w:pPr>
      <w:r w:rsidRPr="00B2369F">
        <w:rPr>
          <w:b/>
          <w:szCs w:val="22"/>
          <w:lang w:eastAsia="en-US"/>
        </w:rPr>
        <w:t>съпоставимост</w:t>
      </w:r>
      <w:r>
        <w:rPr>
          <w:szCs w:val="22"/>
          <w:lang w:eastAsia="en-US"/>
        </w:rPr>
        <w:t xml:space="preserve"> </w:t>
      </w:r>
      <w:r w:rsidRPr="007A3891">
        <w:rPr>
          <w:szCs w:val="22"/>
          <w:lang w:val="x-none" w:eastAsia="en-US"/>
        </w:rPr>
        <w:t>– избор на подходящ начин за предоставяне на държавна помощ, влияещ в най-малка степен върху конкуренцията, при постигане на целта й</w:t>
      </w:r>
      <w:r>
        <w:rPr>
          <w:szCs w:val="22"/>
          <w:lang w:eastAsia="en-US"/>
        </w:rPr>
        <w:t>.;</w:t>
      </w:r>
    </w:p>
    <w:p w14:paraId="3503036C" w14:textId="77777777" w:rsidR="001C31EF" w:rsidRPr="005B04E5" w:rsidRDefault="001C31EF" w:rsidP="001C31EF">
      <w:pPr>
        <w:numPr>
          <w:ilvl w:val="0"/>
          <w:numId w:val="144"/>
        </w:numPr>
        <w:ind w:left="0" w:firstLine="851"/>
        <w:rPr>
          <w:szCs w:val="22"/>
          <w:lang w:eastAsia="en-US"/>
        </w:rPr>
      </w:pPr>
      <w:r w:rsidRPr="00B2369F">
        <w:rPr>
          <w:b/>
          <w:szCs w:val="22"/>
          <w:lang w:eastAsia="en-US"/>
        </w:rPr>
        <w:t>стимулиращ ефект</w:t>
      </w:r>
      <w:r>
        <w:rPr>
          <w:szCs w:val="22"/>
          <w:lang w:eastAsia="en-US"/>
        </w:rPr>
        <w:t xml:space="preserve"> - </w:t>
      </w:r>
      <w:r w:rsidRPr="007A3891">
        <w:rPr>
          <w:szCs w:val="22"/>
          <w:lang w:val="x-none" w:eastAsia="en-US"/>
        </w:rPr>
        <w:t>положителна промяна в поведението и дейността на получателя на помощта, така че той да осъществи съответната дейност, която не би предприел без помощ или би я предприел, но в ограничен обем и по различен начин</w:t>
      </w:r>
      <w:r>
        <w:rPr>
          <w:szCs w:val="22"/>
          <w:lang w:eastAsia="en-US"/>
        </w:rPr>
        <w:t>.</w:t>
      </w:r>
    </w:p>
    <w:p w14:paraId="4FA7058C" w14:textId="77777777" w:rsidR="001C31EF" w:rsidRPr="005B04E5" w:rsidRDefault="001C31EF" w:rsidP="001C31EF">
      <w:pPr>
        <w:spacing w:beforeLines="60" w:before="144" w:afterLines="60" w:after="144"/>
        <w:rPr>
          <w:szCs w:val="22"/>
          <w:lang w:eastAsia="en-US"/>
        </w:rPr>
      </w:pPr>
      <w:r w:rsidRPr="005B04E5">
        <w:rPr>
          <w:szCs w:val="22"/>
          <w:lang w:eastAsia="en-US"/>
        </w:rPr>
        <w:t xml:space="preserve">В допълнение, след идентификацията ДП и формата на съвместимост УО на ОПТТИ  следва </w:t>
      </w:r>
      <w:r w:rsidRPr="005B04E5">
        <w:rPr>
          <w:b/>
          <w:szCs w:val="22"/>
          <w:lang w:eastAsia="en-US"/>
        </w:rPr>
        <w:t>разработят архитектурата на конкретната мярка за помощ съобразно и в максимално пълно съответствие със специфични критерии за съвместимост според приложимата нормативна база</w:t>
      </w:r>
      <w:r w:rsidRPr="005B04E5">
        <w:rPr>
          <w:szCs w:val="22"/>
          <w:lang w:eastAsia="en-US"/>
        </w:rPr>
        <w:t xml:space="preserve">. </w:t>
      </w:r>
    </w:p>
    <w:p w14:paraId="558CB85B" w14:textId="77777777" w:rsidR="001C31EF" w:rsidRPr="001C31EF" w:rsidRDefault="001C31EF" w:rsidP="001C31EF">
      <w:pPr>
        <w:tabs>
          <w:tab w:val="left" w:pos="426"/>
          <w:tab w:val="left" w:pos="1134"/>
        </w:tabs>
        <w:spacing w:beforeLines="60" w:before="144" w:afterLines="60" w:after="144"/>
        <w:rPr>
          <w:szCs w:val="22"/>
          <w:lang w:eastAsia="en-US"/>
        </w:rPr>
      </w:pPr>
    </w:p>
    <w:p w14:paraId="12895580" w14:textId="77777777" w:rsidR="00D603F5" w:rsidRPr="001B0EA3" w:rsidRDefault="00D603F5" w:rsidP="00F058E0">
      <w:pPr>
        <w:pStyle w:val="Style1"/>
      </w:pPr>
      <w:bookmarkStart w:id="422" w:name="_Ref408991715"/>
      <w:bookmarkStart w:id="423" w:name="_Ref408993972"/>
      <w:bookmarkStart w:id="424" w:name="_Toc479775588"/>
      <w:bookmarkStart w:id="425" w:name="_Toc140150182"/>
      <w:r w:rsidRPr="001B0EA3">
        <w:t>Осигуряване на процедурно съответствие и изпълнение на задълженията на администраторите, свързани с режима и законодателството по държавните помощи</w:t>
      </w:r>
      <w:bookmarkEnd w:id="422"/>
      <w:bookmarkEnd w:id="423"/>
      <w:bookmarkEnd w:id="424"/>
      <w:bookmarkEnd w:id="425"/>
      <w:r w:rsidRPr="001B0EA3">
        <w:t xml:space="preserve"> </w:t>
      </w:r>
    </w:p>
    <w:p w14:paraId="39A1CC31" w14:textId="77777777" w:rsidR="00D603F5" w:rsidRPr="001B0EA3" w:rsidRDefault="00D603F5" w:rsidP="00660856">
      <w:pPr>
        <w:spacing w:beforeLines="60" w:before="144" w:afterLines="60" w:after="144"/>
        <w:rPr>
          <w:i/>
          <w:szCs w:val="22"/>
          <w:lang w:eastAsia="en-US"/>
        </w:rPr>
      </w:pPr>
      <w:r w:rsidRPr="001B0EA3">
        <w:rPr>
          <w:i/>
          <w:szCs w:val="22"/>
          <w:lang w:eastAsia="en-US"/>
        </w:rPr>
        <w:t xml:space="preserve">Процедурата е в съответствие </w:t>
      </w:r>
      <w:r w:rsidR="009C4F45">
        <w:rPr>
          <w:i/>
          <w:szCs w:val="22"/>
          <w:lang w:eastAsia="en-US"/>
        </w:rPr>
        <w:t xml:space="preserve">с </w:t>
      </w:r>
      <w:r w:rsidR="001C31EF" w:rsidRPr="001C31EF">
        <w:rPr>
          <w:i/>
          <w:szCs w:val="22"/>
          <w:lang w:eastAsia="en-US"/>
        </w:rPr>
        <w:t>чл. 27 от ЗДП и глава трета от ПП ЗДП</w:t>
      </w:r>
      <w:r w:rsidR="009C4F45">
        <w:rPr>
          <w:i/>
          <w:szCs w:val="22"/>
          <w:lang w:eastAsia="en-US"/>
        </w:rPr>
        <w:t>.</w:t>
      </w:r>
    </w:p>
    <w:p w14:paraId="0F235297" w14:textId="77777777" w:rsidR="00C874AF" w:rsidRDefault="00D603F5" w:rsidP="00660856">
      <w:pPr>
        <w:spacing w:beforeLines="60" w:before="144" w:afterLines="60" w:after="144"/>
        <w:rPr>
          <w:szCs w:val="22"/>
          <w:lang w:eastAsia="en-US"/>
        </w:rPr>
      </w:pPr>
      <w:r w:rsidRPr="001B0EA3">
        <w:rPr>
          <w:szCs w:val="22"/>
          <w:lang w:eastAsia="en-US"/>
        </w:rPr>
        <w:t xml:space="preserve">След идентифициране на приложимостта на чл. 107, параграф 1 от ДФЕС спрямо конкретна намеса и определяне на съотносимия режим към програмираните мерки (условия за съвместимост) е необходимо УО да определи </w:t>
      </w:r>
      <w:r w:rsidRPr="001B0EA3">
        <w:rPr>
          <w:b/>
          <w:szCs w:val="22"/>
          <w:lang w:eastAsia="en-US"/>
        </w:rPr>
        <w:t xml:space="preserve">приложимата процедурна рамка, както и </w:t>
      </w:r>
      <w:r w:rsidRPr="001B0EA3">
        <w:rPr>
          <w:b/>
          <w:szCs w:val="22"/>
          <w:lang w:eastAsia="en-US"/>
        </w:rPr>
        <w:lastRenderedPageBreak/>
        <w:t>съотносимите актове, гарантиращи ненарушаването на националното и общностно законодателство по държавните помощ</w:t>
      </w:r>
      <w:r w:rsidRPr="001B0EA3">
        <w:rPr>
          <w:szCs w:val="22"/>
          <w:lang w:eastAsia="en-US"/>
        </w:rPr>
        <w:t>. С оглед на това, УО е включил в настоящия наръчник описание на приложимите последователни действия за осигуряване на процедурно съответствие, съобразено с разпоредбите на ЗДП</w:t>
      </w:r>
      <w:r w:rsidR="00C874AF">
        <w:rPr>
          <w:szCs w:val="22"/>
          <w:lang w:eastAsia="en-US"/>
        </w:rPr>
        <w:t xml:space="preserve"> </w:t>
      </w:r>
      <w:r w:rsidR="00C874AF" w:rsidRPr="00C874AF">
        <w:rPr>
          <w:szCs w:val="22"/>
          <w:lang w:eastAsia="en-US"/>
        </w:rPr>
        <w:t>и ПП ЗДП</w:t>
      </w:r>
      <w:r w:rsidRPr="001B0EA3">
        <w:rPr>
          <w:szCs w:val="22"/>
          <w:lang w:eastAsia="en-US"/>
        </w:rPr>
        <w:t>, вкл. съгласуване с Министерството на финансите (МФ), когато ЗДП изиска такова.</w:t>
      </w:r>
    </w:p>
    <w:p w14:paraId="592415B7" w14:textId="77777777" w:rsidR="00C874AF" w:rsidRPr="005B04E5" w:rsidRDefault="00C874AF" w:rsidP="00C874AF">
      <w:pPr>
        <w:rPr>
          <w:szCs w:val="22"/>
          <w:lang w:eastAsia="en-US"/>
        </w:rPr>
      </w:pPr>
      <w:r w:rsidRPr="005B04E5">
        <w:rPr>
          <w:szCs w:val="22"/>
          <w:lang w:eastAsia="en-US"/>
        </w:rPr>
        <w:t xml:space="preserve">Съгласно чл. </w:t>
      </w:r>
      <w:r>
        <w:rPr>
          <w:szCs w:val="22"/>
          <w:lang w:eastAsia="en-US"/>
        </w:rPr>
        <w:t xml:space="preserve">22, ал. 3 и чл.27 </w:t>
      </w:r>
      <w:r w:rsidRPr="005B04E5">
        <w:rPr>
          <w:szCs w:val="22"/>
          <w:lang w:eastAsia="en-US"/>
        </w:rPr>
        <w:t xml:space="preserve">на ЗДП </w:t>
      </w:r>
      <w:r>
        <w:rPr>
          <w:b/>
          <w:szCs w:val="22"/>
          <w:lang w:eastAsia="en-US"/>
        </w:rPr>
        <w:t>а</w:t>
      </w:r>
      <w:r w:rsidRPr="005B04E5">
        <w:rPr>
          <w:b/>
          <w:szCs w:val="22"/>
          <w:lang w:eastAsia="en-US"/>
        </w:rPr>
        <w:t>дминистратор</w:t>
      </w:r>
      <w:r>
        <w:rPr>
          <w:b/>
          <w:szCs w:val="22"/>
          <w:lang w:eastAsia="en-US"/>
        </w:rPr>
        <w:t>ът</w:t>
      </w:r>
      <w:r w:rsidRPr="005B04E5">
        <w:rPr>
          <w:b/>
          <w:szCs w:val="22"/>
          <w:lang w:eastAsia="en-US"/>
        </w:rPr>
        <w:t xml:space="preserve"> на помощ</w:t>
      </w:r>
      <w:r w:rsidRPr="005B04E5">
        <w:rPr>
          <w:szCs w:val="22"/>
          <w:lang w:eastAsia="en-US"/>
        </w:rPr>
        <w:t xml:space="preserve"> е длъжен </w:t>
      </w:r>
      <w:r>
        <w:rPr>
          <w:szCs w:val="22"/>
          <w:lang w:eastAsia="en-US"/>
        </w:rPr>
        <w:t xml:space="preserve">да съгласува предварително с </w:t>
      </w:r>
      <w:r w:rsidRPr="005B04E5">
        <w:rPr>
          <w:szCs w:val="22"/>
          <w:lang w:eastAsia="en-US"/>
        </w:rPr>
        <w:t xml:space="preserve">министъра на финансите </w:t>
      </w:r>
      <w:r>
        <w:rPr>
          <w:szCs w:val="22"/>
          <w:lang w:eastAsia="en-US"/>
        </w:rPr>
        <w:t xml:space="preserve">всяко намерение за предоставяне на нова държавна помощ и за изменение на съществуваща държавна помощ. </w:t>
      </w:r>
    </w:p>
    <w:p w14:paraId="5861E36C" w14:textId="77777777" w:rsidR="00C874AF" w:rsidRPr="00AC6E08" w:rsidRDefault="00C874AF" w:rsidP="00C874AF">
      <w:pPr>
        <w:spacing w:beforeLines="60" w:before="144" w:afterLines="60" w:after="144"/>
        <w:rPr>
          <w:b/>
          <w:szCs w:val="22"/>
          <w:u w:val="single"/>
          <w:lang w:eastAsia="en-US"/>
        </w:rPr>
      </w:pPr>
      <w:r w:rsidRPr="00AC6E08">
        <w:rPr>
          <w:szCs w:val="22"/>
          <w:lang w:eastAsia="en-US"/>
        </w:rPr>
        <w:t xml:space="preserve">В процедурата </w:t>
      </w:r>
      <w:r w:rsidRPr="00AC6E08">
        <w:rPr>
          <w:b/>
          <w:szCs w:val="22"/>
          <w:lang w:eastAsia="en-US"/>
        </w:rPr>
        <w:t xml:space="preserve">по точка </w:t>
      </w:r>
      <w:r w:rsidRPr="00AC6E08">
        <w:rPr>
          <w:b/>
          <w:szCs w:val="22"/>
          <w:lang w:eastAsia="en-US"/>
        </w:rPr>
        <w:fldChar w:fldCharType="begin"/>
      </w:r>
      <w:r w:rsidRPr="00AC6E08">
        <w:rPr>
          <w:b/>
          <w:szCs w:val="22"/>
          <w:lang w:eastAsia="en-US"/>
        </w:rPr>
        <w:instrText xml:space="preserve"> REF _Ref408991557 \r \h  \* MERGEFORMAT </w:instrText>
      </w:r>
      <w:r w:rsidRPr="00AC6E08">
        <w:rPr>
          <w:b/>
          <w:szCs w:val="22"/>
          <w:lang w:eastAsia="en-US"/>
        </w:rPr>
      </w:r>
      <w:r w:rsidRPr="00AC6E08">
        <w:rPr>
          <w:b/>
          <w:szCs w:val="22"/>
          <w:lang w:eastAsia="en-US"/>
        </w:rPr>
        <w:fldChar w:fldCharType="separate"/>
      </w:r>
      <w:r w:rsidR="00F22141">
        <w:rPr>
          <w:b/>
          <w:szCs w:val="22"/>
          <w:lang w:eastAsia="en-US"/>
        </w:rPr>
        <w:t>7</w:t>
      </w:r>
      <w:r w:rsidRPr="00AC6E08">
        <w:rPr>
          <w:szCs w:val="22"/>
          <w:lang w:eastAsia="en-US"/>
        </w:rPr>
        <w:fldChar w:fldCharType="end"/>
      </w:r>
      <w:r>
        <w:rPr>
          <w:szCs w:val="22"/>
          <w:lang w:eastAsia="en-US"/>
        </w:rPr>
        <w:t>.2</w:t>
      </w:r>
      <w:r w:rsidRPr="00AC6E08">
        <w:rPr>
          <w:szCs w:val="22"/>
          <w:lang w:eastAsia="en-US"/>
        </w:rPr>
        <w:t xml:space="preserve"> се изследва съвместимостта с вътрешния пазар на установената с предварителното заключение ДП</w:t>
      </w:r>
      <w:r>
        <w:rPr>
          <w:szCs w:val="22"/>
          <w:lang w:eastAsia="en-US"/>
        </w:rPr>
        <w:t>. Виж  -</w:t>
      </w:r>
      <w:r w:rsidRPr="00AC6E08">
        <w:rPr>
          <w:szCs w:val="22"/>
          <w:lang w:eastAsia="en-US"/>
        </w:rPr>
        <w:t xml:space="preserve"> дали планираната мярка ще се реализира под формата на:</w:t>
      </w:r>
    </w:p>
    <w:p w14:paraId="3E5E8D30" w14:textId="77777777" w:rsidR="00C874AF" w:rsidRPr="00AC6E08" w:rsidRDefault="00C874AF" w:rsidP="00C874AF">
      <w:pPr>
        <w:numPr>
          <w:ilvl w:val="0"/>
          <w:numId w:val="146"/>
        </w:numPr>
        <w:spacing w:beforeLines="60" w:before="144" w:afterLines="60" w:after="144"/>
        <w:rPr>
          <w:szCs w:val="22"/>
          <w:lang w:eastAsia="en-US"/>
        </w:rPr>
      </w:pPr>
      <w:r w:rsidRPr="00AC6E08">
        <w:rPr>
          <w:b/>
          <w:szCs w:val="22"/>
          <w:lang w:eastAsia="en-US"/>
        </w:rPr>
        <w:t xml:space="preserve">Минимална помощ (помощ </w:t>
      </w:r>
      <w:r w:rsidRPr="00AC6E08">
        <w:rPr>
          <w:b/>
          <w:szCs w:val="22"/>
          <w:lang w:val="en-US" w:eastAsia="en-US"/>
        </w:rPr>
        <w:t>de</w:t>
      </w:r>
      <w:r w:rsidRPr="00AC6E08">
        <w:rPr>
          <w:b/>
          <w:szCs w:val="22"/>
          <w:lang w:eastAsia="en-US"/>
        </w:rPr>
        <w:t xml:space="preserve"> </w:t>
      </w:r>
      <w:r w:rsidRPr="00AC6E08">
        <w:rPr>
          <w:b/>
          <w:szCs w:val="22"/>
          <w:lang w:val="en-US" w:eastAsia="en-US"/>
        </w:rPr>
        <w:t>minimis</w:t>
      </w:r>
      <w:r w:rsidRPr="00AC6E08">
        <w:rPr>
          <w:b/>
          <w:szCs w:val="22"/>
          <w:lang w:eastAsia="en-US"/>
        </w:rPr>
        <w:t>)</w:t>
      </w:r>
      <w:r w:rsidRPr="00AC6E08">
        <w:rPr>
          <w:szCs w:val="22"/>
          <w:lang w:eastAsia="en-US"/>
        </w:rPr>
        <w:t xml:space="preserve"> – Регламент 1470/2013</w:t>
      </w:r>
      <w:r w:rsidRPr="00842ECC">
        <w:rPr>
          <w:szCs w:val="22"/>
          <w:lang w:eastAsia="en-US"/>
        </w:rPr>
        <w:t>,</w:t>
      </w:r>
      <w:r w:rsidRPr="00173923">
        <w:rPr>
          <w:szCs w:val="22"/>
          <w:lang w:eastAsia="en-US"/>
        </w:rPr>
        <w:t xml:space="preserve"> </w:t>
      </w:r>
      <w:r w:rsidRPr="00AC6E08">
        <w:rPr>
          <w:szCs w:val="22"/>
          <w:lang w:eastAsia="en-US"/>
        </w:rPr>
        <w:t>Регламент 360/2012;</w:t>
      </w:r>
    </w:p>
    <w:p w14:paraId="4C5B33F1" w14:textId="77777777" w:rsidR="00C874AF" w:rsidRPr="00AC6E08" w:rsidRDefault="00C874AF" w:rsidP="00C874AF">
      <w:pPr>
        <w:numPr>
          <w:ilvl w:val="0"/>
          <w:numId w:val="146"/>
        </w:numPr>
        <w:spacing w:beforeLines="60" w:before="144" w:afterLines="60" w:after="144"/>
        <w:rPr>
          <w:b/>
          <w:szCs w:val="22"/>
          <w:lang w:eastAsia="en-US"/>
        </w:rPr>
      </w:pPr>
      <w:r w:rsidRPr="00AC6E08">
        <w:rPr>
          <w:b/>
          <w:szCs w:val="22"/>
          <w:lang w:eastAsia="en-US"/>
        </w:rPr>
        <w:t xml:space="preserve">ДП, попадаща в обхвата на ОРГО </w:t>
      </w:r>
    </w:p>
    <w:p w14:paraId="61E485A8" w14:textId="77777777" w:rsidR="00C874AF" w:rsidRPr="00AC6E08" w:rsidRDefault="00C874AF" w:rsidP="00C874AF">
      <w:pPr>
        <w:numPr>
          <w:ilvl w:val="0"/>
          <w:numId w:val="146"/>
        </w:numPr>
        <w:spacing w:beforeLines="60" w:before="144" w:afterLines="60" w:after="144"/>
        <w:rPr>
          <w:szCs w:val="22"/>
          <w:lang w:eastAsia="en-US"/>
        </w:rPr>
      </w:pPr>
      <w:r w:rsidRPr="00AC6E08">
        <w:rPr>
          <w:b/>
          <w:szCs w:val="22"/>
          <w:lang w:eastAsia="en-US"/>
        </w:rPr>
        <w:t>ДП, попадаща в обхвата на ОРГО, но подлежаща на индивидуално уведомление</w:t>
      </w:r>
      <w:r w:rsidRPr="00AC6E08">
        <w:rPr>
          <w:szCs w:val="22"/>
          <w:lang w:eastAsia="en-US"/>
        </w:rPr>
        <w:t xml:space="preserve"> </w:t>
      </w:r>
      <w:r w:rsidRPr="00AC6E08">
        <w:rPr>
          <w:i/>
          <w:szCs w:val="22"/>
          <w:lang w:eastAsia="en-US"/>
        </w:rPr>
        <w:t xml:space="preserve">(поради </w:t>
      </w:r>
      <w:r w:rsidRPr="00AC6E08">
        <w:rPr>
          <w:i/>
          <w:szCs w:val="22"/>
          <w:u w:val="single"/>
          <w:lang w:eastAsia="en-US"/>
        </w:rPr>
        <w:t>размер й, по-голям от 150 млн. евро годишно</w:t>
      </w:r>
      <w:r w:rsidRPr="00AC6E08">
        <w:rPr>
          <w:i/>
          <w:szCs w:val="22"/>
          <w:lang w:eastAsia="en-US"/>
        </w:rPr>
        <w:t>)</w:t>
      </w:r>
      <w:r w:rsidRPr="00AC6E08">
        <w:rPr>
          <w:szCs w:val="22"/>
          <w:lang w:eastAsia="en-US"/>
        </w:rPr>
        <w:t xml:space="preserve"> - Регламент 651/2014, попадащи в обхвата на чл. 1, ал. 2, буква а) от същия;</w:t>
      </w:r>
    </w:p>
    <w:p w14:paraId="16E86775" w14:textId="77777777" w:rsidR="00C874AF" w:rsidRPr="00AC6E08" w:rsidRDefault="00C874AF" w:rsidP="00C874AF">
      <w:pPr>
        <w:numPr>
          <w:ilvl w:val="0"/>
          <w:numId w:val="146"/>
        </w:numPr>
        <w:spacing w:beforeLines="60" w:before="144" w:afterLines="60" w:after="144"/>
        <w:rPr>
          <w:szCs w:val="22"/>
          <w:lang w:eastAsia="en-US"/>
        </w:rPr>
      </w:pPr>
      <w:r w:rsidRPr="00AC6E08">
        <w:rPr>
          <w:b/>
          <w:szCs w:val="22"/>
          <w:lang w:eastAsia="en-US"/>
        </w:rPr>
        <w:t>ДП, освободена от задължението за уведомяване на основание, различно от ОРГО</w:t>
      </w:r>
      <w:r w:rsidRPr="00AC6E08">
        <w:rPr>
          <w:szCs w:val="22"/>
          <w:lang w:eastAsia="en-US"/>
        </w:rPr>
        <w:t xml:space="preserve"> – Регламент 1370/2007 , Решение за УОИИ;</w:t>
      </w:r>
    </w:p>
    <w:p w14:paraId="6CD5BCC8" w14:textId="77777777" w:rsidR="00C874AF" w:rsidRPr="00AC6E08" w:rsidRDefault="00C874AF" w:rsidP="00C874AF">
      <w:pPr>
        <w:numPr>
          <w:ilvl w:val="0"/>
          <w:numId w:val="146"/>
        </w:numPr>
        <w:spacing w:beforeLines="60" w:before="144" w:afterLines="60" w:after="144"/>
        <w:rPr>
          <w:szCs w:val="22"/>
          <w:lang w:eastAsia="en-US"/>
        </w:rPr>
      </w:pPr>
      <w:r w:rsidRPr="00AC6E08">
        <w:rPr>
          <w:b/>
          <w:szCs w:val="22"/>
          <w:lang w:eastAsia="en-US"/>
        </w:rPr>
        <w:t xml:space="preserve">ДП, подлежаща на уведомление (нотификация) до ЕК </w:t>
      </w:r>
      <w:r w:rsidRPr="00AC6E08">
        <w:rPr>
          <w:szCs w:val="22"/>
          <w:lang w:eastAsia="en-US"/>
        </w:rPr>
        <w:t>и одобряването й от Комисията - всички останали случаи.</w:t>
      </w:r>
    </w:p>
    <w:p w14:paraId="5EB83738" w14:textId="77777777" w:rsidR="00C874AF" w:rsidRPr="00AC6E08" w:rsidRDefault="00C874AF" w:rsidP="00C874AF">
      <w:pPr>
        <w:spacing w:beforeLines="60" w:before="144" w:afterLines="60" w:after="144"/>
        <w:rPr>
          <w:szCs w:val="22"/>
          <w:lang w:eastAsia="en-US"/>
        </w:rPr>
      </w:pPr>
      <w:r w:rsidRPr="00AC6E08">
        <w:rPr>
          <w:szCs w:val="22"/>
          <w:lang w:eastAsia="en-US"/>
        </w:rPr>
        <w:t xml:space="preserve">В случай, че установената ДП не попада в никоя от посочените от 1 до 4 форми на съвместимост то тя подлежи на подаване на Уведомление за ДП до ЕК. По отношение на този тип помощи се прилага процедурата по </w:t>
      </w:r>
      <w:r w:rsidRPr="00AC6E08">
        <w:rPr>
          <w:b/>
          <w:szCs w:val="22"/>
          <w:lang w:eastAsia="en-US"/>
        </w:rPr>
        <w:t xml:space="preserve">точка </w:t>
      </w:r>
      <w:r w:rsidRPr="00AC6E08">
        <w:rPr>
          <w:b/>
          <w:szCs w:val="22"/>
          <w:lang w:eastAsia="en-US"/>
        </w:rPr>
        <w:fldChar w:fldCharType="begin"/>
      </w:r>
      <w:r w:rsidRPr="00AC6E08">
        <w:rPr>
          <w:b/>
          <w:szCs w:val="22"/>
          <w:lang w:eastAsia="en-US"/>
        </w:rPr>
        <w:instrText xml:space="preserve"> REF _Ref408991715 \r \h  \* MERGEFORMAT </w:instrText>
      </w:r>
      <w:r w:rsidRPr="00AC6E08">
        <w:rPr>
          <w:b/>
          <w:szCs w:val="22"/>
          <w:lang w:eastAsia="en-US"/>
        </w:rPr>
      </w:r>
      <w:r w:rsidRPr="00AC6E08">
        <w:rPr>
          <w:b/>
          <w:szCs w:val="22"/>
          <w:lang w:eastAsia="en-US"/>
        </w:rPr>
        <w:fldChar w:fldCharType="separate"/>
      </w:r>
      <w:r w:rsidR="00F22141">
        <w:rPr>
          <w:b/>
          <w:szCs w:val="22"/>
          <w:lang w:eastAsia="en-US"/>
        </w:rPr>
        <w:t>8</w:t>
      </w:r>
      <w:r w:rsidRPr="00AC6E08">
        <w:rPr>
          <w:szCs w:val="22"/>
          <w:lang w:eastAsia="en-US"/>
        </w:rPr>
        <w:fldChar w:fldCharType="end"/>
      </w:r>
      <w:r w:rsidRPr="00AC6E08">
        <w:rPr>
          <w:szCs w:val="22"/>
          <w:lang w:eastAsia="en-US"/>
        </w:rPr>
        <w:t xml:space="preserve">, като в процеса на подготовка на Уведомление за ДП се извършва „задълбочена оценка” („detailed assessment”) съобразно приложимия акт на ЕК, постановяващ условията за съвместимост за конкретния вид помощ. </w:t>
      </w:r>
    </w:p>
    <w:p w14:paraId="5C2B5534" w14:textId="77777777" w:rsidR="00C874AF" w:rsidRPr="00AC6E08" w:rsidRDefault="00C874AF" w:rsidP="00C874AF">
      <w:pPr>
        <w:spacing w:beforeLines="60" w:before="144" w:afterLines="60" w:after="144"/>
        <w:rPr>
          <w:szCs w:val="22"/>
          <w:lang w:eastAsia="en-US"/>
        </w:rPr>
      </w:pPr>
      <w:r w:rsidRPr="00AC6E08">
        <w:rPr>
          <w:szCs w:val="22"/>
          <w:lang w:eastAsia="en-US"/>
        </w:rPr>
        <w:t xml:space="preserve">В общия случай задълбочената оценка следва да засяга общите критерии за съвместимост: </w:t>
      </w:r>
    </w:p>
    <w:p w14:paraId="0570A162" w14:textId="77777777" w:rsidR="00C874AF" w:rsidRPr="00AC6E08" w:rsidRDefault="00C874AF" w:rsidP="00C874AF">
      <w:pPr>
        <w:numPr>
          <w:ilvl w:val="0"/>
          <w:numId w:val="144"/>
        </w:numPr>
        <w:spacing w:beforeLines="60" w:before="144" w:afterLines="60" w:after="144"/>
        <w:rPr>
          <w:szCs w:val="22"/>
          <w:lang w:eastAsia="en-US"/>
        </w:rPr>
      </w:pPr>
      <w:r w:rsidRPr="00AC6E08">
        <w:rPr>
          <w:szCs w:val="22"/>
          <w:lang w:eastAsia="en-US"/>
        </w:rPr>
        <w:t xml:space="preserve">необходимост от намеса на държавата, </w:t>
      </w:r>
    </w:p>
    <w:p w14:paraId="4CEBD8E2" w14:textId="77777777" w:rsidR="00C874AF" w:rsidRPr="00AC6E08" w:rsidRDefault="00C874AF" w:rsidP="00C874AF">
      <w:pPr>
        <w:numPr>
          <w:ilvl w:val="0"/>
          <w:numId w:val="144"/>
        </w:numPr>
        <w:spacing w:beforeLines="60" w:before="144" w:afterLines="60" w:after="144"/>
        <w:rPr>
          <w:szCs w:val="22"/>
          <w:lang w:eastAsia="en-US"/>
        </w:rPr>
      </w:pPr>
      <w:r w:rsidRPr="00AC6E08">
        <w:rPr>
          <w:szCs w:val="22"/>
          <w:lang w:eastAsia="en-US"/>
        </w:rPr>
        <w:t xml:space="preserve">целесъобразност на мярката на помощ, </w:t>
      </w:r>
    </w:p>
    <w:p w14:paraId="0EEC3D5B" w14:textId="77777777" w:rsidR="00C874AF" w:rsidRPr="00AC6E08" w:rsidRDefault="00C874AF" w:rsidP="00C874AF">
      <w:pPr>
        <w:numPr>
          <w:ilvl w:val="0"/>
          <w:numId w:val="144"/>
        </w:numPr>
        <w:spacing w:beforeLines="60" w:before="144" w:afterLines="60" w:after="144"/>
        <w:rPr>
          <w:szCs w:val="22"/>
          <w:lang w:eastAsia="en-US"/>
        </w:rPr>
      </w:pPr>
      <w:r w:rsidRPr="00AC6E08">
        <w:rPr>
          <w:szCs w:val="22"/>
          <w:lang w:eastAsia="en-US"/>
        </w:rPr>
        <w:t xml:space="preserve">стимулиращ ефект, пропорционалност, </w:t>
      </w:r>
    </w:p>
    <w:p w14:paraId="17FA8B13" w14:textId="77777777" w:rsidR="00C874AF" w:rsidRPr="00AC6E08" w:rsidRDefault="00C874AF" w:rsidP="00C874AF">
      <w:pPr>
        <w:numPr>
          <w:ilvl w:val="0"/>
          <w:numId w:val="144"/>
        </w:numPr>
        <w:spacing w:beforeLines="60" w:before="144" w:afterLines="60" w:after="144"/>
        <w:rPr>
          <w:szCs w:val="22"/>
          <w:lang w:eastAsia="en-US"/>
        </w:rPr>
      </w:pPr>
      <w:r w:rsidRPr="00AC6E08">
        <w:rPr>
          <w:szCs w:val="22"/>
          <w:lang w:eastAsia="en-US"/>
        </w:rPr>
        <w:t xml:space="preserve">прозрачност на помощта, </w:t>
      </w:r>
    </w:p>
    <w:p w14:paraId="01B62888" w14:textId="77777777" w:rsidR="00C874AF" w:rsidRPr="00AC6E08" w:rsidRDefault="00C874AF" w:rsidP="00C874AF">
      <w:pPr>
        <w:numPr>
          <w:ilvl w:val="0"/>
          <w:numId w:val="144"/>
        </w:numPr>
        <w:spacing w:beforeLines="60" w:before="144" w:afterLines="60" w:after="144"/>
        <w:rPr>
          <w:szCs w:val="22"/>
          <w:lang w:eastAsia="en-US"/>
        </w:rPr>
      </w:pPr>
      <w:r w:rsidRPr="00AC6E08">
        <w:rPr>
          <w:szCs w:val="22"/>
          <w:lang w:eastAsia="en-US"/>
        </w:rPr>
        <w:t xml:space="preserve">съпоставимост/ избор на подходящ и в най-малка степен влияещ върху конкуренцията инструмент на помощта за постигане на целта й. </w:t>
      </w:r>
    </w:p>
    <w:p w14:paraId="443D879A" w14:textId="77777777" w:rsidR="00C874AF" w:rsidRPr="005B04E5" w:rsidRDefault="00C874AF" w:rsidP="00C874AF">
      <w:pPr>
        <w:spacing w:beforeLines="60" w:before="144" w:afterLines="60" w:after="144"/>
        <w:rPr>
          <w:szCs w:val="22"/>
          <w:lang w:eastAsia="en-US"/>
        </w:rPr>
      </w:pPr>
      <w:r w:rsidRPr="00AC6E08">
        <w:rPr>
          <w:szCs w:val="22"/>
          <w:lang w:eastAsia="en-US"/>
        </w:rPr>
        <w:t xml:space="preserve">В допълнение, след идентификацията ДП и формата на съвместимост УО на ОПТТИ  следва </w:t>
      </w:r>
      <w:r w:rsidRPr="00AC6E08">
        <w:rPr>
          <w:b/>
          <w:szCs w:val="22"/>
          <w:lang w:eastAsia="en-US"/>
        </w:rPr>
        <w:t>разработят архитектурата на конкретната мярка за помощ съобразно и в максимално пълно съответствие със специфични критерии за съвместимост според приложимата нормативна база</w:t>
      </w:r>
      <w:r w:rsidRPr="00AC6E08">
        <w:rPr>
          <w:szCs w:val="22"/>
          <w:lang w:eastAsia="en-US"/>
        </w:rPr>
        <w:t xml:space="preserve">. </w:t>
      </w:r>
    </w:p>
    <w:p w14:paraId="07880082" w14:textId="77777777" w:rsidR="00D603F5" w:rsidRPr="001B0EA3" w:rsidRDefault="00D603F5" w:rsidP="00660856">
      <w:pPr>
        <w:spacing w:beforeLines="60" w:before="144" w:afterLines="60" w:after="144"/>
        <w:rPr>
          <w:szCs w:val="22"/>
          <w:lang w:eastAsia="en-US"/>
        </w:rPr>
      </w:pPr>
    </w:p>
    <w:p w14:paraId="07883261" w14:textId="77777777" w:rsidR="00D603F5" w:rsidRPr="00842ECC" w:rsidRDefault="00D603F5" w:rsidP="00B502C7">
      <w:pPr>
        <w:pStyle w:val="Style2"/>
        <w:rPr>
          <w:lang w:val="bg-BG" w:eastAsia="bg-BG"/>
        </w:rPr>
      </w:pPr>
      <w:bookmarkStart w:id="426" w:name="_Ref408991330"/>
      <w:bookmarkStart w:id="427" w:name="_Toc479775589"/>
      <w:bookmarkStart w:id="428" w:name="_Toc140150183"/>
      <w:r w:rsidRPr="00842ECC">
        <w:rPr>
          <w:lang w:val="bg-BG" w:eastAsia="bg-BG"/>
        </w:rPr>
        <w:t>Предварително уведомление и съгласуване с МФ</w:t>
      </w:r>
      <w:bookmarkEnd w:id="426"/>
      <w:bookmarkEnd w:id="427"/>
      <w:bookmarkEnd w:id="428"/>
    </w:p>
    <w:p w14:paraId="0F015ABB" w14:textId="77777777" w:rsidR="00C874AF" w:rsidRPr="00C874AF" w:rsidRDefault="00C874AF" w:rsidP="00C874AF">
      <w:pPr>
        <w:rPr>
          <w:szCs w:val="22"/>
          <w:lang w:eastAsia="en-US"/>
        </w:rPr>
      </w:pPr>
      <w:r w:rsidRPr="00C874AF">
        <w:rPr>
          <w:szCs w:val="22"/>
          <w:lang w:eastAsia="en-US"/>
        </w:rPr>
        <w:t>Прилагането на предварително уведомление (пренотификация) за държавна помощ (УДП) е предвидено с чл. 4, ал. 2, т. 1 от ПП ЗДП в съотвествие с Кодекса на най-добри практики при провеждане на процедури на кантрол на държавните помощи на Европейската комисия.</w:t>
      </w:r>
    </w:p>
    <w:p w14:paraId="420260D8" w14:textId="77777777" w:rsidR="00563266" w:rsidRPr="001B0EA3" w:rsidRDefault="00563266" w:rsidP="00563266">
      <w:pPr>
        <w:rPr>
          <w:szCs w:val="22"/>
          <w:lang w:eastAsia="en-US"/>
        </w:rPr>
      </w:pPr>
      <w:r w:rsidRPr="001B0EA3">
        <w:rPr>
          <w:szCs w:val="22"/>
          <w:lang w:eastAsia="en-US"/>
        </w:rPr>
        <w:lastRenderedPageBreak/>
        <w:t xml:space="preserve">За целите на уведомяването, подаването на предварително УДП до ЕК (пренотификация) се осъществява при спазване на процедурите за подаване на същинско уведомление по чл. </w:t>
      </w:r>
      <w:r w:rsidR="00D479AC" w:rsidRPr="00D479AC">
        <w:rPr>
          <w:szCs w:val="22"/>
          <w:lang w:eastAsia="en-US"/>
        </w:rPr>
        <w:t>22, 23 и 24 от ЗДП и чл. 4 от ПП</w:t>
      </w:r>
      <w:r w:rsidR="00D479AC" w:rsidRPr="00D479AC" w:rsidDel="00D479AC">
        <w:rPr>
          <w:szCs w:val="22"/>
          <w:lang w:eastAsia="en-US"/>
        </w:rPr>
        <w:t xml:space="preserve"> </w:t>
      </w:r>
      <w:r w:rsidRPr="001B0EA3">
        <w:rPr>
          <w:szCs w:val="22"/>
          <w:lang w:eastAsia="en-US"/>
        </w:rPr>
        <w:t xml:space="preserve">ЗДП (предварително уведомление представлява частен случай на същинското). Подаването на предварително УДП се основава на и следва да бъде съобразено с разпоредбите </w:t>
      </w:r>
      <w:r w:rsidR="00D479AC" w:rsidRPr="00D479AC">
        <w:rPr>
          <w:szCs w:val="22"/>
          <w:lang w:eastAsia="en-US"/>
        </w:rPr>
        <w:t>при провеждане на процедури на контрол на държавните помощи на Европейската комисия</w:t>
      </w:r>
      <w:r w:rsidRPr="001B0EA3">
        <w:rPr>
          <w:szCs w:val="22"/>
          <w:lang w:eastAsia="en-US"/>
        </w:rPr>
        <w:t xml:space="preserve">. Елементите на мярката, минимално необходими за подаване на предварително уведомление са посочените в </w:t>
      </w:r>
      <w:r w:rsidR="00D479AC" w:rsidRPr="00D479AC">
        <w:rPr>
          <w:szCs w:val="22"/>
          <w:lang w:eastAsia="en-US"/>
        </w:rPr>
        <w:t>Системата за електорнно уведомяване за ДП на ЕК – State Aid Notification Interactive 2 (система SANI 2)</w:t>
      </w:r>
      <w:r w:rsidRPr="001B0EA3">
        <w:rPr>
          <w:szCs w:val="22"/>
          <w:lang w:eastAsia="en-US"/>
        </w:rPr>
        <w:t xml:space="preserve"> и се базират на съдържанието на стандартизираните форми на ЕК (в приложение на Регламент № 794/2004) за същинско уведомяване. Осигуряването на достъп до </w:t>
      </w:r>
      <w:r w:rsidR="00D479AC" w:rsidRPr="00D479AC">
        <w:rPr>
          <w:szCs w:val="22"/>
          <w:lang w:eastAsia="en-US"/>
        </w:rPr>
        <w:t>системата SANI 2</w:t>
      </w:r>
      <w:r w:rsidRPr="001B0EA3">
        <w:rPr>
          <w:szCs w:val="22"/>
          <w:lang w:eastAsia="en-US"/>
        </w:rPr>
        <w:t xml:space="preserve">е по инициатива на администратора на помощта. </w:t>
      </w:r>
    </w:p>
    <w:p w14:paraId="704A1F0C" w14:textId="77777777" w:rsidR="00563266" w:rsidRPr="001B0EA3" w:rsidRDefault="00563266" w:rsidP="00563266">
      <w:pPr>
        <w:rPr>
          <w:szCs w:val="22"/>
          <w:lang w:eastAsia="en-US"/>
        </w:rPr>
      </w:pPr>
      <w:r w:rsidRPr="001B0EA3">
        <w:rPr>
          <w:szCs w:val="22"/>
          <w:lang w:eastAsia="en-US"/>
        </w:rPr>
        <w:t>Отчитайки факта, че при предоставяне на минимална помощ (de minimis) не се изисква предварително уведомяване от администратора на помощта за съгласуване и разрешаване от министъра на финансите</w:t>
      </w:r>
      <w:r w:rsidR="00616FE2">
        <w:rPr>
          <w:szCs w:val="22"/>
          <w:lang w:eastAsia="en-US"/>
        </w:rPr>
        <w:t xml:space="preserve"> </w:t>
      </w:r>
      <w:r w:rsidR="00616FE2" w:rsidRPr="00616FE2">
        <w:rPr>
          <w:szCs w:val="22"/>
          <w:lang w:eastAsia="en-US"/>
        </w:rPr>
        <w:t>на мерки</w:t>
      </w:r>
      <w:r w:rsidR="00616FE2">
        <w:rPr>
          <w:szCs w:val="22"/>
          <w:lang w:eastAsia="en-US"/>
        </w:rPr>
        <w:t>, то</w:t>
      </w:r>
      <w:r w:rsidRPr="001B0EA3">
        <w:rPr>
          <w:szCs w:val="22"/>
          <w:lang w:eastAsia="en-US"/>
        </w:rPr>
        <w:t xml:space="preserve"> </w:t>
      </w:r>
      <w:r w:rsidR="00616FE2">
        <w:rPr>
          <w:szCs w:val="22"/>
          <w:lang w:eastAsia="en-US"/>
        </w:rPr>
        <w:t>п</w:t>
      </w:r>
      <w:r w:rsidRPr="001B0EA3">
        <w:rPr>
          <w:szCs w:val="22"/>
          <w:lang w:eastAsia="en-US"/>
        </w:rPr>
        <w:t>редварителното съгласуване с министъра на финансите, които са планирани да се предоставят в съответствие с действащите регламенти за минимална помощ е по преценка на УО, при констатирана такава необходимост. Въпреки това, с оглед да се гарантира спазването на условията на действащите регламенти за минимална помощ, УО може да представи за съгласуване с министъра на финансите и схемите за минимална помощ. Независимо дали същите се  съгласуват или не с министъра на финансите, УО следва да гарантира и контролира, че са разработени, отговорят и се предоставят законосъобразно, т.е. съобразно изискванията на Регламент №1407/2013 г.</w:t>
      </w:r>
    </w:p>
    <w:p w14:paraId="669614BB" w14:textId="77777777" w:rsidR="00563266" w:rsidRPr="001B0EA3" w:rsidRDefault="00563266" w:rsidP="00660856">
      <w:pPr>
        <w:rPr>
          <w:szCs w:val="22"/>
          <w:lang w:eastAsia="en-US"/>
        </w:rPr>
      </w:pPr>
    </w:p>
    <w:p w14:paraId="26A63010" w14:textId="77777777" w:rsidR="00D603F5" w:rsidRPr="001B0EA3" w:rsidRDefault="00D603F5" w:rsidP="00ED358C">
      <w:pPr>
        <w:pStyle w:val="Style3"/>
        <w:rPr>
          <w:lang w:eastAsia="en-US"/>
        </w:rPr>
      </w:pPr>
      <w:bookmarkStart w:id="429" w:name="_Toc479775590"/>
      <w:r w:rsidRPr="001B0EA3">
        <w:rPr>
          <w:lang w:eastAsia="en-US"/>
        </w:rPr>
        <w:t>Определяне на администратор на помощта</w:t>
      </w:r>
      <w:bookmarkEnd w:id="429"/>
      <w:r w:rsidRPr="001B0EA3">
        <w:rPr>
          <w:lang w:eastAsia="en-US"/>
        </w:rPr>
        <w:t xml:space="preserve"> </w:t>
      </w:r>
    </w:p>
    <w:p w14:paraId="508E9F64" w14:textId="77777777" w:rsidR="00CD44E6" w:rsidRDefault="00D603F5" w:rsidP="00511860">
      <w:pPr>
        <w:rPr>
          <w:szCs w:val="22"/>
          <w:lang w:eastAsia="en-US"/>
        </w:rPr>
      </w:pPr>
      <w:r w:rsidRPr="001B0EA3">
        <w:rPr>
          <w:szCs w:val="22"/>
          <w:lang w:eastAsia="en-US"/>
        </w:rPr>
        <w:t xml:space="preserve">Ако предварителното заключение от теста за ДП </w:t>
      </w:r>
      <w:r w:rsidR="00563266" w:rsidRPr="001B0EA3">
        <w:rPr>
          <w:szCs w:val="22"/>
          <w:lang w:eastAsia="en-US"/>
        </w:rPr>
        <w:t>по т. 7.1.5 е</w:t>
      </w:r>
      <w:r w:rsidRPr="001B0EA3">
        <w:rPr>
          <w:szCs w:val="22"/>
          <w:lang w:eastAsia="en-US"/>
        </w:rPr>
        <w:t xml:space="preserve">, че мярката по определено проектно предложение </w:t>
      </w:r>
      <w:r w:rsidR="00563266" w:rsidRPr="001B0EA3">
        <w:rPr>
          <w:szCs w:val="22"/>
          <w:lang w:eastAsia="en-US"/>
        </w:rPr>
        <w:t>съдържа ДП е важно да се определи кой е</w:t>
      </w:r>
      <w:r w:rsidR="00563266" w:rsidRPr="001B0EA3">
        <w:rPr>
          <w:b/>
          <w:szCs w:val="22"/>
          <w:lang w:eastAsia="en-US"/>
        </w:rPr>
        <w:t xml:space="preserve"> администратора на помощта</w:t>
      </w:r>
      <w:r w:rsidR="00563266" w:rsidRPr="001B0EA3">
        <w:rPr>
          <w:szCs w:val="22"/>
          <w:lang w:eastAsia="en-US"/>
        </w:rPr>
        <w:t xml:space="preserve">, който следва да уведоми министъра на финансите </w:t>
      </w:r>
      <w:r w:rsidR="00CD44E6" w:rsidRPr="00CD44E6">
        <w:rPr>
          <w:szCs w:val="22"/>
          <w:lang w:eastAsia="en-US"/>
        </w:rPr>
        <w:t>за намерение за предостаяне на държавна или минимална помощ или изменение на съществуваща такава</w:t>
      </w:r>
      <w:r w:rsidRPr="001B0EA3">
        <w:rPr>
          <w:szCs w:val="22"/>
          <w:lang w:eastAsia="en-US"/>
        </w:rPr>
        <w:t>.</w:t>
      </w:r>
    </w:p>
    <w:p w14:paraId="0A85A768" w14:textId="77777777" w:rsidR="00CD44E6" w:rsidRPr="00CD44E6" w:rsidRDefault="00CD44E6" w:rsidP="00CD44E6">
      <w:pPr>
        <w:rPr>
          <w:szCs w:val="22"/>
          <w:lang w:eastAsia="en-US"/>
        </w:rPr>
      </w:pPr>
      <w:r w:rsidRPr="00CD44E6">
        <w:rPr>
          <w:szCs w:val="22"/>
          <w:lang w:eastAsia="en-US"/>
        </w:rPr>
        <w:t xml:space="preserve">В глава трета на ЗДП са определини дефиниция, функциите, задвълженията и отговорностите на  адменестратора на помощ. </w:t>
      </w:r>
    </w:p>
    <w:p w14:paraId="4473FFB9" w14:textId="77777777" w:rsidR="00D603F5" w:rsidRPr="001B0EA3" w:rsidRDefault="00CD44E6" w:rsidP="00CD44E6">
      <w:pPr>
        <w:rPr>
          <w:szCs w:val="22"/>
          <w:lang w:eastAsia="en-US"/>
        </w:rPr>
      </w:pPr>
      <w:r w:rsidRPr="00CD44E6">
        <w:rPr>
          <w:szCs w:val="22"/>
          <w:lang w:eastAsia="en-US"/>
        </w:rPr>
        <w:t>Съгласно най-общата дефиниция:</w:t>
      </w:r>
    </w:p>
    <w:p w14:paraId="312625DD" w14:textId="77777777" w:rsidR="00D603F5" w:rsidRPr="001B0EA3" w:rsidRDefault="00D603F5" w:rsidP="00511860">
      <w:pPr>
        <w:spacing w:before="120"/>
        <w:rPr>
          <w:szCs w:val="22"/>
          <w:lang w:eastAsia="en-US"/>
        </w:rPr>
      </w:pPr>
      <w:r w:rsidRPr="001B0EA3">
        <w:rPr>
          <w:szCs w:val="22"/>
          <w:lang w:eastAsia="en-US"/>
        </w:rPr>
        <w:t>Дефиниция:</w:t>
      </w:r>
    </w:p>
    <w:p w14:paraId="1F8757F8" w14:textId="77777777" w:rsidR="000A7D83" w:rsidRPr="00B2369F" w:rsidRDefault="000A7D83" w:rsidP="000A7D83">
      <w:pPr>
        <w:numPr>
          <w:ilvl w:val="0"/>
          <w:numId w:val="83"/>
        </w:numPr>
        <w:tabs>
          <w:tab w:val="left" w:pos="426"/>
        </w:tabs>
        <w:autoSpaceDE w:val="0"/>
        <w:autoSpaceDN w:val="0"/>
        <w:adjustRightInd w:val="0"/>
        <w:ind w:left="0" w:firstLine="851"/>
        <w:rPr>
          <w:b/>
          <w:szCs w:val="24"/>
          <w:lang w:eastAsia="en-US"/>
        </w:rPr>
      </w:pPr>
      <w:r w:rsidRPr="00031E28">
        <w:rPr>
          <w:b/>
          <w:szCs w:val="24"/>
          <w:lang w:eastAsia="en-US"/>
        </w:rPr>
        <w:t xml:space="preserve">Администратор на помощ </w:t>
      </w:r>
      <w:r w:rsidRPr="00031E28">
        <w:rPr>
          <w:szCs w:val="24"/>
          <w:lang w:eastAsia="en-US"/>
        </w:rPr>
        <w:t>е</w:t>
      </w:r>
      <w:r w:rsidRPr="00031E28">
        <w:rPr>
          <w:b/>
          <w:szCs w:val="24"/>
          <w:lang w:eastAsia="en-US"/>
        </w:rPr>
        <w:t xml:space="preserve"> </w:t>
      </w:r>
      <w:r w:rsidRPr="00484832">
        <w:rPr>
          <w:szCs w:val="24"/>
          <w:lang w:val="x-none" w:eastAsia="en-US"/>
        </w:rPr>
        <w:t>лице, което предоставя или управлява, включително разработва държавна помощ или минимална помощ, освен когато в закон е предвидено друго</w:t>
      </w:r>
      <w:r>
        <w:rPr>
          <w:szCs w:val="24"/>
          <w:lang w:eastAsia="en-US"/>
        </w:rPr>
        <w:t xml:space="preserve"> </w:t>
      </w:r>
      <w:r w:rsidRPr="00B2369F">
        <w:rPr>
          <w:i/>
          <w:szCs w:val="24"/>
          <w:lang w:eastAsia="en-US"/>
        </w:rPr>
        <w:t>(чл.9, ал.1 от ЗДП)</w:t>
      </w:r>
      <w:r w:rsidRPr="00484832">
        <w:rPr>
          <w:szCs w:val="24"/>
          <w:lang w:val="x-none" w:eastAsia="en-US"/>
        </w:rPr>
        <w:t xml:space="preserve">. </w:t>
      </w:r>
    </w:p>
    <w:p w14:paraId="26467FEA" w14:textId="77777777" w:rsidR="000A7D83" w:rsidRDefault="000A7D83" w:rsidP="000A7D83">
      <w:pPr>
        <w:tabs>
          <w:tab w:val="left" w:pos="426"/>
        </w:tabs>
        <w:autoSpaceDE w:val="0"/>
        <w:autoSpaceDN w:val="0"/>
        <w:adjustRightInd w:val="0"/>
        <w:rPr>
          <w:szCs w:val="24"/>
          <w:lang w:eastAsia="en-US"/>
        </w:rPr>
      </w:pPr>
      <w:r>
        <w:rPr>
          <w:szCs w:val="24"/>
          <w:lang w:eastAsia="en-US"/>
        </w:rPr>
        <w:tab/>
      </w:r>
      <w:r>
        <w:rPr>
          <w:szCs w:val="24"/>
          <w:lang w:eastAsia="en-US"/>
        </w:rPr>
        <w:tab/>
      </w:r>
      <w:r w:rsidRPr="00B2369F">
        <w:rPr>
          <w:szCs w:val="24"/>
          <w:lang w:eastAsia="en-US"/>
        </w:rPr>
        <w:t>С определението от чл. 12, ал. 2</w:t>
      </w:r>
      <w:r>
        <w:rPr>
          <w:szCs w:val="24"/>
          <w:lang w:eastAsia="en-US"/>
        </w:rPr>
        <w:t xml:space="preserve"> от ЗДП се въвежда, че </w:t>
      </w:r>
      <w:r w:rsidRPr="00B2369F">
        <w:rPr>
          <w:b/>
          <w:szCs w:val="24"/>
          <w:lang w:eastAsia="en-US"/>
        </w:rPr>
        <w:t>администарторът на помощ</w:t>
      </w:r>
      <w:r>
        <w:rPr>
          <w:szCs w:val="24"/>
          <w:lang w:eastAsia="en-US"/>
        </w:rPr>
        <w:t xml:space="preserve"> е </w:t>
      </w:r>
      <w:r w:rsidRPr="00E635F0">
        <w:rPr>
          <w:szCs w:val="24"/>
          <w:lang w:val="x-none" w:eastAsia="en-US"/>
        </w:rPr>
        <w:t>разпоредител с бюджет,</w:t>
      </w:r>
      <w:r>
        <w:rPr>
          <w:szCs w:val="24"/>
          <w:lang w:eastAsia="en-US"/>
        </w:rPr>
        <w:t xml:space="preserve"> който </w:t>
      </w:r>
      <w:r w:rsidRPr="00E635F0">
        <w:rPr>
          <w:szCs w:val="24"/>
          <w:lang w:val="x-none" w:eastAsia="en-US"/>
        </w:rPr>
        <w:t xml:space="preserve">може да разработва или да предоставя държавни помощи или минимални помощи, свързани с мерки за национално финансиране или национално съфинансиране по проекти и програми, финансирани от фондовете на Европейския съюз, Инструмента </w:t>
      </w:r>
      <w:r>
        <w:rPr>
          <w:szCs w:val="24"/>
          <w:lang w:eastAsia="en-US"/>
        </w:rPr>
        <w:t>„</w:t>
      </w:r>
      <w:r w:rsidRPr="00E635F0">
        <w:rPr>
          <w:szCs w:val="24"/>
          <w:lang w:val="x-none" w:eastAsia="en-US"/>
        </w:rPr>
        <w:t>Шенген</w:t>
      </w:r>
      <w:r>
        <w:rPr>
          <w:szCs w:val="24"/>
          <w:lang w:eastAsia="en-US"/>
        </w:rPr>
        <w:t>“</w:t>
      </w:r>
      <w:r w:rsidRPr="00E635F0">
        <w:rPr>
          <w:szCs w:val="24"/>
          <w:lang w:val="x-none" w:eastAsia="en-US"/>
        </w:rPr>
        <w:t>, Преходния финансов инструмент, донорски програми и други подобни, когато за това са предвидени средства в закона за държавния бюджет за съответната година или в средносрочната бюджетна прогноза</w:t>
      </w:r>
      <w:r>
        <w:rPr>
          <w:szCs w:val="24"/>
          <w:lang w:eastAsia="en-US"/>
        </w:rPr>
        <w:t>.</w:t>
      </w:r>
    </w:p>
    <w:p w14:paraId="79A5FE09" w14:textId="77777777" w:rsidR="000A7D83" w:rsidRPr="00B2369F" w:rsidRDefault="000A7D83" w:rsidP="000A7D83">
      <w:pPr>
        <w:tabs>
          <w:tab w:val="left" w:pos="426"/>
        </w:tabs>
        <w:autoSpaceDE w:val="0"/>
        <w:autoSpaceDN w:val="0"/>
        <w:adjustRightInd w:val="0"/>
        <w:rPr>
          <w:szCs w:val="24"/>
          <w:lang w:eastAsia="en-US"/>
        </w:rPr>
      </w:pPr>
      <w:r>
        <w:rPr>
          <w:szCs w:val="24"/>
          <w:lang w:eastAsia="en-US"/>
        </w:rPr>
        <w:tab/>
      </w:r>
      <w:r>
        <w:rPr>
          <w:szCs w:val="24"/>
          <w:lang w:eastAsia="en-US"/>
        </w:rPr>
        <w:tab/>
        <w:t xml:space="preserve">Освен задълженията за уведомяване на министъра на финансите и ЕК, </w:t>
      </w:r>
      <w:r w:rsidRPr="003C0AD2">
        <w:rPr>
          <w:b/>
          <w:szCs w:val="24"/>
          <w:lang w:eastAsia="en-US"/>
        </w:rPr>
        <w:t>администарторът на помощ</w:t>
      </w:r>
      <w:r>
        <w:rPr>
          <w:b/>
          <w:szCs w:val="24"/>
          <w:lang w:eastAsia="en-US"/>
        </w:rPr>
        <w:t xml:space="preserve"> </w:t>
      </w:r>
      <w:r w:rsidRPr="00B2369F">
        <w:rPr>
          <w:szCs w:val="24"/>
          <w:lang w:eastAsia="en-US"/>
        </w:rPr>
        <w:t>е длъжен да предостави на всеки</w:t>
      </w:r>
      <w:r>
        <w:rPr>
          <w:szCs w:val="24"/>
          <w:lang w:eastAsia="en-US"/>
        </w:rPr>
        <w:t xml:space="preserve"> получател на ДП или минимална помощ </w:t>
      </w:r>
      <w:r w:rsidRPr="003C0AD2">
        <w:rPr>
          <w:szCs w:val="24"/>
          <w:lang w:eastAsia="en-US"/>
        </w:rPr>
        <w:t xml:space="preserve">информация </w:t>
      </w:r>
      <w:r w:rsidRPr="00B2369F">
        <w:rPr>
          <w:b/>
          <w:szCs w:val="24"/>
          <w:lang w:eastAsia="en-US"/>
        </w:rPr>
        <w:t>за вида, размера, основанието за предостаяне и съвместимостта на помощта</w:t>
      </w:r>
      <w:r>
        <w:rPr>
          <w:b/>
          <w:szCs w:val="24"/>
          <w:lang w:eastAsia="en-US"/>
        </w:rPr>
        <w:t xml:space="preserve"> </w:t>
      </w:r>
      <w:r w:rsidRPr="00B2369F">
        <w:rPr>
          <w:i/>
          <w:szCs w:val="24"/>
          <w:lang w:eastAsia="en-US"/>
        </w:rPr>
        <w:t>(чл.16 от ЗДП)</w:t>
      </w:r>
      <w:r w:rsidRPr="00B2369F">
        <w:rPr>
          <w:b/>
          <w:szCs w:val="24"/>
          <w:lang w:eastAsia="en-US"/>
        </w:rPr>
        <w:t>.</w:t>
      </w:r>
      <w:r>
        <w:rPr>
          <w:szCs w:val="24"/>
          <w:lang w:eastAsia="en-US"/>
        </w:rPr>
        <w:t xml:space="preserve"> </w:t>
      </w:r>
    </w:p>
    <w:p w14:paraId="700F8ACA" w14:textId="77777777" w:rsidR="000A7D83" w:rsidRPr="00643202" w:rsidRDefault="000A7D83" w:rsidP="000A7D83">
      <w:pPr>
        <w:tabs>
          <w:tab w:val="left" w:pos="426"/>
        </w:tabs>
        <w:autoSpaceDE w:val="0"/>
        <w:autoSpaceDN w:val="0"/>
        <w:adjustRightInd w:val="0"/>
        <w:ind w:left="851"/>
        <w:rPr>
          <w:b/>
          <w:szCs w:val="24"/>
          <w:lang w:eastAsia="en-US"/>
        </w:rPr>
      </w:pPr>
    </w:p>
    <w:p w14:paraId="1F4C5A66" w14:textId="77777777" w:rsidR="000A7D83" w:rsidRPr="00643202" w:rsidRDefault="000A7D83" w:rsidP="000A7D83">
      <w:pPr>
        <w:pStyle w:val="ListParagraph"/>
        <w:shd w:val="clear" w:color="auto" w:fill="2E74B5" w:themeFill="accent1" w:themeFillShade="BF"/>
        <w:tabs>
          <w:tab w:val="left" w:pos="426"/>
        </w:tabs>
        <w:spacing w:line="259" w:lineRule="auto"/>
        <w:ind w:left="0" w:firstLine="567"/>
        <w:rPr>
          <w:b/>
          <w:color w:val="FFFFFF"/>
          <w:szCs w:val="24"/>
          <w:lang w:eastAsia="en-US"/>
        </w:rPr>
      </w:pPr>
      <w:r w:rsidRPr="00643202">
        <w:rPr>
          <w:b/>
          <w:color w:val="FFFFFF"/>
          <w:szCs w:val="24"/>
          <w:lang w:eastAsia="en-US"/>
        </w:rPr>
        <w:t>Важно задължение на администратора на помощ, освен да разработва мерките, е да не въвежда и да не предоставя държавна помощ до произнасяне на ЕК или мнистъра на финасите за мерките, попадащи  в обхвата на ОРГО</w:t>
      </w:r>
      <w:r w:rsidRPr="00842ECC">
        <w:rPr>
          <w:b/>
          <w:color w:val="FFFFFF"/>
          <w:szCs w:val="24"/>
          <w:lang w:eastAsia="en-US"/>
        </w:rPr>
        <w:t xml:space="preserve"> </w:t>
      </w:r>
      <w:r w:rsidRPr="00B2369F">
        <w:rPr>
          <w:b/>
          <w:i/>
          <w:color w:val="FFFFFF"/>
          <w:szCs w:val="24"/>
          <w:lang w:eastAsia="en-US"/>
        </w:rPr>
        <w:t>( чл.14</w:t>
      </w:r>
      <w:r w:rsidRPr="00842ECC">
        <w:rPr>
          <w:b/>
          <w:i/>
          <w:color w:val="FFFFFF"/>
          <w:szCs w:val="24"/>
          <w:lang w:eastAsia="en-US"/>
        </w:rPr>
        <w:t xml:space="preserve"> </w:t>
      </w:r>
      <w:r w:rsidRPr="00B2369F">
        <w:rPr>
          <w:b/>
          <w:i/>
          <w:color w:val="FFFFFF"/>
          <w:szCs w:val="24"/>
          <w:lang w:eastAsia="en-US"/>
        </w:rPr>
        <w:t>от ЗДП).</w:t>
      </w:r>
      <w:r w:rsidRPr="00643202">
        <w:rPr>
          <w:b/>
          <w:color w:val="FFFFFF"/>
          <w:szCs w:val="24"/>
          <w:lang w:eastAsia="en-US"/>
        </w:rPr>
        <w:t xml:space="preserve"> </w:t>
      </w:r>
    </w:p>
    <w:p w14:paraId="4F34CE00" w14:textId="77777777" w:rsidR="00D603F5" w:rsidRPr="001B0EA3" w:rsidRDefault="00D603F5" w:rsidP="00511860">
      <w:pPr>
        <w:spacing w:before="120"/>
        <w:rPr>
          <w:szCs w:val="22"/>
          <w:lang w:eastAsia="en-US"/>
        </w:rPr>
      </w:pPr>
      <w:r w:rsidRPr="001B0EA3">
        <w:rPr>
          <w:szCs w:val="22"/>
          <w:lang w:eastAsia="en-US"/>
        </w:rPr>
        <w:t xml:space="preserve">По ОПТТИ </w:t>
      </w:r>
      <w:r w:rsidR="000A7D83">
        <w:rPr>
          <w:b/>
          <w:szCs w:val="22"/>
          <w:lang w:eastAsia="en-US"/>
        </w:rPr>
        <w:t>а</w:t>
      </w:r>
      <w:r w:rsidR="000A7D83" w:rsidRPr="00A04F5C">
        <w:rPr>
          <w:b/>
          <w:szCs w:val="22"/>
          <w:lang w:eastAsia="en-US"/>
        </w:rPr>
        <w:t xml:space="preserve">дминистратор на помощ </w:t>
      </w:r>
      <w:r w:rsidRPr="001B0EA3">
        <w:rPr>
          <w:szCs w:val="22"/>
          <w:lang w:eastAsia="en-US"/>
        </w:rPr>
        <w:t>може да бъде:</w:t>
      </w:r>
    </w:p>
    <w:p w14:paraId="37CFB2C3" w14:textId="77777777" w:rsidR="000A7D83" w:rsidRPr="005B04E5" w:rsidRDefault="000A7D83" w:rsidP="000A7D83">
      <w:pPr>
        <w:pStyle w:val="ListParagraph"/>
        <w:numPr>
          <w:ilvl w:val="3"/>
          <w:numId w:val="148"/>
        </w:numPr>
        <w:ind w:left="0" w:firstLine="851"/>
        <w:rPr>
          <w:szCs w:val="22"/>
          <w:lang w:eastAsia="en-US"/>
        </w:rPr>
      </w:pPr>
      <w:r w:rsidRPr="005B04E5">
        <w:rPr>
          <w:szCs w:val="22"/>
          <w:lang w:eastAsia="en-US"/>
        </w:rPr>
        <w:lastRenderedPageBreak/>
        <w:t xml:space="preserve">УО на ОПТТИ, </w:t>
      </w:r>
      <w:r>
        <w:rPr>
          <w:szCs w:val="22"/>
          <w:lang w:eastAsia="en-US"/>
        </w:rPr>
        <w:t xml:space="preserve">в случаите, </w:t>
      </w:r>
      <w:r w:rsidRPr="005B04E5">
        <w:rPr>
          <w:szCs w:val="22"/>
          <w:lang w:eastAsia="en-US"/>
        </w:rPr>
        <w:t xml:space="preserve">когато </w:t>
      </w:r>
      <w:r>
        <w:rPr>
          <w:szCs w:val="22"/>
          <w:lang w:eastAsia="en-US"/>
        </w:rPr>
        <w:t xml:space="preserve">заключението по т.7.1.5 е, че чрез </w:t>
      </w:r>
      <w:r w:rsidRPr="005B04E5">
        <w:rPr>
          <w:szCs w:val="22"/>
          <w:lang w:eastAsia="en-US"/>
        </w:rPr>
        <w:t>БФП</w:t>
      </w:r>
      <w:r>
        <w:rPr>
          <w:szCs w:val="22"/>
          <w:lang w:eastAsia="en-US"/>
        </w:rPr>
        <w:t xml:space="preserve"> по проект, финансиран по ОПТТИ, се предоставя </w:t>
      </w:r>
      <w:r w:rsidRPr="005B04E5">
        <w:rPr>
          <w:szCs w:val="22"/>
          <w:lang w:eastAsia="en-US"/>
        </w:rPr>
        <w:t>ДП</w:t>
      </w:r>
      <w:r>
        <w:rPr>
          <w:szCs w:val="22"/>
          <w:lang w:eastAsia="en-US"/>
        </w:rPr>
        <w:t xml:space="preserve"> на бенефициент по ОПТТИ</w:t>
      </w:r>
      <w:r w:rsidRPr="005B04E5">
        <w:rPr>
          <w:szCs w:val="22"/>
          <w:lang w:eastAsia="en-US"/>
        </w:rPr>
        <w:t>; или</w:t>
      </w:r>
    </w:p>
    <w:p w14:paraId="3609B7BC" w14:textId="77777777" w:rsidR="000A7D83" w:rsidRDefault="000A7D83" w:rsidP="000A7D83">
      <w:pPr>
        <w:pStyle w:val="ListParagraph"/>
        <w:numPr>
          <w:ilvl w:val="3"/>
          <w:numId w:val="148"/>
        </w:numPr>
        <w:ind w:left="0" w:firstLine="851"/>
        <w:rPr>
          <w:szCs w:val="22"/>
          <w:lang w:eastAsia="en-US"/>
        </w:rPr>
      </w:pPr>
      <w:r w:rsidRPr="00643202">
        <w:rPr>
          <w:szCs w:val="22"/>
          <w:lang w:eastAsia="en-US"/>
        </w:rPr>
        <w:t>конкретен бенефициент по ОПТТИ</w:t>
      </w:r>
      <w:r>
        <w:rPr>
          <w:i/>
          <w:szCs w:val="22"/>
          <w:lang w:eastAsia="en-US"/>
        </w:rPr>
        <w:t xml:space="preserve"> </w:t>
      </w:r>
      <w:r w:rsidRPr="005B04E5">
        <w:rPr>
          <w:szCs w:val="22"/>
          <w:lang w:eastAsia="en-US"/>
        </w:rPr>
        <w:t xml:space="preserve">, </w:t>
      </w:r>
      <w:r w:rsidRPr="006C6B71">
        <w:rPr>
          <w:szCs w:val="22"/>
          <w:lang w:eastAsia="en-US"/>
        </w:rPr>
        <w:t>в случаите, когато заключението по т.7.1.5 е</w:t>
      </w:r>
      <w:r>
        <w:rPr>
          <w:szCs w:val="22"/>
          <w:lang w:eastAsia="en-US"/>
        </w:rPr>
        <w:t>,</w:t>
      </w:r>
      <w:r w:rsidRPr="006C6B71">
        <w:rPr>
          <w:szCs w:val="22"/>
          <w:lang w:eastAsia="en-US"/>
        </w:rPr>
        <w:t xml:space="preserve"> </w:t>
      </w:r>
      <w:r>
        <w:rPr>
          <w:szCs w:val="22"/>
          <w:lang w:eastAsia="en-US"/>
        </w:rPr>
        <w:t xml:space="preserve">че чрез </w:t>
      </w:r>
      <w:r w:rsidRPr="005B04E5">
        <w:rPr>
          <w:szCs w:val="22"/>
          <w:lang w:eastAsia="en-US"/>
        </w:rPr>
        <w:t>БФП</w:t>
      </w:r>
      <w:r>
        <w:rPr>
          <w:szCs w:val="22"/>
          <w:lang w:eastAsia="en-US"/>
        </w:rPr>
        <w:t xml:space="preserve"> по проект, финансиран по ОПТТИ</w:t>
      </w:r>
      <w:r w:rsidRPr="006C6B71">
        <w:rPr>
          <w:szCs w:val="22"/>
          <w:lang w:eastAsia="en-US"/>
        </w:rPr>
        <w:t xml:space="preserve"> се предоставя ДП</w:t>
      </w:r>
      <w:r>
        <w:rPr>
          <w:szCs w:val="22"/>
          <w:lang w:eastAsia="en-US"/>
        </w:rPr>
        <w:t xml:space="preserve">, например: </w:t>
      </w:r>
    </w:p>
    <w:p w14:paraId="2DDA796B" w14:textId="77777777" w:rsidR="000A7D83" w:rsidRPr="00643202" w:rsidRDefault="000A7D83" w:rsidP="000A7D83">
      <w:pPr>
        <w:pStyle w:val="ListParagraph"/>
        <w:numPr>
          <w:ilvl w:val="0"/>
          <w:numId w:val="148"/>
        </w:numPr>
        <w:ind w:left="0" w:firstLine="360"/>
        <w:rPr>
          <w:szCs w:val="22"/>
          <w:lang w:eastAsia="en-US"/>
        </w:rPr>
      </w:pPr>
      <w:r w:rsidRPr="00643202">
        <w:rPr>
          <w:i/>
          <w:szCs w:val="22"/>
          <w:lang w:eastAsia="en-US"/>
        </w:rPr>
        <w:t xml:space="preserve">когато е предвидено </w:t>
      </w:r>
      <w:r w:rsidRPr="00643202">
        <w:rPr>
          <w:b/>
          <w:i/>
          <w:szCs w:val="22"/>
          <w:lang w:eastAsia="en-US"/>
        </w:rPr>
        <w:t>резултата от проекта</w:t>
      </w:r>
      <w:r w:rsidRPr="00643202">
        <w:rPr>
          <w:i/>
          <w:szCs w:val="22"/>
          <w:lang w:eastAsia="en-US"/>
        </w:rPr>
        <w:t xml:space="preserve"> да се предостави на трето лице/предприятие</w:t>
      </w:r>
      <w:r>
        <w:rPr>
          <w:i/>
          <w:szCs w:val="22"/>
          <w:lang w:eastAsia="en-US"/>
        </w:rPr>
        <w:t xml:space="preserve"> за</w:t>
      </w:r>
      <w:r w:rsidRPr="00643202">
        <w:rPr>
          <w:i/>
          <w:szCs w:val="22"/>
          <w:lang w:eastAsia="en-US"/>
        </w:rPr>
        <w:t xml:space="preserve"> експлоатация </w:t>
      </w:r>
      <w:r w:rsidRPr="00356D52">
        <w:rPr>
          <w:i/>
          <w:szCs w:val="22"/>
          <w:lang w:eastAsia="en-US"/>
        </w:rPr>
        <w:t>на</w:t>
      </w:r>
      <w:r w:rsidRPr="00643202">
        <w:rPr>
          <w:b/>
          <w:i/>
          <w:szCs w:val="22"/>
          <w:lang w:eastAsia="en-US"/>
        </w:rPr>
        <w:t xml:space="preserve"> </w:t>
      </w:r>
      <w:r w:rsidRPr="00643202">
        <w:rPr>
          <w:i/>
          <w:szCs w:val="22"/>
          <w:lang w:eastAsia="en-US"/>
        </w:rPr>
        <w:t xml:space="preserve">инфраструктурата, която да се осъществява чрез икономическа дейност или </w:t>
      </w:r>
    </w:p>
    <w:p w14:paraId="3170DAB5" w14:textId="77777777" w:rsidR="000A7D83" w:rsidRPr="00643202" w:rsidRDefault="000A7D83" w:rsidP="000A7D83">
      <w:pPr>
        <w:pStyle w:val="ListParagraph"/>
        <w:numPr>
          <w:ilvl w:val="0"/>
          <w:numId w:val="148"/>
        </w:numPr>
        <w:ind w:left="0" w:firstLine="360"/>
        <w:rPr>
          <w:szCs w:val="22"/>
          <w:lang w:eastAsia="en-US"/>
        </w:rPr>
      </w:pPr>
      <w:r w:rsidRPr="00643202">
        <w:rPr>
          <w:i/>
          <w:szCs w:val="22"/>
          <w:lang w:eastAsia="en-US"/>
        </w:rPr>
        <w:t>изпълнението на проекта е възложено на изпълнител директно, без да е проведена открита, прозрачна и недискриминационна процедура за избор.</w:t>
      </w:r>
    </w:p>
    <w:p w14:paraId="51832D9E" w14:textId="77777777" w:rsidR="00563266" w:rsidRPr="001B0EA3" w:rsidRDefault="00563266" w:rsidP="00511860">
      <w:pPr>
        <w:rPr>
          <w:szCs w:val="22"/>
          <w:lang w:eastAsia="en-US"/>
        </w:rPr>
      </w:pPr>
      <w:r w:rsidRPr="001B0EA3">
        <w:rPr>
          <w:szCs w:val="22"/>
          <w:lang w:eastAsia="en-US"/>
        </w:rPr>
        <w:t xml:space="preserve">В случаите, когато мярката представлява непомощ (не е ДП), но при условие, че изпълнява определени предварително разписани изрични условия, също следва да бъде контролирана за съобразяването на същите, независимо, че органът който я предоставя, няма да се явява администратор по смисъла на дефиницията.   </w:t>
      </w:r>
    </w:p>
    <w:p w14:paraId="3079D466" w14:textId="77777777" w:rsidR="00563266" w:rsidRPr="001B0EA3" w:rsidRDefault="00563266" w:rsidP="00511860">
      <w:pPr>
        <w:pStyle w:val="ListParagraph"/>
        <w:ind w:left="851"/>
        <w:rPr>
          <w:szCs w:val="22"/>
          <w:lang w:eastAsia="en-US"/>
        </w:rPr>
      </w:pPr>
    </w:p>
    <w:p w14:paraId="4CD62A44" w14:textId="77777777" w:rsidR="00D603F5" w:rsidRPr="00842ECC" w:rsidRDefault="00D603F5" w:rsidP="00ED358C">
      <w:pPr>
        <w:pStyle w:val="Style3"/>
        <w:rPr>
          <w:lang w:val="bg-BG" w:eastAsia="en-US"/>
        </w:rPr>
      </w:pPr>
      <w:bookmarkStart w:id="430" w:name="_Toc479775591"/>
      <w:r w:rsidRPr="00842ECC">
        <w:rPr>
          <w:lang w:val="bg-BG" w:eastAsia="en-US"/>
        </w:rPr>
        <w:t>Попълване на  формуляр на уведомлението за ДП</w:t>
      </w:r>
      <w:bookmarkEnd w:id="430"/>
      <w:r w:rsidRPr="00842ECC">
        <w:rPr>
          <w:lang w:val="bg-BG" w:eastAsia="en-US"/>
        </w:rPr>
        <w:t xml:space="preserve"> </w:t>
      </w:r>
    </w:p>
    <w:p w14:paraId="4F204B0B" w14:textId="77777777" w:rsidR="000A7D83" w:rsidRDefault="000A7D83" w:rsidP="000A7D83">
      <w:pPr>
        <w:rPr>
          <w:szCs w:val="22"/>
          <w:lang w:eastAsia="en-US"/>
        </w:rPr>
      </w:pPr>
    </w:p>
    <w:p w14:paraId="24EBC4C2" w14:textId="77777777" w:rsidR="000A7D83" w:rsidRPr="00B2369F" w:rsidRDefault="000A7D83" w:rsidP="000A7D83">
      <w:pPr>
        <w:rPr>
          <w:i/>
          <w:szCs w:val="22"/>
          <w:lang w:eastAsia="en-US"/>
        </w:rPr>
      </w:pPr>
      <w:r w:rsidRPr="00B2369F">
        <w:rPr>
          <w:i/>
          <w:szCs w:val="22"/>
          <w:lang w:eastAsia="en-US"/>
        </w:rPr>
        <w:t>Формата и начина на предстаяне пред ЕК на уведомленията за ДП (УДП) са определени в глава трета на ПП ЗДП.</w:t>
      </w:r>
    </w:p>
    <w:p w14:paraId="03E7FF34" w14:textId="77777777" w:rsidR="000A7D83" w:rsidRDefault="000A7D83" w:rsidP="000A7D83">
      <w:pPr>
        <w:rPr>
          <w:szCs w:val="22"/>
          <w:lang w:eastAsia="en-US"/>
        </w:rPr>
      </w:pPr>
      <w:r w:rsidRPr="005B04E5">
        <w:rPr>
          <w:szCs w:val="22"/>
          <w:lang w:eastAsia="en-US"/>
        </w:rPr>
        <w:t xml:space="preserve">Съгласно разпоредбите на чл. </w:t>
      </w:r>
      <w:r>
        <w:rPr>
          <w:szCs w:val="22"/>
          <w:lang w:eastAsia="en-US"/>
        </w:rPr>
        <w:t>15</w:t>
      </w:r>
      <w:r w:rsidRPr="005B04E5">
        <w:rPr>
          <w:szCs w:val="22"/>
          <w:lang w:eastAsia="en-US"/>
        </w:rPr>
        <w:t xml:space="preserve">, ал. 1 от ЗДП </w:t>
      </w:r>
      <w:r>
        <w:rPr>
          <w:szCs w:val="22"/>
          <w:lang w:eastAsia="en-US"/>
        </w:rPr>
        <w:t>а</w:t>
      </w:r>
      <w:r w:rsidRPr="003C0AD2">
        <w:rPr>
          <w:szCs w:val="22"/>
          <w:lang w:val="x-none" w:eastAsia="en-US"/>
        </w:rPr>
        <w:t>дминистраторът на помощ е длъжен преди предоставяне на нова държавна помощ да уведоми министъра на финансите.</w:t>
      </w:r>
      <w:r>
        <w:rPr>
          <w:szCs w:val="22"/>
          <w:lang w:eastAsia="en-US"/>
        </w:rPr>
        <w:t xml:space="preserve"> </w:t>
      </w:r>
    </w:p>
    <w:p w14:paraId="76360E42" w14:textId="77777777" w:rsidR="000A7D83" w:rsidRDefault="000A7D83" w:rsidP="000A7D83">
      <w:pPr>
        <w:rPr>
          <w:szCs w:val="24"/>
        </w:rPr>
      </w:pPr>
      <w:r>
        <w:rPr>
          <w:szCs w:val="22"/>
          <w:lang w:eastAsia="en-US"/>
        </w:rPr>
        <w:t xml:space="preserve">Уведомлениета за ДП следва да съдържа </w:t>
      </w:r>
      <w:r>
        <w:rPr>
          <w:szCs w:val="24"/>
          <w:lang w:val="x-none"/>
        </w:rPr>
        <w:t>информация за целите, характеристиките, параметрите и условията за предоставяне на помощта. Уведомлението се изготвя и представя пред Европейската комисия от администратора на помощ чрез министъра на финансите</w:t>
      </w:r>
      <w:r>
        <w:rPr>
          <w:szCs w:val="24"/>
          <w:lang w:val="en-US"/>
        </w:rPr>
        <w:t xml:space="preserve"> </w:t>
      </w:r>
      <w:r>
        <w:rPr>
          <w:szCs w:val="24"/>
        </w:rPr>
        <w:t xml:space="preserve">(чл.22 от ЗДП). </w:t>
      </w:r>
    </w:p>
    <w:p w14:paraId="12CDE5CD" w14:textId="77777777" w:rsidR="000A7D83" w:rsidRPr="001B0EA3" w:rsidRDefault="000A7D83" w:rsidP="00511860">
      <w:pPr>
        <w:rPr>
          <w:szCs w:val="22"/>
          <w:lang w:eastAsia="en-US"/>
        </w:rPr>
      </w:pPr>
    </w:p>
    <w:p w14:paraId="7FF5ABA1" w14:textId="77777777" w:rsidR="00D603F5" w:rsidRPr="001B0EA3" w:rsidRDefault="00D603F5" w:rsidP="00511860">
      <w:pPr>
        <w:rPr>
          <w:szCs w:val="22"/>
          <w:lang w:eastAsia="en-US"/>
        </w:rPr>
      </w:pPr>
      <w:r w:rsidRPr="001B0EA3">
        <w:rPr>
          <w:szCs w:val="22"/>
          <w:lang w:eastAsia="en-US"/>
        </w:rPr>
        <w:t xml:space="preserve">След като е определен </w:t>
      </w:r>
      <w:r w:rsidR="000A7D83" w:rsidRPr="005B04E5">
        <w:rPr>
          <w:b/>
          <w:szCs w:val="22"/>
          <w:lang w:eastAsia="en-US"/>
        </w:rPr>
        <w:t>администратор</w:t>
      </w:r>
      <w:r w:rsidR="000A7D83">
        <w:rPr>
          <w:b/>
          <w:szCs w:val="22"/>
          <w:lang w:eastAsia="en-US"/>
        </w:rPr>
        <w:t>а</w:t>
      </w:r>
      <w:r w:rsidR="000A7D83" w:rsidRPr="005B04E5">
        <w:rPr>
          <w:b/>
          <w:szCs w:val="22"/>
          <w:lang w:eastAsia="en-US"/>
        </w:rPr>
        <w:t xml:space="preserve"> </w:t>
      </w:r>
      <w:r w:rsidRPr="001B0EA3">
        <w:rPr>
          <w:szCs w:val="22"/>
          <w:lang w:eastAsia="en-US"/>
        </w:rPr>
        <w:t xml:space="preserve">на помощта, той следва да разработи необходимата информация за попълване на формуляра на УДП, като се основна на информацията от проектното предложение с което се кандидатства за БФП по ОПТТИ.  </w:t>
      </w:r>
    </w:p>
    <w:p w14:paraId="0EC64E9B" w14:textId="77777777" w:rsidR="000A7D83" w:rsidRPr="00842ECC" w:rsidRDefault="00D603F5" w:rsidP="00511860">
      <w:pPr>
        <w:rPr>
          <w:szCs w:val="22"/>
          <w:lang w:eastAsia="en-US"/>
        </w:rPr>
      </w:pPr>
      <w:r w:rsidRPr="001B0EA3">
        <w:rPr>
          <w:szCs w:val="22"/>
          <w:lang w:eastAsia="en-US"/>
        </w:rPr>
        <w:t xml:space="preserve">В случай, че за </w:t>
      </w:r>
      <w:r w:rsidRPr="001B0EA3">
        <w:rPr>
          <w:b/>
          <w:szCs w:val="22"/>
          <w:lang w:eastAsia="en-US"/>
        </w:rPr>
        <w:t>администратор на помощта</w:t>
      </w:r>
      <w:r w:rsidRPr="001B0EA3">
        <w:rPr>
          <w:szCs w:val="22"/>
          <w:lang w:eastAsia="en-US"/>
        </w:rPr>
        <w:t xml:space="preserve"> е определен УО на ОПТТИ информацията по същността на проектното предложение се изготвя от</w:t>
      </w:r>
      <w:r w:rsidR="000A7D83" w:rsidRPr="00842ECC">
        <w:rPr>
          <w:szCs w:val="22"/>
          <w:lang w:eastAsia="en-US"/>
        </w:rPr>
        <w:t>:</w:t>
      </w:r>
    </w:p>
    <w:p w14:paraId="68C24162" w14:textId="77777777" w:rsidR="000A7D83" w:rsidRPr="00B03536" w:rsidRDefault="000A7D83" w:rsidP="000A7D83">
      <w:pPr>
        <w:ind w:firstLine="709"/>
        <w:rPr>
          <w:szCs w:val="22"/>
          <w:lang w:eastAsia="en-US"/>
        </w:rPr>
      </w:pPr>
      <w:r w:rsidRPr="00B03536">
        <w:rPr>
          <w:szCs w:val="22"/>
          <w:lang w:eastAsia="en-US"/>
        </w:rPr>
        <w:t>1)</w:t>
      </w:r>
      <w:r>
        <w:rPr>
          <w:szCs w:val="22"/>
          <w:lang w:eastAsia="en-US"/>
        </w:rPr>
        <w:t xml:space="preserve"> </w:t>
      </w:r>
      <w:r w:rsidRPr="00B03536">
        <w:rPr>
          <w:b/>
          <w:szCs w:val="22"/>
          <w:lang w:eastAsia="en-US"/>
        </w:rPr>
        <w:t>УО на ОПТТИ</w:t>
      </w:r>
      <w:r w:rsidRPr="00B03536">
        <w:rPr>
          <w:szCs w:val="22"/>
          <w:lang w:eastAsia="en-US"/>
        </w:rPr>
        <w:t xml:space="preserve"> при разработване на мерки/схеми за предостаяне на БФП, които включват ДП, преди да бъдат обявени – съгласуване на документите по чл. 26, ал.1 от ЗУСЕСИФ; </w:t>
      </w:r>
    </w:p>
    <w:p w14:paraId="7F534BD4" w14:textId="77777777" w:rsidR="00D603F5" w:rsidRPr="001B0EA3" w:rsidRDefault="000A7D83" w:rsidP="00511860">
      <w:pPr>
        <w:rPr>
          <w:szCs w:val="22"/>
          <w:lang w:eastAsia="en-US"/>
        </w:rPr>
      </w:pPr>
      <w:r>
        <w:rPr>
          <w:szCs w:val="22"/>
          <w:lang w:eastAsia="en-US"/>
        </w:rPr>
        <w:t xml:space="preserve">2) </w:t>
      </w:r>
      <w:r w:rsidRPr="00B03536">
        <w:rPr>
          <w:b/>
          <w:szCs w:val="22"/>
          <w:lang w:eastAsia="en-US"/>
        </w:rPr>
        <w:t>конкретен бенефициент по ОПТТИ</w:t>
      </w:r>
      <w:r w:rsidRPr="00B03536">
        <w:rPr>
          <w:szCs w:val="22"/>
          <w:lang w:eastAsia="en-US"/>
        </w:rPr>
        <w:t>, когато заключението по т.7.1.5 е, че чрез БФП по проек ще се предоставя ДП на бенефициент по ОПТТИ. В тези случаи информацията по същността на проктното предложение се изготвя от конкретен бенефициент по ОПТТИ, подал проектното предложение и се предоставя на</w:t>
      </w:r>
      <w:r w:rsidRPr="003E5E0F">
        <w:rPr>
          <w:rFonts w:ascii="Calibri" w:hAnsi="Calibri"/>
          <w:sz w:val="22"/>
          <w:szCs w:val="22"/>
          <w:lang w:eastAsia="en-US"/>
        </w:rPr>
        <w:t xml:space="preserve"> </w:t>
      </w:r>
      <w:r w:rsidRPr="00B03536">
        <w:rPr>
          <w:szCs w:val="22"/>
          <w:lang w:eastAsia="en-US"/>
        </w:rPr>
        <w:t>УО на ОПТТИ.</w:t>
      </w:r>
      <w:r w:rsidRPr="00B03536">
        <w:rPr>
          <w:i/>
          <w:szCs w:val="22"/>
          <w:lang w:eastAsia="en-US"/>
        </w:rPr>
        <w:t xml:space="preserve"> </w:t>
      </w:r>
      <w:r w:rsidRPr="00B03536">
        <w:rPr>
          <w:szCs w:val="22"/>
          <w:lang w:eastAsia="en-US"/>
        </w:rPr>
        <w:t>Упранляващия орган</w:t>
      </w:r>
      <w:r w:rsidRPr="00842ECC">
        <w:rPr>
          <w:szCs w:val="22"/>
          <w:lang w:eastAsia="en-US"/>
        </w:rPr>
        <w:t xml:space="preserve"> </w:t>
      </w:r>
      <w:r w:rsidR="00D603F5" w:rsidRPr="001B0EA3">
        <w:rPr>
          <w:szCs w:val="22"/>
          <w:lang w:eastAsia="en-US"/>
        </w:rPr>
        <w:t xml:space="preserve"> </w:t>
      </w:r>
      <w:r w:rsidR="002134FC" w:rsidRPr="001B0EA3">
        <w:rPr>
          <w:szCs w:val="22"/>
          <w:lang w:eastAsia="en-US"/>
        </w:rPr>
        <w:t xml:space="preserve">на ОПТТИ, при необходимост коригира (по същество или с технически корекции) информацията, получена от бенефициента, преди да я подаде за съгласуване до министъра на финансите, по предвидения в ЗДП ред, така че същата да съдържа всички общи и специфични условия, съобразно приложимия нормативен акт, по който се  прави уведомлението. </w:t>
      </w:r>
      <w:r w:rsidR="00D603F5" w:rsidRPr="001B0EA3">
        <w:rPr>
          <w:szCs w:val="22"/>
          <w:lang w:eastAsia="en-US"/>
        </w:rPr>
        <w:t>След като получи необходимата информация</w:t>
      </w:r>
      <w:r w:rsidR="00D603F5" w:rsidRPr="001B0EA3">
        <w:rPr>
          <w:i/>
          <w:szCs w:val="22"/>
          <w:lang w:eastAsia="en-US"/>
        </w:rPr>
        <w:t xml:space="preserve"> </w:t>
      </w:r>
      <w:r w:rsidR="00D603F5" w:rsidRPr="001B0EA3">
        <w:rPr>
          <w:szCs w:val="22"/>
          <w:lang w:eastAsia="en-US"/>
        </w:rPr>
        <w:t xml:space="preserve">УО на ОППТИ попълва формуляра на УДП в съответствие с </w:t>
      </w:r>
      <w:r w:rsidRPr="000A7D83">
        <w:rPr>
          <w:szCs w:val="22"/>
          <w:lang w:eastAsia="en-US"/>
        </w:rPr>
        <w:t xml:space="preserve">разпоредбите на </w:t>
      </w:r>
      <w:r w:rsidR="00D603F5" w:rsidRPr="001B0EA3">
        <w:rPr>
          <w:szCs w:val="22"/>
          <w:lang w:eastAsia="en-US"/>
        </w:rPr>
        <w:t>ППЗДП.</w:t>
      </w:r>
    </w:p>
    <w:p w14:paraId="3990EE31" w14:textId="77777777" w:rsidR="002134FC" w:rsidRPr="00842ECC" w:rsidRDefault="002134FC" w:rsidP="00ED358C">
      <w:pPr>
        <w:pStyle w:val="Style3"/>
        <w:rPr>
          <w:lang w:val="bg-BG" w:eastAsia="en-US"/>
        </w:rPr>
      </w:pPr>
      <w:bookmarkStart w:id="431" w:name="_Toc425170748"/>
      <w:bookmarkStart w:id="432" w:name="_Toc479775592"/>
      <w:bookmarkStart w:id="433" w:name="_Ref408991331"/>
      <w:r w:rsidRPr="00842ECC">
        <w:rPr>
          <w:lang w:val="bg-BG" w:eastAsia="en-US"/>
        </w:rPr>
        <w:t xml:space="preserve">Процедура на съгласуване на информация по уведомление в </w:t>
      </w:r>
      <w:bookmarkEnd w:id="431"/>
      <w:bookmarkEnd w:id="432"/>
      <w:r w:rsidR="00BB6BF6" w:rsidRPr="00842ECC">
        <w:rPr>
          <w:lang w:val="bg-BG" w:eastAsia="en-US"/>
        </w:rPr>
        <w:t>МТС</w:t>
      </w:r>
    </w:p>
    <w:p w14:paraId="080E901E" w14:textId="77777777" w:rsidR="00D603F5" w:rsidRDefault="00D603F5" w:rsidP="00511860">
      <w:pPr>
        <w:rPr>
          <w:szCs w:val="24"/>
          <w:lang w:eastAsia="en-US"/>
        </w:rPr>
      </w:pPr>
      <w:r w:rsidRPr="001B0EA3">
        <w:rPr>
          <w:szCs w:val="24"/>
          <w:lang w:eastAsia="en-US"/>
        </w:rPr>
        <w:t xml:space="preserve">В рамките на </w:t>
      </w:r>
      <w:r w:rsidR="00BB6BF6">
        <w:rPr>
          <w:szCs w:val="24"/>
          <w:lang w:eastAsia="en-US"/>
        </w:rPr>
        <w:t>МТС</w:t>
      </w:r>
      <w:r w:rsidRPr="001B0EA3">
        <w:rPr>
          <w:szCs w:val="24"/>
          <w:lang w:eastAsia="en-US"/>
        </w:rPr>
        <w:t xml:space="preserve"> информацията в подготвеното УДП се съгласува</w:t>
      </w:r>
      <w:r w:rsidR="002134FC" w:rsidRPr="001B0EA3">
        <w:rPr>
          <w:b/>
          <w:szCs w:val="24"/>
          <w:lang w:eastAsia="en-US"/>
        </w:rPr>
        <w:t xml:space="preserve"> както следва</w:t>
      </w:r>
      <w:r w:rsidRPr="001B0EA3">
        <w:rPr>
          <w:szCs w:val="24"/>
          <w:lang w:eastAsia="en-US"/>
        </w:rPr>
        <w:t>:</w:t>
      </w:r>
      <w:bookmarkEnd w:id="433"/>
    </w:p>
    <w:p w14:paraId="31BB78DC" w14:textId="77777777" w:rsidR="000A7D83" w:rsidRPr="00B03536" w:rsidRDefault="000A7D83" w:rsidP="000A7D83">
      <w:pPr>
        <w:pStyle w:val="ListParagraph"/>
        <w:numPr>
          <w:ilvl w:val="0"/>
          <w:numId w:val="280"/>
        </w:numPr>
        <w:ind w:left="0" w:firstLine="851"/>
        <w:rPr>
          <w:szCs w:val="24"/>
          <w:lang w:eastAsia="en-US"/>
        </w:rPr>
      </w:pPr>
      <w:r w:rsidRPr="00B03536">
        <w:rPr>
          <w:szCs w:val="24"/>
          <w:lang w:eastAsia="en-US"/>
        </w:rPr>
        <w:t xml:space="preserve">съгласуване на документите по чл. 26, ал.1 от ЗУСЕСИФ – </w:t>
      </w:r>
      <w:r w:rsidRPr="00B03536">
        <w:rPr>
          <w:i/>
          <w:szCs w:val="24"/>
          <w:lang w:eastAsia="en-US"/>
        </w:rPr>
        <w:t>подоробно е описано в т. 17.3</w:t>
      </w:r>
      <w:r>
        <w:rPr>
          <w:i/>
          <w:szCs w:val="24"/>
          <w:lang w:eastAsia="en-US"/>
        </w:rPr>
        <w:t>.1</w:t>
      </w:r>
      <w:r w:rsidRPr="00B03536">
        <w:rPr>
          <w:i/>
          <w:szCs w:val="24"/>
          <w:lang w:eastAsia="en-US"/>
        </w:rPr>
        <w:t xml:space="preserve">  от настоящия процедурен наръчник;</w:t>
      </w:r>
    </w:p>
    <w:p w14:paraId="00185EFA" w14:textId="77777777" w:rsidR="000A7D83" w:rsidRPr="00B03536" w:rsidRDefault="000A7D83" w:rsidP="000A7D83">
      <w:pPr>
        <w:pStyle w:val="ListParagraph"/>
        <w:ind w:left="851"/>
        <w:rPr>
          <w:szCs w:val="24"/>
          <w:lang w:eastAsia="en-US"/>
        </w:rPr>
      </w:pPr>
    </w:p>
    <w:p w14:paraId="42004223" w14:textId="77777777" w:rsidR="000A7D83" w:rsidRPr="00B03536" w:rsidRDefault="000A7D83" w:rsidP="000A7D83">
      <w:pPr>
        <w:pStyle w:val="ListParagraph"/>
        <w:numPr>
          <w:ilvl w:val="0"/>
          <w:numId w:val="280"/>
        </w:numPr>
        <w:ind w:left="0" w:firstLine="851"/>
        <w:rPr>
          <w:szCs w:val="24"/>
          <w:lang w:eastAsia="en-US"/>
        </w:rPr>
      </w:pPr>
      <w:r w:rsidRPr="00B03536">
        <w:rPr>
          <w:szCs w:val="24"/>
          <w:lang w:eastAsia="en-US"/>
        </w:rPr>
        <w:t xml:space="preserve">съгласуване </w:t>
      </w:r>
      <w:r w:rsidRPr="00337870">
        <w:rPr>
          <w:rFonts w:hint="eastAsia"/>
          <w:szCs w:val="24"/>
          <w:lang w:eastAsia="en-US"/>
        </w:rPr>
        <w:t>информацията</w:t>
      </w:r>
      <w:r w:rsidRPr="00337870">
        <w:rPr>
          <w:szCs w:val="24"/>
          <w:lang w:eastAsia="en-US"/>
        </w:rPr>
        <w:t xml:space="preserve"> </w:t>
      </w:r>
      <w:r w:rsidRPr="00337870">
        <w:rPr>
          <w:rFonts w:hint="eastAsia"/>
          <w:szCs w:val="24"/>
          <w:lang w:eastAsia="en-US"/>
        </w:rPr>
        <w:t>в</w:t>
      </w:r>
      <w:r w:rsidRPr="00337870">
        <w:rPr>
          <w:szCs w:val="24"/>
          <w:lang w:eastAsia="en-US"/>
        </w:rPr>
        <w:t xml:space="preserve"> </w:t>
      </w:r>
      <w:r w:rsidRPr="00337870">
        <w:rPr>
          <w:rFonts w:hint="eastAsia"/>
          <w:szCs w:val="24"/>
          <w:lang w:eastAsia="en-US"/>
        </w:rPr>
        <w:t>подготвеното</w:t>
      </w:r>
      <w:r w:rsidRPr="00337870">
        <w:rPr>
          <w:szCs w:val="24"/>
          <w:lang w:eastAsia="en-US"/>
        </w:rPr>
        <w:t xml:space="preserve"> </w:t>
      </w:r>
      <w:r w:rsidRPr="00337870">
        <w:rPr>
          <w:rFonts w:hint="eastAsia"/>
          <w:szCs w:val="24"/>
          <w:lang w:eastAsia="en-US"/>
        </w:rPr>
        <w:t>УДП</w:t>
      </w:r>
      <w:r>
        <w:rPr>
          <w:szCs w:val="24"/>
          <w:lang w:eastAsia="en-US"/>
        </w:rPr>
        <w:t xml:space="preserve"> по проект, финасиран по ОПТТИ с :</w:t>
      </w:r>
    </w:p>
    <w:p w14:paraId="1EF5FDBA" w14:textId="77777777" w:rsidR="000A7D83" w:rsidRPr="001B0EA3" w:rsidRDefault="000A7D83" w:rsidP="00511860">
      <w:pPr>
        <w:rPr>
          <w:szCs w:val="24"/>
          <w:lang w:eastAsia="en-US"/>
        </w:rPr>
      </w:pPr>
    </w:p>
    <w:p w14:paraId="5E1394D9" w14:textId="77777777" w:rsidR="00D603F5" w:rsidRPr="001B0EA3" w:rsidRDefault="00D603F5" w:rsidP="00511860">
      <w:pPr>
        <w:rPr>
          <w:szCs w:val="22"/>
          <w:lang w:eastAsia="en-US"/>
        </w:rPr>
      </w:pPr>
      <w:r w:rsidRPr="001B0EA3">
        <w:rPr>
          <w:szCs w:val="22"/>
          <w:lang w:eastAsia="en-US"/>
        </w:rPr>
        <w:t xml:space="preserve">а) дирекция от </w:t>
      </w:r>
      <w:r w:rsidR="00BB6BF6">
        <w:rPr>
          <w:szCs w:val="22"/>
          <w:lang w:eastAsia="en-US"/>
        </w:rPr>
        <w:t>МТС</w:t>
      </w:r>
      <w:r w:rsidRPr="001B0EA3">
        <w:rPr>
          <w:szCs w:val="22"/>
          <w:lang w:eastAsia="en-US"/>
        </w:rPr>
        <w:t xml:space="preserve">, която има пряка връзка с предоставянето на помощта </w:t>
      </w:r>
      <w:r w:rsidRPr="001B0EA3">
        <w:rPr>
          <w:i/>
          <w:szCs w:val="22"/>
          <w:lang w:eastAsia="en-US"/>
        </w:rPr>
        <w:t>(когато е приложимо)</w:t>
      </w:r>
      <w:r w:rsidRPr="001B0EA3">
        <w:rPr>
          <w:szCs w:val="22"/>
          <w:lang w:eastAsia="en-US"/>
        </w:rPr>
        <w:t>;</w:t>
      </w:r>
    </w:p>
    <w:p w14:paraId="30421F3A" w14:textId="77777777" w:rsidR="00D603F5" w:rsidRPr="001B0EA3" w:rsidRDefault="00D603F5" w:rsidP="00511860">
      <w:pPr>
        <w:rPr>
          <w:szCs w:val="22"/>
          <w:lang w:eastAsia="en-US"/>
        </w:rPr>
      </w:pPr>
      <w:r w:rsidRPr="001B0EA3">
        <w:rPr>
          <w:szCs w:val="22"/>
          <w:lang w:eastAsia="en-US"/>
        </w:rPr>
        <w:t xml:space="preserve">б) дирекция „Концесии и контрол върху дейността на търговските дружества и държавните предприятия“ в  случаите, когато е предвидено резултата от проекта </w:t>
      </w:r>
      <w:r w:rsidRPr="001B0EA3">
        <w:rPr>
          <w:i/>
          <w:szCs w:val="22"/>
          <w:lang w:eastAsia="en-US"/>
        </w:rPr>
        <w:t>(изградената инфраструктура)</w:t>
      </w:r>
      <w:r w:rsidRPr="001B0EA3">
        <w:rPr>
          <w:szCs w:val="22"/>
          <w:lang w:eastAsia="en-US"/>
        </w:rPr>
        <w:t xml:space="preserve"> да се експлоатира чрез предоставяне концесия; </w:t>
      </w:r>
    </w:p>
    <w:p w14:paraId="73B4B81A" w14:textId="77777777" w:rsidR="00D603F5" w:rsidRPr="001B0EA3" w:rsidRDefault="00D603F5" w:rsidP="00511860">
      <w:pPr>
        <w:rPr>
          <w:szCs w:val="22"/>
          <w:lang w:eastAsia="en-US"/>
        </w:rPr>
      </w:pPr>
      <w:r w:rsidRPr="001B0EA3">
        <w:rPr>
          <w:szCs w:val="22"/>
          <w:lang w:eastAsia="en-US"/>
        </w:rPr>
        <w:t>в) дирекция „Правна“.</w:t>
      </w:r>
    </w:p>
    <w:p w14:paraId="7707BAF2" w14:textId="77777777" w:rsidR="00D603F5" w:rsidRDefault="00D603F5" w:rsidP="00511860">
      <w:pPr>
        <w:spacing w:beforeLines="60" w:before="144" w:afterLines="60" w:after="144"/>
        <w:rPr>
          <w:szCs w:val="22"/>
          <w:lang w:eastAsia="en-US"/>
        </w:rPr>
      </w:pPr>
      <w:r w:rsidRPr="001B0EA3">
        <w:rPr>
          <w:szCs w:val="22"/>
          <w:lang w:eastAsia="en-US"/>
        </w:rPr>
        <w:t xml:space="preserve">След съгласуването от дирекция „Правна“ УДП се изпраща до МФ. Съгласно чл. </w:t>
      </w:r>
      <w:r w:rsidR="000A7D83" w:rsidRPr="00842ECC">
        <w:rPr>
          <w:szCs w:val="22"/>
          <w:lang w:eastAsia="en-US"/>
        </w:rPr>
        <w:t>4</w:t>
      </w:r>
      <w:r w:rsidR="000A7D83" w:rsidRPr="005B04E5">
        <w:rPr>
          <w:szCs w:val="22"/>
          <w:lang w:eastAsia="en-US"/>
        </w:rPr>
        <w:t xml:space="preserve">, ал. </w:t>
      </w:r>
      <w:r w:rsidR="000A7D83" w:rsidRPr="00842ECC">
        <w:rPr>
          <w:szCs w:val="22"/>
          <w:lang w:eastAsia="en-US"/>
        </w:rPr>
        <w:t>7</w:t>
      </w:r>
      <w:r w:rsidR="000A7D83" w:rsidRPr="005B04E5">
        <w:rPr>
          <w:szCs w:val="22"/>
          <w:lang w:eastAsia="en-US"/>
        </w:rPr>
        <w:t xml:space="preserve"> на ЗДП </w:t>
      </w:r>
      <w:r w:rsidR="000A7D83">
        <w:rPr>
          <w:szCs w:val="22"/>
          <w:lang w:eastAsia="en-US"/>
        </w:rPr>
        <w:t xml:space="preserve">уведомлениетазо за </w:t>
      </w:r>
      <w:r w:rsidR="000A7D83" w:rsidRPr="005B04E5">
        <w:rPr>
          <w:szCs w:val="22"/>
          <w:lang w:eastAsia="en-US"/>
        </w:rPr>
        <w:t xml:space="preserve">ДП се изпраща до МФ в електронна форма чрез </w:t>
      </w:r>
      <w:r w:rsidR="000A7D83">
        <w:rPr>
          <w:szCs w:val="22"/>
          <w:lang w:eastAsia="en-US"/>
        </w:rPr>
        <w:t xml:space="preserve">копие от </w:t>
      </w:r>
      <w:r w:rsidR="000A7D83" w:rsidRPr="005B04E5">
        <w:rPr>
          <w:szCs w:val="22"/>
          <w:lang w:eastAsia="en-US"/>
        </w:rPr>
        <w:t xml:space="preserve">системата </w:t>
      </w:r>
      <w:r w:rsidR="000A7D83" w:rsidRPr="005B04E5">
        <w:rPr>
          <w:szCs w:val="22"/>
          <w:lang w:val="en-GB" w:eastAsia="en-US"/>
        </w:rPr>
        <w:t>SANI</w:t>
      </w:r>
      <w:r w:rsidR="000A7D83">
        <w:rPr>
          <w:szCs w:val="22"/>
          <w:lang w:eastAsia="en-US"/>
        </w:rPr>
        <w:t xml:space="preserve"> </w:t>
      </w:r>
      <w:r w:rsidR="000A7D83" w:rsidRPr="0021199E">
        <w:rPr>
          <w:szCs w:val="22"/>
          <w:lang w:eastAsia="en-US"/>
        </w:rPr>
        <w:t>2</w:t>
      </w:r>
      <w:r w:rsidR="000A7D83" w:rsidRPr="00B03536">
        <w:rPr>
          <w:szCs w:val="22"/>
          <w:lang w:eastAsia="en-US"/>
        </w:rPr>
        <w:t xml:space="preserve"> и по официален път</w:t>
      </w:r>
      <w:r w:rsidR="000A7D83">
        <w:rPr>
          <w:i/>
          <w:szCs w:val="22"/>
          <w:lang w:eastAsia="en-US"/>
        </w:rPr>
        <w:t>.</w:t>
      </w:r>
    </w:p>
    <w:p w14:paraId="7E9BDFB4" w14:textId="77777777" w:rsidR="008A4483" w:rsidRPr="001B0EA3" w:rsidRDefault="008A4483" w:rsidP="00511860">
      <w:pPr>
        <w:spacing w:beforeLines="60" w:before="144" w:afterLines="60" w:after="144"/>
        <w:rPr>
          <w:szCs w:val="22"/>
          <w:lang w:eastAsia="en-US"/>
        </w:rPr>
      </w:pPr>
    </w:p>
    <w:p w14:paraId="3CE1FE18" w14:textId="77777777" w:rsidR="00D603F5" w:rsidRPr="001B0EA3" w:rsidRDefault="00D603F5" w:rsidP="00B502C7">
      <w:pPr>
        <w:pStyle w:val="Style2"/>
        <w:rPr>
          <w:lang w:eastAsia="bg-BG"/>
        </w:rPr>
      </w:pPr>
      <w:bookmarkStart w:id="434" w:name="_Ref408991440"/>
      <w:bookmarkStart w:id="435" w:name="_Toc479775593"/>
      <w:bookmarkStart w:id="436" w:name="_Toc140150184"/>
      <w:r w:rsidRPr="001B0EA3">
        <w:rPr>
          <w:lang w:eastAsia="bg-BG"/>
        </w:rPr>
        <w:t>Съгласуване с МФ</w:t>
      </w:r>
      <w:bookmarkEnd w:id="434"/>
      <w:bookmarkEnd w:id="435"/>
      <w:bookmarkEnd w:id="436"/>
      <w:r w:rsidRPr="001B0EA3">
        <w:rPr>
          <w:lang w:eastAsia="bg-BG"/>
        </w:rPr>
        <w:t xml:space="preserve"> </w:t>
      </w:r>
    </w:p>
    <w:p w14:paraId="44DDA261" w14:textId="77777777" w:rsidR="002134FC" w:rsidRPr="001B0EA3" w:rsidRDefault="002134FC" w:rsidP="00ED358C">
      <w:pPr>
        <w:pStyle w:val="Style3"/>
        <w:rPr>
          <w:lang w:eastAsia="en-US"/>
        </w:rPr>
      </w:pPr>
      <w:bookmarkStart w:id="437" w:name="_Toc431992125"/>
      <w:bookmarkStart w:id="438" w:name="_Toc432165857"/>
      <w:bookmarkStart w:id="439" w:name="_Toc431992126"/>
      <w:bookmarkStart w:id="440" w:name="_Toc432165858"/>
      <w:bookmarkStart w:id="441" w:name="_Toc431992127"/>
      <w:bookmarkStart w:id="442" w:name="_Toc432165859"/>
      <w:bookmarkStart w:id="443" w:name="_Toc431992128"/>
      <w:bookmarkStart w:id="444" w:name="_Toc432165860"/>
      <w:bookmarkStart w:id="445" w:name="_Toc479775594"/>
      <w:bookmarkEnd w:id="437"/>
      <w:bookmarkEnd w:id="438"/>
      <w:bookmarkEnd w:id="439"/>
      <w:bookmarkEnd w:id="440"/>
      <w:bookmarkEnd w:id="441"/>
      <w:bookmarkEnd w:id="442"/>
      <w:bookmarkEnd w:id="443"/>
      <w:bookmarkEnd w:id="444"/>
      <w:r w:rsidRPr="001B0EA3">
        <w:rPr>
          <w:lang w:eastAsia="en-US"/>
        </w:rPr>
        <w:t>Официално/ същинско</w:t>
      </w:r>
      <w:r w:rsidRPr="001B0EA3">
        <w:rPr>
          <w:rFonts w:ascii="Calibri" w:hAnsi="Calibri"/>
          <w:lang w:eastAsia="en-US"/>
        </w:rPr>
        <w:t xml:space="preserve"> с</w:t>
      </w:r>
      <w:r w:rsidRPr="001B0EA3">
        <w:rPr>
          <w:lang w:eastAsia="en-US"/>
        </w:rPr>
        <w:t>ъгласуване с МФ</w:t>
      </w:r>
      <w:bookmarkEnd w:id="445"/>
      <w:r w:rsidRPr="001B0EA3" w:rsidDel="002134FC">
        <w:rPr>
          <w:lang w:eastAsia="en-US"/>
        </w:rPr>
        <w:t xml:space="preserve"> </w:t>
      </w:r>
    </w:p>
    <w:p w14:paraId="05AB3DE8" w14:textId="77777777" w:rsidR="002134FC" w:rsidRPr="001B0EA3" w:rsidRDefault="002134FC" w:rsidP="00511860">
      <w:pPr>
        <w:spacing w:beforeLines="60" w:before="144" w:afterLines="60" w:after="144"/>
        <w:rPr>
          <w:szCs w:val="22"/>
          <w:lang w:eastAsia="en-US"/>
        </w:rPr>
      </w:pPr>
      <w:r w:rsidRPr="001B0EA3">
        <w:rPr>
          <w:szCs w:val="22"/>
          <w:lang w:eastAsia="en-US"/>
        </w:rPr>
        <w:t xml:space="preserve">За целите на уведомяването, подаването на УДП до ЕК се осъществява при спазване на процедурите за подаване на същинско уведомление по чл. </w:t>
      </w:r>
      <w:r w:rsidR="000A7D83" w:rsidRPr="00B2369F">
        <w:rPr>
          <w:i/>
          <w:szCs w:val="22"/>
          <w:lang w:eastAsia="en-US"/>
        </w:rPr>
        <w:t>22 от ЗДП и глава тр</w:t>
      </w:r>
      <w:r w:rsidR="00863760">
        <w:rPr>
          <w:i/>
          <w:szCs w:val="22"/>
          <w:lang w:val="en-US" w:eastAsia="en-US"/>
        </w:rPr>
        <w:t>e</w:t>
      </w:r>
      <w:r w:rsidR="000A7D83" w:rsidRPr="00B2369F">
        <w:rPr>
          <w:i/>
          <w:szCs w:val="22"/>
          <w:lang w:eastAsia="en-US"/>
        </w:rPr>
        <w:t>та от ПП</w:t>
      </w:r>
      <w:r w:rsidR="000A7D83" w:rsidRPr="001B0EA3" w:rsidDel="000A7D83">
        <w:rPr>
          <w:szCs w:val="22"/>
          <w:lang w:eastAsia="en-US"/>
        </w:rPr>
        <w:t xml:space="preserve"> </w:t>
      </w:r>
      <w:r w:rsidRPr="001B0EA3">
        <w:rPr>
          <w:szCs w:val="22"/>
          <w:lang w:eastAsia="en-US"/>
        </w:rPr>
        <w:t xml:space="preserve">ЗДП. </w:t>
      </w:r>
    </w:p>
    <w:p w14:paraId="15729885" w14:textId="77777777" w:rsidR="00863760" w:rsidRDefault="002134FC" w:rsidP="00511860">
      <w:pPr>
        <w:spacing w:beforeLines="60" w:before="144" w:afterLines="60" w:after="144"/>
        <w:rPr>
          <w:szCs w:val="22"/>
          <w:lang w:eastAsia="en-US"/>
        </w:rPr>
      </w:pPr>
      <w:r w:rsidRPr="001B0EA3">
        <w:rPr>
          <w:szCs w:val="22"/>
          <w:lang w:eastAsia="en-US"/>
        </w:rPr>
        <w:t xml:space="preserve">Елементите на мярката, минимално необходими за подаване на уведомление са посочените в система SANI </w:t>
      </w:r>
      <w:r w:rsidR="00863760" w:rsidRPr="00842ECC">
        <w:rPr>
          <w:szCs w:val="22"/>
          <w:lang w:eastAsia="en-US"/>
        </w:rPr>
        <w:t xml:space="preserve">2 </w:t>
      </w:r>
      <w:r w:rsidRPr="001B0EA3">
        <w:rPr>
          <w:szCs w:val="22"/>
          <w:lang w:eastAsia="en-US"/>
        </w:rPr>
        <w:t xml:space="preserve">и се базират на съдържанието на стандартизираните форми на ЕК (в приложение на Регламент № 794/2004) за същинско уведомяване. </w:t>
      </w:r>
    </w:p>
    <w:p w14:paraId="6851D25F" w14:textId="77777777" w:rsidR="002134FC" w:rsidRPr="001B0EA3" w:rsidRDefault="00863760" w:rsidP="00511860">
      <w:pPr>
        <w:spacing w:beforeLines="60" w:before="144" w:afterLines="60" w:after="144"/>
        <w:rPr>
          <w:szCs w:val="22"/>
          <w:lang w:eastAsia="en-US"/>
        </w:rPr>
      </w:pPr>
      <w:r>
        <w:rPr>
          <w:szCs w:val="22"/>
          <w:lang w:eastAsia="en-US"/>
        </w:rPr>
        <w:t>Министърът на финансите управлява (администрира) работата в системата</w:t>
      </w:r>
      <w:r w:rsidRPr="00784EA6">
        <w:rPr>
          <w:szCs w:val="22"/>
          <w:lang w:eastAsia="en-US"/>
        </w:rPr>
        <w:t xml:space="preserve"> SANI 2</w:t>
      </w:r>
      <w:r>
        <w:rPr>
          <w:szCs w:val="22"/>
          <w:lang w:eastAsia="en-US"/>
        </w:rPr>
        <w:t xml:space="preserve"> (чл. 4, ал.7 от ЗДП).</w:t>
      </w:r>
      <w:r w:rsidRPr="00842ECC">
        <w:rPr>
          <w:szCs w:val="22"/>
          <w:lang w:eastAsia="en-US"/>
        </w:rPr>
        <w:t xml:space="preserve"> </w:t>
      </w:r>
      <w:r w:rsidR="002134FC" w:rsidRPr="001B0EA3">
        <w:rPr>
          <w:szCs w:val="22"/>
          <w:lang w:eastAsia="en-US"/>
        </w:rPr>
        <w:t xml:space="preserve">Осигуряването на достъп до SANI </w:t>
      </w:r>
      <w:r w:rsidRPr="00842ECC">
        <w:rPr>
          <w:szCs w:val="22"/>
          <w:lang w:eastAsia="en-US"/>
        </w:rPr>
        <w:t xml:space="preserve">2 </w:t>
      </w:r>
      <w:r w:rsidR="002134FC" w:rsidRPr="001B0EA3">
        <w:rPr>
          <w:szCs w:val="22"/>
          <w:lang w:eastAsia="en-US"/>
        </w:rPr>
        <w:t xml:space="preserve">е по инициатива на администратора на помощта. </w:t>
      </w:r>
    </w:p>
    <w:p w14:paraId="26007F39" w14:textId="77777777" w:rsidR="002134FC" w:rsidRPr="001B0EA3" w:rsidRDefault="002134FC" w:rsidP="00863760">
      <w:pPr>
        <w:tabs>
          <w:tab w:val="left" w:pos="993"/>
        </w:tabs>
        <w:spacing w:beforeLines="60" w:before="144" w:afterLines="60" w:after="144"/>
        <w:rPr>
          <w:szCs w:val="22"/>
          <w:lang w:eastAsia="en-US"/>
        </w:rPr>
      </w:pPr>
      <w:r w:rsidRPr="001B0EA3">
        <w:rPr>
          <w:szCs w:val="22"/>
          <w:lang w:eastAsia="en-US"/>
        </w:rPr>
        <w:t xml:space="preserve">След като са уточнени всички детайли по предварителното уведомление са пристъпва към същинското съгласуване УДП. </w:t>
      </w:r>
    </w:p>
    <w:p w14:paraId="7C1D7915" w14:textId="77777777" w:rsidR="002134FC" w:rsidRPr="001B0EA3" w:rsidRDefault="002134FC" w:rsidP="00863760">
      <w:pPr>
        <w:tabs>
          <w:tab w:val="left" w:pos="993"/>
        </w:tabs>
        <w:spacing w:beforeLines="60" w:before="144" w:afterLines="60" w:after="144"/>
        <w:rPr>
          <w:b/>
          <w:szCs w:val="22"/>
          <w:lang w:eastAsia="en-US"/>
        </w:rPr>
      </w:pPr>
      <w:r w:rsidRPr="001B0EA3">
        <w:rPr>
          <w:szCs w:val="22"/>
          <w:lang w:eastAsia="en-US"/>
        </w:rPr>
        <w:t xml:space="preserve">За попълването на УДП и съгласуването му в рамките на </w:t>
      </w:r>
      <w:r w:rsidR="00BB6BF6">
        <w:rPr>
          <w:szCs w:val="22"/>
          <w:lang w:eastAsia="en-US"/>
        </w:rPr>
        <w:t>МТС</w:t>
      </w:r>
      <w:r w:rsidRPr="001B0EA3">
        <w:rPr>
          <w:szCs w:val="22"/>
          <w:lang w:eastAsia="en-US"/>
        </w:rPr>
        <w:t xml:space="preserve"> се прилагат разписаните процедури в </w:t>
      </w:r>
      <w:r w:rsidRPr="001B0EA3">
        <w:rPr>
          <w:b/>
          <w:szCs w:val="22"/>
          <w:lang w:eastAsia="en-US"/>
        </w:rPr>
        <w:t>т. 8.1</w:t>
      </w:r>
      <w:r w:rsidR="00863760" w:rsidRPr="00842ECC">
        <w:rPr>
          <w:b/>
          <w:szCs w:val="22"/>
          <w:lang w:eastAsia="en-US"/>
        </w:rPr>
        <w:t>.3</w:t>
      </w:r>
      <w:r w:rsidRPr="001B0EA3">
        <w:rPr>
          <w:b/>
          <w:szCs w:val="22"/>
          <w:lang w:eastAsia="en-US"/>
        </w:rPr>
        <w:t>.</w:t>
      </w:r>
    </w:p>
    <w:p w14:paraId="11BB107F" w14:textId="77777777" w:rsidR="002134FC" w:rsidRDefault="00863760" w:rsidP="00863760">
      <w:pPr>
        <w:tabs>
          <w:tab w:val="left" w:pos="993"/>
        </w:tabs>
        <w:spacing w:beforeLines="60" w:before="144" w:afterLines="60" w:after="144"/>
        <w:rPr>
          <w:szCs w:val="22"/>
          <w:lang w:eastAsia="en-US"/>
        </w:rPr>
      </w:pPr>
      <w:r>
        <w:rPr>
          <w:szCs w:val="22"/>
          <w:lang w:eastAsia="en-US"/>
        </w:rPr>
        <w:t xml:space="preserve">В тази връзка е </w:t>
      </w:r>
      <w:r w:rsidRPr="007A2935">
        <w:rPr>
          <w:szCs w:val="22"/>
          <w:lang w:eastAsia="en-US"/>
        </w:rPr>
        <w:t xml:space="preserve">необходимо УО </w:t>
      </w:r>
      <w:r>
        <w:rPr>
          <w:szCs w:val="22"/>
          <w:lang w:eastAsia="en-US"/>
        </w:rPr>
        <w:t xml:space="preserve">на ОПТТИ </w:t>
      </w:r>
      <w:r w:rsidRPr="007A2935">
        <w:rPr>
          <w:szCs w:val="22"/>
          <w:lang w:eastAsia="en-US"/>
        </w:rPr>
        <w:t xml:space="preserve">да </w:t>
      </w:r>
      <w:r>
        <w:rPr>
          <w:szCs w:val="22"/>
          <w:lang w:eastAsia="en-US"/>
        </w:rPr>
        <w:t>се</w:t>
      </w:r>
      <w:r w:rsidR="002134FC" w:rsidRPr="001B0EA3">
        <w:rPr>
          <w:szCs w:val="22"/>
          <w:lang w:eastAsia="en-US"/>
        </w:rPr>
        <w:t>съобрази с нормативно определените  сроковете, като предвиди достатъчно време за съгласуване и при необходимост за отразяване на бележки и предложения на МФ. Също така УО следва да предвиди технологично време за осигуряване на достъп до системите за уведомяване.</w:t>
      </w:r>
    </w:p>
    <w:p w14:paraId="507480F9" w14:textId="77777777" w:rsidR="00863760" w:rsidRPr="00875328" w:rsidRDefault="00863760" w:rsidP="00863760">
      <w:pPr>
        <w:tabs>
          <w:tab w:val="left" w:pos="993"/>
        </w:tabs>
        <w:spacing w:beforeLines="60" w:before="144" w:afterLines="60" w:after="144"/>
        <w:rPr>
          <w:szCs w:val="22"/>
          <w:lang w:eastAsia="en-US"/>
        </w:rPr>
      </w:pPr>
      <w:r w:rsidRPr="00875328">
        <w:rPr>
          <w:szCs w:val="22"/>
          <w:lang w:eastAsia="en-US"/>
        </w:rPr>
        <w:t xml:space="preserve">Съгласуване на документите по чл. 26, ал.1 от ЗУСЕСИФ (Насоки за кандидастване и Условия за изпълнение на проектите по ОПТТИ), както и за проекти, за които има предпоставки, че съдържат ДП </w:t>
      </w:r>
      <w:r w:rsidRPr="00356D52">
        <w:rPr>
          <w:i/>
          <w:szCs w:val="22"/>
          <w:lang w:eastAsia="en-US"/>
        </w:rPr>
        <w:t>(на основание извършената предварителната оценка)</w:t>
      </w:r>
      <w:r w:rsidRPr="00875328">
        <w:rPr>
          <w:szCs w:val="22"/>
          <w:lang w:eastAsia="en-US"/>
        </w:rPr>
        <w:t xml:space="preserve"> се извършва по Наредба № 4 от 22.07.2016 г. за определяне на реда на съгласуване на документи по чл. 26, ал.1 от ЗУСЕСИФ.</w:t>
      </w:r>
    </w:p>
    <w:p w14:paraId="2084AA13" w14:textId="77777777" w:rsidR="00863760" w:rsidRPr="00875328" w:rsidRDefault="00863760" w:rsidP="00863760">
      <w:pPr>
        <w:tabs>
          <w:tab w:val="left" w:pos="993"/>
        </w:tabs>
        <w:spacing w:beforeLines="60" w:before="144" w:afterLines="60" w:after="144"/>
        <w:rPr>
          <w:szCs w:val="22"/>
          <w:lang w:eastAsia="en-US"/>
        </w:rPr>
      </w:pPr>
      <w:r w:rsidRPr="00875328">
        <w:rPr>
          <w:szCs w:val="22"/>
          <w:lang w:eastAsia="en-US"/>
        </w:rPr>
        <w:t xml:space="preserve">Редът за изготвяне и утвърждаване на документите по по чл. 26, ал.1 от ЗУСЕСИФ </w:t>
      </w:r>
      <w:r w:rsidRPr="00356D52">
        <w:rPr>
          <w:i/>
          <w:szCs w:val="22"/>
          <w:lang w:eastAsia="en-US"/>
        </w:rPr>
        <w:t>(Насоки за кандидастване и Условия за изпълнение на проектите по ОПТТИ)</w:t>
      </w:r>
      <w:r w:rsidRPr="00875328">
        <w:rPr>
          <w:szCs w:val="22"/>
          <w:lang w:eastAsia="en-US"/>
        </w:rPr>
        <w:t xml:space="preserve"> е определен по долу в т. 17.3.1. от ностоящия процедурен нарърник.</w:t>
      </w:r>
    </w:p>
    <w:p w14:paraId="1C7D57AC" w14:textId="77777777" w:rsidR="00863760" w:rsidRPr="001B0EA3" w:rsidRDefault="00863760" w:rsidP="00511860">
      <w:pPr>
        <w:tabs>
          <w:tab w:val="left" w:pos="993"/>
        </w:tabs>
        <w:spacing w:beforeLines="60" w:before="144" w:afterLines="60" w:after="144"/>
        <w:rPr>
          <w:szCs w:val="22"/>
          <w:lang w:eastAsia="en-US"/>
        </w:rPr>
      </w:pPr>
    </w:p>
    <w:p w14:paraId="0F9920E1" w14:textId="77777777" w:rsidR="00D603F5" w:rsidRPr="00842ECC" w:rsidRDefault="002134FC" w:rsidP="00ED358C">
      <w:pPr>
        <w:pStyle w:val="Style3"/>
        <w:rPr>
          <w:lang w:val="bg-BG" w:eastAsia="en-US"/>
        </w:rPr>
      </w:pPr>
      <w:bookmarkStart w:id="446" w:name="_Toc431992130"/>
      <w:bookmarkStart w:id="447" w:name="_Toc432165862"/>
      <w:bookmarkStart w:id="448" w:name="_Toc425170750"/>
      <w:bookmarkStart w:id="449" w:name="_Toc479775595"/>
      <w:bookmarkEnd w:id="446"/>
      <w:bookmarkEnd w:id="447"/>
      <w:r w:rsidRPr="00842ECC">
        <w:rPr>
          <w:lang w:val="bg-BG" w:eastAsia="en-US"/>
        </w:rPr>
        <w:t>Съгласуване с МФ при последващи действия</w:t>
      </w:r>
      <w:bookmarkEnd w:id="448"/>
      <w:bookmarkEnd w:id="449"/>
    </w:p>
    <w:p w14:paraId="008EFE7B" w14:textId="77777777" w:rsidR="002134FC" w:rsidRPr="001B0EA3" w:rsidRDefault="002134FC" w:rsidP="00ED358C">
      <w:pPr>
        <w:pStyle w:val="Style4"/>
        <w:rPr>
          <w:lang w:eastAsia="en-US"/>
        </w:rPr>
      </w:pPr>
      <w:bookmarkStart w:id="450" w:name="_Toc425170751"/>
      <w:bookmarkStart w:id="451" w:name="_Toc479775596"/>
      <w:r w:rsidRPr="001B0EA3">
        <w:rPr>
          <w:lang w:eastAsia="en-US"/>
        </w:rPr>
        <w:t>Изпълнение на допълнителни условия</w:t>
      </w:r>
      <w:bookmarkEnd w:id="450"/>
      <w:bookmarkEnd w:id="451"/>
    </w:p>
    <w:p w14:paraId="08C564A4" w14:textId="77777777" w:rsidR="00D603F5" w:rsidRPr="001B0EA3" w:rsidRDefault="00D603F5" w:rsidP="00511860">
      <w:pPr>
        <w:spacing w:beforeLines="60" w:before="144" w:afterLines="60" w:after="144"/>
        <w:rPr>
          <w:szCs w:val="22"/>
          <w:lang w:eastAsia="en-US"/>
        </w:rPr>
      </w:pPr>
      <w:r w:rsidRPr="001B0EA3">
        <w:rPr>
          <w:szCs w:val="22"/>
          <w:lang w:eastAsia="en-US"/>
        </w:rPr>
        <w:t xml:space="preserve">В настоящия наръчник УО </w:t>
      </w:r>
      <w:r w:rsidR="00863760">
        <w:rPr>
          <w:szCs w:val="22"/>
          <w:lang w:eastAsia="en-US"/>
        </w:rPr>
        <w:t xml:space="preserve">на ОПТТИ </w:t>
      </w:r>
      <w:r w:rsidRPr="001B0EA3">
        <w:rPr>
          <w:szCs w:val="22"/>
          <w:lang w:eastAsia="en-US"/>
        </w:rPr>
        <w:t>е включил и ангажименти свързани със създаване на необходимата организация</w:t>
      </w:r>
      <w:r w:rsidR="00863760">
        <w:rPr>
          <w:szCs w:val="22"/>
          <w:lang w:val="en-US" w:eastAsia="en-US"/>
        </w:rPr>
        <w:t>, както</w:t>
      </w:r>
      <w:r w:rsidRPr="001B0EA3">
        <w:rPr>
          <w:szCs w:val="22"/>
          <w:lang w:eastAsia="en-US"/>
        </w:rPr>
        <w:t xml:space="preserve"> за коректно прилагане на подлежаща на уведомяване помощ</w:t>
      </w:r>
      <w:r w:rsidR="00863760">
        <w:rPr>
          <w:szCs w:val="22"/>
          <w:lang w:eastAsia="en-US"/>
        </w:rPr>
        <w:t>, така</w:t>
      </w:r>
      <w:r w:rsidRPr="001B0EA3">
        <w:rPr>
          <w:szCs w:val="22"/>
          <w:lang w:eastAsia="en-US"/>
        </w:rPr>
        <w:t xml:space="preserve"> и за изпълнение на конкретни условия по решенията на ЕК. </w:t>
      </w:r>
    </w:p>
    <w:p w14:paraId="17B2A4A6" w14:textId="77777777" w:rsidR="00D603F5" w:rsidRPr="001B0EA3" w:rsidRDefault="00D603F5" w:rsidP="00511860">
      <w:pPr>
        <w:spacing w:beforeLines="60" w:before="144" w:afterLines="60" w:after="144"/>
        <w:rPr>
          <w:szCs w:val="22"/>
          <w:lang w:eastAsia="en-US"/>
        </w:rPr>
      </w:pPr>
      <w:r w:rsidRPr="001B0EA3">
        <w:rPr>
          <w:szCs w:val="22"/>
          <w:lang w:eastAsia="en-US"/>
        </w:rPr>
        <w:lastRenderedPageBreak/>
        <w:t xml:space="preserve">Решенията </w:t>
      </w:r>
      <w:r w:rsidR="00863760" w:rsidRPr="005B04E5">
        <w:rPr>
          <w:szCs w:val="22"/>
          <w:lang w:eastAsia="en-US"/>
        </w:rPr>
        <w:t xml:space="preserve">по </w:t>
      </w:r>
      <w:r w:rsidR="00863760">
        <w:rPr>
          <w:szCs w:val="22"/>
          <w:lang w:eastAsia="en-US"/>
        </w:rPr>
        <w:t xml:space="preserve">чл. 24 от ЗДП </w:t>
      </w:r>
      <w:r w:rsidR="00863760" w:rsidRPr="00B2369F">
        <w:rPr>
          <w:i/>
          <w:szCs w:val="22"/>
          <w:lang w:eastAsia="en-US"/>
        </w:rPr>
        <w:t>(чл. 4, чл. 6, чл. 12 и чл. 13 от Регламент № 2015/1589</w:t>
      </w:r>
      <w:r w:rsidR="00863760" w:rsidRPr="00B2369F">
        <w:rPr>
          <w:i/>
          <w:szCs w:val="22"/>
          <w:vertAlign w:val="superscript"/>
          <w:lang w:eastAsia="en-US"/>
        </w:rPr>
        <w:t xml:space="preserve"> </w:t>
      </w:r>
      <w:r w:rsidR="00863760" w:rsidRPr="00B2369F">
        <w:rPr>
          <w:i/>
          <w:szCs w:val="22"/>
          <w:vertAlign w:val="superscript"/>
          <w:lang w:eastAsia="en-US"/>
        </w:rPr>
        <w:footnoteReference w:id="35"/>
      </w:r>
      <w:r w:rsidR="00863760" w:rsidRPr="00B2369F">
        <w:rPr>
          <w:i/>
          <w:szCs w:val="22"/>
          <w:lang w:eastAsia="en-US"/>
        </w:rPr>
        <w:t>)</w:t>
      </w:r>
      <w:r w:rsidR="00863760">
        <w:rPr>
          <w:szCs w:val="22"/>
          <w:lang w:eastAsia="en-US"/>
        </w:rPr>
        <w:t xml:space="preserve"> </w:t>
      </w:r>
      <w:r w:rsidRPr="001B0EA3">
        <w:rPr>
          <w:szCs w:val="22"/>
          <w:lang w:eastAsia="en-US"/>
        </w:rPr>
        <w:t xml:space="preserve">могат да са, както свързани със същността на мярката (условия налагащи промяна, с цел да се осигури съвместимост), така и с изпълнение на определени процедурни или последващи задължения от страна на администратора (в т. ч. непредоставяне на помощ, спиране на помощ, ангажименти по специфичен доклад, оценка на ефекта и пр.). </w:t>
      </w:r>
    </w:p>
    <w:p w14:paraId="3B6334B5" w14:textId="77777777" w:rsidR="00D603F5" w:rsidRPr="001B0EA3" w:rsidRDefault="00D603F5" w:rsidP="00511860">
      <w:pPr>
        <w:spacing w:beforeLines="60" w:before="144" w:afterLines="60" w:after="144"/>
        <w:rPr>
          <w:b/>
          <w:szCs w:val="22"/>
          <w:lang w:eastAsia="en-US"/>
        </w:rPr>
      </w:pPr>
      <w:r w:rsidRPr="001B0EA3">
        <w:rPr>
          <w:szCs w:val="22"/>
          <w:lang w:eastAsia="en-US"/>
        </w:rPr>
        <w:t xml:space="preserve">С оглед на факта, че към момента на планиране/уведомяване за мярката не могат да бъдат предварително ясни условията, които ЕК би поставила, следва се спазват общо формулирани разпоредби, които </w:t>
      </w:r>
      <w:r w:rsidRPr="001B0EA3">
        <w:rPr>
          <w:b/>
          <w:szCs w:val="22"/>
          <w:lang w:eastAsia="en-US"/>
        </w:rPr>
        <w:t>ангажират УО:</w:t>
      </w:r>
    </w:p>
    <w:p w14:paraId="67E9CF04" w14:textId="77777777" w:rsidR="00D603F5" w:rsidRPr="001B0EA3" w:rsidRDefault="00D603F5" w:rsidP="0054623A">
      <w:pPr>
        <w:numPr>
          <w:ilvl w:val="0"/>
          <w:numId w:val="149"/>
        </w:numPr>
        <w:tabs>
          <w:tab w:val="left" w:pos="1134"/>
        </w:tabs>
        <w:ind w:left="0" w:firstLine="851"/>
        <w:rPr>
          <w:szCs w:val="22"/>
          <w:lang w:eastAsia="en-US"/>
        </w:rPr>
      </w:pPr>
      <w:r w:rsidRPr="001B0EA3">
        <w:rPr>
          <w:b/>
          <w:szCs w:val="22"/>
          <w:lang w:eastAsia="en-US"/>
        </w:rPr>
        <w:t>да не предоставя помощ до произнасяне на ЕК с решение</w:t>
      </w:r>
      <w:r w:rsidRPr="001B0EA3">
        <w:rPr>
          <w:szCs w:val="22"/>
          <w:lang w:eastAsia="en-US"/>
        </w:rPr>
        <w:t xml:space="preserve">, </w:t>
      </w:r>
      <w:r w:rsidRPr="001B0EA3">
        <w:rPr>
          <w:b/>
          <w:szCs w:val="22"/>
          <w:lang w:eastAsia="en-US"/>
        </w:rPr>
        <w:t xml:space="preserve">(„stand still clause” </w:t>
      </w:r>
      <w:r w:rsidRPr="001B0EA3">
        <w:rPr>
          <w:szCs w:val="22"/>
          <w:lang w:eastAsia="en-US"/>
        </w:rPr>
        <w:t xml:space="preserve">по чл. 3 от </w:t>
      </w:r>
      <w:r w:rsidR="00863760" w:rsidRPr="00CF32CE">
        <w:rPr>
          <w:szCs w:val="22"/>
          <w:lang w:eastAsia="en-US"/>
        </w:rPr>
        <w:t xml:space="preserve">Регламент </w:t>
      </w:r>
      <w:r w:rsidR="00863760">
        <w:rPr>
          <w:szCs w:val="22"/>
          <w:lang w:eastAsia="en-US"/>
        </w:rPr>
        <w:t xml:space="preserve">№ </w:t>
      </w:r>
      <w:r w:rsidR="00863760" w:rsidRPr="006E4F61">
        <w:rPr>
          <w:i/>
          <w:szCs w:val="22"/>
          <w:lang w:eastAsia="en-US"/>
        </w:rPr>
        <w:t>2015/1589</w:t>
      </w:r>
      <w:r w:rsidR="00863760" w:rsidRPr="00CF32CE">
        <w:rPr>
          <w:i/>
          <w:szCs w:val="22"/>
          <w:lang w:eastAsia="en-US"/>
        </w:rPr>
        <w:t xml:space="preserve"> и чл.14 от ЗДП)</w:t>
      </w:r>
      <w:r w:rsidR="00863760" w:rsidRPr="00CF32CE">
        <w:rPr>
          <w:szCs w:val="22"/>
          <w:lang w:eastAsia="en-US"/>
        </w:rPr>
        <w:t>;</w:t>
      </w:r>
    </w:p>
    <w:p w14:paraId="0FB7CB16" w14:textId="77777777" w:rsidR="00D603F5" w:rsidRPr="001B0EA3" w:rsidRDefault="00D603F5" w:rsidP="0054623A">
      <w:pPr>
        <w:numPr>
          <w:ilvl w:val="0"/>
          <w:numId w:val="149"/>
        </w:numPr>
        <w:tabs>
          <w:tab w:val="left" w:pos="1134"/>
        </w:tabs>
        <w:ind w:left="0" w:firstLine="851"/>
        <w:rPr>
          <w:szCs w:val="22"/>
          <w:lang w:eastAsia="en-US"/>
        </w:rPr>
      </w:pPr>
      <w:r w:rsidRPr="001B0EA3">
        <w:rPr>
          <w:szCs w:val="22"/>
          <w:lang w:eastAsia="en-US"/>
        </w:rPr>
        <w:t xml:space="preserve"> да осигури в адекватни срокове искана от ЕК допълнителна информация</w:t>
      </w:r>
      <w:r w:rsidR="00863760">
        <w:rPr>
          <w:szCs w:val="22"/>
          <w:lang w:eastAsia="en-US"/>
        </w:rPr>
        <w:t xml:space="preserve"> </w:t>
      </w:r>
      <w:r w:rsidR="00863760" w:rsidRPr="00515A39">
        <w:rPr>
          <w:szCs w:val="22"/>
          <w:lang w:eastAsia="en-US"/>
        </w:rPr>
        <w:t xml:space="preserve">(чл. 24, ал. </w:t>
      </w:r>
      <w:r w:rsidR="00863760">
        <w:rPr>
          <w:szCs w:val="22"/>
          <w:lang w:eastAsia="en-US"/>
        </w:rPr>
        <w:t>2 и 3</w:t>
      </w:r>
      <w:r w:rsidR="00863760" w:rsidRPr="00515A39">
        <w:rPr>
          <w:szCs w:val="22"/>
          <w:lang w:eastAsia="en-US"/>
        </w:rPr>
        <w:t xml:space="preserve"> от ЗДП)</w:t>
      </w:r>
      <w:r w:rsidRPr="001B0EA3">
        <w:rPr>
          <w:szCs w:val="22"/>
          <w:lang w:eastAsia="en-US"/>
        </w:rPr>
        <w:t>;</w:t>
      </w:r>
    </w:p>
    <w:p w14:paraId="18F6BD6C" w14:textId="77777777" w:rsidR="002134FC" w:rsidRPr="001B0EA3" w:rsidRDefault="00D603F5" w:rsidP="00511860">
      <w:pPr>
        <w:tabs>
          <w:tab w:val="left" w:pos="709"/>
          <w:tab w:val="left" w:pos="851"/>
        </w:tabs>
        <w:spacing w:beforeLines="60" w:before="144" w:afterLines="60" w:after="144"/>
        <w:ind w:firstLine="993"/>
        <w:rPr>
          <w:szCs w:val="22"/>
          <w:lang w:eastAsia="en-US"/>
        </w:rPr>
      </w:pPr>
      <w:r w:rsidRPr="001B0EA3">
        <w:rPr>
          <w:szCs w:val="22"/>
          <w:lang w:eastAsia="en-US"/>
        </w:rPr>
        <w:t xml:space="preserve"> да предостави потвърждение, че </w:t>
      </w:r>
      <w:r w:rsidRPr="001B0EA3">
        <w:rPr>
          <w:b/>
          <w:szCs w:val="22"/>
          <w:lang w:eastAsia="en-US"/>
        </w:rPr>
        <w:t>изпълнението на решенията на ЕК означава също така и изпълнение на допълнително постановените условия</w:t>
      </w:r>
      <w:r w:rsidRPr="001B0EA3">
        <w:rPr>
          <w:szCs w:val="22"/>
          <w:lang w:eastAsia="en-US"/>
        </w:rPr>
        <w:t xml:space="preserve">, когато такива са налице. </w:t>
      </w:r>
    </w:p>
    <w:p w14:paraId="4CCD9513" w14:textId="77777777" w:rsidR="002134FC" w:rsidRPr="001B0EA3" w:rsidRDefault="002134FC" w:rsidP="00115759">
      <w:pPr>
        <w:spacing w:beforeLines="60" w:before="144" w:afterLines="60" w:after="144"/>
        <w:rPr>
          <w:szCs w:val="22"/>
          <w:lang w:eastAsia="en-US"/>
        </w:rPr>
      </w:pPr>
      <w:r w:rsidRPr="001B0EA3">
        <w:rPr>
          <w:szCs w:val="22"/>
          <w:lang w:eastAsia="en-US"/>
        </w:rPr>
        <w:t>В случай, на постъпило искане за допълнителна информация по конкретно уведомление за помощ  от МФ и/или службите на ЕК</w:t>
      </w:r>
      <w:r w:rsidR="00DD3CC8">
        <w:rPr>
          <w:szCs w:val="22"/>
          <w:lang w:eastAsia="en-US"/>
        </w:rPr>
        <w:t>,</w:t>
      </w:r>
      <w:r w:rsidRPr="001B0EA3">
        <w:rPr>
          <w:szCs w:val="22"/>
          <w:lang w:eastAsia="en-US"/>
        </w:rPr>
        <w:t xml:space="preserve"> </w:t>
      </w:r>
      <w:r w:rsidR="00DD3CC8">
        <w:rPr>
          <w:szCs w:val="22"/>
          <w:lang w:eastAsia="en-US"/>
        </w:rPr>
        <w:t>Управляващия орган на ОПТТИ</w:t>
      </w:r>
      <w:r w:rsidR="00DD3CC8" w:rsidRPr="001B0EA3" w:rsidDel="00DD3CC8">
        <w:rPr>
          <w:szCs w:val="22"/>
          <w:lang w:eastAsia="en-US"/>
        </w:rPr>
        <w:t xml:space="preserve"> </w:t>
      </w:r>
      <w:r w:rsidRPr="001B0EA3">
        <w:rPr>
          <w:szCs w:val="22"/>
          <w:lang w:eastAsia="en-US"/>
        </w:rPr>
        <w:t xml:space="preserve">ще </w:t>
      </w:r>
      <w:r w:rsidR="00DD3CC8">
        <w:rPr>
          <w:szCs w:val="22"/>
          <w:lang w:eastAsia="en-US"/>
        </w:rPr>
        <w:t xml:space="preserve">предостави, в случаите, когато е администратор на помощта по т.8.1.2, подт. 1 или ще </w:t>
      </w:r>
      <w:r w:rsidRPr="001B0EA3">
        <w:rPr>
          <w:szCs w:val="22"/>
          <w:lang w:eastAsia="en-US"/>
        </w:rPr>
        <w:t>изиска от бенефициента/ите представянето на пълна, точна, ясна, коректна и изчерпателна такава от бенефициента от мярката</w:t>
      </w:r>
      <w:r w:rsidR="00DD3CC8" w:rsidRPr="00DD3CC8">
        <w:rPr>
          <w:szCs w:val="22"/>
          <w:lang w:eastAsia="en-US"/>
        </w:rPr>
        <w:t xml:space="preserve"> </w:t>
      </w:r>
      <w:r w:rsidR="00DD3CC8">
        <w:rPr>
          <w:szCs w:val="22"/>
          <w:lang w:eastAsia="en-US"/>
        </w:rPr>
        <w:t>в останалите случаи</w:t>
      </w:r>
      <w:r w:rsidRPr="001B0EA3">
        <w:rPr>
          <w:szCs w:val="22"/>
          <w:lang w:eastAsia="en-US"/>
        </w:rPr>
        <w:t>, за да може от своя страна своевременно да представи отговор в указания срок.</w:t>
      </w:r>
    </w:p>
    <w:p w14:paraId="05DCE6A1" w14:textId="77777777" w:rsidR="002134FC" w:rsidRPr="001B0EA3" w:rsidRDefault="002134FC" w:rsidP="00115759">
      <w:pPr>
        <w:spacing w:beforeLines="60" w:before="144" w:afterLines="60" w:after="144"/>
        <w:rPr>
          <w:b/>
          <w:szCs w:val="22"/>
          <w:lang w:eastAsia="en-US"/>
        </w:rPr>
      </w:pPr>
      <w:r w:rsidRPr="001B0EA3">
        <w:rPr>
          <w:szCs w:val="22"/>
          <w:lang w:eastAsia="en-US"/>
        </w:rPr>
        <w:t xml:space="preserve">За изпълнение на допълнителни условия  по решенията на ЕК за  предоставяне на ДП се прилагат процедурите по подготовка на информацията и съгласуване както са описани </w:t>
      </w:r>
      <w:r w:rsidRPr="001B0EA3">
        <w:rPr>
          <w:b/>
          <w:szCs w:val="22"/>
          <w:lang w:eastAsia="en-US"/>
        </w:rPr>
        <w:t xml:space="preserve">в т. 8.1.2 , т.8.1.3,  </w:t>
      </w:r>
      <w:r w:rsidRPr="001B0EA3">
        <w:rPr>
          <w:szCs w:val="22"/>
          <w:lang w:eastAsia="en-US"/>
        </w:rPr>
        <w:t>като се спазват определените срокове.</w:t>
      </w:r>
      <w:r w:rsidRPr="001B0EA3">
        <w:rPr>
          <w:b/>
          <w:szCs w:val="22"/>
          <w:lang w:eastAsia="en-US"/>
        </w:rPr>
        <w:t xml:space="preserve"> </w:t>
      </w:r>
    </w:p>
    <w:p w14:paraId="0688511C" w14:textId="77777777" w:rsidR="002134FC" w:rsidRPr="001B0EA3" w:rsidRDefault="002134FC" w:rsidP="00115759">
      <w:pPr>
        <w:spacing w:beforeLines="60" w:before="144" w:afterLines="60" w:after="144"/>
        <w:rPr>
          <w:szCs w:val="22"/>
          <w:lang w:eastAsia="en-US"/>
        </w:rPr>
      </w:pPr>
      <w:r w:rsidRPr="001B0EA3">
        <w:rPr>
          <w:szCs w:val="22"/>
          <w:lang w:eastAsia="en-US"/>
        </w:rPr>
        <w:t>Съгласно чл. 1</w:t>
      </w:r>
      <w:r w:rsidR="00DD3CC8">
        <w:rPr>
          <w:szCs w:val="22"/>
          <w:lang w:eastAsia="en-US"/>
        </w:rPr>
        <w:t>3</w:t>
      </w:r>
      <w:r w:rsidRPr="001B0EA3">
        <w:rPr>
          <w:szCs w:val="22"/>
          <w:lang w:eastAsia="en-US"/>
        </w:rPr>
        <w:t xml:space="preserve"> от Регламент № </w:t>
      </w:r>
      <w:r w:rsidR="00DD3CC8" w:rsidRPr="00391CC4">
        <w:rPr>
          <w:szCs w:val="22"/>
          <w:lang w:eastAsia="en-US"/>
        </w:rPr>
        <w:t>2015/1589</w:t>
      </w:r>
      <w:r w:rsidR="00DD3CC8">
        <w:rPr>
          <w:szCs w:val="22"/>
          <w:lang w:eastAsia="en-US"/>
        </w:rPr>
        <w:t xml:space="preserve"> </w:t>
      </w:r>
      <w:r w:rsidRPr="001B0EA3">
        <w:rPr>
          <w:szCs w:val="22"/>
          <w:lang w:eastAsia="en-US"/>
        </w:rPr>
        <w:t>г.  при искане на допълнителна информация и/или поставяне на допълнителни условия</w:t>
      </w:r>
      <w:r w:rsidRPr="001B0EA3">
        <w:rPr>
          <w:i/>
          <w:szCs w:val="22"/>
          <w:lang w:eastAsia="en-US"/>
        </w:rPr>
        <w:t xml:space="preserve"> </w:t>
      </w:r>
      <w:r w:rsidRPr="001B0EA3">
        <w:rPr>
          <w:szCs w:val="22"/>
          <w:lang w:eastAsia="en-US"/>
        </w:rPr>
        <w:t xml:space="preserve"> ЕК  може, след като даде възможност на съответната държава-членка да представи коментарите си, да приеме решение, с което изисква от държавата-членка да преустанови всяка неправомерна помощ, докато ЕК вземе решение за съвместимостта на помощта с Общия пазар („разпореждане за преустановяване“) или да възстанови всяка неправомерна помощ, докато ЕК вземе решение за съвместимостта на помощта с Общия пазар ( „разпореждане за преустановяване“). </w:t>
      </w:r>
    </w:p>
    <w:p w14:paraId="369C4F80" w14:textId="77777777" w:rsidR="002134FC" w:rsidRPr="001B0EA3" w:rsidRDefault="002134FC" w:rsidP="00115759">
      <w:pPr>
        <w:spacing w:beforeLines="60" w:before="144" w:afterLines="60" w:after="144"/>
        <w:rPr>
          <w:szCs w:val="22"/>
          <w:lang w:eastAsia="en-US"/>
        </w:rPr>
      </w:pPr>
      <w:r w:rsidRPr="001B0EA3">
        <w:rPr>
          <w:szCs w:val="22"/>
          <w:lang w:eastAsia="en-US"/>
        </w:rPr>
        <w:t xml:space="preserve">В случай на издаване на „разпореждане за преустановяване“ УО </w:t>
      </w:r>
      <w:r w:rsidR="00DD3CC8">
        <w:rPr>
          <w:szCs w:val="22"/>
          <w:lang w:eastAsia="en-US"/>
        </w:rPr>
        <w:t xml:space="preserve">на ОПТТИ </w:t>
      </w:r>
      <w:r w:rsidRPr="001B0EA3">
        <w:rPr>
          <w:szCs w:val="22"/>
          <w:lang w:eastAsia="en-US"/>
        </w:rPr>
        <w:t xml:space="preserve">следва своевременно да преустанови предоставянето на </w:t>
      </w:r>
      <w:r w:rsidR="00DD3CC8">
        <w:rPr>
          <w:szCs w:val="22"/>
          <w:lang w:eastAsia="en-US"/>
        </w:rPr>
        <w:t xml:space="preserve">помощта </w:t>
      </w:r>
      <w:r w:rsidRPr="001B0EA3">
        <w:rPr>
          <w:szCs w:val="22"/>
          <w:lang w:eastAsia="en-US"/>
        </w:rPr>
        <w:t>мярката, като при „разпореждане за възстановяване“ трябва да предприеме действия за възстановяване на неправомерна помощ в съответствие с процедурите по т.1</w:t>
      </w:r>
      <w:r w:rsidR="00115759">
        <w:rPr>
          <w:szCs w:val="22"/>
          <w:lang w:eastAsia="en-US"/>
        </w:rPr>
        <w:t>1</w:t>
      </w:r>
      <w:r w:rsidRPr="001B0EA3">
        <w:rPr>
          <w:szCs w:val="22"/>
          <w:lang w:eastAsia="en-US"/>
        </w:rPr>
        <w:t xml:space="preserve">.   </w:t>
      </w:r>
    </w:p>
    <w:p w14:paraId="25A2C169" w14:textId="77777777" w:rsidR="002134FC" w:rsidRPr="001B0EA3" w:rsidRDefault="002134FC" w:rsidP="00115759">
      <w:pPr>
        <w:spacing w:beforeLines="60" w:before="144" w:afterLines="60" w:after="144"/>
        <w:rPr>
          <w:szCs w:val="22"/>
          <w:lang w:eastAsia="en-US"/>
        </w:rPr>
      </w:pPr>
      <w:r w:rsidRPr="001B0EA3">
        <w:rPr>
          <w:szCs w:val="22"/>
          <w:lang w:eastAsia="en-US"/>
        </w:rPr>
        <w:t xml:space="preserve">След като в УО </w:t>
      </w:r>
      <w:r w:rsidR="00115759">
        <w:rPr>
          <w:szCs w:val="22"/>
          <w:lang w:eastAsia="en-US"/>
        </w:rPr>
        <w:t>на ОПТТИ</w:t>
      </w:r>
      <w:r w:rsidR="00115759" w:rsidRPr="0000501A">
        <w:rPr>
          <w:szCs w:val="22"/>
          <w:lang w:eastAsia="en-US"/>
        </w:rPr>
        <w:t xml:space="preserve"> </w:t>
      </w:r>
      <w:r w:rsidRPr="001B0EA3">
        <w:rPr>
          <w:szCs w:val="22"/>
          <w:lang w:eastAsia="en-US"/>
        </w:rPr>
        <w:t xml:space="preserve">се получи съответното решение на ЕК - „разпореждане за преустановяване“ и/или „разпореждане за възстановяване“ , УО </w:t>
      </w:r>
      <w:r w:rsidR="00115759">
        <w:rPr>
          <w:szCs w:val="22"/>
          <w:lang w:eastAsia="en-US"/>
        </w:rPr>
        <w:t>трябва да</w:t>
      </w:r>
      <w:r w:rsidRPr="001B0EA3">
        <w:rPr>
          <w:szCs w:val="22"/>
          <w:lang w:eastAsia="en-US"/>
        </w:rPr>
        <w:t>:</w:t>
      </w:r>
    </w:p>
    <w:p w14:paraId="6FE29FCD" w14:textId="77777777" w:rsidR="002134FC" w:rsidRPr="001B0EA3" w:rsidRDefault="002134FC" w:rsidP="00115759">
      <w:pPr>
        <w:pStyle w:val="ListParagraph"/>
        <w:numPr>
          <w:ilvl w:val="0"/>
          <w:numId w:val="227"/>
        </w:numPr>
        <w:tabs>
          <w:tab w:val="left" w:pos="1560"/>
        </w:tabs>
        <w:spacing w:beforeLines="60" w:before="144" w:afterLines="60" w:after="144"/>
        <w:ind w:left="0" w:firstLine="1353"/>
        <w:rPr>
          <w:szCs w:val="22"/>
          <w:lang w:eastAsia="en-US"/>
        </w:rPr>
      </w:pPr>
      <w:r w:rsidRPr="001B0EA3">
        <w:rPr>
          <w:szCs w:val="22"/>
          <w:lang w:eastAsia="en-US"/>
        </w:rPr>
        <w:t xml:space="preserve">информират писмено (с писмо или по електронна поща) </w:t>
      </w:r>
      <w:r w:rsidRPr="001B0EA3">
        <w:rPr>
          <w:b/>
          <w:szCs w:val="22"/>
          <w:lang w:eastAsia="en-US"/>
        </w:rPr>
        <w:t xml:space="preserve">всички отдели на УО </w:t>
      </w:r>
      <w:r w:rsidRPr="001B0EA3">
        <w:rPr>
          <w:szCs w:val="22"/>
          <w:lang w:eastAsia="en-US"/>
        </w:rPr>
        <w:t xml:space="preserve">и </w:t>
      </w:r>
      <w:r w:rsidRPr="001B0EA3">
        <w:rPr>
          <w:b/>
          <w:szCs w:val="22"/>
          <w:lang w:eastAsia="en-US"/>
        </w:rPr>
        <w:t xml:space="preserve">дирекция „Правна“ на </w:t>
      </w:r>
      <w:r w:rsidR="00BB6BF6">
        <w:rPr>
          <w:b/>
          <w:szCs w:val="22"/>
          <w:lang w:eastAsia="en-US"/>
        </w:rPr>
        <w:t>МТС</w:t>
      </w:r>
      <w:r w:rsidRPr="001B0EA3">
        <w:rPr>
          <w:szCs w:val="22"/>
          <w:lang w:eastAsia="en-US"/>
        </w:rPr>
        <w:t xml:space="preserve"> за решението на ЕК и </w:t>
      </w:r>
      <w:r w:rsidRPr="001B0EA3">
        <w:rPr>
          <w:b/>
          <w:szCs w:val="22"/>
          <w:lang w:eastAsia="en-US"/>
        </w:rPr>
        <w:t>предприемане на действия</w:t>
      </w:r>
      <w:r w:rsidRPr="001B0EA3">
        <w:rPr>
          <w:szCs w:val="22"/>
          <w:lang w:eastAsia="en-US"/>
        </w:rPr>
        <w:t>, от тяхната компетенция, по прекратяване и/или определяне на размера на неправомерната  помощ и нейното възстановяване;</w:t>
      </w:r>
    </w:p>
    <w:p w14:paraId="64196053" w14:textId="77777777" w:rsidR="002134FC" w:rsidRPr="001B0EA3" w:rsidRDefault="002134FC" w:rsidP="00115759">
      <w:pPr>
        <w:pStyle w:val="ListParagraph"/>
        <w:numPr>
          <w:ilvl w:val="0"/>
          <w:numId w:val="227"/>
        </w:numPr>
        <w:tabs>
          <w:tab w:val="left" w:pos="1560"/>
        </w:tabs>
        <w:spacing w:beforeLines="60" w:before="144" w:afterLines="60" w:after="144"/>
        <w:ind w:left="0" w:firstLine="1353"/>
        <w:rPr>
          <w:szCs w:val="22"/>
          <w:lang w:eastAsia="en-US"/>
        </w:rPr>
      </w:pPr>
      <w:r w:rsidRPr="001B0EA3">
        <w:rPr>
          <w:szCs w:val="22"/>
          <w:lang w:eastAsia="en-US"/>
        </w:rPr>
        <w:t xml:space="preserve"> информира  с писмо бенефициента за решението на ЕК и предприетите действия от УО по неговото изпълнение.. </w:t>
      </w:r>
    </w:p>
    <w:p w14:paraId="3C913CE0" w14:textId="77777777" w:rsidR="002134FC" w:rsidRPr="001B0EA3" w:rsidRDefault="002134FC" w:rsidP="00115759">
      <w:pPr>
        <w:spacing w:beforeLines="60" w:before="144" w:afterLines="60" w:after="144"/>
        <w:rPr>
          <w:szCs w:val="22"/>
          <w:lang w:eastAsia="en-US"/>
        </w:rPr>
      </w:pPr>
      <w:r w:rsidRPr="001B0EA3">
        <w:rPr>
          <w:szCs w:val="22"/>
          <w:lang w:eastAsia="en-US"/>
        </w:rPr>
        <w:lastRenderedPageBreak/>
        <w:t xml:space="preserve">При  решение „разпореждане за възстановяване“ се изпълнява  </w:t>
      </w:r>
      <w:r w:rsidR="00115759">
        <w:rPr>
          <w:szCs w:val="22"/>
          <w:lang w:eastAsia="en-US"/>
        </w:rPr>
        <w:t xml:space="preserve">относима на </w:t>
      </w:r>
      <w:r w:rsidRPr="001B0EA3">
        <w:rPr>
          <w:szCs w:val="22"/>
          <w:lang w:eastAsia="en-US"/>
        </w:rPr>
        <w:t>процедурата по т.1</w:t>
      </w:r>
      <w:r w:rsidR="00115759">
        <w:rPr>
          <w:szCs w:val="22"/>
          <w:lang w:eastAsia="en-US"/>
        </w:rPr>
        <w:t>1</w:t>
      </w:r>
    </w:p>
    <w:p w14:paraId="2AD9265B" w14:textId="77777777" w:rsidR="00D603F5" w:rsidRPr="001B0EA3" w:rsidRDefault="00D603F5" w:rsidP="00ED358C">
      <w:pPr>
        <w:pStyle w:val="Style4"/>
        <w:rPr>
          <w:lang w:eastAsia="en-US"/>
        </w:rPr>
      </w:pPr>
      <w:bookmarkStart w:id="452" w:name="_Toc479775597"/>
      <w:r w:rsidRPr="001B0EA3">
        <w:rPr>
          <w:lang w:eastAsia="en-US"/>
        </w:rPr>
        <w:t>Изменение на мерки</w:t>
      </w:r>
      <w:bookmarkEnd w:id="452"/>
    </w:p>
    <w:p w14:paraId="67A147C0" w14:textId="77777777" w:rsidR="00D603F5" w:rsidRPr="001B0EA3" w:rsidRDefault="00D603F5" w:rsidP="00511860">
      <w:pPr>
        <w:spacing w:beforeLines="60" w:before="144" w:afterLines="60" w:after="144"/>
        <w:rPr>
          <w:szCs w:val="22"/>
          <w:lang w:eastAsia="en-US"/>
        </w:rPr>
      </w:pPr>
      <w:r w:rsidRPr="001B0EA3">
        <w:rPr>
          <w:szCs w:val="22"/>
          <w:lang w:eastAsia="en-US"/>
        </w:rPr>
        <w:t xml:space="preserve">С оглед съдържанието на дефиницията за „нова помощ” по чл. 1, буква „б” от Регламент № </w:t>
      </w:r>
      <w:r w:rsidR="00115759" w:rsidRPr="00115759">
        <w:rPr>
          <w:szCs w:val="22"/>
          <w:lang w:eastAsia="en-US"/>
        </w:rPr>
        <w:t>2015/1589</w:t>
      </w:r>
      <w:r w:rsidRPr="001B0EA3">
        <w:rPr>
          <w:szCs w:val="22"/>
          <w:lang w:eastAsia="en-US"/>
        </w:rPr>
        <w:t xml:space="preserve"> г., третиращо промяната на съществуваща помощ като „нова помощ”, както и с цел спазването на задълженията по чл. 2 от </w:t>
      </w:r>
      <w:r w:rsidR="00115759">
        <w:rPr>
          <w:szCs w:val="22"/>
          <w:lang w:eastAsia="en-US"/>
        </w:rPr>
        <w:t>същия р</w:t>
      </w:r>
      <w:r w:rsidRPr="001B0EA3">
        <w:rPr>
          <w:szCs w:val="22"/>
          <w:lang w:eastAsia="en-US"/>
        </w:rPr>
        <w:t>егламент, чл. 4 от Регламент № 794/2004 г.</w:t>
      </w:r>
      <w:r w:rsidRPr="001B0EA3">
        <w:rPr>
          <w:szCs w:val="22"/>
          <w:vertAlign w:val="superscript"/>
          <w:lang w:eastAsia="en-US"/>
        </w:rPr>
        <w:footnoteReference w:id="36"/>
      </w:r>
      <w:r w:rsidRPr="001B0EA3">
        <w:rPr>
          <w:szCs w:val="22"/>
          <w:lang w:eastAsia="en-US"/>
        </w:rPr>
        <w:t xml:space="preserve"> и по Приложение II към Регламент № 651/2014 г., УО имат </w:t>
      </w:r>
      <w:r w:rsidRPr="001B0EA3">
        <w:rPr>
          <w:b/>
          <w:szCs w:val="22"/>
          <w:lang w:eastAsia="en-US"/>
        </w:rPr>
        <w:t xml:space="preserve"> ангажименти за съгласуване с МФ на изменението и действия, гарантиращи осигуряването на процедурно съответствие и по отношение на всяка промяна на помощ</w:t>
      </w:r>
      <w:r w:rsidRPr="001B0EA3">
        <w:rPr>
          <w:szCs w:val="22"/>
          <w:lang w:eastAsia="en-US"/>
        </w:rPr>
        <w:t>, разрешена с решение на ЕК или попадаща в обхвата на регламент за групово освобождаване</w:t>
      </w:r>
      <w:r w:rsidR="00115759">
        <w:rPr>
          <w:szCs w:val="22"/>
          <w:lang w:eastAsia="en-US"/>
        </w:rPr>
        <w:t xml:space="preserve"> </w:t>
      </w:r>
      <w:r w:rsidR="00115759" w:rsidRPr="009D693A">
        <w:rPr>
          <w:i/>
          <w:szCs w:val="22"/>
          <w:lang w:eastAsia="en-US"/>
        </w:rPr>
        <w:t>(чл. 15, ал. 1, чл.22, ал. 3 и чл. 27 от ЗДП)</w:t>
      </w:r>
      <w:r w:rsidRPr="001B0EA3">
        <w:rPr>
          <w:szCs w:val="22"/>
          <w:lang w:eastAsia="en-US"/>
        </w:rPr>
        <w:t xml:space="preserve">. </w:t>
      </w:r>
    </w:p>
    <w:p w14:paraId="314A70A9" w14:textId="77777777" w:rsidR="00D603F5" w:rsidRPr="001B0EA3" w:rsidRDefault="00D603F5" w:rsidP="00511860">
      <w:pPr>
        <w:spacing w:beforeLines="60" w:before="144" w:afterLines="60" w:after="144"/>
        <w:rPr>
          <w:b/>
          <w:szCs w:val="22"/>
          <w:lang w:eastAsia="en-US"/>
        </w:rPr>
      </w:pPr>
      <w:r w:rsidRPr="001B0EA3">
        <w:rPr>
          <w:szCs w:val="22"/>
          <w:lang w:eastAsia="en-US"/>
        </w:rPr>
        <w:t xml:space="preserve">Редът на съгласуването </w:t>
      </w:r>
      <w:r w:rsidR="002134FC" w:rsidRPr="001B0EA3">
        <w:rPr>
          <w:szCs w:val="22"/>
          <w:lang w:eastAsia="en-US"/>
        </w:rPr>
        <w:t xml:space="preserve">в </w:t>
      </w:r>
      <w:r w:rsidR="00BB6BF6">
        <w:rPr>
          <w:szCs w:val="22"/>
          <w:lang w:eastAsia="en-US"/>
        </w:rPr>
        <w:t>МТС</w:t>
      </w:r>
      <w:r w:rsidR="002134FC" w:rsidRPr="001B0EA3">
        <w:rPr>
          <w:szCs w:val="22"/>
          <w:lang w:eastAsia="en-US"/>
        </w:rPr>
        <w:t xml:space="preserve"> </w:t>
      </w:r>
      <w:r w:rsidRPr="001B0EA3">
        <w:rPr>
          <w:szCs w:val="22"/>
          <w:lang w:eastAsia="en-US"/>
        </w:rPr>
        <w:t xml:space="preserve">се извършва в съответствие с </w:t>
      </w:r>
      <w:r w:rsidRPr="001B0EA3">
        <w:rPr>
          <w:b/>
          <w:szCs w:val="22"/>
          <w:lang w:eastAsia="en-US"/>
        </w:rPr>
        <w:t xml:space="preserve">точка </w:t>
      </w:r>
      <w:r w:rsidRPr="001B0EA3">
        <w:rPr>
          <w:b/>
          <w:szCs w:val="22"/>
          <w:lang w:eastAsia="en-US"/>
        </w:rPr>
        <w:fldChar w:fldCharType="begin"/>
      </w:r>
      <w:r w:rsidRPr="001B0EA3">
        <w:rPr>
          <w:b/>
          <w:szCs w:val="22"/>
          <w:lang w:eastAsia="en-US"/>
        </w:rPr>
        <w:instrText xml:space="preserve"> REF _Ref408991331 \r \h  \* MERGEFORMAT </w:instrText>
      </w:r>
      <w:r w:rsidRPr="001B0EA3">
        <w:rPr>
          <w:b/>
          <w:szCs w:val="22"/>
          <w:lang w:eastAsia="en-US"/>
        </w:rPr>
      </w:r>
      <w:r w:rsidRPr="001B0EA3">
        <w:rPr>
          <w:b/>
          <w:szCs w:val="22"/>
          <w:lang w:eastAsia="en-US"/>
        </w:rPr>
        <w:fldChar w:fldCharType="separate"/>
      </w:r>
      <w:r w:rsidR="00F22141">
        <w:rPr>
          <w:b/>
          <w:szCs w:val="22"/>
          <w:lang w:eastAsia="en-US"/>
        </w:rPr>
        <w:t>8.1.3</w:t>
      </w:r>
      <w:r w:rsidRPr="001B0EA3">
        <w:rPr>
          <w:b/>
          <w:szCs w:val="22"/>
          <w:lang w:eastAsia="en-US"/>
        </w:rPr>
        <w:fldChar w:fldCharType="end"/>
      </w:r>
      <w:r w:rsidR="002134FC" w:rsidRPr="001B0EA3">
        <w:rPr>
          <w:b/>
          <w:szCs w:val="22"/>
          <w:lang w:eastAsia="en-US"/>
        </w:rPr>
        <w:t>.</w:t>
      </w:r>
    </w:p>
    <w:p w14:paraId="0FD0CA0E" w14:textId="77777777" w:rsidR="00D603F5" w:rsidRPr="001B0EA3" w:rsidRDefault="00D603F5" w:rsidP="00ED358C">
      <w:pPr>
        <w:pStyle w:val="Style4"/>
        <w:rPr>
          <w:lang w:eastAsia="en-US"/>
        </w:rPr>
      </w:pPr>
      <w:bookmarkStart w:id="453" w:name="_Toc479775598"/>
      <w:r w:rsidRPr="001B0EA3">
        <w:rPr>
          <w:lang w:eastAsia="en-US"/>
        </w:rPr>
        <w:t>Подходящи мерки</w:t>
      </w:r>
      <w:bookmarkEnd w:id="453"/>
    </w:p>
    <w:p w14:paraId="57E43993" w14:textId="77777777" w:rsidR="00D603F5" w:rsidRPr="001B0EA3" w:rsidRDefault="00D603F5" w:rsidP="00511860">
      <w:pPr>
        <w:spacing w:beforeLines="60" w:before="144" w:afterLines="60" w:after="144"/>
        <w:rPr>
          <w:szCs w:val="22"/>
          <w:lang w:eastAsia="en-US"/>
        </w:rPr>
      </w:pPr>
      <w:r w:rsidRPr="001B0EA3">
        <w:rPr>
          <w:szCs w:val="22"/>
          <w:lang w:eastAsia="en-US"/>
        </w:rPr>
        <w:t xml:space="preserve">Освен, когато преходните разпоредби съдържат специални правила, в случаите на промяна на актове, свързани с или съдържащи критерии за оценка на съвместимостта на мерки за помощ, ЕК обичайно </w:t>
      </w:r>
      <w:r w:rsidRPr="001B0EA3">
        <w:rPr>
          <w:b/>
          <w:szCs w:val="22"/>
          <w:lang w:eastAsia="en-US"/>
        </w:rPr>
        <w:t>поставя нормативен срок на държавите членки да адаптират мерките си за помощ</w:t>
      </w:r>
      <w:r w:rsidRPr="001B0EA3">
        <w:rPr>
          <w:szCs w:val="22"/>
          <w:lang w:eastAsia="en-US"/>
        </w:rPr>
        <w:t xml:space="preserve">. Целта е същите да бъдат приведени в съответствие с новите правила. В конкретни случаи ЕК поставя аналогични условия и в решенията си по конкретни мерки за помощ. </w:t>
      </w:r>
    </w:p>
    <w:p w14:paraId="6981A8F9" w14:textId="77777777" w:rsidR="00D603F5" w:rsidRPr="001B0EA3" w:rsidRDefault="002134FC" w:rsidP="00511860">
      <w:pPr>
        <w:spacing w:beforeLines="60" w:before="144" w:afterLines="60" w:after="144"/>
        <w:rPr>
          <w:szCs w:val="22"/>
          <w:lang w:eastAsia="en-US"/>
        </w:rPr>
      </w:pPr>
      <w:r w:rsidRPr="001B0EA3">
        <w:rPr>
          <w:szCs w:val="22"/>
          <w:lang w:eastAsia="en-US"/>
        </w:rPr>
        <w:t xml:space="preserve">В тази връзка, най-малко веднъж годишно УО </w:t>
      </w:r>
      <w:r w:rsidR="00115759">
        <w:rPr>
          <w:szCs w:val="22"/>
          <w:lang w:eastAsia="en-US"/>
        </w:rPr>
        <w:t xml:space="preserve">на ОПТТИ </w:t>
      </w:r>
      <w:r w:rsidRPr="001B0EA3">
        <w:rPr>
          <w:szCs w:val="22"/>
          <w:lang w:eastAsia="en-US"/>
        </w:rPr>
        <w:t>извършва преглед  на националното законодателство и законодателството на ЕС и при всяка промяна ще</w:t>
      </w:r>
      <w:r w:rsidR="00D603F5" w:rsidRPr="001B0EA3">
        <w:rPr>
          <w:szCs w:val="22"/>
          <w:lang w:eastAsia="en-US"/>
        </w:rPr>
        <w:t xml:space="preserve"> предприе</w:t>
      </w:r>
      <w:r w:rsidRPr="001B0EA3">
        <w:rPr>
          <w:szCs w:val="22"/>
          <w:lang w:eastAsia="en-US"/>
        </w:rPr>
        <w:t>м</w:t>
      </w:r>
      <w:r w:rsidR="00D603F5" w:rsidRPr="001B0EA3">
        <w:rPr>
          <w:szCs w:val="22"/>
          <w:lang w:eastAsia="en-US"/>
        </w:rPr>
        <w:t xml:space="preserve">е  своевременни действия за </w:t>
      </w:r>
      <w:r w:rsidR="00D603F5" w:rsidRPr="001B0EA3">
        <w:rPr>
          <w:b/>
          <w:szCs w:val="22"/>
          <w:lang w:eastAsia="en-US"/>
        </w:rPr>
        <w:t>уведомяване на МФ</w:t>
      </w:r>
      <w:r w:rsidR="00D603F5" w:rsidRPr="001B0EA3">
        <w:rPr>
          <w:szCs w:val="22"/>
          <w:lang w:eastAsia="en-US"/>
        </w:rPr>
        <w:t xml:space="preserve"> </w:t>
      </w:r>
      <w:r w:rsidR="00D603F5" w:rsidRPr="001B0EA3">
        <w:rPr>
          <w:b/>
          <w:szCs w:val="22"/>
          <w:lang w:eastAsia="en-US"/>
        </w:rPr>
        <w:t>относно (не)съгласието си с предложените подходящи мерки,</w:t>
      </w:r>
      <w:r w:rsidR="00D603F5" w:rsidRPr="001B0EA3">
        <w:rPr>
          <w:szCs w:val="22"/>
          <w:lang w:eastAsia="en-US"/>
        </w:rPr>
        <w:t xml:space="preserve"> предложени от ЕК, както и относно плановете си за изпълнение на същите. </w:t>
      </w:r>
    </w:p>
    <w:p w14:paraId="2E3C39DD" w14:textId="77777777" w:rsidR="00D603F5" w:rsidRPr="001B0EA3" w:rsidRDefault="00D603F5" w:rsidP="00ED358C">
      <w:pPr>
        <w:pStyle w:val="Style4"/>
        <w:rPr>
          <w:lang w:eastAsia="en-US"/>
        </w:rPr>
      </w:pPr>
      <w:bookmarkStart w:id="454" w:name="_Toc479775599"/>
      <w:r w:rsidRPr="001B0EA3">
        <w:rPr>
          <w:lang w:eastAsia="en-US"/>
        </w:rPr>
        <w:t>Изпълнение на задълженията на администраторите</w:t>
      </w:r>
      <w:bookmarkEnd w:id="454"/>
    </w:p>
    <w:p w14:paraId="5784B238" w14:textId="77777777" w:rsidR="00D603F5" w:rsidRPr="001B0EA3" w:rsidRDefault="00D603F5" w:rsidP="00511860">
      <w:pPr>
        <w:tabs>
          <w:tab w:val="center" w:pos="4153"/>
          <w:tab w:val="right" w:pos="8306"/>
        </w:tabs>
        <w:spacing w:beforeLines="60" w:before="144" w:afterLines="60" w:after="144"/>
        <w:rPr>
          <w:szCs w:val="24"/>
          <w:lang w:eastAsia="en-US"/>
        </w:rPr>
      </w:pPr>
      <w:r w:rsidRPr="001B0EA3">
        <w:rPr>
          <w:szCs w:val="24"/>
          <w:lang w:eastAsia="en-US"/>
        </w:rPr>
        <w:t xml:space="preserve">Разпоредбите на ЗДП </w:t>
      </w:r>
      <w:r w:rsidR="00115759">
        <w:rPr>
          <w:szCs w:val="24"/>
          <w:lang w:eastAsia="en-US"/>
        </w:rPr>
        <w:t>и ПП ЗДП</w:t>
      </w:r>
      <w:r w:rsidR="00115759" w:rsidRPr="005B04E5">
        <w:rPr>
          <w:szCs w:val="24"/>
          <w:lang w:eastAsia="en-US"/>
        </w:rPr>
        <w:t xml:space="preserve"> </w:t>
      </w:r>
      <w:r w:rsidRPr="001B0EA3">
        <w:rPr>
          <w:szCs w:val="24"/>
          <w:lang w:eastAsia="en-US"/>
        </w:rPr>
        <w:t xml:space="preserve">дефинират задълженията за администраторите на помощ, свързани с различните етапи на планиране, прилагане, контрол, докладване, документиране, архивиране, осигуряване на прозрачност и мониторинг на мерките за помощ. Допълнителни ангажименти могат да бъдат разписани и в решенията на ЕК за одобряване на конкретни мерки за помощ.  </w:t>
      </w:r>
    </w:p>
    <w:p w14:paraId="18B5ED81" w14:textId="77777777" w:rsidR="00D603F5" w:rsidRPr="001B0EA3" w:rsidRDefault="00D603F5" w:rsidP="00511860">
      <w:pPr>
        <w:rPr>
          <w:szCs w:val="24"/>
          <w:lang w:eastAsia="bg-BG"/>
        </w:rPr>
      </w:pPr>
      <w:r w:rsidRPr="001B0EA3">
        <w:rPr>
          <w:szCs w:val="24"/>
          <w:lang w:eastAsia="bg-BG"/>
        </w:rPr>
        <w:t>Администраторът на помощ</w:t>
      </w:r>
      <w:r w:rsidR="0073607D" w:rsidRPr="001B0EA3">
        <w:rPr>
          <w:szCs w:val="24"/>
          <w:lang w:eastAsia="bg-BG"/>
        </w:rPr>
        <w:t>т</w:t>
      </w:r>
      <w:r w:rsidRPr="001B0EA3">
        <w:rPr>
          <w:szCs w:val="24"/>
          <w:lang w:eastAsia="bg-BG"/>
        </w:rPr>
        <w:t>а предоставя обобщена информация за предоставените държавни помощи, включително за тези, които представляват групово освобождаване, както и за минималните помощи на министъра на финансите</w:t>
      </w:r>
      <w:r w:rsidR="00115759">
        <w:rPr>
          <w:szCs w:val="24"/>
          <w:lang w:eastAsia="bg-BG"/>
        </w:rPr>
        <w:t xml:space="preserve"> на основание чл. 47 от ЗДП</w:t>
      </w:r>
      <w:r w:rsidRPr="001B0EA3">
        <w:rPr>
          <w:szCs w:val="24"/>
          <w:lang w:eastAsia="bg-BG"/>
        </w:rPr>
        <w:t>. Информацията се  въвежда, обработва и съхранява в регистри и архиви и съдържа</w:t>
      </w:r>
      <w:r w:rsidR="00115759">
        <w:rPr>
          <w:szCs w:val="24"/>
          <w:lang w:eastAsia="bg-BG"/>
        </w:rPr>
        <w:t xml:space="preserve"> </w:t>
      </w:r>
      <w:r w:rsidR="00115759" w:rsidRPr="009D693A">
        <w:rPr>
          <w:i/>
          <w:szCs w:val="24"/>
          <w:lang w:eastAsia="bg-BG"/>
        </w:rPr>
        <w:t>(чл.52, ал. 2 от ЗДП)</w:t>
      </w:r>
      <w:r w:rsidRPr="001B0EA3">
        <w:rPr>
          <w:szCs w:val="24"/>
          <w:lang w:eastAsia="bg-BG"/>
        </w:rPr>
        <w:t>:</w:t>
      </w:r>
    </w:p>
    <w:p w14:paraId="16653B91" w14:textId="77777777" w:rsidR="00D603F5" w:rsidRPr="001B0EA3" w:rsidRDefault="00D603F5" w:rsidP="00511860">
      <w:pPr>
        <w:ind w:left="1134" w:hanging="284"/>
        <w:rPr>
          <w:szCs w:val="24"/>
          <w:lang w:eastAsia="bg-BG"/>
        </w:rPr>
      </w:pPr>
      <w:r w:rsidRPr="001B0EA3">
        <w:rPr>
          <w:szCs w:val="24"/>
          <w:lang w:eastAsia="bg-BG"/>
        </w:rPr>
        <w:t xml:space="preserve">1. </w:t>
      </w:r>
      <w:r w:rsidR="00115759" w:rsidRPr="005B04E5">
        <w:rPr>
          <w:szCs w:val="24"/>
          <w:lang w:eastAsia="bg-BG"/>
        </w:rPr>
        <w:t>уведомления</w:t>
      </w:r>
      <w:r w:rsidR="00115759">
        <w:rPr>
          <w:szCs w:val="24"/>
          <w:lang w:eastAsia="bg-BG"/>
        </w:rPr>
        <w:t>та за помощ</w:t>
      </w:r>
      <w:r w:rsidRPr="001B0EA3">
        <w:rPr>
          <w:szCs w:val="24"/>
          <w:lang w:eastAsia="bg-BG"/>
        </w:rPr>
        <w:t>, включително изпратените до Европейската комисия;</w:t>
      </w:r>
    </w:p>
    <w:p w14:paraId="44AAEB03" w14:textId="77777777" w:rsidR="00D603F5" w:rsidRPr="001B0EA3" w:rsidRDefault="00D603F5" w:rsidP="00511860">
      <w:pPr>
        <w:ind w:left="1134" w:hanging="284"/>
        <w:rPr>
          <w:szCs w:val="24"/>
          <w:lang w:eastAsia="bg-BG"/>
        </w:rPr>
      </w:pPr>
      <w:r w:rsidRPr="001B0EA3">
        <w:rPr>
          <w:szCs w:val="24"/>
          <w:lang w:eastAsia="bg-BG"/>
        </w:rPr>
        <w:t>2. решенията на Европейската комисия за схемите за държавна помощ и индивидуалните държавни помощи;</w:t>
      </w:r>
    </w:p>
    <w:p w14:paraId="6C06BAEA" w14:textId="77777777" w:rsidR="00D603F5" w:rsidRDefault="00D603F5" w:rsidP="00511860">
      <w:pPr>
        <w:ind w:left="1134" w:hanging="284"/>
        <w:rPr>
          <w:szCs w:val="24"/>
          <w:lang w:eastAsia="bg-BG"/>
        </w:rPr>
      </w:pPr>
      <w:r w:rsidRPr="001B0EA3">
        <w:rPr>
          <w:szCs w:val="24"/>
          <w:lang w:eastAsia="bg-BG"/>
        </w:rPr>
        <w:t>3. предоставените минимални помощи;</w:t>
      </w:r>
    </w:p>
    <w:p w14:paraId="593D8144" w14:textId="77777777" w:rsidR="00115759" w:rsidRPr="005B04E5" w:rsidRDefault="00115759" w:rsidP="00115759">
      <w:pPr>
        <w:ind w:firstLine="850"/>
        <w:rPr>
          <w:szCs w:val="24"/>
          <w:lang w:eastAsia="bg-BG"/>
        </w:rPr>
      </w:pPr>
      <w:r w:rsidRPr="005B04E5">
        <w:rPr>
          <w:szCs w:val="24"/>
          <w:lang w:eastAsia="bg-BG"/>
        </w:rPr>
        <w:t>4</w:t>
      </w:r>
      <w:r>
        <w:rPr>
          <w:szCs w:val="24"/>
          <w:lang w:eastAsia="bg-BG"/>
        </w:rPr>
        <w:t xml:space="preserve">. решенията за възтановяване на неправомерна и несъвместима държавна </w:t>
      </w:r>
      <w:r w:rsidRPr="005B04E5">
        <w:rPr>
          <w:szCs w:val="24"/>
          <w:lang w:eastAsia="bg-BG"/>
        </w:rPr>
        <w:t>помощ</w:t>
      </w:r>
      <w:r>
        <w:rPr>
          <w:szCs w:val="24"/>
          <w:lang w:eastAsia="bg-BG"/>
        </w:rPr>
        <w:t xml:space="preserve"> или неправилно използвана държавна помощ, както и за получателите на помощ, която трябва да се възтонови</w:t>
      </w:r>
      <w:r w:rsidRPr="005B04E5">
        <w:rPr>
          <w:szCs w:val="24"/>
          <w:lang w:eastAsia="bg-BG"/>
        </w:rPr>
        <w:t>;</w:t>
      </w:r>
    </w:p>
    <w:p w14:paraId="2794FB06" w14:textId="77777777" w:rsidR="00115759" w:rsidRPr="001B0EA3" w:rsidRDefault="00115759" w:rsidP="00115759">
      <w:pPr>
        <w:ind w:left="1134" w:hanging="284"/>
        <w:rPr>
          <w:szCs w:val="24"/>
          <w:lang w:eastAsia="bg-BG"/>
        </w:rPr>
      </w:pPr>
      <w:r w:rsidRPr="005B04E5">
        <w:rPr>
          <w:szCs w:val="24"/>
          <w:lang w:eastAsia="bg-BG"/>
        </w:rPr>
        <w:t xml:space="preserve">5. други данни, </w:t>
      </w:r>
      <w:r>
        <w:rPr>
          <w:szCs w:val="24"/>
          <w:lang w:eastAsia="bg-BG"/>
        </w:rPr>
        <w:t xml:space="preserve">когато тове е </w:t>
      </w:r>
      <w:r w:rsidRPr="005B04E5">
        <w:rPr>
          <w:szCs w:val="24"/>
          <w:lang w:eastAsia="bg-BG"/>
        </w:rPr>
        <w:t>необходим</w:t>
      </w:r>
      <w:r>
        <w:rPr>
          <w:szCs w:val="24"/>
          <w:lang w:eastAsia="bg-BG"/>
        </w:rPr>
        <w:t>о</w:t>
      </w:r>
      <w:r w:rsidR="000B1955">
        <w:rPr>
          <w:szCs w:val="24"/>
          <w:lang w:eastAsia="bg-BG"/>
        </w:rPr>
        <w:t>;</w:t>
      </w:r>
    </w:p>
    <w:p w14:paraId="196EEF8C" w14:textId="77777777" w:rsidR="000B1955" w:rsidRPr="005B04E5" w:rsidRDefault="000B1955" w:rsidP="000B1955">
      <w:pPr>
        <w:rPr>
          <w:szCs w:val="24"/>
          <w:lang w:eastAsia="bg-BG"/>
        </w:rPr>
      </w:pPr>
      <w:r>
        <w:rPr>
          <w:szCs w:val="24"/>
          <w:lang w:eastAsia="bg-BG"/>
        </w:rPr>
        <w:lastRenderedPageBreak/>
        <w:t>Съгласно разпоредбите на чл. 19  от ЗДП а</w:t>
      </w:r>
      <w:r w:rsidRPr="005B04E5">
        <w:rPr>
          <w:szCs w:val="24"/>
          <w:lang w:eastAsia="bg-BG"/>
        </w:rPr>
        <w:t xml:space="preserve">дминистраторът на помощ </w:t>
      </w:r>
      <w:r>
        <w:rPr>
          <w:szCs w:val="24"/>
          <w:lang w:eastAsia="bg-BG"/>
        </w:rPr>
        <w:t xml:space="preserve">е длъжен да поддържа и съхранява информацията за извършените от него </w:t>
      </w:r>
      <w:r w:rsidRPr="005B7105">
        <w:rPr>
          <w:szCs w:val="24"/>
          <w:lang w:val="x-none" w:eastAsia="bg-BG"/>
        </w:rPr>
        <w:t xml:space="preserve">и съхранява информацията за извършените от него действия, свързани с предоставените държавни помощи и минимални помощи, като отговаря за </w:t>
      </w:r>
      <w:r>
        <w:rPr>
          <w:szCs w:val="24"/>
          <w:lang w:val="x-none" w:eastAsia="bg-BG"/>
        </w:rPr>
        <w:t>нейната достоверност</w:t>
      </w:r>
      <w:r>
        <w:rPr>
          <w:szCs w:val="24"/>
          <w:lang w:eastAsia="bg-BG"/>
        </w:rPr>
        <w:t xml:space="preserve"> </w:t>
      </w:r>
      <w:r w:rsidRPr="009D693A">
        <w:rPr>
          <w:b/>
          <w:szCs w:val="24"/>
          <w:lang w:eastAsia="bg-BG"/>
        </w:rPr>
        <w:t>(ал.1)</w:t>
      </w:r>
      <w:r>
        <w:rPr>
          <w:szCs w:val="24"/>
          <w:lang w:eastAsia="bg-BG"/>
        </w:rPr>
        <w:t xml:space="preserve"> </w:t>
      </w:r>
      <w:r w:rsidRPr="005B04E5">
        <w:rPr>
          <w:szCs w:val="24"/>
          <w:lang w:eastAsia="bg-BG"/>
        </w:rPr>
        <w:t xml:space="preserve">и при поискване </w:t>
      </w:r>
      <w:r>
        <w:rPr>
          <w:szCs w:val="24"/>
          <w:lang w:eastAsia="bg-BG"/>
        </w:rPr>
        <w:t xml:space="preserve">достъп да </w:t>
      </w:r>
      <w:r w:rsidRPr="005B04E5">
        <w:rPr>
          <w:szCs w:val="24"/>
          <w:lang w:eastAsia="bg-BG"/>
        </w:rPr>
        <w:t xml:space="preserve">осигурява </w:t>
      </w:r>
      <w:r>
        <w:rPr>
          <w:szCs w:val="24"/>
          <w:lang w:eastAsia="bg-BG"/>
        </w:rPr>
        <w:t xml:space="preserve">такъв </w:t>
      </w:r>
      <w:r w:rsidRPr="005B04E5">
        <w:rPr>
          <w:szCs w:val="24"/>
          <w:lang w:eastAsia="bg-BG"/>
        </w:rPr>
        <w:t>на представител на министъра на финансите</w:t>
      </w:r>
      <w:r>
        <w:rPr>
          <w:szCs w:val="24"/>
          <w:lang w:eastAsia="bg-BG"/>
        </w:rPr>
        <w:t xml:space="preserve"> или на ЕК</w:t>
      </w:r>
      <w:r w:rsidRPr="005B04E5">
        <w:rPr>
          <w:szCs w:val="24"/>
          <w:lang w:eastAsia="bg-BG"/>
        </w:rPr>
        <w:t xml:space="preserve">, </w:t>
      </w:r>
      <w:r>
        <w:rPr>
          <w:szCs w:val="24"/>
          <w:lang w:eastAsia="bg-BG"/>
        </w:rPr>
        <w:t xml:space="preserve">във вида и в срока, указани в искането </w:t>
      </w:r>
      <w:r w:rsidRPr="009D693A">
        <w:rPr>
          <w:i/>
          <w:szCs w:val="24"/>
          <w:lang w:eastAsia="bg-BG"/>
        </w:rPr>
        <w:t>(ал.5).</w:t>
      </w:r>
    </w:p>
    <w:p w14:paraId="4FE88395" w14:textId="77777777" w:rsidR="00D603F5" w:rsidRPr="001B0EA3" w:rsidRDefault="00D603F5" w:rsidP="00511860">
      <w:pPr>
        <w:rPr>
          <w:szCs w:val="24"/>
          <w:lang w:eastAsia="bg-BG"/>
        </w:rPr>
      </w:pPr>
      <w:r w:rsidRPr="001B0EA3">
        <w:rPr>
          <w:szCs w:val="24"/>
          <w:lang w:eastAsia="bg-BG"/>
        </w:rPr>
        <w:t xml:space="preserve">Информацията за държавните и минималните помощи се съхранява </w:t>
      </w:r>
      <w:r w:rsidRPr="001B0EA3">
        <w:rPr>
          <w:b/>
          <w:szCs w:val="24"/>
          <w:lang w:eastAsia="bg-BG"/>
        </w:rPr>
        <w:t xml:space="preserve">за срок </w:t>
      </w:r>
      <w:r w:rsidR="000B1955">
        <w:rPr>
          <w:b/>
          <w:szCs w:val="24"/>
          <w:lang w:eastAsia="bg-BG"/>
        </w:rPr>
        <w:t xml:space="preserve">не по-кракък </w:t>
      </w:r>
      <w:r w:rsidRPr="001B0EA3">
        <w:rPr>
          <w:b/>
          <w:szCs w:val="24"/>
          <w:lang w:eastAsia="bg-BG"/>
        </w:rPr>
        <w:t>от 10 години,</w:t>
      </w:r>
      <w:r w:rsidRPr="001B0EA3">
        <w:rPr>
          <w:szCs w:val="24"/>
          <w:lang w:eastAsia="bg-BG"/>
        </w:rPr>
        <w:t xml:space="preserve"> считано от датата на последното </w:t>
      </w:r>
      <w:r w:rsidR="000B1955">
        <w:rPr>
          <w:szCs w:val="24"/>
          <w:lang w:eastAsia="bg-BG"/>
        </w:rPr>
        <w:t xml:space="preserve">предостявяне на помощ </w:t>
      </w:r>
      <w:r w:rsidRPr="001B0EA3">
        <w:rPr>
          <w:szCs w:val="24"/>
          <w:lang w:eastAsia="bg-BG"/>
        </w:rPr>
        <w:t>по схемата или по индивидуално предоставената помощ</w:t>
      </w:r>
      <w:r w:rsidRPr="001B0EA3">
        <w:rPr>
          <w:rStyle w:val="FootnoteReference"/>
          <w:szCs w:val="24"/>
          <w:lang w:eastAsia="bg-BG"/>
        </w:rPr>
        <w:footnoteReference w:id="37"/>
      </w:r>
      <w:r w:rsidRPr="001B0EA3">
        <w:rPr>
          <w:szCs w:val="24"/>
          <w:lang w:eastAsia="bg-BG"/>
        </w:rPr>
        <w:t>.</w:t>
      </w:r>
    </w:p>
    <w:p w14:paraId="260CCE09" w14:textId="77777777" w:rsidR="00D603F5" w:rsidRPr="001B0EA3" w:rsidRDefault="00D603F5" w:rsidP="00511860">
      <w:pPr>
        <w:tabs>
          <w:tab w:val="left" w:pos="4500"/>
        </w:tabs>
        <w:spacing w:beforeLines="60" w:before="144" w:afterLines="60" w:after="144"/>
        <w:rPr>
          <w:szCs w:val="22"/>
          <w:lang w:eastAsia="en-US"/>
        </w:rPr>
      </w:pPr>
      <w:r w:rsidRPr="001B0EA3">
        <w:rPr>
          <w:szCs w:val="24"/>
          <w:lang w:eastAsia="en-US"/>
        </w:rPr>
        <w:t>В тази връзка и в случай на необходимост, УО на ОПТТИ ще разработи и включи в ПНУИ</w:t>
      </w:r>
      <w:r w:rsidR="0073607D" w:rsidRPr="001B0EA3">
        <w:rPr>
          <w:szCs w:val="24"/>
          <w:lang w:eastAsia="en-US"/>
        </w:rPr>
        <w:t xml:space="preserve"> на </w:t>
      </w:r>
      <w:r w:rsidRPr="001B0EA3">
        <w:rPr>
          <w:szCs w:val="24"/>
          <w:lang w:eastAsia="en-US"/>
        </w:rPr>
        <w:t xml:space="preserve">ОПТТИ допълнителни ангажименти и действия за осигуряване на спазването на произтичащите от ЗДП задължения. </w:t>
      </w:r>
    </w:p>
    <w:p w14:paraId="5449001E" w14:textId="77777777" w:rsidR="002134FC" w:rsidRPr="001B0EA3" w:rsidRDefault="002134FC" w:rsidP="00660856">
      <w:pPr>
        <w:tabs>
          <w:tab w:val="left" w:pos="4500"/>
        </w:tabs>
        <w:spacing w:beforeLines="60" w:before="144" w:afterLines="60" w:after="144"/>
        <w:rPr>
          <w:i/>
          <w:szCs w:val="22"/>
          <w:lang w:eastAsia="en-US"/>
        </w:rPr>
      </w:pPr>
    </w:p>
    <w:p w14:paraId="0F96585E" w14:textId="77777777" w:rsidR="00D603F5" w:rsidRPr="001B0EA3" w:rsidRDefault="000B1955" w:rsidP="000B1955">
      <w:pPr>
        <w:pStyle w:val="Style1"/>
      </w:pPr>
      <w:bookmarkStart w:id="455" w:name="_Toc140150185"/>
      <w:r w:rsidRPr="000B1955">
        <w:t>Осигуряване на прозрачност за предоставените държавни помощи</w:t>
      </w:r>
      <w:bookmarkEnd w:id="455"/>
    </w:p>
    <w:p w14:paraId="15C8BCFB" w14:textId="77777777" w:rsidR="00200ACD" w:rsidRDefault="00200ACD" w:rsidP="00E669F1">
      <w:pPr>
        <w:ind w:firstLine="567"/>
        <w:rPr>
          <w:szCs w:val="22"/>
          <w:lang w:eastAsia="en-US"/>
        </w:rPr>
      </w:pPr>
      <w:r w:rsidRPr="001B0EA3">
        <w:rPr>
          <w:szCs w:val="22"/>
          <w:lang w:eastAsia="en-US"/>
        </w:rPr>
        <w:t xml:space="preserve">Съгласно </w:t>
      </w:r>
      <w:r w:rsidR="00174533" w:rsidRPr="008135B2">
        <w:rPr>
          <w:szCs w:val="24"/>
          <w:lang w:eastAsia="en-US"/>
        </w:rPr>
        <w:t xml:space="preserve">разясненията </w:t>
      </w:r>
      <w:r w:rsidR="00174533" w:rsidRPr="000A1B9C">
        <w:rPr>
          <w:szCs w:val="24"/>
          <w:lang w:eastAsia="en-US"/>
        </w:rPr>
        <w:t xml:space="preserve">от </w:t>
      </w:r>
      <w:r w:rsidRPr="001B0EA3">
        <w:rPr>
          <w:szCs w:val="22"/>
          <w:lang w:eastAsia="en-US"/>
        </w:rPr>
        <w:t>Съобщението за прозрачността</w:t>
      </w:r>
      <w:r w:rsidRPr="001B0EA3">
        <w:rPr>
          <w:rStyle w:val="FootnoteReference"/>
          <w:szCs w:val="22"/>
          <w:lang w:eastAsia="en-US"/>
        </w:rPr>
        <w:footnoteReference w:id="38"/>
      </w:r>
      <w:r w:rsidRPr="001B0EA3">
        <w:rPr>
          <w:szCs w:val="22"/>
          <w:lang w:eastAsia="en-US"/>
        </w:rPr>
        <w:t xml:space="preserve"> (OB C 198, 27.6.2014 г.) </w:t>
      </w:r>
      <w:r w:rsidR="00A0761D" w:rsidRPr="001B0EA3">
        <w:rPr>
          <w:szCs w:val="22"/>
          <w:lang w:eastAsia="en-US"/>
        </w:rPr>
        <w:t>(</w:t>
      </w:r>
      <w:hyperlink r:id="rId56" w:tooltip="Съобщение на Комисията за прозрачността" w:history="1">
        <w:r w:rsidR="00AE381A" w:rsidRPr="00251D03">
          <w:rPr>
            <w:rStyle w:val="Hyperlink"/>
            <w:i/>
            <w:szCs w:val="22"/>
            <w:lang w:eastAsia="en-US"/>
          </w:rPr>
          <w:t>Приложение № 2.04</w:t>
        </w:r>
      </w:hyperlink>
      <w:r w:rsidR="00A0761D" w:rsidRPr="001B0EA3">
        <w:rPr>
          <w:szCs w:val="22"/>
          <w:lang w:eastAsia="en-US"/>
        </w:rPr>
        <w:t xml:space="preserve">) </w:t>
      </w:r>
      <w:r w:rsidRPr="001B0EA3">
        <w:rPr>
          <w:szCs w:val="22"/>
          <w:lang w:eastAsia="en-US"/>
        </w:rPr>
        <w:t xml:space="preserve">и другите нормативни документи (насоки/регламент/съобщение/рамка), съдържащи разпоредби за прозрачност, считано от 1 юли 2016 г. всички държавни помощи в размер над 500 000 евро, чийто акт за предоставяне е с дата след 30.06.2016 г., следва да бъдат публично оповестени. Последното е неразделна част от условията на съответния нормативен документ за осигуряване на съвместимост на дадена държавна помощ с правилата в областта на законодателството по държавните помощи. </w:t>
      </w:r>
    </w:p>
    <w:p w14:paraId="5106B0D0" w14:textId="77777777" w:rsidR="00174533" w:rsidRPr="000A1B9C" w:rsidRDefault="00174533" w:rsidP="00174533">
      <w:pPr>
        <w:ind w:firstLine="567"/>
        <w:rPr>
          <w:szCs w:val="24"/>
          <w:lang w:eastAsia="en-US"/>
        </w:rPr>
      </w:pPr>
      <w:r w:rsidRPr="000A1B9C">
        <w:rPr>
          <w:szCs w:val="24"/>
          <w:lang w:eastAsia="en-US"/>
        </w:rPr>
        <w:t>На основание чл. 26, ал.1 от ПП ЗДП информацията по чл. 52 от ЗДП държавните помощи се обявява от администраторите на помощ</w:t>
      </w:r>
      <w:r w:rsidRPr="009D693A">
        <w:rPr>
          <w:szCs w:val="24"/>
          <w:lang w:eastAsia="en-US"/>
        </w:rPr>
        <w:t xml:space="preserve"> чрез директно въвеждане на записи в Модула за прозрачност на ЕК </w:t>
      </w:r>
      <w:r w:rsidRPr="009D693A">
        <w:rPr>
          <w:i/>
          <w:szCs w:val="24"/>
          <w:lang w:eastAsia="en-US"/>
        </w:rPr>
        <w:t>(ТАМ)</w:t>
      </w:r>
      <w:r w:rsidRPr="008135B2">
        <w:rPr>
          <w:rStyle w:val="FootnoteReference"/>
          <w:szCs w:val="24"/>
          <w:lang w:eastAsia="en-US"/>
        </w:rPr>
        <w:footnoteReference w:id="39"/>
      </w:r>
      <w:r w:rsidRPr="008135B2">
        <w:rPr>
          <w:szCs w:val="24"/>
          <w:lang w:eastAsia="en-US"/>
        </w:rPr>
        <w:t xml:space="preserve">. </w:t>
      </w:r>
    </w:p>
    <w:p w14:paraId="08BA0E48" w14:textId="77777777" w:rsidR="00200ACD" w:rsidRPr="001B0EA3" w:rsidRDefault="00200ACD" w:rsidP="00E669F1">
      <w:pPr>
        <w:ind w:firstLine="567"/>
        <w:rPr>
          <w:szCs w:val="22"/>
          <w:lang w:eastAsia="en-US"/>
        </w:rPr>
      </w:pPr>
      <w:r w:rsidRPr="001B0EA3">
        <w:rPr>
          <w:szCs w:val="22"/>
          <w:lang w:eastAsia="en-US"/>
        </w:rPr>
        <w:t xml:space="preserve">Предвид факта, че администраторите на помощ носят цялата отговорност за съответствието на </w:t>
      </w:r>
      <w:r w:rsidR="00E813B6" w:rsidRPr="001B0EA3">
        <w:rPr>
          <w:szCs w:val="22"/>
          <w:lang w:eastAsia="en-US"/>
        </w:rPr>
        <w:t>предоставените</w:t>
      </w:r>
      <w:r w:rsidRPr="001B0EA3">
        <w:rPr>
          <w:szCs w:val="22"/>
          <w:lang w:eastAsia="en-US"/>
        </w:rPr>
        <w:t xml:space="preserve"> от тях публични средства с българското и европейското законодателство по държавните помощи, вкл. за спазването на изискванията за прозрачност на държавните помощи, същите са отговорни и за въвеждането на информация в Модула на ЕК за отпуснатите от тях държавни помощи. </w:t>
      </w:r>
    </w:p>
    <w:p w14:paraId="64C29727" w14:textId="77777777" w:rsidR="00200ACD" w:rsidRPr="001B0EA3" w:rsidRDefault="00200ACD" w:rsidP="00E669F1">
      <w:pPr>
        <w:ind w:firstLine="567"/>
        <w:rPr>
          <w:szCs w:val="22"/>
          <w:lang w:eastAsia="en-US"/>
        </w:rPr>
      </w:pPr>
      <w:r w:rsidRPr="001B0EA3">
        <w:rPr>
          <w:szCs w:val="22"/>
          <w:lang w:eastAsia="en-US"/>
        </w:rPr>
        <w:t xml:space="preserve">Модулът на ЕК може да бъде достъпен, както следва: </w:t>
      </w:r>
    </w:p>
    <w:p w14:paraId="182D9973" w14:textId="77777777" w:rsidR="00200ACD" w:rsidRPr="001B0EA3" w:rsidRDefault="00200ACD" w:rsidP="00E669F1">
      <w:pPr>
        <w:ind w:firstLine="567"/>
        <w:rPr>
          <w:szCs w:val="22"/>
          <w:lang w:eastAsia="en-US"/>
        </w:rPr>
      </w:pPr>
      <w:r w:rsidRPr="001B0EA3">
        <w:rPr>
          <w:b/>
          <w:bCs/>
          <w:i/>
          <w:iCs/>
          <w:szCs w:val="22"/>
          <w:lang w:eastAsia="en-US"/>
        </w:rPr>
        <w:t>- потребителска част на Модула</w:t>
      </w:r>
      <w:r w:rsidRPr="001B0EA3">
        <w:rPr>
          <w:szCs w:val="22"/>
          <w:lang w:eastAsia="en-US"/>
        </w:rPr>
        <w:t xml:space="preserve">: </w:t>
      </w:r>
      <w:hyperlink r:id="rId57" w:history="1">
        <w:r w:rsidRPr="001B0EA3">
          <w:rPr>
            <w:rStyle w:val="Hyperlink"/>
            <w:szCs w:val="22"/>
            <w:lang w:eastAsia="en-US"/>
          </w:rPr>
          <w:t>https://webgate.ec.europa.eu/competition/transparency/</w:t>
        </w:r>
      </w:hyperlink>
      <w:r w:rsidRPr="001B0EA3">
        <w:rPr>
          <w:szCs w:val="22"/>
          <w:lang w:eastAsia="en-US"/>
        </w:rPr>
        <w:t xml:space="preserve">, предназначена за администраторите на помощ, отговорни за въвеждането на информация в него за предоставените от тях държавни помощи; </w:t>
      </w:r>
    </w:p>
    <w:p w14:paraId="286481EF" w14:textId="77777777" w:rsidR="00200ACD" w:rsidRPr="001B0EA3" w:rsidRDefault="00200ACD" w:rsidP="00E669F1">
      <w:pPr>
        <w:ind w:firstLine="567"/>
        <w:rPr>
          <w:szCs w:val="22"/>
          <w:lang w:eastAsia="en-US"/>
        </w:rPr>
      </w:pPr>
      <w:r w:rsidRPr="001B0EA3">
        <w:rPr>
          <w:szCs w:val="22"/>
          <w:lang w:eastAsia="en-US"/>
        </w:rPr>
        <w:t xml:space="preserve">- </w:t>
      </w:r>
      <w:r w:rsidRPr="001B0EA3">
        <w:rPr>
          <w:b/>
          <w:bCs/>
          <w:i/>
          <w:iCs/>
          <w:szCs w:val="22"/>
          <w:lang w:eastAsia="en-US"/>
        </w:rPr>
        <w:t>публична част на Модула</w:t>
      </w:r>
      <w:r w:rsidRPr="001B0EA3">
        <w:rPr>
          <w:szCs w:val="22"/>
          <w:lang w:eastAsia="en-US"/>
        </w:rPr>
        <w:t xml:space="preserve">: </w:t>
      </w:r>
      <w:hyperlink r:id="rId58" w:history="1">
        <w:r w:rsidR="00E40779" w:rsidRPr="001B0EA3">
          <w:rPr>
            <w:rStyle w:val="Hyperlink"/>
            <w:szCs w:val="22"/>
            <w:lang w:eastAsia="en-US"/>
          </w:rPr>
          <w:t>https://webgate.ec.europa.eu/competition/transparency/public/ search/home/</w:t>
        </w:r>
      </w:hyperlink>
      <w:r w:rsidRPr="001B0EA3">
        <w:rPr>
          <w:szCs w:val="22"/>
          <w:lang w:eastAsia="en-US"/>
        </w:rPr>
        <w:t xml:space="preserve">, предназначена за широката аудитория - всяко заинтересовано лице свободно може да направи справка за получените държавни помощи от даден бенефициент при задаване на съответните филтри/критерии. </w:t>
      </w:r>
    </w:p>
    <w:p w14:paraId="32D9674C" w14:textId="77777777" w:rsidR="00C17315" w:rsidRPr="00C17315" w:rsidRDefault="00200ACD" w:rsidP="00C17315">
      <w:pPr>
        <w:ind w:firstLine="567"/>
        <w:rPr>
          <w:szCs w:val="22"/>
          <w:lang w:eastAsia="en-US"/>
        </w:rPr>
      </w:pPr>
      <w:r w:rsidRPr="001B0EA3">
        <w:rPr>
          <w:szCs w:val="22"/>
          <w:lang w:eastAsia="en-US"/>
        </w:rPr>
        <w:t xml:space="preserve">По отношение на потребителската част на Модула, за Република </w:t>
      </w:r>
      <w:r w:rsidRPr="00251D03">
        <w:rPr>
          <w:b/>
          <w:szCs w:val="22"/>
          <w:lang w:eastAsia="en-US"/>
        </w:rPr>
        <w:t>България</w:t>
      </w:r>
      <w:r w:rsidRPr="00C17315">
        <w:rPr>
          <w:b/>
          <w:bCs/>
          <w:szCs w:val="22"/>
          <w:lang w:eastAsia="en-US"/>
        </w:rPr>
        <w:t xml:space="preserve"> </w:t>
      </w:r>
      <w:r w:rsidRPr="00C17315">
        <w:rPr>
          <w:b/>
          <w:bCs/>
          <w:szCs w:val="22"/>
          <w:u w:val="single"/>
          <w:lang w:eastAsia="en-US"/>
        </w:rPr>
        <w:t xml:space="preserve">редът и нивата за предоставяне на достъп до Модула </w:t>
      </w:r>
      <w:r w:rsidRPr="00251D03">
        <w:rPr>
          <w:bCs/>
          <w:szCs w:val="22"/>
          <w:u w:val="single"/>
          <w:lang w:eastAsia="en-US"/>
        </w:rPr>
        <w:t xml:space="preserve">са </w:t>
      </w:r>
      <w:r w:rsidR="00C17315" w:rsidRPr="00251D03">
        <w:rPr>
          <w:bCs/>
          <w:szCs w:val="22"/>
          <w:u w:val="single"/>
          <w:lang w:eastAsia="en-US"/>
        </w:rPr>
        <w:t>определени в П</w:t>
      </w:r>
      <w:r w:rsidR="00C17315" w:rsidRPr="00C17315">
        <w:rPr>
          <w:szCs w:val="22"/>
          <w:lang w:eastAsia="en-US"/>
        </w:rPr>
        <w:t xml:space="preserve">роцедура за управление на потребителския достъп и работа с Модула за прозрачност на държавните помощи на </w:t>
      </w:r>
      <w:r w:rsidR="00C17315" w:rsidRPr="00C17315">
        <w:rPr>
          <w:szCs w:val="22"/>
          <w:lang w:eastAsia="en-US"/>
        </w:rPr>
        <w:lastRenderedPageBreak/>
        <w:t xml:space="preserve">Европейската комисия“е одобрена със Заповед на министъра на финансите № 71 от 21.01.2019 г. Същата е достъпна на следния линк: </w:t>
      </w:r>
      <w:hyperlink r:id="rId59" w:history="1">
        <w:r w:rsidR="00C17315" w:rsidRPr="00C17315">
          <w:rPr>
            <w:rStyle w:val="Hyperlink"/>
            <w:szCs w:val="22"/>
            <w:lang w:eastAsia="en-US"/>
          </w:rPr>
          <w:t>http://stateaid.minfin.bg/bg/page/464</w:t>
        </w:r>
      </w:hyperlink>
      <w:r w:rsidR="00C17315" w:rsidRPr="00C17315">
        <w:rPr>
          <w:szCs w:val="22"/>
          <w:lang w:eastAsia="en-US"/>
        </w:rPr>
        <w:t>.</w:t>
      </w:r>
    </w:p>
    <w:p w14:paraId="595C8E4C" w14:textId="77777777" w:rsidR="00200ACD" w:rsidRPr="001B0EA3" w:rsidRDefault="00200ACD" w:rsidP="00E669F1">
      <w:pPr>
        <w:ind w:firstLine="567"/>
        <w:rPr>
          <w:szCs w:val="22"/>
          <w:lang w:eastAsia="en-US"/>
        </w:rPr>
      </w:pPr>
    </w:p>
    <w:p w14:paraId="4ECBE295" w14:textId="77777777" w:rsidR="00200ACD" w:rsidRPr="001B0EA3" w:rsidRDefault="00C17315" w:rsidP="00E669F1">
      <w:pPr>
        <w:ind w:firstLine="567"/>
        <w:rPr>
          <w:b/>
          <w:szCs w:val="22"/>
          <w:lang w:eastAsia="en-US"/>
        </w:rPr>
      </w:pPr>
      <w:r>
        <w:rPr>
          <w:b/>
          <w:szCs w:val="22"/>
          <w:lang w:eastAsia="en-US"/>
        </w:rPr>
        <w:t xml:space="preserve">В тази връзка </w:t>
      </w:r>
      <w:r w:rsidR="00200ACD" w:rsidRPr="001B0EA3">
        <w:rPr>
          <w:b/>
          <w:szCs w:val="22"/>
          <w:lang w:eastAsia="en-US"/>
        </w:rPr>
        <w:t>в рамките на УО на ОПТТИ следва</w:t>
      </w:r>
      <w:r w:rsidR="00E40779" w:rsidRPr="001B0EA3">
        <w:rPr>
          <w:b/>
          <w:szCs w:val="22"/>
          <w:lang w:eastAsia="en-US"/>
        </w:rPr>
        <w:t xml:space="preserve"> да б</w:t>
      </w:r>
      <w:r w:rsidR="00200ACD" w:rsidRPr="001B0EA3">
        <w:rPr>
          <w:b/>
          <w:szCs w:val="22"/>
          <w:lang w:eastAsia="en-US"/>
        </w:rPr>
        <w:t xml:space="preserve">ъдат определени </w:t>
      </w:r>
      <w:r w:rsidR="00E40779" w:rsidRPr="001B0EA3">
        <w:rPr>
          <w:b/>
          <w:szCs w:val="22"/>
          <w:lang w:eastAsia="en-US"/>
        </w:rPr>
        <w:t>служители</w:t>
      </w:r>
      <w:r w:rsidR="00200ACD" w:rsidRPr="001B0EA3">
        <w:rPr>
          <w:b/>
          <w:szCs w:val="22"/>
          <w:lang w:eastAsia="en-US"/>
        </w:rPr>
        <w:t xml:space="preserve">, които да имат горепосочените права с цел своевременното качване на </w:t>
      </w:r>
      <w:r w:rsidR="00E40779" w:rsidRPr="001B0EA3">
        <w:rPr>
          <w:b/>
          <w:szCs w:val="22"/>
          <w:lang w:eastAsia="en-US"/>
        </w:rPr>
        <w:t>информация</w:t>
      </w:r>
      <w:r w:rsidR="00200ACD" w:rsidRPr="001B0EA3">
        <w:rPr>
          <w:b/>
          <w:szCs w:val="22"/>
          <w:lang w:eastAsia="en-US"/>
        </w:rPr>
        <w:t xml:space="preserve"> в TAM.  </w:t>
      </w:r>
    </w:p>
    <w:p w14:paraId="7EC05A52" w14:textId="77777777" w:rsidR="00E669F1" w:rsidRPr="001B0EA3" w:rsidRDefault="00200ACD" w:rsidP="00E669F1">
      <w:pPr>
        <w:ind w:firstLine="567"/>
        <w:rPr>
          <w:szCs w:val="22"/>
          <w:lang w:eastAsia="en-US"/>
        </w:rPr>
      </w:pPr>
      <w:r w:rsidRPr="001B0EA3">
        <w:rPr>
          <w:szCs w:val="22"/>
          <w:lang w:eastAsia="en-US"/>
        </w:rPr>
        <w:t xml:space="preserve">Съгласно Насоките за прозрачност </w:t>
      </w:r>
      <w:r w:rsidR="00A0761D" w:rsidRPr="001B0EA3">
        <w:rPr>
          <w:szCs w:val="22"/>
          <w:lang w:eastAsia="en-US"/>
        </w:rPr>
        <w:t>(</w:t>
      </w:r>
      <w:hyperlink r:id="rId60" w:tooltip="Съобщение на Комисията за прозрачността" w:history="1">
        <w:r w:rsidR="00AE381A" w:rsidRPr="00251D03">
          <w:rPr>
            <w:rStyle w:val="Hyperlink"/>
            <w:i/>
            <w:szCs w:val="22"/>
            <w:lang w:eastAsia="en-US"/>
          </w:rPr>
          <w:t>Приложение № 2.04</w:t>
        </w:r>
      </w:hyperlink>
      <w:r w:rsidR="00A0761D" w:rsidRPr="001B0EA3">
        <w:rPr>
          <w:szCs w:val="22"/>
          <w:lang w:eastAsia="en-US"/>
        </w:rPr>
        <w:t xml:space="preserve">) </w:t>
      </w:r>
      <w:r w:rsidR="00174533" w:rsidRPr="00174533">
        <w:rPr>
          <w:szCs w:val="22"/>
          <w:lang w:eastAsia="en-US"/>
        </w:rPr>
        <w:t xml:space="preserve">и чл. 26, ал. 5 от ПП ЗДП </w:t>
      </w:r>
      <w:r w:rsidRPr="001B0EA3">
        <w:rPr>
          <w:szCs w:val="22"/>
          <w:lang w:eastAsia="en-US"/>
        </w:rPr>
        <w:t>информацията за предоставените ДП трябва да се публикува в срок от 6 месеца от датата на предоставяне или за помощ под формата на данъчно предимство -  в срок от 1 година от датата, на която се изисква данъчната декларация, а в случай на неправомерна помощ – до шест месеца от датата на Решението на ЕК.</w:t>
      </w:r>
      <w:r w:rsidR="00E669F1" w:rsidRPr="001B0EA3">
        <w:rPr>
          <w:szCs w:val="22"/>
          <w:lang w:eastAsia="en-US"/>
        </w:rPr>
        <w:t xml:space="preserve">  </w:t>
      </w:r>
    </w:p>
    <w:p w14:paraId="34560715" w14:textId="77777777" w:rsidR="006454A4" w:rsidRPr="001B0EA3" w:rsidRDefault="006454A4" w:rsidP="00E669F1">
      <w:pPr>
        <w:ind w:firstLine="567"/>
        <w:rPr>
          <w:rFonts w:ascii="EUAlbertina" w:hAnsi="EUAlbertina" w:cs="EUAlbertina"/>
          <w:color w:val="000000"/>
          <w:szCs w:val="24"/>
          <w:lang w:eastAsia="bg-BG"/>
        </w:rPr>
      </w:pPr>
      <w:r w:rsidRPr="001B0EA3">
        <w:rPr>
          <w:rFonts w:ascii="EUAlbertina" w:hAnsi="EUAlbertina" w:cs="EUAlbertina"/>
          <w:color w:val="000000"/>
          <w:szCs w:val="24"/>
          <w:lang w:eastAsia="bg-BG"/>
        </w:rPr>
        <w:t xml:space="preserve">Фиг. 2.11. Процес на </w:t>
      </w:r>
      <w:r w:rsidR="00E40779" w:rsidRPr="001B0EA3">
        <w:rPr>
          <w:rFonts w:ascii="EUAlbertina" w:hAnsi="EUAlbertina" w:cs="EUAlbertina"/>
          <w:color w:val="000000"/>
          <w:szCs w:val="24"/>
          <w:lang w:eastAsia="bg-BG"/>
        </w:rPr>
        <w:t>предоставяне</w:t>
      </w:r>
      <w:r w:rsidRPr="001B0EA3">
        <w:rPr>
          <w:rFonts w:ascii="EUAlbertina" w:hAnsi="EUAlbertina" w:cs="EUAlbertina"/>
          <w:color w:val="000000"/>
          <w:szCs w:val="24"/>
          <w:lang w:eastAsia="bg-BG"/>
        </w:rPr>
        <w:t xml:space="preserve"> на държавна помощ: </w:t>
      </w:r>
      <w:r w:rsidR="00E40779" w:rsidRPr="001B0EA3">
        <w:rPr>
          <w:rFonts w:ascii="EUAlbertina" w:hAnsi="EUAlbertina" w:cs="EUAlbertina"/>
          <w:color w:val="000000"/>
          <w:szCs w:val="24"/>
          <w:lang w:eastAsia="bg-BG"/>
        </w:rPr>
        <w:t>предоставяне</w:t>
      </w:r>
      <w:r w:rsidRPr="001B0EA3">
        <w:rPr>
          <w:rFonts w:ascii="EUAlbertina" w:hAnsi="EUAlbertina" w:cs="EUAlbertina"/>
          <w:color w:val="000000"/>
          <w:szCs w:val="24"/>
          <w:lang w:eastAsia="bg-BG"/>
        </w:rPr>
        <w:t xml:space="preserve">, прозрачност и докладване </w:t>
      </w:r>
    </w:p>
    <w:p w14:paraId="635A7DE1" w14:textId="77777777" w:rsidR="008935F0" w:rsidRPr="001B0EA3" w:rsidRDefault="008935F0" w:rsidP="00E669F1">
      <w:pPr>
        <w:ind w:firstLine="567"/>
        <w:rPr>
          <w:rFonts w:ascii="EUAlbertina" w:hAnsi="EUAlbertina" w:cs="EUAlbertina"/>
          <w:color w:val="000000"/>
          <w:szCs w:val="24"/>
          <w:lang w:eastAsia="bg-BG"/>
        </w:rPr>
      </w:pPr>
    </w:p>
    <w:p w14:paraId="219C04FF" w14:textId="77777777" w:rsidR="006454A4" w:rsidRPr="001B0EA3" w:rsidRDefault="00937754" w:rsidP="008A4483">
      <w:pPr>
        <w:autoSpaceDE w:val="0"/>
        <w:autoSpaceDN w:val="0"/>
        <w:adjustRightInd w:val="0"/>
        <w:ind w:firstLine="0"/>
        <w:jc w:val="left"/>
        <w:rPr>
          <w:rFonts w:ascii="EUAlbertina" w:hAnsi="EUAlbertina" w:cs="EUAlbertina"/>
          <w:color w:val="000000"/>
          <w:szCs w:val="24"/>
          <w:lang w:eastAsia="bg-BG"/>
        </w:rPr>
      </w:pPr>
      <w:r w:rsidRPr="001B0EA3">
        <w:rPr>
          <w:noProof/>
          <w:lang w:eastAsia="bg-BG"/>
        </w:rPr>
        <mc:AlternateContent>
          <mc:Choice Requires="wpg">
            <w:drawing>
              <wp:inline distT="0" distB="0" distL="0" distR="0" wp14:anchorId="03286EB4" wp14:editId="412B9D66">
                <wp:extent cx="6025515" cy="3059430"/>
                <wp:effectExtent l="57150" t="38100" r="51435" b="26670"/>
                <wp:docPr id="202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3059430"/>
                          <a:chOff x="0" y="0"/>
                          <a:chExt cx="6025427" cy="3059475"/>
                        </a:xfrm>
                      </wpg:grpSpPr>
                      <wps:wsp>
                        <wps:cNvPr id="2028" name="CasellaDiTesto 6"/>
                        <wps:cNvSpPr txBox="1">
                          <a:spLocks noChangeArrowheads="1"/>
                        </wps:cNvSpPr>
                        <wps:spPr bwMode="auto">
                          <a:xfrm>
                            <a:off x="2817372" y="2157988"/>
                            <a:ext cx="1604622" cy="901078"/>
                          </a:xfrm>
                          <a:prstGeom prst="rect">
                            <a:avLst/>
                          </a:prstGeom>
                          <a:solidFill>
                            <a:srgbClr val="FFFFFF"/>
                          </a:solidFill>
                          <a:ln w="38100" algn="ctr">
                            <a:solidFill>
                              <a:srgbClr val="5B9BD5"/>
                            </a:solidFill>
                            <a:miter lim="800000"/>
                            <a:headEnd/>
                            <a:tailEnd/>
                          </a:ln>
                        </wps:spPr>
                        <wps:txbx>
                          <w:txbxContent>
                            <w:p w14:paraId="402483AA" w14:textId="77777777" w:rsidR="004E3164" w:rsidRPr="008A4483" w:rsidRDefault="004E3164" w:rsidP="008A4483">
                              <w:pPr>
                                <w:pStyle w:val="ListParagraph"/>
                                <w:numPr>
                                  <w:ilvl w:val="0"/>
                                  <w:numId w:val="246"/>
                                </w:numPr>
                                <w:tabs>
                                  <w:tab w:val="clear" w:pos="720"/>
                                  <w:tab w:val="num" w:pos="284"/>
                                </w:tabs>
                                <w:ind w:left="0" w:firstLine="0"/>
                                <w:jc w:val="left"/>
                                <w:textAlignment w:val="baseline"/>
                                <w:rPr>
                                  <w:sz w:val="20"/>
                                </w:rPr>
                              </w:pPr>
                              <w:r w:rsidRPr="008A4483">
                                <w:rPr>
                                  <w:rFonts w:ascii="Verdana" w:hAnsi="Verdana"/>
                                  <w:color w:val="0F5494"/>
                                  <w:kern w:val="24"/>
                                  <w:sz w:val="20"/>
                                </w:rPr>
                                <w:t xml:space="preserve">Фокус върху предоставената помощ </w:t>
                              </w:r>
                            </w:p>
                            <w:p w14:paraId="53DBDBFC" w14:textId="77777777" w:rsidR="004E3164" w:rsidRPr="008A4483" w:rsidRDefault="004E3164" w:rsidP="008A4483">
                              <w:pPr>
                                <w:pStyle w:val="ListParagraph"/>
                                <w:numPr>
                                  <w:ilvl w:val="0"/>
                                  <w:numId w:val="246"/>
                                </w:numPr>
                                <w:tabs>
                                  <w:tab w:val="clear" w:pos="720"/>
                                  <w:tab w:val="num" w:pos="284"/>
                                </w:tabs>
                                <w:ind w:left="0" w:firstLine="0"/>
                                <w:jc w:val="left"/>
                                <w:textAlignment w:val="baseline"/>
                                <w:rPr>
                                  <w:sz w:val="20"/>
                                </w:rPr>
                              </w:pPr>
                              <w:r w:rsidRPr="008A4483">
                                <w:rPr>
                                  <w:rFonts w:ascii="Verdana" w:hAnsi="Verdana"/>
                                  <w:color w:val="0F5494"/>
                                  <w:kern w:val="24"/>
                                  <w:sz w:val="20"/>
                                </w:rPr>
                                <w:t xml:space="preserve">Информация на ниво получатели </w:t>
                              </w:r>
                            </w:p>
                          </w:txbxContent>
                        </wps:txbx>
                        <wps:bodyPr rot="0" vert="horz" wrap="square" lIns="91440" tIns="45720" rIns="91440" bIns="45720" anchor="t" anchorCtr="0" upright="1">
                          <a:spAutoFit/>
                        </wps:bodyPr>
                      </wps:wsp>
                      <wps:wsp>
                        <wps:cNvPr id="2029" name="CasellaDiTesto 10"/>
                        <wps:cNvSpPr txBox="1">
                          <a:spLocks noChangeArrowheads="1"/>
                        </wps:cNvSpPr>
                        <wps:spPr bwMode="auto">
                          <a:xfrm>
                            <a:off x="0" y="2147777"/>
                            <a:ext cx="1339703" cy="911698"/>
                          </a:xfrm>
                          <a:prstGeom prst="rect">
                            <a:avLst/>
                          </a:prstGeom>
                          <a:solidFill>
                            <a:srgbClr val="FFFFFF"/>
                          </a:solidFill>
                          <a:ln w="38100" cap="rnd" algn="ctr">
                            <a:solidFill>
                              <a:srgbClr val="5B9BD5"/>
                            </a:solidFill>
                            <a:round/>
                            <a:headEnd/>
                            <a:tailEnd/>
                          </a:ln>
                        </wps:spPr>
                        <wps:txbx>
                          <w:txbxContent>
                            <w:p w14:paraId="0F370B54" w14:textId="77777777" w:rsidR="004E3164" w:rsidRPr="008A4483" w:rsidRDefault="004E3164" w:rsidP="008A4483">
                              <w:pPr>
                                <w:pStyle w:val="ListParagraph"/>
                                <w:numPr>
                                  <w:ilvl w:val="0"/>
                                  <w:numId w:val="247"/>
                                </w:numPr>
                                <w:tabs>
                                  <w:tab w:val="clear" w:pos="720"/>
                                  <w:tab w:val="num" w:pos="142"/>
                                </w:tabs>
                                <w:ind w:left="0" w:firstLine="0"/>
                                <w:jc w:val="left"/>
                                <w:textAlignment w:val="baseline"/>
                                <w:rPr>
                                  <w:sz w:val="20"/>
                                </w:rPr>
                              </w:pPr>
                              <w:r w:rsidRPr="008A4483">
                                <w:rPr>
                                  <w:rFonts w:ascii="Verdana" w:hAnsi="Verdana"/>
                                  <w:color w:val="0F5494"/>
                                  <w:kern w:val="24"/>
                                  <w:sz w:val="20"/>
                                </w:rPr>
                                <w:t>Предварително уведомление</w:t>
                              </w:r>
                            </w:p>
                          </w:txbxContent>
                        </wps:txbx>
                        <wps:bodyPr rot="0" vert="horz" wrap="square" lIns="91440" tIns="45720" rIns="91440" bIns="45720" anchor="t" anchorCtr="0" upright="1">
                          <a:noAutofit/>
                        </wps:bodyPr>
                      </wps:wsp>
                      <wps:wsp>
                        <wps:cNvPr id="2030" name="Freccia su 11"/>
                        <wps:cNvSpPr>
                          <a:spLocks noChangeArrowheads="1"/>
                        </wps:cNvSpPr>
                        <wps:spPr bwMode="auto">
                          <a:xfrm>
                            <a:off x="531628" y="1850066"/>
                            <a:ext cx="143510" cy="215900"/>
                          </a:xfrm>
                          <a:prstGeom prst="upArrow">
                            <a:avLst>
                              <a:gd name="adj1" fmla="val 50000"/>
                              <a:gd name="adj2" fmla="val 50001"/>
                            </a:avLst>
                          </a:prstGeom>
                          <a:noFill/>
                          <a:ln w="9525" algn="ctr">
                            <a:solidFill>
                              <a:srgbClr val="4F81BD"/>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rot="0" vert="horz" wrap="square" lIns="91440" tIns="45720" rIns="91440" bIns="45720" anchor="ctr" anchorCtr="0" upright="1">
                          <a:noAutofit/>
                        </wps:bodyPr>
                      </wps:wsp>
                      <wps:wsp>
                        <wps:cNvPr id="2031" name="Freccia su 12"/>
                        <wps:cNvSpPr>
                          <a:spLocks noChangeArrowheads="1"/>
                        </wps:cNvSpPr>
                        <wps:spPr bwMode="auto">
                          <a:xfrm>
                            <a:off x="3742661" y="1860698"/>
                            <a:ext cx="143510" cy="215900"/>
                          </a:xfrm>
                          <a:prstGeom prst="upArrow">
                            <a:avLst>
                              <a:gd name="adj1" fmla="val 50000"/>
                              <a:gd name="adj2" fmla="val 50001"/>
                            </a:avLst>
                          </a:prstGeom>
                          <a:noFill/>
                          <a:ln w="9525" algn="ctr">
                            <a:solidFill>
                              <a:srgbClr val="4F81BD"/>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rot="0" vert="horz" wrap="square" lIns="91440" tIns="45720" rIns="91440" bIns="45720" anchor="ctr" anchorCtr="0" upright="1">
                          <a:noAutofit/>
                        </wps:bodyPr>
                      </wps:wsp>
                      <wps:wsp>
                        <wps:cNvPr id="2032" name="Freccia su 12"/>
                        <wps:cNvSpPr>
                          <a:spLocks noChangeArrowheads="1"/>
                        </wps:cNvSpPr>
                        <wps:spPr bwMode="auto">
                          <a:xfrm>
                            <a:off x="5358810" y="1860698"/>
                            <a:ext cx="143510" cy="215900"/>
                          </a:xfrm>
                          <a:prstGeom prst="upArrow">
                            <a:avLst>
                              <a:gd name="adj1" fmla="val 50000"/>
                              <a:gd name="adj2" fmla="val 50001"/>
                            </a:avLst>
                          </a:prstGeom>
                          <a:noFill/>
                          <a:ln w="9525" algn="ctr">
                            <a:solidFill>
                              <a:srgbClr val="4F81BD"/>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rot="0" vert="horz" wrap="square" lIns="91440" tIns="45720" rIns="91440" bIns="45720" anchor="ctr" anchorCtr="0" upright="1">
                          <a:noAutofit/>
                        </wps:bodyPr>
                      </wps:wsp>
                      <wps:wsp>
                        <wps:cNvPr id="2033" name="CasellaDiTesto 8"/>
                        <wps:cNvSpPr txBox="1">
                          <a:spLocks noChangeArrowheads="1"/>
                        </wps:cNvSpPr>
                        <wps:spPr bwMode="auto">
                          <a:xfrm>
                            <a:off x="4720427" y="2157844"/>
                            <a:ext cx="1300461" cy="746771"/>
                          </a:xfrm>
                          <a:prstGeom prst="rect">
                            <a:avLst/>
                          </a:prstGeom>
                          <a:solidFill>
                            <a:srgbClr val="FFFFFF"/>
                          </a:solidFill>
                          <a:ln w="38100" algn="ctr">
                            <a:solidFill>
                              <a:srgbClr val="5B9BD5"/>
                            </a:solidFill>
                            <a:miter lim="800000"/>
                            <a:headEnd/>
                            <a:tailEnd/>
                          </a:ln>
                        </wps:spPr>
                        <wps:txbx>
                          <w:txbxContent>
                            <w:p w14:paraId="7D5E57A7" w14:textId="77777777" w:rsidR="004E3164" w:rsidRPr="008A4483" w:rsidRDefault="004E3164" w:rsidP="008A4483">
                              <w:pPr>
                                <w:pStyle w:val="ListParagraph"/>
                                <w:numPr>
                                  <w:ilvl w:val="0"/>
                                  <w:numId w:val="248"/>
                                </w:numPr>
                                <w:tabs>
                                  <w:tab w:val="clear" w:pos="720"/>
                                  <w:tab w:val="num" w:pos="284"/>
                                </w:tabs>
                                <w:ind w:left="0" w:firstLine="0"/>
                                <w:jc w:val="left"/>
                                <w:textAlignment w:val="baseline"/>
                                <w:rPr>
                                  <w:sz w:val="20"/>
                                </w:rPr>
                              </w:pPr>
                              <w:r w:rsidRPr="008A4483">
                                <w:rPr>
                                  <w:rFonts w:ascii="Verdana" w:hAnsi="Verdana"/>
                                  <w:color w:val="0F5494"/>
                                  <w:kern w:val="24"/>
                                  <w:sz w:val="20"/>
                                </w:rPr>
                                <w:t>Фокус върху разходите</w:t>
                              </w:r>
                            </w:p>
                            <w:p w14:paraId="275589E5" w14:textId="77777777" w:rsidR="004E3164" w:rsidRPr="008A4483" w:rsidRDefault="004E3164" w:rsidP="008A4483">
                              <w:pPr>
                                <w:pStyle w:val="ListParagraph"/>
                                <w:numPr>
                                  <w:ilvl w:val="0"/>
                                  <w:numId w:val="248"/>
                                </w:numPr>
                                <w:tabs>
                                  <w:tab w:val="clear" w:pos="720"/>
                                  <w:tab w:val="num" w:pos="284"/>
                                </w:tabs>
                                <w:ind w:left="0" w:firstLine="0"/>
                                <w:jc w:val="left"/>
                                <w:textAlignment w:val="baseline"/>
                                <w:rPr>
                                  <w:sz w:val="20"/>
                                </w:rPr>
                              </w:pPr>
                              <w:r w:rsidRPr="008A4483">
                                <w:rPr>
                                  <w:rFonts w:ascii="Verdana" w:hAnsi="Verdana"/>
                                  <w:color w:val="0F5494"/>
                                  <w:kern w:val="24"/>
                                  <w:sz w:val="20"/>
                                </w:rPr>
                                <w:t>Информация на ниво мярка</w:t>
                              </w:r>
                            </w:p>
                          </w:txbxContent>
                        </wps:txbx>
                        <wps:bodyPr rot="0" vert="horz" wrap="square" lIns="91440" tIns="45720" rIns="91440" bIns="45720" anchor="t" anchorCtr="0" upright="1">
                          <a:spAutoFit/>
                        </wps:bodyPr>
                      </wps:wsp>
                      <wps:wsp>
                        <wps:cNvPr id="2034" name="Text Box 10"/>
                        <wps:cNvSpPr txBox="1">
                          <a:spLocks noChangeArrowheads="1"/>
                        </wps:cNvSpPr>
                        <wps:spPr bwMode="auto">
                          <a:xfrm>
                            <a:off x="0" y="0"/>
                            <a:ext cx="1198245" cy="1763395"/>
                          </a:xfrm>
                          <a:prstGeom prst="rect">
                            <a:avLst/>
                          </a:prstGeom>
                          <a:solidFill>
                            <a:srgbClr val="002496"/>
                          </a:soli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8F1CAD3" w14:textId="77777777" w:rsidR="004E3164" w:rsidRPr="00974BF4" w:rsidRDefault="004E3164" w:rsidP="008A4483">
                              <w:pPr>
                                <w:ind w:firstLine="0"/>
                                <w:jc w:val="center"/>
                                <w:rPr>
                                  <w:rFonts w:ascii="Calibri" w:hAnsi="Calibri" w:cs="Calibri"/>
                                  <w:sz w:val="22"/>
                                  <w:szCs w:val="22"/>
                                </w:rPr>
                              </w:pPr>
                              <w:r w:rsidRPr="00974BF4">
                                <w:rPr>
                                  <w:rFonts w:ascii="Calibri" w:hAnsi="Calibri" w:cs="Calibri"/>
                                  <w:sz w:val="22"/>
                                  <w:szCs w:val="22"/>
                                </w:rPr>
                                <w:t>Държавата- членка уведомява ЕК за намерение за предоставяне на ДП</w:t>
                              </w:r>
                              <w:r w:rsidRPr="00974BF4">
                                <w:rPr>
                                  <w:rFonts w:ascii="Calibri" w:hAnsi="Calibri" w:cs="Calibri"/>
                                  <w:sz w:val="22"/>
                                  <w:szCs w:val="22"/>
                                </w:rPr>
                                <w:cr/>
                                <w:t>(SANI)</w:t>
                              </w:r>
                            </w:p>
                          </w:txbxContent>
                        </wps:txbx>
                        <wps:bodyPr rot="0" vert="horz" wrap="square" lIns="91440" tIns="45720" rIns="91440" bIns="45720" anchor="ctr" anchorCtr="0" upright="1">
                          <a:noAutofit/>
                        </wps:bodyPr>
                      </wps:wsp>
                      <wps:wsp>
                        <wps:cNvPr id="2035" name="Text Box 11"/>
                        <wps:cNvSpPr txBox="1">
                          <a:spLocks noChangeArrowheads="1"/>
                        </wps:cNvSpPr>
                        <wps:spPr bwMode="auto">
                          <a:xfrm>
                            <a:off x="1605517" y="0"/>
                            <a:ext cx="1198245" cy="1763395"/>
                          </a:xfrm>
                          <a:prstGeom prst="rect">
                            <a:avLst/>
                          </a:prstGeom>
                          <a:solidFill>
                            <a:srgbClr val="002EC0"/>
                          </a:soli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EFD48E1" w14:textId="77777777" w:rsidR="004E3164" w:rsidRPr="00974BF4" w:rsidRDefault="004E3164" w:rsidP="008A4483">
                              <w:pPr>
                                <w:ind w:firstLine="0"/>
                                <w:jc w:val="center"/>
                                <w:rPr>
                                  <w:rFonts w:ascii="Calibri" w:hAnsi="Calibri" w:cs="Calibri"/>
                                  <w:sz w:val="22"/>
                                  <w:szCs w:val="22"/>
                                </w:rPr>
                              </w:pPr>
                              <w:r w:rsidRPr="00974BF4">
                                <w:rPr>
                                  <w:rFonts w:ascii="Calibri" w:hAnsi="Calibri" w:cs="Calibri"/>
                                  <w:sz w:val="22"/>
                                  <w:szCs w:val="22"/>
                                </w:rPr>
                                <w:t>ЕК оценява дали помоща може да се приеме за съвместима</w:t>
                              </w:r>
                            </w:p>
                          </w:txbxContent>
                        </wps:txbx>
                        <wps:bodyPr rot="0" vert="horz" wrap="square" lIns="91440" tIns="45720" rIns="91440" bIns="45720" anchor="ctr" anchorCtr="0" upright="1">
                          <a:noAutofit/>
                        </wps:bodyPr>
                      </wps:wsp>
                      <wps:wsp>
                        <wps:cNvPr id="2036" name="Text Box 12"/>
                        <wps:cNvSpPr txBox="1">
                          <a:spLocks noChangeArrowheads="1"/>
                        </wps:cNvSpPr>
                        <wps:spPr bwMode="auto">
                          <a:xfrm>
                            <a:off x="3211033" y="0"/>
                            <a:ext cx="1198245" cy="1763395"/>
                          </a:xfrm>
                          <a:prstGeom prst="rect">
                            <a:avLst/>
                          </a:prstGeom>
                          <a:solidFill>
                            <a:srgbClr val="003AF2"/>
                          </a:soli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2061894" w14:textId="77777777" w:rsidR="004E3164" w:rsidRPr="00215DA1" w:rsidRDefault="004E3164" w:rsidP="008A4483">
                              <w:pPr>
                                <w:ind w:firstLine="0"/>
                                <w:jc w:val="center"/>
                                <w:rPr>
                                  <w:rFonts w:ascii="Calibri" w:hAnsi="Calibri" w:cs="Calibri"/>
                                  <w:color w:val="FFFFFF"/>
                                  <w:sz w:val="22"/>
                                  <w:szCs w:val="22"/>
                                </w:rPr>
                              </w:pPr>
                              <w:r w:rsidRPr="00215DA1">
                                <w:rPr>
                                  <w:rFonts w:ascii="Calibri" w:hAnsi="Calibri" w:cs="Calibri"/>
                                  <w:color w:val="FFFFFF"/>
                                  <w:sz w:val="22"/>
                                  <w:szCs w:val="22"/>
                                </w:rPr>
                                <w:t>Държавата -членка предоставя помоща  и публикува  информация за получателите (Модула за прозрачност  ТАМ)</w:t>
                              </w:r>
                            </w:p>
                          </w:txbxContent>
                        </wps:txbx>
                        <wps:bodyPr rot="0" vert="horz" wrap="square" lIns="91440" tIns="45720" rIns="91440" bIns="45720" anchor="ctr" anchorCtr="0" upright="1">
                          <a:noAutofit/>
                        </wps:bodyPr>
                      </wps:wsp>
                      <wps:wsp>
                        <wps:cNvPr id="2037" name="Text Box 13"/>
                        <wps:cNvSpPr txBox="1">
                          <a:spLocks noChangeArrowheads="1"/>
                        </wps:cNvSpPr>
                        <wps:spPr bwMode="auto">
                          <a:xfrm>
                            <a:off x="4827182" y="0"/>
                            <a:ext cx="1198245" cy="1763395"/>
                          </a:xfrm>
                          <a:prstGeom prst="rect">
                            <a:avLst/>
                          </a:prstGeom>
                          <a:solidFill>
                            <a:srgbClr val="3364FF"/>
                          </a:soli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837912D" w14:textId="77777777" w:rsidR="004E3164" w:rsidRPr="00215DA1" w:rsidRDefault="004E3164" w:rsidP="008A4483">
                              <w:pPr>
                                <w:ind w:firstLine="0"/>
                                <w:jc w:val="center"/>
                                <w:rPr>
                                  <w:rFonts w:ascii="Calibri" w:hAnsi="Calibri" w:cs="Calibri"/>
                                  <w:color w:val="FFFFFF"/>
                                  <w:sz w:val="22"/>
                                  <w:szCs w:val="22"/>
                                </w:rPr>
                              </w:pPr>
                              <w:r w:rsidRPr="00215DA1">
                                <w:rPr>
                                  <w:rFonts w:ascii="Calibri" w:hAnsi="Calibri" w:cs="Calibri"/>
                                  <w:color w:val="FFFFFF"/>
                                  <w:sz w:val="22"/>
                                  <w:szCs w:val="22"/>
                                </w:rPr>
                                <w:t>Държавата -членка докладва на ЕК за общо разходваните</w:t>
                              </w:r>
                              <w:r w:rsidRPr="00215DA1">
                                <w:rPr>
                                  <w:rFonts w:ascii="Calibri" w:hAnsi="Calibri" w:cs="Calibri"/>
                                  <w:color w:val="FFFFFF"/>
                                  <w:sz w:val="22"/>
                                  <w:szCs w:val="22"/>
                                </w:rPr>
                                <w:cr/>
                                <w:t>(Модул за докладване SARI)</w:t>
                              </w:r>
                            </w:p>
                          </w:txbxContent>
                        </wps:txbx>
                        <wps:bodyPr rot="0" vert="horz" wrap="square" lIns="91440" tIns="45720" rIns="91440" bIns="45720" anchor="ctr" anchorCtr="0" upright="1">
                          <a:noAutofit/>
                        </wps:bodyPr>
                      </wps:wsp>
                      <wps:wsp>
                        <wps:cNvPr id="2038" name="Right Arrow 16"/>
                        <wps:cNvSpPr>
                          <a:spLocks noChangeArrowheads="1"/>
                        </wps:cNvSpPr>
                        <wps:spPr bwMode="auto">
                          <a:xfrm>
                            <a:off x="2881424" y="882503"/>
                            <a:ext cx="254000" cy="254635"/>
                          </a:xfrm>
                          <a:prstGeom prst="rightArrow">
                            <a:avLst>
                              <a:gd name="adj1" fmla="val 50000"/>
                              <a:gd name="adj2" fmla="val 50000"/>
                            </a:avLst>
                          </a:prstGeom>
                          <a:gradFill rotWithShape="1">
                            <a:gsLst>
                              <a:gs pos="0">
                                <a:srgbClr val="408BCE"/>
                              </a:gs>
                              <a:gs pos="23000">
                                <a:srgbClr val="408BCE"/>
                              </a:gs>
                              <a:gs pos="69000">
                                <a:srgbClr val="2E75B6"/>
                              </a:gs>
                              <a:gs pos="97000">
                                <a:srgbClr val="2B6DA9"/>
                              </a:gs>
                              <a:gs pos="100000">
                                <a:srgbClr val="2B6DA9"/>
                              </a:gs>
                            </a:gsLst>
                            <a:path path="rect">
                              <a:fillToRect l="50000" t="50000" r="50000" b="50000"/>
                            </a:path>
                          </a:gra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039" name="Right Arrow 17"/>
                        <wps:cNvSpPr>
                          <a:spLocks noChangeArrowheads="1"/>
                        </wps:cNvSpPr>
                        <wps:spPr bwMode="auto">
                          <a:xfrm>
                            <a:off x="4486940" y="882503"/>
                            <a:ext cx="254000" cy="254635"/>
                          </a:xfrm>
                          <a:prstGeom prst="rightArrow">
                            <a:avLst>
                              <a:gd name="adj1" fmla="val 50000"/>
                              <a:gd name="adj2" fmla="val 50000"/>
                            </a:avLst>
                          </a:prstGeom>
                          <a:gradFill rotWithShape="1">
                            <a:gsLst>
                              <a:gs pos="0">
                                <a:srgbClr val="408BCE"/>
                              </a:gs>
                              <a:gs pos="23000">
                                <a:srgbClr val="408BCE"/>
                              </a:gs>
                              <a:gs pos="69000">
                                <a:srgbClr val="2E75B6"/>
                              </a:gs>
                              <a:gs pos="97000">
                                <a:srgbClr val="2B6DA9"/>
                              </a:gs>
                              <a:gs pos="100000">
                                <a:srgbClr val="2B6DA9"/>
                              </a:gs>
                            </a:gsLst>
                            <a:path path="rect">
                              <a:fillToRect l="50000" t="50000" r="50000" b="50000"/>
                            </a:path>
                          </a:gra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040" name="Right Arrow 18"/>
                        <wps:cNvSpPr>
                          <a:spLocks noChangeArrowheads="1"/>
                        </wps:cNvSpPr>
                        <wps:spPr bwMode="auto">
                          <a:xfrm>
                            <a:off x="1275907" y="882503"/>
                            <a:ext cx="254000" cy="254635"/>
                          </a:xfrm>
                          <a:prstGeom prst="rightArrow">
                            <a:avLst>
                              <a:gd name="adj1" fmla="val 50000"/>
                              <a:gd name="adj2" fmla="val 50000"/>
                            </a:avLst>
                          </a:prstGeom>
                          <a:gradFill rotWithShape="1">
                            <a:gsLst>
                              <a:gs pos="0">
                                <a:srgbClr val="408BCE"/>
                              </a:gs>
                              <a:gs pos="23000">
                                <a:srgbClr val="408BCE"/>
                              </a:gs>
                              <a:gs pos="69000">
                                <a:srgbClr val="2E75B6"/>
                              </a:gs>
                              <a:gs pos="97000">
                                <a:srgbClr val="2B6DA9"/>
                              </a:gs>
                              <a:gs pos="100000">
                                <a:srgbClr val="2B6DA9"/>
                              </a:gs>
                            </a:gsLst>
                            <a:path path="rect">
                              <a:fillToRect l="50000" t="50000" r="50000" b="50000"/>
                            </a:path>
                          </a:gra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03286EB4" id="Group 20" o:spid="_x0000_s1439" style="width:474.45pt;height:240.9pt;mso-position-horizontal-relative:char;mso-position-vertical-relative:line" coordsize="60254,3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">
                <v:shape id="CasellaDiTesto 6" o:spid="_x0000_s1440" type="#_x0000_t202" style="position:absolute;left:28173;top:21579;width:16046;height:9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" strokecolor="#5b9bd5" strokeweight="3pt">
                  <v:textbox style="mso-fit-shape-to-text:t">
                    <w:txbxContent>
                      <w:p w14:paraId="402483AA" w14:textId="77777777" w:rsidR="004E3164" w:rsidRPr="008A4483" w:rsidRDefault="004E3164" w:rsidP="008A4483">
                        <w:pPr>
                          <w:pStyle w:val="ListParagraph"/>
                          <w:numPr>
                            <w:ilvl w:val="0"/>
                            <w:numId w:val="246"/>
                          </w:numPr>
                          <w:tabs>
                            <w:tab w:val="clear" w:pos="720"/>
                            <w:tab w:val="num" w:pos="284"/>
                          </w:tabs>
                          <w:ind w:left="0" w:firstLine="0"/>
                          <w:jc w:val="left"/>
                          <w:textAlignment w:val="baseline"/>
                          <w:rPr>
                            <w:sz w:val="20"/>
                          </w:rPr>
                        </w:pPr>
                        <w:r w:rsidRPr="008A4483">
                          <w:rPr>
                            <w:rFonts w:ascii="Verdana" w:hAnsi="Verdana"/>
                            <w:color w:val="0F5494"/>
                            <w:kern w:val="24"/>
                            <w:sz w:val="20"/>
                          </w:rPr>
                          <w:t xml:space="preserve">Фокус върху предоставената помощ </w:t>
                        </w:r>
                      </w:p>
                      <w:p w14:paraId="53DBDBFC" w14:textId="77777777" w:rsidR="004E3164" w:rsidRPr="008A4483" w:rsidRDefault="004E3164" w:rsidP="008A4483">
                        <w:pPr>
                          <w:pStyle w:val="ListParagraph"/>
                          <w:numPr>
                            <w:ilvl w:val="0"/>
                            <w:numId w:val="246"/>
                          </w:numPr>
                          <w:tabs>
                            <w:tab w:val="clear" w:pos="720"/>
                            <w:tab w:val="num" w:pos="284"/>
                          </w:tabs>
                          <w:ind w:left="0" w:firstLine="0"/>
                          <w:jc w:val="left"/>
                          <w:textAlignment w:val="baseline"/>
                          <w:rPr>
                            <w:sz w:val="20"/>
                          </w:rPr>
                        </w:pPr>
                        <w:r w:rsidRPr="008A4483">
                          <w:rPr>
                            <w:rFonts w:ascii="Verdana" w:hAnsi="Verdana"/>
                            <w:color w:val="0F5494"/>
                            <w:kern w:val="24"/>
                            <w:sz w:val="20"/>
                          </w:rPr>
                          <w:t xml:space="preserve">Информация на ниво получатели </w:t>
                        </w:r>
                      </w:p>
                    </w:txbxContent>
                  </v:textbox>
                </v:shape>
                <v:shape id="CasellaDiTesto 10" o:spid="_x0000_s1441" type="#_x0000_t202" style="position:absolute;top:21477;width:13397;height:9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" strokecolor="#5b9bd5" strokeweight="3pt">
                  <v:stroke joinstyle="round" endcap="round"/>
                  <v:textbox>
                    <w:txbxContent>
                      <w:p w14:paraId="0F370B54" w14:textId="77777777" w:rsidR="004E3164" w:rsidRPr="008A4483" w:rsidRDefault="004E3164" w:rsidP="008A4483">
                        <w:pPr>
                          <w:pStyle w:val="ListParagraph"/>
                          <w:numPr>
                            <w:ilvl w:val="0"/>
                            <w:numId w:val="247"/>
                          </w:numPr>
                          <w:tabs>
                            <w:tab w:val="clear" w:pos="720"/>
                            <w:tab w:val="num" w:pos="142"/>
                          </w:tabs>
                          <w:ind w:left="0" w:firstLine="0"/>
                          <w:jc w:val="left"/>
                          <w:textAlignment w:val="baseline"/>
                          <w:rPr>
                            <w:sz w:val="20"/>
                          </w:rPr>
                        </w:pPr>
                        <w:r w:rsidRPr="008A4483">
                          <w:rPr>
                            <w:rFonts w:ascii="Verdana" w:hAnsi="Verdana"/>
                            <w:color w:val="0F5494"/>
                            <w:kern w:val="24"/>
                            <w:sz w:val="20"/>
                          </w:rPr>
                          <w:t>Предварително уведомление</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reccia su 11" o:spid="_x0000_s1442" type="#_x0000_t68" style="position:absolute;left:5316;top:18500;width:1435;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" adj="7179" filled="f" fillcolor="#5b9bd5" strokecolor="#4f81bd">
                  <v:stroke joinstyle="round"/>
                  <v:shadow color="#e7e6e6"/>
                </v:shape>
                <v:shape id="Freccia su 12" o:spid="_x0000_s1443" type="#_x0000_t68" style="position:absolute;left:37426;top:18606;width:1435;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" adj="7179" filled="f" fillcolor="#5b9bd5" strokecolor="#4f81bd">
                  <v:stroke joinstyle="round"/>
                  <v:shadow color="#e7e6e6"/>
                </v:shape>
                <v:shape id="Freccia su 12" o:spid="_x0000_s1444" type="#_x0000_t68" style="position:absolute;left:53588;top:18606;width:1435;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" adj="7179" filled="f" fillcolor="#5b9bd5" strokecolor="#4f81bd">
                  <v:stroke joinstyle="round"/>
                  <v:shadow color="#e7e6e6"/>
                </v:shape>
                <v:shape id="CasellaDiTesto 8" o:spid="_x0000_s1445" type="#_x0000_t202" style="position:absolute;left:47204;top:21578;width:13004;height:7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" strokecolor="#5b9bd5" strokeweight="3pt">
                  <v:textbox style="mso-fit-shape-to-text:t">
                    <w:txbxContent>
                      <w:p w14:paraId="7D5E57A7" w14:textId="77777777" w:rsidR="004E3164" w:rsidRPr="008A4483" w:rsidRDefault="004E3164" w:rsidP="008A4483">
                        <w:pPr>
                          <w:pStyle w:val="ListParagraph"/>
                          <w:numPr>
                            <w:ilvl w:val="0"/>
                            <w:numId w:val="248"/>
                          </w:numPr>
                          <w:tabs>
                            <w:tab w:val="clear" w:pos="720"/>
                            <w:tab w:val="num" w:pos="284"/>
                          </w:tabs>
                          <w:ind w:left="0" w:firstLine="0"/>
                          <w:jc w:val="left"/>
                          <w:textAlignment w:val="baseline"/>
                          <w:rPr>
                            <w:sz w:val="20"/>
                          </w:rPr>
                        </w:pPr>
                        <w:r w:rsidRPr="008A4483">
                          <w:rPr>
                            <w:rFonts w:ascii="Verdana" w:hAnsi="Verdana"/>
                            <w:color w:val="0F5494"/>
                            <w:kern w:val="24"/>
                            <w:sz w:val="20"/>
                          </w:rPr>
                          <w:t>Фокус върху разходите</w:t>
                        </w:r>
                      </w:p>
                      <w:p w14:paraId="275589E5" w14:textId="77777777" w:rsidR="004E3164" w:rsidRPr="008A4483" w:rsidRDefault="004E3164" w:rsidP="008A4483">
                        <w:pPr>
                          <w:pStyle w:val="ListParagraph"/>
                          <w:numPr>
                            <w:ilvl w:val="0"/>
                            <w:numId w:val="248"/>
                          </w:numPr>
                          <w:tabs>
                            <w:tab w:val="clear" w:pos="720"/>
                            <w:tab w:val="num" w:pos="284"/>
                          </w:tabs>
                          <w:ind w:left="0" w:firstLine="0"/>
                          <w:jc w:val="left"/>
                          <w:textAlignment w:val="baseline"/>
                          <w:rPr>
                            <w:sz w:val="20"/>
                          </w:rPr>
                        </w:pPr>
                        <w:r w:rsidRPr="008A4483">
                          <w:rPr>
                            <w:rFonts w:ascii="Verdana" w:hAnsi="Verdana"/>
                            <w:color w:val="0F5494"/>
                            <w:kern w:val="24"/>
                            <w:sz w:val="20"/>
                          </w:rPr>
                          <w:t>Информация на ниво мярка</w:t>
                        </w:r>
                      </w:p>
                    </w:txbxContent>
                  </v:textbox>
                </v:shape>
                <v:shape id="Text Box 10" o:spid="_x0000_s1446" type="#_x0000_t202" style="position:absolute;width:11982;height:17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" fillcolor="#002496" stroked="f">
                  <v:shadow on="t" color="black" opacity="41287f" offset="0,1.5pt"/>
                  <v:textbox>
                    <w:txbxContent>
                      <w:p w14:paraId="38F1CAD3" w14:textId="77777777" w:rsidR="004E3164" w:rsidRPr="00974BF4" w:rsidRDefault="004E3164" w:rsidP="008A4483">
                        <w:pPr>
                          <w:ind w:firstLine="0"/>
                          <w:jc w:val="center"/>
                          <w:rPr>
                            <w:rFonts w:ascii="Calibri" w:hAnsi="Calibri" w:cs="Calibri"/>
                            <w:sz w:val="22"/>
                            <w:szCs w:val="22"/>
                          </w:rPr>
                        </w:pPr>
                        <w:r w:rsidRPr="00974BF4">
                          <w:rPr>
                            <w:rFonts w:ascii="Calibri" w:hAnsi="Calibri" w:cs="Calibri"/>
                            <w:sz w:val="22"/>
                            <w:szCs w:val="22"/>
                          </w:rPr>
                          <w:t>Държавата- членка уведомява ЕК за намерение за предоставяне на ДП</w:t>
                        </w:r>
                        <w:r w:rsidRPr="00974BF4">
                          <w:rPr>
                            <w:rFonts w:ascii="Calibri" w:hAnsi="Calibri" w:cs="Calibri"/>
                            <w:sz w:val="22"/>
                            <w:szCs w:val="22"/>
                          </w:rPr>
                          <w:cr/>
                          <w:t>(SANI)</w:t>
                        </w:r>
                      </w:p>
                    </w:txbxContent>
                  </v:textbox>
                </v:shape>
                <v:shape id="Text Box 11" o:spid="_x0000_s1447" type="#_x0000_t202" style="position:absolute;left:16055;width:11982;height:17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" fillcolor="#002ec0" stroked="f">
                  <v:shadow on="t" color="black" opacity="41287f" offset="0,1.5pt"/>
                  <v:textbox>
                    <w:txbxContent>
                      <w:p w14:paraId="7EFD48E1" w14:textId="77777777" w:rsidR="004E3164" w:rsidRPr="00974BF4" w:rsidRDefault="004E3164" w:rsidP="008A4483">
                        <w:pPr>
                          <w:ind w:firstLine="0"/>
                          <w:jc w:val="center"/>
                          <w:rPr>
                            <w:rFonts w:ascii="Calibri" w:hAnsi="Calibri" w:cs="Calibri"/>
                            <w:sz w:val="22"/>
                            <w:szCs w:val="22"/>
                          </w:rPr>
                        </w:pPr>
                        <w:r w:rsidRPr="00974BF4">
                          <w:rPr>
                            <w:rFonts w:ascii="Calibri" w:hAnsi="Calibri" w:cs="Calibri"/>
                            <w:sz w:val="22"/>
                            <w:szCs w:val="22"/>
                          </w:rPr>
                          <w:t>ЕК оценява дали помоща може да се приеме за съвместима</w:t>
                        </w:r>
                      </w:p>
                    </w:txbxContent>
                  </v:textbox>
                </v:shape>
                <v:shape id="Text Box 12" o:spid="_x0000_s1448" type="#_x0000_t202" style="position:absolute;left:32110;width:11982;height:17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" fillcolor="#003af2" stroked="f">
                  <v:shadow on="t" color="black" opacity="41287f" offset="0,1.5pt"/>
                  <v:textbox>
                    <w:txbxContent>
                      <w:p w14:paraId="52061894" w14:textId="77777777" w:rsidR="004E3164" w:rsidRPr="00215DA1" w:rsidRDefault="004E3164" w:rsidP="008A4483">
                        <w:pPr>
                          <w:ind w:firstLine="0"/>
                          <w:jc w:val="center"/>
                          <w:rPr>
                            <w:rFonts w:ascii="Calibri" w:hAnsi="Calibri" w:cs="Calibri"/>
                            <w:color w:val="FFFFFF"/>
                            <w:sz w:val="22"/>
                            <w:szCs w:val="22"/>
                          </w:rPr>
                        </w:pPr>
                        <w:r w:rsidRPr="00215DA1">
                          <w:rPr>
                            <w:rFonts w:ascii="Calibri" w:hAnsi="Calibri" w:cs="Calibri"/>
                            <w:color w:val="FFFFFF"/>
                            <w:sz w:val="22"/>
                            <w:szCs w:val="22"/>
                          </w:rPr>
                          <w:t>Държавата -членка предоставя помоща  и публикува  информация за получателите (Модула за прозрачност  ТАМ)</w:t>
                        </w:r>
                      </w:p>
                    </w:txbxContent>
                  </v:textbox>
                </v:shape>
                <v:shape id="Text Box 13" o:spid="_x0000_s1449" type="#_x0000_t202" style="position:absolute;left:48271;width:11983;height:17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" fillcolor="#3364ff" stroked="f">
                  <v:shadow on="t" color="black" opacity="41287f" offset="0,1.5pt"/>
                  <v:textbox>
                    <w:txbxContent>
                      <w:p w14:paraId="7837912D" w14:textId="77777777" w:rsidR="004E3164" w:rsidRPr="00215DA1" w:rsidRDefault="004E3164" w:rsidP="008A4483">
                        <w:pPr>
                          <w:ind w:firstLine="0"/>
                          <w:jc w:val="center"/>
                          <w:rPr>
                            <w:rFonts w:ascii="Calibri" w:hAnsi="Calibri" w:cs="Calibri"/>
                            <w:color w:val="FFFFFF"/>
                            <w:sz w:val="22"/>
                            <w:szCs w:val="22"/>
                          </w:rPr>
                        </w:pPr>
                        <w:r w:rsidRPr="00215DA1">
                          <w:rPr>
                            <w:rFonts w:ascii="Calibri" w:hAnsi="Calibri" w:cs="Calibri"/>
                            <w:color w:val="FFFFFF"/>
                            <w:sz w:val="22"/>
                            <w:szCs w:val="22"/>
                          </w:rPr>
                          <w:t>Държавата -членка докладва на ЕК за общо разходваните</w:t>
                        </w:r>
                        <w:r w:rsidRPr="00215DA1">
                          <w:rPr>
                            <w:rFonts w:ascii="Calibri" w:hAnsi="Calibri" w:cs="Calibri"/>
                            <w:color w:val="FFFFFF"/>
                            <w:sz w:val="22"/>
                            <w:szCs w:val="22"/>
                          </w:rPr>
                          <w:cr/>
                          <w:t>(Модул за докладване SARI)</w:t>
                        </w:r>
                      </w:p>
                    </w:txbxContent>
                  </v:textbox>
                </v:shape>
                <v:shape id="Right Arrow 16" o:spid="_x0000_s1450" type="#_x0000_t13" style="position:absolute;left:28814;top:8825;width:2540;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" adj="10800" fillcolor="#408bce" stroked="f">
                  <v:fill color2="#2b6da9" rotate="t" focusposition=".5,.5" focussize="" colors="0 #408bce;15073f #408bce;45220f #2e75b6;63570f #2b6da9;1 #2b6da9" focus="100%" type="gradientRadial">
                    <o:fill v:ext="view" type="gradientCenter"/>
                  </v:fill>
                  <v:shadow on="t" color="black" opacity="41287f" offset="0,1.5pt"/>
                </v:shape>
                <v:shape id="Right Arrow 17" o:spid="_x0000_s1451" type="#_x0000_t13" style="position:absolute;left:44869;top:8825;width:2540;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" adj="10800" fillcolor="#408bce" stroked="f">
                  <v:fill color2="#2b6da9" rotate="t" focusposition=".5,.5" focussize="" colors="0 #408bce;15073f #408bce;45220f #2e75b6;63570f #2b6da9;1 #2b6da9" focus="100%" type="gradientRadial">
                    <o:fill v:ext="view" type="gradientCenter"/>
                  </v:fill>
                  <v:shadow on="t" color="black" opacity="41287f" offset="0,1.5pt"/>
                </v:shape>
                <v:shape id="Right Arrow 18" o:spid="_x0000_s1452" type="#_x0000_t13" style="position:absolute;left:12759;top:8825;width:2540;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" adj="10800" fillcolor="#408bce" stroked="f">
                  <v:fill color2="#2b6da9" rotate="t" focusposition=".5,.5" focussize="" colors="0 #408bce;15073f #408bce;45220f #2e75b6;63570f #2b6da9;1 #2b6da9" focus="100%" type="gradientRadial">
                    <o:fill v:ext="view" type="gradientCenter"/>
                  </v:fill>
                  <v:shadow on="t" color="black" opacity="41287f" offset="0,1.5pt"/>
                </v:shape>
                <w10:anchorlock/>
              </v:group>
            </w:pict>
          </mc:Fallback>
        </mc:AlternateContent>
      </w:r>
    </w:p>
    <w:p w14:paraId="79785F75" w14:textId="77777777" w:rsidR="006454A4" w:rsidRPr="001B0EA3" w:rsidRDefault="006454A4" w:rsidP="006454A4">
      <w:pPr>
        <w:autoSpaceDE w:val="0"/>
        <w:autoSpaceDN w:val="0"/>
        <w:adjustRightInd w:val="0"/>
        <w:jc w:val="left"/>
        <w:rPr>
          <w:rFonts w:ascii="EUAlbertina" w:hAnsi="EUAlbertina" w:cs="EUAlbertina"/>
          <w:color w:val="000000"/>
          <w:szCs w:val="24"/>
          <w:lang w:eastAsia="bg-BG"/>
        </w:rPr>
      </w:pPr>
    </w:p>
    <w:p w14:paraId="19F30DE2" w14:textId="77777777" w:rsidR="008935F0" w:rsidRPr="001B0EA3" w:rsidRDefault="008935F0" w:rsidP="006454A4">
      <w:pPr>
        <w:autoSpaceDE w:val="0"/>
        <w:autoSpaceDN w:val="0"/>
        <w:adjustRightInd w:val="0"/>
        <w:jc w:val="left"/>
        <w:rPr>
          <w:rFonts w:ascii="EUAlbertina" w:hAnsi="EUAlbertina" w:cs="EUAlbertina"/>
          <w:color w:val="000000"/>
          <w:szCs w:val="24"/>
          <w:lang w:eastAsia="bg-BG"/>
        </w:rPr>
      </w:pPr>
    </w:p>
    <w:p w14:paraId="1C684CAE" w14:textId="77777777" w:rsidR="00D603F5" w:rsidRPr="001B0EA3" w:rsidRDefault="00D603F5" w:rsidP="00F058E0">
      <w:pPr>
        <w:pStyle w:val="Style1"/>
      </w:pPr>
      <w:r w:rsidRPr="001B0EA3">
        <w:t xml:space="preserve"> </w:t>
      </w:r>
      <w:bookmarkStart w:id="456" w:name="_Ref408994014"/>
      <w:bookmarkStart w:id="457" w:name="_Toc479775602"/>
      <w:bookmarkStart w:id="458" w:name="_Toc140150186"/>
      <w:r w:rsidRPr="001B0EA3">
        <w:t>Осигуряване на съвместимост на равнище индивидуален проект</w:t>
      </w:r>
      <w:r w:rsidRPr="00A110A4">
        <w:footnoteReference w:id="40"/>
      </w:r>
      <w:r w:rsidRPr="001B0EA3">
        <w:t xml:space="preserve"> /бенефициент/партньор</w:t>
      </w:r>
      <w:bookmarkEnd w:id="456"/>
      <w:bookmarkEnd w:id="457"/>
      <w:bookmarkEnd w:id="458"/>
      <w:r w:rsidRPr="001B0EA3">
        <w:t xml:space="preserve"> </w:t>
      </w:r>
    </w:p>
    <w:p w14:paraId="68525DD0" w14:textId="77777777" w:rsidR="00D603F5" w:rsidRPr="001B0EA3" w:rsidRDefault="00D603F5" w:rsidP="00166C0A">
      <w:pPr>
        <w:spacing w:beforeLines="60" w:before="144" w:afterLines="60" w:after="144"/>
        <w:rPr>
          <w:szCs w:val="22"/>
          <w:lang w:eastAsia="en-US"/>
        </w:rPr>
      </w:pPr>
      <w:r w:rsidRPr="001B0EA3">
        <w:rPr>
          <w:szCs w:val="22"/>
          <w:lang w:eastAsia="en-US"/>
        </w:rPr>
        <w:t xml:space="preserve">Процедурата се прилага, когато предварителното заключение на УО на ОПТТИ от процедурите  по </w:t>
      </w:r>
      <w:r w:rsidRPr="001B0EA3">
        <w:rPr>
          <w:b/>
          <w:szCs w:val="22"/>
          <w:lang w:eastAsia="en-US"/>
        </w:rPr>
        <w:t>точка</w:t>
      </w:r>
      <w:r w:rsidRPr="001B0EA3">
        <w:rPr>
          <w:szCs w:val="22"/>
          <w:lang w:eastAsia="en-US"/>
        </w:rPr>
        <w:t xml:space="preserve"> </w:t>
      </w:r>
      <w:r w:rsidRPr="001B0EA3">
        <w:rPr>
          <w:b/>
          <w:szCs w:val="22"/>
          <w:lang w:eastAsia="en-US"/>
        </w:rPr>
        <w:fldChar w:fldCharType="begin"/>
      </w:r>
      <w:r w:rsidRPr="001B0EA3">
        <w:rPr>
          <w:b/>
          <w:szCs w:val="22"/>
          <w:lang w:eastAsia="en-US"/>
        </w:rPr>
        <w:instrText xml:space="preserve"> REF _Ref408991760 \r \h  \* MERGEFORMAT </w:instrText>
      </w:r>
      <w:r w:rsidRPr="001B0EA3">
        <w:rPr>
          <w:b/>
          <w:szCs w:val="22"/>
          <w:lang w:eastAsia="en-US"/>
        </w:rPr>
      </w:r>
      <w:r w:rsidRPr="001B0EA3">
        <w:rPr>
          <w:b/>
          <w:szCs w:val="22"/>
          <w:lang w:eastAsia="en-US"/>
        </w:rPr>
        <w:fldChar w:fldCharType="separate"/>
      </w:r>
      <w:r w:rsidR="00F22141">
        <w:rPr>
          <w:b/>
          <w:szCs w:val="22"/>
          <w:lang w:eastAsia="en-US"/>
        </w:rPr>
        <w:t>7</w:t>
      </w:r>
      <w:r w:rsidRPr="001B0EA3">
        <w:rPr>
          <w:b/>
          <w:szCs w:val="22"/>
          <w:lang w:eastAsia="en-US"/>
        </w:rPr>
        <w:fldChar w:fldCharType="end"/>
      </w:r>
      <w:r w:rsidRPr="001B0EA3">
        <w:rPr>
          <w:b/>
          <w:szCs w:val="22"/>
          <w:lang w:eastAsia="en-US"/>
        </w:rPr>
        <w:t xml:space="preserve"> </w:t>
      </w:r>
      <w:r w:rsidRPr="001B0EA3">
        <w:rPr>
          <w:szCs w:val="22"/>
          <w:lang w:eastAsia="en-US"/>
        </w:rPr>
        <w:t>е за наличие на ДП.</w:t>
      </w:r>
    </w:p>
    <w:p w14:paraId="3AE5F404" w14:textId="77777777" w:rsidR="00D603F5" w:rsidRPr="001B0EA3" w:rsidRDefault="00D603F5" w:rsidP="00166C0A">
      <w:pPr>
        <w:spacing w:beforeLines="60" w:before="144" w:afterLines="60" w:after="144"/>
        <w:rPr>
          <w:szCs w:val="22"/>
          <w:lang w:eastAsia="en-US"/>
        </w:rPr>
      </w:pPr>
      <w:r w:rsidRPr="001B0EA3">
        <w:rPr>
          <w:szCs w:val="22"/>
          <w:lang w:eastAsia="en-US"/>
        </w:rPr>
        <w:t xml:space="preserve">Правоприлагането в областта на държавните помощи обхваща не само предварителното осигуряване на съответствие, поради което в случаите на схема за помощ и индивидуална помощ, всеки отделен случай следва да е обект на проверка за съответствие с приложимата процедурна рамка и правила за съвместимост. </w:t>
      </w:r>
    </w:p>
    <w:p w14:paraId="22CF162C" w14:textId="77777777" w:rsidR="00D603F5" w:rsidRPr="001B0EA3" w:rsidRDefault="00D603F5" w:rsidP="00166C0A">
      <w:pPr>
        <w:spacing w:beforeLines="60" w:before="144" w:afterLines="60" w:after="144"/>
        <w:rPr>
          <w:szCs w:val="22"/>
          <w:lang w:eastAsia="en-US"/>
        </w:rPr>
      </w:pPr>
      <w:r w:rsidRPr="001B0EA3">
        <w:rPr>
          <w:szCs w:val="22"/>
          <w:lang w:eastAsia="en-US"/>
        </w:rPr>
        <w:t xml:space="preserve">Предвид това, в случай, че по ОПТИИ бъде предоставена ДП, УО </w:t>
      </w:r>
      <w:r w:rsidR="00174533" w:rsidRPr="008F1701">
        <w:rPr>
          <w:szCs w:val="22"/>
          <w:lang w:eastAsia="en-US"/>
        </w:rPr>
        <w:t xml:space="preserve">на ОПТТИ </w:t>
      </w:r>
      <w:r w:rsidRPr="001B0EA3">
        <w:rPr>
          <w:szCs w:val="22"/>
          <w:lang w:eastAsia="en-US"/>
        </w:rPr>
        <w:t xml:space="preserve">ще прилага правила за действие и контроли, осигуряващи </w:t>
      </w:r>
      <w:r w:rsidRPr="001B0EA3">
        <w:rPr>
          <w:b/>
          <w:szCs w:val="22"/>
          <w:lang w:eastAsia="en-US"/>
        </w:rPr>
        <w:t xml:space="preserve">изпълнение на мярката на равнище подпомагане на индивидуален проект/бенефициент без отклонение </w:t>
      </w:r>
      <w:r w:rsidRPr="001B0EA3">
        <w:rPr>
          <w:szCs w:val="22"/>
          <w:lang w:eastAsia="en-US"/>
        </w:rPr>
        <w:t xml:space="preserve">от начина, по-който е съгласувана с МФ </w:t>
      </w:r>
      <w:r w:rsidRPr="001B0EA3">
        <w:rPr>
          <w:i/>
          <w:szCs w:val="22"/>
          <w:lang w:eastAsia="en-US"/>
        </w:rPr>
        <w:t xml:space="preserve">(в случаите на помощ в обхвата на групово освобождаване) или </w:t>
      </w:r>
      <w:r w:rsidRPr="001B0EA3">
        <w:rPr>
          <w:szCs w:val="22"/>
          <w:lang w:eastAsia="en-US"/>
        </w:rPr>
        <w:t>така както е нотифицирана и одобрена от ЕК</w:t>
      </w:r>
      <w:r w:rsidRPr="001B0EA3">
        <w:rPr>
          <w:i/>
          <w:szCs w:val="22"/>
          <w:lang w:eastAsia="en-US"/>
        </w:rPr>
        <w:t xml:space="preserve"> (за мерки подлежащи на уведомяване</w:t>
      </w:r>
      <w:r w:rsidRPr="001B0EA3">
        <w:rPr>
          <w:szCs w:val="22"/>
          <w:lang w:eastAsia="en-US"/>
        </w:rPr>
        <w:t>).</w:t>
      </w:r>
    </w:p>
    <w:p w14:paraId="7D924BDB" w14:textId="77777777" w:rsidR="004821FC" w:rsidRPr="001B0EA3" w:rsidRDefault="004821FC" w:rsidP="00166C0A">
      <w:pPr>
        <w:spacing w:beforeLines="60" w:before="144" w:afterLines="60" w:after="144"/>
        <w:rPr>
          <w:szCs w:val="22"/>
          <w:lang w:eastAsia="en-US"/>
        </w:rPr>
      </w:pPr>
      <w:r w:rsidRPr="001B0EA3">
        <w:rPr>
          <w:szCs w:val="22"/>
          <w:lang w:eastAsia="en-US"/>
        </w:rPr>
        <w:lastRenderedPageBreak/>
        <w:t xml:space="preserve">Такива контролни процедури са предвидени в т. 25.5.1., където е предвидено всяко искане за окончателно плащане  </w:t>
      </w:r>
      <w:r w:rsidRPr="001B0EA3">
        <w:rPr>
          <w:i/>
          <w:szCs w:val="22"/>
          <w:lang w:eastAsia="en-US"/>
        </w:rPr>
        <w:t>(</w:t>
      </w:r>
      <w:hyperlink r:id="rId61" w:tooltip="Искане за окончателно плащане от Бенефициенти по ОП " w:history="1">
        <w:r w:rsidR="0009240F" w:rsidRPr="00251D03">
          <w:rPr>
            <w:i/>
            <w:iCs/>
            <w:color w:val="0000FF"/>
            <w:szCs w:val="24"/>
            <w:u w:val="single"/>
            <w:lang w:eastAsia="bg-BG"/>
          </w:rPr>
          <w:t>Приложение № 5.01.3</w:t>
        </w:r>
      </w:hyperlink>
      <w:r w:rsidRPr="001B0EA3">
        <w:rPr>
          <w:i/>
          <w:szCs w:val="22"/>
          <w:lang w:eastAsia="en-US"/>
        </w:rPr>
        <w:t>)</w:t>
      </w:r>
      <w:r w:rsidRPr="001B0EA3">
        <w:rPr>
          <w:szCs w:val="22"/>
          <w:lang w:eastAsia="en-US"/>
        </w:rPr>
        <w:t xml:space="preserve"> да бъде представено с попълнена информация относно наличието на отпуснати ДП, в случай на предоставени такива по проекта. Помощта следва да се отчете като се попълни информация относно мярката, размера и вида.   Чрез контролен лист „Контролен лист: искане за окончателно плащане от бенефициенти по ОП „Транспорт и транспортна инфраструктура“ </w:t>
      </w:r>
      <w:r w:rsidRPr="001B0EA3">
        <w:rPr>
          <w:i/>
          <w:szCs w:val="22"/>
          <w:lang w:eastAsia="en-US"/>
        </w:rPr>
        <w:t>(</w:t>
      </w:r>
      <w:hyperlink r:id="rId62" w:tooltip="Контролен лист: Искане за окончателно плащане от Бенефициенти по ОП " w:history="1">
        <w:r w:rsidR="0009240F" w:rsidRPr="00251D03">
          <w:rPr>
            <w:i/>
            <w:iCs/>
            <w:color w:val="0000FF"/>
            <w:szCs w:val="24"/>
            <w:u w:val="single"/>
            <w:lang w:eastAsia="bg-BG"/>
          </w:rPr>
          <w:t>Приложение № 5.01.3.1</w:t>
        </w:r>
      </w:hyperlink>
      <w:r w:rsidRPr="001B0EA3">
        <w:rPr>
          <w:i/>
          <w:szCs w:val="22"/>
          <w:lang w:eastAsia="en-US"/>
        </w:rPr>
        <w:t xml:space="preserve">) </w:t>
      </w:r>
      <w:r w:rsidRPr="001B0EA3">
        <w:rPr>
          <w:szCs w:val="22"/>
          <w:lang w:eastAsia="en-US"/>
        </w:rPr>
        <w:t>се прави проверка на тази информация.</w:t>
      </w:r>
    </w:p>
    <w:p w14:paraId="70750166" w14:textId="77777777" w:rsidR="00D603F5" w:rsidRPr="001B0EA3" w:rsidRDefault="00174533" w:rsidP="00166C0A">
      <w:pPr>
        <w:spacing w:beforeLines="60" w:before="144" w:afterLines="60" w:after="144"/>
        <w:rPr>
          <w:szCs w:val="22"/>
          <w:lang w:eastAsia="en-US"/>
        </w:rPr>
      </w:pPr>
      <w:r>
        <w:rPr>
          <w:szCs w:val="22"/>
          <w:lang w:eastAsia="en-US"/>
        </w:rPr>
        <w:t xml:space="preserve">Осигуряването на съвместимост </w:t>
      </w:r>
      <w:r w:rsidR="00D603F5" w:rsidRPr="001B0EA3">
        <w:rPr>
          <w:szCs w:val="22"/>
          <w:lang w:eastAsia="en-US"/>
        </w:rPr>
        <w:t xml:space="preserve">обхваща, както процеса на </w:t>
      </w:r>
      <w:r w:rsidR="00D603F5" w:rsidRPr="001B0EA3">
        <w:rPr>
          <w:b/>
          <w:szCs w:val="22"/>
          <w:lang w:eastAsia="en-US"/>
        </w:rPr>
        <w:t>оценка, одобряване и договаряне</w:t>
      </w:r>
      <w:r w:rsidR="00D603F5" w:rsidRPr="001B0EA3">
        <w:rPr>
          <w:szCs w:val="22"/>
          <w:lang w:eastAsia="en-US"/>
        </w:rPr>
        <w:t xml:space="preserve"> (предварителен контрол), така и осъществяването на </w:t>
      </w:r>
      <w:r w:rsidR="00D603F5" w:rsidRPr="001B0EA3">
        <w:rPr>
          <w:b/>
          <w:szCs w:val="22"/>
          <w:lang w:eastAsia="en-US"/>
        </w:rPr>
        <w:t>текущ и последващ</w:t>
      </w:r>
      <w:r w:rsidR="00D603F5" w:rsidRPr="001B0EA3">
        <w:rPr>
          <w:szCs w:val="22"/>
          <w:lang w:eastAsia="en-US"/>
        </w:rPr>
        <w:t xml:space="preserve"> контрол при изпълнението на всеки проект. </w:t>
      </w:r>
    </w:p>
    <w:p w14:paraId="53C3952C" w14:textId="77777777" w:rsidR="00D603F5" w:rsidRPr="001B0EA3" w:rsidRDefault="00D603F5" w:rsidP="00166C0A">
      <w:pPr>
        <w:spacing w:beforeLines="60" w:before="144" w:afterLines="60" w:after="144"/>
        <w:rPr>
          <w:szCs w:val="22"/>
          <w:lang w:eastAsia="en-US"/>
        </w:rPr>
      </w:pPr>
      <w:r w:rsidRPr="001B0EA3">
        <w:rPr>
          <w:szCs w:val="22"/>
          <w:lang w:eastAsia="en-US"/>
        </w:rPr>
        <w:t xml:space="preserve">УО ще да постави особен акцент върху: </w:t>
      </w:r>
    </w:p>
    <w:p w14:paraId="113EA136" w14:textId="77777777" w:rsidR="00D603F5" w:rsidRPr="001B0EA3" w:rsidRDefault="00D603F5" w:rsidP="0054623A">
      <w:pPr>
        <w:numPr>
          <w:ilvl w:val="0"/>
          <w:numId w:val="145"/>
        </w:numPr>
        <w:ind w:left="0" w:firstLine="851"/>
        <w:rPr>
          <w:szCs w:val="22"/>
          <w:lang w:eastAsia="en-US"/>
        </w:rPr>
      </w:pPr>
      <w:r w:rsidRPr="001B0EA3">
        <w:rPr>
          <w:szCs w:val="22"/>
          <w:lang w:eastAsia="en-US"/>
        </w:rPr>
        <w:t>типа допустими получатели/партньори</w:t>
      </w:r>
      <w:r w:rsidRPr="001B0EA3">
        <w:rPr>
          <w:szCs w:val="22"/>
          <w:vertAlign w:val="superscript"/>
          <w:lang w:eastAsia="en-US"/>
        </w:rPr>
        <w:footnoteReference w:id="41"/>
      </w:r>
      <w:r w:rsidRPr="001B0EA3">
        <w:rPr>
          <w:szCs w:val="22"/>
          <w:lang w:eastAsia="en-US"/>
        </w:rPr>
        <w:t xml:space="preserve"> и проверката на категорията им (микро, МСП, големи предприятия); </w:t>
      </w:r>
    </w:p>
    <w:p w14:paraId="2ABB617F" w14:textId="77777777" w:rsidR="00D603F5" w:rsidRPr="001B0EA3" w:rsidRDefault="00D603F5" w:rsidP="0054623A">
      <w:pPr>
        <w:numPr>
          <w:ilvl w:val="0"/>
          <w:numId w:val="145"/>
        </w:numPr>
        <w:ind w:left="0" w:firstLine="851"/>
        <w:rPr>
          <w:szCs w:val="22"/>
          <w:lang w:eastAsia="en-US"/>
        </w:rPr>
      </w:pPr>
      <w:r w:rsidRPr="001B0EA3">
        <w:rPr>
          <w:szCs w:val="22"/>
          <w:lang w:eastAsia="en-US"/>
        </w:rPr>
        <w:t xml:space="preserve">допустими разходи, правилно определяне на </w:t>
      </w:r>
      <w:r w:rsidR="00174533">
        <w:rPr>
          <w:szCs w:val="22"/>
          <w:lang w:eastAsia="en-US"/>
        </w:rPr>
        <w:t>допустимите</w:t>
      </w:r>
      <w:r w:rsidR="00174533" w:rsidRPr="005B04E5">
        <w:rPr>
          <w:szCs w:val="22"/>
          <w:lang w:eastAsia="en-US"/>
        </w:rPr>
        <w:t xml:space="preserve"> </w:t>
      </w:r>
      <w:r w:rsidRPr="001B0EA3">
        <w:rPr>
          <w:szCs w:val="22"/>
          <w:lang w:eastAsia="en-US"/>
        </w:rPr>
        <w:t>разходи и интензитети на помощ (вкл. бонуси, ако се прилагат);</w:t>
      </w:r>
    </w:p>
    <w:p w14:paraId="7198068C" w14:textId="77777777" w:rsidR="00D603F5" w:rsidRPr="001B0EA3" w:rsidRDefault="00D603F5" w:rsidP="0054623A">
      <w:pPr>
        <w:numPr>
          <w:ilvl w:val="0"/>
          <w:numId w:val="145"/>
        </w:numPr>
        <w:ind w:left="0" w:firstLine="851"/>
        <w:rPr>
          <w:szCs w:val="22"/>
          <w:lang w:eastAsia="en-US"/>
        </w:rPr>
      </w:pPr>
      <w:r w:rsidRPr="001B0EA3">
        <w:rPr>
          <w:szCs w:val="22"/>
          <w:lang w:eastAsia="en-US"/>
        </w:rPr>
        <w:t>приложимостта на индивидуален праг за уведомяване или на максимален размер на помощта;</w:t>
      </w:r>
    </w:p>
    <w:p w14:paraId="704018A6" w14:textId="77777777" w:rsidR="00D603F5" w:rsidRPr="001B0EA3" w:rsidRDefault="00D603F5" w:rsidP="0054623A">
      <w:pPr>
        <w:numPr>
          <w:ilvl w:val="0"/>
          <w:numId w:val="145"/>
        </w:numPr>
        <w:ind w:left="0" w:firstLine="851"/>
        <w:rPr>
          <w:szCs w:val="22"/>
          <w:lang w:eastAsia="en-US"/>
        </w:rPr>
      </w:pPr>
      <w:r w:rsidRPr="001B0EA3">
        <w:rPr>
          <w:szCs w:val="22"/>
          <w:lang w:eastAsia="en-US"/>
        </w:rPr>
        <w:t>проверка за натрупването на помощи;</w:t>
      </w:r>
    </w:p>
    <w:p w14:paraId="65FE98CE" w14:textId="77777777" w:rsidR="00D603F5" w:rsidRPr="001B0EA3" w:rsidRDefault="00D603F5" w:rsidP="0054623A">
      <w:pPr>
        <w:numPr>
          <w:ilvl w:val="0"/>
          <w:numId w:val="145"/>
        </w:numPr>
        <w:ind w:left="0" w:firstLine="851"/>
        <w:rPr>
          <w:szCs w:val="22"/>
          <w:lang w:eastAsia="en-US"/>
        </w:rPr>
      </w:pPr>
      <w:r w:rsidRPr="001B0EA3">
        <w:rPr>
          <w:szCs w:val="22"/>
          <w:lang w:eastAsia="en-US"/>
        </w:rPr>
        <w:t xml:space="preserve">спазването на изискванията за стимулиращ ефект и прозрачност </w:t>
      </w:r>
      <w:r w:rsidRPr="001B0EA3">
        <w:rPr>
          <w:i/>
          <w:szCs w:val="22"/>
          <w:lang w:eastAsia="en-US"/>
        </w:rPr>
        <w:t>(където е приложимо)</w:t>
      </w:r>
      <w:r w:rsidRPr="001B0EA3">
        <w:rPr>
          <w:szCs w:val="22"/>
          <w:lang w:eastAsia="en-US"/>
        </w:rPr>
        <w:t>;</w:t>
      </w:r>
    </w:p>
    <w:p w14:paraId="73390474" w14:textId="77777777" w:rsidR="00D603F5" w:rsidRDefault="00D603F5" w:rsidP="0054623A">
      <w:pPr>
        <w:numPr>
          <w:ilvl w:val="0"/>
          <w:numId w:val="145"/>
        </w:numPr>
        <w:ind w:left="0" w:firstLine="851"/>
        <w:rPr>
          <w:szCs w:val="22"/>
          <w:lang w:eastAsia="en-US"/>
        </w:rPr>
      </w:pPr>
      <w:r w:rsidRPr="001B0EA3">
        <w:rPr>
          <w:szCs w:val="22"/>
          <w:lang w:eastAsia="en-US"/>
        </w:rPr>
        <w:t>недопускане предоставянето на нова помощ на получатели, които са обект на неизпълнено разпореждане за възстановяване („Deggendorf”</w:t>
      </w:r>
      <w:r w:rsidR="00174533">
        <w:rPr>
          <w:i/>
          <w:szCs w:val="22"/>
          <w:lang w:eastAsia="en-US"/>
        </w:rPr>
        <w:t xml:space="preserve"> и чл.44 от ЗДП</w:t>
      </w:r>
      <w:r w:rsidRPr="001B0EA3">
        <w:rPr>
          <w:szCs w:val="22"/>
          <w:lang w:eastAsia="en-US"/>
        </w:rPr>
        <w:t xml:space="preserve">). </w:t>
      </w:r>
    </w:p>
    <w:p w14:paraId="6D6CCC60" w14:textId="77777777" w:rsidR="00C15E88" w:rsidRPr="001B0EA3" w:rsidRDefault="00C15E88" w:rsidP="00251D03">
      <w:pPr>
        <w:rPr>
          <w:szCs w:val="22"/>
          <w:lang w:eastAsia="en-US"/>
        </w:rPr>
      </w:pPr>
    </w:p>
    <w:p w14:paraId="01E970FF" w14:textId="77777777" w:rsidR="00D603F5" w:rsidRPr="001B0EA3" w:rsidRDefault="00D603F5" w:rsidP="00F058E0">
      <w:pPr>
        <w:pStyle w:val="Style1"/>
      </w:pPr>
      <w:bookmarkStart w:id="459" w:name="_Ref408994024"/>
      <w:bookmarkStart w:id="460" w:name="_Toc479775603"/>
      <w:bookmarkStart w:id="461" w:name="_Toc140150187"/>
      <w:r w:rsidRPr="001B0EA3">
        <w:t>Възстановяване на неправомерно предоставена и несъвместима държавна помощ</w:t>
      </w:r>
      <w:bookmarkEnd w:id="459"/>
      <w:bookmarkEnd w:id="460"/>
      <w:bookmarkEnd w:id="461"/>
      <w:r w:rsidRPr="001B0EA3">
        <w:t xml:space="preserve"> </w:t>
      </w:r>
    </w:p>
    <w:p w14:paraId="73A08C53" w14:textId="77777777" w:rsidR="00D400F9" w:rsidRDefault="00D400F9" w:rsidP="00D400F9">
      <w:pPr>
        <w:tabs>
          <w:tab w:val="left" w:pos="627"/>
          <w:tab w:val="left" w:pos="1134"/>
        </w:tabs>
        <w:spacing w:before="120"/>
        <w:rPr>
          <w:i/>
          <w:szCs w:val="22"/>
          <w:lang w:eastAsia="en-US"/>
        </w:rPr>
      </w:pPr>
      <w:r>
        <w:rPr>
          <w:i/>
          <w:szCs w:val="22"/>
          <w:lang w:eastAsia="en-US"/>
        </w:rPr>
        <w:t xml:space="preserve">Основанията и редът за възтановяването </w:t>
      </w:r>
      <w:r w:rsidRPr="005411B9">
        <w:rPr>
          <w:i/>
          <w:szCs w:val="22"/>
          <w:lang w:val="x-none" w:eastAsia="en-US"/>
        </w:rPr>
        <w:t xml:space="preserve">на неправомерна и несъвместима държавна помощ </w:t>
      </w:r>
      <w:r>
        <w:rPr>
          <w:i/>
          <w:szCs w:val="22"/>
          <w:lang w:eastAsia="en-US"/>
        </w:rPr>
        <w:t>са определени в чл. 37 и глава шеста на ЗДП.</w:t>
      </w:r>
    </w:p>
    <w:p w14:paraId="71343401" w14:textId="77777777" w:rsidR="00D603F5" w:rsidRPr="001B0EA3" w:rsidRDefault="00D603F5" w:rsidP="00166C0A">
      <w:pPr>
        <w:tabs>
          <w:tab w:val="left" w:pos="627"/>
          <w:tab w:val="left" w:pos="1134"/>
        </w:tabs>
        <w:spacing w:before="120"/>
        <w:rPr>
          <w:szCs w:val="22"/>
          <w:lang w:eastAsia="en-US"/>
        </w:rPr>
      </w:pPr>
      <w:r w:rsidRPr="001B0EA3">
        <w:rPr>
          <w:szCs w:val="22"/>
          <w:lang w:eastAsia="en-US"/>
        </w:rPr>
        <w:t>Процедурата се прилага, когато чрез БФП по ОПТТИ е предоставена ДП за изпълнението на конкретна мярка/проект.</w:t>
      </w:r>
    </w:p>
    <w:p w14:paraId="7ABBF1D6" w14:textId="77777777" w:rsidR="00D603F5" w:rsidRDefault="00D603F5" w:rsidP="00166C0A">
      <w:pPr>
        <w:tabs>
          <w:tab w:val="left" w:pos="627"/>
          <w:tab w:val="left" w:pos="1134"/>
        </w:tabs>
        <w:spacing w:before="120"/>
        <w:rPr>
          <w:szCs w:val="22"/>
          <w:lang w:eastAsia="en-US"/>
        </w:rPr>
      </w:pPr>
      <w:r w:rsidRPr="001B0EA3">
        <w:rPr>
          <w:szCs w:val="22"/>
          <w:lang w:eastAsia="en-US"/>
        </w:rPr>
        <w:t xml:space="preserve">Получената „неправомерната и несъвместима държавна помощ” е различна от понятието „неправомерно получени суми” по смисъла на Регламент № 1303/2013 г. </w:t>
      </w:r>
    </w:p>
    <w:p w14:paraId="1739991A" w14:textId="77777777" w:rsidR="00686A75" w:rsidRPr="00842ECC" w:rsidRDefault="00686A75" w:rsidP="001E404B">
      <w:pPr>
        <w:pStyle w:val="Style2"/>
        <w:rPr>
          <w:b w:val="0"/>
          <w:lang w:val="bg-BG" w:eastAsia="en-US"/>
        </w:rPr>
      </w:pPr>
      <w:bookmarkStart w:id="462" w:name="_Toc532552476"/>
      <w:bookmarkStart w:id="463" w:name="_Toc140150188"/>
      <w:r w:rsidRPr="00842ECC">
        <w:rPr>
          <w:b w:val="0"/>
          <w:lang w:val="bg-BG" w:eastAsia="en-US"/>
        </w:rPr>
        <w:t xml:space="preserve">По отношение на неправомерно получената минимална помощ или ДП, </w:t>
      </w:r>
      <w:r w:rsidRPr="00842ECC">
        <w:rPr>
          <w:lang w:val="bg-BG" w:eastAsia="en-US"/>
        </w:rPr>
        <w:t>освободена от задължението за уведомяване</w:t>
      </w:r>
      <w:r w:rsidRPr="00842ECC">
        <w:rPr>
          <w:b w:val="0"/>
          <w:lang w:val="bg-BG" w:eastAsia="en-US"/>
        </w:rPr>
        <w:t xml:space="preserve"> с акт на Съвета на Европейския съюз или на Европейската комисия се прилагат разпорадбите на чл. 37 от ЗДП.</w:t>
      </w:r>
      <w:bookmarkEnd w:id="462"/>
      <w:bookmarkEnd w:id="463"/>
      <w:r w:rsidRPr="00842ECC">
        <w:rPr>
          <w:b w:val="0"/>
          <w:lang w:val="bg-BG" w:eastAsia="en-US"/>
        </w:rPr>
        <w:t xml:space="preserve"> </w:t>
      </w:r>
    </w:p>
    <w:p w14:paraId="17B345C0" w14:textId="77777777" w:rsidR="00686A75" w:rsidRPr="00E9035D" w:rsidRDefault="00686A75" w:rsidP="00686A75">
      <w:pPr>
        <w:tabs>
          <w:tab w:val="left" w:pos="627"/>
          <w:tab w:val="left" w:pos="1843"/>
        </w:tabs>
        <w:spacing w:before="120"/>
        <w:rPr>
          <w:szCs w:val="22"/>
          <w:lang w:eastAsia="en-US"/>
        </w:rPr>
      </w:pPr>
      <w:r w:rsidRPr="00E9035D">
        <w:rPr>
          <w:szCs w:val="22"/>
          <w:lang w:eastAsia="en-US"/>
        </w:rPr>
        <w:t xml:space="preserve">В този случай, </w:t>
      </w:r>
      <w:r w:rsidRPr="00E9035D">
        <w:rPr>
          <w:szCs w:val="22"/>
          <w:lang w:val="x-none" w:eastAsia="en-US"/>
        </w:rPr>
        <w:t>администратор</w:t>
      </w:r>
      <w:r w:rsidRPr="00E9035D">
        <w:rPr>
          <w:szCs w:val="22"/>
          <w:lang w:eastAsia="en-US"/>
        </w:rPr>
        <w:t>ът</w:t>
      </w:r>
      <w:r w:rsidRPr="00E9035D">
        <w:rPr>
          <w:szCs w:val="22"/>
          <w:lang w:val="x-none" w:eastAsia="en-US"/>
        </w:rPr>
        <w:t xml:space="preserve"> на помощ</w:t>
      </w:r>
      <w:r w:rsidRPr="00E9035D">
        <w:rPr>
          <w:szCs w:val="22"/>
          <w:lang w:eastAsia="en-US"/>
        </w:rPr>
        <w:t>:</w:t>
      </w:r>
    </w:p>
    <w:p w14:paraId="53879F48" w14:textId="77777777" w:rsidR="00686A75" w:rsidRPr="00E9035D" w:rsidRDefault="00686A75" w:rsidP="00686A75">
      <w:pPr>
        <w:numPr>
          <w:ilvl w:val="0"/>
          <w:numId w:val="149"/>
        </w:numPr>
        <w:tabs>
          <w:tab w:val="left" w:pos="627"/>
          <w:tab w:val="left" w:pos="1843"/>
        </w:tabs>
        <w:spacing w:before="120"/>
        <w:rPr>
          <w:szCs w:val="22"/>
          <w:lang w:eastAsia="en-US"/>
        </w:rPr>
      </w:pPr>
      <w:r w:rsidRPr="00E9035D">
        <w:rPr>
          <w:szCs w:val="22"/>
          <w:lang w:val="x-none" w:eastAsia="en-US"/>
        </w:rPr>
        <w:t xml:space="preserve"> издава акт за установяване на публичното вземане по реда на Административнопроцесуалния кодекс</w:t>
      </w:r>
      <w:r w:rsidRPr="00E9035D">
        <w:rPr>
          <w:szCs w:val="22"/>
          <w:lang w:eastAsia="en-US"/>
        </w:rPr>
        <w:t xml:space="preserve"> </w:t>
      </w:r>
      <w:r w:rsidRPr="00E9035D">
        <w:rPr>
          <w:i/>
          <w:szCs w:val="22"/>
          <w:lang w:eastAsia="en-US"/>
        </w:rPr>
        <w:t>(ал.1)</w:t>
      </w:r>
      <w:r w:rsidRPr="00E9035D">
        <w:rPr>
          <w:szCs w:val="22"/>
          <w:lang w:eastAsia="en-US"/>
        </w:rPr>
        <w:t xml:space="preserve">; и </w:t>
      </w:r>
    </w:p>
    <w:p w14:paraId="14F66068" w14:textId="77777777" w:rsidR="00686A75" w:rsidRPr="00E9035D" w:rsidRDefault="00686A75" w:rsidP="00686A75">
      <w:pPr>
        <w:numPr>
          <w:ilvl w:val="0"/>
          <w:numId w:val="149"/>
        </w:numPr>
        <w:tabs>
          <w:tab w:val="left" w:pos="627"/>
          <w:tab w:val="left" w:pos="1843"/>
        </w:tabs>
        <w:spacing w:before="120"/>
        <w:rPr>
          <w:szCs w:val="22"/>
          <w:lang w:eastAsia="en-US"/>
        </w:rPr>
      </w:pPr>
      <w:r w:rsidRPr="00E9035D">
        <w:rPr>
          <w:szCs w:val="22"/>
          <w:lang w:eastAsia="en-US"/>
        </w:rPr>
        <w:t xml:space="preserve"> уведомява министъра на финансите в срок от три работни дни за установената н</w:t>
      </w:r>
      <w:r w:rsidRPr="00E9035D">
        <w:rPr>
          <w:szCs w:val="22"/>
          <w:lang w:val="x-none" w:eastAsia="en-US"/>
        </w:rPr>
        <w:t xml:space="preserve">еправомерно получена минимална или </w:t>
      </w:r>
      <w:r w:rsidRPr="00E9035D">
        <w:rPr>
          <w:szCs w:val="22"/>
          <w:lang w:eastAsia="en-US"/>
        </w:rPr>
        <w:t xml:space="preserve">държавна помощ </w:t>
      </w:r>
      <w:r w:rsidRPr="00E9035D">
        <w:rPr>
          <w:i/>
          <w:szCs w:val="22"/>
          <w:lang w:eastAsia="en-US"/>
        </w:rPr>
        <w:t>(ал.3)</w:t>
      </w:r>
      <w:r w:rsidRPr="00E9035D">
        <w:rPr>
          <w:szCs w:val="22"/>
          <w:lang w:val="x-none" w:eastAsia="en-US"/>
        </w:rPr>
        <w:t>.</w:t>
      </w:r>
      <w:r w:rsidRPr="00E9035D">
        <w:rPr>
          <w:szCs w:val="22"/>
          <w:lang w:eastAsia="en-US"/>
        </w:rPr>
        <w:t xml:space="preserve"> </w:t>
      </w:r>
    </w:p>
    <w:p w14:paraId="4ADD21B0" w14:textId="77777777" w:rsidR="00686A75" w:rsidRPr="001E404B" w:rsidRDefault="00686A75" w:rsidP="001E404B">
      <w:pPr>
        <w:pStyle w:val="Style2"/>
        <w:rPr>
          <w:b w:val="0"/>
          <w:lang w:val="x-none" w:eastAsia="en-US"/>
        </w:rPr>
      </w:pPr>
      <w:bookmarkStart w:id="464" w:name="_Toc532552477"/>
      <w:bookmarkStart w:id="465" w:name="_Toc140150189"/>
      <w:r w:rsidRPr="001E404B">
        <w:rPr>
          <w:b w:val="0"/>
          <w:lang w:val="x-none" w:eastAsia="en-US"/>
        </w:rPr>
        <w:t xml:space="preserve">По </w:t>
      </w:r>
      <w:r w:rsidRPr="001E404B">
        <w:rPr>
          <w:b w:val="0"/>
          <w:lang w:val="bg-BG" w:eastAsia="en-US"/>
        </w:rPr>
        <w:t>отношение</w:t>
      </w:r>
      <w:r w:rsidRPr="001E404B">
        <w:rPr>
          <w:b w:val="0"/>
          <w:lang w:val="x-none" w:eastAsia="en-US"/>
        </w:rPr>
        <w:t xml:space="preserve"> възтановяване на неправомерн</w:t>
      </w:r>
      <w:r w:rsidRPr="00842ECC">
        <w:rPr>
          <w:b w:val="0"/>
          <w:lang w:val="bg-BG" w:eastAsia="en-US"/>
        </w:rPr>
        <w:t xml:space="preserve">а и несъвместима </w:t>
      </w:r>
      <w:r w:rsidRPr="001E404B">
        <w:rPr>
          <w:b w:val="0"/>
          <w:lang w:val="x-none" w:eastAsia="en-US"/>
        </w:rPr>
        <w:t>ДП</w:t>
      </w:r>
      <w:r w:rsidRPr="00842ECC">
        <w:rPr>
          <w:b w:val="0"/>
          <w:lang w:val="bg-BG" w:eastAsia="en-US"/>
        </w:rPr>
        <w:t xml:space="preserve"> </w:t>
      </w:r>
      <w:r w:rsidRPr="00842ECC">
        <w:rPr>
          <w:lang w:val="bg-BG" w:eastAsia="en-US"/>
        </w:rPr>
        <w:t>по решение на ЕК</w:t>
      </w:r>
      <w:r w:rsidRPr="00842ECC">
        <w:rPr>
          <w:b w:val="0"/>
          <w:lang w:val="bg-BG" w:eastAsia="en-US"/>
        </w:rPr>
        <w:t xml:space="preserve"> се прилагат разпоредбите на глава шеста от ЗДП.</w:t>
      </w:r>
      <w:bookmarkEnd w:id="464"/>
      <w:bookmarkEnd w:id="465"/>
    </w:p>
    <w:p w14:paraId="206247B6" w14:textId="77777777" w:rsidR="00686A75" w:rsidRPr="00E9035D" w:rsidRDefault="00686A75" w:rsidP="00686A75">
      <w:pPr>
        <w:tabs>
          <w:tab w:val="left" w:pos="627"/>
          <w:tab w:val="left" w:pos="1134"/>
        </w:tabs>
        <w:spacing w:before="120"/>
        <w:rPr>
          <w:szCs w:val="22"/>
          <w:lang w:eastAsia="en-US"/>
        </w:rPr>
      </w:pPr>
      <w:r w:rsidRPr="00E9035D">
        <w:rPr>
          <w:szCs w:val="22"/>
          <w:lang w:val="x-none" w:eastAsia="en-US"/>
        </w:rPr>
        <w:t xml:space="preserve">Възстановяването на </w:t>
      </w:r>
      <w:r w:rsidRPr="00E9035D">
        <w:rPr>
          <w:b/>
          <w:szCs w:val="22"/>
          <w:lang w:val="x-none" w:eastAsia="en-US"/>
        </w:rPr>
        <w:t>неправомерна</w:t>
      </w:r>
      <w:r w:rsidRPr="00E9035D">
        <w:rPr>
          <w:szCs w:val="22"/>
          <w:lang w:val="x-none" w:eastAsia="en-US"/>
        </w:rPr>
        <w:t xml:space="preserve"> и </w:t>
      </w:r>
      <w:r w:rsidRPr="00E9035D">
        <w:rPr>
          <w:b/>
          <w:szCs w:val="22"/>
          <w:lang w:val="x-none" w:eastAsia="en-US"/>
        </w:rPr>
        <w:t>несъвместима</w:t>
      </w:r>
      <w:r w:rsidRPr="00E9035D">
        <w:rPr>
          <w:szCs w:val="22"/>
          <w:lang w:val="x-none" w:eastAsia="en-US"/>
        </w:rPr>
        <w:t xml:space="preserve"> държавна помощ или на </w:t>
      </w:r>
      <w:r w:rsidRPr="00E9035D">
        <w:rPr>
          <w:b/>
          <w:szCs w:val="22"/>
          <w:lang w:val="x-none" w:eastAsia="en-US"/>
        </w:rPr>
        <w:t>неправилно използвана</w:t>
      </w:r>
      <w:r w:rsidRPr="00E9035D">
        <w:rPr>
          <w:szCs w:val="22"/>
          <w:lang w:val="x-none" w:eastAsia="en-US"/>
        </w:rPr>
        <w:t xml:space="preserve"> държавна помощ се извършва въз основа на решение на Европейската комисия с разпореждане за възстановяване и влязъл в сила акт за установяване </w:t>
      </w:r>
      <w:r w:rsidRPr="00E9035D">
        <w:rPr>
          <w:szCs w:val="22"/>
          <w:lang w:val="x-none" w:eastAsia="en-US"/>
        </w:rPr>
        <w:lastRenderedPageBreak/>
        <w:t>на публично вземане, когато това е приложимо</w:t>
      </w:r>
      <w:r w:rsidRPr="00E9035D">
        <w:rPr>
          <w:szCs w:val="22"/>
          <w:lang w:eastAsia="en-US"/>
        </w:rPr>
        <w:t xml:space="preserve"> </w:t>
      </w:r>
      <w:r w:rsidRPr="00E9035D">
        <w:rPr>
          <w:i/>
          <w:szCs w:val="22"/>
          <w:lang w:eastAsia="en-US"/>
        </w:rPr>
        <w:t>(чл. 38, ал.1)</w:t>
      </w:r>
      <w:r w:rsidRPr="00E9035D">
        <w:rPr>
          <w:szCs w:val="22"/>
          <w:lang w:val="x-none" w:eastAsia="en-US"/>
        </w:rPr>
        <w:t>.</w:t>
      </w:r>
      <w:r w:rsidRPr="00E9035D">
        <w:rPr>
          <w:szCs w:val="22"/>
          <w:lang w:eastAsia="en-US"/>
        </w:rPr>
        <w:t xml:space="preserve"> </w:t>
      </w:r>
      <w:r w:rsidRPr="00E9035D">
        <w:rPr>
          <w:szCs w:val="22"/>
          <w:lang w:val="x-none" w:eastAsia="en-US"/>
        </w:rPr>
        <w:t xml:space="preserve">Вземанията по </w:t>
      </w:r>
      <w:r w:rsidRPr="00E9035D">
        <w:rPr>
          <w:szCs w:val="22"/>
          <w:lang w:eastAsia="en-US"/>
        </w:rPr>
        <w:t>такива помощи</w:t>
      </w:r>
      <w:r w:rsidRPr="00E9035D">
        <w:rPr>
          <w:szCs w:val="22"/>
          <w:lang w:val="x-none" w:eastAsia="en-US"/>
        </w:rPr>
        <w:t xml:space="preserve"> подлежат на събиране по реда на Данъчно-осигурителния процесуален кодекс от органите на Националната агенция за приходите</w:t>
      </w:r>
      <w:r w:rsidRPr="00E9035D">
        <w:rPr>
          <w:szCs w:val="22"/>
          <w:lang w:eastAsia="en-US"/>
        </w:rPr>
        <w:t xml:space="preserve"> </w:t>
      </w:r>
      <w:r w:rsidRPr="00E9035D">
        <w:rPr>
          <w:i/>
          <w:szCs w:val="22"/>
          <w:lang w:eastAsia="en-US"/>
        </w:rPr>
        <w:t>(чл. 38, ал.4)</w:t>
      </w:r>
      <w:r w:rsidRPr="00E9035D">
        <w:rPr>
          <w:szCs w:val="22"/>
          <w:lang w:val="x-none" w:eastAsia="en-US"/>
        </w:rPr>
        <w:t>.</w:t>
      </w:r>
    </w:p>
    <w:p w14:paraId="7565E4BC" w14:textId="77777777" w:rsidR="00686A75" w:rsidRPr="005B04E5" w:rsidRDefault="00686A75" w:rsidP="00686A75">
      <w:pPr>
        <w:tabs>
          <w:tab w:val="left" w:pos="627"/>
          <w:tab w:val="left" w:pos="1134"/>
        </w:tabs>
        <w:spacing w:before="120"/>
        <w:rPr>
          <w:szCs w:val="22"/>
          <w:lang w:eastAsia="en-US"/>
        </w:rPr>
      </w:pPr>
    </w:p>
    <w:p w14:paraId="6104F568" w14:textId="77777777" w:rsidR="00686A75" w:rsidRPr="005B04E5" w:rsidRDefault="00686A75" w:rsidP="00686A75">
      <w:pPr>
        <w:tabs>
          <w:tab w:val="left" w:pos="627"/>
          <w:tab w:val="left" w:pos="1134"/>
        </w:tabs>
        <w:ind w:firstLine="567"/>
        <w:rPr>
          <w:szCs w:val="22"/>
          <w:lang w:eastAsia="en-US"/>
        </w:rPr>
      </w:pPr>
      <w:r w:rsidRPr="005B04E5">
        <w:rPr>
          <w:szCs w:val="22"/>
          <w:lang w:eastAsia="en-US"/>
        </w:rPr>
        <w:t>Получателят на неправомерно предоставената държавна помощ дължи</w:t>
      </w:r>
      <w:r>
        <w:rPr>
          <w:szCs w:val="22"/>
          <w:lang w:eastAsia="en-US"/>
        </w:rPr>
        <w:t>, освен получената помощ</w:t>
      </w:r>
      <w:r w:rsidRPr="005B04E5">
        <w:rPr>
          <w:szCs w:val="22"/>
          <w:lang w:eastAsia="en-US"/>
        </w:rPr>
        <w:t xml:space="preserve"> и </w:t>
      </w:r>
      <w:r w:rsidRPr="009D693A">
        <w:rPr>
          <w:b/>
          <w:szCs w:val="22"/>
          <w:lang w:eastAsia="en-US"/>
        </w:rPr>
        <w:t>лихва за</w:t>
      </w:r>
      <w:r>
        <w:rPr>
          <w:szCs w:val="22"/>
          <w:lang w:eastAsia="en-US"/>
        </w:rPr>
        <w:t xml:space="preserve"> неправомерност на върху помощта</w:t>
      </w:r>
      <w:r w:rsidRPr="005B04E5">
        <w:rPr>
          <w:szCs w:val="22"/>
          <w:lang w:eastAsia="en-US"/>
        </w:rPr>
        <w:t xml:space="preserve">, начислена </w:t>
      </w:r>
      <w:r>
        <w:rPr>
          <w:szCs w:val="22"/>
          <w:lang w:eastAsia="en-US"/>
        </w:rPr>
        <w:t xml:space="preserve">с натрупване </w:t>
      </w:r>
      <w:r w:rsidRPr="005B04E5">
        <w:rPr>
          <w:szCs w:val="22"/>
          <w:lang w:eastAsia="en-US"/>
        </w:rPr>
        <w:t xml:space="preserve">за периода от датата, на която неправомерната помощ е била </w:t>
      </w:r>
      <w:r>
        <w:rPr>
          <w:szCs w:val="22"/>
          <w:lang w:eastAsia="en-US"/>
        </w:rPr>
        <w:t>пресдоставена</w:t>
      </w:r>
      <w:r w:rsidRPr="005B04E5">
        <w:rPr>
          <w:szCs w:val="22"/>
          <w:lang w:eastAsia="en-US"/>
        </w:rPr>
        <w:t>, до датата на нейното пълно възстановяване</w:t>
      </w:r>
      <w:r>
        <w:rPr>
          <w:szCs w:val="22"/>
          <w:lang w:eastAsia="en-US"/>
        </w:rPr>
        <w:t xml:space="preserve"> </w:t>
      </w:r>
      <w:r w:rsidRPr="003E0010">
        <w:rPr>
          <w:i/>
          <w:szCs w:val="22"/>
          <w:lang w:eastAsia="en-US"/>
        </w:rPr>
        <w:t>(чл. 38, ал.</w:t>
      </w:r>
      <w:r>
        <w:rPr>
          <w:i/>
          <w:szCs w:val="22"/>
          <w:lang w:eastAsia="en-US"/>
        </w:rPr>
        <w:t>8</w:t>
      </w:r>
      <w:r w:rsidRPr="003E0010">
        <w:rPr>
          <w:i/>
          <w:szCs w:val="22"/>
          <w:lang w:eastAsia="en-US"/>
        </w:rPr>
        <w:t>)</w:t>
      </w:r>
      <w:r w:rsidRPr="007244DB">
        <w:rPr>
          <w:szCs w:val="22"/>
          <w:lang w:val="x-none" w:eastAsia="en-US"/>
        </w:rPr>
        <w:t>.</w:t>
      </w:r>
      <w:r w:rsidRPr="005B04E5">
        <w:rPr>
          <w:szCs w:val="22"/>
          <w:lang w:eastAsia="en-US"/>
        </w:rPr>
        <w:t xml:space="preserve"> </w:t>
      </w:r>
    </w:p>
    <w:p w14:paraId="16479364" w14:textId="77777777" w:rsidR="00686A75" w:rsidRPr="00A872CC" w:rsidRDefault="00686A75" w:rsidP="00686A75">
      <w:pPr>
        <w:tabs>
          <w:tab w:val="left" w:pos="627"/>
          <w:tab w:val="left" w:pos="1134"/>
        </w:tabs>
        <w:rPr>
          <w:szCs w:val="22"/>
          <w:lang w:eastAsia="en-US"/>
        </w:rPr>
      </w:pPr>
      <w:r>
        <w:rPr>
          <w:szCs w:val="22"/>
          <w:lang w:eastAsia="en-US"/>
        </w:rPr>
        <w:tab/>
      </w:r>
      <w:r w:rsidRPr="00A872CC">
        <w:rPr>
          <w:szCs w:val="22"/>
          <w:lang w:eastAsia="en-US"/>
        </w:rPr>
        <w:t xml:space="preserve">Според утвърдената практика на ЕК в решенията за възстановяване на помощ могат да се съдържат два срока за реакция на държавите членки: </w:t>
      </w:r>
    </w:p>
    <w:p w14:paraId="52EE196D" w14:textId="77777777" w:rsidR="00686A75" w:rsidRPr="00A872CC" w:rsidRDefault="00686A75" w:rsidP="00686A75">
      <w:pPr>
        <w:numPr>
          <w:ilvl w:val="0"/>
          <w:numId w:val="142"/>
        </w:numPr>
        <w:tabs>
          <w:tab w:val="left" w:pos="627"/>
          <w:tab w:val="left" w:pos="1134"/>
          <w:tab w:val="left" w:pos="1260"/>
          <w:tab w:val="left" w:pos="1440"/>
        </w:tabs>
        <w:ind w:left="0" w:firstLine="851"/>
        <w:rPr>
          <w:szCs w:val="22"/>
          <w:lang w:eastAsia="en-US"/>
        </w:rPr>
      </w:pPr>
      <w:r w:rsidRPr="00A872CC">
        <w:rPr>
          <w:szCs w:val="22"/>
          <w:lang w:eastAsia="en-US"/>
        </w:rPr>
        <w:t xml:space="preserve">срок за представяне на информация </w:t>
      </w:r>
      <w:r w:rsidRPr="009D693A">
        <w:rPr>
          <w:b/>
          <w:szCs w:val="22"/>
          <w:lang w:eastAsia="en-US"/>
        </w:rPr>
        <w:t>относно статуквото по случая</w:t>
      </w:r>
      <w:r w:rsidRPr="00A872CC">
        <w:rPr>
          <w:szCs w:val="22"/>
          <w:lang w:eastAsia="en-US"/>
        </w:rPr>
        <w:t>, вкл</w:t>
      </w:r>
      <w:r>
        <w:rPr>
          <w:szCs w:val="22"/>
          <w:lang w:eastAsia="en-US"/>
        </w:rPr>
        <w:t>ючително</w:t>
      </w:r>
      <w:r w:rsidRPr="00A872CC">
        <w:rPr>
          <w:szCs w:val="22"/>
          <w:lang w:eastAsia="en-US"/>
        </w:rPr>
        <w:t xml:space="preserve"> за предприетите мерки по събиране на сумите от бенефициентите</w:t>
      </w:r>
      <w:r>
        <w:rPr>
          <w:szCs w:val="22"/>
          <w:lang w:eastAsia="en-US"/>
        </w:rPr>
        <w:t xml:space="preserve"> - и</w:t>
      </w:r>
      <w:r w:rsidRPr="00A872CC">
        <w:rPr>
          <w:szCs w:val="22"/>
          <w:lang w:eastAsia="en-US"/>
        </w:rPr>
        <w:t>нформацията се предоставя от администратора на помощ</w:t>
      </w:r>
      <w:r>
        <w:rPr>
          <w:szCs w:val="22"/>
          <w:lang w:eastAsia="en-US"/>
        </w:rPr>
        <w:t xml:space="preserve"> </w:t>
      </w:r>
      <w:r w:rsidRPr="009D693A">
        <w:rPr>
          <w:i/>
          <w:szCs w:val="22"/>
          <w:lang w:eastAsia="en-US"/>
        </w:rPr>
        <w:t>(на основание чл.42, ал.1, т.1 от ЗДП)</w:t>
      </w:r>
      <w:r w:rsidRPr="00A872CC">
        <w:rPr>
          <w:szCs w:val="22"/>
          <w:lang w:eastAsia="en-US"/>
        </w:rPr>
        <w:t xml:space="preserve"> и от  Национална агенция за приходите </w:t>
      </w:r>
      <w:r>
        <w:rPr>
          <w:szCs w:val="22"/>
          <w:lang w:eastAsia="en-US"/>
        </w:rPr>
        <w:t>(</w:t>
      </w:r>
      <w:r w:rsidRPr="00A872CC">
        <w:rPr>
          <w:szCs w:val="22"/>
          <w:lang w:eastAsia="en-US"/>
        </w:rPr>
        <w:t>НАП</w:t>
      </w:r>
      <w:r>
        <w:rPr>
          <w:szCs w:val="22"/>
          <w:lang w:eastAsia="en-US"/>
        </w:rPr>
        <w:t>)</w:t>
      </w:r>
      <w:r w:rsidRPr="00A872CC">
        <w:rPr>
          <w:i/>
          <w:szCs w:val="22"/>
          <w:lang w:eastAsia="en-US"/>
        </w:rPr>
        <w:t xml:space="preserve"> </w:t>
      </w:r>
      <w:r>
        <w:rPr>
          <w:i/>
          <w:szCs w:val="22"/>
          <w:lang w:eastAsia="en-US"/>
        </w:rPr>
        <w:t xml:space="preserve">(на основание </w:t>
      </w:r>
      <w:r w:rsidRPr="00A872CC">
        <w:rPr>
          <w:i/>
          <w:szCs w:val="22"/>
          <w:lang w:eastAsia="en-US"/>
        </w:rPr>
        <w:t>чл.42, ал.1, т.2</w:t>
      </w:r>
      <w:r>
        <w:rPr>
          <w:i/>
          <w:szCs w:val="22"/>
          <w:lang w:eastAsia="en-US"/>
        </w:rPr>
        <w:t xml:space="preserve"> от ЗДП) </w:t>
      </w:r>
      <w:r w:rsidRPr="00A872CC">
        <w:rPr>
          <w:szCs w:val="22"/>
          <w:lang w:eastAsia="en-US"/>
        </w:rPr>
        <w:t xml:space="preserve"> и </w:t>
      </w:r>
    </w:p>
    <w:p w14:paraId="135249FC" w14:textId="77777777" w:rsidR="00686A75" w:rsidRPr="00A872CC" w:rsidRDefault="00686A75" w:rsidP="00686A75">
      <w:pPr>
        <w:numPr>
          <w:ilvl w:val="0"/>
          <w:numId w:val="142"/>
        </w:numPr>
        <w:tabs>
          <w:tab w:val="left" w:pos="627"/>
          <w:tab w:val="left" w:pos="1134"/>
          <w:tab w:val="left" w:pos="1260"/>
          <w:tab w:val="left" w:pos="1440"/>
        </w:tabs>
        <w:ind w:left="0" w:firstLine="851"/>
        <w:rPr>
          <w:szCs w:val="22"/>
          <w:lang w:eastAsia="en-US"/>
        </w:rPr>
      </w:pPr>
      <w:r w:rsidRPr="00A872CC">
        <w:rPr>
          <w:szCs w:val="22"/>
          <w:lang w:eastAsia="en-US"/>
        </w:rPr>
        <w:t xml:space="preserve">срок за предоставяне на информация относно </w:t>
      </w:r>
      <w:r w:rsidRPr="009D693A">
        <w:rPr>
          <w:b/>
          <w:szCs w:val="22"/>
          <w:lang w:eastAsia="en-US"/>
        </w:rPr>
        <w:t>пълното изпълнение на решението</w:t>
      </w:r>
      <w:r>
        <w:rPr>
          <w:szCs w:val="22"/>
          <w:lang w:eastAsia="en-US"/>
        </w:rPr>
        <w:t xml:space="preserve"> -</w:t>
      </w:r>
      <w:r w:rsidRPr="00A872CC">
        <w:rPr>
          <w:szCs w:val="22"/>
          <w:lang w:eastAsia="en-US"/>
        </w:rPr>
        <w:t xml:space="preserve"> </w:t>
      </w:r>
      <w:r>
        <w:rPr>
          <w:szCs w:val="22"/>
          <w:lang w:eastAsia="en-US"/>
        </w:rPr>
        <w:t xml:space="preserve">информацията се предоставя от НАП на основание </w:t>
      </w:r>
      <w:r w:rsidRPr="009D693A">
        <w:rPr>
          <w:szCs w:val="22"/>
          <w:lang w:eastAsia="en-US"/>
        </w:rPr>
        <w:t>чл.42, ал.2 от ЗДП.</w:t>
      </w:r>
    </w:p>
    <w:p w14:paraId="56ED04CA" w14:textId="77777777" w:rsidR="00686A75" w:rsidRDefault="00686A75" w:rsidP="00686A75">
      <w:pPr>
        <w:tabs>
          <w:tab w:val="left" w:pos="627"/>
          <w:tab w:val="left" w:pos="1134"/>
          <w:tab w:val="left" w:pos="1260"/>
          <w:tab w:val="left" w:pos="1440"/>
        </w:tabs>
        <w:rPr>
          <w:szCs w:val="22"/>
          <w:highlight w:val="yellow"/>
          <w:lang w:eastAsia="en-US"/>
        </w:rPr>
      </w:pPr>
      <w:r>
        <w:rPr>
          <w:szCs w:val="22"/>
          <w:lang w:eastAsia="en-US"/>
        </w:rPr>
        <w:t>В случай, че е установена невъзможност за възтановяване на неправомерна или несъвместима ДП се прилага разпоредбата на чл. 43 от ЗДП.</w:t>
      </w:r>
    </w:p>
    <w:p w14:paraId="5DDD94B8" w14:textId="77777777" w:rsidR="00686A75" w:rsidRDefault="00686A75" w:rsidP="00686A75">
      <w:pPr>
        <w:tabs>
          <w:tab w:val="left" w:pos="627"/>
          <w:tab w:val="left" w:pos="1134"/>
          <w:tab w:val="left" w:pos="1260"/>
          <w:tab w:val="left" w:pos="1440"/>
        </w:tabs>
        <w:rPr>
          <w:szCs w:val="22"/>
          <w:lang w:eastAsia="en-US"/>
        </w:rPr>
      </w:pPr>
      <w:r>
        <w:rPr>
          <w:szCs w:val="22"/>
          <w:lang w:eastAsia="en-US"/>
        </w:rPr>
        <w:t>Неправомерно получена минимална помощ или помощ, освободена от уведомяване на ЕК , представлява публичво вземане, което се установява от администратора на помощ п</w:t>
      </w:r>
      <w:r w:rsidRPr="009456CD">
        <w:rPr>
          <w:szCs w:val="22"/>
          <w:lang w:eastAsia="en-US"/>
        </w:rPr>
        <w:t xml:space="preserve">ри </w:t>
      </w:r>
      <w:r>
        <w:rPr>
          <w:szCs w:val="22"/>
          <w:lang w:eastAsia="en-US"/>
        </w:rPr>
        <w:t>спазване на разпоредбите на чл. 37 от ЗДП</w:t>
      </w:r>
      <w:r w:rsidRPr="009456CD">
        <w:rPr>
          <w:szCs w:val="22"/>
          <w:lang w:eastAsia="en-US"/>
        </w:rPr>
        <w:t>.</w:t>
      </w:r>
      <w:r w:rsidRPr="005B04E5">
        <w:rPr>
          <w:szCs w:val="22"/>
          <w:lang w:eastAsia="en-US"/>
        </w:rPr>
        <w:t xml:space="preserve"> </w:t>
      </w:r>
    </w:p>
    <w:p w14:paraId="189F40CC" w14:textId="77777777" w:rsidR="00686A75" w:rsidRDefault="00686A75" w:rsidP="00686A75">
      <w:pPr>
        <w:tabs>
          <w:tab w:val="left" w:pos="627"/>
          <w:tab w:val="left" w:pos="1134"/>
          <w:tab w:val="left" w:pos="1260"/>
          <w:tab w:val="left" w:pos="1440"/>
        </w:tabs>
        <w:rPr>
          <w:szCs w:val="22"/>
          <w:lang w:eastAsia="en-US"/>
        </w:rPr>
      </w:pPr>
    </w:p>
    <w:p w14:paraId="30857F71" w14:textId="77777777" w:rsidR="00686A75" w:rsidRPr="00F115A6" w:rsidRDefault="00686A75" w:rsidP="00686A75">
      <w:pPr>
        <w:tabs>
          <w:tab w:val="left" w:pos="627"/>
          <w:tab w:val="left" w:pos="1134"/>
          <w:tab w:val="left" w:pos="1260"/>
          <w:tab w:val="left" w:pos="1440"/>
        </w:tabs>
        <w:rPr>
          <w:szCs w:val="22"/>
          <w:lang w:eastAsia="en-US"/>
        </w:rPr>
      </w:pPr>
      <w:r w:rsidRPr="00F115A6">
        <w:rPr>
          <w:szCs w:val="22"/>
          <w:lang w:eastAsia="en-US"/>
        </w:rPr>
        <w:t xml:space="preserve">В случай, че по проект, финасиран по ОПТТИ постъпи </w:t>
      </w:r>
      <w:r>
        <w:rPr>
          <w:szCs w:val="22"/>
          <w:lang w:eastAsia="en-US"/>
        </w:rPr>
        <w:t xml:space="preserve">разпореждане за възтановяване на неправомерна и несъвместима </w:t>
      </w:r>
      <w:r w:rsidRPr="00F115A6">
        <w:rPr>
          <w:szCs w:val="22"/>
          <w:lang w:eastAsia="en-US"/>
        </w:rPr>
        <w:t>ДП</w:t>
      </w:r>
      <w:r>
        <w:rPr>
          <w:szCs w:val="22"/>
          <w:lang w:eastAsia="en-US"/>
        </w:rPr>
        <w:t>, предоставена</w:t>
      </w:r>
      <w:r w:rsidRPr="00F115A6">
        <w:rPr>
          <w:szCs w:val="22"/>
          <w:lang w:eastAsia="en-US"/>
        </w:rPr>
        <w:t xml:space="preserve"> чрез БФП по проект УО на ОПТТИ ще следва разпоредбите </w:t>
      </w:r>
      <w:r w:rsidRPr="00F115A6">
        <w:rPr>
          <w:b/>
          <w:szCs w:val="22"/>
          <w:lang w:eastAsia="en-US"/>
        </w:rPr>
        <w:t xml:space="preserve">на глава </w:t>
      </w:r>
      <w:r>
        <w:rPr>
          <w:b/>
          <w:szCs w:val="22"/>
          <w:lang w:eastAsia="en-US"/>
        </w:rPr>
        <w:t>шеста</w:t>
      </w:r>
      <w:r w:rsidRPr="00F115A6">
        <w:rPr>
          <w:szCs w:val="22"/>
          <w:lang w:eastAsia="en-US"/>
        </w:rPr>
        <w:t xml:space="preserve"> от ЗДП.</w:t>
      </w:r>
    </w:p>
    <w:p w14:paraId="0C76E7C6" w14:textId="77777777" w:rsidR="00686A75" w:rsidRDefault="00686A75" w:rsidP="00686A75">
      <w:pPr>
        <w:tabs>
          <w:tab w:val="left" w:pos="1134"/>
        </w:tabs>
        <w:rPr>
          <w:szCs w:val="22"/>
          <w:lang w:eastAsia="en-US"/>
        </w:rPr>
      </w:pPr>
    </w:p>
    <w:p w14:paraId="48A6429D" w14:textId="77777777" w:rsidR="00686A75" w:rsidRPr="005B04E5" w:rsidRDefault="00686A75" w:rsidP="001E404B">
      <w:pPr>
        <w:pStyle w:val="Style1"/>
      </w:pPr>
      <w:bookmarkStart w:id="466" w:name="_Toc532552478"/>
      <w:bookmarkStart w:id="467" w:name="_Toc140150190"/>
      <w:r>
        <w:t>Оспорване по съдебен път</w:t>
      </w:r>
      <w:bookmarkEnd w:id="466"/>
      <w:bookmarkEnd w:id="467"/>
    </w:p>
    <w:p w14:paraId="2D5656E8" w14:textId="77777777" w:rsidR="00686A75" w:rsidRDefault="00686A75" w:rsidP="00686A75">
      <w:pPr>
        <w:tabs>
          <w:tab w:val="left" w:pos="627"/>
          <w:tab w:val="left" w:pos="1134"/>
        </w:tabs>
        <w:rPr>
          <w:i/>
          <w:szCs w:val="22"/>
          <w:lang w:eastAsia="en-US"/>
        </w:rPr>
      </w:pPr>
      <w:r>
        <w:rPr>
          <w:i/>
          <w:szCs w:val="22"/>
          <w:lang w:eastAsia="en-US"/>
        </w:rPr>
        <w:t>Предметът и обхватът на оснопрването по съдебен път на актове за предостаяне на държавна или минимална помощ са определени в глава осма на ЗДП.</w:t>
      </w:r>
    </w:p>
    <w:p w14:paraId="6450BBE6" w14:textId="77777777" w:rsidR="00686A75" w:rsidRPr="003E0010" w:rsidRDefault="00686A75" w:rsidP="00686A75">
      <w:pPr>
        <w:tabs>
          <w:tab w:val="left" w:pos="627"/>
          <w:tab w:val="left" w:pos="1134"/>
        </w:tabs>
        <w:rPr>
          <w:szCs w:val="22"/>
          <w:lang w:eastAsia="en-US"/>
        </w:rPr>
      </w:pPr>
      <w:r w:rsidRPr="003E0010">
        <w:rPr>
          <w:szCs w:val="22"/>
          <w:lang w:eastAsia="en-US"/>
        </w:rPr>
        <w:t xml:space="preserve">Съгласно чл. 54, ал.1 от ЗДП </w:t>
      </w:r>
      <w:r>
        <w:rPr>
          <w:szCs w:val="22"/>
          <w:lang w:eastAsia="en-US"/>
        </w:rPr>
        <w:t>в</w:t>
      </w:r>
      <w:r w:rsidRPr="00E74DAF">
        <w:rPr>
          <w:szCs w:val="22"/>
          <w:lang w:val="x-none" w:eastAsia="en-US"/>
        </w:rPr>
        <w:t>сяко заинтересовано лице може да оспори акт за предоставяне на държавна помощ или минимална помощ, когато се засягат интереси, свързани с осъществяваната от него дейност по реда на Административнопроцесуалния кодекс</w:t>
      </w:r>
      <w:r>
        <w:rPr>
          <w:szCs w:val="22"/>
          <w:lang w:eastAsia="en-US"/>
        </w:rPr>
        <w:t>.</w:t>
      </w:r>
    </w:p>
    <w:p w14:paraId="08455A8C" w14:textId="77777777" w:rsidR="00686A75" w:rsidRDefault="00686A75" w:rsidP="00686A75">
      <w:pPr>
        <w:tabs>
          <w:tab w:val="left" w:pos="627"/>
          <w:tab w:val="left" w:pos="1134"/>
        </w:tabs>
        <w:rPr>
          <w:szCs w:val="22"/>
          <w:lang w:eastAsia="en-US"/>
        </w:rPr>
      </w:pPr>
    </w:p>
    <w:p w14:paraId="67AF673A" w14:textId="77777777" w:rsidR="00686A75" w:rsidRPr="003E0010" w:rsidRDefault="00686A75" w:rsidP="00686A75">
      <w:pPr>
        <w:tabs>
          <w:tab w:val="left" w:pos="627"/>
          <w:tab w:val="left" w:pos="1134"/>
        </w:tabs>
        <w:rPr>
          <w:szCs w:val="22"/>
          <w:lang w:val="x-none" w:eastAsia="en-US"/>
        </w:rPr>
      </w:pPr>
      <w:r>
        <w:rPr>
          <w:szCs w:val="22"/>
          <w:lang w:eastAsia="en-US"/>
        </w:rPr>
        <w:t xml:space="preserve">На основание чл.54, ал. 4 </w:t>
      </w:r>
      <w:r w:rsidRPr="0094629D">
        <w:rPr>
          <w:szCs w:val="22"/>
          <w:lang w:eastAsia="en-US"/>
        </w:rPr>
        <w:t xml:space="preserve">от ЗДП </w:t>
      </w:r>
      <w:r>
        <w:rPr>
          <w:szCs w:val="22"/>
          <w:lang w:eastAsia="en-US"/>
        </w:rPr>
        <w:t>п</w:t>
      </w:r>
      <w:r w:rsidRPr="003E0010">
        <w:rPr>
          <w:szCs w:val="22"/>
          <w:lang w:val="x-none" w:eastAsia="en-US"/>
        </w:rPr>
        <w:t>ри оспорването на акт за предоставяне на държавна или минимална помощ всяко заинтересовано лице може да предяви и един или няколко от следните искове за:</w:t>
      </w:r>
    </w:p>
    <w:p w14:paraId="4F180904" w14:textId="77777777" w:rsidR="00686A75" w:rsidRPr="003E0010" w:rsidRDefault="00686A75" w:rsidP="00686A75">
      <w:pPr>
        <w:tabs>
          <w:tab w:val="left" w:pos="627"/>
          <w:tab w:val="left" w:pos="1134"/>
        </w:tabs>
        <w:rPr>
          <w:szCs w:val="22"/>
          <w:lang w:val="x-none" w:eastAsia="en-US"/>
        </w:rPr>
      </w:pPr>
      <w:r w:rsidRPr="003E0010">
        <w:rPr>
          <w:szCs w:val="22"/>
          <w:lang w:val="x-none" w:eastAsia="en-US"/>
        </w:rPr>
        <w:t xml:space="preserve"> 1. предотвратяване изплащането на </w:t>
      </w:r>
      <w:r w:rsidRPr="009D693A">
        <w:rPr>
          <w:b/>
          <w:szCs w:val="22"/>
          <w:lang w:val="x-none" w:eastAsia="en-US"/>
        </w:rPr>
        <w:t>неправомерна</w:t>
      </w:r>
      <w:r w:rsidRPr="003E0010">
        <w:rPr>
          <w:szCs w:val="22"/>
          <w:lang w:val="x-none" w:eastAsia="en-US"/>
        </w:rPr>
        <w:t xml:space="preserve"> държавна или </w:t>
      </w:r>
      <w:r w:rsidRPr="009D693A">
        <w:rPr>
          <w:b/>
          <w:szCs w:val="22"/>
          <w:lang w:val="x-none" w:eastAsia="en-US"/>
        </w:rPr>
        <w:t>неправомерно</w:t>
      </w:r>
      <w:r w:rsidRPr="003E0010">
        <w:rPr>
          <w:szCs w:val="22"/>
          <w:lang w:val="x-none" w:eastAsia="en-US"/>
        </w:rPr>
        <w:t xml:space="preserve"> получена минимална помощ;</w:t>
      </w:r>
    </w:p>
    <w:p w14:paraId="681EBC56" w14:textId="77777777" w:rsidR="00686A75" w:rsidRPr="003E0010" w:rsidRDefault="00686A75" w:rsidP="00686A75">
      <w:pPr>
        <w:tabs>
          <w:tab w:val="left" w:pos="627"/>
          <w:tab w:val="left" w:pos="1134"/>
        </w:tabs>
        <w:rPr>
          <w:szCs w:val="22"/>
          <w:lang w:val="x-none" w:eastAsia="en-US"/>
        </w:rPr>
      </w:pPr>
      <w:r w:rsidRPr="003E0010">
        <w:rPr>
          <w:szCs w:val="22"/>
          <w:lang w:val="x-none" w:eastAsia="en-US"/>
        </w:rPr>
        <w:t xml:space="preserve"> 2. обезщетение при нарушение на задължението за отлагане;</w:t>
      </w:r>
    </w:p>
    <w:p w14:paraId="7E2C1FEE" w14:textId="77777777" w:rsidR="00686A75" w:rsidRPr="003E0010" w:rsidRDefault="00686A75" w:rsidP="00686A75">
      <w:pPr>
        <w:tabs>
          <w:tab w:val="left" w:pos="627"/>
          <w:tab w:val="left" w:pos="1134"/>
        </w:tabs>
        <w:rPr>
          <w:szCs w:val="22"/>
          <w:lang w:val="x-none" w:eastAsia="en-US"/>
        </w:rPr>
      </w:pPr>
      <w:r w:rsidRPr="003E0010">
        <w:rPr>
          <w:szCs w:val="22"/>
          <w:lang w:val="x-none" w:eastAsia="en-US"/>
        </w:rPr>
        <w:t xml:space="preserve"> 3. пълно възстановяване на неправомерно получена помощ без оглед на нейната съвместимост и изплащане на лихва за неправомерност;</w:t>
      </w:r>
    </w:p>
    <w:p w14:paraId="7DD1F4DA" w14:textId="77777777" w:rsidR="00686A75" w:rsidRPr="003E0010" w:rsidRDefault="00686A75" w:rsidP="00686A75">
      <w:pPr>
        <w:tabs>
          <w:tab w:val="left" w:pos="627"/>
          <w:tab w:val="left" w:pos="1134"/>
        </w:tabs>
        <w:rPr>
          <w:szCs w:val="22"/>
          <w:lang w:val="x-none" w:eastAsia="en-US"/>
        </w:rPr>
      </w:pPr>
      <w:r w:rsidRPr="003E0010">
        <w:rPr>
          <w:szCs w:val="22"/>
          <w:lang w:val="x-none" w:eastAsia="en-US"/>
        </w:rPr>
        <w:t xml:space="preserve"> 4. обезщетение за вреди, причинени на конкуренти на получателя и/или засегнати трети лица в резултат на неправомерно предоставена помощ, или</w:t>
      </w:r>
    </w:p>
    <w:p w14:paraId="7AAB5816" w14:textId="77777777" w:rsidR="00686A75" w:rsidRPr="003E0010" w:rsidRDefault="00686A75" w:rsidP="00686A75">
      <w:pPr>
        <w:tabs>
          <w:tab w:val="left" w:pos="627"/>
          <w:tab w:val="left" w:pos="1134"/>
        </w:tabs>
        <w:rPr>
          <w:szCs w:val="22"/>
          <w:lang w:val="x-none" w:eastAsia="en-US"/>
        </w:rPr>
      </w:pPr>
    </w:p>
    <w:p w14:paraId="1A5F3ECD" w14:textId="77777777" w:rsidR="00686A75" w:rsidRPr="003E0010" w:rsidRDefault="00686A75" w:rsidP="00686A75">
      <w:pPr>
        <w:tabs>
          <w:tab w:val="left" w:pos="627"/>
          <w:tab w:val="left" w:pos="1134"/>
        </w:tabs>
        <w:rPr>
          <w:szCs w:val="22"/>
          <w:lang w:val="x-none" w:eastAsia="en-US"/>
        </w:rPr>
      </w:pPr>
      <w:r w:rsidRPr="003E0010">
        <w:rPr>
          <w:szCs w:val="22"/>
          <w:lang w:val="x-none" w:eastAsia="en-US"/>
        </w:rPr>
        <w:t xml:space="preserve"> 5. възстановяване на държавна помощ, която не е възстановена по реда на глава шеста, или възстановяване на минимална помощ, която не е възстановена по реда на чл. 37, независимо дали е издаден акт за установяване на публично вземане.</w:t>
      </w:r>
    </w:p>
    <w:p w14:paraId="52F90D39" w14:textId="77777777" w:rsidR="00686A75" w:rsidRDefault="00686A75" w:rsidP="00686A75">
      <w:pPr>
        <w:tabs>
          <w:tab w:val="left" w:pos="1134"/>
        </w:tabs>
        <w:rPr>
          <w:szCs w:val="22"/>
          <w:lang w:eastAsia="en-US"/>
        </w:rPr>
      </w:pPr>
      <w:r>
        <w:rPr>
          <w:szCs w:val="22"/>
          <w:lang w:eastAsia="en-US"/>
        </w:rPr>
        <w:t xml:space="preserve">На основание чл. 56 съдът е длъжен да разгледа жалбата, протеста или иска, независимо дали в същото време мярката помощ се оценява от ЕК за съвмистимост с вътрешния пазар, като съда не може да се произнася по тази съвместимост. </w:t>
      </w:r>
    </w:p>
    <w:p w14:paraId="377D19E0" w14:textId="77777777" w:rsidR="00686A75" w:rsidRPr="0068052B" w:rsidRDefault="00686A75" w:rsidP="00686A75">
      <w:pPr>
        <w:tabs>
          <w:tab w:val="left" w:pos="1134"/>
        </w:tabs>
        <w:rPr>
          <w:szCs w:val="22"/>
          <w:lang w:eastAsia="en-US"/>
        </w:rPr>
      </w:pPr>
      <w:r>
        <w:rPr>
          <w:szCs w:val="22"/>
          <w:lang w:eastAsia="en-US"/>
        </w:rPr>
        <w:lastRenderedPageBreak/>
        <w:t xml:space="preserve">Съдът се произнася по правомернсотта на мярката, като в чл. 60 от ЗДП са определни седемте възможни решения на съда. Когато съдът е определил неправомерно предоставена ДП, следва да бъде определена и лихва за неправомерност до датата на пълното възтановяване  на помощтта </w:t>
      </w:r>
      <w:r w:rsidRPr="009D693A">
        <w:rPr>
          <w:i/>
          <w:szCs w:val="22"/>
          <w:lang w:eastAsia="en-US"/>
        </w:rPr>
        <w:t>(</w:t>
      </w:r>
      <w:r>
        <w:rPr>
          <w:i/>
          <w:szCs w:val="22"/>
          <w:lang w:eastAsia="en-US"/>
        </w:rPr>
        <w:t>чл.61 от ЗДП</w:t>
      </w:r>
      <w:r w:rsidRPr="009D693A">
        <w:rPr>
          <w:i/>
          <w:szCs w:val="22"/>
          <w:lang w:eastAsia="en-US"/>
        </w:rPr>
        <w:t>)</w:t>
      </w:r>
      <w:r>
        <w:rPr>
          <w:szCs w:val="22"/>
          <w:lang w:eastAsia="en-US"/>
        </w:rPr>
        <w:t xml:space="preserve">. </w:t>
      </w:r>
    </w:p>
    <w:p w14:paraId="55567BDE" w14:textId="77777777" w:rsidR="00686A75" w:rsidRDefault="00686A75" w:rsidP="00686A75">
      <w:pPr>
        <w:tabs>
          <w:tab w:val="left" w:pos="1134"/>
        </w:tabs>
        <w:rPr>
          <w:szCs w:val="22"/>
          <w:lang w:eastAsia="en-US"/>
        </w:rPr>
      </w:pPr>
    </w:p>
    <w:p w14:paraId="71DAD727" w14:textId="77777777" w:rsidR="00686A75" w:rsidRDefault="00686A75" w:rsidP="00686A75">
      <w:pPr>
        <w:tabs>
          <w:tab w:val="left" w:pos="1134"/>
        </w:tabs>
        <w:rPr>
          <w:szCs w:val="22"/>
          <w:lang w:eastAsia="en-US"/>
        </w:rPr>
      </w:pPr>
      <w:r>
        <w:rPr>
          <w:szCs w:val="22"/>
          <w:lang w:eastAsia="en-US"/>
        </w:rPr>
        <w:t xml:space="preserve">В случай, че по проект, финасиран по ОПТТИ постъпи жалба, протест или иск за неправомерно предоставена ДП чрез БФП по проект УО на ОПТТИ ще следва разпоредбите </w:t>
      </w:r>
      <w:r w:rsidRPr="009D693A">
        <w:rPr>
          <w:b/>
          <w:szCs w:val="22"/>
          <w:lang w:eastAsia="en-US"/>
        </w:rPr>
        <w:t>на глава осма</w:t>
      </w:r>
      <w:r>
        <w:rPr>
          <w:szCs w:val="22"/>
          <w:lang w:eastAsia="en-US"/>
        </w:rPr>
        <w:t xml:space="preserve"> от ЗДП.</w:t>
      </w:r>
    </w:p>
    <w:p w14:paraId="737CD565" w14:textId="77777777" w:rsidR="00686A75" w:rsidRPr="001B0EA3" w:rsidRDefault="00686A75" w:rsidP="00166C0A">
      <w:pPr>
        <w:tabs>
          <w:tab w:val="left" w:pos="627"/>
          <w:tab w:val="left" w:pos="1134"/>
        </w:tabs>
        <w:spacing w:before="120"/>
        <w:rPr>
          <w:szCs w:val="22"/>
          <w:lang w:eastAsia="en-US"/>
        </w:rPr>
      </w:pPr>
    </w:p>
    <w:p w14:paraId="171388FE" w14:textId="77777777" w:rsidR="00D603F5" w:rsidRPr="001B0EA3" w:rsidRDefault="00D603F5" w:rsidP="00166C0A">
      <w:pPr>
        <w:tabs>
          <w:tab w:val="left" w:pos="1134"/>
        </w:tabs>
        <w:rPr>
          <w:b/>
          <w:szCs w:val="22"/>
          <w:lang w:eastAsia="en-US"/>
        </w:rPr>
      </w:pPr>
      <w:r w:rsidRPr="001B0EA3">
        <w:rPr>
          <w:szCs w:val="22"/>
          <w:lang w:eastAsia="en-US"/>
        </w:rPr>
        <w:t xml:space="preserve">С процедурите по </w:t>
      </w:r>
      <w:r w:rsidRPr="001B0EA3">
        <w:rPr>
          <w:b/>
          <w:szCs w:val="22"/>
          <w:lang w:eastAsia="en-US"/>
        </w:rPr>
        <w:t xml:space="preserve">точки </w:t>
      </w:r>
      <w:r w:rsidRPr="001B0EA3">
        <w:rPr>
          <w:b/>
          <w:szCs w:val="22"/>
          <w:lang w:eastAsia="en-US"/>
        </w:rPr>
        <w:fldChar w:fldCharType="begin"/>
      </w:r>
      <w:r w:rsidRPr="001B0EA3">
        <w:rPr>
          <w:b/>
          <w:szCs w:val="22"/>
          <w:lang w:eastAsia="en-US"/>
        </w:rPr>
        <w:instrText xml:space="preserve"> REF _Ref408993939 \r \h  \* MERGEFORMAT </w:instrText>
      </w:r>
      <w:r w:rsidRPr="001B0EA3">
        <w:rPr>
          <w:b/>
          <w:szCs w:val="22"/>
          <w:lang w:eastAsia="en-US"/>
        </w:rPr>
      </w:r>
      <w:r w:rsidRPr="001B0EA3">
        <w:rPr>
          <w:b/>
          <w:szCs w:val="22"/>
          <w:lang w:eastAsia="en-US"/>
        </w:rPr>
        <w:fldChar w:fldCharType="separate"/>
      </w:r>
      <w:r w:rsidR="00F22141">
        <w:rPr>
          <w:b/>
          <w:szCs w:val="22"/>
          <w:lang w:eastAsia="en-US"/>
        </w:rPr>
        <w:t>6</w:t>
      </w:r>
      <w:r w:rsidRPr="001B0EA3">
        <w:rPr>
          <w:b/>
          <w:szCs w:val="22"/>
          <w:lang w:eastAsia="en-US"/>
        </w:rPr>
        <w:fldChar w:fldCharType="end"/>
      </w:r>
      <w:r w:rsidRPr="001B0EA3">
        <w:rPr>
          <w:b/>
          <w:szCs w:val="22"/>
          <w:lang w:eastAsia="en-US"/>
        </w:rPr>
        <w:t xml:space="preserve">, </w:t>
      </w:r>
      <w:r w:rsidRPr="001B0EA3">
        <w:rPr>
          <w:b/>
          <w:szCs w:val="22"/>
          <w:lang w:eastAsia="en-US"/>
        </w:rPr>
        <w:fldChar w:fldCharType="begin"/>
      </w:r>
      <w:r w:rsidRPr="001B0EA3">
        <w:rPr>
          <w:b/>
          <w:szCs w:val="22"/>
          <w:lang w:eastAsia="en-US"/>
        </w:rPr>
        <w:instrText xml:space="preserve"> REF _Ref408993954 \r \h  \* MERGEFORMAT </w:instrText>
      </w:r>
      <w:r w:rsidRPr="001B0EA3">
        <w:rPr>
          <w:b/>
          <w:szCs w:val="22"/>
          <w:lang w:eastAsia="en-US"/>
        </w:rPr>
      </w:r>
      <w:r w:rsidRPr="001B0EA3">
        <w:rPr>
          <w:b/>
          <w:szCs w:val="22"/>
          <w:lang w:eastAsia="en-US"/>
        </w:rPr>
        <w:fldChar w:fldCharType="separate"/>
      </w:r>
      <w:r w:rsidR="00F22141">
        <w:rPr>
          <w:b/>
          <w:szCs w:val="22"/>
          <w:lang w:eastAsia="en-US"/>
        </w:rPr>
        <w:t>7</w:t>
      </w:r>
      <w:r w:rsidRPr="001B0EA3">
        <w:rPr>
          <w:b/>
          <w:szCs w:val="22"/>
          <w:lang w:eastAsia="en-US"/>
        </w:rPr>
        <w:fldChar w:fldCharType="end"/>
      </w:r>
      <w:r w:rsidRPr="001B0EA3">
        <w:rPr>
          <w:b/>
          <w:szCs w:val="22"/>
          <w:lang w:eastAsia="en-US"/>
        </w:rPr>
        <w:t xml:space="preserve">, </w:t>
      </w:r>
      <w:r w:rsidRPr="001B0EA3">
        <w:rPr>
          <w:b/>
          <w:szCs w:val="22"/>
          <w:lang w:eastAsia="en-US"/>
        </w:rPr>
        <w:fldChar w:fldCharType="begin"/>
      </w:r>
      <w:r w:rsidRPr="001B0EA3">
        <w:rPr>
          <w:b/>
          <w:szCs w:val="22"/>
          <w:lang w:eastAsia="en-US"/>
        </w:rPr>
        <w:instrText xml:space="preserve"> REF _Ref408993972 \r \h  \* MERGEFORMAT </w:instrText>
      </w:r>
      <w:r w:rsidRPr="001B0EA3">
        <w:rPr>
          <w:b/>
          <w:szCs w:val="22"/>
          <w:lang w:eastAsia="en-US"/>
        </w:rPr>
      </w:r>
      <w:r w:rsidRPr="001B0EA3">
        <w:rPr>
          <w:b/>
          <w:szCs w:val="22"/>
          <w:lang w:eastAsia="en-US"/>
        </w:rPr>
        <w:fldChar w:fldCharType="separate"/>
      </w:r>
      <w:r w:rsidR="00F22141">
        <w:rPr>
          <w:b/>
          <w:szCs w:val="22"/>
          <w:lang w:eastAsia="en-US"/>
        </w:rPr>
        <w:t>8</w:t>
      </w:r>
      <w:r w:rsidRPr="001B0EA3">
        <w:rPr>
          <w:b/>
          <w:szCs w:val="22"/>
          <w:lang w:eastAsia="en-US"/>
        </w:rPr>
        <w:fldChar w:fldCharType="end"/>
      </w:r>
      <w:r w:rsidRPr="001B0EA3">
        <w:rPr>
          <w:b/>
          <w:szCs w:val="22"/>
          <w:lang w:eastAsia="en-US"/>
        </w:rPr>
        <w:t xml:space="preserve">, </w:t>
      </w:r>
      <w:r w:rsidRPr="001B0EA3">
        <w:rPr>
          <w:b/>
          <w:szCs w:val="22"/>
          <w:lang w:eastAsia="en-US"/>
        </w:rPr>
        <w:fldChar w:fldCharType="begin"/>
      </w:r>
      <w:r w:rsidRPr="001B0EA3">
        <w:rPr>
          <w:b/>
          <w:szCs w:val="22"/>
          <w:lang w:eastAsia="en-US"/>
        </w:rPr>
        <w:instrText xml:space="preserve"> REF _Ref408993985 \r \h  \* MERGEFORMAT </w:instrText>
      </w:r>
      <w:r w:rsidRPr="001B0EA3">
        <w:rPr>
          <w:b/>
          <w:szCs w:val="22"/>
          <w:lang w:eastAsia="en-US"/>
        </w:rPr>
      </w:r>
      <w:r w:rsidRPr="001B0EA3">
        <w:rPr>
          <w:b/>
          <w:szCs w:val="22"/>
          <w:lang w:eastAsia="en-US"/>
        </w:rPr>
        <w:fldChar w:fldCharType="separate"/>
      </w:r>
      <w:r w:rsidR="00F22141">
        <w:rPr>
          <w:bCs/>
          <w:szCs w:val="22"/>
          <w:lang w:val="en-US" w:eastAsia="en-US"/>
        </w:rPr>
        <w:t>Error</w:t>
      </w:r>
      <w:r w:rsidR="00F22141" w:rsidRPr="00842ECC">
        <w:rPr>
          <w:bCs/>
          <w:szCs w:val="22"/>
          <w:lang w:eastAsia="en-US"/>
        </w:rPr>
        <w:t xml:space="preserve">! </w:t>
      </w:r>
      <w:r w:rsidR="00F22141">
        <w:rPr>
          <w:bCs/>
          <w:szCs w:val="22"/>
          <w:lang w:val="en-US" w:eastAsia="en-US"/>
        </w:rPr>
        <w:t>Reference</w:t>
      </w:r>
      <w:r w:rsidR="00F22141" w:rsidRPr="00842ECC">
        <w:rPr>
          <w:bCs/>
          <w:szCs w:val="22"/>
          <w:lang w:eastAsia="en-US"/>
        </w:rPr>
        <w:t xml:space="preserve"> </w:t>
      </w:r>
      <w:r w:rsidR="00F22141">
        <w:rPr>
          <w:bCs/>
          <w:szCs w:val="22"/>
          <w:lang w:val="en-US" w:eastAsia="en-US"/>
        </w:rPr>
        <w:t>source</w:t>
      </w:r>
      <w:r w:rsidR="00F22141" w:rsidRPr="00842ECC">
        <w:rPr>
          <w:bCs/>
          <w:szCs w:val="22"/>
          <w:lang w:eastAsia="en-US"/>
        </w:rPr>
        <w:t xml:space="preserve"> </w:t>
      </w:r>
      <w:r w:rsidR="00F22141">
        <w:rPr>
          <w:bCs/>
          <w:szCs w:val="22"/>
          <w:lang w:val="en-US" w:eastAsia="en-US"/>
        </w:rPr>
        <w:t>not</w:t>
      </w:r>
      <w:r w:rsidR="00F22141" w:rsidRPr="00842ECC">
        <w:rPr>
          <w:bCs/>
          <w:szCs w:val="22"/>
          <w:lang w:eastAsia="en-US"/>
        </w:rPr>
        <w:t xml:space="preserve"> </w:t>
      </w:r>
      <w:r w:rsidR="00F22141">
        <w:rPr>
          <w:bCs/>
          <w:szCs w:val="22"/>
          <w:lang w:val="en-US" w:eastAsia="en-US"/>
        </w:rPr>
        <w:t>found</w:t>
      </w:r>
      <w:r w:rsidR="00F22141" w:rsidRPr="00842ECC">
        <w:rPr>
          <w:bCs/>
          <w:szCs w:val="22"/>
          <w:lang w:eastAsia="en-US"/>
        </w:rPr>
        <w:t>.</w:t>
      </w:r>
      <w:r w:rsidRPr="001B0EA3">
        <w:rPr>
          <w:b/>
          <w:szCs w:val="22"/>
          <w:lang w:eastAsia="en-US"/>
        </w:rPr>
        <w:fldChar w:fldCharType="end"/>
      </w:r>
      <w:r w:rsidRPr="001B0EA3">
        <w:rPr>
          <w:b/>
          <w:szCs w:val="22"/>
          <w:lang w:eastAsia="en-US"/>
        </w:rPr>
        <w:t xml:space="preserve">, </w:t>
      </w:r>
      <w:r w:rsidRPr="001B0EA3">
        <w:rPr>
          <w:b/>
          <w:szCs w:val="22"/>
          <w:lang w:eastAsia="en-US"/>
        </w:rPr>
        <w:fldChar w:fldCharType="begin"/>
      </w:r>
      <w:r w:rsidRPr="001B0EA3">
        <w:rPr>
          <w:b/>
          <w:szCs w:val="22"/>
          <w:lang w:eastAsia="en-US"/>
        </w:rPr>
        <w:instrText xml:space="preserve"> REF _Ref408993996 \r \h  \* MERGEFORMAT </w:instrText>
      </w:r>
      <w:r w:rsidRPr="001B0EA3">
        <w:rPr>
          <w:b/>
          <w:szCs w:val="22"/>
          <w:lang w:eastAsia="en-US"/>
        </w:rPr>
      </w:r>
      <w:r w:rsidRPr="001B0EA3">
        <w:rPr>
          <w:b/>
          <w:szCs w:val="22"/>
          <w:lang w:eastAsia="en-US"/>
        </w:rPr>
        <w:fldChar w:fldCharType="separate"/>
      </w:r>
      <w:r w:rsidR="00F22141">
        <w:rPr>
          <w:bCs/>
          <w:szCs w:val="22"/>
          <w:lang w:val="en-US" w:eastAsia="en-US"/>
        </w:rPr>
        <w:t>Error</w:t>
      </w:r>
      <w:r w:rsidR="00F22141" w:rsidRPr="00842ECC">
        <w:rPr>
          <w:bCs/>
          <w:szCs w:val="22"/>
          <w:lang w:eastAsia="en-US"/>
        </w:rPr>
        <w:t xml:space="preserve">! </w:t>
      </w:r>
      <w:r w:rsidR="00F22141">
        <w:rPr>
          <w:bCs/>
          <w:szCs w:val="22"/>
          <w:lang w:val="en-US" w:eastAsia="en-US"/>
        </w:rPr>
        <w:t>Reference</w:t>
      </w:r>
      <w:r w:rsidR="00F22141" w:rsidRPr="00842ECC">
        <w:rPr>
          <w:bCs/>
          <w:szCs w:val="22"/>
          <w:lang w:eastAsia="en-US"/>
        </w:rPr>
        <w:t xml:space="preserve"> </w:t>
      </w:r>
      <w:r w:rsidR="00F22141">
        <w:rPr>
          <w:bCs/>
          <w:szCs w:val="22"/>
          <w:lang w:val="en-US" w:eastAsia="en-US"/>
        </w:rPr>
        <w:t>source</w:t>
      </w:r>
      <w:r w:rsidR="00F22141" w:rsidRPr="00842ECC">
        <w:rPr>
          <w:bCs/>
          <w:szCs w:val="22"/>
          <w:lang w:eastAsia="en-US"/>
        </w:rPr>
        <w:t xml:space="preserve"> </w:t>
      </w:r>
      <w:r w:rsidR="00F22141">
        <w:rPr>
          <w:bCs/>
          <w:szCs w:val="22"/>
          <w:lang w:val="en-US" w:eastAsia="en-US"/>
        </w:rPr>
        <w:t>not</w:t>
      </w:r>
      <w:r w:rsidR="00F22141" w:rsidRPr="00842ECC">
        <w:rPr>
          <w:bCs/>
          <w:szCs w:val="22"/>
          <w:lang w:eastAsia="en-US"/>
        </w:rPr>
        <w:t xml:space="preserve"> </w:t>
      </w:r>
      <w:r w:rsidR="00F22141">
        <w:rPr>
          <w:bCs/>
          <w:szCs w:val="22"/>
          <w:lang w:val="en-US" w:eastAsia="en-US"/>
        </w:rPr>
        <w:t>found</w:t>
      </w:r>
      <w:r w:rsidR="00F22141" w:rsidRPr="00842ECC">
        <w:rPr>
          <w:bCs/>
          <w:szCs w:val="22"/>
          <w:lang w:eastAsia="en-US"/>
        </w:rPr>
        <w:t>.</w:t>
      </w:r>
      <w:r w:rsidRPr="001B0EA3">
        <w:rPr>
          <w:b/>
          <w:szCs w:val="22"/>
          <w:lang w:eastAsia="en-US"/>
        </w:rPr>
        <w:fldChar w:fldCharType="end"/>
      </w:r>
      <w:r w:rsidRPr="001B0EA3">
        <w:rPr>
          <w:b/>
          <w:szCs w:val="22"/>
          <w:lang w:eastAsia="en-US"/>
        </w:rPr>
        <w:t xml:space="preserve">, </w:t>
      </w:r>
      <w:r w:rsidRPr="001B0EA3">
        <w:rPr>
          <w:b/>
          <w:szCs w:val="22"/>
          <w:lang w:eastAsia="en-US"/>
        </w:rPr>
        <w:fldChar w:fldCharType="begin"/>
      </w:r>
      <w:r w:rsidRPr="001B0EA3">
        <w:rPr>
          <w:b/>
          <w:szCs w:val="22"/>
          <w:lang w:eastAsia="en-US"/>
        </w:rPr>
        <w:instrText xml:space="preserve"> REF _Ref408994014 \r \h  \* MERGEFORMAT </w:instrText>
      </w:r>
      <w:r w:rsidRPr="001B0EA3">
        <w:rPr>
          <w:b/>
          <w:szCs w:val="22"/>
          <w:lang w:eastAsia="en-US"/>
        </w:rPr>
      </w:r>
      <w:r w:rsidRPr="001B0EA3">
        <w:rPr>
          <w:b/>
          <w:szCs w:val="22"/>
          <w:lang w:eastAsia="en-US"/>
        </w:rPr>
        <w:fldChar w:fldCharType="separate"/>
      </w:r>
      <w:r w:rsidR="00F22141">
        <w:rPr>
          <w:b/>
          <w:szCs w:val="22"/>
          <w:lang w:eastAsia="en-US"/>
        </w:rPr>
        <w:t>10</w:t>
      </w:r>
      <w:r w:rsidRPr="001B0EA3">
        <w:rPr>
          <w:b/>
          <w:szCs w:val="22"/>
          <w:lang w:eastAsia="en-US"/>
        </w:rPr>
        <w:fldChar w:fldCharType="end"/>
      </w:r>
      <w:r w:rsidRPr="001B0EA3">
        <w:rPr>
          <w:b/>
          <w:szCs w:val="22"/>
          <w:lang w:eastAsia="en-US"/>
        </w:rPr>
        <w:t xml:space="preserve"> и </w:t>
      </w:r>
      <w:r w:rsidRPr="001B0EA3">
        <w:rPr>
          <w:b/>
          <w:szCs w:val="22"/>
          <w:lang w:eastAsia="en-US"/>
        </w:rPr>
        <w:fldChar w:fldCharType="begin"/>
      </w:r>
      <w:r w:rsidRPr="001B0EA3">
        <w:rPr>
          <w:b/>
          <w:szCs w:val="22"/>
          <w:lang w:eastAsia="en-US"/>
        </w:rPr>
        <w:instrText xml:space="preserve"> REF _Ref408994024 \r \h  \* MERGEFORMAT </w:instrText>
      </w:r>
      <w:r w:rsidRPr="001B0EA3">
        <w:rPr>
          <w:b/>
          <w:szCs w:val="22"/>
          <w:lang w:eastAsia="en-US"/>
        </w:rPr>
      </w:r>
      <w:r w:rsidRPr="001B0EA3">
        <w:rPr>
          <w:b/>
          <w:szCs w:val="22"/>
          <w:lang w:eastAsia="en-US"/>
        </w:rPr>
        <w:fldChar w:fldCharType="separate"/>
      </w:r>
      <w:r w:rsidR="00F22141">
        <w:rPr>
          <w:b/>
          <w:szCs w:val="22"/>
          <w:lang w:eastAsia="en-US"/>
        </w:rPr>
        <w:t>11</w:t>
      </w:r>
      <w:r w:rsidRPr="001B0EA3">
        <w:rPr>
          <w:b/>
          <w:szCs w:val="22"/>
          <w:lang w:eastAsia="en-US"/>
        </w:rPr>
        <w:fldChar w:fldCharType="end"/>
      </w:r>
      <w:r w:rsidRPr="001B0EA3">
        <w:rPr>
          <w:szCs w:val="22"/>
          <w:lang w:eastAsia="en-US"/>
        </w:rPr>
        <w:t xml:space="preserve"> се осигурява изпълнение на  подусловието за </w:t>
      </w:r>
      <w:r w:rsidRPr="001B0EA3">
        <w:rPr>
          <w:b/>
          <w:szCs w:val="22"/>
          <w:lang w:eastAsia="en-US"/>
        </w:rPr>
        <w:t>наличието уредба по  ОПТТИ за ефективното прилагане на правилата на Съюза за ДП</w:t>
      </w:r>
      <w:r w:rsidRPr="001B0EA3">
        <w:rPr>
          <w:szCs w:val="22"/>
          <w:lang w:eastAsia="en-US"/>
        </w:rPr>
        <w:t>, съгласно  Общо условие 5 „Държавни помощи”, Приложение XI, част II, към Регламент № (ЕС) № 1303</w:t>
      </w:r>
      <w:r w:rsidRPr="001B0EA3">
        <w:rPr>
          <w:b/>
          <w:szCs w:val="22"/>
          <w:lang w:eastAsia="en-US"/>
        </w:rPr>
        <w:t>/</w:t>
      </w:r>
      <w:r w:rsidRPr="001B0EA3">
        <w:rPr>
          <w:szCs w:val="22"/>
          <w:lang w:eastAsia="en-US"/>
        </w:rPr>
        <w:t>2013 г.</w:t>
      </w:r>
      <w:r w:rsidRPr="001B0EA3">
        <w:rPr>
          <w:b/>
          <w:szCs w:val="22"/>
          <w:lang w:eastAsia="en-US"/>
        </w:rPr>
        <w:t xml:space="preserve">  </w:t>
      </w:r>
    </w:p>
    <w:p w14:paraId="637B3124" w14:textId="77777777" w:rsidR="00D603F5" w:rsidRPr="001B0EA3" w:rsidRDefault="00D603F5" w:rsidP="00F058E0">
      <w:pPr>
        <w:pStyle w:val="Style1"/>
      </w:pPr>
      <w:bookmarkStart w:id="468" w:name="_Ref408994046"/>
      <w:bookmarkStart w:id="469" w:name="_Toc479775604"/>
      <w:bookmarkStart w:id="470" w:name="_Toc140150191"/>
      <w:r w:rsidRPr="001B0EA3">
        <w:t>Поддържане на капацитет и информираност относно правилата по държавните помощи, вкл. за обучение на персонала, участващ в привеждането на ЕСИФ в действие</w:t>
      </w:r>
      <w:bookmarkEnd w:id="468"/>
      <w:bookmarkEnd w:id="469"/>
      <w:bookmarkEnd w:id="470"/>
      <w:r w:rsidRPr="001B0EA3">
        <w:t xml:space="preserve"> </w:t>
      </w:r>
    </w:p>
    <w:p w14:paraId="08192D1D" w14:textId="77777777" w:rsidR="00D603F5" w:rsidRPr="001B0EA3" w:rsidRDefault="00D603F5" w:rsidP="00166C0A">
      <w:pPr>
        <w:tabs>
          <w:tab w:val="left" w:pos="627"/>
          <w:tab w:val="left" w:pos="1134"/>
        </w:tabs>
        <w:spacing w:before="120"/>
        <w:rPr>
          <w:szCs w:val="22"/>
          <w:lang w:eastAsia="en-US"/>
        </w:rPr>
      </w:pPr>
      <w:r w:rsidRPr="001B0EA3">
        <w:rPr>
          <w:szCs w:val="22"/>
          <w:lang w:eastAsia="en-US"/>
        </w:rPr>
        <w:t>За гарантиране коректното програмиране на мерките, съфинансирани от ЕСИФ, както и с цел подобряване на правоприлагането в  областта на държавните помощи УО на ОПТТИ</w:t>
      </w:r>
      <w:r w:rsidR="00BC352B" w:rsidRPr="001B0EA3">
        <w:rPr>
          <w:szCs w:val="22"/>
          <w:lang w:eastAsia="en-US"/>
        </w:rPr>
        <w:t xml:space="preserve"> </w:t>
      </w:r>
      <w:r w:rsidRPr="001B0EA3">
        <w:rPr>
          <w:szCs w:val="22"/>
          <w:lang w:eastAsia="en-US"/>
        </w:rPr>
        <w:t>предприем</w:t>
      </w:r>
      <w:r w:rsidR="0032751A">
        <w:rPr>
          <w:szCs w:val="22"/>
          <w:lang w:eastAsia="en-US"/>
        </w:rPr>
        <w:t>а</w:t>
      </w:r>
      <w:r w:rsidRPr="001B0EA3">
        <w:rPr>
          <w:szCs w:val="22"/>
          <w:lang w:eastAsia="en-US"/>
        </w:rPr>
        <w:t xml:space="preserve"> мерки за подобряване и поддържане на административния капацитет и разпространението на информация по държавните помощи.</w:t>
      </w:r>
    </w:p>
    <w:p w14:paraId="48E46EC0" w14:textId="77777777" w:rsidR="00D603F5" w:rsidRPr="001B0EA3" w:rsidRDefault="0032751A" w:rsidP="00166C0A">
      <w:pPr>
        <w:tabs>
          <w:tab w:val="left" w:pos="627"/>
          <w:tab w:val="left" w:pos="1134"/>
        </w:tabs>
        <w:spacing w:before="120"/>
        <w:rPr>
          <w:lang w:eastAsia="en-US"/>
        </w:rPr>
      </w:pPr>
      <w:r>
        <w:rPr>
          <w:szCs w:val="22"/>
          <w:lang w:eastAsia="en-US"/>
        </w:rPr>
        <w:t>М</w:t>
      </w:r>
      <w:r w:rsidR="00D603F5" w:rsidRPr="001B0EA3">
        <w:rPr>
          <w:szCs w:val="22"/>
          <w:lang w:eastAsia="en-US"/>
        </w:rPr>
        <w:t>ерките да зас</w:t>
      </w:r>
      <w:r>
        <w:rPr>
          <w:szCs w:val="22"/>
          <w:lang w:eastAsia="en-US"/>
        </w:rPr>
        <w:t>я</w:t>
      </w:r>
      <w:r w:rsidR="00D603F5" w:rsidRPr="001B0EA3">
        <w:rPr>
          <w:szCs w:val="22"/>
          <w:lang w:eastAsia="en-US"/>
        </w:rPr>
        <w:t xml:space="preserve">гат служителите, които участват в дейностите по </w:t>
      </w:r>
      <w:r w:rsidR="00D603F5" w:rsidRPr="001B0EA3">
        <w:rPr>
          <w:lang w:eastAsia="en-US"/>
        </w:rPr>
        <w:t xml:space="preserve">програмиране на операциите </w:t>
      </w:r>
      <w:r>
        <w:rPr>
          <w:lang w:eastAsia="en-US"/>
        </w:rPr>
        <w:t xml:space="preserve">и </w:t>
      </w:r>
      <w:r w:rsidR="00D603F5" w:rsidRPr="001B0EA3">
        <w:rPr>
          <w:lang w:eastAsia="en-US"/>
        </w:rPr>
        <w:t>договаряне</w:t>
      </w:r>
      <w:r>
        <w:rPr>
          <w:lang w:eastAsia="en-US"/>
        </w:rPr>
        <w:t>, така и служителите от УО на ОПТТИ, извършващи верификация</w:t>
      </w:r>
      <w:r w:rsidR="00D603F5" w:rsidRPr="001B0EA3">
        <w:rPr>
          <w:lang w:eastAsia="en-US"/>
        </w:rPr>
        <w:t xml:space="preserve"> и осигуряване на публичност. </w:t>
      </w:r>
    </w:p>
    <w:p w14:paraId="7E79A4F2" w14:textId="77777777" w:rsidR="00D603F5" w:rsidRPr="001B0EA3" w:rsidRDefault="00D603F5" w:rsidP="00166C0A">
      <w:pPr>
        <w:spacing w:beforeLines="60" w:before="144" w:afterLines="60" w:after="144"/>
        <w:rPr>
          <w:lang w:eastAsia="en-US"/>
        </w:rPr>
      </w:pPr>
      <w:r w:rsidRPr="001B0EA3">
        <w:rPr>
          <w:lang w:eastAsia="en-US"/>
        </w:rPr>
        <w:t xml:space="preserve">С оглед на това УО има ангажименти за действия, свързани с осигуряване на: </w:t>
      </w:r>
    </w:p>
    <w:p w14:paraId="1BB9D905" w14:textId="77777777" w:rsidR="00D603F5" w:rsidRPr="001B0EA3" w:rsidRDefault="00D603F5" w:rsidP="0054623A">
      <w:pPr>
        <w:numPr>
          <w:ilvl w:val="0"/>
          <w:numId w:val="141"/>
        </w:numPr>
        <w:tabs>
          <w:tab w:val="clear" w:pos="720"/>
          <w:tab w:val="num" w:pos="0"/>
          <w:tab w:val="left" w:pos="1134"/>
        </w:tabs>
        <w:ind w:left="0" w:firstLine="851"/>
        <w:rPr>
          <w:szCs w:val="22"/>
          <w:lang w:eastAsia="en-US"/>
        </w:rPr>
      </w:pPr>
      <w:r w:rsidRPr="001B0EA3">
        <w:rPr>
          <w:szCs w:val="22"/>
          <w:lang w:eastAsia="en-US"/>
        </w:rPr>
        <w:t xml:space="preserve">обучение (базово, надграждащо или специализирано) за служителите по прилагане на правилата по държавните помощи въз основата на годишни планове; </w:t>
      </w:r>
    </w:p>
    <w:p w14:paraId="43C74718" w14:textId="77777777" w:rsidR="00D603F5" w:rsidRPr="001B0EA3" w:rsidRDefault="00D603F5" w:rsidP="0054623A">
      <w:pPr>
        <w:numPr>
          <w:ilvl w:val="0"/>
          <w:numId w:val="141"/>
        </w:numPr>
        <w:tabs>
          <w:tab w:val="clear" w:pos="720"/>
          <w:tab w:val="num" w:pos="0"/>
          <w:tab w:val="left" w:pos="1134"/>
        </w:tabs>
        <w:ind w:left="0" w:firstLine="851"/>
        <w:rPr>
          <w:lang w:eastAsia="en-US"/>
        </w:rPr>
      </w:pPr>
      <w:r w:rsidRPr="001B0EA3">
        <w:rPr>
          <w:szCs w:val="22"/>
          <w:lang w:eastAsia="en-US"/>
        </w:rPr>
        <w:t>прилагането на количествени и качествени показатели за проследяване на промените в капацитета (където е възможно), така че да се гарантира подобряване на ефективността, приемственост и надграждане</w:t>
      </w:r>
      <w:r w:rsidRPr="001B0EA3">
        <w:rPr>
          <w:lang w:eastAsia="en-US"/>
        </w:rPr>
        <w:t xml:space="preserve">; </w:t>
      </w:r>
    </w:p>
    <w:p w14:paraId="4EFF38FD" w14:textId="77777777" w:rsidR="00D603F5" w:rsidRPr="001B0EA3" w:rsidRDefault="00D603F5" w:rsidP="0054623A">
      <w:pPr>
        <w:keepNext/>
        <w:numPr>
          <w:ilvl w:val="0"/>
          <w:numId w:val="143"/>
        </w:numPr>
        <w:tabs>
          <w:tab w:val="num" w:pos="0"/>
          <w:tab w:val="left" w:pos="1134"/>
        </w:tabs>
        <w:ind w:left="0" w:firstLine="851"/>
        <w:contextualSpacing/>
        <w:rPr>
          <w:lang w:eastAsia="en-US"/>
        </w:rPr>
      </w:pPr>
      <w:r w:rsidRPr="001B0EA3">
        <w:rPr>
          <w:lang w:eastAsia="en-US"/>
        </w:rPr>
        <w:t>информация за наличие на връзка между правилата на ЕСИФ и режима по държавните помощи;</w:t>
      </w:r>
    </w:p>
    <w:p w14:paraId="303A1083" w14:textId="77777777" w:rsidR="00D603F5" w:rsidRPr="001B0EA3" w:rsidRDefault="00D603F5" w:rsidP="0054623A">
      <w:pPr>
        <w:keepNext/>
        <w:numPr>
          <w:ilvl w:val="0"/>
          <w:numId w:val="143"/>
        </w:numPr>
        <w:tabs>
          <w:tab w:val="num" w:pos="0"/>
          <w:tab w:val="left" w:pos="1134"/>
        </w:tabs>
        <w:ind w:left="0" w:firstLine="851"/>
        <w:contextualSpacing/>
        <w:rPr>
          <w:rFonts w:ascii="Calibri" w:hAnsi="Calibri"/>
          <w:sz w:val="22"/>
          <w:szCs w:val="22"/>
          <w:lang w:eastAsia="en-US"/>
        </w:rPr>
      </w:pPr>
      <w:r w:rsidRPr="001B0EA3">
        <w:rPr>
          <w:lang w:eastAsia="en-US"/>
        </w:rPr>
        <w:t>вътрешно разпространение на информация относно актуални изменения в правната рамка, най-добри практики в областта, правата и задълженията на страните в процеса, вкл. компетенциите на националните съдилища;</w:t>
      </w:r>
    </w:p>
    <w:p w14:paraId="3E9839D2" w14:textId="77777777" w:rsidR="00D603F5" w:rsidRPr="001B0EA3" w:rsidRDefault="00D603F5" w:rsidP="0054623A">
      <w:pPr>
        <w:keepNext/>
        <w:numPr>
          <w:ilvl w:val="0"/>
          <w:numId w:val="143"/>
        </w:numPr>
        <w:tabs>
          <w:tab w:val="num" w:pos="0"/>
          <w:tab w:val="left" w:pos="1134"/>
        </w:tabs>
        <w:ind w:left="0" w:firstLine="851"/>
        <w:contextualSpacing/>
        <w:rPr>
          <w:lang w:eastAsia="en-US"/>
        </w:rPr>
      </w:pPr>
      <w:r w:rsidRPr="001B0EA3">
        <w:rPr>
          <w:lang w:eastAsia="en-US"/>
        </w:rPr>
        <w:t xml:space="preserve">информиране на бенефициентите/партньорите относно правата и задълженията, свързани с получаваната държавна/минимална помощ. </w:t>
      </w:r>
    </w:p>
    <w:p w14:paraId="70EF0B06" w14:textId="77777777" w:rsidR="00D603F5" w:rsidRPr="001B0EA3" w:rsidRDefault="00D603F5" w:rsidP="00166C0A">
      <w:pPr>
        <w:spacing w:beforeLines="60" w:before="144" w:afterLines="60" w:after="144"/>
        <w:rPr>
          <w:b/>
          <w:szCs w:val="22"/>
          <w:lang w:eastAsia="en-US"/>
        </w:rPr>
      </w:pPr>
      <w:r w:rsidRPr="001B0EA3">
        <w:rPr>
          <w:szCs w:val="22"/>
          <w:lang w:eastAsia="en-US"/>
        </w:rPr>
        <w:t xml:space="preserve">С мерките по </w:t>
      </w:r>
      <w:r w:rsidRPr="001B0EA3">
        <w:rPr>
          <w:b/>
          <w:szCs w:val="22"/>
          <w:lang w:eastAsia="en-US"/>
        </w:rPr>
        <w:t xml:space="preserve">точка </w:t>
      </w:r>
      <w:r w:rsidRPr="001B0EA3">
        <w:rPr>
          <w:b/>
          <w:szCs w:val="22"/>
          <w:lang w:eastAsia="en-US"/>
        </w:rPr>
        <w:fldChar w:fldCharType="begin"/>
      </w:r>
      <w:r w:rsidRPr="001B0EA3">
        <w:rPr>
          <w:b/>
          <w:szCs w:val="22"/>
          <w:lang w:eastAsia="en-US"/>
        </w:rPr>
        <w:instrText xml:space="preserve"> REF _Ref408994046 \r \h  \* MERGEFORMAT </w:instrText>
      </w:r>
      <w:r w:rsidRPr="001B0EA3">
        <w:rPr>
          <w:b/>
          <w:szCs w:val="22"/>
          <w:lang w:eastAsia="en-US"/>
        </w:rPr>
      </w:r>
      <w:r w:rsidRPr="001B0EA3">
        <w:rPr>
          <w:b/>
          <w:szCs w:val="22"/>
          <w:lang w:eastAsia="en-US"/>
        </w:rPr>
        <w:fldChar w:fldCharType="separate"/>
      </w:r>
      <w:r w:rsidR="00F22141">
        <w:rPr>
          <w:b/>
          <w:szCs w:val="22"/>
          <w:lang w:eastAsia="en-US"/>
        </w:rPr>
        <w:t>13</w:t>
      </w:r>
      <w:r w:rsidRPr="001B0EA3">
        <w:rPr>
          <w:b/>
          <w:szCs w:val="22"/>
          <w:lang w:eastAsia="en-US"/>
        </w:rPr>
        <w:fldChar w:fldCharType="end"/>
      </w:r>
      <w:r w:rsidRPr="001B0EA3">
        <w:rPr>
          <w:szCs w:val="22"/>
          <w:lang w:eastAsia="en-US"/>
        </w:rPr>
        <w:t xml:space="preserve"> се цели да се осигури изпълнение на  подусловията за наличие на у</w:t>
      </w:r>
      <w:r w:rsidRPr="001B0EA3">
        <w:rPr>
          <w:b/>
          <w:szCs w:val="22"/>
          <w:lang w:eastAsia="en-US"/>
        </w:rPr>
        <w:t xml:space="preserve">редба за обучение на персонала, който участва в привеждането на ЕСИФ в действие, и за разпространение на информация до този персонал </w:t>
      </w:r>
      <w:r w:rsidRPr="001B0EA3">
        <w:rPr>
          <w:szCs w:val="22"/>
          <w:lang w:eastAsia="en-US"/>
        </w:rPr>
        <w:t>и наличие на</w:t>
      </w:r>
      <w:r w:rsidRPr="001B0EA3">
        <w:rPr>
          <w:b/>
          <w:szCs w:val="22"/>
          <w:lang w:eastAsia="en-US"/>
        </w:rPr>
        <w:t xml:space="preserve"> уредба, гарантираща административния капацитет за въвеждане и прилагане на правилата на Съюза за държавните помощи</w:t>
      </w:r>
      <w:r w:rsidRPr="001B0EA3">
        <w:rPr>
          <w:szCs w:val="22"/>
          <w:lang w:eastAsia="en-US"/>
        </w:rPr>
        <w:t>, съгласно  Общо условие 5 „Държавни помощи”, Приложение XI, част II, към Регламент № (ЕС) № 1303</w:t>
      </w:r>
      <w:r w:rsidRPr="001B0EA3">
        <w:rPr>
          <w:b/>
          <w:szCs w:val="22"/>
          <w:lang w:eastAsia="en-US"/>
        </w:rPr>
        <w:t>/</w:t>
      </w:r>
      <w:r w:rsidRPr="001B0EA3">
        <w:rPr>
          <w:szCs w:val="22"/>
          <w:lang w:eastAsia="en-US"/>
        </w:rPr>
        <w:t>2013 г.</w:t>
      </w:r>
      <w:r w:rsidRPr="001B0EA3">
        <w:rPr>
          <w:b/>
          <w:szCs w:val="22"/>
          <w:lang w:eastAsia="en-US"/>
        </w:rPr>
        <w:t xml:space="preserve">  </w:t>
      </w:r>
    </w:p>
    <w:p w14:paraId="1D86C7F0" w14:textId="77777777" w:rsidR="001C2346" w:rsidRPr="001B0EA3" w:rsidRDefault="001C2346" w:rsidP="00660856">
      <w:pPr>
        <w:jc w:val="left"/>
        <w:rPr>
          <w:b/>
          <w:bCs/>
          <w:kern w:val="28"/>
          <w:szCs w:val="24"/>
          <w:lang w:eastAsia="bg-BG"/>
        </w:rPr>
      </w:pPr>
      <w:r w:rsidRPr="001B0EA3">
        <w:rPr>
          <w:szCs w:val="24"/>
          <w:lang w:eastAsia="bg-BG"/>
        </w:rPr>
        <w:br w:type="page"/>
      </w:r>
    </w:p>
    <w:p w14:paraId="56B1053F" w14:textId="77777777" w:rsidR="00D603F5" w:rsidRPr="001B0EA3" w:rsidRDefault="00D075BF" w:rsidP="00890B4B">
      <w:pPr>
        <w:pStyle w:val="Title"/>
        <w:spacing w:after="240"/>
        <w:ind w:firstLine="0"/>
        <w:jc w:val="center"/>
        <w:rPr>
          <w:rFonts w:ascii="Times New Roman" w:hAnsi="Times New Roman"/>
          <w:sz w:val="24"/>
          <w:szCs w:val="24"/>
          <w:lang w:eastAsia="bg-BG"/>
        </w:rPr>
      </w:pPr>
      <w:bookmarkStart w:id="471" w:name="_Toc479775605"/>
      <w:bookmarkStart w:id="472" w:name="_Toc140150192"/>
      <w:r>
        <w:rPr>
          <w:rFonts w:ascii="Times New Roman" w:hAnsi="Times New Roman"/>
          <w:sz w:val="24"/>
          <w:szCs w:val="24"/>
          <w:lang w:eastAsia="bg-BG"/>
        </w:rPr>
        <w:lastRenderedPageBreak/>
        <w:t>ГЛАВА 3</w:t>
      </w:r>
      <w:r w:rsidR="00D603F5" w:rsidRPr="001B0EA3">
        <w:rPr>
          <w:rFonts w:ascii="Times New Roman" w:hAnsi="Times New Roman"/>
          <w:sz w:val="24"/>
          <w:szCs w:val="24"/>
          <w:lang w:eastAsia="bg-BG"/>
        </w:rPr>
        <w:br/>
        <w:t>ПРОГРАМИРАНЕ</w:t>
      </w:r>
      <w:bookmarkEnd w:id="471"/>
      <w:bookmarkEnd w:id="472"/>
    </w:p>
    <w:p w14:paraId="60233187" w14:textId="77777777" w:rsidR="00D603F5" w:rsidRDefault="00D603F5" w:rsidP="00C0300F">
      <w:r w:rsidRPr="001B0EA3">
        <w:t>Основни фази, свързани с програмиране по ОПТТИ са свързани с изготвяне, одобрение и изменения на ОПТТИ; планиране, подготовка и изготвяне на проектно предложение; подаване, извършване на оценка и одобрение или отхвърляне на проектно предложение; предоставяне на БФП за изпълнение на проектното предложение.</w:t>
      </w:r>
    </w:p>
    <w:p w14:paraId="412FFA9C" w14:textId="77777777" w:rsidR="00C0300F" w:rsidRPr="001B0EA3" w:rsidRDefault="00C0300F" w:rsidP="00C0300F"/>
    <w:p w14:paraId="68AE0218" w14:textId="77777777" w:rsidR="00D603F5" w:rsidRPr="00A110A4" w:rsidRDefault="00D603F5" w:rsidP="00F058E0">
      <w:pPr>
        <w:pStyle w:val="Style1"/>
      </w:pPr>
      <w:bookmarkStart w:id="473" w:name="_Toc479775606"/>
      <w:bookmarkStart w:id="474" w:name="_Toc140150193"/>
      <w:r w:rsidRPr="00A110A4">
        <w:t>ОБХВАТ НА</w:t>
      </w:r>
      <w:r w:rsidR="000D04AB" w:rsidRPr="00A110A4">
        <w:t xml:space="preserve"> </w:t>
      </w:r>
      <w:r w:rsidRPr="00A110A4">
        <w:t>ПОДКРЕПАТА ПО ОПЕРАТИВНА ПРОГРАМА „ТРАНСПОРТ И ТРАНСПОРТНА ИНФРАСТРУКТУРА“ 2014-2020 г.</w:t>
      </w:r>
      <w:bookmarkEnd w:id="473"/>
      <w:bookmarkEnd w:id="474"/>
    </w:p>
    <w:p w14:paraId="7693413C" w14:textId="77777777" w:rsidR="00D603F5" w:rsidRPr="001B0EA3" w:rsidRDefault="00D603F5" w:rsidP="00C0300F">
      <w:pPr>
        <w:rPr>
          <w:lang w:eastAsia="bg-BG"/>
        </w:rPr>
      </w:pPr>
      <w:r w:rsidRPr="001B0EA3">
        <w:rPr>
          <w:lang w:eastAsia="bg-BG"/>
        </w:rPr>
        <w:t xml:space="preserve">Със Заповед № РД-08-458/07.08.12 г. на министъра на транспорта, информационните технологии и </w:t>
      </w:r>
      <w:r w:rsidRPr="001B0EA3">
        <w:rPr>
          <w:color w:val="000000"/>
        </w:rPr>
        <w:t>съобщенията</w:t>
      </w:r>
      <w:r w:rsidRPr="001B0EA3">
        <w:rPr>
          <w:lang w:eastAsia="bg-BG"/>
        </w:rPr>
        <w:t xml:space="preserve">, съгласувано с министъра по управление на средствата от ЕС, е сформирана Работна група за подготовката на програмата, чиято  работа приключи с одобрението на програмата от ЕК. В процеса на разработване на оперативната програма са обсъждани най-подходящите решения за постигане целите на програмата. Обхватът на програмата, включително изборът на операции и дейности са съобразени с допустимите за финансиране дейности по съответните инвестиционни приоритети и тематични цели. </w:t>
      </w:r>
    </w:p>
    <w:p w14:paraId="0A3A97EE" w14:textId="77777777" w:rsidR="00D603F5" w:rsidRPr="001B0EA3" w:rsidRDefault="00D603F5" w:rsidP="00C0300F">
      <w:pPr>
        <w:rPr>
          <w:lang w:eastAsia="bg-BG"/>
        </w:rPr>
      </w:pPr>
      <w:r w:rsidRPr="001B0EA3">
        <w:rPr>
          <w:lang w:eastAsia="bg-BG"/>
        </w:rPr>
        <w:t xml:space="preserve">Общата цел на ОПТТИ е </w:t>
      </w:r>
      <w:r w:rsidRPr="001B0EA3">
        <w:rPr>
          <w:b/>
          <w:lang w:eastAsia="en-GB"/>
        </w:rPr>
        <w:t>„Развитие на устойчива транспортна система”</w:t>
      </w:r>
      <w:r w:rsidRPr="001B0EA3">
        <w:rPr>
          <w:lang w:eastAsia="en-GB"/>
        </w:rPr>
        <w:t xml:space="preserve">, </w:t>
      </w:r>
      <w:r w:rsidRPr="001B0EA3">
        <w:rPr>
          <w:lang w:eastAsia="bg-BG"/>
        </w:rPr>
        <w:t>която съответства на тематична цел № 4 „Подкрепа за преминаването към нисковъглеродна икономика във всички сектори” и на тематична цел № 7  „Насърчаване на устойчивия транспорт и премахване на участъците с недостатъчен капацитет във всички ключови мрежови инфраструктури”.</w:t>
      </w:r>
    </w:p>
    <w:p w14:paraId="04E34621" w14:textId="77777777" w:rsidR="00D603F5" w:rsidRPr="001B0EA3" w:rsidRDefault="00D603F5" w:rsidP="00C0300F">
      <w:pPr>
        <w:rPr>
          <w:lang w:eastAsia="bg-BG"/>
        </w:rPr>
      </w:pPr>
      <w:r w:rsidRPr="001B0EA3">
        <w:rPr>
          <w:lang w:eastAsia="bg-BG"/>
        </w:rPr>
        <w:t xml:space="preserve">По програмата са допустими проекти за развитие на транспортната система, които допринасят за ефективната свързаност на транспортната мрежа и премахването на участъци с недостатъчен капацитет в нея, намаляване на задръстванията, на нивата на шум и замърсяване, подобряване на безопасността, насърчаване употребата на екологосъобразни видове транспорт. </w:t>
      </w:r>
    </w:p>
    <w:p w14:paraId="1E060A1A" w14:textId="77777777" w:rsidR="00D603F5" w:rsidRDefault="00D603F5" w:rsidP="00C0300F">
      <w:pPr>
        <w:rPr>
          <w:lang w:eastAsia="bg-BG"/>
        </w:rPr>
      </w:pPr>
      <w:r w:rsidRPr="001B0EA3">
        <w:rPr>
          <w:lang w:eastAsia="bg-BG"/>
        </w:rPr>
        <w:t>Важна част в наръчника е интегрирането на стратегията на ОПТТИ, подчертавайки избора на приоритетни оси и операции, които да бъдат финансирани от ОПТТИ. Съгласно Регламент (EC) № 1303/2013 програмата трябва да бъде дефинирана на ниво приоритетни оси, очертавайки най-важните операции. ОПТТИ има пет приоритетни оси. Програмата се финансира от Кохезионния фонд и Европейския фонд за регионално развитие. Дейностите в обхвата на програмата са насочени основно към развитие на пътната и железопътната инфраструктура на страната по протежение на Трансевропейската транспортна мрежа и насърчаване на интермодалния транспорт.</w:t>
      </w:r>
    </w:p>
    <w:p w14:paraId="68BE3E11" w14:textId="77777777" w:rsidR="00C0300F" w:rsidRPr="001B0EA3" w:rsidRDefault="00C0300F" w:rsidP="00C0300F">
      <w:pPr>
        <w:rPr>
          <w:lang w:eastAsia="bg-BG"/>
        </w:rPr>
      </w:pPr>
    </w:p>
    <w:p w14:paraId="655FFBF9" w14:textId="77777777" w:rsidR="00D603F5" w:rsidRPr="00842ECC" w:rsidRDefault="00D603F5" w:rsidP="00B502C7">
      <w:pPr>
        <w:pStyle w:val="Style2"/>
        <w:rPr>
          <w:lang w:val="bg-BG"/>
        </w:rPr>
      </w:pPr>
      <w:bookmarkStart w:id="475" w:name="_Toc479775607"/>
      <w:bookmarkStart w:id="476" w:name="_Toc140150194"/>
      <w:r w:rsidRPr="00842ECC">
        <w:rPr>
          <w:lang w:val="bg-BG"/>
        </w:rPr>
        <w:t>Приоритетни оси по Оперативна програма „Транспорт и транспортна инфраструктура“ 2014-2020 г.</w:t>
      </w:r>
      <w:bookmarkEnd w:id="475"/>
      <w:bookmarkEnd w:id="476"/>
    </w:p>
    <w:p w14:paraId="2E526B94" w14:textId="77777777" w:rsidR="00D603F5" w:rsidRPr="001B0EA3" w:rsidRDefault="00D603F5" w:rsidP="00C0300F">
      <w:pPr>
        <w:rPr>
          <w:b/>
        </w:rPr>
      </w:pPr>
      <w:r w:rsidRPr="001B0EA3">
        <w:t xml:space="preserve">В етапа на програмиране в обхвата на ОПТТИ са идентифицирани са следните </w:t>
      </w:r>
      <w:r w:rsidRPr="001B0EA3">
        <w:rPr>
          <w:b/>
        </w:rPr>
        <w:t>приоритетни оси: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2611"/>
        <w:gridCol w:w="1075"/>
      </w:tblGrid>
      <w:tr w:rsidR="00D603F5" w:rsidRPr="001B0EA3" w14:paraId="544A0FC7" w14:textId="77777777" w:rsidTr="00AC0CC7">
        <w:trPr>
          <w:trHeight w:val="483"/>
        </w:trPr>
        <w:tc>
          <w:tcPr>
            <w:tcW w:w="6095" w:type="dxa"/>
            <w:shd w:val="clear" w:color="auto" w:fill="DBE5F1"/>
            <w:vAlign w:val="center"/>
          </w:tcPr>
          <w:p w14:paraId="2AF5EABA" w14:textId="77777777" w:rsidR="00D603F5" w:rsidRPr="001B0EA3" w:rsidRDefault="00D603F5" w:rsidP="00890B4B">
            <w:pPr>
              <w:pStyle w:val="Normal1"/>
              <w:spacing w:before="134"/>
              <w:ind w:firstLine="22"/>
              <w:jc w:val="center"/>
              <w:rPr>
                <w:b/>
                <w:color w:val="000000"/>
              </w:rPr>
            </w:pPr>
            <w:r w:rsidRPr="001B0EA3">
              <w:rPr>
                <w:b/>
                <w:color w:val="000000"/>
              </w:rPr>
              <w:t>Номер и наименование на приоритетната ос</w:t>
            </w:r>
          </w:p>
        </w:tc>
        <w:tc>
          <w:tcPr>
            <w:tcW w:w="2611" w:type="dxa"/>
            <w:shd w:val="clear" w:color="auto" w:fill="DBE5F1"/>
            <w:vAlign w:val="center"/>
          </w:tcPr>
          <w:p w14:paraId="373AB2DE" w14:textId="77777777" w:rsidR="00D603F5" w:rsidRPr="001B0EA3" w:rsidRDefault="00D603F5" w:rsidP="00C0300F">
            <w:pPr>
              <w:pStyle w:val="Normal1"/>
              <w:spacing w:before="0" w:beforeAutospacing="0" w:after="0" w:afterAutospacing="0"/>
              <w:ind w:firstLine="0"/>
              <w:jc w:val="center"/>
              <w:rPr>
                <w:b/>
                <w:color w:val="000000"/>
              </w:rPr>
            </w:pPr>
            <w:r w:rsidRPr="001B0EA3">
              <w:rPr>
                <w:b/>
                <w:bCs/>
              </w:rPr>
              <w:t xml:space="preserve">Потенциални </w:t>
            </w:r>
            <w:r w:rsidRPr="001B0EA3">
              <w:rPr>
                <w:b/>
                <w:color w:val="000000"/>
              </w:rPr>
              <w:t>Бенефициенти</w:t>
            </w:r>
          </w:p>
        </w:tc>
        <w:tc>
          <w:tcPr>
            <w:tcW w:w="1075" w:type="dxa"/>
            <w:shd w:val="clear" w:color="auto" w:fill="DBE5F1"/>
            <w:vAlign w:val="center"/>
          </w:tcPr>
          <w:p w14:paraId="61ECCB8F" w14:textId="77777777" w:rsidR="00D603F5" w:rsidRPr="001B0EA3" w:rsidRDefault="00D603F5" w:rsidP="00C0300F">
            <w:pPr>
              <w:pStyle w:val="Normal1"/>
              <w:spacing w:before="0" w:beforeAutospacing="0" w:after="0" w:afterAutospacing="0"/>
              <w:ind w:firstLine="0"/>
              <w:jc w:val="center"/>
              <w:rPr>
                <w:b/>
                <w:color w:val="000000"/>
              </w:rPr>
            </w:pPr>
            <w:r w:rsidRPr="001B0EA3">
              <w:rPr>
                <w:b/>
                <w:color w:val="000000"/>
              </w:rPr>
              <w:t>Фонд</w:t>
            </w:r>
          </w:p>
        </w:tc>
      </w:tr>
      <w:tr w:rsidR="00D603F5" w:rsidRPr="001B0EA3" w14:paraId="1A1BF2DD" w14:textId="77777777" w:rsidTr="00AC0CC7">
        <w:tc>
          <w:tcPr>
            <w:tcW w:w="6095" w:type="dxa"/>
          </w:tcPr>
          <w:p w14:paraId="384C3589" w14:textId="77777777" w:rsidR="00D603F5" w:rsidRPr="001B0EA3" w:rsidRDefault="00D603F5" w:rsidP="00890B4B">
            <w:pPr>
              <w:pStyle w:val="Normal1"/>
              <w:spacing w:before="120" w:beforeAutospacing="0" w:after="120" w:afterAutospacing="0"/>
              <w:ind w:firstLine="22"/>
              <w:jc w:val="left"/>
              <w:rPr>
                <w:color w:val="000000"/>
              </w:rPr>
            </w:pPr>
            <w:r w:rsidRPr="001B0EA3">
              <w:rPr>
                <w:b/>
                <w:color w:val="000000"/>
              </w:rPr>
              <w:t>Приоритетна ос 1</w:t>
            </w:r>
            <w:r w:rsidRPr="001B0EA3">
              <w:rPr>
                <w:color w:val="000000"/>
              </w:rPr>
              <w:t xml:space="preserve"> „Развитие на железопътната инфраструктура по „основната” Трансевропейска транспортна мрежа”</w:t>
            </w:r>
          </w:p>
        </w:tc>
        <w:tc>
          <w:tcPr>
            <w:tcW w:w="2611" w:type="dxa"/>
          </w:tcPr>
          <w:p w14:paraId="5EAEA65A" w14:textId="77777777" w:rsidR="00D603F5" w:rsidRPr="001B0EA3" w:rsidRDefault="00D603F5" w:rsidP="00C0300F">
            <w:pPr>
              <w:pStyle w:val="Normal1"/>
              <w:numPr>
                <w:ilvl w:val="0"/>
                <w:numId w:val="1"/>
              </w:numPr>
              <w:tabs>
                <w:tab w:val="clear" w:pos="720"/>
                <w:tab w:val="num" w:pos="318"/>
              </w:tabs>
              <w:spacing w:before="0" w:beforeAutospacing="0" w:after="0" w:afterAutospacing="0"/>
              <w:ind w:left="0" w:firstLine="0"/>
              <w:jc w:val="left"/>
              <w:rPr>
                <w:color w:val="000000"/>
              </w:rPr>
            </w:pPr>
            <w:r w:rsidRPr="001B0EA3">
              <w:rPr>
                <w:color w:val="000000"/>
              </w:rPr>
              <w:t>НКЖИ;</w:t>
            </w:r>
          </w:p>
          <w:p w14:paraId="6D30C5E0" w14:textId="77777777" w:rsidR="00D603F5" w:rsidRPr="001B0EA3" w:rsidRDefault="00D603F5" w:rsidP="00C0300F">
            <w:pPr>
              <w:pStyle w:val="Normal1"/>
              <w:spacing w:before="0" w:beforeAutospacing="0" w:after="0" w:afterAutospacing="0"/>
              <w:ind w:firstLine="0"/>
              <w:jc w:val="left"/>
              <w:rPr>
                <w:color w:val="000000"/>
              </w:rPr>
            </w:pPr>
          </w:p>
        </w:tc>
        <w:tc>
          <w:tcPr>
            <w:tcW w:w="1075" w:type="dxa"/>
          </w:tcPr>
          <w:p w14:paraId="032413E5" w14:textId="77777777" w:rsidR="00D603F5" w:rsidRPr="001B0EA3" w:rsidRDefault="00D603F5" w:rsidP="00C0300F">
            <w:pPr>
              <w:pStyle w:val="Normal1"/>
              <w:spacing w:before="0" w:beforeAutospacing="0" w:after="0" w:afterAutospacing="0"/>
              <w:ind w:firstLine="0"/>
              <w:jc w:val="center"/>
              <w:rPr>
                <w:color w:val="000000"/>
              </w:rPr>
            </w:pPr>
            <w:r w:rsidRPr="001B0EA3">
              <w:rPr>
                <w:color w:val="000000"/>
              </w:rPr>
              <w:t>КФ</w:t>
            </w:r>
          </w:p>
        </w:tc>
      </w:tr>
      <w:tr w:rsidR="00D603F5" w:rsidRPr="001B0EA3" w14:paraId="3A93423C" w14:textId="77777777" w:rsidTr="00AC0CC7">
        <w:tc>
          <w:tcPr>
            <w:tcW w:w="6095" w:type="dxa"/>
          </w:tcPr>
          <w:p w14:paraId="3D40C461" w14:textId="77777777" w:rsidR="00D603F5" w:rsidRPr="001B0EA3" w:rsidRDefault="00D603F5" w:rsidP="00890B4B">
            <w:pPr>
              <w:pStyle w:val="Normal1"/>
              <w:spacing w:before="120" w:beforeAutospacing="0" w:after="120" w:afterAutospacing="0"/>
              <w:ind w:firstLine="22"/>
              <w:jc w:val="left"/>
              <w:rPr>
                <w:color w:val="000000"/>
              </w:rPr>
            </w:pPr>
            <w:r w:rsidRPr="001B0EA3">
              <w:rPr>
                <w:b/>
                <w:color w:val="000000"/>
              </w:rPr>
              <w:t>Приоритетна ос 2</w:t>
            </w:r>
            <w:r w:rsidRPr="001B0EA3">
              <w:rPr>
                <w:color w:val="000000"/>
              </w:rPr>
              <w:t xml:space="preserve"> „Развитие на пътната инфраструктура по „основната” и „разширената” Трансевропейска транспортна мрежа”</w:t>
            </w:r>
          </w:p>
        </w:tc>
        <w:tc>
          <w:tcPr>
            <w:tcW w:w="2611" w:type="dxa"/>
          </w:tcPr>
          <w:p w14:paraId="78BAA1A4" w14:textId="77777777" w:rsidR="00D603F5" w:rsidRPr="001B0EA3" w:rsidRDefault="00D603F5" w:rsidP="00C0300F">
            <w:pPr>
              <w:pStyle w:val="Normal1"/>
              <w:numPr>
                <w:ilvl w:val="0"/>
                <w:numId w:val="1"/>
              </w:numPr>
              <w:tabs>
                <w:tab w:val="clear" w:pos="720"/>
                <w:tab w:val="num" w:pos="459"/>
              </w:tabs>
              <w:spacing w:before="0" w:beforeAutospacing="0" w:after="0" w:afterAutospacing="0"/>
              <w:ind w:left="0" w:firstLine="0"/>
              <w:jc w:val="left"/>
              <w:rPr>
                <w:color w:val="000000"/>
              </w:rPr>
            </w:pPr>
            <w:r w:rsidRPr="001B0EA3">
              <w:rPr>
                <w:color w:val="000000"/>
              </w:rPr>
              <w:t>Агенция „Пътна инфраструктура”</w:t>
            </w:r>
          </w:p>
        </w:tc>
        <w:tc>
          <w:tcPr>
            <w:tcW w:w="1075" w:type="dxa"/>
          </w:tcPr>
          <w:p w14:paraId="2AD7F9B4" w14:textId="77777777" w:rsidR="00D603F5" w:rsidRPr="001B0EA3" w:rsidRDefault="00D603F5" w:rsidP="00C0300F">
            <w:pPr>
              <w:pStyle w:val="Normal1"/>
              <w:spacing w:before="0" w:beforeAutospacing="0" w:after="0" w:afterAutospacing="0"/>
              <w:ind w:firstLine="0"/>
              <w:jc w:val="center"/>
              <w:rPr>
                <w:color w:val="000000"/>
              </w:rPr>
            </w:pPr>
            <w:r w:rsidRPr="001B0EA3">
              <w:rPr>
                <w:color w:val="000000"/>
              </w:rPr>
              <w:t>КФ</w:t>
            </w:r>
          </w:p>
        </w:tc>
      </w:tr>
      <w:tr w:rsidR="00D603F5" w:rsidRPr="001B0EA3" w14:paraId="33E63F1D" w14:textId="77777777" w:rsidTr="00AC0CC7">
        <w:trPr>
          <w:trHeight w:val="890"/>
        </w:trPr>
        <w:tc>
          <w:tcPr>
            <w:tcW w:w="6095" w:type="dxa"/>
          </w:tcPr>
          <w:p w14:paraId="3E60DB74" w14:textId="77777777" w:rsidR="00D603F5" w:rsidRPr="001B0EA3" w:rsidRDefault="00D603F5" w:rsidP="00890B4B">
            <w:pPr>
              <w:pStyle w:val="Normal1"/>
              <w:spacing w:before="120" w:beforeAutospacing="0" w:after="120" w:afterAutospacing="0"/>
              <w:ind w:firstLine="22"/>
              <w:jc w:val="left"/>
              <w:rPr>
                <w:color w:val="000000"/>
              </w:rPr>
            </w:pPr>
            <w:r w:rsidRPr="001B0EA3">
              <w:rPr>
                <w:b/>
                <w:color w:val="000000"/>
              </w:rPr>
              <w:lastRenderedPageBreak/>
              <w:t>Приоритетна ос 3</w:t>
            </w:r>
            <w:r w:rsidRPr="001B0EA3">
              <w:rPr>
                <w:color w:val="000000"/>
              </w:rPr>
              <w:t xml:space="preserve"> „Подобряване на интермодалността при превоза на пътници и товари и развитие на устойчив градски транспорт”</w:t>
            </w:r>
          </w:p>
        </w:tc>
        <w:tc>
          <w:tcPr>
            <w:tcW w:w="2611" w:type="dxa"/>
          </w:tcPr>
          <w:p w14:paraId="24CFBAF2" w14:textId="77777777" w:rsidR="00D603F5" w:rsidRPr="001B0EA3" w:rsidRDefault="00D603F5" w:rsidP="00C0300F">
            <w:pPr>
              <w:pStyle w:val="Normal1"/>
              <w:numPr>
                <w:ilvl w:val="0"/>
                <w:numId w:val="1"/>
              </w:numPr>
              <w:tabs>
                <w:tab w:val="clear" w:pos="720"/>
                <w:tab w:val="num" w:pos="318"/>
              </w:tabs>
              <w:spacing w:before="0" w:beforeAutospacing="0" w:after="0" w:afterAutospacing="0"/>
              <w:ind w:left="0" w:firstLine="0"/>
              <w:jc w:val="left"/>
              <w:rPr>
                <w:color w:val="000000"/>
              </w:rPr>
            </w:pPr>
            <w:r w:rsidRPr="001B0EA3">
              <w:rPr>
                <w:color w:val="000000"/>
              </w:rPr>
              <w:t>„Метрополитен” ЕАД;</w:t>
            </w:r>
          </w:p>
          <w:p w14:paraId="5043AC88" w14:textId="77777777" w:rsidR="00D603F5" w:rsidRPr="001B0EA3" w:rsidRDefault="00D603F5" w:rsidP="00C0300F">
            <w:pPr>
              <w:pStyle w:val="Normal1"/>
              <w:numPr>
                <w:ilvl w:val="0"/>
                <w:numId w:val="1"/>
              </w:numPr>
              <w:tabs>
                <w:tab w:val="clear" w:pos="720"/>
                <w:tab w:val="num" w:pos="318"/>
              </w:tabs>
              <w:spacing w:before="0" w:beforeAutospacing="0" w:after="0" w:afterAutospacing="0"/>
              <w:ind w:left="0" w:firstLine="0"/>
              <w:jc w:val="left"/>
              <w:rPr>
                <w:color w:val="000000"/>
              </w:rPr>
            </w:pPr>
            <w:r w:rsidRPr="001B0EA3">
              <w:rPr>
                <w:color w:val="000000"/>
              </w:rPr>
              <w:t>НКЖИ;</w:t>
            </w:r>
          </w:p>
        </w:tc>
        <w:tc>
          <w:tcPr>
            <w:tcW w:w="1075" w:type="dxa"/>
          </w:tcPr>
          <w:p w14:paraId="4F3EB658" w14:textId="77777777" w:rsidR="00D603F5" w:rsidRPr="001B0EA3" w:rsidRDefault="00D603F5" w:rsidP="00C0300F">
            <w:pPr>
              <w:pStyle w:val="Normal1"/>
              <w:spacing w:before="0" w:beforeAutospacing="0" w:after="0" w:afterAutospacing="0"/>
              <w:ind w:firstLine="0"/>
              <w:jc w:val="center"/>
              <w:rPr>
                <w:color w:val="000000"/>
              </w:rPr>
            </w:pPr>
            <w:r w:rsidRPr="001B0EA3">
              <w:rPr>
                <w:color w:val="000000"/>
              </w:rPr>
              <w:t>ЕФРР</w:t>
            </w:r>
          </w:p>
        </w:tc>
      </w:tr>
      <w:tr w:rsidR="00D603F5" w:rsidRPr="001B0EA3" w14:paraId="32791617" w14:textId="77777777" w:rsidTr="00AC0CC7">
        <w:tc>
          <w:tcPr>
            <w:tcW w:w="6095" w:type="dxa"/>
          </w:tcPr>
          <w:p w14:paraId="230FF9A7" w14:textId="77777777" w:rsidR="00D603F5" w:rsidRPr="001B0EA3" w:rsidRDefault="00D603F5" w:rsidP="00890B4B">
            <w:pPr>
              <w:pStyle w:val="Normal1"/>
              <w:spacing w:before="120" w:beforeAutospacing="0" w:after="120" w:afterAutospacing="0"/>
              <w:ind w:firstLine="22"/>
              <w:jc w:val="left"/>
              <w:rPr>
                <w:color w:val="000000"/>
              </w:rPr>
            </w:pPr>
            <w:r w:rsidRPr="001B0EA3">
              <w:rPr>
                <w:b/>
                <w:color w:val="000000"/>
              </w:rPr>
              <w:t xml:space="preserve">Приоритетна ос 4 </w:t>
            </w:r>
            <w:r w:rsidRPr="001B0EA3">
              <w:rPr>
                <w:color w:val="000000"/>
              </w:rPr>
              <w:t>„Иновации в управлението и услугите - внедряване на модернизирана инфраструктура за управление на трафика, подобряване на безопасността и сигурността на транспорта”</w:t>
            </w:r>
          </w:p>
        </w:tc>
        <w:tc>
          <w:tcPr>
            <w:tcW w:w="2611" w:type="dxa"/>
          </w:tcPr>
          <w:p w14:paraId="36E94566" w14:textId="77777777" w:rsidR="00D603F5" w:rsidRPr="001B0EA3" w:rsidRDefault="00D603F5" w:rsidP="00C0300F">
            <w:pPr>
              <w:pStyle w:val="Normal1"/>
              <w:numPr>
                <w:ilvl w:val="0"/>
                <w:numId w:val="1"/>
              </w:numPr>
              <w:tabs>
                <w:tab w:val="clear" w:pos="720"/>
                <w:tab w:val="num" w:pos="318"/>
              </w:tabs>
              <w:spacing w:before="0" w:beforeAutospacing="0" w:after="0" w:afterAutospacing="0"/>
              <w:ind w:left="0" w:firstLine="0"/>
              <w:jc w:val="left"/>
              <w:rPr>
                <w:color w:val="000000"/>
              </w:rPr>
            </w:pPr>
            <w:r w:rsidRPr="001B0EA3">
              <w:rPr>
                <w:color w:val="000000"/>
              </w:rPr>
              <w:t>ИАППД;</w:t>
            </w:r>
          </w:p>
          <w:p w14:paraId="2E1829B4" w14:textId="77777777" w:rsidR="00D603F5" w:rsidRPr="001B0EA3" w:rsidRDefault="00D603F5" w:rsidP="00C0300F">
            <w:pPr>
              <w:pStyle w:val="Normal1"/>
              <w:numPr>
                <w:ilvl w:val="0"/>
                <w:numId w:val="1"/>
              </w:numPr>
              <w:tabs>
                <w:tab w:val="clear" w:pos="720"/>
                <w:tab w:val="num" w:pos="318"/>
              </w:tabs>
              <w:spacing w:before="0" w:beforeAutospacing="0" w:after="0" w:afterAutospacing="0"/>
              <w:ind w:left="0" w:firstLine="0"/>
              <w:jc w:val="left"/>
              <w:rPr>
                <w:color w:val="000000"/>
              </w:rPr>
            </w:pPr>
            <w:r w:rsidRPr="001B0EA3">
              <w:rPr>
                <w:color w:val="000000"/>
              </w:rPr>
              <w:t>ДППИ;</w:t>
            </w:r>
          </w:p>
          <w:p w14:paraId="7004BB73" w14:textId="77777777" w:rsidR="00D603F5" w:rsidRPr="001B0EA3" w:rsidRDefault="00D603F5" w:rsidP="00C0300F">
            <w:pPr>
              <w:pStyle w:val="Normal1"/>
              <w:numPr>
                <w:ilvl w:val="0"/>
                <w:numId w:val="1"/>
              </w:numPr>
              <w:tabs>
                <w:tab w:val="clear" w:pos="720"/>
                <w:tab w:val="num" w:pos="318"/>
              </w:tabs>
              <w:spacing w:before="0" w:beforeAutospacing="0" w:after="0" w:afterAutospacing="0"/>
              <w:ind w:left="0" w:firstLine="0"/>
              <w:jc w:val="left"/>
              <w:rPr>
                <w:color w:val="000000"/>
              </w:rPr>
            </w:pPr>
            <w:r w:rsidRPr="001B0EA3">
              <w:rPr>
                <w:color w:val="000000"/>
              </w:rPr>
              <w:t>ИАМА;</w:t>
            </w:r>
          </w:p>
          <w:p w14:paraId="00981B8C" w14:textId="77777777" w:rsidR="00D603F5" w:rsidRPr="001B0EA3" w:rsidRDefault="00D603F5" w:rsidP="00C0300F">
            <w:pPr>
              <w:pStyle w:val="Normal1"/>
              <w:numPr>
                <w:ilvl w:val="0"/>
                <w:numId w:val="1"/>
              </w:numPr>
              <w:tabs>
                <w:tab w:val="clear" w:pos="720"/>
                <w:tab w:val="num" w:pos="318"/>
              </w:tabs>
              <w:spacing w:before="0" w:beforeAutospacing="0" w:after="0" w:afterAutospacing="0"/>
              <w:ind w:left="0" w:firstLine="0"/>
              <w:jc w:val="left"/>
              <w:rPr>
                <w:color w:val="000000"/>
              </w:rPr>
            </w:pPr>
            <w:r w:rsidRPr="001B0EA3">
              <w:rPr>
                <w:color w:val="000000"/>
              </w:rPr>
              <w:t>ГДГВА/ДПРВД;</w:t>
            </w:r>
          </w:p>
          <w:p w14:paraId="66658B92" w14:textId="77777777" w:rsidR="00585733" w:rsidRPr="001B0EA3" w:rsidRDefault="00585733" w:rsidP="00C0300F">
            <w:pPr>
              <w:pStyle w:val="Normal1"/>
              <w:numPr>
                <w:ilvl w:val="0"/>
                <w:numId w:val="1"/>
              </w:numPr>
              <w:tabs>
                <w:tab w:val="clear" w:pos="720"/>
                <w:tab w:val="num" w:pos="318"/>
              </w:tabs>
              <w:spacing w:before="0" w:beforeAutospacing="0" w:after="0" w:afterAutospacing="0"/>
              <w:ind w:left="0" w:firstLine="0"/>
              <w:jc w:val="left"/>
              <w:rPr>
                <w:color w:val="000000"/>
              </w:rPr>
            </w:pPr>
            <w:r w:rsidRPr="001B0EA3">
              <w:rPr>
                <w:color w:val="000000"/>
              </w:rPr>
              <w:t>НКЖИ</w:t>
            </w:r>
          </w:p>
        </w:tc>
        <w:tc>
          <w:tcPr>
            <w:tcW w:w="1075" w:type="dxa"/>
          </w:tcPr>
          <w:p w14:paraId="60A84557" w14:textId="77777777" w:rsidR="00D603F5" w:rsidRPr="001B0EA3" w:rsidRDefault="00D603F5" w:rsidP="00C0300F">
            <w:pPr>
              <w:pStyle w:val="Normal1"/>
              <w:spacing w:before="0" w:beforeAutospacing="0" w:after="0" w:afterAutospacing="0"/>
              <w:ind w:firstLine="0"/>
              <w:jc w:val="center"/>
              <w:rPr>
                <w:color w:val="000000"/>
              </w:rPr>
            </w:pPr>
            <w:r w:rsidRPr="001B0EA3">
              <w:rPr>
                <w:color w:val="000000"/>
              </w:rPr>
              <w:t>ЕФРР</w:t>
            </w:r>
          </w:p>
        </w:tc>
      </w:tr>
      <w:tr w:rsidR="00D603F5" w:rsidRPr="001B0EA3" w14:paraId="6381DFCC" w14:textId="77777777" w:rsidTr="00C0300F">
        <w:trPr>
          <w:trHeight w:val="2659"/>
        </w:trPr>
        <w:tc>
          <w:tcPr>
            <w:tcW w:w="6095" w:type="dxa"/>
          </w:tcPr>
          <w:p w14:paraId="6A513104" w14:textId="77777777" w:rsidR="00D603F5" w:rsidRPr="001B0EA3" w:rsidRDefault="00D603F5" w:rsidP="00890B4B">
            <w:pPr>
              <w:pStyle w:val="Normal1"/>
              <w:spacing w:before="120" w:beforeAutospacing="0" w:after="120" w:afterAutospacing="0"/>
              <w:ind w:firstLine="22"/>
              <w:jc w:val="left"/>
              <w:rPr>
                <w:color w:val="000000"/>
              </w:rPr>
            </w:pPr>
            <w:r w:rsidRPr="001B0EA3">
              <w:rPr>
                <w:b/>
                <w:color w:val="000000"/>
              </w:rPr>
              <w:t>Приоритетна ос 5</w:t>
            </w:r>
            <w:r w:rsidRPr="001B0EA3">
              <w:rPr>
                <w:color w:val="000000"/>
              </w:rPr>
              <w:t xml:space="preserve"> „Техническа помощ”</w:t>
            </w:r>
          </w:p>
        </w:tc>
        <w:tc>
          <w:tcPr>
            <w:tcW w:w="2611" w:type="dxa"/>
          </w:tcPr>
          <w:p w14:paraId="47D25D4A" w14:textId="77777777" w:rsidR="00D603F5" w:rsidRPr="001B0EA3" w:rsidRDefault="00D603F5" w:rsidP="00C0300F">
            <w:pPr>
              <w:pStyle w:val="Normal1"/>
              <w:numPr>
                <w:ilvl w:val="0"/>
                <w:numId w:val="1"/>
              </w:numPr>
              <w:tabs>
                <w:tab w:val="clear" w:pos="720"/>
                <w:tab w:val="num" w:pos="318"/>
              </w:tabs>
              <w:spacing w:before="0" w:beforeAutospacing="0" w:after="0" w:afterAutospacing="0"/>
              <w:ind w:left="0" w:firstLine="0"/>
              <w:jc w:val="left"/>
              <w:rPr>
                <w:color w:val="000000"/>
              </w:rPr>
            </w:pPr>
            <w:r w:rsidRPr="001B0EA3">
              <w:rPr>
                <w:color w:val="000000"/>
              </w:rPr>
              <w:t>УО на ОПТТИ;</w:t>
            </w:r>
          </w:p>
          <w:p w14:paraId="6C51BCDE" w14:textId="77777777" w:rsidR="00D603F5" w:rsidRPr="001B0EA3" w:rsidRDefault="00D603F5" w:rsidP="00C0300F">
            <w:pPr>
              <w:pStyle w:val="Normal1"/>
              <w:numPr>
                <w:ilvl w:val="0"/>
                <w:numId w:val="1"/>
              </w:numPr>
              <w:tabs>
                <w:tab w:val="clear" w:pos="720"/>
                <w:tab w:val="num" w:pos="318"/>
              </w:tabs>
              <w:spacing w:before="0" w:beforeAutospacing="0" w:after="0" w:afterAutospacing="0"/>
              <w:ind w:left="0" w:firstLine="0"/>
              <w:jc w:val="left"/>
              <w:rPr>
                <w:color w:val="000000"/>
              </w:rPr>
            </w:pPr>
            <w:r w:rsidRPr="001B0EA3">
              <w:rPr>
                <w:color w:val="000000"/>
              </w:rPr>
              <w:t>НКЖИ;</w:t>
            </w:r>
          </w:p>
          <w:p w14:paraId="16C77A73" w14:textId="77777777" w:rsidR="00D603F5" w:rsidRPr="001B0EA3" w:rsidRDefault="00D603F5" w:rsidP="00C0300F">
            <w:pPr>
              <w:pStyle w:val="Normal1"/>
              <w:numPr>
                <w:ilvl w:val="0"/>
                <w:numId w:val="1"/>
              </w:numPr>
              <w:tabs>
                <w:tab w:val="clear" w:pos="720"/>
                <w:tab w:val="num" w:pos="318"/>
              </w:tabs>
              <w:spacing w:before="0" w:beforeAutospacing="0" w:after="0" w:afterAutospacing="0"/>
              <w:ind w:left="0" w:firstLine="0"/>
              <w:jc w:val="left"/>
              <w:rPr>
                <w:color w:val="000000"/>
              </w:rPr>
            </w:pPr>
            <w:r w:rsidRPr="001B0EA3">
              <w:rPr>
                <w:color w:val="000000"/>
              </w:rPr>
              <w:t>АПИ;</w:t>
            </w:r>
          </w:p>
          <w:p w14:paraId="7DB15388" w14:textId="77777777" w:rsidR="00D603F5" w:rsidRPr="001B0EA3" w:rsidRDefault="00D603F5" w:rsidP="00C0300F">
            <w:pPr>
              <w:pStyle w:val="Normal1"/>
              <w:numPr>
                <w:ilvl w:val="0"/>
                <w:numId w:val="1"/>
              </w:numPr>
              <w:tabs>
                <w:tab w:val="clear" w:pos="720"/>
                <w:tab w:val="num" w:pos="318"/>
              </w:tabs>
              <w:spacing w:before="0" w:beforeAutospacing="0" w:after="0" w:afterAutospacing="0"/>
              <w:ind w:left="0" w:firstLine="0"/>
              <w:jc w:val="left"/>
              <w:rPr>
                <w:color w:val="000000"/>
              </w:rPr>
            </w:pPr>
            <w:r w:rsidRPr="001B0EA3">
              <w:rPr>
                <w:color w:val="000000"/>
              </w:rPr>
              <w:t>„Метрополитен” ЕАД;</w:t>
            </w:r>
          </w:p>
          <w:p w14:paraId="16DE8CBC" w14:textId="77777777" w:rsidR="00D603F5" w:rsidRPr="001B0EA3" w:rsidRDefault="00D603F5" w:rsidP="00C0300F">
            <w:pPr>
              <w:pStyle w:val="Normal1"/>
              <w:numPr>
                <w:ilvl w:val="0"/>
                <w:numId w:val="1"/>
              </w:numPr>
              <w:tabs>
                <w:tab w:val="clear" w:pos="720"/>
                <w:tab w:val="num" w:pos="318"/>
              </w:tabs>
              <w:spacing w:before="0" w:beforeAutospacing="0" w:after="0" w:afterAutospacing="0"/>
              <w:ind w:left="0" w:firstLine="0"/>
              <w:jc w:val="left"/>
              <w:rPr>
                <w:color w:val="000000"/>
              </w:rPr>
            </w:pPr>
            <w:r w:rsidRPr="001B0EA3">
              <w:rPr>
                <w:color w:val="000000"/>
              </w:rPr>
              <w:t>ИАППД;</w:t>
            </w:r>
          </w:p>
          <w:p w14:paraId="72C9B361" w14:textId="77777777" w:rsidR="00D603F5" w:rsidRPr="001B0EA3" w:rsidRDefault="00D603F5" w:rsidP="00C0300F">
            <w:pPr>
              <w:pStyle w:val="Normal1"/>
              <w:numPr>
                <w:ilvl w:val="0"/>
                <w:numId w:val="1"/>
              </w:numPr>
              <w:tabs>
                <w:tab w:val="clear" w:pos="720"/>
                <w:tab w:val="num" w:pos="318"/>
              </w:tabs>
              <w:spacing w:before="0" w:beforeAutospacing="0" w:after="0" w:afterAutospacing="0"/>
              <w:ind w:left="0" w:firstLine="0"/>
              <w:jc w:val="left"/>
              <w:rPr>
                <w:color w:val="000000"/>
              </w:rPr>
            </w:pPr>
            <w:r w:rsidRPr="001B0EA3">
              <w:rPr>
                <w:color w:val="000000"/>
              </w:rPr>
              <w:t>ДППИ;</w:t>
            </w:r>
          </w:p>
          <w:p w14:paraId="3EF37B16" w14:textId="77777777" w:rsidR="00D603F5" w:rsidRPr="001B0EA3" w:rsidRDefault="00D603F5" w:rsidP="00C0300F">
            <w:pPr>
              <w:pStyle w:val="Normal1"/>
              <w:numPr>
                <w:ilvl w:val="0"/>
                <w:numId w:val="1"/>
              </w:numPr>
              <w:tabs>
                <w:tab w:val="clear" w:pos="720"/>
                <w:tab w:val="num" w:pos="318"/>
              </w:tabs>
              <w:spacing w:before="0" w:beforeAutospacing="0" w:after="0" w:afterAutospacing="0"/>
              <w:ind w:left="0" w:firstLine="0"/>
              <w:jc w:val="left"/>
              <w:rPr>
                <w:color w:val="000000"/>
              </w:rPr>
            </w:pPr>
            <w:r w:rsidRPr="001B0EA3">
              <w:rPr>
                <w:color w:val="000000"/>
              </w:rPr>
              <w:t>ИАМА;</w:t>
            </w:r>
          </w:p>
          <w:p w14:paraId="1DC5D5BC" w14:textId="77777777" w:rsidR="00D603F5" w:rsidRPr="001B0EA3" w:rsidRDefault="00D603F5" w:rsidP="00C0300F">
            <w:pPr>
              <w:pStyle w:val="Normal1"/>
              <w:numPr>
                <w:ilvl w:val="0"/>
                <w:numId w:val="1"/>
              </w:numPr>
              <w:tabs>
                <w:tab w:val="clear" w:pos="720"/>
                <w:tab w:val="num" w:pos="318"/>
              </w:tabs>
              <w:spacing w:before="0" w:beforeAutospacing="0" w:after="0" w:afterAutospacing="0"/>
              <w:ind w:left="0" w:firstLine="0"/>
              <w:jc w:val="left"/>
              <w:rPr>
                <w:color w:val="000000"/>
              </w:rPr>
            </w:pPr>
            <w:r w:rsidRPr="001B0EA3">
              <w:rPr>
                <w:color w:val="000000"/>
              </w:rPr>
              <w:t>ГДГВА/ДПРВД</w:t>
            </w:r>
          </w:p>
        </w:tc>
        <w:tc>
          <w:tcPr>
            <w:tcW w:w="1075" w:type="dxa"/>
          </w:tcPr>
          <w:p w14:paraId="49A53F80" w14:textId="77777777" w:rsidR="00D603F5" w:rsidRPr="001B0EA3" w:rsidRDefault="00D603F5" w:rsidP="00C0300F">
            <w:pPr>
              <w:pStyle w:val="Normal1"/>
              <w:spacing w:before="0" w:beforeAutospacing="0" w:after="0" w:afterAutospacing="0"/>
              <w:ind w:firstLine="0"/>
              <w:jc w:val="center"/>
              <w:rPr>
                <w:color w:val="000000"/>
              </w:rPr>
            </w:pPr>
            <w:r w:rsidRPr="001B0EA3">
              <w:rPr>
                <w:color w:val="000000"/>
              </w:rPr>
              <w:t>ЕФРР</w:t>
            </w:r>
          </w:p>
        </w:tc>
      </w:tr>
    </w:tbl>
    <w:p w14:paraId="08738E32" w14:textId="77777777" w:rsidR="00D603F5" w:rsidRPr="001B0EA3" w:rsidRDefault="00D603F5" w:rsidP="00890B4B">
      <w:pPr>
        <w:spacing w:after="60"/>
        <w:rPr>
          <w:color w:val="000000"/>
          <w:szCs w:val="24"/>
        </w:rPr>
      </w:pPr>
    </w:p>
    <w:p w14:paraId="5422DC05" w14:textId="77777777" w:rsidR="00D603F5" w:rsidRPr="001B0EA3" w:rsidRDefault="00D603F5" w:rsidP="00C0300F">
      <w:pPr>
        <w:rPr>
          <w:lang w:eastAsia="bg-BG"/>
        </w:rPr>
      </w:pPr>
      <w:r w:rsidRPr="001B0EA3">
        <w:rPr>
          <w:lang w:eastAsia="bg-BG"/>
        </w:rPr>
        <w:t>Приоритет ще се дава на проекти от общ интерес, както е дефинирано в:</w:t>
      </w:r>
    </w:p>
    <w:p w14:paraId="585F8D12" w14:textId="77777777" w:rsidR="00D603F5" w:rsidRPr="001B0EA3" w:rsidRDefault="00D603F5" w:rsidP="00C0300F">
      <w:pPr>
        <w:pStyle w:val="ListParagraph"/>
        <w:numPr>
          <w:ilvl w:val="0"/>
          <w:numId w:val="369"/>
        </w:numPr>
        <w:ind w:left="0" w:firstLine="1211"/>
        <w:rPr>
          <w:lang w:eastAsia="bg-BG"/>
        </w:rPr>
      </w:pPr>
      <w:r w:rsidRPr="001B0EA3">
        <w:rPr>
          <w:lang w:eastAsia="bg-BG"/>
        </w:rPr>
        <w:t>член 2 на Регламент (ЕС) № 1300/2013 на ЕП и на Съвета от 17 декември 2013 година относно КФ и за отмяна на Регламент (ЕО) № 1084/2006 на Съвета.</w:t>
      </w:r>
    </w:p>
    <w:p w14:paraId="64B3E2E6" w14:textId="77777777" w:rsidR="00D603F5" w:rsidRPr="001B0EA3" w:rsidRDefault="00D603F5" w:rsidP="00C0300F">
      <w:pPr>
        <w:pStyle w:val="ListParagraph"/>
        <w:numPr>
          <w:ilvl w:val="0"/>
          <w:numId w:val="369"/>
        </w:numPr>
        <w:ind w:left="0" w:firstLine="1211"/>
        <w:rPr>
          <w:lang w:eastAsia="bg-BG"/>
        </w:rPr>
      </w:pPr>
      <w:r w:rsidRPr="001B0EA3">
        <w:rPr>
          <w:lang w:eastAsia="bg-BG"/>
        </w:rPr>
        <w:t xml:space="preserve">насоките за TEN-T, приети от Съвета и ЕП с Регламент (ЕС) № 1315/2013 на ЕП и на Съвета относно насоките на Съюза за развитието на Транс-европейската транспортна мрежа и за отмяна на Решение № 661/2010/ЕС; </w:t>
      </w:r>
    </w:p>
    <w:p w14:paraId="641478F4" w14:textId="77777777" w:rsidR="00D603F5" w:rsidRPr="001B0EA3" w:rsidRDefault="00D603F5" w:rsidP="00C0300F">
      <w:pPr>
        <w:pStyle w:val="ListParagraph"/>
        <w:numPr>
          <w:ilvl w:val="0"/>
          <w:numId w:val="369"/>
        </w:numPr>
        <w:ind w:left="0" w:firstLine="1211"/>
        <w:rPr>
          <w:lang w:eastAsia="bg-BG"/>
        </w:rPr>
      </w:pPr>
      <w:r w:rsidRPr="001B0EA3">
        <w:rPr>
          <w:lang w:eastAsia="bg-BG"/>
        </w:rPr>
        <w:t>чл. 3 на Регламент (ЕС) № 1301 на ЕП и на Съвета от 17 декември 2013 година относно ЕФРР и специални разпоредби по отношение на целта „Инвестиции за растеж и работни места“, и за отмяна на Регламент (ЕО) № 1080/2006</w:t>
      </w:r>
    </w:p>
    <w:p w14:paraId="00711BF6" w14:textId="77777777" w:rsidR="00D603F5" w:rsidRDefault="00D603F5" w:rsidP="00C0300F">
      <w:pPr>
        <w:pStyle w:val="ListParagraph"/>
        <w:numPr>
          <w:ilvl w:val="0"/>
          <w:numId w:val="369"/>
        </w:numPr>
        <w:ind w:left="0" w:firstLine="1211"/>
        <w:rPr>
          <w:lang w:eastAsia="bg-BG"/>
        </w:rPr>
      </w:pPr>
      <w:r w:rsidRPr="001B0EA3">
        <w:rPr>
          <w:lang w:eastAsia="bg-BG"/>
        </w:rPr>
        <w:t>Бялата книга „Пътна карта за постигането на Единно европейско транспортно пространство към конкурентноспособна транспортна система с ефективно използване на ресурсите” на Европейската комисия от 28.03.2011 г.</w:t>
      </w:r>
    </w:p>
    <w:p w14:paraId="0E4A4E63" w14:textId="77777777" w:rsidR="00C0300F" w:rsidRPr="001B0EA3" w:rsidRDefault="00C0300F" w:rsidP="00C0300F">
      <w:pPr>
        <w:pStyle w:val="ListParagraph"/>
        <w:ind w:left="1211" w:firstLine="0"/>
        <w:rPr>
          <w:lang w:eastAsia="bg-BG"/>
        </w:rPr>
      </w:pPr>
    </w:p>
    <w:p w14:paraId="53ADF146" w14:textId="77777777" w:rsidR="00D603F5" w:rsidRPr="001B0EA3" w:rsidRDefault="00D603F5" w:rsidP="00C0300F">
      <w:pPr>
        <w:rPr>
          <w:lang w:eastAsia="bg-BG"/>
        </w:rPr>
      </w:pPr>
      <w:r w:rsidRPr="001B0EA3">
        <w:rPr>
          <w:lang w:eastAsia="bg-BG"/>
        </w:rPr>
        <w:t>В процеса на подготовка на ОПТТИ 2014-2020 г. е извършена приоритизация на проектите, включени в обхвата на програмата, на базата на мултикритериален анализ.</w:t>
      </w:r>
    </w:p>
    <w:p w14:paraId="530DF072" w14:textId="77777777" w:rsidR="00D603F5" w:rsidRPr="001B0EA3" w:rsidRDefault="00D603F5" w:rsidP="00C0300F">
      <w:pPr>
        <w:rPr>
          <w:lang w:eastAsia="bg-BG"/>
        </w:rPr>
      </w:pPr>
      <w:r w:rsidRPr="001B0EA3">
        <w:rPr>
          <w:lang w:eastAsia="bg-BG"/>
        </w:rPr>
        <w:t>Големи проекти, които ще бъдат изпълнявани в рамките на програмния период, съгласно таблица 27: Списък на големите проекти от програмата са както следва:</w:t>
      </w:r>
    </w:p>
    <w:p w14:paraId="58CE17AF" w14:textId="77777777" w:rsidR="00C95716" w:rsidRPr="00C0300F" w:rsidRDefault="00C95716" w:rsidP="00C0300F">
      <w:pPr>
        <w:pStyle w:val="ListParagraph"/>
        <w:numPr>
          <w:ilvl w:val="0"/>
          <w:numId w:val="369"/>
        </w:numPr>
        <w:ind w:left="0" w:firstLine="1211"/>
        <w:rPr>
          <w:lang w:eastAsia="bg-BG"/>
        </w:rPr>
      </w:pPr>
      <w:r w:rsidRPr="00C0300F">
        <w:rPr>
          <w:lang w:eastAsia="bg-BG"/>
        </w:rPr>
        <w:t>АМ „Струма“, лот 3.1, 3.3 и тунел Железница;</w:t>
      </w:r>
    </w:p>
    <w:p w14:paraId="756F7F58" w14:textId="77777777" w:rsidR="00D603F5" w:rsidRPr="00C0300F" w:rsidRDefault="00C95716" w:rsidP="00C0300F">
      <w:pPr>
        <w:pStyle w:val="ListParagraph"/>
        <w:numPr>
          <w:ilvl w:val="0"/>
          <w:numId w:val="369"/>
        </w:numPr>
        <w:ind w:left="0" w:firstLine="1211"/>
        <w:rPr>
          <w:lang w:eastAsia="bg-BG"/>
        </w:rPr>
      </w:pPr>
      <w:r w:rsidRPr="00C0300F">
        <w:rPr>
          <w:lang w:eastAsia="bg-BG"/>
        </w:rPr>
        <w:t>АМ „Струма“, лот 3.2</w:t>
      </w:r>
      <w:r w:rsidR="002F142E" w:rsidRPr="00C0300F">
        <w:rPr>
          <w:lang w:eastAsia="bg-BG"/>
        </w:rPr>
        <w:t>;</w:t>
      </w:r>
    </w:p>
    <w:p w14:paraId="51754CF4" w14:textId="77777777" w:rsidR="00C95716" w:rsidRPr="00C0300F" w:rsidRDefault="00C95716" w:rsidP="00C0300F">
      <w:pPr>
        <w:pStyle w:val="ListParagraph"/>
        <w:numPr>
          <w:ilvl w:val="0"/>
          <w:numId w:val="369"/>
        </w:numPr>
        <w:ind w:left="0" w:firstLine="1211"/>
        <w:rPr>
          <w:lang w:eastAsia="bg-BG"/>
        </w:rPr>
      </w:pPr>
      <w:r w:rsidRPr="00C0300F">
        <w:rPr>
          <w:lang w:eastAsia="bg-BG"/>
        </w:rPr>
        <w:t>Изграждане на АМ "Калотина-София" – Лот 1 "Западна дъга на Софийски околовръстен път", фаза 2 ("голям" проект CCI 2012BG161PR005)</w:t>
      </w:r>
      <w:r w:rsidR="002F142E" w:rsidRPr="00C0300F">
        <w:rPr>
          <w:lang w:eastAsia="bg-BG"/>
        </w:rPr>
        <w:t>;</w:t>
      </w:r>
    </w:p>
    <w:p w14:paraId="1C15FB65" w14:textId="77777777" w:rsidR="00D603F5" w:rsidRPr="00C0300F" w:rsidRDefault="00D603F5" w:rsidP="00C0300F">
      <w:pPr>
        <w:pStyle w:val="ListParagraph"/>
        <w:numPr>
          <w:ilvl w:val="0"/>
          <w:numId w:val="369"/>
        </w:numPr>
        <w:ind w:left="0" w:firstLine="1211"/>
        <w:rPr>
          <w:lang w:eastAsia="bg-BG"/>
        </w:rPr>
      </w:pPr>
      <w:r w:rsidRPr="00C0300F">
        <w:rPr>
          <w:lang w:eastAsia="bg-BG"/>
        </w:rPr>
        <w:t>Изграждане на трети метродиаметър на метрото в София</w:t>
      </w:r>
      <w:r w:rsidR="002F142E" w:rsidRPr="00C0300F">
        <w:rPr>
          <w:lang w:eastAsia="bg-BG"/>
        </w:rPr>
        <w:t>;</w:t>
      </w:r>
    </w:p>
    <w:p w14:paraId="125A0180" w14:textId="77777777" w:rsidR="00D603F5" w:rsidRPr="00C0300F" w:rsidRDefault="00D603F5" w:rsidP="00C0300F">
      <w:pPr>
        <w:pStyle w:val="ListParagraph"/>
        <w:numPr>
          <w:ilvl w:val="0"/>
          <w:numId w:val="369"/>
        </w:numPr>
        <w:ind w:left="0" w:firstLine="1211"/>
        <w:rPr>
          <w:lang w:eastAsia="bg-BG"/>
        </w:rPr>
      </w:pPr>
      <w:r w:rsidRPr="00C0300F">
        <w:rPr>
          <w:lang w:eastAsia="bg-BG"/>
        </w:rPr>
        <w:t>Модернизация на железопътен участък София-Септември (приоритетна отсечка</w:t>
      </w:r>
    </w:p>
    <w:p w14:paraId="21F83AA2" w14:textId="77777777" w:rsidR="00D603F5" w:rsidRPr="00C0300F" w:rsidRDefault="00D603F5" w:rsidP="00C0300F">
      <w:pPr>
        <w:pStyle w:val="ListParagraph"/>
        <w:numPr>
          <w:ilvl w:val="0"/>
          <w:numId w:val="369"/>
        </w:numPr>
        <w:ind w:left="0" w:firstLine="1211"/>
        <w:rPr>
          <w:lang w:eastAsia="bg-BG"/>
        </w:rPr>
      </w:pPr>
      <w:r w:rsidRPr="00C0300F">
        <w:rPr>
          <w:lang w:eastAsia="bg-BG"/>
        </w:rPr>
        <w:t>Елин Пелин-Ихтиман и Ихтиман - Септември).</w:t>
      </w:r>
    </w:p>
    <w:p w14:paraId="4AEE15FE" w14:textId="77777777" w:rsidR="00D603F5" w:rsidRPr="00C0300F" w:rsidRDefault="00D603F5" w:rsidP="00C0300F">
      <w:pPr>
        <w:pStyle w:val="ListParagraph"/>
        <w:numPr>
          <w:ilvl w:val="0"/>
          <w:numId w:val="369"/>
        </w:numPr>
        <w:ind w:left="0" w:firstLine="1211"/>
        <w:rPr>
          <w:lang w:eastAsia="bg-BG"/>
        </w:rPr>
      </w:pPr>
      <w:r w:rsidRPr="00C0300F">
        <w:rPr>
          <w:lang w:eastAsia="bg-BG"/>
        </w:rPr>
        <w:t>Рехабилитация на железопътната линия „Пловдив -Бургас”, Фаза 2</w:t>
      </w:r>
      <w:r w:rsidR="002F142E" w:rsidRPr="00C0300F">
        <w:rPr>
          <w:lang w:eastAsia="bg-BG"/>
        </w:rPr>
        <w:t>.</w:t>
      </w:r>
    </w:p>
    <w:p w14:paraId="2ACE9382" w14:textId="77777777" w:rsidR="00D603F5" w:rsidRPr="001B0EA3" w:rsidRDefault="00D603F5" w:rsidP="00890B4B">
      <w:pPr>
        <w:spacing w:after="120"/>
        <w:ind w:left="1440"/>
        <w:rPr>
          <w:szCs w:val="24"/>
          <w:lang w:eastAsia="bg-BG"/>
        </w:rPr>
      </w:pPr>
    </w:p>
    <w:p w14:paraId="51FD9AB9" w14:textId="77777777" w:rsidR="00D603F5" w:rsidRPr="00842ECC" w:rsidRDefault="00D603F5" w:rsidP="002262EB">
      <w:pPr>
        <w:pStyle w:val="Style2"/>
        <w:tabs>
          <w:tab w:val="left" w:pos="993"/>
        </w:tabs>
        <w:rPr>
          <w:lang w:val="bg-BG"/>
        </w:rPr>
      </w:pPr>
      <w:bookmarkStart w:id="477" w:name="_Ref406166490"/>
      <w:bookmarkStart w:id="478" w:name="_Ref406166508"/>
      <w:bookmarkStart w:id="479" w:name="_Ref406166527"/>
      <w:bookmarkStart w:id="480" w:name="_Ref410299039"/>
      <w:bookmarkStart w:id="481" w:name="_Ref410299096"/>
      <w:bookmarkStart w:id="482" w:name="_Toc479775608"/>
      <w:bookmarkStart w:id="483" w:name="_Toc140150195"/>
      <w:r w:rsidRPr="00842ECC">
        <w:rPr>
          <w:lang w:val="bg-BG"/>
        </w:rPr>
        <w:t xml:space="preserve">Допустими дейности по </w:t>
      </w:r>
      <w:bookmarkEnd w:id="477"/>
      <w:bookmarkEnd w:id="478"/>
      <w:bookmarkEnd w:id="479"/>
      <w:r w:rsidRPr="00842ECC">
        <w:rPr>
          <w:lang w:val="bg-BG"/>
        </w:rPr>
        <w:t>Оперативна програма „Транспорт и транспортна инфраструктура“ 2014-2020 г.</w:t>
      </w:r>
      <w:bookmarkEnd w:id="480"/>
      <w:bookmarkEnd w:id="481"/>
      <w:bookmarkEnd w:id="482"/>
      <w:bookmarkEnd w:id="483"/>
    </w:p>
    <w:p w14:paraId="09258367" w14:textId="77777777" w:rsidR="00655E3A" w:rsidRDefault="00655E3A" w:rsidP="00561395">
      <w:pPr>
        <w:rPr>
          <w:lang w:eastAsia="bg-BG"/>
        </w:rPr>
      </w:pPr>
      <w:r w:rsidRPr="001B0EA3">
        <w:rPr>
          <w:lang w:eastAsia="bg-BG"/>
        </w:rPr>
        <w:t xml:space="preserve">Допустимите дейности са описани съгласно актуалната версия 2.2. на ОПТТИ. При всяко следващо изменение на програмата, допустимите дейности следва да се считат за </w:t>
      </w:r>
      <w:r w:rsidRPr="001B0EA3">
        <w:rPr>
          <w:lang w:eastAsia="bg-BG"/>
        </w:rPr>
        <w:lastRenderedPageBreak/>
        <w:t xml:space="preserve">включени в текстовете на наръчника от датата на влизането в сила на изменението на програмата. </w:t>
      </w:r>
      <w:r w:rsidR="00947F54" w:rsidRPr="001B0EA3">
        <w:rPr>
          <w:lang w:eastAsia="bg-BG"/>
        </w:rPr>
        <w:t>Това се отразява при подготовката на следваща версия/ подверсия на наръчника.</w:t>
      </w:r>
    </w:p>
    <w:p w14:paraId="7F2EB1DF" w14:textId="77777777" w:rsidR="00561395" w:rsidRPr="001B0EA3" w:rsidRDefault="00561395" w:rsidP="00561395">
      <w:pPr>
        <w:rPr>
          <w:lang w:eastAsia="bg-BG"/>
        </w:rPr>
      </w:pPr>
    </w:p>
    <w:p w14:paraId="3D6AC5B4" w14:textId="77777777" w:rsidR="00D603F5" w:rsidRPr="00561395" w:rsidRDefault="00D603F5" w:rsidP="00561395">
      <w:pPr>
        <w:rPr>
          <w:b/>
          <w:u w:val="single"/>
          <w:lang w:eastAsia="bg-BG"/>
        </w:rPr>
      </w:pPr>
      <w:r w:rsidRPr="00561395">
        <w:rPr>
          <w:b/>
          <w:u w:val="single"/>
          <w:lang w:eastAsia="bg-BG"/>
        </w:rPr>
        <w:t xml:space="preserve">Помощта от КФ на ЕС по ОПТТИ ще се дава за проектни предложения по: </w:t>
      </w:r>
    </w:p>
    <w:p w14:paraId="442F5073" w14:textId="77777777" w:rsidR="00D603F5" w:rsidRPr="001B0EA3" w:rsidRDefault="00D603F5" w:rsidP="00561395">
      <w:pPr>
        <w:rPr>
          <w:b/>
          <w:i/>
          <w:lang w:eastAsia="bg-BG"/>
        </w:rPr>
      </w:pPr>
      <w:r w:rsidRPr="001B0EA3">
        <w:rPr>
          <w:b/>
          <w:i/>
          <w:lang w:eastAsia="bg-BG"/>
        </w:rPr>
        <w:t>Приоритетна ос 1„Развитие на железопътната инфраструктура по „основната” Трансевропейска транспортна мрежа” за дейности, свързани с:</w:t>
      </w:r>
    </w:p>
    <w:p w14:paraId="662E1F3F" w14:textId="77777777" w:rsidR="00D603F5" w:rsidRPr="001B0EA3" w:rsidRDefault="00D603F5" w:rsidP="00561395">
      <w:pPr>
        <w:pStyle w:val="ListParagraph"/>
        <w:numPr>
          <w:ilvl w:val="0"/>
          <w:numId w:val="364"/>
        </w:numPr>
        <w:tabs>
          <w:tab w:val="left" w:pos="1134"/>
        </w:tabs>
        <w:ind w:left="0" w:firstLine="851"/>
        <w:rPr>
          <w:lang w:eastAsia="bg-BG"/>
        </w:rPr>
      </w:pPr>
      <w:r w:rsidRPr="001B0EA3">
        <w:rPr>
          <w:lang w:eastAsia="bg-BG"/>
        </w:rPr>
        <w:t>Изграждане, модернизация, рехабилитация, електрификация и внедряване на сигнализация и телекомуникации на железопътни участъци и мерки за техническа помощ за подготовката/завършване на подготовката на инвестиционни проекти за развитие на железопътната инфраструктура по „основната” и „разширената” Трансевропейска транспортна мрежа. За изпълнение на тези дейности се предвижда в рамките на тази приоритетна ос на ОПТТИ 2014-2020 да бъдат финансирани следните инвестиционни проекти:</w:t>
      </w:r>
    </w:p>
    <w:p w14:paraId="12719B11" w14:textId="77777777" w:rsidR="00D603F5" w:rsidRPr="001B0EA3" w:rsidRDefault="00D603F5" w:rsidP="00561395">
      <w:pPr>
        <w:pStyle w:val="ListParagraph"/>
        <w:numPr>
          <w:ilvl w:val="0"/>
          <w:numId w:val="365"/>
        </w:numPr>
        <w:ind w:left="0" w:firstLine="1211"/>
        <w:rPr>
          <w:lang w:eastAsia="bg-BG"/>
        </w:rPr>
      </w:pPr>
      <w:r w:rsidRPr="001B0EA3">
        <w:rPr>
          <w:lang w:eastAsia="bg-BG"/>
        </w:rPr>
        <w:t>Рехабилитация и модернизация на железопътния участък Пловдив-Бургас Фаза II (включително жп възел Пловдив и жп възел Бургас); Общата дължина реконструирани или модернизирани ж.п. линии е 111 км. (вкл. 29 км. двойна линия). Проектът включва изграждане</w:t>
      </w:r>
      <w:r w:rsidR="00AD09E3" w:rsidRPr="001B0EA3">
        <w:rPr>
          <w:lang w:eastAsia="bg-BG"/>
        </w:rPr>
        <w:t xml:space="preserve"> </w:t>
      </w:r>
      <w:r w:rsidRPr="001B0EA3">
        <w:rPr>
          <w:lang w:eastAsia="bg-BG"/>
        </w:rPr>
        <w:t>на ETCS системи по протежение на железопътния участък Пловдив-Бургас с обща дължина 293 км.</w:t>
      </w:r>
    </w:p>
    <w:p w14:paraId="2B569339" w14:textId="77777777" w:rsidR="00D603F5" w:rsidRDefault="00D603F5" w:rsidP="00561395">
      <w:pPr>
        <w:pStyle w:val="ListParagraph"/>
        <w:numPr>
          <w:ilvl w:val="0"/>
          <w:numId w:val="365"/>
        </w:numPr>
        <w:ind w:left="0" w:firstLine="1211"/>
        <w:rPr>
          <w:lang w:eastAsia="bg-BG"/>
        </w:rPr>
      </w:pPr>
      <w:r w:rsidRPr="00561395">
        <w:rPr>
          <w:lang w:eastAsia="bg-BG"/>
        </w:rPr>
        <w:t>Модернизация на жп линията София-Септември в участъка Елин Пелин-Ихтиман и Ихтиман - Септември с обща дължина 79 км., изцяло двойна линия;</w:t>
      </w:r>
    </w:p>
    <w:p w14:paraId="335AC674" w14:textId="77777777" w:rsidR="00561395" w:rsidRPr="00561395" w:rsidRDefault="00561395" w:rsidP="00561395">
      <w:pPr>
        <w:rPr>
          <w:lang w:eastAsia="bg-BG"/>
        </w:rPr>
      </w:pPr>
    </w:p>
    <w:p w14:paraId="3C7C1453" w14:textId="77777777" w:rsidR="00D603F5" w:rsidRDefault="00D603F5" w:rsidP="00561395">
      <w:pPr>
        <w:pStyle w:val="ListParagraph"/>
        <w:numPr>
          <w:ilvl w:val="0"/>
          <w:numId w:val="364"/>
        </w:numPr>
        <w:tabs>
          <w:tab w:val="left" w:pos="1134"/>
        </w:tabs>
        <w:ind w:left="0" w:firstLine="851"/>
        <w:rPr>
          <w:lang w:eastAsia="bg-BG"/>
        </w:rPr>
      </w:pPr>
      <w:r w:rsidRPr="00561395">
        <w:rPr>
          <w:lang w:eastAsia="bg-BG"/>
        </w:rPr>
        <w:t>техническа помощ за подготовката/завършване на подготовката на инвестиционни проекти за развитие на железопътната инфраструктура, включени за финансиране по приоритетната ос, включително изготвяне или актуализация на: проучвания, анализи „разходи-ползи”, оценки на въздействието върху околната среда, проектиране и др. В допълнение по тази Приоритетна ос се предвижда да бъде финансирано разработването на технически проект за проект „Модернизация на жп линията Радомир-Гюешево”.</w:t>
      </w:r>
    </w:p>
    <w:p w14:paraId="7F24993A" w14:textId="77777777" w:rsidR="00CA12FC" w:rsidRPr="00561395" w:rsidRDefault="00CA12FC" w:rsidP="00CA12FC">
      <w:pPr>
        <w:tabs>
          <w:tab w:val="left" w:pos="1134"/>
        </w:tabs>
        <w:rPr>
          <w:lang w:eastAsia="bg-BG"/>
        </w:rPr>
      </w:pPr>
    </w:p>
    <w:p w14:paraId="3A17478C" w14:textId="77777777" w:rsidR="00D603F5" w:rsidRPr="001B0EA3" w:rsidRDefault="00D603F5" w:rsidP="00890B4B">
      <w:pPr>
        <w:spacing w:after="120"/>
        <w:rPr>
          <w:b/>
          <w:i/>
          <w:szCs w:val="24"/>
          <w:lang w:eastAsia="bg-BG"/>
        </w:rPr>
      </w:pPr>
      <w:r w:rsidRPr="001B0EA3">
        <w:rPr>
          <w:b/>
          <w:i/>
          <w:szCs w:val="24"/>
          <w:lang w:eastAsia="bg-BG"/>
        </w:rPr>
        <w:t>Приоритетна ос 2 „Развитие на пътната инфраструктура по „основната” и „разширената” Трансевропейска транспортна мрежа”</w:t>
      </w:r>
      <w:r w:rsidR="00E40779" w:rsidRPr="001B0EA3">
        <w:rPr>
          <w:b/>
          <w:i/>
          <w:szCs w:val="24"/>
          <w:lang w:eastAsia="bg-BG"/>
        </w:rPr>
        <w:t xml:space="preserve"> </w:t>
      </w:r>
      <w:r w:rsidRPr="001B0EA3">
        <w:rPr>
          <w:b/>
          <w:i/>
          <w:szCs w:val="24"/>
          <w:lang w:eastAsia="bg-BG"/>
        </w:rPr>
        <w:t>за дейности, свързани с:</w:t>
      </w:r>
    </w:p>
    <w:p w14:paraId="2A209AE8" w14:textId="77777777" w:rsidR="00D603F5" w:rsidRPr="00561395" w:rsidRDefault="00D603F5" w:rsidP="00561395">
      <w:pPr>
        <w:pStyle w:val="ListParagraph"/>
        <w:numPr>
          <w:ilvl w:val="0"/>
          <w:numId w:val="364"/>
        </w:numPr>
        <w:tabs>
          <w:tab w:val="left" w:pos="1134"/>
        </w:tabs>
        <w:ind w:left="0" w:firstLine="851"/>
        <w:rPr>
          <w:lang w:eastAsia="bg-BG"/>
        </w:rPr>
      </w:pPr>
      <w:r w:rsidRPr="00561395">
        <w:rPr>
          <w:lang w:eastAsia="bg-BG"/>
        </w:rPr>
        <w:t>Изграждане и модернизация на участъци от пътната инфраструктура по „основната” TEN-T мрежа и техническа помощ за подготовката/завършване на подготовката на инвестиционни проекти за развитие на пътната инфраструктура по „основната” и „разширената” Трансевропейска транспортна мрежа. За изпълнение на тези дейности се предвижда в рамките на тази приоритетна ос на ОПТТИ 2014-2020 да бъд</w:t>
      </w:r>
      <w:r w:rsidR="002F142E" w:rsidRPr="00561395">
        <w:rPr>
          <w:lang w:eastAsia="bg-BG"/>
        </w:rPr>
        <w:t>ат</w:t>
      </w:r>
      <w:r w:rsidRPr="00561395">
        <w:rPr>
          <w:lang w:eastAsia="bg-BG"/>
        </w:rPr>
        <w:t xml:space="preserve"> финансиран</w:t>
      </w:r>
      <w:r w:rsidR="002F142E" w:rsidRPr="00561395">
        <w:rPr>
          <w:lang w:eastAsia="bg-BG"/>
        </w:rPr>
        <w:t>и</w:t>
      </w:r>
      <w:r w:rsidRPr="00561395">
        <w:rPr>
          <w:lang w:eastAsia="bg-BG"/>
        </w:rPr>
        <w:t xml:space="preserve"> инвестиционни</w:t>
      </w:r>
      <w:r w:rsidR="002F142E" w:rsidRPr="00561395">
        <w:rPr>
          <w:lang w:eastAsia="bg-BG"/>
        </w:rPr>
        <w:t>те</w:t>
      </w:r>
      <w:r w:rsidRPr="00561395">
        <w:rPr>
          <w:lang w:eastAsia="bg-BG"/>
        </w:rPr>
        <w:t xml:space="preserve"> проект</w:t>
      </w:r>
      <w:r w:rsidR="002F142E" w:rsidRPr="00561395">
        <w:rPr>
          <w:lang w:eastAsia="bg-BG"/>
        </w:rPr>
        <w:t>и</w:t>
      </w:r>
      <w:r w:rsidRPr="00561395">
        <w:rPr>
          <w:lang w:eastAsia="bg-BG"/>
        </w:rPr>
        <w:t xml:space="preserve">: </w:t>
      </w:r>
      <w:r w:rsidR="002F142E" w:rsidRPr="00561395">
        <w:rPr>
          <w:lang w:eastAsia="bg-BG"/>
        </w:rPr>
        <w:t>„Изграждане на АМ „Струма” ЛОТ 3 – Благоевград-Сандански и „Изграждане на АМ „Калотина-София“ – фаза 2 на лот 1 „Западна</w:t>
      </w:r>
      <w:r w:rsidR="008335B3" w:rsidRPr="00561395">
        <w:rPr>
          <w:lang w:eastAsia="bg-BG"/>
        </w:rPr>
        <w:t xml:space="preserve"> дъга на СОП“</w:t>
      </w:r>
      <w:r w:rsidRPr="00561395">
        <w:rPr>
          <w:lang w:eastAsia="bg-BG"/>
        </w:rPr>
        <w:t>;</w:t>
      </w:r>
    </w:p>
    <w:p w14:paraId="3FE36FFA" w14:textId="77777777" w:rsidR="00D603F5" w:rsidRDefault="00D603F5" w:rsidP="00561395">
      <w:pPr>
        <w:pStyle w:val="ListParagraph"/>
        <w:numPr>
          <w:ilvl w:val="0"/>
          <w:numId w:val="364"/>
        </w:numPr>
        <w:tabs>
          <w:tab w:val="left" w:pos="1134"/>
        </w:tabs>
        <w:ind w:left="0" w:firstLine="851"/>
        <w:rPr>
          <w:lang w:eastAsia="bg-BG"/>
        </w:rPr>
      </w:pPr>
      <w:r w:rsidRPr="00561395">
        <w:rPr>
          <w:lang w:eastAsia="bg-BG"/>
        </w:rPr>
        <w:t>техническа помощ за подготовката/завършване на подготовката на инвестиционни проекти за развитие на пътната инфраструктура, включително изготвяне или актуализация на: проучвания, анализи „разходи-ползи”, оценки на въздействието върху околната среда, проектиране, и др. В допълнение по тази Приоритетна ос се предвижда да се финансира подготовката на проекти „АМ Черно море” и „Русе-Велико Търново”, включително разширение на моста Русе-Гюргево.</w:t>
      </w:r>
    </w:p>
    <w:p w14:paraId="134B9E6B" w14:textId="77777777" w:rsidR="00561395" w:rsidRPr="00561395" w:rsidRDefault="00561395" w:rsidP="00561395">
      <w:pPr>
        <w:tabs>
          <w:tab w:val="left" w:pos="1134"/>
        </w:tabs>
        <w:rPr>
          <w:lang w:eastAsia="bg-BG"/>
        </w:rPr>
      </w:pPr>
    </w:p>
    <w:p w14:paraId="5709251E" w14:textId="77777777" w:rsidR="00ED5B02" w:rsidRPr="00CA12FC" w:rsidRDefault="00ED5B02" w:rsidP="00CA12FC">
      <w:pPr>
        <w:rPr>
          <w:b/>
          <w:u w:val="single"/>
          <w:lang w:eastAsia="bg-BG"/>
        </w:rPr>
      </w:pPr>
      <w:r w:rsidRPr="00CA12FC">
        <w:rPr>
          <w:b/>
          <w:u w:val="single"/>
          <w:lang w:eastAsia="bg-BG"/>
        </w:rPr>
        <w:t>Помощ от ЕФРР по ОПТТИ</w:t>
      </w:r>
    </w:p>
    <w:p w14:paraId="14E1DD39" w14:textId="77777777" w:rsidR="00D603F5" w:rsidRPr="001B0EA3" w:rsidRDefault="00D603F5" w:rsidP="00CA12FC">
      <w:pPr>
        <w:rPr>
          <w:lang w:eastAsia="bg-BG"/>
        </w:rPr>
      </w:pPr>
      <w:r w:rsidRPr="001B0EA3">
        <w:rPr>
          <w:lang w:eastAsia="bg-BG"/>
        </w:rPr>
        <w:t>Помощта от ЕФРР по ОПТТИ ще се дава за инвестиции в инфраструктура, която предоставя основни услуги на гражданите в областта на транспорта и ИКТ в съответствие с член 3, т.1, б. „в” на Регламент (ЕС) № 1301/2013 на ЕП и на Съвета от 17 декември 2013 година относно Европейския фонд за регионално развитие и специални разпоредби по отношение на целта „Инвестиции за растеж и работни места“, и за отмяна на Регламент (ЕО) № 1080/2006 по:</w:t>
      </w:r>
    </w:p>
    <w:p w14:paraId="37F087B5" w14:textId="77777777" w:rsidR="00D603F5" w:rsidRPr="00CA12FC" w:rsidRDefault="00D603F5" w:rsidP="00CA12FC">
      <w:pPr>
        <w:rPr>
          <w:b/>
          <w:i/>
          <w:lang w:eastAsia="bg-BG"/>
        </w:rPr>
      </w:pPr>
      <w:r w:rsidRPr="00CA12FC">
        <w:rPr>
          <w:b/>
          <w:i/>
          <w:lang w:eastAsia="bg-BG"/>
        </w:rPr>
        <w:t>Приоритетна ос 3 „Подобряване на интермодалността при превоза на пътници и товари и развитие на устойчив градски транспорт” за:</w:t>
      </w:r>
    </w:p>
    <w:p w14:paraId="219306D8" w14:textId="77777777" w:rsidR="00D603F5" w:rsidRPr="00CA12FC" w:rsidRDefault="00D603F5" w:rsidP="00CA12FC">
      <w:pPr>
        <w:rPr>
          <w:i/>
          <w:lang w:eastAsia="bg-BG"/>
        </w:rPr>
      </w:pPr>
      <w:r w:rsidRPr="00CA12FC">
        <w:rPr>
          <w:i/>
          <w:lang w:eastAsia="bg-BG"/>
        </w:rPr>
        <w:lastRenderedPageBreak/>
        <w:t>По инвестиционен приоритет 4е „</w:t>
      </w:r>
      <w:r w:rsidRPr="00CA12FC">
        <w:rPr>
          <w:i/>
          <w:lang w:eastAsia="en-GB"/>
        </w:rPr>
        <w:t>Насърчаване на стратегии за нисковъглеродно развитие във всички видове територии, по-специално градските райони, включително насърчаването на устойчива мултимодална градска мобилност и мерки за приспособяване и смекчаване, свързани с изменението на климата“ за дейности, свързани с:</w:t>
      </w:r>
    </w:p>
    <w:p w14:paraId="207A4903" w14:textId="77777777" w:rsidR="00396E4E" w:rsidRPr="00EB5875" w:rsidRDefault="00D603F5" w:rsidP="00CA12FC">
      <w:pPr>
        <w:rPr>
          <w:lang w:eastAsia="bg-BG"/>
        </w:rPr>
      </w:pPr>
      <w:r w:rsidRPr="00EB5875">
        <w:rPr>
          <w:lang w:eastAsia="bg-BG"/>
        </w:rPr>
        <w:t>разширяване на метрото в София и създаване на нови интермодални връзки за пътници в обществената транспортна система на София. За изпълнение на тези дейности се предвижда в рамките на тази приоритетна ос на ОПТТИ 2014-2020 да бъде финансиран инвестиционния проект: Изграждане на трети метродиаметър на метрото в София „бул. Ботевградско шосе - бул. Владимир Вазов - ЦГЧ - ж.к. Овча купел”</w:t>
      </w:r>
      <w:r w:rsidRPr="00EB5875">
        <w:t xml:space="preserve"> </w:t>
      </w:r>
      <w:r w:rsidRPr="00EB5875">
        <w:rPr>
          <w:lang w:eastAsia="bg-BG"/>
        </w:rPr>
        <w:t>Разширение на втори метродиаметър от МС „Джеймс Баучер” до кръстовището на бул. Черни връх с бул. „Хенрик Ибсен” и ул. „Сребърна”</w:t>
      </w:r>
      <w:r w:rsidR="00396E4E" w:rsidRPr="00EB5875">
        <w:rPr>
          <w:lang w:eastAsia="bg-BG"/>
        </w:rPr>
        <w:t>:</w:t>
      </w:r>
    </w:p>
    <w:p w14:paraId="0E4FC8F1" w14:textId="77777777" w:rsidR="00396E4E" w:rsidRPr="00CA12FC" w:rsidRDefault="00396E4E" w:rsidP="00CA12FC">
      <w:pPr>
        <w:pStyle w:val="ListParagraph"/>
        <w:numPr>
          <w:ilvl w:val="0"/>
          <w:numId w:val="365"/>
        </w:numPr>
        <w:ind w:left="0" w:firstLine="1211"/>
        <w:rPr>
          <w:lang w:eastAsia="bg-BG"/>
        </w:rPr>
      </w:pPr>
      <w:r w:rsidRPr="00CA12FC">
        <w:rPr>
          <w:lang w:eastAsia="bg-BG"/>
        </w:rPr>
        <w:t>Фаза 1 (предвидена за финансиране по ОПТ 2007-2013 г.), включваща всички дейности свързани с подготовката и организацията на изпълнението, реконструкцията на инженерните мрежи, изграждането на конструкциите на тунелите и метростанцията и пътните работи над тях, за да бъдат възстановени всички засегнати от строителството пътни артерии;</w:t>
      </w:r>
    </w:p>
    <w:p w14:paraId="25DC78A7" w14:textId="77777777" w:rsidR="00D603F5" w:rsidRPr="00CA12FC" w:rsidRDefault="00396E4E" w:rsidP="00CA12FC">
      <w:pPr>
        <w:pStyle w:val="ListParagraph"/>
        <w:numPr>
          <w:ilvl w:val="0"/>
          <w:numId w:val="365"/>
        </w:numPr>
        <w:ind w:left="0" w:firstLine="1211"/>
        <w:rPr>
          <w:lang w:eastAsia="bg-BG"/>
        </w:rPr>
      </w:pPr>
      <w:r w:rsidRPr="00CA12FC">
        <w:rPr>
          <w:lang w:eastAsia="bg-BG"/>
        </w:rPr>
        <w:t>Фаза 2 (предвидена за финансиране по ОПТТИ 2014-2020 г.), включваща всички дейности по довършването на обекта с цел въвеждането му в експлоатация, в т.ч. изграждане на конструкцията на тунела за промяна посоката на движението в частта му след кръстовището на бул. Черни връх и бул. Тодор Каблешков; цялостно архитектурно оформяне на МС ”Витоша”; релсов път и контактна релса с дължина 1,3 км; системи за управление; система за радиовръзка; система за електроснабдяване; системи за автоматика на движението и регулиране на скоростта на влаковете; комплексни аудиовизуални системи и слаботокови системи за функциониране на метрото за трасе с дължина 1,3 км. и др.</w:t>
      </w:r>
      <w:r w:rsidR="00D603F5" w:rsidRPr="00CA12FC">
        <w:rPr>
          <w:lang w:eastAsia="bg-BG"/>
        </w:rPr>
        <w:t>;</w:t>
      </w:r>
    </w:p>
    <w:p w14:paraId="160D73DD" w14:textId="77777777" w:rsidR="00396E4E" w:rsidRPr="00CA12FC" w:rsidRDefault="00396E4E" w:rsidP="00CA12FC">
      <w:pPr>
        <w:rPr>
          <w:i/>
          <w:lang w:eastAsia="bg-BG"/>
        </w:rPr>
      </w:pPr>
    </w:p>
    <w:p w14:paraId="1D22ACEB" w14:textId="77777777" w:rsidR="00D603F5" w:rsidRPr="00CA12FC" w:rsidRDefault="00D603F5" w:rsidP="00CA12FC">
      <w:pPr>
        <w:rPr>
          <w:i/>
          <w:lang w:eastAsia="bg-BG"/>
        </w:rPr>
      </w:pPr>
      <w:r w:rsidRPr="00CA12FC">
        <w:rPr>
          <w:i/>
          <w:lang w:eastAsia="bg-BG"/>
        </w:rPr>
        <w:t>По инвестиционен приоритет 7а „Предоставяне на подкрепа за мултимодалното единно европейско транспортно пространство, посредством инвестиции в Трансевропейската транспортна мрежа”</w:t>
      </w:r>
      <w:r w:rsidRPr="00CA12FC">
        <w:rPr>
          <w:i/>
          <w:lang w:eastAsia="en-GB"/>
        </w:rPr>
        <w:t xml:space="preserve"> за дейности, свързани с:</w:t>
      </w:r>
    </w:p>
    <w:p w14:paraId="56507FB9" w14:textId="77777777" w:rsidR="00D603F5" w:rsidRPr="00561395" w:rsidRDefault="00D603F5" w:rsidP="00561395">
      <w:pPr>
        <w:pStyle w:val="ListParagraph"/>
        <w:numPr>
          <w:ilvl w:val="0"/>
          <w:numId w:val="364"/>
        </w:numPr>
        <w:tabs>
          <w:tab w:val="left" w:pos="1134"/>
        </w:tabs>
        <w:ind w:left="0" w:firstLine="851"/>
        <w:rPr>
          <w:lang w:eastAsia="bg-BG"/>
        </w:rPr>
      </w:pPr>
      <w:r w:rsidRPr="00561395">
        <w:rPr>
          <w:lang w:eastAsia="bg-BG"/>
        </w:rPr>
        <w:t>Изграждане на интермодален товарен терминал. С изграждането на интермодален товарен терминал в гр. Русе (в Северен централен район за планиране на регионалното развитие в България) се цели да се създадат условия за оптимално съчетаване и интегриране на различни видове транспорт (вътрешно-воден, железопътен и автомобилен);</w:t>
      </w:r>
    </w:p>
    <w:p w14:paraId="6940B991" w14:textId="77777777" w:rsidR="00D603F5" w:rsidRPr="00561395" w:rsidRDefault="00D603F5" w:rsidP="00561395">
      <w:pPr>
        <w:pStyle w:val="ListParagraph"/>
        <w:numPr>
          <w:ilvl w:val="0"/>
          <w:numId w:val="364"/>
        </w:numPr>
        <w:tabs>
          <w:tab w:val="left" w:pos="1134"/>
        </w:tabs>
        <w:ind w:left="0" w:firstLine="851"/>
        <w:rPr>
          <w:lang w:eastAsia="bg-BG"/>
        </w:rPr>
      </w:pPr>
      <w:r w:rsidRPr="00561395">
        <w:rPr>
          <w:lang w:eastAsia="bg-BG"/>
        </w:rPr>
        <w:t>Реконструкция на ключови гарови комплекси по протежение на главните железопътни линии. Реконструкция на ключови гарови комплекси започнала през периода 2007 – 2013 г. ще продължи и по ОПТТИ. Предвидено е да се финансира по ОПТТИ реконструкцията на за гарови комплекси гаровите комплекси в Стара Загора, Нова Загора и Чирпан, които остават извън обхвата на проектите за модернизация на ж.п. инфраструктурата по приоритетна ос 1;</w:t>
      </w:r>
    </w:p>
    <w:p w14:paraId="731BD5F3" w14:textId="77777777" w:rsidR="00D603F5" w:rsidRDefault="00D603F5" w:rsidP="00561395">
      <w:pPr>
        <w:pStyle w:val="ListParagraph"/>
        <w:numPr>
          <w:ilvl w:val="0"/>
          <w:numId w:val="364"/>
        </w:numPr>
        <w:tabs>
          <w:tab w:val="left" w:pos="1134"/>
        </w:tabs>
        <w:ind w:left="0" w:firstLine="851"/>
        <w:rPr>
          <w:lang w:eastAsia="bg-BG"/>
        </w:rPr>
      </w:pPr>
      <w:r w:rsidRPr="00561395">
        <w:rPr>
          <w:lang w:eastAsia="bg-BG"/>
        </w:rPr>
        <w:t>техническа помощ за подготовката/завършване на подготовката на инвестиционни проекти за развитие на интермодалния транспорт, включени за финансиране по приоритетната ос, включително изготвяне или актуализация на: проучвания, анализи „разходи-ползи”, оценки на въздействието върху околната среда, проектиране оценка на въздействието на програмата (impact assessment) и др.</w:t>
      </w:r>
    </w:p>
    <w:p w14:paraId="0DEBC929" w14:textId="77777777" w:rsidR="00CA12FC" w:rsidRPr="00561395" w:rsidRDefault="00CA12FC" w:rsidP="00CA12FC">
      <w:pPr>
        <w:tabs>
          <w:tab w:val="left" w:pos="1134"/>
        </w:tabs>
        <w:rPr>
          <w:lang w:eastAsia="bg-BG"/>
        </w:rPr>
      </w:pPr>
    </w:p>
    <w:p w14:paraId="2990E35E" w14:textId="77777777" w:rsidR="00D603F5" w:rsidRPr="00CA12FC" w:rsidRDefault="00D603F5" w:rsidP="00CA12FC">
      <w:pPr>
        <w:rPr>
          <w:b/>
          <w:i/>
          <w:lang w:eastAsia="bg-BG"/>
        </w:rPr>
      </w:pPr>
      <w:r w:rsidRPr="00CA12FC">
        <w:rPr>
          <w:b/>
          <w:i/>
          <w:lang w:eastAsia="bg-BG"/>
        </w:rPr>
        <w:t>Приоритетна ос 4 „Иновации в управлението и услугите - внедряване на модернизирана инфраструктура за управление на трафика, подобряване на безопасността и сигурността на транспорта”</w:t>
      </w:r>
    </w:p>
    <w:p w14:paraId="366F4CD7" w14:textId="77777777" w:rsidR="00D603F5" w:rsidRPr="00CA12FC" w:rsidRDefault="00D603F5" w:rsidP="00CA12FC">
      <w:pPr>
        <w:rPr>
          <w:i/>
          <w:lang w:eastAsia="bg-BG"/>
        </w:rPr>
      </w:pPr>
      <w:r w:rsidRPr="00CA12FC">
        <w:rPr>
          <w:i/>
          <w:lang w:eastAsia="bg-BG"/>
        </w:rPr>
        <w:t xml:space="preserve">По инвестиционен приоритет 7с </w:t>
      </w:r>
      <w:r w:rsidRPr="00CA12FC">
        <w:rPr>
          <w:i/>
          <w:lang w:eastAsia="en-GB"/>
        </w:rPr>
        <w:t>„Разработване и подобряване на екологосъобразни, включително с ниски емисии на шум, и ниско-въглеродни транспортни системи, включително вътрешни водни пътища и морски транспорт, пристанища, мултимодални връзки и летищна инфраструктура с цел насърчаване на устойчиво развита регионална и местна достъпност”</w:t>
      </w:r>
      <w:r w:rsidR="00E40779" w:rsidRPr="00CA12FC">
        <w:rPr>
          <w:i/>
          <w:lang w:eastAsia="en-GB"/>
        </w:rPr>
        <w:t xml:space="preserve"> </w:t>
      </w:r>
      <w:r w:rsidRPr="00CA12FC">
        <w:rPr>
          <w:i/>
          <w:lang w:eastAsia="en-GB"/>
        </w:rPr>
        <w:t>за дейности, свързани с:</w:t>
      </w:r>
    </w:p>
    <w:p w14:paraId="66E396B7" w14:textId="77777777" w:rsidR="00D603F5" w:rsidRPr="00561395" w:rsidRDefault="00D603F5" w:rsidP="00561395">
      <w:pPr>
        <w:pStyle w:val="ListParagraph"/>
        <w:numPr>
          <w:ilvl w:val="0"/>
          <w:numId w:val="364"/>
        </w:numPr>
        <w:tabs>
          <w:tab w:val="left" w:pos="1134"/>
        </w:tabs>
        <w:ind w:left="0" w:firstLine="851"/>
        <w:rPr>
          <w:lang w:eastAsia="bg-BG"/>
        </w:rPr>
      </w:pPr>
      <w:r w:rsidRPr="00561395">
        <w:rPr>
          <w:lang w:eastAsia="bg-BG"/>
        </w:rPr>
        <w:lastRenderedPageBreak/>
        <w:t>развитие на информационни системи в корабоплаването, надграждащи съществуващите системи и системите в процес на изграждане;</w:t>
      </w:r>
    </w:p>
    <w:p w14:paraId="4419D6AD" w14:textId="77777777" w:rsidR="00D603F5" w:rsidRPr="00561395" w:rsidRDefault="00D603F5" w:rsidP="00561395">
      <w:pPr>
        <w:pStyle w:val="ListParagraph"/>
        <w:numPr>
          <w:ilvl w:val="0"/>
          <w:numId w:val="364"/>
        </w:numPr>
        <w:tabs>
          <w:tab w:val="left" w:pos="1134"/>
        </w:tabs>
        <w:ind w:left="0" w:firstLine="851"/>
        <w:rPr>
          <w:lang w:eastAsia="bg-BG"/>
        </w:rPr>
      </w:pPr>
      <w:r w:rsidRPr="00561395">
        <w:rPr>
          <w:lang w:eastAsia="bg-BG"/>
        </w:rPr>
        <w:t>доставка на мултифункционални плавателни съдове;</w:t>
      </w:r>
    </w:p>
    <w:p w14:paraId="2E4D8FC7" w14:textId="77777777" w:rsidR="00D603F5" w:rsidRPr="00561395" w:rsidRDefault="00D603F5" w:rsidP="00561395">
      <w:pPr>
        <w:pStyle w:val="ListParagraph"/>
        <w:numPr>
          <w:ilvl w:val="0"/>
          <w:numId w:val="364"/>
        </w:numPr>
        <w:tabs>
          <w:tab w:val="left" w:pos="1134"/>
        </w:tabs>
        <w:ind w:left="0" w:firstLine="851"/>
        <w:rPr>
          <w:lang w:eastAsia="bg-BG"/>
        </w:rPr>
      </w:pPr>
      <w:r w:rsidRPr="00561395">
        <w:rPr>
          <w:lang w:eastAsia="bg-BG"/>
        </w:rPr>
        <w:t>развитие на информационни системи за управление на автомобилния трафик;</w:t>
      </w:r>
    </w:p>
    <w:p w14:paraId="70919277" w14:textId="77777777" w:rsidR="00D603F5" w:rsidRPr="00561395" w:rsidRDefault="00D603F5" w:rsidP="00561395">
      <w:pPr>
        <w:pStyle w:val="ListParagraph"/>
        <w:numPr>
          <w:ilvl w:val="0"/>
          <w:numId w:val="364"/>
        </w:numPr>
        <w:tabs>
          <w:tab w:val="left" w:pos="1134"/>
        </w:tabs>
        <w:ind w:left="0" w:firstLine="851"/>
        <w:rPr>
          <w:lang w:eastAsia="bg-BG"/>
        </w:rPr>
      </w:pPr>
      <w:r w:rsidRPr="00561395">
        <w:rPr>
          <w:lang w:eastAsia="bg-BG"/>
        </w:rPr>
        <w:t>модернизация и изграждане на съоръжения за приемане и третиране на отпадъци в българските пристанища с национално значение;</w:t>
      </w:r>
    </w:p>
    <w:p w14:paraId="1BACE2E2" w14:textId="77777777" w:rsidR="00D603F5" w:rsidRDefault="00D603F5" w:rsidP="00561395">
      <w:pPr>
        <w:pStyle w:val="ListParagraph"/>
        <w:numPr>
          <w:ilvl w:val="0"/>
          <w:numId w:val="364"/>
        </w:numPr>
        <w:tabs>
          <w:tab w:val="left" w:pos="1134"/>
        </w:tabs>
        <w:ind w:left="0" w:firstLine="851"/>
        <w:rPr>
          <w:lang w:eastAsia="bg-BG"/>
        </w:rPr>
      </w:pPr>
      <w:r w:rsidRPr="00561395">
        <w:rPr>
          <w:lang w:eastAsia="bg-BG"/>
        </w:rPr>
        <w:t>повишаване качеството на аеронавигационните данни и информация и подобряване на управлението на околната среда в областта на гражданското въздухоплаване.</w:t>
      </w:r>
    </w:p>
    <w:p w14:paraId="5288B11F" w14:textId="77777777" w:rsidR="00CA12FC" w:rsidRPr="00561395" w:rsidRDefault="00CA12FC" w:rsidP="00CA12FC">
      <w:pPr>
        <w:tabs>
          <w:tab w:val="left" w:pos="1134"/>
        </w:tabs>
        <w:rPr>
          <w:lang w:eastAsia="bg-BG"/>
        </w:rPr>
      </w:pPr>
    </w:p>
    <w:p w14:paraId="60FFD4DE" w14:textId="77777777" w:rsidR="00D603F5" w:rsidRPr="00CA12FC" w:rsidRDefault="00D603F5" w:rsidP="00CA12FC">
      <w:pPr>
        <w:rPr>
          <w:i/>
          <w:lang w:eastAsia="bg-BG"/>
        </w:rPr>
      </w:pPr>
      <w:r w:rsidRPr="00CA12FC">
        <w:rPr>
          <w:i/>
          <w:lang w:eastAsia="bg-BG"/>
        </w:rPr>
        <w:t>По инвестиционен приоритет 7d „Изграждане и рехабилитация на всеобхватни, висококачествени и оперативно съвместими железопътни системи и насърчаване на мерки за намаляване на шума“</w:t>
      </w:r>
      <w:r w:rsidR="00E40779" w:rsidRPr="00CA12FC">
        <w:rPr>
          <w:i/>
          <w:lang w:eastAsia="bg-BG"/>
        </w:rPr>
        <w:t xml:space="preserve"> </w:t>
      </w:r>
      <w:r w:rsidRPr="00CA12FC">
        <w:rPr>
          <w:i/>
          <w:lang w:eastAsia="bg-BG"/>
        </w:rPr>
        <w:t>за дейности, свързани с:</w:t>
      </w:r>
    </w:p>
    <w:p w14:paraId="519623FC" w14:textId="77777777" w:rsidR="00D603F5" w:rsidRPr="00561395" w:rsidRDefault="00D603F5" w:rsidP="00561395">
      <w:pPr>
        <w:pStyle w:val="ListParagraph"/>
        <w:numPr>
          <w:ilvl w:val="0"/>
          <w:numId w:val="364"/>
        </w:numPr>
        <w:tabs>
          <w:tab w:val="left" w:pos="1134"/>
        </w:tabs>
        <w:ind w:left="0" w:firstLine="851"/>
        <w:rPr>
          <w:lang w:eastAsia="bg-BG"/>
        </w:rPr>
      </w:pPr>
      <w:r w:rsidRPr="00561395">
        <w:rPr>
          <w:lang w:eastAsia="bg-BG"/>
        </w:rPr>
        <w:t>изграждане на съвременни системи за управление на железопътното движение;</w:t>
      </w:r>
    </w:p>
    <w:p w14:paraId="07EF6480" w14:textId="77777777" w:rsidR="00D603F5" w:rsidRPr="00561395" w:rsidRDefault="00D603F5" w:rsidP="00561395">
      <w:pPr>
        <w:pStyle w:val="ListParagraph"/>
        <w:numPr>
          <w:ilvl w:val="0"/>
          <w:numId w:val="364"/>
        </w:numPr>
        <w:tabs>
          <w:tab w:val="left" w:pos="1134"/>
        </w:tabs>
        <w:ind w:left="0" w:firstLine="851"/>
        <w:rPr>
          <w:lang w:eastAsia="bg-BG"/>
        </w:rPr>
      </w:pPr>
      <w:r w:rsidRPr="00561395">
        <w:rPr>
          <w:lang w:eastAsia="bg-BG"/>
        </w:rPr>
        <w:t>изграждане на GSM-R мрежа (за отсечки, извън обхвата на проектите за модернизация на ж.п. инфраструктурата по приоритетна ос 1);</w:t>
      </w:r>
    </w:p>
    <w:p w14:paraId="05EF2FD6" w14:textId="77777777" w:rsidR="00D603F5" w:rsidRDefault="00D603F5" w:rsidP="00561395">
      <w:pPr>
        <w:pStyle w:val="ListParagraph"/>
        <w:numPr>
          <w:ilvl w:val="0"/>
          <w:numId w:val="364"/>
        </w:numPr>
        <w:tabs>
          <w:tab w:val="left" w:pos="1134"/>
        </w:tabs>
        <w:ind w:left="0" w:firstLine="851"/>
        <w:rPr>
          <w:lang w:eastAsia="bg-BG"/>
        </w:rPr>
      </w:pPr>
      <w:r w:rsidRPr="00561395">
        <w:rPr>
          <w:lang w:eastAsia="bg-BG"/>
        </w:rPr>
        <w:t>техническа помощ за подготовката/завършване на подготовката на проектите, включени за финансиране по приоритетната ос,  включително изготвяне или актуализация на: проучвания, анализи „разходи-ползи”, оценки на въздействието върху околната среда, проектиране и др.;</w:t>
      </w:r>
    </w:p>
    <w:p w14:paraId="440AD419" w14:textId="77777777" w:rsidR="00CA12FC" w:rsidRPr="00561395" w:rsidRDefault="00CA12FC" w:rsidP="00CA12FC">
      <w:pPr>
        <w:tabs>
          <w:tab w:val="left" w:pos="1134"/>
        </w:tabs>
        <w:rPr>
          <w:lang w:eastAsia="bg-BG"/>
        </w:rPr>
      </w:pPr>
    </w:p>
    <w:p w14:paraId="6E779520" w14:textId="77777777" w:rsidR="00D603F5" w:rsidRPr="00CA12FC" w:rsidRDefault="00D603F5" w:rsidP="00CA12FC">
      <w:pPr>
        <w:rPr>
          <w:b/>
          <w:i/>
          <w:color w:val="000000"/>
        </w:rPr>
      </w:pPr>
      <w:r w:rsidRPr="00CA12FC">
        <w:rPr>
          <w:b/>
          <w:i/>
          <w:lang w:eastAsia="bg-BG"/>
        </w:rPr>
        <w:t>Приоритетна ос 5 „Техническа помощ”</w:t>
      </w:r>
      <w:r w:rsidRPr="00CA12FC">
        <w:rPr>
          <w:b/>
          <w:i/>
          <w:color w:val="000000"/>
        </w:rPr>
        <w:t xml:space="preserve"> за дейности, насочени към:</w:t>
      </w:r>
    </w:p>
    <w:p w14:paraId="7CA0E8DA" w14:textId="77777777" w:rsidR="00D603F5" w:rsidRPr="00CA12FC" w:rsidRDefault="00D603F5" w:rsidP="00CA12FC">
      <w:pPr>
        <w:pStyle w:val="ListParagraph"/>
        <w:numPr>
          <w:ilvl w:val="0"/>
          <w:numId w:val="366"/>
        </w:numPr>
        <w:tabs>
          <w:tab w:val="left" w:pos="1134"/>
        </w:tabs>
        <w:ind w:left="0" w:firstLine="851"/>
        <w:rPr>
          <w:b/>
          <w:lang w:eastAsia="bg-BG"/>
        </w:rPr>
      </w:pPr>
      <w:r w:rsidRPr="00CA12FC">
        <w:rPr>
          <w:b/>
          <w:lang w:eastAsia="bg-BG"/>
        </w:rPr>
        <w:t>Дейности, насочени към успешното приключване на ОПТ (програмен период 2007-2013 г.) и подготовка  на следващия програмен период 2021-2027 г.:</w:t>
      </w:r>
    </w:p>
    <w:p w14:paraId="4411F9B1" w14:textId="77777777" w:rsidR="00D603F5" w:rsidRPr="001B0EA3" w:rsidRDefault="00D603F5" w:rsidP="00CA12FC">
      <w:pPr>
        <w:pStyle w:val="ListParagraph"/>
        <w:numPr>
          <w:ilvl w:val="0"/>
          <w:numId w:val="367"/>
        </w:numPr>
        <w:tabs>
          <w:tab w:val="left" w:pos="1276"/>
        </w:tabs>
        <w:ind w:left="0" w:firstLine="993"/>
        <w:rPr>
          <w:lang w:eastAsia="bg-BG"/>
        </w:rPr>
      </w:pPr>
      <w:r w:rsidRPr="001B0EA3">
        <w:rPr>
          <w:lang w:eastAsia="bg-BG"/>
        </w:rPr>
        <w:t>подготовка на проучвания, анализи и оценки във връзка с изпълнението и приключването на ОПТ 2007-2013 г.;</w:t>
      </w:r>
    </w:p>
    <w:p w14:paraId="00A4D6F1" w14:textId="77777777" w:rsidR="00D603F5" w:rsidRPr="001B0EA3" w:rsidRDefault="00D603F5" w:rsidP="00CA12FC">
      <w:pPr>
        <w:pStyle w:val="ListParagraph"/>
        <w:numPr>
          <w:ilvl w:val="0"/>
          <w:numId w:val="367"/>
        </w:numPr>
        <w:tabs>
          <w:tab w:val="left" w:pos="1276"/>
        </w:tabs>
        <w:ind w:left="0" w:firstLine="993"/>
        <w:rPr>
          <w:lang w:eastAsia="bg-BG"/>
        </w:rPr>
      </w:pPr>
      <w:r w:rsidRPr="001B0EA3">
        <w:rPr>
          <w:lang w:eastAsia="bg-BG"/>
        </w:rPr>
        <w:t>извършване на специализирани дейности по верификация, контрол и одит във връзка с приключването на ОПТ 2007-2013 г.;</w:t>
      </w:r>
    </w:p>
    <w:p w14:paraId="4ED694A5" w14:textId="77777777" w:rsidR="00D603F5" w:rsidRPr="001B0EA3" w:rsidRDefault="00D603F5" w:rsidP="00CA12FC">
      <w:pPr>
        <w:pStyle w:val="ListParagraph"/>
        <w:numPr>
          <w:ilvl w:val="0"/>
          <w:numId w:val="367"/>
        </w:numPr>
        <w:tabs>
          <w:tab w:val="left" w:pos="1276"/>
        </w:tabs>
        <w:ind w:left="0" w:firstLine="993"/>
        <w:rPr>
          <w:lang w:eastAsia="bg-BG"/>
        </w:rPr>
      </w:pPr>
      <w:r w:rsidRPr="001B0EA3">
        <w:rPr>
          <w:lang w:eastAsia="bg-BG"/>
        </w:rPr>
        <w:t xml:space="preserve">подготовка на необходими документи във връзка с приключването на ОПТ 2007-2013 г., включително окончателен доклад и декларация за приключването на програмата; </w:t>
      </w:r>
    </w:p>
    <w:p w14:paraId="19116785" w14:textId="77777777" w:rsidR="00D603F5" w:rsidRPr="001B0EA3" w:rsidRDefault="00D603F5" w:rsidP="00CA12FC">
      <w:pPr>
        <w:pStyle w:val="ListParagraph"/>
        <w:numPr>
          <w:ilvl w:val="0"/>
          <w:numId w:val="367"/>
        </w:numPr>
        <w:tabs>
          <w:tab w:val="left" w:pos="1276"/>
        </w:tabs>
        <w:ind w:left="0" w:firstLine="993"/>
        <w:rPr>
          <w:lang w:eastAsia="bg-BG"/>
        </w:rPr>
      </w:pPr>
      <w:r w:rsidRPr="001B0EA3">
        <w:rPr>
          <w:lang w:eastAsia="bg-BG"/>
        </w:rPr>
        <w:t>изпълнение на предвидените комуникационни дейности и дейности по информация и публичност, във връзка с приключването на ОПТ 2007-2013 г., включително провеждане на заключителните заседания на Комитета за наблюдение на програмата;</w:t>
      </w:r>
    </w:p>
    <w:p w14:paraId="4BBD15A2" w14:textId="77777777" w:rsidR="00D603F5" w:rsidRDefault="00D603F5" w:rsidP="00CA12FC">
      <w:pPr>
        <w:pStyle w:val="ListParagraph"/>
        <w:numPr>
          <w:ilvl w:val="0"/>
          <w:numId w:val="367"/>
        </w:numPr>
        <w:tabs>
          <w:tab w:val="left" w:pos="1276"/>
        </w:tabs>
        <w:ind w:left="0" w:firstLine="993"/>
        <w:rPr>
          <w:lang w:eastAsia="bg-BG"/>
        </w:rPr>
      </w:pPr>
      <w:r w:rsidRPr="001B0EA3">
        <w:rPr>
          <w:lang w:eastAsia="bg-BG"/>
        </w:rPr>
        <w:t>подпомагане на подготовката на оперативната програма за периода 2014-2020 г. (консултации, проучвания, наръчници и др.).</w:t>
      </w:r>
    </w:p>
    <w:p w14:paraId="2FF3CA29" w14:textId="77777777" w:rsidR="00CA12FC" w:rsidRPr="001B0EA3" w:rsidRDefault="00CA12FC" w:rsidP="00CA12FC">
      <w:pPr>
        <w:tabs>
          <w:tab w:val="left" w:pos="1276"/>
        </w:tabs>
        <w:rPr>
          <w:lang w:eastAsia="bg-BG"/>
        </w:rPr>
      </w:pPr>
    </w:p>
    <w:p w14:paraId="369F465C" w14:textId="77777777" w:rsidR="00D603F5" w:rsidRPr="00CA12FC" w:rsidRDefault="00D603F5" w:rsidP="00CA12FC">
      <w:pPr>
        <w:pStyle w:val="ListParagraph"/>
        <w:numPr>
          <w:ilvl w:val="0"/>
          <w:numId w:val="366"/>
        </w:numPr>
        <w:tabs>
          <w:tab w:val="left" w:pos="1134"/>
        </w:tabs>
        <w:ind w:left="0" w:firstLine="851"/>
        <w:rPr>
          <w:b/>
          <w:lang w:eastAsia="bg-BG"/>
        </w:rPr>
      </w:pPr>
      <w:r w:rsidRPr="00CA12FC">
        <w:rPr>
          <w:b/>
          <w:lang w:eastAsia="bg-BG"/>
        </w:rPr>
        <w:t>Дейности, насочени към укрепване и повишаване на административния капацитет на Управляващия орган и бенефициентите по ОПТТИ:</w:t>
      </w:r>
    </w:p>
    <w:p w14:paraId="175B0B7F" w14:textId="77777777"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осигуряване въвеждането на мотивационна схема за служителите на Управляващия орган и на бенефициентите по програмата за извършване на работа и полагане на извънреден труд по управление и изпълнение на дейностите, във връзка със Структурните и Кохезионния фондове; обезпечаване на разходи за възнаграждения, допълнително заплащане и осигурителни вноски на служителите - в съответствие с разработените национални правила;</w:t>
      </w:r>
    </w:p>
    <w:p w14:paraId="1AD4B2F9" w14:textId="77777777"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създаване на отделна структура за извършване на възнагражденията, допълнителното заплащане и осигурителните вноски на служителите;</w:t>
      </w:r>
    </w:p>
    <w:p w14:paraId="6CE2B7E5" w14:textId="77777777"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разработване и внедряване на стратегия за развитие на човешките ресурси, включваща процедури за назначаване, развитие на персонала, механизъм за задържане на персонала и др.;</w:t>
      </w:r>
    </w:p>
    <w:p w14:paraId="50B5CA4C" w14:textId="77777777"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осигуряване на средства за настаняване и командировъчни за служителите, отговорни за управлението и изпълнението на дейностите по Структурните и Кохезионния фондове, например за извършване на одити и проверки на място, пътувания в чужбина, във връзка с управлението на дейностите по програмата;</w:t>
      </w:r>
    </w:p>
    <w:p w14:paraId="691E940F" w14:textId="77777777"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lastRenderedPageBreak/>
        <w:t>подготовка, организиране и провеждане на специализирани обучения на служителите, отговорни за управлението и изпълнението на дейностите по Структурните и Кохезионния фондове, в това число разходи за наемане на зали и оборудване, такси за обучители, такси за участие в обучителни курсове на служителите, подготовка и копиране на материали, както и кетъринг, ако е подходящо;</w:t>
      </w:r>
    </w:p>
    <w:p w14:paraId="5522E41B" w14:textId="77777777"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подобряване на материално-техническата база, включително и наем, лизинг, покупка и/или застраховане на оборудване, необходимо на служителите на УО и на бенефициентите да извършват дейностите си по програмиране/идентифициране, подготовка, финансово управление, наблюдение, отчетност и контрол на изпълнението на проектите/операциите по ОПТТИ;</w:t>
      </w:r>
    </w:p>
    <w:p w14:paraId="3695C5C9" w14:textId="77777777"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организация на дейността на Комитета за наблюдение на ОПТТИ, на заседанията на под-комитетите за наблюдение, в случай че бъдат създадени в процеса на изпълнение на програмата (включително  административни и логистични разходи);</w:t>
      </w:r>
    </w:p>
    <w:p w14:paraId="2AD19207" w14:textId="77777777"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организация на семинари, работни срещи, включително разходи за зала, за наем на мултимедийно оборудване, озвучителни системи, изготвяне, копиране/отпечатване и раздаване на протоколи и др.</w:t>
      </w:r>
      <w:r w:rsidR="00E40779" w:rsidRPr="00CA12FC">
        <w:rPr>
          <w:lang w:eastAsia="bg-BG"/>
        </w:rPr>
        <w:t xml:space="preserve"> </w:t>
      </w:r>
      <w:r w:rsidRPr="00CA12FC">
        <w:rPr>
          <w:lang w:eastAsia="bg-BG"/>
        </w:rPr>
        <w:t>документи, както  и устен и писмен превод, кетъринг  при необходимост;</w:t>
      </w:r>
    </w:p>
    <w:p w14:paraId="44DBE07F" w14:textId="77777777" w:rsidR="00D603F5" w:rsidRDefault="00D603F5" w:rsidP="00CA12FC">
      <w:pPr>
        <w:pStyle w:val="ListParagraph"/>
        <w:numPr>
          <w:ilvl w:val="0"/>
          <w:numId w:val="367"/>
        </w:numPr>
        <w:tabs>
          <w:tab w:val="left" w:pos="1276"/>
        </w:tabs>
        <w:ind w:left="0" w:firstLine="993"/>
        <w:rPr>
          <w:lang w:eastAsia="bg-BG"/>
        </w:rPr>
      </w:pPr>
      <w:r w:rsidRPr="00CA12FC">
        <w:rPr>
          <w:lang w:eastAsia="bg-BG"/>
        </w:rPr>
        <w:t>помощ от международни финансови институции в специфични области като разработване на секторни политики, подкрепа в управлението на проекти, мерки за изграждане на капацитет и др.</w:t>
      </w:r>
    </w:p>
    <w:p w14:paraId="42404CB1" w14:textId="77777777" w:rsidR="00CA12FC" w:rsidRPr="00CA12FC" w:rsidRDefault="00CA12FC" w:rsidP="00CA12FC">
      <w:pPr>
        <w:tabs>
          <w:tab w:val="left" w:pos="1276"/>
        </w:tabs>
        <w:rPr>
          <w:lang w:eastAsia="bg-BG"/>
        </w:rPr>
      </w:pPr>
    </w:p>
    <w:p w14:paraId="37CAF300" w14:textId="77777777" w:rsidR="00D603F5" w:rsidRPr="00CA12FC" w:rsidRDefault="00D603F5" w:rsidP="00CA12FC">
      <w:pPr>
        <w:pStyle w:val="ListParagraph"/>
        <w:numPr>
          <w:ilvl w:val="0"/>
          <w:numId w:val="366"/>
        </w:numPr>
        <w:tabs>
          <w:tab w:val="left" w:pos="1134"/>
        </w:tabs>
        <w:ind w:left="0" w:firstLine="851"/>
        <w:rPr>
          <w:b/>
          <w:lang w:eastAsia="bg-BG"/>
        </w:rPr>
      </w:pPr>
      <w:r w:rsidRPr="00CA12FC">
        <w:rPr>
          <w:b/>
          <w:lang w:eastAsia="bg-BG"/>
        </w:rPr>
        <w:t xml:space="preserve">Дейности, насочени към ефективна подготовка, изпълнение, мониторинг, контрол, оценка и популяризиране на инвестициите в транспорта: </w:t>
      </w:r>
    </w:p>
    <w:p w14:paraId="7FD91286" w14:textId="77777777"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подготовка и актуализация на стратегически и програмни документи в областта на транспорта, включително изпълнение на предварителните условия в сектор „транспорт” за програмен период 2014-2020 г., средносрочен преглед и актуализация на Стратегия за развитието на транспортния сектор на Република България до 2020 г., актуализация на транспортния модел /на ОГПТ/ и др. в съответствие с новите тенденции в европейската и националната политики и съобразно препоръки на ЕК;</w:t>
      </w:r>
    </w:p>
    <w:p w14:paraId="45A8A27B" w14:textId="77777777"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подготовка и актуализация на предпроектни и технически проучвания, бази данни и др.;</w:t>
      </w:r>
    </w:p>
    <w:p w14:paraId="716E0FA3" w14:textId="77777777"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ab/>
        <w:t>разработване и изпълнение на план за мониторинг на околната среда;</w:t>
      </w:r>
    </w:p>
    <w:p w14:paraId="265AE0F2" w14:textId="77777777"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разработване на наръчник за подготовка и изпълнение на мерки за смекчаване на негативното въздействие върху околната среда при реализацията на инфраструктурните проекти;</w:t>
      </w:r>
    </w:p>
    <w:p w14:paraId="077459CB" w14:textId="77777777"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разработване на механизъм за определяне и оценка на риска и предприемане на ефективни и съответстващи мерки за превенция на измамите и корупционните практики при изпълнението на ОПТТИ;</w:t>
      </w:r>
    </w:p>
    <w:p w14:paraId="15A564DD" w14:textId="77777777"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предоставяне на техническа помощ, включително проучвания, анализи и оценки (предварителни, текущи и последващи), както и консултантски услуги от национални и международни експерти, във връзка с различни аспекти на системата за управление и изпълнение на дейностите по Структурните и Кохезионния фондове, в това число и изготвяне на тръжни спецификации;</w:t>
      </w:r>
    </w:p>
    <w:p w14:paraId="051B3AE5" w14:textId="77777777"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Специализирана външна експертиза при изпълнението на дейности по мониторинг, управлението и финансов контрол на програмата;</w:t>
      </w:r>
    </w:p>
    <w:p w14:paraId="00AF170C" w14:textId="77777777"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Осигуряване на подкрепа за подготовката на проектите за финансиране в рамките на ОПТТИ;</w:t>
      </w:r>
    </w:p>
    <w:p w14:paraId="5813CF25" w14:textId="77777777" w:rsidR="00D603F5" w:rsidRPr="00CA12FC" w:rsidRDefault="007C73C4" w:rsidP="00CA12FC">
      <w:pPr>
        <w:pStyle w:val="ListParagraph"/>
        <w:numPr>
          <w:ilvl w:val="0"/>
          <w:numId w:val="367"/>
        </w:numPr>
        <w:tabs>
          <w:tab w:val="left" w:pos="1276"/>
        </w:tabs>
        <w:ind w:left="0" w:firstLine="993"/>
        <w:rPr>
          <w:lang w:eastAsia="bg-BG"/>
        </w:rPr>
      </w:pPr>
      <w:r w:rsidRPr="00CA12FC">
        <w:rPr>
          <w:lang w:eastAsia="bg-BG"/>
        </w:rPr>
        <w:t>планиране, изпълнение и мониторинг на дейностите по информация и публичност на програмата</w:t>
      </w:r>
      <w:r w:rsidR="00D603F5" w:rsidRPr="00CA12FC">
        <w:rPr>
          <w:lang w:eastAsia="bg-BG"/>
        </w:rPr>
        <w:t xml:space="preserve">; </w:t>
      </w:r>
    </w:p>
    <w:p w14:paraId="0AFEA998" w14:textId="77777777"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провеждане на мащабни информационни кампании;</w:t>
      </w:r>
    </w:p>
    <w:p w14:paraId="66BCE16A" w14:textId="77777777"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провеждане на семинари и конференции, разходи за зала, мултимедийно оборудване, озвучителни системи;</w:t>
      </w:r>
    </w:p>
    <w:p w14:paraId="77209E5C" w14:textId="77777777"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lastRenderedPageBreak/>
        <w:t>разпространяване на информация и популяризиране на ниво програма, включително изготвяне, копиране/ отпечатване и публикуване на промоционални материали, използване на съответните медии и комуникационни инструменти (печатни издания, изложби, табели, радио, телевизия, видео/ DVD материали, интернет страници). Тук се включват и целевите инициативи за укрепване ролята и мястото на програмата сред различните партньорски организации, инициативите за популяризиране на програмата посредством представяния, достъпни за хората с увреждания (разходи за място на провеждане и лектори, за отпечатване и популяризиране, създаване на интернет страници, превод, и използване услугите на посредници);</w:t>
      </w:r>
    </w:p>
    <w:p w14:paraId="39681D1E" w14:textId="77777777" w:rsidR="00D603F5" w:rsidRDefault="00D603F5" w:rsidP="00CA12FC">
      <w:pPr>
        <w:pStyle w:val="ListParagraph"/>
        <w:numPr>
          <w:ilvl w:val="0"/>
          <w:numId w:val="367"/>
        </w:numPr>
        <w:tabs>
          <w:tab w:val="left" w:pos="1276"/>
        </w:tabs>
        <w:ind w:left="0" w:firstLine="993"/>
        <w:rPr>
          <w:lang w:eastAsia="bg-BG"/>
        </w:rPr>
      </w:pPr>
      <w:r w:rsidRPr="00CA12FC">
        <w:rPr>
          <w:lang w:eastAsia="bg-BG"/>
        </w:rPr>
        <w:tab/>
        <w:t>провеждане на социологически проучвания.</w:t>
      </w:r>
    </w:p>
    <w:p w14:paraId="6A31DEBD" w14:textId="77777777" w:rsidR="00CA12FC" w:rsidRPr="00CA12FC" w:rsidRDefault="00CA12FC" w:rsidP="00CA12FC">
      <w:pPr>
        <w:tabs>
          <w:tab w:val="left" w:pos="1276"/>
        </w:tabs>
        <w:rPr>
          <w:lang w:eastAsia="bg-BG"/>
        </w:rPr>
      </w:pPr>
    </w:p>
    <w:p w14:paraId="163AE682" w14:textId="77777777" w:rsidR="00D603F5" w:rsidRPr="00CA12FC" w:rsidRDefault="00D603F5" w:rsidP="00CA12FC">
      <w:pPr>
        <w:pStyle w:val="ListParagraph"/>
        <w:numPr>
          <w:ilvl w:val="0"/>
          <w:numId w:val="366"/>
        </w:numPr>
        <w:tabs>
          <w:tab w:val="left" w:pos="1134"/>
        </w:tabs>
        <w:ind w:left="0" w:firstLine="851"/>
        <w:rPr>
          <w:b/>
          <w:lang w:eastAsia="bg-BG"/>
        </w:rPr>
      </w:pPr>
      <w:r w:rsidRPr="00CA12FC">
        <w:rPr>
          <w:b/>
          <w:lang w:eastAsia="bg-BG"/>
        </w:rPr>
        <w:t>Дейности, насочени към прилагане на Директива 2014/24 от 26.02.2014 г. относно задължителното прилагане на електронни търгове</w:t>
      </w:r>
    </w:p>
    <w:p w14:paraId="6CA9C7A4" w14:textId="77777777" w:rsidR="00D603F5" w:rsidRPr="00CA12FC" w:rsidRDefault="00D603F5" w:rsidP="00CA12FC">
      <w:pPr>
        <w:pStyle w:val="ListParagraph"/>
        <w:numPr>
          <w:ilvl w:val="0"/>
          <w:numId w:val="366"/>
        </w:numPr>
        <w:tabs>
          <w:tab w:val="left" w:pos="1134"/>
        </w:tabs>
        <w:ind w:left="0" w:firstLine="851"/>
        <w:rPr>
          <w:b/>
          <w:lang w:eastAsia="bg-BG"/>
        </w:rPr>
      </w:pPr>
      <w:r w:rsidRPr="00CA12FC">
        <w:rPr>
          <w:b/>
          <w:lang w:eastAsia="bg-BG"/>
        </w:rPr>
        <w:t xml:space="preserve">Дейности, насочени към подпомагане на </w:t>
      </w:r>
      <w:r w:rsidR="00BB6BF6">
        <w:rPr>
          <w:b/>
          <w:lang w:eastAsia="bg-BG"/>
        </w:rPr>
        <w:t>МТС</w:t>
      </w:r>
      <w:r w:rsidRPr="00CA12FC">
        <w:rPr>
          <w:b/>
          <w:lang w:eastAsia="bg-BG"/>
        </w:rPr>
        <w:t xml:space="preserve"> в областта на стратегическото управление на железопътния сектор, включително за провеждането на реформи в същия</w:t>
      </w:r>
    </w:p>
    <w:p w14:paraId="485CC42E" w14:textId="77777777" w:rsidR="00D603F5" w:rsidRPr="00CA12FC" w:rsidRDefault="00D603F5" w:rsidP="00CA12FC">
      <w:pPr>
        <w:pStyle w:val="ListParagraph"/>
        <w:numPr>
          <w:ilvl w:val="0"/>
          <w:numId w:val="366"/>
        </w:numPr>
        <w:tabs>
          <w:tab w:val="left" w:pos="1134"/>
        </w:tabs>
        <w:ind w:left="0" w:firstLine="851"/>
        <w:rPr>
          <w:b/>
          <w:lang w:eastAsia="bg-BG"/>
        </w:rPr>
      </w:pPr>
      <w:r w:rsidRPr="00CA12FC">
        <w:rPr>
          <w:b/>
          <w:lang w:eastAsia="bg-BG"/>
        </w:rPr>
        <w:t>Дейности, насочени към подпомагане на УО на ОПТТИ, съвместно с МФ в областта на прилагането на правилата за държавните помощи, в т.ч. обучения, обмяна на опит, разработване на процедури и други приложими дейности в сектора</w:t>
      </w:r>
    </w:p>
    <w:p w14:paraId="29DEFE3E" w14:textId="77777777" w:rsidR="00D603F5" w:rsidRPr="001B0EA3" w:rsidRDefault="00D603F5" w:rsidP="00CA12FC">
      <w:r w:rsidRPr="001B0EA3">
        <w:t>При определянето на операциите, включени в списъка с инвестиционни проекти за финансиране по приоритетните оси на ОПТТИ 2014-2020 са взети под внимание:</w:t>
      </w:r>
    </w:p>
    <w:p w14:paraId="6ACC48B8" w14:textId="77777777" w:rsidR="00D603F5" w:rsidRPr="001B0EA3" w:rsidRDefault="00D603F5" w:rsidP="00CA12FC">
      <w:pPr>
        <w:pStyle w:val="ListParagraph"/>
        <w:numPr>
          <w:ilvl w:val="0"/>
          <w:numId w:val="368"/>
        </w:numPr>
        <w:tabs>
          <w:tab w:val="left" w:pos="1134"/>
        </w:tabs>
        <w:ind w:left="0" w:firstLine="851"/>
        <w:rPr>
          <w:lang w:eastAsia="bg-BG"/>
        </w:rPr>
      </w:pPr>
      <w:r w:rsidRPr="001B0EA3">
        <w:rPr>
          <w:lang w:eastAsia="bg-BG"/>
        </w:rPr>
        <w:t>прогнозите за търсенето на транспортни услуги за 2020 и 2030 г.</w:t>
      </w:r>
    </w:p>
    <w:p w14:paraId="3A0E9D86" w14:textId="77777777" w:rsidR="00D603F5" w:rsidRPr="001B0EA3" w:rsidRDefault="00D603F5" w:rsidP="00CA12FC">
      <w:pPr>
        <w:pStyle w:val="ListParagraph"/>
        <w:numPr>
          <w:ilvl w:val="0"/>
          <w:numId w:val="368"/>
        </w:numPr>
        <w:tabs>
          <w:tab w:val="left" w:pos="1134"/>
        </w:tabs>
        <w:ind w:left="0" w:firstLine="851"/>
        <w:rPr>
          <w:lang w:eastAsia="bg-BG"/>
        </w:rPr>
      </w:pPr>
      <w:r w:rsidRPr="001B0EA3">
        <w:rPr>
          <w:lang w:eastAsia="bg-BG"/>
        </w:rPr>
        <w:t xml:space="preserve">нуждата за привеждане на инфраструктурата по основната и разширена Трансевропейска мрежа към техническите стандарти, определени в чл. 39 на Регламент (ЕК) 1315/2013 </w:t>
      </w:r>
      <w:r w:rsidR="002260B4" w:rsidRPr="001B0EA3">
        <w:rPr>
          <w:lang w:eastAsia="bg-BG"/>
        </w:rPr>
        <w:t xml:space="preserve">г. </w:t>
      </w:r>
      <w:r w:rsidRPr="001B0EA3">
        <w:rPr>
          <w:lang w:eastAsia="bg-BG"/>
        </w:rPr>
        <w:t>и</w:t>
      </w:r>
    </w:p>
    <w:p w14:paraId="5DBE000F" w14:textId="77777777" w:rsidR="00D603F5" w:rsidRPr="001B0EA3" w:rsidRDefault="00D603F5" w:rsidP="00CA12FC">
      <w:pPr>
        <w:pStyle w:val="ListParagraph"/>
        <w:numPr>
          <w:ilvl w:val="0"/>
          <w:numId w:val="368"/>
        </w:numPr>
        <w:tabs>
          <w:tab w:val="left" w:pos="1134"/>
        </w:tabs>
        <w:ind w:left="0" w:firstLine="851"/>
        <w:rPr>
          <w:lang w:eastAsia="bg-BG"/>
        </w:rPr>
      </w:pPr>
      <w:r w:rsidRPr="001B0EA3">
        <w:rPr>
          <w:lang w:eastAsia="bg-BG"/>
        </w:rPr>
        <w:t>синергия с ОПТ 2007-2013, както и с други програми и финансови инструменти, в т.ч. Механизма за свързване на Европа.</w:t>
      </w:r>
    </w:p>
    <w:p w14:paraId="5D152C3E" w14:textId="77777777" w:rsidR="00D603F5" w:rsidRPr="001B0EA3" w:rsidRDefault="00D603F5" w:rsidP="0019114B">
      <w:pPr>
        <w:rPr>
          <w:szCs w:val="24"/>
          <w:lang w:eastAsia="bg-BG"/>
        </w:rPr>
      </w:pPr>
    </w:p>
    <w:p w14:paraId="104F3CD7" w14:textId="77777777" w:rsidR="00D603F5" w:rsidRPr="00842ECC" w:rsidRDefault="00D603F5" w:rsidP="001C27FF">
      <w:pPr>
        <w:pStyle w:val="Style2"/>
        <w:rPr>
          <w:lang w:val="bg-BG"/>
        </w:rPr>
      </w:pPr>
      <w:bookmarkStart w:id="484" w:name="_Ref406166578"/>
      <w:r w:rsidRPr="00842ECC">
        <w:rPr>
          <w:lang w:val="bg-BG"/>
        </w:rPr>
        <w:t xml:space="preserve"> </w:t>
      </w:r>
      <w:bookmarkStart w:id="485" w:name="_Ref410299116"/>
      <w:bookmarkStart w:id="486" w:name="_Toc479775609"/>
      <w:bookmarkStart w:id="487" w:name="_Toc140150196"/>
      <w:r w:rsidRPr="00842ECC">
        <w:rPr>
          <w:lang w:val="bg-BG"/>
        </w:rPr>
        <w:t xml:space="preserve">Допустимост на разходите </w:t>
      </w:r>
      <w:bookmarkEnd w:id="484"/>
      <w:r w:rsidRPr="00842ECC">
        <w:rPr>
          <w:lang w:val="bg-BG"/>
        </w:rPr>
        <w:t>по Оперативна програма „Транспорт и транспортна инфраструктура“ 2014-2020 г.</w:t>
      </w:r>
      <w:bookmarkEnd w:id="485"/>
      <w:bookmarkEnd w:id="486"/>
      <w:bookmarkEnd w:id="487"/>
    </w:p>
    <w:p w14:paraId="4ADDB050" w14:textId="77777777" w:rsidR="00C91158" w:rsidRPr="001B0EA3" w:rsidRDefault="00C91158" w:rsidP="00511860">
      <w:pPr>
        <w:pStyle w:val="Normal1"/>
        <w:spacing w:before="134" w:beforeAutospacing="0" w:after="0" w:afterAutospacing="0"/>
        <w:rPr>
          <w:b/>
          <w:u w:val="single"/>
        </w:rPr>
      </w:pPr>
      <w:r w:rsidRPr="001B0EA3">
        <w:rPr>
          <w:b/>
          <w:u w:val="single"/>
        </w:rPr>
        <w:t>Национални правила за допустимост на разходите по оперативните програми</w:t>
      </w:r>
    </w:p>
    <w:p w14:paraId="35C1CD59" w14:textId="77777777" w:rsidR="00BA659C" w:rsidRPr="001B0EA3" w:rsidRDefault="00BA659C" w:rsidP="00511860">
      <w:pPr>
        <w:pStyle w:val="Normal1"/>
        <w:contextualSpacing/>
      </w:pPr>
      <w:r w:rsidRPr="001B0EA3">
        <w:t>Съгласно чл. 57, ал. 1 от Раздел I „Общи условия и допустимост на разходите“ на ЗУСЕСИФ разходите се считат за допустими, ако са налице едновременно следните условия:</w:t>
      </w:r>
    </w:p>
    <w:p w14:paraId="66EF9277" w14:textId="77777777" w:rsidR="00BA659C" w:rsidRPr="001B0EA3" w:rsidRDefault="00BA659C" w:rsidP="00511860">
      <w:pPr>
        <w:pStyle w:val="Normal1"/>
        <w:contextualSpacing/>
      </w:pPr>
      <w:r w:rsidRPr="001B0EA3">
        <w:t>1. разходите са за дейности, съответстващи на критериите за подбор на операции и се извършват от допустими бенефициенти съгласно съответната програма по чл. 3, ал. 2;</w:t>
      </w:r>
    </w:p>
    <w:p w14:paraId="0FD2D5D8" w14:textId="77777777" w:rsidR="00BA659C" w:rsidRPr="001B0EA3" w:rsidRDefault="00BA659C" w:rsidP="00511860">
      <w:pPr>
        <w:pStyle w:val="Normal1"/>
        <w:contextualSpacing/>
      </w:pPr>
      <w:r w:rsidRPr="001B0EA3">
        <w:t>2. разходите попадат във включени в документите по чл. 26, ал. 1 и в одобрения проект категории разходи;</w:t>
      </w:r>
    </w:p>
    <w:p w14:paraId="2662878D" w14:textId="77777777" w:rsidR="00BA659C" w:rsidRPr="001B0EA3" w:rsidRDefault="00BA659C" w:rsidP="00511860">
      <w:pPr>
        <w:pStyle w:val="Normal1"/>
        <w:contextualSpacing/>
      </w:pPr>
      <w:r w:rsidRPr="001B0EA3">
        <w:t xml:space="preserve"> 3. разходите са за реално доставени продукти, извършени услуги и строителни дейности;</w:t>
      </w:r>
    </w:p>
    <w:p w14:paraId="2CF6FC06" w14:textId="77777777" w:rsidR="00BA659C" w:rsidRPr="001B0EA3" w:rsidRDefault="00BA659C" w:rsidP="00511860">
      <w:pPr>
        <w:pStyle w:val="Normal1"/>
        <w:contextualSpacing/>
      </w:pPr>
      <w:r w:rsidRPr="001B0EA3">
        <w:t xml:space="preserve"> 4. разходите са извършени законосъобразно съгласно приложимото право на Европейския съюз и българското законодателство;</w:t>
      </w:r>
    </w:p>
    <w:p w14:paraId="1A2F36D1" w14:textId="77777777" w:rsidR="00BA659C" w:rsidRPr="001B0EA3" w:rsidRDefault="00BA659C" w:rsidP="00511860">
      <w:pPr>
        <w:pStyle w:val="Normal1"/>
        <w:contextualSpacing/>
      </w:pPr>
      <w:r w:rsidRPr="001B0EA3">
        <w:t xml:space="preserve"> 5. разходите са отразени в счетоводната документация на бенефициента чрез отделни счетоводни аналитични сметки или в отделна счетоводна система; </w:t>
      </w:r>
    </w:p>
    <w:p w14:paraId="2056B217" w14:textId="77777777" w:rsidR="00BA659C" w:rsidRPr="001B0EA3" w:rsidRDefault="00BA659C" w:rsidP="00511860">
      <w:pPr>
        <w:pStyle w:val="Normal1"/>
        <w:contextualSpacing/>
      </w:pPr>
      <w:r w:rsidRPr="001B0EA3">
        <w:t xml:space="preserve">6. за направените разходи е налична одитна следа съгласно минималните изисквания на чл. 25 от Делегиран регламент (ЕС) № 480/2014 на Комисията от 3 март 2014 г. 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(ОВ, L 138/5 от 13 май </w:t>
      </w:r>
      <w:r w:rsidRPr="001B0EA3">
        <w:lastRenderedPageBreak/>
        <w:t>2014 г.) и са спазени изискванията за съхраняване на документите съгласно чл. 140 от Регламент (ЕС) № 1303/2013;</w:t>
      </w:r>
    </w:p>
    <w:p w14:paraId="38FADEBE" w14:textId="77777777" w:rsidR="00BA659C" w:rsidRPr="001B0EA3" w:rsidRDefault="00BA659C" w:rsidP="00511860">
      <w:pPr>
        <w:pStyle w:val="Normal1"/>
        <w:contextualSpacing/>
      </w:pPr>
      <w:r w:rsidRPr="001B0EA3">
        <w:t xml:space="preserve"> 7. разходите са съобразени с приложимите правила за предоставяне на държавни помощи.</w:t>
      </w:r>
    </w:p>
    <w:p w14:paraId="0B3FF652" w14:textId="77777777" w:rsidR="00BA659C" w:rsidRPr="001B0EA3" w:rsidRDefault="00BA659C" w:rsidP="00511860">
      <w:pPr>
        <w:pStyle w:val="Normal1"/>
        <w:spacing w:before="134" w:beforeAutospacing="0" w:after="0" w:afterAutospacing="0"/>
      </w:pPr>
      <w:r w:rsidRPr="001B0EA3">
        <w:t xml:space="preserve">С Постановление № 189 на Министерския съвет от 28  юли 2016 година са приети национални правила за допустимост на разходите по програмите, съфинансирани от Европейските структурни инвестиционни фондове, за  програмен период 2014-2020 г. </w:t>
      </w:r>
    </w:p>
    <w:p w14:paraId="2FD94C5B" w14:textId="77777777" w:rsidR="00BA659C" w:rsidRPr="001B0EA3" w:rsidRDefault="00BA659C" w:rsidP="00890B4B">
      <w:pPr>
        <w:spacing w:before="134"/>
        <w:rPr>
          <w:szCs w:val="24"/>
          <w:lang w:eastAsia="bg-BG"/>
        </w:rPr>
      </w:pPr>
      <w:r w:rsidRPr="001B0EA3">
        <w:rPr>
          <w:szCs w:val="24"/>
          <w:lang w:eastAsia="bg-BG"/>
        </w:rPr>
        <w:t>Съгласно общите правила на допустимост, разходите са допустими, ако са направени и са платени от бенефициентите в периода между 1 януари 2014 г. и 31 декември 2023 г.</w:t>
      </w:r>
    </w:p>
    <w:p w14:paraId="3E530B1C" w14:textId="77777777" w:rsidR="00D603F5" w:rsidRPr="001B0EA3" w:rsidRDefault="00D603F5" w:rsidP="00890B4B">
      <w:pPr>
        <w:rPr>
          <w:b/>
          <w:szCs w:val="24"/>
          <w:lang w:eastAsia="bg-BG"/>
        </w:rPr>
      </w:pPr>
    </w:p>
    <w:p w14:paraId="12DE1907" w14:textId="77777777" w:rsidR="00C91158" w:rsidRPr="001B0EA3" w:rsidRDefault="00C91158" w:rsidP="00511860">
      <w:pPr>
        <w:ind w:firstLine="709"/>
        <w:rPr>
          <w:b/>
          <w:szCs w:val="24"/>
          <w:u w:val="single"/>
          <w:lang w:eastAsia="bg-BG"/>
        </w:rPr>
      </w:pPr>
      <w:r w:rsidRPr="001B0EA3">
        <w:rPr>
          <w:b/>
          <w:szCs w:val="24"/>
          <w:u w:val="single"/>
          <w:lang w:eastAsia="bg-BG"/>
        </w:rPr>
        <w:t>Детайлни правила за  допустимост на разходите по ОПТТИ</w:t>
      </w:r>
    </w:p>
    <w:p w14:paraId="6D72CB93" w14:textId="77777777" w:rsidR="00E70A4F" w:rsidRPr="001B0EA3" w:rsidRDefault="00E70A4F" w:rsidP="00511860">
      <w:pPr>
        <w:ind w:firstLine="709"/>
        <w:rPr>
          <w:szCs w:val="24"/>
          <w:lang w:eastAsia="bg-BG"/>
        </w:rPr>
      </w:pPr>
      <w:r w:rsidRPr="001B0EA3">
        <w:rPr>
          <w:szCs w:val="24"/>
          <w:lang w:eastAsia="bg-BG"/>
        </w:rPr>
        <w:t xml:space="preserve">По отношение на ОПТТИ детайлни правила за допустимост на разходите са разписани в раздел III на ПМС </w:t>
      </w:r>
      <w:r w:rsidR="002C42EE" w:rsidRPr="001B0EA3">
        <w:rPr>
          <w:szCs w:val="24"/>
          <w:lang w:eastAsia="bg-BG"/>
        </w:rPr>
        <w:t xml:space="preserve">№ </w:t>
      </w:r>
      <w:r w:rsidRPr="001B0EA3">
        <w:rPr>
          <w:szCs w:val="24"/>
          <w:lang w:eastAsia="bg-BG"/>
        </w:rPr>
        <w:t>189/ 2016 г. членове 30 и 31, които са както следва:</w:t>
      </w:r>
    </w:p>
    <w:p w14:paraId="67F8C2C8" w14:textId="77777777" w:rsidR="00E70A4F" w:rsidRPr="001B0EA3" w:rsidRDefault="00E70A4F" w:rsidP="00511860">
      <w:pPr>
        <w:ind w:firstLine="709"/>
        <w:rPr>
          <w:szCs w:val="24"/>
          <w:lang w:eastAsia="bg-BG"/>
        </w:rPr>
      </w:pPr>
    </w:p>
    <w:p w14:paraId="4D556093" w14:textId="77777777" w:rsidR="00E70A4F" w:rsidRPr="001B0EA3" w:rsidRDefault="00E70A4F" w:rsidP="0054623A">
      <w:pPr>
        <w:pStyle w:val="ListParagraph"/>
        <w:numPr>
          <w:ilvl w:val="0"/>
          <w:numId w:val="236"/>
        </w:numPr>
        <w:rPr>
          <w:szCs w:val="24"/>
          <w:lang w:eastAsia="bg-BG"/>
        </w:rPr>
      </w:pPr>
      <w:r w:rsidRPr="001B0EA3">
        <w:rPr>
          <w:szCs w:val="24"/>
          <w:lang w:eastAsia="bg-BG"/>
        </w:rPr>
        <w:t>Разходите за допустими дейности по ЕФРР и КФ, включени в обхвата на Оперативна програма „Транспорт и транспортна инфраструктура“ (ОПТТИ), свързани с доставки на стоки, услуги и строително-монтажни работи, които могат да включват и:</w:t>
      </w:r>
    </w:p>
    <w:p w14:paraId="5F66D326" w14:textId="77777777" w:rsidR="00E70A4F" w:rsidRPr="001B0EA3" w:rsidRDefault="00E70A4F" w:rsidP="00511860">
      <w:pPr>
        <w:ind w:firstLine="709"/>
        <w:rPr>
          <w:szCs w:val="24"/>
          <w:lang w:eastAsia="bg-BG"/>
        </w:rPr>
      </w:pPr>
      <w:r w:rsidRPr="001B0EA3">
        <w:rPr>
          <w:szCs w:val="24"/>
          <w:lang w:eastAsia="bg-BG"/>
        </w:rPr>
        <w:t>1. разходи за изпълнение на големи проекти по смисъла на чл. 100 от Регламент (ЕС) 1303/2013, включени в списъка с големи проекти по ОПТТИ, включително дейности, които са пряко свързани с тяхната подготовка, изпълнение, управление и контрол;</w:t>
      </w:r>
    </w:p>
    <w:p w14:paraId="06BF3A4A" w14:textId="77777777" w:rsidR="00E70A4F" w:rsidRPr="001B0EA3" w:rsidRDefault="00E70A4F" w:rsidP="00511860">
      <w:pPr>
        <w:ind w:firstLine="709"/>
        <w:rPr>
          <w:szCs w:val="24"/>
          <w:lang w:eastAsia="bg-BG"/>
        </w:rPr>
      </w:pPr>
      <w:r w:rsidRPr="001B0EA3">
        <w:rPr>
          <w:szCs w:val="24"/>
          <w:lang w:eastAsia="bg-BG"/>
        </w:rPr>
        <w:t>2. разходи за подготовката на инвестиционни проекти, включени в допустимите дейности по съответната приоритетна ос на ОПТТИ;</w:t>
      </w:r>
    </w:p>
    <w:p w14:paraId="712BE86B" w14:textId="77777777" w:rsidR="00E70A4F" w:rsidRPr="001B0EA3" w:rsidRDefault="00E70A4F" w:rsidP="00511860">
      <w:pPr>
        <w:ind w:firstLine="709"/>
        <w:rPr>
          <w:szCs w:val="24"/>
          <w:lang w:eastAsia="bg-BG"/>
        </w:rPr>
      </w:pPr>
      <w:r w:rsidRPr="001B0EA3">
        <w:rPr>
          <w:szCs w:val="24"/>
          <w:lang w:eastAsia="bg-BG"/>
        </w:rPr>
        <w:t>3. разходи, свързани с приложението на политиките по околна среда и изменението на климата (доклади за оценка на въздействието върху околната среда, оценка за съвместимост);</w:t>
      </w:r>
    </w:p>
    <w:p w14:paraId="3C805246" w14:textId="77777777" w:rsidR="00E70A4F" w:rsidRPr="001B0EA3" w:rsidRDefault="00E70A4F" w:rsidP="00511860">
      <w:pPr>
        <w:ind w:firstLine="709"/>
        <w:rPr>
          <w:szCs w:val="24"/>
          <w:lang w:eastAsia="bg-BG"/>
        </w:rPr>
      </w:pPr>
      <w:r w:rsidRPr="001B0EA3">
        <w:rPr>
          <w:szCs w:val="24"/>
          <w:lang w:eastAsia="bg-BG"/>
        </w:rPr>
        <w:t>4. разходи за подготовка на формуляр за кандидатстване за финансиране на проекти по ОПТТИ, включително за изготвяне на анализ „Разходи – ползи“, предпроектни, геоложки, археологически, технически проучвания, геодезически заснемания, за проектиране (идейни, технически, работни и други проекти), за оценка на съответствието на проектите съгласно действащото законодателство и за други необходими анализи и проучвания;</w:t>
      </w:r>
    </w:p>
    <w:p w14:paraId="21E11595" w14:textId="77777777" w:rsidR="00E70A4F" w:rsidRPr="001B0EA3" w:rsidRDefault="00E70A4F" w:rsidP="00511860">
      <w:pPr>
        <w:ind w:firstLine="709"/>
        <w:rPr>
          <w:szCs w:val="24"/>
          <w:lang w:eastAsia="bg-BG"/>
        </w:rPr>
      </w:pPr>
      <w:r w:rsidRPr="001B0EA3">
        <w:rPr>
          <w:szCs w:val="24"/>
          <w:lang w:eastAsia="bg-BG"/>
        </w:rPr>
        <w:t>5. разходи, свързани с набавянето на необходимите разрешителни документи, изискващи се от националното законодателство, технически планове и свързаните с тях такси, дължими на съответните компетентни органи;</w:t>
      </w:r>
    </w:p>
    <w:p w14:paraId="5305B9EA" w14:textId="77777777" w:rsidR="00E70A4F" w:rsidRPr="001B0EA3" w:rsidRDefault="00E70A4F" w:rsidP="00511860">
      <w:pPr>
        <w:ind w:firstLine="709"/>
        <w:rPr>
          <w:szCs w:val="24"/>
          <w:lang w:eastAsia="bg-BG"/>
        </w:rPr>
      </w:pPr>
      <w:r w:rsidRPr="001B0EA3">
        <w:rPr>
          <w:szCs w:val="24"/>
          <w:lang w:eastAsia="bg-BG"/>
        </w:rPr>
        <w:t>6. в допълнение към изискванията по чл. 19, ал. 3 разходите за закупуване на земя и/или придобиване на ограничени вещни права и/или на застроени недвижими имоти са допустими, в случай че земята става собственост на държавата или на лице, на което са възложени публични/публичноправни функции;</w:t>
      </w:r>
    </w:p>
    <w:p w14:paraId="1DBA161C" w14:textId="77777777" w:rsidR="00E70A4F" w:rsidRPr="001B0EA3" w:rsidRDefault="00E70A4F" w:rsidP="00511860">
      <w:pPr>
        <w:ind w:firstLine="709"/>
        <w:rPr>
          <w:szCs w:val="24"/>
          <w:lang w:eastAsia="bg-BG"/>
        </w:rPr>
      </w:pPr>
      <w:r w:rsidRPr="001B0EA3">
        <w:rPr>
          <w:szCs w:val="24"/>
          <w:lang w:eastAsia="bg-BG"/>
        </w:rPr>
        <w:t>7. разходи за закупуване на дълготрайни материални активи, в т.ч. на транспортни средства, при следните условия:</w:t>
      </w:r>
    </w:p>
    <w:p w14:paraId="06EEEA52" w14:textId="77777777" w:rsidR="00E70A4F" w:rsidRPr="001B0EA3" w:rsidRDefault="00E70A4F" w:rsidP="00511860">
      <w:pPr>
        <w:ind w:firstLine="709"/>
        <w:rPr>
          <w:szCs w:val="24"/>
          <w:lang w:eastAsia="bg-BG"/>
        </w:rPr>
      </w:pPr>
      <w:r w:rsidRPr="001B0EA3">
        <w:rPr>
          <w:szCs w:val="24"/>
          <w:lang w:eastAsia="bg-BG"/>
        </w:rPr>
        <w:t>а) закупените активи са необходими за изпълнението и/или управлението на проекта и не са постоянно инсталирани на мястото на изпълнение;</w:t>
      </w:r>
    </w:p>
    <w:p w14:paraId="169FFD78" w14:textId="77777777" w:rsidR="00E70A4F" w:rsidRPr="001B0EA3" w:rsidRDefault="00E70A4F" w:rsidP="00511860">
      <w:pPr>
        <w:ind w:firstLine="709"/>
        <w:rPr>
          <w:szCs w:val="24"/>
          <w:lang w:eastAsia="bg-BG"/>
        </w:rPr>
      </w:pPr>
      <w:r w:rsidRPr="001B0EA3">
        <w:rPr>
          <w:szCs w:val="24"/>
          <w:lang w:eastAsia="bg-BG"/>
        </w:rPr>
        <w:t>б) след приключването на проекта активите са без остатъчна стойност при прилагане на правилата за изчисляване на амортизации съгласно Закона за корпоративното подоходно облагане;</w:t>
      </w:r>
    </w:p>
    <w:p w14:paraId="12CBA87B" w14:textId="77777777" w:rsidR="00E70A4F" w:rsidRPr="001B0EA3" w:rsidRDefault="00E70A4F" w:rsidP="00511860">
      <w:pPr>
        <w:ind w:firstLine="709"/>
        <w:rPr>
          <w:szCs w:val="24"/>
          <w:lang w:eastAsia="bg-BG"/>
        </w:rPr>
      </w:pPr>
      <w:r w:rsidRPr="001B0EA3">
        <w:rPr>
          <w:szCs w:val="24"/>
          <w:lang w:eastAsia="bg-BG"/>
        </w:rPr>
        <w:t>8. непредвидени разходи за инвестиционните проекти, които не могат да надвишават 10 на сто от общата сума на разходите след приспадането на непредвидените разходи и при спазване на ограничението по чл. 7, ал. 2, т. 2.</w:t>
      </w:r>
    </w:p>
    <w:p w14:paraId="2A0B3FE4" w14:textId="77777777" w:rsidR="00E70A4F" w:rsidRPr="001B0EA3" w:rsidRDefault="00E70A4F" w:rsidP="00511860">
      <w:pPr>
        <w:ind w:firstLine="709"/>
        <w:rPr>
          <w:szCs w:val="24"/>
          <w:lang w:eastAsia="bg-BG"/>
        </w:rPr>
      </w:pPr>
    </w:p>
    <w:p w14:paraId="0C9ED311" w14:textId="77777777" w:rsidR="00E70A4F" w:rsidRPr="001B0EA3" w:rsidRDefault="00E70A4F" w:rsidP="0054623A">
      <w:pPr>
        <w:pStyle w:val="ListParagraph"/>
        <w:numPr>
          <w:ilvl w:val="0"/>
          <w:numId w:val="236"/>
        </w:numPr>
        <w:rPr>
          <w:szCs w:val="24"/>
          <w:lang w:eastAsia="bg-BG"/>
        </w:rPr>
      </w:pPr>
      <w:r w:rsidRPr="001B0EA3">
        <w:rPr>
          <w:szCs w:val="24"/>
          <w:lang w:eastAsia="bg-BG"/>
        </w:rPr>
        <w:t>Допустими за финансиране в рамките на Приоритетна ос 5 „Техническа помощ“ са разходи, които могат да включват и:</w:t>
      </w:r>
    </w:p>
    <w:p w14:paraId="4413E05C" w14:textId="77777777" w:rsidR="00E70A4F" w:rsidRPr="001B0EA3" w:rsidRDefault="00E70A4F" w:rsidP="00511860">
      <w:pPr>
        <w:ind w:firstLine="709"/>
        <w:rPr>
          <w:szCs w:val="24"/>
          <w:lang w:eastAsia="bg-BG"/>
        </w:rPr>
      </w:pPr>
      <w:r w:rsidRPr="001B0EA3">
        <w:rPr>
          <w:szCs w:val="24"/>
          <w:lang w:eastAsia="bg-BG"/>
        </w:rPr>
        <w:t>1. разходи за подготовката на инвестиционни проекти, когато не са изрично посочени в някоя от другите приоритетни оси;</w:t>
      </w:r>
    </w:p>
    <w:p w14:paraId="4992F134" w14:textId="77777777" w:rsidR="00E70A4F" w:rsidRPr="001B0EA3" w:rsidRDefault="00E70A4F" w:rsidP="00511860">
      <w:pPr>
        <w:ind w:firstLine="709"/>
        <w:rPr>
          <w:szCs w:val="24"/>
          <w:lang w:eastAsia="bg-BG"/>
        </w:rPr>
      </w:pPr>
      <w:r w:rsidRPr="001B0EA3">
        <w:rPr>
          <w:szCs w:val="24"/>
          <w:lang w:eastAsia="bg-BG"/>
        </w:rPr>
        <w:lastRenderedPageBreak/>
        <w:t xml:space="preserve">2. разходи за дейности, насочени към укрепване и повишаване на административния капацитет на Управляващия орган, други служители в структурата на </w:t>
      </w:r>
      <w:r w:rsidR="00D34044">
        <w:rPr>
          <w:szCs w:val="24"/>
          <w:lang w:eastAsia="bg-BG"/>
        </w:rPr>
        <w:t>Министерството на транспорта и съобщенията</w:t>
      </w:r>
      <w:r w:rsidRPr="001B0EA3">
        <w:rPr>
          <w:szCs w:val="24"/>
          <w:lang w:eastAsia="bg-BG"/>
        </w:rPr>
        <w:t xml:space="preserve"> и бенефициентите по ОПТТИ, пряко ангажирани с подготовката, мониторинга, оценката, информацията и контрола на ОПТТИ;</w:t>
      </w:r>
    </w:p>
    <w:p w14:paraId="253C322E" w14:textId="77777777" w:rsidR="00E70A4F" w:rsidRPr="001B0EA3" w:rsidRDefault="00E70A4F" w:rsidP="00511860">
      <w:pPr>
        <w:ind w:firstLine="709"/>
        <w:rPr>
          <w:szCs w:val="24"/>
          <w:lang w:eastAsia="bg-BG"/>
        </w:rPr>
      </w:pPr>
      <w:r w:rsidRPr="001B0EA3">
        <w:rPr>
          <w:szCs w:val="24"/>
          <w:lang w:eastAsia="bg-BG"/>
        </w:rPr>
        <w:t xml:space="preserve">3. разходи за възнаграждения, доплащания към възнагражденията и за обезщетения, изплатени от осигурителя за дните на временна нетрудоспособност съгласно Кодекса за социално осигуряване на служители и/или други лица в структурата на </w:t>
      </w:r>
      <w:r w:rsidR="00D34044">
        <w:rPr>
          <w:szCs w:val="24"/>
          <w:lang w:eastAsia="bg-BG"/>
        </w:rPr>
        <w:t>Министерството на транспорта и съобщенията</w:t>
      </w:r>
      <w:r w:rsidRPr="001B0EA3">
        <w:rPr>
          <w:szCs w:val="24"/>
          <w:lang w:eastAsia="bg-BG"/>
        </w:rPr>
        <w:t>, извън определените по чл. 9, както и на конкретните бенефициенти по ОПТТИ, които не са централна или териториална администрация на изпълнителната власт за изпълнение на дейности във връзка с подготовката, управлението, мониторинга, оценката, информацията и контрола на  ОПТТИ, когато:</w:t>
      </w:r>
    </w:p>
    <w:p w14:paraId="115DE3D5" w14:textId="77777777" w:rsidR="00E70A4F" w:rsidRPr="001B0EA3" w:rsidRDefault="00E70A4F" w:rsidP="00511860">
      <w:pPr>
        <w:ind w:firstLine="709"/>
        <w:rPr>
          <w:szCs w:val="24"/>
          <w:lang w:eastAsia="bg-BG"/>
        </w:rPr>
      </w:pPr>
      <w:r w:rsidRPr="001B0EA3">
        <w:rPr>
          <w:szCs w:val="24"/>
          <w:lang w:eastAsia="bg-BG"/>
        </w:rPr>
        <w:t>а) дейностите са определени в длъжностната характеристика на наетото по трудово или служебно правоотношение лице;</w:t>
      </w:r>
    </w:p>
    <w:p w14:paraId="59FA230A" w14:textId="77777777" w:rsidR="00E70A4F" w:rsidRPr="001B0EA3" w:rsidRDefault="00E70A4F" w:rsidP="00511860">
      <w:pPr>
        <w:ind w:firstLine="709"/>
        <w:rPr>
          <w:szCs w:val="24"/>
          <w:lang w:eastAsia="bg-BG"/>
        </w:rPr>
      </w:pPr>
      <w:r w:rsidRPr="001B0EA3">
        <w:rPr>
          <w:szCs w:val="24"/>
          <w:lang w:eastAsia="bg-BG"/>
        </w:rPr>
        <w:t>б) дейностите се изпълняват извън установеното работно време и длъжностната характеристика на наетото лице, възложени са в съответствие с методология, одобрена от министъра на транспорта и съобщенията, и при спазване на следните условия:</w:t>
      </w:r>
    </w:p>
    <w:p w14:paraId="6C1F2D77" w14:textId="77777777" w:rsidR="00E70A4F" w:rsidRPr="001B0EA3" w:rsidRDefault="00E70A4F" w:rsidP="00511860">
      <w:pPr>
        <w:ind w:firstLine="709"/>
        <w:rPr>
          <w:szCs w:val="24"/>
          <w:lang w:eastAsia="bg-BG"/>
        </w:rPr>
      </w:pPr>
      <w:r w:rsidRPr="001B0EA3">
        <w:rPr>
          <w:szCs w:val="24"/>
          <w:lang w:eastAsia="bg-BG"/>
        </w:rPr>
        <w:t>аа) със заповед на органа по назначаване на лице, наето по служебно правоотношение, с негово съгласие и срещу възнаграждение са възложени допълнителни задължения във връзка с управлението и/или изпълнението на проект, или</w:t>
      </w:r>
    </w:p>
    <w:p w14:paraId="03203195" w14:textId="77777777" w:rsidR="00E70A4F" w:rsidRPr="001B0EA3" w:rsidRDefault="00E70A4F" w:rsidP="00511860">
      <w:pPr>
        <w:ind w:firstLine="709"/>
        <w:rPr>
          <w:szCs w:val="24"/>
          <w:lang w:eastAsia="bg-BG"/>
        </w:rPr>
      </w:pPr>
      <w:r w:rsidRPr="001B0EA3">
        <w:rPr>
          <w:szCs w:val="24"/>
          <w:lang w:eastAsia="bg-BG"/>
        </w:rPr>
        <w:t>бб) с лице, наето по трудово правоотношение, е сключен трудов договор по чл. 110 от Кодекса на труда във връзка с управлението и/или изпълнението на проект;</w:t>
      </w:r>
    </w:p>
    <w:p w14:paraId="051AE4A5" w14:textId="77777777" w:rsidR="00E70A4F" w:rsidRPr="001B0EA3" w:rsidRDefault="00E70A4F" w:rsidP="00511860">
      <w:pPr>
        <w:ind w:firstLine="709"/>
        <w:rPr>
          <w:szCs w:val="24"/>
          <w:lang w:eastAsia="bg-BG"/>
        </w:rPr>
      </w:pPr>
      <w:r w:rsidRPr="001B0EA3">
        <w:rPr>
          <w:szCs w:val="24"/>
          <w:lang w:eastAsia="bg-BG"/>
        </w:rPr>
        <w:t xml:space="preserve">в) дейностите се изпълняват по договор, сключен съгласно правилата на Закона за обществените поръчки – за лица, които не са наети по служебно или трудово правоотношение от </w:t>
      </w:r>
      <w:r w:rsidR="00D34044">
        <w:rPr>
          <w:szCs w:val="24"/>
          <w:lang w:eastAsia="bg-BG"/>
        </w:rPr>
        <w:t>Министерството на транспорта и съобщенията</w:t>
      </w:r>
      <w:r w:rsidRPr="001B0EA3">
        <w:rPr>
          <w:szCs w:val="24"/>
          <w:lang w:eastAsia="bg-BG"/>
        </w:rPr>
        <w:t xml:space="preserve"> или конкретния бенефициент;</w:t>
      </w:r>
    </w:p>
    <w:p w14:paraId="73C2344E" w14:textId="77777777" w:rsidR="00E70A4F" w:rsidRPr="001B0EA3" w:rsidRDefault="00E70A4F" w:rsidP="00511860">
      <w:pPr>
        <w:ind w:firstLine="709"/>
        <w:rPr>
          <w:szCs w:val="24"/>
          <w:lang w:eastAsia="bg-BG"/>
        </w:rPr>
      </w:pPr>
      <w:r w:rsidRPr="001B0EA3">
        <w:rPr>
          <w:szCs w:val="24"/>
          <w:lang w:eastAsia="bg-BG"/>
        </w:rPr>
        <w:t>4. разходи за дейности, насочени към ефективна подготовка, изпълнение, мониторинг, контрол, оценка и популяризиране на инвестициите в транспорта;</w:t>
      </w:r>
    </w:p>
    <w:p w14:paraId="7C5D852A" w14:textId="77777777" w:rsidR="00E70A4F" w:rsidRPr="001B0EA3" w:rsidRDefault="00E70A4F" w:rsidP="00511860">
      <w:pPr>
        <w:ind w:firstLine="709"/>
        <w:rPr>
          <w:szCs w:val="24"/>
          <w:lang w:eastAsia="bg-BG"/>
        </w:rPr>
      </w:pPr>
      <w:r w:rsidRPr="001B0EA3">
        <w:rPr>
          <w:szCs w:val="24"/>
          <w:lang w:eastAsia="bg-BG"/>
        </w:rPr>
        <w:t>5. разходи за дейности, насочени към прилагане на Директива 2014/24 от 26 февруари 2014 г. относно задължителното прилагане на електронни търгове;</w:t>
      </w:r>
    </w:p>
    <w:p w14:paraId="2ACAA275" w14:textId="77777777" w:rsidR="00E70A4F" w:rsidRPr="001B0EA3" w:rsidRDefault="00E70A4F" w:rsidP="00511860">
      <w:pPr>
        <w:ind w:firstLine="709"/>
        <w:rPr>
          <w:szCs w:val="24"/>
          <w:lang w:eastAsia="bg-BG"/>
        </w:rPr>
      </w:pPr>
      <w:r w:rsidRPr="001B0EA3">
        <w:rPr>
          <w:szCs w:val="24"/>
          <w:lang w:eastAsia="bg-BG"/>
        </w:rPr>
        <w:t xml:space="preserve">6. разходи за дейности, насочени към подпомагане на </w:t>
      </w:r>
      <w:r w:rsidR="00BB6BF6">
        <w:rPr>
          <w:szCs w:val="24"/>
          <w:lang w:eastAsia="bg-BG"/>
        </w:rPr>
        <w:t>МТС</w:t>
      </w:r>
      <w:r w:rsidRPr="001B0EA3">
        <w:rPr>
          <w:szCs w:val="24"/>
          <w:lang w:eastAsia="bg-BG"/>
        </w:rPr>
        <w:t xml:space="preserve"> и бенефициентите на програмата за подобряване на стратегическото управление на транспортната система на страната, включително за изпълнение на предварителните условия за програмен период 2014 – 2020 г.</w:t>
      </w:r>
    </w:p>
    <w:p w14:paraId="3AC72245" w14:textId="77777777" w:rsidR="00E70A4F" w:rsidRPr="001B0EA3" w:rsidRDefault="00D603F5" w:rsidP="00890B4B">
      <w:pPr>
        <w:shd w:val="clear" w:color="auto" w:fill="FFFFFF"/>
        <w:ind w:firstLine="709"/>
        <w:rPr>
          <w:szCs w:val="24"/>
        </w:rPr>
      </w:pPr>
      <w:r w:rsidRPr="001B0EA3">
        <w:rPr>
          <w:szCs w:val="24"/>
        </w:rPr>
        <w:t>С цел осигуряване на единен подход по отношение на процесите на плащане и сертификация, организацията на счетоводния процес във всички институции, отговорни за финансовото управление на европейските средства и защита на финансовите интереси на Европейските общности, министърът на финансите</w:t>
      </w:r>
      <w:r w:rsidR="00E70A4F" w:rsidRPr="001B0EA3">
        <w:rPr>
          <w:szCs w:val="24"/>
        </w:rPr>
        <w:t xml:space="preserve"> издаде НАРЕДБА № Н-3 от 8.07.2016 г. за определяне на правилата за плащания, за верификация и сертификация на разходите, за възстановяване и отписване на неправомерни разходи и за осчетоводяване, както и сроковете и правилата за приключване на счетоводната година по оперативните програми и програмите за европейско териториално сътрудничество.</w:t>
      </w:r>
    </w:p>
    <w:p w14:paraId="047A7AA6" w14:textId="77777777" w:rsidR="002260B4" w:rsidRPr="001B0EA3" w:rsidRDefault="002260B4" w:rsidP="00890B4B">
      <w:pPr>
        <w:shd w:val="clear" w:color="auto" w:fill="FFFFFF"/>
        <w:ind w:firstLine="709"/>
        <w:rPr>
          <w:szCs w:val="24"/>
          <w:lang w:eastAsia="bg-BG"/>
        </w:rPr>
      </w:pPr>
    </w:p>
    <w:p w14:paraId="69BFF404" w14:textId="77777777" w:rsidR="00D603F5" w:rsidRPr="00842ECC" w:rsidRDefault="00D603F5" w:rsidP="00042C25">
      <w:pPr>
        <w:pStyle w:val="Style2"/>
        <w:tabs>
          <w:tab w:val="left" w:pos="993"/>
        </w:tabs>
        <w:ind w:left="426" w:hanging="66"/>
        <w:rPr>
          <w:lang w:val="bg-BG"/>
        </w:rPr>
      </w:pPr>
      <w:bookmarkStart w:id="488" w:name="_Toc264368335"/>
      <w:bookmarkStart w:id="489" w:name="_Toc479775610"/>
      <w:bookmarkStart w:id="490" w:name="_Toc140150197"/>
      <w:r w:rsidRPr="00842ECC">
        <w:rPr>
          <w:lang w:val="bg-BG"/>
        </w:rPr>
        <w:t xml:space="preserve">Правила за изменение на </w:t>
      </w:r>
      <w:bookmarkEnd w:id="488"/>
      <w:r w:rsidRPr="00842ECC">
        <w:rPr>
          <w:lang w:val="bg-BG"/>
        </w:rPr>
        <w:t>Оперативна програма „Транспорт и транспортна инфраструктура“ 2014-2020 г.</w:t>
      </w:r>
      <w:bookmarkEnd w:id="489"/>
      <w:bookmarkEnd w:id="490"/>
    </w:p>
    <w:p w14:paraId="040122C3" w14:textId="77777777" w:rsidR="00D603F5" w:rsidRPr="001B0EA3" w:rsidRDefault="00D603F5" w:rsidP="006D0388">
      <w:r w:rsidRPr="001B0EA3">
        <w:t xml:space="preserve">ОПТТИ е обект на промяна по всяко време през периода на нейното изпълнение в съответствие с чл. 30 на Регламент (ЕС) № 1303/2013 г. със съгласието на КН. Като основно правило, значителна промяна на ОПТТИ, одобрена от КН, трябва да бъде направена в съответствие с процедурите, прилагани за нейното приемане. </w:t>
      </w:r>
    </w:p>
    <w:p w14:paraId="3A9F3622" w14:textId="77777777" w:rsidR="00D603F5" w:rsidRPr="001B0EA3" w:rsidRDefault="00D603F5" w:rsidP="00890B4B">
      <w:pPr>
        <w:rPr>
          <w:color w:val="000000"/>
          <w:szCs w:val="24"/>
        </w:rPr>
      </w:pPr>
    </w:p>
    <w:p w14:paraId="08EC7F09" w14:textId="77777777" w:rsidR="00D603F5" w:rsidRPr="00842ECC" w:rsidRDefault="00D603F5" w:rsidP="00346F28">
      <w:pPr>
        <w:pStyle w:val="Style3"/>
        <w:rPr>
          <w:lang w:val="bg-BG"/>
        </w:rPr>
      </w:pPr>
      <w:bookmarkStart w:id="491" w:name="_Toc479775611"/>
      <w:r w:rsidRPr="00842ECC">
        <w:rPr>
          <w:lang w:val="bg-BG"/>
        </w:rPr>
        <w:t>Схема на процедурата за изменение на програмата</w:t>
      </w:r>
      <w:bookmarkEnd w:id="491"/>
    </w:p>
    <w:p w14:paraId="73D23716" w14:textId="77777777" w:rsidR="00D603F5" w:rsidRPr="001B0EA3" w:rsidRDefault="00D603F5" w:rsidP="00561395"/>
    <w:p w14:paraId="62983762" w14:textId="77777777" w:rsidR="00D603F5" w:rsidRPr="001B0EA3" w:rsidRDefault="00937754" w:rsidP="00890B4B">
      <w:pPr>
        <w:spacing w:after="60"/>
        <w:ind w:firstLine="0"/>
        <w:jc w:val="center"/>
        <w:rPr>
          <w:color w:val="000000"/>
          <w:szCs w:val="24"/>
        </w:rPr>
      </w:pPr>
      <w:r w:rsidRPr="001B0EA3">
        <w:rPr>
          <w:noProof/>
          <w:color w:val="000000"/>
          <w:szCs w:val="24"/>
          <w:lang w:eastAsia="bg-BG"/>
        </w:rPr>
        <w:lastRenderedPageBreak/>
        <w:drawing>
          <wp:inline distT="0" distB="0" distL="0" distR="0" wp14:anchorId="414219C3" wp14:editId="1FE3382A">
            <wp:extent cx="5306695" cy="4561205"/>
            <wp:effectExtent l="0" t="19050" r="27305" b="10795"/>
            <wp:docPr id="6" name="Picture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04919621" w14:textId="77777777" w:rsidR="00D603F5" w:rsidRPr="001B0EA3" w:rsidRDefault="00D603F5" w:rsidP="0019114B">
      <w:pPr>
        <w:spacing w:after="60"/>
        <w:rPr>
          <w:color w:val="000000"/>
          <w:szCs w:val="24"/>
        </w:rPr>
      </w:pPr>
    </w:p>
    <w:p w14:paraId="60391633" w14:textId="77777777" w:rsidR="00D603F5" w:rsidRPr="00842ECC" w:rsidRDefault="00D603F5" w:rsidP="00346F28">
      <w:pPr>
        <w:pStyle w:val="Style3"/>
        <w:rPr>
          <w:lang w:val="bg-BG"/>
        </w:rPr>
      </w:pPr>
      <w:bookmarkStart w:id="492" w:name="_Toc479775612"/>
      <w:r w:rsidRPr="00842ECC">
        <w:rPr>
          <w:lang w:val="bg-BG"/>
        </w:rPr>
        <w:t>Общ случай на изменение на програмата</w:t>
      </w:r>
      <w:bookmarkEnd w:id="492"/>
    </w:p>
    <w:p w14:paraId="091594CC" w14:textId="77777777" w:rsidR="00D603F5" w:rsidRPr="001B0EA3" w:rsidRDefault="00D603F5" w:rsidP="006D0388">
      <w:r w:rsidRPr="001B0EA3">
        <w:t xml:space="preserve">Съгласно чл. 30, параграф 1 на Регламент (ЕС) № 1303/2013 г. измененията на ОПТТИ трябва да бъдат надлежно обосновани, и по-специално да посочват очакваното отражение на промените в програмата върху постигането на стратегията на Съюза за интелигентен, устойчив и приобщаващ растеж и на специфичните цели, определени в програмата, като се отчитат Регламент (ЕС) № 1303/2013 и правилата за отделните фондове, хоризонталните принципи, посочени в членове 5, 7 и 8 от Регламент (ЕС) № 1303/2013, както и в споразумението за партньорство. </w:t>
      </w:r>
    </w:p>
    <w:p w14:paraId="1BFA09AA" w14:textId="77777777" w:rsidR="00D603F5" w:rsidRPr="001B0EA3" w:rsidRDefault="00D603F5" w:rsidP="006D0388">
      <w:pPr>
        <w:pStyle w:val="ListParagraph"/>
        <w:numPr>
          <w:ilvl w:val="0"/>
          <w:numId w:val="357"/>
        </w:numPr>
        <w:tabs>
          <w:tab w:val="left" w:pos="1276"/>
        </w:tabs>
        <w:ind w:left="0" w:firstLine="851"/>
      </w:pPr>
      <w:r w:rsidRPr="001B0EA3">
        <w:t xml:space="preserve">При иницииране на евентуални изменения в одобрената ОПТТИ, измененията трябва да бъдат подробно разгледани, за да се вземе решение за необходимостта от процедура за извършване на стратегическа оценка на околната среда - СООС (чл. 3, параграф 3 от Директива 2001/42/ЕО относно, последиците на някои планове и програми върху околната среда). В тази връзка УО на ОПТТИ следва да уведоми МОСВ, с цел определяне на наложителността от провеждане на процедура по преценяване на необходимостта от извършване на екологична оценка.  </w:t>
      </w:r>
    </w:p>
    <w:p w14:paraId="62517108" w14:textId="77777777" w:rsidR="00D603F5" w:rsidRPr="001B0EA3" w:rsidRDefault="00D603F5" w:rsidP="006D0388">
      <w:pPr>
        <w:pStyle w:val="ListParagraph"/>
        <w:numPr>
          <w:ilvl w:val="0"/>
          <w:numId w:val="357"/>
        </w:numPr>
        <w:tabs>
          <w:tab w:val="left" w:pos="1276"/>
        </w:tabs>
        <w:ind w:left="0" w:firstLine="851"/>
      </w:pPr>
      <w:r w:rsidRPr="001B0EA3">
        <w:t>Всяка промяна е обект на наличност на средства и трябва да остане в съответствие с бюджетните правила на Комисията. Промяната може да доведе до трансфери към ресурси между ЕСИФ и последващата промяна в дела на предоставената помощ.</w:t>
      </w:r>
    </w:p>
    <w:p w14:paraId="696A3B89" w14:textId="77777777" w:rsidR="00D603F5" w:rsidRPr="001B0EA3" w:rsidRDefault="00D603F5" w:rsidP="006D0388">
      <w:pPr>
        <w:pStyle w:val="ListParagraph"/>
        <w:numPr>
          <w:ilvl w:val="0"/>
          <w:numId w:val="357"/>
        </w:numPr>
        <w:tabs>
          <w:tab w:val="left" w:pos="1276"/>
        </w:tabs>
        <w:ind w:left="0" w:firstLine="851"/>
      </w:pPr>
      <w:r w:rsidRPr="001B0EA3">
        <w:t>Независимо дали изменението се отнася до сумите на финансиране, официалното уведомление до Комисията трябва да бъде придружено от ревизирания финансов план на ОПТТИ. Където е необходимо, уведомлението ще включва също и ревизирани количествени цели, свързани с променените финансови таблици.</w:t>
      </w:r>
    </w:p>
    <w:p w14:paraId="2B7AEBBC" w14:textId="77777777" w:rsidR="00D603F5" w:rsidRPr="001B0EA3" w:rsidRDefault="00D603F5" w:rsidP="006D0388">
      <w:pPr>
        <w:pStyle w:val="ListParagraph"/>
        <w:numPr>
          <w:ilvl w:val="0"/>
          <w:numId w:val="357"/>
        </w:numPr>
        <w:tabs>
          <w:tab w:val="left" w:pos="1276"/>
        </w:tabs>
        <w:ind w:left="0" w:firstLine="851"/>
      </w:pPr>
      <w:r w:rsidRPr="001B0EA3">
        <w:lastRenderedPageBreak/>
        <w:t>КН на ОПТТИ може при всеки случай да предлага на УО актуализиране на програмата, за да може да направи възможно постигането на нейните цели или да подобри управлението на програмата, включително финансовото управление.</w:t>
      </w:r>
    </w:p>
    <w:p w14:paraId="25B25388" w14:textId="77777777" w:rsidR="00D603F5" w:rsidRPr="001B0EA3" w:rsidRDefault="00D603F5" w:rsidP="006D0388">
      <w:pPr>
        <w:pStyle w:val="ListParagraph"/>
        <w:numPr>
          <w:ilvl w:val="0"/>
          <w:numId w:val="357"/>
        </w:numPr>
        <w:tabs>
          <w:tab w:val="left" w:pos="1276"/>
        </w:tabs>
        <w:ind w:left="0" w:firstLine="851"/>
      </w:pPr>
      <w:r w:rsidRPr="001B0EA3">
        <w:t>УО на ОПТТИ по искане на КН или по своя инициатива, актуализира операциите в ОПТТИ без да се променя общата сума от средствата, отпуснати за съответната приоритетна ос или нейни специфични цели.</w:t>
      </w:r>
    </w:p>
    <w:p w14:paraId="453B3FC7" w14:textId="77777777" w:rsidR="00D603F5" w:rsidRPr="001B0EA3" w:rsidRDefault="00D603F5" w:rsidP="006D0388">
      <w:pPr>
        <w:pStyle w:val="ListParagraph"/>
        <w:numPr>
          <w:ilvl w:val="0"/>
          <w:numId w:val="357"/>
        </w:numPr>
        <w:tabs>
          <w:tab w:val="left" w:pos="1276"/>
        </w:tabs>
        <w:ind w:left="0" w:firstLine="851"/>
      </w:pPr>
      <w:r w:rsidRPr="001B0EA3">
        <w:t>След одобрението на това актуализиране от страна на КН, УО трябва да информира Комисията за това в рамките на един месец.</w:t>
      </w:r>
    </w:p>
    <w:p w14:paraId="0D0A980D" w14:textId="77777777" w:rsidR="00D603F5" w:rsidRPr="001B0EA3" w:rsidRDefault="00D603F5" w:rsidP="006D0388">
      <w:pPr>
        <w:pStyle w:val="ListParagraph"/>
        <w:numPr>
          <w:ilvl w:val="0"/>
          <w:numId w:val="357"/>
        </w:numPr>
        <w:tabs>
          <w:tab w:val="left" w:pos="1276"/>
        </w:tabs>
        <w:ind w:left="0" w:firstLine="851"/>
      </w:pPr>
      <w:r w:rsidRPr="001B0EA3">
        <w:t xml:space="preserve">Комисията може да направи коментари в срок от един месец след представянето на преработената ОПТТИ, чрез системата SFC 2014 предоставя на Комисията цялата необходима допълнителна информация. В съответствие с правилата за отделните фондове Комисията одобрява исканията за изменение на програмата не по-късно от три месеца след подаването им от РБ, при условие че евентуално направените от Комисията коментари са подходящо отчетени (чл. 30, параграф 2 на Регламент (ЕС) № 1303/2013 г.). </w:t>
      </w:r>
    </w:p>
    <w:p w14:paraId="6A77EDA2" w14:textId="77777777" w:rsidR="00D603F5" w:rsidRPr="00842ECC" w:rsidRDefault="00D603F5" w:rsidP="00346F28">
      <w:pPr>
        <w:pStyle w:val="Style3"/>
        <w:rPr>
          <w:lang w:val="bg-BG"/>
        </w:rPr>
      </w:pPr>
      <w:bookmarkStart w:id="493" w:name="_Toc479775613"/>
      <w:r w:rsidRPr="00842ECC">
        <w:rPr>
          <w:lang w:val="bg-BG"/>
        </w:rPr>
        <w:t>Изменение на програмата с цел преразпределение на резерв.</w:t>
      </w:r>
      <w:bookmarkEnd w:id="493"/>
    </w:p>
    <w:p w14:paraId="15E44190" w14:textId="77777777" w:rsidR="00D603F5" w:rsidRPr="001B0EA3" w:rsidRDefault="00D603F5" w:rsidP="006D0388">
      <w:r w:rsidRPr="001B0EA3">
        <w:t xml:space="preserve">В съответствие с чл. 30, параграф 3 на Регламент (ЕС) № 1303/2013 г. когато искането за изменение на ОПТТИ се представя на Комисията с цел преразпределяне на резерва за изпълнение вследствие на преразглеждане на изпълнението, Комисията прави коментари само в случаите, когато счита, че предложеното преразпределение не е в съответствие с приложимите правила, не е съвместимо с нуждите за развитие на държавата-членка или региона или би довело до значителен риск, че целите, включени в предложението, няма да могат да бъдат постигнати. </w:t>
      </w:r>
    </w:p>
    <w:p w14:paraId="70B3DF64" w14:textId="77777777" w:rsidR="00D603F5" w:rsidRPr="001B0EA3" w:rsidRDefault="00D603F5" w:rsidP="006D0388">
      <w:r w:rsidRPr="001B0EA3">
        <w:t>Комисията одобрява исканията за изменение на ОПТТИ не по-късно от два месеца след подаването на искането от държавата-членка, при условие че евентуално направените от Комисията коментари са адекватно отчетени. Одобрението на изменението на програмата от страна на Комисията представлява същевременно одобрение за следващото от него преразглеждане на информацията в партньорското споразумение.</w:t>
      </w:r>
    </w:p>
    <w:p w14:paraId="3F8DF45E" w14:textId="77777777" w:rsidR="00D603F5" w:rsidRPr="001B0EA3" w:rsidRDefault="00D603F5" w:rsidP="00346F28">
      <w:pPr>
        <w:pStyle w:val="Style3"/>
      </w:pPr>
      <w:bookmarkStart w:id="494" w:name="_Toc479775614"/>
      <w:r w:rsidRPr="001B0EA3">
        <w:t>Процедура за изменение на програмата</w:t>
      </w:r>
      <w:bookmarkEnd w:id="494"/>
    </w:p>
    <w:p w14:paraId="43E4897F" w14:textId="77777777" w:rsidR="00D603F5" w:rsidRPr="001B0EA3" w:rsidRDefault="00D603F5" w:rsidP="006D0388">
      <w:pPr>
        <w:pStyle w:val="ListParagraph"/>
        <w:numPr>
          <w:ilvl w:val="0"/>
          <w:numId w:val="358"/>
        </w:numPr>
        <w:tabs>
          <w:tab w:val="left" w:pos="1276"/>
        </w:tabs>
        <w:ind w:left="0" w:firstLine="851"/>
      </w:pPr>
      <w:r w:rsidRPr="001B0EA3">
        <w:t xml:space="preserve">Програма е обект на промяна през периода на нейното изпълнение със съгласието на КН при едно или повече от следните обстоятелства: </w:t>
      </w:r>
    </w:p>
    <w:p w14:paraId="317BB4B0" w14:textId="77777777" w:rsidR="00D603F5" w:rsidRPr="001B0EA3" w:rsidRDefault="00D603F5" w:rsidP="006D0388">
      <w:pPr>
        <w:pStyle w:val="ListParagraph"/>
        <w:numPr>
          <w:ilvl w:val="0"/>
          <w:numId w:val="359"/>
        </w:numPr>
      </w:pPr>
      <w:r w:rsidRPr="001B0EA3">
        <w:t>Текущото наблюдение предоставя стратегическа обосновка за промяна;</w:t>
      </w:r>
    </w:p>
    <w:p w14:paraId="71CF9ED3" w14:textId="77777777" w:rsidR="00D603F5" w:rsidRPr="001B0EA3" w:rsidRDefault="00D603F5" w:rsidP="006D0388">
      <w:pPr>
        <w:pStyle w:val="ListParagraph"/>
        <w:numPr>
          <w:ilvl w:val="0"/>
          <w:numId w:val="359"/>
        </w:numPr>
      </w:pPr>
      <w:r w:rsidRPr="001B0EA3">
        <w:t xml:space="preserve">Има налице значителни социално-икономически промени; </w:t>
      </w:r>
    </w:p>
    <w:p w14:paraId="450CEB27" w14:textId="77777777" w:rsidR="00D603F5" w:rsidRPr="001B0EA3" w:rsidRDefault="00D603F5" w:rsidP="006D0388">
      <w:pPr>
        <w:pStyle w:val="ListParagraph"/>
        <w:numPr>
          <w:ilvl w:val="0"/>
          <w:numId w:val="359"/>
        </w:numPr>
      </w:pPr>
      <w:r w:rsidRPr="001B0EA3">
        <w:t>Основни промени в регионалните приоритети на ЕС или България;</w:t>
      </w:r>
    </w:p>
    <w:p w14:paraId="1BA62397" w14:textId="77777777" w:rsidR="00D603F5" w:rsidRPr="001B0EA3" w:rsidRDefault="00D603F5" w:rsidP="006D0388">
      <w:pPr>
        <w:pStyle w:val="ListParagraph"/>
        <w:numPr>
          <w:ilvl w:val="0"/>
          <w:numId w:val="359"/>
        </w:numPr>
      </w:pPr>
      <w:r w:rsidRPr="001B0EA3">
        <w:t>За подобряване на управлението на програмата.</w:t>
      </w:r>
    </w:p>
    <w:p w14:paraId="4FB02B53" w14:textId="77777777" w:rsidR="00D603F5" w:rsidRPr="001B0EA3" w:rsidRDefault="00D603F5" w:rsidP="006D0388">
      <w:pPr>
        <w:pStyle w:val="ListParagraph"/>
        <w:numPr>
          <w:ilvl w:val="0"/>
          <w:numId w:val="358"/>
        </w:numPr>
        <w:tabs>
          <w:tab w:val="left" w:pos="1276"/>
        </w:tabs>
        <w:ind w:left="0" w:firstLine="851"/>
      </w:pPr>
      <w:r w:rsidRPr="001B0EA3">
        <w:t>При възникнала необходимост от изменение на ОПТТИ определени служители от УО на ОПТТИ представят информация за промяна на ОПТТИ. Изготвя се обосновка за идентифициране на необходимите промени за подобряване на процеса на изпълнение на програмата.</w:t>
      </w:r>
    </w:p>
    <w:p w14:paraId="347AF654" w14:textId="77777777" w:rsidR="00D603F5" w:rsidRPr="001B0EA3" w:rsidRDefault="00D603F5" w:rsidP="006D0388">
      <w:pPr>
        <w:pStyle w:val="ListParagraph"/>
        <w:numPr>
          <w:ilvl w:val="0"/>
          <w:numId w:val="358"/>
        </w:numPr>
        <w:tabs>
          <w:tab w:val="left" w:pos="1276"/>
        </w:tabs>
        <w:ind w:left="0" w:firstLine="851"/>
      </w:pPr>
      <w:r w:rsidRPr="001B0EA3">
        <w:t>Информацията се представя за разглеждане в рамките на УО на ОПТТИ и се дава възможност на всички звена да дадат коментари и бележки.</w:t>
      </w:r>
    </w:p>
    <w:p w14:paraId="6C48D2EC" w14:textId="77777777" w:rsidR="00D603F5" w:rsidRPr="001B0EA3" w:rsidRDefault="00D603F5" w:rsidP="006D0388">
      <w:pPr>
        <w:pStyle w:val="ListParagraph"/>
        <w:numPr>
          <w:ilvl w:val="0"/>
          <w:numId w:val="358"/>
        </w:numPr>
        <w:tabs>
          <w:tab w:val="left" w:pos="1276"/>
        </w:tabs>
        <w:ind w:left="0" w:firstLine="851"/>
      </w:pPr>
      <w:r w:rsidRPr="001B0EA3">
        <w:t>Получените коментари и бележки се отразяват в изменената ОПТТИ.</w:t>
      </w:r>
    </w:p>
    <w:p w14:paraId="40D0A2D8" w14:textId="77777777" w:rsidR="00D603F5" w:rsidRPr="001B0EA3" w:rsidRDefault="00D603F5" w:rsidP="006D0388">
      <w:pPr>
        <w:pStyle w:val="ListParagraph"/>
        <w:numPr>
          <w:ilvl w:val="0"/>
          <w:numId w:val="358"/>
        </w:numPr>
        <w:tabs>
          <w:tab w:val="left" w:pos="1276"/>
        </w:tabs>
        <w:ind w:left="0" w:firstLine="851"/>
      </w:pPr>
      <w:r w:rsidRPr="001B0EA3">
        <w:t>УО на ОПТТИ изготвя надлежно обоснована информация за промяна на ОПТТИ, включително и очакваното отражение на промените в програмата върху постигането на стратегията на Съюза за интелигентен, устойчив и приобщаващ  растеж и на специфичните цели определени в програмата.</w:t>
      </w:r>
    </w:p>
    <w:p w14:paraId="1F03FCBB" w14:textId="77777777" w:rsidR="00D603F5" w:rsidRPr="001B0EA3" w:rsidRDefault="00D603F5" w:rsidP="006D0388">
      <w:pPr>
        <w:pStyle w:val="ListParagraph"/>
        <w:numPr>
          <w:ilvl w:val="0"/>
          <w:numId w:val="358"/>
        </w:numPr>
        <w:tabs>
          <w:tab w:val="left" w:pos="1276"/>
        </w:tabs>
        <w:ind w:left="0" w:firstLine="851"/>
      </w:pPr>
      <w:r w:rsidRPr="001B0EA3">
        <w:t>Служител от отдел „Програмиране“ в срок от 3 дни от одобрението на програмата подготвя писмо от Ръководителя на УО на ОПТТИ до ЦКЗ за изпращане на искане за одобрение от СКУСЕС на променената ОПТТИ.</w:t>
      </w:r>
    </w:p>
    <w:p w14:paraId="7703579D" w14:textId="77777777" w:rsidR="00D603F5" w:rsidRPr="001B0EA3" w:rsidRDefault="00D603F5" w:rsidP="006D0388">
      <w:pPr>
        <w:pStyle w:val="ListParagraph"/>
        <w:numPr>
          <w:ilvl w:val="0"/>
          <w:numId w:val="358"/>
        </w:numPr>
        <w:tabs>
          <w:tab w:val="left" w:pos="1276"/>
        </w:tabs>
        <w:ind w:left="0" w:firstLine="851"/>
      </w:pPr>
      <w:r w:rsidRPr="001B0EA3">
        <w:lastRenderedPageBreak/>
        <w:t>Предложението за изменение на ОПТТИ се изпраща от секретариата на КН на ОПТТИ на членовете на КН на ОПТТИ съгласно разписаните процедури във Вътрешните правила за работа на КН.</w:t>
      </w:r>
    </w:p>
    <w:p w14:paraId="56451F64" w14:textId="77777777" w:rsidR="00D603F5" w:rsidRPr="001B0EA3" w:rsidRDefault="00D603F5" w:rsidP="006D0388">
      <w:pPr>
        <w:pStyle w:val="ListParagraph"/>
        <w:numPr>
          <w:ilvl w:val="0"/>
          <w:numId w:val="358"/>
        </w:numPr>
        <w:tabs>
          <w:tab w:val="left" w:pos="1276"/>
        </w:tabs>
        <w:ind w:left="0" w:firstLine="851"/>
      </w:pPr>
      <w:r w:rsidRPr="001B0EA3">
        <w:t>КН на ОПТТИ взема решение по предложението за изменението.</w:t>
      </w:r>
    </w:p>
    <w:p w14:paraId="34D214D3" w14:textId="26F497BA" w:rsidR="00CB5DC7" w:rsidRPr="001B0EA3" w:rsidRDefault="00CB5DC7" w:rsidP="00CB5DC7">
      <w:pPr>
        <w:pStyle w:val="ListParagraph"/>
        <w:numPr>
          <w:ilvl w:val="0"/>
          <w:numId w:val="358"/>
        </w:numPr>
        <w:tabs>
          <w:tab w:val="left" w:pos="1276"/>
        </w:tabs>
        <w:ind w:left="0" w:firstLine="851"/>
      </w:pPr>
      <w:r w:rsidRPr="001B0EA3">
        <w:t xml:space="preserve">В случай на получени коментари и бележки по изменената ОПТТИ от КН на ОПТТИ, </w:t>
      </w:r>
      <w:r>
        <w:t>се</w:t>
      </w:r>
      <w:r w:rsidRPr="001B0EA3">
        <w:t xml:space="preserve"> отразяват в съответствие с взетото решение от КН.</w:t>
      </w:r>
    </w:p>
    <w:p w14:paraId="0D8010FB" w14:textId="3DF73164" w:rsidR="00D603F5" w:rsidRPr="001B0EA3" w:rsidRDefault="00BC3743" w:rsidP="00BC3743">
      <w:pPr>
        <w:pStyle w:val="ListParagraph"/>
        <w:numPr>
          <w:ilvl w:val="0"/>
          <w:numId w:val="358"/>
        </w:numPr>
        <w:tabs>
          <w:tab w:val="left" w:pos="1276"/>
        </w:tabs>
        <w:ind w:left="0" w:firstLine="851"/>
      </w:pPr>
      <w:r w:rsidRPr="001B0EA3">
        <w:t xml:space="preserve"> </w:t>
      </w:r>
      <w:r w:rsidR="003E33F4" w:rsidRPr="003E33F4">
        <w:t>Окончателния</w:t>
      </w:r>
      <w:r w:rsidR="003E33F4">
        <w:t>т</w:t>
      </w:r>
      <w:r w:rsidR="003E33F4" w:rsidRPr="003E33F4">
        <w:t xml:space="preserve"> вариант на изменената ОПТТИ се съгласува в срок до 3 работни дни от началниците на отделите в дирекция КПП, в чиито компетенции са коментарите и бележките, и се представя за одобрение на Ръководителя на ОПТТИ</w:t>
      </w:r>
    </w:p>
    <w:p w14:paraId="051825C2" w14:textId="77777777" w:rsidR="00D603F5" w:rsidRPr="001B0EA3" w:rsidRDefault="00D603F5" w:rsidP="006D0388">
      <w:pPr>
        <w:pStyle w:val="ListParagraph"/>
        <w:numPr>
          <w:ilvl w:val="0"/>
          <w:numId w:val="358"/>
        </w:numPr>
        <w:tabs>
          <w:tab w:val="left" w:pos="1276"/>
        </w:tabs>
        <w:ind w:left="0" w:firstLine="851"/>
      </w:pPr>
      <w:r w:rsidRPr="001B0EA3">
        <w:t xml:space="preserve">Чрез системата SFC2014 официално пред ЕК искането за изменението на ОПТТИ се внася от определени служители от отдел „Програмиране“ с права за достъп до системата SFC2014. </w:t>
      </w:r>
    </w:p>
    <w:p w14:paraId="0A6D3C47" w14:textId="77777777" w:rsidR="00D603F5" w:rsidRPr="001B0EA3" w:rsidRDefault="00D603F5" w:rsidP="006D0388">
      <w:pPr>
        <w:pStyle w:val="ListParagraph"/>
        <w:numPr>
          <w:ilvl w:val="0"/>
          <w:numId w:val="358"/>
        </w:numPr>
        <w:tabs>
          <w:tab w:val="left" w:pos="1276"/>
        </w:tabs>
        <w:ind w:left="0" w:firstLine="851"/>
      </w:pPr>
      <w:r w:rsidRPr="001B0EA3">
        <w:t>В случай на коментари от ЕК по преработената ОПТТИ те се представят в срок до 1 месец.</w:t>
      </w:r>
    </w:p>
    <w:p w14:paraId="1BAE1722" w14:textId="77777777" w:rsidR="00D603F5" w:rsidRPr="001B0EA3" w:rsidRDefault="00D603F5" w:rsidP="006D0388">
      <w:pPr>
        <w:pStyle w:val="ListParagraph"/>
        <w:numPr>
          <w:ilvl w:val="0"/>
          <w:numId w:val="358"/>
        </w:numPr>
        <w:tabs>
          <w:tab w:val="left" w:pos="1276"/>
        </w:tabs>
        <w:ind w:left="0" w:firstLine="851"/>
      </w:pPr>
      <w:r w:rsidRPr="001B0EA3">
        <w:t>УО на ОПТТИ отразява или отговаря на коментарите на ЕК в срок до 15 работни дни от получаването им.</w:t>
      </w:r>
    </w:p>
    <w:p w14:paraId="00BA34B1" w14:textId="77777777" w:rsidR="00D603F5" w:rsidRDefault="00D603F5" w:rsidP="006D0388">
      <w:pPr>
        <w:pStyle w:val="ListParagraph"/>
        <w:numPr>
          <w:ilvl w:val="0"/>
          <w:numId w:val="358"/>
        </w:numPr>
        <w:tabs>
          <w:tab w:val="left" w:pos="1276"/>
        </w:tabs>
        <w:ind w:left="0" w:firstLine="851"/>
      </w:pPr>
      <w:r w:rsidRPr="001B0EA3">
        <w:t>До 3 месеца след представянето на преработената ОПТТИ</w:t>
      </w:r>
      <w:r w:rsidRPr="006D0388">
        <w:footnoteReference w:id="42"/>
      </w:r>
      <w:r w:rsidRPr="001B0EA3">
        <w:t xml:space="preserve"> се получава от ЕК становище по искането за изменение на ОПТТИ </w:t>
      </w:r>
    </w:p>
    <w:p w14:paraId="02842CC4" w14:textId="77777777" w:rsidR="006D0388" w:rsidRPr="001B0EA3" w:rsidRDefault="006D0388" w:rsidP="006D0388">
      <w:pPr>
        <w:tabs>
          <w:tab w:val="left" w:pos="1276"/>
        </w:tabs>
      </w:pPr>
    </w:p>
    <w:p w14:paraId="23B6131A" w14:textId="77777777" w:rsidR="00D603F5" w:rsidRPr="00842ECC" w:rsidRDefault="00D603F5" w:rsidP="009452A9">
      <w:pPr>
        <w:pStyle w:val="Style2"/>
        <w:tabs>
          <w:tab w:val="left" w:pos="993"/>
        </w:tabs>
        <w:ind w:left="426" w:hanging="66"/>
        <w:rPr>
          <w:lang w:val="bg-BG" w:eastAsia="bg-BG"/>
        </w:rPr>
      </w:pPr>
      <w:bookmarkStart w:id="495" w:name="_Toc479775615"/>
      <w:bookmarkStart w:id="496" w:name="_Toc140150198"/>
      <w:r w:rsidRPr="00842ECC">
        <w:rPr>
          <w:lang w:val="bg-BG"/>
        </w:rPr>
        <w:t>Финансови инструменти, допълващи инвестициите по Оперативна програма „Транспорт и транспортна инфраструктура“ 2014-2020 г.</w:t>
      </w:r>
      <w:bookmarkEnd w:id="495"/>
      <w:bookmarkEnd w:id="496"/>
    </w:p>
    <w:p w14:paraId="1B079EC1" w14:textId="77777777" w:rsidR="00D603F5" w:rsidRPr="001B0EA3" w:rsidRDefault="00D603F5" w:rsidP="006D0388">
      <w:r w:rsidRPr="001B0EA3">
        <w:t>Наред с предвидените по ОПТТИ 2014-2020 инвестиции, за посрещане на част от нуждите ще бъдат ползвани възможностите на ПЧП, по-специално за развитието на летища и пристанища. Инвестициите, свързани с развитието на въздушния, речния и морския транспорт, предвидени за финансиране по ОПТТИ, са насочени изцяло към създаване и/или развитие на интелигентни системи за подобряване на услугите и управлението на въздушния, речния и морския транспорт.</w:t>
      </w:r>
    </w:p>
    <w:p w14:paraId="0E621630" w14:textId="77777777" w:rsidR="00D603F5" w:rsidRPr="001B0EA3" w:rsidRDefault="00D603F5" w:rsidP="006D0388">
      <w:r w:rsidRPr="001B0EA3">
        <w:t xml:space="preserve">Участието на частния сектор може да има различни форми, вариращи от договори за управление, миноритарно участие, до частна собственост на частната компания/ползвателя. </w:t>
      </w:r>
    </w:p>
    <w:p w14:paraId="63F9F6E1" w14:textId="77777777" w:rsidR="00D603F5" w:rsidRPr="00842ECC" w:rsidRDefault="00D603F5" w:rsidP="00346F28">
      <w:pPr>
        <w:pStyle w:val="Style3"/>
        <w:rPr>
          <w:lang w:val="bg-BG"/>
        </w:rPr>
      </w:pPr>
      <w:bookmarkStart w:id="497" w:name="_Toc479775616"/>
      <w:r w:rsidRPr="00842ECC">
        <w:rPr>
          <w:lang w:val="bg-BG"/>
        </w:rPr>
        <w:t>Общи предпоставки в Публично-частното партньорство</w:t>
      </w:r>
      <w:bookmarkEnd w:id="497"/>
    </w:p>
    <w:p w14:paraId="07810A38" w14:textId="77777777" w:rsidR="00D603F5" w:rsidRPr="001B0EA3" w:rsidRDefault="00D603F5" w:rsidP="006D0388">
      <w:r w:rsidRPr="001B0EA3">
        <w:t>Публично-частното партньорство е водещ инструмент за реализацията на инфраструктурни проекти в цял свят. Необходимостта от развита публична инфраструктура, като двигател на икономическото развитие на страната, и ограничените бюджетни средства за нейното изграждане и поддържане, са основните предпоставки за възникването и разпространението на тази форма на сътрудничество между публичните органи и частния сектор. Основните характеристики и предимства на публично-частното партньорство са:</w:t>
      </w:r>
    </w:p>
    <w:p w14:paraId="7C71B47F" w14:textId="77777777" w:rsidR="00D603F5" w:rsidRPr="001B0EA3" w:rsidRDefault="00D603F5" w:rsidP="006D0388">
      <w:pPr>
        <w:pStyle w:val="ListParagraph"/>
        <w:numPr>
          <w:ilvl w:val="0"/>
          <w:numId w:val="360"/>
        </w:numPr>
        <w:tabs>
          <w:tab w:val="left" w:pos="1134"/>
        </w:tabs>
        <w:ind w:left="0" w:firstLine="851"/>
      </w:pPr>
      <w:r w:rsidRPr="001B0EA3">
        <w:t>Дългосрочен договор между публичен и частен партньор за предоставяне на услуги от обществен интерес, базиран на нови или подобрени активи;</w:t>
      </w:r>
    </w:p>
    <w:p w14:paraId="31266825" w14:textId="77777777" w:rsidR="00D603F5" w:rsidRPr="001B0EA3" w:rsidRDefault="00D603F5" w:rsidP="006D0388">
      <w:pPr>
        <w:pStyle w:val="ListParagraph"/>
        <w:numPr>
          <w:ilvl w:val="0"/>
          <w:numId w:val="360"/>
        </w:numPr>
        <w:tabs>
          <w:tab w:val="left" w:pos="1134"/>
        </w:tabs>
        <w:ind w:left="0" w:firstLine="851"/>
      </w:pPr>
      <w:r w:rsidRPr="001B0EA3">
        <w:t>Частният партньор участва във всички етапи на реализацията на проекта - проектиране, строителство, финансиране, поддържане и/или експлоатацията на обекта;</w:t>
      </w:r>
    </w:p>
    <w:p w14:paraId="29761E99" w14:textId="77777777" w:rsidR="00D603F5" w:rsidRPr="001B0EA3" w:rsidRDefault="00D603F5" w:rsidP="006D0388">
      <w:pPr>
        <w:pStyle w:val="ListParagraph"/>
        <w:numPr>
          <w:ilvl w:val="0"/>
          <w:numId w:val="360"/>
        </w:numPr>
        <w:tabs>
          <w:tab w:val="left" w:pos="1134"/>
        </w:tabs>
        <w:ind w:left="0" w:firstLine="851"/>
      </w:pPr>
      <w:r w:rsidRPr="001B0EA3">
        <w:t>Публичният орган дефинира целите, определя изискванията за качество и количество и контролира изпълнението;</w:t>
      </w:r>
    </w:p>
    <w:p w14:paraId="33808E2D" w14:textId="77777777" w:rsidR="00D603F5" w:rsidRPr="001B0EA3" w:rsidRDefault="00D603F5" w:rsidP="006D0388">
      <w:pPr>
        <w:pStyle w:val="ListParagraph"/>
        <w:numPr>
          <w:ilvl w:val="0"/>
          <w:numId w:val="360"/>
        </w:numPr>
        <w:tabs>
          <w:tab w:val="left" w:pos="1134"/>
        </w:tabs>
        <w:ind w:left="0" w:firstLine="851"/>
      </w:pPr>
      <w:r w:rsidRPr="001B0EA3">
        <w:t>Частният партньор финансира изцяло и по-голяма част от реализацията на проекта;</w:t>
      </w:r>
    </w:p>
    <w:p w14:paraId="65DB2FD5" w14:textId="77777777" w:rsidR="00D603F5" w:rsidRPr="001B0EA3" w:rsidRDefault="00D603F5" w:rsidP="006D0388">
      <w:pPr>
        <w:pStyle w:val="ListParagraph"/>
        <w:numPr>
          <w:ilvl w:val="0"/>
          <w:numId w:val="360"/>
        </w:numPr>
        <w:tabs>
          <w:tab w:val="left" w:pos="1134"/>
        </w:tabs>
        <w:ind w:left="0" w:firstLine="851"/>
      </w:pPr>
      <w:r w:rsidRPr="001B0EA3">
        <w:t>Справедливо разпределение на рисковете между партньорите на база на това кой може по-добре да се справи с тях;</w:t>
      </w:r>
    </w:p>
    <w:p w14:paraId="24C6F644" w14:textId="77777777" w:rsidR="00D603F5" w:rsidRPr="001B0EA3" w:rsidRDefault="00D603F5" w:rsidP="006D0388">
      <w:pPr>
        <w:pStyle w:val="ListParagraph"/>
        <w:numPr>
          <w:ilvl w:val="0"/>
          <w:numId w:val="360"/>
        </w:numPr>
        <w:tabs>
          <w:tab w:val="left" w:pos="1134"/>
        </w:tabs>
        <w:ind w:left="0" w:firstLine="851"/>
      </w:pPr>
      <w:r w:rsidRPr="001B0EA3">
        <w:t>Механизмът на плащане от публичния сектор се обвързва с изпълнението;</w:t>
      </w:r>
    </w:p>
    <w:p w14:paraId="7FE25A27" w14:textId="77777777" w:rsidR="00D603F5" w:rsidRPr="001B0EA3" w:rsidRDefault="00D603F5" w:rsidP="006D0388">
      <w:pPr>
        <w:pStyle w:val="ListParagraph"/>
        <w:numPr>
          <w:ilvl w:val="0"/>
          <w:numId w:val="360"/>
        </w:numPr>
        <w:tabs>
          <w:tab w:val="left" w:pos="1134"/>
        </w:tabs>
        <w:ind w:left="0" w:firstLine="851"/>
      </w:pPr>
      <w:r w:rsidRPr="001B0EA3">
        <w:lastRenderedPageBreak/>
        <w:t>Подобряване на управлението на обекта и повишаване качеството на услугите;</w:t>
      </w:r>
    </w:p>
    <w:p w14:paraId="29A98700" w14:textId="77777777" w:rsidR="00D603F5" w:rsidRPr="001B0EA3" w:rsidRDefault="00D603F5" w:rsidP="006D0388">
      <w:pPr>
        <w:pStyle w:val="ListParagraph"/>
        <w:numPr>
          <w:ilvl w:val="0"/>
          <w:numId w:val="360"/>
        </w:numPr>
        <w:tabs>
          <w:tab w:val="left" w:pos="1134"/>
        </w:tabs>
        <w:ind w:left="0" w:firstLine="851"/>
      </w:pPr>
      <w:r w:rsidRPr="001B0EA3">
        <w:t>По-добра стойност на вложените средства.</w:t>
      </w:r>
    </w:p>
    <w:p w14:paraId="67ACD627" w14:textId="77777777" w:rsidR="00D603F5" w:rsidRPr="001B0EA3" w:rsidRDefault="00D603F5" w:rsidP="00890B4B">
      <w:pPr>
        <w:rPr>
          <w:szCs w:val="24"/>
        </w:rPr>
      </w:pPr>
    </w:p>
    <w:p w14:paraId="6CA0771F" w14:textId="77777777" w:rsidR="00D603F5" w:rsidRPr="001B0EA3" w:rsidRDefault="00D603F5" w:rsidP="006D0388">
      <w:r w:rsidRPr="001B0EA3">
        <w:t>През м.</w:t>
      </w:r>
      <w:r w:rsidR="00E40779" w:rsidRPr="001B0EA3">
        <w:t xml:space="preserve"> </w:t>
      </w:r>
      <w:r w:rsidRPr="001B0EA3">
        <w:t>юни 2012 г. Народното събрание на Република България прие Закон за публично-частното партньорство (обн., ДВ, бр.45 от 2012 г., в сила от 01.01.2013 г.). Основните цели на закона са:</w:t>
      </w:r>
    </w:p>
    <w:p w14:paraId="6306E21C" w14:textId="77777777" w:rsidR="00D603F5" w:rsidRPr="006D0388" w:rsidRDefault="00D603F5" w:rsidP="006D0388">
      <w:pPr>
        <w:pStyle w:val="ListParagraph"/>
        <w:numPr>
          <w:ilvl w:val="0"/>
          <w:numId w:val="360"/>
        </w:numPr>
        <w:tabs>
          <w:tab w:val="left" w:pos="1134"/>
        </w:tabs>
        <w:ind w:left="0" w:firstLine="851"/>
      </w:pPr>
      <w:r w:rsidRPr="006D0388">
        <w:t>да се осигури развитие на висококачествени и достъпни услуги от обществен интерес чрез постигане на по-добра стойност на вложените публични средства;</w:t>
      </w:r>
    </w:p>
    <w:p w14:paraId="1A1D4422" w14:textId="77777777" w:rsidR="00D603F5" w:rsidRPr="006D0388" w:rsidRDefault="00D603F5" w:rsidP="006D0388">
      <w:pPr>
        <w:pStyle w:val="ListParagraph"/>
        <w:numPr>
          <w:ilvl w:val="0"/>
          <w:numId w:val="360"/>
        </w:numPr>
        <w:tabs>
          <w:tab w:val="left" w:pos="1134"/>
        </w:tabs>
        <w:ind w:left="0" w:firstLine="851"/>
      </w:pPr>
      <w:r w:rsidRPr="006D0388">
        <w:t>да се даде възможност за насърчаване на частните инвестиции в строителството, поддържането и управлението на обекти на техническата и социалната инфраструктура и в извършването на дейности от обществен интерес;</w:t>
      </w:r>
    </w:p>
    <w:p w14:paraId="6FCB9EC5" w14:textId="77777777" w:rsidR="00D603F5" w:rsidRPr="006D0388" w:rsidRDefault="00D603F5" w:rsidP="006D0388">
      <w:pPr>
        <w:pStyle w:val="ListParagraph"/>
        <w:numPr>
          <w:ilvl w:val="0"/>
          <w:numId w:val="360"/>
        </w:numPr>
        <w:tabs>
          <w:tab w:val="left" w:pos="1134"/>
        </w:tabs>
        <w:ind w:left="0" w:firstLine="851"/>
      </w:pPr>
      <w:r w:rsidRPr="006D0388">
        <w:t>да създаде гаранции за защита на публичните активи и за ефективното управление на публичните средства при осъществяването на ПЧП,</w:t>
      </w:r>
      <w:r w:rsidR="00E40779" w:rsidRPr="006D0388">
        <w:t xml:space="preserve"> </w:t>
      </w:r>
      <w:r w:rsidRPr="006D0388">
        <w:t>при спазване на принципите публичност, прозрачност, свободна и лоялна конкуренция, недопускане на дискриминация, равнопоставеност и пропорционалност.</w:t>
      </w:r>
    </w:p>
    <w:p w14:paraId="7196E446" w14:textId="77777777" w:rsidR="00D603F5" w:rsidRPr="001B0EA3" w:rsidRDefault="00D603F5" w:rsidP="00890B4B">
      <w:pPr>
        <w:rPr>
          <w:szCs w:val="24"/>
        </w:rPr>
      </w:pPr>
    </w:p>
    <w:p w14:paraId="44C0433F" w14:textId="77777777" w:rsidR="00D603F5" w:rsidRPr="001B0EA3" w:rsidRDefault="00D603F5" w:rsidP="006D0388">
      <w:r w:rsidRPr="001B0EA3">
        <w:t>В нормативно-установените срокове бе разработена и приета и подзаконовата нормативна уредба към Закона за публично-частното партньорство.</w:t>
      </w:r>
    </w:p>
    <w:p w14:paraId="1EE09E6E" w14:textId="77777777" w:rsidR="00D603F5" w:rsidRPr="001B0EA3" w:rsidRDefault="00D603F5" w:rsidP="006D0388">
      <w:r w:rsidRPr="001B0EA3">
        <w:t>С цел популяризиране на ПЧП в МФ са разработени Методически указания, ръководства, финансови модели и други материали, които да подпомогнат централните и местни органи в осъществяването на ПЧП проекти.</w:t>
      </w:r>
    </w:p>
    <w:p w14:paraId="2A2AB3EF" w14:textId="77777777" w:rsidR="00D603F5" w:rsidRPr="001B0EA3" w:rsidRDefault="00D603F5" w:rsidP="006D0388">
      <w:r w:rsidRPr="001B0EA3">
        <w:t>Дирекция „Финанси на реалния сектор</w:t>
      </w:r>
      <w:r w:rsidR="00B50EA4" w:rsidRPr="001B0EA3">
        <w:t>“</w:t>
      </w:r>
      <w:r w:rsidRPr="001B0EA3">
        <w:t xml:space="preserve"> в МФ, изпълнява функциите на специализирано звено за ПЧП в България. Основните й функциите включват:</w:t>
      </w:r>
    </w:p>
    <w:p w14:paraId="4345A6B9" w14:textId="77777777" w:rsidR="00D603F5" w:rsidRPr="001B0EA3" w:rsidRDefault="00D603F5" w:rsidP="006D0388">
      <w:pPr>
        <w:pStyle w:val="ListParagraph"/>
        <w:numPr>
          <w:ilvl w:val="0"/>
          <w:numId w:val="361"/>
        </w:numPr>
        <w:tabs>
          <w:tab w:val="left" w:pos="1276"/>
        </w:tabs>
        <w:ind w:left="0" w:firstLine="851"/>
      </w:pPr>
      <w:r w:rsidRPr="001B0EA3">
        <w:t>Участие в разработването на законопроекти и проекти на подзаконови нормативни актове, методологии, указания, насоки, финансови модели, финансово-икономически анализи и примерни договори в областта на ПЧП в съответствие с най-добрите европейски и световни практики и с оглед на по-ефективното и по-ефикасното разходване на публични средства;</w:t>
      </w:r>
    </w:p>
    <w:p w14:paraId="6219EB4F" w14:textId="77777777" w:rsidR="00D603F5" w:rsidRPr="001B0EA3" w:rsidRDefault="00D603F5" w:rsidP="006D0388">
      <w:pPr>
        <w:pStyle w:val="ListParagraph"/>
        <w:numPr>
          <w:ilvl w:val="0"/>
          <w:numId w:val="361"/>
        </w:numPr>
        <w:tabs>
          <w:tab w:val="left" w:pos="1276"/>
        </w:tabs>
        <w:ind w:left="0" w:firstLine="851"/>
      </w:pPr>
      <w:r w:rsidRPr="001B0EA3">
        <w:t>Оказване на методическа помощ на централните и местните власти в процеса на разработка и структуриране на инвестиционни проекти чрез схемите на ПЧП;</w:t>
      </w:r>
    </w:p>
    <w:p w14:paraId="17652951" w14:textId="77777777" w:rsidR="00D603F5" w:rsidRPr="001B0EA3" w:rsidRDefault="00D603F5" w:rsidP="006D0388">
      <w:pPr>
        <w:pStyle w:val="ListParagraph"/>
        <w:numPr>
          <w:ilvl w:val="0"/>
          <w:numId w:val="361"/>
        </w:numPr>
        <w:tabs>
          <w:tab w:val="left" w:pos="1276"/>
        </w:tabs>
        <w:ind w:left="0" w:firstLine="851"/>
      </w:pPr>
      <w:r w:rsidRPr="001B0EA3">
        <w:t>При необходимост участие в изготвянето и съставянето на държавния бюджет за съответната година, във връзка с планирането на средства за плащания за наличност и компенсаторни плащания по ПЧП проекти.</w:t>
      </w:r>
    </w:p>
    <w:p w14:paraId="1EEEC652" w14:textId="77777777" w:rsidR="00D603F5" w:rsidRPr="001B0EA3" w:rsidRDefault="00D603F5" w:rsidP="006D0388">
      <w:pPr>
        <w:pStyle w:val="ListParagraph"/>
        <w:numPr>
          <w:ilvl w:val="0"/>
          <w:numId w:val="361"/>
        </w:numPr>
        <w:tabs>
          <w:tab w:val="left" w:pos="1276"/>
        </w:tabs>
        <w:ind w:left="0" w:firstLine="851"/>
      </w:pPr>
      <w:r w:rsidRPr="001B0EA3">
        <w:t>Съгласуване анализите за целесъобразност от използването на ПЧП схеми за реализацията на инвестиционни проекти с национално значение и финансово-икономическите анализи на разработените ПЧП проекти с национално значение;</w:t>
      </w:r>
    </w:p>
    <w:p w14:paraId="493AEC9D" w14:textId="77777777" w:rsidR="00D603F5" w:rsidRPr="001B0EA3" w:rsidRDefault="00D603F5" w:rsidP="006D0388">
      <w:pPr>
        <w:pStyle w:val="ListParagraph"/>
        <w:numPr>
          <w:ilvl w:val="0"/>
          <w:numId w:val="361"/>
        </w:numPr>
        <w:tabs>
          <w:tab w:val="left" w:pos="1276"/>
        </w:tabs>
        <w:ind w:left="0" w:firstLine="851"/>
      </w:pPr>
      <w:r w:rsidRPr="001B0EA3">
        <w:t>Представлява Министерството на финансите в Европейския експертен център за ПЧП (ЕРЕС) и в работата на експертните групи към него, както и в работни групи по ПЧП на ниво Европейски съюз, в Екипа от специалисти по ПЧП към Икономическата комисия за Европа на ООН (ToS on PPP - UNECE) и в работата на експертните групи към него;</w:t>
      </w:r>
    </w:p>
    <w:p w14:paraId="74941F0B" w14:textId="77777777" w:rsidR="00D603F5" w:rsidRPr="001B0EA3" w:rsidRDefault="00D603F5" w:rsidP="006D0388">
      <w:pPr>
        <w:pStyle w:val="ListParagraph"/>
        <w:numPr>
          <w:ilvl w:val="0"/>
          <w:numId w:val="361"/>
        </w:numPr>
        <w:tabs>
          <w:tab w:val="left" w:pos="1276"/>
        </w:tabs>
        <w:ind w:left="0" w:firstLine="851"/>
      </w:pPr>
      <w:r w:rsidRPr="001B0EA3">
        <w:t>Представлява министерството в дейностите по предоставяне и контрол на концесии, в които нормативно е регламентирано участието на министерството;</w:t>
      </w:r>
    </w:p>
    <w:p w14:paraId="7177EB4B" w14:textId="77777777" w:rsidR="00D603F5" w:rsidRPr="001B0EA3" w:rsidRDefault="00D603F5" w:rsidP="006D0388">
      <w:pPr>
        <w:pStyle w:val="ListParagraph"/>
        <w:numPr>
          <w:ilvl w:val="0"/>
          <w:numId w:val="361"/>
        </w:numPr>
        <w:tabs>
          <w:tab w:val="left" w:pos="1276"/>
        </w:tabs>
        <w:ind w:left="0" w:firstLine="851"/>
      </w:pPr>
      <w:r w:rsidRPr="001B0EA3">
        <w:t>Съгласуване предложенията на министерствата за даване на концесии, изготвя становища по финансово-икономическите концесионни анализи, методологически разработки и проекти на нормативни актове и участва в междуведомствени комисии по концесиите;</w:t>
      </w:r>
    </w:p>
    <w:p w14:paraId="208A97A8" w14:textId="77777777" w:rsidR="00D603F5" w:rsidRDefault="00D603F5" w:rsidP="006D0388">
      <w:pPr>
        <w:pStyle w:val="ListParagraph"/>
        <w:numPr>
          <w:ilvl w:val="0"/>
          <w:numId w:val="361"/>
        </w:numPr>
        <w:tabs>
          <w:tab w:val="left" w:pos="1276"/>
        </w:tabs>
        <w:ind w:left="0" w:firstLine="851"/>
      </w:pPr>
      <w:r w:rsidRPr="001B0EA3">
        <w:t>Изготвяне план-сметка за приходите и разходите от концесионна дейност общо и по министерства и предлагане за утвърждаването й от министъра на финансите. Администрира годишните приходи и разходи за концесионна дейност.</w:t>
      </w:r>
    </w:p>
    <w:p w14:paraId="7FE8C1CC" w14:textId="77777777" w:rsidR="006D0388" w:rsidRDefault="006D0388" w:rsidP="006D0388">
      <w:pPr>
        <w:tabs>
          <w:tab w:val="left" w:pos="1276"/>
        </w:tabs>
      </w:pPr>
    </w:p>
    <w:p w14:paraId="1F5FB10A" w14:textId="77777777" w:rsidR="006D0388" w:rsidRPr="001B0EA3" w:rsidRDefault="006D0388" w:rsidP="006D0388">
      <w:pPr>
        <w:tabs>
          <w:tab w:val="left" w:pos="1276"/>
        </w:tabs>
      </w:pPr>
    </w:p>
    <w:p w14:paraId="35177EE9" w14:textId="77777777" w:rsidR="00D603F5" w:rsidRPr="001B0EA3" w:rsidRDefault="00D603F5" w:rsidP="00346F28">
      <w:pPr>
        <w:pStyle w:val="Style3"/>
      </w:pPr>
      <w:bookmarkStart w:id="498" w:name="_Toc479775617"/>
      <w:r w:rsidRPr="001B0EA3">
        <w:t>Концесии</w:t>
      </w:r>
      <w:bookmarkEnd w:id="498"/>
    </w:p>
    <w:p w14:paraId="616C85E9" w14:textId="77777777" w:rsidR="00D603F5" w:rsidRPr="001B0EA3" w:rsidRDefault="00D603F5" w:rsidP="006D0388">
      <w:r w:rsidRPr="001B0EA3">
        <w:lastRenderedPageBreak/>
        <w:t>Концесиите са най-разпространената форма на ПЧП. Съгласно Закона за концесиите, концесия се предоставя при спазване на следните принципи:</w:t>
      </w:r>
    </w:p>
    <w:p w14:paraId="1B5A309C" w14:textId="77777777" w:rsidR="00D603F5" w:rsidRPr="001B0EA3" w:rsidRDefault="00D603F5" w:rsidP="006D0388">
      <w:pPr>
        <w:pStyle w:val="ListParagraph"/>
        <w:numPr>
          <w:ilvl w:val="0"/>
          <w:numId w:val="362"/>
        </w:numPr>
        <w:tabs>
          <w:tab w:val="left" w:pos="1134"/>
        </w:tabs>
        <w:ind w:left="0" w:firstLine="851"/>
      </w:pPr>
      <w:r w:rsidRPr="001B0EA3">
        <w:t>публичност и прозрачност;</w:t>
      </w:r>
    </w:p>
    <w:p w14:paraId="6E0798E6" w14:textId="77777777" w:rsidR="00D603F5" w:rsidRPr="001B0EA3" w:rsidRDefault="00D603F5" w:rsidP="006D0388">
      <w:pPr>
        <w:pStyle w:val="ListParagraph"/>
        <w:numPr>
          <w:ilvl w:val="0"/>
          <w:numId w:val="362"/>
        </w:numPr>
        <w:tabs>
          <w:tab w:val="left" w:pos="1134"/>
        </w:tabs>
        <w:ind w:left="0" w:firstLine="851"/>
      </w:pPr>
      <w:r w:rsidRPr="001B0EA3">
        <w:t>свободна и лоялна конкуренция;</w:t>
      </w:r>
    </w:p>
    <w:p w14:paraId="3481B3A7" w14:textId="77777777" w:rsidR="00D603F5" w:rsidRPr="001B0EA3" w:rsidRDefault="00D603F5" w:rsidP="006D0388">
      <w:pPr>
        <w:pStyle w:val="ListParagraph"/>
        <w:numPr>
          <w:ilvl w:val="0"/>
          <w:numId w:val="362"/>
        </w:numPr>
        <w:tabs>
          <w:tab w:val="left" w:pos="1134"/>
        </w:tabs>
        <w:ind w:left="0" w:firstLine="851"/>
      </w:pPr>
      <w:r w:rsidRPr="001B0EA3">
        <w:t>равнопоставеност на всички участници в процедурата за предоставяне на концесия и недопускане на дискриминация;</w:t>
      </w:r>
    </w:p>
    <w:p w14:paraId="6ED5F07F" w14:textId="77777777" w:rsidR="00D603F5" w:rsidRPr="001B0EA3" w:rsidRDefault="00D603F5" w:rsidP="006D0388">
      <w:pPr>
        <w:pStyle w:val="ListParagraph"/>
        <w:numPr>
          <w:ilvl w:val="0"/>
          <w:numId w:val="362"/>
        </w:numPr>
        <w:tabs>
          <w:tab w:val="left" w:pos="1134"/>
        </w:tabs>
        <w:ind w:left="0" w:firstLine="851"/>
      </w:pPr>
      <w:r w:rsidRPr="001B0EA3">
        <w:t>пропорционалност.</w:t>
      </w:r>
    </w:p>
    <w:p w14:paraId="20782862" w14:textId="77777777" w:rsidR="00D603F5" w:rsidRPr="001B0EA3" w:rsidRDefault="00D603F5" w:rsidP="006D0388">
      <w:r w:rsidRPr="001B0EA3">
        <w:t xml:space="preserve">Дирекция „Концесии и контрол върху дейността на търговските дружества и държавните предприятия“ </w:t>
      </w:r>
      <w:r w:rsidR="00D03EBE" w:rsidRPr="001B0EA3">
        <w:t xml:space="preserve">(ККДТДДП) </w:t>
      </w:r>
      <w:r w:rsidRPr="001B0EA3">
        <w:t xml:space="preserve">към </w:t>
      </w:r>
      <w:r w:rsidR="00BB6BF6">
        <w:t>МТС</w:t>
      </w:r>
      <w:r w:rsidRPr="001B0EA3">
        <w:t xml:space="preserve"> организира и осъществява концесионната политика и дейността по предоставяне на концесии върху обектите на железопътната инфраструктура - държавна собственост, включително земята, върху която са изградени или която е предназначена за изграждането им, цели или технологично обособени части от пристанища за обществен транспорт с национално значение и гражданск</w:t>
      </w:r>
      <w:r w:rsidR="00D03EBE" w:rsidRPr="001B0EA3">
        <w:t xml:space="preserve">и летища за обществено ползване. Правилата, които регламентират организацията на работа и процедурите, при изпълнение на дейностите и задачите в дирекция ККДТДДП са регламентирани във Вътрешни правила за дейността на дирекция „Концесии и контрол върху дейността на търговските дружества и държавните предприятия“ в </w:t>
      </w:r>
      <w:r w:rsidR="00BB6BF6">
        <w:t>МТС</w:t>
      </w:r>
      <w:r w:rsidR="00D03EBE" w:rsidRPr="001B0EA3">
        <w:t xml:space="preserve"> № ВП-1 от 07.01.2015 г.  </w:t>
      </w:r>
    </w:p>
    <w:p w14:paraId="3CB1EEF9" w14:textId="77777777" w:rsidR="00D603F5" w:rsidRPr="001B0EA3" w:rsidRDefault="00D603F5" w:rsidP="006D0388">
      <w:r w:rsidRPr="001B0EA3">
        <w:t>Дирекцията също така извършва и следните дейности:</w:t>
      </w:r>
    </w:p>
    <w:p w14:paraId="1129A937" w14:textId="77777777" w:rsidR="00D603F5" w:rsidRPr="001B0EA3" w:rsidRDefault="00D603F5" w:rsidP="006D0388">
      <w:pPr>
        <w:pStyle w:val="ListParagraph"/>
        <w:numPr>
          <w:ilvl w:val="0"/>
          <w:numId w:val="363"/>
        </w:numPr>
        <w:tabs>
          <w:tab w:val="left" w:pos="1134"/>
        </w:tabs>
        <w:ind w:left="0" w:firstLine="840"/>
      </w:pPr>
      <w:r w:rsidRPr="001B0EA3">
        <w:t>осъществява регулиращи, координиращи, контролни и информационни функции във връзка с процеса на концесиониране;</w:t>
      </w:r>
    </w:p>
    <w:p w14:paraId="064D65E5" w14:textId="77777777" w:rsidR="00D603F5" w:rsidRPr="001B0EA3" w:rsidRDefault="00D603F5" w:rsidP="006D0388">
      <w:pPr>
        <w:pStyle w:val="ListParagraph"/>
        <w:numPr>
          <w:ilvl w:val="0"/>
          <w:numId w:val="363"/>
        </w:numPr>
        <w:tabs>
          <w:tab w:val="left" w:pos="1134"/>
        </w:tabs>
        <w:ind w:left="0" w:firstLine="840"/>
      </w:pPr>
      <w:r w:rsidRPr="001B0EA3">
        <w:t>подготвя документите и организира провеждането на процедури за предоставяне на концесии върху обектите посочени по-горе съвместно с други дирекции на министерството;</w:t>
      </w:r>
    </w:p>
    <w:p w14:paraId="624ABD88" w14:textId="77777777" w:rsidR="00D603F5" w:rsidRDefault="00D603F5" w:rsidP="006D0388">
      <w:pPr>
        <w:pStyle w:val="ListParagraph"/>
        <w:numPr>
          <w:ilvl w:val="0"/>
          <w:numId w:val="363"/>
        </w:numPr>
        <w:tabs>
          <w:tab w:val="left" w:pos="1134"/>
        </w:tabs>
        <w:ind w:left="0" w:firstLine="840"/>
      </w:pPr>
      <w:r w:rsidRPr="001B0EA3">
        <w:t>организира и осъществява контрол върху договорите за предоставяне на концесии върху обектите посочени по-горе;</w:t>
      </w:r>
    </w:p>
    <w:p w14:paraId="68560536" w14:textId="77777777" w:rsidR="006D0388" w:rsidRPr="001B0EA3" w:rsidRDefault="006D0388" w:rsidP="006D0388">
      <w:pPr>
        <w:tabs>
          <w:tab w:val="left" w:pos="1134"/>
        </w:tabs>
      </w:pPr>
    </w:p>
    <w:p w14:paraId="4712DDA8" w14:textId="77777777" w:rsidR="00D603F5" w:rsidRPr="001B0EA3" w:rsidRDefault="00D603F5" w:rsidP="00346F28">
      <w:pPr>
        <w:pStyle w:val="Style3"/>
      </w:pPr>
      <w:bookmarkStart w:id="499" w:name="_Toc479775618"/>
      <w:r w:rsidRPr="001B0EA3">
        <w:t>Механизъм за свързване на Европа</w:t>
      </w:r>
      <w:bookmarkEnd w:id="499"/>
      <w:r w:rsidRPr="001B0EA3">
        <w:t xml:space="preserve"> </w:t>
      </w:r>
    </w:p>
    <w:p w14:paraId="39CE453B" w14:textId="77777777" w:rsidR="00D603F5" w:rsidRDefault="00D603F5" w:rsidP="006D0388">
      <w:r w:rsidRPr="001B0EA3">
        <w:t>Където е приложимо, ще бъде използвано финансиране със средства от „Connecting Europe Facility” -</w:t>
      </w:r>
      <w:r w:rsidRPr="001B0EA3">
        <w:tab/>
        <w:t>Механизъм за свързване на Европа (МСЕ). Основният принцип при избор на проекти за финансиране по МСЕ е проектите да отговарят на изискванията за финансиране по МСЕ, да имат трансграничен ефект и да бъдат съпроводени с поети ангажименти за подходящи инвестиции от съответната съседна страна. За подобряване на условията за корабоплаване в общия българо-румънски участък на река Дунав са необходими съвместни действия от българска и румънска страна. По проект ISPA 2005/RO/16/P/PA/002.01 се извърши предварителната подготовка на бъдещите интервенции. Предстои  подготовка мерките за осигуряване на условията за нормално корабоплаване да се осъществят в програмен период 2014-2020 г. със средства от МСЕ. Проектът ще допринесе за постигане на следните резултати на Приоритетна област 1а на Европейската стратегия за региона на река Дунав – „Нарастване на товарния транспорт по реката с 20% през 2020 г. в сравнение с 2010 г.” и “Преодоляване на препятствията за корабоплаването, като се отчетат специфичните характеристики на всеки отделен участък от поречието и спомагателните канали и създаване на ефективно управление на инфраструктурата за вътрешно воден транспорт до 2015 г. Проектът е включен в Плана за действие на съвместния комитет за устойчиво развитие на вътрешния воден транспорт, в общия българо-румънски участък на река Дунав, създаден през 2012 г. между България и Румъния.</w:t>
      </w:r>
    </w:p>
    <w:p w14:paraId="3942C20C" w14:textId="77777777" w:rsidR="00EB5875" w:rsidRPr="001B0EA3" w:rsidRDefault="00EB5875" w:rsidP="00890B4B">
      <w:pPr>
        <w:rPr>
          <w:szCs w:val="24"/>
        </w:rPr>
      </w:pPr>
    </w:p>
    <w:p w14:paraId="511B297D" w14:textId="77777777" w:rsidR="00D603F5" w:rsidRPr="00A110A4" w:rsidRDefault="00D603F5" w:rsidP="00F058E0">
      <w:pPr>
        <w:pStyle w:val="Style1"/>
      </w:pPr>
      <w:bookmarkStart w:id="500" w:name="_Toc479775619"/>
      <w:bookmarkStart w:id="501" w:name="_Toc140150199"/>
      <w:r w:rsidRPr="00A110A4">
        <w:t>ИНДИКАТИВНА ГОДИШНА РАБОТНА ПРОГРАМА НА ОПЕРАТИВНА ПРОГРАМА „ТРАНСПОРТ И ТРАНСПОРТНА ИНФРАСТРУКТУРА“ 2014-2020 Г.</w:t>
      </w:r>
      <w:bookmarkEnd w:id="500"/>
      <w:bookmarkEnd w:id="501"/>
    </w:p>
    <w:p w14:paraId="1A13862A" w14:textId="4F2E9C93" w:rsidR="004B50DC" w:rsidRDefault="004B50DC" w:rsidP="00E806B3">
      <w:pPr>
        <w:rPr>
          <w:lang w:eastAsia="bg-BG"/>
        </w:rPr>
      </w:pPr>
      <w:r w:rsidRPr="001B0EA3">
        <w:rPr>
          <w:lang w:eastAsia="bg-BG"/>
        </w:rPr>
        <w:t xml:space="preserve">Настоящата процедура е изготвена в съответствие с изискванията в чл. 26, ал. 1 от ПМС № 162/2016 г. УО на ОПТТИ за изготвяне на ИГРП и публикуването на одобрената </w:t>
      </w:r>
      <w:r w:rsidRPr="001B0EA3">
        <w:rPr>
          <w:lang w:eastAsia="bg-BG"/>
        </w:rPr>
        <w:lastRenderedPageBreak/>
        <w:t xml:space="preserve">ИГРП на интернет страницата на ОПТТИ </w:t>
      </w:r>
      <w:hyperlink r:id="rId68" w:history="1">
        <w:r w:rsidR="009D6A2A">
          <w:rPr>
            <w:color w:val="0000FF"/>
            <w:u w:val="single"/>
            <w:lang w:eastAsia="bg-BG"/>
          </w:rPr>
          <w:t>www.eufunds.bg/optti</w:t>
        </w:r>
      </w:hyperlink>
      <w:r w:rsidRPr="001B0EA3">
        <w:rPr>
          <w:color w:val="0000FF"/>
          <w:u w:val="single"/>
          <w:lang w:eastAsia="bg-BG"/>
        </w:rPr>
        <w:t xml:space="preserve"> </w:t>
      </w:r>
      <w:r w:rsidRPr="001B0EA3">
        <w:rPr>
          <w:lang w:eastAsia="bg-BG"/>
        </w:rPr>
        <w:t>и на ЕИП за обща информация за управлението на ЕСИФ за следваща календарна година.  Функцията по изготвяне на ИГРП е вменена на отдел „Програмиране” в УО на ОПТТИ. Началникът на отдел „Програмиране”, отговаря за координацията при изготвянето на ИГРП от експерт/и в отдела. Процедурите по ОПТТИ са открити на 01.09.2015 г. и в тази връзка в ИГРП за следващата година се указва свободния финансов ресурс за всяка от процедурите, при отчитане на договорените към момента на изготвянето на проекта средства.</w:t>
      </w:r>
    </w:p>
    <w:p w14:paraId="7A0EC65B" w14:textId="77777777" w:rsidR="006D0388" w:rsidRPr="001B0EA3" w:rsidRDefault="006D0388" w:rsidP="00E806B3">
      <w:pPr>
        <w:rPr>
          <w:lang w:eastAsia="bg-BG"/>
        </w:rPr>
      </w:pPr>
    </w:p>
    <w:p w14:paraId="23DC8DBE" w14:textId="77777777" w:rsidR="00D603F5" w:rsidRPr="00842ECC" w:rsidRDefault="00D603F5" w:rsidP="00B502C7">
      <w:pPr>
        <w:pStyle w:val="Style2"/>
        <w:rPr>
          <w:lang w:val="bg-BG" w:eastAsia="bg-BG"/>
        </w:rPr>
      </w:pPr>
      <w:bookmarkStart w:id="502" w:name="_Toc464561637"/>
      <w:bookmarkStart w:id="503" w:name="_Toc464573349"/>
      <w:bookmarkStart w:id="504" w:name="_Toc464573802"/>
      <w:bookmarkStart w:id="505" w:name="_Ref413228773"/>
      <w:bookmarkStart w:id="506" w:name="_Toc479775620"/>
      <w:bookmarkStart w:id="507" w:name="_Toc140150200"/>
      <w:bookmarkEnd w:id="502"/>
      <w:bookmarkEnd w:id="503"/>
      <w:bookmarkEnd w:id="504"/>
      <w:r w:rsidRPr="00842ECC">
        <w:rPr>
          <w:lang w:val="bg-BG" w:eastAsia="bg-BG"/>
        </w:rPr>
        <w:t>Процедура за изготвяне на Индикативната годишна програма</w:t>
      </w:r>
      <w:bookmarkEnd w:id="505"/>
      <w:bookmarkEnd w:id="506"/>
      <w:bookmarkEnd w:id="507"/>
    </w:p>
    <w:p w14:paraId="5F366F17" w14:textId="77777777" w:rsidR="00873E73" w:rsidRPr="001B0EA3" w:rsidRDefault="00873E73" w:rsidP="00E806B3">
      <w:pPr>
        <w:pStyle w:val="ListParagraph"/>
        <w:numPr>
          <w:ilvl w:val="0"/>
          <w:numId w:val="352"/>
        </w:numPr>
        <w:tabs>
          <w:tab w:val="left" w:pos="1276"/>
        </w:tabs>
        <w:ind w:left="0" w:firstLine="851"/>
      </w:pPr>
      <w:bookmarkStart w:id="508" w:name="_Ref398563070"/>
      <w:r w:rsidRPr="001B0EA3">
        <w:t>По резолюция (устна или писмена) на началника на отдел „Програмиране“ в дирекция КПП, служител от отдела изготвя проект на ИГРП, като използва образеца по чл. 26, ал. 2 на ПМС № 162/2016, утвърден със Заповед № Р-122/19.08.2016 г. от заместник министър-председателя по европейските фондове и икономическата политика. ИГРП включва процедурите на директно предоставяне по приоритетни оси/проектните предложения, предвидени за подаване за всяка следващата календарна година за програмния период.</w:t>
      </w:r>
    </w:p>
    <w:p w14:paraId="4650A09E" w14:textId="77777777" w:rsidR="00873E73" w:rsidRPr="001B0EA3" w:rsidRDefault="00873E73" w:rsidP="00E806B3">
      <w:pPr>
        <w:pStyle w:val="ListParagraph"/>
        <w:numPr>
          <w:ilvl w:val="0"/>
          <w:numId w:val="352"/>
        </w:numPr>
        <w:tabs>
          <w:tab w:val="left" w:pos="1276"/>
        </w:tabs>
        <w:ind w:left="0" w:firstLine="851"/>
      </w:pPr>
      <w:r w:rsidRPr="001B0EA3">
        <w:t>При изготвянето на проекта на ИГРП за всяка година се отчита, че процедурите на директно предоставяне по ОПТТИ се откриват за общия бюджет на програмата (01.09.2015 г.) и за всяка следваща година в ИГРП се актуализира бюджета по процедурите, на база свободния (недоговориран) финансов ресурс по откритите процедури.</w:t>
      </w:r>
    </w:p>
    <w:p w14:paraId="1E2EB062" w14:textId="77777777" w:rsidR="00873E73" w:rsidRPr="001B0EA3" w:rsidRDefault="00873E73" w:rsidP="00E806B3">
      <w:pPr>
        <w:pStyle w:val="ListParagraph"/>
        <w:numPr>
          <w:ilvl w:val="0"/>
          <w:numId w:val="352"/>
        </w:numPr>
        <w:tabs>
          <w:tab w:val="left" w:pos="1276"/>
        </w:tabs>
        <w:ind w:left="0" w:firstLine="851"/>
      </w:pPr>
      <w:r w:rsidRPr="001B0EA3">
        <w:t>При необходимост в допълнение към т. 2) се набира информация от бенефициентите по ОПТТИ за напредъка по подготовката на проектите, предвидени за финансиране от ОПТТИ. В тази връзка, по предложение на началника на отдела, съгласувано с директора на дирекция КПП, Ръководителят /Заместник-ръководителят на УО на ОПТТИ изпраща официално искане към конкретните бенефициенти за предоставяне в УО на актуални справки за напредъка по подготовката на проектите, предвидени за финансиране от ОПТТИ, както и показатели за напредъка на изпълнението. Набирането на информация може да бъде изискано от Бенефициентите и по официалната електронна поща.</w:t>
      </w:r>
    </w:p>
    <w:p w14:paraId="0031510F" w14:textId="77777777" w:rsidR="00873E73" w:rsidRDefault="00873E73" w:rsidP="00E806B3">
      <w:pPr>
        <w:rPr>
          <w:lang w:eastAsia="bg-BG"/>
        </w:rPr>
      </w:pPr>
      <w:r w:rsidRPr="001B0EA3">
        <w:rPr>
          <w:lang w:eastAsia="bg-BG"/>
        </w:rPr>
        <w:t xml:space="preserve">В случай, че УО на ОПТТИ разполага </w:t>
      </w:r>
      <w:r w:rsidR="00A843B8" w:rsidRPr="001B0EA3">
        <w:rPr>
          <w:lang w:eastAsia="bg-BG"/>
        </w:rPr>
        <w:t xml:space="preserve">с </w:t>
      </w:r>
      <w:r w:rsidRPr="001B0EA3">
        <w:rPr>
          <w:lang w:eastAsia="bg-BG"/>
        </w:rPr>
        <w:t xml:space="preserve">конкретната информацията, събирана по повод различен от подготовката на ИГРП, след анализ тя може да бъде използвана за целите на изготвяне на ИГРП.  </w:t>
      </w:r>
    </w:p>
    <w:p w14:paraId="7EFF5B6D" w14:textId="77777777" w:rsidR="00E806B3" w:rsidRPr="001B0EA3" w:rsidRDefault="00E806B3" w:rsidP="00E806B3">
      <w:pPr>
        <w:rPr>
          <w:lang w:eastAsia="bg-BG"/>
        </w:rPr>
      </w:pPr>
    </w:p>
    <w:p w14:paraId="25636088" w14:textId="77777777" w:rsidR="00873E73" w:rsidRPr="001B0EA3" w:rsidRDefault="00873E73" w:rsidP="00E806B3">
      <w:pPr>
        <w:rPr>
          <w:lang w:eastAsia="bg-BG"/>
        </w:rPr>
      </w:pPr>
      <w:r w:rsidRPr="001B0EA3">
        <w:rPr>
          <w:lang w:eastAsia="bg-BG"/>
        </w:rPr>
        <w:t xml:space="preserve">Справките по </w:t>
      </w:r>
      <w:r w:rsidRPr="001B0EA3">
        <w:rPr>
          <w:b/>
          <w:lang w:eastAsia="bg-BG"/>
        </w:rPr>
        <w:t xml:space="preserve">точка </w:t>
      </w:r>
      <w:r w:rsidRPr="001B0EA3">
        <w:rPr>
          <w:b/>
          <w:lang w:eastAsia="bg-BG"/>
        </w:rPr>
        <w:fldChar w:fldCharType="begin"/>
      </w:r>
      <w:r w:rsidRPr="001B0EA3">
        <w:rPr>
          <w:b/>
          <w:lang w:eastAsia="bg-BG"/>
        </w:rPr>
        <w:instrText xml:space="preserve"> REF _Ref398563070 \r \h  \* MERGEFORMAT </w:instrText>
      </w:r>
      <w:r w:rsidRPr="001B0EA3">
        <w:rPr>
          <w:b/>
          <w:lang w:eastAsia="bg-BG"/>
        </w:rPr>
      </w:r>
      <w:r w:rsidRPr="001B0EA3">
        <w:rPr>
          <w:b/>
          <w:lang w:eastAsia="bg-BG"/>
        </w:rPr>
        <w:fldChar w:fldCharType="separate"/>
      </w:r>
      <w:r w:rsidR="00F22141">
        <w:rPr>
          <w:b/>
          <w:lang w:eastAsia="bg-BG"/>
        </w:rPr>
        <w:t>1)</w:t>
      </w:r>
      <w:r w:rsidRPr="001B0EA3">
        <w:rPr>
          <w:b/>
          <w:lang w:eastAsia="bg-BG"/>
        </w:rPr>
        <w:fldChar w:fldCharType="end"/>
      </w:r>
      <w:r w:rsidRPr="001B0EA3">
        <w:rPr>
          <w:lang w:eastAsia="bg-BG"/>
        </w:rPr>
        <w:t xml:space="preserve"> могат да бъдат и периодични (например всеки месец) и/или непланирани (когато е необходимо). </w:t>
      </w:r>
    </w:p>
    <w:p w14:paraId="707B13E6" w14:textId="77777777" w:rsidR="00873E73" w:rsidRPr="001B0EA3" w:rsidRDefault="00873E73" w:rsidP="00E806B3">
      <w:pPr>
        <w:pStyle w:val="ListParagraph"/>
        <w:numPr>
          <w:ilvl w:val="0"/>
          <w:numId w:val="352"/>
        </w:numPr>
        <w:tabs>
          <w:tab w:val="left" w:pos="1276"/>
        </w:tabs>
        <w:ind w:left="0" w:firstLine="851"/>
      </w:pPr>
      <w:r w:rsidRPr="001B0EA3">
        <w:t xml:space="preserve">След получаване на справките от страна на бенефициентите, експерт/и в отдел „Програмиране”, дирекция КПП анализират и обобщават получената информация, планират дейностите и изготвят проект на ИГРП. Анализът включва и съответствие с финансовите параметри и описанието на допустимите дейности по одобрената ОПТТИ. </w:t>
      </w:r>
      <w:r w:rsidRPr="001B0EA3">
        <w:tab/>
      </w:r>
    </w:p>
    <w:p w14:paraId="3CB75E3C" w14:textId="77777777" w:rsidR="000177A3" w:rsidRPr="00117E69" w:rsidRDefault="000177A3" w:rsidP="000177A3">
      <w:pPr>
        <w:pStyle w:val="ListParagraph"/>
        <w:numPr>
          <w:ilvl w:val="0"/>
          <w:numId w:val="352"/>
        </w:numPr>
        <w:tabs>
          <w:tab w:val="left" w:pos="1276"/>
        </w:tabs>
        <w:ind w:left="0" w:firstLine="851"/>
        <w:rPr>
          <w:rStyle w:val="Hyperlink"/>
          <w:color w:val="auto"/>
          <w:u w:val="none"/>
        </w:rPr>
      </w:pPr>
      <w:r w:rsidRPr="001B0EA3">
        <w:t>Отговорен/ни експерт/и от отдел „Програмиране“ извършва/т първа проверка на проектът на ИГРП</w:t>
      </w:r>
      <w:r w:rsidR="007D4BBE">
        <w:t>,</w:t>
      </w:r>
      <w:r w:rsidRPr="001B0EA3">
        <w:t xml:space="preserve"> като за целта се попълва Контролен лист за одобрение на ИГРП </w:t>
      </w:r>
      <w:r w:rsidRPr="00E806B3">
        <w:t>(</w:t>
      </w:r>
      <w:hyperlink r:id="rId69" w:tooltip="Контролен лист за одобрение на ИГРП" w:history="1">
        <w:r w:rsidRPr="00251D03">
          <w:rPr>
            <w:rStyle w:val="Hyperlink"/>
            <w:i/>
          </w:rPr>
          <w:t>Приложение № 3.01</w:t>
        </w:r>
      </w:hyperlink>
    </w:p>
    <w:p w14:paraId="61A6EB0D" w14:textId="77777777" w:rsidR="000177A3" w:rsidRPr="001B0EA3" w:rsidRDefault="000177A3" w:rsidP="000177A3">
      <w:pPr>
        <w:pStyle w:val="ListParagraph"/>
        <w:numPr>
          <w:ilvl w:val="0"/>
          <w:numId w:val="352"/>
        </w:numPr>
        <w:tabs>
          <w:tab w:val="left" w:pos="1276"/>
        </w:tabs>
        <w:ind w:left="0" w:firstLine="851"/>
      </w:pPr>
      <w:r w:rsidRPr="00E806B3">
        <w:t>)</w:t>
      </w:r>
      <w:r>
        <w:t xml:space="preserve"> в системата ИСУН 2020</w:t>
      </w:r>
      <w:r w:rsidRPr="001B0EA3">
        <w:t>;</w:t>
      </w:r>
    </w:p>
    <w:p w14:paraId="5B9447F5" w14:textId="77777777" w:rsidR="000177A3" w:rsidRPr="001B0EA3" w:rsidRDefault="000177A3" w:rsidP="000177A3">
      <w:pPr>
        <w:pStyle w:val="ListParagraph"/>
        <w:numPr>
          <w:ilvl w:val="0"/>
          <w:numId w:val="352"/>
        </w:numPr>
        <w:tabs>
          <w:tab w:val="left" w:pos="1276"/>
        </w:tabs>
        <w:ind w:left="0" w:firstLine="851"/>
      </w:pPr>
      <w:r w:rsidRPr="001B0EA3">
        <w:t>ИГРП се подлага на съгласуване, чрез попълване на контролния лист (</w:t>
      </w:r>
      <w:hyperlink r:id="rId70" w:tooltip="Контролен лист за одобрение на ИГРП" w:history="1">
        <w:r w:rsidRPr="00251D03">
          <w:rPr>
            <w:rStyle w:val="Hyperlink"/>
            <w:i/>
          </w:rPr>
          <w:t>Приложение № 3.01</w:t>
        </w:r>
      </w:hyperlink>
      <w:r w:rsidRPr="001B0EA3">
        <w:t>)</w:t>
      </w:r>
      <w:r>
        <w:t xml:space="preserve"> в систем</w:t>
      </w:r>
      <w:r w:rsidR="005D7AE6">
        <w:t>а</w:t>
      </w:r>
      <w:r>
        <w:t>та ИСУН 2020</w:t>
      </w:r>
      <w:r w:rsidR="005D7AE6">
        <w:t>,</w:t>
      </w:r>
      <w:r w:rsidRPr="001B0EA3">
        <w:t xml:space="preserve"> като всеки съгласуващ след като извърши проверките може да постъпи по следния начин:</w:t>
      </w:r>
    </w:p>
    <w:p w14:paraId="629973F8" w14:textId="77777777" w:rsidR="000177A3" w:rsidRPr="001B0EA3" w:rsidRDefault="000177A3" w:rsidP="000177A3">
      <w:pPr>
        <w:pStyle w:val="ListParagraph"/>
        <w:numPr>
          <w:ilvl w:val="0"/>
          <w:numId w:val="353"/>
        </w:numPr>
        <w:rPr>
          <w:lang w:eastAsia="bg-BG"/>
        </w:rPr>
      </w:pPr>
      <w:r w:rsidRPr="001B0EA3">
        <w:rPr>
          <w:lang w:eastAsia="bg-BG"/>
        </w:rPr>
        <w:t>да съгласува ИГРП или</w:t>
      </w:r>
    </w:p>
    <w:p w14:paraId="3402D580" w14:textId="77777777" w:rsidR="000177A3" w:rsidRPr="001B0EA3" w:rsidRDefault="000177A3" w:rsidP="000177A3">
      <w:pPr>
        <w:pStyle w:val="ListParagraph"/>
        <w:numPr>
          <w:ilvl w:val="0"/>
          <w:numId w:val="353"/>
        </w:numPr>
        <w:rPr>
          <w:lang w:eastAsia="bg-BG"/>
        </w:rPr>
      </w:pPr>
      <w:r w:rsidRPr="001B0EA3">
        <w:rPr>
          <w:lang w:eastAsia="bg-BG"/>
        </w:rPr>
        <w:t>да върне обратно ИГРП, с указания за корекция от страна на експерта/ите в отдел „Програмиране”.</w:t>
      </w:r>
    </w:p>
    <w:p w14:paraId="6BC55242" w14:textId="77777777" w:rsidR="000177A3" w:rsidRPr="001B0EA3" w:rsidRDefault="000177A3" w:rsidP="000177A3">
      <w:pPr>
        <w:pStyle w:val="ListParagraph"/>
        <w:numPr>
          <w:ilvl w:val="0"/>
          <w:numId w:val="352"/>
        </w:numPr>
        <w:tabs>
          <w:tab w:val="left" w:pos="1276"/>
        </w:tabs>
        <w:ind w:left="0" w:firstLine="851"/>
      </w:pPr>
      <w:r w:rsidRPr="001B0EA3">
        <w:t xml:space="preserve">Съгласуването на ИГРП се извършва в следния порядък: </w:t>
      </w:r>
    </w:p>
    <w:p w14:paraId="0BF1A81D" w14:textId="77777777" w:rsidR="000177A3" w:rsidRPr="00E806B3" w:rsidRDefault="000177A3" w:rsidP="000177A3">
      <w:pPr>
        <w:pStyle w:val="ListParagraph"/>
        <w:numPr>
          <w:ilvl w:val="0"/>
          <w:numId w:val="353"/>
        </w:numPr>
        <w:rPr>
          <w:lang w:eastAsia="bg-BG"/>
        </w:rPr>
      </w:pPr>
      <w:r w:rsidRPr="00E806B3">
        <w:rPr>
          <w:lang w:eastAsia="bg-BG"/>
        </w:rPr>
        <w:t>началника на отдел „Програмиране”, дирекция КПП;</w:t>
      </w:r>
    </w:p>
    <w:p w14:paraId="50CB1702" w14:textId="77777777" w:rsidR="000177A3" w:rsidRPr="00E806B3" w:rsidRDefault="000177A3" w:rsidP="000177A3">
      <w:pPr>
        <w:pStyle w:val="ListParagraph"/>
        <w:numPr>
          <w:ilvl w:val="0"/>
          <w:numId w:val="353"/>
        </w:numPr>
        <w:rPr>
          <w:lang w:eastAsia="bg-BG"/>
        </w:rPr>
      </w:pPr>
      <w:r w:rsidRPr="00E806B3">
        <w:rPr>
          <w:lang w:eastAsia="bg-BG"/>
        </w:rPr>
        <w:t xml:space="preserve">директора на дирекция КПП </w:t>
      </w:r>
      <w:r w:rsidRPr="00E806B3">
        <w:rPr>
          <w:i/>
          <w:lang w:eastAsia="bg-BG"/>
        </w:rPr>
        <w:t>(не е приложимо</w:t>
      </w:r>
      <w:r w:rsidR="006B7D7F">
        <w:rPr>
          <w:i/>
          <w:lang w:eastAsia="bg-BG"/>
        </w:rPr>
        <w:t>,</w:t>
      </w:r>
      <w:r w:rsidRPr="00E806B3">
        <w:rPr>
          <w:i/>
          <w:lang w:eastAsia="bg-BG"/>
        </w:rPr>
        <w:t xml:space="preserve"> когато директорът е и ръководител на УО</w:t>
      </w:r>
      <w:r w:rsidRPr="00E806B3">
        <w:rPr>
          <w:lang w:eastAsia="bg-BG"/>
        </w:rPr>
        <w:t>).</w:t>
      </w:r>
    </w:p>
    <w:p w14:paraId="1A3E8397" w14:textId="2FC57199" w:rsidR="00F15BE0" w:rsidRPr="001B0EA3" w:rsidRDefault="00F15BE0" w:rsidP="00F15BE0">
      <w:pPr>
        <w:pStyle w:val="ListParagraph"/>
        <w:numPr>
          <w:ilvl w:val="0"/>
          <w:numId w:val="352"/>
        </w:numPr>
        <w:tabs>
          <w:tab w:val="left" w:pos="1276"/>
        </w:tabs>
        <w:ind w:left="0" w:firstLine="851"/>
      </w:pPr>
      <w:r w:rsidRPr="001B0EA3">
        <w:lastRenderedPageBreak/>
        <w:t>След одобрение на ИГРП от страна на директора на дирекция КПП</w:t>
      </w:r>
      <w:r>
        <w:t>,</w:t>
      </w:r>
      <w:r w:rsidRPr="001B0EA3">
        <w:t xml:space="preserve"> началник</w:t>
      </w:r>
      <w:r>
        <w:t>ът</w:t>
      </w:r>
      <w:r w:rsidRPr="001B0EA3">
        <w:t xml:space="preserve"> на отдел „</w:t>
      </w:r>
      <w:r>
        <w:t>Информация, публичност и техническа помощ</w:t>
      </w:r>
      <w:r w:rsidRPr="001B0EA3">
        <w:t>”</w:t>
      </w:r>
      <w:r>
        <w:t>,</w:t>
      </w:r>
      <w:r w:rsidRPr="001B0EA3">
        <w:t xml:space="preserve"> следва да организира публикуването на одобрения проект на ИГРП за коментари на интернет страницата на ОПТТИ (</w:t>
      </w:r>
      <w:hyperlink r:id="rId71" w:history="1">
        <w:r w:rsidR="00842ECC" w:rsidRPr="00842ECC">
          <w:rPr>
            <w:rStyle w:val="Hyperlink"/>
          </w:rPr>
          <w:t>www.</w:t>
        </w:r>
        <w:r w:rsidR="00842ECC" w:rsidRPr="00842ECC">
          <w:rPr>
            <w:rStyle w:val="Hyperlink"/>
            <w:lang w:val="en-US"/>
          </w:rPr>
          <w:t>eufunds</w:t>
        </w:r>
        <w:r w:rsidR="00842ECC" w:rsidRPr="00842ECC">
          <w:rPr>
            <w:rStyle w:val="Hyperlink"/>
          </w:rPr>
          <w:t>.bg</w:t>
        </w:r>
      </w:hyperlink>
      <w:r w:rsidR="00842ECC" w:rsidRPr="00842ECC">
        <w:t>/</w:t>
      </w:r>
      <w:r w:rsidR="00842ECC" w:rsidRPr="00842ECC">
        <w:rPr>
          <w:lang w:val="en-US"/>
        </w:rPr>
        <w:t>optti</w:t>
      </w:r>
      <w:r w:rsidR="00842ECC" w:rsidRPr="00842ECC">
        <w:t xml:space="preserve"> </w:t>
      </w:r>
      <w:r w:rsidRPr="001B0EA3">
        <w:t xml:space="preserve">) и на </w:t>
      </w:r>
      <w:r w:rsidRPr="00E806B3">
        <w:t>ЕИП</w:t>
      </w:r>
      <w:r w:rsidRPr="001B0EA3">
        <w:t>.</w:t>
      </w:r>
      <w:r w:rsidRPr="001B0EA3">
        <w:tab/>
      </w:r>
    </w:p>
    <w:p w14:paraId="6B4B05DA" w14:textId="77777777" w:rsidR="000177A3" w:rsidRPr="001B0EA3" w:rsidRDefault="000177A3" w:rsidP="000177A3">
      <w:pPr>
        <w:pStyle w:val="ListParagraph"/>
        <w:numPr>
          <w:ilvl w:val="0"/>
          <w:numId w:val="352"/>
        </w:numPr>
        <w:tabs>
          <w:tab w:val="left" w:pos="1276"/>
        </w:tabs>
        <w:ind w:left="0" w:firstLine="851"/>
      </w:pPr>
      <w:r w:rsidRPr="001B0EA3">
        <w:t>Проектът на ИГРП следва да се публикува не по-късно от 1 октомври всяка година със срок за обсъждане 20 дни (чл. 26, ал. 3 от ПМС № 162/2016 г.).</w:t>
      </w:r>
    </w:p>
    <w:p w14:paraId="382C7FC5" w14:textId="77777777" w:rsidR="000177A3" w:rsidRDefault="000177A3" w:rsidP="000177A3">
      <w:pPr>
        <w:rPr>
          <w:lang w:eastAsia="bg-BG"/>
        </w:rPr>
      </w:pPr>
      <w:r w:rsidRPr="001B0EA3">
        <w:rPr>
          <w:i/>
          <w:lang w:eastAsia="bg-BG"/>
        </w:rPr>
        <w:t xml:space="preserve">Срок за изпълнение: </w:t>
      </w:r>
      <w:r w:rsidRPr="001B0EA3">
        <w:rPr>
          <w:lang w:eastAsia="bg-BG"/>
        </w:rPr>
        <w:t>До 1 октомври всяка година</w:t>
      </w:r>
    </w:p>
    <w:p w14:paraId="1E2E80E9" w14:textId="77777777" w:rsidR="000177A3" w:rsidRPr="001B0EA3" w:rsidRDefault="000177A3" w:rsidP="000177A3">
      <w:pPr>
        <w:rPr>
          <w:lang w:eastAsia="bg-BG"/>
        </w:rPr>
      </w:pPr>
    </w:p>
    <w:p w14:paraId="79142409" w14:textId="77777777" w:rsidR="000177A3" w:rsidRPr="00E806B3" w:rsidRDefault="000177A3" w:rsidP="000177A3">
      <w:pPr>
        <w:pStyle w:val="ListParagraph"/>
        <w:numPr>
          <w:ilvl w:val="0"/>
          <w:numId w:val="352"/>
        </w:numPr>
        <w:tabs>
          <w:tab w:val="left" w:pos="1276"/>
        </w:tabs>
        <w:ind w:left="0" w:firstLine="851"/>
      </w:pPr>
      <w:r w:rsidRPr="001B0EA3">
        <w:t xml:space="preserve">Постъпилите становища в рамките на предварителното обсъждане по </w:t>
      </w:r>
      <w:r w:rsidRPr="00E806B3">
        <w:t>точка</w:t>
      </w:r>
      <w:r w:rsidRPr="001B0EA3">
        <w:t xml:space="preserve"> </w:t>
      </w:r>
      <w:r>
        <w:t>9</w:t>
      </w:r>
      <w:r w:rsidRPr="00E806B3">
        <w:t xml:space="preserve">) </w:t>
      </w:r>
      <w:r w:rsidRPr="001B0EA3">
        <w:t>се разглеждат и анализират от експерт/и в отдел „Програмиране” и при необходимост след съгласуване с началника на отдела, директора на дирекция КПП и/или Ръководителят на УО на ОПТТИ, ако са добре обосновани и мотивирани се отразяват в ИГРП.</w:t>
      </w:r>
      <w:r w:rsidRPr="00E806B3">
        <w:tab/>
      </w:r>
    </w:p>
    <w:p w14:paraId="14B772B8" w14:textId="77777777" w:rsidR="000177A3" w:rsidRPr="001B0EA3" w:rsidRDefault="000177A3" w:rsidP="000177A3">
      <w:pPr>
        <w:pStyle w:val="ListParagraph"/>
        <w:numPr>
          <w:ilvl w:val="0"/>
          <w:numId w:val="352"/>
        </w:numPr>
        <w:tabs>
          <w:tab w:val="left" w:pos="1276"/>
        </w:tabs>
        <w:ind w:left="0" w:firstLine="851"/>
      </w:pPr>
      <w:r w:rsidRPr="001B0EA3">
        <w:t xml:space="preserve">След изтичане на срока по </w:t>
      </w:r>
      <w:r w:rsidRPr="00E806B3">
        <w:rPr>
          <w:b/>
        </w:rPr>
        <w:t>точка 9)</w:t>
      </w:r>
      <w:r w:rsidRPr="00E806B3">
        <w:t xml:space="preserve"> </w:t>
      </w:r>
      <w:r w:rsidRPr="001B0EA3">
        <w:t>проектът на ИГРП, съгласно чл. 26, ал. 4  на ПМС № 162 05.07.2016 г. се представя за разглеждане от СКУСЕС, който разглежда едновременно проектите на  ИГРП на всички програми. За целта началника на отдел „Програмиране” организира изготвянето на официално писмо от Ръководителя на УО на ОПТТИ, с което проектът на ИГРП се представя за съгласуване на СКУСЕС;</w:t>
      </w:r>
      <w:r w:rsidRPr="001B0EA3">
        <w:tab/>
      </w:r>
      <w:r w:rsidRPr="001B0EA3">
        <w:tab/>
      </w:r>
    </w:p>
    <w:p w14:paraId="5CB8C3A6" w14:textId="77777777" w:rsidR="000177A3" w:rsidRPr="00E806B3" w:rsidRDefault="000177A3" w:rsidP="000177A3">
      <w:pPr>
        <w:pStyle w:val="ListParagraph"/>
        <w:numPr>
          <w:ilvl w:val="0"/>
          <w:numId w:val="352"/>
        </w:numPr>
        <w:tabs>
          <w:tab w:val="left" w:pos="1276"/>
        </w:tabs>
        <w:ind w:left="0" w:firstLine="851"/>
      </w:pPr>
      <w:r w:rsidRPr="001B0EA3">
        <w:t>В съответствие с чл. 26, ал. 5 от ПМС № 162 от 05.07.2016 г. след съгласуване на ИГРП от СКУСЕС, ИГРП се предоставя и за съгласуване от Комитета за наблюдение на ОПТТИ.</w:t>
      </w:r>
    </w:p>
    <w:p w14:paraId="3736AA18" w14:textId="0628D9DB" w:rsidR="009618BD" w:rsidRPr="00E806B3" w:rsidRDefault="009618BD" w:rsidP="009618BD">
      <w:pPr>
        <w:pStyle w:val="ListParagraph"/>
        <w:numPr>
          <w:ilvl w:val="0"/>
          <w:numId w:val="352"/>
        </w:numPr>
        <w:tabs>
          <w:tab w:val="left" w:pos="1276"/>
        </w:tabs>
        <w:ind w:left="0" w:firstLine="851"/>
      </w:pPr>
      <w:r w:rsidRPr="001B0EA3">
        <w:t>При получени коментари или бележи от членовете на КН по ИГРП, служител от отдел „Програмиране“, подготвя отговор-становище или подготвя ревизирана ИГРП. В този случай след като ИГРП бъде одобрена от КН,  отговорният експерт в отдел „Програмиране“ изпраща по електронен път финалния вариант на ИГРП на началника на отдел „</w:t>
      </w:r>
      <w:r w:rsidRPr="005344B5">
        <w:t>Информация, публичност и техническа помощ”</w:t>
      </w:r>
      <w:r w:rsidRPr="001B0EA3">
        <w:t xml:space="preserve">, който </w:t>
      </w:r>
      <w:r w:rsidRPr="00E806B3">
        <w:rPr>
          <w:rStyle w:val="Hyperlink"/>
          <w:b/>
        </w:rPr>
        <w:t>определя отговорен служител от отдел</w:t>
      </w:r>
      <w:r>
        <w:rPr>
          <w:rStyle w:val="Hyperlink"/>
          <w:b/>
        </w:rPr>
        <w:t>а</w:t>
      </w:r>
      <w:r w:rsidRPr="00E806B3">
        <w:rPr>
          <w:rStyle w:val="Hyperlink"/>
          <w:b/>
        </w:rPr>
        <w:t xml:space="preserve"> </w:t>
      </w:r>
      <w:r w:rsidRPr="00E806B3">
        <w:t xml:space="preserve">за </w:t>
      </w:r>
      <w:r w:rsidRPr="001B0EA3">
        <w:t xml:space="preserve">публикуването на одобрената ИГРП на интернет страницата на ОПТТИ и на ЕИП на ЕС в Република България </w:t>
      </w:r>
      <w:hyperlink r:id="rId72" w:history="1">
        <w:r w:rsidRPr="008F1A0D">
          <w:rPr>
            <w:rStyle w:val="Hyperlink"/>
          </w:rPr>
          <w:t>www.eufun</w:t>
        </w:r>
        <w:r w:rsidRPr="00F93BFC">
          <w:rPr>
            <w:rStyle w:val="Hyperlink"/>
            <w:lang w:val="en-US"/>
          </w:rPr>
          <w:t>d</w:t>
        </w:r>
        <w:r w:rsidRPr="008F1A0D">
          <w:rPr>
            <w:rStyle w:val="Hyperlink"/>
          </w:rPr>
          <w:t>s.bg</w:t>
        </w:r>
      </w:hyperlink>
      <w:r w:rsidR="00513981" w:rsidRPr="006A6D08">
        <w:rPr>
          <w:rStyle w:val="Hyperlink"/>
        </w:rPr>
        <w:t>/</w:t>
      </w:r>
      <w:r w:rsidR="00513981">
        <w:rPr>
          <w:rStyle w:val="Hyperlink"/>
          <w:lang w:val="en-US"/>
        </w:rPr>
        <w:t>optti</w:t>
      </w:r>
      <w:r w:rsidRPr="001B0EA3">
        <w:t>.</w:t>
      </w:r>
    </w:p>
    <w:p w14:paraId="47283F0C" w14:textId="77777777" w:rsidR="000177A3" w:rsidRPr="004C24D2" w:rsidRDefault="000177A3" w:rsidP="004C24D2">
      <w:pPr>
        <w:pStyle w:val="ListParagraph"/>
        <w:numPr>
          <w:ilvl w:val="0"/>
          <w:numId w:val="352"/>
        </w:numPr>
        <w:tabs>
          <w:tab w:val="left" w:pos="1276"/>
        </w:tabs>
        <w:ind w:left="0" w:firstLine="851"/>
        <w:rPr>
          <w:szCs w:val="24"/>
          <w:lang w:eastAsia="bg-BG"/>
        </w:rPr>
      </w:pPr>
      <w:r w:rsidRPr="004C24D2">
        <w:rPr>
          <w:szCs w:val="24"/>
          <w:lang w:eastAsia="bg-BG"/>
        </w:rPr>
        <w:t>Срок за изпълнение: В срок до 7 работни дни от одобрението на ИГРП, но не по-късно от 30 ноември всяка година.</w:t>
      </w:r>
    </w:p>
    <w:p w14:paraId="6E079183" w14:textId="77777777" w:rsidR="000177A3" w:rsidRPr="001B0EA3" w:rsidRDefault="000177A3" w:rsidP="000177A3">
      <w:pPr>
        <w:rPr>
          <w:szCs w:val="24"/>
          <w:lang w:eastAsia="bg-BG"/>
        </w:rPr>
      </w:pPr>
    </w:p>
    <w:p w14:paraId="33664CD8" w14:textId="77777777" w:rsidR="000177A3" w:rsidRPr="001B0EA3" w:rsidRDefault="000177A3" w:rsidP="000177A3">
      <w:pPr>
        <w:pStyle w:val="ListParagraph"/>
        <w:numPr>
          <w:ilvl w:val="0"/>
          <w:numId w:val="352"/>
        </w:numPr>
        <w:tabs>
          <w:tab w:val="left" w:pos="1276"/>
        </w:tabs>
        <w:ind w:left="0" w:firstLine="851"/>
      </w:pPr>
      <w:r w:rsidRPr="001B0EA3">
        <w:t xml:space="preserve">ИГРП за 2014 г. се публикува при спазване на горепосочената процедура, но като по изключение сроковете са съгласно указанията на </w:t>
      </w:r>
      <w:r w:rsidRPr="00E806B3">
        <w:t>заместник министър-председателя по европейските фондове и икономическата политика</w:t>
      </w:r>
      <w:r w:rsidRPr="001B0EA3">
        <w:t>, а срокът за предварително обсъждане на проектите на индикативните годишни работни програми не може да бъде по-кратък от 10 дни.</w:t>
      </w:r>
    </w:p>
    <w:bookmarkEnd w:id="508"/>
    <w:p w14:paraId="769ED6DA" w14:textId="77777777" w:rsidR="00D603F5" w:rsidRPr="001B0EA3" w:rsidRDefault="00D603F5" w:rsidP="006D0388"/>
    <w:p w14:paraId="46A567F9" w14:textId="77777777" w:rsidR="00D603F5" w:rsidRPr="00842ECC" w:rsidRDefault="00D603F5" w:rsidP="00B502C7">
      <w:pPr>
        <w:pStyle w:val="Style2"/>
        <w:rPr>
          <w:lang w:val="bg-BG" w:eastAsia="bg-BG"/>
        </w:rPr>
      </w:pPr>
      <w:r w:rsidRPr="00842ECC">
        <w:rPr>
          <w:lang w:val="bg-BG" w:eastAsia="bg-BG"/>
        </w:rPr>
        <w:t xml:space="preserve"> </w:t>
      </w:r>
      <w:bookmarkStart w:id="509" w:name="_Toc479775621"/>
      <w:bookmarkStart w:id="510" w:name="_Toc140150201"/>
      <w:r w:rsidRPr="00842ECC">
        <w:rPr>
          <w:lang w:val="bg-BG" w:eastAsia="bg-BG"/>
        </w:rPr>
        <w:t xml:space="preserve">Процедура за изменение на Индикативната годишна </w:t>
      </w:r>
      <w:r w:rsidR="00AF634D" w:rsidRPr="00842ECC">
        <w:rPr>
          <w:lang w:val="bg-BG" w:eastAsia="bg-BG"/>
        </w:rPr>
        <w:t xml:space="preserve">работна </w:t>
      </w:r>
      <w:r w:rsidRPr="00842ECC">
        <w:rPr>
          <w:lang w:val="bg-BG" w:eastAsia="bg-BG"/>
        </w:rPr>
        <w:t>програма</w:t>
      </w:r>
      <w:bookmarkEnd w:id="509"/>
      <w:bookmarkEnd w:id="510"/>
    </w:p>
    <w:p w14:paraId="5292A22F" w14:textId="77777777" w:rsidR="00C5752F" w:rsidRPr="001B0EA3" w:rsidRDefault="00C5752F" w:rsidP="00E806B3">
      <w:pPr>
        <w:pStyle w:val="ListParagraph"/>
        <w:numPr>
          <w:ilvl w:val="0"/>
          <w:numId w:val="354"/>
        </w:numPr>
        <w:tabs>
          <w:tab w:val="left" w:pos="1276"/>
        </w:tabs>
        <w:ind w:left="0" w:firstLine="851"/>
      </w:pPr>
      <w:r w:rsidRPr="001B0EA3">
        <w:t xml:space="preserve">Изменение на ИГРП по инициатива на УО на ОПТТИ или в резултат на постъпила информация от бенефициентите по ОПТТИ </w:t>
      </w:r>
      <w:r w:rsidRPr="00E806B3">
        <w:rPr>
          <w:b/>
        </w:rPr>
        <w:t xml:space="preserve">по точка </w:t>
      </w:r>
      <w:r w:rsidRPr="00E806B3">
        <w:rPr>
          <w:b/>
        </w:rPr>
        <w:fldChar w:fldCharType="begin"/>
      </w:r>
      <w:r w:rsidRPr="00E806B3">
        <w:rPr>
          <w:b/>
        </w:rPr>
        <w:instrText xml:space="preserve"> REF _Ref413228773 \r \h  \* MERGEFORMAT </w:instrText>
      </w:r>
      <w:r w:rsidRPr="00E806B3">
        <w:rPr>
          <w:b/>
        </w:rPr>
      </w:r>
      <w:r w:rsidRPr="00E806B3">
        <w:rPr>
          <w:b/>
        </w:rPr>
        <w:fldChar w:fldCharType="separate"/>
      </w:r>
      <w:r w:rsidR="00F22141">
        <w:rPr>
          <w:b/>
        </w:rPr>
        <w:t>15.1</w:t>
      </w:r>
      <w:r w:rsidRPr="00E806B3">
        <w:rPr>
          <w:b/>
        </w:rPr>
        <w:fldChar w:fldCharType="end"/>
      </w:r>
      <w:r w:rsidRPr="00E806B3">
        <w:rPr>
          <w:b/>
        </w:rPr>
        <w:t xml:space="preserve"> подточка </w:t>
      </w:r>
      <w:r w:rsidRPr="00E806B3">
        <w:rPr>
          <w:b/>
        </w:rPr>
        <w:fldChar w:fldCharType="begin"/>
      </w:r>
      <w:r w:rsidRPr="00E806B3">
        <w:rPr>
          <w:b/>
        </w:rPr>
        <w:instrText xml:space="preserve"> REF _Ref398563070 \r \h  \* MERGEFORMAT </w:instrText>
      </w:r>
      <w:r w:rsidRPr="00E806B3">
        <w:rPr>
          <w:b/>
        </w:rPr>
      </w:r>
      <w:r w:rsidRPr="00E806B3">
        <w:rPr>
          <w:b/>
        </w:rPr>
        <w:fldChar w:fldCharType="separate"/>
      </w:r>
      <w:r w:rsidR="00F22141">
        <w:rPr>
          <w:b/>
        </w:rPr>
        <w:t>1)</w:t>
      </w:r>
      <w:r w:rsidRPr="00E806B3">
        <w:rPr>
          <w:b/>
        </w:rPr>
        <w:fldChar w:fldCharType="end"/>
      </w:r>
      <w:r w:rsidRPr="001B0EA3">
        <w:t xml:space="preserve"> или след изменение на ОПТТИ, се изготвя от експерт/и в отдел „Програмиране”. </w:t>
      </w:r>
    </w:p>
    <w:p w14:paraId="5E64C009" w14:textId="77777777" w:rsidR="00C5752F" w:rsidRPr="001B0EA3" w:rsidRDefault="00C5752F" w:rsidP="00E806B3">
      <w:pPr>
        <w:pStyle w:val="ListParagraph"/>
        <w:numPr>
          <w:ilvl w:val="0"/>
          <w:numId w:val="354"/>
        </w:numPr>
        <w:tabs>
          <w:tab w:val="left" w:pos="1276"/>
        </w:tabs>
        <w:ind w:left="0" w:firstLine="851"/>
      </w:pPr>
      <w:r w:rsidRPr="001B0EA3">
        <w:t>Срок за изпълнение: До 11 работни дни от постъпване на информацията от бенефициентите по ОПТТИ.</w:t>
      </w:r>
    </w:p>
    <w:p w14:paraId="5A2806BD" w14:textId="77777777" w:rsidR="00C5752F" w:rsidRPr="001B0EA3" w:rsidRDefault="00C5752F" w:rsidP="00E806B3">
      <w:pPr>
        <w:pStyle w:val="ListParagraph"/>
        <w:numPr>
          <w:ilvl w:val="0"/>
          <w:numId w:val="354"/>
        </w:numPr>
        <w:tabs>
          <w:tab w:val="left" w:pos="1276"/>
        </w:tabs>
        <w:ind w:left="0" w:firstLine="851"/>
      </w:pPr>
      <w:r w:rsidRPr="001B0EA3">
        <w:t xml:space="preserve">Изменената ИГРП при спазване на процедурите по точка </w:t>
      </w:r>
      <w:r w:rsidR="0032751A">
        <w:t>15.1</w:t>
      </w:r>
      <w:r w:rsidRPr="001B0EA3">
        <w:t xml:space="preserve"> се съгласува от КН на ОПТТИ при следните обстоятелства:</w:t>
      </w:r>
    </w:p>
    <w:p w14:paraId="4C9768F6" w14:textId="77777777" w:rsidR="00C5752F" w:rsidRPr="001B0EA3" w:rsidRDefault="00C5752F" w:rsidP="00E806B3">
      <w:pPr>
        <w:pStyle w:val="ListParagraph"/>
        <w:numPr>
          <w:ilvl w:val="0"/>
          <w:numId w:val="355"/>
        </w:numPr>
        <w:ind w:left="1134" w:hanging="141"/>
      </w:pPr>
      <w:r w:rsidRPr="001B0EA3">
        <w:t>включване на нова процедура;</w:t>
      </w:r>
    </w:p>
    <w:p w14:paraId="67A27936" w14:textId="77777777" w:rsidR="00C5752F" w:rsidRPr="001B0EA3" w:rsidRDefault="00C5752F" w:rsidP="00E806B3">
      <w:pPr>
        <w:pStyle w:val="ListParagraph"/>
        <w:numPr>
          <w:ilvl w:val="0"/>
          <w:numId w:val="355"/>
        </w:numPr>
        <w:ind w:left="1134" w:hanging="141"/>
      </w:pPr>
      <w:r w:rsidRPr="001B0EA3">
        <w:t>отменяне на планирана процедура;</w:t>
      </w:r>
    </w:p>
    <w:p w14:paraId="5F10F045" w14:textId="77777777" w:rsidR="00C5752F" w:rsidRPr="001B0EA3" w:rsidRDefault="00C5752F" w:rsidP="00E806B3">
      <w:pPr>
        <w:pStyle w:val="ListParagraph"/>
        <w:numPr>
          <w:ilvl w:val="0"/>
          <w:numId w:val="355"/>
        </w:numPr>
        <w:ind w:left="1134" w:hanging="141"/>
      </w:pPr>
      <w:r w:rsidRPr="001B0EA3">
        <w:t>промяна по отношение на конкретна процедура, свързана със:</w:t>
      </w:r>
    </w:p>
    <w:p w14:paraId="27DE773C" w14:textId="77777777" w:rsidR="00C5752F" w:rsidRPr="001B0EA3" w:rsidRDefault="00C5752F" w:rsidP="00E806B3">
      <w:pPr>
        <w:pStyle w:val="ListParagraph"/>
        <w:numPr>
          <w:ilvl w:val="0"/>
          <w:numId w:val="356"/>
        </w:numPr>
      </w:pPr>
      <w:r w:rsidRPr="001B0EA3">
        <w:t>целите й;</w:t>
      </w:r>
    </w:p>
    <w:p w14:paraId="1C910F6B" w14:textId="77777777" w:rsidR="00C5752F" w:rsidRPr="001B0EA3" w:rsidRDefault="00C5752F" w:rsidP="00E806B3">
      <w:pPr>
        <w:pStyle w:val="ListParagraph"/>
        <w:numPr>
          <w:ilvl w:val="0"/>
          <w:numId w:val="356"/>
        </w:numPr>
      </w:pPr>
      <w:r w:rsidRPr="001B0EA3">
        <w:t>начина на провеждането й – чрез директно предоставяне или чрез подбор;</w:t>
      </w:r>
    </w:p>
    <w:p w14:paraId="04092E74" w14:textId="77777777" w:rsidR="00C5752F" w:rsidRPr="001B0EA3" w:rsidRDefault="00C5752F" w:rsidP="00E806B3">
      <w:pPr>
        <w:pStyle w:val="ListParagraph"/>
        <w:numPr>
          <w:ilvl w:val="0"/>
          <w:numId w:val="356"/>
        </w:numPr>
      </w:pPr>
      <w:r w:rsidRPr="001B0EA3">
        <w:t>общия размер на финансовата помощ по процедурата – при промяна с повече от 30 на сто спрямо първоначално заложения;</w:t>
      </w:r>
    </w:p>
    <w:p w14:paraId="6F47BC8E" w14:textId="77777777" w:rsidR="00C5752F" w:rsidRPr="001B0EA3" w:rsidRDefault="00C5752F" w:rsidP="00E806B3">
      <w:pPr>
        <w:pStyle w:val="ListParagraph"/>
        <w:numPr>
          <w:ilvl w:val="0"/>
          <w:numId w:val="356"/>
        </w:numPr>
      </w:pPr>
      <w:r w:rsidRPr="001B0EA3">
        <w:t>допустимите кандидати;</w:t>
      </w:r>
    </w:p>
    <w:p w14:paraId="2E197811" w14:textId="77777777" w:rsidR="00C5752F" w:rsidRPr="001B0EA3" w:rsidRDefault="00C5752F" w:rsidP="00E806B3">
      <w:pPr>
        <w:pStyle w:val="ListParagraph"/>
        <w:numPr>
          <w:ilvl w:val="0"/>
          <w:numId w:val="356"/>
        </w:numPr>
      </w:pPr>
      <w:r w:rsidRPr="001B0EA3">
        <w:lastRenderedPageBreak/>
        <w:t>максималния процент на съфинансиране.</w:t>
      </w:r>
    </w:p>
    <w:p w14:paraId="221FEDFB" w14:textId="77777777" w:rsidR="00C5752F" w:rsidRPr="001B0EA3" w:rsidRDefault="00C5752F" w:rsidP="00E806B3">
      <w:pPr>
        <w:pStyle w:val="ListParagraph"/>
        <w:numPr>
          <w:ilvl w:val="0"/>
          <w:numId w:val="354"/>
        </w:numPr>
        <w:tabs>
          <w:tab w:val="left" w:pos="1276"/>
        </w:tabs>
        <w:ind w:left="0" w:firstLine="851"/>
      </w:pPr>
      <w:r w:rsidRPr="001B0EA3">
        <w:t>Извън случаите по т. 2)  измененията в индикативните годишни работни програми се изпращат на Комитета за наблюдение за информация.</w:t>
      </w:r>
    </w:p>
    <w:p w14:paraId="3DF98CCD" w14:textId="77777777" w:rsidR="00C5752F" w:rsidRDefault="00C5752F" w:rsidP="00FD44D7">
      <w:pPr>
        <w:rPr>
          <w:lang w:eastAsia="bg-BG"/>
        </w:rPr>
      </w:pPr>
      <w:r w:rsidRPr="001B0EA3">
        <w:rPr>
          <w:i/>
          <w:lang w:eastAsia="bg-BG"/>
        </w:rPr>
        <w:t>Срок за изпълнение:</w:t>
      </w:r>
      <w:r w:rsidRPr="001B0EA3">
        <w:rPr>
          <w:lang w:eastAsia="bg-BG"/>
        </w:rPr>
        <w:t xml:space="preserve"> Съгласно процедурните правила за работа на КН на ОПТТИ.</w:t>
      </w:r>
    </w:p>
    <w:p w14:paraId="299B6D6A" w14:textId="77777777" w:rsidR="00FD44D7" w:rsidRPr="001B0EA3" w:rsidRDefault="00FD44D7" w:rsidP="00FD44D7">
      <w:pPr>
        <w:rPr>
          <w:b/>
          <w:lang w:eastAsia="bg-BG"/>
        </w:rPr>
      </w:pPr>
    </w:p>
    <w:p w14:paraId="4AC14649" w14:textId="66FA64B2" w:rsidR="007610C0" w:rsidRPr="001B0EA3" w:rsidRDefault="007610C0" w:rsidP="00E806B3">
      <w:pPr>
        <w:pStyle w:val="ListParagraph"/>
        <w:numPr>
          <w:ilvl w:val="0"/>
          <w:numId w:val="354"/>
        </w:numPr>
        <w:tabs>
          <w:tab w:val="left" w:pos="1276"/>
        </w:tabs>
        <w:ind w:left="0" w:firstLine="851"/>
      </w:pPr>
      <w:r w:rsidRPr="001B0EA3">
        <w:t>След одобрението на изменената ИГРП,  отговорният експерт в отдел „Програмиране“ изпраща по електронен</w:t>
      </w:r>
      <w:r w:rsidR="00EC75F0">
        <w:t xml:space="preserve"> път финалния вариант на </w:t>
      </w:r>
      <w:r w:rsidR="00EC75F0" w:rsidRPr="0016614E">
        <w:t>отдел „Информация, публичност и техническа помощ”</w:t>
      </w:r>
      <w:r w:rsidRPr="0016614E">
        <w:t xml:space="preserve"> за публикуването му на интернет страницата на</w:t>
      </w:r>
      <w:r w:rsidRPr="001B0EA3">
        <w:t xml:space="preserve"> ОПТТИ </w:t>
      </w:r>
      <w:r w:rsidR="00F07913">
        <w:t xml:space="preserve">в </w:t>
      </w:r>
      <w:r w:rsidRPr="001B0EA3">
        <w:t xml:space="preserve">ЕИП на ЕС в Република България </w:t>
      </w:r>
      <w:hyperlink r:id="rId73" w:history="1">
        <w:r w:rsidRPr="00BD0F60">
          <w:rPr>
            <w:rStyle w:val="Hyperlink"/>
          </w:rPr>
          <w:t>www.eufunds.bg</w:t>
        </w:r>
      </w:hyperlink>
      <w:r w:rsidRPr="001B0EA3">
        <w:t xml:space="preserve"> в срок до 7 работни дни от одобрението на изменената ИГРП.</w:t>
      </w:r>
    </w:p>
    <w:p w14:paraId="73B242FF" w14:textId="77777777" w:rsidR="00FD44D7" w:rsidRDefault="00FD44D7" w:rsidP="00FD44D7">
      <w:pPr>
        <w:rPr>
          <w:i/>
        </w:rPr>
      </w:pPr>
    </w:p>
    <w:p w14:paraId="18C120BB" w14:textId="77777777" w:rsidR="00C5752F" w:rsidRPr="001B0EA3" w:rsidRDefault="00C5752F" w:rsidP="00FD44D7">
      <w:r w:rsidRPr="001B0EA3">
        <w:rPr>
          <w:i/>
        </w:rPr>
        <w:t>Срок за изпълнение:</w:t>
      </w:r>
      <w:r w:rsidRPr="001B0EA3">
        <w:t xml:space="preserve"> Всички изменения в индикативната годишна работна програма се публикуват на електронната страница на съответната програма и на Единния информационен портал, като измененията по ал. 8 се публикуват в едноседмичен срок от съгласуването им.</w:t>
      </w:r>
    </w:p>
    <w:p w14:paraId="44117595" w14:textId="77777777" w:rsidR="00A57F31" w:rsidRPr="001B0EA3" w:rsidRDefault="00A57F31" w:rsidP="00FD44D7"/>
    <w:p w14:paraId="6CD8B230" w14:textId="77777777" w:rsidR="00D603F5" w:rsidRPr="00A110A4" w:rsidRDefault="00D603F5" w:rsidP="00F058E0">
      <w:pPr>
        <w:pStyle w:val="Style1"/>
      </w:pPr>
      <w:bookmarkStart w:id="511" w:name="_Toc479775622"/>
      <w:bookmarkStart w:id="512" w:name="_Toc140150202"/>
      <w:r w:rsidRPr="00A110A4">
        <w:t>ПОДГОТОВКА НА ПРОЕКТИ</w:t>
      </w:r>
      <w:bookmarkEnd w:id="511"/>
      <w:bookmarkEnd w:id="512"/>
    </w:p>
    <w:p w14:paraId="5038CC34" w14:textId="77777777" w:rsidR="00D603F5" w:rsidRPr="001B0EA3" w:rsidRDefault="00D603F5" w:rsidP="00B502C7">
      <w:pPr>
        <w:pStyle w:val="Style2"/>
        <w:rPr>
          <w:lang w:eastAsia="bg-BG"/>
        </w:rPr>
      </w:pPr>
      <w:bookmarkStart w:id="513" w:name="_Toc479775623"/>
      <w:bookmarkStart w:id="514" w:name="_Toc140150203"/>
      <w:r w:rsidRPr="001B0EA3">
        <w:rPr>
          <w:lang w:eastAsia="bg-BG"/>
        </w:rPr>
        <w:t>Цикъл на проекта</w:t>
      </w:r>
      <w:bookmarkEnd w:id="513"/>
      <w:bookmarkEnd w:id="514"/>
    </w:p>
    <w:p w14:paraId="2DFECEF8" w14:textId="77777777" w:rsidR="00D603F5" w:rsidRPr="001B0EA3" w:rsidRDefault="00D603F5" w:rsidP="008265BE">
      <w:pPr>
        <w:pStyle w:val="ListParagraph"/>
        <w:numPr>
          <w:ilvl w:val="0"/>
          <w:numId w:val="348"/>
        </w:numPr>
        <w:ind w:left="0" w:firstLine="851"/>
      </w:pPr>
      <w:r w:rsidRPr="001B0EA3">
        <w:t>Схема на проектния цикъл</w:t>
      </w:r>
    </w:p>
    <w:p w14:paraId="2356BF09" w14:textId="77777777" w:rsidR="00D603F5" w:rsidRPr="001B0EA3" w:rsidRDefault="00937754" w:rsidP="00890B4B">
      <w:pPr>
        <w:rPr>
          <w:szCs w:val="24"/>
          <w:lang w:eastAsia="bg-BG"/>
        </w:rPr>
      </w:pPr>
      <w:r w:rsidRPr="001B0EA3">
        <w:rPr>
          <w:noProof/>
          <w:szCs w:val="24"/>
          <w:lang w:eastAsia="bg-BG"/>
        </w:rPr>
        <w:drawing>
          <wp:inline distT="0" distB="0" distL="0" distR="0" wp14:anchorId="6AEE736E" wp14:editId="58CF2A70">
            <wp:extent cx="5129530" cy="3844290"/>
            <wp:effectExtent l="57150" t="19050" r="33020" b="80010"/>
            <wp:docPr id="7" name="Picture 6" descr="Title: SmartArt - Description: Vertical Chevron List"/>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51EB85EC" w14:textId="77777777" w:rsidR="00D603F5" w:rsidRPr="001B0EA3" w:rsidRDefault="00D603F5" w:rsidP="00890B4B">
      <w:pPr>
        <w:rPr>
          <w:szCs w:val="24"/>
          <w:lang w:eastAsia="bg-BG"/>
        </w:rPr>
      </w:pPr>
    </w:p>
    <w:p w14:paraId="537D9DC7" w14:textId="77777777" w:rsidR="00D603F5" w:rsidRPr="001B0EA3" w:rsidRDefault="00D603F5" w:rsidP="008265BE">
      <w:pPr>
        <w:pStyle w:val="ListParagraph"/>
        <w:numPr>
          <w:ilvl w:val="0"/>
          <w:numId w:val="348"/>
        </w:numPr>
        <w:ind w:left="0" w:firstLine="851"/>
      </w:pPr>
      <w:r w:rsidRPr="001B0EA3">
        <w:t>Критични точки на проектния цикъл.</w:t>
      </w:r>
    </w:p>
    <w:p w14:paraId="151ABC7A" w14:textId="77777777" w:rsidR="008265BE" w:rsidRDefault="008265BE" w:rsidP="008265BE">
      <w:pPr>
        <w:rPr>
          <w:b/>
          <w:lang w:eastAsia="bg-BG"/>
        </w:rPr>
      </w:pPr>
    </w:p>
    <w:p w14:paraId="3DBD5E5A" w14:textId="77777777" w:rsidR="00D603F5" w:rsidRPr="008265BE" w:rsidRDefault="00D603F5" w:rsidP="008265BE">
      <w:pPr>
        <w:rPr>
          <w:b/>
          <w:u w:val="single"/>
          <w:lang w:eastAsia="bg-BG"/>
        </w:rPr>
      </w:pPr>
      <w:r w:rsidRPr="008265BE">
        <w:rPr>
          <w:b/>
          <w:u w:val="single"/>
          <w:lang w:eastAsia="bg-BG"/>
        </w:rPr>
        <w:t>Идентифициране:</w:t>
      </w:r>
    </w:p>
    <w:p w14:paraId="24D967DB" w14:textId="77777777" w:rsidR="00D603F5" w:rsidRPr="001B0EA3" w:rsidRDefault="00D603F5" w:rsidP="008265BE">
      <w:pPr>
        <w:pStyle w:val="ListParagraph"/>
        <w:numPr>
          <w:ilvl w:val="0"/>
          <w:numId w:val="349"/>
        </w:numPr>
        <w:tabs>
          <w:tab w:val="left" w:pos="1134"/>
        </w:tabs>
        <w:ind w:left="0" w:firstLine="851"/>
        <w:rPr>
          <w:lang w:eastAsia="bg-BG"/>
        </w:rPr>
      </w:pPr>
      <w:r w:rsidRPr="001B0EA3">
        <w:rPr>
          <w:lang w:eastAsia="bg-BG"/>
        </w:rPr>
        <w:t xml:space="preserve">Анализи - Предпроектно проучване, анализ разходи-ползи; предварителна оценка; </w:t>
      </w:r>
    </w:p>
    <w:p w14:paraId="43720923" w14:textId="77777777" w:rsidR="00D603F5" w:rsidRPr="001B0EA3" w:rsidRDefault="00D603F5" w:rsidP="008265BE">
      <w:pPr>
        <w:pStyle w:val="ListParagraph"/>
        <w:numPr>
          <w:ilvl w:val="0"/>
          <w:numId w:val="349"/>
        </w:numPr>
        <w:tabs>
          <w:tab w:val="left" w:pos="1134"/>
        </w:tabs>
        <w:ind w:left="0" w:firstLine="851"/>
        <w:rPr>
          <w:lang w:eastAsia="bg-BG"/>
        </w:rPr>
      </w:pPr>
      <w:r w:rsidRPr="001B0EA3">
        <w:rPr>
          <w:lang w:eastAsia="bg-BG"/>
        </w:rPr>
        <w:t xml:space="preserve">Проблемът и неговото най-добро решение – социални и икономически ползи и загуби, възможни алтернативи; </w:t>
      </w:r>
    </w:p>
    <w:p w14:paraId="08D54F9F" w14:textId="77777777" w:rsidR="00D603F5" w:rsidRPr="001B0EA3" w:rsidRDefault="00D603F5" w:rsidP="008265BE">
      <w:pPr>
        <w:pStyle w:val="ListParagraph"/>
        <w:numPr>
          <w:ilvl w:val="0"/>
          <w:numId w:val="349"/>
        </w:numPr>
        <w:tabs>
          <w:tab w:val="left" w:pos="1134"/>
        </w:tabs>
        <w:ind w:left="0" w:firstLine="851"/>
        <w:rPr>
          <w:lang w:eastAsia="bg-BG"/>
        </w:rPr>
      </w:pPr>
      <w:r w:rsidRPr="001B0EA3">
        <w:rPr>
          <w:lang w:eastAsia="bg-BG"/>
        </w:rPr>
        <w:t>Финансов анализ – устойчивост, очаквани приходи, оперативни разходи;</w:t>
      </w:r>
    </w:p>
    <w:p w14:paraId="7A5C3A4F" w14:textId="77777777" w:rsidR="00D603F5" w:rsidRPr="001B0EA3" w:rsidRDefault="00D603F5" w:rsidP="008265BE">
      <w:pPr>
        <w:pStyle w:val="ListParagraph"/>
        <w:numPr>
          <w:ilvl w:val="0"/>
          <w:numId w:val="349"/>
        </w:numPr>
        <w:tabs>
          <w:tab w:val="left" w:pos="1134"/>
        </w:tabs>
        <w:ind w:left="0" w:firstLine="851"/>
        <w:rPr>
          <w:lang w:eastAsia="bg-BG"/>
        </w:rPr>
      </w:pPr>
      <w:r w:rsidRPr="001B0EA3">
        <w:rPr>
          <w:lang w:eastAsia="bg-BG"/>
        </w:rPr>
        <w:t xml:space="preserve">Несигурност – Чувствителност и анализ на риска (отклонения от времевия график и плана на разходите). Достоверност на данните. </w:t>
      </w:r>
    </w:p>
    <w:p w14:paraId="3F35E7B4" w14:textId="77777777" w:rsidR="00D603F5" w:rsidRDefault="00D603F5" w:rsidP="008265BE">
      <w:pPr>
        <w:pStyle w:val="ListParagraph"/>
        <w:numPr>
          <w:ilvl w:val="0"/>
          <w:numId w:val="349"/>
        </w:numPr>
        <w:tabs>
          <w:tab w:val="left" w:pos="1134"/>
        </w:tabs>
        <w:ind w:left="0" w:firstLine="851"/>
        <w:rPr>
          <w:lang w:eastAsia="bg-BG"/>
        </w:rPr>
      </w:pPr>
      <w:r w:rsidRPr="001B0EA3">
        <w:rPr>
          <w:lang w:eastAsia="bg-BG"/>
        </w:rPr>
        <w:lastRenderedPageBreak/>
        <w:t>Оценка на въздействието на околната среда</w:t>
      </w:r>
    </w:p>
    <w:p w14:paraId="1206B9BD" w14:textId="77777777" w:rsidR="008265BE" w:rsidRPr="001B0EA3" w:rsidRDefault="008265BE" w:rsidP="008265BE">
      <w:pPr>
        <w:tabs>
          <w:tab w:val="left" w:pos="1134"/>
        </w:tabs>
        <w:rPr>
          <w:lang w:eastAsia="bg-BG"/>
        </w:rPr>
      </w:pPr>
    </w:p>
    <w:p w14:paraId="271036DE" w14:textId="77777777" w:rsidR="00D603F5" w:rsidRPr="008265BE" w:rsidRDefault="00D603F5" w:rsidP="008265BE">
      <w:pPr>
        <w:rPr>
          <w:b/>
          <w:u w:val="single"/>
          <w:lang w:eastAsia="bg-BG"/>
        </w:rPr>
      </w:pPr>
      <w:r w:rsidRPr="008265BE">
        <w:rPr>
          <w:b/>
          <w:u w:val="single"/>
          <w:lang w:eastAsia="bg-BG"/>
        </w:rPr>
        <w:t xml:space="preserve">Формулиране на проектно предложение: </w:t>
      </w:r>
    </w:p>
    <w:p w14:paraId="3415A6C2" w14:textId="77777777"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 xml:space="preserve">Правилното измерение (проект, фаза, група); </w:t>
      </w:r>
    </w:p>
    <w:p w14:paraId="3DAB3E96" w14:textId="77777777"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Връзка със съществуващата инфраструктура;</w:t>
      </w:r>
    </w:p>
    <w:p w14:paraId="6D8CDFB9" w14:textId="77777777"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Описание на местоположението;</w:t>
      </w:r>
    </w:p>
    <w:p w14:paraId="506FB73D" w14:textId="77777777"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Разходи и план за изпълнение;</w:t>
      </w:r>
    </w:p>
    <w:p w14:paraId="68D582E3" w14:textId="77777777" w:rsidR="008265BE" w:rsidRPr="001B0EA3" w:rsidRDefault="008265BE" w:rsidP="00890B4B">
      <w:pPr>
        <w:rPr>
          <w:szCs w:val="24"/>
          <w:lang w:eastAsia="bg-BG"/>
        </w:rPr>
      </w:pPr>
    </w:p>
    <w:p w14:paraId="620B3599" w14:textId="77777777" w:rsidR="00D603F5" w:rsidRPr="008265BE" w:rsidRDefault="00D603F5" w:rsidP="008265BE">
      <w:pPr>
        <w:rPr>
          <w:b/>
          <w:u w:val="single"/>
          <w:lang w:eastAsia="bg-BG"/>
        </w:rPr>
      </w:pPr>
      <w:r w:rsidRPr="008265BE">
        <w:rPr>
          <w:b/>
          <w:u w:val="single"/>
          <w:lang w:eastAsia="bg-BG"/>
        </w:rPr>
        <w:t>Финансиране:</w:t>
      </w:r>
    </w:p>
    <w:p w14:paraId="63142771" w14:textId="77777777"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Национални и европейски финансови източници (размер на съфинансиране);</w:t>
      </w:r>
    </w:p>
    <w:p w14:paraId="1739F35E" w14:textId="77777777"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Финансов капацитет на националните източници, достъп до кредити;</w:t>
      </w:r>
    </w:p>
    <w:p w14:paraId="253A2468" w14:textId="77777777"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Генерирани приходи – принципът „замърсителят плаща”;</w:t>
      </w:r>
    </w:p>
    <w:p w14:paraId="429379A8" w14:textId="77777777"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 xml:space="preserve">График на плащанията. </w:t>
      </w:r>
    </w:p>
    <w:p w14:paraId="2EAEEDA3" w14:textId="77777777" w:rsidR="008265BE" w:rsidRPr="001B0EA3" w:rsidRDefault="008265BE" w:rsidP="00890B4B">
      <w:pPr>
        <w:rPr>
          <w:szCs w:val="24"/>
          <w:lang w:eastAsia="bg-BG"/>
        </w:rPr>
      </w:pPr>
    </w:p>
    <w:p w14:paraId="07DF4442" w14:textId="77777777" w:rsidR="00D603F5" w:rsidRPr="008265BE" w:rsidRDefault="00D603F5" w:rsidP="008265BE">
      <w:pPr>
        <w:rPr>
          <w:b/>
          <w:u w:val="single"/>
          <w:lang w:eastAsia="bg-BG"/>
        </w:rPr>
      </w:pPr>
      <w:r w:rsidRPr="008265BE">
        <w:rPr>
          <w:b/>
          <w:u w:val="single"/>
          <w:lang w:eastAsia="bg-BG"/>
        </w:rPr>
        <w:t>Изпълнение  – планът за действие се изпълнява и напредъкът на изпълнението се проследява:</w:t>
      </w:r>
    </w:p>
    <w:p w14:paraId="1B4A5ABE" w14:textId="77777777"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Придобиване на земи – координация между субекти, административни и правни процедури; споразумения;</w:t>
      </w:r>
    </w:p>
    <w:p w14:paraId="0E87D86F" w14:textId="77777777"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Обществени поръчки – Документация за участие, включително Техническо задание (техническа спецификация), критерии за оценка, финансови условия; провеждане на процедури за обществени поръчки;</w:t>
      </w:r>
    </w:p>
    <w:p w14:paraId="0C86D0A7" w14:textId="77777777"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Сключване на договор – ясно дефиниране на физическия обект, права и задължения на страните;</w:t>
      </w:r>
    </w:p>
    <w:p w14:paraId="2AFF3E3B" w14:textId="77777777"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Авансово плащане, отклонения от цената и времевия график;</w:t>
      </w:r>
    </w:p>
    <w:p w14:paraId="1D0333AE" w14:textId="77777777"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Отчитане и искания за плащане (фактури и количествени сметки) – физически и финансови индикатори;</w:t>
      </w:r>
    </w:p>
    <w:p w14:paraId="1EE25050" w14:textId="77777777"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Наблюдение и контрол на работата;</w:t>
      </w:r>
    </w:p>
    <w:p w14:paraId="6B2FC615" w14:textId="77777777"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Ръководител на проекта;</w:t>
      </w:r>
    </w:p>
    <w:p w14:paraId="22CEF63D" w14:textId="77777777"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Приемане на работата – функционални тестове, окончателни плащания, лицензиране.</w:t>
      </w:r>
    </w:p>
    <w:p w14:paraId="78C93722" w14:textId="77777777" w:rsidR="008265BE" w:rsidRPr="001B0EA3" w:rsidRDefault="008265BE" w:rsidP="00890B4B">
      <w:pPr>
        <w:rPr>
          <w:szCs w:val="24"/>
          <w:lang w:eastAsia="bg-BG"/>
        </w:rPr>
      </w:pPr>
    </w:p>
    <w:p w14:paraId="5A54FD4D" w14:textId="77777777" w:rsidR="00D603F5" w:rsidRPr="008265BE" w:rsidRDefault="00D603F5" w:rsidP="008265BE">
      <w:pPr>
        <w:rPr>
          <w:b/>
          <w:u w:val="single"/>
          <w:lang w:eastAsia="bg-BG"/>
        </w:rPr>
      </w:pPr>
      <w:r w:rsidRPr="008265BE">
        <w:rPr>
          <w:b/>
          <w:u w:val="single"/>
          <w:lang w:eastAsia="bg-BG"/>
        </w:rPr>
        <w:t xml:space="preserve">Оценка: </w:t>
      </w:r>
    </w:p>
    <w:p w14:paraId="098646D2" w14:textId="77777777"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 xml:space="preserve">Окончателен доклад – индикатори за резултати, изпълнение и въздействие; </w:t>
      </w:r>
    </w:p>
    <w:p w14:paraId="7F57A394" w14:textId="77777777"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Потвърждаване на първоначалните допускания;</w:t>
      </w:r>
    </w:p>
    <w:p w14:paraId="602B54EF" w14:textId="77777777"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Условия за поддръжка и функциониране;</w:t>
      </w:r>
    </w:p>
    <w:p w14:paraId="79662B83" w14:textId="77777777"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Оценка на изпълнените мерки по въздействието върху околната среда;</w:t>
      </w:r>
    </w:p>
    <w:p w14:paraId="5FA046DC" w14:textId="77777777"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Фактори за успех и критични области – извлечени поуки.</w:t>
      </w:r>
    </w:p>
    <w:p w14:paraId="22CB52F2" w14:textId="77777777" w:rsidR="008265BE" w:rsidRPr="001B0EA3" w:rsidRDefault="008265BE" w:rsidP="00890B4B">
      <w:pPr>
        <w:rPr>
          <w:szCs w:val="24"/>
          <w:lang w:eastAsia="bg-BG"/>
        </w:rPr>
      </w:pPr>
    </w:p>
    <w:p w14:paraId="6D39CC67" w14:textId="77777777" w:rsidR="00D603F5" w:rsidRPr="008265BE" w:rsidRDefault="00D603F5" w:rsidP="008265BE">
      <w:pPr>
        <w:rPr>
          <w:b/>
          <w:u w:val="single"/>
          <w:lang w:eastAsia="bg-BG"/>
        </w:rPr>
      </w:pPr>
      <w:r w:rsidRPr="008265BE">
        <w:rPr>
          <w:b/>
          <w:u w:val="single"/>
          <w:lang w:eastAsia="bg-BG"/>
        </w:rPr>
        <w:t>Приключване</w:t>
      </w:r>
    </w:p>
    <w:p w14:paraId="5D6377FD" w14:textId="77777777"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проектът е завършен, документиран и оценен.</w:t>
      </w:r>
    </w:p>
    <w:p w14:paraId="4BFF0664" w14:textId="77777777" w:rsidR="00D603F5" w:rsidRPr="001B0EA3" w:rsidRDefault="00D603F5" w:rsidP="00890B4B">
      <w:pPr>
        <w:rPr>
          <w:szCs w:val="24"/>
          <w:lang w:eastAsia="bg-BG"/>
        </w:rPr>
      </w:pPr>
    </w:p>
    <w:p w14:paraId="11A5103C" w14:textId="77777777" w:rsidR="00D603F5" w:rsidRPr="00842ECC" w:rsidRDefault="00D603F5" w:rsidP="00B502C7">
      <w:pPr>
        <w:pStyle w:val="Style2"/>
        <w:rPr>
          <w:lang w:val="bg-BG" w:eastAsia="bg-BG"/>
        </w:rPr>
      </w:pPr>
      <w:bookmarkStart w:id="515" w:name="_Toc479775624"/>
      <w:bookmarkStart w:id="516" w:name="_Toc140150204"/>
      <w:r w:rsidRPr="00842ECC">
        <w:rPr>
          <w:lang w:val="bg-BG" w:eastAsia="bg-BG"/>
        </w:rPr>
        <w:t>Обобщена схема за подготовка на проекти</w:t>
      </w:r>
      <w:bookmarkEnd w:id="515"/>
      <w:bookmarkEnd w:id="516"/>
    </w:p>
    <w:p w14:paraId="046C827A" w14:textId="77777777" w:rsidR="00D603F5" w:rsidRPr="001B0EA3" w:rsidRDefault="00D603F5" w:rsidP="00890B4B">
      <w:pPr>
        <w:rPr>
          <w:szCs w:val="24"/>
          <w:lang w:eastAsia="bg-BG"/>
        </w:rPr>
      </w:pPr>
    </w:p>
    <w:p w14:paraId="51D62A08" w14:textId="77777777" w:rsidR="00D603F5" w:rsidRPr="001B0EA3" w:rsidRDefault="00D603F5" w:rsidP="00890B4B">
      <w:pPr>
        <w:ind w:firstLine="0"/>
        <w:jc w:val="left"/>
        <w:rPr>
          <w:szCs w:val="24"/>
          <w:lang w:eastAsia="bg-BG"/>
        </w:rPr>
      </w:pPr>
      <w:r w:rsidRPr="001B0EA3">
        <w:rPr>
          <w:szCs w:val="24"/>
          <w:lang w:eastAsia="bg-BG"/>
        </w:rPr>
        <w:object w:dxaOrig="7216" w:dyaOrig="5409" w14:anchorId="7CE0A119">
          <v:shape id="_x0000_i1026" type="#_x0000_t75" style="width:459pt;height:345pt" o:ole="">
            <v:imagedata r:id="rId79" o:title=""/>
          </v:shape>
          <o:OLEObject Type="Embed" ProgID="PowerPoint.Show.12" ShapeID="_x0000_i1026" DrawAspect="Content" ObjectID="_1751357471" r:id="rId80"/>
        </w:object>
      </w:r>
    </w:p>
    <w:p w14:paraId="20175916" w14:textId="77777777" w:rsidR="00D603F5" w:rsidRDefault="00D603F5" w:rsidP="008265BE">
      <w:pPr>
        <w:rPr>
          <w:lang w:eastAsia="bg-BG"/>
        </w:rPr>
      </w:pPr>
      <w:r w:rsidRPr="001B0EA3">
        <w:rPr>
          <w:lang w:eastAsia="bg-BG"/>
        </w:rPr>
        <w:t xml:space="preserve">За да бъдат финансирани от ОПТТИ, проектните предложения трябва да бъдат финансово, икономически, социално и екологично надеждни. За да се докаже това, те трябва да бъдат подготвени в съответствие с определен брой формално административни и технически критерии. Освен това, те трябва да отговарят на целите на ОПТТИ и да попадат в някои от допустимите дейности за финансиране, заложени в приоритетните оси на ОПТТИ. </w:t>
      </w:r>
    </w:p>
    <w:p w14:paraId="3AC17536" w14:textId="77777777" w:rsidR="008265BE" w:rsidRPr="001B0EA3" w:rsidRDefault="008265BE" w:rsidP="008265BE">
      <w:pPr>
        <w:rPr>
          <w:lang w:eastAsia="bg-BG"/>
        </w:rPr>
      </w:pPr>
    </w:p>
    <w:p w14:paraId="2ABA78C0" w14:textId="77777777" w:rsidR="00D603F5" w:rsidRPr="008265BE" w:rsidRDefault="00D603F5" w:rsidP="008265BE">
      <w:pPr>
        <w:pStyle w:val="ListParagraph"/>
        <w:numPr>
          <w:ilvl w:val="0"/>
          <w:numId w:val="350"/>
        </w:numPr>
        <w:ind w:left="0" w:firstLine="851"/>
        <w:rPr>
          <w:b/>
          <w:lang w:eastAsia="bg-BG"/>
        </w:rPr>
      </w:pPr>
      <w:r w:rsidRPr="008265BE">
        <w:rPr>
          <w:b/>
          <w:lang w:eastAsia="bg-BG"/>
        </w:rPr>
        <w:t>Идентифициране на проблемите и нуждите</w:t>
      </w:r>
    </w:p>
    <w:p w14:paraId="4EB73950" w14:textId="77777777" w:rsidR="00D603F5" w:rsidRPr="001B0EA3" w:rsidRDefault="00D603F5" w:rsidP="008265BE">
      <w:pPr>
        <w:rPr>
          <w:lang w:eastAsia="bg-BG"/>
        </w:rPr>
      </w:pPr>
      <w:r w:rsidRPr="001B0EA3">
        <w:rPr>
          <w:lang w:eastAsia="bg-BG"/>
        </w:rPr>
        <w:t>Идентифицирането на едно проектно предложение започва с формулирането на необходимост от разработване и разпознаване на ситуация, която трябва да бъде променена. По този начин, проектното предложение представлява повече от идея или нужда. В процеса на подготовка на проектното предложение трябва да бъде дефинирано следното:</w:t>
      </w:r>
    </w:p>
    <w:p w14:paraId="661E8A8D" w14:textId="77777777" w:rsidR="00D603F5" w:rsidRPr="001B0EA3" w:rsidRDefault="00D603F5" w:rsidP="008265BE">
      <w:pPr>
        <w:pStyle w:val="ListParagraph"/>
        <w:numPr>
          <w:ilvl w:val="0"/>
          <w:numId w:val="351"/>
        </w:numPr>
        <w:ind w:left="1134" w:hanging="283"/>
        <w:rPr>
          <w:lang w:eastAsia="bg-BG"/>
        </w:rPr>
      </w:pPr>
      <w:r w:rsidRPr="001B0EA3">
        <w:rPr>
          <w:lang w:eastAsia="bg-BG"/>
        </w:rPr>
        <w:t>Неговата обосновка и проверка на необходимостта от разработването му;</w:t>
      </w:r>
    </w:p>
    <w:p w14:paraId="3CB630EB" w14:textId="77777777" w:rsidR="00D603F5" w:rsidRPr="001B0EA3" w:rsidRDefault="00D603F5" w:rsidP="008265BE">
      <w:pPr>
        <w:pStyle w:val="ListParagraph"/>
        <w:numPr>
          <w:ilvl w:val="0"/>
          <w:numId w:val="351"/>
        </w:numPr>
        <w:ind w:left="1134" w:hanging="283"/>
        <w:rPr>
          <w:lang w:eastAsia="bg-BG"/>
        </w:rPr>
      </w:pPr>
      <w:r w:rsidRPr="001B0EA3">
        <w:rPr>
          <w:lang w:eastAsia="bg-BG"/>
        </w:rPr>
        <w:t>Неговите цели и измеримите индикатори за постигане на целите;</w:t>
      </w:r>
    </w:p>
    <w:p w14:paraId="347F7E37" w14:textId="77777777" w:rsidR="00D603F5" w:rsidRPr="001B0EA3" w:rsidRDefault="00D603F5" w:rsidP="008265BE">
      <w:pPr>
        <w:pStyle w:val="ListParagraph"/>
        <w:numPr>
          <w:ilvl w:val="0"/>
          <w:numId w:val="351"/>
        </w:numPr>
        <w:ind w:left="1134" w:hanging="283"/>
        <w:rPr>
          <w:lang w:eastAsia="bg-BG"/>
        </w:rPr>
      </w:pPr>
      <w:r w:rsidRPr="001B0EA3">
        <w:rPr>
          <w:lang w:eastAsia="bg-BG"/>
        </w:rPr>
        <w:t>Най-добрите методи за постигане на целите на базата на различни алтернативи;</w:t>
      </w:r>
    </w:p>
    <w:p w14:paraId="1A19CB77" w14:textId="77777777" w:rsidR="00D603F5" w:rsidRPr="001B0EA3" w:rsidRDefault="00D603F5" w:rsidP="008265BE">
      <w:pPr>
        <w:pStyle w:val="ListParagraph"/>
        <w:numPr>
          <w:ilvl w:val="0"/>
          <w:numId w:val="351"/>
        </w:numPr>
        <w:ind w:left="1134" w:hanging="283"/>
        <w:rPr>
          <w:lang w:eastAsia="bg-BG"/>
        </w:rPr>
      </w:pPr>
      <w:r w:rsidRPr="001B0EA3">
        <w:rPr>
          <w:lang w:eastAsia="bg-BG"/>
        </w:rPr>
        <w:t>Подробен списък със задачи, които да бъдат изпълнени;</w:t>
      </w:r>
    </w:p>
    <w:p w14:paraId="6A9F52A5" w14:textId="77777777" w:rsidR="00D603F5" w:rsidRPr="001B0EA3" w:rsidRDefault="00D603F5" w:rsidP="008265BE">
      <w:pPr>
        <w:pStyle w:val="ListParagraph"/>
        <w:numPr>
          <w:ilvl w:val="0"/>
          <w:numId w:val="351"/>
        </w:numPr>
        <w:ind w:left="1134" w:hanging="283"/>
        <w:rPr>
          <w:lang w:eastAsia="bg-BG"/>
        </w:rPr>
      </w:pPr>
      <w:r w:rsidRPr="001B0EA3">
        <w:rPr>
          <w:lang w:eastAsia="bg-BG"/>
        </w:rPr>
        <w:t>Времева рамка за изпълнение;</w:t>
      </w:r>
    </w:p>
    <w:p w14:paraId="7D32698A" w14:textId="77777777" w:rsidR="00D603F5" w:rsidRPr="001B0EA3" w:rsidRDefault="00D603F5" w:rsidP="008265BE">
      <w:pPr>
        <w:pStyle w:val="ListParagraph"/>
        <w:numPr>
          <w:ilvl w:val="0"/>
          <w:numId w:val="351"/>
        </w:numPr>
        <w:ind w:left="1134" w:hanging="283"/>
        <w:rPr>
          <w:lang w:eastAsia="bg-BG"/>
        </w:rPr>
      </w:pPr>
      <w:r w:rsidRPr="001B0EA3">
        <w:rPr>
          <w:lang w:eastAsia="bg-BG"/>
        </w:rPr>
        <w:t>Отговорно лице или организация - бенефициент;</w:t>
      </w:r>
    </w:p>
    <w:p w14:paraId="1207DF07" w14:textId="77777777" w:rsidR="00D603F5" w:rsidRPr="001B0EA3" w:rsidRDefault="00D603F5" w:rsidP="008265BE">
      <w:pPr>
        <w:pStyle w:val="ListParagraph"/>
        <w:numPr>
          <w:ilvl w:val="0"/>
          <w:numId w:val="351"/>
        </w:numPr>
        <w:ind w:left="1134" w:hanging="283"/>
        <w:rPr>
          <w:lang w:eastAsia="bg-BG"/>
        </w:rPr>
      </w:pPr>
      <w:r w:rsidRPr="001B0EA3">
        <w:rPr>
          <w:lang w:eastAsia="bg-BG"/>
        </w:rPr>
        <w:t>Необходимите финансови, човешки и организационни ресурси;</w:t>
      </w:r>
    </w:p>
    <w:p w14:paraId="5303C7D0" w14:textId="77777777" w:rsidR="00D603F5" w:rsidRDefault="00D603F5" w:rsidP="008265BE">
      <w:pPr>
        <w:pStyle w:val="ListParagraph"/>
        <w:numPr>
          <w:ilvl w:val="0"/>
          <w:numId w:val="351"/>
        </w:numPr>
        <w:ind w:left="1134" w:hanging="283"/>
        <w:rPr>
          <w:lang w:eastAsia="bg-BG"/>
        </w:rPr>
      </w:pPr>
      <w:r w:rsidRPr="001B0EA3">
        <w:rPr>
          <w:lang w:eastAsia="bg-BG"/>
        </w:rPr>
        <w:t>Външните условия, оказващи влияние върху проекта и необходими за успешното изпълнение на проекта.</w:t>
      </w:r>
    </w:p>
    <w:p w14:paraId="53156036" w14:textId="77777777" w:rsidR="008265BE" w:rsidRPr="001B0EA3" w:rsidRDefault="008265BE" w:rsidP="00890B4B">
      <w:pPr>
        <w:rPr>
          <w:szCs w:val="24"/>
          <w:lang w:eastAsia="bg-BG"/>
        </w:rPr>
      </w:pPr>
    </w:p>
    <w:p w14:paraId="7618D5CD" w14:textId="77777777" w:rsidR="00D603F5" w:rsidRPr="008265BE" w:rsidRDefault="00D603F5" w:rsidP="008265BE">
      <w:pPr>
        <w:pStyle w:val="ListParagraph"/>
        <w:numPr>
          <w:ilvl w:val="0"/>
          <w:numId w:val="350"/>
        </w:numPr>
        <w:ind w:left="0" w:firstLine="851"/>
        <w:rPr>
          <w:b/>
          <w:lang w:eastAsia="bg-BG"/>
        </w:rPr>
      </w:pPr>
      <w:r w:rsidRPr="008265BE">
        <w:rPr>
          <w:b/>
          <w:lang w:eastAsia="bg-BG"/>
        </w:rPr>
        <w:t>Предпроектни и прединвестиционни проучвания.</w:t>
      </w:r>
    </w:p>
    <w:p w14:paraId="31CEFFAD" w14:textId="77777777" w:rsidR="00D603F5" w:rsidRPr="001B0EA3" w:rsidRDefault="00D603F5" w:rsidP="008265BE">
      <w:pPr>
        <w:rPr>
          <w:lang w:eastAsia="bg-BG"/>
        </w:rPr>
      </w:pPr>
      <w:r w:rsidRPr="001B0EA3">
        <w:rPr>
          <w:lang w:eastAsia="bg-BG"/>
        </w:rPr>
        <w:t>За определяне на обхвата на всеки един от проектите и подпомагане процеса на подготовката на проектните предложения за кандидатстване бенефициентите извършват анализ на намеренията и готовността за изпълнение на инвестиционните инфраструктурни проекти. Бенефициентите представят в УО на ОПТТИ следната информация:</w:t>
      </w:r>
    </w:p>
    <w:p w14:paraId="6D336065" w14:textId="77777777" w:rsidR="00D603F5" w:rsidRPr="001B0EA3" w:rsidRDefault="00D603F5" w:rsidP="008265BE">
      <w:pPr>
        <w:rPr>
          <w:lang w:eastAsia="bg-BG"/>
        </w:rPr>
      </w:pPr>
      <w:r w:rsidRPr="001B0EA3">
        <w:rPr>
          <w:lang w:eastAsia="bg-BG"/>
        </w:rPr>
        <w:lastRenderedPageBreak/>
        <w:t xml:space="preserve">Степента на готовност на инвестиционните проекти – т.е. наличие пред-проектно проучване и етап на проектиране, наличие на разрешителни, проведени процедури за </w:t>
      </w:r>
      <w:r w:rsidRPr="001B0EA3">
        <w:t>възлагане</w:t>
      </w:r>
      <w:r w:rsidRPr="001B0EA3">
        <w:rPr>
          <w:lang w:eastAsia="bg-BG"/>
        </w:rPr>
        <w:t xml:space="preserve"> на обществени поръчки и други; </w:t>
      </w:r>
    </w:p>
    <w:p w14:paraId="6705E6A5" w14:textId="77777777" w:rsidR="00D603F5" w:rsidRPr="001B0EA3" w:rsidRDefault="00D603F5" w:rsidP="008265BE">
      <w:pPr>
        <w:rPr>
          <w:lang w:eastAsia="bg-BG"/>
        </w:rPr>
      </w:pPr>
      <w:r w:rsidRPr="001B0EA3">
        <w:rPr>
          <w:lang w:eastAsia="bg-BG"/>
        </w:rPr>
        <w:t xml:space="preserve">Основни технически параметри на инвестиционния проект описание на реконструирана, ремонтирана, модернизирана или изгражданата инфраструктура, проектните данни и т.н.; </w:t>
      </w:r>
    </w:p>
    <w:p w14:paraId="686E2DC4" w14:textId="77777777" w:rsidR="00D603F5" w:rsidRDefault="00D603F5" w:rsidP="008265BE">
      <w:pPr>
        <w:rPr>
          <w:lang w:eastAsia="bg-BG"/>
        </w:rPr>
      </w:pPr>
      <w:r w:rsidRPr="001B0EA3">
        <w:rPr>
          <w:lang w:eastAsia="bg-BG"/>
        </w:rPr>
        <w:t xml:space="preserve">Основни финансови параметри на инвестиционния проект – размер на необходимата </w:t>
      </w:r>
      <w:r w:rsidRPr="001B0EA3">
        <w:t>инвестиция</w:t>
      </w:r>
      <w:r w:rsidRPr="001B0EA3">
        <w:rPr>
          <w:lang w:eastAsia="bg-BG"/>
        </w:rPr>
        <w:t xml:space="preserve"> – обща стойността на проекта, устойчивост на проекта, други. </w:t>
      </w:r>
    </w:p>
    <w:p w14:paraId="65DEB2A2" w14:textId="77777777" w:rsidR="00B513AC" w:rsidRPr="001B0EA3" w:rsidRDefault="00B513AC" w:rsidP="00890B4B">
      <w:pPr>
        <w:rPr>
          <w:szCs w:val="24"/>
          <w:lang w:eastAsia="bg-BG"/>
        </w:rPr>
      </w:pPr>
    </w:p>
    <w:p w14:paraId="2B77E96A" w14:textId="77777777" w:rsidR="007F24C0" w:rsidRPr="00A110A4" w:rsidRDefault="00D603F5" w:rsidP="00F058E0">
      <w:pPr>
        <w:pStyle w:val="Style1"/>
      </w:pPr>
      <w:bookmarkStart w:id="517" w:name="_Toc479775625"/>
      <w:bookmarkStart w:id="518" w:name="_Toc140150205"/>
      <w:r w:rsidRPr="00A110A4">
        <w:t xml:space="preserve">ОБЩИ ПОЛОЖЕНИЯ НА ПРОЦЕДУРАТА НА ДИРЕКТНО </w:t>
      </w:r>
      <w:bookmarkStart w:id="519" w:name="_Toc460251222"/>
      <w:r w:rsidR="007F24C0" w:rsidRPr="00A110A4">
        <w:t>ПРЕДОСТАВЯНЕ НА БФП</w:t>
      </w:r>
      <w:bookmarkEnd w:id="517"/>
      <w:bookmarkEnd w:id="518"/>
      <w:bookmarkEnd w:id="519"/>
    </w:p>
    <w:p w14:paraId="324244F3" w14:textId="77777777" w:rsidR="007F24C0" w:rsidRPr="001B0EA3" w:rsidRDefault="007F24C0" w:rsidP="004E0B9F">
      <w:r w:rsidRPr="001B0EA3">
        <w:t>С обнародването на ЗУСЕСИФ на 22.12.</w:t>
      </w:r>
      <w:r w:rsidR="00815813" w:rsidRPr="001B0EA3">
        <w:t xml:space="preserve">2015 </w:t>
      </w:r>
      <w:r w:rsidRPr="001B0EA3">
        <w:t>г. за производствата започнали след влизането му в сила се прилага ЗУСЕСИФ, а за производствата започналите и недовършени производства преди 22.12.201</w:t>
      </w:r>
      <w:r w:rsidR="00815813" w:rsidRPr="001B0EA3">
        <w:t>5</w:t>
      </w:r>
      <w:r w:rsidRPr="001B0EA3">
        <w:t xml:space="preserve"> г. се прилага реда, определен в предишното национално законодателство (ПМС № 107/2014 г., ПМС № 119/2014 г. и т.н.). На 05 юли 2016 се прие ПМС 162, с което се определят детайлни правила за предоставяне на БФП по програмите, финансирани от ЕСИФ. Съгласно § 4 от ПЗР на ПМС № 162/2016 започналите и недовършени до влизането в сила на ЗУСЕСИФ производства по предоставянето на безвъзмездна финансова помощ се довършват по реда на отмененото Постановление № 107 на Министерския съвет от 2014 г. за определяне на реда за предоставяне на безвъзмездна финансова помощ по програмите, съфинансирани от Европейския фонд за регионално развитие, Европейския социален фонд, Кохезионния фонд на Европейския съюз и Европейския фонд за морско дело и рибарство за периода 2014-2020 г.</w:t>
      </w:r>
    </w:p>
    <w:p w14:paraId="335BF605" w14:textId="77777777" w:rsidR="00D603F5" w:rsidRPr="00842ECC" w:rsidRDefault="00D603F5" w:rsidP="00B502C7">
      <w:pPr>
        <w:pStyle w:val="Style2"/>
        <w:rPr>
          <w:lang w:val="bg-BG"/>
        </w:rPr>
      </w:pPr>
      <w:bookmarkStart w:id="520" w:name="_Toc464561644"/>
      <w:bookmarkStart w:id="521" w:name="_Toc464573356"/>
      <w:bookmarkStart w:id="522" w:name="_Toc464573809"/>
      <w:bookmarkStart w:id="523" w:name="_Toc479775626"/>
      <w:bookmarkStart w:id="524" w:name="_Toc140150206"/>
      <w:bookmarkStart w:id="525" w:name="_Ref395880046"/>
      <w:bookmarkEnd w:id="520"/>
      <w:bookmarkEnd w:id="521"/>
      <w:bookmarkEnd w:id="522"/>
      <w:r w:rsidRPr="00842ECC">
        <w:rPr>
          <w:lang w:val="bg-BG"/>
        </w:rPr>
        <w:t xml:space="preserve">Фази на процедурата </w:t>
      </w:r>
      <w:r w:rsidRPr="00842ECC">
        <w:rPr>
          <w:lang w:val="bg-BG" w:eastAsia="bg-BG"/>
        </w:rPr>
        <w:t>на директно предоставяне</w:t>
      </w:r>
      <w:bookmarkEnd w:id="523"/>
      <w:bookmarkEnd w:id="524"/>
    </w:p>
    <w:p w14:paraId="69F9EC30" w14:textId="77777777" w:rsidR="00D603F5" w:rsidRPr="001B0EA3" w:rsidRDefault="00D603F5" w:rsidP="004E0B9F">
      <w:r w:rsidRPr="001B0EA3">
        <w:t xml:space="preserve">БФП по ОПТТИ, съфинансирана от Европейския фонд за регионално развитие и Кохезионния фонд на ЕС се предоставя за постигане на целите на ОПТТИ и при условията, определени в нея. Предоставянето на БФП не може да има за цел или за резултат реализирането на печалба. </w:t>
      </w:r>
    </w:p>
    <w:p w14:paraId="33E6ED7E" w14:textId="77777777" w:rsidR="00B6125E" w:rsidRPr="001B0EA3" w:rsidRDefault="00B6125E" w:rsidP="004E0B9F">
      <w:r w:rsidRPr="001B0EA3">
        <w:t xml:space="preserve">Съгласно чл. 25, ал. 1 от ЗУСЕСИФ (чл. 2 от ПМС </w:t>
      </w:r>
      <w:r w:rsidR="00655E3A" w:rsidRPr="001B0EA3">
        <w:t xml:space="preserve">№ </w:t>
      </w:r>
      <w:r w:rsidRPr="001B0EA3">
        <w:t>162 от 05.07.2016 г.) БФП се предоставя чрез провеждане на процедура на подбор на проекти или провеждане на процедура на директно предоставяне. Процедурата, съответстваща на ОПТТИ, касаеща предоставяне на БФП е на базата на директно предоставяне на помощта на определен брой конкретни бенефициенти, посочени в ОПТТИ.</w:t>
      </w:r>
    </w:p>
    <w:p w14:paraId="3D31BE82" w14:textId="77777777" w:rsidR="00B6125E" w:rsidRPr="001B0EA3" w:rsidRDefault="00B6125E" w:rsidP="004E0B9F">
      <w:r w:rsidRPr="001B0EA3">
        <w:t>Процедурата за директно предоставяне на БФП се извършва на следните етапи:</w:t>
      </w:r>
    </w:p>
    <w:p w14:paraId="386662DC" w14:textId="77777777" w:rsidR="00B6125E" w:rsidRPr="001B0EA3" w:rsidRDefault="00B6125E" w:rsidP="004E0B9F">
      <w:pPr>
        <w:pStyle w:val="ListParagraph"/>
        <w:numPr>
          <w:ilvl w:val="0"/>
          <w:numId w:val="335"/>
        </w:numPr>
        <w:ind w:left="0" w:firstLine="1211"/>
        <w:rPr>
          <w:lang w:eastAsia="bg-BG"/>
        </w:rPr>
      </w:pPr>
      <w:r w:rsidRPr="001B0EA3">
        <w:rPr>
          <w:lang w:eastAsia="bg-BG"/>
        </w:rPr>
        <w:t xml:space="preserve">Подготовка и одобрение от УО на насоки за кандидатстване и условия за изпълнение на одобрени проекти по ОПТТИ и се публикуват на интернет страницата на съответната програма и на ЕИП; </w:t>
      </w:r>
    </w:p>
    <w:p w14:paraId="4AEB5F66" w14:textId="77777777" w:rsidR="00B6125E" w:rsidRPr="001B0EA3" w:rsidRDefault="00B6125E" w:rsidP="004E0B9F">
      <w:pPr>
        <w:pStyle w:val="ListParagraph"/>
        <w:numPr>
          <w:ilvl w:val="0"/>
          <w:numId w:val="335"/>
        </w:numPr>
        <w:ind w:left="0" w:firstLine="1211"/>
        <w:rPr>
          <w:lang w:eastAsia="bg-BG"/>
        </w:rPr>
      </w:pPr>
      <w:r w:rsidRPr="001B0EA3">
        <w:rPr>
          <w:lang w:eastAsia="bg-BG"/>
        </w:rPr>
        <w:t xml:space="preserve">Представяне на проектни предложения от конкретните бенефициенти в съответствие с Насоките за кандидатстване; </w:t>
      </w:r>
    </w:p>
    <w:p w14:paraId="42B79EDA" w14:textId="77777777" w:rsidR="00B6125E" w:rsidRPr="001B0EA3" w:rsidRDefault="00B6125E" w:rsidP="004E0B9F">
      <w:pPr>
        <w:pStyle w:val="ListParagraph"/>
        <w:numPr>
          <w:ilvl w:val="0"/>
          <w:numId w:val="335"/>
        </w:numPr>
        <w:ind w:left="0" w:firstLine="1211"/>
        <w:rPr>
          <w:lang w:eastAsia="bg-BG"/>
        </w:rPr>
      </w:pPr>
      <w:r w:rsidRPr="001B0EA3">
        <w:rPr>
          <w:lang w:eastAsia="bg-BG"/>
        </w:rPr>
        <w:t xml:space="preserve">Оценка на получените проектни предложения; </w:t>
      </w:r>
    </w:p>
    <w:p w14:paraId="1955E006" w14:textId="77777777" w:rsidR="00B6125E" w:rsidRPr="001B0EA3" w:rsidRDefault="00B6125E" w:rsidP="004E0B9F">
      <w:pPr>
        <w:pStyle w:val="ListParagraph"/>
        <w:numPr>
          <w:ilvl w:val="0"/>
          <w:numId w:val="335"/>
        </w:numPr>
        <w:ind w:left="0" w:firstLine="1211"/>
        <w:rPr>
          <w:lang w:eastAsia="bg-BG"/>
        </w:rPr>
      </w:pPr>
      <w:r w:rsidRPr="001B0EA3">
        <w:rPr>
          <w:lang w:eastAsia="bg-BG"/>
        </w:rPr>
        <w:t xml:space="preserve">Издаване/ вземане на решение на ръководителя на УО за предоставяне на БФП или изготвяне на становище, с което ръководителят на УО одобрява проект по смисъла на чл. 100 от Регламент (ЕС) № 1303/2013 г. за изпращане в ЕК в случай на съответствие на проектното предложение с насоките за кандидатстване и с Регламент (ЕС) № 1303/2013 г.; </w:t>
      </w:r>
    </w:p>
    <w:p w14:paraId="0E7FFCF5" w14:textId="77777777" w:rsidR="00B6125E" w:rsidRPr="001B0EA3" w:rsidRDefault="00B6125E" w:rsidP="004E0B9F">
      <w:pPr>
        <w:pStyle w:val="ListParagraph"/>
        <w:numPr>
          <w:ilvl w:val="0"/>
          <w:numId w:val="335"/>
        </w:numPr>
        <w:ind w:left="0" w:firstLine="1211"/>
        <w:rPr>
          <w:lang w:eastAsia="bg-BG"/>
        </w:rPr>
      </w:pPr>
      <w:r w:rsidRPr="001B0EA3">
        <w:rPr>
          <w:lang w:eastAsia="bg-BG"/>
        </w:rPr>
        <w:t>Сключване на договор/ административен договор/ издаване на заповед за предоставяне на БФП.</w:t>
      </w:r>
    </w:p>
    <w:bookmarkEnd w:id="525"/>
    <w:p w14:paraId="5F17EE03" w14:textId="77777777" w:rsidR="00D603F5" w:rsidRPr="001B0EA3" w:rsidRDefault="00D603F5" w:rsidP="00890B4B">
      <w:pPr>
        <w:tabs>
          <w:tab w:val="left" w:pos="1134"/>
        </w:tabs>
        <w:spacing w:after="120"/>
        <w:ind w:left="851"/>
        <w:rPr>
          <w:szCs w:val="24"/>
          <w:lang w:eastAsia="bg-BG"/>
        </w:rPr>
      </w:pPr>
    </w:p>
    <w:p w14:paraId="3412CCF8" w14:textId="77777777" w:rsidR="00D603F5" w:rsidRPr="00842ECC" w:rsidRDefault="00D603F5" w:rsidP="00B502C7">
      <w:pPr>
        <w:pStyle w:val="Style2"/>
        <w:rPr>
          <w:lang w:val="bg-BG" w:eastAsia="bg-BG"/>
        </w:rPr>
      </w:pPr>
      <w:bookmarkStart w:id="526" w:name="_Toc479775627"/>
      <w:bookmarkStart w:id="527" w:name="_Toc140150207"/>
      <w:r w:rsidRPr="00842ECC">
        <w:rPr>
          <w:lang w:val="bg-BG" w:eastAsia="bg-BG"/>
        </w:rPr>
        <w:t>Принцип на схема на процедурите за кандидатстване, оценка и предоставяне на безвъзмездна финансова помощ за изпълнение на проекти</w:t>
      </w:r>
      <w:bookmarkEnd w:id="526"/>
      <w:bookmarkEnd w:id="527"/>
    </w:p>
    <w:p w14:paraId="504E24CD" w14:textId="77777777" w:rsidR="00D603F5" w:rsidRPr="001B0EA3" w:rsidRDefault="00D603F5" w:rsidP="004E0B9F">
      <w:r w:rsidRPr="001B0EA3">
        <w:lastRenderedPageBreak/>
        <w:t xml:space="preserve">Принципната схема на процедурата за оценка на проектни предложения показва обобщено как протича оценката на проектните предложения като се отчита вида и типа на проектното предложение: бюджетна линия, проект за техническа помощ, проектно предложение за инвестиционен инфраструктурен проект и в частност </w:t>
      </w:r>
      <w:r w:rsidRPr="001B0EA3">
        <w:rPr>
          <w:b/>
        </w:rPr>
        <w:t>„голям проект“</w:t>
      </w:r>
      <w:r w:rsidRPr="001B0EA3">
        <w:t xml:space="preserve">.  </w:t>
      </w:r>
    </w:p>
    <w:p w14:paraId="60E6BD17" w14:textId="77777777" w:rsidR="00D603F5" w:rsidRPr="001B0EA3" w:rsidRDefault="00D603F5" w:rsidP="004E0B9F">
      <w:r w:rsidRPr="001B0EA3">
        <w:t xml:space="preserve">„Голям проект“ представлява операция/ проект, съдържащ/а серия от строителни работи, дейности или услуги, предназначени по своя характер да изпълнят </w:t>
      </w:r>
      <w:r w:rsidRPr="001B0EA3">
        <w:rPr>
          <w:b/>
        </w:rPr>
        <w:t>неделима задача от точно икономическо или техническо естество</w:t>
      </w:r>
      <w:r w:rsidRPr="001B0EA3">
        <w:t xml:space="preserve">, която има ясно определени цели и общите допустими разходи за която надхвърлят </w:t>
      </w:r>
      <w:r w:rsidRPr="001B0EA3">
        <w:rPr>
          <w:b/>
        </w:rPr>
        <w:t>50 000 000 евро</w:t>
      </w:r>
      <w:r w:rsidRPr="001B0EA3">
        <w:t xml:space="preserve">, а в случая с операции за постигането на тематичната цел по член 9 на Регламент (ЕС) № 1303/2013 г., първа алинея, точка 7 — общите допустими разходи надхвърлят </w:t>
      </w:r>
      <w:r w:rsidRPr="001B0EA3">
        <w:rPr>
          <w:b/>
        </w:rPr>
        <w:t>75 000 000 евро</w:t>
      </w:r>
      <w:r w:rsidRPr="001B0EA3">
        <w:t xml:space="preserve">. </w:t>
      </w:r>
    </w:p>
    <w:p w14:paraId="0EF0F56C" w14:textId="77777777" w:rsidR="00D603F5" w:rsidRPr="001B0EA3" w:rsidRDefault="00D603F5" w:rsidP="004E0B9F">
      <w:pPr>
        <w:sectPr w:rsidR="00D603F5" w:rsidRPr="001B0EA3" w:rsidSect="002305A7">
          <w:footerReference w:type="even" r:id="rId81"/>
          <w:headerReference w:type="first" r:id="rId82"/>
          <w:pgSz w:w="11906" w:h="16838" w:code="9"/>
          <w:pgMar w:top="1134" w:right="851" w:bottom="1134" w:left="1418" w:header="507" w:footer="241" w:gutter="0"/>
          <w:cols w:space="708"/>
          <w:titlePg/>
          <w:docGrid w:linePitch="78"/>
        </w:sectPr>
      </w:pPr>
    </w:p>
    <w:p w14:paraId="4D03F073" w14:textId="77777777" w:rsidR="00D603F5" w:rsidRPr="004E0B9F" w:rsidRDefault="00937754" w:rsidP="002E4F6D">
      <w:pPr>
        <w:ind w:firstLine="0"/>
        <w:rPr>
          <w:sz w:val="20"/>
          <w:lang w:eastAsia="bg-BG"/>
        </w:rPr>
        <w:sectPr w:rsidR="00D603F5" w:rsidRPr="004E0B9F" w:rsidSect="002E4F6D">
          <w:pgSz w:w="16838" w:h="11906" w:orient="landscape" w:code="9"/>
          <w:pgMar w:top="567" w:right="567" w:bottom="567" w:left="567" w:header="505" w:footer="153" w:gutter="0"/>
          <w:cols w:space="708"/>
          <w:titlePg/>
          <w:docGrid w:linePitch="78"/>
        </w:sectPr>
      </w:pPr>
      <w:r w:rsidRPr="004E0B9F">
        <w:rPr>
          <w:noProof/>
          <w:sz w:val="20"/>
          <w:lang w:eastAsia="bg-BG"/>
        </w:rPr>
        <w:lastRenderedPageBreak/>
        <mc:AlternateContent>
          <mc:Choice Requires="wpg">
            <w:drawing>
              <wp:inline distT="0" distB="0" distL="0" distR="0" wp14:anchorId="5CBAAACD" wp14:editId="00376267">
                <wp:extent cx="9916160" cy="6792595"/>
                <wp:effectExtent l="0" t="0" r="27940" b="27305"/>
                <wp:docPr id="2020" name="Group 2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16160" cy="6792595"/>
                          <a:chOff x="0" y="0"/>
                          <a:chExt cx="9915896" cy="6792685"/>
                        </a:xfrm>
                      </wpg:grpSpPr>
                      <wpg:grpSp>
                        <wpg:cNvPr id="2021" name="Group 2021"/>
                        <wpg:cNvGrpSpPr/>
                        <wpg:grpSpPr>
                          <a:xfrm>
                            <a:off x="0" y="0"/>
                            <a:ext cx="9915896" cy="6792685"/>
                            <a:chOff x="0" y="0"/>
                            <a:chExt cx="9915896" cy="6792685"/>
                          </a:xfrm>
                        </wpg:grpSpPr>
                        <wps:wsp>
                          <wps:cNvPr id="2022" name="AutoShape 72"/>
                          <wps:cNvSpPr>
                            <a:spLocks noChangeArrowheads="1"/>
                          </wps:cNvSpPr>
                          <wps:spPr bwMode="auto">
                            <a:xfrm>
                              <a:off x="8787067" y="577597"/>
                              <a:ext cx="1128173" cy="541233"/>
                            </a:xfrm>
                            <a:prstGeom prst="roundRect">
                              <a:avLst>
                                <a:gd name="adj" fmla="val 16667"/>
                              </a:avLst>
                            </a:prstGeom>
                            <a:solidFill>
                              <a:srgbClr val="FFFFFF"/>
                            </a:solidFill>
                            <a:ln w="12700" algn="ctr">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1EBE2D" w14:textId="77777777" w:rsidR="004E3164" w:rsidRPr="004E0B9F" w:rsidRDefault="004E3164" w:rsidP="004E0B9F">
                                <w:pPr>
                                  <w:ind w:firstLine="0"/>
                                  <w:jc w:val="center"/>
                                  <w:rPr>
                                    <w:sz w:val="20"/>
                                  </w:rPr>
                                </w:pPr>
                                <w:r w:rsidRPr="004E0B9F">
                                  <w:rPr>
                                    <w:sz w:val="20"/>
                                  </w:rPr>
                                  <w:t>Регистрационен номер в ИСУН2020</w:t>
                                </w:r>
                              </w:p>
                            </w:txbxContent>
                          </wps:txbx>
                          <wps:bodyPr rot="0" vert="horz" wrap="square" lIns="91440" tIns="45720" rIns="91440" bIns="45720" anchor="t" anchorCtr="0" upright="1">
                            <a:noAutofit/>
                          </wps:bodyPr>
                        </wps:wsp>
                        <wpg:grpSp>
                          <wpg:cNvPr id="2023" name="Group 2023"/>
                          <wpg:cNvGrpSpPr/>
                          <wpg:grpSpPr>
                            <a:xfrm>
                              <a:off x="0" y="0"/>
                              <a:ext cx="9915896" cy="6792685"/>
                              <a:chOff x="0" y="0"/>
                              <a:chExt cx="9915896" cy="6792685"/>
                            </a:xfrm>
                          </wpg:grpSpPr>
                          <wpg:grpSp>
                            <wpg:cNvPr id="2024" name="Group 2024"/>
                            <wpg:cNvGrpSpPr/>
                            <wpg:grpSpPr>
                              <a:xfrm>
                                <a:off x="0" y="0"/>
                                <a:ext cx="9915896" cy="6792685"/>
                                <a:chOff x="0" y="0"/>
                                <a:chExt cx="9915896" cy="6792685"/>
                              </a:xfrm>
                            </wpg:grpSpPr>
                            <wps:wsp>
                              <wps:cNvPr id="2025" name="AutoShape 259"/>
                              <wps:cNvSpPr>
                                <a:spLocks noChangeArrowheads="1"/>
                              </wps:cNvSpPr>
                              <wps:spPr bwMode="auto">
                                <a:xfrm>
                                  <a:off x="6947065" y="3526971"/>
                                  <a:ext cx="2274114" cy="433070"/>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07BA3D" w14:textId="77777777" w:rsidR="004E3164" w:rsidRPr="004E0B9F" w:rsidRDefault="004E3164" w:rsidP="004E0B9F">
                                    <w:pPr>
                                      <w:ind w:firstLine="0"/>
                                      <w:jc w:val="center"/>
                                      <w:rPr>
                                        <w:spacing w:val="10"/>
                                        <w:sz w:val="20"/>
                                      </w:rPr>
                                    </w:pPr>
                                    <w:r w:rsidRPr="004E0B9F">
                                      <w:rPr>
                                        <w:spacing w:val="10"/>
                                        <w:sz w:val="20"/>
                                      </w:rPr>
                                      <w:t xml:space="preserve">Оценителни таблици на </w:t>
                                    </w:r>
                                  </w:p>
                                  <w:p w14:paraId="2F80AB93" w14:textId="77777777" w:rsidR="004E3164" w:rsidRPr="004E0B9F" w:rsidRDefault="004E3164" w:rsidP="004E0B9F">
                                    <w:pPr>
                                      <w:ind w:firstLine="0"/>
                                      <w:jc w:val="center"/>
                                      <w:rPr>
                                        <w:spacing w:val="10"/>
                                        <w:sz w:val="20"/>
                                      </w:rPr>
                                    </w:pPr>
                                    <w:r w:rsidRPr="004E0B9F">
                                      <w:rPr>
                                        <w:spacing w:val="10"/>
                                        <w:sz w:val="20"/>
                                      </w:rPr>
                                      <w:t>членовете на  оценителна комисия</w:t>
                                    </w:r>
                                  </w:p>
                                </w:txbxContent>
                              </wps:txbx>
                              <wps:bodyPr rot="0" vert="horz" wrap="square" lIns="91440" tIns="45720" rIns="91440" bIns="45720" anchor="t" anchorCtr="0" upright="1">
                                <a:noAutofit/>
                              </wps:bodyPr>
                            </wps:wsp>
                            <wpg:grpSp>
                              <wpg:cNvPr id="2026" name="Group 2026"/>
                              <wpg:cNvGrpSpPr/>
                              <wpg:grpSpPr>
                                <a:xfrm>
                                  <a:off x="0" y="0"/>
                                  <a:ext cx="9915896" cy="6792685"/>
                                  <a:chOff x="0" y="0"/>
                                  <a:chExt cx="9420225" cy="6762115"/>
                                </a:xfrm>
                              </wpg:grpSpPr>
                              <wps:wsp>
                                <wps:cNvPr id="653" name="Text Box 183"/>
                                <wps:cNvSpPr txBox="1">
                                  <a:spLocks noChangeArrowheads="1"/>
                                </wps:cNvSpPr>
                                <wps:spPr bwMode="auto">
                                  <a:xfrm>
                                    <a:off x="2775098" y="5635256"/>
                                    <a:ext cx="409575" cy="29083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14DD4A4" w14:textId="77777777" w:rsidR="004E3164" w:rsidRPr="004E0B9F" w:rsidRDefault="004E3164" w:rsidP="004E0B9F">
                                      <w:pPr>
                                        <w:ind w:firstLine="0"/>
                                        <w:jc w:val="center"/>
                                        <w:rPr>
                                          <w:sz w:val="20"/>
                                        </w:rPr>
                                      </w:pPr>
                                      <w:r w:rsidRPr="004E0B9F">
                                        <w:rPr>
                                          <w:sz w:val="20"/>
                                        </w:rPr>
                                        <w:t>да</w:t>
                                      </w:r>
                                    </w:p>
                                  </w:txbxContent>
                                </wps:txbx>
                                <wps:bodyPr rot="0" vert="horz" wrap="square" lIns="91440" tIns="45720" rIns="91440" bIns="45720" anchor="t" anchorCtr="0" upright="1">
                                  <a:noAutofit/>
                                </wps:bodyPr>
                              </wps:wsp>
                              <wpg:grpSp>
                                <wpg:cNvPr id="654" name="Group 424"/>
                                <wpg:cNvGrpSpPr/>
                                <wpg:grpSpPr>
                                  <a:xfrm>
                                    <a:off x="0" y="0"/>
                                    <a:ext cx="9420225" cy="6762115"/>
                                    <a:chOff x="0" y="0"/>
                                    <a:chExt cx="9420225" cy="6762115"/>
                                  </a:xfrm>
                                </wpg:grpSpPr>
                                <wps:wsp>
                                  <wps:cNvPr id="655" name="Text Box 183"/>
                                  <wps:cNvSpPr txBox="1">
                                    <a:spLocks noChangeArrowheads="1"/>
                                  </wps:cNvSpPr>
                                  <wps:spPr bwMode="auto">
                                    <a:xfrm>
                                      <a:off x="2530549" y="4008475"/>
                                      <a:ext cx="409596" cy="29138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972565D" w14:textId="77777777" w:rsidR="004E3164" w:rsidRPr="004E0B9F" w:rsidRDefault="004E3164" w:rsidP="004E0B9F">
                                        <w:pPr>
                                          <w:ind w:firstLine="0"/>
                                          <w:jc w:val="center"/>
                                          <w:rPr>
                                            <w:sz w:val="20"/>
                                          </w:rPr>
                                        </w:pPr>
                                        <w:r w:rsidRPr="004E0B9F">
                                          <w:rPr>
                                            <w:sz w:val="20"/>
                                          </w:rPr>
                                          <w:t>да</w:t>
                                        </w:r>
                                      </w:p>
                                    </w:txbxContent>
                                  </wps:txbx>
                                  <wps:bodyPr rot="0" vert="horz" wrap="square" lIns="91440" tIns="45720" rIns="91440" bIns="45720" anchor="t" anchorCtr="0" upright="1">
                                    <a:noAutofit/>
                                  </wps:bodyPr>
                                </wps:wsp>
                                <wpg:grpSp>
                                  <wpg:cNvPr id="656" name="Group 430"/>
                                  <wpg:cNvGrpSpPr/>
                                  <wpg:grpSpPr>
                                    <a:xfrm>
                                      <a:off x="0" y="0"/>
                                      <a:ext cx="9420225" cy="6762115"/>
                                      <a:chOff x="0" y="0"/>
                                      <a:chExt cx="9420225" cy="6762115"/>
                                    </a:xfrm>
                                  </wpg:grpSpPr>
                                  <wpg:grpSp>
                                    <wpg:cNvPr id="657" name="Group 431"/>
                                    <wpg:cNvGrpSpPr/>
                                    <wpg:grpSpPr>
                                      <a:xfrm>
                                        <a:off x="3221665" y="1222745"/>
                                        <a:ext cx="2918357" cy="1154998"/>
                                        <a:chOff x="0" y="0"/>
                                        <a:chExt cx="2918357" cy="1154998"/>
                                      </a:xfrm>
                                    </wpg:grpSpPr>
                                    <wps:wsp>
                                      <wps:cNvPr id="658" name="Text Box 181"/>
                                      <wps:cNvSpPr txBox="1">
                                        <a:spLocks noChangeArrowheads="1"/>
                                      </wps:cNvSpPr>
                                      <wps:spPr bwMode="auto">
                                        <a:xfrm>
                                          <a:off x="2583712" y="115857"/>
                                          <a:ext cx="334645" cy="25209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73ADD71" w14:textId="77777777" w:rsidR="004E3164" w:rsidRPr="004E0B9F" w:rsidRDefault="004E3164" w:rsidP="004E0B9F">
                                            <w:pPr>
                                              <w:ind w:firstLine="0"/>
                                              <w:jc w:val="center"/>
                                              <w:rPr>
                                                <w:sz w:val="20"/>
                                              </w:rPr>
                                            </w:pPr>
                                            <w:r w:rsidRPr="004E0B9F">
                                              <w:rPr>
                                                <w:sz w:val="20"/>
                                              </w:rPr>
                                              <w:t>не</w:t>
                                            </w:r>
                                          </w:p>
                                        </w:txbxContent>
                                      </wps:txbx>
                                      <wps:bodyPr rot="0" vert="horz" wrap="square" lIns="91440" tIns="45720" rIns="91440" bIns="45720" anchor="t" anchorCtr="0" upright="1">
                                        <a:noAutofit/>
                                      </wps:bodyPr>
                                    </wps:wsp>
                                    <wps:wsp>
                                      <wps:cNvPr id="659" name="Down Arrow 2"/>
                                      <wps:cNvSpPr>
                                        <a:spLocks noChangeArrowheads="1"/>
                                      </wps:cNvSpPr>
                                      <wps:spPr bwMode="auto">
                                        <a:xfrm rot="16200000">
                                          <a:off x="2690037" y="30797"/>
                                          <a:ext cx="129540" cy="67945"/>
                                        </a:xfrm>
                                        <a:prstGeom prst="down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660" name="Text Box 180"/>
                                      <wps:cNvSpPr txBox="1">
                                        <a:spLocks noChangeArrowheads="1"/>
                                      </wps:cNvSpPr>
                                      <wps:spPr bwMode="auto">
                                        <a:xfrm>
                                          <a:off x="797442" y="126490"/>
                                          <a:ext cx="334645" cy="25209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F98040E" w14:textId="77777777" w:rsidR="004E3164" w:rsidRPr="004E0B9F" w:rsidRDefault="004E3164" w:rsidP="004E0B9F">
                                            <w:pPr>
                                              <w:ind w:firstLine="0"/>
                                              <w:jc w:val="center"/>
                                              <w:rPr>
                                                <w:sz w:val="20"/>
                                              </w:rPr>
                                            </w:pPr>
                                            <w:r w:rsidRPr="004E0B9F">
                                              <w:rPr>
                                                <w:sz w:val="20"/>
                                              </w:rPr>
                                              <w:t>да</w:t>
                                            </w:r>
                                          </w:p>
                                        </w:txbxContent>
                                      </wps:txbx>
                                      <wps:bodyPr rot="0" vert="horz" wrap="square" lIns="91440" tIns="45720" rIns="91440" bIns="45720" anchor="t" anchorCtr="0" upright="1">
                                        <a:noAutofit/>
                                      </wps:bodyPr>
                                    </wps:wsp>
                                    <wpg:grpSp>
                                      <wpg:cNvPr id="661" name="Group 1000"/>
                                      <wpg:cNvGrpSpPr>
                                        <a:grpSpLocks/>
                                      </wpg:cNvGrpSpPr>
                                      <wpg:grpSpPr bwMode="auto">
                                        <a:xfrm>
                                          <a:off x="0" y="421050"/>
                                          <a:ext cx="433070" cy="733948"/>
                                          <a:chOff x="0" y="-258508"/>
                                          <a:chExt cx="433070" cy="734440"/>
                                        </a:xfrm>
                                      </wpg:grpSpPr>
                                      <wps:wsp>
                                        <wps:cNvPr id="662" name="Text Box 185"/>
                                        <wps:cNvSpPr txBox="1">
                                          <a:spLocks noChangeArrowheads="1"/>
                                        </wps:cNvSpPr>
                                        <wps:spPr bwMode="auto">
                                          <a:xfrm>
                                            <a:off x="98425" y="-258508"/>
                                            <a:ext cx="334645" cy="25146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F408817" w14:textId="77777777" w:rsidR="004E3164" w:rsidRPr="004E0B9F" w:rsidRDefault="004E3164" w:rsidP="004E0B9F">
                                              <w:pPr>
                                                <w:ind w:firstLine="0"/>
                                                <w:jc w:val="center"/>
                                                <w:rPr>
                                                  <w:sz w:val="20"/>
                                                </w:rPr>
                                              </w:pPr>
                                              <w:r w:rsidRPr="004E0B9F">
                                                <w:rPr>
                                                  <w:sz w:val="20"/>
                                                </w:rPr>
                                                <w:t>не</w:t>
                                              </w:r>
                                            </w:p>
                                          </w:txbxContent>
                                        </wps:txbx>
                                        <wps:bodyPr rot="0" vert="horz" wrap="square" lIns="91440" tIns="45720" rIns="91440" bIns="45720" anchor="t" anchorCtr="0" upright="1">
                                          <a:noAutofit/>
                                        </wps:bodyPr>
                                      </wps:wsp>
                                      <wps:wsp>
                                        <wps:cNvPr id="663" name="AutoShape 251"/>
                                        <wps:cNvSpPr>
                                          <a:spLocks noChangeArrowheads="1"/>
                                        </wps:cNvSpPr>
                                        <wps:spPr bwMode="auto">
                                          <a:xfrm rot="-5400000">
                                            <a:off x="193675" y="30797"/>
                                            <a:ext cx="129540" cy="67945"/>
                                          </a:xfrm>
                                          <a:prstGeom prst="down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664" name="AutoShape 253"/>
                                        <wps:cNvSpPr>
                                          <a:spLocks noChangeArrowheads="1"/>
                                        </wps:cNvSpPr>
                                        <wps:spPr bwMode="auto">
                                          <a:xfrm rot="-7500000">
                                            <a:off x="-31115" y="377507"/>
                                            <a:ext cx="129540" cy="67310"/>
                                          </a:xfrm>
                                          <a:prstGeom prst="down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g:grpSp>
                                  </wpg:grpSp>
                                  <wpg:grpSp>
                                    <wpg:cNvPr id="665" name="Group 1022"/>
                                    <wpg:cNvGrpSpPr>
                                      <a:grpSpLocks/>
                                    </wpg:cNvGrpSpPr>
                                    <wpg:grpSpPr bwMode="auto">
                                      <a:xfrm>
                                        <a:off x="0" y="0"/>
                                        <a:ext cx="9420225" cy="6762115"/>
                                        <a:chOff x="0" y="0"/>
                                        <a:chExt cx="97078" cy="67208"/>
                                      </a:xfrm>
                                    </wpg:grpSpPr>
                                    <wps:wsp>
                                      <wps:cNvPr id="666" name="AutoShape 65"/>
                                      <wps:cNvSpPr>
                                        <a:spLocks noChangeArrowheads="1"/>
                                      </wps:cNvSpPr>
                                      <wps:spPr bwMode="auto">
                                        <a:xfrm>
                                          <a:off x="0" y="46378"/>
                                          <a:ext cx="16091" cy="7647"/>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1A71B2" w14:textId="77777777" w:rsidR="004E3164" w:rsidRPr="004E0B9F" w:rsidRDefault="004E3164" w:rsidP="004E0B9F">
                                            <w:pPr>
                                              <w:ind w:firstLine="0"/>
                                              <w:jc w:val="center"/>
                                              <w:rPr>
                                                <w:sz w:val="20"/>
                                              </w:rPr>
                                            </w:pPr>
                                            <w:r w:rsidRPr="004E0B9F">
                                              <w:rPr>
                                                <w:sz w:val="20"/>
                                              </w:rPr>
                                              <w:t>Чрез ИСУН 2020 или писмо (на хартиен носител; електронна поща)</w:t>
                                            </w:r>
                                          </w:p>
                                        </w:txbxContent>
                                      </wps:txbx>
                                      <wps:bodyPr rot="0" vert="horz" wrap="square" lIns="91440" tIns="45720" rIns="91440" bIns="45720" anchor="t" anchorCtr="0" upright="1">
                                        <a:noAutofit/>
                                      </wps:bodyPr>
                                    </wps:wsp>
                                    <wpg:grpSp>
                                      <wpg:cNvPr id="667" name="Group 173"/>
                                      <wpg:cNvGrpSpPr>
                                        <a:grpSpLocks/>
                                      </wpg:cNvGrpSpPr>
                                      <wpg:grpSpPr bwMode="auto">
                                        <a:xfrm>
                                          <a:off x="13716" y="35356"/>
                                          <a:ext cx="22024" cy="13640"/>
                                          <a:chOff x="0" y="-483"/>
                                          <a:chExt cx="15993" cy="20213"/>
                                        </a:xfrm>
                                      </wpg:grpSpPr>
                                      <wps:wsp>
                                        <wps:cNvPr id="668" name="Text Box 4"/>
                                        <wps:cNvSpPr txBox="1">
                                          <a:spLocks noChangeArrowheads="1"/>
                                        </wps:cNvSpPr>
                                        <wps:spPr bwMode="auto">
                                          <a:xfrm>
                                            <a:off x="302" y="-483"/>
                                            <a:ext cx="15691" cy="7454"/>
                                          </a:xfrm>
                                          <a:prstGeom prst="rect">
                                            <a:avLst/>
                                          </a:prstGeom>
                                          <a:solidFill>
                                            <a:srgbClr val="FFFFFF"/>
                                          </a:solidFill>
                                          <a:ln w="6350">
                                            <a:solidFill>
                                              <a:srgbClr val="FFFFFF"/>
                                            </a:solidFill>
                                            <a:miter lim="800000"/>
                                            <a:headEnd/>
                                            <a:tailEnd/>
                                          </a:ln>
                                        </wps:spPr>
                                        <wps:txbx>
                                          <w:txbxContent>
                                            <w:p w14:paraId="0F89A249" w14:textId="77777777" w:rsidR="004E3164" w:rsidRPr="004E0B9F" w:rsidRDefault="004E3164" w:rsidP="004E0B9F">
                                              <w:pPr>
                                                <w:ind w:firstLine="0"/>
                                                <w:jc w:val="center"/>
                                                <w:rPr>
                                                  <w:sz w:val="20"/>
                                                </w:rPr>
                                              </w:pPr>
                                              <w:r w:rsidRPr="004E0B9F">
                                                <w:rPr>
                                                  <w:spacing w:val="10"/>
                                                  <w:sz w:val="20"/>
                                                </w:rPr>
                                                <w:t>Ако са установени непълноти и/или нередовности на проектното предложение?</w:t>
                                              </w:r>
                                            </w:p>
                                          </w:txbxContent>
                                        </wps:txbx>
                                        <wps:bodyPr rot="0" vert="horz" wrap="square" lIns="91440" tIns="45720" rIns="91440" bIns="45720" anchor="t" anchorCtr="0" upright="1">
                                          <a:noAutofit/>
                                        </wps:bodyPr>
                                      </wps:wsp>
                                      <wps:wsp>
                                        <wps:cNvPr id="669" name="Rounded Rectangle 1"/>
                                        <wps:cNvSpPr>
                                          <a:spLocks noChangeArrowheads="1"/>
                                        </wps:cNvSpPr>
                                        <wps:spPr bwMode="auto">
                                          <a:xfrm>
                                            <a:off x="0" y="9677"/>
                                            <a:ext cx="14954" cy="10053"/>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265726C3" w14:textId="77777777" w:rsidR="004E3164" w:rsidRPr="004E0B9F" w:rsidRDefault="004E3164" w:rsidP="004E0B9F">
                                              <w:pPr>
                                                <w:ind w:firstLine="0"/>
                                                <w:jc w:val="center"/>
                                                <w:rPr>
                                                  <w:sz w:val="20"/>
                                                  <w:lang w:val="en-US"/>
                                                </w:rPr>
                                              </w:pPr>
                                              <w:r w:rsidRPr="004E0B9F">
                                                <w:rPr>
                                                  <w:spacing w:val="10"/>
                                                  <w:sz w:val="20"/>
                                                </w:rPr>
                                                <w:t>Връщане на ФК за отстраняване на непълнотите и/или нередовности</w:t>
                                              </w:r>
                                            </w:p>
                                          </w:txbxContent>
                                        </wps:txbx>
                                        <wps:bodyPr rot="0" vert="horz" wrap="square" lIns="91440" tIns="45720" rIns="91440" bIns="45720" anchor="ctr" anchorCtr="0" upright="1">
                                          <a:noAutofit/>
                                        </wps:bodyPr>
                                      </wps:wsp>
                                      <wps:wsp>
                                        <wps:cNvPr id="2153" name="AutoShape 194"/>
                                        <wps:cNvSpPr>
                                          <a:spLocks noChangeArrowheads="1"/>
                                        </wps:cNvSpPr>
                                        <wps:spPr bwMode="auto">
                                          <a:xfrm rot="5400000">
                                            <a:off x="14676" y="2422"/>
                                            <a:ext cx="1296" cy="679"/>
                                          </a:xfrm>
                                          <a:prstGeom prst="down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g:grpSp>
                                    <wpg:grpSp>
                                      <wpg:cNvPr id="2154" name="Group 1019"/>
                                      <wpg:cNvGrpSpPr>
                                        <a:grpSpLocks/>
                                      </wpg:cNvGrpSpPr>
                                      <wpg:grpSpPr bwMode="auto">
                                        <a:xfrm>
                                          <a:off x="0" y="0"/>
                                          <a:ext cx="97078" cy="53340"/>
                                          <a:chOff x="0" y="0"/>
                                          <a:chExt cx="97078" cy="53340"/>
                                        </a:xfrm>
                                      </wpg:grpSpPr>
                                      <wpg:grpSp>
                                        <wpg:cNvPr id="2155" name="Group 998"/>
                                        <wpg:cNvGrpSpPr>
                                          <a:grpSpLocks/>
                                        </wpg:cNvGrpSpPr>
                                        <wpg:grpSpPr bwMode="auto">
                                          <a:xfrm>
                                            <a:off x="152" y="9829"/>
                                            <a:ext cx="38405" cy="6096"/>
                                            <a:chOff x="0" y="0"/>
                                            <a:chExt cx="38404" cy="6096"/>
                                          </a:xfrm>
                                        </wpg:grpSpPr>
                                        <wps:wsp>
                                          <wps:cNvPr id="2156" name="AutoShape 197"/>
                                          <wps:cNvSpPr>
                                            <a:spLocks noChangeArrowheads="1"/>
                                          </wps:cNvSpPr>
                                          <wps:spPr bwMode="auto">
                                            <a:xfrm>
                                              <a:off x="0" y="0"/>
                                              <a:ext cx="11658" cy="6096"/>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8DFC4B" w14:textId="77777777" w:rsidR="004E3164" w:rsidRPr="004E0B9F" w:rsidRDefault="004E3164" w:rsidP="004E0B9F">
                                                <w:pPr>
                                                  <w:ind w:firstLine="0"/>
                                                  <w:jc w:val="center"/>
                                                  <w:rPr>
                                                    <w:sz w:val="20"/>
                                                  </w:rPr>
                                                </w:pPr>
                                                <w:r w:rsidRPr="004E0B9F">
                                                  <w:rPr>
                                                    <w:sz w:val="20"/>
                                                  </w:rPr>
                                                  <w:t xml:space="preserve">Регистрационен номер в ИСУН, </w:t>
                                                </w:r>
                                                <w:r w:rsidRPr="004E0B9F">
                                                  <w:rPr>
                                                    <w:sz w:val="20"/>
                                                    <w:lang w:val="en-US"/>
                                                  </w:rPr>
                                                  <w:t>SFC</w:t>
                                                </w:r>
                                              </w:p>
                                            </w:txbxContent>
                                          </wps:txbx>
                                          <wps:bodyPr rot="0" vert="horz" wrap="square" lIns="91440" tIns="45720" rIns="91440" bIns="45720" anchor="t" anchorCtr="0" upright="1">
                                            <a:noAutofit/>
                                          </wps:bodyPr>
                                        </wps:wsp>
                                        <wps:wsp>
                                          <wps:cNvPr id="2157" name="Rounded Rectangle 1"/>
                                          <wps:cNvSpPr>
                                            <a:spLocks noChangeArrowheads="1"/>
                                          </wps:cNvSpPr>
                                          <wps:spPr bwMode="auto">
                                            <a:xfrm>
                                              <a:off x="10210" y="1295"/>
                                              <a:ext cx="28194" cy="3969"/>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127FBA2C" w14:textId="77777777" w:rsidR="004E3164" w:rsidRPr="004E0B9F" w:rsidRDefault="004E3164" w:rsidP="004E0B9F">
                                                <w:pPr>
                                                  <w:ind w:firstLine="0"/>
                                                  <w:jc w:val="center"/>
                                                  <w:rPr>
                                                    <w:sz w:val="20"/>
                                                    <w:lang w:val="en-US"/>
                                                  </w:rPr>
                                                </w:pPr>
                                                <w:r w:rsidRPr="004E0B9F">
                                                  <w:rPr>
                                                    <w:spacing w:val="10"/>
                                                    <w:sz w:val="20"/>
                                                  </w:rPr>
                                                  <w:t xml:space="preserve">Регистриране на ФК </w:t>
                                                </w:r>
                                                <w:r w:rsidRPr="004E0B9F">
                                                  <w:rPr>
                                                    <w:sz w:val="20"/>
                                                  </w:rPr>
                                                  <w:t>в Ивентис, ИСУН2020</w:t>
                                                </w:r>
                                              </w:p>
                                              <w:p w14:paraId="4915EE52" w14:textId="77777777" w:rsidR="004E3164" w:rsidRPr="004E0B9F" w:rsidRDefault="004E3164" w:rsidP="004E0B9F">
                                                <w:pPr>
                                                  <w:ind w:firstLine="0"/>
                                                  <w:jc w:val="center"/>
                                                  <w:rPr>
                                                    <w:sz w:val="20"/>
                                                  </w:rPr>
                                                </w:pPr>
                                                <w:r w:rsidRPr="004E0B9F">
                                                  <w:rPr>
                                                    <w:spacing w:val="10"/>
                                                    <w:sz w:val="20"/>
                                                  </w:rPr>
                                                  <w:t xml:space="preserve">В </w:t>
                                                </w:r>
                                                <w:r w:rsidRPr="004E0B9F">
                                                  <w:rPr>
                                                    <w:sz w:val="20"/>
                                                    <w:lang w:val="en-US"/>
                                                  </w:rPr>
                                                  <w:t>SFC</w:t>
                                                </w:r>
                                                <w:r w:rsidRPr="004E0B9F">
                                                  <w:rPr>
                                                    <w:sz w:val="20"/>
                                                  </w:rPr>
                                                  <w:t>2014</w:t>
                                                </w:r>
                                              </w:p>
                                            </w:txbxContent>
                                          </wps:txbx>
                                          <wps:bodyPr rot="0" vert="horz" wrap="square" lIns="91440" tIns="45720" rIns="91440" bIns="45720" anchor="ctr" anchorCtr="0" upright="1">
                                            <a:noAutofit/>
                                          </wps:bodyPr>
                                        </wps:wsp>
                                      </wpg:grpSp>
                                      <wpg:grpSp>
                                        <wpg:cNvPr id="2158" name="Group 182"/>
                                        <wpg:cNvGrpSpPr>
                                          <a:grpSpLocks/>
                                        </wpg:cNvGrpSpPr>
                                        <wpg:grpSpPr bwMode="auto">
                                          <a:xfrm>
                                            <a:off x="23241" y="15392"/>
                                            <a:ext cx="68757" cy="37948"/>
                                            <a:chOff x="-20726" y="0"/>
                                            <a:chExt cx="68757" cy="37947"/>
                                          </a:xfrm>
                                        </wpg:grpSpPr>
                                        <wps:wsp>
                                          <wps:cNvPr id="2159" name="Rounded Rectangle 1"/>
                                          <wps:cNvSpPr>
                                            <a:spLocks noChangeArrowheads="1"/>
                                          </wps:cNvSpPr>
                                          <wps:spPr bwMode="auto">
                                            <a:xfrm>
                                              <a:off x="-7022" y="6316"/>
                                              <a:ext cx="32511" cy="31631"/>
                                            </a:xfrm>
                                            <a:prstGeom prst="roundRect">
                                              <a:avLst>
                                                <a:gd name="adj" fmla="val 16667"/>
                                              </a:avLst>
                                            </a:prstGeom>
                                            <a:gradFill rotWithShape="1">
                                              <a:gsLst>
                                                <a:gs pos="0">
                                                  <a:srgbClr val="DBEEF4"/>
                                                </a:gs>
                                                <a:gs pos="100000">
                                                  <a:srgbClr val="FFFF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516C9DEC" w14:textId="77777777" w:rsidR="004E3164" w:rsidRPr="004E0B9F" w:rsidRDefault="004E3164" w:rsidP="004E0B9F">
                                                <w:pPr>
                                                  <w:ind w:firstLine="0"/>
                                                  <w:jc w:val="center"/>
                                                  <w:rPr>
                                                    <w:spacing w:val="10"/>
                                                    <w:sz w:val="20"/>
                                                  </w:rPr>
                                                </w:pPr>
                                                <w:r w:rsidRPr="004E0B9F">
                                                  <w:rPr>
                                                    <w:spacing w:val="10"/>
                                                    <w:sz w:val="20"/>
                                                  </w:rPr>
                                                  <w:t>Оценка на проектните предложения: административно съответствие, допустимост</w:t>
                                                </w:r>
                                              </w:p>
                                              <w:p w14:paraId="4EF33C87" w14:textId="77777777" w:rsidR="004E3164" w:rsidRPr="004E0B9F" w:rsidRDefault="004E3164" w:rsidP="004E0B9F">
                                                <w:pPr>
                                                  <w:ind w:firstLine="0"/>
                                                  <w:jc w:val="center"/>
                                                  <w:rPr>
                                                    <w:spacing w:val="10"/>
                                                    <w:sz w:val="20"/>
                                                  </w:rPr>
                                                </w:pPr>
                                                <w:r w:rsidRPr="004E0B9F">
                                                  <w:rPr>
                                                    <w:spacing w:val="10"/>
                                                    <w:sz w:val="20"/>
                                                  </w:rPr>
                                                  <w:t>техническа и финансова оценка</w:t>
                                                </w:r>
                                              </w:p>
                                            </w:txbxContent>
                                          </wps:txbx>
                                          <wps:bodyPr rot="0" vert="horz" wrap="square" lIns="91440" tIns="45720" rIns="91440" bIns="45720" anchor="t" anchorCtr="0" upright="1">
                                            <a:noAutofit/>
                                          </wps:bodyPr>
                                        </wps:wsp>
                                        <wps:wsp>
                                          <wps:cNvPr id="2160" name="AutoShape 201"/>
                                          <wps:cNvSpPr>
                                            <a:spLocks noChangeArrowheads="1"/>
                                          </wps:cNvSpPr>
                                          <wps:spPr bwMode="auto">
                                            <a:xfrm>
                                              <a:off x="-20726" y="25601"/>
                                              <a:ext cx="1295" cy="680"/>
                                            </a:xfrm>
                                            <a:prstGeom prst="down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2161" name="AutoShape 202"/>
                                          <wps:cNvSpPr>
                                            <a:spLocks noChangeArrowheads="1"/>
                                          </wps:cNvSpPr>
                                          <wps:spPr bwMode="auto">
                                            <a:xfrm>
                                              <a:off x="23999" y="0"/>
                                              <a:ext cx="24032" cy="4343"/>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517132" w14:textId="77777777" w:rsidR="004E3164" w:rsidRPr="004E0B9F" w:rsidRDefault="004E3164" w:rsidP="004E0B9F">
                                                <w:pPr>
                                                  <w:ind w:firstLine="0"/>
                                                  <w:jc w:val="center"/>
                                                  <w:rPr>
                                                    <w:sz w:val="20"/>
                                                  </w:rPr>
                                                </w:pPr>
                                                <w:r w:rsidRPr="004E0B9F">
                                                  <w:rPr>
                                                    <w:sz w:val="20"/>
                                                  </w:rPr>
                                                  <w:t>Решение за сформиране на</w:t>
                                                </w:r>
                                              </w:p>
                                              <w:p w14:paraId="56706B85" w14:textId="77777777" w:rsidR="004E3164" w:rsidRPr="004E0B9F" w:rsidRDefault="004E3164" w:rsidP="004E0B9F">
                                                <w:pPr>
                                                  <w:ind w:firstLine="0"/>
                                                  <w:jc w:val="center"/>
                                                  <w:rPr>
                                                    <w:sz w:val="20"/>
                                                  </w:rPr>
                                                </w:pPr>
                                                <w:r w:rsidRPr="004E0B9F">
                                                  <w:rPr>
                                                    <w:sz w:val="20"/>
                                                  </w:rPr>
                                                  <w:t xml:space="preserve">Оценителна комисия </w:t>
                                                </w:r>
                                              </w:p>
                                            </w:txbxContent>
                                          </wps:txbx>
                                          <wps:bodyPr rot="0" vert="horz" wrap="square" lIns="91440" tIns="45720" rIns="91440" bIns="45720" anchor="t" anchorCtr="0" upright="1">
                                            <a:noAutofit/>
                                          </wps:bodyPr>
                                        </wps:wsp>
                                        <wps:wsp>
                                          <wps:cNvPr id="2162" name="Rounded Rectangle 1"/>
                                          <wps:cNvSpPr>
                                            <a:spLocks noChangeArrowheads="1"/>
                                          </wps:cNvSpPr>
                                          <wps:spPr bwMode="auto">
                                            <a:xfrm>
                                              <a:off x="-7086" y="1371"/>
                                              <a:ext cx="33768" cy="2896"/>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09529426" w14:textId="77777777" w:rsidR="004E3164" w:rsidRPr="004E0B9F" w:rsidRDefault="004E3164" w:rsidP="004E0B9F">
                                                <w:pPr>
                                                  <w:ind w:firstLine="0"/>
                                                  <w:jc w:val="center"/>
                                                  <w:rPr>
                                                    <w:sz w:val="20"/>
                                                  </w:rPr>
                                                </w:pPr>
                                                <w:r w:rsidRPr="004E0B9F">
                                                  <w:rPr>
                                                    <w:spacing w:val="10"/>
                                                    <w:sz w:val="20"/>
                                                  </w:rPr>
                                                  <w:t>Сформиране на оценителна комисия</w:t>
                                                </w:r>
                                              </w:p>
                                            </w:txbxContent>
                                          </wps:txbx>
                                          <wps:bodyPr rot="0" vert="horz" wrap="square" lIns="91440" tIns="45720" rIns="91440" bIns="45720" anchor="ctr" anchorCtr="0" upright="1">
                                            <a:noAutofit/>
                                          </wps:bodyPr>
                                        </wps:wsp>
                                        <wps:wsp>
                                          <wps:cNvPr id="2163" name="AutoShape 204"/>
                                          <wps:cNvSpPr>
                                            <a:spLocks noChangeArrowheads="1"/>
                                          </wps:cNvSpPr>
                                          <wps:spPr bwMode="auto">
                                            <a:xfrm>
                                              <a:off x="9109" y="5181"/>
                                              <a:ext cx="1297" cy="680"/>
                                            </a:xfrm>
                                            <a:prstGeom prst="down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2164" name="AutoShape 74"/>
                                          <wps:cNvSpPr>
                                            <a:spLocks noChangeArrowheads="1"/>
                                          </wps:cNvSpPr>
                                          <wps:spPr bwMode="auto">
                                            <a:xfrm>
                                              <a:off x="23352" y="12192"/>
                                              <a:ext cx="24425" cy="6718"/>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035C9D" w14:textId="77777777" w:rsidR="004E3164" w:rsidRPr="004E0B9F" w:rsidRDefault="004E3164" w:rsidP="004E0B9F">
                                                <w:pPr>
                                                  <w:ind w:firstLine="0"/>
                                                  <w:jc w:val="center"/>
                                                  <w:rPr>
                                                    <w:spacing w:val="10"/>
                                                    <w:sz w:val="20"/>
                                                  </w:rPr>
                                                </w:pPr>
                                                <w:r w:rsidRPr="004E0B9F">
                                                  <w:rPr>
                                                    <w:spacing w:val="10"/>
                                                    <w:sz w:val="20"/>
                                                  </w:rPr>
                                                  <w:t xml:space="preserve">Декларации за липса на конфликт на интереси и поверителност и </w:t>
                                                </w:r>
                                              </w:p>
                                              <w:p w14:paraId="7004EFCA" w14:textId="77777777" w:rsidR="004E3164" w:rsidRPr="004E0B9F" w:rsidRDefault="004E3164" w:rsidP="004E0B9F">
                                                <w:pPr>
                                                  <w:ind w:firstLine="0"/>
                                                  <w:jc w:val="center"/>
                                                  <w:rPr>
                                                    <w:sz w:val="20"/>
                                                  </w:rPr>
                                                </w:pPr>
                                                <w:r w:rsidRPr="004E0B9F">
                                                  <w:rPr>
                                                    <w:spacing w:val="10"/>
                                                    <w:sz w:val="20"/>
                                                  </w:rPr>
                                                  <w:t>Контролен лист за проверка</w:t>
                                                </w:r>
                                              </w:p>
                                            </w:txbxContent>
                                          </wps:txbx>
                                          <wps:bodyPr rot="0" vert="horz" wrap="square" lIns="91440" tIns="45720" rIns="91440" bIns="45720" anchor="t" anchorCtr="0" upright="1">
                                            <a:noAutofit/>
                                          </wps:bodyPr>
                                        </wps:wsp>
                                        <wps:wsp>
                                          <wps:cNvPr id="2165" name="Rounded Rectangle 1"/>
                                          <wps:cNvSpPr>
                                            <a:spLocks noChangeArrowheads="1"/>
                                          </wps:cNvSpPr>
                                          <wps:spPr bwMode="auto">
                                            <a:xfrm>
                                              <a:off x="-4295" y="13119"/>
                                              <a:ext cx="29266" cy="5791"/>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4C2789CC" w14:textId="77777777" w:rsidR="004E3164" w:rsidRPr="004E0B9F" w:rsidRDefault="004E3164" w:rsidP="004E0B9F">
                                                <w:pPr>
                                                  <w:ind w:firstLine="0"/>
                                                  <w:jc w:val="center"/>
                                                  <w:rPr>
                                                    <w:spacing w:val="10"/>
                                                    <w:sz w:val="20"/>
                                                  </w:rPr>
                                                </w:pPr>
                                                <w:r w:rsidRPr="004E0B9F">
                                                  <w:rPr>
                                                    <w:spacing w:val="10"/>
                                                    <w:sz w:val="20"/>
                                                  </w:rPr>
                                                  <w:t>Първо заседание на оценителната комисия и подписване на декларации за липса на конфликт на интереси и поверителност</w:t>
                                                </w:r>
                                              </w:p>
                                              <w:p w14:paraId="23DE3A77" w14:textId="77777777" w:rsidR="004E3164" w:rsidRPr="004E0B9F" w:rsidRDefault="004E3164" w:rsidP="004E0B9F">
                                                <w:pPr>
                                                  <w:ind w:firstLine="0"/>
                                                  <w:jc w:val="center"/>
                                                  <w:rPr>
                                                    <w:sz w:val="20"/>
                                                  </w:rPr>
                                                </w:pPr>
                                              </w:p>
                                            </w:txbxContent>
                                          </wps:txbx>
                                          <wps:bodyPr rot="0" vert="horz" wrap="square" lIns="91440" tIns="45720" rIns="91440" bIns="45720" anchor="ctr" anchorCtr="0" upright="1">
                                            <a:noAutofit/>
                                          </wps:bodyPr>
                                        </wps:wsp>
                                        <wpg:grpSp>
                                          <wpg:cNvPr id="2166" name="Group 166"/>
                                          <wpg:cNvGrpSpPr>
                                            <a:grpSpLocks/>
                                          </wpg:cNvGrpSpPr>
                                          <wpg:grpSpPr bwMode="auto">
                                            <a:xfrm>
                                              <a:off x="-4641" y="19383"/>
                                              <a:ext cx="50955" cy="16584"/>
                                              <a:chOff x="-7994" y="-8353"/>
                                              <a:chExt cx="50956" cy="16584"/>
                                            </a:xfrm>
                                          </wpg:grpSpPr>
                                          <wps:wsp>
                                            <wps:cNvPr id="2167" name="AutoShape 208"/>
                                            <wps:cNvSpPr>
                                              <a:spLocks noChangeArrowheads="1"/>
                                            </wps:cNvSpPr>
                                            <wps:spPr bwMode="auto">
                                              <a:xfrm>
                                                <a:off x="20304" y="-3208"/>
                                                <a:ext cx="22657" cy="4552"/>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A7EAC9" w14:textId="77777777" w:rsidR="004E3164" w:rsidRPr="004E0B9F" w:rsidRDefault="004E3164" w:rsidP="004E0B9F">
                                                  <w:pPr>
                                                    <w:ind w:firstLine="0"/>
                                                    <w:jc w:val="center"/>
                                                    <w:rPr>
                                                      <w:sz w:val="20"/>
                                                    </w:rPr>
                                                  </w:pPr>
                                                  <w:r w:rsidRPr="004E0B9F">
                                                    <w:rPr>
                                                      <w:spacing w:val="10"/>
                                                      <w:sz w:val="20"/>
                                                    </w:rPr>
                                                    <w:t>Контролен лист за проверка на липса на двойно финансиране</w:t>
                                                  </w:r>
                                                </w:p>
                                                <w:p w14:paraId="7EE6D218" w14:textId="77777777" w:rsidR="004E3164" w:rsidRPr="004E0B9F" w:rsidRDefault="004E3164" w:rsidP="004E0B9F">
                                                  <w:pPr>
                                                    <w:ind w:firstLine="0"/>
                                                    <w:jc w:val="center"/>
                                                    <w:rPr>
                                                      <w:sz w:val="20"/>
                                                    </w:rPr>
                                                  </w:pPr>
                                                </w:p>
                                              </w:txbxContent>
                                            </wps:txbx>
                                            <wps:bodyPr rot="0" vert="horz" wrap="square" lIns="91440" tIns="45720" rIns="91440" bIns="45720" anchor="t" anchorCtr="0" upright="1">
                                              <a:noAutofit/>
                                            </wps:bodyPr>
                                          </wps:wsp>
                                          <wps:wsp>
                                            <wps:cNvPr id="2168" name="Rounded Rectangle 1"/>
                                            <wps:cNvSpPr>
                                              <a:spLocks noChangeArrowheads="1"/>
                                            </wps:cNvSpPr>
                                            <wps:spPr bwMode="auto">
                                              <a:xfrm>
                                                <a:off x="-7918" y="-8353"/>
                                                <a:ext cx="29612" cy="4696"/>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20E7022B" w14:textId="77777777" w:rsidR="004E3164" w:rsidRPr="004E0B9F" w:rsidRDefault="004E3164" w:rsidP="004E0B9F">
                                                  <w:pPr>
                                                    <w:ind w:firstLine="0"/>
                                                    <w:jc w:val="center"/>
                                                    <w:rPr>
                                                      <w:sz w:val="20"/>
                                                    </w:rPr>
                                                  </w:pPr>
                                                  <w:r w:rsidRPr="004E0B9F">
                                                    <w:rPr>
                                                      <w:spacing w:val="10"/>
                                                      <w:sz w:val="20"/>
                                                    </w:rPr>
                                                    <w:t>Проверка: за административен, финансов и оперативен капацитет на бенефициента</w:t>
                                                  </w:r>
                                                </w:p>
                                              </w:txbxContent>
                                            </wps:txbx>
                                            <wps:bodyPr rot="0" vert="horz" wrap="square" lIns="91440" tIns="45720" rIns="91440" bIns="45720" anchor="ctr" anchorCtr="0" upright="1">
                                              <a:noAutofit/>
                                            </wps:bodyPr>
                                          </wps:wsp>
                                          <wps:wsp>
                                            <wps:cNvPr id="2169" name="Rounded Rectangle 1"/>
                                            <wps:cNvSpPr>
                                              <a:spLocks noChangeArrowheads="1"/>
                                            </wps:cNvSpPr>
                                            <wps:spPr bwMode="auto">
                                              <a:xfrm>
                                                <a:off x="-7994" y="-2840"/>
                                                <a:ext cx="29612" cy="3365"/>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2A463DC5" w14:textId="77777777" w:rsidR="004E3164" w:rsidRPr="004E0B9F" w:rsidRDefault="004E3164" w:rsidP="004E0B9F">
                                                  <w:pPr>
                                                    <w:ind w:firstLine="0"/>
                                                    <w:jc w:val="center"/>
                                                    <w:rPr>
                                                      <w:sz w:val="20"/>
                                                    </w:rPr>
                                                  </w:pPr>
                                                  <w:r w:rsidRPr="004E0B9F">
                                                    <w:rPr>
                                                      <w:spacing w:val="10"/>
                                                      <w:sz w:val="20"/>
                                                    </w:rPr>
                                                    <w:t>Проверка за липса на двойно финансиране</w:t>
                                                  </w:r>
                                                </w:p>
                                              </w:txbxContent>
                                            </wps:txbx>
                                            <wps:bodyPr rot="0" vert="horz" wrap="square" lIns="91440" tIns="45720" rIns="91440" bIns="45720" anchor="ctr" anchorCtr="0" upright="1">
                                              <a:noAutofit/>
                                            </wps:bodyPr>
                                          </wps:wsp>
                                          <wps:wsp>
                                            <wps:cNvPr id="2170" name="AutoShape 211"/>
                                            <wps:cNvSpPr>
                                              <a:spLocks noChangeArrowheads="1"/>
                                            </wps:cNvSpPr>
                                            <wps:spPr bwMode="auto">
                                              <a:xfrm>
                                                <a:off x="19726" y="3506"/>
                                                <a:ext cx="23007" cy="4724"/>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37618F" w14:textId="77777777" w:rsidR="004E3164" w:rsidRPr="004E0B9F" w:rsidRDefault="004E3164" w:rsidP="004E0B9F">
                                                  <w:pPr>
                                                    <w:ind w:firstLine="0"/>
                                                    <w:jc w:val="center"/>
                                                    <w:rPr>
                                                      <w:spacing w:val="10"/>
                                                      <w:sz w:val="20"/>
                                                    </w:rPr>
                                                  </w:pPr>
                                                  <w:r w:rsidRPr="004E0B9F">
                                                    <w:rPr>
                                                      <w:spacing w:val="10"/>
                                                      <w:sz w:val="20"/>
                                                    </w:rPr>
                                                    <w:t xml:space="preserve">Контролни листа за проверка за </w:t>
                                                  </w:r>
                                                </w:p>
                                                <w:p w14:paraId="54A685D6" w14:textId="77777777" w:rsidR="004E3164" w:rsidRPr="004E0B9F" w:rsidRDefault="004E3164" w:rsidP="004E0B9F">
                                                  <w:pPr>
                                                    <w:ind w:firstLine="0"/>
                                                    <w:jc w:val="center"/>
                                                    <w:rPr>
                                                      <w:sz w:val="20"/>
                                                    </w:rPr>
                                                  </w:pPr>
                                                  <w:r w:rsidRPr="004E0B9F">
                                                    <w:rPr>
                                                      <w:spacing w:val="10"/>
                                                      <w:sz w:val="20"/>
                                                    </w:rPr>
                                                    <w:t>държавни помощи</w:t>
                                                  </w:r>
                                                </w:p>
                                                <w:p w14:paraId="1369493F" w14:textId="77777777" w:rsidR="004E3164" w:rsidRPr="004E0B9F" w:rsidRDefault="004E3164" w:rsidP="004E0B9F">
                                                  <w:pPr>
                                                    <w:ind w:firstLine="0"/>
                                                    <w:jc w:val="center"/>
                                                    <w:rPr>
                                                      <w:sz w:val="20"/>
                                                    </w:rPr>
                                                  </w:pPr>
                                                </w:p>
                                              </w:txbxContent>
                                            </wps:txbx>
                                            <wps:bodyPr rot="0" vert="horz" wrap="square" lIns="91440" tIns="45720" rIns="91440" bIns="45720" anchor="t" anchorCtr="0" upright="1">
                                              <a:noAutofit/>
                                            </wps:bodyPr>
                                          </wps:wsp>
                                          <wps:wsp>
                                            <wps:cNvPr id="2171" name="Rounded Rectangle 1"/>
                                            <wps:cNvSpPr>
                                              <a:spLocks noChangeArrowheads="1"/>
                                            </wps:cNvSpPr>
                                            <wps:spPr bwMode="auto">
                                              <a:xfrm>
                                                <a:off x="-7994" y="1524"/>
                                                <a:ext cx="29412" cy="5867"/>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2DD60663" w14:textId="77777777" w:rsidR="004E3164" w:rsidRPr="004E0B9F" w:rsidRDefault="004E3164" w:rsidP="004E0B9F">
                                                  <w:pPr>
                                                    <w:ind w:firstLine="0"/>
                                                    <w:jc w:val="center"/>
                                                    <w:rPr>
                                                      <w:sz w:val="20"/>
                                                    </w:rPr>
                                                  </w:pPr>
                                                  <w:r w:rsidRPr="004E0B9F">
                                                    <w:rPr>
                                                      <w:spacing w:val="10"/>
                                                      <w:sz w:val="20"/>
                                                    </w:rPr>
                                                    <w:t>Проверка: за наличие на държавни помощи и за съвместимост на държавна помощ с вътрешния пазар</w:t>
                                                  </w:r>
                                                </w:p>
                                              </w:txbxContent>
                                            </wps:txbx>
                                            <wps:bodyPr rot="0" vert="horz" wrap="square" lIns="91440" tIns="45720" rIns="91440" bIns="45720" anchor="ctr" anchorCtr="0" upright="1">
                                              <a:noAutofit/>
                                            </wps:bodyPr>
                                          </wps:wsp>
                                        </wpg:grpSp>
                                      </wpg:grpSp>
                                      <wpg:grpSp>
                                        <wpg:cNvPr id="2172" name="Group 1017"/>
                                        <wpg:cNvGrpSpPr>
                                          <a:grpSpLocks/>
                                        </wpg:cNvGrpSpPr>
                                        <wpg:grpSpPr bwMode="auto">
                                          <a:xfrm>
                                            <a:off x="1981" y="0"/>
                                            <a:ext cx="95097" cy="16078"/>
                                            <a:chOff x="0" y="0"/>
                                            <a:chExt cx="95097" cy="16078"/>
                                          </a:xfrm>
                                        </wpg:grpSpPr>
                                        <wps:wsp>
                                          <wps:cNvPr id="2173" name="AutoShape 65"/>
                                          <wps:cNvSpPr>
                                            <a:spLocks noChangeArrowheads="1"/>
                                          </wps:cNvSpPr>
                                          <wps:spPr bwMode="auto">
                                            <a:xfrm>
                                              <a:off x="22479" y="5943"/>
                                              <a:ext cx="13804" cy="4115"/>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ECE4B5" w14:textId="77777777" w:rsidR="004E3164" w:rsidRPr="004E0B9F" w:rsidRDefault="004E3164" w:rsidP="004E0B9F">
                                                <w:pPr>
                                                  <w:ind w:firstLine="0"/>
                                                  <w:jc w:val="center"/>
                                                  <w:rPr>
                                                    <w:sz w:val="20"/>
                                                  </w:rPr>
                                                </w:pPr>
                                                <w:r w:rsidRPr="004E0B9F">
                                                  <w:rPr>
                                                    <w:sz w:val="20"/>
                                                  </w:rPr>
                                                  <w:t>ФК за голям проект</w:t>
                                                </w:r>
                                              </w:p>
                                            </w:txbxContent>
                                          </wps:txbx>
                                          <wps:bodyPr rot="0" vert="horz" wrap="square" lIns="91440" tIns="45720" rIns="91440" bIns="45720" anchor="t" anchorCtr="0" upright="1">
                                            <a:noAutofit/>
                                          </wps:bodyPr>
                                        </wps:wsp>
                                        <wpg:grpSp>
                                          <wpg:cNvPr id="2174" name="Group 60"/>
                                          <wpg:cNvGrpSpPr>
                                            <a:grpSpLocks/>
                                          </wpg:cNvGrpSpPr>
                                          <wpg:grpSpPr bwMode="auto">
                                            <a:xfrm>
                                              <a:off x="35356" y="5715"/>
                                              <a:ext cx="52229" cy="10363"/>
                                              <a:chOff x="4171" y="4707"/>
                                              <a:chExt cx="8225" cy="1632"/>
                                            </a:xfrm>
                                          </wpg:grpSpPr>
                                          <wps:wsp>
                                            <wps:cNvPr id="2175" name="Text Box 4"/>
                                            <wps:cNvSpPr txBox="1">
                                              <a:spLocks noChangeArrowheads="1"/>
                                            </wps:cNvSpPr>
                                            <wps:spPr bwMode="auto">
                                              <a:xfrm>
                                                <a:off x="5193" y="5533"/>
                                                <a:ext cx="2433" cy="806"/>
                                              </a:xfrm>
                                              <a:prstGeom prst="rect">
                                                <a:avLst/>
                                              </a:prstGeom>
                                              <a:solidFill>
                                                <a:srgbClr val="FFFFFF"/>
                                              </a:solidFill>
                                              <a:ln w="6350">
                                                <a:solidFill>
                                                  <a:srgbClr val="FFFFFF"/>
                                                </a:solidFill>
                                                <a:miter lim="800000"/>
                                                <a:headEnd/>
                                                <a:tailEnd/>
                                              </a:ln>
                                            </wps:spPr>
                                            <wps:txbx>
                                              <w:txbxContent>
                                                <w:p w14:paraId="086EDCE7" w14:textId="77777777" w:rsidR="004E3164" w:rsidRPr="004E0B9F" w:rsidRDefault="004E3164" w:rsidP="004E0B9F">
                                                  <w:pPr>
                                                    <w:ind w:firstLine="0"/>
                                                    <w:jc w:val="center"/>
                                                    <w:rPr>
                                                      <w:sz w:val="20"/>
                                                    </w:rPr>
                                                  </w:pPr>
                                                  <w:r w:rsidRPr="004E0B9F">
                                                    <w:rPr>
                                                      <w:sz w:val="20"/>
                                                    </w:rPr>
                                                    <w:t>В случай, че проектното предложение  е за голям проект:</w:t>
                                                  </w:r>
                                                </w:p>
                                              </w:txbxContent>
                                            </wps:txbx>
                                            <wps:bodyPr rot="0" vert="horz" wrap="square" lIns="91440" tIns="45720" rIns="91440" bIns="45720" anchor="t" anchorCtr="0" upright="1">
                                              <a:noAutofit/>
                                            </wps:bodyPr>
                                          </wps:wsp>
                                          <wps:wsp>
                                            <wps:cNvPr id="2208" name="Rounded Rectangle 1"/>
                                            <wps:cNvSpPr>
                                              <a:spLocks noChangeArrowheads="1"/>
                                            </wps:cNvSpPr>
                                            <wps:spPr bwMode="auto">
                                              <a:xfrm>
                                                <a:off x="8195" y="5494"/>
                                                <a:ext cx="4201" cy="593"/>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1E7E09B5" w14:textId="77777777" w:rsidR="004E3164" w:rsidRPr="004E0B9F" w:rsidRDefault="004E3164" w:rsidP="004E0B9F">
                                                  <w:pPr>
                                                    <w:ind w:firstLine="0"/>
                                                    <w:jc w:val="center"/>
                                                    <w:rPr>
                                                      <w:sz w:val="20"/>
                                                      <w:lang w:val="en-US"/>
                                                    </w:rPr>
                                                  </w:pPr>
                                                  <w:r w:rsidRPr="004E0B9F">
                                                    <w:rPr>
                                                      <w:spacing w:val="10"/>
                                                      <w:sz w:val="20"/>
                                                    </w:rPr>
                                                    <w:t xml:space="preserve">Регистриране на ФК </w:t>
                                                  </w:r>
                                                  <w:r w:rsidRPr="004E0B9F">
                                                    <w:rPr>
                                                      <w:sz w:val="20"/>
                                                    </w:rPr>
                                                    <w:t>в Ивентис, ИСУН2020</w:t>
                                                  </w:r>
                                                </w:p>
                                              </w:txbxContent>
                                            </wps:txbx>
                                            <wps:bodyPr rot="0" vert="horz" wrap="square" lIns="91440" tIns="45720" rIns="91440" bIns="45720" anchor="ctr" anchorCtr="0" upright="1">
                                              <a:noAutofit/>
                                            </wps:bodyPr>
                                          </wps:wsp>
                                          <wps:wsp>
                                            <wps:cNvPr id="2209" name="AutoShape 218"/>
                                            <wps:cNvSpPr>
                                              <a:spLocks noChangeArrowheads="1"/>
                                            </wps:cNvSpPr>
                                            <wps:spPr bwMode="auto">
                                              <a:xfrm>
                                                <a:off x="6191" y="5355"/>
                                                <a:ext cx="204" cy="107"/>
                                              </a:xfrm>
                                              <a:prstGeom prst="down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2210" name="AutoShape 219"/>
                                            <wps:cNvSpPr>
                                              <a:spLocks noChangeArrowheads="1"/>
                                            </wps:cNvSpPr>
                                            <wps:spPr bwMode="auto">
                                              <a:xfrm rot="5400000">
                                                <a:off x="4802" y="5740"/>
                                                <a:ext cx="204" cy="107"/>
                                              </a:xfrm>
                                              <a:prstGeom prst="down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2211" name="AutoShape 65"/>
                                            <wps:cNvSpPr>
                                              <a:spLocks noChangeArrowheads="1"/>
                                            </wps:cNvSpPr>
                                            <wps:spPr bwMode="auto">
                                              <a:xfrm>
                                                <a:off x="8268" y="4707"/>
                                                <a:ext cx="3127" cy="661"/>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44F565" w14:textId="77777777" w:rsidR="004E3164" w:rsidRPr="004E0B9F" w:rsidRDefault="004E3164" w:rsidP="004E0B9F">
                                                  <w:pPr>
                                                    <w:ind w:firstLine="0"/>
                                                    <w:jc w:val="center"/>
                                                    <w:rPr>
                                                      <w:sz w:val="20"/>
                                                    </w:rPr>
                                                  </w:pPr>
                                                  <w:r w:rsidRPr="004E0B9F">
                                                    <w:rPr>
                                                      <w:sz w:val="20"/>
                                                    </w:rPr>
                                                    <w:t>ФК за голям проект/ ФК за техническа помощ/ФП</w:t>
                                                  </w:r>
                                                </w:p>
                                              </w:txbxContent>
                                            </wps:txbx>
                                            <wps:bodyPr rot="0" vert="horz" wrap="square" lIns="91440" tIns="45720" rIns="91440" bIns="45720" anchor="t" anchorCtr="0" upright="1">
                                              <a:noAutofit/>
                                            </wps:bodyPr>
                                          </wps:wsp>
                                          <wps:wsp>
                                            <wps:cNvPr id="2212" name="Rounded Rectangle 1"/>
                                            <wps:cNvSpPr>
                                              <a:spLocks noChangeArrowheads="1"/>
                                            </wps:cNvSpPr>
                                            <wps:spPr bwMode="auto">
                                              <a:xfrm>
                                                <a:off x="4171" y="4779"/>
                                                <a:ext cx="4252" cy="475"/>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6DE1B149" w14:textId="77777777" w:rsidR="004E3164" w:rsidRPr="004E0B9F" w:rsidRDefault="004E3164" w:rsidP="004E0B9F">
                                                  <w:pPr>
                                                    <w:ind w:firstLine="0"/>
                                                    <w:jc w:val="center"/>
                                                    <w:rPr>
                                                      <w:sz w:val="20"/>
                                                    </w:rPr>
                                                  </w:pPr>
                                                  <w:r w:rsidRPr="004E0B9F">
                                                    <w:rPr>
                                                      <w:spacing w:val="10"/>
                                                      <w:sz w:val="20"/>
                                                    </w:rPr>
                                                    <w:t>Подаване на проектно предложение</w:t>
                                                  </w:r>
                                                </w:p>
                                              </w:txbxContent>
                                            </wps:txbx>
                                            <wps:bodyPr rot="0" vert="horz" wrap="square" lIns="91440" tIns="45720" rIns="91440" bIns="45720" anchor="ctr" anchorCtr="0" upright="1">
                                              <a:noAutofit/>
                                            </wps:bodyPr>
                                          </wps:wsp>
                                        </wpg:grpSp>
                                        <wps:wsp>
                                          <wps:cNvPr id="2213" name="Text Box 191"/>
                                          <wps:cNvSpPr txBox="1">
                                            <a:spLocks noChangeArrowheads="1"/>
                                          </wps:cNvSpPr>
                                          <wps:spPr bwMode="auto">
                                            <a:xfrm>
                                              <a:off x="0" y="0"/>
                                              <a:ext cx="95097" cy="3581"/>
                                            </a:xfrm>
                                            <a:prstGeom prst="rect">
                                              <a:avLst/>
                                            </a:prstGeom>
                                            <a:solidFill>
                                              <a:srgbClr val="FFFFFF"/>
                                            </a:solidFill>
                                            <a:ln w="6350">
                                              <a:solidFill>
                                                <a:srgbClr val="FFFFFF"/>
                                              </a:solidFill>
                                              <a:miter lim="800000"/>
                                              <a:headEnd/>
                                              <a:tailEnd/>
                                            </a:ln>
                                          </wps:spPr>
                                          <wps:txbx>
                                            <w:txbxContent>
                                              <w:p w14:paraId="73170E13" w14:textId="77777777" w:rsidR="004E3164" w:rsidRPr="004E0B9F" w:rsidRDefault="004E3164" w:rsidP="004E0B9F">
                                                <w:pPr>
                                                  <w:ind w:firstLine="0"/>
                                                  <w:jc w:val="center"/>
                                                  <w:rPr>
                                                    <w:sz w:val="20"/>
                                                  </w:rPr>
                                                </w:pPr>
                                                <w:r w:rsidRPr="004E0B9F">
                                                  <w:rPr>
                                                    <w:b/>
                                                    <w:sz w:val="20"/>
                                                    <w:u w:val="single"/>
                                                  </w:rPr>
                                                  <w:t>Принципна схема на процедурата за директно предоставяне по ОПТТИ</w:t>
                                                </w:r>
                                              </w:p>
                                              <w:p w14:paraId="5683EA15" w14:textId="77777777" w:rsidR="004E3164" w:rsidRPr="004E0B9F" w:rsidRDefault="004E3164" w:rsidP="004E0B9F">
                                                <w:pPr>
                                                  <w:ind w:firstLine="0"/>
                                                  <w:jc w:val="center"/>
                                                  <w:rPr>
                                                    <w:sz w:val="20"/>
                                                  </w:rPr>
                                                </w:pPr>
                                              </w:p>
                                            </w:txbxContent>
                                          </wps:txbx>
                                          <wps:bodyPr rot="0" vert="horz" wrap="square" lIns="91440" tIns="45720" rIns="91440" bIns="45720" anchor="t" anchorCtr="0" upright="1">
                                            <a:noAutofit/>
                                          </wps:bodyPr>
                                        </wps:wsp>
                                      </wpg:grpSp>
                                      <wpg:grpSp>
                                        <wpg:cNvPr id="2214" name="Group 999"/>
                                        <wpg:cNvGrpSpPr>
                                          <a:grpSpLocks/>
                                        </wpg:cNvGrpSpPr>
                                        <wpg:grpSpPr bwMode="auto">
                                          <a:xfrm>
                                            <a:off x="0" y="16154"/>
                                            <a:ext cx="32759" cy="17145"/>
                                            <a:chOff x="0" y="0"/>
                                            <a:chExt cx="32759" cy="17145"/>
                                          </a:xfrm>
                                        </wpg:grpSpPr>
                                        <wps:wsp>
                                          <wps:cNvPr id="2215" name="Text Box 183"/>
                                          <wps:cNvSpPr txBox="1">
                                            <a:spLocks noChangeArrowheads="1"/>
                                          </wps:cNvSpPr>
                                          <wps:spPr bwMode="auto">
                                            <a:xfrm>
                                              <a:off x="23469" y="4038"/>
                                              <a:ext cx="4221" cy="2896"/>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AA98166" w14:textId="77777777" w:rsidR="004E3164" w:rsidRPr="004E0B9F" w:rsidRDefault="004E3164" w:rsidP="004E0B9F">
                                                <w:pPr>
                                                  <w:ind w:firstLine="0"/>
                                                  <w:jc w:val="center"/>
                                                  <w:rPr>
                                                    <w:sz w:val="20"/>
                                                  </w:rPr>
                                                </w:pPr>
                                                <w:r w:rsidRPr="004E0B9F">
                                                  <w:rPr>
                                                    <w:sz w:val="20"/>
                                                  </w:rPr>
                                                  <w:t>да</w:t>
                                                </w:r>
                                              </w:p>
                                            </w:txbxContent>
                                          </wps:txbx>
                                          <wps:bodyPr rot="0" vert="horz" wrap="square" lIns="91440" tIns="45720" rIns="91440" bIns="45720" anchor="t" anchorCtr="0" upright="1">
                                            <a:noAutofit/>
                                          </wps:bodyPr>
                                        </wps:wsp>
                                        <wps:wsp>
                                          <wps:cNvPr id="2216" name="AutoShape 65"/>
                                          <wps:cNvSpPr>
                                            <a:spLocks noChangeArrowheads="1"/>
                                          </wps:cNvSpPr>
                                          <wps:spPr bwMode="auto">
                                            <a:xfrm>
                                              <a:off x="0" y="4953"/>
                                              <a:ext cx="14262" cy="12192"/>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060305" w14:textId="77777777" w:rsidR="004E3164" w:rsidRPr="004E0B9F" w:rsidRDefault="004E3164" w:rsidP="004E0B9F">
                                                <w:pPr>
                                                  <w:ind w:firstLine="0"/>
                                                  <w:jc w:val="center"/>
                                                  <w:rPr>
                                                    <w:sz w:val="20"/>
                                                  </w:rPr>
                                                </w:pPr>
                                                <w:r w:rsidRPr="004E0B9F">
                                                  <w:rPr>
                                                    <w:sz w:val="20"/>
                                                  </w:rPr>
                                                  <w:t>Становище на независимите експерти от извършен „преглед на качеството“ на ФК за „голям“ проект</w:t>
                                                </w:r>
                                              </w:p>
                                            </w:txbxContent>
                                          </wps:txbx>
                                          <wps:bodyPr rot="0" vert="horz" wrap="square" lIns="91440" tIns="45720" rIns="91440" bIns="45720" anchor="t" anchorCtr="0" upright="1">
                                            <a:noAutofit/>
                                          </wps:bodyPr>
                                        </wps:wsp>
                                        <wps:wsp>
                                          <wps:cNvPr id="2217" name="AutoShape 226"/>
                                          <wps:cNvSpPr>
                                            <a:spLocks noChangeArrowheads="1"/>
                                          </wps:cNvSpPr>
                                          <wps:spPr bwMode="auto">
                                            <a:xfrm>
                                              <a:off x="21640" y="5486"/>
                                              <a:ext cx="1296" cy="679"/>
                                            </a:xfrm>
                                            <a:prstGeom prst="down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2218" name="Rounded Rectangle 1"/>
                                          <wps:cNvSpPr>
                                            <a:spLocks noChangeArrowheads="1"/>
                                          </wps:cNvSpPr>
                                          <wps:spPr bwMode="auto">
                                            <a:xfrm>
                                              <a:off x="12725" y="6934"/>
                                              <a:ext cx="18059" cy="7925"/>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57940788" w14:textId="77777777" w:rsidR="004E3164" w:rsidRPr="004E0B9F" w:rsidRDefault="004E3164" w:rsidP="004E0B9F">
                                                <w:pPr>
                                                  <w:ind w:firstLine="0"/>
                                                  <w:jc w:val="center"/>
                                                  <w:rPr>
                                                    <w:spacing w:val="10"/>
                                                    <w:sz w:val="20"/>
                                                  </w:rPr>
                                                </w:pPr>
                                                <w:r w:rsidRPr="004E0B9F">
                                                  <w:rPr>
                                                    <w:spacing w:val="10"/>
                                                    <w:sz w:val="20"/>
                                                  </w:rPr>
                                                  <w:t>Изпращане на ФК за извършване на „преглед на качеството“ от Джаспърс</w:t>
                                                </w:r>
                                              </w:p>
                                            </w:txbxContent>
                                          </wps:txbx>
                                          <wps:bodyPr rot="0" vert="horz" wrap="square" lIns="91440" tIns="45720" rIns="91440" bIns="45720" anchor="ctr" anchorCtr="0" upright="1">
                                            <a:noAutofit/>
                                          </wps:bodyPr>
                                        </wps:wsp>
                                        <wps:wsp>
                                          <wps:cNvPr id="2219" name="AutoShape 228"/>
                                          <wps:cNvSpPr>
                                            <a:spLocks noChangeArrowheads="1"/>
                                          </wps:cNvSpPr>
                                          <wps:spPr bwMode="auto">
                                            <a:xfrm>
                                              <a:off x="21793" y="0"/>
                                              <a:ext cx="1295" cy="679"/>
                                            </a:xfrm>
                                            <a:prstGeom prst="down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670" name="Text Box 4"/>
                                          <wps:cNvSpPr txBox="1">
                                            <a:spLocks noChangeArrowheads="1"/>
                                          </wps:cNvSpPr>
                                          <wps:spPr bwMode="auto">
                                            <a:xfrm>
                                              <a:off x="10363" y="990"/>
                                              <a:ext cx="22396" cy="3963"/>
                                            </a:xfrm>
                                            <a:prstGeom prst="rect">
                                              <a:avLst/>
                                            </a:prstGeom>
                                            <a:solidFill>
                                              <a:srgbClr val="FFFFFF"/>
                                            </a:solidFill>
                                            <a:ln w="6350">
                                              <a:solidFill>
                                                <a:srgbClr val="FFFFFF"/>
                                              </a:solidFill>
                                              <a:miter lim="800000"/>
                                              <a:headEnd/>
                                              <a:tailEnd/>
                                            </a:ln>
                                          </wps:spPr>
                                          <wps:txbx>
                                            <w:txbxContent>
                                              <w:p w14:paraId="2DD5C7F4" w14:textId="77777777" w:rsidR="004E3164" w:rsidRPr="004E0B9F" w:rsidRDefault="004E3164" w:rsidP="004E0B9F">
                                                <w:pPr>
                                                  <w:ind w:firstLine="0"/>
                                                  <w:jc w:val="center"/>
                                                  <w:rPr>
                                                    <w:sz w:val="20"/>
                                                  </w:rPr>
                                                </w:pPr>
                                                <w:r w:rsidRPr="004E0B9F">
                                                  <w:rPr>
                                                    <w:sz w:val="20"/>
                                                  </w:rPr>
                                                  <w:t>Използват ли се независими експерти за „преглед на качеството“</w:t>
                                                </w:r>
                                              </w:p>
                                              <w:p w14:paraId="7D649901" w14:textId="77777777" w:rsidR="004E3164" w:rsidRPr="004E0B9F" w:rsidRDefault="004E3164" w:rsidP="004E0B9F">
                                                <w:pPr>
                                                  <w:ind w:firstLine="0"/>
                                                  <w:jc w:val="center"/>
                                                  <w:rPr>
                                                    <w:sz w:val="20"/>
                                                  </w:rPr>
                                                </w:pPr>
                                              </w:p>
                                            </w:txbxContent>
                                          </wps:txbx>
                                          <wps:bodyPr rot="0" vert="horz" wrap="square" lIns="91440" tIns="45720" rIns="91440" bIns="45720" anchor="t" anchorCtr="0" upright="1">
                                            <a:noAutofit/>
                                          </wps:bodyPr>
                                        </wps:wsp>
                                      </wpg:grpSp>
                                    </wpg:grpSp>
                                    <wpg:grpSp>
                                      <wpg:cNvPr id="671" name="Group 1021"/>
                                      <wpg:cNvGrpSpPr>
                                        <a:grpSpLocks/>
                                      </wpg:cNvGrpSpPr>
                                      <wpg:grpSpPr bwMode="auto">
                                        <a:xfrm>
                                          <a:off x="1143" y="52286"/>
                                          <a:ext cx="88765" cy="14922"/>
                                          <a:chOff x="0" y="-825"/>
                                          <a:chExt cx="88765" cy="14922"/>
                                        </a:xfrm>
                                      </wpg:grpSpPr>
                                      <wpg:grpSp>
                                        <wpg:cNvPr id="2016" name="Group 76"/>
                                        <wpg:cNvGrpSpPr>
                                          <a:grpSpLocks/>
                                        </wpg:cNvGrpSpPr>
                                        <wpg:grpSpPr bwMode="auto">
                                          <a:xfrm>
                                            <a:off x="34671" y="914"/>
                                            <a:ext cx="54094" cy="13183"/>
                                            <a:chOff x="3729" y="12495"/>
                                            <a:chExt cx="7360" cy="3012"/>
                                          </a:xfrm>
                                        </wpg:grpSpPr>
                                        <wps:wsp>
                                          <wps:cNvPr id="2017" name="AutoShape 258"/>
                                          <wps:cNvSpPr>
                                            <a:spLocks noChangeArrowheads="1"/>
                                          </wps:cNvSpPr>
                                          <wps:spPr bwMode="auto">
                                            <a:xfrm>
                                              <a:off x="6111" y="12495"/>
                                              <a:ext cx="204" cy="107"/>
                                            </a:xfrm>
                                            <a:prstGeom prst="down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2018" name="AutoShape 259"/>
                                          <wps:cNvSpPr>
                                            <a:spLocks noChangeArrowheads="1"/>
                                          </wps:cNvSpPr>
                                          <wps:spPr bwMode="auto">
                                            <a:xfrm>
                                              <a:off x="8283" y="12578"/>
                                              <a:ext cx="2780" cy="1051"/>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22AB25" w14:textId="77777777" w:rsidR="004E3164" w:rsidRPr="004E0B9F" w:rsidRDefault="004E3164" w:rsidP="004E0B9F">
                                                <w:pPr>
                                                  <w:ind w:firstLine="0"/>
                                                  <w:jc w:val="center"/>
                                                  <w:rPr>
                                                    <w:sz w:val="20"/>
                                                  </w:rPr>
                                                </w:pPr>
                                                <w:r w:rsidRPr="004E0B9F">
                                                  <w:rPr>
                                                    <w:sz w:val="20"/>
                                                  </w:rPr>
                                                  <w:t>Оценителен доклад и оценителни таблици</w:t>
                                                </w:r>
                                              </w:p>
                                            </w:txbxContent>
                                          </wps:txbx>
                                          <wps:bodyPr rot="0" vert="horz" wrap="square" lIns="91440" tIns="45720" rIns="91440" bIns="45720" anchor="t" anchorCtr="0" upright="1">
                                            <a:noAutofit/>
                                          </wps:bodyPr>
                                        </wps:wsp>
                                        <wps:wsp>
                                          <wps:cNvPr id="2019" name="AutoShape 260"/>
                                          <wps:cNvSpPr>
                                            <a:spLocks noChangeArrowheads="1"/>
                                          </wps:cNvSpPr>
                                          <wps:spPr bwMode="auto">
                                            <a:xfrm>
                                              <a:off x="6090" y="13988"/>
                                              <a:ext cx="204" cy="107"/>
                                            </a:xfrm>
                                            <a:prstGeom prst="down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672" name="AutoShape 81"/>
                                          <wps:cNvSpPr>
                                            <a:spLocks noChangeArrowheads="1"/>
                                          </wps:cNvSpPr>
                                          <wps:spPr bwMode="auto">
                                            <a:xfrm>
                                              <a:off x="8252" y="13888"/>
                                              <a:ext cx="2837" cy="1619"/>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3E18AD" w14:textId="77777777" w:rsidR="004E3164" w:rsidRPr="004E0B9F" w:rsidRDefault="004E3164" w:rsidP="004E0B9F">
                                                <w:pPr>
                                                  <w:ind w:firstLine="0"/>
                                                  <w:jc w:val="center"/>
                                                  <w:rPr>
                                                    <w:spacing w:val="10"/>
                                                    <w:sz w:val="20"/>
                                                  </w:rPr>
                                                </w:pPr>
                                                <w:r w:rsidRPr="004E0B9F">
                                                  <w:rPr>
                                                    <w:sz w:val="20"/>
                                                  </w:rPr>
                                                  <w:t>Решение за предоставяне на БФП; Договор/Заповед за предоставяне на БФП</w:t>
                                                </w:r>
                                              </w:p>
                                              <w:p w14:paraId="0C459BD6" w14:textId="77777777" w:rsidR="004E3164" w:rsidRPr="004E0B9F" w:rsidRDefault="004E3164" w:rsidP="004E0B9F">
                                                <w:pPr>
                                                  <w:ind w:firstLine="0"/>
                                                  <w:jc w:val="center"/>
                                                  <w:rPr>
                                                    <w:sz w:val="20"/>
                                                  </w:rPr>
                                                </w:pPr>
                                              </w:p>
                                              <w:p w14:paraId="6578254D" w14:textId="77777777" w:rsidR="004E3164" w:rsidRPr="004E0B9F" w:rsidRDefault="004E3164" w:rsidP="004E0B9F">
                                                <w:pPr>
                                                  <w:ind w:firstLine="0"/>
                                                  <w:jc w:val="center"/>
                                                  <w:rPr>
                                                    <w:sz w:val="20"/>
                                                  </w:rPr>
                                                </w:pPr>
                                                <w:r w:rsidRPr="004E0B9F">
                                                  <w:rPr>
                                                    <w:sz w:val="20"/>
                                                  </w:rPr>
                                                  <w:t>Договор/Заповед за предоставяне на БФП</w:t>
                                                </w:r>
                                              </w:p>
                                            </w:txbxContent>
                                          </wps:txbx>
                                          <wps:bodyPr rot="0" vert="horz" wrap="square" lIns="91440" tIns="45720" rIns="91440" bIns="45720" anchor="t" anchorCtr="0" upright="1">
                                            <a:noAutofit/>
                                          </wps:bodyPr>
                                        </wps:wsp>
                                        <wps:wsp>
                                          <wps:cNvPr id="673" name="AutoShape 262"/>
                                          <wps:cNvSpPr>
                                            <a:spLocks noChangeArrowheads="1"/>
                                          </wps:cNvSpPr>
                                          <wps:spPr bwMode="auto">
                                            <a:xfrm>
                                              <a:off x="3729" y="14300"/>
                                              <a:ext cx="4728" cy="705"/>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0C8813EB" w14:textId="77777777" w:rsidR="004E3164" w:rsidRPr="004E0B9F" w:rsidRDefault="004E3164" w:rsidP="004E0B9F">
                                                <w:pPr>
                                                  <w:ind w:firstLine="0"/>
                                                  <w:jc w:val="center"/>
                                                  <w:rPr>
                                                    <w:sz w:val="20"/>
                                                  </w:rPr>
                                                </w:pPr>
                                                <w:r w:rsidRPr="004E0B9F">
                                                  <w:rPr>
                                                    <w:sz w:val="20"/>
                                                  </w:rPr>
                                                  <w:t>Предоставяне на безвъзмездна финансова помощ</w:t>
                                                </w:r>
                                              </w:p>
                                              <w:p w14:paraId="5B70CEEC" w14:textId="77777777" w:rsidR="004E3164" w:rsidRPr="004E0B9F" w:rsidRDefault="004E3164" w:rsidP="004E0B9F">
                                                <w:pPr>
                                                  <w:ind w:firstLine="0"/>
                                                  <w:jc w:val="center"/>
                                                  <w:rPr>
                                                    <w:sz w:val="20"/>
                                                  </w:rPr>
                                                </w:pPr>
                                              </w:p>
                                            </w:txbxContent>
                                          </wps:txbx>
                                          <wps:bodyPr rot="0" vert="horz" wrap="square" lIns="91440" tIns="45720" rIns="91440" bIns="45720" anchor="ctr" anchorCtr="0" upright="1">
                                            <a:noAutofit/>
                                          </wps:bodyPr>
                                        </wps:wsp>
                                        <wps:wsp>
                                          <wps:cNvPr id="674" name="AutoShape 263"/>
                                          <wps:cNvSpPr>
                                            <a:spLocks noChangeArrowheads="1"/>
                                          </wps:cNvSpPr>
                                          <wps:spPr bwMode="auto">
                                            <a:xfrm>
                                              <a:off x="3759" y="12704"/>
                                              <a:ext cx="4709" cy="1093"/>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6D836384" w14:textId="77777777" w:rsidR="004E3164" w:rsidRPr="004E0B9F" w:rsidRDefault="004E3164" w:rsidP="004E0B9F">
                                                <w:pPr>
                                                  <w:ind w:firstLine="0"/>
                                                  <w:jc w:val="center"/>
                                                  <w:rPr>
                                                    <w:sz w:val="20"/>
                                                  </w:rPr>
                                                </w:pPr>
                                                <w:r w:rsidRPr="004E0B9F">
                                                  <w:rPr>
                                                    <w:sz w:val="20"/>
                                                  </w:rPr>
                                                  <w:t>Приключване на оценката с препоръка за одобрение или отхвърляне на проектното предложение</w:t>
                                                </w:r>
                                              </w:p>
                                              <w:p w14:paraId="648DA4EE" w14:textId="77777777" w:rsidR="004E3164" w:rsidRPr="004E0B9F" w:rsidRDefault="004E3164" w:rsidP="004E0B9F">
                                                <w:pPr>
                                                  <w:ind w:firstLine="0"/>
                                                  <w:jc w:val="center"/>
                                                  <w:rPr>
                                                    <w:sz w:val="20"/>
                                                  </w:rPr>
                                                </w:pPr>
                                              </w:p>
                                            </w:txbxContent>
                                          </wps:txbx>
                                          <wps:bodyPr rot="0" vert="horz" wrap="square" lIns="91440" tIns="45720" rIns="91440" bIns="45720" anchor="ctr" anchorCtr="0" upright="1">
                                            <a:noAutofit/>
                                          </wps:bodyPr>
                                        </wps:wsp>
                                      </wpg:grpSp>
                                      <wpg:grpSp>
                                        <wpg:cNvPr id="675" name="Group 1020"/>
                                        <wpg:cNvGrpSpPr>
                                          <a:grpSpLocks/>
                                        </wpg:cNvGrpSpPr>
                                        <wpg:grpSpPr bwMode="auto">
                                          <a:xfrm>
                                            <a:off x="0" y="-825"/>
                                            <a:ext cx="34401" cy="12864"/>
                                            <a:chOff x="0" y="-825"/>
                                            <a:chExt cx="34401" cy="12864"/>
                                          </a:xfrm>
                                        </wpg:grpSpPr>
                                        <wps:wsp>
                                          <wps:cNvPr id="676" name="AutoShape 65"/>
                                          <wps:cNvSpPr>
                                            <a:spLocks noChangeArrowheads="1"/>
                                          </wps:cNvSpPr>
                                          <wps:spPr bwMode="auto">
                                            <a:xfrm>
                                              <a:off x="0" y="4419"/>
                                              <a:ext cx="18453" cy="5944"/>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D6456C" w14:textId="77777777" w:rsidR="004E3164" w:rsidRPr="004E0B9F" w:rsidRDefault="004E3164" w:rsidP="004E0B9F">
                                                <w:pPr>
                                                  <w:ind w:firstLine="0"/>
                                                  <w:jc w:val="center"/>
                                                  <w:rPr>
                                                    <w:sz w:val="20"/>
                                                  </w:rPr>
                                                </w:pPr>
                                                <w:r w:rsidRPr="004E0B9F">
                                                  <w:rPr>
                                                    <w:sz w:val="20"/>
                                                  </w:rPr>
                                                  <w:t>Становище на ЕК за  одобрение на „голям“ проект</w:t>
                                                </w:r>
                                              </w:p>
                                            </w:txbxContent>
                                          </wps:txbx>
                                          <wps:bodyPr rot="0" vert="horz" wrap="square" lIns="91440" tIns="45720" rIns="91440" bIns="45720" anchor="t" anchorCtr="0" upright="1">
                                            <a:noAutofit/>
                                          </wps:bodyPr>
                                        </wps:wsp>
                                        <wps:wsp>
                                          <wps:cNvPr id="677" name="Text Box 4"/>
                                          <wps:cNvSpPr txBox="1">
                                            <a:spLocks noChangeArrowheads="1"/>
                                          </wps:cNvSpPr>
                                          <wps:spPr bwMode="auto">
                                            <a:xfrm>
                                              <a:off x="18440" y="-825"/>
                                              <a:ext cx="13862" cy="4711"/>
                                            </a:xfrm>
                                            <a:prstGeom prst="rect">
                                              <a:avLst/>
                                            </a:prstGeom>
                                            <a:solidFill>
                                              <a:srgbClr val="FFFFFF"/>
                                            </a:solidFill>
                                            <a:ln w="6350">
                                              <a:solidFill>
                                                <a:srgbClr val="FFFFFF"/>
                                              </a:solidFill>
                                              <a:miter lim="800000"/>
                                              <a:headEnd/>
                                              <a:tailEnd/>
                                            </a:ln>
                                          </wps:spPr>
                                          <wps:txbx>
                                            <w:txbxContent>
                                              <w:p w14:paraId="6C5C5368" w14:textId="77777777" w:rsidR="004E3164" w:rsidRPr="004E0B9F" w:rsidRDefault="004E3164" w:rsidP="004E0B9F">
                                                <w:pPr>
                                                  <w:ind w:firstLine="0"/>
                                                  <w:jc w:val="center"/>
                                                  <w:rPr>
                                                    <w:sz w:val="20"/>
                                                  </w:rPr>
                                                </w:pPr>
                                                <w:r w:rsidRPr="004E0B9F">
                                                  <w:rPr>
                                                    <w:sz w:val="20"/>
                                                  </w:rPr>
                                                  <w:t>В случай, че ФК е за голям проект:</w:t>
                                                </w:r>
                                              </w:p>
                                              <w:p w14:paraId="2CF8AB27" w14:textId="77777777" w:rsidR="004E3164" w:rsidRPr="004E0B9F" w:rsidRDefault="004E3164" w:rsidP="004E0B9F">
                                                <w:pPr>
                                                  <w:ind w:firstLine="0"/>
                                                  <w:jc w:val="center"/>
                                                  <w:rPr>
                                                    <w:sz w:val="20"/>
                                                  </w:rPr>
                                                </w:pPr>
                                              </w:p>
                                            </w:txbxContent>
                                          </wps:txbx>
                                          <wps:bodyPr rot="0" vert="horz" wrap="square" lIns="91440" tIns="45720" rIns="91440" bIns="45720" anchor="t" anchorCtr="0" upright="1">
                                            <a:noAutofit/>
                                          </wps:bodyPr>
                                        </wps:wsp>
                                        <wps:wsp>
                                          <wps:cNvPr id="679" name="AutoShape 241"/>
                                          <wps:cNvSpPr>
                                            <a:spLocks noChangeArrowheads="1"/>
                                          </wps:cNvSpPr>
                                          <wps:spPr bwMode="auto">
                                            <a:xfrm rot="5400000">
                                              <a:off x="32994" y="3429"/>
                                              <a:ext cx="1295" cy="680"/>
                                            </a:xfrm>
                                            <a:prstGeom prst="down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680" name="Rounded Rectangle 1"/>
                                          <wps:cNvSpPr>
                                            <a:spLocks noChangeArrowheads="1"/>
                                          </wps:cNvSpPr>
                                          <wps:spPr bwMode="auto">
                                            <a:xfrm>
                                              <a:off x="17449" y="5105"/>
                                              <a:ext cx="14955" cy="6934"/>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2F3768A1" w14:textId="77777777" w:rsidR="004E3164" w:rsidRPr="004E0B9F" w:rsidRDefault="004E3164" w:rsidP="004E0B9F">
                                                <w:pPr>
                                                  <w:ind w:firstLine="0"/>
                                                  <w:jc w:val="center"/>
                                                  <w:rPr>
                                                    <w:sz w:val="20"/>
                                                    <w:lang w:val="en-US"/>
                                                  </w:rPr>
                                                </w:pPr>
                                                <w:r w:rsidRPr="004E0B9F">
                                                  <w:rPr>
                                                    <w:spacing w:val="10"/>
                                                    <w:sz w:val="20"/>
                                                  </w:rPr>
                                                  <w:t>Изпращане на ФК за нотификация/ оценка от ЕК</w:t>
                                                </w:r>
                                              </w:p>
                                            </w:txbxContent>
                                          </wps:txbx>
                                          <wps:bodyPr rot="0" vert="horz" wrap="square" lIns="91440" tIns="45720" rIns="91440" bIns="45720" anchor="ctr" anchorCtr="0" upright="1">
                                            <a:noAutofit/>
                                          </wps:bodyPr>
                                        </wps:wsp>
                                        <wps:wsp>
                                          <wps:cNvPr id="681" name="AutoShape 243"/>
                                          <wps:cNvSpPr>
                                            <a:spLocks noChangeArrowheads="1"/>
                                          </wps:cNvSpPr>
                                          <wps:spPr bwMode="auto">
                                            <a:xfrm rot="-5400000">
                                              <a:off x="33413" y="9639"/>
                                              <a:ext cx="1295" cy="680"/>
                                            </a:xfrm>
                                            <a:prstGeom prst="down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682" name="AutoShape 244"/>
                                          <wps:cNvSpPr>
                                            <a:spLocks noChangeArrowheads="1"/>
                                          </wps:cNvSpPr>
                                          <wps:spPr bwMode="auto">
                                            <a:xfrm>
                                              <a:off x="23698" y="3733"/>
                                              <a:ext cx="1295" cy="680"/>
                                            </a:xfrm>
                                            <a:prstGeom prst="down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g:grpSp>
                                    </wpg:grpSp>
                                  </wpg:grpSp>
                                </wpg:grpSp>
                              </wpg:grpSp>
                            </wpg:grpSp>
                          </wpg:grpSp>
                          <wps:wsp>
                            <wps:cNvPr id="683" name="AutoShape 65"/>
                            <wps:cNvSpPr>
                              <a:spLocks noChangeArrowheads="1"/>
                            </wps:cNvSpPr>
                            <wps:spPr bwMode="auto">
                              <a:xfrm>
                                <a:off x="3942608" y="249381"/>
                                <a:ext cx="2456180" cy="329565"/>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B412D1" w14:textId="77777777" w:rsidR="004E3164" w:rsidRPr="004E0B9F" w:rsidRDefault="004E3164" w:rsidP="004E0B9F">
                                  <w:pPr>
                                    <w:ind w:firstLine="0"/>
                                    <w:jc w:val="center"/>
                                    <w:rPr>
                                      <w:sz w:val="20"/>
                                    </w:rPr>
                                  </w:pPr>
                                  <w:r w:rsidRPr="004E0B9F">
                                    <w:rPr>
                                      <w:sz w:val="20"/>
                                    </w:rPr>
                                    <w:t>Насоки за кандидатстване</w:t>
                                  </w:r>
                                </w:p>
                              </w:txbxContent>
                            </wps:txbx>
                            <wps:bodyPr rot="0" vert="horz" wrap="square" lIns="91440" tIns="45720" rIns="91440" bIns="45720" anchor="t" anchorCtr="0" upright="1">
                              <a:noAutofit/>
                            </wps:bodyPr>
                          </wps:wsp>
                        </wpg:grpSp>
                      </wpg:grpSp>
                      <wps:wsp>
                        <wps:cNvPr id="684" name="Down Arrow 2"/>
                        <wps:cNvSpPr>
                          <a:spLocks noChangeArrowheads="1"/>
                        </wps:cNvSpPr>
                        <wps:spPr bwMode="auto">
                          <a:xfrm>
                            <a:off x="6709559" y="1555667"/>
                            <a:ext cx="129540" cy="67945"/>
                          </a:xfrm>
                          <a:prstGeom prst="down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5CBAAACD" id="Group 2020" o:spid="_x0000_s1453" style="width:780.8pt;height:534.85pt;mso-position-horizontal-relative:char;mso-position-vertical-relative:line" coordsize="99158,67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">
                <v:group id="Group 2021" o:spid="_x0000_s1454" style="position:absolute;width:99158;height:67926" coordsize="99158,67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">
                  <v:roundrect id="AutoShape 72" o:spid="_x0000_s1455" style="position:absolute;left:87870;top:5775;width:11282;height:54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" strokecolor="#4f81bd" strokeweight="1pt">
                    <v:stroke dashstyle="dash"/>
                    <v:shadow color="#868686"/>
                    <v:textbox>
                      <w:txbxContent>
                        <w:p w14:paraId="771EBE2D" w14:textId="77777777" w:rsidR="004E3164" w:rsidRPr="004E0B9F" w:rsidRDefault="004E3164" w:rsidP="004E0B9F">
                          <w:pPr>
                            <w:ind w:firstLine="0"/>
                            <w:jc w:val="center"/>
                            <w:rPr>
                              <w:sz w:val="20"/>
                            </w:rPr>
                          </w:pPr>
                          <w:r w:rsidRPr="004E0B9F">
                            <w:rPr>
                              <w:sz w:val="20"/>
                            </w:rPr>
                            <w:t>Регистрационен номер в ИСУН2020</w:t>
                          </w:r>
                        </w:p>
                      </w:txbxContent>
                    </v:textbox>
                  </v:roundrect>
                  <v:group id="Group 2023" o:spid="_x0000_s1456" style="position:absolute;width:99158;height:67926" coordsize="99158,67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">
                    <v:group id="Group 2024" o:spid="_x0000_s1457" style="position:absolute;width:99158;height:67926" coordsize="99158,67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">
                      <v:roundrect id="AutoShape 259" o:spid="_x0000_s1458" style="position:absolute;left:69470;top:35269;width:22741;height:43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" strokecolor="#4f81bd" strokeweight="1pt">
                        <v:stroke dashstyle="dash"/>
                        <v:shadow color="#868686"/>
                        <v:textbox>
                          <w:txbxContent>
                            <w:p w14:paraId="5C07BA3D" w14:textId="77777777" w:rsidR="004E3164" w:rsidRPr="004E0B9F" w:rsidRDefault="004E3164" w:rsidP="004E0B9F">
                              <w:pPr>
                                <w:ind w:firstLine="0"/>
                                <w:jc w:val="center"/>
                                <w:rPr>
                                  <w:spacing w:val="10"/>
                                  <w:sz w:val="20"/>
                                </w:rPr>
                              </w:pPr>
                              <w:r w:rsidRPr="004E0B9F">
                                <w:rPr>
                                  <w:spacing w:val="10"/>
                                  <w:sz w:val="20"/>
                                </w:rPr>
                                <w:t xml:space="preserve">Оценителни таблици на </w:t>
                              </w:r>
                            </w:p>
                            <w:p w14:paraId="2F80AB93" w14:textId="77777777" w:rsidR="004E3164" w:rsidRPr="004E0B9F" w:rsidRDefault="004E3164" w:rsidP="004E0B9F">
                              <w:pPr>
                                <w:ind w:firstLine="0"/>
                                <w:jc w:val="center"/>
                                <w:rPr>
                                  <w:spacing w:val="10"/>
                                  <w:sz w:val="20"/>
                                </w:rPr>
                              </w:pPr>
                              <w:r w:rsidRPr="004E0B9F">
                                <w:rPr>
                                  <w:spacing w:val="10"/>
                                  <w:sz w:val="20"/>
                                </w:rPr>
                                <w:t>членовете на  оценителна комисия</w:t>
                              </w:r>
                            </w:p>
                          </w:txbxContent>
                        </v:textbox>
                      </v:roundrect>
                      <v:group id="Group 2026" o:spid="_x0000_s1459" style="position:absolute;width:99158;height:67926" coordsize="94202,6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">
                        <v:shape id="Text Box 183" o:spid="_x0000_s1460" type="#_x0000_t202" style="position:absolute;left:27750;top:56352;width:4096;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" filled="f" strokecolor="white" strokeweight=".5pt">
                          <v:textbox>
                            <w:txbxContent>
                              <w:p w14:paraId="014DD4A4" w14:textId="77777777" w:rsidR="004E3164" w:rsidRPr="004E0B9F" w:rsidRDefault="004E3164" w:rsidP="004E0B9F">
                                <w:pPr>
                                  <w:ind w:firstLine="0"/>
                                  <w:jc w:val="center"/>
                                  <w:rPr>
                                    <w:sz w:val="20"/>
                                  </w:rPr>
                                </w:pPr>
                                <w:r w:rsidRPr="004E0B9F">
                                  <w:rPr>
                                    <w:sz w:val="20"/>
                                  </w:rPr>
                                  <w:t>да</w:t>
                                </w:r>
                              </w:p>
                            </w:txbxContent>
                          </v:textbox>
                        </v:shape>
                        <v:group id="Group 424" o:spid="_x0000_s1461" style="position:absolute;width:94202;height:67621" coordsize="94202,6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Text Box 183" o:spid="_x0000_s1462" type="#_x0000_t202" style="position:absolute;left:25305;top:40084;width:4096;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" filled="f" strokecolor="white" strokeweight=".5pt">
                            <v:textbox>
                              <w:txbxContent>
                                <w:p w14:paraId="2972565D" w14:textId="77777777" w:rsidR="004E3164" w:rsidRPr="004E0B9F" w:rsidRDefault="004E3164" w:rsidP="004E0B9F">
                                  <w:pPr>
                                    <w:ind w:firstLine="0"/>
                                    <w:jc w:val="center"/>
                                    <w:rPr>
                                      <w:sz w:val="20"/>
                                    </w:rPr>
                                  </w:pPr>
                                  <w:r w:rsidRPr="004E0B9F">
                                    <w:rPr>
                                      <w:sz w:val="20"/>
                                    </w:rPr>
                                    <w:t>да</w:t>
                                  </w:r>
                                </w:p>
                              </w:txbxContent>
                            </v:textbox>
                          </v:shape>
                          <v:group id="Group 430" o:spid="_x0000_s1463" style="position:absolute;width:94202;height:67621" coordsize="94202,6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group id="Group 431" o:spid="_x0000_s1464" style="position:absolute;left:32216;top:12227;width:29184;height:11550" coordsize="29183,1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Text Box 181" o:spid="_x0000_s1465" type="#_x0000_t202" style="position:absolute;left:25837;top:1158;width:3346;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" filled="f" strokecolor="white" strokeweight=".5pt">
                                <v:textbox>
                                  <w:txbxContent>
                                    <w:p w14:paraId="073ADD71" w14:textId="77777777" w:rsidR="004E3164" w:rsidRPr="004E0B9F" w:rsidRDefault="004E3164" w:rsidP="004E0B9F">
                                      <w:pPr>
                                        <w:ind w:firstLine="0"/>
                                        <w:jc w:val="center"/>
                                        <w:rPr>
                                          <w:sz w:val="20"/>
                                        </w:rPr>
                                      </w:pPr>
                                      <w:r w:rsidRPr="004E0B9F">
                                        <w:rPr>
                                          <w:sz w:val="20"/>
                                        </w:rPr>
                                        <w:t>не</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466" type="#_x0000_t67" style="position:absolute;left:26900;top:308;width:1295;height:6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" adj="10800" fillcolor="#4f81bd" strokecolor="#385d8a" strokeweight="2pt"/>
                              <v:shape id="Text Box 180" o:spid="_x0000_s1467" type="#_x0000_t202" style="position:absolute;left:7974;top:1264;width:3346;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" filled="f" strokecolor="white" strokeweight=".5pt">
                                <v:textbox>
                                  <w:txbxContent>
                                    <w:p w14:paraId="5F98040E" w14:textId="77777777" w:rsidR="004E3164" w:rsidRPr="004E0B9F" w:rsidRDefault="004E3164" w:rsidP="004E0B9F">
                                      <w:pPr>
                                        <w:ind w:firstLine="0"/>
                                        <w:jc w:val="center"/>
                                        <w:rPr>
                                          <w:sz w:val="20"/>
                                        </w:rPr>
                                      </w:pPr>
                                      <w:r w:rsidRPr="004E0B9F">
                                        <w:rPr>
                                          <w:sz w:val="20"/>
                                        </w:rPr>
                                        <w:t>да</w:t>
                                      </w:r>
                                    </w:p>
                                  </w:txbxContent>
                                </v:textbox>
                              </v:shape>
                              <v:group id="Group 1000" o:spid="_x0000_s1468" style="position:absolute;top:4210;width:4330;height:7339" coordorigin=",-2585" coordsize="4330,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Text Box 185" o:spid="_x0000_s1469" type="#_x0000_t202" style="position:absolute;left:984;top:-2585;width:3346;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" filled="f" strokecolor="white" strokeweight=".5pt">
                                  <v:textbox>
                                    <w:txbxContent>
                                      <w:p w14:paraId="6F408817" w14:textId="77777777" w:rsidR="004E3164" w:rsidRPr="004E0B9F" w:rsidRDefault="004E3164" w:rsidP="004E0B9F">
                                        <w:pPr>
                                          <w:ind w:firstLine="0"/>
                                          <w:jc w:val="center"/>
                                          <w:rPr>
                                            <w:sz w:val="20"/>
                                          </w:rPr>
                                        </w:pPr>
                                        <w:r w:rsidRPr="004E0B9F">
                                          <w:rPr>
                                            <w:sz w:val="20"/>
                                          </w:rPr>
                                          <w:t>не</w:t>
                                        </w:r>
                                      </w:p>
                                    </w:txbxContent>
                                  </v:textbox>
                                </v:shape>
                                <v:shape id="AutoShape 251" o:spid="_x0000_s1470" type="#_x0000_t67" style="position:absolute;left:1936;top:308;width:1295;height:6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" adj="10800" fillcolor="#4f81bd" strokecolor="#385d8a" strokeweight="2pt"/>
                                <v:shape id="AutoShape 253" o:spid="_x0000_s1471" type="#_x0000_t67" style="position:absolute;left:-311;top:3774;width:1296;height:673;rotation:-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" adj="10800" fillcolor="#4f81bd" strokecolor="#385d8a" strokeweight="2pt"/>
                              </v:group>
                            </v:group>
                            <v:group id="Group 1022" o:spid="_x0000_s1472" style="position:absolute;width:94202;height:67621" coordsize="97078,6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roundrect id="AutoShape 65" o:spid="_x0000_s1473" style="position:absolute;top:46378;width:16091;height:76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" strokecolor="#4f81bd" strokeweight="1pt">
                                <v:stroke dashstyle="dash"/>
                                <v:shadow color="#868686"/>
                                <v:textbox>
                                  <w:txbxContent>
                                    <w:p w14:paraId="571A71B2" w14:textId="77777777" w:rsidR="004E3164" w:rsidRPr="004E0B9F" w:rsidRDefault="004E3164" w:rsidP="004E0B9F">
                                      <w:pPr>
                                        <w:ind w:firstLine="0"/>
                                        <w:jc w:val="center"/>
                                        <w:rPr>
                                          <w:sz w:val="20"/>
                                        </w:rPr>
                                      </w:pPr>
                                      <w:r w:rsidRPr="004E0B9F">
                                        <w:rPr>
                                          <w:sz w:val="20"/>
                                        </w:rPr>
                                        <w:t>Чрез ИСУН 2020 или писмо (на хартиен носител; електронна поща)</w:t>
                                      </w:r>
                                    </w:p>
                                  </w:txbxContent>
                                </v:textbox>
                              </v:roundrect>
                              <v:group id="Group 173" o:spid="_x0000_s1474" style="position:absolute;left:13716;top:35356;width:22024;height:13640" coordorigin=",-483" coordsize="15993,2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Text Box 4" o:spid="_x0000_s1475" type="#_x0000_t202" style="position:absolute;left:302;top:-483;width:15691;height:7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" strokecolor="white" strokeweight=".5pt">
                                  <v:textbox>
                                    <w:txbxContent>
                                      <w:p w14:paraId="0F89A249" w14:textId="77777777" w:rsidR="004E3164" w:rsidRPr="004E0B9F" w:rsidRDefault="004E3164" w:rsidP="004E0B9F">
                                        <w:pPr>
                                          <w:ind w:firstLine="0"/>
                                          <w:jc w:val="center"/>
                                          <w:rPr>
                                            <w:sz w:val="20"/>
                                          </w:rPr>
                                        </w:pPr>
                                        <w:r w:rsidRPr="004E0B9F">
                                          <w:rPr>
                                            <w:spacing w:val="10"/>
                                            <w:sz w:val="20"/>
                                          </w:rPr>
                                          <w:t>Ако са установени непълноти и/или нередовности на проектното предложение?</w:t>
                                        </w:r>
                                      </w:p>
                                    </w:txbxContent>
                                  </v:textbox>
                                </v:shape>
                                <v:roundrect id="Rounded Rectangle 1" o:spid="_x0000_s1476" style="position:absolute;top:9677;width:14954;height:100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" fillcolor="#a3c4ff" strokecolor="#4a7ebb">
                                  <v:fill color2="#e5eeff" rotate="t" angle="180" colors="0 #a3c4ff;22938f #bfd5ff;1 #e5eeff" focus="100%" type="gradient"/>
                                  <v:shadow on="t" color="black" opacity="24903f" origin=",.5" offset="0,.55556mm"/>
                                  <v:textbox>
                                    <w:txbxContent>
                                      <w:p w14:paraId="265726C3" w14:textId="77777777" w:rsidR="004E3164" w:rsidRPr="004E0B9F" w:rsidRDefault="004E3164" w:rsidP="004E0B9F">
                                        <w:pPr>
                                          <w:ind w:firstLine="0"/>
                                          <w:jc w:val="center"/>
                                          <w:rPr>
                                            <w:sz w:val="20"/>
                                            <w:lang w:val="en-US"/>
                                          </w:rPr>
                                        </w:pPr>
                                        <w:r w:rsidRPr="004E0B9F">
                                          <w:rPr>
                                            <w:spacing w:val="10"/>
                                            <w:sz w:val="20"/>
                                          </w:rPr>
                                          <w:t>Връщане на ФК за отстраняване на непълнотите и/или нередовности</w:t>
                                        </w:r>
                                      </w:p>
                                    </w:txbxContent>
                                  </v:textbox>
                                </v:roundrect>
                                <v:shape id="AutoShape 194" o:spid="_x0000_s1477" type="#_x0000_t67" style="position:absolute;left:14676;top:2422;width:1296;height:6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" adj="10800" fillcolor="#4f81bd" strokecolor="#385d8a" strokeweight="2pt"/>
                              </v:group>
                              <v:group id="Group 1019" o:spid="_x0000_s1478" style="position:absolute;width:97078;height:53340" coordsize="97078,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Lx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6Qv8vglPQK5/AAAA//8DAFBLAQItABQABgAIAAAAIQDb4fbL7gAAAIUBAAATAAAAAAAA&#10;AAAAAAAAAAAAAABbQ29udGVudF9UeXBlc10ueG1sUEsBAi0AFAAGAAgAAAAhAFr0LFu/AAAAFQEA&#10;AAsAAAAAAAAAAAAAAAAAHwEAAF9yZWxzLy5yZWxzUEsBAi0AFAAGAAgAAAAhAAyZMvHHAAAA3QAA&#10;AA8AAAAAAAAAAAAAAAAABwIAAGRycy9kb3ducmV2LnhtbFBLBQYAAAAAAwADALcAAAD7AgAAAAA=&#10;">
                                <v:group id="Group 998" o:spid="_x0000_s1479" style="position:absolute;left:152;top:9829;width:38405;height:6096" coordsize="3840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">
                                  <v:roundrect id="AutoShape 197" o:spid="_x0000_s1480" style="position:absolute;width:11658;height:60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" strokecolor="#4f81bd" strokeweight="1pt">
                                    <v:stroke dashstyle="dash"/>
                                    <v:shadow color="#868686"/>
                                    <v:textbox>
                                      <w:txbxContent>
                                        <w:p w14:paraId="018DFC4B" w14:textId="77777777" w:rsidR="004E3164" w:rsidRPr="004E0B9F" w:rsidRDefault="004E3164" w:rsidP="004E0B9F">
                                          <w:pPr>
                                            <w:ind w:firstLine="0"/>
                                            <w:jc w:val="center"/>
                                            <w:rPr>
                                              <w:sz w:val="20"/>
                                            </w:rPr>
                                          </w:pPr>
                                          <w:r w:rsidRPr="004E0B9F">
                                            <w:rPr>
                                              <w:sz w:val="20"/>
                                            </w:rPr>
                                            <w:t xml:space="preserve">Регистрационен номер в ИСУН, </w:t>
                                          </w:r>
                                          <w:r w:rsidRPr="004E0B9F">
                                            <w:rPr>
                                              <w:sz w:val="20"/>
                                              <w:lang w:val="en-US"/>
                                            </w:rPr>
                                            <w:t>SFC</w:t>
                                          </w:r>
                                        </w:p>
                                      </w:txbxContent>
                                    </v:textbox>
                                  </v:roundrect>
                                  <v:roundrect id="Rounded Rectangle 1" o:spid="_x0000_s1481" style="position:absolute;left:10210;top:1295;width:28194;height:39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" fillcolor="#a3c4ff" strokecolor="#4a7ebb">
                                    <v:fill color2="#e5eeff" rotate="t" angle="180" colors="0 #a3c4ff;22938f #bfd5ff;1 #e5eeff" focus="100%" type="gradient"/>
                                    <v:shadow on="t" color="black" opacity="24903f" origin=",.5" offset="0,.55556mm"/>
                                    <v:textbox>
                                      <w:txbxContent>
                                        <w:p w14:paraId="127FBA2C" w14:textId="77777777" w:rsidR="004E3164" w:rsidRPr="004E0B9F" w:rsidRDefault="004E3164" w:rsidP="004E0B9F">
                                          <w:pPr>
                                            <w:ind w:firstLine="0"/>
                                            <w:jc w:val="center"/>
                                            <w:rPr>
                                              <w:sz w:val="20"/>
                                              <w:lang w:val="en-US"/>
                                            </w:rPr>
                                          </w:pPr>
                                          <w:r w:rsidRPr="004E0B9F">
                                            <w:rPr>
                                              <w:spacing w:val="10"/>
                                              <w:sz w:val="20"/>
                                            </w:rPr>
                                            <w:t xml:space="preserve">Регистриране на ФК </w:t>
                                          </w:r>
                                          <w:r w:rsidRPr="004E0B9F">
                                            <w:rPr>
                                              <w:sz w:val="20"/>
                                            </w:rPr>
                                            <w:t>в Ивентис, ИСУН2020</w:t>
                                          </w:r>
                                        </w:p>
                                        <w:p w14:paraId="4915EE52" w14:textId="77777777" w:rsidR="004E3164" w:rsidRPr="004E0B9F" w:rsidRDefault="004E3164" w:rsidP="004E0B9F">
                                          <w:pPr>
                                            <w:ind w:firstLine="0"/>
                                            <w:jc w:val="center"/>
                                            <w:rPr>
                                              <w:sz w:val="20"/>
                                            </w:rPr>
                                          </w:pPr>
                                          <w:r w:rsidRPr="004E0B9F">
                                            <w:rPr>
                                              <w:spacing w:val="10"/>
                                              <w:sz w:val="20"/>
                                            </w:rPr>
                                            <w:t xml:space="preserve">В </w:t>
                                          </w:r>
                                          <w:r w:rsidRPr="004E0B9F">
                                            <w:rPr>
                                              <w:sz w:val="20"/>
                                              <w:lang w:val="en-US"/>
                                            </w:rPr>
                                            <w:t>SFC</w:t>
                                          </w:r>
                                          <w:r w:rsidRPr="004E0B9F">
                                            <w:rPr>
                                              <w:sz w:val="20"/>
                                            </w:rPr>
                                            <w:t>2014</w:t>
                                          </w:r>
                                        </w:p>
                                      </w:txbxContent>
                                    </v:textbox>
                                  </v:roundrect>
                                </v:group>
                                <v:group id="Group 182" o:spid="_x0000_s1482" style="position:absolute;left:23241;top:15392;width:68757;height:37948" coordorigin="-20726" coordsize="68757,3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">
                                  <v:roundrect id="Rounded Rectangle 1" o:spid="_x0000_s1483" style="position:absolute;left:-7022;top:6316;width:32511;height:316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" fillcolor="#dbeef4" strokecolor="#4a7ebb">
                                    <v:fill color2="#e5eeff" rotate="t" angle="180" colors="0 #dbeef4;1 white;1 #e5eeff" focus="100%" type="gradient"/>
                                    <v:shadow on="t" color="black" opacity="24903f" origin=",.5" offset="0,.55556mm"/>
                                    <v:textbox>
                                      <w:txbxContent>
                                        <w:p w14:paraId="516C9DEC" w14:textId="77777777" w:rsidR="004E3164" w:rsidRPr="004E0B9F" w:rsidRDefault="004E3164" w:rsidP="004E0B9F">
                                          <w:pPr>
                                            <w:ind w:firstLine="0"/>
                                            <w:jc w:val="center"/>
                                            <w:rPr>
                                              <w:spacing w:val="10"/>
                                              <w:sz w:val="20"/>
                                            </w:rPr>
                                          </w:pPr>
                                          <w:r w:rsidRPr="004E0B9F">
                                            <w:rPr>
                                              <w:spacing w:val="10"/>
                                              <w:sz w:val="20"/>
                                            </w:rPr>
                                            <w:t>Оценка на проектните предложения: административно съответствие, допустимост</w:t>
                                          </w:r>
                                        </w:p>
                                        <w:p w14:paraId="4EF33C87" w14:textId="77777777" w:rsidR="004E3164" w:rsidRPr="004E0B9F" w:rsidRDefault="004E3164" w:rsidP="004E0B9F">
                                          <w:pPr>
                                            <w:ind w:firstLine="0"/>
                                            <w:jc w:val="center"/>
                                            <w:rPr>
                                              <w:spacing w:val="10"/>
                                              <w:sz w:val="20"/>
                                            </w:rPr>
                                          </w:pPr>
                                          <w:r w:rsidRPr="004E0B9F">
                                            <w:rPr>
                                              <w:spacing w:val="10"/>
                                              <w:sz w:val="20"/>
                                            </w:rPr>
                                            <w:t>техническа и финансова оценка</w:t>
                                          </w:r>
                                        </w:p>
                                      </w:txbxContent>
                                    </v:textbox>
                                  </v:roundrect>
                                  <v:shape id="AutoShape 201" o:spid="_x0000_s1484" type="#_x0000_t67" style="position:absolute;left:-20726;top:25601;width:1295;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" adj="10800" fillcolor="#4f81bd" strokecolor="#385d8a" strokeweight="2pt"/>
                                  <v:roundrect id="AutoShape 202" o:spid="_x0000_s1485" style="position:absolute;left:23999;width:24032;height:43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" strokecolor="#4f81bd" strokeweight="1pt">
                                    <v:stroke dashstyle="dash"/>
                                    <v:shadow color="#868686"/>
                                    <v:textbox>
                                      <w:txbxContent>
                                        <w:p w14:paraId="33517132" w14:textId="77777777" w:rsidR="004E3164" w:rsidRPr="004E0B9F" w:rsidRDefault="004E3164" w:rsidP="004E0B9F">
                                          <w:pPr>
                                            <w:ind w:firstLine="0"/>
                                            <w:jc w:val="center"/>
                                            <w:rPr>
                                              <w:sz w:val="20"/>
                                            </w:rPr>
                                          </w:pPr>
                                          <w:r w:rsidRPr="004E0B9F">
                                            <w:rPr>
                                              <w:sz w:val="20"/>
                                            </w:rPr>
                                            <w:t>Решение за сформиране на</w:t>
                                          </w:r>
                                        </w:p>
                                        <w:p w14:paraId="56706B85" w14:textId="77777777" w:rsidR="004E3164" w:rsidRPr="004E0B9F" w:rsidRDefault="004E3164" w:rsidP="004E0B9F">
                                          <w:pPr>
                                            <w:ind w:firstLine="0"/>
                                            <w:jc w:val="center"/>
                                            <w:rPr>
                                              <w:sz w:val="20"/>
                                            </w:rPr>
                                          </w:pPr>
                                          <w:r w:rsidRPr="004E0B9F">
                                            <w:rPr>
                                              <w:sz w:val="20"/>
                                            </w:rPr>
                                            <w:t xml:space="preserve">Оценителна комисия </w:t>
                                          </w:r>
                                        </w:p>
                                      </w:txbxContent>
                                    </v:textbox>
                                  </v:roundrect>
                                  <v:roundrect id="Rounded Rectangle 1" o:spid="_x0000_s1486" style="position:absolute;left:-7086;top:1371;width:33768;height:28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" fillcolor="#a3c4ff" strokecolor="#4a7ebb">
                                    <v:fill color2="#e5eeff" rotate="t" angle="180" colors="0 #a3c4ff;22938f #bfd5ff;1 #e5eeff" focus="100%" type="gradient"/>
                                    <v:shadow on="t" color="black" opacity="24903f" origin=",.5" offset="0,.55556mm"/>
                                    <v:textbox>
                                      <w:txbxContent>
                                        <w:p w14:paraId="09529426" w14:textId="77777777" w:rsidR="004E3164" w:rsidRPr="004E0B9F" w:rsidRDefault="004E3164" w:rsidP="004E0B9F">
                                          <w:pPr>
                                            <w:ind w:firstLine="0"/>
                                            <w:jc w:val="center"/>
                                            <w:rPr>
                                              <w:sz w:val="20"/>
                                            </w:rPr>
                                          </w:pPr>
                                          <w:r w:rsidRPr="004E0B9F">
                                            <w:rPr>
                                              <w:spacing w:val="10"/>
                                              <w:sz w:val="20"/>
                                            </w:rPr>
                                            <w:t>Сформиране на оценителна комисия</w:t>
                                          </w:r>
                                        </w:p>
                                      </w:txbxContent>
                                    </v:textbox>
                                  </v:roundrect>
                                  <v:shape id="AutoShape 204" o:spid="_x0000_s1487" type="#_x0000_t67" style="position:absolute;left:9109;top:5181;width:1297;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" adj="10800" fillcolor="#4f81bd" strokecolor="#385d8a" strokeweight="2pt"/>
                                  <v:roundrect id="AutoShape 74" o:spid="_x0000_s1488" style="position:absolute;left:23352;top:12192;width:24425;height:67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" strokecolor="#4f81bd" strokeweight="1pt">
                                    <v:stroke dashstyle="dash"/>
                                    <v:shadow color="#868686"/>
                                    <v:textbox>
                                      <w:txbxContent>
                                        <w:p w14:paraId="64035C9D" w14:textId="77777777" w:rsidR="004E3164" w:rsidRPr="004E0B9F" w:rsidRDefault="004E3164" w:rsidP="004E0B9F">
                                          <w:pPr>
                                            <w:ind w:firstLine="0"/>
                                            <w:jc w:val="center"/>
                                            <w:rPr>
                                              <w:spacing w:val="10"/>
                                              <w:sz w:val="20"/>
                                            </w:rPr>
                                          </w:pPr>
                                          <w:r w:rsidRPr="004E0B9F">
                                            <w:rPr>
                                              <w:spacing w:val="10"/>
                                              <w:sz w:val="20"/>
                                            </w:rPr>
                                            <w:t xml:space="preserve">Декларации за липса на конфликт на интереси и поверителност и </w:t>
                                          </w:r>
                                        </w:p>
                                        <w:p w14:paraId="7004EFCA" w14:textId="77777777" w:rsidR="004E3164" w:rsidRPr="004E0B9F" w:rsidRDefault="004E3164" w:rsidP="004E0B9F">
                                          <w:pPr>
                                            <w:ind w:firstLine="0"/>
                                            <w:jc w:val="center"/>
                                            <w:rPr>
                                              <w:sz w:val="20"/>
                                            </w:rPr>
                                          </w:pPr>
                                          <w:r w:rsidRPr="004E0B9F">
                                            <w:rPr>
                                              <w:spacing w:val="10"/>
                                              <w:sz w:val="20"/>
                                            </w:rPr>
                                            <w:t>Контролен лист за проверка</w:t>
                                          </w:r>
                                        </w:p>
                                      </w:txbxContent>
                                    </v:textbox>
                                  </v:roundrect>
                                  <v:roundrect id="Rounded Rectangle 1" o:spid="_x0000_s1489" style="position:absolute;left:-4295;top:13119;width:29266;height:57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" fillcolor="#a3c4ff" strokecolor="#4a7ebb">
                                    <v:fill color2="#e5eeff" rotate="t" angle="180" colors="0 #a3c4ff;22938f #bfd5ff;1 #e5eeff" focus="100%" type="gradient"/>
                                    <v:shadow on="t" color="black" opacity="24903f" origin=",.5" offset="0,.55556mm"/>
                                    <v:textbox>
                                      <w:txbxContent>
                                        <w:p w14:paraId="4C2789CC" w14:textId="77777777" w:rsidR="004E3164" w:rsidRPr="004E0B9F" w:rsidRDefault="004E3164" w:rsidP="004E0B9F">
                                          <w:pPr>
                                            <w:ind w:firstLine="0"/>
                                            <w:jc w:val="center"/>
                                            <w:rPr>
                                              <w:spacing w:val="10"/>
                                              <w:sz w:val="20"/>
                                            </w:rPr>
                                          </w:pPr>
                                          <w:r w:rsidRPr="004E0B9F">
                                            <w:rPr>
                                              <w:spacing w:val="10"/>
                                              <w:sz w:val="20"/>
                                            </w:rPr>
                                            <w:t>Първо заседание на оценителната комисия и подписване на декларации за липса на конфликт на интереси и поверителност</w:t>
                                          </w:r>
                                        </w:p>
                                        <w:p w14:paraId="23DE3A77" w14:textId="77777777" w:rsidR="004E3164" w:rsidRPr="004E0B9F" w:rsidRDefault="004E3164" w:rsidP="004E0B9F">
                                          <w:pPr>
                                            <w:ind w:firstLine="0"/>
                                            <w:jc w:val="center"/>
                                            <w:rPr>
                                              <w:sz w:val="20"/>
                                            </w:rPr>
                                          </w:pPr>
                                        </w:p>
                                      </w:txbxContent>
                                    </v:textbox>
                                  </v:roundrect>
                                  <v:group id="Group 166" o:spid="_x0000_s1490" style="position:absolute;left:-4641;top:19383;width:50955;height:16584" coordorigin="-7994,-8353" coordsize="50956,1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">
                                    <v:roundrect id="AutoShape 208" o:spid="_x0000_s1491" style="position:absolute;left:20304;top:-3208;width:22657;height:45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" strokecolor="#4f81bd" strokeweight="1pt">
                                      <v:stroke dashstyle="dash"/>
                                      <v:shadow color="#868686"/>
                                      <v:textbox>
                                        <w:txbxContent>
                                          <w:p w14:paraId="02A7EAC9" w14:textId="77777777" w:rsidR="004E3164" w:rsidRPr="004E0B9F" w:rsidRDefault="004E3164" w:rsidP="004E0B9F">
                                            <w:pPr>
                                              <w:ind w:firstLine="0"/>
                                              <w:jc w:val="center"/>
                                              <w:rPr>
                                                <w:sz w:val="20"/>
                                              </w:rPr>
                                            </w:pPr>
                                            <w:r w:rsidRPr="004E0B9F">
                                              <w:rPr>
                                                <w:spacing w:val="10"/>
                                                <w:sz w:val="20"/>
                                              </w:rPr>
                                              <w:t>Контролен лист за проверка на липса на двойно финансиране</w:t>
                                            </w:r>
                                          </w:p>
                                          <w:p w14:paraId="7EE6D218" w14:textId="77777777" w:rsidR="004E3164" w:rsidRPr="004E0B9F" w:rsidRDefault="004E3164" w:rsidP="004E0B9F">
                                            <w:pPr>
                                              <w:ind w:firstLine="0"/>
                                              <w:jc w:val="center"/>
                                              <w:rPr>
                                                <w:sz w:val="20"/>
                                              </w:rPr>
                                            </w:pPr>
                                          </w:p>
                                        </w:txbxContent>
                                      </v:textbox>
                                    </v:roundrect>
                                    <v:roundrect id="Rounded Rectangle 1" o:spid="_x0000_s1492" style="position:absolute;left:-7918;top:-8353;width:29612;height:46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" fillcolor="#a3c4ff" strokecolor="#4a7ebb">
                                      <v:fill color2="#e5eeff" rotate="t" angle="180" colors="0 #a3c4ff;22938f #bfd5ff;1 #e5eeff" focus="100%" type="gradient"/>
                                      <v:shadow on="t" color="black" opacity="24903f" origin=",.5" offset="0,.55556mm"/>
                                      <v:textbox>
                                        <w:txbxContent>
                                          <w:p w14:paraId="20E7022B" w14:textId="77777777" w:rsidR="004E3164" w:rsidRPr="004E0B9F" w:rsidRDefault="004E3164" w:rsidP="004E0B9F">
                                            <w:pPr>
                                              <w:ind w:firstLine="0"/>
                                              <w:jc w:val="center"/>
                                              <w:rPr>
                                                <w:sz w:val="20"/>
                                              </w:rPr>
                                            </w:pPr>
                                            <w:r w:rsidRPr="004E0B9F">
                                              <w:rPr>
                                                <w:spacing w:val="10"/>
                                                <w:sz w:val="20"/>
                                              </w:rPr>
                                              <w:t>Проверка: за административен, финансов и оперативен капацитет на бенефициента</w:t>
                                            </w:r>
                                          </w:p>
                                        </w:txbxContent>
                                      </v:textbox>
                                    </v:roundrect>
                                    <v:roundrect id="Rounded Rectangle 1" o:spid="_x0000_s1493" style="position:absolute;left:-7994;top:-2840;width:29612;height:3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" fillcolor="#a3c4ff" strokecolor="#4a7ebb">
                                      <v:fill color2="#e5eeff" rotate="t" angle="180" colors="0 #a3c4ff;22938f #bfd5ff;1 #e5eeff" focus="100%" type="gradient"/>
                                      <v:shadow on="t" color="black" opacity="24903f" origin=",.5" offset="0,.55556mm"/>
                                      <v:textbox>
                                        <w:txbxContent>
                                          <w:p w14:paraId="2A463DC5" w14:textId="77777777" w:rsidR="004E3164" w:rsidRPr="004E0B9F" w:rsidRDefault="004E3164" w:rsidP="004E0B9F">
                                            <w:pPr>
                                              <w:ind w:firstLine="0"/>
                                              <w:jc w:val="center"/>
                                              <w:rPr>
                                                <w:sz w:val="20"/>
                                              </w:rPr>
                                            </w:pPr>
                                            <w:r w:rsidRPr="004E0B9F">
                                              <w:rPr>
                                                <w:spacing w:val="10"/>
                                                <w:sz w:val="20"/>
                                              </w:rPr>
                                              <w:t>Проверка за липса на двойно финансиране</w:t>
                                            </w:r>
                                          </w:p>
                                        </w:txbxContent>
                                      </v:textbox>
                                    </v:roundrect>
                                    <v:roundrect id="AutoShape 211" o:spid="_x0000_s1494" style="position:absolute;left:19726;top:3506;width:23007;height:47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" strokecolor="#4f81bd" strokeweight="1pt">
                                      <v:stroke dashstyle="dash"/>
                                      <v:shadow color="#868686"/>
                                      <v:textbox>
                                        <w:txbxContent>
                                          <w:p w14:paraId="5137618F" w14:textId="77777777" w:rsidR="004E3164" w:rsidRPr="004E0B9F" w:rsidRDefault="004E3164" w:rsidP="004E0B9F">
                                            <w:pPr>
                                              <w:ind w:firstLine="0"/>
                                              <w:jc w:val="center"/>
                                              <w:rPr>
                                                <w:spacing w:val="10"/>
                                                <w:sz w:val="20"/>
                                              </w:rPr>
                                            </w:pPr>
                                            <w:r w:rsidRPr="004E0B9F">
                                              <w:rPr>
                                                <w:spacing w:val="10"/>
                                                <w:sz w:val="20"/>
                                              </w:rPr>
                                              <w:t xml:space="preserve">Контролни листа за проверка за </w:t>
                                            </w:r>
                                          </w:p>
                                          <w:p w14:paraId="54A685D6" w14:textId="77777777" w:rsidR="004E3164" w:rsidRPr="004E0B9F" w:rsidRDefault="004E3164" w:rsidP="004E0B9F">
                                            <w:pPr>
                                              <w:ind w:firstLine="0"/>
                                              <w:jc w:val="center"/>
                                              <w:rPr>
                                                <w:sz w:val="20"/>
                                              </w:rPr>
                                            </w:pPr>
                                            <w:r w:rsidRPr="004E0B9F">
                                              <w:rPr>
                                                <w:spacing w:val="10"/>
                                                <w:sz w:val="20"/>
                                              </w:rPr>
                                              <w:t>държавни помощи</w:t>
                                            </w:r>
                                          </w:p>
                                          <w:p w14:paraId="1369493F" w14:textId="77777777" w:rsidR="004E3164" w:rsidRPr="004E0B9F" w:rsidRDefault="004E3164" w:rsidP="004E0B9F">
                                            <w:pPr>
                                              <w:ind w:firstLine="0"/>
                                              <w:jc w:val="center"/>
                                              <w:rPr>
                                                <w:sz w:val="20"/>
                                              </w:rPr>
                                            </w:pPr>
                                          </w:p>
                                        </w:txbxContent>
                                      </v:textbox>
                                    </v:roundrect>
                                    <v:roundrect id="Rounded Rectangle 1" o:spid="_x0000_s1495" style="position:absolute;left:-7994;top:1524;width:29412;height:58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" fillcolor="#a3c4ff" strokecolor="#4a7ebb">
                                      <v:fill color2="#e5eeff" rotate="t" angle="180" colors="0 #a3c4ff;22938f #bfd5ff;1 #e5eeff" focus="100%" type="gradient"/>
                                      <v:shadow on="t" color="black" opacity="24903f" origin=",.5" offset="0,.55556mm"/>
                                      <v:textbox>
                                        <w:txbxContent>
                                          <w:p w14:paraId="2DD60663" w14:textId="77777777" w:rsidR="004E3164" w:rsidRPr="004E0B9F" w:rsidRDefault="004E3164" w:rsidP="004E0B9F">
                                            <w:pPr>
                                              <w:ind w:firstLine="0"/>
                                              <w:jc w:val="center"/>
                                              <w:rPr>
                                                <w:sz w:val="20"/>
                                              </w:rPr>
                                            </w:pPr>
                                            <w:r w:rsidRPr="004E0B9F">
                                              <w:rPr>
                                                <w:spacing w:val="10"/>
                                                <w:sz w:val="20"/>
                                              </w:rPr>
                                              <w:t>Проверка: за наличие на държавни помощи и за съвместимост на държавна помощ с вътрешния пазар</w:t>
                                            </w:r>
                                          </w:p>
                                        </w:txbxContent>
                                      </v:textbox>
                                    </v:roundrect>
                                  </v:group>
                                </v:group>
                                <v:group id="Group 1017" o:spid="_x0000_s1496" style="position:absolute;left:1981;width:95097;height:16078" coordsize="95097,16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">
                                  <v:roundrect id="AutoShape 65" o:spid="_x0000_s1497" style="position:absolute;left:22479;top:5943;width:13804;height:41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" strokecolor="#4f81bd" strokeweight="1pt">
                                    <v:stroke dashstyle="dash"/>
                                    <v:shadow color="#868686"/>
                                    <v:textbox>
                                      <w:txbxContent>
                                        <w:p w14:paraId="05ECE4B5" w14:textId="77777777" w:rsidR="004E3164" w:rsidRPr="004E0B9F" w:rsidRDefault="004E3164" w:rsidP="004E0B9F">
                                          <w:pPr>
                                            <w:ind w:firstLine="0"/>
                                            <w:jc w:val="center"/>
                                            <w:rPr>
                                              <w:sz w:val="20"/>
                                            </w:rPr>
                                          </w:pPr>
                                          <w:r w:rsidRPr="004E0B9F">
                                            <w:rPr>
                                              <w:sz w:val="20"/>
                                            </w:rPr>
                                            <w:t>ФК за голям проект</w:t>
                                          </w:r>
                                        </w:p>
                                      </w:txbxContent>
                                    </v:textbox>
                                  </v:roundrect>
                                  <v:group id="Group 60" o:spid="_x0000_s1498" style="position:absolute;left:35356;top:5715;width:52229;height:10363" coordorigin="4171,4707" coordsize="8225,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">
                                    <v:shape id="Text Box 4" o:spid="_x0000_s1499" type="#_x0000_t202" style="position:absolute;left:5193;top:5533;width:2433;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" strokecolor="white" strokeweight=".5pt">
                                      <v:textbox>
                                        <w:txbxContent>
                                          <w:p w14:paraId="086EDCE7" w14:textId="77777777" w:rsidR="004E3164" w:rsidRPr="004E0B9F" w:rsidRDefault="004E3164" w:rsidP="004E0B9F">
                                            <w:pPr>
                                              <w:ind w:firstLine="0"/>
                                              <w:jc w:val="center"/>
                                              <w:rPr>
                                                <w:sz w:val="20"/>
                                              </w:rPr>
                                            </w:pPr>
                                            <w:r w:rsidRPr="004E0B9F">
                                              <w:rPr>
                                                <w:sz w:val="20"/>
                                              </w:rPr>
                                              <w:t>В случай, че проектното предложение  е за голям проект:</w:t>
                                            </w:r>
                                          </w:p>
                                        </w:txbxContent>
                                      </v:textbox>
                                    </v:shape>
                                    <v:roundrect id="Rounded Rectangle 1" o:spid="_x0000_s1500" style="position:absolute;left:8195;top:5494;width:4201;height:5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" fillcolor="#a3c4ff" strokecolor="#4a7ebb">
                                      <v:fill color2="#e5eeff" rotate="t" angle="180" colors="0 #a3c4ff;22938f #bfd5ff;1 #e5eeff" focus="100%" type="gradient"/>
                                      <v:shadow on="t" color="black" opacity="24903f" origin=",.5" offset="0,.55556mm"/>
                                      <v:textbox>
                                        <w:txbxContent>
                                          <w:p w14:paraId="1E7E09B5" w14:textId="77777777" w:rsidR="004E3164" w:rsidRPr="004E0B9F" w:rsidRDefault="004E3164" w:rsidP="004E0B9F">
                                            <w:pPr>
                                              <w:ind w:firstLine="0"/>
                                              <w:jc w:val="center"/>
                                              <w:rPr>
                                                <w:sz w:val="20"/>
                                                <w:lang w:val="en-US"/>
                                              </w:rPr>
                                            </w:pPr>
                                            <w:r w:rsidRPr="004E0B9F">
                                              <w:rPr>
                                                <w:spacing w:val="10"/>
                                                <w:sz w:val="20"/>
                                              </w:rPr>
                                              <w:t xml:space="preserve">Регистриране на ФК </w:t>
                                            </w:r>
                                            <w:r w:rsidRPr="004E0B9F">
                                              <w:rPr>
                                                <w:sz w:val="20"/>
                                              </w:rPr>
                                              <w:t>в Ивентис, ИСУН2020</w:t>
                                            </w:r>
                                          </w:p>
                                        </w:txbxContent>
                                      </v:textbox>
                                    </v:roundrect>
                                    <v:shape id="AutoShape 218" o:spid="_x0000_s1501" type="#_x0000_t67" style="position:absolute;left:6191;top:5355;width:204;height: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" adj="10800" fillcolor="#4f81bd" strokecolor="#385d8a" strokeweight="2pt"/>
                                    <v:shape id="AutoShape 219" o:spid="_x0000_s1502" type="#_x0000_t67" style="position:absolute;left:4802;top:5740;width:204;height:1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" adj="10800" fillcolor="#4f81bd" strokecolor="#385d8a" strokeweight="2pt"/>
                                    <v:roundrect id="AutoShape 65" o:spid="_x0000_s1503" style="position:absolute;left:8268;top:4707;width:3127;height:6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" strokecolor="#4f81bd" strokeweight="1pt">
                                      <v:stroke dashstyle="dash"/>
                                      <v:shadow color="#868686"/>
                                      <v:textbox>
                                        <w:txbxContent>
                                          <w:p w14:paraId="1A44F565" w14:textId="77777777" w:rsidR="004E3164" w:rsidRPr="004E0B9F" w:rsidRDefault="004E3164" w:rsidP="004E0B9F">
                                            <w:pPr>
                                              <w:ind w:firstLine="0"/>
                                              <w:jc w:val="center"/>
                                              <w:rPr>
                                                <w:sz w:val="20"/>
                                              </w:rPr>
                                            </w:pPr>
                                            <w:r w:rsidRPr="004E0B9F">
                                              <w:rPr>
                                                <w:sz w:val="20"/>
                                              </w:rPr>
                                              <w:t>ФК за голям проект/ ФК за техническа помощ/ФП</w:t>
                                            </w:r>
                                          </w:p>
                                        </w:txbxContent>
                                      </v:textbox>
                                    </v:roundrect>
                                    <v:roundrect id="Rounded Rectangle 1" o:spid="_x0000_s1504" style="position:absolute;left:4171;top:4779;width:4252;height: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" fillcolor="#a3c4ff" strokecolor="#4a7ebb">
                                      <v:fill color2="#e5eeff" rotate="t" angle="180" colors="0 #a3c4ff;22938f #bfd5ff;1 #e5eeff" focus="100%" type="gradient"/>
                                      <v:shadow on="t" color="black" opacity="24903f" origin=",.5" offset="0,.55556mm"/>
                                      <v:textbox>
                                        <w:txbxContent>
                                          <w:p w14:paraId="6DE1B149" w14:textId="77777777" w:rsidR="004E3164" w:rsidRPr="004E0B9F" w:rsidRDefault="004E3164" w:rsidP="004E0B9F">
                                            <w:pPr>
                                              <w:ind w:firstLine="0"/>
                                              <w:jc w:val="center"/>
                                              <w:rPr>
                                                <w:sz w:val="20"/>
                                              </w:rPr>
                                            </w:pPr>
                                            <w:r w:rsidRPr="004E0B9F">
                                              <w:rPr>
                                                <w:spacing w:val="10"/>
                                                <w:sz w:val="20"/>
                                              </w:rPr>
                                              <w:t>Подаване на проектно предложение</w:t>
                                            </w:r>
                                          </w:p>
                                        </w:txbxContent>
                                      </v:textbox>
                                    </v:roundrect>
                                  </v:group>
                                  <v:shape id="Text Box 191" o:spid="_x0000_s1505" type="#_x0000_t202" style="position:absolute;width:95097;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" strokecolor="white" strokeweight=".5pt">
                                    <v:textbox>
                                      <w:txbxContent>
                                        <w:p w14:paraId="73170E13" w14:textId="77777777" w:rsidR="004E3164" w:rsidRPr="004E0B9F" w:rsidRDefault="004E3164" w:rsidP="004E0B9F">
                                          <w:pPr>
                                            <w:ind w:firstLine="0"/>
                                            <w:jc w:val="center"/>
                                            <w:rPr>
                                              <w:sz w:val="20"/>
                                            </w:rPr>
                                          </w:pPr>
                                          <w:r w:rsidRPr="004E0B9F">
                                            <w:rPr>
                                              <w:b/>
                                              <w:sz w:val="20"/>
                                              <w:u w:val="single"/>
                                            </w:rPr>
                                            <w:t>Принципна схема на процедурата за директно предоставяне по ОПТТИ</w:t>
                                          </w:r>
                                        </w:p>
                                        <w:p w14:paraId="5683EA15" w14:textId="77777777" w:rsidR="004E3164" w:rsidRPr="004E0B9F" w:rsidRDefault="004E3164" w:rsidP="004E0B9F">
                                          <w:pPr>
                                            <w:ind w:firstLine="0"/>
                                            <w:jc w:val="center"/>
                                            <w:rPr>
                                              <w:sz w:val="20"/>
                                            </w:rPr>
                                          </w:pPr>
                                        </w:p>
                                      </w:txbxContent>
                                    </v:textbox>
                                  </v:shape>
                                </v:group>
                                <v:group id="Group 999" o:spid="_x0000_s1506" style="position:absolute;top:16154;width:32759;height:17145" coordsize="32759,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">
                                  <v:shape id="Text Box 183" o:spid="_x0000_s1507" type="#_x0000_t202" style="position:absolute;left:23469;top:4038;width:42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" filled="f" strokecolor="white" strokeweight=".5pt">
                                    <v:textbox>
                                      <w:txbxContent>
                                        <w:p w14:paraId="3AA98166" w14:textId="77777777" w:rsidR="004E3164" w:rsidRPr="004E0B9F" w:rsidRDefault="004E3164" w:rsidP="004E0B9F">
                                          <w:pPr>
                                            <w:ind w:firstLine="0"/>
                                            <w:jc w:val="center"/>
                                            <w:rPr>
                                              <w:sz w:val="20"/>
                                            </w:rPr>
                                          </w:pPr>
                                          <w:r w:rsidRPr="004E0B9F">
                                            <w:rPr>
                                              <w:sz w:val="20"/>
                                            </w:rPr>
                                            <w:t>да</w:t>
                                          </w:r>
                                        </w:p>
                                      </w:txbxContent>
                                    </v:textbox>
                                  </v:shape>
                                  <v:roundrect id="AutoShape 65" o:spid="_x0000_s1508" style="position:absolute;top:4953;width:14262;height:121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" strokecolor="#4f81bd" strokeweight="1pt">
                                    <v:stroke dashstyle="dash"/>
                                    <v:shadow color="#868686"/>
                                    <v:textbox>
                                      <w:txbxContent>
                                        <w:p w14:paraId="14060305" w14:textId="77777777" w:rsidR="004E3164" w:rsidRPr="004E0B9F" w:rsidRDefault="004E3164" w:rsidP="004E0B9F">
                                          <w:pPr>
                                            <w:ind w:firstLine="0"/>
                                            <w:jc w:val="center"/>
                                            <w:rPr>
                                              <w:sz w:val="20"/>
                                            </w:rPr>
                                          </w:pPr>
                                          <w:r w:rsidRPr="004E0B9F">
                                            <w:rPr>
                                              <w:sz w:val="20"/>
                                            </w:rPr>
                                            <w:t>Становище на независимите експерти от извършен „преглед на качеството“ на ФК за „голям“ проект</w:t>
                                          </w:r>
                                        </w:p>
                                      </w:txbxContent>
                                    </v:textbox>
                                  </v:roundrect>
                                  <v:shape id="AutoShape 226" o:spid="_x0000_s1509" type="#_x0000_t67" style="position:absolute;left:21640;top:5486;width:1296;height: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" adj="10800" fillcolor="#4f81bd" strokecolor="#385d8a" strokeweight="2pt"/>
                                  <v:roundrect id="Rounded Rectangle 1" o:spid="_x0000_s1510" style="position:absolute;left:12725;top:6934;width:18059;height:79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" fillcolor="#a3c4ff" strokecolor="#4a7ebb">
                                    <v:fill color2="#e5eeff" rotate="t" angle="180" colors="0 #a3c4ff;22938f #bfd5ff;1 #e5eeff" focus="100%" type="gradient"/>
                                    <v:shadow on="t" color="black" opacity="24903f" origin=",.5" offset="0,.55556mm"/>
                                    <v:textbox>
                                      <w:txbxContent>
                                        <w:p w14:paraId="57940788" w14:textId="77777777" w:rsidR="004E3164" w:rsidRPr="004E0B9F" w:rsidRDefault="004E3164" w:rsidP="004E0B9F">
                                          <w:pPr>
                                            <w:ind w:firstLine="0"/>
                                            <w:jc w:val="center"/>
                                            <w:rPr>
                                              <w:spacing w:val="10"/>
                                              <w:sz w:val="20"/>
                                            </w:rPr>
                                          </w:pPr>
                                          <w:r w:rsidRPr="004E0B9F">
                                            <w:rPr>
                                              <w:spacing w:val="10"/>
                                              <w:sz w:val="20"/>
                                            </w:rPr>
                                            <w:t>Изпращане на ФК за извършване на „преглед на качеството“ от Джаспърс</w:t>
                                          </w:r>
                                        </w:p>
                                      </w:txbxContent>
                                    </v:textbox>
                                  </v:roundrect>
                                  <v:shape id="AutoShape 228" o:spid="_x0000_s1511" type="#_x0000_t67" style="position:absolute;left:21793;width:1295;height: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" adj="10800" fillcolor="#4f81bd" strokecolor="#385d8a" strokeweight="2pt"/>
                                  <v:shape id="Text Box 4" o:spid="_x0000_s1512" type="#_x0000_t202" style="position:absolute;left:10363;top:990;width:22396;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" strokecolor="white" strokeweight=".5pt">
                                    <v:textbox>
                                      <w:txbxContent>
                                        <w:p w14:paraId="2DD5C7F4" w14:textId="77777777" w:rsidR="004E3164" w:rsidRPr="004E0B9F" w:rsidRDefault="004E3164" w:rsidP="004E0B9F">
                                          <w:pPr>
                                            <w:ind w:firstLine="0"/>
                                            <w:jc w:val="center"/>
                                            <w:rPr>
                                              <w:sz w:val="20"/>
                                            </w:rPr>
                                          </w:pPr>
                                          <w:r w:rsidRPr="004E0B9F">
                                            <w:rPr>
                                              <w:sz w:val="20"/>
                                            </w:rPr>
                                            <w:t>Използват ли се независими експерти за „преглед на качеството“</w:t>
                                          </w:r>
                                        </w:p>
                                        <w:p w14:paraId="7D649901" w14:textId="77777777" w:rsidR="004E3164" w:rsidRPr="004E0B9F" w:rsidRDefault="004E3164" w:rsidP="004E0B9F">
                                          <w:pPr>
                                            <w:ind w:firstLine="0"/>
                                            <w:jc w:val="center"/>
                                            <w:rPr>
                                              <w:sz w:val="20"/>
                                            </w:rPr>
                                          </w:pPr>
                                        </w:p>
                                      </w:txbxContent>
                                    </v:textbox>
                                  </v:shape>
                                </v:group>
                              </v:group>
                              <v:group id="Group 1021" o:spid="_x0000_s1513" style="position:absolute;left:1143;top:52286;width:88765;height:14922" coordorigin=",-825" coordsize="88765,1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group id="Group 76" o:spid="_x0000_s1514" style="position:absolute;left:34671;top:914;width:54094;height:13183" coordorigin="3729,12495" coordsize="7360,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">
                                  <v:shape id="AutoShape 258" o:spid="_x0000_s1515" type="#_x0000_t67" style="position:absolute;left:6111;top:12495;width:204;height: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" adj="10800" fillcolor="#4f81bd" strokecolor="#385d8a" strokeweight="2pt"/>
                                  <v:roundrect id="AutoShape 259" o:spid="_x0000_s1516" style="position:absolute;left:8283;top:12578;width:2780;height:10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" strokecolor="#4f81bd" strokeweight="1pt">
                                    <v:stroke dashstyle="dash"/>
                                    <v:shadow color="#868686"/>
                                    <v:textbox>
                                      <w:txbxContent>
                                        <w:p w14:paraId="4122AB25" w14:textId="77777777" w:rsidR="004E3164" w:rsidRPr="004E0B9F" w:rsidRDefault="004E3164" w:rsidP="004E0B9F">
                                          <w:pPr>
                                            <w:ind w:firstLine="0"/>
                                            <w:jc w:val="center"/>
                                            <w:rPr>
                                              <w:sz w:val="20"/>
                                            </w:rPr>
                                          </w:pPr>
                                          <w:r w:rsidRPr="004E0B9F">
                                            <w:rPr>
                                              <w:sz w:val="20"/>
                                            </w:rPr>
                                            <w:t>Оценителен доклад и оценителни таблици</w:t>
                                          </w:r>
                                        </w:p>
                                      </w:txbxContent>
                                    </v:textbox>
                                  </v:roundrect>
                                  <v:shape id="AutoShape 260" o:spid="_x0000_s1517" type="#_x0000_t67" style="position:absolute;left:6090;top:13988;width:204;height: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" adj="10800" fillcolor="#4f81bd" strokecolor="#385d8a" strokeweight="2pt"/>
                                  <v:roundrect id="AutoShape 81" o:spid="_x0000_s1518" style="position:absolute;left:8252;top:13888;width:2837;height:16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" strokecolor="#4f81bd" strokeweight="1pt">
                                    <v:stroke dashstyle="dash"/>
                                    <v:shadow color="#868686"/>
                                    <v:textbox>
                                      <w:txbxContent>
                                        <w:p w14:paraId="7F3E18AD" w14:textId="77777777" w:rsidR="004E3164" w:rsidRPr="004E0B9F" w:rsidRDefault="004E3164" w:rsidP="004E0B9F">
                                          <w:pPr>
                                            <w:ind w:firstLine="0"/>
                                            <w:jc w:val="center"/>
                                            <w:rPr>
                                              <w:spacing w:val="10"/>
                                              <w:sz w:val="20"/>
                                            </w:rPr>
                                          </w:pPr>
                                          <w:r w:rsidRPr="004E0B9F">
                                            <w:rPr>
                                              <w:sz w:val="20"/>
                                            </w:rPr>
                                            <w:t>Решение за предоставяне на БФП; Договор/Заповед за предоставяне на БФП</w:t>
                                          </w:r>
                                        </w:p>
                                        <w:p w14:paraId="0C459BD6" w14:textId="77777777" w:rsidR="004E3164" w:rsidRPr="004E0B9F" w:rsidRDefault="004E3164" w:rsidP="004E0B9F">
                                          <w:pPr>
                                            <w:ind w:firstLine="0"/>
                                            <w:jc w:val="center"/>
                                            <w:rPr>
                                              <w:sz w:val="20"/>
                                            </w:rPr>
                                          </w:pPr>
                                        </w:p>
                                        <w:p w14:paraId="6578254D" w14:textId="77777777" w:rsidR="004E3164" w:rsidRPr="004E0B9F" w:rsidRDefault="004E3164" w:rsidP="004E0B9F">
                                          <w:pPr>
                                            <w:ind w:firstLine="0"/>
                                            <w:jc w:val="center"/>
                                            <w:rPr>
                                              <w:sz w:val="20"/>
                                            </w:rPr>
                                          </w:pPr>
                                          <w:r w:rsidRPr="004E0B9F">
                                            <w:rPr>
                                              <w:sz w:val="20"/>
                                            </w:rPr>
                                            <w:t>Договор/Заповед за предоставяне на БФП</w:t>
                                          </w:r>
                                        </w:p>
                                      </w:txbxContent>
                                    </v:textbox>
                                  </v:roundrect>
                                  <v:roundrect id="AutoShape 262" o:spid="_x0000_s1519" style="position:absolute;left:3729;top:14300;width:4728;height:7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" fillcolor="#a3c4ff" strokecolor="#4a7ebb">
                                    <v:fill color2="#e5eeff" rotate="t" angle="180" colors="0 #a3c4ff;22938f #bfd5ff;1 #e5eeff" focus="100%" type="gradient"/>
                                    <v:shadow on="t" color="black" opacity="24903f" origin=",.5" offset="0,.55556mm"/>
                                    <v:textbox>
                                      <w:txbxContent>
                                        <w:p w14:paraId="0C8813EB" w14:textId="77777777" w:rsidR="004E3164" w:rsidRPr="004E0B9F" w:rsidRDefault="004E3164" w:rsidP="004E0B9F">
                                          <w:pPr>
                                            <w:ind w:firstLine="0"/>
                                            <w:jc w:val="center"/>
                                            <w:rPr>
                                              <w:sz w:val="20"/>
                                            </w:rPr>
                                          </w:pPr>
                                          <w:r w:rsidRPr="004E0B9F">
                                            <w:rPr>
                                              <w:sz w:val="20"/>
                                            </w:rPr>
                                            <w:t>Предоставяне на безвъзмездна финансова помощ</w:t>
                                          </w:r>
                                        </w:p>
                                        <w:p w14:paraId="5B70CEEC" w14:textId="77777777" w:rsidR="004E3164" w:rsidRPr="004E0B9F" w:rsidRDefault="004E3164" w:rsidP="004E0B9F">
                                          <w:pPr>
                                            <w:ind w:firstLine="0"/>
                                            <w:jc w:val="center"/>
                                            <w:rPr>
                                              <w:sz w:val="20"/>
                                            </w:rPr>
                                          </w:pPr>
                                        </w:p>
                                      </w:txbxContent>
                                    </v:textbox>
                                  </v:roundrect>
                                  <v:roundrect id="AutoShape 263" o:spid="_x0000_s1520" style="position:absolute;left:3759;top:12704;width:4709;height:10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" fillcolor="#a3c4ff" strokecolor="#4a7ebb">
                                    <v:fill color2="#e5eeff" rotate="t" angle="180" colors="0 #a3c4ff;22938f #bfd5ff;1 #e5eeff" focus="100%" type="gradient"/>
                                    <v:shadow on="t" color="black" opacity="24903f" origin=",.5" offset="0,.55556mm"/>
                                    <v:textbox>
                                      <w:txbxContent>
                                        <w:p w14:paraId="6D836384" w14:textId="77777777" w:rsidR="004E3164" w:rsidRPr="004E0B9F" w:rsidRDefault="004E3164" w:rsidP="004E0B9F">
                                          <w:pPr>
                                            <w:ind w:firstLine="0"/>
                                            <w:jc w:val="center"/>
                                            <w:rPr>
                                              <w:sz w:val="20"/>
                                            </w:rPr>
                                          </w:pPr>
                                          <w:r w:rsidRPr="004E0B9F">
                                            <w:rPr>
                                              <w:sz w:val="20"/>
                                            </w:rPr>
                                            <w:t>Приключване на оценката с препоръка за одобрение или отхвърляне на проектното предложение</w:t>
                                          </w:r>
                                        </w:p>
                                        <w:p w14:paraId="648DA4EE" w14:textId="77777777" w:rsidR="004E3164" w:rsidRPr="004E0B9F" w:rsidRDefault="004E3164" w:rsidP="004E0B9F">
                                          <w:pPr>
                                            <w:ind w:firstLine="0"/>
                                            <w:jc w:val="center"/>
                                            <w:rPr>
                                              <w:sz w:val="20"/>
                                            </w:rPr>
                                          </w:pPr>
                                        </w:p>
                                      </w:txbxContent>
                                    </v:textbox>
                                  </v:roundrect>
                                </v:group>
                                <v:group id="Group 1020" o:spid="_x0000_s1521" style="position:absolute;top:-825;width:34401;height:12864" coordorigin=",-825" coordsize="34401,1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roundrect id="AutoShape 65" o:spid="_x0000_s1522" style="position:absolute;top:4419;width:18453;height:59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" strokecolor="#4f81bd" strokeweight="1pt">
                                    <v:stroke dashstyle="dash"/>
                                    <v:shadow color="#868686"/>
                                    <v:textbox>
                                      <w:txbxContent>
                                        <w:p w14:paraId="11D6456C" w14:textId="77777777" w:rsidR="004E3164" w:rsidRPr="004E0B9F" w:rsidRDefault="004E3164" w:rsidP="004E0B9F">
                                          <w:pPr>
                                            <w:ind w:firstLine="0"/>
                                            <w:jc w:val="center"/>
                                            <w:rPr>
                                              <w:sz w:val="20"/>
                                            </w:rPr>
                                          </w:pPr>
                                          <w:r w:rsidRPr="004E0B9F">
                                            <w:rPr>
                                              <w:sz w:val="20"/>
                                            </w:rPr>
                                            <w:t>Становище на ЕК за  одобрение на „голям“ проект</w:t>
                                          </w:r>
                                        </w:p>
                                      </w:txbxContent>
                                    </v:textbox>
                                  </v:roundrect>
                                  <v:shape id="Text Box 4" o:spid="_x0000_s1523" type="#_x0000_t202" style="position:absolute;left:18440;top:-825;width:13862;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" strokecolor="white" strokeweight=".5pt">
                                    <v:textbox>
                                      <w:txbxContent>
                                        <w:p w14:paraId="6C5C5368" w14:textId="77777777" w:rsidR="004E3164" w:rsidRPr="004E0B9F" w:rsidRDefault="004E3164" w:rsidP="004E0B9F">
                                          <w:pPr>
                                            <w:ind w:firstLine="0"/>
                                            <w:jc w:val="center"/>
                                            <w:rPr>
                                              <w:sz w:val="20"/>
                                            </w:rPr>
                                          </w:pPr>
                                          <w:r w:rsidRPr="004E0B9F">
                                            <w:rPr>
                                              <w:sz w:val="20"/>
                                            </w:rPr>
                                            <w:t>В случай, че ФК е за голям проект:</w:t>
                                          </w:r>
                                        </w:p>
                                        <w:p w14:paraId="2CF8AB27" w14:textId="77777777" w:rsidR="004E3164" w:rsidRPr="004E0B9F" w:rsidRDefault="004E3164" w:rsidP="004E0B9F">
                                          <w:pPr>
                                            <w:ind w:firstLine="0"/>
                                            <w:jc w:val="center"/>
                                            <w:rPr>
                                              <w:sz w:val="20"/>
                                            </w:rPr>
                                          </w:pPr>
                                        </w:p>
                                      </w:txbxContent>
                                    </v:textbox>
                                  </v:shape>
                                  <v:shape id="AutoShape 241" o:spid="_x0000_s1524" type="#_x0000_t67" style="position:absolute;left:32994;top:3429;width:1295;height:6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" adj="10800" fillcolor="#4f81bd" strokecolor="#385d8a" strokeweight="2pt"/>
                                  <v:roundrect id="Rounded Rectangle 1" o:spid="_x0000_s1525" style="position:absolute;left:17449;top:5105;width:14955;height:69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" fillcolor="#a3c4ff" strokecolor="#4a7ebb">
                                    <v:fill color2="#e5eeff" rotate="t" angle="180" colors="0 #a3c4ff;22938f #bfd5ff;1 #e5eeff" focus="100%" type="gradient"/>
                                    <v:shadow on="t" color="black" opacity="24903f" origin=",.5" offset="0,.55556mm"/>
                                    <v:textbox>
                                      <w:txbxContent>
                                        <w:p w14:paraId="2F3768A1" w14:textId="77777777" w:rsidR="004E3164" w:rsidRPr="004E0B9F" w:rsidRDefault="004E3164" w:rsidP="004E0B9F">
                                          <w:pPr>
                                            <w:ind w:firstLine="0"/>
                                            <w:jc w:val="center"/>
                                            <w:rPr>
                                              <w:sz w:val="20"/>
                                              <w:lang w:val="en-US"/>
                                            </w:rPr>
                                          </w:pPr>
                                          <w:r w:rsidRPr="004E0B9F">
                                            <w:rPr>
                                              <w:spacing w:val="10"/>
                                              <w:sz w:val="20"/>
                                            </w:rPr>
                                            <w:t>Изпращане на ФК за нотификация/ оценка от ЕК</w:t>
                                          </w:r>
                                        </w:p>
                                      </w:txbxContent>
                                    </v:textbox>
                                  </v:roundrect>
                                  <v:shape id="AutoShape 243" o:spid="_x0000_s1526" type="#_x0000_t67" style="position:absolute;left:33413;top:9639;width:1295;height:6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" adj="10800" fillcolor="#4f81bd" strokecolor="#385d8a" strokeweight="2pt"/>
                                  <v:shape id="AutoShape 244" o:spid="_x0000_s1527" type="#_x0000_t67" style="position:absolute;left:23698;top:3733;width:1295;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" adj="10800" fillcolor="#4f81bd" strokecolor="#385d8a" strokeweight="2pt"/>
                                </v:group>
                              </v:group>
                            </v:group>
                          </v:group>
                        </v:group>
                      </v:group>
                    </v:group>
                    <v:roundrect id="AutoShape 65" o:spid="_x0000_s1528" style="position:absolute;left:39426;top:2493;width:24561;height:32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" strokecolor="#4f81bd" strokeweight="1pt">
                      <v:stroke dashstyle="dash"/>
                      <v:shadow color="#868686"/>
                      <v:textbox>
                        <w:txbxContent>
                          <w:p w14:paraId="02B412D1" w14:textId="77777777" w:rsidR="004E3164" w:rsidRPr="004E0B9F" w:rsidRDefault="004E3164" w:rsidP="004E0B9F">
                            <w:pPr>
                              <w:ind w:firstLine="0"/>
                              <w:jc w:val="center"/>
                              <w:rPr>
                                <w:sz w:val="20"/>
                              </w:rPr>
                            </w:pPr>
                            <w:r w:rsidRPr="004E0B9F">
                              <w:rPr>
                                <w:sz w:val="20"/>
                              </w:rPr>
                              <w:t>Насоки за кандидатстване</w:t>
                            </w:r>
                          </w:p>
                        </w:txbxContent>
                      </v:textbox>
                    </v:roundrect>
                  </v:group>
                </v:group>
                <v:shape id="Down Arrow 2" o:spid="_x0000_s1529" type="#_x0000_t67" style="position:absolute;left:67095;top:15556;width:1295;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" adj="10800" fillcolor="#4f81bd" strokecolor="#385d8a" strokeweight="2pt"/>
                <w10:anchorlock/>
              </v:group>
            </w:pict>
          </mc:Fallback>
        </mc:AlternateContent>
      </w:r>
    </w:p>
    <w:p w14:paraId="2B2C38CE" w14:textId="77777777" w:rsidR="00D603F5" w:rsidRPr="001B0EA3" w:rsidRDefault="00D603F5" w:rsidP="00B502C7">
      <w:pPr>
        <w:pStyle w:val="Style2"/>
        <w:rPr>
          <w:lang w:eastAsia="bg-BG"/>
        </w:rPr>
      </w:pPr>
      <w:bookmarkStart w:id="528" w:name="_Ref407607205"/>
      <w:r w:rsidRPr="001B0EA3">
        <w:rPr>
          <w:lang w:eastAsia="bg-BG"/>
        </w:rPr>
        <w:lastRenderedPageBreak/>
        <w:t xml:space="preserve"> </w:t>
      </w:r>
      <w:bookmarkStart w:id="529" w:name="_Toc479775628"/>
      <w:bookmarkStart w:id="530" w:name="_Toc140150208"/>
      <w:bookmarkEnd w:id="528"/>
      <w:r w:rsidR="005D4A8F" w:rsidRPr="001B0EA3">
        <w:rPr>
          <w:lang w:eastAsia="bg-BG"/>
        </w:rPr>
        <w:t>Насоки за кандидатстване по ОПТТИ</w:t>
      </w:r>
      <w:bookmarkEnd w:id="529"/>
      <w:bookmarkEnd w:id="530"/>
      <w:r w:rsidR="005D4A8F" w:rsidRPr="001B0EA3">
        <w:rPr>
          <w:lang w:eastAsia="bg-BG"/>
        </w:rPr>
        <w:t xml:space="preserve"> </w:t>
      </w:r>
    </w:p>
    <w:p w14:paraId="5A8C062F" w14:textId="77777777" w:rsidR="006D5A4F" w:rsidRPr="001B0EA3" w:rsidRDefault="006D5A4F" w:rsidP="004E0B9F">
      <w:pPr>
        <w:rPr>
          <w:lang w:eastAsia="bg-BG"/>
        </w:rPr>
      </w:pPr>
      <w:r w:rsidRPr="001B0EA3">
        <w:rPr>
          <w:lang w:eastAsia="bg-BG"/>
        </w:rPr>
        <w:t xml:space="preserve">Сформираната с Решение № ОПТ-26/01.07.2015 г. работна група за изготвяне на Насоки за кандидатстване по ОПТТИ (Насоки). При спазване на процедурата по-долу версия 1.0 от Насоките е изготвена от работната група, одобрена от Ръководителя на УО на 17.07.2015 г. (изх. № 14-00-1102/17.07.2015 г.) и изпратена за становище до бенефициентите по ОПТТИ и МФ. След отразяване на получените бележки е утвърдена и публикувана версия 1.1 на Насоките. След влизане в сила на ЗУСЕСИФ, в съответствие с изискванията за изготвяне на условия за изпълнение на одобрени проекти е утвърдена версия 2.0 </w:t>
      </w:r>
    </w:p>
    <w:p w14:paraId="48D620A0" w14:textId="77777777" w:rsidR="006D5A4F" w:rsidRPr="001B0EA3" w:rsidRDefault="006D5A4F" w:rsidP="004E0B9F">
      <w:pPr>
        <w:rPr>
          <w:lang w:eastAsia="bg-BG"/>
        </w:rPr>
      </w:pPr>
    </w:p>
    <w:p w14:paraId="59AE7503" w14:textId="2EF5F913" w:rsidR="00D603F5" w:rsidRPr="001B0EA3" w:rsidRDefault="00D603F5" w:rsidP="004E0B9F">
      <w:pPr>
        <w:rPr>
          <w:lang w:eastAsia="bg-BG"/>
        </w:rPr>
      </w:pPr>
      <w:r w:rsidRPr="001B0EA3">
        <w:rPr>
          <w:lang w:eastAsia="bg-BG"/>
        </w:rPr>
        <w:t xml:space="preserve">Предоставянето на БФП по ОПТТИ, се изпълнява чрез процедура на директно предоставяне. Съгласно чл. 28, ал. 2, т. 1 на ПМС </w:t>
      </w:r>
      <w:r w:rsidR="00655E3A" w:rsidRPr="001B0EA3">
        <w:rPr>
          <w:lang w:eastAsia="bg-BG"/>
        </w:rPr>
        <w:t xml:space="preserve">№ </w:t>
      </w:r>
      <w:r w:rsidRPr="001B0EA3">
        <w:rPr>
          <w:lang w:eastAsia="bg-BG"/>
        </w:rPr>
        <w:t xml:space="preserve">107 от 10.05.2014 г., при процедура на директно предоставяне УО на ОПТТИ трябва да изготви Насоки за кандидатстване и да ги предостави на конкретните бенефициенти по ОПТТИ заедно с покана за подаване на проектни предложения. Насоките за кандидатстване по процедура за директно предоставяне на безвъзмездна финансова помощ по ОПТТИ (Насоките за кандидатстване по ОПТТИ) трябва да бъда публикувани на интернет страницата на ОПТТИ </w:t>
      </w:r>
      <w:hyperlink r:id="rId83" w:history="1">
        <w:r w:rsidR="009D6A2A">
          <w:rPr>
            <w:color w:val="0000FF"/>
            <w:u w:val="single"/>
            <w:lang w:eastAsia="bg-BG"/>
          </w:rPr>
          <w:t>www.eufunds.bg/optti</w:t>
        </w:r>
      </w:hyperlink>
      <w:r w:rsidRPr="001B0EA3">
        <w:rPr>
          <w:lang w:eastAsia="bg-BG"/>
        </w:rPr>
        <w:t xml:space="preserve"> и/или на ЕИП </w:t>
      </w:r>
      <w:hyperlink r:id="rId84" w:history="1">
        <w:r w:rsidRPr="001B0EA3">
          <w:rPr>
            <w:color w:val="0000FF"/>
            <w:u w:val="single"/>
            <w:lang w:eastAsia="bg-BG"/>
          </w:rPr>
          <w:t>www.eufunds.bg</w:t>
        </w:r>
      </w:hyperlink>
      <w:r w:rsidRPr="001B0EA3">
        <w:rPr>
          <w:lang w:eastAsia="bg-BG"/>
        </w:rPr>
        <w:t>.</w:t>
      </w:r>
    </w:p>
    <w:p w14:paraId="14CBDA98" w14:textId="77777777" w:rsidR="00D603F5" w:rsidRPr="001B0EA3" w:rsidRDefault="00D603F5" w:rsidP="004E0B9F">
      <w:pPr>
        <w:rPr>
          <w:lang w:eastAsia="bg-BG"/>
        </w:rPr>
      </w:pPr>
      <w:r w:rsidRPr="001B0EA3">
        <w:rPr>
          <w:lang w:eastAsia="bg-BG"/>
        </w:rPr>
        <w:t>Процедурата за изготвяне/актуализиране на Насоките за кандидатстване по ОПТТИ е важен елемент от процеса на подготовката на проектите. Целта на Насоките за кандидатстване по ОПТТИ е подпомагането на конкретните бенефициенти при попълването на ФК/ФП за финансиране от ОПТТИ.</w:t>
      </w:r>
    </w:p>
    <w:p w14:paraId="6B8DBF46" w14:textId="77777777" w:rsidR="00D603F5" w:rsidRPr="00842ECC" w:rsidRDefault="00D603F5" w:rsidP="00346F28">
      <w:pPr>
        <w:pStyle w:val="Style3"/>
        <w:rPr>
          <w:lang w:val="bg-BG" w:eastAsia="bg-BG"/>
        </w:rPr>
      </w:pPr>
      <w:bookmarkStart w:id="531" w:name="_Ref407616981"/>
      <w:bookmarkStart w:id="532" w:name="_Toc479775629"/>
      <w:r w:rsidRPr="00842ECC">
        <w:rPr>
          <w:lang w:val="bg-BG" w:eastAsia="bg-BG"/>
        </w:rPr>
        <w:t>Изготвяне на Насоки за кандидатстване по ОПТТИ</w:t>
      </w:r>
      <w:bookmarkEnd w:id="531"/>
      <w:bookmarkEnd w:id="532"/>
    </w:p>
    <w:p w14:paraId="37EFDA44" w14:textId="77777777" w:rsidR="00D603F5" w:rsidRPr="001B0EA3" w:rsidRDefault="00D603F5" w:rsidP="004E0B9F">
      <w:bookmarkStart w:id="533" w:name="_Ref395880109"/>
      <w:r w:rsidRPr="001B0EA3">
        <w:t xml:space="preserve">Изготвянето на Насоките за кандидатстване по ОПТТИ е вменено във функциите на отдел „Програмиране” към дирекция КПП. </w:t>
      </w:r>
    </w:p>
    <w:p w14:paraId="079523AB" w14:textId="77777777" w:rsidR="00D603F5" w:rsidRPr="001B0EA3" w:rsidRDefault="00D603F5" w:rsidP="004E0B9F">
      <w:pPr>
        <w:pStyle w:val="ListParagraph"/>
        <w:numPr>
          <w:ilvl w:val="0"/>
          <w:numId w:val="336"/>
        </w:numPr>
        <w:ind w:left="0" w:firstLine="851"/>
      </w:pPr>
      <w:bookmarkStart w:id="534" w:name="_Ref407617253"/>
      <w:r w:rsidRPr="001B0EA3">
        <w:t xml:space="preserve">С Решение Ръководителят на УО на ОПТТИ сформира работна група със задача да изготви Насоки за кандидатстване по ОПТТИ за програмен период 2014 - 2020 г. </w:t>
      </w:r>
      <w:r w:rsidR="004C7525" w:rsidRPr="001B0EA3">
        <w:t xml:space="preserve">При изготвянето на насоките се подготвя и покана </w:t>
      </w:r>
      <w:r w:rsidR="008E0403" w:rsidRPr="001B0EA3">
        <w:t xml:space="preserve">за представяне на проектни предложения. </w:t>
      </w:r>
      <w:r w:rsidRPr="001B0EA3">
        <w:t>В Решението за сформиране на работна група е необходимо да бъде указан и срока за изготвяне на Насоките за кандидатстване</w:t>
      </w:r>
      <w:r w:rsidR="004269B7" w:rsidRPr="001B0EA3">
        <w:t xml:space="preserve"> по ОПТТИ</w:t>
      </w:r>
      <w:r w:rsidRPr="001B0EA3">
        <w:t>.</w:t>
      </w:r>
      <w:bookmarkEnd w:id="534"/>
    </w:p>
    <w:p w14:paraId="7F861D1A" w14:textId="77777777" w:rsidR="00D603F5" w:rsidRPr="001B0EA3" w:rsidRDefault="00D603F5" w:rsidP="004E0B9F">
      <w:pPr>
        <w:pStyle w:val="ListParagraph"/>
        <w:numPr>
          <w:ilvl w:val="0"/>
          <w:numId w:val="336"/>
        </w:numPr>
        <w:ind w:left="0" w:firstLine="851"/>
      </w:pPr>
      <w:r w:rsidRPr="001B0EA3">
        <w:t xml:space="preserve">Работната група се състои от поне трима члена, от които единият е председател, като поне двама експерти са от отдел „Програмиране”. </w:t>
      </w:r>
      <w:bookmarkEnd w:id="533"/>
    </w:p>
    <w:p w14:paraId="5717614F" w14:textId="77777777" w:rsidR="00D603F5" w:rsidRPr="001B0EA3" w:rsidRDefault="00D603F5" w:rsidP="004E0B9F">
      <w:pPr>
        <w:pStyle w:val="ListParagraph"/>
        <w:numPr>
          <w:ilvl w:val="0"/>
          <w:numId w:val="336"/>
        </w:numPr>
        <w:ind w:left="0" w:firstLine="851"/>
      </w:pPr>
      <w:r w:rsidRPr="001B0EA3">
        <w:t xml:space="preserve">Насоките за кандидатстване по ОПТТИ е задължително да са изготвени в съответствие с </w:t>
      </w:r>
      <w:r w:rsidR="00480AEF" w:rsidRPr="004E0B9F">
        <w:t xml:space="preserve">точка </w:t>
      </w:r>
      <w:r w:rsidRPr="001B0EA3">
        <w:fldChar w:fldCharType="begin"/>
      </w:r>
      <w:r w:rsidRPr="001B0EA3">
        <w:instrText xml:space="preserve"> REF _Ref406166508 \w \h  \* MERGEFORMAT </w:instrText>
      </w:r>
      <w:r w:rsidRPr="001B0EA3">
        <w:fldChar w:fldCharType="separate"/>
      </w:r>
      <w:r w:rsidR="00F22141">
        <w:t>14.2</w:t>
      </w:r>
      <w:r w:rsidRPr="001B0EA3">
        <w:fldChar w:fldCharType="end"/>
      </w:r>
      <w:r w:rsidRPr="001B0EA3">
        <w:t xml:space="preserve"> </w:t>
      </w:r>
      <w:r w:rsidRPr="004E0B9F">
        <w:t>„Допустими дейности по ОПТТИ”</w:t>
      </w:r>
      <w:r w:rsidRPr="001B0EA3">
        <w:t xml:space="preserve"> и </w:t>
      </w:r>
      <w:r w:rsidR="00480AEF" w:rsidRPr="004E0B9F">
        <w:rPr>
          <w:b/>
        </w:rPr>
        <w:t xml:space="preserve">точка </w:t>
      </w:r>
      <w:r w:rsidRPr="004E0B9F">
        <w:rPr>
          <w:b/>
        </w:rPr>
        <w:fldChar w:fldCharType="begin"/>
      </w:r>
      <w:r w:rsidRPr="004E0B9F">
        <w:rPr>
          <w:b/>
        </w:rPr>
        <w:instrText xml:space="preserve"> REF _Ref406166578 \w \h  \* MERGEFORMAT </w:instrText>
      </w:r>
      <w:r w:rsidRPr="004E0B9F">
        <w:rPr>
          <w:b/>
        </w:rPr>
      </w:r>
      <w:r w:rsidRPr="004E0B9F">
        <w:rPr>
          <w:b/>
        </w:rPr>
        <w:fldChar w:fldCharType="separate"/>
      </w:r>
      <w:r w:rsidR="00F22141">
        <w:rPr>
          <w:b/>
        </w:rPr>
        <w:t>14.3</w:t>
      </w:r>
      <w:r w:rsidRPr="004E0B9F">
        <w:rPr>
          <w:b/>
        </w:rPr>
        <w:fldChar w:fldCharType="end"/>
      </w:r>
      <w:r w:rsidRPr="004E0B9F">
        <w:rPr>
          <w:b/>
        </w:rPr>
        <w:t xml:space="preserve"> „Допустимост на разходите по ОПТТИ”</w:t>
      </w:r>
      <w:r w:rsidRPr="001B0EA3">
        <w:t xml:space="preserve"> от настоящия процедурен наръчник.</w:t>
      </w:r>
    </w:p>
    <w:p w14:paraId="36FCFF13" w14:textId="77777777" w:rsidR="00D603F5" w:rsidRPr="001B0EA3" w:rsidRDefault="00D603F5" w:rsidP="004E0B9F">
      <w:pPr>
        <w:pStyle w:val="ListParagraph"/>
        <w:numPr>
          <w:ilvl w:val="0"/>
          <w:numId w:val="336"/>
        </w:numPr>
        <w:ind w:left="0" w:firstLine="851"/>
      </w:pPr>
      <w:r w:rsidRPr="001B0EA3">
        <w:t>Насоките за кандидатстване по ОПТТИ задължително съдържат:</w:t>
      </w:r>
    </w:p>
    <w:p w14:paraId="22D23A8B" w14:textId="77777777" w:rsidR="00D603F5" w:rsidRPr="001B0EA3" w:rsidRDefault="00EA4C6B" w:rsidP="004E0B9F">
      <w:pPr>
        <w:pStyle w:val="ListParagraph"/>
        <w:numPr>
          <w:ilvl w:val="0"/>
          <w:numId w:val="337"/>
        </w:numPr>
        <w:ind w:left="0" w:firstLine="1211"/>
        <w:rPr>
          <w:lang w:eastAsia="bg-BG"/>
        </w:rPr>
      </w:pPr>
      <w:r w:rsidRPr="001B0EA3">
        <w:rPr>
          <w:lang w:eastAsia="bg-BG"/>
        </w:rPr>
        <w:t xml:space="preserve">наименование </w:t>
      </w:r>
      <w:r w:rsidR="00D603F5" w:rsidRPr="001B0EA3">
        <w:rPr>
          <w:lang w:eastAsia="bg-BG"/>
        </w:rPr>
        <w:t>на програмата</w:t>
      </w:r>
      <w:r w:rsidR="00226E11" w:rsidRPr="001B0EA3">
        <w:rPr>
          <w:lang w:eastAsia="bg-BG"/>
        </w:rPr>
        <w:t>;</w:t>
      </w:r>
    </w:p>
    <w:p w14:paraId="761CBAA3" w14:textId="77777777" w:rsidR="00D603F5" w:rsidRPr="001B0EA3" w:rsidRDefault="00EA4C6B" w:rsidP="004E0B9F">
      <w:pPr>
        <w:pStyle w:val="ListParagraph"/>
        <w:numPr>
          <w:ilvl w:val="0"/>
          <w:numId w:val="337"/>
        </w:numPr>
        <w:ind w:left="0" w:firstLine="1211"/>
        <w:rPr>
          <w:lang w:eastAsia="bg-BG"/>
        </w:rPr>
      </w:pPr>
      <w:r w:rsidRPr="001B0EA3">
        <w:rPr>
          <w:lang w:eastAsia="bg-BG"/>
        </w:rPr>
        <w:t xml:space="preserve">кратко </w:t>
      </w:r>
      <w:r w:rsidR="00D603F5" w:rsidRPr="001B0EA3">
        <w:rPr>
          <w:lang w:eastAsia="bg-BG"/>
        </w:rPr>
        <w:t xml:space="preserve">описание на приоритетната/ите ос/и по ОПТТИ и конкретните </w:t>
      </w:r>
      <w:r w:rsidRPr="001B0EA3">
        <w:rPr>
          <w:lang w:eastAsia="bg-BG"/>
        </w:rPr>
        <w:t xml:space="preserve">бенефициенти </w:t>
      </w:r>
      <w:r w:rsidR="00D603F5" w:rsidRPr="001B0EA3">
        <w:rPr>
          <w:lang w:eastAsia="bg-BG"/>
        </w:rPr>
        <w:t xml:space="preserve">по </w:t>
      </w:r>
      <w:r w:rsidR="00E523F5" w:rsidRPr="001B0EA3">
        <w:rPr>
          <w:lang w:eastAsia="bg-BG"/>
        </w:rPr>
        <w:t>нея/</w:t>
      </w:r>
      <w:r w:rsidR="00D603F5" w:rsidRPr="001B0EA3">
        <w:rPr>
          <w:lang w:eastAsia="bg-BG"/>
        </w:rPr>
        <w:t>тях.</w:t>
      </w:r>
    </w:p>
    <w:p w14:paraId="4730FEBE" w14:textId="77777777" w:rsidR="00D603F5" w:rsidRPr="001B0EA3" w:rsidRDefault="00EA4C6B" w:rsidP="004E0B9F">
      <w:pPr>
        <w:pStyle w:val="ListParagraph"/>
        <w:numPr>
          <w:ilvl w:val="0"/>
          <w:numId w:val="337"/>
        </w:numPr>
        <w:ind w:left="0" w:firstLine="1211"/>
        <w:rPr>
          <w:lang w:eastAsia="bg-BG"/>
        </w:rPr>
      </w:pPr>
      <w:r w:rsidRPr="001B0EA3">
        <w:rPr>
          <w:lang w:eastAsia="bg-BG"/>
        </w:rPr>
        <w:t>дейности</w:t>
      </w:r>
      <w:r w:rsidR="00D603F5" w:rsidRPr="001B0EA3">
        <w:rPr>
          <w:lang w:eastAsia="bg-BG"/>
        </w:rPr>
        <w:t>, допустими за финансиране по ОПТТИ;</w:t>
      </w:r>
    </w:p>
    <w:p w14:paraId="3DA99EDB" w14:textId="77777777" w:rsidR="00D603F5" w:rsidRPr="001B0EA3" w:rsidRDefault="00EA4C6B" w:rsidP="004E0B9F">
      <w:pPr>
        <w:pStyle w:val="ListParagraph"/>
        <w:numPr>
          <w:ilvl w:val="0"/>
          <w:numId w:val="337"/>
        </w:numPr>
        <w:ind w:left="0" w:firstLine="1211"/>
        <w:rPr>
          <w:lang w:eastAsia="bg-BG"/>
        </w:rPr>
      </w:pPr>
      <w:r w:rsidRPr="001B0EA3">
        <w:rPr>
          <w:lang w:eastAsia="bg-BG"/>
        </w:rPr>
        <w:t>разходи</w:t>
      </w:r>
      <w:r w:rsidR="00D603F5" w:rsidRPr="001B0EA3">
        <w:rPr>
          <w:lang w:eastAsia="bg-BG"/>
        </w:rPr>
        <w:t>, допустими за финансиране по ОПТТИ;</w:t>
      </w:r>
    </w:p>
    <w:p w14:paraId="2F401D9D" w14:textId="77777777" w:rsidR="00D603F5" w:rsidRPr="001B0EA3" w:rsidRDefault="00EA4C6B" w:rsidP="004E0B9F">
      <w:pPr>
        <w:pStyle w:val="ListParagraph"/>
        <w:numPr>
          <w:ilvl w:val="0"/>
          <w:numId w:val="337"/>
        </w:numPr>
        <w:ind w:left="0" w:firstLine="1211"/>
        <w:rPr>
          <w:lang w:eastAsia="bg-BG"/>
        </w:rPr>
      </w:pPr>
      <w:r w:rsidRPr="001B0EA3">
        <w:rPr>
          <w:lang w:eastAsia="bg-BG"/>
        </w:rPr>
        <w:t>образци</w:t>
      </w:r>
      <w:r w:rsidR="00881DE0" w:rsidRPr="001B0EA3">
        <w:rPr>
          <w:lang w:eastAsia="bg-BG"/>
        </w:rPr>
        <w:t>/указания за попълване</w:t>
      </w:r>
      <w:r w:rsidRPr="001B0EA3">
        <w:rPr>
          <w:lang w:eastAsia="bg-BG"/>
        </w:rPr>
        <w:t xml:space="preserve"> </w:t>
      </w:r>
      <w:r w:rsidR="00D603F5" w:rsidRPr="001B0EA3">
        <w:rPr>
          <w:lang w:eastAsia="bg-BG"/>
        </w:rPr>
        <w:t>на Формуляри за кандидатстване</w:t>
      </w:r>
      <w:r w:rsidR="00E523F5" w:rsidRPr="001B0EA3">
        <w:rPr>
          <w:lang w:eastAsia="bg-BG"/>
        </w:rPr>
        <w:t xml:space="preserve"> в системата ИСУН 2020</w:t>
      </w:r>
      <w:r w:rsidR="00D603F5" w:rsidRPr="001B0EA3">
        <w:rPr>
          <w:lang w:eastAsia="bg-BG"/>
        </w:rPr>
        <w:t>;</w:t>
      </w:r>
    </w:p>
    <w:p w14:paraId="49BCD2A5" w14:textId="77777777" w:rsidR="00D603F5" w:rsidRPr="001B0EA3" w:rsidRDefault="00EA4C6B" w:rsidP="004E0B9F">
      <w:pPr>
        <w:pStyle w:val="ListParagraph"/>
        <w:numPr>
          <w:ilvl w:val="0"/>
          <w:numId w:val="337"/>
        </w:numPr>
        <w:ind w:left="0" w:firstLine="1211"/>
        <w:rPr>
          <w:lang w:eastAsia="bg-BG"/>
        </w:rPr>
      </w:pPr>
      <w:r w:rsidRPr="001B0EA3">
        <w:rPr>
          <w:lang w:eastAsia="bg-BG"/>
        </w:rPr>
        <w:t xml:space="preserve">етапи </w:t>
      </w:r>
      <w:r w:rsidR="00D603F5" w:rsidRPr="001B0EA3">
        <w:rPr>
          <w:lang w:eastAsia="bg-BG"/>
        </w:rPr>
        <w:t>и начин за оценяване на проектните предложения, Критерии за оценка по ОПТТИ;</w:t>
      </w:r>
    </w:p>
    <w:p w14:paraId="6BE9F023" w14:textId="77777777" w:rsidR="00D603F5" w:rsidRPr="001B0EA3" w:rsidRDefault="00EA4C6B" w:rsidP="004E0B9F">
      <w:pPr>
        <w:pStyle w:val="ListParagraph"/>
        <w:numPr>
          <w:ilvl w:val="0"/>
          <w:numId w:val="337"/>
        </w:numPr>
        <w:ind w:left="0" w:firstLine="1211"/>
        <w:rPr>
          <w:lang w:eastAsia="bg-BG"/>
        </w:rPr>
      </w:pPr>
      <w:r w:rsidRPr="001B0EA3">
        <w:rPr>
          <w:lang w:eastAsia="bg-BG"/>
        </w:rPr>
        <w:t xml:space="preserve">начин </w:t>
      </w:r>
      <w:r w:rsidR="00D603F5" w:rsidRPr="001B0EA3">
        <w:rPr>
          <w:lang w:eastAsia="bg-BG"/>
        </w:rPr>
        <w:t>на подаване на проектните предложения;</w:t>
      </w:r>
    </w:p>
    <w:p w14:paraId="08AE53A6" w14:textId="77777777" w:rsidR="00D603F5" w:rsidRPr="001B0EA3" w:rsidRDefault="00EA4C6B" w:rsidP="004E0B9F">
      <w:pPr>
        <w:pStyle w:val="ListParagraph"/>
        <w:numPr>
          <w:ilvl w:val="0"/>
          <w:numId w:val="337"/>
        </w:numPr>
        <w:ind w:left="0" w:firstLine="1211"/>
        <w:rPr>
          <w:lang w:eastAsia="bg-BG"/>
        </w:rPr>
      </w:pPr>
      <w:r w:rsidRPr="001B0EA3">
        <w:rPr>
          <w:lang w:eastAsia="bg-BG"/>
        </w:rPr>
        <w:t xml:space="preserve">адрес </w:t>
      </w:r>
      <w:r w:rsidR="00D603F5" w:rsidRPr="001B0EA3">
        <w:rPr>
          <w:lang w:eastAsia="bg-BG"/>
        </w:rPr>
        <w:t>за подаване на проектните предложения</w:t>
      </w:r>
      <w:r w:rsidR="00E523F5" w:rsidRPr="001B0EA3">
        <w:rPr>
          <w:lang w:eastAsia="bg-BG"/>
        </w:rPr>
        <w:t xml:space="preserve"> на хартиен носител</w:t>
      </w:r>
      <w:r w:rsidR="00D603F5" w:rsidRPr="001B0EA3">
        <w:rPr>
          <w:lang w:eastAsia="bg-BG"/>
        </w:rPr>
        <w:t>;</w:t>
      </w:r>
    </w:p>
    <w:p w14:paraId="22CBAE32" w14:textId="77777777" w:rsidR="00D603F5" w:rsidRDefault="00EA4C6B" w:rsidP="004E0B9F">
      <w:pPr>
        <w:pStyle w:val="ListParagraph"/>
        <w:numPr>
          <w:ilvl w:val="0"/>
          <w:numId w:val="337"/>
        </w:numPr>
        <w:ind w:left="0" w:firstLine="1211"/>
        <w:rPr>
          <w:lang w:eastAsia="bg-BG"/>
        </w:rPr>
      </w:pPr>
      <w:r w:rsidRPr="001B0EA3">
        <w:rPr>
          <w:lang w:eastAsia="bg-BG"/>
        </w:rPr>
        <w:t xml:space="preserve">срок </w:t>
      </w:r>
      <w:r w:rsidR="00D603F5" w:rsidRPr="001B0EA3">
        <w:rPr>
          <w:lang w:eastAsia="bg-BG"/>
        </w:rPr>
        <w:t>за подаване на проектните предложения.</w:t>
      </w:r>
    </w:p>
    <w:p w14:paraId="7AE6720D" w14:textId="77777777" w:rsidR="00CA7EA6" w:rsidRPr="001B0EA3" w:rsidRDefault="00CA7EA6" w:rsidP="00CA7EA6">
      <w:pPr>
        <w:rPr>
          <w:lang w:eastAsia="bg-BG"/>
        </w:rPr>
      </w:pPr>
    </w:p>
    <w:p w14:paraId="75B25E45" w14:textId="2D6123C6" w:rsidR="00D603F5" w:rsidRPr="001B0EA3" w:rsidRDefault="00D603F5" w:rsidP="004E0B9F">
      <w:r w:rsidRPr="001B0EA3">
        <w:t xml:space="preserve">В Насоките за кандидатстване по ОПТТИ се посочва адрес за кореспонденция, факс, телефон, електронна поща и адрес на интернет страницата на ОПТТИ </w:t>
      </w:r>
      <w:hyperlink r:id="rId85" w:history="1">
        <w:r w:rsidR="009D6A2A">
          <w:rPr>
            <w:color w:val="0000FF"/>
            <w:u w:val="single"/>
          </w:rPr>
          <w:t>www.eufunds.bg/optti</w:t>
        </w:r>
      </w:hyperlink>
      <w:r w:rsidRPr="001B0EA3">
        <w:t xml:space="preserve">, </w:t>
      </w:r>
      <w:r w:rsidRPr="001B0EA3">
        <w:lastRenderedPageBreak/>
        <w:t xml:space="preserve">на които конкретните бенефициенти могат да намерят публикувани актуалните Насоки за кандидатстване по ОПТТИ и при необходимост да направят своите запитвания до УО на ОПТТИ. </w:t>
      </w:r>
    </w:p>
    <w:p w14:paraId="56D77F84" w14:textId="77777777" w:rsidR="00D603F5" w:rsidRPr="001B0EA3" w:rsidRDefault="00D603F5" w:rsidP="004E0B9F">
      <w:pPr>
        <w:rPr>
          <w:szCs w:val="24"/>
          <w:lang w:eastAsia="bg-BG"/>
        </w:rPr>
      </w:pPr>
      <w:r w:rsidRPr="001B0EA3">
        <w:rPr>
          <w:szCs w:val="24"/>
          <w:lang w:eastAsia="bg-BG"/>
        </w:rPr>
        <w:t>По-специално, чрез Насоките за кандидатстване по ОПТТИ бенефициентите се информират за:</w:t>
      </w:r>
    </w:p>
    <w:p w14:paraId="2443CDEF" w14:textId="77777777" w:rsidR="00D603F5" w:rsidRPr="001B0EA3" w:rsidRDefault="00D603F5" w:rsidP="004E0B9F">
      <w:pPr>
        <w:pStyle w:val="ListParagraph"/>
        <w:numPr>
          <w:ilvl w:val="0"/>
          <w:numId w:val="338"/>
        </w:numPr>
        <w:ind w:left="0" w:firstLine="1211"/>
        <w:rPr>
          <w:lang w:eastAsia="bg-BG"/>
        </w:rPr>
      </w:pPr>
      <w:r w:rsidRPr="001B0EA3">
        <w:rPr>
          <w:lang w:eastAsia="bg-BG"/>
        </w:rPr>
        <w:t xml:space="preserve">Националните правила за допустимост, определени в Република България и по-конкретно за ОПТТИ, подробно разписани в </w:t>
      </w:r>
      <w:r w:rsidRPr="004E0B9F">
        <w:rPr>
          <w:b/>
          <w:lang w:eastAsia="bg-BG"/>
        </w:rPr>
        <w:t xml:space="preserve">точка </w:t>
      </w:r>
      <w:r w:rsidRPr="004E0B9F">
        <w:rPr>
          <w:b/>
          <w:lang w:eastAsia="bg-BG"/>
        </w:rPr>
        <w:fldChar w:fldCharType="begin"/>
      </w:r>
      <w:r w:rsidRPr="004E0B9F">
        <w:rPr>
          <w:b/>
          <w:lang w:eastAsia="bg-BG"/>
        </w:rPr>
        <w:instrText xml:space="preserve"> REF _Ref410299116 \r \h  \* MERGEFORMAT </w:instrText>
      </w:r>
      <w:r w:rsidRPr="004E0B9F">
        <w:rPr>
          <w:b/>
          <w:lang w:eastAsia="bg-BG"/>
        </w:rPr>
      </w:r>
      <w:r w:rsidRPr="004E0B9F">
        <w:rPr>
          <w:b/>
          <w:lang w:eastAsia="bg-BG"/>
        </w:rPr>
        <w:fldChar w:fldCharType="separate"/>
      </w:r>
      <w:r w:rsidR="00F22141">
        <w:rPr>
          <w:b/>
          <w:lang w:eastAsia="bg-BG"/>
        </w:rPr>
        <w:t>14.3</w:t>
      </w:r>
      <w:r w:rsidRPr="004E0B9F">
        <w:rPr>
          <w:b/>
          <w:lang w:eastAsia="bg-BG"/>
        </w:rPr>
        <w:fldChar w:fldCharType="end"/>
      </w:r>
      <w:r w:rsidR="005722B1" w:rsidRPr="004E0B9F">
        <w:rPr>
          <w:b/>
          <w:lang w:eastAsia="bg-BG"/>
        </w:rPr>
        <w:t xml:space="preserve"> „Допустимост на разходите по ОПТТИ”</w:t>
      </w:r>
      <w:r w:rsidRPr="001B0EA3">
        <w:rPr>
          <w:lang w:eastAsia="bg-BG"/>
        </w:rPr>
        <w:t>;</w:t>
      </w:r>
    </w:p>
    <w:p w14:paraId="584021A4" w14:textId="77777777" w:rsidR="00D603F5" w:rsidRPr="001B0EA3" w:rsidRDefault="00D603F5" w:rsidP="004E0B9F">
      <w:pPr>
        <w:pStyle w:val="ListParagraph"/>
        <w:numPr>
          <w:ilvl w:val="0"/>
          <w:numId w:val="338"/>
        </w:numPr>
        <w:ind w:left="0" w:firstLine="1211"/>
        <w:rPr>
          <w:lang w:eastAsia="bg-BG"/>
        </w:rPr>
      </w:pPr>
      <w:r w:rsidRPr="001B0EA3">
        <w:rPr>
          <w:lang w:eastAsia="bg-BG"/>
        </w:rPr>
        <w:t xml:space="preserve">Приложимите правила на Европейския съюз,  относно допустимостта на разходите по ЕФРР и КФ подробно разписани в </w:t>
      </w:r>
      <w:r w:rsidRPr="004E0B9F">
        <w:rPr>
          <w:b/>
          <w:lang w:eastAsia="bg-BG"/>
        </w:rPr>
        <w:t xml:space="preserve">точка </w:t>
      </w:r>
      <w:r w:rsidRPr="004E0B9F">
        <w:rPr>
          <w:b/>
          <w:lang w:eastAsia="bg-BG"/>
        </w:rPr>
        <w:fldChar w:fldCharType="begin"/>
      </w:r>
      <w:r w:rsidRPr="004E0B9F">
        <w:rPr>
          <w:b/>
          <w:lang w:eastAsia="bg-BG"/>
        </w:rPr>
        <w:instrText xml:space="preserve"> REF _Ref410299039 \r \h  \* MERGEFORMAT </w:instrText>
      </w:r>
      <w:r w:rsidRPr="004E0B9F">
        <w:rPr>
          <w:b/>
          <w:lang w:eastAsia="bg-BG"/>
        </w:rPr>
      </w:r>
      <w:r w:rsidRPr="004E0B9F">
        <w:rPr>
          <w:b/>
          <w:lang w:eastAsia="bg-BG"/>
        </w:rPr>
        <w:fldChar w:fldCharType="separate"/>
      </w:r>
      <w:r w:rsidR="00F22141">
        <w:rPr>
          <w:b/>
          <w:lang w:eastAsia="bg-BG"/>
        </w:rPr>
        <w:t>14.2</w:t>
      </w:r>
      <w:r w:rsidRPr="004E0B9F">
        <w:rPr>
          <w:b/>
          <w:lang w:eastAsia="bg-BG"/>
        </w:rPr>
        <w:fldChar w:fldCharType="end"/>
      </w:r>
      <w:r w:rsidR="005722B1" w:rsidRPr="004E0B9F">
        <w:rPr>
          <w:b/>
          <w:lang w:eastAsia="bg-BG"/>
        </w:rPr>
        <w:t xml:space="preserve"> „Допустими дейности по ОПТТИ”</w:t>
      </w:r>
      <w:r w:rsidRPr="001B0EA3">
        <w:rPr>
          <w:lang w:eastAsia="bg-BG"/>
        </w:rPr>
        <w:t>;</w:t>
      </w:r>
    </w:p>
    <w:p w14:paraId="2F5765EC" w14:textId="77777777" w:rsidR="00D603F5" w:rsidRPr="001B0EA3" w:rsidRDefault="00D603F5" w:rsidP="004E0B9F">
      <w:pPr>
        <w:pStyle w:val="ListParagraph"/>
        <w:numPr>
          <w:ilvl w:val="0"/>
          <w:numId w:val="338"/>
        </w:numPr>
        <w:ind w:left="0" w:firstLine="1211"/>
        <w:rPr>
          <w:lang w:eastAsia="bg-BG"/>
        </w:rPr>
      </w:pPr>
      <w:r w:rsidRPr="001B0EA3">
        <w:rPr>
          <w:lang w:eastAsia="bg-BG"/>
        </w:rPr>
        <w:t xml:space="preserve">Специфичните условия, свързани с продуктите или услугите, които трябва да бъдат доставени в рамките на операцията, подробно разписани в </w:t>
      </w:r>
      <w:r w:rsidRPr="004E0B9F">
        <w:rPr>
          <w:b/>
          <w:lang w:eastAsia="bg-BG"/>
        </w:rPr>
        <w:t xml:space="preserve">точка </w:t>
      </w:r>
      <w:r w:rsidRPr="004E0B9F">
        <w:rPr>
          <w:b/>
          <w:lang w:eastAsia="bg-BG"/>
        </w:rPr>
        <w:fldChar w:fldCharType="begin"/>
      </w:r>
      <w:r w:rsidRPr="004E0B9F">
        <w:rPr>
          <w:b/>
          <w:lang w:eastAsia="bg-BG"/>
        </w:rPr>
        <w:instrText xml:space="preserve"> REF _Ref410299096 \r \h </w:instrText>
      </w:r>
      <w:r w:rsidR="004A494A" w:rsidRPr="004E0B9F">
        <w:rPr>
          <w:b/>
          <w:lang w:eastAsia="bg-BG"/>
        </w:rPr>
        <w:instrText xml:space="preserve"> \* MERGEFORMAT </w:instrText>
      </w:r>
      <w:r w:rsidRPr="004E0B9F">
        <w:rPr>
          <w:b/>
          <w:lang w:eastAsia="bg-BG"/>
        </w:rPr>
      </w:r>
      <w:r w:rsidRPr="004E0B9F">
        <w:rPr>
          <w:b/>
          <w:lang w:eastAsia="bg-BG"/>
        </w:rPr>
        <w:fldChar w:fldCharType="separate"/>
      </w:r>
      <w:r w:rsidR="00F22141">
        <w:rPr>
          <w:b/>
          <w:lang w:eastAsia="bg-BG"/>
        </w:rPr>
        <w:t>14.2</w:t>
      </w:r>
      <w:r w:rsidRPr="004E0B9F">
        <w:rPr>
          <w:b/>
          <w:lang w:eastAsia="bg-BG"/>
        </w:rPr>
        <w:fldChar w:fldCharType="end"/>
      </w:r>
      <w:r w:rsidR="005722B1" w:rsidRPr="004E0B9F">
        <w:rPr>
          <w:b/>
          <w:lang w:eastAsia="bg-BG"/>
        </w:rPr>
        <w:t xml:space="preserve"> „Допустими дейности по ОПТТИ”</w:t>
      </w:r>
      <w:r w:rsidRPr="001B0EA3">
        <w:rPr>
          <w:lang w:eastAsia="bg-BG"/>
        </w:rPr>
        <w:t>;</w:t>
      </w:r>
    </w:p>
    <w:p w14:paraId="46EDE44D" w14:textId="77777777" w:rsidR="00D603F5" w:rsidRPr="001B0EA3" w:rsidRDefault="00D603F5" w:rsidP="004E0B9F">
      <w:pPr>
        <w:pStyle w:val="ListParagraph"/>
        <w:numPr>
          <w:ilvl w:val="0"/>
          <w:numId w:val="338"/>
        </w:numPr>
        <w:ind w:left="0" w:firstLine="1211"/>
        <w:rPr>
          <w:lang w:eastAsia="bg-BG"/>
        </w:rPr>
      </w:pPr>
      <w:r w:rsidRPr="001B0EA3">
        <w:rPr>
          <w:lang w:eastAsia="bg-BG"/>
        </w:rPr>
        <w:t>Плана за финансиране и сроковете за изпълнение;</w:t>
      </w:r>
    </w:p>
    <w:p w14:paraId="2F5C4872" w14:textId="77777777" w:rsidR="00D603F5" w:rsidRPr="001B0EA3" w:rsidRDefault="00D603F5" w:rsidP="004E0B9F">
      <w:pPr>
        <w:pStyle w:val="ListParagraph"/>
        <w:numPr>
          <w:ilvl w:val="0"/>
          <w:numId w:val="338"/>
        </w:numPr>
        <w:ind w:left="0" w:firstLine="1211"/>
        <w:rPr>
          <w:lang w:eastAsia="bg-BG"/>
        </w:rPr>
      </w:pPr>
      <w:r w:rsidRPr="001B0EA3">
        <w:rPr>
          <w:lang w:eastAsia="bg-BG"/>
        </w:rPr>
        <w:t xml:space="preserve">Изискванията по отношение на </w:t>
      </w:r>
      <w:r w:rsidR="00803E1E" w:rsidRPr="001B0EA3">
        <w:rPr>
          <w:lang w:eastAsia="bg-BG"/>
        </w:rPr>
        <w:t>осчетоводяването на извършените разходи, свързани с изпълнението на проекта в</w:t>
      </w:r>
      <w:r w:rsidRPr="001B0EA3">
        <w:rPr>
          <w:lang w:eastAsia="bg-BG"/>
        </w:rPr>
        <w:t xml:space="preserve"> </w:t>
      </w:r>
      <w:r w:rsidR="00803E1E" w:rsidRPr="001B0EA3">
        <w:rPr>
          <w:lang w:eastAsia="bg-BG"/>
        </w:rPr>
        <w:t>специално обособена аналитичност в счетоводната система на бенефициента</w:t>
      </w:r>
      <w:r w:rsidRPr="001B0EA3">
        <w:rPr>
          <w:lang w:eastAsia="bg-BG"/>
        </w:rPr>
        <w:t>;</w:t>
      </w:r>
    </w:p>
    <w:p w14:paraId="02541B87" w14:textId="77777777" w:rsidR="00D603F5" w:rsidRPr="001B0EA3" w:rsidRDefault="00D603F5" w:rsidP="004E0B9F">
      <w:pPr>
        <w:pStyle w:val="ListParagraph"/>
        <w:numPr>
          <w:ilvl w:val="0"/>
          <w:numId w:val="338"/>
        </w:numPr>
        <w:ind w:left="0" w:firstLine="1211"/>
        <w:rPr>
          <w:lang w:eastAsia="bg-BG"/>
        </w:rPr>
      </w:pPr>
      <w:r w:rsidRPr="001B0EA3">
        <w:rPr>
          <w:lang w:eastAsia="bg-BG"/>
        </w:rPr>
        <w:t>Информацията, относно съхраняване на документите и поддържане на одитна следа;</w:t>
      </w:r>
    </w:p>
    <w:p w14:paraId="6FB0C2E9" w14:textId="77777777" w:rsidR="00D603F5" w:rsidRDefault="00D603F5" w:rsidP="004E0B9F">
      <w:pPr>
        <w:pStyle w:val="ListParagraph"/>
        <w:numPr>
          <w:ilvl w:val="0"/>
          <w:numId w:val="338"/>
        </w:numPr>
        <w:ind w:left="0" w:firstLine="1211"/>
        <w:rPr>
          <w:lang w:eastAsia="bg-BG"/>
        </w:rPr>
      </w:pPr>
      <w:r w:rsidRPr="001B0EA3">
        <w:rPr>
          <w:lang w:eastAsia="bg-BG"/>
        </w:rPr>
        <w:t>Задълженията на бенефициента във връзка с информиране и публичност;</w:t>
      </w:r>
    </w:p>
    <w:p w14:paraId="6B325FAD" w14:textId="77777777" w:rsidR="00CA7EA6" w:rsidRPr="001B0EA3" w:rsidRDefault="00CA7EA6" w:rsidP="00CA7EA6">
      <w:pPr>
        <w:rPr>
          <w:lang w:eastAsia="bg-BG"/>
        </w:rPr>
      </w:pPr>
    </w:p>
    <w:p w14:paraId="068D6A82" w14:textId="77777777" w:rsidR="008316CD" w:rsidRPr="001B0EA3" w:rsidRDefault="008316CD" w:rsidP="004E0B9F">
      <w:pPr>
        <w:rPr>
          <w:lang w:eastAsia="bg-BG"/>
        </w:rPr>
      </w:pPr>
      <w:r w:rsidRPr="001B0EA3">
        <w:rPr>
          <w:lang w:eastAsia="bg-BG"/>
        </w:rPr>
        <w:t>При електронно кандидатстване в пакета документи към „Насоки за кандидатстване</w:t>
      </w:r>
      <w:r w:rsidR="006044F3" w:rsidRPr="001B0EA3">
        <w:t xml:space="preserve"> по ОПТТИ</w:t>
      </w:r>
      <w:r w:rsidRPr="001B0EA3">
        <w:rPr>
          <w:lang w:eastAsia="bg-BG"/>
        </w:rPr>
        <w:t>“ по процедурата, Управляващият орган задължително включва и указания за попълването на формуляра в системата</w:t>
      </w:r>
      <w:r w:rsidR="00226E11" w:rsidRPr="001B0EA3">
        <w:rPr>
          <w:lang w:eastAsia="bg-BG"/>
        </w:rPr>
        <w:t xml:space="preserve"> ИСУН 2020</w:t>
      </w:r>
      <w:r w:rsidRPr="001B0EA3">
        <w:rPr>
          <w:lang w:eastAsia="bg-BG"/>
        </w:rPr>
        <w:t>. Тези указания следва да бъде посочено:</w:t>
      </w:r>
    </w:p>
    <w:p w14:paraId="7A3BBE09" w14:textId="77777777" w:rsidR="008316CD" w:rsidRPr="00CA7EA6" w:rsidRDefault="00410715" w:rsidP="00CA7EA6">
      <w:pPr>
        <w:pStyle w:val="ListParagraph"/>
        <w:numPr>
          <w:ilvl w:val="0"/>
          <w:numId w:val="338"/>
        </w:numPr>
        <w:ind w:left="0" w:firstLine="1211"/>
        <w:rPr>
          <w:lang w:eastAsia="bg-BG"/>
        </w:rPr>
      </w:pPr>
      <w:r w:rsidRPr="00CA7EA6">
        <w:rPr>
          <w:lang w:eastAsia="bg-BG"/>
        </w:rPr>
        <w:t>интернет</w:t>
      </w:r>
      <w:r w:rsidR="008316CD" w:rsidRPr="00CA7EA6">
        <w:rPr>
          <w:lang w:eastAsia="bg-BG"/>
        </w:rPr>
        <w:t xml:space="preserve"> адрес на системата </w:t>
      </w:r>
      <w:r w:rsidR="00226E11" w:rsidRPr="00CA7EA6">
        <w:rPr>
          <w:lang w:eastAsia="bg-BG"/>
        </w:rPr>
        <w:t xml:space="preserve">ИСУН 2020, </w:t>
      </w:r>
      <w:r w:rsidR="008316CD" w:rsidRPr="00CA7EA6">
        <w:rPr>
          <w:lang w:eastAsia="bg-BG"/>
        </w:rPr>
        <w:t>позволяващ електронно кандидатстване и попълване на формуляр</w:t>
      </w:r>
      <w:r w:rsidR="00226E11" w:rsidRPr="00CA7EA6">
        <w:rPr>
          <w:lang w:eastAsia="bg-BG"/>
        </w:rPr>
        <w:t xml:space="preserve"> за кандидатстване</w:t>
      </w:r>
      <w:r w:rsidR="008316CD" w:rsidRPr="00CA7EA6">
        <w:rPr>
          <w:lang w:eastAsia="bg-BG"/>
        </w:rPr>
        <w:t>;</w:t>
      </w:r>
    </w:p>
    <w:p w14:paraId="60F6640A" w14:textId="77777777" w:rsidR="008316CD" w:rsidRPr="00CA7EA6" w:rsidRDefault="00410715" w:rsidP="00CA7EA6">
      <w:pPr>
        <w:pStyle w:val="ListParagraph"/>
        <w:numPr>
          <w:ilvl w:val="0"/>
          <w:numId w:val="338"/>
        </w:numPr>
        <w:ind w:left="0" w:firstLine="1211"/>
        <w:rPr>
          <w:lang w:eastAsia="bg-BG"/>
        </w:rPr>
      </w:pPr>
      <w:r w:rsidRPr="00CA7EA6">
        <w:rPr>
          <w:lang w:eastAsia="bg-BG"/>
        </w:rPr>
        <w:t>интернет</w:t>
      </w:r>
      <w:r w:rsidR="008316CD" w:rsidRPr="00CA7EA6">
        <w:rPr>
          <w:lang w:eastAsia="bg-BG"/>
        </w:rPr>
        <w:t xml:space="preserve"> адрес на наръчника на потребителите на ИСУН;</w:t>
      </w:r>
    </w:p>
    <w:p w14:paraId="6768CEBD" w14:textId="77777777" w:rsidR="008316CD" w:rsidRPr="00CA7EA6" w:rsidRDefault="008316CD" w:rsidP="00CA7EA6">
      <w:pPr>
        <w:pStyle w:val="ListParagraph"/>
        <w:numPr>
          <w:ilvl w:val="0"/>
          <w:numId w:val="338"/>
        </w:numPr>
        <w:ind w:left="0" w:firstLine="1211"/>
        <w:rPr>
          <w:lang w:eastAsia="bg-BG"/>
        </w:rPr>
      </w:pPr>
      <w:r w:rsidRPr="00CA7EA6">
        <w:rPr>
          <w:lang w:eastAsia="bg-BG"/>
        </w:rPr>
        <w:t>Указания за попълване на отделните полета във формуляра за кандидатстване</w:t>
      </w:r>
      <w:r w:rsidR="00F56FE5" w:rsidRPr="00CA7EA6">
        <w:rPr>
          <w:lang w:eastAsia="bg-BG"/>
        </w:rPr>
        <w:t>.</w:t>
      </w:r>
    </w:p>
    <w:p w14:paraId="3AD01335" w14:textId="77777777" w:rsidR="007D18EE" w:rsidRPr="001B0EA3" w:rsidRDefault="007D18EE" w:rsidP="00CA7EA6"/>
    <w:p w14:paraId="5B7DBD55" w14:textId="77777777" w:rsidR="007D18EE" w:rsidRPr="001B0EA3" w:rsidRDefault="007D18EE" w:rsidP="00CA7EA6">
      <w:r w:rsidRPr="001B0EA3">
        <w:t xml:space="preserve">Кандидат в процедура може да иска разяснения по документите по Насоките по ОПТТИ в срок до три седмици преди изтичането на срока за кандидатстване </w:t>
      </w:r>
      <w:r w:rsidRPr="001B0EA3">
        <w:rPr>
          <w:b/>
        </w:rPr>
        <w:t>31.12.2020 г.</w:t>
      </w:r>
      <w:r w:rsidRPr="001B0EA3">
        <w:t xml:space="preserve"> Разясненията се утвърждават от Ръководителя на УО на ОПТТИ или оправомощено от него лице. Разясненията се дават по отношение на условията за кандидатстване, не съдържат становище относно качеството на проектното предложение и са задължителни за всички кандидати. Разясненията се изпращат на конкретните бенефициенти по ОПТТИ заедно с поканата за участие в процедурата чрез директно предоставяне и се публикуват на страницата и в ИСУН в срок до две седмици преди изтичането на срока за кандидатстване.</w:t>
      </w:r>
    </w:p>
    <w:p w14:paraId="01D540FF" w14:textId="77777777" w:rsidR="00D603F5" w:rsidRPr="001B0EA3" w:rsidRDefault="00D603F5" w:rsidP="004E0B9F">
      <w:pPr>
        <w:pStyle w:val="ListParagraph"/>
        <w:numPr>
          <w:ilvl w:val="0"/>
          <w:numId w:val="336"/>
        </w:numPr>
        <w:ind w:left="0" w:firstLine="851"/>
      </w:pPr>
      <w:bookmarkStart w:id="535" w:name="_Ref395878438"/>
      <w:r w:rsidRPr="001B0EA3">
        <w:t>Изготвеният от работната група проект на Насоките за кандидатстване по ОПТТИ се съгласува в рамките на УО на ОПТТИ в следния порядък:</w:t>
      </w:r>
      <w:bookmarkEnd w:id="535"/>
    </w:p>
    <w:p w14:paraId="6D2B2551" w14:textId="77777777" w:rsidR="00D603F5" w:rsidRPr="00CA7EA6" w:rsidRDefault="009E5179" w:rsidP="00CA7EA6">
      <w:pPr>
        <w:pStyle w:val="ListParagraph"/>
        <w:numPr>
          <w:ilvl w:val="0"/>
          <w:numId w:val="338"/>
        </w:numPr>
        <w:ind w:left="0" w:firstLine="1211"/>
        <w:rPr>
          <w:lang w:eastAsia="bg-BG"/>
        </w:rPr>
      </w:pPr>
      <w:r w:rsidRPr="00CA7EA6">
        <w:rPr>
          <w:lang w:eastAsia="bg-BG"/>
        </w:rPr>
        <w:t xml:space="preserve">началника </w:t>
      </w:r>
      <w:r w:rsidR="00D603F5" w:rsidRPr="00CA7EA6">
        <w:rPr>
          <w:lang w:eastAsia="bg-BG"/>
        </w:rPr>
        <w:t>на отдел</w:t>
      </w:r>
      <w:r w:rsidRPr="00CA7EA6">
        <w:rPr>
          <w:lang w:eastAsia="bg-BG"/>
        </w:rPr>
        <w:t xml:space="preserve"> „Програмиране“</w:t>
      </w:r>
      <w:r w:rsidR="00D603F5" w:rsidRPr="00CA7EA6">
        <w:rPr>
          <w:lang w:eastAsia="bg-BG"/>
        </w:rPr>
        <w:t xml:space="preserve"> в дирекция КПП;</w:t>
      </w:r>
    </w:p>
    <w:p w14:paraId="2B43747D" w14:textId="77777777" w:rsidR="00D603F5" w:rsidRPr="00CA7EA6" w:rsidRDefault="00D603F5" w:rsidP="00CA7EA6">
      <w:pPr>
        <w:pStyle w:val="ListParagraph"/>
        <w:numPr>
          <w:ilvl w:val="0"/>
          <w:numId w:val="338"/>
        </w:numPr>
        <w:ind w:left="0" w:firstLine="1211"/>
        <w:rPr>
          <w:lang w:eastAsia="bg-BG"/>
        </w:rPr>
      </w:pPr>
      <w:r w:rsidRPr="00CA7EA6">
        <w:rPr>
          <w:lang w:eastAsia="bg-BG"/>
        </w:rPr>
        <w:t>директора на дирекция КПП;</w:t>
      </w:r>
    </w:p>
    <w:p w14:paraId="55D8A4B8" w14:textId="77777777" w:rsidR="00D603F5" w:rsidRPr="00CA7EA6" w:rsidRDefault="00D603F5" w:rsidP="00CA7EA6">
      <w:pPr>
        <w:pStyle w:val="ListParagraph"/>
        <w:numPr>
          <w:ilvl w:val="0"/>
          <w:numId w:val="338"/>
        </w:numPr>
        <w:ind w:left="0" w:firstLine="1211"/>
        <w:rPr>
          <w:lang w:eastAsia="bg-BG"/>
        </w:rPr>
      </w:pPr>
      <w:r w:rsidRPr="00CA7EA6">
        <w:rPr>
          <w:lang w:eastAsia="bg-BG"/>
        </w:rPr>
        <w:t>Ръководителя на УО на ОПТТИ;</w:t>
      </w:r>
    </w:p>
    <w:p w14:paraId="7334015B" w14:textId="77777777" w:rsidR="00D603F5" w:rsidRPr="001B0EA3" w:rsidRDefault="00D603F5" w:rsidP="00CA7EA6">
      <w:r w:rsidRPr="001B0EA3">
        <w:rPr>
          <w:i/>
        </w:rPr>
        <w:t>Забележка</w:t>
      </w:r>
      <w:r w:rsidRPr="001B0EA3">
        <w:t xml:space="preserve">: След одобрението на Насоките за кандидатстване по ОПТТИ от Ръководителя на УО на ОПТТИ следва задължително и процедурата по </w:t>
      </w:r>
      <w:r w:rsidRPr="001B0EA3">
        <w:rPr>
          <w:b/>
        </w:rPr>
        <w:t>т</w:t>
      </w:r>
      <w:r w:rsidR="00480AEF" w:rsidRPr="001B0EA3">
        <w:rPr>
          <w:b/>
        </w:rPr>
        <w:t>очка</w:t>
      </w:r>
      <w:r w:rsidRPr="001B0EA3">
        <w:rPr>
          <w:b/>
        </w:rPr>
        <w:t xml:space="preserve"> </w:t>
      </w:r>
      <w:r w:rsidRPr="001B0EA3">
        <w:rPr>
          <w:b/>
        </w:rPr>
        <w:fldChar w:fldCharType="begin"/>
      </w:r>
      <w:r w:rsidRPr="001B0EA3">
        <w:rPr>
          <w:b/>
        </w:rPr>
        <w:instrText xml:space="preserve"> REF _Ref407606910 \r \h  \* MERGEFORMAT </w:instrText>
      </w:r>
      <w:r w:rsidRPr="001B0EA3">
        <w:rPr>
          <w:b/>
        </w:rPr>
      </w:r>
      <w:r w:rsidRPr="001B0EA3">
        <w:rPr>
          <w:b/>
        </w:rPr>
        <w:fldChar w:fldCharType="separate"/>
      </w:r>
      <w:r w:rsidR="00F22141">
        <w:rPr>
          <w:b/>
        </w:rPr>
        <w:t>7)</w:t>
      </w:r>
      <w:r w:rsidRPr="001B0EA3">
        <w:rPr>
          <w:b/>
        </w:rPr>
        <w:fldChar w:fldCharType="end"/>
      </w:r>
      <w:r w:rsidRPr="001B0EA3">
        <w:rPr>
          <w:b/>
        </w:rPr>
        <w:t xml:space="preserve"> </w:t>
      </w:r>
      <w:r w:rsidRPr="001B0EA3">
        <w:t>относно съгласуване със структурата в Министерство на финансите, която отговаря за държавните помощи.</w:t>
      </w:r>
    </w:p>
    <w:p w14:paraId="2D24EA15" w14:textId="77777777" w:rsidR="007D18EE" w:rsidRPr="001B0EA3" w:rsidRDefault="007D18EE" w:rsidP="00CA7EA6"/>
    <w:p w14:paraId="7C35025D" w14:textId="77777777" w:rsidR="00D603F5" w:rsidRPr="001B0EA3" w:rsidRDefault="00D603F5" w:rsidP="004E0B9F">
      <w:pPr>
        <w:pStyle w:val="ListParagraph"/>
        <w:numPr>
          <w:ilvl w:val="0"/>
          <w:numId w:val="336"/>
        </w:numPr>
        <w:ind w:left="0" w:firstLine="851"/>
      </w:pPr>
      <w:r w:rsidRPr="001B0EA3">
        <w:t xml:space="preserve">Всеки съгласуващ по </w:t>
      </w:r>
      <w:r w:rsidRPr="004E0B9F">
        <w:rPr>
          <w:b/>
        </w:rPr>
        <w:t>т</w:t>
      </w:r>
      <w:r w:rsidR="00480AEF" w:rsidRPr="004E0B9F">
        <w:rPr>
          <w:b/>
        </w:rPr>
        <w:t>очка</w:t>
      </w:r>
      <w:r w:rsidRPr="004E0B9F">
        <w:rPr>
          <w:b/>
        </w:rPr>
        <w:t xml:space="preserve"> </w:t>
      </w:r>
      <w:r w:rsidRPr="004E0B9F">
        <w:rPr>
          <w:b/>
        </w:rPr>
        <w:fldChar w:fldCharType="begin"/>
      </w:r>
      <w:r w:rsidRPr="004E0B9F">
        <w:rPr>
          <w:b/>
        </w:rPr>
        <w:instrText xml:space="preserve"> REF _Ref395878438 \r \h  \* MERGEFORMAT </w:instrText>
      </w:r>
      <w:r w:rsidRPr="004E0B9F">
        <w:rPr>
          <w:b/>
        </w:rPr>
      </w:r>
      <w:r w:rsidRPr="004E0B9F">
        <w:rPr>
          <w:b/>
        </w:rPr>
        <w:fldChar w:fldCharType="separate"/>
      </w:r>
      <w:r w:rsidR="00F22141">
        <w:rPr>
          <w:b/>
        </w:rPr>
        <w:t>5)</w:t>
      </w:r>
      <w:r w:rsidRPr="004E0B9F">
        <w:rPr>
          <w:b/>
        </w:rPr>
        <w:fldChar w:fldCharType="end"/>
      </w:r>
      <w:r w:rsidRPr="001B0EA3">
        <w:t xml:space="preserve">  може да постъпи по следния начин:</w:t>
      </w:r>
    </w:p>
    <w:p w14:paraId="18A8A8B7" w14:textId="77777777" w:rsidR="007C491D" w:rsidRPr="00CA7EA6" w:rsidRDefault="00D603F5" w:rsidP="00CA7EA6">
      <w:pPr>
        <w:pStyle w:val="ListParagraph"/>
        <w:numPr>
          <w:ilvl w:val="0"/>
          <w:numId w:val="338"/>
        </w:numPr>
        <w:ind w:left="0" w:firstLine="1211"/>
        <w:rPr>
          <w:lang w:eastAsia="bg-BG"/>
        </w:rPr>
      </w:pPr>
      <w:r w:rsidRPr="00CA7EA6">
        <w:rPr>
          <w:lang w:eastAsia="bg-BG"/>
        </w:rPr>
        <w:t xml:space="preserve">да съгласува Насоките </w:t>
      </w:r>
      <w:r w:rsidR="00825729" w:rsidRPr="00CA7EA6">
        <w:rPr>
          <w:lang w:eastAsia="bg-BG"/>
        </w:rPr>
        <w:t xml:space="preserve">за кандидатстване по ОПТТИ </w:t>
      </w:r>
    </w:p>
    <w:p w14:paraId="195D42EF" w14:textId="77777777" w:rsidR="00D603F5" w:rsidRPr="001B0EA3" w:rsidRDefault="00D603F5" w:rsidP="00890B4B">
      <w:pPr>
        <w:ind w:left="1134"/>
        <w:rPr>
          <w:szCs w:val="24"/>
          <w:lang w:eastAsia="bg-BG"/>
        </w:rPr>
      </w:pPr>
      <w:r w:rsidRPr="001B0EA3">
        <w:rPr>
          <w:szCs w:val="24"/>
          <w:lang w:eastAsia="bg-BG"/>
        </w:rPr>
        <w:t>или</w:t>
      </w:r>
    </w:p>
    <w:p w14:paraId="29DD851F" w14:textId="77777777" w:rsidR="00D603F5" w:rsidRPr="00CA7EA6" w:rsidRDefault="00D603F5" w:rsidP="00CA7EA6">
      <w:pPr>
        <w:pStyle w:val="ListParagraph"/>
        <w:numPr>
          <w:ilvl w:val="0"/>
          <w:numId w:val="338"/>
        </w:numPr>
        <w:ind w:left="0" w:firstLine="1211"/>
        <w:rPr>
          <w:lang w:eastAsia="bg-BG"/>
        </w:rPr>
      </w:pPr>
      <w:r w:rsidRPr="00CA7EA6">
        <w:rPr>
          <w:lang w:eastAsia="bg-BG"/>
        </w:rPr>
        <w:lastRenderedPageBreak/>
        <w:t>да върне обратно Насоките за кандидатстване по ОПТТИ, с указания за корекция от страна на екипа от експерти изготвили Насоките. за кандидатстване по ОПТТИ</w:t>
      </w:r>
    </w:p>
    <w:p w14:paraId="3248B5E1" w14:textId="77777777" w:rsidR="00D603F5" w:rsidRPr="001B0EA3" w:rsidRDefault="00D603F5" w:rsidP="004E0B9F">
      <w:pPr>
        <w:pStyle w:val="ListParagraph"/>
        <w:numPr>
          <w:ilvl w:val="0"/>
          <w:numId w:val="336"/>
        </w:numPr>
        <w:ind w:left="0" w:firstLine="851"/>
      </w:pPr>
      <w:bookmarkStart w:id="536" w:name="_Ref407606910"/>
      <w:r w:rsidRPr="00CA7EA6">
        <w:rPr>
          <w:szCs w:val="24"/>
          <w:lang w:eastAsia="bg-BG"/>
        </w:rPr>
        <w:t>След като Ръководителят на УО на ОПТТИ одобри проектът на Насоките за</w:t>
      </w:r>
      <w:r w:rsidRPr="001B0EA3">
        <w:t xml:space="preserve"> кандидатстване по ОПТТИ, началника на отдел „Програмиране” организира изготвянето на официално писмо за съгласуването им със структурата на МФ, която отговаря за държавните помощи</w:t>
      </w:r>
      <w:r w:rsidR="004A0CD0" w:rsidRPr="001B0EA3">
        <w:t xml:space="preserve"> (</w:t>
      </w:r>
      <w:r w:rsidR="00033ED7" w:rsidRPr="001B0EA3">
        <w:t xml:space="preserve">в изпълнение на </w:t>
      </w:r>
      <w:r w:rsidR="004A0CD0" w:rsidRPr="001B0EA3">
        <w:t xml:space="preserve"> т. 4 на ДНФ № 1 от 01.07.2014 г.)</w:t>
      </w:r>
      <w:r w:rsidRPr="001B0EA3">
        <w:t>. Съгласуването е с цел проверка на съответствието с изискванията на чл. 107 от ДФЕС или изискванията за минимална помощ по смисъла на Регламент (ЕС) № 1407/2013 на Комисията относно прилагането на чл. 107 и 108 от ДФЕС.</w:t>
      </w:r>
      <w:bookmarkEnd w:id="536"/>
    </w:p>
    <w:p w14:paraId="2A763462" w14:textId="1AECD792" w:rsidR="00D603F5" w:rsidRPr="006C252C" w:rsidRDefault="00D603F5" w:rsidP="004E0B9F">
      <w:pPr>
        <w:pStyle w:val="ListParagraph"/>
        <w:numPr>
          <w:ilvl w:val="0"/>
          <w:numId w:val="336"/>
        </w:numPr>
        <w:ind w:left="0" w:firstLine="851"/>
      </w:pPr>
      <w:bookmarkStart w:id="537" w:name="_Ref395878492"/>
      <w:r w:rsidRPr="006C252C">
        <w:t xml:space="preserve">След получаване на становището </w:t>
      </w:r>
      <w:r w:rsidRPr="006C252C">
        <w:rPr>
          <w:b/>
        </w:rPr>
        <w:t xml:space="preserve">по т. </w:t>
      </w:r>
      <w:r w:rsidRPr="006C252C">
        <w:rPr>
          <w:b/>
        </w:rPr>
        <w:fldChar w:fldCharType="begin"/>
      </w:r>
      <w:r w:rsidRPr="006C252C">
        <w:rPr>
          <w:b/>
        </w:rPr>
        <w:instrText xml:space="preserve"> REF _Ref395878438 \r \h  \* MERGEFORMAT </w:instrText>
      </w:r>
      <w:r w:rsidRPr="006C252C">
        <w:rPr>
          <w:b/>
        </w:rPr>
      </w:r>
      <w:r w:rsidRPr="006C252C">
        <w:rPr>
          <w:b/>
        </w:rPr>
        <w:fldChar w:fldCharType="separate"/>
      </w:r>
      <w:r w:rsidR="00F22141" w:rsidRPr="006C252C">
        <w:rPr>
          <w:b/>
        </w:rPr>
        <w:t>5)</w:t>
      </w:r>
      <w:r w:rsidRPr="006C252C">
        <w:rPr>
          <w:b/>
        </w:rPr>
        <w:fldChar w:fldCharType="end"/>
      </w:r>
      <w:r w:rsidRPr="006C252C">
        <w:t xml:space="preserve">, директорът на дирекция КПП </w:t>
      </w:r>
      <w:r w:rsidR="001F4F9F" w:rsidRPr="006C252C">
        <w:t>резолира на началника на отдел „Информация, публичност и техническа помощ”</w:t>
      </w:r>
      <w:r w:rsidRPr="006C252C">
        <w:t xml:space="preserve"> да организира публикуването на съгласуваният проект на Насоките за кандидатстване на интернет страницата на ОПТТИ </w:t>
      </w:r>
      <w:r w:rsidR="00C160B9">
        <w:t xml:space="preserve">в </w:t>
      </w:r>
      <w:r w:rsidRPr="006C252C">
        <w:t xml:space="preserve">ЕИП - </w:t>
      </w:r>
      <w:hyperlink r:id="rId86" w:history="1">
        <w:r w:rsidRPr="006C252C">
          <w:rPr>
            <w:color w:val="0000FF"/>
            <w:u w:val="single"/>
          </w:rPr>
          <w:t>www.eufunds.bg</w:t>
        </w:r>
      </w:hyperlink>
      <w:r w:rsidRPr="006C252C">
        <w:t xml:space="preserve"> за предложения и становища от конкретните бенефициенти по програмата. Срокът за предложения и становища не трябва да е по-кратък от 15 дни. </w:t>
      </w:r>
      <w:bookmarkEnd w:id="537"/>
    </w:p>
    <w:p w14:paraId="13C45D8F" w14:textId="77777777" w:rsidR="00D603F5" w:rsidRPr="006C252C" w:rsidRDefault="00D603F5" w:rsidP="004E0B9F">
      <w:pPr>
        <w:pStyle w:val="ListParagraph"/>
        <w:numPr>
          <w:ilvl w:val="0"/>
          <w:numId w:val="336"/>
        </w:numPr>
        <w:ind w:left="0" w:firstLine="851"/>
      </w:pPr>
      <w:r w:rsidRPr="006C252C">
        <w:t xml:space="preserve">След изтичане на срока по </w:t>
      </w:r>
      <w:r w:rsidR="00DC1082" w:rsidRPr="006C252C">
        <w:rPr>
          <w:b/>
        </w:rPr>
        <w:t>под</w:t>
      </w:r>
      <w:r w:rsidRPr="006C252C">
        <w:rPr>
          <w:b/>
        </w:rPr>
        <w:t>т</w:t>
      </w:r>
      <w:r w:rsidR="00480AEF" w:rsidRPr="006C252C">
        <w:rPr>
          <w:b/>
        </w:rPr>
        <w:t>очка</w:t>
      </w:r>
      <w:r w:rsidRPr="006C252C">
        <w:rPr>
          <w:b/>
        </w:rPr>
        <w:t xml:space="preserve"> </w:t>
      </w:r>
      <w:r w:rsidRPr="006C252C">
        <w:rPr>
          <w:b/>
        </w:rPr>
        <w:fldChar w:fldCharType="begin"/>
      </w:r>
      <w:r w:rsidRPr="006C252C">
        <w:rPr>
          <w:b/>
        </w:rPr>
        <w:instrText xml:space="preserve"> REF _Ref395878492 \r \h  \* MERGEFORMAT </w:instrText>
      </w:r>
      <w:r w:rsidRPr="006C252C">
        <w:rPr>
          <w:b/>
        </w:rPr>
      </w:r>
      <w:r w:rsidRPr="006C252C">
        <w:rPr>
          <w:b/>
        </w:rPr>
        <w:fldChar w:fldCharType="separate"/>
      </w:r>
      <w:r w:rsidR="00F22141" w:rsidRPr="006C252C">
        <w:rPr>
          <w:b/>
        </w:rPr>
        <w:t>8)</w:t>
      </w:r>
      <w:r w:rsidRPr="006C252C">
        <w:rPr>
          <w:b/>
        </w:rPr>
        <w:fldChar w:fldCharType="end"/>
      </w:r>
      <w:r w:rsidRPr="006C252C">
        <w:t xml:space="preserve"> началника на отдел „Програмиране” възлага на екипа от експерти по </w:t>
      </w:r>
      <w:r w:rsidRPr="006C252C">
        <w:rPr>
          <w:b/>
        </w:rPr>
        <w:t xml:space="preserve">точка </w:t>
      </w:r>
      <w:r w:rsidRPr="006C252C">
        <w:rPr>
          <w:b/>
        </w:rPr>
        <w:fldChar w:fldCharType="begin"/>
      </w:r>
      <w:r w:rsidRPr="006C252C">
        <w:rPr>
          <w:b/>
        </w:rPr>
        <w:instrText xml:space="preserve"> REF _Ref407616981 \r \h </w:instrText>
      </w:r>
      <w:r w:rsidR="004A494A" w:rsidRPr="006C252C">
        <w:rPr>
          <w:b/>
        </w:rPr>
        <w:instrText xml:space="preserve"> \* MERGEFORMAT </w:instrText>
      </w:r>
      <w:r w:rsidRPr="006C252C">
        <w:rPr>
          <w:b/>
        </w:rPr>
      </w:r>
      <w:r w:rsidRPr="006C252C">
        <w:rPr>
          <w:b/>
        </w:rPr>
        <w:fldChar w:fldCharType="separate"/>
      </w:r>
      <w:r w:rsidR="00F22141" w:rsidRPr="006C252C">
        <w:rPr>
          <w:b/>
        </w:rPr>
        <w:t>17.3.1</w:t>
      </w:r>
      <w:r w:rsidRPr="006C252C">
        <w:rPr>
          <w:b/>
        </w:rPr>
        <w:fldChar w:fldCharType="end"/>
      </w:r>
      <w:r w:rsidRPr="006C252C">
        <w:rPr>
          <w:b/>
        </w:rPr>
        <w:t xml:space="preserve"> подточка </w:t>
      </w:r>
      <w:r w:rsidRPr="006C252C">
        <w:rPr>
          <w:b/>
        </w:rPr>
        <w:fldChar w:fldCharType="begin"/>
      </w:r>
      <w:r w:rsidRPr="006C252C">
        <w:rPr>
          <w:b/>
        </w:rPr>
        <w:instrText xml:space="preserve"> REF _Ref407617253 \r \h </w:instrText>
      </w:r>
      <w:r w:rsidR="004A494A" w:rsidRPr="006C252C">
        <w:rPr>
          <w:b/>
        </w:rPr>
        <w:instrText xml:space="preserve"> \* MERGEFORMAT </w:instrText>
      </w:r>
      <w:r w:rsidRPr="006C252C">
        <w:rPr>
          <w:b/>
        </w:rPr>
      </w:r>
      <w:r w:rsidRPr="006C252C">
        <w:rPr>
          <w:b/>
        </w:rPr>
        <w:fldChar w:fldCharType="separate"/>
      </w:r>
      <w:r w:rsidR="00F22141" w:rsidRPr="006C252C">
        <w:rPr>
          <w:b/>
        </w:rPr>
        <w:t>1)</w:t>
      </w:r>
      <w:r w:rsidRPr="006C252C">
        <w:rPr>
          <w:b/>
        </w:rPr>
        <w:fldChar w:fldCharType="end"/>
      </w:r>
      <w:r w:rsidRPr="006C252C">
        <w:t xml:space="preserve">  да анализира получените предложения и становища и при обоснована необходимост да ревизира проекта на Насоките за кандидатстване по ОПТТИ. </w:t>
      </w:r>
    </w:p>
    <w:p w14:paraId="6F45F523" w14:textId="77777777" w:rsidR="00D603F5" w:rsidRPr="006C252C" w:rsidRDefault="00D603F5" w:rsidP="004E0B9F">
      <w:pPr>
        <w:pStyle w:val="ListParagraph"/>
        <w:numPr>
          <w:ilvl w:val="0"/>
          <w:numId w:val="336"/>
        </w:numPr>
        <w:ind w:left="0" w:firstLine="851"/>
      </w:pPr>
      <w:bookmarkStart w:id="538" w:name="_Ref407606842"/>
      <w:r w:rsidRPr="006C252C">
        <w:t>В изпълнение на изискванията на чл. 28, ал. 2, т. 1 от ПМС № 107 от 10.05.2014 г. началника на отдел „Програмиране” организира изготвянето на официално писмо за предоставяне на бенефициентите на одобрените Насоки за кандидатстване по ОПТТИ.</w:t>
      </w:r>
      <w:bookmarkEnd w:id="538"/>
    </w:p>
    <w:p w14:paraId="69DA36C6" w14:textId="7C8D135B" w:rsidR="00D603F5" w:rsidRPr="006C252C" w:rsidRDefault="00D603F5" w:rsidP="004E0B9F">
      <w:pPr>
        <w:pStyle w:val="ListParagraph"/>
        <w:numPr>
          <w:ilvl w:val="0"/>
          <w:numId w:val="336"/>
        </w:numPr>
        <w:ind w:left="0" w:firstLine="851"/>
      </w:pPr>
      <w:r w:rsidRPr="006C252C">
        <w:t>Насоките за кандидатстване заедно с покана за представяне на проектно предложение се публикуват от</w:t>
      </w:r>
      <w:r w:rsidR="001F4F9F" w:rsidRPr="006C252C">
        <w:t xml:space="preserve"> отговорните експерти от отдел „Информация, публичност и техническа помощ”</w:t>
      </w:r>
      <w:r w:rsidRPr="006C252C">
        <w:t>по резолюция на началника на отдела.</w:t>
      </w:r>
    </w:p>
    <w:p w14:paraId="73743BE5" w14:textId="77777777" w:rsidR="00D603F5" w:rsidRDefault="00D603F5" w:rsidP="004E0B9F">
      <w:r w:rsidRPr="001B0EA3">
        <w:rPr>
          <w:i/>
        </w:rPr>
        <w:t>Забележка:</w:t>
      </w:r>
      <w:r w:rsidRPr="001B0EA3">
        <w:t xml:space="preserve"> Насоките за кандидатстване по ОПТТИ могат да бъдат отделни за всяка от приоритетните оси или в едни насоки да е представена информация обединяваща няколко/всички приоритетни оси по програма. Аналогично и същевременно независимо от насоките поканата може да бъде отделна за всяка от приоритетните оси или да е представена информация обединяваща няколко/всички приоритетни оси по програма.</w:t>
      </w:r>
    </w:p>
    <w:p w14:paraId="4D2AA498" w14:textId="77777777" w:rsidR="004E0B9F" w:rsidRPr="001B0EA3" w:rsidRDefault="004E0B9F" w:rsidP="00CA7EA6"/>
    <w:p w14:paraId="77F94457" w14:textId="77777777" w:rsidR="00D603F5" w:rsidRPr="001B0EA3" w:rsidRDefault="00D603F5" w:rsidP="004E0B9F">
      <w:pPr>
        <w:pStyle w:val="ListParagraph"/>
        <w:numPr>
          <w:ilvl w:val="0"/>
          <w:numId w:val="336"/>
        </w:numPr>
        <w:ind w:left="0" w:firstLine="851"/>
      </w:pPr>
      <w:r w:rsidRPr="001B0EA3">
        <w:t xml:space="preserve">Във връзка с подготовката на проектните предложения, в случай на постъпили въпроси по Насоките за кандидатстване по ОПТТИ от конкретните бенефициенти УО на ОПТТИ дава допълнителни указания и отговаря на постъпили въпроси от конкретните бенефициенти. </w:t>
      </w:r>
    </w:p>
    <w:p w14:paraId="30BFB7BD" w14:textId="77777777" w:rsidR="00D603F5" w:rsidRDefault="00D603F5" w:rsidP="004E0B9F">
      <w:pPr>
        <w:rPr>
          <w:lang w:eastAsia="bg-BG"/>
        </w:rPr>
      </w:pPr>
      <w:r w:rsidRPr="001B0EA3">
        <w:rPr>
          <w:i/>
          <w:lang w:eastAsia="bg-BG"/>
        </w:rPr>
        <w:t>Срок за изпълнение:</w:t>
      </w:r>
      <w:r w:rsidRPr="001B0EA3">
        <w:rPr>
          <w:lang w:eastAsia="bg-BG"/>
        </w:rPr>
        <w:t xml:space="preserve"> до 11 работни дни от получаване на запитването</w:t>
      </w:r>
    </w:p>
    <w:p w14:paraId="45F8AA7F" w14:textId="77777777" w:rsidR="004E0B9F" w:rsidRPr="001B0EA3" w:rsidRDefault="004E0B9F" w:rsidP="00CA7EA6">
      <w:pPr>
        <w:rPr>
          <w:lang w:eastAsia="bg-BG"/>
        </w:rPr>
      </w:pPr>
    </w:p>
    <w:p w14:paraId="6FB1A5FF" w14:textId="77777777" w:rsidR="00D603F5" w:rsidRPr="001B0EA3" w:rsidRDefault="00D603F5" w:rsidP="004E0B9F">
      <w:pPr>
        <w:pStyle w:val="ListParagraph"/>
        <w:numPr>
          <w:ilvl w:val="0"/>
          <w:numId w:val="336"/>
        </w:numPr>
        <w:ind w:left="0" w:firstLine="851"/>
      </w:pPr>
      <w:r w:rsidRPr="001B0EA3">
        <w:t xml:space="preserve">При необходимост УО на ОПТТИ може да организира срещи, семинари, обучения с цел допълнителни разяснения и указания към бенефициентите по Насоките за кандидатстване по ОПТТИ. </w:t>
      </w:r>
    </w:p>
    <w:p w14:paraId="0D3A1C01" w14:textId="77777777" w:rsidR="00D603F5" w:rsidRPr="001B0EA3" w:rsidRDefault="00D603F5" w:rsidP="00346F28">
      <w:pPr>
        <w:pStyle w:val="Style3"/>
        <w:rPr>
          <w:lang w:eastAsia="bg-BG"/>
        </w:rPr>
      </w:pPr>
      <w:bookmarkStart w:id="539" w:name="_Toc479775630"/>
      <w:r w:rsidRPr="001B0EA3">
        <w:rPr>
          <w:lang w:eastAsia="bg-BG"/>
        </w:rPr>
        <w:t>Актуализиране на Насоките по ОПТТИ</w:t>
      </w:r>
      <w:bookmarkEnd w:id="539"/>
    </w:p>
    <w:p w14:paraId="0951094A" w14:textId="77777777" w:rsidR="0049797C" w:rsidRPr="001B0EA3" w:rsidRDefault="00D603F5" w:rsidP="00CA7EA6">
      <w:pPr>
        <w:rPr>
          <w:lang w:eastAsia="bg-BG"/>
        </w:rPr>
      </w:pPr>
      <w:r w:rsidRPr="001B0EA3">
        <w:rPr>
          <w:lang w:eastAsia="bg-BG"/>
        </w:rPr>
        <w:t xml:space="preserve">При възникнала необходимост Насоките по ОПТТИ могат да бъдат изменяни. </w:t>
      </w:r>
      <w:r w:rsidR="0049797C" w:rsidRPr="001B0EA3">
        <w:rPr>
          <w:lang w:eastAsia="bg-BG"/>
        </w:rPr>
        <w:t>Утвърдените Насоки по ОПТТИ в частта, определяща условията за кандидатстване, може да се изменят:</w:t>
      </w:r>
    </w:p>
    <w:p w14:paraId="04DE14D5" w14:textId="77777777" w:rsidR="0049797C" w:rsidRPr="001B0EA3" w:rsidRDefault="0049797C" w:rsidP="00CA7EA6">
      <w:pPr>
        <w:pStyle w:val="ListParagraph"/>
        <w:numPr>
          <w:ilvl w:val="1"/>
          <w:numId w:val="341"/>
        </w:numPr>
        <w:ind w:left="0" w:firstLine="851"/>
        <w:rPr>
          <w:lang w:eastAsia="bg-BG"/>
        </w:rPr>
      </w:pPr>
      <w:r w:rsidRPr="001B0EA3">
        <w:rPr>
          <w:lang w:eastAsia="bg-BG"/>
        </w:rPr>
        <w:t xml:space="preserve">при промени в правото на Европейския съюз и/или българското законодателство, в политиката на европейско и/или национално ниво, основана на стратегически документ или в </w:t>
      </w:r>
      <w:r w:rsidR="00B018F5" w:rsidRPr="001B0EA3">
        <w:rPr>
          <w:lang w:eastAsia="bg-BG"/>
        </w:rPr>
        <w:t>ОПТТИ</w:t>
      </w:r>
      <w:r w:rsidRPr="001B0EA3">
        <w:rPr>
          <w:lang w:eastAsia="bg-BG"/>
        </w:rPr>
        <w:t xml:space="preserve">, които налагат привеждане на </w:t>
      </w:r>
      <w:r w:rsidR="00B018F5" w:rsidRPr="001B0EA3">
        <w:rPr>
          <w:lang w:eastAsia="bg-BG"/>
        </w:rPr>
        <w:t>Насоките</w:t>
      </w:r>
      <w:r w:rsidRPr="001B0EA3">
        <w:rPr>
          <w:lang w:eastAsia="bg-BG"/>
        </w:rPr>
        <w:t xml:space="preserve"> в съответствие с тях;</w:t>
      </w:r>
    </w:p>
    <w:p w14:paraId="56D1E4A7" w14:textId="77777777" w:rsidR="0049797C" w:rsidRPr="001B0EA3" w:rsidRDefault="0049797C" w:rsidP="00CA7EA6">
      <w:pPr>
        <w:pStyle w:val="ListParagraph"/>
        <w:numPr>
          <w:ilvl w:val="1"/>
          <w:numId w:val="341"/>
        </w:numPr>
        <w:ind w:left="0" w:firstLine="851"/>
        <w:rPr>
          <w:lang w:eastAsia="bg-BG"/>
        </w:rPr>
      </w:pPr>
      <w:r w:rsidRPr="001B0EA3">
        <w:rPr>
          <w:lang w:eastAsia="bg-BG"/>
        </w:rPr>
        <w:t>за увеличаване</w:t>
      </w:r>
      <w:r w:rsidR="00B018F5" w:rsidRPr="001B0EA3">
        <w:rPr>
          <w:lang w:eastAsia="bg-BG"/>
        </w:rPr>
        <w:t>/ намаляване</w:t>
      </w:r>
      <w:r w:rsidRPr="001B0EA3">
        <w:rPr>
          <w:lang w:eastAsia="bg-BG"/>
        </w:rPr>
        <w:t xml:space="preserve"> на фина</w:t>
      </w:r>
      <w:r w:rsidR="00B018F5" w:rsidRPr="001B0EA3">
        <w:rPr>
          <w:lang w:eastAsia="bg-BG"/>
        </w:rPr>
        <w:t>нсовия ресурс по процедура/и по ОПТТИ</w:t>
      </w:r>
      <w:r w:rsidRPr="001B0EA3">
        <w:rPr>
          <w:lang w:eastAsia="bg-BG"/>
        </w:rPr>
        <w:t>;</w:t>
      </w:r>
    </w:p>
    <w:p w14:paraId="4D3DBA20" w14:textId="77777777" w:rsidR="0049797C" w:rsidRPr="001B0EA3" w:rsidRDefault="0049797C" w:rsidP="00CA7EA6">
      <w:pPr>
        <w:rPr>
          <w:lang w:eastAsia="bg-BG"/>
        </w:rPr>
      </w:pPr>
    </w:p>
    <w:p w14:paraId="541A4733" w14:textId="77777777" w:rsidR="0049797C" w:rsidRPr="001B0EA3" w:rsidRDefault="00D603F5" w:rsidP="00CA7EA6">
      <w:pPr>
        <w:rPr>
          <w:lang w:eastAsia="bg-BG"/>
        </w:rPr>
      </w:pPr>
      <w:r w:rsidRPr="001B0EA3">
        <w:rPr>
          <w:lang w:eastAsia="bg-BG"/>
        </w:rPr>
        <w:lastRenderedPageBreak/>
        <w:t>В случай, че промяната е несъществена (техническа грешка, допълнителни указания) промяната се извършва от експерти в отдел „Програмиране“ на дирекция КПП</w:t>
      </w:r>
      <w:r w:rsidR="0049797C" w:rsidRPr="001B0EA3">
        <w:rPr>
          <w:lang w:eastAsia="bg-BG"/>
        </w:rPr>
        <w:t>.</w:t>
      </w:r>
    </w:p>
    <w:p w14:paraId="0F2A46BF" w14:textId="77777777" w:rsidR="0049797C" w:rsidRPr="001B0EA3" w:rsidRDefault="0049797C" w:rsidP="00CA7EA6">
      <w:pPr>
        <w:rPr>
          <w:lang w:eastAsia="bg-BG"/>
        </w:rPr>
      </w:pPr>
    </w:p>
    <w:p w14:paraId="63E8D158" w14:textId="77777777" w:rsidR="00D603F5" w:rsidRPr="001B0EA3" w:rsidRDefault="00090871" w:rsidP="00CA7EA6">
      <w:pPr>
        <w:rPr>
          <w:lang w:eastAsia="bg-BG"/>
        </w:rPr>
      </w:pPr>
      <w:r w:rsidRPr="001B0EA3">
        <w:rPr>
          <w:lang w:eastAsia="bg-BG"/>
        </w:rPr>
        <w:t xml:space="preserve">Когато </w:t>
      </w:r>
      <w:r w:rsidR="00D603F5" w:rsidRPr="001B0EA3">
        <w:rPr>
          <w:lang w:eastAsia="bg-BG"/>
        </w:rPr>
        <w:t xml:space="preserve">промяната е съществена по преценка на директора на дирекция КПП се изпълнява процедурата по </w:t>
      </w:r>
      <w:r w:rsidR="00D603F5" w:rsidRPr="001B0EA3">
        <w:rPr>
          <w:b/>
          <w:lang w:eastAsia="bg-BG"/>
        </w:rPr>
        <w:t xml:space="preserve">точка </w:t>
      </w:r>
      <w:r w:rsidR="00D603F5" w:rsidRPr="001B0EA3">
        <w:rPr>
          <w:b/>
          <w:lang w:eastAsia="bg-BG"/>
        </w:rPr>
        <w:fldChar w:fldCharType="begin"/>
      </w:r>
      <w:r w:rsidR="00D603F5" w:rsidRPr="001B0EA3">
        <w:rPr>
          <w:b/>
          <w:lang w:eastAsia="bg-BG"/>
        </w:rPr>
        <w:instrText xml:space="preserve"> REF _Ref407616981 \r \h  \* MERGEFORMAT </w:instrText>
      </w:r>
      <w:r w:rsidR="00D603F5" w:rsidRPr="001B0EA3">
        <w:rPr>
          <w:b/>
          <w:lang w:eastAsia="bg-BG"/>
        </w:rPr>
      </w:r>
      <w:r w:rsidR="00D603F5" w:rsidRPr="001B0EA3">
        <w:rPr>
          <w:b/>
          <w:lang w:eastAsia="bg-BG"/>
        </w:rPr>
        <w:fldChar w:fldCharType="separate"/>
      </w:r>
      <w:r w:rsidR="00F22141">
        <w:rPr>
          <w:b/>
          <w:lang w:eastAsia="bg-BG"/>
        </w:rPr>
        <w:t>17.3.1</w:t>
      </w:r>
      <w:r w:rsidR="00D603F5" w:rsidRPr="001B0EA3">
        <w:rPr>
          <w:b/>
          <w:lang w:eastAsia="bg-BG"/>
        </w:rPr>
        <w:fldChar w:fldCharType="end"/>
      </w:r>
      <w:r w:rsidR="00D603F5" w:rsidRPr="001B0EA3">
        <w:rPr>
          <w:b/>
          <w:lang w:eastAsia="bg-BG"/>
        </w:rPr>
        <w:t xml:space="preserve"> подточка </w:t>
      </w:r>
      <w:r w:rsidR="00D603F5" w:rsidRPr="001B0EA3">
        <w:rPr>
          <w:b/>
          <w:lang w:eastAsia="bg-BG"/>
        </w:rPr>
        <w:fldChar w:fldCharType="begin"/>
      </w:r>
      <w:r w:rsidR="00D603F5" w:rsidRPr="001B0EA3">
        <w:rPr>
          <w:b/>
          <w:lang w:eastAsia="bg-BG"/>
        </w:rPr>
        <w:instrText xml:space="preserve"> REF _Ref407617253 \r \h  \* MERGEFORMAT </w:instrText>
      </w:r>
      <w:r w:rsidR="00D603F5" w:rsidRPr="001B0EA3">
        <w:rPr>
          <w:b/>
          <w:lang w:eastAsia="bg-BG"/>
        </w:rPr>
      </w:r>
      <w:r w:rsidR="00D603F5" w:rsidRPr="001B0EA3">
        <w:rPr>
          <w:b/>
          <w:lang w:eastAsia="bg-BG"/>
        </w:rPr>
        <w:fldChar w:fldCharType="separate"/>
      </w:r>
      <w:r w:rsidR="00F22141">
        <w:rPr>
          <w:b/>
          <w:lang w:eastAsia="bg-BG"/>
        </w:rPr>
        <w:t>1)</w:t>
      </w:r>
      <w:r w:rsidR="00D603F5" w:rsidRPr="001B0EA3">
        <w:rPr>
          <w:b/>
          <w:lang w:eastAsia="bg-BG"/>
        </w:rPr>
        <w:fldChar w:fldCharType="end"/>
      </w:r>
      <w:r w:rsidR="00D603F5" w:rsidRPr="001B0EA3">
        <w:rPr>
          <w:b/>
          <w:lang w:eastAsia="bg-BG"/>
        </w:rPr>
        <w:t xml:space="preserve">, </w:t>
      </w:r>
      <w:r w:rsidR="00D603F5" w:rsidRPr="001B0EA3">
        <w:rPr>
          <w:lang w:eastAsia="bg-BG"/>
        </w:rPr>
        <w:t xml:space="preserve">чрез сформиране на работна група. </w:t>
      </w:r>
    </w:p>
    <w:p w14:paraId="75B41381" w14:textId="4B2C889D" w:rsidR="00D603F5" w:rsidRPr="001B0EA3" w:rsidRDefault="00D603F5" w:rsidP="00CA7EA6">
      <w:pPr>
        <w:rPr>
          <w:lang w:eastAsia="bg-BG"/>
        </w:rPr>
      </w:pPr>
      <w:r w:rsidRPr="001B0EA3">
        <w:rPr>
          <w:lang w:eastAsia="bg-BG"/>
        </w:rPr>
        <w:t xml:space="preserve">Промените на Насоките по ОПТТИ се съгласуват от началника на отдел „Програмиране“ в дирекция КПП и директора на дирекция КПП </w:t>
      </w:r>
      <w:r w:rsidR="00740770" w:rsidRPr="001B0EA3">
        <w:rPr>
          <w:lang w:eastAsia="bg-BG"/>
        </w:rPr>
        <w:t>(</w:t>
      </w:r>
      <w:r w:rsidR="00740770" w:rsidRPr="001B0EA3">
        <w:rPr>
          <w:i/>
          <w:lang w:eastAsia="bg-BG"/>
        </w:rPr>
        <w:t>не е приложимо когато директорът е и ръководител на УО</w:t>
      </w:r>
      <w:r w:rsidR="00740770" w:rsidRPr="001B0EA3">
        <w:rPr>
          <w:lang w:eastAsia="bg-BG"/>
        </w:rPr>
        <w:t xml:space="preserve">) </w:t>
      </w:r>
      <w:r w:rsidRPr="001B0EA3">
        <w:rPr>
          <w:lang w:eastAsia="bg-BG"/>
        </w:rPr>
        <w:t>и се одобряват от Ръководителя на УО на ОПТТИ.</w:t>
      </w:r>
      <w:r w:rsidRPr="001B0EA3">
        <w:t xml:space="preserve"> </w:t>
      </w:r>
      <w:r w:rsidRPr="001B0EA3">
        <w:rPr>
          <w:lang w:eastAsia="bg-BG"/>
        </w:rPr>
        <w:t xml:space="preserve">Актуалните Насоки </w:t>
      </w:r>
      <w:r w:rsidR="0049797C" w:rsidRPr="001B0EA3">
        <w:rPr>
          <w:lang w:eastAsia="bg-BG"/>
        </w:rPr>
        <w:t xml:space="preserve">по </w:t>
      </w:r>
      <w:r w:rsidR="00D15E09" w:rsidRPr="001B0EA3">
        <w:rPr>
          <w:lang w:eastAsia="bg-BG"/>
        </w:rPr>
        <w:t>ОПТТИ</w:t>
      </w:r>
      <w:r w:rsidRPr="001B0EA3">
        <w:rPr>
          <w:lang w:eastAsia="bg-BG"/>
        </w:rPr>
        <w:t xml:space="preserve"> се предоставят на бенефициентите, като се публикуват на страницата на ОПТТИ от</w:t>
      </w:r>
      <w:r w:rsidR="006E704A">
        <w:rPr>
          <w:lang w:eastAsia="bg-BG"/>
        </w:rPr>
        <w:t xml:space="preserve"> отговорните експерти от </w:t>
      </w:r>
      <w:r w:rsidR="006E704A" w:rsidRPr="007434B0">
        <w:rPr>
          <w:lang w:eastAsia="bg-BG"/>
        </w:rPr>
        <w:t xml:space="preserve">отдел </w:t>
      </w:r>
      <w:r w:rsidR="006E704A" w:rsidRPr="007434B0">
        <w:t>„Информация, публичност и техническа помощ”</w:t>
      </w:r>
      <w:r w:rsidRPr="007434B0">
        <w:rPr>
          <w:lang w:eastAsia="bg-BG"/>
        </w:rPr>
        <w:t>по резолюция на началника на отдела</w:t>
      </w:r>
      <w:r w:rsidRPr="007434B0">
        <w:t xml:space="preserve">. </w:t>
      </w:r>
      <w:r w:rsidRPr="007434B0">
        <w:rPr>
          <w:lang w:eastAsia="bg-BG"/>
        </w:rPr>
        <w:t>При публикуването на актуалните</w:t>
      </w:r>
      <w:r w:rsidRPr="001B0EA3">
        <w:rPr>
          <w:lang w:eastAsia="bg-BG"/>
        </w:rPr>
        <w:t xml:space="preserve"> Насоки по ОПТТИ по-старите версии се архивират, така че да е ясно различим актуалния документ от предишните му версии.</w:t>
      </w:r>
    </w:p>
    <w:p w14:paraId="185D2358" w14:textId="77777777" w:rsidR="00D603F5" w:rsidRPr="001B0EA3" w:rsidRDefault="00D603F5" w:rsidP="00890B4B">
      <w:pPr>
        <w:rPr>
          <w:szCs w:val="24"/>
          <w:lang w:eastAsia="bg-BG"/>
        </w:rPr>
      </w:pPr>
    </w:p>
    <w:p w14:paraId="4821949A" w14:textId="77777777" w:rsidR="00D603F5" w:rsidRPr="001B0EA3" w:rsidRDefault="00D603F5" w:rsidP="00B502C7">
      <w:pPr>
        <w:pStyle w:val="Style2"/>
        <w:rPr>
          <w:lang w:eastAsia="bg-BG"/>
        </w:rPr>
      </w:pPr>
      <w:bookmarkStart w:id="540" w:name="_Toc479775631"/>
      <w:bookmarkStart w:id="541" w:name="_Toc140150209"/>
      <w:r w:rsidRPr="001B0EA3">
        <w:rPr>
          <w:lang w:eastAsia="bg-BG"/>
        </w:rPr>
        <w:t>Формуляри за кандидатстване</w:t>
      </w:r>
      <w:bookmarkEnd w:id="540"/>
      <w:bookmarkEnd w:id="541"/>
    </w:p>
    <w:p w14:paraId="4B4EA32C" w14:textId="77777777" w:rsidR="00D603F5" w:rsidRPr="001B0EA3" w:rsidRDefault="00D603F5" w:rsidP="00346F28">
      <w:pPr>
        <w:pStyle w:val="Style3"/>
        <w:rPr>
          <w:lang w:eastAsia="bg-BG"/>
        </w:rPr>
      </w:pPr>
      <w:bookmarkStart w:id="542" w:name="_Toc479775632"/>
      <w:r w:rsidRPr="001B0EA3">
        <w:rPr>
          <w:lang w:eastAsia="bg-BG"/>
        </w:rPr>
        <w:t>Видове формуляри за кандидатстване</w:t>
      </w:r>
      <w:bookmarkEnd w:id="542"/>
    </w:p>
    <w:p w14:paraId="22D6B6E9" w14:textId="77777777" w:rsidR="00193C08" w:rsidRPr="001B0EA3" w:rsidRDefault="00193C08" w:rsidP="00CA7EA6">
      <w:r w:rsidRPr="001B0EA3">
        <w:t>За всички процедури за предоставяне на БФП, Управляващият орган създава формуляр за кандидатстване в модул „Процедури“ на ИСУН 2020. Не се допуска дадена процедура да позволява кандидатстване чрез използването на формуляр, които не е наличен в ИСУН 2020. В модул „Процедури“ Управляващият орган оформя следните раздели от формуляра за кандидатстване:</w:t>
      </w:r>
    </w:p>
    <w:p w14:paraId="2233E003" w14:textId="77777777" w:rsidR="00D603F5" w:rsidRPr="001B0EA3" w:rsidRDefault="00D603F5" w:rsidP="00CA7EA6">
      <w:r w:rsidRPr="001B0EA3">
        <w:t>Кандидатстването на проектни предложения за финансиране по ОПТТИ се осъ</w:t>
      </w:r>
      <w:r w:rsidR="003305BF" w:rsidRPr="001B0EA3">
        <w:t>ществява посредством попълнен ФК</w:t>
      </w:r>
      <w:r w:rsidRPr="001B0EA3">
        <w:t xml:space="preserve">, </w:t>
      </w:r>
      <w:r w:rsidR="00E40779" w:rsidRPr="001B0EA3">
        <w:t>изготвен</w:t>
      </w:r>
      <w:r w:rsidRPr="001B0EA3">
        <w:t xml:space="preserve"> съгласно изискванията на Модул „Е-кандидатстване“, Под-модул „Проектни предложения” на ИСУН 2020 и в съответствие с Насоките за кандидатстване  по ОПТТИ. Всички полета с данни на ФК/ФП трябва да бъдат коректно попълнени от бенефициента в съответствие с указанията посочени в Насоките за кандидатстване по ОПТТИ и изискванията за попълване на ФК/ФП.</w:t>
      </w:r>
    </w:p>
    <w:p w14:paraId="3B25A4FD" w14:textId="77777777" w:rsidR="00D603F5" w:rsidRPr="001B0EA3" w:rsidRDefault="00D603F5" w:rsidP="00CA7EA6">
      <w:pPr>
        <w:pStyle w:val="ListParagraph"/>
        <w:numPr>
          <w:ilvl w:val="0"/>
          <w:numId w:val="342"/>
        </w:numPr>
        <w:ind w:left="0" w:firstLine="851"/>
      </w:pPr>
      <w:bookmarkStart w:id="543" w:name="_Ref395878515"/>
      <w:r w:rsidRPr="001B0EA3">
        <w:t xml:space="preserve">За проектни предложения: </w:t>
      </w:r>
    </w:p>
    <w:p w14:paraId="2E3745D8" w14:textId="77777777" w:rsidR="00D603F5" w:rsidRPr="001B0EA3" w:rsidRDefault="00D603F5" w:rsidP="00396476">
      <w:pPr>
        <w:pStyle w:val="ListParagraph"/>
        <w:numPr>
          <w:ilvl w:val="1"/>
          <w:numId w:val="343"/>
        </w:numPr>
        <w:ind w:left="0" w:firstLine="1418"/>
      </w:pPr>
      <w:bookmarkStart w:id="544" w:name="_Ref409704275"/>
      <w:bookmarkEnd w:id="543"/>
      <w:r w:rsidRPr="001B0EA3">
        <w:t>За „големи проекти“ (</w:t>
      </w:r>
      <w:r w:rsidRPr="00CA7EA6">
        <w:rPr>
          <w:i/>
        </w:rPr>
        <w:t>с обща стойност на допустимите разходи над 75 млн. евро - по тематична цел 7 и над 50 млн. евро - по тематична цел 4</w:t>
      </w:r>
      <w:r w:rsidRPr="001B0EA3">
        <w:t>) се подават във формата, приет от Европейската комисия, съгласно чл. 101 от Регламент (ЕС) № 1303/2013</w:t>
      </w:r>
      <w:bookmarkEnd w:id="544"/>
      <w:r w:rsidR="00127C89" w:rsidRPr="001B0EA3">
        <w:t xml:space="preserve"> г.</w:t>
      </w:r>
      <w:r w:rsidR="00435E25" w:rsidRPr="001B0EA3">
        <w:t xml:space="preserve"> Образец на формуляра за кандидатстване е даден в Приложение № ІІ  „Формат за подаване на информация относно голям проект“ на Регламент за изпълнение (ЕС) № 207/2015 г. Този попълнен формуляр за кандидатстване за „голям проект“ се прилага като приложение към стандартния образец, попълнен в ИСУН 2020.</w:t>
      </w:r>
    </w:p>
    <w:p w14:paraId="197F3155" w14:textId="77777777" w:rsidR="00D603F5" w:rsidRPr="001B0EA3" w:rsidRDefault="00D603F5" w:rsidP="00396476">
      <w:pPr>
        <w:pStyle w:val="ListParagraph"/>
        <w:numPr>
          <w:ilvl w:val="1"/>
          <w:numId w:val="343"/>
        </w:numPr>
        <w:ind w:left="0" w:firstLine="1418"/>
      </w:pPr>
      <w:r w:rsidRPr="001B0EA3">
        <w:t xml:space="preserve">За инвестиционни/инфраструктурни проекти с обща стойност на допустимите разходи под 75 млн. евро (по тематична цел 7) и над 50млн. евро (по тематична цел 4) също се използва ФК за „големи проекти“ по </w:t>
      </w:r>
      <w:r w:rsidR="00DC1082" w:rsidRPr="00396476">
        <w:rPr>
          <w:b/>
        </w:rPr>
        <w:t>под</w:t>
      </w:r>
      <w:r w:rsidR="00480AEF" w:rsidRPr="00396476">
        <w:rPr>
          <w:b/>
        </w:rPr>
        <w:t>точка</w:t>
      </w:r>
      <w:r w:rsidR="00DC1082" w:rsidRPr="00396476">
        <w:rPr>
          <w:b/>
        </w:rPr>
        <w:t xml:space="preserve"> </w:t>
      </w:r>
      <w:r w:rsidRPr="00396476">
        <w:rPr>
          <w:b/>
        </w:rPr>
        <w:fldChar w:fldCharType="begin"/>
      </w:r>
      <w:r w:rsidRPr="00396476">
        <w:rPr>
          <w:b/>
        </w:rPr>
        <w:instrText xml:space="preserve"> REF _Ref409704275 \r \h </w:instrText>
      </w:r>
      <w:r w:rsidR="004A494A" w:rsidRPr="00396476">
        <w:rPr>
          <w:b/>
        </w:rPr>
        <w:instrText xml:space="preserve"> \* MERGEFORMAT </w:instrText>
      </w:r>
      <w:r w:rsidRPr="00396476">
        <w:rPr>
          <w:b/>
        </w:rPr>
      </w:r>
      <w:r w:rsidRPr="00396476">
        <w:rPr>
          <w:b/>
        </w:rPr>
        <w:fldChar w:fldCharType="separate"/>
      </w:r>
      <w:r w:rsidR="00F22141">
        <w:rPr>
          <w:b/>
        </w:rPr>
        <w:t>1.1)</w:t>
      </w:r>
      <w:r w:rsidRPr="00396476">
        <w:rPr>
          <w:b/>
        </w:rPr>
        <w:fldChar w:fldCharType="end"/>
      </w:r>
      <w:r w:rsidRPr="001B0EA3">
        <w:t xml:space="preserve">. За инвестиционни/ инфраструктурни проекти с обща стойност на допустимите разходи под 75 млн. евро в Насоките за кандидатстване по ОПТТИ могат да се предвидят задължителната и незадължителната информация/ приложения/ полета от ФК за „голям проект“ </w:t>
      </w:r>
    </w:p>
    <w:p w14:paraId="3F9456C1" w14:textId="77777777" w:rsidR="00D603F5" w:rsidRPr="001B0EA3" w:rsidRDefault="00D603F5" w:rsidP="00CA7EA6">
      <w:pPr>
        <w:pStyle w:val="ListParagraph"/>
        <w:numPr>
          <w:ilvl w:val="0"/>
          <w:numId w:val="342"/>
        </w:numPr>
        <w:ind w:left="0" w:firstLine="851"/>
      </w:pPr>
      <w:r w:rsidRPr="001B0EA3">
        <w:t xml:space="preserve">За проектни предложения </w:t>
      </w:r>
      <w:r w:rsidRPr="00CA7EA6">
        <w:t xml:space="preserve">по </w:t>
      </w:r>
      <w:r w:rsidRPr="00CA7EA6">
        <w:rPr>
          <w:b/>
        </w:rPr>
        <w:t>Приоритетна ос 5 „Техническа помощ” на ОПТТИ и за техническа помощ за подготовка на инвестиционни проекти</w:t>
      </w:r>
      <w:r w:rsidRPr="001B0EA3">
        <w:t xml:space="preserve"> се използва ФК съгласно утвърден образец от министър-председателят по управление на средствата от ЕС, който може да бъде допълнен от УО на ОПТТИ с изискуема информация за проекти по ОПТТИ. В раздел „Допълнителна информация необходима за оценка на проектното предложение“ УО на ОПТТИ може да създава неограничен на брой текстови полета с конкретни изисквания.</w:t>
      </w:r>
    </w:p>
    <w:p w14:paraId="38D111E4" w14:textId="77777777" w:rsidR="00D603F5" w:rsidRPr="001B0EA3" w:rsidRDefault="00D603F5" w:rsidP="00CA7EA6">
      <w:pPr>
        <w:pStyle w:val="ListParagraph"/>
        <w:numPr>
          <w:ilvl w:val="0"/>
          <w:numId w:val="342"/>
        </w:numPr>
        <w:ind w:left="0" w:firstLine="851"/>
      </w:pPr>
      <w:r w:rsidRPr="00CA7EA6">
        <w:rPr>
          <w:b/>
        </w:rPr>
        <w:t>Бюджетни линии:</w:t>
      </w:r>
      <w:r w:rsidRPr="001B0EA3">
        <w:t xml:space="preserve"> За проектни предложения за обезпечаване на дейностите на бенефициентите по ОПТТИ по програмиране, наблюдение, управление, контрол, </w:t>
      </w:r>
      <w:r w:rsidRPr="001B0EA3">
        <w:lastRenderedPageBreak/>
        <w:t xml:space="preserve">координация, сертифициране, както и дейности по одит и оценка на усвоените средства от определените средства за техническа помощ, финансирани чрез ЕФРР и КФ на ЕС за програмен период 2014-2020 г. може да се предоставя финансова помощ чрез </w:t>
      </w:r>
      <w:r w:rsidRPr="00CA7EA6">
        <w:rPr>
          <w:b/>
        </w:rPr>
        <w:t>бюджетна линия</w:t>
      </w:r>
      <w:r w:rsidRPr="001B0EA3">
        <w:t xml:space="preserve">. В този случай се използва образец на финансов план за предоставяне на финансова помощ чрез бюджетна линия от утвърден </w:t>
      </w:r>
      <w:r w:rsidR="00347556" w:rsidRPr="001B0EA3">
        <w:t>със заповед № ЗМФ-53/21.01.2016 г. на</w:t>
      </w:r>
      <w:r w:rsidRPr="001B0EA3">
        <w:t xml:space="preserve"> министъра на финансите. </w:t>
      </w:r>
    </w:p>
    <w:p w14:paraId="47A82142" w14:textId="77777777" w:rsidR="00D603F5" w:rsidRPr="001B0EA3" w:rsidRDefault="00347556" w:rsidP="00CA7EA6">
      <w:r w:rsidRPr="001B0EA3">
        <w:rPr>
          <w:i/>
        </w:rPr>
        <w:t>Забележка</w:t>
      </w:r>
      <w:r w:rsidR="00D603F5" w:rsidRPr="001B0EA3">
        <w:rPr>
          <w:i/>
        </w:rPr>
        <w:t>:</w:t>
      </w:r>
      <w:r w:rsidR="00D603F5" w:rsidRPr="001B0EA3">
        <w:t xml:space="preserve"> Всички документи се представят на български език, а в случаите на проектните предложения за „голям проект“ и в превод на английски език. </w:t>
      </w:r>
    </w:p>
    <w:p w14:paraId="1810BB1E" w14:textId="77777777" w:rsidR="00D603F5" w:rsidRPr="001B0EA3" w:rsidRDefault="00D603F5" w:rsidP="00CA7EA6">
      <w:pPr>
        <w:rPr>
          <w:szCs w:val="24"/>
          <w:lang w:eastAsia="bg-BG"/>
        </w:rPr>
      </w:pPr>
    </w:p>
    <w:p w14:paraId="54E73514" w14:textId="77777777" w:rsidR="00D603F5" w:rsidRPr="001B0EA3" w:rsidRDefault="00D603F5" w:rsidP="00346F28">
      <w:pPr>
        <w:pStyle w:val="Style3"/>
        <w:rPr>
          <w:lang w:eastAsia="bg-BG"/>
        </w:rPr>
      </w:pPr>
      <w:bookmarkStart w:id="545" w:name="_Toc479775633"/>
      <w:r w:rsidRPr="001B0EA3">
        <w:rPr>
          <w:lang w:eastAsia="bg-BG"/>
        </w:rPr>
        <w:t>Съдържание на формулярите за кандидатстване</w:t>
      </w:r>
      <w:bookmarkEnd w:id="545"/>
    </w:p>
    <w:p w14:paraId="44EC2F89" w14:textId="77777777" w:rsidR="00D603F5" w:rsidRPr="001B0EA3" w:rsidRDefault="00D603F5" w:rsidP="008265BE">
      <w:pPr>
        <w:rPr>
          <w:lang w:eastAsia="bg-BG"/>
        </w:rPr>
      </w:pPr>
      <w:r w:rsidRPr="001B0EA3">
        <w:rPr>
          <w:lang w:eastAsia="bg-BG"/>
        </w:rPr>
        <w:t>УО на ОПТТИ трябва да гарантира, че информацията, изискана от кандидатите е в съответствие с това, което е необходимо и е адекватно използвана за оценката на проектите. ФК се попълва в съответствие с изискванията, както е посочено в Насоките за кандидатстване</w:t>
      </w:r>
      <w:r w:rsidRPr="001B0EA3">
        <w:t xml:space="preserve"> </w:t>
      </w:r>
      <w:r w:rsidRPr="001B0EA3">
        <w:rPr>
          <w:lang w:eastAsia="bg-BG"/>
        </w:rPr>
        <w:t>по ОПТТИ.</w:t>
      </w:r>
      <w:r w:rsidRPr="001B0EA3">
        <w:rPr>
          <w:lang w:eastAsia="bg-BG"/>
        </w:rPr>
        <w:tab/>
      </w:r>
    </w:p>
    <w:p w14:paraId="33E86A7F" w14:textId="77777777" w:rsidR="00D603F5" w:rsidRPr="001B0EA3" w:rsidRDefault="00D603F5" w:rsidP="008265BE">
      <w:pPr>
        <w:pStyle w:val="ListParagraph"/>
        <w:numPr>
          <w:ilvl w:val="0"/>
          <w:numId w:val="344"/>
        </w:numPr>
        <w:ind w:left="0" w:firstLine="851"/>
      </w:pPr>
      <w:r w:rsidRPr="008265BE">
        <w:rPr>
          <w:b/>
        </w:rPr>
        <w:t>ФК за големи проекти</w:t>
      </w:r>
      <w:r w:rsidRPr="001B0EA3">
        <w:t xml:space="preserve"> по смисъла на чл. 100 от Регламент (ЕС) № 1303/2013 се подават във формата, приет от Европейската комисия съгласно чл. 101 от Регламент (ЕС) № 1303/2013 г. и се попълва в съответствие с указанията в Насоките за кандидатстване  по ОПТТИ. </w:t>
      </w:r>
      <w:r w:rsidR="00EC6EE9" w:rsidRPr="001B0EA3">
        <w:t xml:space="preserve">Образец на формуляра за кандидатстване е даден в Приложение № ІІ  „Формат за подаване на информация относно голям проект“ на Регламент за изпълнение (ЕС) № 207/2015 г. Този попълнен формуляр за кандидатстване за „голям проект“ се прилага като приложение към стандартния образец, попълнен в ИСУН 2020. </w:t>
      </w:r>
      <w:r w:rsidRPr="001B0EA3">
        <w:t xml:space="preserve">ФК за големи проекти се подават като формата, приет от Европейската комисия се прилага към попълнения ФК в системата ИСУН 2020, съгласно изискванията на Модул „Е-кандидатстване“, Под-модул „Проектни предложения” на ИСУН 2020. </w:t>
      </w:r>
    </w:p>
    <w:p w14:paraId="764A47CD" w14:textId="77777777" w:rsidR="00D603F5" w:rsidRPr="001B0EA3" w:rsidRDefault="00D603F5" w:rsidP="008265BE">
      <w:r w:rsidRPr="001B0EA3">
        <w:rPr>
          <w:b/>
        </w:rPr>
        <w:t>ФК за големи проекти</w:t>
      </w:r>
      <w:r w:rsidRPr="001B0EA3">
        <w:t xml:space="preserve"> съдържа основно следните данни:</w:t>
      </w:r>
    </w:p>
    <w:p w14:paraId="1AB1701F" w14:textId="77777777" w:rsidR="00D603F5" w:rsidRPr="001B0EA3" w:rsidRDefault="009C1072" w:rsidP="008265BE">
      <w:pPr>
        <w:pStyle w:val="ListParagraph"/>
        <w:numPr>
          <w:ilvl w:val="0"/>
          <w:numId w:val="345"/>
        </w:numPr>
        <w:ind w:left="0" w:firstLine="1211"/>
        <w:rPr>
          <w:lang w:eastAsia="bg-BG"/>
        </w:rPr>
      </w:pPr>
      <w:r w:rsidRPr="001B0EA3">
        <w:rPr>
          <w:lang w:eastAsia="bg-BG"/>
        </w:rPr>
        <w:t xml:space="preserve">Раздел А Структура отговаряща за изпълнението на „големия проект“ и нейния капацитет (УО на ОПТТИ и бенефициента); </w:t>
      </w:r>
    </w:p>
    <w:p w14:paraId="2427176D" w14:textId="77777777" w:rsidR="00D603F5" w:rsidRPr="001B0EA3" w:rsidRDefault="009C1072" w:rsidP="008265BE">
      <w:pPr>
        <w:pStyle w:val="ListParagraph"/>
        <w:numPr>
          <w:ilvl w:val="0"/>
          <w:numId w:val="345"/>
        </w:numPr>
        <w:ind w:left="0" w:firstLine="1211"/>
        <w:rPr>
          <w:lang w:eastAsia="bg-BG"/>
        </w:rPr>
      </w:pPr>
      <w:r w:rsidRPr="001B0EA3">
        <w:rPr>
          <w:lang w:eastAsia="bg-BG"/>
        </w:rPr>
        <w:t>Раздел Б: Описание на инвестицията и нейното местоположение; обяснение на това по какъв начин тя е съгласувана със съответните приоритетни оси на въпросната(ите) оперативна(и) програма(и) и по какъв начин се очаква тя да допринесе за постигането на специфичните цели на тези приоритетни оси и за социално-икономическото развитие;</w:t>
      </w:r>
    </w:p>
    <w:p w14:paraId="0ABA72FD" w14:textId="77777777" w:rsidR="00D603F5" w:rsidRPr="001B0EA3" w:rsidRDefault="009C1072" w:rsidP="008265BE">
      <w:pPr>
        <w:pStyle w:val="ListParagraph"/>
        <w:numPr>
          <w:ilvl w:val="0"/>
          <w:numId w:val="345"/>
        </w:numPr>
        <w:ind w:left="0" w:firstLine="1211"/>
        <w:rPr>
          <w:lang w:eastAsia="bg-BG"/>
        </w:rPr>
      </w:pPr>
      <w:r w:rsidRPr="001B0EA3">
        <w:rPr>
          <w:lang w:eastAsia="bg-BG"/>
        </w:rPr>
        <w:t xml:space="preserve">Раздел В Всичко разходи и всичко допустими разходи; </w:t>
      </w:r>
    </w:p>
    <w:p w14:paraId="2DDA04D7" w14:textId="77777777" w:rsidR="00D603F5" w:rsidRPr="001B0EA3" w:rsidRDefault="009C1072" w:rsidP="008265BE">
      <w:pPr>
        <w:pStyle w:val="ListParagraph"/>
        <w:numPr>
          <w:ilvl w:val="0"/>
          <w:numId w:val="345"/>
        </w:numPr>
        <w:ind w:left="0" w:firstLine="1211"/>
        <w:rPr>
          <w:lang w:eastAsia="bg-BG"/>
        </w:rPr>
      </w:pPr>
      <w:r w:rsidRPr="001B0EA3">
        <w:rPr>
          <w:lang w:eastAsia="bg-BG"/>
        </w:rPr>
        <w:t>Раздел Г Извършени предпроектни проучвания, включително анализ на вариантите на действие, и съответните резултати;</w:t>
      </w:r>
    </w:p>
    <w:p w14:paraId="1FF87709" w14:textId="77777777" w:rsidR="00D603F5" w:rsidRPr="001B0EA3" w:rsidRDefault="009C1072" w:rsidP="008265BE">
      <w:pPr>
        <w:pStyle w:val="ListParagraph"/>
        <w:numPr>
          <w:ilvl w:val="0"/>
          <w:numId w:val="345"/>
        </w:numPr>
        <w:ind w:left="0" w:firstLine="1211"/>
        <w:rPr>
          <w:lang w:eastAsia="bg-BG"/>
        </w:rPr>
      </w:pPr>
      <w:r w:rsidRPr="001B0EA3">
        <w:rPr>
          <w:lang w:eastAsia="bg-BG"/>
        </w:rPr>
        <w:t xml:space="preserve">Раздел Д Анализ на разходите и ползите, включително финансов и икономически анализ, и оценка на риска; </w:t>
      </w:r>
    </w:p>
    <w:p w14:paraId="19FB6053" w14:textId="77777777" w:rsidR="00D603F5" w:rsidRPr="001B0EA3" w:rsidRDefault="009C1072" w:rsidP="008265BE">
      <w:pPr>
        <w:pStyle w:val="ListParagraph"/>
        <w:numPr>
          <w:ilvl w:val="0"/>
          <w:numId w:val="345"/>
        </w:numPr>
        <w:ind w:left="0" w:firstLine="1211"/>
        <w:rPr>
          <w:lang w:eastAsia="bg-BG"/>
        </w:rPr>
      </w:pPr>
      <w:r w:rsidRPr="001B0EA3">
        <w:rPr>
          <w:lang w:eastAsia="bg-BG"/>
        </w:rPr>
        <w:t>Раздел Е Анализ на въздействието върху околната среда, при отчитане на нуждата от приспособяване към изменението на климата и смекчаване на последиците от него, и устойчивостта на бедствия;</w:t>
      </w:r>
    </w:p>
    <w:p w14:paraId="5BAB11A3" w14:textId="77777777" w:rsidR="00D603F5" w:rsidRPr="001B0EA3" w:rsidRDefault="00D603F5" w:rsidP="008265BE">
      <w:pPr>
        <w:pStyle w:val="ListParagraph"/>
        <w:numPr>
          <w:ilvl w:val="0"/>
          <w:numId w:val="345"/>
        </w:numPr>
        <w:ind w:left="0" w:firstLine="1211"/>
        <w:rPr>
          <w:lang w:eastAsia="bg-BG"/>
        </w:rPr>
      </w:pPr>
      <w:r w:rsidRPr="001B0EA3">
        <w:rPr>
          <w:lang w:eastAsia="bg-BG"/>
        </w:rPr>
        <w:t xml:space="preserve">Раздел </w:t>
      </w:r>
      <w:r w:rsidR="009C1072" w:rsidRPr="001B0EA3">
        <w:rPr>
          <w:lang w:eastAsia="bg-BG"/>
        </w:rPr>
        <w:t>Ж</w:t>
      </w:r>
      <w:r w:rsidRPr="001B0EA3">
        <w:rPr>
          <w:lang w:eastAsia="bg-BG"/>
        </w:rPr>
        <w:t xml:space="preserve"> </w:t>
      </w:r>
      <w:r w:rsidR="009C1072" w:rsidRPr="001B0EA3">
        <w:rPr>
          <w:lang w:eastAsia="bg-BG"/>
        </w:rPr>
        <w:t>Плана за финансиране, уточняващ общия размер на планираните финансови ресурси и планираната подкрепа от фондовете, ЕИБ и всички други източници на финансиране, както и физическите и финансовите показатели за мониторинг на напредъка, при отчитане на идентифицираните рискове;</w:t>
      </w:r>
    </w:p>
    <w:p w14:paraId="4CD090FA" w14:textId="77777777" w:rsidR="00D603F5" w:rsidRPr="001B0EA3" w:rsidRDefault="00D603F5" w:rsidP="008265BE">
      <w:pPr>
        <w:pStyle w:val="ListParagraph"/>
        <w:numPr>
          <w:ilvl w:val="0"/>
          <w:numId w:val="345"/>
        </w:numPr>
        <w:ind w:left="0" w:firstLine="1211"/>
        <w:rPr>
          <w:lang w:eastAsia="bg-BG"/>
        </w:rPr>
      </w:pPr>
      <w:r w:rsidRPr="001B0EA3">
        <w:rPr>
          <w:lang w:eastAsia="bg-BG"/>
        </w:rPr>
        <w:t xml:space="preserve">Раздел </w:t>
      </w:r>
      <w:r w:rsidR="009C1072" w:rsidRPr="001B0EA3">
        <w:rPr>
          <w:lang w:eastAsia="bg-BG"/>
        </w:rPr>
        <w:t>З</w:t>
      </w:r>
      <w:r w:rsidRPr="001B0EA3">
        <w:rPr>
          <w:lang w:eastAsia="bg-BG"/>
        </w:rPr>
        <w:t xml:space="preserve"> </w:t>
      </w:r>
      <w:r w:rsidR="009C1072" w:rsidRPr="001B0EA3">
        <w:rPr>
          <w:lang w:eastAsia="bg-BG"/>
        </w:rPr>
        <w:t>График за изпълнението на големия проект</w:t>
      </w:r>
      <w:r w:rsidRPr="001B0EA3">
        <w:rPr>
          <w:lang w:eastAsia="bg-BG"/>
        </w:rPr>
        <w:t>;</w:t>
      </w:r>
    </w:p>
    <w:p w14:paraId="78569CD6" w14:textId="77777777" w:rsidR="00D603F5" w:rsidRPr="001B0EA3" w:rsidRDefault="00D603F5" w:rsidP="008265BE">
      <w:pPr>
        <w:pStyle w:val="ListParagraph"/>
        <w:numPr>
          <w:ilvl w:val="0"/>
          <w:numId w:val="345"/>
        </w:numPr>
        <w:ind w:left="0" w:firstLine="1211"/>
        <w:rPr>
          <w:lang w:eastAsia="bg-BG"/>
        </w:rPr>
      </w:pPr>
      <w:r w:rsidRPr="001B0EA3">
        <w:rPr>
          <w:lang w:eastAsia="bg-BG"/>
        </w:rPr>
        <w:t xml:space="preserve">Раздел </w:t>
      </w:r>
      <w:r w:rsidR="009C1072" w:rsidRPr="001B0EA3">
        <w:rPr>
          <w:lang w:eastAsia="bg-BG"/>
        </w:rPr>
        <w:t>И</w:t>
      </w:r>
      <w:r w:rsidRPr="001B0EA3">
        <w:rPr>
          <w:lang w:eastAsia="bg-BG"/>
        </w:rPr>
        <w:t xml:space="preserve"> </w:t>
      </w:r>
      <w:r w:rsidR="009C1072" w:rsidRPr="001B0EA3">
        <w:rPr>
          <w:lang w:eastAsia="bg-BG"/>
        </w:rPr>
        <w:t>Подлежи ли проектът на правна процедура във връзка с неспазване на законодателството на Съюза</w:t>
      </w:r>
      <w:r w:rsidRPr="001B0EA3">
        <w:rPr>
          <w:lang w:eastAsia="bg-BG"/>
        </w:rPr>
        <w:t>;</w:t>
      </w:r>
    </w:p>
    <w:p w14:paraId="2DCBABAA" w14:textId="77777777" w:rsidR="00D603F5" w:rsidRPr="001B0EA3" w:rsidRDefault="00D603F5" w:rsidP="008265BE">
      <w:pPr>
        <w:pStyle w:val="ListParagraph"/>
        <w:numPr>
          <w:ilvl w:val="0"/>
          <w:numId w:val="345"/>
        </w:numPr>
        <w:ind w:left="0" w:firstLine="1211"/>
        <w:rPr>
          <w:lang w:eastAsia="bg-BG"/>
        </w:rPr>
      </w:pPr>
      <w:r w:rsidRPr="001B0EA3">
        <w:rPr>
          <w:lang w:eastAsia="bg-BG"/>
        </w:rPr>
        <w:t xml:space="preserve">Раздел </w:t>
      </w:r>
      <w:r w:rsidR="000218DD" w:rsidRPr="001B0EA3">
        <w:rPr>
          <w:lang w:eastAsia="bg-BG"/>
        </w:rPr>
        <w:t>Й</w:t>
      </w:r>
      <w:r w:rsidRPr="001B0EA3">
        <w:rPr>
          <w:lang w:eastAsia="bg-BG"/>
        </w:rPr>
        <w:t xml:space="preserve"> </w:t>
      </w:r>
      <w:r w:rsidR="000218DD" w:rsidRPr="001B0EA3">
        <w:rPr>
          <w:lang w:eastAsia="bg-BG"/>
        </w:rPr>
        <w:t>Предприятието било ли е подложено преди това или подложено ли е в момента на процедура</w:t>
      </w:r>
      <w:r w:rsidR="000218DD" w:rsidRPr="001B0EA3">
        <w:footnoteReference w:id="43"/>
      </w:r>
      <w:r w:rsidR="000218DD" w:rsidRPr="001B0EA3">
        <w:rPr>
          <w:lang w:eastAsia="bg-BG"/>
        </w:rPr>
        <w:t xml:space="preserve">  по възстановяване на помощ от съюза вследствие изнасянето на определена производствена дейност извън програмния район?</w:t>
      </w:r>
    </w:p>
    <w:p w14:paraId="79855E37" w14:textId="77777777" w:rsidR="00D603F5" w:rsidRPr="001B0EA3" w:rsidRDefault="00D603F5" w:rsidP="008265BE">
      <w:pPr>
        <w:pStyle w:val="ListParagraph"/>
        <w:numPr>
          <w:ilvl w:val="0"/>
          <w:numId w:val="345"/>
        </w:numPr>
        <w:ind w:left="0" w:firstLine="1211"/>
        <w:rPr>
          <w:lang w:eastAsia="bg-BG"/>
        </w:rPr>
      </w:pPr>
      <w:r w:rsidRPr="001B0EA3">
        <w:rPr>
          <w:lang w:eastAsia="bg-BG"/>
        </w:rPr>
        <w:lastRenderedPageBreak/>
        <w:t xml:space="preserve">Раздел K </w:t>
      </w:r>
      <w:r w:rsidR="000218DD" w:rsidRPr="001B0EA3">
        <w:rPr>
          <w:lang w:eastAsia="bg-BG"/>
        </w:rPr>
        <w:t>Участие на инструмента JASPERS („съвместна помощ за подкрепа на проекти в европейските региони“) в подготовката на проекта;</w:t>
      </w:r>
    </w:p>
    <w:p w14:paraId="0C7C4C6F" w14:textId="77777777" w:rsidR="00D603F5" w:rsidRPr="001B0EA3" w:rsidRDefault="00D603F5" w:rsidP="008265BE">
      <w:pPr>
        <w:pStyle w:val="ListParagraph"/>
        <w:numPr>
          <w:ilvl w:val="0"/>
          <w:numId w:val="345"/>
        </w:numPr>
        <w:ind w:left="0" w:firstLine="1211"/>
        <w:rPr>
          <w:lang w:eastAsia="bg-BG"/>
        </w:rPr>
      </w:pPr>
      <w:r w:rsidRPr="001B0EA3">
        <w:rPr>
          <w:lang w:eastAsia="bg-BG"/>
        </w:rPr>
        <w:t xml:space="preserve">Раздел </w:t>
      </w:r>
      <w:r w:rsidR="000218DD" w:rsidRPr="001B0EA3">
        <w:rPr>
          <w:lang w:eastAsia="bg-BG"/>
        </w:rPr>
        <w:t>Л</w:t>
      </w:r>
      <w:r w:rsidRPr="001B0EA3">
        <w:rPr>
          <w:lang w:eastAsia="bg-BG"/>
        </w:rPr>
        <w:t xml:space="preserve"> </w:t>
      </w:r>
      <w:r w:rsidR="000218DD" w:rsidRPr="001B0EA3">
        <w:rPr>
          <w:lang w:eastAsia="bg-BG"/>
        </w:rPr>
        <w:t>Статут на проекта във връзка с член 102 от регламент (ЕС) № 1303/2013 г.</w:t>
      </w:r>
      <w:r w:rsidRPr="001B0EA3">
        <w:rPr>
          <w:lang w:eastAsia="bg-BG"/>
        </w:rPr>
        <w:t>;</w:t>
      </w:r>
    </w:p>
    <w:p w14:paraId="178CF9E5" w14:textId="77777777" w:rsidR="00D603F5" w:rsidRPr="001B0EA3" w:rsidRDefault="00D603F5" w:rsidP="008265BE">
      <w:pPr>
        <w:pStyle w:val="ListParagraph"/>
        <w:numPr>
          <w:ilvl w:val="0"/>
          <w:numId w:val="345"/>
        </w:numPr>
        <w:ind w:left="0" w:firstLine="1211"/>
        <w:rPr>
          <w:lang w:eastAsia="bg-BG"/>
        </w:rPr>
      </w:pPr>
      <w:r w:rsidRPr="001B0EA3">
        <w:rPr>
          <w:lang w:eastAsia="bg-BG"/>
        </w:rPr>
        <w:t xml:space="preserve">Раздел M </w:t>
      </w:r>
      <w:r w:rsidR="000218DD" w:rsidRPr="001B0EA3">
        <w:rPr>
          <w:lang w:eastAsia="bg-BG"/>
        </w:rPr>
        <w:t>Обобщение на промените в заявлението, ако големият проект подлежи на изменение;</w:t>
      </w:r>
    </w:p>
    <w:p w14:paraId="165B892E" w14:textId="77777777" w:rsidR="00D603F5" w:rsidRPr="001B0EA3" w:rsidRDefault="00D603F5" w:rsidP="00890B4B">
      <w:pPr>
        <w:numPr>
          <w:ilvl w:val="0"/>
          <w:numId w:val="120"/>
        </w:numPr>
        <w:tabs>
          <w:tab w:val="clear" w:pos="851"/>
          <w:tab w:val="num" w:pos="1134"/>
        </w:tabs>
        <w:ind w:left="0" w:firstLine="851"/>
        <w:rPr>
          <w:szCs w:val="24"/>
          <w:lang w:eastAsia="bg-BG"/>
        </w:rPr>
      </w:pPr>
      <w:r w:rsidRPr="001B0EA3">
        <w:rPr>
          <w:szCs w:val="24"/>
          <w:lang w:eastAsia="bg-BG"/>
        </w:rPr>
        <w:t xml:space="preserve">Раздел </w:t>
      </w:r>
      <w:r w:rsidR="000218DD" w:rsidRPr="001B0EA3">
        <w:rPr>
          <w:szCs w:val="24"/>
          <w:lang w:eastAsia="bg-BG"/>
        </w:rPr>
        <w:t>Н</w:t>
      </w:r>
      <w:r w:rsidRPr="001B0EA3">
        <w:rPr>
          <w:szCs w:val="24"/>
          <w:lang w:eastAsia="bg-BG"/>
        </w:rPr>
        <w:t xml:space="preserve"> </w:t>
      </w:r>
      <w:r w:rsidR="000218DD" w:rsidRPr="001B0EA3">
        <w:rPr>
          <w:szCs w:val="24"/>
          <w:lang w:eastAsia="bg-BG"/>
        </w:rPr>
        <w:t>Одобрение от страна на компетентния национален орган;</w:t>
      </w:r>
    </w:p>
    <w:p w14:paraId="50AA6C06" w14:textId="77777777" w:rsidR="00D603F5" w:rsidRPr="001B0EA3" w:rsidRDefault="00D603F5" w:rsidP="008265BE">
      <w:pPr>
        <w:pStyle w:val="ListParagraph"/>
        <w:numPr>
          <w:ilvl w:val="0"/>
          <w:numId w:val="346"/>
        </w:numPr>
        <w:ind w:left="1276" w:hanging="425"/>
        <w:rPr>
          <w:lang w:eastAsia="bg-BG"/>
        </w:rPr>
      </w:pPr>
      <w:r w:rsidRPr="001B0EA3">
        <w:rPr>
          <w:lang w:eastAsia="bg-BG"/>
        </w:rPr>
        <w:t xml:space="preserve">Приложение № 1: </w:t>
      </w:r>
      <w:r w:rsidR="000218DD" w:rsidRPr="001B0EA3">
        <w:rPr>
          <w:lang w:eastAsia="bg-BG"/>
        </w:rPr>
        <w:t>Декларация на органа, отговарящ за мониторинга на обектите НАТУРА 2000</w:t>
      </w:r>
      <w:r w:rsidR="000158F1" w:rsidRPr="001B0EA3">
        <w:rPr>
          <w:rStyle w:val="FootnoteReference"/>
          <w:szCs w:val="24"/>
          <w:lang w:eastAsia="bg-BG"/>
        </w:rPr>
        <w:footnoteReference w:id="44"/>
      </w:r>
      <w:r w:rsidR="000218DD" w:rsidRPr="001B0EA3">
        <w:rPr>
          <w:lang w:eastAsia="bg-BG"/>
        </w:rPr>
        <w:t>;</w:t>
      </w:r>
    </w:p>
    <w:p w14:paraId="34FEF281" w14:textId="77777777" w:rsidR="00D603F5" w:rsidRPr="001B0EA3" w:rsidRDefault="00D603F5" w:rsidP="008265BE">
      <w:pPr>
        <w:pStyle w:val="ListParagraph"/>
        <w:numPr>
          <w:ilvl w:val="0"/>
          <w:numId w:val="346"/>
        </w:numPr>
        <w:ind w:left="1276" w:hanging="425"/>
        <w:rPr>
          <w:lang w:eastAsia="bg-BG"/>
        </w:rPr>
      </w:pPr>
      <w:r w:rsidRPr="001B0EA3">
        <w:rPr>
          <w:lang w:eastAsia="bg-BG"/>
        </w:rPr>
        <w:t xml:space="preserve">Приложение № 2: </w:t>
      </w:r>
      <w:r w:rsidR="000158F1" w:rsidRPr="001B0EA3">
        <w:rPr>
          <w:lang w:eastAsia="bg-BG"/>
        </w:rPr>
        <w:t>Декларация на компетентния орган, отговарящ за управлението на водите</w:t>
      </w:r>
      <w:r w:rsidR="000158F1" w:rsidRPr="001B0EA3">
        <w:rPr>
          <w:rStyle w:val="FootnoteReference"/>
          <w:szCs w:val="24"/>
          <w:lang w:eastAsia="bg-BG"/>
        </w:rPr>
        <w:footnoteReference w:id="45"/>
      </w:r>
      <w:r w:rsidR="000158F1" w:rsidRPr="001B0EA3">
        <w:rPr>
          <w:lang w:eastAsia="bg-BG"/>
        </w:rPr>
        <w:t>;</w:t>
      </w:r>
    </w:p>
    <w:p w14:paraId="33AA0DEA" w14:textId="77777777" w:rsidR="00D603F5" w:rsidRDefault="00D603F5" w:rsidP="008265BE">
      <w:pPr>
        <w:pStyle w:val="ListParagraph"/>
        <w:numPr>
          <w:ilvl w:val="0"/>
          <w:numId w:val="346"/>
        </w:numPr>
        <w:ind w:left="1276" w:hanging="425"/>
        <w:rPr>
          <w:lang w:eastAsia="bg-BG"/>
        </w:rPr>
      </w:pPr>
      <w:r w:rsidRPr="001B0EA3">
        <w:rPr>
          <w:lang w:eastAsia="bg-BG"/>
        </w:rPr>
        <w:t>Приложение № 3</w:t>
      </w:r>
      <w:r w:rsidR="000158F1" w:rsidRPr="001B0EA3">
        <w:rPr>
          <w:lang w:eastAsia="bg-BG"/>
        </w:rPr>
        <w:t>: Таблица за съответствие на агломерациите, които са включени в заявлението, с директивата за пречистването на градските отпадъчни води</w:t>
      </w:r>
      <w:r w:rsidR="000158F1" w:rsidRPr="001B0EA3">
        <w:rPr>
          <w:rStyle w:val="FootnoteReference"/>
          <w:szCs w:val="24"/>
          <w:lang w:eastAsia="bg-BG"/>
        </w:rPr>
        <w:footnoteReference w:id="46"/>
      </w:r>
    </w:p>
    <w:p w14:paraId="1DE495B0" w14:textId="77777777" w:rsidR="008265BE" w:rsidRPr="001B0EA3" w:rsidRDefault="008265BE" w:rsidP="00890B4B">
      <w:pPr>
        <w:rPr>
          <w:szCs w:val="24"/>
          <w:lang w:eastAsia="bg-BG"/>
        </w:rPr>
      </w:pPr>
    </w:p>
    <w:p w14:paraId="654F45F2" w14:textId="77777777" w:rsidR="00D603F5" w:rsidRPr="008265BE" w:rsidRDefault="00D603F5" w:rsidP="008265BE">
      <w:pPr>
        <w:pStyle w:val="ListParagraph"/>
        <w:numPr>
          <w:ilvl w:val="0"/>
          <w:numId w:val="344"/>
        </w:numPr>
        <w:ind w:left="0" w:firstLine="851"/>
        <w:rPr>
          <w:b/>
        </w:rPr>
      </w:pPr>
      <w:r w:rsidRPr="001B0EA3">
        <w:rPr>
          <w:b/>
        </w:rPr>
        <w:t xml:space="preserve">ФК за техническа помощ </w:t>
      </w:r>
      <w:r w:rsidRPr="008265BE">
        <w:t xml:space="preserve">се изготвя съгласно изискванията на </w:t>
      </w:r>
      <w:bookmarkStart w:id="546" w:name="_Toc411860483"/>
      <w:r w:rsidRPr="008265BE">
        <w:t>Модул „Е-кандидатстване“</w:t>
      </w:r>
      <w:bookmarkEnd w:id="546"/>
      <w:r w:rsidRPr="008265BE">
        <w:t>, Под-модул „Проектни предложения” на ИСУН 2020 и в съответствие с Насоките за кандидатстване  по ОПТТИ.</w:t>
      </w:r>
    </w:p>
    <w:p w14:paraId="2D3B39EB" w14:textId="77777777" w:rsidR="00D603F5" w:rsidRPr="001B0EA3" w:rsidRDefault="00D603F5" w:rsidP="008265BE">
      <w:r w:rsidRPr="001B0EA3">
        <w:t xml:space="preserve">Детайлните данни за проектно предложение са разделени на секции, в които ще бъдат групирани различните атрибути. </w:t>
      </w:r>
    </w:p>
    <w:p w14:paraId="5429C084" w14:textId="77777777" w:rsidR="00D603F5" w:rsidRPr="001B0EA3" w:rsidRDefault="00D603F5" w:rsidP="008265BE">
      <w:r w:rsidRPr="001B0EA3">
        <w:rPr>
          <w:i/>
        </w:rPr>
        <w:t>Общи данни:</w:t>
      </w:r>
      <w:r w:rsidRPr="001B0EA3">
        <w:t xml:space="preserve"> срок на изпълнение; място на изпълнение; ДДС е/не е допустим разход по проекта; вид на проекта; проектът е/не е съвместен план за действие; проектът използва/ не използва финансови инструменти; проектът включва/ не включва подкрепа от инициатива за младежка заетост; проектът подлежи/ не подлежи на режим на държавна помощ; проектът подлежи/ не подлежи на режим на минимални помощи; проектът включва/ не включва публично-частно партньорство; цели на проектното предложение; кратко описание на проектното предложение; номер на концепция.</w:t>
      </w:r>
    </w:p>
    <w:p w14:paraId="60CB611E" w14:textId="77777777" w:rsidR="00D603F5" w:rsidRPr="001B0EA3" w:rsidRDefault="00D603F5" w:rsidP="008265BE">
      <w:pPr>
        <w:rPr>
          <w:rFonts w:ascii="Verdana" w:eastAsia="SimSun" w:hAnsi="Verdana"/>
          <w:bCs/>
          <w:i/>
          <w:iCs/>
          <w:lang w:eastAsia="zh-CN"/>
        </w:rPr>
      </w:pPr>
      <w:r w:rsidRPr="001B0EA3">
        <w:rPr>
          <w:i/>
        </w:rPr>
        <w:t xml:space="preserve">Партньори: </w:t>
      </w:r>
      <w:r w:rsidRPr="001B0EA3">
        <w:t>идентификатор на партньор от „Списък организации“; име на партньор</w:t>
      </w:r>
      <w:r w:rsidR="00D23413" w:rsidRPr="001B0EA3">
        <w:t xml:space="preserve"> (когато е приложимо)</w:t>
      </w:r>
      <w:r w:rsidRPr="001B0EA3">
        <w:t>.</w:t>
      </w:r>
    </w:p>
    <w:p w14:paraId="75599B94" w14:textId="77777777" w:rsidR="00D603F5" w:rsidRPr="001B0EA3" w:rsidRDefault="00D603F5" w:rsidP="008265BE">
      <w:r w:rsidRPr="001B0EA3">
        <w:rPr>
          <w:i/>
        </w:rPr>
        <w:t>Финансова информация - кодове по измерения</w:t>
      </w:r>
      <w:r w:rsidRPr="001B0EA3">
        <w:t>: измерение; код.</w:t>
      </w:r>
    </w:p>
    <w:p w14:paraId="09B27B40" w14:textId="77777777" w:rsidR="00D603F5" w:rsidRPr="001B0EA3" w:rsidRDefault="00D603F5" w:rsidP="008265BE">
      <w:r w:rsidRPr="001B0EA3">
        <w:rPr>
          <w:i/>
        </w:rPr>
        <w:t>Бюджет:</w:t>
      </w:r>
      <w:r w:rsidRPr="001B0EA3">
        <w:rPr>
          <w:rFonts w:ascii="Verdana" w:eastAsia="SimSun" w:hAnsi="Verdana"/>
          <w:color w:val="000000"/>
          <w:lang w:eastAsia="zh-CN"/>
        </w:rPr>
        <w:t xml:space="preserve"> </w:t>
      </w:r>
      <w:r w:rsidRPr="001B0EA3">
        <w:t>ред от бюджета по дял от процедура; описание на конкретния разход; код по област на интервенция; код по форма на финансиране; код по тип на територията; код по стопанска дейност; код за механизми за териториално изпълнение; код за тематична цел; код за ЕСФ вторична тема; код за местоположение; БФП; съфинансиране; обща стойност.</w:t>
      </w:r>
    </w:p>
    <w:p w14:paraId="1F2EEABE" w14:textId="77777777" w:rsidR="00D603F5" w:rsidRPr="001B0EA3" w:rsidRDefault="00D603F5" w:rsidP="008265BE">
      <w:r w:rsidRPr="001B0EA3">
        <w:rPr>
          <w:i/>
        </w:rPr>
        <w:t>Финансова информация - източници на финансиране:</w:t>
      </w:r>
      <w:r w:rsidRPr="001B0EA3">
        <w:rPr>
          <w:rFonts w:ascii="Verdana" w:eastAsia="SimSun" w:hAnsi="Verdana"/>
          <w:color w:val="000000"/>
          <w:lang w:eastAsia="zh-CN"/>
        </w:rPr>
        <w:t xml:space="preserve"> </w:t>
      </w:r>
      <w:r w:rsidRPr="001B0EA3">
        <w:t>оперативна програма; искано финансиране (БФП); Съфинансиране от бенефициента/ партньорите (средства от бюджетни предприятия); съфинансиране от бенефициента/ партньорите; общо съфинансиране; общо допустими разходи; съотношение безвъзмездна финансова помощ към общо допустими разходи; очаквани приходи от проекта; недопустими разходи, необходими за изпълнението на проекта (когато е приложимо); обща стойност на проектното предложение.</w:t>
      </w:r>
    </w:p>
    <w:p w14:paraId="65F0401B" w14:textId="77777777" w:rsidR="00D603F5" w:rsidRPr="001B0EA3" w:rsidRDefault="00D603F5" w:rsidP="008265BE">
      <w:r w:rsidRPr="001B0EA3">
        <w:rPr>
          <w:i/>
        </w:rPr>
        <w:lastRenderedPageBreak/>
        <w:t>План за изпълнение/Дейности по проекта:</w:t>
      </w:r>
      <w:r w:rsidRPr="001B0EA3">
        <w:rPr>
          <w:rFonts w:ascii="Verdana" w:eastAsia="SimSun" w:hAnsi="Verdana"/>
          <w:color w:val="000000"/>
          <w:lang w:eastAsia="zh-CN"/>
        </w:rPr>
        <w:t xml:space="preserve"> </w:t>
      </w:r>
      <w:r w:rsidRPr="001B0EA3">
        <w:t>оперативна програма; дейност; организация отговорна за изпълнението на дейността; описание; начин на изпълнение; резултат; месец за стартиране на дейността; продължителност; стойност.</w:t>
      </w:r>
    </w:p>
    <w:p w14:paraId="4CD837C8" w14:textId="77777777" w:rsidR="00D603F5" w:rsidRPr="001B0EA3" w:rsidRDefault="00D603F5" w:rsidP="008265BE">
      <w:r w:rsidRPr="001B0EA3">
        <w:rPr>
          <w:i/>
        </w:rPr>
        <w:t xml:space="preserve">Индикатори: </w:t>
      </w:r>
      <w:r w:rsidRPr="001B0EA3">
        <w:t>оперативна програма; индикатор (наименование; вид индикатор; тенденция; тип; мярка); базова стойност; целева стойност; източник на информация.</w:t>
      </w:r>
    </w:p>
    <w:p w14:paraId="1DE0C3AF" w14:textId="77777777" w:rsidR="00D603F5" w:rsidRPr="001B0EA3" w:rsidRDefault="00D603F5" w:rsidP="008265BE">
      <w:r w:rsidRPr="001B0EA3">
        <w:rPr>
          <w:i/>
        </w:rPr>
        <w:t>Екип:</w:t>
      </w:r>
      <w:r w:rsidRPr="001B0EA3">
        <w:rPr>
          <w:rFonts w:ascii="Verdana" w:eastAsia="SimSun" w:hAnsi="Verdana"/>
          <w:color w:val="000000"/>
          <w:lang w:eastAsia="zh-CN"/>
        </w:rPr>
        <w:t xml:space="preserve"> </w:t>
      </w:r>
      <w:r w:rsidRPr="001B0EA3">
        <w:t>Име по документ за самоличност; позиция по проекта; отговорности; телефонен номер; e-mail; номер на факс.</w:t>
      </w:r>
    </w:p>
    <w:p w14:paraId="52BFC3C0" w14:textId="77777777" w:rsidR="00D603F5" w:rsidRPr="001B0EA3" w:rsidRDefault="00D603F5" w:rsidP="008265BE">
      <w:pPr>
        <w:rPr>
          <w:i/>
        </w:rPr>
      </w:pPr>
      <w:r w:rsidRPr="001B0EA3">
        <w:rPr>
          <w:i/>
        </w:rPr>
        <w:t>План за външно възлагане:</w:t>
      </w:r>
      <w:r w:rsidRPr="001B0EA3">
        <w:rPr>
          <w:rFonts w:ascii="Verdana" w:eastAsia="SimSun" w:hAnsi="Verdana"/>
          <w:color w:val="000000"/>
          <w:lang w:eastAsia="zh-CN"/>
        </w:rPr>
        <w:t xml:space="preserve"> </w:t>
      </w:r>
      <w:r w:rsidRPr="001B0EA3">
        <w:t>предмет на предвидената процедура; приложна област; приложим нормативен акт; тип на процедурата; стойност; планирана дата на обявяване; описание</w:t>
      </w:r>
      <w:r w:rsidRPr="001B0EA3">
        <w:rPr>
          <w:rFonts w:ascii="Verdana" w:eastAsia="SimSun" w:hAnsi="Verdana"/>
          <w:color w:val="000000"/>
          <w:lang w:eastAsia="zh-CN"/>
        </w:rPr>
        <w:t>.</w:t>
      </w:r>
    </w:p>
    <w:p w14:paraId="21C578EA" w14:textId="77777777" w:rsidR="00D603F5" w:rsidRPr="001B0EA3" w:rsidRDefault="00D603F5" w:rsidP="008265BE">
      <w:r w:rsidRPr="001B0EA3">
        <w:rPr>
          <w:i/>
        </w:rPr>
        <w:t xml:space="preserve">Допълнителна информация необходима за оценка на проектното предложение: </w:t>
      </w:r>
      <w:r w:rsidRPr="001B0EA3">
        <w:t>допълнително поле; наименование; описание от кандидата.</w:t>
      </w:r>
    </w:p>
    <w:p w14:paraId="2FBC6C85" w14:textId="77777777" w:rsidR="00D603F5" w:rsidRPr="001B0EA3" w:rsidRDefault="00D603F5" w:rsidP="008265BE">
      <w:r w:rsidRPr="001B0EA3">
        <w:rPr>
          <w:i/>
        </w:rPr>
        <w:t xml:space="preserve">Прикачени документи: </w:t>
      </w:r>
      <w:r w:rsidRPr="001B0EA3">
        <w:t>вид; описание; файлово съдържание.</w:t>
      </w:r>
    </w:p>
    <w:p w14:paraId="6A9BF70A" w14:textId="77777777" w:rsidR="00D603F5" w:rsidRPr="001B0EA3" w:rsidRDefault="00D603F5" w:rsidP="008265BE">
      <w:r w:rsidRPr="001B0EA3">
        <w:rPr>
          <w:i/>
        </w:rPr>
        <w:t xml:space="preserve">Приложени документи: </w:t>
      </w:r>
      <w:r w:rsidRPr="001B0EA3">
        <w:t>вид; описание (например: декларация, с която се декларира, че дейностите не се финансират от друг проект/програма/бюджетна линия или друга финансова схема с източник националния бюджет, бюджета на Европейския съюз или друга донорска програма; приложение „Финансово разпределение на разходите”; други приложени документи).</w:t>
      </w:r>
    </w:p>
    <w:p w14:paraId="7C613AD5" w14:textId="77777777" w:rsidR="00D603F5" w:rsidRPr="001B0EA3" w:rsidRDefault="00D603F5" w:rsidP="008265BE">
      <w:pPr>
        <w:rPr>
          <w:szCs w:val="24"/>
          <w:highlight w:val="yellow"/>
          <w:lang w:eastAsia="bg-BG"/>
        </w:rPr>
      </w:pPr>
      <w:r w:rsidRPr="001B0EA3">
        <w:rPr>
          <w:szCs w:val="24"/>
          <w:lang w:eastAsia="bg-BG"/>
        </w:rPr>
        <w:tab/>
      </w:r>
    </w:p>
    <w:p w14:paraId="391AF56A" w14:textId="77777777" w:rsidR="00D603F5" w:rsidRPr="008265BE" w:rsidRDefault="00D603F5" w:rsidP="008265BE">
      <w:pPr>
        <w:pStyle w:val="ListParagraph"/>
        <w:numPr>
          <w:ilvl w:val="0"/>
          <w:numId w:val="344"/>
        </w:numPr>
        <w:ind w:left="0" w:firstLine="851"/>
        <w:rPr>
          <w:b/>
        </w:rPr>
      </w:pPr>
      <w:r w:rsidRPr="001B0EA3">
        <w:rPr>
          <w:b/>
        </w:rPr>
        <w:t xml:space="preserve">Финансов план за бюджетна линия </w:t>
      </w:r>
      <w:r w:rsidRPr="008265BE">
        <w:t>се изготвя съгласно изискванията на Модул „Е-кандидатстване“, Под-модул „Проектни предложения” на ИСУН 2020 и в съответствие с Насоките за кандидатстване  по ОПТТИ.</w:t>
      </w:r>
    </w:p>
    <w:p w14:paraId="5A45BD0C" w14:textId="77777777" w:rsidR="00D603F5" w:rsidRPr="001B0EA3" w:rsidRDefault="00D603F5" w:rsidP="008265BE">
      <w:r w:rsidRPr="001B0EA3">
        <w:t>Проект</w:t>
      </w:r>
      <w:r w:rsidRPr="001B0EA3">
        <w:rPr>
          <w:b/>
        </w:rPr>
        <w:t xml:space="preserve"> </w:t>
      </w:r>
      <w:r w:rsidRPr="001B0EA3">
        <w:t>за предоставяне на БФП на конкретни бенефициенти чрез бюджетна линия се изготвя съгласно Приложение № 1 на Указанията на МФ ДНФ № 1/01.07.2014 г. относно условията и реда на изплащане на финансовата помощ със средства от Европейския фонд за регионално развитие, Европейския социален фонд, Кохезионния фонд, Инициативата за младежка заетост, Фонда за европейско подпомагане на най-нуждаещите се лица на Европейския съюз и кореспондиращото национално съфинансиране за финансова рамка 2014 - 2020 г. и съдържа следните основни данни:</w:t>
      </w:r>
    </w:p>
    <w:p w14:paraId="40725185" w14:textId="77777777" w:rsidR="00D603F5" w:rsidRPr="001B0EA3" w:rsidRDefault="00D603F5" w:rsidP="008265BE">
      <w:pPr>
        <w:pStyle w:val="ListParagraph"/>
        <w:numPr>
          <w:ilvl w:val="0"/>
          <w:numId w:val="347"/>
        </w:numPr>
        <w:ind w:left="0" w:firstLine="851"/>
        <w:rPr>
          <w:lang w:eastAsia="bg-BG"/>
        </w:rPr>
      </w:pPr>
      <w:r w:rsidRPr="001B0EA3">
        <w:rPr>
          <w:lang w:eastAsia="bg-BG"/>
        </w:rPr>
        <w:t>Основни данни (наименование на бюджетната линия; наименование на оперативната програма; продължителност на бюджетната линия; обща стойност)</w:t>
      </w:r>
    </w:p>
    <w:p w14:paraId="7CAE4530" w14:textId="77777777" w:rsidR="00D603F5" w:rsidRPr="001B0EA3" w:rsidRDefault="00D603F5" w:rsidP="008265BE">
      <w:pPr>
        <w:pStyle w:val="ListParagraph"/>
        <w:numPr>
          <w:ilvl w:val="0"/>
          <w:numId w:val="347"/>
        </w:numPr>
        <w:ind w:left="0" w:firstLine="851"/>
        <w:rPr>
          <w:lang w:eastAsia="bg-BG"/>
        </w:rPr>
      </w:pPr>
      <w:r w:rsidRPr="001B0EA3">
        <w:rPr>
          <w:lang w:eastAsia="bg-BG"/>
        </w:rPr>
        <w:t>Данни за бенефициент (наименование; електронна поща; телефон; факс; лице представляващо организацията; лице за контакт)</w:t>
      </w:r>
    </w:p>
    <w:p w14:paraId="44A13587" w14:textId="77777777" w:rsidR="00D603F5" w:rsidRPr="001B0EA3" w:rsidRDefault="00D603F5" w:rsidP="008265BE">
      <w:pPr>
        <w:pStyle w:val="ListParagraph"/>
        <w:numPr>
          <w:ilvl w:val="0"/>
          <w:numId w:val="347"/>
        </w:numPr>
        <w:ind w:left="0" w:firstLine="851"/>
        <w:rPr>
          <w:lang w:eastAsia="bg-BG"/>
        </w:rPr>
      </w:pPr>
      <w:r w:rsidRPr="001B0EA3">
        <w:rPr>
          <w:lang w:eastAsia="bg-BG"/>
        </w:rPr>
        <w:t>Бюджет по години</w:t>
      </w:r>
    </w:p>
    <w:p w14:paraId="778F55E1" w14:textId="77777777" w:rsidR="00D603F5" w:rsidRPr="001B0EA3" w:rsidRDefault="00D603F5" w:rsidP="008265BE">
      <w:pPr>
        <w:pStyle w:val="ListParagraph"/>
        <w:numPr>
          <w:ilvl w:val="0"/>
          <w:numId w:val="347"/>
        </w:numPr>
        <w:ind w:left="0" w:firstLine="851"/>
        <w:rPr>
          <w:lang w:eastAsia="bg-BG"/>
        </w:rPr>
      </w:pPr>
      <w:r w:rsidRPr="001B0EA3">
        <w:rPr>
          <w:lang w:eastAsia="bg-BG"/>
        </w:rPr>
        <w:t>Декларация по образец, с която се декларира, че дейностите не се финансират от друг проект/програма/бюджетна линия или друга финансова схема с източник националния бюджет, бюджета на Европейския съюз или друга донорска програма.</w:t>
      </w:r>
    </w:p>
    <w:p w14:paraId="50DE90C6" w14:textId="77777777" w:rsidR="00D603F5" w:rsidRPr="001B0EA3" w:rsidRDefault="00D603F5" w:rsidP="00890B4B">
      <w:pPr>
        <w:rPr>
          <w:szCs w:val="24"/>
          <w:lang w:eastAsia="bg-BG"/>
        </w:rPr>
      </w:pPr>
      <w:r w:rsidRPr="001B0EA3">
        <w:rPr>
          <w:szCs w:val="24"/>
          <w:lang w:eastAsia="bg-BG"/>
        </w:rPr>
        <w:tab/>
      </w:r>
    </w:p>
    <w:p w14:paraId="0564D579" w14:textId="77777777" w:rsidR="00D603F5" w:rsidRPr="001B0EA3" w:rsidRDefault="00D603F5" w:rsidP="00346F28">
      <w:pPr>
        <w:pStyle w:val="Style3"/>
        <w:rPr>
          <w:lang w:eastAsia="bg-BG"/>
        </w:rPr>
      </w:pPr>
      <w:bookmarkStart w:id="547" w:name="_Toc479775634"/>
      <w:r w:rsidRPr="001B0EA3">
        <w:rPr>
          <w:lang w:eastAsia="bg-BG"/>
        </w:rPr>
        <w:t>Съпътстващи документи към ФК</w:t>
      </w:r>
      <w:bookmarkEnd w:id="547"/>
    </w:p>
    <w:p w14:paraId="085E38C2" w14:textId="77777777" w:rsidR="00D603F5" w:rsidRPr="001B0EA3" w:rsidRDefault="00D603F5" w:rsidP="00CA7EA6">
      <w:pPr>
        <w:rPr>
          <w:lang w:eastAsia="bg-BG"/>
        </w:rPr>
      </w:pPr>
      <w:r w:rsidRPr="001B0EA3">
        <w:rPr>
          <w:lang w:eastAsia="bg-BG"/>
        </w:rPr>
        <w:t>Съпътстващите документи, които в зависимост от типа на проектното предложение следва да бъдат представени с подаването на ФК са както следва:</w:t>
      </w:r>
    </w:p>
    <w:p w14:paraId="21B42DFD" w14:textId="77777777" w:rsidR="00D603F5" w:rsidRPr="001B0EA3" w:rsidRDefault="00D603F5" w:rsidP="00CA7EA6">
      <w:pPr>
        <w:pStyle w:val="ListParagraph"/>
        <w:numPr>
          <w:ilvl w:val="0"/>
          <w:numId w:val="339"/>
        </w:numPr>
        <w:tabs>
          <w:tab w:val="left" w:pos="1276"/>
        </w:tabs>
        <w:ind w:left="0" w:firstLine="851"/>
        <w:rPr>
          <w:lang w:eastAsia="bg-BG"/>
        </w:rPr>
      </w:pPr>
      <w:r w:rsidRPr="001B0EA3">
        <w:rPr>
          <w:lang w:eastAsia="bg-BG"/>
        </w:rPr>
        <w:t>Извършените проучвания за осъществимост, включително и анализ на вариантите, както и резултатите (когато е приложимо);</w:t>
      </w:r>
    </w:p>
    <w:p w14:paraId="18550FA4" w14:textId="77777777" w:rsidR="00D603F5" w:rsidRPr="001B0EA3" w:rsidRDefault="00D603F5" w:rsidP="00CA7EA6">
      <w:pPr>
        <w:pStyle w:val="ListParagraph"/>
        <w:numPr>
          <w:ilvl w:val="0"/>
          <w:numId w:val="339"/>
        </w:numPr>
        <w:tabs>
          <w:tab w:val="left" w:pos="1276"/>
        </w:tabs>
        <w:ind w:left="0" w:firstLine="851"/>
        <w:rPr>
          <w:lang w:eastAsia="bg-BG"/>
        </w:rPr>
      </w:pPr>
      <w:r w:rsidRPr="001B0EA3">
        <w:rPr>
          <w:lang w:eastAsia="bg-BG"/>
        </w:rPr>
        <w:t>Анализ „разходи-ползи”, включително икономически и финансов анализ и оценка на риска, като се вземат предвид нуждите във връзка с приспособяването към изменението на климата и смекчаване на последиците от него и устойчивостта на бедствия. Изготвянето на пълен  АРП е задължителен за „големи проекти”, а за останалите инфраструктурни проекти е задължително изготвянето на финансов анализ  (когато е приложимо);</w:t>
      </w:r>
    </w:p>
    <w:p w14:paraId="1245BA0F" w14:textId="77777777" w:rsidR="00D603F5" w:rsidRPr="001B0EA3" w:rsidRDefault="00D603F5" w:rsidP="00CA7EA6">
      <w:pPr>
        <w:pStyle w:val="ListParagraph"/>
        <w:numPr>
          <w:ilvl w:val="0"/>
          <w:numId w:val="339"/>
        </w:numPr>
        <w:tabs>
          <w:tab w:val="left" w:pos="1276"/>
        </w:tabs>
        <w:ind w:left="0" w:firstLine="851"/>
        <w:rPr>
          <w:lang w:eastAsia="bg-BG"/>
        </w:rPr>
      </w:pPr>
      <w:r w:rsidRPr="001B0EA3">
        <w:rPr>
          <w:lang w:eastAsia="bg-BG"/>
        </w:rPr>
        <w:t>Документация във връзка с проведени обществени обсъждания (когато е приложимо);</w:t>
      </w:r>
    </w:p>
    <w:p w14:paraId="17FF7CC3" w14:textId="77777777" w:rsidR="00D603F5" w:rsidRPr="001B0EA3" w:rsidRDefault="00D603F5" w:rsidP="00CA7EA6">
      <w:pPr>
        <w:pStyle w:val="ListParagraph"/>
        <w:numPr>
          <w:ilvl w:val="0"/>
          <w:numId w:val="339"/>
        </w:numPr>
        <w:tabs>
          <w:tab w:val="left" w:pos="1276"/>
        </w:tabs>
        <w:ind w:left="0" w:firstLine="851"/>
        <w:rPr>
          <w:lang w:eastAsia="bg-BG"/>
        </w:rPr>
      </w:pPr>
      <w:r w:rsidRPr="001B0EA3">
        <w:rPr>
          <w:lang w:eastAsia="bg-BG"/>
        </w:rPr>
        <w:t>Анализ на въздействието върху околната среда (когато е приложимо);</w:t>
      </w:r>
    </w:p>
    <w:p w14:paraId="3F61F7DE" w14:textId="77777777" w:rsidR="00D603F5" w:rsidRPr="001B0EA3" w:rsidRDefault="00D603F5" w:rsidP="00CA7EA6">
      <w:pPr>
        <w:pStyle w:val="ListParagraph"/>
        <w:numPr>
          <w:ilvl w:val="0"/>
          <w:numId w:val="339"/>
        </w:numPr>
        <w:tabs>
          <w:tab w:val="left" w:pos="1276"/>
        </w:tabs>
        <w:ind w:left="0" w:firstLine="851"/>
        <w:rPr>
          <w:lang w:eastAsia="bg-BG"/>
        </w:rPr>
      </w:pPr>
      <w:r w:rsidRPr="001B0EA3">
        <w:rPr>
          <w:lang w:eastAsia="bg-BG"/>
        </w:rPr>
        <w:lastRenderedPageBreak/>
        <w:t>Техническа спецификация от документация/и за обществена/и поръчка/и (когато е приложимо);</w:t>
      </w:r>
    </w:p>
    <w:p w14:paraId="2C6ECDE0" w14:textId="77777777" w:rsidR="00D603F5" w:rsidRPr="001B0EA3" w:rsidRDefault="00D603F5" w:rsidP="00CA7EA6">
      <w:pPr>
        <w:pStyle w:val="ListParagraph"/>
        <w:numPr>
          <w:ilvl w:val="0"/>
          <w:numId w:val="339"/>
        </w:numPr>
        <w:tabs>
          <w:tab w:val="left" w:pos="1276"/>
        </w:tabs>
        <w:ind w:left="0" w:firstLine="851"/>
        <w:rPr>
          <w:lang w:eastAsia="bg-BG"/>
        </w:rPr>
      </w:pPr>
      <w:r w:rsidRPr="001B0EA3">
        <w:rPr>
          <w:lang w:eastAsia="bg-BG"/>
        </w:rPr>
        <w:t>План и техническа документация (когато е приложимо);</w:t>
      </w:r>
    </w:p>
    <w:p w14:paraId="31DCD621" w14:textId="77777777" w:rsidR="00D603F5" w:rsidRPr="001B0EA3" w:rsidRDefault="00D603F5" w:rsidP="00CA7EA6">
      <w:pPr>
        <w:pStyle w:val="ListParagraph"/>
        <w:numPr>
          <w:ilvl w:val="0"/>
          <w:numId w:val="339"/>
        </w:numPr>
        <w:tabs>
          <w:tab w:val="left" w:pos="1276"/>
        </w:tabs>
        <w:ind w:left="0" w:firstLine="851"/>
        <w:rPr>
          <w:lang w:eastAsia="bg-BG"/>
        </w:rPr>
      </w:pPr>
      <w:r w:rsidRPr="001B0EA3">
        <w:rPr>
          <w:lang w:eastAsia="bg-BG"/>
        </w:rPr>
        <w:t>Картен материал, определящ местонахождението на обекта (когато е приложимо);</w:t>
      </w:r>
    </w:p>
    <w:p w14:paraId="000F7BF8" w14:textId="77777777" w:rsidR="00D603F5" w:rsidRPr="001B0EA3" w:rsidRDefault="00D603F5" w:rsidP="00CA7EA6">
      <w:pPr>
        <w:pStyle w:val="ListParagraph"/>
        <w:numPr>
          <w:ilvl w:val="0"/>
          <w:numId w:val="339"/>
        </w:numPr>
        <w:tabs>
          <w:tab w:val="left" w:pos="1276"/>
        </w:tabs>
        <w:ind w:left="0" w:firstLine="851"/>
        <w:rPr>
          <w:lang w:eastAsia="bg-BG"/>
        </w:rPr>
      </w:pPr>
      <w:r w:rsidRPr="001B0EA3">
        <w:rPr>
          <w:lang w:eastAsia="bg-BG"/>
        </w:rPr>
        <w:t>Заверени копия от разрешителни (когато е приложимо);</w:t>
      </w:r>
    </w:p>
    <w:p w14:paraId="6D13939C" w14:textId="77777777" w:rsidR="00D603F5" w:rsidRPr="001B0EA3" w:rsidRDefault="00D603F5" w:rsidP="00CA7EA6">
      <w:pPr>
        <w:pStyle w:val="ListParagraph"/>
        <w:numPr>
          <w:ilvl w:val="0"/>
          <w:numId w:val="339"/>
        </w:numPr>
        <w:tabs>
          <w:tab w:val="left" w:pos="1276"/>
        </w:tabs>
        <w:ind w:left="0" w:firstLine="851"/>
        <w:rPr>
          <w:lang w:eastAsia="bg-BG"/>
        </w:rPr>
      </w:pPr>
      <w:r w:rsidRPr="001B0EA3">
        <w:rPr>
          <w:lang w:eastAsia="bg-BG"/>
        </w:rPr>
        <w:t>декларации, свързани с дейностите по проекта (когато е приложимо);</w:t>
      </w:r>
    </w:p>
    <w:p w14:paraId="2312C28F" w14:textId="77777777" w:rsidR="00D603F5" w:rsidRPr="001B0EA3" w:rsidRDefault="00D603F5" w:rsidP="00CA7EA6">
      <w:pPr>
        <w:pStyle w:val="ListParagraph"/>
        <w:numPr>
          <w:ilvl w:val="0"/>
          <w:numId w:val="339"/>
        </w:numPr>
        <w:tabs>
          <w:tab w:val="left" w:pos="1276"/>
        </w:tabs>
        <w:ind w:left="0" w:firstLine="851"/>
        <w:rPr>
          <w:lang w:eastAsia="bg-BG"/>
        </w:rPr>
      </w:pPr>
      <w:r w:rsidRPr="001B0EA3">
        <w:rPr>
          <w:lang w:eastAsia="bg-BG"/>
        </w:rPr>
        <w:t>Декларация за предоставяне на НСИ на данни, свързани с събиране на информация за отчитане на индикаторите по проекта. Данните се предоставят на НСИ за обработка и контрол (когато е приложимо);</w:t>
      </w:r>
    </w:p>
    <w:p w14:paraId="21BEA505" w14:textId="77777777" w:rsidR="00D603F5" w:rsidRPr="001B0EA3" w:rsidRDefault="00D603F5" w:rsidP="00CA7EA6">
      <w:pPr>
        <w:pStyle w:val="ListParagraph"/>
        <w:numPr>
          <w:ilvl w:val="0"/>
          <w:numId w:val="339"/>
        </w:numPr>
        <w:tabs>
          <w:tab w:val="left" w:pos="1276"/>
        </w:tabs>
        <w:ind w:left="0" w:firstLine="851"/>
        <w:rPr>
          <w:lang w:eastAsia="bg-BG"/>
        </w:rPr>
      </w:pPr>
      <w:r w:rsidRPr="001B0EA3">
        <w:rPr>
          <w:lang w:eastAsia="bg-BG"/>
        </w:rPr>
        <w:t>Допълнителна информация от бенефициента и/или други институции/компетентни органи (когато е приложимо).</w:t>
      </w:r>
    </w:p>
    <w:p w14:paraId="29CD65B8" w14:textId="77777777" w:rsidR="00D603F5" w:rsidRPr="00842ECC" w:rsidRDefault="00D603F5" w:rsidP="00B502C7">
      <w:pPr>
        <w:pStyle w:val="Style2"/>
        <w:rPr>
          <w:lang w:val="bg-BG" w:eastAsia="bg-BG"/>
        </w:rPr>
      </w:pPr>
      <w:bookmarkStart w:id="548" w:name="_Toc479775635"/>
      <w:bookmarkStart w:id="549" w:name="_Toc140150210"/>
      <w:bookmarkStart w:id="550" w:name="_Ref406350881"/>
      <w:r w:rsidRPr="00842ECC">
        <w:rPr>
          <w:lang w:val="bg-BG" w:eastAsia="bg-BG"/>
        </w:rPr>
        <w:t>Прекратяване на процедурата на директно предоставяне</w:t>
      </w:r>
      <w:bookmarkEnd w:id="548"/>
      <w:bookmarkEnd w:id="549"/>
    </w:p>
    <w:p w14:paraId="47C40076" w14:textId="77777777" w:rsidR="00D603F5" w:rsidRPr="001B0EA3" w:rsidRDefault="00D603F5" w:rsidP="00CA7EA6">
      <w:r w:rsidRPr="001B0EA3">
        <w:t xml:space="preserve">Набирането на проектни предложения може да бъде спирано с мотивирана заповед на ръководителя на УО, в случай че стойността на подадените проектни предложения, включително тези, чиято оценка все още не е приключила, надхвърля финансовия ресурс по процедурата за директно предоставяне. </w:t>
      </w:r>
    </w:p>
    <w:p w14:paraId="455286AF" w14:textId="77777777" w:rsidR="00D603F5" w:rsidRPr="001B0EA3" w:rsidRDefault="00D603F5" w:rsidP="00CA7EA6">
      <w:r w:rsidRPr="001B0EA3">
        <w:t xml:space="preserve">Ръководителят на УО взема решение за продължаване на набирането на проектни предложения, в случай че след извършване на оценка на проектните предложения остане финансов ресурс по процедурата за директно предоставяне. </w:t>
      </w:r>
    </w:p>
    <w:p w14:paraId="0A05BCEC" w14:textId="77777777" w:rsidR="00D603F5" w:rsidRPr="001B0EA3" w:rsidRDefault="00D603F5" w:rsidP="00CA7EA6">
      <w:r w:rsidRPr="001B0EA3">
        <w:t xml:space="preserve">Ръководителят на УО може да прекрати със заповед набирането на проектни предложения, в случай че общата стойност на одобрените за финансиране проектни предложения надхвърля финансовия ресурс по процедурата за директно предоставяне. </w:t>
      </w:r>
    </w:p>
    <w:p w14:paraId="192D58F1" w14:textId="77777777" w:rsidR="007D18EE" w:rsidRPr="001B0EA3" w:rsidRDefault="007D18EE" w:rsidP="00CA7EA6">
      <w:r w:rsidRPr="001B0EA3">
        <w:t>Ръководителят на УО прекратява процедура чрез директно предоставяне на безвъзмездна финансова помощ при спиране на финансирането по съответната програма или по част от нея. Процедура чрез директно предоставяне на безвъзмездна финансова помощ може да бъде прекратена и по отношение на конкретен бенефициент, който не отстрани в срок нередовност, непълнота и/или несъответствие с изискванията.</w:t>
      </w:r>
    </w:p>
    <w:p w14:paraId="7BB9D9A8" w14:textId="0681C0F0" w:rsidR="00D603F5" w:rsidRPr="001B0EA3" w:rsidRDefault="00D603F5" w:rsidP="00CA7EA6">
      <w:r w:rsidRPr="001B0EA3">
        <w:t>В случай на прекратяване набирането на проектни предложения или на прекратяване на процедурата за директно предоставяне, заповедта за прекратяване се изпраща на конкретните бенефициенти по електронен път или на хартиен носител и се публикува на интернет страницата на ОПТТИ (</w:t>
      </w:r>
      <w:hyperlink r:id="rId87" w:history="1">
        <w:r w:rsidR="009D6A2A">
          <w:rPr>
            <w:rStyle w:val="Hyperlink"/>
          </w:rPr>
          <w:t>www.eufunds.bg/optti</w:t>
        </w:r>
      </w:hyperlink>
      <w:r w:rsidRPr="001B0EA3">
        <w:t xml:space="preserve">) и на Единния портал. В тези случаи конкретните бенефициенти нямат право на обезщетение. </w:t>
      </w:r>
    </w:p>
    <w:p w14:paraId="23E00682" w14:textId="77777777" w:rsidR="007D18EE" w:rsidRPr="001B0EA3" w:rsidRDefault="007D18EE" w:rsidP="00CA7EA6"/>
    <w:p w14:paraId="64666218" w14:textId="77777777" w:rsidR="00D603F5" w:rsidRPr="00A110A4" w:rsidRDefault="00D603F5" w:rsidP="00F058E0">
      <w:pPr>
        <w:pStyle w:val="Style1"/>
      </w:pPr>
      <w:bookmarkStart w:id="551" w:name="_Toc479775636"/>
      <w:bookmarkStart w:id="552" w:name="_Toc140150211"/>
      <w:r w:rsidRPr="00A110A4">
        <w:t>ПРОЦЕС НА ОЦЕНКА НА ПРОЕКТНИ ПРЕДЛОЖЕНИЯ</w:t>
      </w:r>
      <w:bookmarkEnd w:id="550"/>
      <w:bookmarkEnd w:id="551"/>
      <w:bookmarkEnd w:id="552"/>
    </w:p>
    <w:p w14:paraId="46CE2DC0" w14:textId="77777777" w:rsidR="00D603F5" w:rsidRPr="001B0EA3" w:rsidRDefault="00D603F5" w:rsidP="004E0B9F">
      <w:r w:rsidRPr="001B0EA3">
        <w:t xml:space="preserve">  </w:t>
      </w:r>
    </w:p>
    <w:p w14:paraId="6EBE0254" w14:textId="77777777" w:rsidR="00D603F5" w:rsidRPr="00842ECC" w:rsidRDefault="00D603F5" w:rsidP="00B502C7">
      <w:pPr>
        <w:pStyle w:val="Style2"/>
        <w:rPr>
          <w:lang w:val="bg-BG"/>
        </w:rPr>
      </w:pPr>
      <w:bookmarkStart w:id="553" w:name="_Toc479775637"/>
      <w:bookmarkStart w:id="554" w:name="_Toc140150212"/>
      <w:r w:rsidRPr="00842ECC">
        <w:rPr>
          <w:lang w:val="bg-BG"/>
        </w:rPr>
        <w:t>Общи положения при оценка на проектни предложения</w:t>
      </w:r>
      <w:bookmarkEnd w:id="553"/>
      <w:bookmarkEnd w:id="554"/>
    </w:p>
    <w:p w14:paraId="0A6C39B8" w14:textId="77777777" w:rsidR="00A654A9" w:rsidRPr="001B0EA3" w:rsidRDefault="00A654A9" w:rsidP="004E0B9F">
      <w:r w:rsidRPr="001B0EA3">
        <w:t xml:space="preserve">Подготовката и оценката на проектните предложения, подадени за финансиране по ОПТТИ се изпълнява при стриктно спазване на процедурите, правилата и указанията, разписани в Насоките за кандидатстване при процедура на директно предоставяне за предоставяне на безвъзмездна финансова помощ по ОПТТИ. </w:t>
      </w:r>
    </w:p>
    <w:p w14:paraId="74EEFC37" w14:textId="77777777" w:rsidR="004E0B9F" w:rsidRDefault="004E0B9F" w:rsidP="004E0B9F">
      <w:pPr>
        <w:ind w:firstLine="0"/>
        <w:jc w:val="center"/>
        <w:rPr>
          <w:b/>
        </w:rPr>
      </w:pPr>
    </w:p>
    <w:p w14:paraId="0F4EC8EA" w14:textId="77777777" w:rsidR="00A654A9" w:rsidRPr="001B0EA3" w:rsidRDefault="00A654A9" w:rsidP="004E0B9F">
      <w:pPr>
        <w:ind w:firstLine="0"/>
        <w:jc w:val="center"/>
      </w:pPr>
      <w:r w:rsidRPr="001B0EA3">
        <w:rPr>
          <w:b/>
        </w:rPr>
        <w:t>Оценката на проектни предложения протича на следните етапи:</w:t>
      </w:r>
    </w:p>
    <w:p w14:paraId="5C7E6118" w14:textId="77777777" w:rsidR="00A654A9" w:rsidRPr="001B0EA3" w:rsidRDefault="00937754" w:rsidP="004E0B9F">
      <w:pPr>
        <w:ind w:firstLine="0"/>
        <w:jc w:val="center"/>
      </w:pPr>
      <w:r w:rsidRPr="001B0EA3">
        <w:rPr>
          <w:noProof/>
          <w:lang w:eastAsia="bg-BG"/>
        </w:rPr>
        <w:lastRenderedPageBreak/>
        <w:drawing>
          <wp:inline distT="0" distB="0" distL="0" distR="0" wp14:anchorId="67C6BA6B" wp14:editId="4DEA9322">
            <wp:extent cx="5487035" cy="7129145"/>
            <wp:effectExtent l="19050" t="0" r="18415" b="52705"/>
            <wp:docPr id="9" name="Diagram 17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775FB660" w14:textId="77777777" w:rsidR="00A654A9" w:rsidRPr="001B0EA3" w:rsidRDefault="00A654A9" w:rsidP="00CA7EA6"/>
    <w:p w14:paraId="2DE466DB" w14:textId="77777777" w:rsidR="00D603F5" w:rsidRPr="001B0EA3" w:rsidRDefault="00D603F5" w:rsidP="004E0B9F">
      <w:r w:rsidRPr="001B0EA3">
        <w:t>Проектни предложения, подадени за финансиране по ОПТТИ, подлежат на оценка само ако съдържат дейности, включени в обхвата на допустимите дейности на ОПТТИ. Големи проекти (</w:t>
      </w:r>
      <w:r w:rsidRPr="001B0EA3">
        <w:rPr>
          <w:i/>
        </w:rPr>
        <w:t>с обща стойност на допустимите разходи над 75 млн. евро - по тематична цел 7 и над 50 млн. евро - по тематична цел 4</w:t>
      </w:r>
      <w:r w:rsidRPr="001B0EA3">
        <w:t xml:space="preserve">) се оценяват само, ако са </w:t>
      </w:r>
      <w:r w:rsidR="00A654A9" w:rsidRPr="001B0EA3">
        <w:t xml:space="preserve">в обхвата на програмата и са </w:t>
      </w:r>
      <w:r w:rsidRPr="001B0EA3">
        <w:t xml:space="preserve">включени в таблица 27: Списък на големите проекти, точка 12 „Отделни елементи“ от ОПТТИ. </w:t>
      </w:r>
    </w:p>
    <w:p w14:paraId="2E4A9B47" w14:textId="77777777" w:rsidR="00D603F5" w:rsidRPr="001B0EA3" w:rsidRDefault="00D603F5" w:rsidP="004E0B9F">
      <w:r w:rsidRPr="001B0EA3">
        <w:t xml:space="preserve">За да бъдат финансирани от ОПТТИ, проектните предложения трябва да бъдат финансово, икономически, социално и екологично надеждни. За да се докаже това, те трябва да бъдат подготвени в съответствие с определен брой формално административни, критерии за допустимост и технически и финансови критерии. Освен това, те трябва да отговарят на </w:t>
      </w:r>
      <w:r w:rsidRPr="001B0EA3">
        <w:lastRenderedPageBreak/>
        <w:t xml:space="preserve">целите на ОПТТИ и да съответстват на инвестиционните приоритети на приоритетните оси по ОПТТИ. </w:t>
      </w:r>
    </w:p>
    <w:p w14:paraId="7F33C3B6" w14:textId="77777777" w:rsidR="00D603F5" w:rsidRPr="001B0EA3" w:rsidRDefault="00D603F5" w:rsidP="004E0B9F">
      <w:r w:rsidRPr="001B0EA3">
        <w:t>Процесът на  оценка на проектните предложения протича на следните етапи – проверка за административно съответствие, проверка на допустимост и техническа и финансова оценка. Всеки оценител извършва последователно административна проверка, проверка на допустимост, техническа и финансова оценка, като резултатите отразява в оценителна таблица.  Преминаването от един в друг етап на оценка се осъществява след решение на оценителната комисия, взето с мнозинство. Изключение прави оценката на финансовия план, която включва единствено проверка за административно съответствие и оценка за допустимост.</w:t>
      </w:r>
    </w:p>
    <w:p w14:paraId="7FE823E9" w14:textId="77777777" w:rsidR="00D603F5" w:rsidRPr="001B0EA3" w:rsidRDefault="00823784" w:rsidP="004E0B9F">
      <w:r w:rsidRPr="001B0EA3">
        <w:t xml:space="preserve">Оценителната комисия проверява декларациите, приложени към проектното предложение, като в допълнение при необходимост изисква становище на компетентен орган. </w:t>
      </w:r>
      <w:r w:rsidR="00D603F5" w:rsidRPr="001B0EA3">
        <w:t>Оценителната комисия няма право да се произнася върху, респективно да оценява качеството на вече утвърдени/одобрени документи от съответните, установени със закон, компетентни органи (когато такива са приложени към формуляра за кандидатстване).</w:t>
      </w:r>
      <w:r w:rsidR="004D4A8C" w:rsidRPr="001B0EA3">
        <w:t xml:space="preserve"> Оценителната комисия извършва проверката, като взема под внимание и предварителната информация за бенефициента, с която разполага</w:t>
      </w:r>
      <w:r w:rsidR="006D5226" w:rsidRPr="001B0EA3">
        <w:t xml:space="preserve">, включително за </w:t>
      </w:r>
      <w:r w:rsidR="00B3475F" w:rsidRPr="001B0EA3">
        <w:t>предходни</w:t>
      </w:r>
      <w:r w:rsidR="006D5226" w:rsidRPr="001B0EA3">
        <w:t xml:space="preserve"> декларации с невярно съдържание</w:t>
      </w:r>
      <w:r w:rsidR="004D4A8C" w:rsidRPr="001B0EA3">
        <w:t>.</w:t>
      </w:r>
    </w:p>
    <w:p w14:paraId="07B69929" w14:textId="77777777" w:rsidR="00AE108B" w:rsidRPr="001B0EA3" w:rsidRDefault="00EF4BD9" w:rsidP="004E0B9F">
      <w:pPr>
        <w:rPr>
          <w:b/>
          <w:i/>
        </w:rPr>
      </w:pPr>
      <w:r w:rsidRPr="001B0EA3">
        <w:t xml:space="preserve">Началника на отдел </w:t>
      </w:r>
      <w:r w:rsidR="009A0327" w:rsidRPr="001B0EA3">
        <w:t xml:space="preserve">„Програмиране“ от дирекция КПП </w:t>
      </w:r>
      <w:r w:rsidRPr="001B0EA3">
        <w:t xml:space="preserve">извършва проверка на </w:t>
      </w:r>
      <w:r w:rsidR="007550E3" w:rsidRPr="001B0EA3">
        <w:t xml:space="preserve">извършената процедура за оценка на проектното предложение. </w:t>
      </w:r>
      <w:r w:rsidR="00AE108B" w:rsidRPr="001B0EA3">
        <w:rPr>
          <w:b/>
          <w:i/>
        </w:rPr>
        <w:t>(</w:t>
      </w:r>
      <w:hyperlink r:id="rId93" w:tooltip="Контролен лист за проверка на процедурата на извършена оценка на проектно предложение" w:history="1">
        <w:r w:rsidR="00AE381A" w:rsidRPr="00251D03">
          <w:rPr>
            <w:rStyle w:val="Hyperlink"/>
            <w:i/>
          </w:rPr>
          <w:t>Приложение № 3.09</w:t>
        </w:r>
      </w:hyperlink>
      <w:r w:rsidR="00AE108B" w:rsidRPr="001B0EA3">
        <w:rPr>
          <w:b/>
          <w:i/>
        </w:rPr>
        <w:t>)</w:t>
      </w:r>
      <w:r w:rsidR="007F4D09" w:rsidRPr="007F4D09">
        <w:t xml:space="preserve"> </w:t>
      </w:r>
      <w:r w:rsidR="007F4D09" w:rsidRPr="007F4D09">
        <w:rPr>
          <w:b/>
          <w:i/>
        </w:rPr>
        <w:t>в ИСУН 2020.</w:t>
      </w:r>
    </w:p>
    <w:p w14:paraId="031E6296" w14:textId="77777777" w:rsidR="00AE108B" w:rsidRPr="001B0EA3" w:rsidRDefault="00AE108B" w:rsidP="00946DE7">
      <w:r w:rsidRPr="001B0EA3">
        <w:t xml:space="preserve">Съгласно чл. 4, ал. 4 на ЗУСЕСИФ (чл. 2 от ПМС № 107 от 10.05.2014 г.), БФП не се предоставя за финансиране на разходи, които вече са финансирани със средства от ЕСИФ или чрез други инструменти на Европейския съюз в съответствие с чл. 65, параграф 11 от Регламент (ЕС) № 1303/2013, както и с други публични средства, различни от тези на бенефициента. Проверката за липса на двойно финансиране се извършва от член на оценителната комисия, определен от председателя на комисията, чрез ИСУН. Резултатите от проверката се записват в Контролен лист, попълнен от член на оценителната комисия по образец </w:t>
      </w:r>
      <w:hyperlink r:id="rId94" w:tooltip="Контролен лист за извършена проверка в ИСУН за липса на двойно финансиране" w:history="1">
        <w:r w:rsidR="00AE381A" w:rsidRPr="00251D03">
          <w:rPr>
            <w:rStyle w:val="Hyperlink"/>
            <w:i/>
          </w:rPr>
          <w:t>Приложение № 3.08</w:t>
        </w:r>
      </w:hyperlink>
      <w:r w:rsidR="0079299D" w:rsidRPr="00842ECC">
        <w:rPr>
          <w:rStyle w:val="Hyperlink"/>
          <w:u w:val="none"/>
        </w:rPr>
        <w:t xml:space="preserve"> </w:t>
      </w:r>
      <w:r w:rsidR="0079299D" w:rsidRPr="00AE1F0D">
        <w:rPr>
          <w:rStyle w:val="Hyperlink"/>
          <w:color w:val="auto"/>
          <w:u w:val="none"/>
        </w:rPr>
        <w:t>в системата ИСУН 2020</w:t>
      </w:r>
      <w:r w:rsidRPr="001B0EA3">
        <w:t>, приложен към ПНУИ на ОПТТИ.</w:t>
      </w:r>
      <w:r w:rsidRPr="001B0EA3">
        <w:rPr>
          <w:rFonts w:ascii="Calibri" w:hAnsi="Calibri"/>
          <w:sz w:val="22"/>
          <w:szCs w:val="22"/>
          <w:lang w:eastAsia="en-US"/>
        </w:rPr>
        <w:t xml:space="preserve"> </w:t>
      </w:r>
      <w:r w:rsidRPr="001B0EA3">
        <w:t>Председателят на оценителната комисия извършва втора проверка на попълнения контролен лист</w:t>
      </w:r>
      <w:r w:rsidR="00946DE7">
        <w:t xml:space="preserve"> </w:t>
      </w:r>
      <w:r w:rsidR="00946DE7" w:rsidRPr="00117E69">
        <w:t>в ИСУН 2020</w:t>
      </w:r>
      <w:r w:rsidRPr="001B0EA3">
        <w:t>.</w:t>
      </w:r>
    </w:p>
    <w:p w14:paraId="3FB8B9CF" w14:textId="77777777" w:rsidR="00EF4BD9" w:rsidRPr="001B0EA3" w:rsidRDefault="00EF4BD9" w:rsidP="004E0B9F"/>
    <w:p w14:paraId="2CBCFF36" w14:textId="77777777" w:rsidR="00D603F5" w:rsidRPr="001B0EA3" w:rsidRDefault="00D603F5" w:rsidP="004E0B9F">
      <w:pPr>
        <w:rPr>
          <w:szCs w:val="24"/>
          <w:lang w:eastAsia="bg-BG"/>
        </w:rPr>
      </w:pPr>
      <w:r w:rsidRPr="001B0EA3">
        <w:rPr>
          <w:szCs w:val="24"/>
          <w:lang w:eastAsia="bg-BG"/>
        </w:rPr>
        <w:t xml:space="preserve">Подготовката и изпълнението на проекта може да започне паралелно с подготовката на формуляр за кандидатстване/финансов план. Процедурите за оценка на проектни предложения по ОПТТИ могат да се прилагат „преди“, </w:t>
      </w:r>
      <w:r w:rsidR="00D15E09" w:rsidRPr="001B0EA3">
        <w:rPr>
          <w:szCs w:val="24"/>
          <w:lang w:eastAsia="bg-BG"/>
        </w:rPr>
        <w:t>„</w:t>
      </w:r>
      <w:r w:rsidRPr="001B0EA3">
        <w:rPr>
          <w:szCs w:val="24"/>
          <w:lang w:eastAsia="bg-BG"/>
        </w:rPr>
        <w:t>по време на“ и „след“ провеждане на процедурите за възлагане на обществените поръчки за избор на изпълнител/и за реализиране на дейности по проекта. В случай, че операцията е започнала преди подаването на заявление за финансиране до управляващия орган оценителната комисия се уверява, че приложимо право, касаещо операцията, е било спазено, т.е. че дейностите по проекта не са приключили.</w:t>
      </w:r>
    </w:p>
    <w:p w14:paraId="69979042" w14:textId="77777777" w:rsidR="00D603F5" w:rsidRPr="001B0EA3" w:rsidRDefault="00D603F5" w:rsidP="004E0B9F">
      <w:r w:rsidRPr="001B0EA3">
        <w:t>Процедурите за  оценка на инвестиционни проекти, които са включени в годишните планове за действие по инициативата на ЕК, ЕИБ и Световна банка -ЕБВР, ДЖАСПЪРС (JASPERS - Joint Assistance in Supporting Projects in the European Regions/ Съвместна помощ за подготовката на проекти за европейските региони, създадена на базата на Меморандум за разбирателство,  могат да бъдат приключени от УО на ОПТТИ след получаване на окончателното официално становище за завършеност на проекта от страна на инициативата „JASPERS”.</w:t>
      </w:r>
    </w:p>
    <w:p w14:paraId="7686256A" w14:textId="77777777" w:rsidR="00D603F5" w:rsidRPr="001B0EA3" w:rsidRDefault="00D603F5" w:rsidP="00B502C7">
      <w:pPr>
        <w:pStyle w:val="Style2"/>
      </w:pPr>
      <w:bookmarkStart w:id="555" w:name="_Toc479775638"/>
      <w:bookmarkStart w:id="556" w:name="_Toc140150213"/>
      <w:bookmarkStart w:id="557" w:name="_Ref395884468"/>
      <w:r w:rsidRPr="001B0EA3">
        <w:t>Подаване на проектни предложения</w:t>
      </w:r>
      <w:bookmarkEnd w:id="555"/>
      <w:bookmarkEnd w:id="556"/>
    </w:p>
    <w:p w14:paraId="135653DD" w14:textId="77777777" w:rsidR="00D603F5" w:rsidRPr="001B0EA3" w:rsidRDefault="00D603F5" w:rsidP="00A04607">
      <w:r w:rsidRPr="001B0EA3">
        <w:t xml:space="preserve">Подаване на проектни предложения чрез попълнени образци на ФК/ФП, приложени към Насоките за кандидатстване по ОПТТИ, в съответствие с условията и указанията, посочени в Насоките за кандидатстване по ОПТТИ. Образците се попълват в системата ИСУН 2020, чрез използване на електронните услуги за изготвяне на файла и при спазване на </w:t>
      </w:r>
      <w:r w:rsidRPr="001B0EA3">
        <w:lastRenderedPageBreak/>
        <w:t xml:space="preserve">указанията  и с помощта на ръководствата, разработени към системата. </w:t>
      </w:r>
      <w:r w:rsidR="008D69BB" w:rsidRPr="001B0EA3">
        <w:t>При подаване на проектни предложения на хартиен носител се попълва формуляра за кандидатстване в системата ИСУН 2020, след което попълнения ФК се разпечатва и подава в УО на ОПТТИ.</w:t>
      </w:r>
      <w:r w:rsidR="00EF1A10" w:rsidRPr="001B0EA3">
        <w:t xml:space="preserve"> Проектното предложение се подава заедно с придружителните документи в УО в рамките на указания срок за кандидатстване.</w:t>
      </w:r>
    </w:p>
    <w:p w14:paraId="71DBFE9A" w14:textId="77777777" w:rsidR="00D603F5" w:rsidRPr="00A04607" w:rsidRDefault="00D603F5" w:rsidP="00A04607">
      <w:pPr>
        <w:pStyle w:val="ListParagraph"/>
        <w:numPr>
          <w:ilvl w:val="0"/>
          <w:numId w:val="330"/>
        </w:numPr>
        <w:ind w:left="1134" w:hanging="283"/>
        <w:rPr>
          <w:b/>
        </w:rPr>
      </w:pPr>
      <w:r w:rsidRPr="00A04607">
        <w:rPr>
          <w:b/>
        </w:rPr>
        <w:t xml:space="preserve">Подаване на проектни предложения за инвестиционни/ инфраструктурни проекти </w:t>
      </w:r>
    </w:p>
    <w:p w14:paraId="1FC3586D" w14:textId="77777777" w:rsidR="00D603F5" w:rsidRPr="001B0EA3" w:rsidRDefault="00D603F5" w:rsidP="00A04607">
      <w:r w:rsidRPr="001B0EA3">
        <w:t>Конкретните бенефициенти по приоритетните оси от 1 до 4 на ОПТТИ подават проектни предложения за инвестиционни/инфраструктурни проекти, чрез попълване на изискуемата информация във ФК за „големи проекти“ по смисъла на чл. 100 от Регламент (ЕС) № 1303/2013.</w:t>
      </w:r>
      <w:r w:rsidR="00CA30DE" w:rsidRPr="001B0EA3">
        <w:t xml:space="preserve"> Образец на формуляра за кандидатстване </w:t>
      </w:r>
      <w:r w:rsidR="00A979CB" w:rsidRPr="001B0EA3">
        <w:t xml:space="preserve">за „голям проект“ </w:t>
      </w:r>
      <w:r w:rsidR="00CA30DE" w:rsidRPr="001B0EA3">
        <w:t xml:space="preserve">е даден в Приложение № ІІ  „Формат за подаване на информация относно голям проект“ на Регламент за изпълнение (ЕС) № 207/2015 г. </w:t>
      </w:r>
      <w:r w:rsidRPr="001B0EA3">
        <w:t>Този попълнен формуляр за кандидатстване за „голям проект“ се прилага като приложение към стандартния образец, попълнен в ИСУН 2020.</w:t>
      </w:r>
    </w:p>
    <w:p w14:paraId="24241874" w14:textId="77777777" w:rsidR="00D603F5" w:rsidRDefault="00D603F5" w:rsidP="00A04607">
      <w:r w:rsidRPr="001B0EA3">
        <w:t>ФК е във формата приет от Европейската комисия съгласно чл. 101 от Регламент (ЕС) № 1303/2013. За инфраструктурни проекти с обща стойност на допустимите разходи под 75 млн. евро (</w:t>
      </w:r>
      <w:r w:rsidRPr="001B0EA3">
        <w:rPr>
          <w:i/>
        </w:rPr>
        <w:t>по тематична цел 7</w:t>
      </w:r>
      <w:r w:rsidRPr="001B0EA3">
        <w:t>) и под 50 млн. евро (</w:t>
      </w:r>
      <w:r w:rsidRPr="001B0EA3">
        <w:rPr>
          <w:i/>
        </w:rPr>
        <w:t>по тематична цел 4</w:t>
      </w:r>
      <w:r w:rsidRPr="001B0EA3">
        <w:t>) в Насоките за кандидатстване могат да бъдат предвидени задължителна и незадължителна информация/ приложения/ полета от ФК за „голям проект“.</w:t>
      </w:r>
    </w:p>
    <w:p w14:paraId="17CADF3A" w14:textId="77777777" w:rsidR="00A04607" w:rsidRPr="001B0EA3" w:rsidRDefault="00A04607" w:rsidP="00A04607">
      <w:pPr>
        <w:rPr>
          <w:lang w:eastAsia="bg-BG"/>
        </w:rPr>
      </w:pPr>
    </w:p>
    <w:p w14:paraId="5CE279AD" w14:textId="77777777" w:rsidR="00D603F5" w:rsidRPr="00A04607" w:rsidRDefault="00D603F5" w:rsidP="00A04607">
      <w:pPr>
        <w:pStyle w:val="ListParagraph"/>
        <w:numPr>
          <w:ilvl w:val="0"/>
          <w:numId w:val="330"/>
        </w:numPr>
        <w:ind w:left="1134" w:hanging="283"/>
        <w:rPr>
          <w:b/>
        </w:rPr>
      </w:pPr>
      <w:r w:rsidRPr="00A04607">
        <w:rPr>
          <w:b/>
        </w:rPr>
        <w:t>Подаване на проектни предложения за подготовка на инвестиционни/инфраструктурни проекти или за проекти за техническа помощ</w:t>
      </w:r>
    </w:p>
    <w:p w14:paraId="7762D83B" w14:textId="77777777" w:rsidR="00D603F5" w:rsidRDefault="00D603F5" w:rsidP="00A04607">
      <w:r w:rsidRPr="001B0EA3">
        <w:t xml:space="preserve">Конкретните бенефициенти по ОПТТИ подават проектни предложения за подготовка на инвестиционни проекти или за проекти за техническа помощ, изготвени съгласно изискванията на Модул „Е-кандидатстване“, Под-модул „Проектни предложения” на ИСУН 2020 и в съответствие с Насоките за кандидатстване  по ОПТТИ (по формата, утвърден, съгласно чл. 8, ал.2 на ПМС № 107 от 10.05.2014 г. от министър-председателят по управление на средствата от ЕС). </w:t>
      </w:r>
    </w:p>
    <w:p w14:paraId="260E4F57" w14:textId="77777777" w:rsidR="00A04607" w:rsidRPr="001B0EA3" w:rsidRDefault="00A04607" w:rsidP="00A04607">
      <w:pPr>
        <w:rPr>
          <w:lang w:eastAsia="bg-BG"/>
        </w:rPr>
      </w:pPr>
    </w:p>
    <w:p w14:paraId="0E06727B" w14:textId="77777777" w:rsidR="00D603F5" w:rsidRPr="00A04607" w:rsidRDefault="00D603F5" w:rsidP="00A04607">
      <w:pPr>
        <w:pStyle w:val="ListParagraph"/>
        <w:numPr>
          <w:ilvl w:val="0"/>
          <w:numId w:val="330"/>
        </w:numPr>
        <w:ind w:left="1134" w:hanging="283"/>
        <w:rPr>
          <w:b/>
        </w:rPr>
      </w:pPr>
      <w:r w:rsidRPr="00A04607">
        <w:rPr>
          <w:b/>
        </w:rPr>
        <w:t>Подаване на проектни предложения за финансиране чрез бюджетна линия</w:t>
      </w:r>
    </w:p>
    <w:p w14:paraId="2862A32A" w14:textId="77777777" w:rsidR="00D603F5" w:rsidRPr="001B0EA3" w:rsidRDefault="00D603F5" w:rsidP="00A04607">
      <w:pPr>
        <w:rPr>
          <w:lang w:eastAsia="bg-BG"/>
        </w:rPr>
      </w:pPr>
      <w:r w:rsidRPr="001B0EA3">
        <w:t>Конкретни бенефициенти-публични организации/звена по ОПТТИ за разходи с цел обезпечаване на дейностите по програмиране, наблюдение, управление, контрол, координация, сертифициране, както и дейности по одит и оценка на усвоените средства от определените средства за техническа помощ, финансирани чрез ЕФРР и КФ на ЕС за програмен период 2014-2020 г.,</w:t>
      </w:r>
      <w:r w:rsidR="00DF4410" w:rsidRPr="001B0EA3">
        <w:t xml:space="preserve"> </w:t>
      </w:r>
      <w:r w:rsidRPr="001B0EA3">
        <w:t xml:space="preserve">във формата на финансов план, за финансиране чрез бюджетна линия </w:t>
      </w:r>
    </w:p>
    <w:p w14:paraId="6B1A4ADC" w14:textId="77777777" w:rsidR="00D603F5" w:rsidRPr="001B0EA3" w:rsidRDefault="00D603F5" w:rsidP="00A04607">
      <w:r w:rsidRPr="001B0EA3">
        <w:rPr>
          <w:i/>
        </w:rPr>
        <w:t>Срок за изпълнение:</w:t>
      </w:r>
      <w:r w:rsidRPr="001B0EA3">
        <w:t xml:space="preserve"> Процедурата на директно предоставяне е без определен краен срок за кандидатстване, но проектни предложения могат да бъдат подавани не по-късно от </w:t>
      </w:r>
      <w:r w:rsidRPr="001B0EA3">
        <w:rPr>
          <w:b/>
        </w:rPr>
        <w:t xml:space="preserve">31.12.2020 г. </w:t>
      </w:r>
      <w:r w:rsidRPr="001B0EA3">
        <w:t>В Насоките за кандидатстване по ОПТТИ и</w:t>
      </w:r>
      <w:r w:rsidR="00A5310B" w:rsidRPr="001B0EA3">
        <w:t xml:space="preserve">/или </w:t>
      </w:r>
      <w:r w:rsidRPr="001B0EA3">
        <w:t xml:space="preserve">в поканата за представяне на проектни предложения ще бъдат точно посочени крайните срокове за подаване на проектни предложения за всяка приоритетна ос по програмата. </w:t>
      </w:r>
    </w:p>
    <w:p w14:paraId="6AB6DA7F" w14:textId="77777777" w:rsidR="00BC3C4B" w:rsidRPr="00A04607" w:rsidRDefault="00BC3C4B" w:rsidP="00A04607">
      <w:pPr>
        <w:rPr>
          <w:b/>
        </w:rPr>
      </w:pPr>
      <w:r w:rsidRPr="00A04607">
        <w:rPr>
          <w:b/>
        </w:rPr>
        <w:t>Електронно подаване на проектни предложения</w:t>
      </w:r>
    </w:p>
    <w:p w14:paraId="03E92EA7" w14:textId="77777777" w:rsidR="00BC3C4B" w:rsidRPr="001B0EA3" w:rsidRDefault="00BC3C4B" w:rsidP="00A04607">
      <w:pPr>
        <w:rPr>
          <w:lang w:eastAsia="bg-BG"/>
        </w:rPr>
      </w:pPr>
      <w:r w:rsidRPr="001B0EA3">
        <w:rPr>
          <w:lang w:eastAsia="bg-BG"/>
        </w:rPr>
        <w:t>Подаването на проектното предложение се извършва по един от следните начини:</w:t>
      </w:r>
    </w:p>
    <w:p w14:paraId="23AF8174" w14:textId="77777777" w:rsidR="00BC3C4B" w:rsidRPr="001B0EA3" w:rsidRDefault="00BC3C4B" w:rsidP="00A04607">
      <w:pPr>
        <w:pStyle w:val="ListParagraph"/>
        <w:numPr>
          <w:ilvl w:val="0"/>
          <w:numId w:val="331"/>
        </w:numPr>
        <w:rPr>
          <w:lang w:eastAsia="bg-BG"/>
        </w:rPr>
      </w:pPr>
      <w:r w:rsidRPr="001B0EA3">
        <w:rPr>
          <w:lang w:eastAsia="bg-BG"/>
        </w:rPr>
        <w:t>попълване на уеб базиран формуляр за кандидатстване и подаването му от кандидати, които притежават  електронен подпис;</w:t>
      </w:r>
    </w:p>
    <w:p w14:paraId="1F060F3E" w14:textId="77777777" w:rsidR="00BC3C4B" w:rsidRPr="001B0EA3" w:rsidRDefault="00BC3C4B" w:rsidP="00A04607">
      <w:pPr>
        <w:pStyle w:val="ListParagraph"/>
        <w:numPr>
          <w:ilvl w:val="0"/>
          <w:numId w:val="331"/>
        </w:numPr>
        <w:rPr>
          <w:lang w:eastAsia="bg-BG"/>
        </w:rPr>
      </w:pPr>
      <w:r w:rsidRPr="001B0EA3">
        <w:rPr>
          <w:lang w:eastAsia="bg-BG"/>
        </w:rPr>
        <w:t>попълване на уеб базиран формуляр за кандидатстване и подаването му от кандидати, които не притежават електронен подпис;</w:t>
      </w:r>
    </w:p>
    <w:p w14:paraId="468377AB" w14:textId="77777777" w:rsidR="00BC3C4B" w:rsidRPr="001B0EA3" w:rsidRDefault="00BC3C4B" w:rsidP="00A04607">
      <w:pPr>
        <w:rPr>
          <w:lang w:eastAsia="bg-BG"/>
        </w:rPr>
      </w:pPr>
      <w:r w:rsidRPr="001B0EA3">
        <w:rPr>
          <w:lang w:eastAsia="bg-BG"/>
        </w:rPr>
        <w:t>Стъпките са идентични за следните видове формуляри за кандидатстване: стандартен и финансов план</w:t>
      </w:r>
      <w:r w:rsidR="003B46AF" w:rsidRPr="001B0EA3">
        <w:rPr>
          <w:lang w:eastAsia="bg-BG"/>
        </w:rPr>
        <w:t xml:space="preserve"> и са подробно описани в указанията за използване на системата ИСУН 2020</w:t>
      </w:r>
      <w:r w:rsidRPr="001B0EA3">
        <w:rPr>
          <w:lang w:eastAsia="bg-BG"/>
        </w:rPr>
        <w:t>.</w:t>
      </w:r>
    </w:p>
    <w:p w14:paraId="3C92B32A" w14:textId="77777777" w:rsidR="00AE108B" w:rsidRPr="001B0EA3" w:rsidRDefault="00AE108B" w:rsidP="00660856">
      <w:pPr>
        <w:rPr>
          <w:szCs w:val="24"/>
          <w:lang w:eastAsia="bg-BG"/>
        </w:rPr>
      </w:pPr>
    </w:p>
    <w:p w14:paraId="62F01624" w14:textId="77777777" w:rsidR="00AE108B" w:rsidRPr="00A04607" w:rsidRDefault="00AE108B" w:rsidP="00A04607">
      <w:pPr>
        <w:pStyle w:val="ListParagraph"/>
        <w:numPr>
          <w:ilvl w:val="0"/>
          <w:numId w:val="330"/>
        </w:numPr>
        <w:ind w:left="1134" w:hanging="283"/>
        <w:rPr>
          <w:b/>
        </w:rPr>
      </w:pPr>
      <w:r w:rsidRPr="00A04607">
        <w:rPr>
          <w:b/>
        </w:rPr>
        <w:t xml:space="preserve">Оттегляне на подадено проектно предложение </w:t>
      </w:r>
    </w:p>
    <w:p w14:paraId="2F8E52A6" w14:textId="77777777" w:rsidR="00AE108B" w:rsidRPr="001B0EA3" w:rsidRDefault="00AE108B" w:rsidP="00A04607">
      <w:r w:rsidRPr="001B0EA3">
        <w:lastRenderedPageBreak/>
        <w:t>Всеки конкретен бенефициент може да подаде официално искане (включително чрез ИСУН 2020) за оттегляне на проектно предложение. След получаване на искането служител от отдел „Програмиране“ извършва следните действия:</w:t>
      </w:r>
    </w:p>
    <w:p w14:paraId="02056F8B" w14:textId="77777777" w:rsidR="00AE108B" w:rsidRPr="001B0EA3" w:rsidRDefault="00AE108B" w:rsidP="00A04607">
      <w:pPr>
        <w:pStyle w:val="ListParagraph"/>
        <w:numPr>
          <w:ilvl w:val="0"/>
          <w:numId w:val="332"/>
        </w:numPr>
        <w:ind w:left="0" w:firstLine="1211"/>
      </w:pPr>
      <w:r w:rsidRPr="001B0EA3">
        <w:t>При стартирала оценка на проектното предложение в ИСУН 2020, оценителната сесия се анулира и проектното предложение се оттегля;</w:t>
      </w:r>
    </w:p>
    <w:p w14:paraId="2594D4AE" w14:textId="77777777" w:rsidR="00AE108B" w:rsidRPr="001B0EA3" w:rsidRDefault="00AE108B" w:rsidP="00A04607">
      <w:pPr>
        <w:pStyle w:val="ListParagraph"/>
        <w:numPr>
          <w:ilvl w:val="0"/>
          <w:numId w:val="332"/>
        </w:numPr>
        <w:ind w:left="0" w:firstLine="1211"/>
      </w:pPr>
      <w:r w:rsidRPr="001B0EA3">
        <w:t>Преди стартиране на оценката на проектното предложение в ИСУН 2020 проектното предложение се оттегля.</w:t>
      </w:r>
    </w:p>
    <w:p w14:paraId="59AFDEFE" w14:textId="77777777" w:rsidR="00AE108B" w:rsidRPr="001B0EA3" w:rsidRDefault="00AE108B" w:rsidP="00A04607"/>
    <w:p w14:paraId="4B0AA791" w14:textId="77777777" w:rsidR="00AE108B" w:rsidRPr="001B0EA3" w:rsidRDefault="00AE108B" w:rsidP="00A04607">
      <w:r w:rsidRPr="001B0EA3">
        <w:t>Оттегляне на проектно предложение в ИСУН 2020 може да се реализира по преценка на УО без подадено искане на бенефициента на база одобрен доклад от Ръководителя на УО на ОПТТИ.</w:t>
      </w:r>
    </w:p>
    <w:p w14:paraId="72CB31BA" w14:textId="77777777" w:rsidR="00BC3C4B" w:rsidRPr="001B0EA3" w:rsidRDefault="00BC3C4B" w:rsidP="00A04607"/>
    <w:p w14:paraId="783F946B" w14:textId="77777777" w:rsidR="00D603F5" w:rsidRPr="001B0EA3" w:rsidRDefault="00D603F5" w:rsidP="00346F28">
      <w:pPr>
        <w:pStyle w:val="Style3"/>
      </w:pPr>
      <w:bookmarkStart w:id="558" w:name="_Toc479775639"/>
      <w:r w:rsidRPr="001B0EA3">
        <w:t>Регистрация на формуляри за кандидатстване</w:t>
      </w:r>
      <w:bookmarkEnd w:id="558"/>
    </w:p>
    <w:p w14:paraId="3A2DC3C8" w14:textId="77777777" w:rsidR="00D603F5" w:rsidRPr="001B0EA3" w:rsidRDefault="00D603F5" w:rsidP="00346F28">
      <w:pPr>
        <w:pStyle w:val="Style4"/>
        <w:rPr>
          <w:lang w:eastAsia="bg-BG"/>
        </w:rPr>
      </w:pPr>
      <w:bookmarkStart w:id="559" w:name="_Toc479775640"/>
      <w:r w:rsidRPr="001B0EA3">
        <w:rPr>
          <w:lang w:eastAsia="bg-BG"/>
        </w:rPr>
        <w:t>Електронно кандидатстване</w:t>
      </w:r>
      <w:bookmarkEnd w:id="559"/>
      <w:r w:rsidRPr="001B0EA3">
        <w:rPr>
          <w:lang w:eastAsia="bg-BG"/>
        </w:rPr>
        <w:tab/>
      </w:r>
    </w:p>
    <w:p w14:paraId="08BCB3B0" w14:textId="77777777" w:rsidR="00D603F5" w:rsidRPr="001B0EA3" w:rsidRDefault="00D603F5" w:rsidP="00A04607">
      <w:r w:rsidRPr="001B0EA3">
        <w:t xml:space="preserve">През програмния период 2014 – 2020 при електронно кандидатстване по ОПТТИ, както и комуникацията по електронен път между конкретните бенефициенти и УО на ОПТТИ във връзка с предоставянето на БФП се осъществява посредством единната информационна система за управление ИСУН 2020. Условията и редът за подаване на проектни предложения и тяхната оценка по електронен път чрез ИСУН 2020 се определят с указания на заместник министър-председателя по управление на средствата от Европейския съюз. </w:t>
      </w:r>
    </w:p>
    <w:p w14:paraId="4A462D38" w14:textId="77777777" w:rsidR="00D603F5" w:rsidRPr="001B0EA3" w:rsidRDefault="00D603F5" w:rsidP="00A04607">
      <w:r w:rsidRPr="001B0EA3">
        <w:rPr>
          <w:i/>
        </w:rPr>
        <w:t xml:space="preserve">Забележка: </w:t>
      </w:r>
      <w:r w:rsidRPr="001B0EA3">
        <w:t>До издаване на тези указания проектни предложения не се подават по електронен път</w:t>
      </w:r>
      <w:r w:rsidRPr="001B0EA3">
        <w:rPr>
          <w:rStyle w:val="FootnoteReference"/>
          <w:szCs w:val="24"/>
        </w:rPr>
        <w:footnoteReference w:id="47"/>
      </w:r>
      <w:r w:rsidRPr="001B0EA3">
        <w:t>.</w:t>
      </w:r>
    </w:p>
    <w:p w14:paraId="0141A5B9" w14:textId="77777777" w:rsidR="00AE108B" w:rsidRPr="001B0EA3" w:rsidRDefault="00AE108B" w:rsidP="00A04607">
      <w:r w:rsidRPr="001B0EA3">
        <w:t xml:space="preserve">Подготовката и подаването на формуляра за кандидатстване се извършва през публичната част на модул „Е-кандидатстване“ на ИСУН 2020. За регистрацията на профил се изисква име, валиден електронен адрес и валиден електронен подпис на ползващия. Системата позволява определен електронен адрес да се използва само за едни профил. Данните, които се въвеждат са: име, електронен адрес. </w:t>
      </w:r>
    </w:p>
    <w:p w14:paraId="4E7F5EA8" w14:textId="77777777" w:rsidR="00AE108B" w:rsidRPr="001B0EA3" w:rsidRDefault="00AE108B" w:rsidP="00A04607">
      <w:r w:rsidRPr="001B0EA3">
        <w:t>Към всеки профил се съхраняват създадените през него формуляри за кандидатстване. Всеки формуляр може да бъде записан локално, на файл в специален формат. Системата позволява зареждането на локално записан файл на формуляр за кандидатстване и продължаването на въвеждането по него. След подаването, проектното предложение продължава да се визуализира в профила, заедно с получения номер. Заедно с него се съхраняват и цялата кореспонденция и промени, направени по време на оценка.</w:t>
      </w:r>
    </w:p>
    <w:p w14:paraId="075F3292" w14:textId="77777777" w:rsidR="00AE108B" w:rsidRPr="001B0EA3" w:rsidRDefault="00AE108B" w:rsidP="00A04607">
      <w:r w:rsidRPr="001B0EA3">
        <w:t>Съгласно указанията в Насоките за кандидатстване ФК могат да бъдат  подадени изцяло по електронен път чрез модула за електронни услуги „Е-кандидатстване“ на ИСУН 2020 „електронно“ с използване на квалифициран електронен подпис и „на хартия“ – без използване на електронен подпис. При „електронно“ кандидатстване за момент на регистриране на проектното предложение се приема получаването на потвърждение за успешното му въвеждане в ИСУН 2020. Системата записва данните за проектното предложение и извършва регистрацията, като генерира номер на проектното предложение. Системата издава документ с номера на проектното предложение. При успешно получаване на документите, системата издава входящ номер/дата, като в нея се записва час и минута на получаване на документите. След получаването на пакета документи от системата, кандидатът не може да го променя освен по искане на оценителната комисия. При процедури с изцяло електронно подаване на всички документи, за час на подаване се счита времето на приложния сървър на ИСУН 2020, когато са записани данните, а не времето на локалния компютър на кандидата. Техническият процес на регистрация е подобно описан в ръководството на потребителите на ИСУН 2020.</w:t>
      </w:r>
    </w:p>
    <w:p w14:paraId="6A23BA51" w14:textId="77777777" w:rsidR="00AE108B" w:rsidRPr="001B0EA3" w:rsidRDefault="00AE108B" w:rsidP="00A04607">
      <w:r w:rsidRPr="001B0EA3">
        <w:lastRenderedPageBreak/>
        <w:t>До приключването на работата на оценителната комисия кандидатът има възможност да оттегли своето проектно предложение като подаде писмено искане в УО на ОПТТИ, като това обстоятелство се отбелязва от потребител на ИСУН със съответните права.</w:t>
      </w:r>
    </w:p>
    <w:p w14:paraId="77AFA6DD" w14:textId="77777777" w:rsidR="00D603F5" w:rsidRPr="001B0EA3" w:rsidRDefault="00D603F5" w:rsidP="00A04607">
      <w:bookmarkStart w:id="560" w:name="_Toc402364432"/>
      <w:bookmarkStart w:id="561" w:name="_Toc410641384"/>
    </w:p>
    <w:p w14:paraId="28A16CA4" w14:textId="77777777" w:rsidR="00D603F5" w:rsidRPr="001B0EA3" w:rsidRDefault="00D603F5" w:rsidP="00A04607">
      <w:pPr>
        <w:rPr>
          <w:rFonts w:eastAsia="SimSun"/>
          <w:lang w:eastAsia="zh-CN"/>
        </w:rPr>
      </w:pPr>
      <w:r w:rsidRPr="001B0EA3">
        <w:rPr>
          <w:rFonts w:eastAsia="SimSun"/>
          <w:b/>
          <w:i/>
          <w:lang w:eastAsia="zh-CN"/>
        </w:rPr>
        <w:t>Модул „Е-кандидатстване“</w:t>
      </w:r>
      <w:bookmarkEnd w:id="560"/>
      <w:bookmarkEnd w:id="561"/>
      <w:r w:rsidRPr="001B0EA3">
        <w:rPr>
          <w:rFonts w:eastAsia="SimSun"/>
          <w:b/>
          <w:i/>
          <w:lang w:eastAsia="zh-CN"/>
        </w:rPr>
        <w:t xml:space="preserve">  </w:t>
      </w:r>
      <w:r w:rsidRPr="001B0EA3">
        <w:rPr>
          <w:rFonts w:eastAsia="SimSun"/>
          <w:lang w:eastAsia="zh-CN"/>
        </w:rPr>
        <w:t>се разделя на следните под-модули:</w:t>
      </w:r>
    </w:p>
    <w:p w14:paraId="53D188E6" w14:textId="77777777" w:rsidR="00D603F5" w:rsidRPr="001B0EA3" w:rsidRDefault="00D603F5" w:rsidP="0019114B">
      <w:pPr>
        <w:rPr>
          <w:rFonts w:eastAsia="SimSun"/>
          <w:b/>
          <w:i/>
          <w:szCs w:val="24"/>
          <w:lang w:eastAsia="zh-CN"/>
        </w:rPr>
      </w:pPr>
    </w:p>
    <w:p w14:paraId="287DB7AC" w14:textId="77777777" w:rsidR="00D603F5" w:rsidRPr="00A04607" w:rsidRDefault="00D603F5" w:rsidP="00A04607">
      <w:pPr>
        <w:rPr>
          <w:rFonts w:eastAsia="SimSun"/>
          <w:b/>
          <w:i/>
          <w:lang w:eastAsia="zh-CN"/>
        </w:rPr>
      </w:pPr>
      <w:r w:rsidRPr="00A04607">
        <w:rPr>
          <w:rFonts w:eastAsia="SimSun"/>
          <w:b/>
          <w:i/>
          <w:lang w:eastAsia="zh-CN"/>
        </w:rPr>
        <w:t>Под-модул „Регистрация”</w:t>
      </w:r>
    </w:p>
    <w:p w14:paraId="79FC0C56" w14:textId="77777777" w:rsidR="00AE108B" w:rsidRPr="001B0EA3" w:rsidRDefault="00AE108B" w:rsidP="00A04607">
      <w:r w:rsidRPr="001B0EA3">
        <w:t xml:space="preserve">Под-модул „Регистрация” предоставя възможност за електронно подаване на проектни предложения към процедура за кандидатстване. Системата в автоматичен режим ще приема подадения формуляр за кандидатстване, ще го регистрира, като му генерира номер и ще връща обрата информация за подаването на бенефициента. </w:t>
      </w:r>
    </w:p>
    <w:p w14:paraId="55722AB0" w14:textId="77777777" w:rsidR="00AE108B" w:rsidRPr="001B0EA3" w:rsidRDefault="00AE108B" w:rsidP="00A04607">
      <w:r w:rsidRPr="001B0EA3">
        <w:t>След регистрацията системата дава входящ номер на проектното предложение, който се образува от кода на процедурата за кандидатстване и пореден номер на предложението в рамките на процедурата. Статуса на предложението се определя от системата на „Регистриран“ или „Регистриран извън срока“ в зависимост от заложените срокове в процедурата.</w:t>
      </w:r>
    </w:p>
    <w:p w14:paraId="17DC8E10" w14:textId="77777777" w:rsidR="00D603F5" w:rsidRPr="001B0EA3" w:rsidRDefault="00D603F5" w:rsidP="00B74760"/>
    <w:p w14:paraId="0342B36A" w14:textId="77777777" w:rsidR="00D603F5" w:rsidRPr="00A04607" w:rsidRDefault="00D603F5" w:rsidP="00660856">
      <w:pPr>
        <w:rPr>
          <w:rFonts w:eastAsia="SimSun"/>
          <w:b/>
          <w:i/>
          <w:lang w:eastAsia="zh-CN"/>
        </w:rPr>
      </w:pPr>
      <w:r w:rsidRPr="00A04607">
        <w:rPr>
          <w:rFonts w:eastAsia="SimSun"/>
          <w:b/>
          <w:i/>
          <w:lang w:eastAsia="zh-CN"/>
        </w:rPr>
        <w:t>Под-модул „Проектни предложения”</w:t>
      </w:r>
    </w:p>
    <w:p w14:paraId="30E99471" w14:textId="77777777" w:rsidR="00AE108B" w:rsidRPr="001B0EA3" w:rsidRDefault="00AE108B" w:rsidP="00A04607">
      <w:r w:rsidRPr="001B0EA3">
        <w:t>Под-модул „Проектни предложения” предоставя функционалности необходими за попълването на формуляра за кандидатстване. При въвеждането на проектното предложение се осъществява автоматично извличане на данни за бенефициента от търговския регистър и регистър БУЛСТАТ. Въвеждането може да се извършва с междинно записване на въведената информация до достигане на момента на подаване. След подаването, под-модулът предоставя функционалност за преглед на подадения формуляр и данните за извършената регистрация. Допълнително се виждат и подадените коригирани версии на проектното предложение, направени през под-модул „Комуникации”.</w:t>
      </w:r>
    </w:p>
    <w:p w14:paraId="0BF08FF8" w14:textId="77777777" w:rsidR="00536B7B" w:rsidRPr="001B0EA3" w:rsidRDefault="00536B7B" w:rsidP="00660856">
      <w:pPr>
        <w:ind w:firstLine="709"/>
        <w:rPr>
          <w:rFonts w:eastAsia="SimSun"/>
          <w:b/>
          <w:i/>
          <w:szCs w:val="24"/>
          <w:lang w:eastAsia="zh-CN"/>
        </w:rPr>
      </w:pPr>
    </w:p>
    <w:p w14:paraId="26CFCA34" w14:textId="77777777" w:rsidR="00D603F5" w:rsidRPr="00A04607" w:rsidRDefault="00D603F5" w:rsidP="00660856">
      <w:pPr>
        <w:rPr>
          <w:rFonts w:eastAsia="SimSun"/>
          <w:b/>
          <w:i/>
          <w:lang w:eastAsia="zh-CN"/>
        </w:rPr>
      </w:pPr>
      <w:r w:rsidRPr="00A04607">
        <w:rPr>
          <w:rFonts w:eastAsia="SimSun"/>
          <w:b/>
          <w:i/>
          <w:lang w:eastAsia="zh-CN"/>
        </w:rPr>
        <w:t>Под-модул „Зареждане на информация”</w:t>
      </w:r>
    </w:p>
    <w:p w14:paraId="0C8CEDB5" w14:textId="77777777" w:rsidR="00D603F5" w:rsidRPr="001B0EA3" w:rsidRDefault="00D603F5" w:rsidP="00A04607">
      <w:pPr>
        <w:rPr>
          <w:rFonts w:eastAsia="SimSun"/>
          <w:lang w:eastAsia="zh-CN"/>
        </w:rPr>
      </w:pPr>
      <w:r w:rsidRPr="001B0EA3">
        <w:rPr>
          <w:rFonts w:eastAsia="SimSun"/>
          <w:lang w:eastAsia="zh-CN"/>
        </w:rPr>
        <w:t>Под-модул „Зареждане на информация” реализира функциите, които предоставят възможност за зареждане на файл на вече изготвен и записан формуляра за кандидатстване, както и запазването на въведения или подадения формуляр на файл. Файлът на проектното предложение може да бъде свалян и зареждан по всяко време до момента на неговото подаване. Сваленият файл може да се използва от външни системи за управление на проекти, в който да преминава специфичните процеси по съгласуване и одобрение, да бъде зареждан отново в системата, коригиран и връщан обратно за последваща обработка. Системата поддържа публична, свободна за достъп страница за преглед на свален файл на проектно предложение.</w:t>
      </w:r>
    </w:p>
    <w:p w14:paraId="1587F0CE" w14:textId="77777777" w:rsidR="00536B7B" w:rsidRPr="001B0EA3" w:rsidRDefault="00536B7B" w:rsidP="00660856">
      <w:pPr>
        <w:ind w:firstLine="709"/>
        <w:rPr>
          <w:rFonts w:eastAsia="SimSun"/>
          <w:b/>
          <w:i/>
          <w:szCs w:val="24"/>
          <w:lang w:eastAsia="zh-CN"/>
        </w:rPr>
      </w:pPr>
    </w:p>
    <w:p w14:paraId="1B2DBD38" w14:textId="77777777" w:rsidR="00D603F5" w:rsidRPr="00A04607" w:rsidRDefault="00D603F5" w:rsidP="00660856">
      <w:pPr>
        <w:rPr>
          <w:rFonts w:eastAsia="SimSun"/>
          <w:b/>
          <w:i/>
          <w:lang w:eastAsia="zh-CN"/>
        </w:rPr>
      </w:pPr>
      <w:r w:rsidRPr="00A04607">
        <w:rPr>
          <w:rFonts w:eastAsia="SimSun"/>
          <w:b/>
          <w:i/>
          <w:lang w:eastAsia="zh-CN"/>
        </w:rPr>
        <w:t>Под-модул „Комуникации”</w:t>
      </w:r>
    </w:p>
    <w:p w14:paraId="44C0D187" w14:textId="77777777" w:rsidR="00AE108B" w:rsidRPr="001B0EA3" w:rsidRDefault="00AE108B" w:rsidP="00A04607">
      <w:pPr>
        <w:rPr>
          <w:rFonts w:eastAsia="SimSun"/>
          <w:lang w:eastAsia="zh-CN"/>
        </w:rPr>
      </w:pPr>
      <w:r w:rsidRPr="001B0EA3">
        <w:rPr>
          <w:rFonts w:eastAsia="SimSun"/>
          <w:lang w:eastAsia="zh-CN"/>
        </w:rPr>
        <w:t>Под-модул „Комуникации” предоставя възможност за осъществяване на комуникация между кандидата и управляващия орган по време на извършването на оценка. Чрез функциите предоставяни от този модул бенефициента преглежда изпратените запитвания от страна на оценителната комисия, както и да подава отговори на всяко едно от тях. Като част от отговора се подава и промяна на проектното предложение от страна на кандидата. Системата отключва за въвеждане само секциите от формуляра, който оценителната комисия е маркирала, че трябва да бъдат преработени. Цялата кореспонденция, заедно с промените на проектното предложение са достъпни за преглед и след тяхното подаване</w:t>
      </w:r>
    </w:p>
    <w:p w14:paraId="34330D1F" w14:textId="77777777" w:rsidR="00D603F5" w:rsidRPr="001B0EA3" w:rsidRDefault="00D603F5" w:rsidP="00A04607">
      <w:r w:rsidRPr="001B0EA3">
        <w:t>За прилагането на електронното кандидатстване УО на ОПТТИ разработва Формуляр за електронно кандидатстване на база общия одобрен образец за електронно кандидатстване и изисквания за електронно кандидатстване.</w:t>
      </w:r>
      <w:r w:rsidR="00E40779" w:rsidRPr="001B0EA3">
        <w:t xml:space="preserve"> </w:t>
      </w:r>
      <w:r w:rsidRPr="001B0EA3">
        <w:t xml:space="preserve">При подаване на проектно предложение по електронен път документите и приложенията към него, за които не е осигурена техническа възможност за подаване по електронен път, се подават на хартиен носител в рамките на </w:t>
      </w:r>
      <w:r w:rsidRPr="001B0EA3">
        <w:lastRenderedPageBreak/>
        <w:t>определените в Насоките за кандидатстване по ОПТТИ крайни срокове. В тези случаи за дата на подаване на проектното предложение се счита датата на подаване по електронен път.</w:t>
      </w:r>
    </w:p>
    <w:p w14:paraId="258B3960" w14:textId="77777777" w:rsidR="00D603F5" w:rsidRPr="001B0EA3" w:rsidRDefault="00D603F5" w:rsidP="00A04607">
      <w:r w:rsidRPr="001B0EA3">
        <w:t>ИСУН генерира уникален номер при регистриране на процедури, проектни предложения, договори и документи, свързва ги с конкретното ниво от оперативната карта, за което тези обекти се отнасят. Правилата за издаване на уникален номер от системата са описани подробно в Ръководството на потребителя на системата ИСУН 2020.</w:t>
      </w:r>
    </w:p>
    <w:p w14:paraId="6924ECEB" w14:textId="77777777" w:rsidR="00D603F5" w:rsidRPr="001B0EA3" w:rsidRDefault="00D603F5" w:rsidP="00A04607">
      <w:r w:rsidRPr="001B0EA3">
        <w:t>При кандидатстването, предоставянето и отчитането на БФП по електронен път се спазват изискванията на Закона за електронното управление.</w:t>
      </w:r>
    </w:p>
    <w:p w14:paraId="48A1D36E" w14:textId="77777777" w:rsidR="00D603F5" w:rsidRPr="00842ECC" w:rsidRDefault="00D603F5" w:rsidP="00346F28">
      <w:pPr>
        <w:pStyle w:val="Style4"/>
        <w:rPr>
          <w:lang w:val="bg-BG"/>
        </w:rPr>
      </w:pPr>
      <w:bookmarkStart w:id="562" w:name="_Toc479775641"/>
      <w:r w:rsidRPr="00842ECC">
        <w:rPr>
          <w:lang w:val="bg-BG" w:eastAsia="bg-BG"/>
        </w:rPr>
        <w:t xml:space="preserve">Регистрация на формулярите за кандидатстване, подадени </w:t>
      </w:r>
      <w:r w:rsidR="006552E2" w:rsidRPr="00842ECC">
        <w:rPr>
          <w:lang w:val="bg-BG" w:eastAsia="bg-BG"/>
        </w:rPr>
        <w:t>„</w:t>
      </w:r>
      <w:r w:rsidRPr="00842ECC">
        <w:rPr>
          <w:lang w:val="bg-BG" w:eastAsia="bg-BG"/>
        </w:rPr>
        <w:t>на харти</w:t>
      </w:r>
      <w:r w:rsidR="00BA5A99" w:rsidRPr="00842ECC">
        <w:rPr>
          <w:lang w:val="bg-BG"/>
        </w:rPr>
        <w:t>я</w:t>
      </w:r>
      <w:r w:rsidR="006552E2" w:rsidRPr="00842ECC">
        <w:rPr>
          <w:lang w:val="bg-BG"/>
        </w:rPr>
        <w:t>“, чрез ИСУН 2020</w:t>
      </w:r>
      <w:bookmarkEnd w:id="562"/>
      <w:r w:rsidRPr="00842ECC">
        <w:rPr>
          <w:lang w:val="bg-BG"/>
        </w:rPr>
        <w:t xml:space="preserve"> </w:t>
      </w:r>
    </w:p>
    <w:p w14:paraId="0338F78F" w14:textId="77777777" w:rsidR="00D603F5" w:rsidRPr="001B0EA3" w:rsidRDefault="00D603F5" w:rsidP="00A04607">
      <w:r w:rsidRPr="001B0EA3">
        <w:t xml:space="preserve">Подготовката и подаването на формуляра за кандидатстване на хартиен носител се извършва през публичната част на модул „Е-кандидатстване“ на системата ИСУН 2020. Всеки формуляр може да бъде записан локално, на файл в специален формат. Системата позволява зареждането на локално записан файл на формуляр за кандидатстване и продължаването на въвеждането по него. Това позволява ФК да бъде разглеждан, а след финализиране на документа, преди да бъде подаден към системата се </w:t>
      </w:r>
      <w:r w:rsidR="00516DA0" w:rsidRPr="001B0EA3">
        <w:t>разпечатва декларация, генерирана от системата, съдържаща хеш код на проектното предложение.</w:t>
      </w:r>
    </w:p>
    <w:p w14:paraId="3B7DDF33" w14:textId="77777777" w:rsidR="006552E2" w:rsidRPr="001B0EA3" w:rsidRDefault="006552E2" w:rsidP="00A04607"/>
    <w:p w14:paraId="66E86E7C" w14:textId="77777777" w:rsidR="00D603F5" w:rsidRPr="001B0EA3" w:rsidRDefault="00D603F5" w:rsidP="00A04607">
      <w:r w:rsidRPr="001B0EA3">
        <w:t xml:space="preserve">След подаването, проектното предложение продължава да се визуализира в профила, заедно с получения номер. Заедно с него </w:t>
      </w:r>
      <w:r w:rsidR="002828C5" w:rsidRPr="001B0EA3">
        <w:t xml:space="preserve">се </w:t>
      </w:r>
      <w:r w:rsidRPr="001B0EA3">
        <w:t>съхранява и цялата кореспонденция и промени, направени по време на оценка.</w:t>
      </w:r>
    </w:p>
    <w:p w14:paraId="7DE37C69" w14:textId="77777777" w:rsidR="00D603F5" w:rsidRPr="001B0EA3" w:rsidRDefault="00D603F5" w:rsidP="00A04607">
      <w:pPr>
        <w:pStyle w:val="ListParagraph"/>
        <w:numPr>
          <w:ilvl w:val="0"/>
          <w:numId w:val="333"/>
        </w:numPr>
        <w:ind w:left="0" w:firstLine="851"/>
      </w:pPr>
      <w:r w:rsidRPr="001B0EA3">
        <w:t xml:space="preserve">Всички ФК, официално постъпили </w:t>
      </w:r>
      <w:r w:rsidR="00516DA0" w:rsidRPr="001B0EA3">
        <w:t xml:space="preserve">„на хартия“ </w:t>
      </w:r>
      <w:r w:rsidRPr="001B0EA3">
        <w:t xml:space="preserve">в </w:t>
      </w:r>
      <w:r w:rsidR="00BB6BF6">
        <w:t>МТС</w:t>
      </w:r>
      <w:r w:rsidRPr="001B0EA3">
        <w:t xml:space="preserve"> се изпращат с придружително писмо, което се регистрира в деловодната система на </w:t>
      </w:r>
      <w:r w:rsidR="00BB6BF6">
        <w:t>МТС</w:t>
      </w:r>
      <w:r w:rsidRPr="001B0EA3">
        <w:t xml:space="preserve"> с поставянето на деловоден печат с номер, генериран от  деловодната система на </w:t>
      </w:r>
      <w:r w:rsidR="00BB6BF6">
        <w:t>МТС</w:t>
      </w:r>
      <w:r w:rsidRPr="001B0EA3">
        <w:t xml:space="preserve">, включително и датата на внасяне. </w:t>
      </w:r>
    </w:p>
    <w:p w14:paraId="1B28C188" w14:textId="77777777" w:rsidR="00D603F5" w:rsidRPr="001B0EA3" w:rsidRDefault="00D603F5" w:rsidP="00A04607">
      <w:pPr>
        <w:pStyle w:val="ListParagraph"/>
        <w:numPr>
          <w:ilvl w:val="0"/>
          <w:numId w:val="333"/>
        </w:numPr>
        <w:ind w:left="0" w:firstLine="851"/>
      </w:pPr>
      <w:r w:rsidRPr="001B0EA3">
        <w:t xml:space="preserve">В срок до 6 работни дни от </w:t>
      </w:r>
      <w:r w:rsidR="00516DA0" w:rsidRPr="001B0EA3">
        <w:t xml:space="preserve">получаването </w:t>
      </w:r>
      <w:r w:rsidRPr="001B0EA3">
        <w:t xml:space="preserve">в </w:t>
      </w:r>
      <w:r w:rsidR="00BB6BF6">
        <w:t>МТС</w:t>
      </w:r>
      <w:r w:rsidRPr="001B0EA3">
        <w:t xml:space="preserve"> на придружителното писмо към ФК, </w:t>
      </w:r>
      <w:r w:rsidR="002828C5" w:rsidRPr="001B0EA3">
        <w:t xml:space="preserve">началника на отдел „Програмиране“ или друг </w:t>
      </w:r>
      <w:r w:rsidRPr="001B0EA3">
        <w:t>служител от отдел „Програмиране“ на дирекция КПП регистрира ФК в системата ИСУН 2020</w:t>
      </w:r>
      <w:r w:rsidR="00516DA0" w:rsidRPr="001B0EA3">
        <w:t>, където се</w:t>
      </w:r>
      <w:r w:rsidRPr="001B0EA3">
        <w:t xml:space="preserve"> генерира</w:t>
      </w:r>
      <w:r w:rsidR="00516DA0" w:rsidRPr="001B0EA3">
        <w:t xml:space="preserve"> автоматично номера му</w:t>
      </w:r>
      <w:r w:rsidRPr="001B0EA3">
        <w:t xml:space="preserve">. </w:t>
      </w:r>
    </w:p>
    <w:p w14:paraId="05953BC7" w14:textId="77777777" w:rsidR="00D603F5" w:rsidRPr="001B0EA3" w:rsidRDefault="00D603F5" w:rsidP="00A04607">
      <w:pPr>
        <w:pStyle w:val="ListParagraph"/>
        <w:numPr>
          <w:ilvl w:val="0"/>
          <w:numId w:val="333"/>
        </w:numPr>
        <w:ind w:left="0" w:firstLine="851"/>
      </w:pPr>
      <w:r w:rsidRPr="001B0EA3">
        <w:t>При регистрация на всички ФК се генерира референтен номер от ИСУН 2020, а за ФК за „голям проект“ (</w:t>
      </w:r>
      <w:r w:rsidRPr="00A04607">
        <w:rPr>
          <w:i/>
        </w:rPr>
        <w:t>с обща стойност на допустимите разходи над 75 млн. евро - по тематична цел 7 и над 50 млн. евро - по тематична цел 4</w:t>
      </w:r>
      <w:r w:rsidRPr="001B0EA3">
        <w:t>), се генерира и номер в  системата SFC 2014 на ЕК за обмен на данни, който се заявява от служител в отдел „Програмиране“, притежаващ съответните права за достъп до системата</w:t>
      </w:r>
      <w:r w:rsidR="00516DA0" w:rsidRPr="001B0EA3">
        <w:t xml:space="preserve"> SFC 2014 на ЕК</w:t>
      </w:r>
      <w:r w:rsidRPr="001B0EA3">
        <w:t xml:space="preserve">. </w:t>
      </w:r>
    </w:p>
    <w:p w14:paraId="4922EBB4" w14:textId="77777777" w:rsidR="00D603F5" w:rsidRPr="001B0EA3" w:rsidRDefault="00D603F5" w:rsidP="00A04607">
      <w:pPr>
        <w:pStyle w:val="ListParagraph"/>
        <w:numPr>
          <w:ilvl w:val="0"/>
          <w:numId w:val="333"/>
        </w:numPr>
        <w:ind w:left="0" w:firstLine="851"/>
      </w:pPr>
      <w:r w:rsidRPr="001B0EA3">
        <w:t>В срок до 6 работни дни от регистрацията в ИСУН 2020 на постъпил ФК за „голям проект“, служител от отдел „Програмиране“ заявява искане  за получаване на номер на проекта в системата SFC 2014</w:t>
      </w:r>
      <w:r w:rsidR="00516DA0" w:rsidRPr="001B0EA3">
        <w:t>, с изключение на случаите, в които вече е наличен</w:t>
      </w:r>
      <w:r w:rsidRPr="001B0EA3">
        <w:t>.</w:t>
      </w:r>
    </w:p>
    <w:p w14:paraId="5BB92AE3" w14:textId="77777777" w:rsidR="00D603F5" w:rsidRPr="001B0EA3" w:rsidRDefault="008E6F61" w:rsidP="00A04607">
      <w:pPr>
        <w:pStyle w:val="ListParagraph"/>
        <w:numPr>
          <w:ilvl w:val="0"/>
          <w:numId w:val="334"/>
        </w:numPr>
        <w:ind w:left="0" w:firstLine="1211"/>
      </w:pPr>
      <w:r w:rsidRPr="001B0EA3">
        <w:t xml:space="preserve"> </w:t>
      </w:r>
      <w:r w:rsidR="00D603F5" w:rsidRPr="001B0EA3">
        <w:t>Номера в системата SFC 2014 на ФК трябва да бъде получен преди одобрението на ФК от УО на ОПТТИ и изпращането му за окончателна оценка от ЕК.</w:t>
      </w:r>
    </w:p>
    <w:p w14:paraId="69AF1FC7" w14:textId="77777777" w:rsidR="00D603F5" w:rsidRDefault="00D603F5" w:rsidP="00A04607">
      <w:pPr>
        <w:pStyle w:val="ListParagraph"/>
        <w:numPr>
          <w:ilvl w:val="0"/>
          <w:numId w:val="334"/>
        </w:numPr>
        <w:ind w:left="0" w:firstLine="1211"/>
      </w:pPr>
      <w:r w:rsidRPr="001B0EA3">
        <w:t>УО на ОПТТИ може да заяви номера в системата SFC 2014 и на годишна база за проектите, в зависимост от реалната им готовност за изпълнение.</w:t>
      </w:r>
    </w:p>
    <w:p w14:paraId="7E6302E9" w14:textId="77777777" w:rsidR="00A04607" w:rsidRDefault="00A04607" w:rsidP="00A04607"/>
    <w:p w14:paraId="37739AE2" w14:textId="77777777" w:rsidR="00671550" w:rsidRPr="001B0EA3" w:rsidRDefault="00671550" w:rsidP="00A04607"/>
    <w:p w14:paraId="69099BDA" w14:textId="77777777" w:rsidR="00D603F5" w:rsidRPr="001B0EA3" w:rsidRDefault="00D603F5" w:rsidP="00B502C7">
      <w:pPr>
        <w:pStyle w:val="Style2"/>
        <w:rPr>
          <w:lang w:eastAsia="bg-BG"/>
        </w:rPr>
      </w:pPr>
      <w:bookmarkStart w:id="563" w:name="_Ref406320545"/>
      <w:bookmarkStart w:id="564" w:name="_Toc479775642"/>
      <w:bookmarkStart w:id="565" w:name="_Toc140150214"/>
      <w:bookmarkStart w:id="566" w:name="_Ref395518925"/>
      <w:bookmarkEnd w:id="557"/>
      <w:r w:rsidRPr="001B0EA3">
        <w:rPr>
          <w:lang w:eastAsia="bg-BG"/>
        </w:rPr>
        <w:t>Сформиране на оценителна комисия</w:t>
      </w:r>
      <w:bookmarkEnd w:id="563"/>
      <w:bookmarkEnd w:id="564"/>
      <w:bookmarkEnd w:id="565"/>
    </w:p>
    <w:p w14:paraId="30ACEC8A" w14:textId="77777777" w:rsidR="00D603F5" w:rsidRPr="001B0EA3" w:rsidRDefault="00D603F5" w:rsidP="00346F28">
      <w:pPr>
        <w:pStyle w:val="Style3"/>
      </w:pPr>
      <w:bookmarkStart w:id="567" w:name="_Ref406322050"/>
      <w:bookmarkStart w:id="568" w:name="_Toc479775643"/>
      <w:r w:rsidRPr="001B0EA3">
        <w:t>Решение за сформиране на оценителна комисия</w:t>
      </w:r>
      <w:bookmarkEnd w:id="567"/>
      <w:bookmarkEnd w:id="568"/>
    </w:p>
    <w:p w14:paraId="74FB24A6" w14:textId="77777777" w:rsidR="00D603F5" w:rsidRPr="001B0EA3" w:rsidRDefault="00D603F5" w:rsidP="00D81CB4">
      <w:r w:rsidRPr="001B0EA3">
        <w:t>Оценката на проектното предложение се извършва от оценителна комисия, сформирана с Решение на Ръководителя на УО на ОПТТИ (</w:t>
      </w:r>
      <w:hyperlink r:id="rId95" w:tooltip="Решение за Оценителна комисия" w:history="1">
        <w:r w:rsidR="00AE381A" w:rsidRPr="00251D03">
          <w:rPr>
            <w:rStyle w:val="Hyperlink"/>
            <w:i/>
          </w:rPr>
          <w:t>Приложение № 3.02</w:t>
        </w:r>
      </w:hyperlink>
      <w:r w:rsidRPr="001B0EA3">
        <w:t>), като профила на експертите се определя в зависимост от спецификата на всеки конкретен проект.</w:t>
      </w:r>
      <w:bookmarkEnd w:id="566"/>
    </w:p>
    <w:p w14:paraId="61B9EF2F" w14:textId="77777777" w:rsidR="00D603F5" w:rsidRPr="001B0EA3" w:rsidRDefault="00D603F5" w:rsidP="00D81CB4">
      <w:pPr>
        <w:pStyle w:val="ListParagraph"/>
        <w:numPr>
          <w:ilvl w:val="0"/>
          <w:numId w:val="321"/>
        </w:numPr>
        <w:ind w:left="0" w:firstLine="851"/>
      </w:pPr>
      <w:bookmarkStart w:id="569" w:name="_Ref395519021"/>
      <w:bookmarkStart w:id="570" w:name="_Ref406169920"/>
      <w:r w:rsidRPr="001B0EA3">
        <w:lastRenderedPageBreak/>
        <w:t>Всяко Решение за сформиране на оценителна комисия съдържа минимум следната информация:</w:t>
      </w:r>
      <w:bookmarkEnd w:id="569"/>
      <w:bookmarkEnd w:id="570"/>
    </w:p>
    <w:p w14:paraId="3519DA15" w14:textId="77777777" w:rsidR="00D603F5" w:rsidRPr="001B0EA3" w:rsidRDefault="00D603F5" w:rsidP="00D81CB4">
      <w:pPr>
        <w:pStyle w:val="ListParagraph"/>
        <w:numPr>
          <w:ilvl w:val="0"/>
          <w:numId w:val="323"/>
        </w:numPr>
        <w:ind w:left="993" w:firstLine="0"/>
        <w:rPr>
          <w:lang w:eastAsia="bg-BG"/>
        </w:rPr>
      </w:pPr>
      <w:r w:rsidRPr="001B0EA3">
        <w:rPr>
          <w:lang w:eastAsia="bg-BG"/>
        </w:rPr>
        <w:t>номер и дата на Решението за сформиране на комисията</w:t>
      </w:r>
    </w:p>
    <w:p w14:paraId="3BD022B5" w14:textId="77777777" w:rsidR="00D603F5" w:rsidRPr="001B0EA3" w:rsidRDefault="00D603F5" w:rsidP="00D81CB4">
      <w:pPr>
        <w:pStyle w:val="ListParagraph"/>
        <w:numPr>
          <w:ilvl w:val="0"/>
          <w:numId w:val="323"/>
        </w:numPr>
        <w:ind w:left="993" w:firstLine="0"/>
        <w:rPr>
          <w:lang w:eastAsia="bg-BG"/>
        </w:rPr>
      </w:pPr>
      <w:r w:rsidRPr="001B0EA3">
        <w:rPr>
          <w:lang w:eastAsia="bg-BG"/>
        </w:rPr>
        <w:t>състав на комисията, с посочване на имената и длъжността на нейните членове:</w:t>
      </w:r>
    </w:p>
    <w:p w14:paraId="3AD053BE" w14:textId="77777777" w:rsidR="00D603F5" w:rsidRPr="001B0EA3" w:rsidRDefault="00D603F5" w:rsidP="00D81CB4">
      <w:pPr>
        <w:pStyle w:val="ListParagraph"/>
        <w:numPr>
          <w:ilvl w:val="0"/>
          <w:numId w:val="324"/>
        </w:numPr>
        <w:ind w:left="0" w:firstLine="993"/>
        <w:rPr>
          <w:lang w:eastAsia="bg-BG"/>
        </w:rPr>
      </w:pPr>
      <w:r w:rsidRPr="001B0EA3">
        <w:rPr>
          <w:lang w:eastAsia="bg-BG"/>
        </w:rPr>
        <w:t xml:space="preserve">председател с право на глас, който трябва да е служител в отдел „Програмиране”. Председателят на оценителната комисия се определя на ротационен принцип между служителите от отдел „Програмиране“ и се съблюдава правилото, проектите подадени от един бенефициент да не се оценяват винаги от един и същи експерт. </w:t>
      </w:r>
      <w:r w:rsidR="004344D2" w:rsidRPr="001B0EA3">
        <w:rPr>
          <w:lang w:eastAsia="bg-BG"/>
        </w:rPr>
        <w:t>Началника на отдел „Програмиране“ от дирекция КПП предлага експерт от отдел „Програмиране“ за председател на оценителната комисия, който се съгласува с директора на дирекция КПП и се определя в решението за сформиране на оценителната комисия от Ръководителя на УО на ОПТТИ, като се следи за спазването на ротационния принцип на назначаването на председателя на оценителната комисия</w:t>
      </w:r>
      <w:r w:rsidR="005A63C2" w:rsidRPr="001B0EA3">
        <w:rPr>
          <w:lang w:eastAsia="bg-BG"/>
        </w:rPr>
        <w:t xml:space="preserve"> по отношение на бенефициентите</w:t>
      </w:r>
      <w:r w:rsidR="004344D2" w:rsidRPr="001B0EA3">
        <w:rPr>
          <w:lang w:eastAsia="bg-BG"/>
        </w:rPr>
        <w:t xml:space="preserve">. </w:t>
      </w:r>
      <w:r w:rsidRPr="001B0EA3">
        <w:rPr>
          <w:lang w:eastAsia="bg-BG"/>
        </w:rPr>
        <w:t>В случай, че служител от отдел „Програмиране“, участва при подготовката на проектно предложение/ бюджетна линия, с бенефициент УО на ОПТТИ той не може да бъде определен за председател на оценителната комисия;</w:t>
      </w:r>
    </w:p>
    <w:p w14:paraId="65297FA1" w14:textId="77777777" w:rsidR="00D603F5" w:rsidRPr="00D81CB4" w:rsidRDefault="00D603F5" w:rsidP="00D81CB4">
      <w:pPr>
        <w:pStyle w:val="ListParagraph"/>
        <w:numPr>
          <w:ilvl w:val="0"/>
          <w:numId w:val="324"/>
        </w:numPr>
        <w:ind w:left="0" w:firstLine="993"/>
        <w:rPr>
          <w:lang w:eastAsia="bg-BG"/>
        </w:rPr>
      </w:pPr>
      <w:r w:rsidRPr="00D81CB4">
        <w:rPr>
          <w:lang w:eastAsia="bg-BG"/>
        </w:rPr>
        <w:t xml:space="preserve">четен брой членове (минимум двама) с право на глас, като в зависимост от спецификата на проектното предложение за членове могат да бъдат определени служители от отделите в дирекция КПП и/или от други дирекции в </w:t>
      </w:r>
      <w:r w:rsidR="00BB6BF6">
        <w:rPr>
          <w:lang w:eastAsia="bg-BG"/>
        </w:rPr>
        <w:t>МТС</w:t>
      </w:r>
      <w:r w:rsidRPr="00D81CB4">
        <w:rPr>
          <w:lang w:eastAsia="bg-BG"/>
        </w:rPr>
        <w:t xml:space="preserve">. Членовете на оценителната комисия се определят на ротационен принцип между служителите от дирекция КПП и/или от други дирекции в </w:t>
      </w:r>
      <w:r w:rsidR="00BB6BF6">
        <w:rPr>
          <w:lang w:eastAsia="bg-BG"/>
        </w:rPr>
        <w:t>МТС</w:t>
      </w:r>
      <w:r w:rsidRPr="00D81CB4">
        <w:rPr>
          <w:lang w:eastAsia="bg-BG"/>
        </w:rPr>
        <w:t xml:space="preserve"> и се съблюдава правилото, проектите подадени от един бенефициент да не се оценяват винаги от едни и същи експерти. </w:t>
      </w:r>
      <w:r w:rsidR="005A63C2" w:rsidRPr="00D81CB4">
        <w:rPr>
          <w:lang w:eastAsia="bg-BG"/>
        </w:rPr>
        <w:t>В зависимост от спецификата на проекта начални</w:t>
      </w:r>
      <w:r w:rsidR="008055A1" w:rsidRPr="00D81CB4">
        <w:rPr>
          <w:lang w:eastAsia="bg-BG"/>
        </w:rPr>
        <w:t>ците</w:t>
      </w:r>
      <w:r w:rsidR="005A63C2" w:rsidRPr="00D81CB4">
        <w:rPr>
          <w:lang w:eastAsia="bg-BG"/>
        </w:rPr>
        <w:t xml:space="preserve"> на отдели</w:t>
      </w:r>
      <w:r w:rsidR="007538B3" w:rsidRPr="00D81CB4">
        <w:rPr>
          <w:lang w:eastAsia="bg-BG"/>
        </w:rPr>
        <w:t>те</w:t>
      </w:r>
      <w:r w:rsidR="005A63C2" w:rsidRPr="00D81CB4">
        <w:rPr>
          <w:lang w:eastAsia="bg-BG"/>
        </w:rPr>
        <w:t xml:space="preserve"> от дирекция КПП </w:t>
      </w:r>
      <w:r w:rsidR="00DF2F40" w:rsidRPr="00D81CB4">
        <w:rPr>
          <w:lang w:eastAsia="bg-BG"/>
        </w:rPr>
        <w:t xml:space="preserve">предлагат </w:t>
      </w:r>
      <w:r w:rsidR="005A63C2" w:rsidRPr="00D81CB4">
        <w:rPr>
          <w:lang w:eastAsia="bg-BG"/>
        </w:rPr>
        <w:t>експерт</w:t>
      </w:r>
      <w:r w:rsidR="007538B3" w:rsidRPr="00D81CB4">
        <w:rPr>
          <w:lang w:eastAsia="bg-BG"/>
        </w:rPr>
        <w:t xml:space="preserve">и от отделите </w:t>
      </w:r>
      <w:r w:rsidR="005A63C2" w:rsidRPr="00D81CB4">
        <w:rPr>
          <w:lang w:eastAsia="bg-BG"/>
        </w:rPr>
        <w:t xml:space="preserve">за </w:t>
      </w:r>
      <w:r w:rsidR="007538B3" w:rsidRPr="00D81CB4">
        <w:rPr>
          <w:lang w:eastAsia="bg-BG"/>
        </w:rPr>
        <w:t>членове</w:t>
      </w:r>
      <w:r w:rsidR="005A63C2" w:rsidRPr="00D81CB4">
        <w:rPr>
          <w:lang w:eastAsia="bg-BG"/>
        </w:rPr>
        <w:t xml:space="preserve"> на оценителн</w:t>
      </w:r>
      <w:r w:rsidR="007538B3" w:rsidRPr="00D81CB4">
        <w:rPr>
          <w:lang w:eastAsia="bg-BG"/>
        </w:rPr>
        <w:t>ата комисия, кои</w:t>
      </w:r>
      <w:r w:rsidR="005A63C2" w:rsidRPr="00D81CB4">
        <w:rPr>
          <w:lang w:eastAsia="bg-BG"/>
        </w:rPr>
        <w:t>то се съгласува</w:t>
      </w:r>
      <w:r w:rsidR="007538B3" w:rsidRPr="00D81CB4">
        <w:rPr>
          <w:lang w:eastAsia="bg-BG"/>
        </w:rPr>
        <w:t>т</w:t>
      </w:r>
      <w:r w:rsidR="005A63C2" w:rsidRPr="00D81CB4">
        <w:rPr>
          <w:lang w:eastAsia="bg-BG"/>
        </w:rPr>
        <w:t xml:space="preserve"> с директора на дирекция КПП и се определя</w:t>
      </w:r>
      <w:r w:rsidR="007538B3" w:rsidRPr="00D81CB4">
        <w:rPr>
          <w:lang w:eastAsia="bg-BG"/>
        </w:rPr>
        <w:t>т</w:t>
      </w:r>
      <w:r w:rsidR="005A63C2" w:rsidRPr="00D81CB4">
        <w:rPr>
          <w:lang w:eastAsia="bg-BG"/>
        </w:rPr>
        <w:t xml:space="preserve"> в решението за сформиране на оценителната комисия от Ръководителя на УО на ОПТТИ, като се следи за спазването на ротационния принцип на назначаването </w:t>
      </w:r>
      <w:r w:rsidR="007538B3" w:rsidRPr="00D81CB4">
        <w:rPr>
          <w:lang w:eastAsia="bg-BG"/>
        </w:rPr>
        <w:t>им за</w:t>
      </w:r>
      <w:r w:rsidR="005A63C2" w:rsidRPr="00D81CB4">
        <w:rPr>
          <w:lang w:eastAsia="bg-BG"/>
        </w:rPr>
        <w:t xml:space="preserve"> членове на оценителната комисия по отношение на бенефициентите. </w:t>
      </w:r>
      <w:r w:rsidRPr="00D81CB4">
        <w:rPr>
          <w:lang w:eastAsia="bg-BG"/>
        </w:rPr>
        <w:t xml:space="preserve">В случай, че служител от дирекция КПП, участва при подготовката на проектно предложение/ бюджетна линия, с бенефициент УО на ОПТТИ той не може да бъде включен в състава на оценителната комисия. При невъзможност да се спазва принципът на ротацията, Ръководителят на УО на ОПТТИ може да </w:t>
      </w:r>
      <w:r w:rsidR="00342A25" w:rsidRPr="00D81CB4">
        <w:rPr>
          <w:lang w:eastAsia="bg-BG"/>
        </w:rPr>
        <w:t xml:space="preserve">използва възможността да </w:t>
      </w:r>
      <w:r w:rsidRPr="00D81CB4">
        <w:rPr>
          <w:lang w:eastAsia="bg-BG"/>
        </w:rPr>
        <w:t>назначи външни експерти за членове на оценителната комисия.</w:t>
      </w:r>
    </w:p>
    <w:p w14:paraId="04123B01" w14:textId="77777777" w:rsidR="00D603F5" w:rsidRPr="00D81CB4" w:rsidRDefault="00D603F5" w:rsidP="00D81CB4">
      <w:pPr>
        <w:pStyle w:val="ListParagraph"/>
        <w:numPr>
          <w:ilvl w:val="0"/>
          <w:numId w:val="323"/>
        </w:numPr>
        <w:ind w:left="993" w:firstLine="0"/>
        <w:rPr>
          <w:lang w:eastAsia="bg-BG"/>
        </w:rPr>
      </w:pPr>
      <w:r w:rsidRPr="00D81CB4">
        <w:rPr>
          <w:lang w:eastAsia="bg-BG"/>
        </w:rPr>
        <w:t>задача за изпълнение;</w:t>
      </w:r>
    </w:p>
    <w:p w14:paraId="4A6E3DF9" w14:textId="77777777" w:rsidR="00D603F5" w:rsidRPr="00D81CB4" w:rsidRDefault="00D603F5" w:rsidP="00D81CB4">
      <w:pPr>
        <w:pStyle w:val="ListParagraph"/>
        <w:numPr>
          <w:ilvl w:val="0"/>
          <w:numId w:val="323"/>
        </w:numPr>
        <w:ind w:left="993" w:firstLine="0"/>
        <w:rPr>
          <w:lang w:eastAsia="bg-BG"/>
        </w:rPr>
      </w:pPr>
      <w:r w:rsidRPr="00D81CB4">
        <w:rPr>
          <w:lang w:eastAsia="bg-BG"/>
        </w:rPr>
        <w:t>наименование на проектното предложение, подлежащо на оценка и номер на регистрацията му в ИСУН 2020;</w:t>
      </w:r>
    </w:p>
    <w:p w14:paraId="024C6489" w14:textId="77777777" w:rsidR="00D603F5" w:rsidRPr="00D81CB4" w:rsidRDefault="00342A25" w:rsidP="00D81CB4">
      <w:pPr>
        <w:pStyle w:val="ListParagraph"/>
        <w:numPr>
          <w:ilvl w:val="0"/>
          <w:numId w:val="323"/>
        </w:numPr>
        <w:ind w:left="993" w:firstLine="0"/>
        <w:rPr>
          <w:lang w:eastAsia="bg-BG"/>
        </w:rPr>
      </w:pPr>
      <w:r w:rsidRPr="00D81CB4">
        <w:rPr>
          <w:lang w:eastAsia="bg-BG"/>
        </w:rPr>
        <w:t xml:space="preserve">наименование на процедурата за директно предоставяне и </w:t>
      </w:r>
      <w:r w:rsidR="00D603F5" w:rsidRPr="00D81CB4">
        <w:rPr>
          <w:lang w:eastAsia="bg-BG"/>
        </w:rPr>
        <w:t xml:space="preserve">приоритетната ос на ОПТТИ, по която ще се финансира,  оценяваното проектно предложение;   </w:t>
      </w:r>
    </w:p>
    <w:p w14:paraId="47B97E89" w14:textId="77777777" w:rsidR="00D603F5" w:rsidRPr="00D81CB4" w:rsidRDefault="00D603F5" w:rsidP="00D81CB4">
      <w:pPr>
        <w:pStyle w:val="ListParagraph"/>
        <w:numPr>
          <w:ilvl w:val="0"/>
          <w:numId w:val="323"/>
        </w:numPr>
        <w:ind w:left="993" w:firstLine="0"/>
        <w:rPr>
          <w:lang w:eastAsia="bg-BG"/>
        </w:rPr>
      </w:pPr>
      <w:r w:rsidRPr="00D81CB4">
        <w:rPr>
          <w:lang w:eastAsia="bg-BG"/>
        </w:rPr>
        <w:t>срок за извършване на оценката от оценителната комисия;</w:t>
      </w:r>
    </w:p>
    <w:p w14:paraId="32383267" w14:textId="77777777" w:rsidR="004F4D9E" w:rsidRPr="00D81CB4" w:rsidRDefault="00D603F5" w:rsidP="00D81CB4">
      <w:pPr>
        <w:pStyle w:val="ListParagraph"/>
        <w:numPr>
          <w:ilvl w:val="0"/>
          <w:numId w:val="323"/>
        </w:numPr>
        <w:ind w:left="993" w:firstLine="0"/>
        <w:rPr>
          <w:lang w:eastAsia="bg-BG"/>
        </w:rPr>
      </w:pPr>
      <w:r w:rsidRPr="00D81CB4">
        <w:rPr>
          <w:lang w:eastAsia="bg-BG"/>
        </w:rPr>
        <w:t>име, длъжност и подпис на лицето, което издава Решението за сформиране на оценителната комисия.</w:t>
      </w:r>
    </w:p>
    <w:p w14:paraId="30F261BA" w14:textId="77777777" w:rsidR="004F4D9E" w:rsidRPr="00D81CB4" w:rsidRDefault="00D603F5" w:rsidP="00D81CB4">
      <w:pPr>
        <w:pStyle w:val="ListParagraph"/>
        <w:numPr>
          <w:ilvl w:val="0"/>
          <w:numId w:val="323"/>
        </w:numPr>
        <w:ind w:left="993" w:firstLine="0"/>
        <w:rPr>
          <w:lang w:eastAsia="bg-BG"/>
        </w:rPr>
      </w:pPr>
      <w:r w:rsidRPr="00D81CB4">
        <w:rPr>
          <w:lang w:eastAsia="bg-BG"/>
        </w:rPr>
        <w:t xml:space="preserve"> </w:t>
      </w:r>
      <w:r w:rsidR="004F4D9E" w:rsidRPr="00D81CB4">
        <w:rPr>
          <w:lang w:eastAsia="bg-BG"/>
        </w:rPr>
        <w:t>служител, отговорен за извършване на проверка за липса на конфликт на интереси;</w:t>
      </w:r>
    </w:p>
    <w:p w14:paraId="5D9BDAE9" w14:textId="77777777" w:rsidR="004F4D9E" w:rsidRPr="00D81CB4" w:rsidRDefault="004F4D9E" w:rsidP="00D81CB4">
      <w:pPr>
        <w:pStyle w:val="ListParagraph"/>
        <w:numPr>
          <w:ilvl w:val="0"/>
          <w:numId w:val="323"/>
        </w:numPr>
        <w:ind w:left="993" w:firstLine="0"/>
        <w:rPr>
          <w:lang w:eastAsia="bg-BG"/>
        </w:rPr>
      </w:pPr>
      <w:r w:rsidRPr="00D81CB4">
        <w:rPr>
          <w:lang w:eastAsia="bg-BG"/>
        </w:rPr>
        <w:t xml:space="preserve">отговорен служител, извършващ контрол върху работата на оценителната комисия. </w:t>
      </w:r>
    </w:p>
    <w:p w14:paraId="3F29FB48" w14:textId="77777777" w:rsidR="00D603F5" w:rsidRPr="001B0EA3" w:rsidRDefault="00D603F5" w:rsidP="00890B4B">
      <w:pPr>
        <w:tabs>
          <w:tab w:val="num" w:pos="993"/>
        </w:tabs>
        <w:spacing w:after="120"/>
        <w:ind w:left="993"/>
        <w:rPr>
          <w:szCs w:val="24"/>
          <w:lang w:eastAsia="bg-BG"/>
        </w:rPr>
      </w:pPr>
    </w:p>
    <w:p w14:paraId="4899BC71" w14:textId="77777777" w:rsidR="00743A07" w:rsidRPr="001B0EA3" w:rsidRDefault="00D603F5" w:rsidP="00890B4B">
      <w:pPr>
        <w:ind w:firstLine="567"/>
        <w:rPr>
          <w:szCs w:val="24"/>
          <w:lang w:eastAsia="bg-BG"/>
        </w:rPr>
      </w:pPr>
      <w:r w:rsidRPr="001B0EA3">
        <w:rPr>
          <w:i/>
          <w:szCs w:val="24"/>
          <w:lang w:eastAsia="bg-BG"/>
        </w:rPr>
        <w:t>Забележк</w:t>
      </w:r>
      <w:r w:rsidR="00743A07" w:rsidRPr="001B0EA3">
        <w:rPr>
          <w:i/>
          <w:szCs w:val="24"/>
          <w:lang w:eastAsia="bg-BG"/>
        </w:rPr>
        <w:t>и</w:t>
      </w:r>
      <w:r w:rsidRPr="001B0EA3">
        <w:rPr>
          <w:i/>
          <w:szCs w:val="24"/>
          <w:lang w:eastAsia="bg-BG"/>
        </w:rPr>
        <w:t>:</w:t>
      </w:r>
      <w:r w:rsidRPr="001B0EA3">
        <w:rPr>
          <w:szCs w:val="24"/>
          <w:lang w:eastAsia="bg-BG"/>
        </w:rPr>
        <w:t xml:space="preserve"> </w:t>
      </w:r>
    </w:p>
    <w:p w14:paraId="4CDF193C" w14:textId="77777777" w:rsidR="00D603F5" w:rsidRPr="001B0EA3" w:rsidRDefault="00D603F5" w:rsidP="00D81CB4">
      <w:pPr>
        <w:pStyle w:val="ListParagraph"/>
        <w:numPr>
          <w:ilvl w:val="0"/>
          <w:numId w:val="326"/>
        </w:numPr>
        <w:ind w:left="993" w:hanging="426"/>
        <w:rPr>
          <w:lang w:eastAsia="bg-BG"/>
        </w:rPr>
      </w:pPr>
      <w:r w:rsidRPr="001B0EA3">
        <w:rPr>
          <w:lang w:eastAsia="bg-BG"/>
        </w:rPr>
        <w:t xml:space="preserve">Началникът на отдел „Програмиране” няма право да участва в състава на оценителната комисия, поради задължението по </w:t>
      </w:r>
      <w:r w:rsidR="00480AEF" w:rsidRPr="00D81CB4">
        <w:rPr>
          <w:b/>
          <w:lang w:eastAsia="bg-BG"/>
        </w:rPr>
        <w:t>точка</w:t>
      </w:r>
      <w:r w:rsidR="00384EC9" w:rsidRPr="00D81CB4">
        <w:rPr>
          <w:b/>
          <w:lang w:eastAsia="bg-BG"/>
        </w:rPr>
        <w:t xml:space="preserve"> </w:t>
      </w:r>
      <w:r w:rsidR="0085113A" w:rsidRPr="001E404B">
        <w:rPr>
          <w:b/>
          <w:lang w:eastAsia="bg-BG"/>
        </w:rPr>
        <w:t>18.14</w:t>
      </w:r>
      <w:r w:rsidRPr="00D81CB4">
        <w:rPr>
          <w:b/>
          <w:lang w:eastAsia="bg-BG"/>
        </w:rPr>
        <w:t xml:space="preserve"> подточка </w:t>
      </w:r>
      <w:r w:rsidR="004829D3" w:rsidRPr="00842ECC">
        <w:rPr>
          <w:b/>
          <w:lang w:eastAsia="bg-BG"/>
        </w:rPr>
        <w:t>9)</w:t>
      </w:r>
      <w:r w:rsidRPr="001B0EA3">
        <w:rPr>
          <w:lang w:eastAsia="bg-BG"/>
        </w:rPr>
        <w:t xml:space="preserve"> за извършване </w:t>
      </w:r>
      <w:r w:rsidR="00A1679B" w:rsidRPr="001B0EA3">
        <w:rPr>
          <w:lang w:eastAsia="bg-BG"/>
        </w:rPr>
        <w:t>на проверка на процедурата за оценка на ФК и проверка на ФК</w:t>
      </w:r>
      <w:r w:rsidR="00743A07" w:rsidRPr="001B0EA3">
        <w:rPr>
          <w:lang w:eastAsia="bg-BG"/>
        </w:rPr>
        <w:t>.</w:t>
      </w:r>
    </w:p>
    <w:p w14:paraId="25D7F900" w14:textId="77777777" w:rsidR="00743A07" w:rsidRDefault="00743A07" w:rsidP="00D81CB4">
      <w:pPr>
        <w:pStyle w:val="ListParagraph"/>
        <w:numPr>
          <w:ilvl w:val="0"/>
          <w:numId w:val="326"/>
        </w:numPr>
        <w:ind w:left="993" w:hanging="426"/>
        <w:rPr>
          <w:lang w:eastAsia="bg-BG"/>
        </w:rPr>
      </w:pPr>
      <w:r w:rsidRPr="001B0EA3">
        <w:rPr>
          <w:lang w:eastAsia="bg-BG"/>
        </w:rPr>
        <w:t xml:space="preserve">В случай, че експерти от дирекция КПП участват в подготовката на </w:t>
      </w:r>
      <w:r w:rsidR="005D1588" w:rsidRPr="001B0EA3">
        <w:rPr>
          <w:lang w:eastAsia="bg-BG"/>
        </w:rPr>
        <w:t>проектно предложение/</w:t>
      </w:r>
      <w:r w:rsidRPr="001B0EA3">
        <w:rPr>
          <w:lang w:eastAsia="bg-BG"/>
        </w:rPr>
        <w:t>бюджетна линия</w:t>
      </w:r>
      <w:r w:rsidR="005D1588" w:rsidRPr="001B0EA3">
        <w:rPr>
          <w:lang w:eastAsia="bg-BG"/>
        </w:rPr>
        <w:t xml:space="preserve"> (финансовия план) </w:t>
      </w:r>
      <w:r w:rsidRPr="001B0EA3">
        <w:rPr>
          <w:lang w:eastAsia="bg-BG"/>
        </w:rPr>
        <w:t xml:space="preserve">с бенефициент УО на ОПТТИ, те не трябва да се включват в оценителната комисия.  </w:t>
      </w:r>
    </w:p>
    <w:p w14:paraId="6978458C" w14:textId="77777777" w:rsidR="00D81CB4" w:rsidRPr="001B0EA3" w:rsidRDefault="00D81CB4" w:rsidP="00D81CB4">
      <w:pPr>
        <w:rPr>
          <w:lang w:eastAsia="bg-BG"/>
        </w:rPr>
      </w:pPr>
    </w:p>
    <w:p w14:paraId="4610EFD0" w14:textId="77777777" w:rsidR="00D603F5" w:rsidRPr="001B0EA3" w:rsidRDefault="00D603F5" w:rsidP="00D81CB4">
      <w:pPr>
        <w:rPr>
          <w:lang w:eastAsia="bg-BG"/>
        </w:rPr>
      </w:pPr>
      <w:r w:rsidRPr="001B0EA3">
        <w:rPr>
          <w:lang w:eastAsia="bg-BG"/>
        </w:rPr>
        <w:t xml:space="preserve">Оценката на проектните предложения, включваща оценка на „административното съответствие и допустимостта“ и „техническа и финансова“ оценка се извършва </w:t>
      </w:r>
      <w:r w:rsidR="00AA1743" w:rsidRPr="001B0EA3">
        <w:rPr>
          <w:b/>
          <w:lang w:eastAsia="bg-BG"/>
        </w:rPr>
        <w:t>до</w:t>
      </w:r>
      <w:r w:rsidR="00AA1743" w:rsidRPr="001B0EA3">
        <w:rPr>
          <w:lang w:eastAsia="bg-BG"/>
        </w:rPr>
        <w:t xml:space="preserve"> </w:t>
      </w:r>
      <w:r w:rsidR="00AA1743" w:rsidRPr="001B0EA3">
        <w:rPr>
          <w:b/>
          <w:lang w:eastAsia="bg-BG"/>
        </w:rPr>
        <w:t>три месеца</w:t>
      </w:r>
      <w:r w:rsidR="00AA1743" w:rsidRPr="001B0EA3">
        <w:rPr>
          <w:rStyle w:val="FootnoteReference"/>
          <w:b/>
          <w:szCs w:val="24"/>
          <w:lang w:eastAsia="bg-BG"/>
        </w:rPr>
        <w:footnoteReference w:id="48"/>
      </w:r>
      <w:r w:rsidR="00AA1743" w:rsidRPr="001B0EA3">
        <w:rPr>
          <w:b/>
          <w:lang w:eastAsia="bg-BG"/>
        </w:rPr>
        <w:t xml:space="preserve"> </w:t>
      </w:r>
      <w:r w:rsidR="00AA1743" w:rsidRPr="001B0EA3">
        <w:rPr>
          <w:lang w:eastAsia="bg-BG"/>
        </w:rPr>
        <w:t>от датата на подаване на проектното предложение (чл. 44, ал. 2 от ЗУСЕСИФ).</w:t>
      </w:r>
      <w:r w:rsidRPr="001B0EA3">
        <w:rPr>
          <w:lang w:eastAsia="bg-BG"/>
        </w:rPr>
        <w:t xml:space="preserve"> </w:t>
      </w:r>
    </w:p>
    <w:p w14:paraId="12CCE43E" w14:textId="77777777" w:rsidR="00D603F5" w:rsidRPr="001B0EA3" w:rsidRDefault="00D603F5" w:rsidP="00D81CB4">
      <w:pPr>
        <w:rPr>
          <w:lang w:eastAsia="bg-BG"/>
        </w:rPr>
      </w:pPr>
      <w:r w:rsidRPr="001B0EA3">
        <w:rPr>
          <w:lang w:eastAsia="bg-BG"/>
        </w:rPr>
        <w:t xml:space="preserve">Оценката на </w:t>
      </w:r>
      <w:r w:rsidR="00046DF0" w:rsidRPr="001B0EA3">
        <w:rPr>
          <w:lang w:eastAsia="bg-BG"/>
        </w:rPr>
        <w:t xml:space="preserve">формуляр за кандидатстване за финансиране на бюджетна линия (включително </w:t>
      </w:r>
      <w:r w:rsidRPr="001B0EA3">
        <w:rPr>
          <w:lang w:eastAsia="bg-BG"/>
        </w:rPr>
        <w:t>финансовия план</w:t>
      </w:r>
      <w:r w:rsidR="00046DF0" w:rsidRPr="001B0EA3">
        <w:rPr>
          <w:lang w:eastAsia="bg-BG"/>
        </w:rPr>
        <w:t>)</w:t>
      </w:r>
      <w:r w:rsidRPr="001B0EA3">
        <w:rPr>
          <w:lang w:eastAsia="bg-BG"/>
        </w:rPr>
        <w:t xml:space="preserve">, включваща оценка на административното съответствие и допустимостта се извършва в срок </w:t>
      </w:r>
      <w:r w:rsidR="00AA1743" w:rsidRPr="001B0EA3">
        <w:rPr>
          <w:b/>
          <w:lang w:eastAsia="bg-BG"/>
        </w:rPr>
        <w:t>до един</w:t>
      </w:r>
      <w:r w:rsidR="00AA1743" w:rsidRPr="001B0EA3">
        <w:rPr>
          <w:lang w:eastAsia="bg-BG"/>
        </w:rPr>
        <w:t xml:space="preserve"> </w:t>
      </w:r>
      <w:r w:rsidR="00AA1743" w:rsidRPr="001B0EA3">
        <w:rPr>
          <w:b/>
          <w:lang w:eastAsia="bg-BG"/>
        </w:rPr>
        <w:t>месец</w:t>
      </w:r>
      <w:r w:rsidR="00AA1743" w:rsidRPr="001B0EA3">
        <w:rPr>
          <w:lang w:eastAsia="bg-BG"/>
        </w:rPr>
        <w:t xml:space="preserve"> от датата на подаването му (чл. 44, ал. 3 от ЗУСЕСИФ)</w:t>
      </w:r>
      <w:r w:rsidRPr="001B0EA3">
        <w:rPr>
          <w:lang w:eastAsia="bg-BG"/>
        </w:rPr>
        <w:t>.</w:t>
      </w:r>
    </w:p>
    <w:p w14:paraId="595CE4A8" w14:textId="77777777" w:rsidR="00D603F5" w:rsidRPr="001B0EA3" w:rsidRDefault="00D603F5" w:rsidP="00D81CB4">
      <w:pPr>
        <w:pStyle w:val="ListParagraph"/>
        <w:numPr>
          <w:ilvl w:val="0"/>
          <w:numId w:val="321"/>
        </w:numPr>
        <w:ind w:left="0" w:firstLine="851"/>
      </w:pPr>
      <w:bookmarkStart w:id="571" w:name="_Ref398634801"/>
      <w:r w:rsidRPr="001B0EA3">
        <w:t xml:space="preserve">По резолюция на началник на отдел „Програмиране“ служител от отдела подготвя Решение за сформиране на оценителна комисия, описано в </w:t>
      </w:r>
      <w:r w:rsidR="009B7C8E" w:rsidRPr="00D81CB4">
        <w:t>под</w:t>
      </w:r>
      <w:r w:rsidRPr="00D81CB4">
        <w:t>точка</w:t>
      </w:r>
      <w:r w:rsidR="009B7C8E" w:rsidRPr="00D81CB4">
        <w:t xml:space="preserve"> </w:t>
      </w:r>
      <w:r w:rsidRPr="001B0EA3">
        <w:fldChar w:fldCharType="begin"/>
      </w:r>
      <w:r w:rsidRPr="001B0EA3">
        <w:instrText xml:space="preserve"> REF _Ref406169920 \w \h  \* MERGEFORMAT </w:instrText>
      </w:r>
      <w:r w:rsidRPr="001B0EA3">
        <w:fldChar w:fldCharType="separate"/>
      </w:r>
      <w:r w:rsidR="00F22141">
        <w:t>1)</w:t>
      </w:r>
      <w:r w:rsidRPr="001B0EA3">
        <w:fldChar w:fldCharType="end"/>
      </w:r>
      <w:r w:rsidRPr="00D81CB4">
        <w:t>.</w:t>
      </w:r>
      <w:r w:rsidRPr="001B0EA3">
        <w:t xml:space="preserve"> Решението се съгласува с началника на отдел „Програмиране“ и директора на дирекция КПП и се предоставя за подпис на Ръководителя на УО на ОПТТИ. След това се завеждане в деловодната система на </w:t>
      </w:r>
      <w:r w:rsidR="00BB6BF6">
        <w:t>МТС</w:t>
      </w:r>
      <w:r w:rsidRPr="001B0EA3">
        <w:t xml:space="preserve"> от отговорен служител в отдел „Деловодство“, дирекция „Канцелария“.</w:t>
      </w:r>
      <w:bookmarkEnd w:id="571"/>
      <w:r w:rsidR="004F4D9E" w:rsidRPr="001B0EA3">
        <w:t xml:space="preserve"> </w:t>
      </w:r>
    </w:p>
    <w:p w14:paraId="5BBCDB78" w14:textId="77777777" w:rsidR="0007061E" w:rsidRPr="001B0EA3" w:rsidRDefault="004F4D9E" w:rsidP="00D81CB4">
      <w:pPr>
        <w:pStyle w:val="ListParagraph"/>
        <w:numPr>
          <w:ilvl w:val="0"/>
          <w:numId w:val="321"/>
        </w:numPr>
        <w:ind w:left="0" w:firstLine="851"/>
      </w:pPr>
      <w:r w:rsidRPr="001B0EA3">
        <w:t xml:space="preserve">След получаване на номер на Решението за сформиране на оценителна комисия от деловодната система на </w:t>
      </w:r>
      <w:r w:rsidR="00BB6BF6">
        <w:t>МТС</w:t>
      </w:r>
      <w:r w:rsidRPr="001B0EA3">
        <w:t>, началникът на отдел „Програмиране“, създава оценителна сесия в системата ИСУН 2020 и предоставя права на определените в него служители</w:t>
      </w:r>
      <w:r w:rsidR="0007061E" w:rsidRPr="001B0EA3">
        <w:t xml:space="preserve"> (председателя и членовете)</w:t>
      </w:r>
      <w:r w:rsidRPr="001B0EA3">
        <w:t xml:space="preserve"> за оценка на конкретното проектно предложение.</w:t>
      </w:r>
      <w:r w:rsidR="00E40779" w:rsidRPr="001B0EA3">
        <w:t xml:space="preserve"> </w:t>
      </w:r>
      <w:r w:rsidR="0007061E" w:rsidRPr="001B0EA3">
        <w:t>Достъпът се предоставя по реда, определен в системата ИСУН 2020.</w:t>
      </w:r>
    </w:p>
    <w:p w14:paraId="773C6DA5" w14:textId="77777777" w:rsidR="00D603F5" w:rsidRPr="001B0EA3" w:rsidRDefault="00D603F5" w:rsidP="00D81CB4">
      <w:pPr>
        <w:pStyle w:val="ListParagraph"/>
        <w:numPr>
          <w:ilvl w:val="0"/>
          <w:numId w:val="321"/>
        </w:numPr>
        <w:ind w:left="0" w:firstLine="851"/>
      </w:pPr>
      <w:r w:rsidRPr="001B0EA3">
        <w:t>По преценка на Ръководителя на УО на ОПТТИ за подпомагане работата на оценителната комисия в Решението за сформирането й може да бъде предвидено и включване на:</w:t>
      </w:r>
    </w:p>
    <w:p w14:paraId="64475816" w14:textId="77777777" w:rsidR="00D603F5" w:rsidRPr="001B0EA3" w:rsidRDefault="00D603F5" w:rsidP="00D81CB4">
      <w:pPr>
        <w:pStyle w:val="ListParagraph"/>
        <w:numPr>
          <w:ilvl w:val="0"/>
          <w:numId w:val="327"/>
        </w:numPr>
        <w:rPr>
          <w:lang w:eastAsia="bg-BG"/>
        </w:rPr>
      </w:pPr>
      <w:r w:rsidRPr="001B0EA3">
        <w:rPr>
          <w:lang w:eastAsia="bg-BG"/>
        </w:rPr>
        <w:t>външни експерти.</w:t>
      </w:r>
    </w:p>
    <w:p w14:paraId="200B3BA8" w14:textId="77777777" w:rsidR="00D603F5" w:rsidRPr="001B0EA3" w:rsidRDefault="00D603F5" w:rsidP="00D81CB4">
      <w:pPr>
        <w:pStyle w:val="ListParagraph"/>
        <w:numPr>
          <w:ilvl w:val="0"/>
          <w:numId w:val="327"/>
        </w:numPr>
        <w:rPr>
          <w:lang w:eastAsia="bg-BG"/>
        </w:rPr>
      </w:pPr>
      <w:r w:rsidRPr="001B0EA3">
        <w:rPr>
          <w:lang w:eastAsia="bg-BG"/>
        </w:rPr>
        <w:t>резервни членове;</w:t>
      </w:r>
    </w:p>
    <w:p w14:paraId="69FC5294" w14:textId="77777777" w:rsidR="00D603F5" w:rsidRPr="001B0EA3" w:rsidRDefault="00D603F5" w:rsidP="00D81CB4">
      <w:pPr>
        <w:pStyle w:val="ListParagraph"/>
        <w:numPr>
          <w:ilvl w:val="0"/>
          <w:numId w:val="327"/>
        </w:numPr>
        <w:rPr>
          <w:lang w:eastAsia="bg-BG"/>
        </w:rPr>
      </w:pPr>
      <w:r w:rsidRPr="001B0EA3">
        <w:rPr>
          <w:lang w:eastAsia="bg-BG"/>
        </w:rPr>
        <w:t xml:space="preserve">наблюдатели. Те следят процедурата да бъде проведена при спазване разпоредбите на </w:t>
      </w:r>
      <w:r w:rsidR="004F4D9E" w:rsidRPr="001B0EA3">
        <w:rPr>
          <w:lang w:eastAsia="bg-BG"/>
        </w:rPr>
        <w:t>нормативната уредба.</w:t>
      </w:r>
      <w:r w:rsidRPr="001B0EA3">
        <w:rPr>
          <w:lang w:eastAsia="bg-BG"/>
        </w:rPr>
        <w:t xml:space="preserve"> Те присъстват на заседанията на комисията, като не могат да влияят по какъвто и да е начин при оценяването на проектните предложения. При констатиране на нарушения на процедурата наблюдателят е длъжен писмено да информира ръководителя на УО на ОПТТИ. След приключването на оценителния процес наблюдателят изготвя доклад за своята дейност до ръководителя на УО на ОПТТИ по ред, определен в Решението за сформиране на оценителната комисия.</w:t>
      </w:r>
    </w:p>
    <w:p w14:paraId="0FF8DA99" w14:textId="77777777" w:rsidR="00D603F5" w:rsidRPr="001B0EA3" w:rsidRDefault="00D603F5" w:rsidP="00D81CB4">
      <w:pPr>
        <w:pStyle w:val="ListParagraph"/>
        <w:numPr>
          <w:ilvl w:val="0"/>
          <w:numId w:val="321"/>
        </w:numPr>
        <w:ind w:left="0" w:firstLine="851"/>
      </w:pPr>
      <w:r w:rsidRPr="001B0EA3">
        <w:t>Председателят, членовете на оценителната комисия, наблюдателя и служителя, отговорен за извършване на проверка за липса на конфликт на интереси трябва да притежават необходимата квалификация и професионална компетентност за изпълнение на задачите, възложени им в Решението за сформиране на оценителната комисия.</w:t>
      </w:r>
    </w:p>
    <w:p w14:paraId="58E6E976" w14:textId="77777777" w:rsidR="00D603F5" w:rsidRPr="001B0EA3" w:rsidRDefault="00D603F5" w:rsidP="00D81CB4">
      <w:pPr>
        <w:pStyle w:val="ListParagraph"/>
        <w:numPr>
          <w:ilvl w:val="0"/>
          <w:numId w:val="321"/>
        </w:numPr>
        <w:ind w:left="0" w:firstLine="851"/>
      </w:pPr>
      <w:r w:rsidRPr="001B0EA3">
        <w:t xml:space="preserve">Всяка промяна в състава на участниците в оценителната комисия, независимо от основанието, се извършва с Решение на ръководителя на УО на ОПТТИ за изменение на Решението за сформиране на оценителна комисия, което се прилага към оценителния доклад и се отразява в него. </w:t>
      </w:r>
    </w:p>
    <w:p w14:paraId="2D973174" w14:textId="77777777" w:rsidR="00D603F5" w:rsidRPr="001B0EA3" w:rsidRDefault="00D603F5" w:rsidP="00D81CB4">
      <w:pPr>
        <w:pStyle w:val="ListParagraph"/>
        <w:numPr>
          <w:ilvl w:val="0"/>
          <w:numId w:val="321"/>
        </w:numPr>
        <w:ind w:left="0" w:firstLine="851"/>
      </w:pPr>
      <w:r w:rsidRPr="001B0EA3">
        <w:t>Когато в Решението за определяне на оценителната комисия са включени резервни членове, при нужда могат да заменят титуляр без това да налага промяна в Решението.</w:t>
      </w:r>
    </w:p>
    <w:p w14:paraId="1C5103F6" w14:textId="77777777" w:rsidR="00D603F5" w:rsidRPr="00842ECC" w:rsidRDefault="00D603F5" w:rsidP="00346F28">
      <w:pPr>
        <w:pStyle w:val="Style3"/>
        <w:rPr>
          <w:lang w:val="bg-BG"/>
        </w:rPr>
      </w:pPr>
      <w:bookmarkStart w:id="572" w:name="_Toc431992180"/>
      <w:bookmarkStart w:id="573" w:name="_Toc432165912"/>
      <w:bookmarkStart w:id="574" w:name="_Toc479775644"/>
      <w:bookmarkEnd w:id="572"/>
      <w:bookmarkEnd w:id="573"/>
      <w:r w:rsidRPr="00842ECC">
        <w:rPr>
          <w:lang w:val="bg-BG"/>
        </w:rPr>
        <w:t>Задължения и отговорности на лицата в оценителна комисия</w:t>
      </w:r>
      <w:bookmarkEnd w:id="574"/>
    </w:p>
    <w:p w14:paraId="6B11BF85" w14:textId="77777777" w:rsidR="009948BE" w:rsidRPr="00D81CB4" w:rsidRDefault="009948BE" w:rsidP="00D81CB4">
      <w:pPr>
        <w:pStyle w:val="ListParagraph"/>
        <w:numPr>
          <w:ilvl w:val="0"/>
          <w:numId w:val="328"/>
        </w:numPr>
        <w:ind w:left="0" w:firstLine="851"/>
        <w:rPr>
          <w:b/>
        </w:rPr>
      </w:pPr>
      <w:bookmarkStart w:id="575" w:name="_Ref395882289"/>
      <w:r w:rsidRPr="00D81CB4">
        <w:rPr>
          <w:b/>
        </w:rPr>
        <w:t>Всички лица</w:t>
      </w:r>
      <w:r w:rsidRPr="001B0EA3">
        <w:t xml:space="preserve"> (председател, членове, външни експерти, наблюдатели), посочени в Решението за сформиране на оценителната комисия </w:t>
      </w:r>
      <w:r w:rsidRPr="00D81CB4">
        <w:rPr>
          <w:b/>
        </w:rPr>
        <w:t>са длъжни:</w:t>
      </w:r>
      <w:bookmarkEnd w:id="575"/>
    </w:p>
    <w:p w14:paraId="22ED3247" w14:textId="77777777" w:rsidR="009948BE" w:rsidRPr="001B0EA3" w:rsidRDefault="009948BE" w:rsidP="00D81CB4">
      <w:pPr>
        <w:pStyle w:val="ListParagraph"/>
        <w:numPr>
          <w:ilvl w:val="0"/>
          <w:numId w:val="329"/>
        </w:numPr>
        <w:ind w:left="0" w:firstLine="1211"/>
        <w:rPr>
          <w:lang w:eastAsia="bg-BG"/>
        </w:rPr>
      </w:pPr>
      <w:r w:rsidRPr="001B0EA3">
        <w:rPr>
          <w:lang w:eastAsia="bg-BG"/>
        </w:rPr>
        <w:t xml:space="preserve">да изпълняват задълженията си добросъвестно, обективно и безпристрастно; </w:t>
      </w:r>
    </w:p>
    <w:p w14:paraId="00AE8312" w14:textId="77777777" w:rsidR="009948BE" w:rsidRPr="001B0EA3" w:rsidRDefault="009948BE" w:rsidP="00D81CB4">
      <w:pPr>
        <w:pStyle w:val="ListParagraph"/>
        <w:numPr>
          <w:ilvl w:val="0"/>
          <w:numId w:val="329"/>
        </w:numPr>
        <w:ind w:left="0" w:firstLine="1211"/>
        <w:rPr>
          <w:lang w:eastAsia="bg-BG"/>
        </w:rPr>
      </w:pPr>
      <w:r w:rsidRPr="001B0EA3">
        <w:rPr>
          <w:lang w:eastAsia="bg-BG"/>
        </w:rPr>
        <w:lastRenderedPageBreak/>
        <w:t xml:space="preserve">да пазят в тайна обстоятелствата, които са узнали във връзка със своята работа в комисията. </w:t>
      </w:r>
    </w:p>
    <w:p w14:paraId="41E702A2" w14:textId="77777777" w:rsidR="009948BE" w:rsidRPr="00D81CB4" w:rsidRDefault="009948BE" w:rsidP="00D81CB4">
      <w:pPr>
        <w:pStyle w:val="ListParagraph"/>
        <w:numPr>
          <w:ilvl w:val="0"/>
          <w:numId w:val="328"/>
        </w:numPr>
        <w:ind w:left="0" w:firstLine="851"/>
        <w:rPr>
          <w:b/>
        </w:rPr>
      </w:pPr>
      <w:bookmarkStart w:id="576" w:name="_Ref395515156"/>
      <w:r w:rsidRPr="001B0EA3">
        <w:rPr>
          <w:b/>
        </w:rPr>
        <w:t>Всички лица</w:t>
      </w:r>
      <w:r w:rsidRPr="00D81CB4">
        <w:rPr>
          <w:b/>
        </w:rPr>
        <w:t xml:space="preserve"> </w:t>
      </w:r>
      <w:r w:rsidRPr="00D81CB4">
        <w:t>(председател, членове, външни експерти, наблюдатели), посочени в Решението за сформиране на оценителната комисия</w:t>
      </w:r>
      <w:r w:rsidRPr="00D81CB4">
        <w:rPr>
          <w:b/>
        </w:rPr>
        <w:t xml:space="preserve"> </w:t>
      </w:r>
      <w:r w:rsidRPr="001B0EA3">
        <w:rPr>
          <w:b/>
        </w:rPr>
        <w:t>не могат</w:t>
      </w:r>
      <w:r w:rsidRPr="00D81CB4">
        <w:rPr>
          <w:b/>
        </w:rPr>
        <w:t>:</w:t>
      </w:r>
      <w:bookmarkEnd w:id="576"/>
    </w:p>
    <w:p w14:paraId="565CEA6D" w14:textId="77777777" w:rsidR="009948BE" w:rsidRPr="00D81CB4" w:rsidRDefault="009948BE" w:rsidP="00D81CB4">
      <w:pPr>
        <w:pStyle w:val="ListParagraph"/>
        <w:numPr>
          <w:ilvl w:val="0"/>
          <w:numId w:val="329"/>
        </w:numPr>
        <w:ind w:left="0" w:firstLine="1211"/>
        <w:rPr>
          <w:lang w:eastAsia="bg-BG"/>
        </w:rPr>
      </w:pPr>
      <w:r w:rsidRPr="00D81CB4">
        <w:rPr>
          <w:lang w:eastAsia="bg-BG"/>
        </w:rPr>
        <w:t xml:space="preserve">да са в конфликт на интереси по смисъла на чл. </w:t>
      </w:r>
      <w:r w:rsidR="00B7610B">
        <w:rPr>
          <w:lang w:eastAsia="bg-BG"/>
        </w:rPr>
        <w:t>61</w:t>
      </w:r>
      <w:r w:rsidRPr="00D81CB4">
        <w:rPr>
          <w:lang w:eastAsia="bg-BG"/>
        </w:rPr>
        <w:t xml:space="preserve"> от Регламент (ЕС, ЕВРАТОМ) № </w:t>
      </w:r>
      <w:r w:rsidR="005C3C18">
        <w:rPr>
          <w:lang w:eastAsia="bg-BG"/>
        </w:rPr>
        <w:t>1046</w:t>
      </w:r>
      <w:r w:rsidRPr="00D81CB4">
        <w:rPr>
          <w:lang w:eastAsia="bg-BG"/>
        </w:rPr>
        <w:t>/</w:t>
      </w:r>
      <w:r w:rsidR="005C3C18" w:rsidRPr="00D81CB4">
        <w:rPr>
          <w:lang w:eastAsia="bg-BG"/>
        </w:rPr>
        <w:t>201</w:t>
      </w:r>
      <w:r w:rsidR="005C3C18">
        <w:rPr>
          <w:lang w:eastAsia="bg-BG"/>
        </w:rPr>
        <w:t>8</w:t>
      </w:r>
      <w:r w:rsidR="005C3C18" w:rsidRPr="00D81CB4">
        <w:rPr>
          <w:lang w:eastAsia="bg-BG"/>
        </w:rPr>
        <w:t xml:space="preserve"> </w:t>
      </w:r>
      <w:r w:rsidRPr="00D81CB4">
        <w:rPr>
          <w:lang w:eastAsia="bg-BG"/>
        </w:rPr>
        <w:t xml:space="preserve">с някой от конкретните бенефициенти на процедурата за предоставяне на БФП; </w:t>
      </w:r>
    </w:p>
    <w:p w14:paraId="459A3A47" w14:textId="77777777" w:rsidR="009948BE" w:rsidRPr="00D81CB4" w:rsidRDefault="009948BE" w:rsidP="00D81CB4">
      <w:pPr>
        <w:pStyle w:val="ListParagraph"/>
        <w:numPr>
          <w:ilvl w:val="0"/>
          <w:numId w:val="329"/>
        </w:numPr>
        <w:ind w:left="0" w:firstLine="1211"/>
        <w:rPr>
          <w:lang w:eastAsia="bg-BG"/>
        </w:rPr>
      </w:pPr>
      <w:r w:rsidRPr="00D81CB4">
        <w:rPr>
          <w:lang w:eastAsia="bg-BG"/>
        </w:rPr>
        <w:t xml:space="preserve">да имат интерес по смисъла на Закона за предотвратяване и установяване на конфликт на интереси от отпускането на БФП по конкретната процедура; </w:t>
      </w:r>
    </w:p>
    <w:p w14:paraId="48BA9819" w14:textId="77777777" w:rsidR="009948BE" w:rsidRPr="00D81CB4" w:rsidRDefault="009948BE" w:rsidP="00D81CB4">
      <w:pPr>
        <w:pStyle w:val="ListParagraph"/>
        <w:numPr>
          <w:ilvl w:val="0"/>
          <w:numId w:val="329"/>
        </w:numPr>
        <w:ind w:left="0" w:firstLine="1211"/>
        <w:rPr>
          <w:lang w:eastAsia="bg-BG"/>
        </w:rPr>
      </w:pPr>
      <w:r w:rsidRPr="00D81CB4">
        <w:rPr>
          <w:lang w:eastAsia="bg-BG"/>
        </w:rPr>
        <w:t xml:space="preserve">да са свързани лица по смисъла на § 1, т. 1 от допълнителните разпоредби на Закона за предотвратяване и установяване на конфликт на интереси с кандидат по процедурата; </w:t>
      </w:r>
    </w:p>
    <w:p w14:paraId="3969DCE9" w14:textId="77777777" w:rsidR="009948BE" w:rsidRPr="00D81CB4" w:rsidRDefault="009948BE" w:rsidP="00D81CB4">
      <w:pPr>
        <w:pStyle w:val="ListParagraph"/>
        <w:numPr>
          <w:ilvl w:val="0"/>
          <w:numId w:val="329"/>
        </w:numPr>
        <w:ind w:left="0" w:firstLine="1211"/>
        <w:rPr>
          <w:lang w:eastAsia="bg-BG"/>
        </w:rPr>
      </w:pPr>
      <w:r w:rsidRPr="00D81CB4">
        <w:rPr>
          <w:lang w:eastAsia="bg-BG"/>
        </w:rPr>
        <w:t xml:space="preserve">да са лица, които се намират помежду си в йерархическа зависимост. </w:t>
      </w:r>
    </w:p>
    <w:p w14:paraId="2D4CAAB7" w14:textId="77777777" w:rsidR="009948BE" w:rsidRPr="00D81CB4" w:rsidRDefault="009948BE" w:rsidP="00D81CB4">
      <w:pPr>
        <w:pStyle w:val="ListParagraph"/>
        <w:numPr>
          <w:ilvl w:val="0"/>
          <w:numId w:val="329"/>
        </w:numPr>
        <w:ind w:left="0" w:firstLine="1211"/>
        <w:rPr>
          <w:lang w:eastAsia="bg-BG"/>
        </w:rPr>
      </w:pPr>
      <w:r w:rsidRPr="00D81CB4">
        <w:rPr>
          <w:lang w:eastAsia="bg-BG"/>
        </w:rPr>
        <w:t>да са членове на Комитета за наблюдение на ОПТТИ.</w:t>
      </w:r>
    </w:p>
    <w:p w14:paraId="713E00AD" w14:textId="77777777" w:rsidR="007E6D2F" w:rsidRPr="00D81CB4" w:rsidRDefault="00D603F5" w:rsidP="00D81CB4">
      <w:pPr>
        <w:pStyle w:val="ListParagraph"/>
        <w:numPr>
          <w:ilvl w:val="0"/>
          <w:numId w:val="328"/>
        </w:numPr>
        <w:ind w:left="0" w:firstLine="851"/>
      </w:pPr>
      <w:r w:rsidRPr="001B0EA3">
        <w:rPr>
          <w:b/>
        </w:rPr>
        <w:t>Председателят</w:t>
      </w:r>
      <w:r w:rsidRPr="00D81CB4">
        <w:rPr>
          <w:b/>
        </w:rPr>
        <w:t xml:space="preserve"> </w:t>
      </w:r>
      <w:r w:rsidRPr="001B0EA3">
        <w:rPr>
          <w:b/>
        </w:rPr>
        <w:t>на оценителната комисия</w:t>
      </w:r>
      <w:r w:rsidRPr="00D81CB4">
        <w:rPr>
          <w:b/>
        </w:rPr>
        <w:t xml:space="preserve"> </w:t>
      </w:r>
      <w:r w:rsidRPr="00D81CB4">
        <w:t xml:space="preserve">трябва да притежава необходимата квалификация и професионална компетентност за следене на законосъобразното протичане на оценителния процес. </w:t>
      </w:r>
      <w:r w:rsidR="007E6D2F" w:rsidRPr="00D81CB4">
        <w:t>Задълженията и отговорностите на председателя на оценителната комисия</w:t>
      </w:r>
      <w:r w:rsidR="009948BE" w:rsidRPr="00D81CB4">
        <w:t xml:space="preserve"> са да</w:t>
      </w:r>
      <w:r w:rsidR="007E6D2F" w:rsidRPr="00D81CB4">
        <w:t xml:space="preserve">: </w:t>
      </w:r>
    </w:p>
    <w:p w14:paraId="72ACD0A6" w14:textId="77777777" w:rsidR="007E6D2F" w:rsidRPr="00D81CB4" w:rsidRDefault="007E6D2F" w:rsidP="00D81CB4">
      <w:pPr>
        <w:pStyle w:val="ListParagraph"/>
        <w:numPr>
          <w:ilvl w:val="0"/>
          <w:numId w:val="329"/>
        </w:numPr>
        <w:ind w:left="0" w:firstLine="1211"/>
        <w:rPr>
          <w:lang w:eastAsia="bg-BG"/>
        </w:rPr>
      </w:pPr>
      <w:r w:rsidRPr="00D81CB4">
        <w:rPr>
          <w:lang w:eastAsia="bg-BG"/>
        </w:rPr>
        <w:t xml:space="preserve">ръководи организационно и методически работата на комисията; </w:t>
      </w:r>
    </w:p>
    <w:p w14:paraId="6ACD6E68" w14:textId="77777777" w:rsidR="007E6D2F" w:rsidRPr="00D81CB4" w:rsidRDefault="007E6D2F" w:rsidP="00D81CB4">
      <w:pPr>
        <w:pStyle w:val="ListParagraph"/>
        <w:numPr>
          <w:ilvl w:val="0"/>
          <w:numId w:val="329"/>
        </w:numPr>
        <w:ind w:left="0" w:firstLine="1211"/>
        <w:rPr>
          <w:lang w:eastAsia="bg-BG"/>
        </w:rPr>
      </w:pPr>
      <w:r w:rsidRPr="00D81CB4">
        <w:rPr>
          <w:lang w:eastAsia="bg-BG"/>
        </w:rPr>
        <w:t>запознава членовете на оценителната комисия с приложимата процедура за оценка на проектните предложения</w:t>
      </w:r>
      <w:r w:rsidR="00AA1743" w:rsidRPr="00D81CB4">
        <w:rPr>
          <w:lang w:eastAsia="bg-BG"/>
        </w:rPr>
        <w:t xml:space="preserve"> по ОПТТИ</w:t>
      </w:r>
      <w:r w:rsidRPr="00D81CB4">
        <w:rPr>
          <w:lang w:eastAsia="bg-BG"/>
        </w:rPr>
        <w:t>;</w:t>
      </w:r>
    </w:p>
    <w:p w14:paraId="66118098" w14:textId="77777777" w:rsidR="007E6D2F" w:rsidRPr="00D81CB4" w:rsidRDefault="007E6D2F" w:rsidP="00D81CB4">
      <w:pPr>
        <w:pStyle w:val="ListParagraph"/>
        <w:numPr>
          <w:ilvl w:val="0"/>
          <w:numId w:val="329"/>
        </w:numPr>
        <w:ind w:left="0" w:firstLine="1211"/>
        <w:rPr>
          <w:lang w:eastAsia="bg-BG"/>
        </w:rPr>
      </w:pPr>
      <w:r w:rsidRPr="00D81CB4">
        <w:rPr>
          <w:lang w:eastAsia="bg-BG"/>
        </w:rPr>
        <w:t>запознава членовете на оценителната комисия с Насоките за кандидатстване по ОПТТИ и Критериите за подбор и оценка на проекти по ОПТТИ, одобрени от Комитета за наблюдение на ОПТТИ;</w:t>
      </w:r>
    </w:p>
    <w:p w14:paraId="487F27F3" w14:textId="77777777" w:rsidR="007E6D2F" w:rsidRPr="00D81CB4" w:rsidRDefault="007E6D2F" w:rsidP="00D81CB4">
      <w:pPr>
        <w:pStyle w:val="ListParagraph"/>
        <w:numPr>
          <w:ilvl w:val="0"/>
          <w:numId w:val="329"/>
        </w:numPr>
        <w:ind w:left="0" w:firstLine="1211"/>
        <w:rPr>
          <w:lang w:eastAsia="bg-BG"/>
        </w:rPr>
      </w:pPr>
      <w:r w:rsidRPr="00D81CB4">
        <w:rPr>
          <w:lang w:eastAsia="bg-BG"/>
        </w:rPr>
        <w:t xml:space="preserve">координира процеса на оценка в съответствие с разписаните процедури, предвидени в настоящия наръчник и в действащата национална нормативна база </w:t>
      </w:r>
      <w:r w:rsidR="00AA1743" w:rsidRPr="00D81CB4">
        <w:rPr>
          <w:lang w:eastAsia="bg-BG"/>
        </w:rPr>
        <w:t>(ЗУСЕСИФ/ПМС № 162 от 5.07.2016 г.)</w:t>
      </w:r>
      <w:r w:rsidRPr="00D81CB4">
        <w:rPr>
          <w:lang w:eastAsia="bg-BG"/>
        </w:rPr>
        <w:t xml:space="preserve">; </w:t>
      </w:r>
    </w:p>
    <w:p w14:paraId="512C8239" w14:textId="77777777" w:rsidR="007E6D2F" w:rsidRPr="00D81CB4" w:rsidRDefault="007E6D2F" w:rsidP="00D81CB4">
      <w:pPr>
        <w:pStyle w:val="ListParagraph"/>
        <w:numPr>
          <w:ilvl w:val="0"/>
          <w:numId w:val="329"/>
        </w:numPr>
        <w:ind w:left="0" w:firstLine="1211"/>
        <w:rPr>
          <w:lang w:eastAsia="bg-BG"/>
        </w:rPr>
      </w:pPr>
      <w:r w:rsidRPr="00D81CB4">
        <w:rPr>
          <w:lang w:eastAsia="bg-BG"/>
        </w:rPr>
        <w:t xml:space="preserve">осигурява безпристрастност и прозрачност на процеса на оценяване на проектните предложения; </w:t>
      </w:r>
    </w:p>
    <w:p w14:paraId="338CA298" w14:textId="77777777" w:rsidR="007E6D2F" w:rsidRPr="00D81CB4" w:rsidRDefault="007E6D2F" w:rsidP="00D81CB4">
      <w:pPr>
        <w:pStyle w:val="ListParagraph"/>
        <w:numPr>
          <w:ilvl w:val="0"/>
          <w:numId w:val="329"/>
        </w:numPr>
        <w:ind w:left="0" w:firstLine="1211"/>
        <w:rPr>
          <w:lang w:eastAsia="bg-BG"/>
        </w:rPr>
      </w:pPr>
      <w:r w:rsidRPr="00D81CB4">
        <w:rPr>
          <w:lang w:eastAsia="bg-BG"/>
        </w:rPr>
        <w:t xml:space="preserve">свиква </w:t>
      </w:r>
      <w:r w:rsidR="00AA1743" w:rsidRPr="00D81CB4">
        <w:rPr>
          <w:lang w:eastAsia="bg-BG"/>
        </w:rPr>
        <w:t xml:space="preserve">при необходимост </w:t>
      </w:r>
      <w:r w:rsidRPr="00D81CB4">
        <w:rPr>
          <w:lang w:eastAsia="bg-BG"/>
        </w:rPr>
        <w:t xml:space="preserve">участниците в комисията на заседания; </w:t>
      </w:r>
    </w:p>
    <w:p w14:paraId="35466B8C" w14:textId="77777777" w:rsidR="007E6D2F" w:rsidRPr="00D81CB4" w:rsidRDefault="007E6D2F" w:rsidP="00D81CB4">
      <w:pPr>
        <w:pStyle w:val="ListParagraph"/>
        <w:numPr>
          <w:ilvl w:val="0"/>
          <w:numId w:val="329"/>
        </w:numPr>
        <w:ind w:left="0" w:firstLine="1211"/>
        <w:rPr>
          <w:lang w:eastAsia="bg-BG"/>
        </w:rPr>
      </w:pPr>
      <w:r w:rsidRPr="00D81CB4">
        <w:rPr>
          <w:lang w:eastAsia="bg-BG"/>
        </w:rPr>
        <w:t xml:space="preserve">води заседанията на комисията; </w:t>
      </w:r>
    </w:p>
    <w:p w14:paraId="6998BAE4" w14:textId="77777777" w:rsidR="007E6D2F" w:rsidRPr="00D81CB4" w:rsidRDefault="007E6D2F" w:rsidP="00D81CB4">
      <w:pPr>
        <w:pStyle w:val="ListParagraph"/>
        <w:numPr>
          <w:ilvl w:val="0"/>
          <w:numId w:val="329"/>
        </w:numPr>
        <w:ind w:left="0" w:firstLine="1211"/>
        <w:rPr>
          <w:lang w:eastAsia="bg-BG"/>
        </w:rPr>
      </w:pPr>
      <w:r w:rsidRPr="00D81CB4">
        <w:rPr>
          <w:lang w:eastAsia="bg-BG"/>
        </w:rPr>
        <w:t xml:space="preserve">разглежда проектното предложение и </w:t>
      </w:r>
      <w:r w:rsidR="0007061E" w:rsidRPr="00D81CB4">
        <w:rPr>
          <w:lang w:eastAsia="bg-BG"/>
        </w:rPr>
        <w:t xml:space="preserve">обобщава резултатите от </w:t>
      </w:r>
      <w:r w:rsidRPr="00D81CB4">
        <w:rPr>
          <w:lang w:eastAsia="bg-BG"/>
        </w:rPr>
        <w:t>оценка на административното съответствие и допустимостта и техническа и финансова оценка на проектното предложение,</w:t>
      </w:r>
      <w:r w:rsidR="0007061E" w:rsidRPr="00D81CB4">
        <w:rPr>
          <w:lang w:eastAsia="bg-BG"/>
        </w:rPr>
        <w:t xml:space="preserve"> извършена от членовете на оценителната комисия</w:t>
      </w:r>
      <w:r w:rsidRPr="00D81CB4">
        <w:rPr>
          <w:lang w:eastAsia="bg-BG"/>
        </w:rPr>
        <w:t xml:space="preserve"> в съответствие с Насоките за кандидатстване по ОПТТИ;</w:t>
      </w:r>
      <w:r w:rsidR="0007061E" w:rsidRPr="00D81CB4">
        <w:rPr>
          <w:lang w:eastAsia="bg-BG"/>
        </w:rPr>
        <w:t xml:space="preserve"> </w:t>
      </w:r>
      <w:r w:rsidR="00403A5D" w:rsidRPr="00D81CB4">
        <w:rPr>
          <w:lang w:eastAsia="bg-BG"/>
        </w:rPr>
        <w:t>При обоснована необходимост председателят на оценителната комисия може да  променя оценката на проектното предложение.</w:t>
      </w:r>
    </w:p>
    <w:p w14:paraId="23469F49" w14:textId="77777777" w:rsidR="0050523C" w:rsidRPr="00D81CB4" w:rsidRDefault="0050523C" w:rsidP="00D81CB4">
      <w:pPr>
        <w:pStyle w:val="ListParagraph"/>
        <w:numPr>
          <w:ilvl w:val="0"/>
          <w:numId w:val="329"/>
        </w:numPr>
        <w:ind w:left="0" w:firstLine="1211"/>
        <w:rPr>
          <w:lang w:eastAsia="bg-BG"/>
        </w:rPr>
      </w:pPr>
      <w:r w:rsidRPr="00D81CB4">
        <w:rPr>
          <w:lang w:eastAsia="bg-BG"/>
        </w:rPr>
        <w:t>извършва втори контрол при проверката за липса на двойно финансиране и за държавни помощи;</w:t>
      </w:r>
    </w:p>
    <w:p w14:paraId="675980EB" w14:textId="77777777" w:rsidR="0050523C" w:rsidRPr="00D81CB4" w:rsidRDefault="0050523C" w:rsidP="00D81CB4">
      <w:pPr>
        <w:pStyle w:val="ListParagraph"/>
        <w:numPr>
          <w:ilvl w:val="0"/>
          <w:numId w:val="329"/>
        </w:numPr>
        <w:ind w:left="0" w:firstLine="1211"/>
        <w:rPr>
          <w:lang w:eastAsia="bg-BG"/>
        </w:rPr>
      </w:pPr>
      <w:r w:rsidRPr="00D81CB4">
        <w:rPr>
          <w:lang w:eastAsia="bg-BG"/>
        </w:rPr>
        <w:t>След приключване на оценката от оценителите, председателят отразява резултатите от оценката и в ИСУН 2020;</w:t>
      </w:r>
    </w:p>
    <w:p w14:paraId="6FB3A98F" w14:textId="77777777" w:rsidR="007E6D2F" w:rsidRPr="00D81CB4" w:rsidRDefault="00403A5D" w:rsidP="00D81CB4">
      <w:pPr>
        <w:pStyle w:val="ListParagraph"/>
        <w:numPr>
          <w:ilvl w:val="0"/>
          <w:numId w:val="329"/>
        </w:numPr>
        <w:ind w:left="0" w:firstLine="1211"/>
        <w:rPr>
          <w:lang w:eastAsia="bg-BG"/>
        </w:rPr>
      </w:pPr>
      <w:r w:rsidRPr="00D81CB4">
        <w:rPr>
          <w:lang w:eastAsia="bg-BG"/>
        </w:rPr>
        <w:t>С</w:t>
      </w:r>
      <w:r w:rsidR="007E6D2F" w:rsidRPr="00D81CB4">
        <w:rPr>
          <w:lang w:eastAsia="bg-BG"/>
        </w:rPr>
        <w:t xml:space="preserve">ъгласува изходящата от комисията кореспонденция; </w:t>
      </w:r>
    </w:p>
    <w:p w14:paraId="5A7CCC42" w14:textId="77777777" w:rsidR="007E6D2F" w:rsidRPr="00D81CB4" w:rsidRDefault="007E6D2F" w:rsidP="00D81CB4">
      <w:pPr>
        <w:pStyle w:val="ListParagraph"/>
        <w:numPr>
          <w:ilvl w:val="0"/>
          <w:numId w:val="329"/>
        </w:numPr>
        <w:ind w:left="0" w:firstLine="1211"/>
        <w:rPr>
          <w:lang w:eastAsia="bg-BG"/>
        </w:rPr>
      </w:pPr>
      <w:r w:rsidRPr="00D81CB4">
        <w:rPr>
          <w:lang w:eastAsia="bg-BG"/>
        </w:rPr>
        <w:t>координира процеса на изготвяне на оценителния доклад и го подписва;</w:t>
      </w:r>
    </w:p>
    <w:p w14:paraId="00B4DCD1" w14:textId="77777777" w:rsidR="007E6D2F" w:rsidRPr="00D81CB4" w:rsidRDefault="007E6D2F" w:rsidP="00D81CB4">
      <w:pPr>
        <w:pStyle w:val="ListParagraph"/>
        <w:numPr>
          <w:ilvl w:val="0"/>
          <w:numId w:val="329"/>
        </w:numPr>
        <w:ind w:left="0" w:firstLine="1211"/>
        <w:rPr>
          <w:lang w:eastAsia="bg-BG"/>
        </w:rPr>
      </w:pPr>
      <w:r w:rsidRPr="00D81CB4">
        <w:rPr>
          <w:lang w:eastAsia="bg-BG"/>
        </w:rPr>
        <w:t>подписва декларация за поверителност и липса на конфликт на интереси.</w:t>
      </w:r>
    </w:p>
    <w:p w14:paraId="3587F36D" w14:textId="77777777" w:rsidR="00D603F5" w:rsidRPr="00D81CB4" w:rsidRDefault="00D603F5" w:rsidP="00D81CB4">
      <w:pPr>
        <w:pStyle w:val="ListParagraph"/>
        <w:numPr>
          <w:ilvl w:val="0"/>
          <w:numId w:val="328"/>
        </w:numPr>
        <w:ind w:left="0" w:firstLine="851"/>
        <w:rPr>
          <w:b/>
        </w:rPr>
      </w:pPr>
      <w:r w:rsidRPr="001B0EA3">
        <w:rPr>
          <w:b/>
        </w:rPr>
        <w:t>Членовете</w:t>
      </w:r>
      <w:r w:rsidRPr="00D81CB4">
        <w:rPr>
          <w:b/>
        </w:rPr>
        <w:t xml:space="preserve"> </w:t>
      </w:r>
      <w:r w:rsidRPr="001B0EA3">
        <w:rPr>
          <w:b/>
        </w:rPr>
        <w:t>на оценителната комисия</w:t>
      </w:r>
      <w:r w:rsidRPr="00D81CB4">
        <w:rPr>
          <w:b/>
        </w:rPr>
        <w:t xml:space="preserve"> </w:t>
      </w:r>
      <w:r w:rsidRPr="00D81CB4">
        <w:t>и резервните членове трябва да притежават необходимата квалификация и професионална компетентност, за да разгледат и оценят проектните предложения и да предоставят обосновано становище във връзка с проектите и оценката им. Членовете на оценителната комисия:</w:t>
      </w:r>
      <w:r w:rsidRPr="00D81CB4">
        <w:rPr>
          <w:b/>
        </w:rPr>
        <w:t xml:space="preserve"> </w:t>
      </w:r>
    </w:p>
    <w:p w14:paraId="3B926A9A" w14:textId="77777777" w:rsidR="00D603F5" w:rsidRPr="00D81CB4" w:rsidRDefault="00D603F5" w:rsidP="00D81CB4">
      <w:pPr>
        <w:pStyle w:val="ListParagraph"/>
        <w:numPr>
          <w:ilvl w:val="0"/>
          <w:numId w:val="329"/>
        </w:numPr>
        <w:ind w:left="0" w:firstLine="1211"/>
        <w:rPr>
          <w:lang w:eastAsia="bg-BG"/>
        </w:rPr>
      </w:pPr>
      <w:r w:rsidRPr="00D81CB4">
        <w:rPr>
          <w:lang w:eastAsia="bg-BG"/>
        </w:rPr>
        <w:t xml:space="preserve">подпомагат председателя в дейността му; </w:t>
      </w:r>
    </w:p>
    <w:p w14:paraId="7B105841" w14:textId="77777777" w:rsidR="00D603F5" w:rsidRPr="00D81CB4" w:rsidRDefault="00D603F5" w:rsidP="00D81CB4">
      <w:pPr>
        <w:pStyle w:val="ListParagraph"/>
        <w:numPr>
          <w:ilvl w:val="0"/>
          <w:numId w:val="329"/>
        </w:numPr>
        <w:ind w:left="0" w:firstLine="1211"/>
        <w:rPr>
          <w:lang w:eastAsia="bg-BG"/>
        </w:rPr>
      </w:pPr>
      <w:r w:rsidRPr="00D81CB4">
        <w:rPr>
          <w:lang w:eastAsia="bg-BG"/>
        </w:rPr>
        <w:t xml:space="preserve">изпълняват всички административни дейности, свързани с оценителния процес; </w:t>
      </w:r>
    </w:p>
    <w:p w14:paraId="3D16AC4D" w14:textId="77777777" w:rsidR="00D603F5" w:rsidRPr="00D81CB4" w:rsidRDefault="00D603F5" w:rsidP="00D81CB4">
      <w:pPr>
        <w:pStyle w:val="ListParagraph"/>
        <w:numPr>
          <w:ilvl w:val="0"/>
          <w:numId w:val="329"/>
        </w:numPr>
        <w:ind w:left="0" w:firstLine="1211"/>
        <w:rPr>
          <w:lang w:eastAsia="bg-BG"/>
        </w:rPr>
      </w:pPr>
      <w:r w:rsidRPr="00D81CB4">
        <w:rPr>
          <w:lang w:eastAsia="bg-BG"/>
        </w:rPr>
        <w:t xml:space="preserve">осигуряват техническата обезпеченост на дейността на комисията; </w:t>
      </w:r>
    </w:p>
    <w:p w14:paraId="29DCD506" w14:textId="77777777" w:rsidR="00D603F5" w:rsidRPr="00D81CB4" w:rsidRDefault="00D603F5" w:rsidP="00D81CB4">
      <w:pPr>
        <w:pStyle w:val="ListParagraph"/>
        <w:numPr>
          <w:ilvl w:val="0"/>
          <w:numId w:val="329"/>
        </w:numPr>
        <w:ind w:left="0" w:firstLine="1211"/>
        <w:rPr>
          <w:lang w:eastAsia="bg-BG"/>
        </w:rPr>
      </w:pPr>
      <w:r w:rsidRPr="00D81CB4">
        <w:rPr>
          <w:lang w:eastAsia="bg-BG"/>
        </w:rPr>
        <w:lastRenderedPageBreak/>
        <w:t xml:space="preserve">разглеждат </w:t>
      </w:r>
      <w:r w:rsidR="00F56557" w:rsidRPr="00D81CB4">
        <w:rPr>
          <w:lang w:eastAsia="bg-BG"/>
        </w:rPr>
        <w:t xml:space="preserve">определеното </w:t>
      </w:r>
      <w:r w:rsidRPr="00D81CB4">
        <w:rPr>
          <w:lang w:eastAsia="bg-BG"/>
        </w:rPr>
        <w:t xml:space="preserve">проектно предложение и правят оценка </w:t>
      </w:r>
      <w:r w:rsidR="0050523C" w:rsidRPr="00D81CB4">
        <w:rPr>
          <w:lang w:eastAsia="bg-BG"/>
        </w:rPr>
        <w:t xml:space="preserve">за </w:t>
      </w:r>
      <w:r w:rsidRPr="00D81CB4">
        <w:rPr>
          <w:lang w:eastAsia="bg-BG"/>
        </w:rPr>
        <w:t xml:space="preserve">административното съответствие и допустимостта и техническа и финансова оценка, в съответствие с Насоките за кандидатстване по ОПТТИ; </w:t>
      </w:r>
    </w:p>
    <w:p w14:paraId="17E512DC" w14:textId="77777777" w:rsidR="00820FB7" w:rsidRPr="00D81CB4" w:rsidRDefault="00820FB7" w:rsidP="00D81CB4">
      <w:pPr>
        <w:pStyle w:val="ListParagraph"/>
        <w:numPr>
          <w:ilvl w:val="0"/>
          <w:numId w:val="329"/>
        </w:numPr>
        <w:ind w:left="0" w:firstLine="1211"/>
        <w:rPr>
          <w:lang w:eastAsia="bg-BG"/>
        </w:rPr>
      </w:pPr>
      <w:r w:rsidRPr="00D81CB4">
        <w:rPr>
          <w:lang w:eastAsia="bg-BG"/>
        </w:rPr>
        <w:t>оценява</w:t>
      </w:r>
      <w:r w:rsidR="00F56557" w:rsidRPr="00D81CB4">
        <w:rPr>
          <w:lang w:eastAsia="bg-BG"/>
        </w:rPr>
        <w:t>т</w:t>
      </w:r>
      <w:r w:rsidRPr="00D81CB4">
        <w:rPr>
          <w:lang w:eastAsia="bg-BG"/>
        </w:rPr>
        <w:t xml:space="preserve"> проектното предложение, като спазва Критериите за </w:t>
      </w:r>
      <w:r w:rsidR="00231D64" w:rsidRPr="00D81CB4">
        <w:rPr>
          <w:lang w:eastAsia="bg-BG"/>
        </w:rPr>
        <w:t xml:space="preserve">подбор и </w:t>
      </w:r>
      <w:r w:rsidRPr="00D81CB4">
        <w:rPr>
          <w:lang w:eastAsia="bg-BG"/>
        </w:rPr>
        <w:t xml:space="preserve">оценка на проекти по ОПТТИ, одобрени от Комитета за наблюдение на ОПТТИ </w:t>
      </w:r>
    </w:p>
    <w:p w14:paraId="4A1146EE" w14:textId="77777777" w:rsidR="00D603F5" w:rsidRPr="00D81CB4" w:rsidRDefault="00D603F5" w:rsidP="00D81CB4">
      <w:pPr>
        <w:pStyle w:val="ListParagraph"/>
        <w:numPr>
          <w:ilvl w:val="0"/>
          <w:numId w:val="329"/>
        </w:numPr>
        <w:ind w:left="0" w:firstLine="1211"/>
        <w:rPr>
          <w:lang w:eastAsia="bg-BG"/>
        </w:rPr>
      </w:pPr>
      <w:r w:rsidRPr="00D81CB4">
        <w:rPr>
          <w:lang w:eastAsia="bg-BG"/>
        </w:rPr>
        <w:t>изготвят оценителни таблици</w:t>
      </w:r>
      <w:r w:rsidR="0050523C" w:rsidRPr="00D81CB4">
        <w:rPr>
          <w:lang w:eastAsia="bg-BG"/>
        </w:rPr>
        <w:t xml:space="preserve"> в ИСУН 2020 и извършват проверката за липса на двойно финансиране и за държавни помощи</w:t>
      </w:r>
      <w:r w:rsidRPr="00D81CB4">
        <w:rPr>
          <w:lang w:eastAsia="bg-BG"/>
        </w:rPr>
        <w:t>;</w:t>
      </w:r>
    </w:p>
    <w:p w14:paraId="13DAFD78" w14:textId="77777777" w:rsidR="00D603F5" w:rsidRPr="00D81CB4" w:rsidRDefault="00D603F5" w:rsidP="00D81CB4">
      <w:pPr>
        <w:pStyle w:val="ListParagraph"/>
        <w:numPr>
          <w:ilvl w:val="0"/>
          <w:numId w:val="329"/>
        </w:numPr>
        <w:ind w:left="0" w:firstLine="1211"/>
        <w:rPr>
          <w:lang w:eastAsia="bg-BG"/>
        </w:rPr>
      </w:pPr>
      <w:r w:rsidRPr="00D81CB4">
        <w:rPr>
          <w:lang w:eastAsia="bg-BG"/>
        </w:rPr>
        <w:t>изготвят и подписват оценителния доклад;</w:t>
      </w:r>
    </w:p>
    <w:p w14:paraId="533A9260" w14:textId="77777777" w:rsidR="00D603F5" w:rsidRPr="00D81CB4" w:rsidRDefault="00D603F5" w:rsidP="00D81CB4">
      <w:pPr>
        <w:pStyle w:val="ListParagraph"/>
        <w:numPr>
          <w:ilvl w:val="0"/>
          <w:numId w:val="329"/>
        </w:numPr>
        <w:ind w:left="0" w:firstLine="1211"/>
        <w:rPr>
          <w:lang w:eastAsia="bg-BG"/>
        </w:rPr>
      </w:pPr>
      <w:r w:rsidRPr="00D81CB4">
        <w:rPr>
          <w:lang w:eastAsia="bg-BG"/>
        </w:rPr>
        <w:t>подписва</w:t>
      </w:r>
      <w:r w:rsidR="00F56557" w:rsidRPr="00D81CB4">
        <w:rPr>
          <w:lang w:eastAsia="bg-BG"/>
        </w:rPr>
        <w:t>т</w:t>
      </w:r>
      <w:r w:rsidRPr="00D81CB4">
        <w:rPr>
          <w:lang w:eastAsia="bg-BG"/>
        </w:rPr>
        <w:t xml:space="preserve"> декларация за поверителност и липса на конфликт на интереси.</w:t>
      </w:r>
    </w:p>
    <w:p w14:paraId="090E460B" w14:textId="77777777" w:rsidR="00D603F5" w:rsidRPr="00D81CB4" w:rsidRDefault="00D603F5" w:rsidP="00D81CB4">
      <w:pPr>
        <w:pStyle w:val="ListParagraph"/>
        <w:numPr>
          <w:ilvl w:val="0"/>
          <w:numId w:val="328"/>
        </w:numPr>
        <w:ind w:left="0" w:firstLine="851"/>
        <w:rPr>
          <w:b/>
        </w:rPr>
      </w:pPr>
      <w:r w:rsidRPr="001B0EA3">
        <w:rPr>
          <w:b/>
        </w:rPr>
        <w:t>Наблюдателите на комисията</w:t>
      </w:r>
      <w:r w:rsidRPr="00D81CB4">
        <w:rPr>
          <w:b/>
        </w:rPr>
        <w:t xml:space="preserve"> </w:t>
      </w:r>
      <w:r w:rsidRPr="00D81CB4">
        <w:t>са независими и безпристрастни в своята дейност</w:t>
      </w:r>
      <w:r w:rsidR="007E6D2F" w:rsidRPr="00D81CB4">
        <w:t xml:space="preserve"> и трябва да притежават необходимата квалификация и професионална компетентност за следене на законосъобразното протичане на оценителния процес</w:t>
      </w:r>
      <w:r w:rsidRPr="00D81CB4">
        <w:t xml:space="preserve">. Наблюдателите не са членове на оценителната комисия и дейността им включва проследяване на провеждането на процедурата на директно предоставяне във връзка със спазване на разпоредбите на ПМС № 107 от 10.05.2013 г. Наблюдателите освен, ако друго не е указано в решението по </w:t>
      </w:r>
      <w:r w:rsidRPr="001B0EA3">
        <w:rPr>
          <w:b/>
        </w:rPr>
        <w:t xml:space="preserve">точка </w:t>
      </w:r>
      <w:r w:rsidRPr="001B0EA3">
        <w:rPr>
          <w:b/>
        </w:rPr>
        <w:fldChar w:fldCharType="begin"/>
      </w:r>
      <w:r w:rsidRPr="001B0EA3">
        <w:rPr>
          <w:b/>
        </w:rPr>
        <w:instrText xml:space="preserve"> REF _Ref406322050 \r \h  \* MERGEFORMAT </w:instrText>
      </w:r>
      <w:r w:rsidRPr="001B0EA3">
        <w:rPr>
          <w:b/>
        </w:rPr>
      </w:r>
      <w:r w:rsidRPr="001B0EA3">
        <w:rPr>
          <w:b/>
        </w:rPr>
        <w:fldChar w:fldCharType="separate"/>
      </w:r>
      <w:r w:rsidR="00F22141">
        <w:rPr>
          <w:b/>
        </w:rPr>
        <w:t>18.3.1</w:t>
      </w:r>
      <w:r w:rsidRPr="001B0EA3">
        <w:rPr>
          <w:b/>
        </w:rPr>
        <w:fldChar w:fldCharType="end"/>
      </w:r>
      <w:r w:rsidRPr="00D81CB4">
        <w:rPr>
          <w:b/>
        </w:rPr>
        <w:t xml:space="preserve">: </w:t>
      </w:r>
    </w:p>
    <w:p w14:paraId="03A1CD52" w14:textId="77777777" w:rsidR="00D603F5" w:rsidRPr="00D81CB4" w:rsidRDefault="00D603F5" w:rsidP="00D81CB4">
      <w:pPr>
        <w:pStyle w:val="ListParagraph"/>
        <w:numPr>
          <w:ilvl w:val="0"/>
          <w:numId w:val="329"/>
        </w:numPr>
        <w:ind w:left="0" w:firstLine="1211"/>
        <w:rPr>
          <w:lang w:eastAsia="bg-BG"/>
        </w:rPr>
      </w:pPr>
      <w:r w:rsidRPr="00D81CB4">
        <w:rPr>
          <w:lang w:eastAsia="bg-BG"/>
        </w:rPr>
        <w:t xml:space="preserve">присъстват на заседанията на комисията; </w:t>
      </w:r>
    </w:p>
    <w:p w14:paraId="714E748A" w14:textId="77777777" w:rsidR="00D603F5" w:rsidRPr="00D81CB4" w:rsidRDefault="00D603F5" w:rsidP="00D81CB4">
      <w:pPr>
        <w:pStyle w:val="ListParagraph"/>
        <w:numPr>
          <w:ilvl w:val="0"/>
          <w:numId w:val="329"/>
        </w:numPr>
        <w:ind w:left="0" w:firstLine="1211"/>
        <w:rPr>
          <w:lang w:eastAsia="bg-BG"/>
        </w:rPr>
      </w:pPr>
      <w:r w:rsidRPr="00D81CB4">
        <w:rPr>
          <w:lang w:eastAsia="bg-BG"/>
        </w:rPr>
        <w:t xml:space="preserve">не участват в обсъжданията и не влияят по какъвто и да е начин на оценителния процес; </w:t>
      </w:r>
    </w:p>
    <w:p w14:paraId="69D9C359" w14:textId="77777777" w:rsidR="00D603F5" w:rsidRPr="00D81CB4" w:rsidRDefault="00D603F5" w:rsidP="00D81CB4">
      <w:pPr>
        <w:pStyle w:val="ListParagraph"/>
        <w:numPr>
          <w:ilvl w:val="0"/>
          <w:numId w:val="329"/>
        </w:numPr>
        <w:ind w:left="0" w:firstLine="1211"/>
        <w:rPr>
          <w:lang w:eastAsia="bg-BG"/>
        </w:rPr>
      </w:pPr>
      <w:r w:rsidRPr="00D81CB4">
        <w:rPr>
          <w:lang w:eastAsia="bg-BG"/>
        </w:rPr>
        <w:t xml:space="preserve">писмено уведомяват Ръководителя на УО на ОПТТИ, когато установят, че са допуснати нарушения на процедурата на директно предоставяне; </w:t>
      </w:r>
    </w:p>
    <w:p w14:paraId="622818DA" w14:textId="77777777" w:rsidR="00D603F5" w:rsidRPr="00D81CB4" w:rsidRDefault="00D603F5" w:rsidP="00D81CB4">
      <w:pPr>
        <w:pStyle w:val="ListParagraph"/>
        <w:numPr>
          <w:ilvl w:val="0"/>
          <w:numId w:val="329"/>
        </w:numPr>
        <w:ind w:left="0" w:firstLine="1211"/>
        <w:rPr>
          <w:lang w:eastAsia="bg-BG"/>
        </w:rPr>
      </w:pPr>
      <w:r w:rsidRPr="00D81CB4">
        <w:rPr>
          <w:lang w:eastAsia="bg-BG"/>
        </w:rPr>
        <w:t xml:space="preserve">изготвят независим доклад за своята дейност в комисията като го предоставят на Ръководителя на УО на ОПТТИ след приключването на оценителния процес; </w:t>
      </w:r>
    </w:p>
    <w:p w14:paraId="374E5623" w14:textId="77777777" w:rsidR="00357681" w:rsidRPr="00D81CB4" w:rsidRDefault="00D603F5" w:rsidP="00D81CB4">
      <w:pPr>
        <w:pStyle w:val="ListParagraph"/>
        <w:numPr>
          <w:ilvl w:val="0"/>
          <w:numId w:val="328"/>
        </w:numPr>
        <w:ind w:left="0" w:firstLine="851"/>
        <w:rPr>
          <w:b/>
        </w:rPr>
      </w:pPr>
      <w:r w:rsidRPr="00D81CB4">
        <w:t xml:space="preserve">извършват и други дейности, ако такива изрично са предвидени в решението по </w:t>
      </w:r>
      <w:r w:rsidRPr="001B0EA3">
        <w:rPr>
          <w:b/>
        </w:rPr>
        <w:t xml:space="preserve">точка </w:t>
      </w:r>
      <w:r w:rsidR="00357681" w:rsidRPr="001B0EA3">
        <w:rPr>
          <w:b/>
        </w:rPr>
        <w:fldChar w:fldCharType="begin"/>
      </w:r>
      <w:r w:rsidR="00357681" w:rsidRPr="001B0EA3">
        <w:rPr>
          <w:b/>
        </w:rPr>
        <w:instrText xml:space="preserve"> REF _Ref406322050 \r \h  \* MERGEFORMAT </w:instrText>
      </w:r>
      <w:r w:rsidR="00357681" w:rsidRPr="001B0EA3">
        <w:rPr>
          <w:b/>
        </w:rPr>
      </w:r>
      <w:r w:rsidR="00357681" w:rsidRPr="001B0EA3">
        <w:rPr>
          <w:b/>
        </w:rPr>
        <w:fldChar w:fldCharType="separate"/>
      </w:r>
      <w:r w:rsidR="00F22141">
        <w:rPr>
          <w:b/>
        </w:rPr>
        <w:t>18.3.1</w:t>
      </w:r>
      <w:r w:rsidR="00357681" w:rsidRPr="001B0EA3">
        <w:rPr>
          <w:b/>
        </w:rPr>
        <w:fldChar w:fldCharType="end"/>
      </w:r>
      <w:r w:rsidR="00357681" w:rsidRPr="00D81CB4">
        <w:rPr>
          <w:b/>
        </w:rPr>
        <w:t xml:space="preserve">: </w:t>
      </w:r>
    </w:p>
    <w:p w14:paraId="534B489E" w14:textId="77777777" w:rsidR="00D603F5" w:rsidRPr="00D81CB4" w:rsidRDefault="00D603F5" w:rsidP="00D81CB4">
      <w:pPr>
        <w:pStyle w:val="ListParagraph"/>
        <w:numPr>
          <w:ilvl w:val="0"/>
          <w:numId w:val="329"/>
        </w:numPr>
        <w:ind w:left="0" w:firstLine="1211"/>
        <w:rPr>
          <w:lang w:eastAsia="bg-BG"/>
        </w:rPr>
      </w:pPr>
      <w:r w:rsidRPr="00D81CB4">
        <w:rPr>
          <w:lang w:eastAsia="bg-BG"/>
        </w:rPr>
        <w:t xml:space="preserve">Наблюдателят </w:t>
      </w:r>
      <w:r w:rsidRPr="00D81CB4">
        <w:rPr>
          <w:u w:val="single"/>
          <w:lang w:eastAsia="bg-BG"/>
        </w:rPr>
        <w:t>подписва</w:t>
      </w:r>
      <w:r w:rsidRPr="00D81CB4">
        <w:rPr>
          <w:lang w:eastAsia="bg-BG"/>
        </w:rPr>
        <w:t xml:space="preserve"> декларация за поверителност и липса на конфликт на интереси и </w:t>
      </w:r>
      <w:r w:rsidRPr="00D81CB4">
        <w:rPr>
          <w:u w:val="single"/>
          <w:lang w:eastAsia="bg-BG"/>
        </w:rPr>
        <w:t>не подписва</w:t>
      </w:r>
      <w:r w:rsidRPr="00D81CB4">
        <w:rPr>
          <w:lang w:eastAsia="bg-BG"/>
        </w:rPr>
        <w:t xml:space="preserve"> оценителния доклад от работата на комисията.</w:t>
      </w:r>
    </w:p>
    <w:p w14:paraId="0A2DAF51" w14:textId="77777777" w:rsidR="00D603F5" w:rsidRPr="00D81CB4" w:rsidRDefault="00D603F5" w:rsidP="00D81CB4">
      <w:pPr>
        <w:pStyle w:val="ListParagraph"/>
        <w:numPr>
          <w:ilvl w:val="0"/>
          <w:numId w:val="328"/>
        </w:numPr>
        <w:ind w:left="0" w:firstLine="851"/>
      </w:pPr>
      <w:r w:rsidRPr="00D81CB4">
        <w:rPr>
          <w:b/>
        </w:rPr>
        <w:t>Външните експерти</w:t>
      </w:r>
      <w:r w:rsidRPr="00D81CB4">
        <w:t xml:space="preserve"> </w:t>
      </w:r>
      <w:r w:rsidRPr="001B0EA3">
        <w:t>подпомагат УО на ОПТТИ при извършване на оценката на подадено проектно предложение. Консултантският екип/ Външните експерти се избират при спазване на принципите на публичност и прозрачност, свободна и лоялна конкуренция и равнопоставеност и недопускане на дискриминация и при спазване на Закона за обществените поръчки.</w:t>
      </w:r>
    </w:p>
    <w:p w14:paraId="15AB68B5" w14:textId="77777777" w:rsidR="00D603F5" w:rsidRPr="001B0EA3" w:rsidRDefault="00D603F5" w:rsidP="00D81CB4">
      <w:pPr>
        <w:rPr>
          <w:lang w:eastAsia="bg-BG"/>
        </w:rPr>
      </w:pPr>
      <w:r w:rsidRPr="001B0EA3">
        <w:rPr>
          <w:lang w:eastAsia="bg-BG"/>
        </w:rPr>
        <w:t>Основно задълженията на външните експерти обхващат изпълнение на следните дейности:</w:t>
      </w:r>
    </w:p>
    <w:p w14:paraId="6BDC96A8" w14:textId="77777777" w:rsidR="00D603F5" w:rsidRPr="00D81CB4" w:rsidRDefault="00D603F5" w:rsidP="00D81CB4">
      <w:pPr>
        <w:pStyle w:val="ListParagraph"/>
        <w:numPr>
          <w:ilvl w:val="0"/>
          <w:numId w:val="329"/>
        </w:numPr>
        <w:ind w:left="0" w:firstLine="1211"/>
        <w:rPr>
          <w:lang w:eastAsia="bg-BG"/>
        </w:rPr>
      </w:pPr>
      <w:r w:rsidRPr="00D81CB4">
        <w:rPr>
          <w:lang w:eastAsia="bg-BG"/>
        </w:rPr>
        <w:t>Извършване на техническа и финансова оценка на подадени в УО на ОПТТИ формуляри за кандидатстване за финансиране на инвестиционни/ инфраструктурни проекти;</w:t>
      </w:r>
    </w:p>
    <w:p w14:paraId="088C9FFF" w14:textId="77777777" w:rsidR="00D603F5" w:rsidRPr="00D81CB4" w:rsidRDefault="00D603F5" w:rsidP="00D81CB4">
      <w:pPr>
        <w:pStyle w:val="ListParagraph"/>
        <w:numPr>
          <w:ilvl w:val="0"/>
          <w:numId w:val="329"/>
        </w:numPr>
        <w:ind w:left="0" w:firstLine="1211"/>
        <w:rPr>
          <w:lang w:eastAsia="bg-BG"/>
        </w:rPr>
      </w:pPr>
      <w:r w:rsidRPr="00D81CB4">
        <w:rPr>
          <w:lang w:eastAsia="bg-BG"/>
        </w:rPr>
        <w:t>Извършване на техническа и финансова оценка на подадени в УО на ОПТТИ формуляри за кандидатстване за финансиране на подготовката на инвестиционни/инфраструктурни проекти;</w:t>
      </w:r>
    </w:p>
    <w:p w14:paraId="15E2C1F2" w14:textId="77777777" w:rsidR="00D603F5" w:rsidRPr="00D81CB4" w:rsidRDefault="00D603F5" w:rsidP="00D81CB4">
      <w:pPr>
        <w:pStyle w:val="ListParagraph"/>
        <w:numPr>
          <w:ilvl w:val="0"/>
          <w:numId w:val="329"/>
        </w:numPr>
        <w:ind w:left="0" w:firstLine="1211"/>
        <w:rPr>
          <w:lang w:eastAsia="bg-BG"/>
        </w:rPr>
      </w:pPr>
      <w:r w:rsidRPr="00D81CB4">
        <w:rPr>
          <w:lang w:eastAsia="bg-BG"/>
        </w:rPr>
        <w:t>Извършване техническа и финансова оценка на подадени в УО на ОПТТИ формуляри за кандидатстване за финансиране на проекти за техническа помощ;</w:t>
      </w:r>
    </w:p>
    <w:p w14:paraId="37371F41" w14:textId="77777777" w:rsidR="00D81CB4" w:rsidRPr="001B0EA3" w:rsidRDefault="00D81CB4" w:rsidP="00890B4B">
      <w:pPr>
        <w:rPr>
          <w:szCs w:val="24"/>
          <w:lang w:eastAsia="bg-BG"/>
        </w:rPr>
      </w:pPr>
    </w:p>
    <w:p w14:paraId="58B6DF3F" w14:textId="77777777" w:rsidR="00D603F5" w:rsidRPr="001B0EA3" w:rsidRDefault="00D603F5" w:rsidP="00D81CB4">
      <w:pPr>
        <w:rPr>
          <w:lang w:eastAsia="bg-BG"/>
        </w:rPr>
      </w:pPr>
      <w:r w:rsidRPr="001B0EA3">
        <w:rPr>
          <w:lang w:eastAsia="bg-BG"/>
        </w:rPr>
        <w:t>Задълженията на външните експерти са съгласно изискванията в сключения договор с консултанта, който трябва да осигури експерти, отговарящи на изискванията. Консултанта следва да изпълни услугите, в съответствие с разпоредбите на правото на Европейския съюз и националното законодателство, както и да спазва писмените правила и процедури на Управляващия орган на ОПТТИ.</w:t>
      </w:r>
    </w:p>
    <w:p w14:paraId="7A9F5D88" w14:textId="77777777" w:rsidR="00D603F5" w:rsidRPr="00842ECC" w:rsidRDefault="00D603F5" w:rsidP="00346F28">
      <w:pPr>
        <w:pStyle w:val="Style3"/>
        <w:rPr>
          <w:lang w:val="bg-BG"/>
        </w:rPr>
      </w:pPr>
      <w:bookmarkStart w:id="577" w:name="_Ref406320259"/>
      <w:bookmarkStart w:id="578" w:name="_Toc479775645"/>
      <w:bookmarkStart w:id="579" w:name="_Ref395532260"/>
      <w:r w:rsidRPr="00842ECC">
        <w:rPr>
          <w:lang w:val="bg-BG"/>
        </w:rPr>
        <w:t>Проверка за липса на конфликт на интереси</w:t>
      </w:r>
      <w:bookmarkEnd w:id="577"/>
      <w:bookmarkEnd w:id="578"/>
    </w:p>
    <w:p w14:paraId="4ED42EF4" w14:textId="77777777" w:rsidR="00D603F5" w:rsidRPr="001B0EA3" w:rsidRDefault="00D603F5" w:rsidP="00A80A13">
      <w:r w:rsidRPr="001B0EA3">
        <w:t xml:space="preserve">При предоставянето на БФП и при нейното разходване не се допуска конфликт на интереси по смисъла на чл. </w:t>
      </w:r>
      <w:r w:rsidR="005C3C18">
        <w:t>61</w:t>
      </w:r>
      <w:r w:rsidR="005C3C18" w:rsidRPr="001B0EA3">
        <w:t xml:space="preserve"> </w:t>
      </w:r>
      <w:r w:rsidRPr="001B0EA3">
        <w:t xml:space="preserve">от Регламент (ЕС, ЕВРАТОМ) </w:t>
      </w:r>
      <w:r w:rsidR="005C3C18">
        <w:t>1046</w:t>
      </w:r>
      <w:r w:rsidRPr="001B0EA3">
        <w:t>/</w:t>
      </w:r>
      <w:r w:rsidR="005C3C18" w:rsidRPr="001B0EA3">
        <w:t>201</w:t>
      </w:r>
      <w:r w:rsidR="005C3C18">
        <w:t>8</w:t>
      </w:r>
      <w:r w:rsidRPr="001B0EA3">
        <w:t>.</w:t>
      </w:r>
    </w:p>
    <w:p w14:paraId="3D1A2CEB" w14:textId="77777777" w:rsidR="00D603F5" w:rsidRPr="001B0EA3" w:rsidRDefault="00D603F5" w:rsidP="00A80A13">
      <w:pPr>
        <w:pStyle w:val="ListParagraph"/>
        <w:numPr>
          <w:ilvl w:val="0"/>
          <w:numId w:val="320"/>
        </w:numPr>
        <w:ind w:left="0" w:firstLine="851"/>
      </w:pPr>
      <w:bookmarkStart w:id="580" w:name="_Ref406320240"/>
      <w:r w:rsidRPr="001B0EA3">
        <w:lastRenderedPageBreak/>
        <w:t>Всички лица (председател, членове, външни експерти, контрол</w:t>
      </w:r>
      <w:r w:rsidR="00553BD1" w:rsidRPr="001B0EA3">
        <w:t>иращи, наблюдатели),</w:t>
      </w:r>
      <w:r w:rsidRPr="001B0EA3">
        <w:t xml:space="preserve"> посочени в Решението за сформиране на оценителната</w:t>
      </w:r>
      <w:r w:rsidR="00553BD1" w:rsidRPr="001B0EA3">
        <w:t xml:space="preserve"> комисия,</w:t>
      </w:r>
      <w:r w:rsidRPr="001B0EA3">
        <w:t xml:space="preserve"> </w:t>
      </w:r>
      <w:r w:rsidR="00553BD1" w:rsidRPr="001B0EA3">
        <w:t xml:space="preserve">включително началника на отдел </w:t>
      </w:r>
      <w:r w:rsidR="00213496" w:rsidRPr="001B0EA3">
        <w:t>Програмиране“</w:t>
      </w:r>
      <w:r w:rsidR="00213496" w:rsidRPr="001B0EA3">
        <w:rPr>
          <w:rStyle w:val="FootnoteReference"/>
        </w:rPr>
        <w:footnoteReference w:id="49"/>
      </w:r>
      <w:r w:rsidR="00213496" w:rsidRPr="001B0EA3">
        <w:t>, директора на дирекция „Координация на програми и проекти“</w:t>
      </w:r>
      <w:r w:rsidR="00213496" w:rsidRPr="00A80A13">
        <w:rPr>
          <w:vertAlign w:val="superscript"/>
        </w:rPr>
        <w:t>45</w:t>
      </w:r>
      <w:r w:rsidR="00213496" w:rsidRPr="001B0EA3">
        <w:t xml:space="preserve"> </w:t>
      </w:r>
      <w:r w:rsidR="00553BD1" w:rsidRPr="001B0EA3">
        <w:t xml:space="preserve"> и Ръководителя на УО на ОПТТИ), </w:t>
      </w:r>
      <w:r w:rsidRPr="001B0EA3">
        <w:t>трябва да подпишат декларации за липса на конфликт на интереси и поверителност (</w:t>
      </w:r>
      <w:hyperlink r:id="rId96" w:tooltip="Декларация за липса на конфликт на интереси и поверителност" w:history="1">
        <w:r w:rsidR="00AE381A" w:rsidRPr="00251D03">
          <w:rPr>
            <w:rStyle w:val="Hyperlink"/>
            <w:i/>
          </w:rPr>
          <w:t>Приложение № 3.03</w:t>
        </w:r>
      </w:hyperlink>
      <w:r w:rsidRPr="00A80A13">
        <w:rPr>
          <w:b/>
        </w:rPr>
        <w:t>),</w:t>
      </w:r>
      <w:r w:rsidRPr="001B0EA3">
        <w:t xml:space="preserve"> по смисъла на чл. </w:t>
      </w:r>
      <w:r w:rsidR="00711136">
        <w:t>61</w:t>
      </w:r>
      <w:r w:rsidRPr="001B0EA3">
        <w:t xml:space="preserve"> от Регламент (ЕС, ЕВРАТОМ) № </w:t>
      </w:r>
      <w:r w:rsidR="00711136">
        <w:t>1046</w:t>
      </w:r>
      <w:r w:rsidRPr="001B0EA3">
        <w:t>/</w:t>
      </w:r>
      <w:r w:rsidR="00711136" w:rsidRPr="001B0EA3">
        <w:t>201</w:t>
      </w:r>
      <w:r w:rsidR="00711136">
        <w:t>8</w:t>
      </w:r>
      <w:r w:rsidRPr="001B0EA3">
        <w:t>, за спазване на изискването да пазят в тайна обстоятелствата, които са узнали във връзка със своята работа в комисията, незабавно след като научат имената на конкретните бенефициенти в процедурата.</w:t>
      </w:r>
      <w:bookmarkEnd w:id="580"/>
    </w:p>
    <w:p w14:paraId="303A0AE3" w14:textId="77777777" w:rsidR="00DA61D0" w:rsidRPr="001B0EA3" w:rsidRDefault="00DA61D0" w:rsidP="00A80A13">
      <w:pPr>
        <w:pStyle w:val="ListParagraph"/>
        <w:numPr>
          <w:ilvl w:val="0"/>
          <w:numId w:val="320"/>
        </w:numPr>
        <w:ind w:left="0" w:firstLine="851"/>
      </w:pPr>
      <w:r w:rsidRPr="001B0EA3">
        <w:t xml:space="preserve">В подписваната декларация </w:t>
      </w:r>
      <w:r w:rsidRPr="00A80A13">
        <w:t>(</w:t>
      </w:r>
      <w:hyperlink r:id="rId97" w:tooltip="Декларация за липса на конфликт на интереси и поверителност" w:history="1">
        <w:r w:rsidR="00AE381A" w:rsidRPr="00251D03">
          <w:rPr>
            <w:rStyle w:val="Hyperlink"/>
            <w:i/>
          </w:rPr>
          <w:t>Приложение № 3.03</w:t>
        </w:r>
      </w:hyperlink>
      <w:r w:rsidRPr="00A80A13">
        <w:t>)</w:t>
      </w:r>
      <w:r w:rsidRPr="001B0EA3">
        <w:t xml:space="preserve"> лицето потвърждава, че е запознато с процедурата за провеждане на оценка на проектното предложение, че ще изпълнява задълженията си добросъвестно, обективно и безпристрастно и ще пази в тайна обстоятелствата, които е узнало във връзка със своята работа в комисията;</w:t>
      </w:r>
    </w:p>
    <w:p w14:paraId="3DC0864C" w14:textId="77777777" w:rsidR="00DA61D0" w:rsidRPr="001B0EA3" w:rsidRDefault="00DA61D0" w:rsidP="00A80A13">
      <w:pPr>
        <w:pStyle w:val="ListParagraph"/>
        <w:numPr>
          <w:ilvl w:val="0"/>
          <w:numId w:val="320"/>
        </w:numPr>
        <w:ind w:left="0" w:firstLine="851"/>
      </w:pPr>
      <w:bookmarkStart w:id="581" w:name="_Ref395515301"/>
      <w:r w:rsidRPr="001B0EA3">
        <w:t xml:space="preserve">Служител от УО на ОПТТИ, определен от Ръководителя на УО на ОПТТИ, извършва проверка за липса на конфликт на интереси, по смисъла на чл. </w:t>
      </w:r>
      <w:r w:rsidR="005C3C18">
        <w:t>61</w:t>
      </w:r>
      <w:r w:rsidRPr="001B0EA3">
        <w:t xml:space="preserve"> от Регламент (ЕС, ЕВРАТОМ) № </w:t>
      </w:r>
      <w:r w:rsidR="005C3C18">
        <w:t>1046</w:t>
      </w:r>
      <w:r w:rsidRPr="001B0EA3">
        <w:t>/</w:t>
      </w:r>
      <w:r w:rsidR="005C3C18" w:rsidRPr="001B0EA3">
        <w:t>201</w:t>
      </w:r>
      <w:r w:rsidR="005C3C18">
        <w:t>8</w:t>
      </w:r>
      <w:r w:rsidR="005C3C18" w:rsidRPr="001B0EA3">
        <w:t xml:space="preserve"> </w:t>
      </w:r>
      <w:r w:rsidRPr="001B0EA3">
        <w:t>в електронната база данни на правно-информационна система (търговския регистър, Апис,</w:t>
      </w:r>
      <w:r w:rsidR="00E40779" w:rsidRPr="001B0EA3">
        <w:t xml:space="preserve"> </w:t>
      </w:r>
      <w:r w:rsidRPr="001B0EA3">
        <w:t>Сиела, ДАКСИ или др.) на всички лица  от оценителната комисия (председател и членове и/или на наблюдател и/или външни експерти) в срок до 4 работни дни от сформиране на оценителната комисия.</w:t>
      </w:r>
    </w:p>
    <w:p w14:paraId="1DECF7AA" w14:textId="77777777" w:rsidR="00DA61D0" w:rsidRPr="001B0EA3" w:rsidRDefault="00DA61D0" w:rsidP="00A80A13">
      <w:pPr>
        <w:pStyle w:val="ListParagraph"/>
        <w:numPr>
          <w:ilvl w:val="0"/>
          <w:numId w:val="320"/>
        </w:numPr>
        <w:ind w:left="0" w:firstLine="851"/>
      </w:pPr>
      <w:r w:rsidRPr="001B0EA3">
        <w:t xml:space="preserve">Подписаният, от всеки участник в оценителния процес, оригинал на декларацията за поверителност и липса на конфликт на интереси се предоставя на </w:t>
      </w:r>
      <w:r w:rsidR="00EA4701">
        <w:t>председателя на оценителната комисия</w:t>
      </w:r>
      <w:r w:rsidRPr="001B0EA3">
        <w:t xml:space="preserve"> за съхранение в досието на оценката. </w:t>
      </w:r>
    </w:p>
    <w:p w14:paraId="26E5F75F" w14:textId="77777777" w:rsidR="00216347" w:rsidRPr="00E85602" w:rsidRDefault="00216347" w:rsidP="00216347">
      <w:pPr>
        <w:pStyle w:val="ListParagraph"/>
        <w:numPr>
          <w:ilvl w:val="0"/>
          <w:numId w:val="320"/>
        </w:numPr>
        <w:ind w:left="0" w:firstLine="851"/>
      </w:pPr>
      <w:r w:rsidRPr="001E6492">
        <w:t xml:space="preserve">Резултатите от извършената проверка </w:t>
      </w:r>
      <w:r>
        <w:t>на обстоятелствата по</w:t>
      </w:r>
      <w:r w:rsidRPr="001E6492">
        <w:t xml:space="preserve"> </w:t>
      </w:r>
      <w:r w:rsidRPr="001E6492">
        <w:rPr>
          <w:b/>
        </w:rPr>
        <w:t xml:space="preserve">точка </w:t>
      </w:r>
      <w:r w:rsidRPr="001E6492">
        <w:rPr>
          <w:b/>
        </w:rPr>
        <w:fldChar w:fldCharType="begin"/>
      </w:r>
      <w:r w:rsidRPr="001E6492">
        <w:rPr>
          <w:b/>
        </w:rPr>
        <w:instrText xml:space="preserve"> REF _Ref395515156 \r \h  \* MERGEFORMAT </w:instrText>
      </w:r>
      <w:r w:rsidRPr="001E6492">
        <w:rPr>
          <w:b/>
        </w:rPr>
      </w:r>
      <w:r w:rsidRPr="001E6492">
        <w:rPr>
          <w:b/>
        </w:rPr>
        <w:fldChar w:fldCharType="separate"/>
      </w:r>
      <w:r w:rsidR="00F22141">
        <w:rPr>
          <w:b/>
        </w:rPr>
        <w:t>2)</w:t>
      </w:r>
      <w:r w:rsidRPr="001E6492">
        <w:rPr>
          <w:b/>
        </w:rPr>
        <w:fldChar w:fldCharType="end"/>
      </w:r>
      <w:r w:rsidRPr="001E6492">
        <w:t xml:space="preserve"> се записват в контролен лист (</w:t>
      </w:r>
      <w:hyperlink r:id="rId98" w:tooltip="Контролен лист за проверка на членовете на оценителната комисия за липса на Конфликт на интереси" w:history="1">
        <w:r w:rsidRPr="001E6492">
          <w:rPr>
            <w:rStyle w:val="Hyperlink"/>
            <w:i/>
          </w:rPr>
          <w:t>Приложение № 3.04</w:t>
        </w:r>
      </w:hyperlink>
      <w:r w:rsidRPr="001E6492">
        <w:t>) за всеки член на оценителната комисия, който се изготвя</w:t>
      </w:r>
      <w:r w:rsidRPr="00117E69">
        <w:t xml:space="preserve"> в ИСУН 2020</w:t>
      </w:r>
      <w:r w:rsidRPr="001E6492">
        <w:t xml:space="preserve"> от служителя по </w:t>
      </w:r>
      <w:r w:rsidRPr="001E6492">
        <w:rPr>
          <w:b/>
        </w:rPr>
        <w:t xml:space="preserve">точка </w:t>
      </w:r>
      <w:r w:rsidRPr="001E6492">
        <w:rPr>
          <w:b/>
        </w:rPr>
        <w:fldChar w:fldCharType="begin"/>
      </w:r>
      <w:r w:rsidRPr="001E6492">
        <w:rPr>
          <w:b/>
        </w:rPr>
        <w:instrText xml:space="preserve"> REF _Ref395515301 \r \h  \* MERGEFORMAT </w:instrText>
      </w:r>
      <w:r w:rsidRPr="001E6492">
        <w:rPr>
          <w:b/>
        </w:rPr>
      </w:r>
      <w:r w:rsidRPr="001E6492">
        <w:rPr>
          <w:b/>
        </w:rPr>
        <w:fldChar w:fldCharType="separate"/>
      </w:r>
      <w:r w:rsidR="00F22141">
        <w:rPr>
          <w:b/>
        </w:rPr>
        <w:t>3)</w:t>
      </w:r>
      <w:r w:rsidRPr="001E6492">
        <w:rPr>
          <w:b/>
        </w:rPr>
        <w:fldChar w:fldCharType="end"/>
      </w:r>
      <w:r w:rsidRPr="001E6492">
        <w:t xml:space="preserve"> и </w:t>
      </w:r>
      <w:r w:rsidRPr="00117E69">
        <w:t>след което</w:t>
      </w:r>
      <w:r w:rsidRPr="001E6492">
        <w:t xml:space="preserve"> началника на отдел „Програмиране“ в дирекция КПП,  извършва втори контрол</w:t>
      </w:r>
      <w:r w:rsidRPr="00117E69">
        <w:t xml:space="preserve"> в ИСУН 2020</w:t>
      </w:r>
      <w:r w:rsidRPr="001E6492">
        <w:t xml:space="preserve"> в срок до </w:t>
      </w:r>
      <w:r>
        <w:t>5</w:t>
      </w:r>
      <w:r w:rsidRPr="001E6492">
        <w:t xml:space="preserve"> работн</w:t>
      </w:r>
      <w:r>
        <w:t>и</w:t>
      </w:r>
      <w:r w:rsidRPr="001E6492">
        <w:t xml:space="preserve"> дн</w:t>
      </w:r>
      <w:r>
        <w:t>и</w:t>
      </w:r>
      <w:r w:rsidRPr="001E6492">
        <w:t xml:space="preserve"> от </w:t>
      </w:r>
      <w:r w:rsidRPr="00117E69">
        <w:t xml:space="preserve">изготвянето  и приключването на </w:t>
      </w:r>
      <w:r w:rsidRPr="001E6492">
        <w:t>контролния лист</w:t>
      </w:r>
      <w:r w:rsidRPr="00117E69">
        <w:t xml:space="preserve"> от служителя по  </w:t>
      </w:r>
      <w:r w:rsidRPr="00117E69">
        <w:rPr>
          <w:b/>
        </w:rPr>
        <w:t>точка 3 ).</w:t>
      </w:r>
      <w:r w:rsidRPr="00842ECC">
        <w:rPr>
          <w:b/>
        </w:rPr>
        <w:t xml:space="preserve"> </w:t>
      </w:r>
    </w:p>
    <w:bookmarkEnd w:id="581"/>
    <w:p w14:paraId="5F4FBD58" w14:textId="77777777" w:rsidR="00D603F5" w:rsidRPr="001B0EA3" w:rsidRDefault="00D603F5" w:rsidP="00A80A13">
      <w:pPr>
        <w:pStyle w:val="ListParagraph"/>
        <w:numPr>
          <w:ilvl w:val="0"/>
          <w:numId w:val="320"/>
        </w:numPr>
        <w:ind w:left="0" w:firstLine="851"/>
      </w:pPr>
      <w:r w:rsidRPr="001B0EA3">
        <w:t xml:space="preserve">При откриване на несъответствие в резултата на проверката по </w:t>
      </w:r>
      <w:r w:rsidRPr="00A80A13">
        <w:rPr>
          <w:b/>
        </w:rPr>
        <w:t xml:space="preserve">точка </w:t>
      </w:r>
      <w:r w:rsidR="00EA4701" w:rsidRPr="00A80A13">
        <w:rPr>
          <w:b/>
        </w:rPr>
        <w:t>5</w:t>
      </w:r>
      <w:r w:rsidR="00066CAA" w:rsidRPr="00A80A13">
        <w:rPr>
          <w:b/>
        </w:rPr>
        <w:t>)</w:t>
      </w:r>
      <w:r w:rsidR="00066CAA" w:rsidRPr="00A80A13">
        <w:t xml:space="preserve"> </w:t>
      </w:r>
      <w:r w:rsidRPr="001B0EA3">
        <w:t>се информира за това директора на дирекция КПП, който докладва на Ръководителя на УО на ОПТТИ. На база на откритите несъответствия се променя съставът на оценителната комисия и мястото на напусналия се заема от нов член.</w:t>
      </w:r>
    </w:p>
    <w:p w14:paraId="111FBDE6" w14:textId="77777777" w:rsidR="00D603F5" w:rsidRPr="001B0EA3" w:rsidRDefault="00D603F5" w:rsidP="00A80A13">
      <w:pPr>
        <w:pStyle w:val="ListParagraph"/>
        <w:numPr>
          <w:ilvl w:val="0"/>
          <w:numId w:val="320"/>
        </w:numPr>
        <w:ind w:left="0" w:firstLine="851"/>
      </w:pPr>
      <w:r w:rsidRPr="001B0EA3">
        <w:t xml:space="preserve">При възникване на някое от обстоятелствата по </w:t>
      </w:r>
      <w:r w:rsidRPr="00A80A13">
        <w:rPr>
          <w:b/>
        </w:rPr>
        <w:t xml:space="preserve">точка </w:t>
      </w:r>
      <w:r w:rsidRPr="00A80A13">
        <w:rPr>
          <w:b/>
        </w:rPr>
        <w:fldChar w:fldCharType="begin"/>
      </w:r>
      <w:r w:rsidRPr="00A80A13">
        <w:rPr>
          <w:b/>
        </w:rPr>
        <w:instrText xml:space="preserve"> REF _Ref395515156 \r \h  \* MERGEFORMAT </w:instrText>
      </w:r>
      <w:r w:rsidRPr="00A80A13">
        <w:rPr>
          <w:b/>
        </w:rPr>
      </w:r>
      <w:r w:rsidRPr="00A80A13">
        <w:rPr>
          <w:b/>
        </w:rPr>
        <w:fldChar w:fldCharType="separate"/>
      </w:r>
      <w:r w:rsidR="00F22141">
        <w:rPr>
          <w:b/>
        </w:rPr>
        <w:t>2)</w:t>
      </w:r>
      <w:r w:rsidRPr="00A80A13">
        <w:rPr>
          <w:b/>
        </w:rPr>
        <w:fldChar w:fldCharType="end"/>
      </w:r>
      <w:r w:rsidRPr="00A80A13">
        <w:t>,</w:t>
      </w:r>
      <w:r w:rsidRPr="001B0EA3">
        <w:t xml:space="preserve"> в хода на оценителния процес съответното лице, участващо в оценителния процес незабавно информира писмено за това ръководителя на УО на ОПТТИ и се отстранява от оценителния процес.  </w:t>
      </w:r>
    </w:p>
    <w:p w14:paraId="09C4EDBC" w14:textId="77777777" w:rsidR="00D603F5" w:rsidRPr="001B0EA3" w:rsidRDefault="00D603F5" w:rsidP="00A80A13">
      <w:pPr>
        <w:pStyle w:val="ListParagraph"/>
        <w:numPr>
          <w:ilvl w:val="0"/>
          <w:numId w:val="320"/>
        </w:numPr>
        <w:ind w:left="0" w:firstLine="851"/>
      </w:pPr>
      <w:r w:rsidRPr="001B0EA3">
        <w:t>В случаите на свързаност или йерархична зависимост от участие в оценителния процес се отстраняват толкова лица, колкото е необходимо, за да се изпълнят съответните изисквания по чл. 18, ал. 3, т. 3 и 4 от ПМС № 107 от 10.05.2014 г.</w:t>
      </w:r>
    </w:p>
    <w:p w14:paraId="62E0FC38" w14:textId="77777777" w:rsidR="00D603F5" w:rsidRPr="001B0EA3" w:rsidRDefault="00D603F5" w:rsidP="00A80A13">
      <w:pPr>
        <w:pStyle w:val="ListParagraph"/>
        <w:numPr>
          <w:ilvl w:val="0"/>
          <w:numId w:val="320"/>
        </w:numPr>
        <w:ind w:left="0" w:firstLine="851"/>
      </w:pPr>
      <w:bookmarkStart w:id="582" w:name="_Ref395882643"/>
      <w:r w:rsidRPr="001B0EA3">
        <w:t xml:space="preserve">При възникване на някое от обстоятелствата по </w:t>
      </w:r>
      <w:r w:rsidRPr="00A80A13">
        <w:rPr>
          <w:b/>
        </w:rPr>
        <w:t xml:space="preserve">точка </w:t>
      </w:r>
      <w:r w:rsidRPr="00A80A13">
        <w:rPr>
          <w:b/>
        </w:rPr>
        <w:fldChar w:fldCharType="begin"/>
      </w:r>
      <w:r w:rsidRPr="00A80A13">
        <w:rPr>
          <w:b/>
        </w:rPr>
        <w:instrText xml:space="preserve"> REF _Ref395515156 \r \h  \* MERGEFORMAT </w:instrText>
      </w:r>
      <w:r w:rsidRPr="00A80A13">
        <w:rPr>
          <w:b/>
        </w:rPr>
      </w:r>
      <w:r w:rsidRPr="00A80A13">
        <w:rPr>
          <w:b/>
        </w:rPr>
        <w:fldChar w:fldCharType="separate"/>
      </w:r>
      <w:r w:rsidR="00F22141">
        <w:rPr>
          <w:b/>
        </w:rPr>
        <w:t>2)</w:t>
      </w:r>
      <w:r w:rsidRPr="00A80A13">
        <w:rPr>
          <w:b/>
        </w:rPr>
        <w:fldChar w:fldCharType="end"/>
      </w:r>
      <w:r w:rsidRPr="001B0EA3">
        <w:t>, или при настъпване на други обективни причини, поради които член на комисията не може да изпълнява задълженията си, той се замества от резервен член. Когато заместването с резервен член не е възможно, се изменя Решението за сформиране на оценителна комисия.</w:t>
      </w:r>
      <w:bookmarkEnd w:id="582"/>
    </w:p>
    <w:p w14:paraId="6C38CFA6" w14:textId="77777777" w:rsidR="00D603F5" w:rsidRPr="001B0EA3" w:rsidRDefault="00D603F5" w:rsidP="00A80A13">
      <w:pPr>
        <w:pStyle w:val="ListParagraph"/>
        <w:numPr>
          <w:ilvl w:val="0"/>
          <w:numId w:val="320"/>
        </w:numPr>
        <w:ind w:left="0" w:firstLine="851"/>
      </w:pPr>
      <w:bookmarkStart w:id="583" w:name="_Ref395515240"/>
      <w:r w:rsidRPr="001B0EA3">
        <w:t xml:space="preserve">При възникване на някое от обстоятелствата по </w:t>
      </w:r>
      <w:r w:rsidRPr="00A80A13">
        <w:rPr>
          <w:b/>
        </w:rPr>
        <w:t xml:space="preserve">точка </w:t>
      </w:r>
      <w:r w:rsidRPr="00A80A13">
        <w:rPr>
          <w:b/>
        </w:rPr>
        <w:fldChar w:fldCharType="begin"/>
      </w:r>
      <w:r w:rsidRPr="00A80A13">
        <w:rPr>
          <w:b/>
        </w:rPr>
        <w:instrText xml:space="preserve"> REF _Ref395515156 \r \h  \* MERGEFORMAT </w:instrText>
      </w:r>
      <w:r w:rsidRPr="00A80A13">
        <w:rPr>
          <w:b/>
        </w:rPr>
      </w:r>
      <w:r w:rsidRPr="00A80A13">
        <w:rPr>
          <w:b/>
        </w:rPr>
        <w:fldChar w:fldCharType="separate"/>
      </w:r>
      <w:r w:rsidR="00F22141">
        <w:rPr>
          <w:b/>
        </w:rPr>
        <w:t>2)</w:t>
      </w:r>
      <w:r w:rsidRPr="00A80A13">
        <w:rPr>
          <w:b/>
        </w:rPr>
        <w:fldChar w:fldCharType="end"/>
      </w:r>
      <w:r w:rsidRPr="001B0EA3">
        <w:t xml:space="preserve">, или при настъпване на други обективни причини, поради които председателят, не може да изпълнява задълженията си, той се заменя с друго лице, което притежава необходимата квалификация и професионална компетентност за изпълнение на задачите и отговаря на изискванията по точка </w:t>
      </w:r>
      <w:r w:rsidRPr="001B0EA3">
        <w:fldChar w:fldCharType="begin"/>
      </w:r>
      <w:r w:rsidRPr="001B0EA3">
        <w:instrText xml:space="preserve"> REF _Ref395515301 \r \h  \* MERGEFORMAT </w:instrText>
      </w:r>
      <w:r w:rsidRPr="001B0EA3">
        <w:fldChar w:fldCharType="separate"/>
      </w:r>
      <w:r w:rsidR="00F22141">
        <w:t>3)</w:t>
      </w:r>
      <w:r w:rsidRPr="001B0EA3">
        <w:fldChar w:fldCharType="end"/>
      </w:r>
      <w:r w:rsidRPr="001B0EA3">
        <w:t>., като за това се изменя Решението за сформиране на оценителна комисия.</w:t>
      </w:r>
      <w:bookmarkEnd w:id="583"/>
    </w:p>
    <w:p w14:paraId="5A83154E" w14:textId="77777777" w:rsidR="00D603F5" w:rsidRPr="001B0EA3" w:rsidRDefault="00D603F5" w:rsidP="00A80A13">
      <w:pPr>
        <w:pStyle w:val="ListParagraph"/>
        <w:numPr>
          <w:ilvl w:val="0"/>
          <w:numId w:val="320"/>
        </w:numPr>
        <w:ind w:left="0" w:firstLine="851"/>
      </w:pPr>
      <w:bookmarkStart w:id="584" w:name="_Ref400615418"/>
      <w:r w:rsidRPr="001B0EA3">
        <w:t xml:space="preserve">В случаите </w:t>
      </w:r>
      <w:r w:rsidRPr="00A80A13">
        <w:t xml:space="preserve">по </w:t>
      </w:r>
      <w:r w:rsidRPr="00A80A13">
        <w:rPr>
          <w:b/>
        </w:rPr>
        <w:t xml:space="preserve">точка </w:t>
      </w:r>
      <w:r w:rsidR="00DA61D0" w:rsidRPr="00A80A13">
        <w:rPr>
          <w:b/>
        </w:rPr>
        <w:fldChar w:fldCharType="begin"/>
      </w:r>
      <w:r w:rsidR="00DA61D0" w:rsidRPr="00A80A13">
        <w:rPr>
          <w:b/>
        </w:rPr>
        <w:instrText xml:space="preserve"> REF _Ref395882643 \r \h  \* MERGEFORMAT </w:instrText>
      </w:r>
      <w:r w:rsidR="00DA61D0" w:rsidRPr="00A80A13">
        <w:rPr>
          <w:b/>
        </w:rPr>
      </w:r>
      <w:r w:rsidR="00DA61D0" w:rsidRPr="00A80A13">
        <w:rPr>
          <w:b/>
        </w:rPr>
        <w:fldChar w:fldCharType="separate"/>
      </w:r>
      <w:r w:rsidR="00F22141">
        <w:rPr>
          <w:b/>
        </w:rPr>
        <w:t>9)</w:t>
      </w:r>
      <w:r w:rsidR="00DA61D0" w:rsidRPr="00A80A13">
        <w:rPr>
          <w:b/>
        </w:rPr>
        <w:fldChar w:fldCharType="end"/>
      </w:r>
      <w:r w:rsidRPr="00A80A13">
        <w:rPr>
          <w:b/>
        </w:rPr>
        <w:t xml:space="preserve"> и точка </w:t>
      </w:r>
      <w:r w:rsidR="00DA61D0" w:rsidRPr="00A80A13">
        <w:rPr>
          <w:b/>
        </w:rPr>
        <w:fldChar w:fldCharType="begin"/>
      </w:r>
      <w:r w:rsidR="00DA61D0" w:rsidRPr="00A80A13">
        <w:rPr>
          <w:b/>
        </w:rPr>
        <w:instrText xml:space="preserve"> REF _Ref395515240 \r \h  \* MERGEFORMAT </w:instrText>
      </w:r>
      <w:r w:rsidR="00DA61D0" w:rsidRPr="00A80A13">
        <w:rPr>
          <w:b/>
        </w:rPr>
      </w:r>
      <w:r w:rsidR="00DA61D0" w:rsidRPr="00A80A13">
        <w:rPr>
          <w:b/>
        </w:rPr>
        <w:fldChar w:fldCharType="separate"/>
      </w:r>
      <w:r w:rsidR="00F22141">
        <w:rPr>
          <w:b/>
        </w:rPr>
        <w:t>10)</w:t>
      </w:r>
      <w:r w:rsidR="00DA61D0" w:rsidRPr="00A80A13">
        <w:rPr>
          <w:b/>
        </w:rPr>
        <w:fldChar w:fldCharType="end"/>
      </w:r>
      <w:r w:rsidRPr="001B0EA3">
        <w:t xml:space="preserve"> новоопределените лица подписват декларация за спазване на изискването да пазят в тайна обстоятелствата, които са узнали във </w:t>
      </w:r>
      <w:r w:rsidRPr="001B0EA3">
        <w:lastRenderedPageBreak/>
        <w:t xml:space="preserve">връзка със своята работа в комисията и за съответствие с обстоятелствата по точка </w:t>
      </w:r>
      <w:r w:rsidRPr="001B0EA3">
        <w:fldChar w:fldCharType="begin"/>
      </w:r>
      <w:r w:rsidRPr="001B0EA3">
        <w:instrText xml:space="preserve"> REF _Ref395515156 \r \h  \* MERGEFORMAT </w:instrText>
      </w:r>
      <w:r w:rsidRPr="001B0EA3">
        <w:fldChar w:fldCharType="separate"/>
      </w:r>
      <w:r w:rsidR="00F22141">
        <w:t>2)</w:t>
      </w:r>
      <w:r w:rsidRPr="001B0EA3">
        <w:fldChar w:fldCharType="end"/>
      </w:r>
      <w:r w:rsidRPr="001B0EA3">
        <w:t>. Мотивите за промяната на членовете на оценителната комисия се отразяват в оценителния доклад.</w:t>
      </w:r>
      <w:bookmarkEnd w:id="584"/>
    </w:p>
    <w:p w14:paraId="71D530DE" w14:textId="77777777" w:rsidR="00D603F5" w:rsidRPr="00A80A13" w:rsidRDefault="00D603F5" w:rsidP="00A80A13">
      <w:pPr>
        <w:pStyle w:val="ListParagraph"/>
        <w:numPr>
          <w:ilvl w:val="0"/>
          <w:numId w:val="320"/>
        </w:numPr>
        <w:ind w:left="0" w:firstLine="851"/>
      </w:pPr>
      <w:r w:rsidRPr="001B0EA3">
        <w:t xml:space="preserve">Декларацията за поверителност и липса на конфликт на интереси се подписват от новоопределените лица в деня на определянето им за членове на оценителната комисия </w:t>
      </w:r>
      <w:r w:rsidRPr="00A80A13">
        <w:t xml:space="preserve">по </w:t>
      </w:r>
      <w:r w:rsidRPr="00A80A13">
        <w:rPr>
          <w:b/>
        </w:rPr>
        <w:t xml:space="preserve">точка </w:t>
      </w:r>
      <w:r w:rsidR="00A839CB" w:rsidRPr="00A80A13">
        <w:rPr>
          <w:b/>
        </w:rPr>
        <w:fldChar w:fldCharType="begin"/>
      </w:r>
      <w:r w:rsidR="00A839CB" w:rsidRPr="00A80A13">
        <w:rPr>
          <w:b/>
        </w:rPr>
        <w:instrText xml:space="preserve"> REF _Ref400615418 \r \h  \* MERGEFORMAT </w:instrText>
      </w:r>
      <w:r w:rsidR="00A839CB" w:rsidRPr="00A80A13">
        <w:rPr>
          <w:b/>
        </w:rPr>
      </w:r>
      <w:r w:rsidR="00A839CB" w:rsidRPr="00A80A13">
        <w:rPr>
          <w:b/>
        </w:rPr>
        <w:fldChar w:fldCharType="separate"/>
      </w:r>
      <w:r w:rsidR="00F22141">
        <w:rPr>
          <w:b/>
        </w:rPr>
        <w:t>11)</w:t>
      </w:r>
      <w:r w:rsidR="00A839CB" w:rsidRPr="00A80A13">
        <w:rPr>
          <w:b/>
        </w:rPr>
        <w:fldChar w:fldCharType="end"/>
      </w:r>
      <w:r w:rsidRPr="001B0EA3">
        <w:t xml:space="preserve"> и оригиналът се предоставя на служителя </w:t>
      </w:r>
      <w:r w:rsidRPr="00A80A13">
        <w:t xml:space="preserve">по </w:t>
      </w:r>
      <w:r w:rsidRPr="00A80A13">
        <w:rPr>
          <w:b/>
        </w:rPr>
        <w:t xml:space="preserve">точка </w:t>
      </w:r>
      <w:r w:rsidR="00A839CB" w:rsidRPr="00A80A13">
        <w:rPr>
          <w:b/>
        </w:rPr>
        <w:fldChar w:fldCharType="begin"/>
      </w:r>
      <w:r w:rsidR="00A839CB" w:rsidRPr="00A80A13">
        <w:rPr>
          <w:b/>
        </w:rPr>
        <w:instrText xml:space="preserve"> REF _Ref395515301 \r \h  \* MERGEFORMAT </w:instrText>
      </w:r>
      <w:r w:rsidR="00A839CB" w:rsidRPr="00A80A13">
        <w:rPr>
          <w:b/>
        </w:rPr>
      </w:r>
      <w:r w:rsidR="00A839CB" w:rsidRPr="00A80A13">
        <w:rPr>
          <w:b/>
        </w:rPr>
        <w:fldChar w:fldCharType="separate"/>
      </w:r>
      <w:r w:rsidR="00F22141">
        <w:rPr>
          <w:b/>
        </w:rPr>
        <w:t>3)</w:t>
      </w:r>
      <w:r w:rsidR="00A839CB" w:rsidRPr="00A80A13">
        <w:rPr>
          <w:b/>
        </w:rPr>
        <w:fldChar w:fldCharType="end"/>
      </w:r>
      <w:r w:rsidRPr="001B0EA3">
        <w:t xml:space="preserve"> за извършване на проверка за липса на конфликт на интереси </w:t>
      </w:r>
      <w:r w:rsidRPr="00A80A13">
        <w:t xml:space="preserve">по </w:t>
      </w:r>
      <w:r w:rsidRPr="00A80A13">
        <w:rPr>
          <w:b/>
        </w:rPr>
        <w:t xml:space="preserve">точка </w:t>
      </w:r>
      <w:r w:rsidR="00EA4701" w:rsidRPr="00A80A13">
        <w:rPr>
          <w:b/>
        </w:rPr>
        <w:t>2</w:t>
      </w:r>
      <w:r w:rsidR="00F76908" w:rsidRPr="00A80A13">
        <w:rPr>
          <w:b/>
        </w:rPr>
        <w:t>)</w:t>
      </w:r>
      <w:r w:rsidR="00F76908" w:rsidRPr="00A80A13">
        <w:t>.</w:t>
      </w:r>
    </w:p>
    <w:p w14:paraId="1AC0A531" w14:textId="77777777" w:rsidR="00D603F5" w:rsidRPr="001B0EA3" w:rsidRDefault="00D603F5" w:rsidP="00A80A13">
      <w:pPr>
        <w:pStyle w:val="ListParagraph"/>
        <w:numPr>
          <w:ilvl w:val="0"/>
          <w:numId w:val="320"/>
        </w:numPr>
        <w:ind w:left="0" w:firstLine="851"/>
      </w:pPr>
      <w:r w:rsidRPr="001B0EA3">
        <w:t xml:space="preserve">Преди да започне работата по оценката на проектното предложение се провежда подготвително заседание на оценителната комисия, на което председателят запознава членовете на комисията с процедурата за провеждане на оценка. </w:t>
      </w:r>
    </w:p>
    <w:p w14:paraId="6B8E1C0B" w14:textId="77777777" w:rsidR="00D603F5" w:rsidRDefault="00D603F5" w:rsidP="00A80A13">
      <w:pPr>
        <w:rPr>
          <w:lang w:eastAsia="bg-BG"/>
        </w:rPr>
      </w:pPr>
      <w:r w:rsidRPr="001B0EA3">
        <w:rPr>
          <w:i/>
          <w:lang w:eastAsia="bg-BG"/>
        </w:rPr>
        <w:t xml:space="preserve">Срок за изпълнение: </w:t>
      </w:r>
      <w:r w:rsidRPr="001B0EA3">
        <w:rPr>
          <w:lang w:eastAsia="bg-BG"/>
        </w:rPr>
        <w:t>До 4 работн</w:t>
      </w:r>
      <w:r w:rsidR="00C069CD" w:rsidRPr="001B0EA3">
        <w:rPr>
          <w:lang w:eastAsia="bg-BG"/>
        </w:rPr>
        <w:t>и</w:t>
      </w:r>
      <w:r w:rsidRPr="001B0EA3">
        <w:rPr>
          <w:lang w:eastAsia="bg-BG"/>
        </w:rPr>
        <w:t xml:space="preserve"> дн</w:t>
      </w:r>
      <w:r w:rsidR="00C069CD" w:rsidRPr="001B0EA3">
        <w:rPr>
          <w:lang w:eastAsia="bg-BG"/>
        </w:rPr>
        <w:t>и</w:t>
      </w:r>
      <w:r w:rsidRPr="001B0EA3">
        <w:rPr>
          <w:lang w:eastAsia="bg-BG"/>
        </w:rPr>
        <w:t xml:space="preserve"> от регистриране на Решението за сформиране на оценителна комисия или в случай на новоопределени лица </w:t>
      </w:r>
      <w:r w:rsidRPr="00A80A13">
        <w:rPr>
          <w:lang w:eastAsia="bg-BG"/>
        </w:rPr>
        <w:t>по</w:t>
      </w:r>
      <w:r w:rsidRPr="001B0EA3">
        <w:rPr>
          <w:b/>
          <w:lang w:eastAsia="bg-BG"/>
        </w:rPr>
        <w:t xml:space="preserve"> точка</w:t>
      </w:r>
      <w:r w:rsidRPr="001B0EA3">
        <w:rPr>
          <w:lang w:eastAsia="bg-BG"/>
        </w:rPr>
        <w:t xml:space="preserve">  </w:t>
      </w:r>
      <w:r w:rsidR="00C069CD" w:rsidRPr="001B0EA3">
        <w:fldChar w:fldCharType="begin"/>
      </w:r>
      <w:r w:rsidR="00C069CD" w:rsidRPr="001B0EA3">
        <w:instrText xml:space="preserve"> REF _Ref400615418 \r \h  \* MERGEFORMAT </w:instrText>
      </w:r>
      <w:r w:rsidR="00C069CD" w:rsidRPr="001B0EA3">
        <w:fldChar w:fldCharType="separate"/>
      </w:r>
      <w:r w:rsidR="00F22141" w:rsidRPr="00F22141">
        <w:rPr>
          <w:b/>
          <w:lang w:eastAsia="bg-BG"/>
        </w:rPr>
        <w:t>11)</w:t>
      </w:r>
      <w:r w:rsidR="00C069CD" w:rsidRPr="001B0EA3">
        <w:fldChar w:fldCharType="end"/>
      </w:r>
      <w:r w:rsidRPr="001B0EA3">
        <w:rPr>
          <w:lang w:eastAsia="bg-BG"/>
        </w:rPr>
        <w:t xml:space="preserve"> до края на деня, следващ деня на определянето им за членове на оценителната комисия.</w:t>
      </w:r>
    </w:p>
    <w:p w14:paraId="45D6CAA1" w14:textId="77777777" w:rsidR="007F0791" w:rsidRPr="001B0EA3" w:rsidRDefault="007F0791" w:rsidP="00890B4B">
      <w:pPr>
        <w:tabs>
          <w:tab w:val="num" w:pos="851"/>
        </w:tabs>
        <w:spacing w:before="120" w:after="120"/>
        <w:rPr>
          <w:szCs w:val="24"/>
          <w:lang w:eastAsia="bg-BG"/>
        </w:rPr>
      </w:pPr>
    </w:p>
    <w:p w14:paraId="5C286D69" w14:textId="77777777" w:rsidR="00D603F5" w:rsidRPr="00842ECC" w:rsidRDefault="00D603F5" w:rsidP="00B502C7">
      <w:pPr>
        <w:pStyle w:val="Style2"/>
        <w:rPr>
          <w:lang w:val="bg-BG" w:eastAsia="bg-BG"/>
        </w:rPr>
      </w:pPr>
      <w:bookmarkStart w:id="585" w:name="_Toc479775646"/>
      <w:bookmarkStart w:id="586" w:name="_Toc140150215"/>
      <w:r w:rsidRPr="00842ECC">
        <w:rPr>
          <w:lang w:val="bg-BG" w:eastAsia="bg-BG"/>
        </w:rPr>
        <w:t>Видове процедури на директно предоставяне при оценка на проектни предложения</w:t>
      </w:r>
      <w:bookmarkEnd w:id="585"/>
      <w:bookmarkEnd w:id="586"/>
    </w:p>
    <w:p w14:paraId="15FA36B4" w14:textId="77777777" w:rsidR="00D603F5" w:rsidRPr="001B0EA3" w:rsidRDefault="00D603F5" w:rsidP="00484FAE">
      <w:pPr>
        <w:rPr>
          <w:lang w:eastAsia="bg-BG"/>
        </w:rPr>
      </w:pPr>
      <w:r w:rsidRPr="001B0EA3">
        <w:rPr>
          <w:lang w:eastAsia="bg-BG"/>
        </w:rPr>
        <w:t xml:space="preserve">Предвидените процедури по ОПТТИ за оценка на проектни предложения в съответствие с типа на проекта са следните: </w:t>
      </w:r>
    </w:p>
    <w:p w14:paraId="3B115DE6" w14:textId="77777777" w:rsidR="00D603F5" w:rsidRPr="001B0EA3" w:rsidRDefault="00D603F5" w:rsidP="00EF77DD">
      <w:pPr>
        <w:pStyle w:val="ListParagraph"/>
        <w:numPr>
          <w:ilvl w:val="0"/>
          <w:numId w:val="317"/>
        </w:numPr>
        <w:ind w:left="0" w:firstLine="851"/>
        <w:rPr>
          <w:lang w:eastAsia="bg-BG"/>
        </w:rPr>
      </w:pPr>
      <w:r w:rsidRPr="001B0EA3">
        <w:rPr>
          <w:lang w:eastAsia="bg-BG"/>
        </w:rPr>
        <w:t>Процедури за оценка на инвестиционни/ инфраструктурни проекти</w:t>
      </w:r>
    </w:p>
    <w:p w14:paraId="244C1779" w14:textId="77777777" w:rsidR="00D603F5" w:rsidRPr="001B0EA3" w:rsidRDefault="00D603F5" w:rsidP="00EF77DD">
      <w:pPr>
        <w:pStyle w:val="ListParagraph"/>
        <w:numPr>
          <w:ilvl w:val="1"/>
          <w:numId w:val="319"/>
        </w:numPr>
        <w:ind w:firstLine="626"/>
        <w:rPr>
          <w:lang w:eastAsia="bg-BG"/>
        </w:rPr>
      </w:pPr>
      <w:r w:rsidRPr="001B0EA3">
        <w:rPr>
          <w:lang w:eastAsia="bg-BG"/>
        </w:rPr>
        <w:t xml:space="preserve"> Процедура за оценка на инвестиционни/ инфраструктурни проекти, включително и осигуряване на информацията от УО на ОПТТИ по чл. 101 на Регламент (ЕС) № 1303/2013 г. за „големи проекти”, подробно разписана в </w:t>
      </w:r>
      <w:r w:rsidRPr="00EF77DD">
        <w:rPr>
          <w:b/>
          <w:lang w:eastAsia="bg-BG"/>
        </w:rPr>
        <w:t xml:space="preserve">точка </w:t>
      </w:r>
      <w:r w:rsidRPr="00EF77DD">
        <w:rPr>
          <w:b/>
          <w:lang w:eastAsia="bg-BG"/>
        </w:rPr>
        <w:fldChar w:fldCharType="begin"/>
      </w:r>
      <w:r w:rsidRPr="00EF77DD">
        <w:rPr>
          <w:b/>
          <w:lang w:eastAsia="bg-BG"/>
        </w:rPr>
        <w:instrText xml:space="preserve"> REF _Ref409510826 \r \h  \* MERGEFORMAT </w:instrText>
      </w:r>
      <w:r w:rsidRPr="00EF77DD">
        <w:rPr>
          <w:b/>
          <w:lang w:eastAsia="bg-BG"/>
        </w:rPr>
      </w:r>
      <w:r w:rsidRPr="00EF77DD">
        <w:rPr>
          <w:b/>
          <w:lang w:eastAsia="bg-BG"/>
        </w:rPr>
        <w:fldChar w:fldCharType="separate"/>
      </w:r>
      <w:r w:rsidR="00F22141">
        <w:rPr>
          <w:b/>
          <w:lang w:eastAsia="bg-BG"/>
        </w:rPr>
        <w:t>18.7</w:t>
      </w:r>
      <w:r w:rsidRPr="00EF77DD">
        <w:rPr>
          <w:b/>
          <w:lang w:eastAsia="bg-BG"/>
        </w:rPr>
        <w:fldChar w:fldCharType="end"/>
      </w:r>
      <w:r w:rsidRPr="00EF77DD">
        <w:rPr>
          <w:lang w:eastAsia="bg-BG"/>
        </w:rPr>
        <w:t>;</w:t>
      </w:r>
    </w:p>
    <w:p w14:paraId="162D4B69" w14:textId="77777777" w:rsidR="00D603F5" w:rsidRPr="001B0EA3" w:rsidRDefault="00D603F5" w:rsidP="00EF77DD">
      <w:pPr>
        <w:pStyle w:val="ListParagraph"/>
        <w:numPr>
          <w:ilvl w:val="1"/>
          <w:numId w:val="319"/>
        </w:numPr>
        <w:ind w:firstLine="626"/>
        <w:rPr>
          <w:lang w:eastAsia="bg-BG"/>
        </w:rPr>
      </w:pPr>
      <w:r w:rsidRPr="00EF77DD">
        <w:rPr>
          <w:lang w:eastAsia="bg-BG"/>
        </w:rPr>
        <w:t xml:space="preserve"> </w:t>
      </w:r>
      <w:r w:rsidRPr="001B0EA3">
        <w:rPr>
          <w:lang w:eastAsia="bg-BG"/>
        </w:rPr>
        <w:t xml:space="preserve">Процедура на оценка от УО на ОПТТИ на „големи“ проекти при извършване на  „преглед на качеството“ от независими експерти, подробно разписана в </w:t>
      </w:r>
      <w:r w:rsidRPr="00EF77DD">
        <w:rPr>
          <w:b/>
          <w:lang w:eastAsia="bg-BG"/>
        </w:rPr>
        <w:t xml:space="preserve">точка </w:t>
      </w:r>
      <w:r w:rsidRPr="00EF77DD">
        <w:rPr>
          <w:b/>
          <w:lang w:eastAsia="bg-BG"/>
        </w:rPr>
        <w:fldChar w:fldCharType="begin"/>
      </w:r>
      <w:r w:rsidRPr="00EF77DD">
        <w:rPr>
          <w:b/>
          <w:lang w:eastAsia="bg-BG"/>
        </w:rPr>
        <w:instrText xml:space="preserve"> REF _Ref409510885 \r \h </w:instrText>
      </w:r>
      <w:r w:rsidR="004A494A" w:rsidRPr="00EF77DD">
        <w:rPr>
          <w:b/>
          <w:lang w:eastAsia="bg-BG"/>
        </w:rPr>
        <w:instrText xml:space="preserve"> \* MERGEFORMAT </w:instrText>
      </w:r>
      <w:r w:rsidRPr="00EF77DD">
        <w:rPr>
          <w:b/>
          <w:lang w:eastAsia="bg-BG"/>
        </w:rPr>
      </w:r>
      <w:r w:rsidRPr="00EF77DD">
        <w:rPr>
          <w:b/>
          <w:lang w:eastAsia="bg-BG"/>
        </w:rPr>
        <w:fldChar w:fldCharType="separate"/>
      </w:r>
      <w:r w:rsidR="00F22141">
        <w:rPr>
          <w:b/>
          <w:lang w:eastAsia="bg-BG"/>
        </w:rPr>
        <w:t>18.8</w:t>
      </w:r>
      <w:r w:rsidRPr="00EF77DD">
        <w:rPr>
          <w:b/>
          <w:lang w:eastAsia="bg-BG"/>
        </w:rPr>
        <w:fldChar w:fldCharType="end"/>
      </w:r>
      <w:r w:rsidRPr="00EF77DD">
        <w:rPr>
          <w:lang w:eastAsia="bg-BG"/>
        </w:rPr>
        <w:t>;</w:t>
      </w:r>
    </w:p>
    <w:p w14:paraId="62B2B570" w14:textId="77777777" w:rsidR="00D603F5" w:rsidRPr="00EF77DD" w:rsidRDefault="00D603F5" w:rsidP="00EF77DD">
      <w:pPr>
        <w:pStyle w:val="ListParagraph"/>
        <w:numPr>
          <w:ilvl w:val="0"/>
          <w:numId w:val="317"/>
        </w:numPr>
        <w:ind w:left="0" w:firstLine="851"/>
        <w:rPr>
          <w:lang w:eastAsia="bg-BG"/>
        </w:rPr>
      </w:pPr>
      <w:r w:rsidRPr="00EF77DD">
        <w:rPr>
          <w:lang w:eastAsia="bg-BG"/>
        </w:rPr>
        <w:t xml:space="preserve">Процедура за оценка на проектни предложения за техническа помощ, включително техническа помощ за подготовка на инвестиционни проекти, подробно разписана в </w:t>
      </w:r>
      <w:r w:rsidRPr="00EF77DD">
        <w:rPr>
          <w:b/>
          <w:lang w:eastAsia="bg-BG"/>
        </w:rPr>
        <w:t xml:space="preserve">точка </w:t>
      </w:r>
      <w:r w:rsidRPr="00EF77DD">
        <w:rPr>
          <w:b/>
          <w:lang w:eastAsia="bg-BG"/>
        </w:rPr>
        <w:fldChar w:fldCharType="begin"/>
      </w:r>
      <w:r w:rsidRPr="00EF77DD">
        <w:rPr>
          <w:b/>
          <w:lang w:eastAsia="bg-BG"/>
        </w:rPr>
        <w:instrText xml:space="preserve"> REF _Ref409604515 \r \h </w:instrText>
      </w:r>
      <w:r w:rsidR="004A494A" w:rsidRPr="00EF77DD">
        <w:rPr>
          <w:b/>
          <w:lang w:eastAsia="bg-BG"/>
        </w:rPr>
        <w:instrText xml:space="preserve"> \* MERGEFORMAT </w:instrText>
      </w:r>
      <w:r w:rsidRPr="00EF77DD">
        <w:rPr>
          <w:b/>
          <w:lang w:eastAsia="bg-BG"/>
        </w:rPr>
      </w:r>
      <w:r w:rsidRPr="00EF77DD">
        <w:rPr>
          <w:b/>
          <w:lang w:eastAsia="bg-BG"/>
        </w:rPr>
        <w:fldChar w:fldCharType="separate"/>
      </w:r>
      <w:r w:rsidR="00F22141">
        <w:rPr>
          <w:b/>
          <w:lang w:eastAsia="bg-BG"/>
        </w:rPr>
        <w:t>18.9</w:t>
      </w:r>
      <w:r w:rsidRPr="00EF77DD">
        <w:rPr>
          <w:b/>
          <w:lang w:eastAsia="bg-BG"/>
        </w:rPr>
        <w:fldChar w:fldCharType="end"/>
      </w:r>
      <w:r w:rsidRPr="00EF77DD">
        <w:rPr>
          <w:lang w:eastAsia="bg-BG"/>
        </w:rPr>
        <w:t>.;</w:t>
      </w:r>
    </w:p>
    <w:p w14:paraId="7CE76FA9" w14:textId="77777777" w:rsidR="00D603F5" w:rsidRPr="00EF77DD" w:rsidRDefault="00D603F5" w:rsidP="00EF77DD">
      <w:pPr>
        <w:pStyle w:val="ListParagraph"/>
        <w:numPr>
          <w:ilvl w:val="0"/>
          <w:numId w:val="317"/>
        </w:numPr>
        <w:ind w:left="0" w:firstLine="851"/>
        <w:rPr>
          <w:lang w:eastAsia="bg-BG"/>
        </w:rPr>
      </w:pPr>
      <w:r w:rsidRPr="00EF77DD">
        <w:rPr>
          <w:lang w:eastAsia="bg-BG"/>
        </w:rPr>
        <w:t xml:space="preserve">Процедура за оценка на бюджетна линия подробно разписана в </w:t>
      </w:r>
      <w:r w:rsidRPr="00EF77DD">
        <w:rPr>
          <w:b/>
          <w:lang w:eastAsia="bg-BG"/>
        </w:rPr>
        <w:t xml:space="preserve">точка </w:t>
      </w:r>
      <w:r w:rsidRPr="00EF77DD">
        <w:rPr>
          <w:b/>
          <w:lang w:eastAsia="bg-BG"/>
        </w:rPr>
        <w:fldChar w:fldCharType="begin"/>
      </w:r>
      <w:r w:rsidRPr="00EF77DD">
        <w:rPr>
          <w:b/>
          <w:lang w:eastAsia="bg-BG"/>
        </w:rPr>
        <w:instrText xml:space="preserve"> REF _Ref409511071 \r \h </w:instrText>
      </w:r>
      <w:r w:rsidR="004A494A" w:rsidRPr="00EF77DD">
        <w:rPr>
          <w:b/>
          <w:lang w:eastAsia="bg-BG"/>
        </w:rPr>
        <w:instrText xml:space="preserve"> \* MERGEFORMAT </w:instrText>
      </w:r>
      <w:r w:rsidRPr="00EF77DD">
        <w:rPr>
          <w:b/>
          <w:lang w:eastAsia="bg-BG"/>
        </w:rPr>
      </w:r>
      <w:r w:rsidRPr="00EF77DD">
        <w:rPr>
          <w:b/>
          <w:lang w:eastAsia="bg-BG"/>
        </w:rPr>
        <w:fldChar w:fldCharType="separate"/>
      </w:r>
      <w:r w:rsidR="00F22141">
        <w:rPr>
          <w:b/>
          <w:lang w:eastAsia="bg-BG"/>
        </w:rPr>
        <w:t>18.10</w:t>
      </w:r>
      <w:r w:rsidRPr="00EF77DD">
        <w:rPr>
          <w:b/>
          <w:lang w:eastAsia="bg-BG"/>
        </w:rPr>
        <w:fldChar w:fldCharType="end"/>
      </w:r>
      <w:r w:rsidRPr="00EF77DD">
        <w:rPr>
          <w:lang w:eastAsia="bg-BG"/>
        </w:rPr>
        <w:t>.;</w:t>
      </w:r>
    </w:p>
    <w:p w14:paraId="55B3AEC3" w14:textId="77777777" w:rsidR="00B64DAE" w:rsidRPr="001B0EA3" w:rsidRDefault="00B64DAE" w:rsidP="00890B4B">
      <w:pPr>
        <w:tabs>
          <w:tab w:val="left" w:pos="851"/>
        </w:tabs>
        <w:spacing w:after="120"/>
        <w:rPr>
          <w:szCs w:val="24"/>
        </w:rPr>
      </w:pPr>
    </w:p>
    <w:p w14:paraId="69445F28" w14:textId="77777777" w:rsidR="00733A72" w:rsidRPr="001B0EA3" w:rsidRDefault="00733A72">
      <w:pPr>
        <w:jc w:val="left"/>
        <w:rPr>
          <w:szCs w:val="24"/>
        </w:rPr>
      </w:pPr>
      <w:r w:rsidRPr="001B0EA3">
        <w:rPr>
          <w:szCs w:val="24"/>
        </w:rPr>
        <w:br w:type="page"/>
      </w:r>
    </w:p>
    <w:p w14:paraId="7F036615" w14:textId="77777777" w:rsidR="00B64DAE" w:rsidRPr="001B0EA3" w:rsidRDefault="00B64DAE" w:rsidP="00890B4B">
      <w:pPr>
        <w:tabs>
          <w:tab w:val="left" w:pos="851"/>
        </w:tabs>
        <w:spacing w:after="120"/>
        <w:rPr>
          <w:szCs w:val="24"/>
        </w:rPr>
      </w:pPr>
    </w:p>
    <w:p w14:paraId="40702AB1" w14:textId="77777777" w:rsidR="00B2034F" w:rsidRPr="00842ECC" w:rsidRDefault="00B2034F" w:rsidP="00B502C7">
      <w:pPr>
        <w:pStyle w:val="Style2"/>
        <w:rPr>
          <w:lang w:val="bg-BG"/>
        </w:rPr>
      </w:pPr>
      <w:bookmarkStart w:id="587" w:name="_Toc479775647"/>
      <w:bookmarkStart w:id="588" w:name="_Toc140150216"/>
      <w:r w:rsidRPr="00842ECC">
        <w:rPr>
          <w:lang w:val="bg-BG"/>
        </w:rPr>
        <w:t>Обобщена процедура за оценка на проектни предложения</w:t>
      </w:r>
      <w:bookmarkEnd w:id="587"/>
      <w:bookmarkEnd w:id="588"/>
    </w:p>
    <w:p w14:paraId="2A2293E8" w14:textId="77777777" w:rsidR="00767984" w:rsidRPr="001B0EA3" w:rsidRDefault="00767984" w:rsidP="00890B4B">
      <w:pPr>
        <w:spacing w:after="120"/>
        <w:rPr>
          <w:b/>
          <w:szCs w:val="24"/>
        </w:rPr>
      </w:pPr>
      <w:r w:rsidRPr="001B0EA3">
        <w:rPr>
          <w:b/>
          <w:szCs w:val="24"/>
        </w:rPr>
        <w:t>Обобщена схема на видовете процедури</w:t>
      </w:r>
    </w:p>
    <w:p w14:paraId="0B90E953" w14:textId="77777777" w:rsidR="00767984" w:rsidRPr="001B0EA3" w:rsidRDefault="00937754" w:rsidP="00D83422">
      <w:pPr>
        <w:spacing w:after="120"/>
        <w:ind w:firstLine="0"/>
        <w:jc w:val="center"/>
        <w:rPr>
          <w:szCs w:val="24"/>
        </w:rPr>
      </w:pPr>
      <w:r w:rsidRPr="001B0EA3">
        <w:rPr>
          <w:noProof/>
          <w:lang w:eastAsia="bg-BG"/>
        </w:rPr>
        <mc:AlternateContent>
          <mc:Choice Requires="wpg">
            <w:drawing>
              <wp:inline distT="0" distB="0" distL="0" distR="0" wp14:anchorId="3B1B55AB" wp14:editId="22B2648E">
                <wp:extent cx="6060440" cy="4422775"/>
                <wp:effectExtent l="76200" t="0" r="73660" b="92075"/>
                <wp:docPr id="64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0440" cy="4422775"/>
                          <a:chOff x="0" y="0"/>
                          <a:chExt cx="6060558" cy="4423144"/>
                        </a:xfrm>
                      </wpg:grpSpPr>
                      <wps:wsp>
                        <wps:cNvPr id="643" name="Freeform 112"/>
                        <wps:cNvSpPr/>
                        <wps:spPr>
                          <a:xfrm>
                            <a:off x="1499191" y="574158"/>
                            <a:ext cx="3051544" cy="3848986"/>
                          </a:xfrm>
                          <a:custGeom>
                            <a:avLst/>
                            <a:gdLst>
                              <a:gd name="connsiteX0" fmla="*/ 0 w 3051544"/>
                              <a:gd name="connsiteY0" fmla="*/ 0 h 3349256"/>
                              <a:gd name="connsiteX1" fmla="*/ 2987749 w 3051544"/>
                              <a:gd name="connsiteY1" fmla="*/ 10633 h 3349256"/>
                              <a:gd name="connsiteX2" fmla="*/ 3051544 w 3051544"/>
                              <a:gd name="connsiteY2" fmla="*/ 3349256 h 3349256"/>
                              <a:gd name="connsiteX3" fmla="*/ 10632 w 3051544"/>
                              <a:gd name="connsiteY3" fmla="*/ 3338623 h 3349256"/>
                              <a:gd name="connsiteX4" fmla="*/ 0 w 3051544"/>
                              <a:gd name="connsiteY4" fmla="*/ 0 h 33492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51544" h="3349256">
                                <a:moveTo>
                                  <a:pt x="0" y="0"/>
                                </a:moveTo>
                                <a:lnTo>
                                  <a:pt x="2987749" y="10633"/>
                                </a:lnTo>
                                <a:lnTo>
                                  <a:pt x="3051544" y="3349256"/>
                                </a:lnTo>
                                <a:lnTo>
                                  <a:pt x="10632" y="3338623"/>
                                </a:lnTo>
                                <a:lnTo>
                                  <a:pt x="0" y="0"/>
                                </a:lnTo>
                                <a:close/>
                              </a:path>
                            </a:pathLst>
                          </a:cu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Rectangle 108"/>
                        <wps:cNvSpPr/>
                        <wps:spPr>
                          <a:xfrm>
                            <a:off x="0" y="797442"/>
                            <a:ext cx="6060558" cy="2987749"/>
                          </a:xfrm>
                          <a:prstGeom prst="rect">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Rounded Rectangle 99"/>
                        <wps:cNvSpPr/>
                        <wps:spPr>
                          <a:xfrm>
                            <a:off x="223284" y="0"/>
                            <a:ext cx="5666740" cy="467360"/>
                          </a:xfrm>
                          <a:prstGeom prst="roundRect">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03B79AC0" w14:textId="77777777" w:rsidR="004E3164" w:rsidRPr="00B80E14" w:rsidRDefault="004E3164" w:rsidP="00D83422">
                              <w:pPr>
                                <w:spacing w:after="200" w:line="276" w:lineRule="auto"/>
                                <w:ind w:firstLine="0"/>
                                <w:jc w:val="center"/>
                                <w:rPr>
                                  <w:sz w:val="20"/>
                                </w:rPr>
                              </w:pPr>
                              <w:r w:rsidRPr="00B80E14">
                                <w:rPr>
                                  <w:bCs/>
                                  <w:sz w:val="20"/>
                                </w:rPr>
                                <w:t>Видове процедури за оценка на проектни предложения</w:t>
                              </w:r>
                            </w:p>
                            <w:p w14:paraId="35B85952" w14:textId="77777777" w:rsidR="004E3164" w:rsidRPr="00B80E14" w:rsidRDefault="004E3164" w:rsidP="00D83422">
                              <w:pPr>
                                <w:ind w:firstLine="0"/>
                                <w:jc w:val="center"/>
                                <w:rPr>
                                  <w:sz w:val="20"/>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646" name="Rounded Rectangle 100"/>
                        <wps:cNvSpPr/>
                        <wps:spPr>
                          <a:xfrm>
                            <a:off x="223284" y="871870"/>
                            <a:ext cx="2572385" cy="552450"/>
                          </a:xfrm>
                          <a:prstGeom prst="roundRect">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5953B38B" w14:textId="77777777" w:rsidR="004E3164" w:rsidRPr="00B80E14" w:rsidRDefault="004E3164" w:rsidP="00D83422">
                              <w:pPr>
                                <w:spacing w:after="200" w:line="276" w:lineRule="auto"/>
                                <w:ind w:firstLine="0"/>
                                <w:jc w:val="center"/>
                                <w:rPr>
                                  <w:bCs/>
                                  <w:sz w:val="20"/>
                                </w:rPr>
                              </w:pPr>
                              <w:r w:rsidRPr="00B80E14">
                                <w:rPr>
                                  <w:bCs/>
                                  <w:sz w:val="20"/>
                                </w:rPr>
                                <w:t>Оценка на инвестиционен/ инфраструктурен проект</w:t>
                              </w:r>
                            </w:p>
                            <w:p w14:paraId="7B1BC36B" w14:textId="77777777" w:rsidR="004E3164" w:rsidRPr="00B80E14" w:rsidRDefault="004E3164" w:rsidP="00D83422">
                              <w:pPr>
                                <w:ind w:firstLine="0"/>
                                <w:jc w:val="center"/>
                                <w:rPr>
                                  <w:sz w:val="20"/>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647" name="Rounded Rectangle 101"/>
                        <wps:cNvSpPr/>
                        <wps:spPr>
                          <a:xfrm>
                            <a:off x="2998381" y="871870"/>
                            <a:ext cx="1487805" cy="2136775"/>
                          </a:xfrm>
                          <a:prstGeom prst="roundRect">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68562EFD" w14:textId="77777777" w:rsidR="004E3164" w:rsidRPr="00B80E14" w:rsidRDefault="004E3164" w:rsidP="00D83422">
                              <w:pPr>
                                <w:spacing w:after="200" w:line="276" w:lineRule="auto"/>
                                <w:ind w:firstLine="0"/>
                                <w:jc w:val="center"/>
                                <w:rPr>
                                  <w:bCs/>
                                  <w:sz w:val="20"/>
                                </w:rPr>
                              </w:pPr>
                              <w:r w:rsidRPr="00B80E14">
                                <w:rPr>
                                  <w:bCs/>
                                  <w:sz w:val="20"/>
                                </w:rPr>
                                <w:t>Оценка на проекти за техническа помощ (вкл. техническа помощ за подготовка на инвестиционен проект</w:t>
                              </w:r>
                            </w:p>
                            <w:p w14:paraId="4D559C37" w14:textId="77777777" w:rsidR="004E3164" w:rsidRPr="00B80E14" w:rsidRDefault="004E3164" w:rsidP="00D83422">
                              <w:pPr>
                                <w:ind w:firstLine="0"/>
                                <w:jc w:val="center"/>
                                <w:rPr>
                                  <w:sz w:val="20"/>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648" name="Rounded Rectangle 102"/>
                        <wps:cNvSpPr/>
                        <wps:spPr>
                          <a:xfrm>
                            <a:off x="4614530" y="871870"/>
                            <a:ext cx="1371600" cy="2136775"/>
                          </a:xfrm>
                          <a:prstGeom prst="roundRect">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659A2A54" w14:textId="77777777" w:rsidR="004E3164" w:rsidRPr="00B80E14" w:rsidRDefault="004E3164" w:rsidP="00D83422">
                              <w:pPr>
                                <w:ind w:firstLine="0"/>
                                <w:jc w:val="center"/>
                                <w:rPr>
                                  <w:sz w:val="20"/>
                                </w:rPr>
                              </w:pPr>
                              <w:r w:rsidRPr="00B80E14">
                                <w:rPr>
                                  <w:bCs/>
                                  <w:sz w:val="20"/>
                                </w:rPr>
                                <w:t>Оценка на бюджетна линия</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649" name="Rounded Rectangle 103"/>
                        <wps:cNvSpPr/>
                        <wps:spPr>
                          <a:xfrm>
                            <a:off x="1573619" y="1573619"/>
                            <a:ext cx="1318260" cy="1434465"/>
                          </a:xfrm>
                          <a:prstGeom prst="roundRect">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14:paraId="281BF230" w14:textId="77777777" w:rsidR="004E3164" w:rsidRPr="00B80E14" w:rsidRDefault="004E3164" w:rsidP="00D83422">
                              <w:pPr>
                                <w:ind w:firstLine="0"/>
                                <w:jc w:val="center"/>
                                <w:rPr>
                                  <w:sz w:val="20"/>
                                </w:rPr>
                              </w:pPr>
                              <w:r w:rsidRPr="00B80E14">
                                <w:rPr>
                                  <w:bCs/>
                                  <w:sz w:val="20"/>
                                </w:rPr>
                                <w:t>Оценка на инвестиционен/ инфраструктурен проект изцяло  от УО на ОПТТИ</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650" name="Rounded Rectangle 104"/>
                        <wps:cNvSpPr/>
                        <wps:spPr>
                          <a:xfrm>
                            <a:off x="148856" y="1562986"/>
                            <a:ext cx="1318260" cy="1434465"/>
                          </a:xfrm>
                          <a:prstGeom prst="roundRect">
                            <a:avLst/>
                          </a:prstGeom>
                          <a:solidFill>
                            <a:srgbClr val="1F497D">
                              <a:lumMod val="40000"/>
                              <a:lumOff val="60000"/>
                            </a:srgbClr>
                          </a:solidFill>
                          <a:ln w="25400" cap="flat" cmpd="sng" algn="ctr">
                            <a:noFill/>
                            <a:prstDash val="soli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1621330C" w14:textId="77777777" w:rsidR="004E3164" w:rsidRPr="00B80E14" w:rsidRDefault="004E3164" w:rsidP="00D83422">
                              <w:pPr>
                                <w:spacing w:after="200" w:line="276" w:lineRule="auto"/>
                                <w:ind w:firstLine="0"/>
                                <w:jc w:val="center"/>
                                <w:rPr>
                                  <w:bCs/>
                                  <w:sz w:val="20"/>
                                </w:rPr>
                              </w:pPr>
                              <w:r w:rsidRPr="00B80E14">
                                <w:rPr>
                                  <w:bCs/>
                                  <w:sz w:val="20"/>
                                </w:rPr>
                                <w:t xml:space="preserve">Извършване на „преглед на качеството“ на големи проекти от независими експерти </w:t>
                              </w:r>
                            </w:p>
                            <w:p w14:paraId="12B022C9" w14:textId="77777777" w:rsidR="004E3164" w:rsidRPr="00B80E14" w:rsidRDefault="004E3164" w:rsidP="00D83422">
                              <w:pPr>
                                <w:ind w:firstLine="0"/>
                                <w:jc w:val="center"/>
                                <w:rPr>
                                  <w:sz w:val="20"/>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651" name="Rounded Rectangle 107"/>
                        <wps:cNvSpPr/>
                        <wps:spPr>
                          <a:xfrm>
                            <a:off x="1552354" y="3880884"/>
                            <a:ext cx="2912110" cy="467360"/>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headEnd/>
                            <a:tailEnd/>
                          </a:ln>
                          <a:effectLst>
                            <a:outerShdw blurRad="40000" dist="23000" dir="5400000" rotWithShape="0">
                              <a:srgbClr val="000000">
                                <a:alpha val="35000"/>
                              </a:srgbClr>
                            </a:outerShdw>
                          </a:effectLst>
                        </wps:spPr>
                        <wps:txbx>
                          <w:txbxContent>
                            <w:p w14:paraId="6B58321D" w14:textId="77777777" w:rsidR="004E3164" w:rsidRPr="00B80E14" w:rsidRDefault="004E3164" w:rsidP="00D83422">
                              <w:pPr>
                                <w:spacing w:after="200" w:line="276" w:lineRule="auto"/>
                                <w:ind w:firstLine="0"/>
                                <w:jc w:val="center"/>
                                <w:rPr>
                                  <w:sz w:val="20"/>
                                </w:rPr>
                              </w:pPr>
                              <w:r w:rsidRPr="00B80E14">
                                <w:rPr>
                                  <w:bCs/>
                                  <w:sz w:val="20"/>
                                </w:rPr>
                                <w:t>Техническа и финансова оценка</w:t>
                              </w:r>
                            </w:p>
                            <w:p w14:paraId="3187696A" w14:textId="77777777" w:rsidR="004E3164" w:rsidRPr="00B80E14" w:rsidRDefault="004E3164" w:rsidP="00D83422">
                              <w:pPr>
                                <w:ind w:firstLine="0"/>
                                <w:jc w:val="center"/>
                                <w:rPr>
                                  <w:sz w:val="20"/>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652" name="Text Box 109"/>
                        <wps:cNvSpPr txBox="1"/>
                        <wps:spPr>
                          <a:xfrm>
                            <a:off x="350874" y="3327991"/>
                            <a:ext cx="5369236" cy="308344"/>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7CDCD18" w14:textId="77777777" w:rsidR="004E3164" w:rsidRPr="00B80E14" w:rsidRDefault="004E3164" w:rsidP="00D83422">
                              <w:pPr>
                                <w:spacing w:after="200" w:line="276" w:lineRule="auto"/>
                                <w:ind w:firstLine="0"/>
                                <w:jc w:val="center"/>
                                <w:rPr>
                                  <w:sz w:val="20"/>
                                </w:rPr>
                              </w:pPr>
                              <w:r w:rsidRPr="00B80E14">
                                <w:rPr>
                                  <w:bCs/>
                                  <w:sz w:val="20"/>
                                </w:rPr>
                                <w:t>Административна проверка и проверка на допустимост</w:t>
                              </w:r>
                            </w:p>
                            <w:p w14:paraId="5D41F6A5" w14:textId="77777777" w:rsidR="004E3164" w:rsidRPr="00B80E14" w:rsidRDefault="004E3164" w:rsidP="00D83422">
                              <w:pPr>
                                <w:ind w:firstLine="0"/>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B1B55AB" id="Group 113" o:spid="_x0000_s1530" style="width:477.2pt;height:348.25pt;mso-position-horizontal-relative:char;mso-position-vertical-relative:line" coordsize="60605,44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">
                <v:shape id="Freeform 112" o:spid="_x0000_s1531" style="position:absolute;left:14991;top:5741;width:30516;height:38490;visibility:visible;mso-wrap-style:square;v-text-anchor:middle" coordsize="3051544,33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" path="m,l2987749,10633r63795,3338623l10632,3338623,,xe" fillcolor="#c9b5e8" strokecolor="#7d60a0">
                  <v:fill color2="#f0eaf9" rotate="t" angle="180" colors="0 #c9b5e8;22938f #d9cbee;1 #f0eaf9" focus="100%" type="gradient"/>
                  <v:shadow on="t" color="black" opacity="24903f" origin=",.5" offset="0,.55556mm"/>
                  <v:path arrowok="t" o:connecttype="custom" o:connectlocs="0,0;2987749,12220;3051544,3848986;10632,3836766;0,0" o:connectangles="0,0,0,0,0"/>
                </v:shape>
                <v:rect id="Rectangle 108" o:spid="_x0000_s1532" style="position:absolute;top:7974;width:60605;height:29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" fillcolor="#4f81bd" strokecolor="window" strokeweight="3pt">
                  <v:shadow on="t" color="black" opacity="24903f" origin=",.5" offset="0,.55556mm"/>
                </v:rect>
                <v:roundrect id="Rounded Rectangle 99" o:spid="_x0000_s1533" style="position:absolute;left:2232;width:56668;height:46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" fillcolor="#a3c4ff" strokecolor="#4a7ebb">
                  <v:fill color2="#e5eeff" rotate="t" angle="180" colors="0 #a3c4ff;22938f #bfd5ff;1 #e5eeff" focus="100%" type="gradient"/>
                  <v:shadow on="t" color="black" opacity="24903f" origin=",.5" offset="0,.55556mm"/>
                  <v:textbox>
                    <w:txbxContent>
                      <w:p w14:paraId="03B79AC0" w14:textId="77777777" w:rsidR="004E3164" w:rsidRPr="00B80E14" w:rsidRDefault="004E3164" w:rsidP="00D83422">
                        <w:pPr>
                          <w:spacing w:after="200" w:line="276" w:lineRule="auto"/>
                          <w:ind w:firstLine="0"/>
                          <w:jc w:val="center"/>
                          <w:rPr>
                            <w:sz w:val="20"/>
                          </w:rPr>
                        </w:pPr>
                        <w:r w:rsidRPr="00B80E14">
                          <w:rPr>
                            <w:bCs/>
                            <w:sz w:val="20"/>
                          </w:rPr>
                          <w:t>Видове процедури за оценка на проектни предложения</w:t>
                        </w:r>
                      </w:p>
                      <w:p w14:paraId="35B85952" w14:textId="77777777" w:rsidR="004E3164" w:rsidRPr="00B80E14" w:rsidRDefault="004E3164" w:rsidP="00D83422">
                        <w:pPr>
                          <w:ind w:firstLine="0"/>
                          <w:jc w:val="center"/>
                          <w:rPr>
                            <w:sz w:val="20"/>
                          </w:rPr>
                        </w:pPr>
                      </w:p>
                    </w:txbxContent>
                  </v:textbox>
                </v:roundrect>
                <v:roundrect id="Rounded Rectangle 100" o:spid="_x0000_s1534" style="position:absolute;left:2232;top:8718;width:25724;height:5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" fillcolor="#a3c4ff" strokecolor="#4a7ebb">
                  <v:fill color2="#e5eeff" rotate="t" angle="180" colors="0 #a3c4ff;22938f #bfd5ff;1 #e5eeff" focus="100%" type="gradient"/>
                  <v:shadow on="t" color="black" opacity="24903f" origin=",.5" offset="0,.55556mm"/>
                  <v:textbox>
                    <w:txbxContent>
                      <w:p w14:paraId="5953B38B" w14:textId="77777777" w:rsidR="004E3164" w:rsidRPr="00B80E14" w:rsidRDefault="004E3164" w:rsidP="00D83422">
                        <w:pPr>
                          <w:spacing w:after="200" w:line="276" w:lineRule="auto"/>
                          <w:ind w:firstLine="0"/>
                          <w:jc w:val="center"/>
                          <w:rPr>
                            <w:bCs/>
                            <w:sz w:val="20"/>
                          </w:rPr>
                        </w:pPr>
                        <w:r w:rsidRPr="00B80E14">
                          <w:rPr>
                            <w:bCs/>
                            <w:sz w:val="20"/>
                          </w:rPr>
                          <w:t>Оценка на инвестиционен/ инфраструктурен проект</w:t>
                        </w:r>
                      </w:p>
                      <w:p w14:paraId="7B1BC36B" w14:textId="77777777" w:rsidR="004E3164" w:rsidRPr="00B80E14" w:rsidRDefault="004E3164" w:rsidP="00D83422">
                        <w:pPr>
                          <w:ind w:firstLine="0"/>
                          <w:jc w:val="center"/>
                          <w:rPr>
                            <w:sz w:val="20"/>
                          </w:rPr>
                        </w:pPr>
                      </w:p>
                    </w:txbxContent>
                  </v:textbox>
                </v:roundrect>
                <v:roundrect id="Rounded Rectangle 101" o:spid="_x0000_s1535" style="position:absolute;left:29983;top:8718;width:14878;height:213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" fillcolor="#a3c4ff" strokecolor="#4a7ebb">
                  <v:fill color2="#e5eeff" rotate="t" angle="180" colors="0 #a3c4ff;22938f #bfd5ff;1 #e5eeff" focus="100%" type="gradient"/>
                  <v:shadow on="t" color="black" opacity="24903f" origin=",.5" offset="0,.55556mm"/>
                  <v:textbox>
                    <w:txbxContent>
                      <w:p w14:paraId="68562EFD" w14:textId="77777777" w:rsidR="004E3164" w:rsidRPr="00B80E14" w:rsidRDefault="004E3164" w:rsidP="00D83422">
                        <w:pPr>
                          <w:spacing w:after="200" w:line="276" w:lineRule="auto"/>
                          <w:ind w:firstLine="0"/>
                          <w:jc w:val="center"/>
                          <w:rPr>
                            <w:bCs/>
                            <w:sz w:val="20"/>
                          </w:rPr>
                        </w:pPr>
                        <w:r w:rsidRPr="00B80E14">
                          <w:rPr>
                            <w:bCs/>
                            <w:sz w:val="20"/>
                          </w:rPr>
                          <w:t>Оценка на проекти за техническа помощ (вкл. техническа помощ за подготовка на инвестиционен проект</w:t>
                        </w:r>
                      </w:p>
                      <w:p w14:paraId="4D559C37" w14:textId="77777777" w:rsidR="004E3164" w:rsidRPr="00B80E14" w:rsidRDefault="004E3164" w:rsidP="00D83422">
                        <w:pPr>
                          <w:ind w:firstLine="0"/>
                          <w:jc w:val="center"/>
                          <w:rPr>
                            <w:sz w:val="20"/>
                          </w:rPr>
                        </w:pPr>
                      </w:p>
                    </w:txbxContent>
                  </v:textbox>
                </v:roundrect>
                <v:roundrect id="Rounded Rectangle 102" o:spid="_x0000_s1536" style="position:absolute;left:46145;top:8718;width:13716;height:213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" fillcolor="#a3c4ff" strokecolor="#4a7ebb">
                  <v:fill color2="#e5eeff" rotate="t" angle="180" colors="0 #a3c4ff;22938f #bfd5ff;1 #e5eeff" focus="100%" type="gradient"/>
                  <v:shadow on="t" color="black" opacity="24903f" origin=",.5" offset="0,.55556mm"/>
                  <v:textbox>
                    <w:txbxContent>
                      <w:p w14:paraId="659A2A54" w14:textId="77777777" w:rsidR="004E3164" w:rsidRPr="00B80E14" w:rsidRDefault="004E3164" w:rsidP="00D83422">
                        <w:pPr>
                          <w:ind w:firstLine="0"/>
                          <w:jc w:val="center"/>
                          <w:rPr>
                            <w:sz w:val="20"/>
                          </w:rPr>
                        </w:pPr>
                        <w:r w:rsidRPr="00B80E14">
                          <w:rPr>
                            <w:bCs/>
                            <w:sz w:val="20"/>
                          </w:rPr>
                          <w:t>Оценка на бюджетна линия</w:t>
                        </w:r>
                      </w:p>
                    </w:txbxContent>
                  </v:textbox>
                </v:roundrect>
                <v:roundrect id="Rounded Rectangle 103" o:spid="_x0000_s1537" style="position:absolute;left:15736;top:15736;width:13182;height:143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" fillcolor="#a3c4ff" strokecolor="#4a7ebb">
                  <v:fill color2="#e5eeff" rotate="t" angle="180" colors="0 #a3c4ff;22938f #bfd5ff;1 #e5eeff" focus="100%" type="gradient"/>
                  <v:shadow on="t" color="black" opacity="24903f" origin=",.5" offset="0,.55556mm"/>
                  <v:textbox>
                    <w:txbxContent>
                      <w:p w14:paraId="281BF230" w14:textId="77777777" w:rsidR="004E3164" w:rsidRPr="00B80E14" w:rsidRDefault="004E3164" w:rsidP="00D83422">
                        <w:pPr>
                          <w:ind w:firstLine="0"/>
                          <w:jc w:val="center"/>
                          <w:rPr>
                            <w:sz w:val="20"/>
                          </w:rPr>
                        </w:pPr>
                        <w:r w:rsidRPr="00B80E14">
                          <w:rPr>
                            <w:bCs/>
                            <w:sz w:val="20"/>
                          </w:rPr>
                          <w:t>Оценка на инвестиционен/ инфраструктурен проект изцяло  от УО на ОПТТИ</w:t>
                        </w:r>
                      </w:p>
                    </w:txbxContent>
                  </v:textbox>
                </v:roundrect>
                <v:roundrect id="Rounded Rectangle 104" o:spid="_x0000_s1538" style="position:absolute;left:1488;top:15629;width:13183;height:143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" fillcolor="#8eb4e3" stroked="f" strokeweight="2pt">
                  <v:shadow on="t" color="black" offset="0,1pt"/>
                  <v:textbox>
                    <w:txbxContent>
                      <w:p w14:paraId="1621330C" w14:textId="77777777" w:rsidR="004E3164" w:rsidRPr="00B80E14" w:rsidRDefault="004E3164" w:rsidP="00D83422">
                        <w:pPr>
                          <w:spacing w:after="200" w:line="276" w:lineRule="auto"/>
                          <w:ind w:firstLine="0"/>
                          <w:jc w:val="center"/>
                          <w:rPr>
                            <w:bCs/>
                            <w:sz w:val="20"/>
                          </w:rPr>
                        </w:pPr>
                        <w:r w:rsidRPr="00B80E14">
                          <w:rPr>
                            <w:bCs/>
                            <w:sz w:val="20"/>
                          </w:rPr>
                          <w:t xml:space="preserve">Извършване на „преглед на качеството“ на големи проекти от независими експерти </w:t>
                        </w:r>
                      </w:p>
                      <w:p w14:paraId="12B022C9" w14:textId="77777777" w:rsidR="004E3164" w:rsidRPr="00B80E14" w:rsidRDefault="004E3164" w:rsidP="00D83422">
                        <w:pPr>
                          <w:ind w:firstLine="0"/>
                          <w:jc w:val="center"/>
                          <w:rPr>
                            <w:sz w:val="20"/>
                          </w:rPr>
                        </w:pPr>
                      </w:p>
                    </w:txbxContent>
                  </v:textbox>
                </v:roundrect>
                <v:roundrect id="Rounded Rectangle 107" o:spid="_x0000_s1539" style="position:absolute;left:15523;top:38808;width:29121;height:46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" fillcolor="#5d417e" strokecolor="#7d60a0">
                  <v:fill color2="#7b57a8" rotate="t" angle="180" colors="0 #5d417e;52429f #7b58a6;1 #7b57a8" focus="100%" type="gradient">
                    <o:fill v:ext="view" type="gradientUnscaled"/>
                  </v:fill>
                  <v:shadow on="t" color="black" opacity="22937f" origin=",.5" offset="0,.63889mm"/>
                  <v:textbox>
                    <w:txbxContent>
                      <w:p w14:paraId="6B58321D" w14:textId="77777777" w:rsidR="004E3164" w:rsidRPr="00B80E14" w:rsidRDefault="004E3164" w:rsidP="00D83422">
                        <w:pPr>
                          <w:spacing w:after="200" w:line="276" w:lineRule="auto"/>
                          <w:ind w:firstLine="0"/>
                          <w:jc w:val="center"/>
                          <w:rPr>
                            <w:sz w:val="20"/>
                          </w:rPr>
                        </w:pPr>
                        <w:r w:rsidRPr="00B80E14">
                          <w:rPr>
                            <w:bCs/>
                            <w:sz w:val="20"/>
                          </w:rPr>
                          <w:t>Техническа и финансова оценка</w:t>
                        </w:r>
                      </w:p>
                      <w:p w14:paraId="3187696A" w14:textId="77777777" w:rsidR="004E3164" w:rsidRPr="00B80E14" w:rsidRDefault="004E3164" w:rsidP="00D83422">
                        <w:pPr>
                          <w:ind w:firstLine="0"/>
                          <w:jc w:val="center"/>
                          <w:rPr>
                            <w:sz w:val="20"/>
                          </w:rPr>
                        </w:pPr>
                      </w:p>
                    </w:txbxContent>
                  </v:textbox>
                </v:roundrect>
                <v:shape id="Text Box 109" o:spid="_x0000_s1540" type="#_x0000_t202" style="position:absolute;left:3508;top:33279;width:53693;height:3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" fillcolor="#2c5d98" stroked="f">
                  <v:fill color2="#3a7ccb" rotate="t" angle="180" colors="0 #2c5d98;52429f #3c7bc7;1 #3a7ccb" focus="100%" type="gradient">
                    <o:fill v:ext="view" type="gradientUnscaled"/>
                  </v:fill>
                  <v:shadow on="t" color="black" opacity="22937f" origin=",.5" offset="0,.63889mm"/>
                  <v:textbox>
                    <w:txbxContent>
                      <w:p w14:paraId="67CDCD18" w14:textId="77777777" w:rsidR="004E3164" w:rsidRPr="00B80E14" w:rsidRDefault="004E3164" w:rsidP="00D83422">
                        <w:pPr>
                          <w:spacing w:after="200" w:line="276" w:lineRule="auto"/>
                          <w:ind w:firstLine="0"/>
                          <w:jc w:val="center"/>
                          <w:rPr>
                            <w:sz w:val="20"/>
                          </w:rPr>
                        </w:pPr>
                        <w:r w:rsidRPr="00B80E14">
                          <w:rPr>
                            <w:bCs/>
                            <w:sz w:val="20"/>
                          </w:rPr>
                          <w:t>Административна проверка и проверка на допустимост</w:t>
                        </w:r>
                      </w:p>
                      <w:p w14:paraId="5D41F6A5" w14:textId="77777777" w:rsidR="004E3164" w:rsidRPr="00B80E14" w:rsidRDefault="004E3164" w:rsidP="00D83422">
                        <w:pPr>
                          <w:ind w:firstLine="0"/>
                          <w:jc w:val="center"/>
                          <w:rPr>
                            <w:sz w:val="20"/>
                          </w:rPr>
                        </w:pPr>
                      </w:p>
                    </w:txbxContent>
                  </v:textbox>
                </v:shape>
                <w10:anchorlock/>
              </v:group>
            </w:pict>
          </mc:Fallback>
        </mc:AlternateContent>
      </w:r>
    </w:p>
    <w:p w14:paraId="5153D7EA" w14:textId="77777777" w:rsidR="00D603F5" w:rsidRPr="001B0EA3" w:rsidRDefault="00D603F5" w:rsidP="00890B4B">
      <w:pPr>
        <w:contextualSpacing/>
        <w:rPr>
          <w:szCs w:val="24"/>
        </w:rPr>
      </w:pPr>
      <w:bookmarkStart w:id="589" w:name="_Ref409188957"/>
      <w:bookmarkEnd w:id="579"/>
    </w:p>
    <w:p w14:paraId="188EFFC8" w14:textId="77777777" w:rsidR="004B17FC" w:rsidRPr="001B0EA3" w:rsidRDefault="004B17FC" w:rsidP="00890B4B">
      <w:pPr>
        <w:ind w:firstLine="567"/>
        <w:contextualSpacing/>
        <w:rPr>
          <w:szCs w:val="24"/>
        </w:rPr>
      </w:pPr>
      <w:r w:rsidRPr="001B0EA3">
        <w:rPr>
          <w:szCs w:val="24"/>
        </w:rPr>
        <w:t xml:space="preserve">Подадените проектни предложения процеса на оценка, се подпомага от модул „Оценка” на ИСУН 2020. В този модул се регистрира основната информация, свързана с отделните етапи от оценката на проектното предложение, докладите на оценителната комисия и решенията на Управляващия орган във връзка с одобрението или отхвърлянето на съответното проектно предложение. Модулът позволява цялата работа на оценителната комисия да се проведе в системата, като оценителят, който получи достъп до системата може да въвежда своите оценки директно, като за това се запазва одитна следа. </w:t>
      </w:r>
    </w:p>
    <w:p w14:paraId="40F751FB" w14:textId="77777777" w:rsidR="004B17FC" w:rsidRPr="001B0EA3" w:rsidRDefault="004B17FC" w:rsidP="00890B4B">
      <w:pPr>
        <w:ind w:firstLine="567"/>
        <w:contextualSpacing/>
        <w:rPr>
          <w:szCs w:val="24"/>
        </w:rPr>
      </w:pPr>
      <w:r w:rsidRPr="001B0EA3">
        <w:rPr>
          <w:b/>
          <w:szCs w:val="24"/>
        </w:rPr>
        <w:t xml:space="preserve">Модел „Оценка“ </w:t>
      </w:r>
      <w:r w:rsidRPr="001B0EA3">
        <w:rPr>
          <w:szCs w:val="24"/>
        </w:rPr>
        <w:t xml:space="preserve">осигурява функциите по оценката на постъпилите проектни предложения през подмодул „Кандидатстване“. Оценката на проектните предложения е комплексна и включва оценка на административното съответствие и допустимостта и техническа и финансова оценка. Оценката на административното съответствие и допустимостта се извършва от членовете на оценителната комисия. При констатиране на липса на документи и/или несъответствие с критериите за административно съответствие и допустимост, системата осигурява функционалност за осъществяване на комуникация между комисията за оценка и кандидата. </w:t>
      </w:r>
    </w:p>
    <w:p w14:paraId="6B10D81B" w14:textId="77777777" w:rsidR="00110304" w:rsidRPr="001B0EA3" w:rsidRDefault="00110304" w:rsidP="00660856">
      <w:pPr>
        <w:spacing w:before="120"/>
        <w:rPr>
          <w:szCs w:val="24"/>
          <w:lang w:eastAsia="bg-BG"/>
        </w:rPr>
      </w:pPr>
      <w:r w:rsidRPr="001B0EA3">
        <w:rPr>
          <w:szCs w:val="24"/>
          <w:lang w:eastAsia="bg-BG"/>
        </w:rPr>
        <w:t xml:space="preserve">Основите стъпки в процеса на оценка са свързани със създаване на оценителна сесия, асоцииране на подадените проектни предложения (независимо от начина на подаване – по електронен път или на хартия), избор на оценители, назначаване на оценителна комисия, оценка на получените проектни предложения и издаване на решение от УО. </w:t>
      </w:r>
    </w:p>
    <w:p w14:paraId="003F806B" w14:textId="77777777" w:rsidR="004B17FC" w:rsidRPr="001B0EA3" w:rsidRDefault="004B17FC" w:rsidP="00DA58FA">
      <w:pPr>
        <w:autoSpaceDE w:val="0"/>
        <w:autoSpaceDN w:val="0"/>
        <w:adjustRightInd w:val="0"/>
        <w:ind w:firstLine="360"/>
        <w:rPr>
          <w:szCs w:val="24"/>
          <w:lang w:eastAsia="bg-BG"/>
        </w:rPr>
      </w:pPr>
      <w:r w:rsidRPr="001B0EA3">
        <w:rPr>
          <w:szCs w:val="24"/>
          <w:lang w:eastAsia="bg-BG" w:bidi="bg-BG"/>
        </w:rPr>
        <w:lastRenderedPageBreak/>
        <w:t>Оценката на електронно подадени проекти се извършва изцяло в средата на ИСУН 2020. Оценката протича в оценителни сесии – сесията обхваща процеса на оценка на едно проектно предложение от една оценителна комисия, като п</w:t>
      </w:r>
      <w:r w:rsidRPr="001B0EA3">
        <w:rPr>
          <w:szCs w:val="24"/>
          <w:lang w:eastAsia="bg-BG"/>
        </w:rPr>
        <w:t>ри наличие на положителен резултат от оценяването ръководителят на управляващия орган в едноседмичен срок от приключване на оценяването взема решение за</w:t>
      </w:r>
      <w:r w:rsidRPr="001B0EA3">
        <w:rPr>
          <w:szCs w:val="24"/>
          <w:lang w:eastAsia="bg-BG" w:bidi="bg-BG"/>
        </w:rPr>
        <w:t>:</w:t>
      </w:r>
    </w:p>
    <w:p w14:paraId="1F2E3F0C" w14:textId="77777777" w:rsidR="004B17FC" w:rsidRPr="001B0EA3" w:rsidRDefault="004B17FC" w:rsidP="0054623A">
      <w:pPr>
        <w:pStyle w:val="ListParagraph"/>
        <w:numPr>
          <w:ilvl w:val="0"/>
          <w:numId w:val="32"/>
        </w:numPr>
        <w:spacing w:before="120"/>
        <w:rPr>
          <w:szCs w:val="24"/>
          <w:lang w:eastAsia="bg-BG" w:bidi="bg-BG"/>
        </w:rPr>
      </w:pPr>
      <w:r w:rsidRPr="001B0EA3">
        <w:rPr>
          <w:szCs w:val="24"/>
          <w:lang w:eastAsia="bg-BG"/>
        </w:rPr>
        <w:t>предоставяне на безвъзмездна финансова помощ за одобреното проектно предложение (чл. 45, ал. 1, т. 1 от ЗУСЕСИФ);</w:t>
      </w:r>
    </w:p>
    <w:p w14:paraId="4C356F59" w14:textId="77777777" w:rsidR="004B17FC" w:rsidRPr="001B0EA3" w:rsidRDefault="004B17FC" w:rsidP="0054623A">
      <w:pPr>
        <w:pStyle w:val="ListParagraph"/>
        <w:numPr>
          <w:ilvl w:val="0"/>
          <w:numId w:val="32"/>
        </w:numPr>
        <w:spacing w:before="120"/>
        <w:rPr>
          <w:szCs w:val="24"/>
          <w:lang w:eastAsia="bg-BG" w:bidi="bg-BG"/>
        </w:rPr>
      </w:pPr>
      <w:r w:rsidRPr="001B0EA3">
        <w:rPr>
          <w:szCs w:val="24"/>
          <w:lang w:eastAsia="bg-BG"/>
        </w:rPr>
        <w:t>одобряване на бюджетна линия при условията на одобрения финансов план (чл. 45, ал. 1, т. 3 от ЗУСЕСИФ);</w:t>
      </w:r>
    </w:p>
    <w:p w14:paraId="38FD9634" w14:textId="77777777" w:rsidR="004B17FC" w:rsidRPr="001B0EA3" w:rsidRDefault="004B17FC" w:rsidP="0054623A">
      <w:pPr>
        <w:pStyle w:val="ListParagraph"/>
        <w:numPr>
          <w:ilvl w:val="0"/>
          <w:numId w:val="32"/>
        </w:numPr>
        <w:spacing w:before="120"/>
        <w:rPr>
          <w:szCs w:val="24"/>
          <w:lang w:eastAsia="bg-BG"/>
        </w:rPr>
      </w:pPr>
      <w:r w:rsidRPr="001B0EA3">
        <w:rPr>
          <w:szCs w:val="24"/>
          <w:lang w:eastAsia="bg-BG"/>
        </w:rPr>
        <w:t>изпращане на голям проект по смисъла на чл. 100 от Регламент (ЕС) № 1303/2013 за (чл. 45, ал. 1, т. 4 от ЗУСЕСИФ):</w:t>
      </w:r>
    </w:p>
    <w:p w14:paraId="73781FCE" w14:textId="77777777" w:rsidR="004B17FC" w:rsidRPr="001B0EA3" w:rsidRDefault="004B17FC" w:rsidP="004B17FC">
      <w:pPr>
        <w:autoSpaceDE w:val="0"/>
        <w:autoSpaceDN w:val="0"/>
        <w:adjustRightInd w:val="0"/>
        <w:ind w:firstLine="709"/>
        <w:jc w:val="left"/>
        <w:rPr>
          <w:szCs w:val="24"/>
          <w:lang w:eastAsia="bg-BG"/>
        </w:rPr>
      </w:pPr>
      <w:r w:rsidRPr="001B0EA3">
        <w:rPr>
          <w:szCs w:val="24"/>
          <w:lang w:eastAsia="bg-BG"/>
        </w:rPr>
        <w:t>а) оценка от независими експерти съгласно чл. 101, ал. 3 от Регламент (ЕС) № 1303/2013 и за нотификация съгласно чл. 102, параграф 1 от същия регламент;</w:t>
      </w:r>
    </w:p>
    <w:p w14:paraId="626916A6" w14:textId="77777777" w:rsidR="004B17FC" w:rsidRPr="001B0EA3" w:rsidRDefault="004B17FC" w:rsidP="004B17FC">
      <w:pPr>
        <w:autoSpaceDE w:val="0"/>
        <w:autoSpaceDN w:val="0"/>
        <w:adjustRightInd w:val="0"/>
        <w:ind w:firstLine="709"/>
        <w:rPr>
          <w:szCs w:val="24"/>
          <w:lang w:eastAsia="bg-BG"/>
        </w:rPr>
      </w:pPr>
      <w:r w:rsidRPr="001B0EA3">
        <w:rPr>
          <w:szCs w:val="24"/>
          <w:lang w:eastAsia="bg-BG"/>
        </w:rPr>
        <w:t>б) одобряване от Европейската комисия съгласно чл. 102, параграф 2 от Регламент (ЕС) № 1303/2013;</w:t>
      </w:r>
    </w:p>
    <w:p w14:paraId="7496BF09" w14:textId="77777777" w:rsidR="004B17FC" w:rsidRPr="001B0EA3" w:rsidRDefault="004B17FC" w:rsidP="004B17FC">
      <w:pPr>
        <w:autoSpaceDE w:val="0"/>
        <w:autoSpaceDN w:val="0"/>
        <w:adjustRightInd w:val="0"/>
        <w:ind w:firstLine="709"/>
        <w:jc w:val="left"/>
        <w:rPr>
          <w:szCs w:val="24"/>
          <w:lang w:eastAsia="bg-BG" w:bidi="bg-BG"/>
        </w:rPr>
      </w:pPr>
      <w:r w:rsidRPr="001B0EA3">
        <w:rPr>
          <w:szCs w:val="24"/>
          <w:lang w:eastAsia="bg-BG"/>
        </w:rPr>
        <w:t>в) одобряване и нотификация на Европейската комисия съгласно чл. 103, параграфи 2 – 4 от Регламент (ЕС) № 1303/2013;</w:t>
      </w:r>
    </w:p>
    <w:p w14:paraId="562BA937" w14:textId="77777777" w:rsidR="00110304" w:rsidRPr="001B0EA3" w:rsidRDefault="00110304" w:rsidP="00660856">
      <w:pPr>
        <w:spacing w:before="120"/>
        <w:rPr>
          <w:b/>
          <w:szCs w:val="24"/>
          <w:lang w:eastAsia="bg-BG" w:bidi="bg-BG"/>
        </w:rPr>
      </w:pPr>
      <w:r w:rsidRPr="001B0EA3">
        <w:rPr>
          <w:b/>
          <w:szCs w:val="24"/>
          <w:lang w:eastAsia="bg-BG" w:bidi="bg-BG"/>
        </w:rPr>
        <w:t>Основните стъпки при създаването на всяка сесия са следните:</w:t>
      </w:r>
    </w:p>
    <w:p w14:paraId="64078103" w14:textId="77777777" w:rsidR="004B17FC" w:rsidRPr="001B0EA3" w:rsidRDefault="004B17FC" w:rsidP="0054623A">
      <w:pPr>
        <w:numPr>
          <w:ilvl w:val="0"/>
          <w:numId w:val="181"/>
        </w:numPr>
        <w:tabs>
          <w:tab w:val="left" w:pos="851"/>
        </w:tabs>
        <w:spacing w:before="120"/>
        <w:ind w:left="0" w:firstLine="567"/>
        <w:rPr>
          <w:szCs w:val="24"/>
          <w:lang w:eastAsia="bg-BG" w:bidi="bg-BG"/>
        </w:rPr>
      </w:pPr>
      <w:r w:rsidRPr="001B0EA3">
        <w:rPr>
          <w:szCs w:val="24"/>
          <w:lang w:eastAsia="bg-BG" w:bidi="bg-BG"/>
        </w:rPr>
        <w:t>Създаване на сесия за оценка на предложения – потребителят - началникът на отдел „Програмиране“ в дирекция КПП създава оценителна сесия към съответната процедура като регистрира основните данни към нея.</w:t>
      </w:r>
    </w:p>
    <w:p w14:paraId="0EED4EB9" w14:textId="77777777" w:rsidR="004B17FC" w:rsidRPr="001B0EA3" w:rsidRDefault="004B17FC" w:rsidP="0054623A">
      <w:pPr>
        <w:numPr>
          <w:ilvl w:val="0"/>
          <w:numId w:val="181"/>
        </w:numPr>
        <w:tabs>
          <w:tab w:val="left" w:pos="851"/>
        </w:tabs>
        <w:spacing w:before="120"/>
        <w:ind w:left="0" w:firstLine="567"/>
        <w:rPr>
          <w:szCs w:val="24"/>
          <w:lang w:eastAsia="bg-BG" w:bidi="bg-BG"/>
        </w:rPr>
      </w:pPr>
      <w:r w:rsidRPr="001B0EA3">
        <w:rPr>
          <w:szCs w:val="24"/>
          <w:lang w:eastAsia="bg-BG" w:bidi="bg-BG"/>
        </w:rPr>
        <w:t>Асоцииране на проектни предложения към сесията – системата зарежда регистрираните за съответния период проектни предложения в системата, независимо от начина на тяхното подаване.</w:t>
      </w:r>
    </w:p>
    <w:p w14:paraId="40F1C1A2" w14:textId="77777777" w:rsidR="004B17FC" w:rsidRPr="001B0EA3" w:rsidRDefault="004B17FC" w:rsidP="0054623A">
      <w:pPr>
        <w:numPr>
          <w:ilvl w:val="0"/>
          <w:numId w:val="181"/>
        </w:numPr>
        <w:tabs>
          <w:tab w:val="left" w:pos="851"/>
        </w:tabs>
        <w:spacing w:before="120"/>
        <w:ind w:left="0" w:firstLine="567"/>
        <w:rPr>
          <w:szCs w:val="24"/>
          <w:lang w:eastAsia="bg-BG" w:bidi="bg-BG"/>
        </w:rPr>
      </w:pPr>
      <w:r w:rsidRPr="001B0EA3">
        <w:rPr>
          <w:szCs w:val="24"/>
          <w:lang w:eastAsia="bg-BG" w:bidi="bg-BG"/>
        </w:rPr>
        <w:t>Асоцииране на членове на оценителната комисия – потребителят началникът на отдел „Програмиране“ в дирекция КПП посочва членовете на оценителната комисия, които ще участват в процеса на оценяване на проектните предложения, като се посочват техните роли в процеса. Ролите в процеса на оценка са – председател, оценители (резервни членове, външни експерти) и помощник-оценители (наблюдател, външни експерти). Права да оценяват проектните предложения имат единствено оценителите. Ролята на помощник-оценителите е ограничена само да това да дават становища по определени аспекти на проекта, които се прилагат към проектното предложение. Те няма да въвеждат оценки или друга информация.</w:t>
      </w:r>
    </w:p>
    <w:p w14:paraId="159E470F" w14:textId="77777777" w:rsidR="004B17FC" w:rsidRPr="001B0EA3" w:rsidRDefault="004B17FC" w:rsidP="0054623A">
      <w:pPr>
        <w:numPr>
          <w:ilvl w:val="0"/>
          <w:numId w:val="181"/>
        </w:numPr>
        <w:tabs>
          <w:tab w:val="left" w:pos="851"/>
        </w:tabs>
        <w:spacing w:before="120"/>
        <w:ind w:left="0" w:firstLine="567"/>
        <w:rPr>
          <w:szCs w:val="24"/>
          <w:lang w:eastAsia="bg-BG" w:bidi="bg-BG"/>
        </w:rPr>
      </w:pPr>
      <w:r w:rsidRPr="001B0EA3">
        <w:rPr>
          <w:szCs w:val="24"/>
          <w:lang w:eastAsia="bg-BG" w:bidi="bg-BG"/>
        </w:rPr>
        <w:t>Зареждане на данни за проектите – при създаването на оценителна сесия информацията по присъединените проектни предложения се зарежда директно в ИСУН 2020 и е достъпна за съответните оценители. Разпределянето за оценка на проектни предложения в ИСУН 2020 се извършва от председателят на оценителната комисия, представител на отдел „Програмиране“ в дирекция КПП. Всички оценители оценяват всяко проектно предложение.</w:t>
      </w:r>
    </w:p>
    <w:p w14:paraId="7418D0CE" w14:textId="77777777" w:rsidR="00110304" w:rsidRPr="001B0EA3" w:rsidRDefault="00110304" w:rsidP="0054623A">
      <w:pPr>
        <w:numPr>
          <w:ilvl w:val="0"/>
          <w:numId w:val="181"/>
        </w:numPr>
        <w:tabs>
          <w:tab w:val="left" w:pos="851"/>
        </w:tabs>
        <w:spacing w:before="120"/>
        <w:ind w:left="0" w:firstLine="567"/>
        <w:rPr>
          <w:szCs w:val="24"/>
          <w:lang w:eastAsia="bg-BG" w:bidi="bg-BG"/>
        </w:rPr>
      </w:pPr>
      <w:r w:rsidRPr="001B0EA3">
        <w:rPr>
          <w:szCs w:val="24"/>
          <w:lang w:eastAsia="bg-BG" w:bidi="bg-BG"/>
        </w:rPr>
        <w:t>Оценителен лист – системата възпроизвежда въведения в процедурата оценителен лист</w:t>
      </w:r>
    </w:p>
    <w:p w14:paraId="770F5E2D" w14:textId="77777777" w:rsidR="004B17FC" w:rsidRPr="001B0EA3" w:rsidRDefault="004B17FC" w:rsidP="0054623A">
      <w:pPr>
        <w:numPr>
          <w:ilvl w:val="0"/>
          <w:numId w:val="181"/>
        </w:numPr>
        <w:tabs>
          <w:tab w:val="left" w:pos="851"/>
        </w:tabs>
        <w:spacing w:before="120"/>
        <w:ind w:left="0" w:firstLine="567"/>
        <w:rPr>
          <w:szCs w:val="24"/>
          <w:lang w:eastAsia="bg-BG" w:bidi="bg-BG"/>
        </w:rPr>
      </w:pPr>
      <w:r w:rsidRPr="001B0EA3">
        <w:rPr>
          <w:szCs w:val="24"/>
          <w:lang w:eastAsia="bg-BG" w:bidi="bg-BG"/>
        </w:rPr>
        <w:t xml:space="preserve">Разпределение на проектните предложения между оценителите се извършва от председателя на оценителната комисия – разпределението на подадените проектни предложения се извършва автоматично, като при необходимост се допуска и ръчно въвеждане на оценители при наличието на съответната обосновка. </w:t>
      </w:r>
    </w:p>
    <w:p w14:paraId="239CE18E" w14:textId="77777777" w:rsidR="00110304" w:rsidRPr="001B0EA3" w:rsidRDefault="00110304" w:rsidP="0054623A">
      <w:pPr>
        <w:numPr>
          <w:ilvl w:val="0"/>
          <w:numId w:val="181"/>
        </w:numPr>
        <w:tabs>
          <w:tab w:val="left" w:pos="851"/>
        </w:tabs>
        <w:spacing w:before="120"/>
        <w:ind w:left="0" w:firstLine="567"/>
        <w:rPr>
          <w:szCs w:val="24"/>
          <w:lang w:eastAsia="bg-BG" w:bidi="bg-BG"/>
        </w:rPr>
      </w:pPr>
      <w:r w:rsidRPr="001B0EA3">
        <w:rPr>
          <w:szCs w:val="24"/>
          <w:lang w:eastAsia="bg-BG" w:bidi="bg-BG"/>
        </w:rPr>
        <w:t>Достъп до системата – всеки оценител влиза в системата с потребителско име и парола.</w:t>
      </w:r>
    </w:p>
    <w:p w14:paraId="5485CC24" w14:textId="77777777" w:rsidR="004B17FC" w:rsidRPr="001B0EA3" w:rsidRDefault="004B17FC" w:rsidP="0054623A">
      <w:pPr>
        <w:numPr>
          <w:ilvl w:val="0"/>
          <w:numId w:val="181"/>
        </w:numPr>
        <w:tabs>
          <w:tab w:val="left" w:pos="851"/>
        </w:tabs>
        <w:spacing w:before="120"/>
        <w:ind w:left="0" w:firstLine="567"/>
        <w:rPr>
          <w:szCs w:val="24"/>
          <w:lang w:eastAsia="bg-BG" w:bidi="bg-BG"/>
        </w:rPr>
      </w:pPr>
      <w:r w:rsidRPr="001B0EA3">
        <w:rPr>
          <w:szCs w:val="24"/>
          <w:lang w:eastAsia="bg-BG" w:bidi="bg-BG"/>
        </w:rPr>
        <w:t xml:space="preserve">Комуникация – за проекти подадени по електронен път комуникацията с кандидата се извършва чрез ИСУН 2020 от администратора на сесия (Председателя на оценителната </w:t>
      </w:r>
      <w:r w:rsidRPr="001B0EA3">
        <w:rPr>
          <w:szCs w:val="24"/>
          <w:lang w:eastAsia="bg-BG" w:bidi="bg-BG"/>
        </w:rPr>
        <w:lastRenderedPageBreak/>
        <w:t>комисия). По преценка на оценителната комисия може да изготви и писмо до бенефициента, което се съгласува с директора на дирекция КПП и началника на отдел „Програмиране“. Бележки и коментари във връзка с оценката на ФК се изпращат до бенефициента, чрез модул „Комуникация“ на ИСУН 2020.</w:t>
      </w:r>
    </w:p>
    <w:p w14:paraId="2BF56CD4" w14:textId="77777777" w:rsidR="00110304" w:rsidRPr="001B0EA3" w:rsidRDefault="00110304" w:rsidP="0054623A">
      <w:pPr>
        <w:numPr>
          <w:ilvl w:val="0"/>
          <w:numId w:val="181"/>
        </w:numPr>
        <w:tabs>
          <w:tab w:val="left" w:pos="851"/>
        </w:tabs>
        <w:spacing w:before="120"/>
        <w:ind w:left="0" w:firstLine="567"/>
        <w:rPr>
          <w:szCs w:val="24"/>
          <w:lang w:eastAsia="bg-BG" w:bidi="bg-BG"/>
        </w:rPr>
      </w:pPr>
      <w:r w:rsidRPr="001B0EA3">
        <w:rPr>
          <w:szCs w:val="24"/>
          <w:lang w:eastAsia="bg-BG" w:bidi="bg-BG"/>
        </w:rPr>
        <w:t>Оценка на подадените проектни предложения – въз основа на направеното разпределение оценителят извършва:</w:t>
      </w:r>
    </w:p>
    <w:p w14:paraId="015CBC23" w14:textId="77777777" w:rsidR="00110304" w:rsidRPr="001B0EA3" w:rsidRDefault="00110304" w:rsidP="0054623A">
      <w:pPr>
        <w:numPr>
          <w:ilvl w:val="1"/>
          <w:numId w:val="210"/>
        </w:numPr>
        <w:spacing w:before="120"/>
        <w:rPr>
          <w:szCs w:val="24"/>
          <w:lang w:eastAsia="bg-BG" w:bidi="bg-BG"/>
        </w:rPr>
      </w:pPr>
      <w:r w:rsidRPr="001B0EA3">
        <w:rPr>
          <w:szCs w:val="24"/>
          <w:lang w:eastAsia="bg-BG" w:bidi="bg-BG"/>
        </w:rPr>
        <w:t>Административно съответствие и допустимост;</w:t>
      </w:r>
    </w:p>
    <w:p w14:paraId="5DAA4A41" w14:textId="77777777" w:rsidR="00110304" w:rsidRPr="001B0EA3" w:rsidRDefault="00110304" w:rsidP="0054623A">
      <w:pPr>
        <w:numPr>
          <w:ilvl w:val="1"/>
          <w:numId w:val="210"/>
        </w:numPr>
        <w:spacing w:before="120"/>
        <w:rPr>
          <w:szCs w:val="24"/>
          <w:lang w:eastAsia="bg-BG" w:bidi="bg-BG"/>
        </w:rPr>
      </w:pPr>
      <w:r w:rsidRPr="001B0EA3">
        <w:rPr>
          <w:szCs w:val="24"/>
          <w:lang w:eastAsia="bg-BG" w:bidi="bg-BG"/>
        </w:rPr>
        <w:t>Техническа и финансова оценка</w:t>
      </w:r>
      <w:r w:rsidR="00F64E4C" w:rsidRPr="001B0EA3">
        <w:rPr>
          <w:szCs w:val="24"/>
          <w:lang w:eastAsia="bg-BG" w:bidi="bg-BG"/>
        </w:rPr>
        <w:t xml:space="preserve"> (неприложимо за бюджетни линии)</w:t>
      </w:r>
      <w:r w:rsidRPr="001B0EA3">
        <w:rPr>
          <w:szCs w:val="24"/>
          <w:lang w:eastAsia="bg-BG" w:bidi="bg-BG"/>
        </w:rPr>
        <w:t>.</w:t>
      </w:r>
    </w:p>
    <w:p w14:paraId="68EF7AA6" w14:textId="77777777" w:rsidR="004B17FC" w:rsidRPr="001B0EA3" w:rsidRDefault="004B17FC" w:rsidP="0054623A">
      <w:pPr>
        <w:numPr>
          <w:ilvl w:val="0"/>
          <w:numId w:val="181"/>
        </w:numPr>
        <w:tabs>
          <w:tab w:val="left" w:pos="851"/>
        </w:tabs>
        <w:spacing w:before="120"/>
        <w:ind w:left="0" w:firstLine="567"/>
        <w:rPr>
          <w:szCs w:val="24"/>
          <w:lang w:eastAsia="bg-BG" w:bidi="bg-BG"/>
        </w:rPr>
      </w:pPr>
      <w:r w:rsidRPr="001B0EA3">
        <w:rPr>
          <w:szCs w:val="24"/>
          <w:lang w:eastAsia="bg-BG" w:bidi="bg-BG"/>
        </w:rPr>
        <w:t xml:space="preserve">Оценителят, оценява проектното предложение, като отговаря на критериите с „Да“, „Не“ или „Неприложимо“, в зависимост от информацията във ФК, като в случай на нередовности/ несъответствия/ бележки или коментари, същите се отразяват в поле „Забележка“ или в прикачен файл </w:t>
      </w:r>
      <w:r w:rsidR="00E40779" w:rsidRPr="001B0EA3">
        <w:rPr>
          <w:szCs w:val="24"/>
          <w:lang w:eastAsia="bg-BG" w:bidi="bg-BG"/>
        </w:rPr>
        <w:t>към</w:t>
      </w:r>
      <w:r w:rsidRPr="001B0EA3">
        <w:rPr>
          <w:szCs w:val="24"/>
          <w:lang w:eastAsia="bg-BG" w:bidi="bg-BG"/>
        </w:rPr>
        <w:t xml:space="preserve"> оценителния лист.</w:t>
      </w:r>
    </w:p>
    <w:p w14:paraId="46413235" w14:textId="77777777" w:rsidR="004B17FC" w:rsidRPr="001B0EA3" w:rsidRDefault="004B17FC" w:rsidP="0054623A">
      <w:pPr>
        <w:numPr>
          <w:ilvl w:val="0"/>
          <w:numId w:val="181"/>
        </w:numPr>
        <w:tabs>
          <w:tab w:val="left" w:pos="851"/>
        </w:tabs>
        <w:spacing w:before="120"/>
        <w:ind w:left="0" w:firstLine="567"/>
        <w:rPr>
          <w:szCs w:val="24"/>
          <w:lang w:eastAsia="bg-BG" w:bidi="bg-BG"/>
        </w:rPr>
      </w:pPr>
      <w:r w:rsidRPr="001B0EA3">
        <w:rPr>
          <w:szCs w:val="24"/>
          <w:lang w:eastAsia="bg-BG" w:bidi="bg-BG"/>
        </w:rPr>
        <w:t xml:space="preserve">Председателят на оценителната комисия, извършва класиране на оцененото проектно предложение – въз основа на получените за него оценки и като резултат системата показва дали проектното предложение е одобрено или отхвърлено. </w:t>
      </w:r>
    </w:p>
    <w:p w14:paraId="4E2FF76A" w14:textId="77777777" w:rsidR="004B17FC" w:rsidRPr="001B0EA3" w:rsidRDefault="004B17FC" w:rsidP="0054623A">
      <w:pPr>
        <w:numPr>
          <w:ilvl w:val="0"/>
          <w:numId w:val="181"/>
        </w:numPr>
        <w:tabs>
          <w:tab w:val="left" w:pos="851"/>
        </w:tabs>
        <w:spacing w:before="120"/>
        <w:ind w:left="0" w:firstLine="567"/>
        <w:rPr>
          <w:szCs w:val="24"/>
          <w:lang w:eastAsia="bg-BG" w:bidi="bg-BG"/>
        </w:rPr>
      </w:pPr>
      <w:r w:rsidRPr="001B0EA3">
        <w:rPr>
          <w:szCs w:val="24"/>
          <w:lang w:eastAsia="bg-BG" w:bidi="bg-BG"/>
        </w:rPr>
        <w:t>Вземане на решение – резултатите от проведената оценка се обобщават съответно в доклад на оценителната комисия и решение на ръководителя на УО.</w:t>
      </w:r>
    </w:p>
    <w:p w14:paraId="21338762" w14:textId="77777777" w:rsidR="004B17FC" w:rsidRPr="001B0EA3" w:rsidRDefault="004B17FC" w:rsidP="00890B4B">
      <w:pPr>
        <w:contextualSpacing/>
        <w:rPr>
          <w:szCs w:val="24"/>
        </w:rPr>
      </w:pPr>
    </w:p>
    <w:p w14:paraId="50DD8754" w14:textId="77777777" w:rsidR="00D603F5" w:rsidRPr="001B0EA3" w:rsidRDefault="00D603F5" w:rsidP="00890B4B">
      <w:pPr>
        <w:contextualSpacing/>
        <w:rPr>
          <w:szCs w:val="24"/>
        </w:rPr>
      </w:pPr>
    </w:p>
    <w:p w14:paraId="5D9D7B5A" w14:textId="77777777" w:rsidR="00D603F5" w:rsidRPr="00842ECC" w:rsidRDefault="00D603F5" w:rsidP="00B502C7">
      <w:pPr>
        <w:pStyle w:val="Style2"/>
        <w:rPr>
          <w:lang w:val="bg-BG"/>
        </w:rPr>
      </w:pPr>
      <w:bookmarkStart w:id="590" w:name="_Toc479775648"/>
      <w:bookmarkStart w:id="591" w:name="_Toc140150217"/>
      <w:r w:rsidRPr="00842ECC">
        <w:rPr>
          <w:lang w:val="bg-BG"/>
        </w:rPr>
        <w:t>О</w:t>
      </w:r>
      <w:r w:rsidR="00B2034F" w:rsidRPr="00842ECC">
        <w:rPr>
          <w:lang w:val="bg-BG"/>
        </w:rPr>
        <w:t>писание н</w:t>
      </w:r>
      <w:r w:rsidRPr="00842ECC">
        <w:rPr>
          <w:lang w:val="bg-BG"/>
        </w:rPr>
        <w:t>а</w:t>
      </w:r>
      <w:r w:rsidR="00B2034F" w:rsidRPr="00842ECC">
        <w:rPr>
          <w:lang w:val="bg-BG"/>
        </w:rPr>
        <w:t xml:space="preserve"> процеса на</w:t>
      </w:r>
      <w:r w:rsidRPr="00842ECC">
        <w:rPr>
          <w:lang w:val="bg-BG"/>
        </w:rPr>
        <w:t xml:space="preserve"> оценка на проектни предложения</w:t>
      </w:r>
      <w:bookmarkEnd w:id="590"/>
      <w:bookmarkEnd w:id="591"/>
    </w:p>
    <w:p w14:paraId="7D9223BA" w14:textId="77777777" w:rsidR="0002605D" w:rsidRPr="001B0EA3" w:rsidRDefault="0002605D" w:rsidP="00890B4B">
      <w:pPr>
        <w:ind w:firstLine="709"/>
        <w:rPr>
          <w:szCs w:val="24"/>
          <w:lang w:eastAsia="bg-BG"/>
        </w:rPr>
      </w:pPr>
      <w:r w:rsidRPr="001B0EA3">
        <w:rPr>
          <w:szCs w:val="24"/>
          <w:lang w:eastAsia="bg-BG"/>
        </w:rPr>
        <w:t>Методът за оценка, който се използва е проектите да бъдат оценявани един по един, и те да бъдат сравнявани единствено по установените критерии.</w:t>
      </w:r>
    </w:p>
    <w:p w14:paraId="6A719652" w14:textId="77777777" w:rsidR="0002605D" w:rsidRPr="001B0EA3" w:rsidRDefault="0002605D" w:rsidP="00890B4B">
      <w:pPr>
        <w:ind w:firstLine="709"/>
        <w:rPr>
          <w:szCs w:val="24"/>
          <w:lang w:eastAsia="bg-BG"/>
        </w:rPr>
      </w:pPr>
      <w:r w:rsidRPr="001B0EA3">
        <w:rPr>
          <w:szCs w:val="24"/>
          <w:lang w:eastAsia="bg-BG"/>
        </w:rPr>
        <w:t>Процесът по оценка на получените проектни предложения стартира след регистриране на Решението за сформиране на оценителна комисия и връчването на членовете й.</w:t>
      </w:r>
    </w:p>
    <w:p w14:paraId="22A0BC74" w14:textId="77777777" w:rsidR="00D603F5" w:rsidRPr="001B0EA3" w:rsidRDefault="00D603F5" w:rsidP="00890B4B">
      <w:pPr>
        <w:contextualSpacing/>
        <w:rPr>
          <w:szCs w:val="24"/>
          <w:lang w:eastAsia="bg-BG"/>
        </w:rPr>
      </w:pPr>
    </w:p>
    <w:p w14:paraId="0B6A80DD" w14:textId="77777777" w:rsidR="00D603F5" w:rsidRPr="001B0EA3" w:rsidRDefault="00D603F5" w:rsidP="00346F28">
      <w:pPr>
        <w:pStyle w:val="Style3"/>
      </w:pPr>
      <w:bookmarkStart w:id="592" w:name="_Toc479775649"/>
      <w:r w:rsidRPr="001B0EA3">
        <w:t>Проверка за административно съответствие</w:t>
      </w:r>
      <w:bookmarkEnd w:id="592"/>
    </w:p>
    <w:p w14:paraId="0FDE6625" w14:textId="77777777" w:rsidR="007467C0" w:rsidRPr="001B0EA3" w:rsidRDefault="007467C0" w:rsidP="00890B4B">
      <w:pPr>
        <w:spacing w:after="120"/>
        <w:ind w:firstLine="709"/>
        <w:rPr>
          <w:szCs w:val="24"/>
          <w:lang w:eastAsia="bg-BG"/>
        </w:rPr>
      </w:pPr>
      <w:r w:rsidRPr="001B0EA3">
        <w:rPr>
          <w:szCs w:val="24"/>
          <w:lang w:eastAsia="bg-BG"/>
        </w:rPr>
        <w:t>Проверка за административно съответствие на проектното предложение се прилага при оценката на всички подадени проектни предложения. Членовете на Оценителната комисия проверяват за административното съответствие на проектното предложение/ бюджетната линия (финансовия план) за съответствие с изискванията на Насоките за кандидатстване за финансиране на проекти при процедура на директно предоставяне по ОПТТИ, като отразяват оценката в ИСУН 2020. Проверките за административно съответствие включват основно подходящо попълване на ФК/финансовия план и съответствието на приложените документи с изискуемите документи.</w:t>
      </w:r>
    </w:p>
    <w:p w14:paraId="62015455" w14:textId="77777777" w:rsidR="00D603F5" w:rsidRPr="001B0EA3" w:rsidRDefault="00D603F5" w:rsidP="00890B4B">
      <w:pPr>
        <w:contextualSpacing/>
        <w:rPr>
          <w:szCs w:val="24"/>
          <w:lang w:eastAsia="bg-BG"/>
        </w:rPr>
      </w:pPr>
      <w:r w:rsidRPr="001B0EA3">
        <w:rPr>
          <w:szCs w:val="24"/>
          <w:lang w:eastAsia="bg-BG"/>
        </w:rPr>
        <w:t xml:space="preserve">Всички критерии за оценка на административното съответствие  се оценяват с отговор „да“ или „не“, което се отразява в зависимост от вида на проектното предложение в оценителна таблица – </w:t>
      </w:r>
      <w:hyperlink r:id="rId99" w:tooltip="Оценителна таблица за извършена оценка на  проектни предложения за инвестиционни¦инфраструктурни проекти" w:history="1">
        <w:r w:rsidR="00AE381A" w:rsidRPr="00251D03">
          <w:rPr>
            <w:rStyle w:val="Hyperlink"/>
            <w:i/>
            <w:szCs w:val="24"/>
            <w:lang w:eastAsia="bg-BG"/>
          </w:rPr>
          <w:t>Приложение № 3.06.1</w:t>
        </w:r>
      </w:hyperlink>
      <w:r w:rsidRPr="001B0EA3">
        <w:rPr>
          <w:b/>
          <w:i/>
          <w:szCs w:val="24"/>
          <w:lang w:eastAsia="bg-BG"/>
        </w:rPr>
        <w:t xml:space="preserve"> </w:t>
      </w:r>
      <w:r w:rsidRPr="001B0EA3">
        <w:rPr>
          <w:szCs w:val="24"/>
          <w:lang w:eastAsia="bg-BG"/>
        </w:rPr>
        <w:t xml:space="preserve">(при инвестиционни/ инфраструктурни проекти), </w:t>
      </w:r>
      <w:hyperlink r:id="rId100" w:tooltip="Оценителна таблица за извършена оценка на проектни предложения за техническа помощ" w:history="1">
        <w:r w:rsidR="00AE381A" w:rsidRPr="00251D03">
          <w:rPr>
            <w:rStyle w:val="Hyperlink"/>
            <w:i/>
            <w:szCs w:val="24"/>
            <w:lang w:eastAsia="bg-BG"/>
          </w:rPr>
          <w:t>Приложение № 3.06.2</w:t>
        </w:r>
      </w:hyperlink>
      <w:r w:rsidRPr="001B0EA3">
        <w:rPr>
          <w:b/>
          <w:i/>
          <w:szCs w:val="24"/>
          <w:lang w:eastAsia="bg-BG"/>
        </w:rPr>
        <w:t xml:space="preserve"> </w:t>
      </w:r>
      <w:r w:rsidRPr="001B0EA3">
        <w:rPr>
          <w:szCs w:val="24"/>
          <w:lang w:eastAsia="bg-BG"/>
        </w:rPr>
        <w:t>(проекти за техническа помощ)</w:t>
      </w:r>
      <w:r w:rsidRPr="001B0EA3">
        <w:rPr>
          <w:b/>
          <w:i/>
          <w:szCs w:val="24"/>
          <w:lang w:eastAsia="bg-BG"/>
        </w:rPr>
        <w:t xml:space="preserve"> или </w:t>
      </w:r>
      <w:hyperlink r:id="rId101" w:tooltip="Оценителна таблица за извършена оценка на бюджетна линия" w:history="1">
        <w:r w:rsidR="00AE381A" w:rsidRPr="00251D03">
          <w:rPr>
            <w:rStyle w:val="Hyperlink"/>
            <w:i/>
            <w:szCs w:val="24"/>
            <w:lang w:eastAsia="bg-BG"/>
          </w:rPr>
          <w:t>Приложение № 3.06.3</w:t>
        </w:r>
      </w:hyperlink>
      <w:r w:rsidRPr="001B0EA3">
        <w:rPr>
          <w:b/>
          <w:i/>
          <w:szCs w:val="24"/>
          <w:lang w:eastAsia="bg-BG"/>
        </w:rPr>
        <w:t xml:space="preserve"> </w:t>
      </w:r>
      <w:r w:rsidRPr="001B0EA3">
        <w:rPr>
          <w:szCs w:val="24"/>
          <w:lang w:eastAsia="bg-BG"/>
        </w:rPr>
        <w:t>(бюджетни линии) към Процедурния наръчник за управление и изпълнение на ОПТТИ.</w:t>
      </w:r>
    </w:p>
    <w:p w14:paraId="680D383D" w14:textId="77777777" w:rsidR="00D603F5" w:rsidRPr="001B0EA3" w:rsidRDefault="00D603F5" w:rsidP="00890B4B">
      <w:pPr>
        <w:spacing w:after="120"/>
        <w:rPr>
          <w:szCs w:val="24"/>
          <w:lang w:eastAsia="bg-BG"/>
        </w:rPr>
      </w:pPr>
      <w:r w:rsidRPr="001B0EA3">
        <w:rPr>
          <w:szCs w:val="24"/>
          <w:lang w:eastAsia="bg-BG"/>
        </w:rPr>
        <w:t xml:space="preserve">Критериите за проверка за административно съответствие на проектното предложение/финансовия план включват дали:         </w:t>
      </w:r>
    </w:p>
    <w:p w14:paraId="5E33638F" w14:textId="77777777" w:rsidR="00D603F5" w:rsidRPr="001B0EA3" w:rsidRDefault="00B2034F" w:rsidP="00890B4B">
      <w:pPr>
        <w:numPr>
          <w:ilvl w:val="0"/>
          <w:numId w:val="34"/>
        </w:numPr>
        <w:tabs>
          <w:tab w:val="clear" w:pos="720"/>
          <w:tab w:val="num" w:pos="1134"/>
        </w:tabs>
        <w:spacing w:after="120"/>
        <w:ind w:left="0" w:firstLine="851"/>
        <w:rPr>
          <w:szCs w:val="24"/>
          <w:lang w:eastAsia="bg-BG"/>
        </w:rPr>
      </w:pPr>
      <w:r w:rsidRPr="001B0EA3">
        <w:rPr>
          <w:szCs w:val="24"/>
          <w:lang w:eastAsia="bg-BG"/>
        </w:rPr>
        <w:t>Формулярът за кандидатстване (ФК) е получен в УО на ОПТТИ по реда и начина съгласно Насоките за кандидатстване за финансиране на проекти по ОПТТИ</w:t>
      </w:r>
      <w:r w:rsidR="00D603F5" w:rsidRPr="001B0EA3">
        <w:rPr>
          <w:szCs w:val="24"/>
          <w:lang w:eastAsia="bg-BG"/>
        </w:rPr>
        <w:t>;</w:t>
      </w:r>
    </w:p>
    <w:p w14:paraId="747F5843" w14:textId="77777777" w:rsidR="00D603F5" w:rsidRPr="001B0EA3" w:rsidRDefault="00B2034F" w:rsidP="00890B4B">
      <w:pPr>
        <w:numPr>
          <w:ilvl w:val="0"/>
          <w:numId w:val="34"/>
        </w:numPr>
        <w:tabs>
          <w:tab w:val="clear" w:pos="720"/>
          <w:tab w:val="num" w:pos="1134"/>
        </w:tabs>
        <w:spacing w:after="120"/>
        <w:ind w:left="0" w:firstLine="851"/>
        <w:rPr>
          <w:szCs w:val="24"/>
          <w:lang w:eastAsia="bg-BG"/>
        </w:rPr>
      </w:pPr>
      <w:r w:rsidRPr="001B0EA3">
        <w:rPr>
          <w:szCs w:val="24"/>
          <w:lang w:eastAsia="bg-BG"/>
        </w:rPr>
        <w:t>Използван е образеца на ФК, съгласно ИСУН 2020 и Насоките за кандидатстване за финансиране на проекти по ОПТТИ</w:t>
      </w:r>
      <w:r w:rsidR="00D603F5" w:rsidRPr="001B0EA3">
        <w:rPr>
          <w:szCs w:val="24"/>
          <w:lang w:eastAsia="bg-BG"/>
        </w:rPr>
        <w:t>;</w:t>
      </w:r>
    </w:p>
    <w:p w14:paraId="5469F115" w14:textId="77777777" w:rsidR="00D603F5" w:rsidRPr="001B0EA3" w:rsidRDefault="00A35960" w:rsidP="00890B4B">
      <w:pPr>
        <w:numPr>
          <w:ilvl w:val="0"/>
          <w:numId w:val="34"/>
        </w:numPr>
        <w:tabs>
          <w:tab w:val="clear" w:pos="720"/>
          <w:tab w:val="num" w:pos="1134"/>
        </w:tabs>
        <w:spacing w:after="120"/>
        <w:ind w:left="0" w:firstLine="851"/>
        <w:rPr>
          <w:szCs w:val="24"/>
          <w:lang w:eastAsia="bg-BG"/>
        </w:rPr>
      </w:pPr>
      <w:r w:rsidRPr="001B0EA3">
        <w:rPr>
          <w:spacing w:val="10"/>
          <w:szCs w:val="24"/>
        </w:rPr>
        <w:lastRenderedPageBreak/>
        <w:t>Формулярът за кандидатстване е попълнен с цялата изискуема информация в съответствие с указанията за попълване в Насоките за кандидатстване за финансиране на проекти по ОПТТИ</w:t>
      </w:r>
      <w:r w:rsidR="00D603F5" w:rsidRPr="001B0EA3">
        <w:rPr>
          <w:szCs w:val="24"/>
          <w:lang w:eastAsia="bg-BG"/>
        </w:rPr>
        <w:t>;</w:t>
      </w:r>
    </w:p>
    <w:p w14:paraId="7F529E72" w14:textId="77777777" w:rsidR="00D603F5" w:rsidRPr="001B0EA3" w:rsidRDefault="00A35960" w:rsidP="00890B4B">
      <w:pPr>
        <w:numPr>
          <w:ilvl w:val="0"/>
          <w:numId w:val="34"/>
        </w:numPr>
        <w:tabs>
          <w:tab w:val="clear" w:pos="720"/>
          <w:tab w:val="num" w:pos="1134"/>
        </w:tabs>
        <w:spacing w:after="120"/>
        <w:ind w:left="0" w:firstLine="851"/>
        <w:rPr>
          <w:szCs w:val="24"/>
          <w:lang w:eastAsia="bg-BG"/>
        </w:rPr>
      </w:pPr>
      <w:r w:rsidRPr="001B0EA3">
        <w:rPr>
          <w:spacing w:val="10"/>
          <w:szCs w:val="24"/>
        </w:rPr>
        <w:t>Формулярът за кандидатстване/Декларацията, с която е подаден ФК</w:t>
      </w:r>
      <w:r w:rsidRPr="001B0EA3">
        <w:rPr>
          <w:spacing w:val="10"/>
          <w:szCs w:val="24"/>
          <w:vertAlign w:val="superscript"/>
        </w:rPr>
        <w:footnoteReference w:id="50"/>
      </w:r>
      <w:r w:rsidRPr="001B0EA3">
        <w:rPr>
          <w:spacing w:val="10"/>
          <w:szCs w:val="24"/>
        </w:rPr>
        <w:t xml:space="preserve">  е подписан/а от бенефициента</w:t>
      </w:r>
      <w:r w:rsidR="00D603F5" w:rsidRPr="001B0EA3">
        <w:rPr>
          <w:szCs w:val="24"/>
          <w:lang w:eastAsia="bg-BG"/>
        </w:rPr>
        <w:t>.</w:t>
      </w:r>
    </w:p>
    <w:p w14:paraId="1F958A3B" w14:textId="77777777" w:rsidR="00D603F5" w:rsidRPr="001B0EA3" w:rsidRDefault="00D603F5" w:rsidP="00346F28">
      <w:pPr>
        <w:pStyle w:val="Style3"/>
      </w:pPr>
      <w:bookmarkStart w:id="593" w:name="_Toc431992187"/>
      <w:bookmarkStart w:id="594" w:name="_Toc432165919"/>
      <w:bookmarkStart w:id="595" w:name="_Toc479775650"/>
      <w:bookmarkEnd w:id="593"/>
      <w:bookmarkEnd w:id="594"/>
      <w:r w:rsidRPr="001B0EA3">
        <w:t>Проверка за допустимост</w:t>
      </w:r>
      <w:bookmarkEnd w:id="595"/>
    </w:p>
    <w:p w14:paraId="46E4B500" w14:textId="77777777" w:rsidR="00D603F5" w:rsidRPr="001B0EA3" w:rsidRDefault="00D603F5" w:rsidP="00890B4B">
      <w:pPr>
        <w:spacing w:after="120"/>
        <w:rPr>
          <w:szCs w:val="24"/>
          <w:lang w:eastAsia="bg-BG"/>
        </w:rPr>
      </w:pPr>
      <w:r w:rsidRPr="001B0EA3">
        <w:rPr>
          <w:szCs w:val="24"/>
          <w:lang w:eastAsia="bg-BG"/>
        </w:rPr>
        <w:t xml:space="preserve">След проверката за административното съответствие на проектното предложение, </w:t>
      </w:r>
      <w:r w:rsidR="007467C0" w:rsidRPr="001B0EA3">
        <w:rPr>
          <w:szCs w:val="24"/>
          <w:lang w:eastAsia="bg-BG"/>
        </w:rPr>
        <w:t xml:space="preserve">членовете на </w:t>
      </w:r>
      <w:r w:rsidRPr="001B0EA3">
        <w:rPr>
          <w:szCs w:val="24"/>
          <w:lang w:eastAsia="bg-BG"/>
        </w:rPr>
        <w:t>оценителната комисия извършва проверка за допустимост</w:t>
      </w:r>
      <w:r w:rsidR="007467C0" w:rsidRPr="001B0EA3">
        <w:rPr>
          <w:szCs w:val="24"/>
          <w:lang w:eastAsia="bg-BG"/>
        </w:rPr>
        <w:t>, като отразяват оценката в ИСУН 2020</w:t>
      </w:r>
      <w:r w:rsidRPr="001B0EA3">
        <w:rPr>
          <w:szCs w:val="24"/>
          <w:lang w:eastAsia="bg-BG"/>
        </w:rPr>
        <w:t xml:space="preserve">. </w:t>
      </w:r>
    </w:p>
    <w:p w14:paraId="4F00AA59" w14:textId="77777777" w:rsidR="00D603F5" w:rsidRPr="001B0EA3" w:rsidRDefault="00D603F5" w:rsidP="00890B4B">
      <w:pPr>
        <w:contextualSpacing/>
        <w:rPr>
          <w:szCs w:val="24"/>
          <w:lang w:eastAsia="bg-BG"/>
        </w:rPr>
      </w:pPr>
      <w:r w:rsidRPr="001B0EA3">
        <w:rPr>
          <w:szCs w:val="24"/>
          <w:lang w:eastAsia="bg-BG"/>
        </w:rPr>
        <w:t xml:space="preserve">Проверка за допустимост на проектното предложение се прилага при оценката на всички подадени проектни предложения Проверката за допустимост е важен етап от оценката на проекта. Отговорите на въпросите за допустимост са или „да” или „не”. Ако проектното предложение или всички дейности, включени в проектното предложение е/са недопустимо/и, то проектното предложение не се процедира за по-нататъшна оценка (не преминава). </w:t>
      </w:r>
    </w:p>
    <w:p w14:paraId="67940101" w14:textId="77777777" w:rsidR="00D603F5" w:rsidRPr="001B0EA3" w:rsidRDefault="00D603F5" w:rsidP="00890B4B">
      <w:pPr>
        <w:contextualSpacing/>
        <w:rPr>
          <w:szCs w:val="24"/>
          <w:lang w:eastAsia="bg-BG"/>
        </w:rPr>
      </w:pPr>
      <w:r w:rsidRPr="001B0EA3">
        <w:rPr>
          <w:szCs w:val="24"/>
          <w:lang w:eastAsia="bg-BG"/>
        </w:rPr>
        <w:t xml:space="preserve">В случай, че оценителната комисия установи, че само определени елементи от предложените разходи по проекта са недопустими, те трябва, конкретно да се посочат и да се изключат от безвъзмездната финансова помощ. Недопустими разходи не трябва да се включват в безвъзмездната финансова помощ, която оценителната комисия предлага да бъде отпусната след одобрението на проекта. </w:t>
      </w:r>
    </w:p>
    <w:p w14:paraId="33F77A0D" w14:textId="77777777" w:rsidR="00D603F5" w:rsidRPr="001B0EA3" w:rsidRDefault="00D603F5" w:rsidP="00890B4B">
      <w:pPr>
        <w:spacing w:after="120"/>
        <w:rPr>
          <w:szCs w:val="24"/>
          <w:lang w:eastAsia="bg-BG"/>
        </w:rPr>
      </w:pPr>
      <w:r w:rsidRPr="001B0EA3">
        <w:rPr>
          <w:szCs w:val="24"/>
          <w:lang w:eastAsia="bg-BG"/>
        </w:rPr>
        <w:t>Проверката протича както следва в съответствие с ПМС № 1</w:t>
      </w:r>
      <w:r w:rsidR="00090871" w:rsidRPr="001B0EA3">
        <w:rPr>
          <w:szCs w:val="24"/>
          <w:lang w:eastAsia="bg-BG"/>
        </w:rPr>
        <w:t>8</w:t>
      </w:r>
      <w:r w:rsidRPr="001B0EA3">
        <w:rPr>
          <w:szCs w:val="24"/>
          <w:lang w:eastAsia="bg-BG"/>
        </w:rPr>
        <w:t>9</w:t>
      </w:r>
      <w:r w:rsidR="00090871" w:rsidRPr="001B0EA3">
        <w:rPr>
          <w:szCs w:val="24"/>
          <w:lang w:eastAsia="bg-BG"/>
        </w:rPr>
        <w:t xml:space="preserve"> от </w:t>
      </w:r>
      <w:r w:rsidRPr="001B0EA3">
        <w:rPr>
          <w:szCs w:val="24"/>
          <w:lang w:eastAsia="bg-BG"/>
        </w:rPr>
        <w:t>201</w:t>
      </w:r>
      <w:r w:rsidR="00090871" w:rsidRPr="001B0EA3">
        <w:rPr>
          <w:szCs w:val="24"/>
          <w:lang w:eastAsia="bg-BG"/>
        </w:rPr>
        <w:t>6</w:t>
      </w:r>
      <w:r w:rsidRPr="001B0EA3">
        <w:rPr>
          <w:szCs w:val="24"/>
          <w:lang w:eastAsia="bg-BG"/>
        </w:rPr>
        <w:t xml:space="preserve"> г., като при извършване на проверката за допустимост:</w:t>
      </w:r>
    </w:p>
    <w:p w14:paraId="381213C6" w14:textId="77777777" w:rsidR="00D603F5" w:rsidRPr="001B0EA3" w:rsidRDefault="00D603F5" w:rsidP="00890B4B">
      <w:pPr>
        <w:numPr>
          <w:ilvl w:val="0"/>
          <w:numId w:val="34"/>
        </w:numPr>
        <w:tabs>
          <w:tab w:val="clear" w:pos="720"/>
          <w:tab w:val="num" w:pos="1134"/>
        </w:tabs>
        <w:spacing w:after="120"/>
        <w:ind w:left="0" w:firstLine="851"/>
        <w:rPr>
          <w:szCs w:val="24"/>
          <w:lang w:eastAsia="bg-BG"/>
        </w:rPr>
      </w:pPr>
      <w:r w:rsidRPr="001B0EA3">
        <w:rPr>
          <w:szCs w:val="24"/>
          <w:lang w:eastAsia="bg-BG"/>
        </w:rPr>
        <w:t>се проверява дали проектното предложение  попада в обхвата на съответния фонд – ЕФРР/КФ и може да бъде включено в категория интервенции, заложените инвестиционни приоритети в оперативната програма;</w:t>
      </w:r>
    </w:p>
    <w:p w14:paraId="288D5E9C" w14:textId="77777777" w:rsidR="00D603F5" w:rsidRPr="001B0EA3" w:rsidRDefault="00D603F5" w:rsidP="00890B4B">
      <w:pPr>
        <w:numPr>
          <w:ilvl w:val="0"/>
          <w:numId w:val="34"/>
        </w:numPr>
        <w:tabs>
          <w:tab w:val="clear" w:pos="720"/>
          <w:tab w:val="num" w:pos="1134"/>
        </w:tabs>
        <w:spacing w:after="120"/>
        <w:ind w:left="0" w:firstLine="851"/>
        <w:rPr>
          <w:szCs w:val="24"/>
          <w:lang w:eastAsia="bg-BG"/>
        </w:rPr>
      </w:pPr>
      <w:r w:rsidRPr="001B0EA3">
        <w:rPr>
          <w:szCs w:val="24"/>
          <w:lang w:eastAsia="bg-BG"/>
        </w:rPr>
        <w:t>се проверява дали проектното предложение за инвестиционен/ инфраструктурен проект се отнася за видовете транспорт, включени за финансиране в ОПТТИ 2014-2020 г.</w:t>
      </w:r>
    </w:p>
    <w:p w14:paraId="52734BAE" w14:textId="77777777" w:rsidR="00D603F5" w:rsidRPr="001B0EA3" w:rsidRDefault="00D603F5" w:rsidP="00890B4B">
      <w:pPr>
        <w:numPr>
          <w:ilvl w:val="0"/>
          <w:numId w:val="34"/>
        </w:numPr>
        <w:tabs>
          <w:tab w:val="clear" w:pos="720"/>
          <w:tab w:val="num" w:pos="1134"/>
        </w:tabs>
        <w:spacing w:after="120"/>
        <w:ind w:left="0" w:firstLine="851"/>
        <w:rPr>
          <w:szCs w:val="24"/>
          <w:lang w:eastAsia="bg-BG"/>
        </w:rPr>
      </w:pPr>
      <w:r w:rsidRPr="001B0EA3">
        <w:rPr>
          <w:szCs w:val="24"/>
          <w:lang w:eastAsia="bg-BG"/>
        </w:rPr>
        <w:t>Проектът допринася за постигане на специфичната цел на съответната приоритетна ос, свързана с  тематична цел:</w:t>
      </w:r>
    </w:p>
    <w:p w14:paraId="2C2B3737" w14:textId="77777777" w:rsidR="00D603F5" w:rsidRPr="001B0EA3" w:rsidRDefault="00D603F5" w:rsidP="00890B4B">
      <w:pPr>
        <w:spacing w:after="120"/>
        <w:ind w:left="1418"/>
        <w:rPr>
          <w:szCs w:val="24"/>
          <w:lang w:eastAsia="bg-BG"/>
        </w:rPr>
      </w:pPr>
      <w:r w:rsidRPr="001B0EA3">
        <w:rPr>
          <w:szCs w:val="24"/>
          <w:lang w:eastAsia="bg-BG"/>
        </w:rPr>
        <w:t>№ 7 „Насърчаване на устойчивия транспорт и премахване на участъците с недостатъчен капацитет във всички ключови мрежови инфраструктури”.</w:t>
      </w:r>
    </w:p>
    <w:p w14:paraId="10F20D21" w14:textId="77777777" w:rsidR="00D603F5" w:rsidRPr="001B0EA3" w:rsidRDefault="00D603F5" w:rsidP="00890B4B">
      <w:pPr>
        <w:spacing w:after="120"/>
        <w:ind w:left="1418"/>
        <w:rPr>
          <w:szCs w:val="24"/>
          <w:lang w:eastAsia="bg-BG"/>
        </w:rPr>
      </w:pPr>
      <w:r w:rsidRPr="001B0EA3">
        <w:rPr>
          <w:szCs w:val="24"/>
          <w:lang w:eastAsia="bg-BG"/>
        </w:rPr>
        <w:t>или</w:t>
      </w:r>
    </w:p>
    <w:p w14:paraId="30EE5DCA" w14:textId="77777777" w:rsidR="00D603F5" w:rsidRPr="001B0EA3" w:rsidRDefault="00D603F5" w:rsidP="00890B4B">
      <w:pPr>
        <w:spacing w:after="120"/>
        <w:ind w:left="1418"/>
        <w:rPr>
          <w:szCs w:val="24"/>
          <w:lang w:eastAsia="bg-BG"/>
        </w:rPr>
      </w:pPr>
      <w:r w:rsidRPr="001B0EA3">
        <w:rPr>
          <w:szCs w:val="24"/>
          <w:lang w:eastAsia="bg-BG"/>
        </w:rPr>
        <w:t>№ 4 „Подкрепа за преминаването към нисковъглеродна икономика във всички сектори”</w:t>
      </w:r>
    </w:p>
    <w:p w14:paraId="4390EE11" w14:textId="77777777" w:rsidR="00D603F5" w:rsidRPr="001B0EA3" w:rsidRDefault="00D603F5" w:rsidP="00890B4B">
      <w:pPr>
        <w:spacing w:after="120"/>
        <w:ind w:left="1418"/>
        <w:rPr>
          <w:szCs w:val="24"/>
          <w:lang w:eastAsia="bg-BG"/>
        </w:rPr>
      </w:pPr>
      <w:r w:rsidRPr="001B0EA3">
        <w:rPr>
          <w:szCs w:val="24"/>
          <w:lang w:eastAsia="bg-BG"/>
        </w:rPr>
        <w:t xml:space="preserve">Проектното предложение показва необходимост от финансова подкрепа  </w:t>
      </w:r>
    </w:p>
    <w:p w14:paraId="2A09DA4B" w14:textId="77777777" w:rsidR="00D603F5" w:rsidRPr="001B0EA3" w:rsidRDefault="00D603F5" w:rsidP="00890B4B">
      <w:pPr>
        <w:numPr>
          <w:ilvl w:val="0"/>
          <w:numId w:val="34"/>
        </w:numPr>
        <w:tabs>
          <w:tab w:val="clear" w:pos="720"/>
          <w:tab w:val="num" w:pos="1134"/>
        </w:tabs>
        <w:spacing w:after="120"/>
        <w:ind w:left="0" w:firstLine="851"/>
        <w:rPr>
          <w:szCs w:val="24"/>
          <w:lang w:eastAsia="bg-BG"/>
        </w:rPr>
      </w:pPr>
      <w:r w:rsidRPr="001B0EA3">
        <w:rPr>
          <w:szCs w:val="24"/>
          <w:lang w:eastAsia="bg-BG"/>
        </w:rPr>
        <w:t xml:space="preserve">се обръща внимание на необходимостта от връзка и съответствие с основните стратегически, програмни и приложни документи, регламенти, наръчници и стратегии на Общностно и на национално ниво. </w:t>
      </w:r>
    </w:p>
    <w:p w14:paraId="57083A19" w14:textId="77777777" w:rsidR="00D603F5" w:rsidRPr="001B0EA3" w:rsidRDefault="00D603F5" w:rsidP="00890B4B">
      <w:pPr>
        <w:numPr>
          <w:ilvl w:val="0"/>
          <w:numId w:val="34"/>
        </w:numPr>
        <w:tabs>
          <w:tab w:val="clear" w:pos="720"/>
          <w:tab w:val="num" w:pos="1134"/>
        </w:tabs>
        <w:spacing w:after="120"/>
        <w:ind w:left="0" w:firstLine="851"/>
        <w:rPr>
          <w:szCs w:val="24"/>
          <w:lang w:eastAsia="bg-BG"/>
        </w:rPr>
      </w:pPr>
      <w:r w:rsidRPr="001B0EA3">
        <w:rPr>
          <w:szCs w:val="24"/>
          <w:lang w:eastAsia="bg-BG"/>
        </w:rPr>
        <w:t>се проверява дали проектът допринася за постигане на една или повече от целите и приоритетите, заложени в основни стратегически документи, Споразумението за партньорство, Национална програма за реформи, НПР БГ 2020</w:t>
      </w:r>
      <w:r w:rsidRPr="001B0EA3">
        <w:rPr>
          <w:szCs w:val="24"/>
          <w:lang w:eastAsia="bg-BG"/>
        </w:rPr>
        <w:footnoteReference w:id="51"/>
      </w:r>
      <w:r w:rsidRPr="001B0EA3">
        <w:rPr>
          <w:szCs w:val="24"/>
          <w:lang w:eastAsia="bg-BG"/>
        </w:rPr>
        <w:t xml:space="preserve">, Бялата книга, Насоки за </w:t>
      </w:r>
      <w:r w:rsidRPr="001B0EA3">
        <w:rPr>
          <w:szCs w:val="24"/>
          <w:lang w:eastAsia="bg-BG"/>
        </w:rPr>
        <w:lastRenderedPageBreak/>
        <w:t xml:space="preserve">развитие на </w:t>
      </w:r>
      <w:r w:rsidR="00E40779" w:rsidRPr="001B0EA3">
        <w:rPr>
          <w:szCs w:val="24"/>
          <w:lang w:eastAsia="bg-BG"/>
        </w:rPr>
        <w:t>Трансевропейската</w:t>
      </w:r>
      <w:r w:rsidRPr="001B0EA3">
        <w:rPr>
          <w:szCs w:val="24"/>
          <w:lang w:eastAsia="bg-BG"/>
        </w:rPr>
        <w:t xml:space="preserve"> транспортна мрежа, Стратегия за развитие на транспортната система на Република България до 2020 г., Национална концепция за пространствено развитие 2013-2025 г. и др.;</w:t>
      </w:r>
    </w:p>
    <w:p w14:paraId="71A9BC87" w14:textId="77777777" w:rsidR="00D603F5" w:rsidRPr="001B0EA3" w:rsidRDefault="00D603F5" w:rsidP="00890B4B">
      <w:pPr>
        <w:numPr>
          <w:ilvl w:val="0"/>
          <w:numId w:val="34"/>
        </w:numPr>
        <w:tabs>
          <w:tab w:val="clear" w:pos="720"/>
          <w:tab w:val="num" w:pos="1134"/>
        </w:tabs>
        <w:spacing w:after="120"/>
        <w:ind w:left="0" w:firstLine="851"/>
        <w:rPr>
          <w:szCs w:val="24"/>
          <w:lang w:eastAsia="bg-BG"/>
        </w:rPr>
      </w:pPr>
      <w:r w:rsidRPr="001B0EA3">
        <w:rPr>
          <w:szCs w:val="24"/>
          <w:lang w:eastAsia="bg-BG"/>
        </w:rPr>
        <w:t>се проверява дали проектът допринася за постигане на една или повече от целите на ОПТТИ;</w:t>
      </w:r>
    </w:p>
    <w:p w14:paraId="17B27304" w14:textId="77777777" w:rsidR="00D603F5" w:rsidRPr="001B0EA3" w:rsidRDefault="00D603F5" w:rsidP="00890B4B">
      <w:pPr>
        <w:numPr>
          <w:ilvl w:val="0"/>
          <w:numId w:val="34"/>
        </w:numPr>
        <w:tabs>
          <w:tab w:val="clear" w:pos="720"/>
          <w:tab w:val="num" w:pos="1134"/>
        </w:tabs>
        <w:spacing w:after="120"/>
        <w:ind w:left="0" w:firstLine="851"/>
        <w:rPr>
          <w:szCs w:val="24"/>
          <w:lang w:eastAsia="bg-BG"/>
        </w:rPr>
      </w:pPr>
      <w:r w:rsidRPr="001B0EA3">
        <w:rPr>
          <w:szCs w:val="24"/>
          <w:lang w:eastAsia="bg-BG"/>
        </w:rPr>
        <w:t xml:space="preserve">проверяват се степента на релевантност на проекта по отношение на прилаганите хоризонтални принципи и политики, наличието на принос за постигане на специфичните цели на съответната приоритетна ос. </w:t>
      </w:r>
    </w:p>
    <w:p w14:paraId="33F3308D" w14:textId="77777777" w:rsidR="00D603F5" w:rsidRPr="001B0EA3" w:rsidRDefault="00D603F5" w:rsidP="00890B4B">
      <w:pPr>
        <w:numPr>
          <w:ilvl w:val="0"/>
          <w:numId w:val="34"/>
        </w:numPr>
        <w:tabs>
          <w:tab w:val="clear" w:pos="720"/>
          <w:tab w:val="num" w:pos="1134"/>
        </w:tabs>
        <w:spacing w:after="120"/>
        <w:ind w:left="0" w:firstLine="851"/>
        <w:rPr>
          <w:szCs w:val="24"/>
          <w:lang w:eastAsia="bg-BG"/>
        </w:rPr>
      </w:pPr>
      <w:r w:rsidRPr="001B0EA3">
        <w:rPr>
          <w:szCs w:val="24"/>
          <w:lang w:eastAsia="bg-BG"/>
        </w:rPr>
        <w:t>Проверява се дали дейностите по проекта съответстват на дейностите, предвидени в съответната приоритетна ос на ОПТТИ;</w:t>
      </w:r>
    </w:p>
    <w:p w14:paraId="139A71BC" w14:textId="77777777" w:rsidR="00D603F5" w:rsidRPr="001B0EA3" w:rsidRDefault="00D603F5" w:rsidP="00890B4B">
      <w:pPr>
        <w:numPr>
          <w:ilvl w:val="0"/>
          <w:numId w:val="34"/>
        </w:numPr>
        <w:tabs>
          <w:tab w:val="clear" w:pos="720"/>
          <w:tab w:val="num" w:pos="1134"/>
        </w:tabs>
        <w:spacing w:after="120"/>
        <w:ind w:left="0" w:firstLine="851"/>
        <w:rPr>
          <w:szCs w:val="24"/>
          <w:lang w:eastAsia="bg-BG"/>
        </w:rPr>
      </w:pPr>
      <w:r w:rsidRPr="001B0EA3">
        <w:rPr>
          <w:szCs w:val="24"/>
          <w:lang w:eastAsia="bg-BG"/>
        </w:rPr>
        <w:t>ФК за предоставяне на БФП е подаден от бенефициент, който е посочен в ОПТТИ като конкретен бенефициент на помощта по съответната приоритетна ос;</w:t>
      </w:r>
    </w:p>
    <w:p w14:paraId="2709EAFA" w14:textId="77777777" w:rsidR="00D603F5" w:rsidRPr="001B0EA3" w:rsidRDefault="00D603F5" w:rsidP="00890B4B">
      <w:pPr>
        <w:numPr>
          <w:ilvl w:val="0"/>
          <w:numId w:val="34"/>
        </w:numPr>
        <w:tabs>
          <w:tab w:val="clear" w:pos="720"/>
          <w:tab w:val="num" w:pos="1134"/>
        </w:tabs>
        <w:spacing w:after="120"/>
        <w:ind w:left="0" w:firstLine="851"/>
        <w:rPr>
          <w:szCs w:val="24"/>
          <w:lang w:eastAsia="bg-BG"/>
        </w:rPr>
      </w:pPr>
      <w:r w:rsidRPr="001B0EA3">
        <w:rPr>
          <w:szCs w:val="24"/>
          <w:lang w:eastAsia="bg-BG"/>
        </w:rPr>
        <w:t xml:space="preserve">Търси се наличие на европейска добавена стойност и доказана необходимост от публична финансова подкрепа. </w:t>
      </w:r>
    </w:p>
    <w:p w14:paraId="42883CB5" w14:textId="77777777" w:rsidR="00D603F5" w:rsidRPr="001B0EA3" w:rsidRDefault="00D603F5" w:rsidP="00890B4B">
      <w:pPr>
        <w:numPr>
          <w:ilvl w:val="0"/>
          <w:numId w:val="34"/>
        </w:numPr>
        <w:tabs>
          <w:tab w:val="clear" w:pos="720"/>
          <w:tab w:val="num" w:pos="1134"/>
        </w:tabs>
        <w:spacing w:after="120"/>
        <w:ind w:left="0" w:firstLine="851"/>
        <w:rPr>
          <w:szCs w:val="24"/>
          <w:lang w:eastAsia="bg-BG"/>
        </w:rPr>
      </w:pPr>
      <w:r w:rsidRPr="001B0EA3">
        <w:rPr>
          <w:szCs w:val="24"/>
          <w:lang w:eastAsia="bg-BG"/>
        </w:rPr>
        <w:t>Допустимите разходи за проекта са определени в съответствие с актуалната националната нормативна уредба</w:t>
      </w:r>
      <w:r w:rsidRPr="001B0EA3">
        <w:rPr>
          <w:vertAlign w:val="superscript"/>
        </w:rPr>
        <w:footnoteReference w:id="52"/>
      </w:r>
      <w:r w:rsidRPr="001B0EA3">
        <w:rPr>
          <w:szCs w:val="24"/>
          <w:lang w:eastAsia="bg-BG"/>
        </w:rPr>
        <w:t xml:space="preserve">. </w:t>
      </w:r>
    </w:p>
    <w:p w14:paraId="7F8DB4F5" w14:textId="77777777" w:rsidR="00D603F5" w:rsidRPr="001B0EA3" w:rsidRDefault="00D603F5" w:rsidP="00890B4B">
      <w:pPr>
        <w:numPr>
          <w:ilvl w:val="0"/>
          <w:numId w:val="34"/>
        </w:numPr>
        <w:tabs>
          <w:tab w:val="clear" w:pos="720"/>
          <w:tab w:val="num" w:pos="1134"/>
        </w:tabs>
        <w:spacing w:after="120"/>
        <w:ind w:left="0" w:firstLine="851"/>
        <w:rPr>
          <w:szCs w:val="24"/>
          <w:lang w:eastAsia="bg-BG"/>
        </w:rPr>
      </w:pPr>
      <w:r w:rsidRPr="001B0EA3">
        <w:rPr>
          <w:szCs w:val="24"/>
          <w:lang w:eastAsia="bg-BG"/>
        </w:rPr>
        <w:t>проверява се дали информацията във формуляра за кандидатстване показва, че всички дейности по проекта не са физически приключили и не са изцяло изпълнени преди подаване на ФК;</w:t>
      </w:r>
    </w:p>
    <w:p w14:paraId="7A640699" w14:textId="77777777" w:rsidR="00D603F5" w:rsidRPr="001B0EA3" w:rsidRDefault="00D603F5" w:rsidP="00890B4B">
      <w:pPr>
        <w:numPr>
          <w:ilvl w:val="0"/>
          <w:numId w:val="34"/>
        </w:numPr>
        <w:tabs>
          <w:tab w:val="clear" w:pos="720"/>
          <w:tab w:val="num" w:pos="1134"/>
        </w:tabs>
        <w:spacing w:after="120"/>
        <w:ind w:left="0" w:firstLine="851"/>
        <w:rPr>
          <w:szCs w:val="24"/>
          <w:lang w:eastAsia="bg-BG"/>
        </w:rPr>
      </w:pPr>
      <w:r w:rsidRPr="001B0EA3">
        <w:rPr>
          <w:szCs w:val="24"/>
          <w:lang w:eastAsia="bg-BG"/>
        </w:rPr>
        <w:t>Във ФК е декларирано, че дейностите не са финансирани/ не се финансират по друг проект, програма или каквато и да е друга схема с източник националния бюджет, бюджета на ЕС или друга донорска програма;</w:t>
      </w:r>
    </w:p>
    <w:p w14:paraId="6A5E157D" w14:textId="77777777" w:rsidR="00D603F5" w:rsidRPr="001B0EA3" w:rsidRDefault="00D603F5" w:rsidP="00890B4B">
      <w:pPr>
        <w:numPr>
          <w:ilvl w:val="0"/>
          <w:numId w:val="34"/>
        </w:numPr>
        <w:tabs>
          <w:tab w:val="clear" w:pos="720"/>
          <w:tab w:val="num" w:pos="1134"/>
        </w:tabs>
        <w:spacing w:after="120"/>
        <w:ind w:left="0" w:firstLine="851"/>
        <w:rPr>
          <w:b/>
          <w:szCs w:val="24"/>
          <w:lang w:eastAsia="bg-BG"/>
        </w:rPr>
      </w:pPr>
      <w:r w:rsidRPr="001B0EA3">
        <w:rPr>
          <w:szCs w:val="24"/>
          <w:lang w:eastAsia="bg-BG"/>
        </w:rPr>
        <w:t>В случай, че всички изисквания са изцяло удовлетворени, се преминава към следващия втори етап – техническа и финансова оценка на предложението</w:t>
      </w:r>
      <w:r w:rsidR="009312B7" w:rsidRPr="001B0EA3">
        <w:rPr>
          <w:szCs w:val="24"/>
          <w:lang w:eastAsia="bg-BG"/>
        </w:rPr>
        <w:t>, като членовете на оценителната комисия отразяват оценката в ИСУН 2020</w:t>
      </w:r>
      <w:r w:rsidRPr="001B0EA3">
        <w:rPr>
          <w:szCs w:val="24"/>
          <w:lang w:eastAsia="bg-BG"/>
        </w:rPr>
        <w:t xml:space="preserve">. </w:t>
      </w:r>
      <w:r w:rsidRPr="001B0EA3">
        <w:rPr>
          <w:b/>
          <w:szCs w:val="24"/>
          <w:lang w:eastAsia="bg-BG"/>
        </w:rPr>
        <w:tab/>
      </w:r>
    </w:p>
    <w:p w14:paraId="366B4AA1" w14:textId="77777777" w:rsidR="00D603F5" w:rsidRPr="001B0EA3" w:rsidRDefault="00D603F5" w:rsidP="00346F28">
      <w:pPr>
        <w:pStyle w:val="Style3"/>
        <w:rPr>
          <w:lang w:eastAsia="bg-BG"/>
        </w:rPr>
      </w:pPr>
      <w:bookmarkStart w:id="596" w:name="_Toc479775651"/>
      <w:r w:rsidRPr="001B0EA3">
        <w:rPr>
          <w:lang w:eastAsia="bg-BG"/>
        </w:rPr>
        <w:t>Техническа и финансова оценка</w:t>
      </w:r>
      <w:bookmarkEnd w:id="596"/>
    </w:p>
    <w:p w14:paraId="4D1AE3BF" w14:textId="77777777" w:rsidR="004068CE" w:rsidRPr="001B0EA3" w:rsidRDefault="00D603F5" w:rsidP="00890B4B">
      <w:pPr>
        <w:spacing w:after="120"/>
        <w:rPr>
          <w:szCs w:val="24"/>
          <w:lang w:eastAsia="bg-BG"/>
        </w:rPr>
      </w:pPr>
      <w:r w:rsidRPr="001B0EA3">
        <w:rPr>
          <w:szCs w:val="24"/>
          <w:lang w:eastAsia="bg-BG"/>
        </w:rPr>
        <w:t>Този етап включва детайлна техническа и финансова оценка на проектното предложение. Най-значимият елемент на оценката на проекта е техническата оценка. Основен аналитичен инструмент , който ще бъде използван при оценката за вземане на решение за финансиране на „голям проект“  е Анализа „разходи-</w:t>
      </w:r>
      <w:r w:rsidR="004068CE" w:rsidRPr="001B0EA3">
        <w:rPr>
          <w:szCs w:val="24"/>
          <w:lang w:eastAsia="bg-BG"/>
        </w:rPr>
        <w:t xml:space="preserve">ползи“, посочен в член 101, първа алинея, буква д) от Регламент (ЕС) № 1303/2013 г. </w:t>
      </w:r>
      <w:r w:rsidR="00476F69" w:rsidRPr="001B0EA3">
        <w:rPr>
          <w:szCs w:val="24"/>
          <w:lang w:eastAsia="bg-BG"/>
        </w:rPr>
        <w:t>Методологията за извършване на анализ на разходите и ползите е представена в Приложение ІІІ на Регламент (ЕС) № 207/2015 г.</w:t>
      </w:r>
    </w:p>
    <w:p w14:paraId="1B9FE763" w14:textId="77777777" w:rsidR="00B079D6" w:rsidRPr="001B0EA3" w:rsidRDefault="00EC5FAA" w:rsidP="00890B4B">
      <w:pPr>
        <w:pStyle w:val="ListParagraph"/>
        <w:numPr>
          <w:ilvl w:val="0"/>
          <w:numId w:val="214"/>
        </w:numPr>
        <w:tabs>
          <w:tab w:val="left" w:pos="1134"/>
        </w:tabs>
        <w:spacing w:after="120"/>
        <w:ind w:left="0" w:firstLine="851"/>
        <w:rPr>
          <w:b/>
          <w:szCs w:val="24"/>
          <w:lang w:eastAsia="bg-BG"/>
        </w:rPr>
      </w:pPr>
      <w:r w:rsidRPr="001B0EA3">
        <w:rPr>
          <w:b/>
          <w:szCs w:val="24"/>
          <w:lang w:eastAsia="bg-BG"/>
        </w:rPr>
        <w:t xml:space="preserve">Общи принципи </w:t>
      </w:r>
      <w:r w:rsidR="00D34794" w:rsidRPr="001B0EA3">
        <w:rPr>
          <w:b/>
          <w:szCs w:val="24"/>
          <w:lang w:eastAsia="bg-BG"/>
        </w:rPr>
        <w:t>на АРП</w:t>
      </w:r>
    </w:p>
    <w:p w14:paraId="607C8200" w14:textId="77777777" w:rsidR="00B079D6" w:rsidRPr="001B0EA3" w:rsidRDefault="00B079D6" w:rsidP="00890B4B">
      <w:pPr>
        <w:spacing w:after="120"/>
        <w:rPr>
          <w:szCs w:val="24"/>
          <w:lang w:eastAsia="bg-BG"/>
        </w:rPr>
      </w:pPr>
      <w:r w:rsidRPr="001B0EA3">
        <w:rPr>
          <w:szCs w:val="24"/>
          <w:lang w:eastAsia="bg-BG"/>
        </w:rPr>
        <w:t>Целта на анализа на разходите и ползите (наричан по-долу „АРП“) в контекста на политиката на</w:t>
      </w:r>
      <w:r w:rsidR="007B15F6" w:rsidRPr="001B0EA3">
        <w:rPr>
          <w:szCs w:val="24"/>
          <w:lang w:eastAsia="bg-BG"/>
        </w:rPr>
        <w:t xml:space="preserve"> </w:t>
      </w:r>
      <w:r w:rsidRPr="001B0EA3">
        <w:rPr>
          <w:szCs w:val="24"/>
          <w:lang w:eastAsia="bg-BG"/>
        </w:rPr>
        <w:t>сближаване е да допринесе за оценяването на големи проекти, за да се:</w:t>
      </w:r>
    </w:p>
    <w:p w14:paraId="23942D51" w14:textId="77777777" w:rsidR="00B079D6" w:rsidRPr="001B0EA3" w:rsidRDefault="00B079D6" w:rsidP="00890B4B">
      <w:pPr>
        <w:rPr>
          <w:szCs w:val="24"/>
          <w:lang w:eastAsia="bg-BG"/>
        </w:rPr>
      </w:pPr>
      <w:r w:rsidRPr="001B0EA3">
        <w:rPr>
          <w:szCs w:val="24"/>
          <w:lang w:eastAsia="bg-BG"/>
        </w:rPr>
        <w:t>— определи дали големият проект заслужава да бъде съфинансиран (от икономическа гледна точка);</w:t>
      </w:r>
    </w:p>
    <w:p w14:paraId="069B44CF" w14:textId="77777777" w:rsidR="00B079D6" w:rsidRPr="001B0EA3" w:rsidRDefault="00B079D6" w:rsidP="00890B4B">
      <w:pPr>
        <w:rPr>
          <w:szCs w:val="24"/>
          <w:lang w:eastAsia="bg-BG"/>
        </w:rPr>
      </w:pPr>
      <w:r w:rsidRPr="001B0EA3">
        <w:rPr>
          <w:szCs w:val="24"/>
          <w:lang w:eastAsia="bg-BG"/>
        </w:rPr>
        <w:t>— определи дали големият проект се нуждае от съфинансиране (от финансова гледна точка).</w:t>
      </w:r>
    </w:p>
    <w:p w14:paraId="0DAB7E83" w14:textId="77777777" w:rsidR="00B079D6" w:rsidRPr="001B0EA3" w:rsidRDefault="00B079D6" w:rsidP="00890B4B">
      <w:pPr>
        <w:pStyle w:val="ListParagraph"/>
        <w:numPr>
          <w:ilvl w:val="0"/>
          <w:numId w:val="214"/>
        </w:numPr>
        <w:tabs>
          <w:tab w:val="left" w:pos="1134"/>
        </w:tabs>
        <w:spacing w:before="120" w:after="120"/>
        <w:ind w:left="0" w:firstLine="851"/>
        <w:rPr>
          <w:b/>
          <w:szCs w:val="24"/>
          <w:lang w:eastAsia="bg-BG"/>
        </w:rPr>
      </w:pPr>
      <w:r w:rsidRPr="001B0EA3">
        <w:rPr>
          <w:b/>
          <w:szCs w:val="24"/>
          <w:lang w:eastAsia="bg-BG"/>
        </w:rPr>
        <w:t>АРП:</w:t>
      </w:r>
    </w:p>
    <w:p w14:paraId="07211BBE" w14:textId="77777777" w:rsidR="00B079D6" w:rsidRPr="001B0EA3" w:rsidRDefault="00B079D6" w:rsidP="00890B4B">
      <w:pPr>
        <w:rPr>
          <w:szCs w:val="24"/>
          <w:lang w:eastAsia="bg-BG"/>
        </w:rPr>
      </w:pPr>
      <w:r w:rsidRPr="001B0EA3">
        <w:rPr>
          <w:szCs w:val="24"/>
          <w:lang w:eastAsia="bg-BG"/>
        </w:rPr>
        <w:lastRenderedPageBreak/>
        <w:t>— се извършва възможно най-рано на етапа на изготвяне на проекта, обикновено в края на предварителния етап</w:t>
      </w:r>
      <w:r w:rsidR="007B15F6" w:rsidRPr="001B0EA3">
        <w:rPr>
          <w:szCs w:val="24"/>
          <w:lang w:eastAsia="bg-BG"/>
        </w:rPr>
        <w:t xml:space="preserve"> </w:t>
      </w:r>
      <w:r w:rsidRPr="001B0EA3">
        <w:rPr>
          <w:szCs w:val="24"/>
          <w:lang w:eastAsia="bg-BG"/>
        </w:rPr>
        <w:t>на проектиране на проекта;</w:t>
      </w:r>
    </w:p>
    <w:p w14:paraId="1C320BB0" w14:textId="77777777" w:rsidR="00B079D6" w:rsidRPr="001B0EA3" w:rsidRDefault="00B079D6" w:rsidP="00890B4B">
      <w:pPr>
        <w:rPr>
          <w:szCs w:val="24"/>
          <w:lang w:eastAsia="bg-BG"/>
        </w:rPr>
      </w:pPr>
      <w:r w:rsidRPr="001B0EA3">
        <w:rPr>
          <w:szCs w:val="24"/>
          <w:lang w:eastAsia="bg-BG"/>
        </w:rPr>
        <w:t>— се счита за елемент от заявлението за голям проект, който трябва да бъде взет под внимание в съчетание с</w:t>
      </w:r>
      <w:r w:rsidR="007B15F6" w:rsidRPr="001B0EA3">
        <w:rPr>
          <w:szCs w:val="24"/>
          <w:lang w:eastAsia="bg-BG"/>
        </w:rPr>
        <w:t xml:space="preserve"> </w:t>
      </w:r>
      <w:r w:rsidRPr="001B0EA3">
        <w:rPr>
          <w:szCs w:val="24"/>
          <w:lang w:eastAsia="bg-BG"/>
        </w:rPr>
        <w:t>други документи, изготвяни във връзка с големите проекти, включително тези, съдържащи друга информация,</w:t>
      </w:r>
      <w:r w:rsidR="007B15F6" w:rsidRPr="001B0EA3">
        <w:rPr>
          <w:szCs w:val="24"/>
          <w:lang w:eastAsia="bg-BG"/>
        </w:rPr>
        <w:t xml:space="preserve"> </w:t>
      </w:r>
      <w:r w:rsidRPr="001B0EA3">
        <w:rPr>
          <w:szCs w:val="24"/>
          <w:lang w:eastAsia="bg-BG"/>
        </w:rPr>
        <w:t>посочена в член 101, параграф 1 от Регламент (ЕС) № 1303/2013.</w:t>
      </w:r>
    </w:p>
    <w:p w14:paraId="46F7133D" w14:textId="77777777" w:rsidR="00B079D6" w:rsidRPr="001B0EA3" w:rsidRDefault="00B079D6" w:rsidP="00890B4B">
      <w:pPr>
        <w:pStyle w:val="ListParagraph"/>
        <w:numPr>
          <w:ilvl w:val="0"/>
          <w:numId w:val="214"/>
        </w:numPr>
        <w:tabs>
          <w:tab w:val="left" w:pos="1134"/>
        </w:tabs>
        <w:spacing w:after="120"/>
        <w:ind w:left="0" w:firstLine="851"/>
        <w:rPr>
          <w:b/>
          <w:szCs w:val="24"/>
          <w:lang w:eastAsia="bg-BG"/>
        </w:rPr>
      </w:pPr>
      <w:r w:rsidRPr="001B0EA3">
        <w:rPr>
          <w:b/>
          <w:szCs w:val="24"/>
          <w:lang w:eastAsia="bg-BG"/>
        </w:rPr>
        <w:t>АРП е подчинен на следните принципи:</w:t>
      </w:r>
    </w:p>
    <w:p w14:paraId="0FA9DCC3" w14:textId="77777777" w:rsidR="00B079D6" w:rsidRPr="001B0EA3" w:rsidRDefault="00B079D6" w:rsidP="00890B4B">
      <w:pPr>
        <w:rPr>
          <w:szCs w:val="24"/>
          <w:lang w:eastAsia="bg-BG"/>
        </w:rPr>
      </w:pPr>
      <w:r w:rsidRPr="001B0EA3">
        <w:rPr>
          <w:szCs w:val="24"/>
          <w:lang w:eastAsia="bg-BG"/>
        </w:rPr>
        <w:t>— АРП трябва да се извършва с оглед на предварително определените цели на политиката;</w:t>
      </w:r>
    </w:p>
    <w:p w14:paraId="0286D0E7" w14:textId="77777777" w:rsidR="00B079D6" w:rsidRPr="001B0EA3" w:rsidRDefault="00B079D6" w:rsidP="00890B4B">
      <w:pPr>
        <w:rPr>
          <w:szCs w:val="24"/>
          <w:lang w:eastAsia="bg-BG"/>
        </w:rPr>
      </w:pPr>
      <w:r w:rsidRPr="001B0EA3">
        <w:rPr>
          <w:szCs w:val="24"/>
          <w:lang w:eastAsia="bg-BG"/>
        </w:rPr>
        <w:t>— АРП изисква да се определи съответният социален контекст и гледни точки (местни, регионални, национални,</w:t>
      </w:r>
      <w:r w:rsidR="007B15F6" w:rsidRPr="001B0EA3">
        <w:rPr>
          <w:szCs w:val="24"/>
          <w:lang w:eastAsia="bg-BG"/>
        </w:rPr>
        <w:t xml:space="preserve"> </w:t>
      </w:r>
      <w:r w:rsidRPr="001B0EA3">
        <w:rPr>
          <w:szCs w:val="24"/>
          <w:lang w:eastAsia="bg-BG"/>
        </w:rPr>
        <w:t>трансгранични, глобални);</w:t>
      </w:r>
    </w:p>
    <w:p w14:paraId="0908D9E8" w14:textId="77777777" w:rsidR="00B079D6" w:rsidRPr="001B0EA3" w:rsidRDefault="00B079D6" w:rsidP="00890B4B">
      <w:pPr>
        <w:rPr>
          <w:szCs w:val="24"/>
          <w:lang w:eastAsia="bg-BG"/>
        </w:rPr>
      </w:pPr>
      <w:r w:rsidRPr="001B0EA3">
        <w:rPr>
          <w:szCs w:val="24"/>
          <w:lang w:eastAsia="bg-BG"/>
        </w:rPr>
        <w:t>— АРП изисква единна мерна единица (обикновено парична);</w:t>
      </w:r>
    </w:p>
    <w:p w14:paraId="339C3E4D" w14:textId="77777777" w:rsidR="00B079D6" w:rsidRPr="001B0EA3" w:rsidRDefault="00B079D6" w:rsidP="00890B4B">
      <w:pPr>
        <w:rPr>
          <w:szCs w:val="24"/>
          <w:lang w:eastAsia="bg-BG"/>
        </w:rPr>
      </w:pPr>
      <w:r w:rsidRPr="001B0EA3">
        <w:rPr>
          <w:szCs w:val="24"/>
          <w:lang w:eastAsia="bg-BG"/>
        </w:rPr>
        <w:t>— АРП изисква сравняване на сценария за новите инвестиции със сценарии без нова инвестиция (допълнителен</w:t>
      </w:r>
      <w:r w:rsidR="007B15F6" w:rsidRPr="001B0EA3">
        <w:rPr>
          <w:szCs w:val="24"/>
          <w:lang w:eastAsia="bg-BG"/>
        </w:rPr>
        <w:t xml:space="preserve"> </w:t>
      </w:r>
      <w:r w:rsidRPr="001B0EA3">
        <w:rPr>
          <w:szCs w:val="24"/>
          <w:lang w:eastAsia="bg-BG"/>
        </w:rPr>
        <w:t>анализ (1));</w:t>
      </w:r>
    </w:p>
    <w:p w14:paraId="0C0ED01B" w14:textId="77777777" w:rsidR="00B079D6" w:rsidRPr="001B0EA3" w:rsidRDefault="00B079D6" w:rsidP="00890B4B">
      <w:pPr>
        <w:rPr>
          <w:szCs w:val="24"/>
          <w:lang w:eastAsia="bg-BG"/>
        </w:rPr>
      </w:pPr>
      <w:r w:rsidRPr="001B0EA3">
        <w:rPr>
          <w:szCs w:val="24"/>
          <w:lang w:eastAsia="bg-BG"/>
        </w:rPr>
        <w:t>— АРП изисква да се посочва референтен период, за който се отнася проектът;</w:t>
      </w:r>
    </w:p>
    <w:p w14:paraId="2F52529F" w14:textId="77777777" w:rsidR="00B079D6" w:rsidRPr="001B0EA3" w:rsidRDefault="00B079D6" w:rsidP="00890B4B">
      <w:pPr>
        <w:rPr>
          <w:szCs w:val="24"/>
          <w:lang w:eastAsia="bg-BG"/>
        </w:rPr>
      </w:pPr>
      <w:r w:rsidRPr="001B0EA3">
        <w:rPr>
          <w:szCs w:val="24"/>
          <w:lang w:eastAsia="bg-BG"/>
        </w:rPr>
        <w:t>— АРП изисква да се държи сметка за остатъчните стойности на инвестицията;</w:t>
      </w:r>
    </w:p>
    <w:p w14:paraId="04385F71" w14:textId="77777777" w:rsidR="003C5175" w:rsidRPr="001B0EA3" w:rsidRDefault="00B079D6" w:rsidP="00890B4B">
      <w:pPr>
        <w:rPr>
          <w:b/>
          <w:szCs w:val="24"/>
          <w:lang w:eastAsia="bg-BG"/>
        </w:rPr>
      </w:pPr>
      <w:r w:rsidRPr="001B0EA3">
        <w:rPr>
          <w:szCs w:val="24"/>
          <w:lang w:eastAsia="bg-BG"/>
        </w:rPr>
        <w:t>— АРП изисква оценка на риска за справяне с несигурността.</w:t>
      </w:r>
      <w:r w:rsidR="003C5175" w:rsidRPr="001B0EA3">
        <w:rPr>
          <w:b/>
          <w:szCs w:val="24"/>
          <w:lang w:eastAsia="bg-BG"/>
        </w:rPr>
        <w:br w:type="page"/>
      </w:r>
    </w:p>
    <w:p w14:paraId="01B21A54" w14:textId="77777777" w:rsidR="003C5175" w:rsidRPr="001B0EA3" w:rsidRDefault="003C5175" w:rsidP="00890B4B">
      <w:pPr>
        <w:pStyle w:val="ListParagraph"/>
        <w:tabs>
          <w:tab w:val="left" w:pos="1134"/>
        </w:tabs>
        <w:spacing w:before="120" w:after="120"/>
        <w:ind w:left="1134"/>
        <w:rPr>
          <w:b/>
          <w:szCs w:val="24"/>
          <w:lang w:eastAsia="bg-BG"/>
        </w:rPr>
        <w:sectPr w:rsidR="003C5175" w:rsidRPr="001B0EA3" w:rsidSect="002305A7">
          <w:pgSz w:w="11906" w:h="16838"/>
          <w:pgMar w:top="1134" w:right="851" w:bottom="1134" w:left="1418" w:header="709" w:footer="709" w:gutter="0"/>
          <w:cols w:space="708"/>
          <w:docGrid w:linePitch="360"/>
        </w:sectPr>
      </w:pPr>
    </w:p>
    <w:p w14:paraId="28A8C10D" w14:textId="77777777" w:rsidR="00A12596" w:rsidRPr="001B0EA3" w:rsidRDefault="003D2752" w:rsidP="00890B4B">
      <w:pPr>
        <w:pStyle w:val="ListParagraph"/>
        <w:spacing w:before="120" w:after="120"/>
        <w:ind w:left="0" w:firstLine="0"/>
        <w:jc w:val="center"/>
        <w:rPr>
          <w:b/>
          <w:szCs w:val="24"/>
          <w:lang w:eastAsia="bg-BG"/>
        </w:rPr>
      </w:pPr>
      <w:r w:rsidRPr="001B0EA3">
        <w:rPr>
          <w:b/>
          <w:szCs w:val="24"/>
          <w:lang w:eastAsia="bg-BG"/>
        </w:rPr>
        <w:lastRenderedPageBreak/>
        <w:t xml:space="preserve">Елементи на </w:t>
      </w:r>
      <w:r w:rsidR="00B079D6" w:rsidRPr="001B0EA3">
        <w:rPr>
          <w:b/>
          <w:szCs w:val="24"/>
          <w:lang w:eastAsia="bg-BG"/>
        </w:rPr>
        <w:t>АРП за голям проект</w:t>
      </w:r>
    </w:p>
    <w:p w14:paraId="6D02D837" w14:textId="77777777" w:rsidR="003D2752" w:rsidRPr="001B0EA3" w:rsidRDefault="00937754" w:rsidP="00890B4B">
      <w:pPr>
        <w:pStyle w:val="ListParagraph"/>
        <w:tabs>
          <w:tab w:val="left" w:pos="426"/>
        </w:tabs>
        <w:spacing w:before="120" w:after="120"/>
        <w:ind w:left="0" w:firstLine="0"/>
        <w:jc w:val="center"/>
        <w:rPr>
          <w:szCs w:val="24"/>
          <w:lang w:eastAsia="bg-BG"/>
        </w:rPr>
      </w:pPr>
      <w:r w:rsidRPr="001B0EA3">
        <w:rPr>
          <w:noProof/>
          <w:szCs w:val="24"/>
          <w:lang w:eastAsia="bg-BG"/>
        </w:rPr>
        <w:drawing>
          <wp:inline distT="0" distB="0" distL="0" distR="0" wp14:anchorId="30C8507D" wp14:editId="0FC48808">
            <wp:extent cx="9131300" cy="5245735"/>
            <wp:effectExtent l="0" t="0" r="0" b="31115"/>
            <wp:docPr id="55" name="Diagram 178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212DAFEE" w14:textId="77777777" w:rsidR="003C5175" w:rsidRPr="001B0EA3" w:rsidRDefault="003C5175" w:rsidP="00890B4B">
      <w:pPr>
        <w:spacing w:after="120"/>
        <w:ind w:firstLine="0"/>
        <w:jc w:val="center"/>
        <w:rPr>
          <w:szCs w:val="24"/>
          <w:lang w:eastAsia="bg-BG"/>
        </w:rPr>
        <w:sectPr w:rsidR="003C5175" w:rsidRPr="001B0EA3" w:rsidSect="002E4F6D">
          <w:pgSz w:w="16838" w:h="11906" w:orient="landscape"/>
          <w:pgMar w:top="1134" w:right="1134" w:bottom="1134" w:left="1134" w:header="709" w:footer="709" w:gutter="0"/>
          <w:cols w:space="708"/>
          <w:docGrid w:linePitch="360"/>
        </w:sectPr>
      </w:pPr>
    </w:p>
    <w:p w14:paraId="70C2F594" w14:textId="77777777" w:rsidR="00D603F5" w:rsidRPr="001B0EA3" w:rsidRDefault="00D603F5" w:rsidP="00BA544A">
      <w:pPr>
        <w:rPr>
          <w:lang w:eastAsia="bg-BG"/>
        </w:rPr>
      </w:pPr>
      <w:r w:rsidRPr="001B0EA3">
        <w:rPr>
          <w:lang w:eastAsia="bg-BG"/>
        </w:rPr>
        <w:lastRenderedPageBreak/>
        <w:t xml:space="preserve">Съгласно изискванията на ЕК, интегрирането на аспектите за съхраняване, опазване и подобряване на качеството на околната среда, равенство между мъжете и жените, отчитане на социалните ефекти на пола, предотвратяване на всякаква дискриминация на основата на пол, расов или етнически произход, религия или вероизповедание, увреждане, възраст или сексуална ориентация трябва да бъдат оценени за всеки проект, включително осигуряване на достъпността на хората с увреждания, както и съответствието с правилата за държавната помощ. </w:t>
      </w:r>
    </w:p>
    <w:p w14:paraId="025430D8" w14:textId="77777777" w:rsidR="00D603F5" w:rsidRPr="001B0EA3" w:rsidRDefault="00D603F5" w:rsidP="00890B4B">
      <w:pPr>
        <w:spacing w:after="120"/>
        <w:rPr>
          <w:b/>
          <w:szCs w:val="24"/>
          <w:u w:val="single"/>
          <w:lang w:eastAsia="bg-BG"/>
        </w:rPr>
      </w:pPr>
      <w:r w:rsidRPr="001B0EA3">
        <w:rPr>
          <w:b/>
          <w:szCs w:val="24"/>
          <w:u w:val="single"/>
          <w:lang w:eastAsia="bg-BG"/>
        </w:rPr>
        <w:t>Основните групи от критерии за техническа оценка са описани по-долу.</w:t>
      </w:r>
    </w:p>
    <w:p w14:paraId="72E28E88" w14:textId="77777777" w:rsidR="00D603F5" w:rsidRPr="001B0EA3" w:rsidRDefault="00D603F5" w:rsidP="00346F28">
      <w:pPr>
        <w:pStyle w:val="Style4"/>
        <w:rPr>
          <w:lang w:eastAsia="bg-BG"/>
        </w:rPr>
      </w:pPr>
      <w:bookmarkStart w:id="597" w:name="_Toc479775652"/>
      <w:r w:rsidRPr="001B0EA3">
        <w:rPr>
          <w:lang w:eastAsia="bg-BG"/>
        </w:rPr>
        <w:t>Свързаност и съгласуваност</w:t>
      </w:r>
      <w:bookmarkEnd w:id="597"/>
      <w:r w:rsidRPr="001B0EA3">
        <w:rPr>
          <w:lang w:eastAsia="bg-BG"/>
        </w:rPr>
        <w:t xml:space="preserve"> </w:t>
      </w:r>
    </w:p>
    <w:p w14:paraId="7882DCDC" w14:textId="77777777" w:rsidR="00D603F5" w:rsidRPr="001B0EA3" w:rsidRDefault="00D603F5" w:rsidP="0019114B">
      <w:pPr>
        <w:contextualSpacing/>
        <w:rPr>
          <w:szCs w:val="24"/>
          <w:lang w:eastAsia="bg-BG"/>
        </w:rPr>
      </w:pPr>
    </w:p>
    <w:p w14:paraId="4F5FD297" w14:textId="77777777" w:rsidR="00D603F5" w:rsidRPr="001B0EA3" w:rsidRDefault="00D603F5" w:rsidP="00890B4B">
      <w:pPr>
        <w:numPr>
          <w:ilvl w:val="0"/>
          <w:numId w:val="47"/>
        </w:numPr>
        <w:ind w:left="709" w:hanging="425"/>
        <w:contextualSpacing/>
        <w:rPr>
          <w:b/>
          <w:szCs w:val="24"/>
          <w:lang w:eastAsia="bg-BG"/>
        </w:rPr>
      </w:pPr>
      <w:r w:rsidRPr="001B0EA3">
        <w:rPr>
          <w:b/>
          <w:szCs w:val="24"/>
          <w:lang w:eastAsia="bg-BG"/>
        </w:rPr>
        <w:t xml:space="preserve">с целите и приоритетите на националната и общоевропейска политика за програмния период 2014-2020 г.: </w:t>
      </w:r>
    </w:p>
    <w:p w14:paraId="2A1ECFA3" w14:textId="77777777" w:rsidR="00D603F5" w:rsidRPr="001B0EA3" w:rsidRDefault="00D603F5" w:rsidP="0019114B">
      <w:pPr>
        <w:numPr>
          <w:ilvl w:val="1"/>
          <w:numId w:val="47"/>
        </w:numPr>
        <w:tabs>
          <w:tab w:val="left" w:pos="1134"/>
        </w:tabs>
        <w:ind w:left="0" w:firstLine="425"/>
        <w:contextualSpacing/>
        <w:rPr>
          <w:szCs w:val="24"/>
          <w:lang w:eastAsia="bg-BG"/>
        </w:rPr>
      </w:pPr>
      <w:r w:rsidRPr="001B0EA3">
        <w:rPr>
          <w:szCs w:val="24"/>
          <w:lang w:eastAsia="bg-BG"/>
        </w:rPr>
        <w:t xml:space="preserve">Връзка с основните </w:t>
      </w:r>
      <w:r w:rsidRPr="001B0EA3">
        <w:rPr>
          <w:b/>
          <w:szCs w:val="24"/>
          <w:lang w:eastAsia="bg-BG"/>
        </w:rPr>
        <w:t>политики на ЕС и трансгранично влияние</w:t>
      </w:r>
      <w:r w:rsidRPr="001B0EA3">
        <w:rPr>
          <w:szCs w:val="24"/>
          <w:lang w:eastAsia="bg-BG"/>
        </w:rPr>
        <w:t xml:space="preserve"> –  Стратегия Europe 2020, EC Position Paper 2012, „Бяла книга 2011” и други приложими стратегии, и стратегически документи; да бъде налице съответствие с разпоредбите на Общия Регламент, Приложния регламент, регламентите за ЕФРР и КФ, както и с други приложими регламенти и изисквания на ЕС;</w:t>
      </w:r>
    </w:p>
    <w:p w14:paraId="7B105F73" w14:textId="77777777" w:rsidR="00D603F5" w:rsidRPr="001B0EA3" w:rsidRDefault="00D603F5" w:rsidP="0019114B">
      <w:pPr>
        <w:numPr>
          <w:ilvl w:val="1"/>
          <w:numId w:val="47"/>
        </w:numPr>
        <w:tabs>
          <w:tab w:val="left" w:pos="1134"/>
        </w:tabs>
        <w:ind w:left="0" w:firstLine="425"/>
        <w:contextualSpacing/>
        <w:rPr>
          <w:szCs w:val="24"/>
          <w:lang w:eastAsia="bg-BG"/>
        </w:rPr>
      </w:pPr>
      <w:r w:rsidRPr="001B0EA3">
        <w:rPr>
          <w:szCs w:val="24"/>
          <w:lang w:eastAsia="bg-BG"/>
        </w:rPr>
        <w:t xml:space="preserve">Връзка с </w:t>
      </w:r>
      <w:r w:rsidRPr="001B0EA3">
        <w:rPr>
          <w:b/>
          <w:szCs w:val="24"/>
          <w:lang w:eastAsia="bg-BG"/>
        </w:rPr>
        <w:t>основни национални политики</w:t>
      </w:r>
      <w:r w:rsidRPr="001B0EA3">
        <w:rPr>
          <w:szCs w:val="24"/>
          <w:lang w:eastAsia="bg-BG"/>
        </w:rPr>
        <w:t xml:space="preserve"> – Национална програма за развитие „България 2020”, Национална транспортна стратегия, Национална стратегия за регионално развитие на Република България 2012-2022, ОГПТ,  приоритетите на ОПТТИ, Споразумението за партньорство, ДНФ, процедурните наръчници и документи на УО и бенефициентите на ОПТТИ, където е приложимо и др.</w:t>
      </w:r>
    </w:p>
    <w:p w14:paraId="3E2ACAAB" w14:textId="77777777" w:rsidR="00D603F5" w:rsidRPr="001B0EA3" w:rsidRDefault="00D603F5" w:rsidP="00890B4B">
      <w:pPr>
        <w:rPr>
          <w:szCs w:val="24"/>
          <w:lang w:eastAsia="bg-BG"/>
        </w:rPr>
      </w:pPr>
    </w:p>
    <w:p w14:paraId="0AADE0C2" w14:textId="77777777" w:rsidR="00D603F5" w:rsidRPr="001B0EA3" w:rsidRDefault="00D603F5" w:rsidP="00890B4B">
      <w:pPr>
        <w:numPr>
          <w:ilvl w:val="0"/>
          <w:numId w:val="47"/>
        </w:numPr>
        <w:ind w:left="709" w:hanging="425"/>
        <w:contextualSpacing/>
        <w:rPr>
          <w:b/>
          <w:szCs w:val="24"/>
          <w:lang w:eastAsia="bg-BG"/>
        </w:rPr>
      </w:pPr>
      <w:r w:rsidRPr="001B0EA3">
        <w:rPr>
          <w:b/>
          <w:szCs w:val="24"/>
          <w:lang w:eastAsia="bg-BG"/>
        </w:rPr>
        <w:t>с основните приложими хоризонтални политики на ЕС:</w:t>
      </w:r>
    </w:p>
    <w:p w14:paraId="4B9435C3" w14:textId="77777777" w:rsidR="00D603F5" w:rsidRPr="001B0EA3" w:rsidRDefault="00D603F5" w:rsidP="0019114B">
      <w:pPr>
        <w:numPr>
          <w:ilvl w:val="1"/>
          <w:numId w:val="47"/>
        </w:numPr>
        <w:tabs>
          <w:tab w:val="left" w:pos="1134"/>
        </w:tabs>
        <w:ind w:left="0" w:firstLine="425"/>
        <w:contextualSpacing/>
        <w:rPr>
          <w:szCs w:val="24"/>
          <w:lang w:eastAsia="bg-BG"/>
        </w:rPr>
      </w:pPr>
      <w:r w:rsidRPr="001B0EA3">
        <w:rPr>
          <w:szCs w:val="24"/>
          <w:lang w:eastAsia="bg-BG"/>
        </w:rPr>
        <w:t>Устойчиво развитие, включващо:</w:t>
      </w:r>
    </w:p>
    <w:p w14:paraId="0FDF5807" w14:textId="77777777" w:rsidR="00D603F5" w:rsidRPr="001B0EA3" w:rsidRDefault="00D603F5" w:rsidP="00890B4B">
      <w:pPr>
        <w:numPr>
          <w:ilvl w:val="0"/>
          <w:numId w:val="48"/>
        </w:numPr>
        <w:ind w:left="1418"/>
        <w:contextualSpacing/>
        <w:rPr>
          <w:szCs w:val="24"/>
          <w:lang w:eastAsia="bg-BG"/>
        </w:rPr>
      </w:pPr>
      <w:r w:rsidRPr="001B0EA3">
        <w:rPr>
          <w:szCs w:val="24"/>
          <w:lang w:eastAsia="bg-BG"/>
        </w:rPr>
        <w:t>Опазване на околната среда</w:t>
      </w:r>
    </w:p>
    <w:p w14:paraId="0640C463" w14:textId="77777777" w:rsidR="00D603F5" w:rsidRPr="001B0EA3" w:rsidRDefault="00D603F5" w:rsidP="00890B4B">
      <w:pPr>
        <w:numPr>
          <w:ilvl w:val="0"/>
          <w:numId w:val="48"/>
        </w:numPr>
        <w:ind w:left="1418"/>
        <w:contextualSpacing/>
        <w:rPr>
          <w:szCs w:val="24"/>
          <w:lang w:eastAsia="bg-BG"/>
        </w:rPr>
      </w:pPr>
      <w:r w:rsidRPr="001B0EA3">
        <w:rPr>
          <w:szCs w:val="24"/>
          <w:lang w:eastAsia="bg-BG"/>
        </w:rPr>
        <w:t>Ефективно използване на ресурсите</w:t>
      </w:r>
    </w:p>
    <w:p w14:paraId="7DBAB425" w14:textId="77777777" w:rsidR="00D603F5" w:rsidRPr="001B0EA3" w:rsidRDefault="00D603F5" w:rsidP="00890B4B">
      <w:pPr>
        <w:numPr>
          <w:ilvl w:val="0"/>
          <w:numId w:val="48"/>
        </w:numPr>
        <w:ind w:left="1418"/>
        <w:contextualSpacing/>
        <w:rPr>
          <w:szCs w:val="24"/>
          <w:lang w:eastAsia="bg-BG"/>
        </w:rPr>
      </w:pPr>
      <w:r w:rsidRPr="001B0EA3">
        <w:rPr>
          <w:szCs w:val="24"/>
          <w:lang w:eastAsia="bg-BG"/>
        </w:rPr>
        <w:t>Смекчаване измененията на климата и адаптация към него</w:t>
      </w:r>
    </w:p>
    <w:p w14:paraId="7E9DF9C1" w14:textId="77777777" w:rsidR="00D603F5" w:rsidRPr="001B0EA3" w:rsidRDefault="00D603F5" w:rsidP="00890B4B">
      <w:pPr>
        <w:numPr>
          <w:ilvl w:val="0"/>
          <w:numId w:val="48"/>
        </w:numPr>
        <w:ind w:left="1418"/>
        <w:contextualSpacing/>
        <w:rPr>
          <w:szCs w:val="24"/>
          <w:lang w:eastAsia="bg-BG"/>
        </w:rPr>
      </w:pPr>
      <w:r w:rsidRPr="001B0EA3">
        <w:rPr>
          <w:szCs w:val="24"/>
          <w:lang w:eastAsia="bg-BG"/>
        </w:rPr>
        <w:t>Устойчивост при бедствия</w:t>
      </w:r>
    </w:p>
    <w:p w14:paraId="0D836D4F" w14:textId="77777777" w:rsidR="00D603F5" w:rsidRPr="001B0EA3" w:rsidRDefault="00D603F5" w:rsidP="00890B4B">
      <w:pPr>
        <w:numPr>
          <w:ilvl w:val="0"/>
          <w:numId w:val="48"/>
        </w:numPr>
        <w:ind w:left="1418"/>
        <w:contextualSpacing/>
        <w:rPr>
          <w:szCs w:val="24"/>
          <w:lang w:eastAsia="bg-BG"/>
        </w:rPr>
      </w:pPr>
      <w:r w:rsidRPr="001B0EA3">
        <w:rPr>
          <w:szCs w:val="24"/>
          <w:lang w:eastAsia="bg-BG"/>
        </w:rPr>
        <w:t>Превенция и управление на риска от бедствия</w:t>
      </w:r>
    </w:p>
    <w:p w14:paraId="06051D7C" w14:textId="77777777" w:rsidR="00D603F5" w:rsidRPr="001B0EA3" w:rsidRDefault="00D603F5" w:rsidP="0019114B">
      <w:pPr>
        <w:numPr>
          <w:ilvl w:val="1"/>
          <w:numId w:val="47"/>
        </w:numPr>
        <w:tabs>
          <w:tab w:val="left" w:pos="1134"/>
        </w:tabs>
        <w:ind w:left="0" w:firstLine="425"/>
        <w:contextualSpacing/>
        <w:rPr>
          <w:szCs w:val="24"/>
          <w:lang w:eastAsia="bg-BG"/>
        </w:rPr>
      </w:pPr>
      <w:r w:rsidRPr="001B0EA3">
        <w:rPr>
          <w:szCs w:val="24"/>
          <w:lang w:eastAsia="bg-BG"/>
        </w:rPr>
        <w:t>Равни възможности и недопускане на дискриминация</w:t>
      </w:r>
    </w:p>
    <w:p w14:paraId="0D48D0DA" w14:textId="77777777" w:rsidR="00D603F5" w:rsidRPr="001B0EA3" w:rsidRDefault="00D603F5" w:rsidP="0019114B">
      <w:pPr>
        <w:numPr>
          <w:ilvl w:val="1"/>
          <w:numId w:val="47"/>
        </w:numPr>
        <w:tabs>
          <w:tab w:val="left" w:pos="1134"/>
        </w:tabs>
        <w:ind w:left="0" w:firstLine="425"/>
        <w:contextualSpacing/>
        <w:rPr>
          <w:szCs w:val="24"/>
          <w:lang w:eastAsia="bg-BG"/>
        </w:rPr>
      </w:pPr>
      <w:r w:rsidRPr="001B0EA3">
        <w:rPr>
          <w:szCs w:val="24"/>
          <w:lang w:eastAsia="bg-BG"/>
        </w:rPr>
        <w:t>Равенство между половете</w:t>
      </w:r>
    </w:p>
    <w:p w14:paraId="3D80F484" w14:textId="77777777" w:rsidR="00D603F5" w:rsidRPr="001B0EA3" w:rsidRDefault="00D603F5" w:rsidP="0019114B">
      <w:pPr>
        <w:numPr>
          <w:ilvl w:val="1"/>
          <w:numId w:val="47"/>
        </w:numPr>
        <w:tabs>
          <w:tab w:val="left" w:pos="1134"/>
        </w:tabs>
        <w:ind w:left="0" w:firstLine="425"/>
        <w:contextualSpacing/>
        <w:rPr>
          <w:szCs w:val="24"/>
          <w:lang w:eastAsia="bg-BG"/>
        </w:rPr>
      </w:pPr>
      <w:r w:rsidRPr="001B0EA3">
        <w:rPr>
          <w:szCs w:val="24"/>
          <w:lang w:eastAsia="bg-BG"/>
        </w:rPr>
        <w:t>Партньорство и многостепенно управление</w:t>
      </w:r>
    </w:p>
    <w:p w14:paraId="17314412" w14:textId="77777777" w:rsidR="00D603F5" w:rsidRPr="001B0EA3" w:rsidRDefault="00D603F5" w:rsidP="0019114B">
      <w:pPr>
        <w:numPr>
          <w:ilvl w:val="1"/>
          <w:numId w:val="47"/>
        </w:numPr>
        <w:tabs>
          <w:tab w:val="left" w:pos="1134"/>
        </w:tabs>
        <w:ind w:left="0" w:firstLine="425"/>
        <w:contextualSpacing/>
        <w:rPr>
          <w:szCs w:val="24"/>
          <w:lang w:eastAsia="bg-BG"/>
        </w:rPr>
      </w:pPr>
      <w:r w:rsidRPr="001B0EA3">
        <w:rPr>
          <w:szCs w:val="24"/>
          <w:lang w:eastAsia="bg-BG"/>
        </w:rPr>
        <w:t>Държавни помощи</w:t>
      </w:r>
    </w:p>
    <w:p w14:paraId="580D3164" w14:textId="77777777" w:rsidR="00D603F5" w:rsidRPr="001B0EA3" w:rsidRDefault="00D603F5" w:rsidP="0019114B">
      <w:pPr>
        <w:numPr>
          <w:ilvl w:val="1"/>
          <w:numId w:val="47"/>
        </w:numPr>
        <w:tabs>
          <w:tab w:val="left" w:pos="1134"/>
        </w:tabs>
        <w:ind w:left="0" w:firstLine="425"/>
        <w:contextualSpacing/>
        <w:rPr>
          <w:szCs w:val="24"/>
          <w:lang w:eastAsia="bg-BG"/>
        </w:rPr>
      </w:pPr>
      <w:r w:rsidRPr="001B0EA3">
        <w:rPr>
          <w:szCs w:val="24"/>
          <w:lang w:eastAsia="bg-BG"/>
        </w:rPr>
        <w:t>Обществени поръчки</w:t>
      </w:r>
    </w:p>
    <w:p w14:paraId="0D2CB4C7" w14:textId="77777777" w:rsidR="00D603F5" w:rsidRPr="001B0EA3" w:rsidRDefault="00D603F5" w:rsidP="0019114B">
      <w:pPr>
        <w:numPr>
          <w:ilvl w:val="1"/>
          <w:numId w:val="47"/>
        </w:numPr>
        <w:tabs>
          <w:tab w:val="left" w:pos="1134"/>
        </w:tabs>
        <w:ind w:left="0" w:firstLine="425"/>
        <w:contextualSpacing/>
        <w:rPr>
          <w:szCs w:val="24"/>
          <w:lang w:eastAsia="bg-BG"/>
        </w:rPr>
      </w:pPr>
      <w:r w:rsidRPr="001B0EA3">
        <w:rPr>
          <w:szCs w:val="24"/>
          <w:lang w:eastAsia="bg-BG"/>
        </w:rPr>
        <w:t>Конкурентоспособност</w:t>
      </w:r>
    </w:p>
    <w:p w14:paraId="071FFBE8" w14:textId="77777777" w:rsidR="00D603F5" w:rsidRPr="001B0EA3" w:rsidRDefault="00D603F5" w:rsidP="0019114B">
      <w:pPr>
        <w:numPr>
          <w:ilvl w:val="1"/>
          <w:numId w:val="47"/>
        </w:numPr>
        <w:tabs>
          <w:tab w:val="left" w:pos="1134"/>
        </w:tabs>
        <w:ind w:left="0" w:firstLine="425"/>
        <w:contextualSpacing/>
        <w:rPr>
          <w:szCs w:val="24"/>
          <w:lang w:eastAsia="bg-BG"/>
        </w:rPr>
      </w:pPr>
      <w:r w:rsidRPr="001B0EA3">
        <w:rPr>
          <w:szCs w:val="24"/>
          <w:lang w:eastAsia="bg-BG"/>
        </w:rPr>
        <w:t>Други приложими;</w:t>
      </w:r>
    </w:p>
    <w:p w14:paraId="710F9CF0" w14:textId="77777777" w:rsidR="00D603F5" w:rsidRPr="001B0EA3" w:rsidRDefault="00D603F5" w:rsidP="00C11A99">
      <w:pPr>
        <w:ind w:left="1843"/>
        <w:contextualSpacing/>
        <w:rPr>
          <w:szCs w:val="24"/>
          <w:lang w:eastAsia="bg-BG"/>
        </w:rPr>
      </w:pPr>
    </w:p>
    <w:p w14:paraId="7F04A316" w14:textId="77777777" w:rsidR="00D603F5" w:rsidRPr="001B0EA3" w:rsidRDefault="00D603F5" w:rsidP="00C11A99">
      <w:pPr>
        <w:numPr>
          <w:ilvl w:val="0"/>
          <w:numId w:val="47"/>
        </w:numPr>
        <w:ind w:left="709" w:hanging="425"/>
        <w:contextualSpacing/>
        <w:rPr>
          <w:b/>
          <w:szCs w:val="24"/>
          <w:lang w:eastAsia="bg-BG"/>
        </w:rPr>
      </w:pPr>
      <w:r w:rsidRPr="001B0EA3">
        <w:rPr>
          <w:b/>
          <w:szCs w:val="24"/>
          <w:lang w:eastAsia="bg-BG"/>
        </w:rPr>
        <w:t xml:space="preserve">с ОПТ 2007-2013, </w:t>
      </w:r>
      <w:r w:rsidRPr="001B0EA3">
        <w:rPr>
          <w:szCs w:val="24"/>
          <w:lang w:eastAsia="bg-BG"/>
        </w:rPr>
        <w:t>с други оперативни програми и/или проекти/ инициативи в ход и финансирани от други източници</w:t>
      </w:r>
    </w:p>
    <w:p w14:paraId="6FF18597" w14:textId="77777777" w:rsidR="00D603F5" w:rsidRPr="001B0EA3" w:rsidRDefault="00D603F5" w:rsidP="00C11A99">
      <w:pPr>
        <w:ind w:left="3204"/>
        <w:contextualSpacing/>
        <w:rPr>
          <w:szCs w:val="24"/>
          <w:lang w:eastAsia="bg-BG"/>
        </w:rPr>
      </w:pPr>
    </w:p>
    <w:p w14:paraId="1F9EE2C6" w14:textId="77777777" w:rsidR="00D603F5" w:rsidRPr="00842ECC" w:rsidRDefault="00D603F5" w:rsidP="00346F28">
      <w:pPr>
        <w:pStyle w:val="Style4"/>
        <w:rPr>
          <w:lang w:val="bg-BG" w:eastAsia="bg-BG"/>
        </w:rPr>
      </w:pPr>
      <w:bookmarkStart w:id="598" w:name="_Toc479775653"/>
      <w:r w:rsidRPr="00842ECC">
        <w:rPr>
          <w:lang w:val="bg-BG" w:eastAsia="bg-BG"/>
        </w:rPr>
        <w:t>Ефективност – оценка на приноса на проектното предложение  към постигането на целите, в т.ч. цели по:</w:t>
      </w:r>
      <w:bookmarkEnd w:id="598"/>
    </w:p>
    <w:p w14:paraId="2D6E9594" w14:textId="77777777" w:rsidR="00A35960" w:rsidRPr="001B0EA3" w:rsidRDefault="00A35960" w:rsidP="0019114B">
      <w:pPr>
        <w:numPr>
          <w:ilvl w:val="0"/>
          <w:numId w:val="47"/>
        </w:numPr>
        <w:ind w:left="0" w:firstLine="850"/>
        <w:contextualSpacing/>
        <w:rPr>
          <w:szCs w:val="24"/>
          <w:lang w:eastAsia="bg-BG"/>
        </w:rPr>
      </w:pPr>
      <w:r w:rsidRPr="001B0EA3">
        <w:rPr>
          <w:b/>
          <w:szCs w:val="24"/>
          <w:lang w:eastAsia="bg-BG"/>
        </w:rPr>
        <w:t>Въздействие върху околната среда:</w:t>
      </w:r>
      <w:r w:rsidRPr="001B0EA3">
        <w:rPr>
          <w:szCs w:val="24"/>
          <w:lang w:eastAsia="bg-BG"/>
        </w:rPr>
        <w:t xml:space="preserve"> подобряване на състоянието на околната среда; предвидени мерки за намаляване, предотвратяване или компенсиране на отрицателни въздействия; липса на значително отрицателно въздействие  върху видове и природни местообитания, включително предмет на опазване в защитени зони по Натура 2000 - проверка на съответствие  с приложимите мерки от Становище № 10-6/2014 г., с което е съгласувана ОПТТИ; приключили процедури по реда на глава шеста от ЗООС и/или чл. 31 от ЗБР с влязъл в сила краен административен акт; одобрените „Насоки за интегриране на политиката по </w:t>
      </w:r>
      <w:r w:rsidRPr="001B0EA3">
        <w:rPr>
          <w:szCs w:val="24"/>
          <w:lang w:eastAsia="bg-BG"/>
        </w:rPr>
        <w:lastRenderedPageBreak/>
        <w:t>околна среда и политиката по изменение на климата в Европейските структурни и инвестиционни фондове – фаза „Изпълнение на споразумението за партньорство и програмите в периода 2014-2020 г.“;</w:t>
      </w:r>
    </w:p>
    <w:p w14:paraId="066D2BD5" w14:textId="77777777" w:rsidR="00D603F5" w:rsidRPr="001B0EA3" w:rsidRDefault="00D603F5" w:rsidP="0019114B">
      <w:pPr>
        <w:numPr>
          <w:ilvl w:val="0"/>
          <w:numId w:val="47"/>
        </w:numPr>
        <w:ind w:left="0" w:firstLine="850"/>
        <w:contextualSpacing/>
        <w:rPr>
          <w:szCs w:val="24"/>
          <w:lang w:eastAsia="bg-BG"/>
        </w:rPr>
      </w:pPr>
      <w:r w:rsidRPr="001B0EA3">
        <w:rPr>
          <w:b/>
          <w:szCs w:val="24"/>
          <w:lang w:eastAsia="bg-BG"/>
        </w:rPr>
        <w:t>Социално-икономически критерии: създадена трудова заетост</w:t>
      </w:r>
      <w:r w:rsidRPr="001B0EA3">
        <w:rPr>
          <w:szCs w:val="24"/>
          <w:lang w:eastAsia="bg-BG"/>
        </w:rPr>
        <w:t xml:space="preserve"> по време и след изпълнение на проекта; Икономическа нетна настояща стойност (</w:t>
      </w:r>
      <w:r w:rsidRPr="001B0EA3">
        <w:rPr>
          <w:b/>
          <w:szCs w:val="24"/>
          <w:lang w:eastAsia="bg-BG"/>
        </w:rPr>
        <w:t>ИННС</w:t>
      </w:r>
      <w:r w:rsidRPr="001B0EA3">
        <w:rPr>
          <w:szCs w:val="24"/>
          <w:lang w:eastAsia="bg-BG"/>
        </w:rPr>
        <w:t>) и икономическа вътрешна норма на възвращаемост (</w:t>
      </w:r>
      <w:r w:rsidRPr="001B0EA3">
        <w:rPr>
          <w:b/>
          <w:szCs w:val="24"/>
          <w:lang w:eastAsia="bg-BG"/>
        </w:rPr>
        <w:t>ИВНВ</w:t>
      </w:r>
      <w:r w:rsidRPr="001B0EA3">
        <w:rPr>
          <w:szCs w:val="24"/>
          <w:lang w:eastAsia="bg-BG"/>
        </w:rPr>
        <w:t>) - ИННС на един проект трябва да е &gt; 0, а ИВНВ трябва да е &gt; 5,5 %, за да се дефинира като проект, който допринася за повече ползи за обществото като цяло, отколкото са разходите за неговата реализация.</w:t>
      </w:r>
    </w:p>
    <w:p w14:paraId="25372E6C" w14:textId="77777777" w:rsidR="00D603F5" w:rsidRPr="001B0EA3" w:rsidRDefault="00D603F5" w:rsidP="0019114B">
      <w:pPr>
        <w:numPr>
          <w:ilvl w:val="0"/>
          <w:numId w:val="47"/>
        </w:numPr>
        <w:ind w:left="0" w:firstLine="850"/>
        <w:contextualSpacing/>
        <w:rPr>
          <w:szCs w:val="24"/>
          <w:lang w:eastAsia="bg-BG"/>
        </w:rPr>
      </w:pPr>
      <w:r w:rsidRPr="001B0EA3">
        <w:rPr>
          <w:szCs w:val="24"/>
          <w:lang w:eastAsia="bg-BG"/>
        </w:rPr>
        <w:t xml:space="preserve">Подобряване на </w:t>
      </w:r>
      <w:r w:rsidRPr="001B0EA3">
        <w:rPr>
          <w:b/>
          <w:szCs w:val="24"/>
          <w:lang w:eastAsia="bg-BG"/>
        </w:rPr>
        <w:t>безопасността</w:t>
      </w:r>
      <w:r w:rsidRPr="001B0EA3">
        <w:rPr>
          <w:szCs w:val="24"/>
          <w:lang w:eastAsia="bg-BG"/>
        </w:rPr>
        <w:t xml:space="preserve"> на транспорта;</w:t>
      </w:r>
    </w:p>
    <w:p w14:paraId="50FCA6DF" w14:textId="77777777" w:rsidR="00A35960" w:rsidRPr="001B0EA3" w:rsidRDefault="00A35960" w:rsidP="0019114B">
      <w:pPr>
        <w:numPr>
          <w:ilvl w:val="0"/>
          <w:numId w:val="47"/>
        </w:numPr>
        <w:ind w:left="0" w:firstLine="850"/>
        <w:contextualSpacing/>
        <w:rPr>
          <w:szCs w:val="24"/>
          <w:lang w:eastAsia="bg-BG"/>
        </w:rPr>
      </w:pPr>
      <w:r w:rsidRPr="001B0EA3">
        <w:rPr>
          <w:b/>
          <w:szCs w:val="24"/>
          <w:lang w:eastAsia="bg-BG"/>
        </w:rPr>
        <w:t>Проектна готовност –</w:t>
      </w:r>
      <w:r w:rsidRPr="001B0EA3">
        <w:rPr>
          <w:szCs w:val="24"/>
          <w:lang w:eastAsia="bg-BG"/>
        </w:rPr>
        <w:t xml:space="preserve"> тя е индикация за вложените до момента средства по проектното предложение, както и за степента на </w:t>
      </w:r>
      <w:r w:rsidRPr="001B0EA3">
        <w:rPr>
          <w:b/>
          <w:szCs w:val="24"/>
          <w:lang w:eastAsia="bg-BG"/>
        </w:rPr>
        <w:t>риска за осъществяването</w:t>
      </w:r>
      <w:r w:rsidRPr="001B0EA3">
        <w:rPr>
          <w:szCs w:val="24"/>
          <w:lang w:eastAsia="bg-BG"/>
        </w:rPr>
        <w:t xml:space="preserve"> на проекта (включително изяснено устройствено планиране и провеждане на отчуждителни процедури); проверява се за наличие на пред-проектни проучвания идеен/технически проект; приключила процедура по реда на глава шеста от ЗООС и/или чл. 31 от ЗБР с влязъл в сила краен административен акт;  </w:t>
      </w:r>
    </w:p>
    <w:p w14:paraId="079A975A" w14:textId="77777777" w:rsidR="00D603F5" w:rsidRPr="001B0EA3" w:rsidRDefault="00D603F5" w:rsidP="0019114B">
      <w:pPr>
        <w:numPr>
          <w:ilvl w:val="0"/>
          <w:numId w:val="47"/>
        </w:numPr>
        <w:ind w:left="0" w:firstLine="850"/>
        <w:contextualSpacing/>
        <w:rPr>
          <w:szCs w:val="24"/>
          <w:lang w:eastAsia="bg-BG"/>
        </w:rPr>
      </w:pPr>
      <w:r w:rsidRPr="001B0EA3">
        <w:rPr>
          <w:szCs w:val="24"/>
          <w:lang w:eastAsia="bg-BG"/>
        </w:rPr>
        <w:t xml:space="preserve">Проектното предложение има принос </w:t>
      </w:r>
      <w:r w:rsidRPr="001B0EA3">
        <w:rPr>
          <w:b/>
          <w:szCs w:val="24"/>
          <w:lang w:eastAsia="bg-BG"/>
        </w:rPr>
        <w:t>за европейска добавена стойност:</w:t>
      </w:r>
      <w:r w:rsidRPr="001B0EA3">
        <w:rPr>
          <w:szCs w:val="24"/>
          <w:lang w:eastAsia="bg-BG"/>
        </w:rPr>
        <w:t xml:space="preserve"> Преценява се степента на реализиране на проекта в рамките на ЕС (не единствено на национално ниво).</w:t>
      </w:r>
    </w:p>
    <w:p w14:paraId="50ACFF1B" w14:textId="77777777" w:rsidR="00D603F5" w:rsidRPr="001B0EA3" w:rsidRDefault="00D603F5" w:rsidP="00C11A99">
      <w:pPr>
        <w:ind w:left="2484"/>
        <w:contextualSpacing/>
        <w:rPr>
          <w:szCs w:val="24"/>
          <w:lang w:eastAsia="bg-BG"/>
        </w:rPr>
      </w:pPr>
    </w:p>
    <w:p w14:paraId="17C39D7B" w14:textId="77777777" w:rsidR="00D603F5" w:rsidRPr="00842ECC" w:rsidRDefault="00D603F5" w:rsidP="006904E5">
      <w:pPr>
        <w:pStyle w:val="Style4"/>
        <w:ind w:left="-142" w:firstLine="1222"/>
        <w:rPr>
          <w:lang w:val="bg-BG" w:eastAsia="bg-BG"/>
        </w:rPr>
      </w:pPr>
      <w:bookmarkStart w:id="599" w:name="_Toc479775654"/>
      <w:r w:rsidRPr="00842ECC">
        <w:rPr>
          <w:lang w:val="bg-BG" w:eastAsia="bg-BG"/>
        </w:rPr>
        <w:t>Ефикасност - показва отношението на постигнатия резултат спрямо вложените ресурсите (финансови, времеви), необходими за постигане на целите.</w:t>
      </w:r>
      <w:bookmarkEnd w:id="599"/>
    </w:p>
    <w:p w14:paraId="467D3606" w14:textId="77777777" w:rsidR="00D603F5" w:rsidRPr="001B0EA3" w:rsidRDefault="00D603F5" w:rsidP="0019114B">
      <w:pPr>
        <w:numPr>
          <w:ilvl w:val="0"/>
          <w:numId w:val="47"/>
        </w:numPr>
        <w:ind w:left="0" w:firstLine="850"/>
        <w:contextualSpacing/>
        <w:rPr>
          <w:color w:val="000000"/>
          <w:szCs w:val="24"/>
          <w:lang w:eastAsia="bg-BG"/>
        </w:rPr>
      </w:pPr>
      <w:r w:rsidRPr="001B0EA3">
        <w:rPr>
          <w:b/>
          <w:szCs w:val="24"/>
          <w:lang w:eastAsia="bg-BG"/>
        </w:rPr>
        <w:t>Финансов капацитет</w:t>
      </w:r>
      <w:r w:rsidRPr="001B0EA3">
        <w:rPr>
          <w:szCs w:val="24"/>
          <w:lang w:eastAsia="bg-BG"/>
        </w:rPr>
        <w:t xml:space="preserve"> на бенефициента - във формуляра за кандидатстване да бъде показан правният статут на бенефициента и неговият финансовия капацитет да изпълни дейностите в проектното предложение </w:t>
      </w:r>
      <w:r w:rsidRPr="001B0EA3">
        <w:rPr>
          <w:color w:val="000000"/>
          <w:szCs w:val="24"/>
          <w:vertAlign w:val="superscript"/>
          <w:lang w:eastAsia="bg-BG"/>
        </w:rPr>
        <w:footnoteReference w:id="53"/>
      </w:r>
      <w:r w:rsidRPr="001B0EA3">
        <w:rPr>
          <w:color w:val="000000"/>
          <w:szCs w:val="24"/>
          <w:lang w:eastAsia="bg-BG"/>
        </w:rPr>
        <w:t>.</w:t>
      </w:r>
    </w:p>
    <w:p w14:paraId="4C8E62D0" w14:textId="77777777" w:rsidR="00D603F5" w:rsidRPr="001B0EA3" w:rsidRDefault="00D603F5" w:rsidP="0019114B">
      <w:pPr>
        <w:numPr>
          <w:ilvl w:val="0"/>
          <w:numId w:val="47"/>
        </w:numPr>
        <w:ind w:left="0" w:firstLine="850"/>
        <w:contextualSpacing/>
        <w:rPr>
          <w:szCs w:val="24"/>
          <w:lang w:eastAsia="bg-BG"/>
        </w:rPr>
      </w:pPr>
      <w:r w:rsidRPr="001B0EA3">
        <w:rPr>
          <w:b/>
          <w:szCs w:val="24"/>
          <w:lang w:eastAsia="bg-BG"/>
        </w:rPr>
        <w:t>Административен и оперативен капацитет</w:t>
      </w:r>
      <w:r w:rsidRPr="001B0EA3">
        <w:rPr>
          <w:szCs w:val="24"/>
          <w:lang w:eastAsia="bg-BG"/>
        </w:rPr>
        <w:t xml:space="preserve"> на бенефициента - в проектното предложение е показано, че бенефициента разполага с необходимия административен и оперативен капацитет за изпълнение на дейностите по проектното предложение</w:t>
      </w:r>
      <w:r w:rsidRPr="001B0EA3">
        <w:rPr>
          <w:color w:val="000000"/>
          <w:szCs w:val="24"/>
          <w:vertAlign w:val="superscript"/>
          <w:lang w:eastAsia="bg-BG"/>
        </w:rPr>
        <w:t>1</w:t>
      </w:r>
      <w:r w:rsidRPr="001B0EA3">
        <w:rPr>
          <w:color w:val="000000"/>
          <w:szCs w:val="24"/>
          <w:lang w:eastAsia="bg-BG"/>
        </w:rPr>
        <w:t xml:space="preserve">; </w:t>
      </w:r>
      <w:r w:rsidRPr="001B0EA3">
        <w:rPr>
          <w:szCs w:val="24"/>
          <w:lang w:eastAsia="bg-BG"/>
        </w:rPr>
        <w:t>Установена е действаща ясна структура за управление/ изпълнение на проекта; Създадени и действащи системи за добро управление и контрол.</w:t>
      </w:r>
    </w:p>
    <w:p w14:paraId="0D71AF37" w14:textId="77777777" w:rsidR="00D603F5" w:rsidRPr="001B0EA3" w:rsidRDefault="00D603F5" w:rsidP="0019114B">
      <w:pPr>
        <w:numPr>
          <w:ilvl w:val="0"/>
          <w:numId w:val="47"/>
        </w:numPr>
        <w:ind w:left="0" w:firstLine="850"/>
        <w:contextualSpacing/>
        <w:rPr>
          <w:b/>
          <w:szCs w:val="24"/>
          <w:lang w:eastAsia="bg-BG"/>
        </w:rPr>
      </w:pPr>
      <w:r w:rsidRPr="001B0EA3">
        <w:rPr>
          <w:b/>
          <w:szCs w:val="24"/>
          <w:lang w:eastAsia="bg-BG"/>
        </w:rPr>
        <w:t xml:space="preserve">Оценка на Финансов план: </w:t>
      </w:r>
      <w:r w:rsidRPr="001B0EA3">
        <w:rPr>
          <w:szCs w:val="24"/>
          <w:lang w:eastAsia="bg-BG"/>
        </w:rPr>
        <w:t>Основан на реалистична програма за физическо изпълнение; разработен в детайли; осигурени от бенефициента приемливи източници за финансиране на недопустими разходи, собствено съ-финансиране и за управление на проекта; разходите по проекта трябва да са в съответствие с изискванията, заложени в чл. 61 от Регламент (ЕС) № 1303/2013 г. на ЕК, съгласно насоките на ЕК за изготвяне на анализ за разходите и ползите за инвестиционни проекти за програмния период 2014-2020 г. и Национална методология за изготвяне на анализ за разходите и ползите в нейното последно издание;</w:t>
      </w:r>
      <w:r w:rsidRPr="001B0EA3">
        <w:rPr>
          <w:b/>
          <w:szCs w:val="24"/>
          <w:lang w:eastAsia="bg-BG"/>
        </w:rPr>
        <w:t xml:space="preserve"> </w:t>
      </w:r>
      <w:r w:rsidRPr="001B0EA3">
        <w:rPr>
          <w:szCs w:val="24"/>
          <w:lang w:eastAsia="bg-BG"/>
        </w:rPr>
        <w:t xml:space="preserve">Всички недопустими разходи трябва да бъдат извадени от стойността на предоставената безвъзмездна помощ; проверка за съответствие с правилата за държавни помощи. </w:t>
      </w:r>
    </w:p>
    <w:p w14:paraId="5D5B88CD" w14:textId="77777777" w:rsidR="00D603F5" w:rsidRPr="001B0EA3" w:rsidRDefault="00D603F5" w:rsidP="0019114B">
      <w:pPr>
        <w:numPr>
          <w:ilvl w:val="0"/>
          <w:numId w:val="47"/>
        </w:numPr>
        <w:tabs>
          <w:tab w:val="left" w:pos="284"/>
        </w:tabs>
        <w:ind w:left="0" w:firstLine="850"/>
        <w:contextualSpacing/>
        <w:rPr>
          <w:szCs w:val="24"/>
          <w:lang w:eastAsia="bg-BG"/>
        </w:rPr>
      </w:pPr>
      <w:r w:rsidRPr="001B0EA3">
        <w:rPr>
          <w:b/>
          <w:szCs w:val="24"/>
          <w:lang w:eastAsia="bg-BG"/>
        </w:rPr>
        <w:t xml:space="preserve">Анализ и оценка на риска: </w:t>
      </w:r>
      <w:r w:rsidRPr="001B0EA3">
        <w:rPr>
          <w:szCs w:val="24"/>
          <w:lang w:eastAsia="bg-BG"/>
        </w:rPr>
        <w:t>адекватно и приложимо определяне на потенциалните и реалните рискове; формулирани подходящи мерки за преодоляването им;</w:t>
      </w:r>
    </w:p>
    <w:p w14:paraId="1B9C06AD" w14:textId="77777777" w:rsidR="00D603F5" w:rsidRPr="001B0EA3" w:rsidRDefault="00D603F5" w:rsidP="0019114B">
      <w:pPr>
        <w:numPr>
          <w:ilvl w:val="0"/>
          <w:numId w:val="47"/>
        </w:numPr>
        <w:ind w:left="0" w:firstLine="850"/>
        <w:contextualSpacing/>
        <w:rPr>
          <w:szCs w:val="24"/>
          <w:lang w:eastAsia="bg-BG"/>
        </w:rPr>
      </w:pPr>
      <w:r w:rsidRPr="001B0EA3">
        <w:rPr>
          <w:b/>
          <w:szCs w:val="24"/>
          <w:lang w:eastAsia="bg-BG"/>
        </w:rPr>
        <w:t>График за изпълнение на проекта</w:t>
      </w:r>
      <w:r w:rsidRPr="001B0EA3">
        <w:rPr>
          <w:szCs w:val="24"/>
          <w:lang w:eastAsia="bg-BG"/>
        </w:rPr>
        <w:t xml:space="preserve"> - изпълнението и приключването на проекта попада в периода на действие на програмата.</w:t>
      </w:r>
    </w:p>
    <w:p w14:paraId="4BB8EB65" w14:textId="77777777" w:rsidR="00D603F5" w:rsidRPr="001B0EA3" w:rsidRDefault="00D603F5" w:rsidP="0019114B">
      <w:pPr>
        <w:numPr>
          <w:ilvl w:val="0"/>
          <w:numId w:val="47"/>
        </w:numPr>
        <w:ind w:left="0" w:firstLine="850"/>
        <w:contextualSpacing/>
        <w:rPr>
          <w:szCs w:val="24"/>
          <w:lang w:eastAsia="bg-BG"/>
        </w:rPr>
      </w:pPr>
      <w:r w:rsidRPr="001B0EA3">
        <w:rPr>
          <w:szCs w:val="24"/>
          <w:lang w:eastAsia="bg-BG"/>
        </w:rPr>
        <w:t xml:space="preserve">Наличие на </w:t>
      </w:r>
      <w:r w:rsidRPr="001B0EA3">
        <w:rPr>
          <w:b/>
          <w:szCs w:val="24"/>
          <w:lang w:eastAsia="bg-BG"/>
        </w:rPr>
        <w:t>от реалистични и измерими индикатори</w:t>
      </w:r>
      <w:r w:rsidRPr="001B0EA3">
        <w:rPr>
          <w:szCs w:val="24"/>
          <w:lang w:eastAsia="bg-BG"/>
        </w:rPr>
        <w:t>, приложими за проследяване на напредъка по проекта  и измерване на общия напредък по отношение постигане на целите по приоритетната ос и по програмата</w:t>
      </w:r>
    </w:p>
    <w:p w14:paraId="102B65A6" w14:textId="77777777" w:rsidR="00D603F5" w:rsidRPr="001B0EA3" w:rsidRDefault="00D603F5" w:rsidP="00C11A99">
      <w:pPr>
        <w:rPr>
          <w:szCs w:val="24"/>
          <w:lang w:eastAsia="bg-BG"/>
        </w:rPr>
      </w:pPr>
    </w:p>
    <w:p w14:paraId="6BE7509E" w14:textId="77777777" w:rsidR="00D603F5" w:rsidRPr="00842ECC" w:rsidRDefault="00D603F5" w:rsidP="00346F28">
      <w:pPr>
        <w:pStyle w:val="Style4"/>
        <w:rPr>
          <w:lang w:val="bg-BG" w:eastAsia="bg-BG"/>
        </w:rPr>
      </w:pPr>
      <w:bookmarkStart w:id="600" w:name="_Toc479775655"/>
      <w:r w:rsidRPr="00842ECC">
        <w:rPr>
          <w:lang w:val="bg-BG" w:eastAsia="bg-BG"/>
        </w:rPr>
        <w:lastRenderedPageBreak/>
        <w:t>Устойчивост на очакваните резултати от проектното предложение от гледна точка на консумирани ресурси, въздействие върху околната среда, също и финансова, експлоатационна и институционална устойчивост.</w:t>
      </w:r>
      <w:bookmarkEnd w:id="600"/>
    </w:p>
    <w:p w14:paraId="240CA9E6" w14:textId="77777777" w:rsidR="00D603F5" w:rsidRPr="001B0EA3" w:rsidRDefault="00D603F5" w:rsidP="0019114B">
      <w:pPr>
        <w:numPr>
          <w:ilvl w:val="0"/>
          <w:numId w:val="47"/>
        </w:numPr>
        <w:ind w:left="0" w:firstLine="850"/>
        <w:contextualSpacing/>
        <w:rPr>
          <w:szCs w:val="24"/>
          <w:lang w:eastAsia="bg-BG"/>
        </w:rPr>
      </w:pPr>
      <w:r w:rsidRPr="001B0EA3">
        <w:rPr>
          <w:szCs w:val="24"/>
          <w:lang w:eastAsia="bg-BG"/>
        </w:rPr>
        <w:t xml:space="preserve">Представени доказателства за осигурено </w:t>
      </w:r>
      <w:r w:rsidRPr="001B0EA3">
        <w:rPr>
          <w:b/>
          <w:szCs w:val="24"/>
          <w:lang w:eastAsia="bg-BG"/>
        </w:rPr>
        <w:t>партньорство и консенсус</w:t>
      </w:r>
      <w:r w:rsidRPr="001B0EA3">
        <w:rPr>
          <w:szCs w:val="24"/>
          <w:lang w:eastAsia="bg-BG"/>
        </w:rPr>
        <w:t xml:space="preserve"> между страните както по време на изпълнението, така и след завършването на проекта;</w:t>
      </w:r>
    </w:p>
    <w:p w14:paraId="14DE90A2" w14:textId="77777777" w:rsidR="00D603F5" w:rsidRPr="001B0EA3" w:rsidRDefault="00D603F5" w:rsidP="0019114B">
      <w:pPr>
        <w:numPr>
          <w:ilvl w:val="0"/>
          <w:numId w:val="47"/>
        </w:numPr>
        <w:ind w:left="0" w:firstLine="850"/>
        <w:contextualSpacing/>
        <w:rPr>
          <w:szCs w:val="24"/>
          <w:lang w:eastAsia="bg-BG"/>
        </w:rPr>
      </w:pPr>
      <w:r w:rsidRPr="001B0EA3">
        <w:rPr>
          <w:szCs w:val="24"/>
          <w:lang w:eastAsia="bg-BG"/>
        </w:rPr>
        <w:t xml:space="preserve">Доказана </w:t>
      </w:r>
      <w:r w:rsidRPr="001B0EA3">
        <w:rPr>
          <w:b/>
          <w:szCs w:val="24"/>
          <w:lang w:eastAsia="bg-BG"/>
        </w:rPr>
        <w:t>жизнеспособност</w:t>
      </w:r>
      <w:r w:rsidRPr="001B0EA3">
        <w:rPr>
          <w:szCs w:val="24"/>
          <w:lang w:eastAsia="bg-BG"/>
        </w:rPr>
        <w:t xml:space="preserve"> на проекта – наличие на осигурени ресурси за експлоатация и поддръжка на проекта;</w:t>
      </w:r>
    </w:p>
    <w:p w14:paraId="395F538B" w14:textId="77777777" w:rsidR="00A35960" w:rsidRPr="001B0EA3" w:rsidRDefault="00A35960" w:rsidP="00C11A99">
      <w:pPr>
        <w:numPr>
          <w:ilvl w:val="0"/>
          <w:numId w:val="47"/>
        </w:numPr>
        <w:spacing w:before="120"/>
        <w:ind w:left="0" w:firstLine="851"/>
        <w:rPr>
          <w:szCs w:val="24"/>
          <w:lang w:eastAsia="bg-BG"/>
        </w:rPr>
      </w:pPr>
      <w:r w:rsidRPr="001B0EA3">
        <w:rPr>
          <w:b/>
          <w:szCs w:val="24"/>
          <w:lang w:eastAsia="bg-BG"/>
        </w:rPr>
        <w:t>На околната среда</w:t>
      </w:r>
      <w:r w:rsidRPr="001B0EA3">
        <w:rPr>
          <w:szCs w:val="24"/>
          <w:lang w:eastAsia="bg-BG"/>
        </w:rPr>
        <w:t xml:space="preserve"> - в съответствие с приложимите мерки в  Становището по екологична оценка № 10-6/2014 г. на ОПТТИ и с влезли в сила крайни актове по реда на глава шеста от ЗООС и/или чл. 31 от ЗБР и одобрените „Насоки за интегриране на политиката по околна среда и политиката по изменение на климата в Европейските структурни и инвестиционни фондове – фаза „Изпълнение на споразумението за партньорство и програмите в периода 2014-2020 г.</w:t>
      </w:r>
    </w:p>
    <w:p w14:paraId="1914DA48" w14:textId="77777777" w:rsidR="00D603F5" w:rsidRPr="001B0EA3" w:rsidRDefault="00D603F5" w:rsidP="00C11A99">
      <w:pPr>
        <w:ind w:left="851"/>
        <w:contextualSpacing/>
        <w:rPr>
          <w:szCs w:val="24"/>
          <w:lang w:eastAsia="bg-BG"/>
        </w:rPr>
      </w:pPr>
    </w:p>
    <w:p w14:paraId="5006CD61" w14:textId="77777777" w:rsidR="00D603F5" w:rsidRPr="001B0EA3" w:rsidRDefault="00D603F5" w:rsidP="00346F28">
      <w:pPr>
        <w:pStyle w:val="Style4"/>
        <w:rPr>
          <w:lang w:eastAsia="bg-BG"/>
        </w:rPr>
      </w:pPr>
      <w:bookmarkStart w:id="601" w:name="_Toc479775656"/>
      <w:r w:rsidRPr="001B0EA3">
        <w:rPr>
          <w:lang w:eastAsia="bg-BG"/>
        </w:rPr>
        <w:t>Специфични критерии по приоритетни оси</w:t>
      </w:r>
      <w:bookmarkEnd w:id="601"/>
      <w:r w:rsidRPr="001B0EA3">
        <w:rPr>
          <w:lang w:eastAsia="bg-BG"/>
        </w:rPr>
        <w:t xml:space="preserve"> </w:t>
      </w:r>
    </w:p>
    <w:p w14:paraId="3001D82F" w14:textId="77777777" w:rsidR="00D603F5" w:rsidRPr="001B0EA3" w:rsidRDefault="00D603F5" w:rsidP="00C11A99">
      <w:pPr>
        <w:pStyle w:val="ListParagraph"/>
        <w:numPr>
          <w:ilvl w:val="0"/>
          <w:numId w:val="153"/>
        </w:numPr>
        <w:tabs>
          <w:tab w:val="left" w:pos="851"/>
        </w:tabs>
        <w:ind w:left="0" w:firstLine="567"/>
        <w:rPr>
          <w:szCs w:val="24"/>
          <w:lang w:eastAsia="bg-BG"/>
        </w:rPr>
      </w:pPr>
      <w:r w:rsidRPr="001B0EA3">
        <w:rPr>
          <w:b/>
          <w:szCs w:val="24"/>
          <w:lang w:eastAsia="bg-BG"/>
        </w:rPr>
        <w:t>Приоритетна ос 1</w:t>
      </w:r>
      <w:r w:rsidRPr="001B0EA3">
        <w:rPr>
          <w:szCs w:val="24"/>
          <w:lang w:eastAsia="bg-BG"/>
        </w:rPr>
        <w:t xml:space="preserve"> „Развитие на железопътната инфраструктура по „основната” Трансевропейска транспортна мрежа” (</w:t>
      </w:r>
      <w:r w:rsidRPr="001B0EA3">
        <w:rPr>
          <w:i/>
          <w:szCs w:val="24"/>
          <w:lang w:eastAsia="bg-BG"/>
        </w:rPr>
        <w:t>ПО1</w:t>
      </w:r>
      <w:r w:rsidRPr="001B0EA3">
        <w:rPr>
          <w:szCs w:val="24"/>
          <w:lang w:eastAsia="bg-BG"/>
        </w:rPr>
        <w:t xml:space="preserve">): </w:t>
      </w:r>
    </w:p>
    <w:p w14:paraId="51CF43A9" w14:textId="77777777" w:rsidR="00D603F5" w:rsidRPr="001B0EA3" w:rsidRDefault="00D603F5" w:rsidP="00C11A99">
      <w:pPr>
        <w:ind w:firstLine="567"/>
        <w:contextualSpacing/>
        <w:rPr>
          <w:szCs w:val="24"/>
          <w:lang w:eastAsia="bg-BG"/>
        </w:rPr>
      </w:pPr>
      <w:r w:rsidRPr="001B0EA3">
        <w:rPr>
          <w:szCs w:val="24"/>
          <w:lang w:eastAsia="bg-BG"/>
        </w:rPr>
        <w:t xml:space="preserve">При оценката на проектите по </w:t>
      </w:r>
      <w:r w:rsidRPr="001B0EA3">
        <w:rPr>
          <w:b/>
          <w:i/>
          <w:szCs w:val="24"/>
          <w:lang w:eastAsia="bg-BG"/>
        </w:rPr>
        <w:t>ПО1</w:t>
      </w:r>
      <w:r w:rsidRPr="001B0EA3">
        <w:rPr>
          <w:szCs w:val="24"/>
          <w:lang w:eastAsia="bg-BG"/>
        </w:rPr>
        <w:t xml:space="preserve"> ще се търси отчитане на покриването на следните под-критерии:</w:t>
      </w:r>
    </w:p>
    <w:p w14:paraId="17639A44" w14:textId="77777777" w:rsidR="00D603F5" w:rsidRPr="001B0EA3" w:rsidRDefault="00D603F5" w:rsidP="00C11A99">
      <w:pPr>
        <w:ind w:firstLine="567"/>
        <w:contextualSpacing/>
        <w:rPr>
          <w:szCs w:val="24"/>
          <w:lang w:eastAsia="bg-BG"/>
        </w:rPr>
      </w:pPr>
      <w:r w:rsidRPr="001B0EA3">
        <w:rPr>
          <w:szCs w:val="24"/>
          <w:lang w:eastAsia="bg-BG"/>
        </w:rPr>
        <w:t>-</w:t>
      </w:r>
      <w:r w:rsidRPr="001B0EA3">
        <w:rPr>
          <w:szCs w:val="24"/>
          <w:lang w:eastAsia="bg-BG"/>
        </w:rPr>
        <w:tab/>
        <w:t>степен на</w:t>
      </w:r>
      <w:r w:rsidRPr="001B0EA3">
        <w:rPr>
          <w:b/>
          <w:szCs w:val="24"/>
          <w:lang w:eastAsia="bg-BG"/>
        </w:rPr>
        <w:t xml:space="preserve"> привличане</w:t>
      </w:r>
      <w:r w:rsidRPr="001B0EA3">
        <w:rPr>
          <w:szCs w:val="24"/>
          <w:lang w:eastAsia="bg-BG"/>
        </w:rPr>
        <w:t xml:space="preserve"> на пътници и товари от автомобилен към железопътен транспорт;</w:t>
      </w:r>
    </w:p>
    <w:p w14:paraId="6321DD72" w14:textId="77777777" w:rsidR="00D603F5" w:rsidRPr="001B0EA3" w:rsidRDefault="00D603F5" w:rsidP="00C11A99">
      <w:pPr>
        <w:ind w:firstLine="567"/>
        <w:contextualSpacing/>
        <w:rPr>
          <w:szCs w:val="24"/>
          <w:lang w:eastAsia="bg-BG"/>
        </w:rPr>
      </w:pPr>
      <w:r w:rsidRPr="001B0EA3">
        <w:rPr>
          <w:szCs w:val="24"/>
          <w:lang w:eastAsia="bg-BG"/>
        </w:rPr>
        <w:t>-</w:t>
      </w:r>
      <w:r w:rsidRPr="001B0EA3">
        <w:rPr>
          <w:szCs w:val="24"/>
          <w:lang w:eastAsia="bg-BG"/>
        </w:rPr>
        <w:tab/>
        <w:t>степен на</w:t>
      </w:r>
      <w:r w:rsidRPr="001B0EA3">
        <w:rPr>
          <w:b/>
          <w:szCs w:val="24"/>
          <w:lang w:eastAsia="bg-BG"/>
        </w:rPr>
        <w:t xml:space="preserve"> привеждане</w:t>
      </w:r>
      <w:r w:rsidRPr="001B0EA3">
        <w:rPr>
          <w:szCs w:val="24"/>
          <w:lang w:eastAsia="bg-BG"/>
        </w:rPr>
        <w:t xml:space="preserve"> на железопътна инфраструктура в съответствие с изискванията за оперативна съвместимост;</w:t>
      </w:r>
    </w:p>
    <w:p w14:paraId="253947D7" w14:textId="77777777" w:rsidR="00D603F5" w:rsidRPr="001B0EA3" w:rsidRDefault="00D603F5" w:rsidP="00C11A99">
      <w:pPr>
        <w:ind w:firstLine="567"/>
        <w:contextualSpacing/>
        <w:rPr>
          <w:szCs w:val="24"/>
          <w:lang w:eastAsia="bg-BG"/>
        </w:rPr>
      </w:pPr>
      <w:r w:rsidRPr="001B0EA3">
        <w:rPr>
          <w:szCs w:val="24"/>
          <w:lang w:eastAsia="bg-BG"/>
        </w:rPr>
        <w:t>-</w:t>
      </w:r>
      <w:r w:rsidRPr="001B0EA3">
        <w:rPr>
          <w:szCs w:val="24"/>
          <w:lang w:eastAsia="bg-BG"/>
        </w:rPr>
        <w:tab/>
        <w:t>степен на</w:t>
      </w:r>
      <w:r w:rsidRPr="001B0EA3">
        <w:rPr>
          <w:b/>
          <w:szCs w:val="24"/>
          <w:lang w:eastAsia="bg-BG"/>
        </w:rPr>
        <w:t xml:space="preserve"> внедряване</w:t>
      </w:r>
      <w:r w:rsidRPr="001B0EA3">
        <w:rPr>
          <w:szCs w:val="24"/>
          <w:lang w:eastAsia="bg-BG"/>
        </w:rPr>
        <w:t xml:space="preserve"> на системи за управление движението на влаковете ERTMS;</w:t>
      </w:r>
    </w:p>
    <w:p w14:paraId="2185CC63" w14:textId="77777777" w:rsidR="00D603F5" w:rsidRPr="001B0EA3" w:rsidRDefault="00D603F5" w:rsidP="0019114B">
      <w:pPr>
        <w:contextualSpacing/>
        <w:rPr>
          <w:szCs w:val="24"/>
          <w:lang w:eastAsia="bg-BG"/>
        </w:rPr>
      </w:pPr>
    </w:p>
    <w:p w14:paraId="24FEBE2B" w14:textId="77777777" w:rsidR="00D603F5" w:rsidRPr="001B0EA3" w:rsidRDefault="00D603F5" w:rsidP="00C11A99">
      <w:pPr>
        <w:pStyle w:val="ListParagraph"/>
        <w:numPr>
          <w:ilvl w:val="0"/>
          <w:numId w:val="153"/>
        </w:numPr>
        <w:tabs>
          <w:tab w:val="left" w:pos="851"/>
        </w:tabs>
        <w:ind w:left="0" w:firstLine="567"/>
        <w:rPr>
          <w:szCs w:val="24"/>
          <w:lang w:eastAsia="bg-BG"/>
        </w:rPr>
      </w:pPr>
      <w:r w:rsidRPr="001B0EA3">
        <w:rPr>
          <w:b/>
          <w:szCs w:val="24"/>
          <w:lang w:eastAsia="bg-BG"/>
        </w:rPr>
        <w:t xml:space="preserve">Приоритетна ос 2 </w:t>
      </w:r>
      <w:r w:rsidRPr="001B0EA3">
        <w:rPr>
          <w:szCs w:val="24"/>
          <w:lang w:eastAsia="bg-BG"/>
        </w:rPr>
        <w:t>„Развитие на пътната инфраструктура по „основната” и „разширената“ Трансевропейска транспортна мрежа“ (</w:t>
      </w:r>
      <w:r w:rsidRPr="001B0EA3">
        <w:rPr>
          <w:i/>
          <w:szCs w:val="24"/>
          <w:lang w:eastAsia="bg-BG"/>
        </w:rPr>
        <w:t>ПО2</w:t>
      </w:r>
      <w:r w:rsidRPr="001B0EA3">
        <w:rPr>
          <w:szCs w:val="24"/>
          <w:lang w:eastAsia="bg-BG"/>
        </w:rPr>
        <w:t xml:space="preserve">): </w:t>
      </w:r>
    </w:p>
    <w:p w14:paraId="5BD2470B" w14:textId="77777777" w:rsidR="00D603F5" w:rsidRPr="001B0EA3" w:rsidRDefault="00D603F5" w:rsidP="00C11A99">
      <w:pPr>
        <w:ind w:firstLine="567"/>
        <w:contextualSpacing/>
        <w:rPr>
          <w:szCs w:val="24"/>
          <w:lang w:eastAsia="bg-BG"/>
        </w:rPr>
      </w:pPr>
      <w:r w:rsidRPr="001B0EA3">
        <w:rPr>
          <w:szCs w:val="24"/>
          <w:lang w:eastAsia="bg-BG"/>
        </w:rPr>
        <w:t xml:space="preserve">При оценката на проектите по </w:t>
      </w:r>
      <w:r w:rsidRPr="001B0EA3">
        <w:rPr>
          <w:b/>
          <w:i/>
          <w:szCs w:val="24"/>
          <w:lang w:eastAsia="bg-BG"/>
        </w:rPr>
        <w:t xml:space="preserve">ПО2 </w:t>
      </w:r>
      <w:r w:rsidRPr="001B0EA3">
        <w:rPr>
          <w:szCs w:val="24"/>
          <w:lang w:eastAsia="bg-BG"/>
        </w:rPr>
        <w:t>ще се търси отчитане на покриването на следните под-критерии:</w:t>
      </w:r>
    </w:p>
    <w:p w14:paraId="2CFC5F84" w14:textId="77777777" w:rsidR="00D603F5" w:rsidRPr="001B0EA3" w:rsidRDefault="00D603F5" w:rsidP="00C11A99">
      <w:pPr>
        <w:ind w:firstLine="567"/>
        <w:contextualSpacing/>
        <w:rPr>
          <w:szCs w:val="24"/>
          <w:lang w:eastAsia="bg-BG"/>
        </w:rPr>
      </w:pPr>
      <w:r w:rsidRPr="001B0EA3">
        <w:rPr>
          <w:szCs w:val="24"/>
          <w:lang w:eastAsia="bg-BG"/>
        </w:rPr>
        <w:t>-</w:t>
      </w:r>
      <w:r w:rsidRPr="001B0EA3">
        <w:rPr>
          <w:szCs w:val="24"/>
          <w:lang w:eastAsia="bg-BG"/>
        </w:rPr>
        <w:tab/>
        <w:t xml:space="preserve">степен на </w:t>
      </w:r>
      <w:r w:rsidRPr="001B0EA3">
        <w:rPr>
          <w:b/>
          <w:szCs w:val="24"/>
          <w:lang w:eastAsia="bg-BG"/>
        </w:rPr>
        <w:t>интензивност на международен пътнически трафик</w:t>
      </w:r>
      <w:r w:rsidRPr="001B0EA3">
        <w:rPr>
          <w:szCs w:val="24"/>
          <w:lang w:eastAsia="bg-BG"/>
        </w:rPr>
        <w:t>;</w:t>
      </w:r>
    </w:p>
    <w:p w14:paraId="68E921B8" w14:textId="77777777" w:rsidR="00D603F5" w:rsidRPr="001B0EA3" w:rsidRDefault="00D603F5" w:rsidP="00C11A99">
      <w:pPr>
        <w:ind w:firstLine="567"/>
        <w:contextualSpacing/>
        <w:rPr>
          <w:szCs w:val="24"/>
          <w:lang w:eastAsia="bg-BG"/>
        </w:rPr>
      </w:pPr>
      <w:r w:rsidRPr="001B0EA3">
        <w:rPr>
          <w:szCs w:val="24"/>
          <w:lang w:eastAsia="bg-BG"/>
        </w:rPr>
        <w:t>-</w:t>
      </w:r>
      <w:r w:rsidRPr="001B0EA3">
        <w:rPr>
          <w:szCs w:val="24"/>
          <w:lang w:eastAsia="bg-BG"/>
        </w:rPr>
        <w:tab/>
        <w:t xml:space="preserve">степен на </w:t>
      </w:r>
      <w:r w:rsidRPr="001B0EA3">
        <w:rPr>
          <w:b/>
          <w:szCs w:val="24"/>
          <w:lang w:eastAsia="bg-BG"/>
        </w:rPr>
        <w:t>припокриване с основни направления</w:t>
      </w:r>
      <w:r w:rsidRPr="001B0EA3">
        <w:rPr>
          <w:szCs w:val="24"/>
          <w:lang w:eastAsia="bg-BG"/>
        </w:rPr>
        <w:t xml:space="preserve"> на търсене на товарни превози с автомобилен транспорт;</w:t>
      </w:r>
    </w:p>
    <w:p w14:paraId="52BF76B8" w14:textId="77777777" w:rsidR="00D603F5" w:rsidRPr="001B0EA3" w:rsidRDefault="00D603F5" w:rsidP="0019114B">
      <w:pPr>
        <w:contextualSpacing/>
        <w:rPr>
          <w:szCs w:val="24"/>
          <w:lang w:eastAsia="bg-BG"/>
        </w:rPr>
      </w:pPr>
    </w:p>
    <w:p w14:paraId="163A59BF" w14:textId="77777777" w:rsidR="00D603F5" w:rsidRPr="001B0EA3" w:rsidRDefault="00D603F5" w:rsidP="00C11A99">
      <w:pPr>
        <w:pStyle w:val="ListParagraph"/>
        <w:numPr>
          <w:ilvl w:val="0"/>
          <w:numId w:val="153"/>
        </w:numPr>
        <w:tabs>
          <w:tab w:val="left" w:pos="851"/>
        </w:tabs>
        <w:ind w:left="0" w:firstLine="567"/>
        <w:rPr>
          <w:szCs w:val="24"/>
          <w:lang w:eastAsia="bg-BG"/>
        </w:rPr>
      </w:pPr>
      <w:r w:rsidRPr="001B0EA3">
        <w:rPr>
          <w:b/>
          <w:szCs w:val="24"/>
          <w:lang w:eastAsia="bg-BG"/>
        </w:rPr>
        <w:t>Приоритетна ос 3</w:t>
      </w:r>
      <w:r w:rsidRPr="001B0EA3">
        <w:rPr>
          <w:szCs w:val="24"/>
          <w:lang w:eastAsia="bg-BG"/>
        </w:rPr>
        <w:t xml:space="preserve"> „Подобряване на интермодалността при превоза на пътници и товари и развитие на устойчив градски транспорт“ </w:t>
      </w:r>
      <w:r w:rsidRPr="001B0EA3">
        <w:rPr>
          <w:b/>
          <w:i/>
          <w:szCs w:val="24"/>
          <w:lang w:eastAsia="bg-BG"/>
        </w:rPr>
        <w:t>(ПО3)</w:t>
      </w:r>
      <w:r w:rsidRPr="001B0EA3">
        <w:rPr>
          <w:szCs w:val="24"/>
          <w:lang w:eastAsia="bg-BG"/>
        </w:rPr>
        <w:t xml:space="preserve">: </w:t>
      </w:r>
    </w:p>
    <w:p w14:paraId="5791B340" w14:textId="77777777" w:rsidR="00D603F5" w:rsidRPr="001B0EA3" w:rsidRDefault="00D603F5" w:rsidP="00C11A99">
      <w:pPr>
        <w:ind w:firstLine="567"/>
        <w:contextualSpacing/>
        <w:rPr>
          <w:szCs w:val="24"/>
          <w:lang w:eastAsia="bg-BG"/>
        </w:rPr>
      </w:pPr>
      <w:r w:rsidRPr="001B0EA3">
        <w:rPr>
          <w:szCs w:val="24"/>
          <w:lang w:eastAsia="bg-BG"/>
        </w:rPr>
        <w:t xml:space="preserve">При оценката на проектите по  инвестиционния приоритет </w:t>
      </w:r>
      <w:r w:rsidRPr="001B0EA3">
        <w:rPr>
          <w:b/>
          <w:szCs w:val="24"/>
          <w:lang w:eastAsia="bg-BG"/>
        </w:rPr>
        <w:t>4е</w:t>
      </w:r>
      <w:r w:rsidRPr="001B0EA3">
        <w:rPr>
          <w:b/>
          <w:szCs w:val="24"/>
          <w:vertAlign w:val="superscript"/>
          <w:lang w:eastAsia="bg-BG"/>
        </w:rPr>
        <w:footnoteReference w:id="54"/>
      </w:r>
      <w:r w:rsidRPr="001B0EA3">
        <w:rPr>
          <w:szCs w:val="24"/>
          <w:lang w:eastAsia="bg-BG"/>
        </w:rPr>
        <w:t>, включен в обхвата на ПО3 ще се търси отчитане на покриването на следните под-критерии:</w:t>
      </w:r>
    </w:p>
    <w:p w14:paraId="0B96874E" w14:textId="77777777" w:rsidR="00D603F5" w:rsidRPr="001B0EA3" w:rsidRDefault="00D603F5" w:rsidP="00C11A99">
      <w:pPr>
        <w:ind w:firstLine="567"/>
        <w:contextualSpacing/>
        <w:rPr>
          <w:szCs w:val="24"/>
          <w:lang w:eastAsia="bg-BG"/>
        </w:rPr>
      </w:pPr>
      <w:r w:rsidRPr="001B0EA3">
        <w:rPr>
          <w:szCs w:val="24"/>
          <w:lang w:eastAsia="bg-BG"/>
        </w:rPr>
        <w:t>-</w:t>
      </w:r>
      <w:r w:rsidRPr="001B0EA3">
        <w:rPr>
          <w:szCs w:val="24"/>
          <w:lang w:eastAsia="bg-BG"/>
        </w:rPr>
        <w:tab/>
        <w:t>степен на намаляване на шума от автомобилен транспорт;</w:t>
      </w:r>
    </w:p>
    <w:p w14:paraId="28D161C7" w14:textId="77777777" w:rsidR="00D603F5" w:rsidRPr="001B0EA3" w:rsidRDefault="00D603F5" w:rsidP="00C11A99">
      <w:pPr>
        <w:ind w:firstLine="567"/>
        <w:contextualSpacing/>
        <w:rPr>
          <w:szCs w:val="24"/>
          <w:lang w:eastAsia="bg-BG"/>
        </w:rPr>
      </w:pPr>
      <w:r w:rsidRPr="001B0EA3">
        <w:rPr>
          <w:szCs w:val="24"/>
          <w:lang w:eastAsia="bg-BG"/>
        </w:rPr>
        <w:t>-</w:t>
      </w:r>
      <w:r w:rsidRPr="001B0EA3">
        <w:rPr>
          <w:szCs w:val="24"/>
          <w:lang w:eastAsia="bg-BG"/>
        </w:rPr>
        <w:tab/>
        <w:t>степен на намаляване на задръствания в градски условия;</w:t>
      </w:r>
    </w:p>
    <w:p w14:paraId="03A0C9BE" w14:textId="77777777" w:rsidR="00D603F5" w:rsidRPr="001B0EA3" w:rsidRDefault="00D603F5" w:rsidP="00C11A99">
      <w:pPr>
        <w:ind w:firstLine="567"/>
        <w:contextualSpacing/>
        <w:rPr>
          <w:szCs w:val="24"/>
          <w:lang w:eastAsia="bg-BG"/>
        </w:rPr>
      </w:pPr>
      <w:r w:rsidRPr="001B0EA3">
        <w:rPr>
          <w:szCs w:val="24"/>
          <w:lang w:eastAsia="bg-BG"/>
        </w:rPr>
        <w:t>-</w:t>
      </w:r>
      <w:r w:rsidRPr="001B0EA3">
        <w:rPr>
          <w:szCs w:val="24"/>
          <w:lang w:eastAsia="bg-BG"/>
        </w:rPr>
        <w:tab/>
        <w:t>степен на привлечени пътници от другите видове градски транспорт;</w:t>
      </w:r>
    </w:p>
    <w:p w14:paraId="4A682536" w14:textId="77777777" w:rsidR="00D603F5" w:rsidRPr="001B0EA3" w:rsidRDefault="00D603F5" w:rsidP="00C11A99">
      <w:pPr>
        <w:ind w:firstLine="567"/>
        <w:contextualSpacing/>
        <w:rPr>
          <w:szCs w:val="24"/>
          <w:lang w:eastAsia="bg-BG"/>
        </w:rPr>
      </w:pPr>
      <w:r w:rsidRPr="001B0EA3">
        <w:rPr>
          <w:szCs w:val="24"/>
          <w:lang w:eastAsia="bg-BG"/>
        </w:rPr>
        <w:t xml:space="preserve">При оценката на проектите по инвестиционния приоритет </w:t>
      </w:r>
      <w:r w:rsidRPr="001B0EA3">
        <w:rPr>
          <w:b/>
          <w:szCs w:val="24"/>
          <w:lang w:eastAsia="bg-BG"/>
        </w:rPr>
        <w:t>7a</w:t>
      </w:r>
      <w:r w:rsidRPr="001B0EA3">
        <w:rPr>
          <w:b/>
          <w:szCs w:val="24"/>
          <w:vertAlign w:val="superscript"/>
          <w:lang w:eastAsia="bg-BG"/>
        </w:rPr>
        <w:footnoteReference w:id="55"/>
      </w:r>
      <w:r w:rsidRPr="001B0EA3">
        <w:rPr>
          <w:szCs w:val="24"/>
          <w:lang w:eastAsia="bg-BG"/>
        </w:rPr>
        <w:t>, включен в обхвата на  ПО3 ще се търси отчитане на покриването на следните под-критерии:</w:t>
      </w:r>
    </w:p>
    <w:p w14:paraId="18686262" w14:textId="77777777" w:rsidR="00D603F5" w:rsidRPr="001B0EA3" w:rsidRDefault="00D603F5" w:rsidP="00C11A99">
      <w:pPr>
        <w:ind w:firstLine="567"/>
        <w:contextualSpacing/>
        <w:rPr>
          <w:szCs w:val="24"/>
          <w:lang w:eastAsia="bg-BG"/>
        </w:rPr>
      </w:pPr>
      <w:r w:rsidRPr="001B0EA3">
        <w:rPr>
          <w:szCs w:val="24"/>
          <w:lang w:eastAsia="bg-BG"/>
        </w:rPr>
        <w:lastRenderedPageBreak/>
        <w:t>-</w:t>
      </w:r>
      <w:r w:rsidRPr="001B0EA3">
        <w:rPr>
          <w:szCs w:val="24"/>
          <w:lang w:eastAsia="bg-BG"/>
        </w:rPr>
        <w:tab/>
        <w:t>степен на подобряване на интермодалността в ЕС;</w:t>
      </w:r>
    </w:p>
    <w:p w14:paraId="7793144D" w14:textId="77777777" w:rsidR="00D603F5" w:rsidRPr="001B0EA3" w:rsidRDefault="00D603F5" w:rsidP="00C11A99">
      <w:pPr>
        <w:ind w:firstLine="567"/>
        <w:contextualSpacing/>
        <w:rPr>
          <w:szCs w:val="24"/>
          <w:lang w:eastAsia="bg-BG"/>
        </w:rPr>
      </w:pPr>
      <w:r w:rsidRPr="001B0EA3">
        <w:rPr>
          <w:szCs w:val="24"/>
          <w:lang w:eastAsia="bg-BG"/>
        </w:rPr>
        <w:t>-</w:t>
      </w:r>
      <w:r w:rsidRPr="001B0EA3">
        <w:rPr>
          <w:szCs w:val="24"/>
          <w:lang w:eastAsia="bg-BG"/>
        </w:rPr>
        <w:tab/>
        <w:t>степен на въздействие за интеграцията на различните видове транспорт в региона на интервенция;</w:t>
      </w:r>
    </w:p>
    <w:p w14:paraId="607ED1D8" w14:textId="77777777" w:rsidR="00D603F5" w:rsidRPr="001B0EA3" w:rsidRDefault="00D603F5" w:rsidP="00C11A99">
      <w:pPr>
        <w:ind w:firstLine="567"/>
        <w:contextualSpacing/>
        <w:rPr>
          <w:szCs w:val="24"/>
          <w:lang w:eastAsia="bg-BG"/>
        </w:rPr>
      </w:pPr>
      <w:r w:rsidRPr="001B0EA3">
        <w:rPr>
          <w:szCs w:val="24"/>
          <w:lang w:eastAsia="bg-BG"/>
        </w:rPr>
        <w:t>-</w:t>
      </w:r>
      <w:r w:rsidRPr="001B0EA3">
        <w:rPr>
          <w:szCs w:val="24"/>
          <w:lang w:eastAsia="bg-BG"/>
        </w:rPr>
        <w:tab/>
        <w:t xml:space="preserve">степен на повишаване на качеството на товарни транспортни услуги; </w:t>
      </w:r>
    </w:p>
    <w:p w14:paraId="7C453FAE" w14:textId="77777777" w:rsidR="00D603F5" w:rsidRPr="001B0EA3" w:rsidRDefault="00D603F5" w:rsidP="00C11A99">
      <w:pPr>
        <w:ind w:firstLine="567"/>
        <w:contextualSpacing/>
        <w:rPr>
          <w:szCs w:val="24"/>
          <w:lang w:eastAsia="bg-BG"/>
        </w:rPr>
      </w:pPr>
      <w:r w:rsidRPr="001B0EA3">
        <w:rPr>
          <w:szCs w:val="24"/>
          <w:lang w:eastAsia="bg-BG"/>
        </w:rPr>
        <w:t>-</w:t>
      </w:r>
      <w:r w:rsidRPr="001B0EA3">
        <w:rPr>
          <w:szCs w:val="24"/>
          <w:lang w:eastAsia="bg-BG"/>
        </w:rPr>
        <w:tab/>
        <w:t>степен на ефективност при превоз на големи обеми товари.</w:t>
      </w:r>
    </w:p>
    <w:p w14:paraId="07A8EBDA" w14:textId="77777777" w:rsidR="00D603F5" w:rsidRPr="001B0EA3" w:rsidRDefault="00D603F5" w:rsidP="0019114B">
      <w:pPr>
        <w:contextualSpacing/>
        <w:rPr>
          <w:szCs w:val="24"/>
          <w:lang w:eastAsia="bg-BG"/>
        </w:rPr>
      </w:pPr>
    </w:p>
    <w:p w14:paraId="766CC490" w14:textId="77777777" w:rsidR="00D603F5" w:rsidRPr="001B0EA3" w:rsidRDefault="00D603F5" w:rsidP="00D26A1C">
      <w:pPr>
        <w:pStyle w:val="ListParagraph"/>
        <w:numPr>
          <w:ilvl w:val="0"/>
          <w:numId w:val="153"/>
        </w:numPr>
        <w:ind w:left="0" w:firstLine="0"/>
        <w:rPr>
          <w:szCs w:val="24"/>
          <w:lang w:eastAsia="bg-BG"/>
        </w:rPr>
      </w:pPr>
      <w:r w:rsidRPr="001B0EA3">
        <w:rPr>
          <w:b/>
          <w:szCs w:val="24"/>
          <w:lang w:eastAsia="bg-BG"/>
        </w:rPr>
        <w:t>Приоритетна ос 4</w:t>
      </w:r>
      <w:r w:rsidRPr="001B0EA3">
        <w:rPr>
          <w:szCs w:val="24"/>
          <w:lang w:eastAsia="bg-BG"/>
        </w:rPr>
        <w:t xml:space="preserve"> „Иновации в управлението и услугите - внедряване на модернизирана инфраструктура за управление на трафика, подобряване на безопасността и сигурността на транспорта“ </w:t>
      </w:r>
      <w:r w:rsidRPr="001B0EA3">
        <w:rPr>
          <w:i/>
          <w:szCs w:val="24"/>
          <w:lang w:eastAsia="bg-BG"/>
        </w:rPr>
        <w:t>(ПО4)</w:t>
      </w:r>
      <w:r w:rsidRPr="001B0EA3">
        <w:rPr>
          <w:szCs w:val="24"/>
          <w:lang w:eastAsia="bg-BG"/>
        </w:rPr>
        <w:t xml:space="preserve">: </w:t>
      </w:r>
    </w:p>
    <w:p w14:paraId="45BDB542" w14:textId="77777777" w:rsidR="00D603F5" w:rsidRPr="001B0EA3" w:rsidRDefault="00D603F5" w:rsidP="0019114B">
      <w:pPr>
        <w:contextualSpacing/>
        <w:rPr>
          <w:szCs w:val="24"/>
          <w:lang w:eastAsia="bg-BG"/>
        </w:rPr>
      </w:pPr>
    </w:p>
    <w:p w14:paraId="19DF8304" w14:textId="77777777" w:rsidR="00D603F5" w:rsidRPr="001B0EA3" w:rsidRDefault="00D603F5" w:rsidP="00795A1D">
      <w:pPr>
        <w:contextualSpacing/>
        <w:rPr>
          <w:i/>
          <w:szCs w:val="24"/>
          <w:lang w:eastAsia="bg-BG"/>
        </w:rPr>
      </w:pPr>
      <w:r w:rsidRPr="001B0EA3">
        <w:rPr>
          <w:i/>
          <w:szCs w:val="24"/>
          <w:lang w:eastAsia="bg-BG"/>
        </w:rPr>
        <w:t xml:space="preserve">При оценката на проектите по инвестиционния приоритет </w:t>
      </w:r>
      <w:r w:rsidRPr="001B0EA3">
        <w:rPr>
          <w:b/>
          <w:i/>
          <w:szCs w:val="24"/>
          <w:lang w:eastAsia="bg-BG"/>
        </w:rPr>
        <w:t>7с</w:t>
      </w:r>
      <w:r w:rsidRPr="001B0EA3">
        <w:rPr>
          <w:b/>
          <w:i/>
          <w:szCs w:val="24"/>
          <w:vertAlign w:val="superscript"/>
          <w:lang w:eastAsia="bg-BG"/>
        </w:rPr>
        <w:footnoteReference w:id="56"/>
      </w:r>
      <w:r w:rsidRPr="001B0EA3">
        <w:rPr>
          <w:i/>
          <w:szCs w:val="24"/>
          <w:lang w:eastAsia="bg-BG"/>
        </w:rPr>
        <w:t xml:space="preserve">, включен  в обхвата на </w:t>
      </w:r>
      <w:r w:rsidRPr="001B0EA3">
        <w:rPr>
          <w:b/>
          <w:i/>
          <w:szCs w:val="24"/>
          <w:lang w:eastAsia="bg-BG"/>
        </w:rPr>
        <w:t xml:space="preserve">ПО4 </w:t>
      </w:r>
      <w:r w:rsidRPr="001B0EA3">
        <w:rPr>
          <w:i/>
          <w:szCs w:val="24"/>
          <w:lang w:eastAsia="bg-BG"/>
        </w:rPr>
        <w:t>ще се търси отчитане на покриването на следните под-критерии:</w:t>
      </w:r>
    </w:p>
    <w:p w14:paraId="2EB1E25B" w14:textId="77777777" w:rsidR="00D603F5" w:rsidRPr="001B0EA3" w:rsidRDefault="00D603F5" w:rsidP="00795A1D">
      <w:pPr>
        <w:ind w:firstLine="567"/>
        <w:contextualSpacing/>
        <w:rPr>
          <w:szCs w:val="24"/>
          <w:lang w:eastAsia="bg-BG"/>
        </w:rPr>
      </w:pPr>
      <w:r w:rsidRPr="001B0EA3">
        <w:rPr>
          <w:szCs w:val="24"/>
          <w:lang w:eastAsia="bg-BG"/>
        </w:rPr>
        <w:t>-</w:t>
      </w:r>
      <w:r w:rsidRPr="001B0EA3">
        <w:rPr>
          <w:szCs w:val="24"/>
          <w:lang w:eastAsia="bg-BG"/>
        </w:rPr>
        <w:tab/>
        <w:t xml:space="preserve">степен на изпълнение на </w:t>
      </w:r>
      <w:r w:rsidRPr="001B0EA3">
        <w:rPr>
          <w:b/>
          <w:szCs w:val="24"/>
          <w:lang w:eastAsia="bg-BG"/>
        </w:rPr>
        <w:t>Интегрираната морска политика на</w:t>
      </w:r>
      <w:r w:rsidRPr="001B0EA3">
        <w:rPr>
          <w:szCs w:val="24"/>
          <w:lang w:eastAsia="bg-BG"/>
        </w:rPr>
        <w:t xml:space="preserve"> ЕС;</w:t>
      </w:r>
    </w:p>
    <w:p w14:paraId="794595D8" w14:textId="77777777" w:rsidR="00D603F5" w:rsidRPr="001B0EA3" w:rsidRDefault="00D603F5" w:rsidP="00795A1D">
      <w:pPr>
        <w:ind w:firstLine="567"/>
        <w:contextualSpacing/>
        <w:rPr>
          <w:szCs w:val="24"/>
          <w:lang w:eastAsia="bg-BG"/>
        </w:rPr>
      </w:pPr>
      <w:r w:rsidRPr="001B0EA3">
        <w:rPr>
          <w:szCs w:val="24"/>
          <w:lang w:eastAsia="bg-BG"/>
        </w:rPr>
        <w:t>-</w:t>
      </w:r>
      <w:r w:rsidRPr="001B0EA3">
        <w:rPr>
          <w:szCs w:val="24"/>
          <w:lang w:eastAsia="bg-BG"/>
        </w:rPr>
        <w:tab/>
        <w:t xml:space="preserve">степен на внедряване на </w:t>
      </w:r>
      <w:r w:rsidRPr="001B0EA3">
        <w:rPr>
          <w:b/>
          <w:szCs w:val="24"/>
          <w:lang w:eastAsia="bg-BG"/>
        </w:rPr>
        <w:t>информационни системи в речния транспорт</w:t>
      </w:r>
      <w:r w:rsidRPr="001B0EA3">
        <w:rPr>
          <w:szCs w:val="24"/>
          <w:lang w:eastAsia="bg-BG"/>
        </w:rPr>
        <w:t xml:space="preserve"> в съответствие със стандартите на ЕС;</w:t>
      </w:r>
    </w:p>
    <w:p w14:paraId="7D928909" w14:textId="77777777" w:rsidR="00D603F5" w:rsidRPr="001B0EA3" w:rsidRDefault="00D603F5" w:rsidP="00795A1D">
      <w:pPr>
        <w:ind w:firstLine="567"/>
        <w:contextualSpacing/>
        <w:rPr>
          <w:szCs w:val="24"/>
          <w:lang w:eastAsia="bg-BG"/>
        </w:rPr>
      </w:pPr>
      <w:r w:rsidRPr="001B0EA3">
        <w:rPr>
          <w:szCs w:val="24"/>
          <w:lang w:eastAsia="bg-BG"/>
        </w:rPr>
        <w:t>-</w:t>
      </w:r>
      <w:r w:rsidRPr="001B0EA3">
        <w:rPr>
          <w:szCs w:val="24"/>
          <w:lang w:eastAsia="bg-BG"/>
        </w:rPr>
        <w:tab/>
        <w:t xml:space="preserve">степен на изграждане на </w:t>
      </w:r>
      <w:r w:rsidRPr="001B0EA3">
        <w:rPr>
          <w:b/>
          <w:szCs w:val="24"/>
          <w:lang w:eastAsia="bg-BG"/>
        </w:rPr>
        <w:t>информационни системи за управление на автомобилния трафик</w:t>
      </w:r>
      <w:r w:rsidRPr="001B0EA3">
        <w:rPr>
          <w:szCs w:val="24"/>
          <w:lang w:eastAsia="bg-BG"/>
        </w:rPr>
        <w:t xml:space="preserve"> по републиканската пътна мрежа;</w:t>
      </w:r>
    </w:p>
    <w:p w14:paraId="79A00AFD" w14:textId="77777777" w:rsidR="00D603F5" w:rsidRPr="001B0EA3" w:rsidRDefault="00D603F5" w:rsidP="00795A1D">
      <w:pPr>
        <w:ind w:firstLine="567"/>
        <w:contextualSpacing/>
        <w:rPr>
          <w:szCs w:val="24"/>
          <w:lang w:eastAsia="bg-BG"/>
        </w:rPr>
      </w:pPr>
      <w:r w:rsidRPr="001B0EA3">
        <w:rPr>
          <w:szCs w:val="24"/>
          <w:lang w:eastAsia="bg-BG"/>
        </w:rPr>
        <w:t>-</w:t>
      </w:r>
      <w:r w:rsidRPr="001B0EA3">
        <w:rPr>
          <w:szCs w:val="24"/>
          <w:lang w:eastAsia="bg-BG"/>
        </w:rPr>
        <w:tab/>
        <w:t xml:space="preserve">степен на изграждане на </w:t>
      </w:r>
      <w:r w:rsidRPr="001B0EA3">
        <w:rPr>
          <w:b/>
          <w:szCs w:val="24"/>
          <w:lang w:eastAsia="bg-BG"/>
        </w:rPr>
        <w:t>автоматизирани системи за обработка и съхранение</w:t>
      </w:r>
      <w:r w:rsidRPr="001B0EA3">
        <w:rPr>
          <w:szCs w:val="24"/>
          <w:lang w:eastAsia="bg-BG"/>
        </w:rPr>
        <w:t xml:space="preserve"> на аеронавигационни данни и приложения за тяхното използване;</w:t>
      </w:r>
    </w:p>
    <w:p w14:paraId="0BD27B55" w14:textId="77777777" w:rsidR="00D603F5" w:rsidRPr="001B0EA3" w:rsidRDefault="00D603F5" w:rsidP="00046D61">
      <w:pPr>
        <w:ind w:firstLine="567"/>
        <w:contextualSpacing/>
        <w:rPr>
          <w:szCs w:val="24"/>
          <w:lang w:eastAsia="bg-BG"/>
        </w:rPr>
      </w:pPr>
      <w:r w:rsidRPr="001B0EA3">
        <w:rPr>
          <w:szCs w:val="24"/>
          <w:lang w:eastAsia="bg-BG"/>
        </w:rPr>
        <w:t>-</w:t>
      </w:r>
      <w:r w:rsidRPr="001B0EA3">
        <w:rPr>
          <w:szCs w:val="24"/>
          <w:lang w:eastAsia="bg-BG"/>
        </w:rPr>
        <w:tab/>
        <w:t xml:space="preserve">степен на въвеждане на </w:t>
      </w:r>
      <w:r w:rsidRPr="001B0EA3">
        <w:rPr>
          <w:b/>
          <w:szCs w:val="24"/>
          <w:lang w:eastAsia="bg-BG"/>
        </w:rPr>
        <w:t xml:space="preserve">иновации в управлението на услугите </w:t>
      </w:r>
      <w:r w:rsidRPr="001B0EA3">
        <w:rPr>
          <w:szCs w:val="24"/>
          <w:lang w:eastAsia="bg-BG"/>
        </w:rPr>
        <w:t>и модернизиране на</w:t>
      </w:r>
      <w:r w:rsidRPr="001B0EA3">
        <w:rPr>
          <w:b/>
          <w:szCs w:val="24"/>
          <w:lang w:eastAsia="bg-BG"/>
        </w:rPr>
        <w:t xml:space="preserve"> инфраструктурата</w:t>
      </w:r>
      <w:r w:rsidRPr="001B0EA3">
        <w:rPr>
          <w:szCs w:val="24"/>
          <w:lang w:eastAsia="bg-BG"/>
        </w:rPr>
        <w:t xml:space="preserve"> за управление на въздушния трафик.</w:t>
      </w:r>
    </w:p>
    <w:p w14:paraId="24D22341" w14:textId="77777777" w:rsidR="00D603F5" w:rsidRPr="001B0EA3" w:rsidRDefault="00D603F5" w:rsidP="0019114B">
      <w:pPr>
        <w:contextualSpacing/>
        <w:rPr>
          <w:szCs w:val="24"/>
          <w:lang w:eastAsia="bg-BG"/>
        </w:rPr>
      </w:pPr>
    </w:p>
    <w:p w14:paraId="2C9F3102" w14:textId="77777777" w:rsidR="00D603F5" w:rsidRPr="001B0EA3" w:rsidRDefault="00D603F5" w:rsidP="00046D61">
      <w:pPr>
        <w:contextualSpacing/>
        <w:rPr>
          <w:i/>
          <w:szCs w:val="24"/>
          <w:lang w:eastAsia="bg-BG"/>
        </w:rPr>
      </w:pPr>
      <w:r w:rsidRPr="001B0EA3">
        <w:rPr>
          <w:i/>
          <w:szCs w:val="24"/>
          <w:lang w:eastAsia="bg-BG"/>
        </w:rPr>
        <w:t xml:space="preserve">При оценката на проектите по инвестиционния приоритет </w:t>
      </w:r>
      <w:r w:rsidRPr="001B0EA3">
        <w:rPr>
          <w:b/>
          <w:i/>
          <w:szCs w:val="24"/>
          <w:lang w:eastAsia="bg-BG"/>
        </w:rPr>
        <w:t>7d</w:t>
      </w:r>
      <w:r w:rsidRPr="001B0EA3">
        <w:rPr>
          <w:b/>
          <w:i/>
          <w:szCs w:val="24"/>
          <w:vertAlign w:val="superscript"/>
          <w:lang w:eastAsia="bg-BG"/>
        </w:rPr>
        <w:footnoteReference w:id="57"/>
      </w:r>
      <w:r w:rsidRPr="001B0EA3">
        <w:rPr>
          <w:i/>
          <w:szCs w:val="24"/>
          <w:lang w:eastAsia="bg-BG"/>
        </w:rPr>
        <w:t xml:space="preserve">, включен  в обхвата на </w:t>
      </w:r>
      <w:r w:rsidRPr="001B0EA3">
        <w:rPr>
          <w:b/>
          <w:i/>
          <w:szCs w:val="24"/>
          <w:lang w:eastAsia="bg-BG"/>
        </w:rPr>
        <w:t>ПО4</w:t>
      </w:r>
      <w:r w:rsidRPr="001B0EA3">
        <w:rPr>
          <w:i/>
          <w:szCs w:val="24"/>
          <w:lang w:eastAsia="bg-BG"/>
        </w:rPr>
        <w:t xml:space="preserve"> ще се търси в отчитане на покриването на следните под-критерии:</w:t>
      </w:r>
    </w:p>
    <w:p w14:paraId="7227DCA3" w14:textId="77777777" w:rsidR="00D603F5" w:rsidRPr="001B0EA3" w:rsidRDefault="00D603F5" w:rsidP="00046D61">
      <w:pPr>
        <w:ind w:firstLine="567"/>
        <w:contextualSpacing/>
        <w:rPr>
          <w:szCs w:val="24"/>
          <w:lang w:eastAsia="bg-BG"/>
        </w:rPr>
      </w:pPr>
      <w:r w:rsidRPr="001B0EA3">
        <w:rPr>
          <w:szCs w:val="24"/>
          <w:lang w:eastAsia="bg-BG"/>
        </w:rPr>
        <w:t>-</w:t>
      </w:r>
      <w:r w:rsidRPr="001B0EA3">
        <w:rPr>
          <w:szCs w:val="24"/>
          <w:lang w:eastAsia="bg-BG"/>
        </w:rPr>
        <w:tab/>
        <w:t xml:space="preserve">степен на внедряване на системи за управление движението на влаковете;  </w:t>
      </w:r>
    </w:p>
    <w:p w14:paraId="7E483AEB" w14:textId="77777777" w:rsidR="00D603F5" w:rsidRPr="001B0EA3" w:rsidRDefault="00D603F5" w:rsidP="00046D61">
      <w:pPr>
        <w:rPr>
          <w:szCs w:val="24"/>
          <w:lang w:eastAsia="bg-BG"/>
        </w:rPr>
      </w:pPr>
    </w:p>
    <w:p w14:paraId="3409442E" w14:textId="77777777" w:rsidR="00D603F5" w:rsidRPr="001B0EA3" w:rsidRDefault="00D603F5" w:rsidP="00D26A1C">
      <w:pPr>
        <w:pStyle w:val="ListParagraph"/>
        <w:numPr>
          <w:ilvl w:val="0"/>
          <w:numId w:val="153"/>
        </w:numPr>
        <w:ind w:left="0" w:firstLine="0"/>
        <w:rPr>
          <w:b/>
          <w:szCs w:val="24"/>
          <w:lang w:eastAsia="bg-BG"/>
        </w:rPr>
      </w:pPr>
      <w:r w:rsidRPr="001B0EA3">
        <w:rPr>
          <w:szCs w:val="24"/>
          <w:lang w:eastAsia="bg-BG"/>
        </w:rPr>
        <w:t xml:space="preserve">Критерии за проекти  по Приоритетна ос 5 </w:t>
      </w:r>
      <w:r w:rsidRPr="001B0EA3">
        <w:rPr>
          <w:b/>
          <w:szCs w:val="24"/>
          <w:lang w:eastAsia="bg-BG"/>
        </w:rPr>
        <w:t xml:space="preserve">„Техническа помощ“ </w:t>
      </w:r>
      <w:r w:rsidRPr="001B0EA3">
        <w:rPr>
          <w:i/>
          <w:szCs w:val="24"/>
          <w:lang w:eastAsia="bg-BG"/>
        </w:rPr>
        <w:t>(ПО5)</w:t>
      </w:r>
    </w:p>
    <w:p w14:paraId="62896775" w14:textId="77777777" w:rsidR="00D603F5" w:rsidRPr="001B0EA3" w:rsidRDefault="00D603F5" w:rsidP="00046D61">
      <w:pPr>
        <w:numPr>
          <w:ilvl w:val="0"/>
          <w:numId w:val="47"/>
        </w:numPr>
        <w:ind w:left="0" w:firstLine="567"/>
        <w:contextualSpacing/>
        <w:rPr>
          <w:szCs w:val="24"/>
          <w:lang w:eastAsia="bg-BG"/>
        </w:rPr>
      </w:pPr>
      <w:r w:rsidRPr="001B0EA3">
        <w:rPr>
          <w:szCs w:val="24"/>
          <w:lang w:eastAsia="bg-BG"/>
        </w:rPr>
        <w:t xml:space="preserve">Проектното предложение  попада в обхвата на ЕФРР и допустимите дейности на </w:t>
      </w:r>
      <w:r w:rsidRPr="001B0EA3">
        <w:rPr>
          <w:b/>
          <w:szCs w:val="24"/>
          <w:lang w:eastAsia="bg-BG"/>
        </w:rPr>
        <w:t>ПО5;</w:t>
      </w:r>
    </w:p>
    <w:p w14:paraId="4C52F009" w14:textId="77777777" w:rsidR="00D603F5" w:rsidRPr="001B0EA3" w:rsidRDefault="00D603F5" w:rsidP="00046D61">
      <w:pPr>
        <w:numPr>
          <w:ilvl w:val="0"/>
          <w:numId w:val="47"/>
        </w:numPr>
        <w:ind w:left="0" w:firstLine="567"/>
        <w:contextualSpacing/>
        <w:rPr>
          <w:szCs w:val="24"/>
          <w:lang w:eastAsia="bg-BG"/>
        </w:rPr>
      </w:pPr>
      <w:r w:rsidRPr="001B0EA3">
        <w:rPr>
          <w:szCs w:val="24"/>
          <w:lang w:eastAsia="bg-BG"/>
        </w:rPr>
        <w:t>Насочен към нуждите на допустими бенефициенти по ОПТТИ;</w:t>
      </w:r>
    </w:p>
    <w:p w14:paraId="24CF5EC4" w14:textId="77777777" w:rsidR="00D603F5" w:rsidRPr="001B0EA3" w:rsidRDefault="00D603F5" w:rsidP="00046D61">
      <w:pPr>
        <w:numPr>
          <w:ilvl w:val="0"/>
          <w:numId w:val="47"/>
        </w:numPr>
        <w:ind w:left="0" w:firstLine="567"/>
        <w:contextualSpacing/>
        <w:rPr>
          <w:szCs w:val="24"/>
          <w:lang w:eastAsia="bg-BG"/>
        </w:rPr>
      </w:pPr>
      <w:r w:rsidRPr="001B0EA3">
        <w:rPr>
          <w:szCs w:val="24"/>
          <w:lang w:eastAsia="bg-BG"/>
        </w:rPr>
        <w:t>Наличие за добавена стойност за бенефициента или програмата.</w:t>
      </w:r>
    </w:p>
    <w:p w14:paraId="42734258" w14:textId="77777777" w:rsidR="00E669F1" w:rsidRPr="001B0EA3" w:rsidRDefault="00E669F1" w:rsidP="00046D61">
      <w:pPr>
        <w:contextualSpacing/>
        <w:rPr>
          <w:szCs w:val="24"/>
          <w:lang w:eastAsia="bg-BG"/>
        </w:rPr>
      </w:pPr>
    </w:p>
    <w:p w14:paraId="5AC50C33" w14:textId="77777777" w:rsidR="00E669F1" w:rsidRPr="001B0EA3" w:rsidRDefault="00E669F1" w:rsidP="00046D61">
      <w:pPr>
        <w:contextualSpacing/>
        <w:rPr>
          <w:szCs w:val="24"/>
          <w:lang w:eastAsia="bg-BG"/>
        </w:rPr>
      </w:pPr>
    </w:p>
    <w:p w14:paraId="5471DF63" w14:textId="77777777" w:rsidR="00D603F5" w:rsidRPr="001B0EA3" w:rsidRDefault="00D603F5" w:rsidP="00046D61">
      <w:pPr>
        <w:ind w:left="1560"/>
        <w:contextualSpacing/>
        <w:rPr>
          <w:szCs w:val="24"/>
          <w:lang w:eastAsia="bg-BG"/>
        </w:rPr>
      </w:pPr>
    </w:p>
    <w:p w14:paraId="2F93B128" w14:textId="77777777" w:rsidR="00D603F5" w:rsidRPr="00842ECC" w:rsidRDefault="00D603F5" w:rsidP="00B502C7">
      <w:pPr>
        <w:pStyle w:val="Style2"/>
        <w:rPr>
          <w:lang w:val="bg-BG" w:eastAsia="bg-BG"/>
        </w:rPr>
      </w:pPr>
      <w:bookmarkStart w:id="602" w:name="_Ref409510826"/>
      <w:bookmarkStart w:id="603" w:name="_Toc479775657"/>
      <w:bookmarkStart w:id="604" w:name="_Toc140150218"/>
      <w:r w:rsidRPr="00842ECC">
        <w:rPr>
          <w:lang w:val="bg-BG" w:eastAsia="bg-BG"/>
        </w:rPr>
        <w:t xml:space="preserve">Процедура за оценка на инвестиционни/ инфраструктурни проекти,  включително и осигуряване на информацията от УО на ОПТТИ по чл. 101 на Регламент (ЕС) № 1303/2013 г. </w:t>
      </w:r>
      <w:bookmarkEnd w:id="602"/>
      <w:r w:rsidRPr="00842ECC">
        <w:rPr>
          <w:lang w:val="bg-BG" w:eastAsia="bg-BG"/>
        </w:rPr>
        <w:t>за „големи проекти“</w:t>
      </w:r>
      <w:bookmarkEnd w:id="603"/>
      <w:bookmarkEnd w:id="604"/>
    </w:p>
    <w:p w14:paraId="50001D5A" w14:textId="77777777" w:rsidR="00B2034F" w:rsidRPr="00842ECC" w:rsidRDefault="00B2034F" w:rsidP="00346F28">
      <w:pPr>
        <w:pStyle w:val="Style3"/>
        <w:rPr>
          <w:lang w:val="bg-BG"/>
        </w:rPr>
      </w:pPr>
      <w:bookmarkStart w:id="605" w:name="_Toc479775658"/>
      <w:r w:rsidRPr="00842ECC">
        <w:rPr>
          <w:lang w:val="bg-BG"/>
        </w:rPr>
        <w:t>Роля и отговорности в процеса на оценката на „големи проекти“</w:t>
      </w:r>
      <w:bookmarkEnd w:id="605"/>
    </w:p>
    <w:p w14:paraId="2F72ED06" w14:textId="77777777" w:rsidR="00B2034F" w:rsidRPr="001B0EA3" w:rsidRDefault="00B2034F" w:rsidP="00484FAE">
      <w:r w:rsidRPr="001B0EA3">
        <w:t>По отношение на оценката и избора на „голям проект“ (</w:t>
      </w:r>
      <w:r w:rsidRPr="001B0EA3">
        <w:rPr>
          <w:i/>
        </w:rPr>
        <w:t>с обща стойност на допустимите разходи над 75 млн. евро - по тематична цел 7 и над 50 млн. евро - по тематична цел 4</w:t>
      </w:r>
      <w:r w:rsidRPr="001B0EA3">
        <w:t xml:space="preserve">), ЕК е най-високото ниво, което дава окончателното одобрение на проекта. В тези случаи УО на ОПТТИ е отговорен да извърши подбор на „големия проект“ в съответствие с чл. 125, параграф 3 на Регламент (ЕС) № 1303/2013 г., след осигуряване на информацията по чл. 101 на Регламент (ЕС) № 1303/2013 г. Съществува и възможност за използване на инициативата </w:t>
      </w:r>
      <w:r w:rsidRPr="001B0EA3">
        <w:lastRenderedPageBreak/>
        <w:t xml:space="preserve">Джаспърс, или други независими експерти, одобрени от ЕК за извършване на проверка на качеството на проектното предложение (параграф 1 на чл. 102 от Регламент № (ЕС) 1303/2013 г.). </w:t>
      </w:r>
    </w:p>
    <w:p w14:paraId="66FBC529" w14:textId="77777777" w:rsidR="009C596A" w:rsidRPr="001B0EA3" w:rsidRDefault="009C596A" w:rsidP="00F068A3">
      <w:pPr>
        <w:jc w:val="left"/>
        <w:rPr>
          <w:szCs w:val="24"/>
          <w:lang w:eastAsia="bg-BG"/>
        </w:rPr>
      </w:pPr>
      <w:r w:rsidRPr="001B0EA3">
        <w:br w:type="page"/>
      </w:r>
    </w:p>
    <w:p w14:paraId="63C7A8C2" w14:textId="77777777" w:rsidR="00B2034F" w:rsidRPr="001B0EA3" w:rsidRDefault="00B2034F" w:rsidP="00484FAE">
      <w:pPr>
        <w:rPr>
          <w:b/>
        </w:rPr>
      </w:pPr>
      <w:r w:rsidRPr="001B0EA3">
        <w:lastRenderedPageBreak/>
        <w:t>Основно ролята и отговорностите при оценка на големи проекти са показани на следната схема:</w:t>
      </w:r>
    </w:p>
    <w:p w14:paraId="7DA205C5" w14:textId="77777777" w:rsidR="00B2034F" w:rsidRPr="001B0EA3" w:rsidRDefault="00937754" w:rsidP="00484FAE">
      <w:pPr>
        <w:ind w:firstLine="0"/>
        <w:jc w:val="left"/>
      </w:pPr>
      <w:r w:rsidRPr="001B0EA3">
        <w:rPr>
          <w:noProof/>
          <w:lang w:eastAsia="bg-BG"/>
        </w:rPr>
        <mc:AlternateContent>
          <mc:Choice Requires="wpg">
            <w:drawing>
              <wp:inline distT="0" distB="0" distL="0" distR="0" wp14:anchorId="01A34C5D" wp14:editId="70B53AC3">
                <wp:extent cx="6081395" cy="5347970"/>
                <wp:effectExtent l="0" t="19050" r="71755" b="100330"/>
                <wp:docPr id="1989" name="Group 1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1395" cy="5347970"/>
                          <a:chOff x="0" y="0"/>
                          <a:chExt cx="6112717" cy="5643537"/>
                        </a:xfrm>
                      </wpg:grpSpPr>
                      <wps:wsp>
                        <wps:cNvPr id="1992" name="Rounded Rectangle 1789"/>
                        <wps:cNvSpPr>
                          <a:spLocks/>
                        </wps:cNvSpPr>
                        <wps:spPr bwMode="auto">
                          <a:xfrm>
                            <a:off x="1690577" y="5186338"/>
                            <a:ext cx="4422140" cy="457199"/>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04E54AF9" w14:textId="77777777" w:rsidR="004E3164" w:rsidRPr="00484FAE" w:rsidRDefault="004E3164" w:rsidP="00484FAE">
                              <w:pPr>
                                <w:ind w:firstLine="0"/>
                                <w:jc w:val="center"/>
                                <w:rPr>
                                  <w:sz w:val="18"/>
                                  <w:szCs w:val="18"/>
                                </w:rPr>
                              </w:pPr>
                              <w:r w:rsidRPr="00484FAE">
                                <w:rPr>
                                  <w:sz w:val="18"/>
                                  <w:szCs w:val="18"/>
                                </w:rPr>
                                <w:t>Проектът е одобрен / отхвърлен</w:t>
                              </w:r>
                            </w:p>
                          </w:txbxContent>
                        </wps:txbx>
                        <wps:bodyPr rot="0" vert="horz" wrap="square" lIns="91440" tIns="45720" rIns="91440" bIns="45720" anchor="ctr" anchorCtr="0" upright="1">
                          <a:noAutofit/>
                        </wps:bodyPr>
                      </wps:wsp>
                      <wps:wsp>
                        <wps:cNvPr id="1994" name="Straight Arrow Connector 65"/>
                        <wps:cNvCnPr>
                          <a:cxnSpLocks/>
                        </wps:cNvCnPr>
                        <wps:spPr bwMode="auto">
                          <a:xfrm>
                            <a:off x="2658140" y="4953594"/>
                            <a:ext cx="0" cy="22352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1996" name="Straight Arrow Connector 66"/>
                        <wps:cNvCnPr>
                          <a:cxnSpLocks/>
                        </wps:cNvCnPr>
                        <wps:spPr bwMode="auto">
                          <a:xfrm>
                            <a:off x="5061098" y="4974861"/>
                            <a:ext cx="0" cy="22352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g:grpSp>
                        <wpg:cNvPr id="1998" name="Group 67"/>
                        <wpg:cNvGrpSpPr>
                          <a:grpSpLocks/>
                        </wpg:cNvGrpSpPr>
                        <wpg:grpSpPr bwMode="auto">
                          <a:xfrm>
                            <a:off x="0" y="0"/>
                            <a:ext cx="6101715" cy="4943475"/>
                            <a:chOff x="0" y="0"/>
                            <a:chExt cx="6101922" cy="4943667"/>
                          </a:xfrm>
                        </wpg:grpSpPr>
                        <wpg:grpSp>
                          <wpg:cNvPr id="1999" name="Group 68"/>
                          <wpg:cNvGrpSpPr>
                            <a:grpSpLocks/>
                          </wpg:cNvGrpSpPr>
                          <wpg:grpSpPr bwMode="auto">
                            <a:xfrm>
                              <a:off x="0" y="0"/>
                              <a:ext cx="5985126" cy="797442"/>
                              <a:chOff x="0" y="0"/>
                              <a:chExt cx="5985126" cy="797442"/>
                            </a:xfrm>
                          </wpg:grpSpPr>
                          <wps:wsp>
                            <wps:cNvPr id="2001" name="Rounded Rectangle 69"/>
                            <wps:cNvSpPr>
                              <a:spLocks noChangeArrowheads="1"/>
                            </wps:cNvSpPr>
                            <wps:spPr bwMode="auto">
                              <a:xfrm>
                                <a:off x="1477926" y="21265"/>
                                <a:ext cx="4507200" cy="45720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3F48AA0E" w14:textId="77777777" w:rsidR="004E3164" w:rsidRPr="00484FAE" w:rsidRDefault="004E3164" w:rsidP="00484FAE">
                                  <w:pPr>
                                    <w:ind w:firstLine="0"/>
                                    <w:jc w:val="center"/>
                                    <w:rPr>
                                      <w:sz w:val="18"/>
                                      <w:szCs w:val="18"/>
                                    </w:rPr>
                                  </w:pPr>
                                  <w:r w:rsidRPr="00484FAE">
                                    <w:rPr>
                                      <w:sz w:val="18"/>
                                      <w:szCs w:val="18"/>
                                    </w:rPr>
                                    <w:t>Избор на процедура за оценка на „голям проект“</w:t>
                                  </w:r>
                                </w:p>
                              </w:txbxContent>
                            </wps:txbx>
                            <wps:bodyPr rot="0" vert="horz" wrap="square" lIns="91440" tIns="45720" rIns="91440" bIns="45720" anchor="ctr" anchorCtr="0" upright="1">
                              <a:noAutofit/>
                            </wps:bodyPr>
                          </wps:wsp>
                          <wps:wsp>
                            <wps:cNvPr id="2002" name="Oval 70"/>
                            <wps:cNvSpPr>
                              <a:spLocks noChangeArrowheads="1"/>
                            </wps:cNvSpPr>
                            <wps:spPr bwMode="auto">
                              <a:xfrm>
                                <a:off x="0" y="0"/>
                                <a:ext cx="1264920" cy="616585"/>
                              </a:xfrm>
                              <a:prstGeom prst="ellipse">
                                <a:avLst/>
                              </a:prstGeom>
                              <a:solidFill>
                                <a:srgbClr val="FFFFFF"/>
                              </a:solidFill>
                              <a:ln w="25400" algn="ctr">
                                <a:solidFill>
                                  <a:srgbClr val="4F81BD"/>
                                </a:solidFill>
                                <a:round/>
                                <a:headEnd/>
                                <a:tailEnd/>
                              </a:ln>
                            </wps:spPr>
                            <wps:txbx>
                              <w:txbxContent>
                                <w:p w14:paraId="53F42FF1" w14:textId="77777777" w:rsidR="004E3164" w:rsidRPr="00484FAE" w:rsidRDefault="004E3164" w:rsidP="00484FAE">
                                  <w:pPr>
                                    <w:ind w:firstLine="0"/>
                                    <w:jc w:val="center"/>
                                    <w:rPr>
                                      <w:sz w:val="18"/>
                                      <w:szCs w:val="18"/>
                                    </w:rPr>
                                  </w:pPr>
                                  <w:r w:rsidRPr="00484FAE">
                                    <w:rPr>
                                      <w:sz w:val="18"/>
                                      <w:szCs w:val="18"/>
                                    </w:rPr>
                                    <w:t>Държавата членка</w:t>
                                  </w:r>
                                </w:p>
                              </w:txbxContent>
                            </wps:txbx>
                            <wps:bodyPr rot="0" vert="horz" wrap="square" lIns="91440" tIns="45720" rIns="91440" bIns="45720" anchor="ctr" anchorCtr="0" upright="1">
                              <a:noAutofit/>
                            </wps:bodyPr>
                          </wps:wsp>
                          <wps:wsp>
                            <wps:cNvPr id="608" name="Straight Arrow Connector 71"/>
                            <wps:cNvCnPr>
                              <a:cxnSpLocks noChangeShapeType="1"/>
                            </wps:cNvCnPr>
                            <wps:spPr bwMode="auto">
                              <a:xfrm flipH="1">
                                <a:off x="2488019" y="478465"/>
                                <a:ext cx="1052623" cy="318977"/>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609" name="Straight Arrow Connector 72"/>
                            <wps:cNvCnPr>
                              <a:cxnSpLocks noChangeShapeType="1"/>
                            </wps:cNvCnPr>
                            <wps:spPr bwMode="auto">
                              <a:xfrm>
                                <a:off x="3763926" y="478465"/>
                                <a:ext cx="1277886" cy="29718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610" name="Straight Arrow Connector 75"/>
                            <wps:cNvCnPr>
                              <a:cxnSpLocks noChangeShapeType="1"/>
                            </wps:cNvCnPr>
                            <wps:spPr bwMode="auto">
                              <a:xfrm>
                                <a:off x="1275907" y="276447"/>
                                <a:ext cx="202019" cy="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g:grpSp>
                        <wpg:grpSp>
                          <wpg:cNvPr id="611" name="Group 76"/>
                          <wpg:cNvGrpSpPr>
                            <a:grpSpLocks/>
                          </wpg:cNvGrpSpPr>
                          <wpg:grpSpPr bwMode="auto">
                            <a:xfrm>
                              <a:off x="0" y="786809"/>
                              <a:ext cx="5985392" cy="1636837"/>
                              <a:chOff x="0" y="0"/>
                              <a:chExt cx="5985392" cy="1636837"/>
                            </a:xfrm>
                          </wpg:grpSpPr>
                          <wps:wsp>
                            <wps:cNvPr id="612" name="Rounded Rectangle 77"/>
                            <wps:cNvSpPr>
                              <a:spLocks noChangeArrowheads="1"/>
                            </wps:cNvSpPr>
                            <wps:spPr bwMode="auto">
                              <a:xfrm>
                                <a:off x="1477814" y="839967"/>
                                <a:ext cx="2283460" cy="79687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01F8BBA5" w14:textId="77777777" w:rsidR="004E3164" w:rsidRPr="00484FAE" w:rsidRDefault="004E3164" w:rsidP="00484FAE">
                                  <w:pPr>
                                    <w:ind w:firstLine="0"/>
                                    <w:jc w:val="center"/>
                                    <w:rPr>
                                      <w:sz w:val="18"/>
                                      <w:szCs w:val="18"/>
                                    </w:rPr>
                                  </w:pPr>
                                  <w:r w:rsidRPr="00484FAE">
                                    <w:rPr>
                                      <w:sz w:val="18"/>
                                      <w:szCs w:val="18"/>
                                    </w:rPr>
                                    <w:t xml:space="preserve">Осигуряване на информацията по чл. 101 от Регламент № (ЕС) 1303/2013 г. на независимите експерти </w:t>
                                  </w:r>
                                </w:p>
                                <w:p w14:paraId="3E434F3B" w14:textId="77777777" w:rsidR="004E3164" w:rsidRPr="00484FAE" w:rsidRDefault="004E3164" w:rsidP="00484FAE">
                                  <w:pPr>
                                    <w:ind w:firstLine="0"/>
                                    <w:jc w:val="center"/>
                                    <w:rPr>
                                      <w:sz w:val="18"/>
                                      <w:szCs w:val="18"/>
                                    </w:rPr>
                                  </w:pPr>
                                </w:p>
                              </w:txbxContent>
                            </wps:txbx>
                            <wps:bodyPr rot="0" vert="horz" wrap="square" lIns="91440" tIns="45720" rIns="91440" bIns="45720" anchor="ctr" anchorCtr="0" upright="1">
                              <a:noAutofit/>
                            </wps:bodyPr>
                          </wps:wsp>
                          <wps:wsp>
                            <wps:cNvPr id="613" name="Rounded Rectangle 78"/>
                            <wps:cNvSpPr>
                              <a:spLocks noChangeArrowheads="1"/>
                            </wps:cNvSpPr>
                            <wps:spPr bwMode="auto">
                              <a:xfrm>
                                <a:off x="3976577" y="839973"/>
                                <a:ext cx="2008505" cy="75491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2E5F6622" w14:textId="77777777" w:rsidR="004E3164" w:rsidRPr="00484FAE" w:rsidRDefault="004E3164" w:rsidP="00484FAE">
                                  <w:pPr>
                                    <w:ind w:firstLine="0"/>
                                    <w:jc w:val="center"/>
                                    <w:rPr>
                                      <w:sz w:val="18"/>
                                      <w:szCs w:val="18"/>
                                    </w:rPr>
                                  </w:pPr>
                                  <w:r w:rsidRPr="00484FAE">
                                    <w:rPr>
                                      <w:sz w:val="18"/>
                                      <w:szCs w:val="18"/>
                                    </w:rPr>
                                    <w:t>Осигуряване на информацията по чл. 101 от Регламент № (ЕС) 1303/2013 г. и изпращане на ФК на ЕК</w:t>
                                  </w:r>
                                </w:p>
                              </w:txbxContent>
                            </wps:txbx>
                            <wps:bodyPr rot="0" vert="horz" wrap="square" lIns="91440" tIns="45720" rIns="91440" bIns="45720" anchor="ctr" anchorCtr="0" upright="1">
                              <a:noAutofit/>
                            </wps:bodyPr>
                          </wps:wsp>
                          <wps:wsp>
                            <wps:cNvPr id="614" name="Oval 94"/>
                            <wps:cNvSpPr>
                              <a:spLocks noChangeArrowheads="1"/>
                            </wps:cNvSpPr>
                            <wps:spPr bwMode="auto">
                              <a:xfrm>
                                <a:off x="0" y="839973"/>
                                <a:ext cx="1264920" cy="616585"/>
                              </a:xfrm>
                              <a:prstGeom prst="ellipse">
                                <a:avLst/>
                              </a:prstGeom>
                              <a:solidFill>
                                <a:srgbClr val="FFFFFF"/>
                              </a:solidFill>
                              <a:ln w="25400" algn="ctr">
                                <a:solidFill>
                                  <a:srgbClr val="4F81BD"/>
                                </a:solidFill>
                                <a:round/>
                                <a:headEnd/>
                                <a:tailEnd/>
                              </a:ln>
                            </wps:spPr>
                            <wps:txbx>
                              <w:txbxContent>
                                <w:p w14:paraId="0A3EBA8C" w14:textId="77777777" w:rsidR="004E3164" w:rsidRPr="00484FAE" w:rsidRDefault="004E3164" w:rsidP="00484FAE">
                                  <w:pPr>
                                    <w:ind w:firstLine="0"/>
                                    <w:jc w:val="center"/>
                                    <w:rPr>
                                      <w:sz w:val="18"/>
                                      <w:szCs w:val="18"/>
                                    </w:rPr>
                                  </w:pPr>
                                  <w:r w:rsidRPr="00484FAE">
                                    <w:rPr>
                                      <w:sz w:val="18"/>
                                      <w:szCs w:val="18"/>
                                    </w:rPr>
                                    <w:t>УО на ОПТТИ</w:t>
                                  </w:r>
                                </w:p>
                              </w:txbxContent>
                            </wps:txbx>
                            <wps:bodyPr rot="0" vert="horz" wrap="square" lIns="91440" tIns="45720" rIns="91440" bIns="45720" anchor="ctr" anchorCtr="0" upright="1">
                              <a:noAutofit/>
                            </wps:bodyPr>
                          </wps:wsp>
                          <wpg:grpSp>
                            <wpg:cNvPr id="615" name="Group 120"/>
                            <wpg:cNvGrpSpPr>
                              <a:grpSpLocks/>
                            </wpg:cNvGrpSpPr>
                            <wpg:grpSpPr bwMode="auto">
                              <a:xfrm>
                                <a:off x="1477926" y="0"/>
                                <a:ext cx="4507466" cy="840209"/>
                                <a:chOff x="0" y="0"/>
                                <a:chExt cx="4507466" cy="840209"/>
                              </a:xfrm>
                            </wpg:grpSpPr>
                            <wps:wsp>
                              <wps:cNvPr id="616" name="Rounded Rectangle 121"/>
                              <wps:cNvSpPr>
                                <a:spLocks noChangeArrowheads="1"/>
                              </wps:cNvSpPr>
                              <wps:spPr bwMode="auto">
                                <a:xfrm>
                                  <a:off x="0" y="10633"/>
                                  <a:ext cx="2283430" cy="60579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17B329CB" w14:textId="77777777" w:rsidR="004E3164" w:rsidRPr="00484FAE" w:rsidRDefault="004E3164" w:rsidP="00484FAE">
                                    <w:pPr>
                                      <w:ind w:firstLine="0"/>
                                      <w:jc w:val="center"/>
                                      <w:rPr>
                                        <w:sz w:val="18"/>
                                        <w:szCs w:val="18"/>
                                      </w:rPr>
                                    </w:pPr>
                                    <w:r w:rsidRPr="00484FAE">
                                      <w:rPr>
                                        <w:sz w:val="18"/>
                                        <w:szCs w:val="18"/>
                                      </w:rPr>
                                      <w:t xml:space="preserve">Процедура по </w:t>
                                    </w:r>
                                    <w:r w:rsidRPr="00484FAE">
                                      <w:rPr>
                                        <w:b/>
                                        <w:sz w:val="18"/>
                                        <w:szCs w:val="18"/>
                                      </w:rPr>
                                      <w:t>параграф 1</w:t>
                                    </w:r>
                                    <w:r w:rsidRPr="00484FAE">
                                      <w:rPr>
                                        <w:sz w:val="18"/>
                                        <w:szCs w:val="18"/>
                                      </w:rPr>
                                      <w:t xml:space="preserve"> на чл. 102 от Регламент № (ЕС) 1303/2013 г.</w:t>
                                    </w:r>
                                  </w:p>
                                </w:txbxContent>
                              </wps:txbx>
                              <wps:bodyPr rot="0" vert="horz" wrap="square" lIns="91440" tIns="45720" rIns="91440" bIns="45720" anchor="ctr" anchorCtr="0" upright="1">
                                <a:noAutofit/>
                              </wps:bodyPr>
                            </wps:wsp>
                            <wps:wsp>
                              <wps:cNvPr id="617" name="Rounded Rectangle 122"/>
                              <wps:cNvSpPr>
                                <a:spLocks noChangeArrowheads="1"/>
                              </wps:cNvSpPr>
                              <wps:spPr bwMode="auto">
                                <a:xfrm>
                                  <a:off x="2519916" y="0"/>
                                  <a:ext cx="1987550" cy="60579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5C999EB7" w14:textId="77777777" w:rsidR="004E3164" w:rsidRPr="00484FAE" w:rsidRDefault="004E3164" w:rsidP="00484FAE">
                                    <w:pPr>
                                      <w:ind w:firstLine="0"/>
                                      <w:jc w:val="center"/>
                                      <w:rPr>
                                        <w:sz w:val="18"/>
                                        <w:szCs w:val="18"/>
                                      </w:rPr>
                                    </w:pPr>
                                    <w:r w:rsidRPr="00484FAE">
                                      <w:rPr>
                                        <w:sz w:val="18"/>
                                        <w:szCs w:val="18"/>
                                      </w:rPr>
                                      <w:t xml:space="preserve">Процедура по </w:t>
                                    </w:r>
                                    <w:r w:rsidRPr="00484FAE">
                                      <w:rPr>
                                        <w:b/>
                                        <w:sz w:val="18"/>
                                        <w:szCs w:val="18"/>
                                      </w:rPr>
                                      <w:t>параграф 2</w:t>
                                    </w:r>
                                    <w:r w:rsidRPr="00484FAE">
                                      <w:rPr>
                                        <w:sz w:val="18"/>
                                        <w:szCs w:val="18"/>
                                      </w:rPr>
                                      <w:t xml:space="preserve"> на чл. 102 от Регламент № (ЕС) 1303/2013 г.</w:t>
                                    </w:r>
                                  </w:p>
                                </w:txbxContent>
                              </wps:txbx>
                              <wps:bodyPr rot="0" vert="horz" wrap="square" lIns="91440" tIns="45720" rIns="91440" bIns="45720" anchor="ctr" anchorCtr="0" upright="1">
                                <a:noAutofit/>
                              </wps:bodyPr>
                            </wps:wsp>
                            <wps:wsp>
                              <wps:cNvPr id="618" name="Straight Arrow Connector 125"/>
                              <wps:cNvCnPr>
                                <a:cxnSpLocks noChangeShapeType="1"/>
                              </wps:cNvCnPr>
                              <wps:spPr bwMode="auto">
                                <a:xfrm>
                                  <a:off x="1105786" y="616689"/>
                                  <a:ext cx="0" cy="22352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619" name="Straight Arrow Connector 1860"/>
                              <wps:cNvCnPr>
                                <a:cxnSpLocks noChangeShapeType="1"/>
                              </wps:cNvCnPr>
                              <wps:spPr bwMode="auto">
                                <a:xfrm>
                                  <a:off x="3551274" y="595424"/>
                                  <a:ext cx="0" cy="22352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g:grpSp>
                          <wps:wsp>
                            <wps:cNvPr id="620" name="Straight Arrow Connector 1861"/>
                            <wps:cNvCnPr>
                              <a:cxnSpLocks noChangeShapeType="1"/>
                            </wps:cNvCnPr>
                            <wps:spPr bwMode="auto">
                              <a:xfrm>
                                <a:off x="1275907" y="1127052"/>
                                <a:ext cx="202019" cy="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g:grpSp>
                        <wpg:grpSp>
                          <wpg:cNvPr id="621" name="Group 1862"/>
                          <wpg:cNvGrpSpPr>
                            <a:grpSpLocks/>
                          </wpg:cNvGrpSpPr>
                          <wpg:grpSpPr bwMode="auto">
                            <a:xfrm>
                              <a:off x="0" y="2349795"/>
                              <a:ext cx="5041546" cy="1892492"/>
                              <a:chOff x="0" y="0"/>
                              <a:chExt cx="5041546" cy="1892492"/>
                            </a:xfrm>
                          </wpg:grpSpPr>
                          <wps:wsp>
                            <wps:cNvPr id="622" name="Rounded Rectangle 1863"/>
                            <wps:cNvSpPr>
                              <a:spLocks noChangeArrowheads="1"/>
                            </wps:cNvSpPr>
                            <wps:spPr bwMode="auto">
                              <a:xfrm>
                                <a:off x="1562986" y="191387"/>
                                <a:ext cx="2199640" cy="92456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77A02693" w14:textId="77777777" w:rsidR="004E3164" w:rsidRPr="00484FAE" w:rsidRDefault="004E3164" w:rsidP="00484FAE">
                                  <w:pPr>
                                    <w:ind w:firstLine="0"/>
                                    <w:jc w:val="center"/>
                                    <w:rPr>
                                      <w:sz w:val="18"/>
                                      <w:szCs w:val="18"/>
                                    </w:rPr>
                                  </w:pPr>
                                  <w:r w:rsidRPr="00484FAE">
                                    <w:rPr>
                                      <w:sz w:val="18"/>
                                      <w:szCs w:val="18"/>
                                    </w:rPr>
                                    <w:t>Оценка на проекта на информацията по чл. 101 от Регламент № (ЕС) 1303/2013 г. и извършване на процедурата по независим преглед на качеството</w:t>
                                  </w:r>
                                </w:p>
                              </w:txbxContent>
                            </wps:txbx>
                            <wps:bodyPr rot="0" vert="horz" wrap="square" lIns="91440" tIns="45720" rIns="91440" bIns="45720" anchor="ctr" anchorCtr="0" upright="1">
                              <a:noAutofit/>
                            </wps:bodyPr>
                          </wps:wsp>
                          <wps:wsp>
                            <wps:cNvPr id="623" name="Rounded Rectangle 1864"/>
                            <wps:cNvSpPr>
                              <a:spLocks noChangeArrowheads="1"/>
                            </wps:cNvSpPr>
                            <wps:spPr bwMode="auto">
                              <a:xfrm>
                                <a:off x="1626781" y="1297173"/>
                                <a:ext cx="2134235" cy="44640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292715ED" w14:textId="77777777" w:rsidR="004E3164" w:rsidRPr="00484FAE" w:rsidRDefault="004E3164" w:rsidP="00484FAE">
                                  <w:pPr>
                                    <w:ind w:firstLine="0"/>
                                    <w:jc w:val="center"/>
                                    <w:rPr>
                                      <w:sz w:val="18"/>
                                      <w:szCs w:val="18"/>
                                    </w:rPr>
                                  </w:pPr>
                                  <w:r w:rsidRPr="00484FAE">
                                    <w:rPr>
                                      <w:sz w:val="18"/>
                                      <w:szCs w:val="18"/>
                                    </w:rPr>
                                    <w:t>Изпращане на нотификация за избрания проект до ЕК</w:t>
                                  </w:r>
                                </w:p>
                              </w:txbxContent>
                            </wps:txbx>
                            <wps:bodyPr rot="0" vert="horz" wrap="square" lIns="91440" tIns="45720" rIns="91440" bIns="45720" anchor="ctr" anchorCtr="0" upright="1">
                              <a:noAutofit/>
                            </wps:bodyPr>
                          </wps:wsp>
                          <wps:wsp>
                            <wps:cNvPr id="624" name="Oval 1865"/>
                            <wps:cNvSpPr>
                              <a:spLocks noChangeArrowheads="1"/>
                            </wps:cNvSpPr>
                            <wps:spPr bwMode="auto">
                              <a:xfrm>
                                <a:off x="0" y="255182"/>
                                <a:ext cx="1264920" cy="616585"/>
                              </a:xfrm>
                              <a:prstGeom prst="ellipse">
                                <a:avLst/>
                              </a:prstGeom>
                              <a:solidFill>
                                <a:srgbClr val="FFFFFF"/>
                              </a:solidFill>
                              <a:ln w="25400" algn="ctr">
                                <a:solidFill>
                                  <a:srgbClr val="4F81BD"/>
                                </a:solidFill>
                                <a:round/>
                                <a:headEnd/>
                                <a:tailEnd/>
                              </a:ln>
                            </wps:spPr>
                            <wps:txbx>
                              <w:txbxContent>
                                <w:p w14:paraId="79AAE971" w14:textId="77777777" w:rsidR="004E3164" w:rsidRPr="00484FAE" w:rsidRDefault="004E3164" w:rsidP="00484FAE">
                                  <w:pPr>
                                    <w:ind w:firstLine="0"/>
                                    <w:jc w:val="center"/>
                                    <w:rPr>
                                      <w:sz w:val="18"/>
                                      <w:szCs w:val="18"/>
                                    </w:rPr>
                                  </w:pPr>
                                  <w:r w:rsidRPr="00484FAE">
                                    <w:rPr>
                                      <w:sz w:val="18"/>
                                      <w:szCs w:val="18"/>
                                    </w:rPr>
                                    <w:t>Независими експерти</w:t>
                                  </w:r>
                                </w:p>
                              </w:txbxContent>
                            </wps:txbx>
                            <wps:bodyPr rot="0" vert="horz" wrap="square" lIns="91440" tIns="45720" rIns="91440" bIns="45720" anchor="ctr" anchorCtr="0" upright="1">
                              <a:noAutofit/>
                            </wps:bodyPr>
                          </wps:wsp>
                          <wps:wsp>
                            <wps:cNvPr id="625" name="Oval 1866"/>
                            <wps:cNvSpPr>
                              <a:spLocks noChangeArrowheads="1"/>
                            </wps:cNvSpPr>
                            <wps:spPr bwMode="auto">
                              <a:xfrm>
                                <a:off x="0" y="1275907"/>
                                <a:ext cx="1264920" cy="616585"/>
                              </a:xfrm>
                              <a:prstGeom prst="ellipse">
                                <a:avLst/>
                              </a:prstGeom>
                              <a:solidFill>
                                <a:srgbClr val="FFFFFF"/>
                              </a:solidFill>
                              <a:ln w="25400" algn="ctr">
                                <a:solidFill>
                                  <a:srgbClr val="4F81BD"/>
                                </a:solidFill>
                                <a:round/>
                                <a:headEnd/>
                                <a:tailEnd/>
                              </a:ln>
                            </wps:spPr>
                            <wps:txbx>
                              <w:txbxContent>
                                <w:p w14:paraId="70A3CA6F" w14:textId="77777777" w:rsidR="004E3164" w:rsidRPr="00484FAE" w:rsidRDefault="004E3164" w:rsidP="00484FAE">
                                  <w:pPr>
                                    <w:ind w:firstLine="0"/>
                                    <w:jc w:val="center"/>
                                    <w:rPr>
                                      <w:sz w:val="18"/>
                                      <w:szCs w:val="18"/>
                                    </w:rPr>
                                  </w:pPr>
                                  <w:r w:rsidRPr="00484FAE">
                                    <w:rPr>
                                      <w:sz w:val="18"/>
                                      <w:szCs w:val="18"/>
                                    </w:rPr>
                                    <w:t>УО на ОПТТИ</w:t>
                                  </w:r>
                                </w:p>
                              </w:txbxContent>
                            </wps:txbx>
                            <wps:bodyPr rot="0" vert="horz" wrap="square" lIns="91440" tIns="45720" rIns="91440" bIns="45720" anchor="ctr" anchorCtr="0" upright="1">
                              <a:noAutofit/>
                            </wps:bodyPr>
                          </wps:wsp>
                          <wps:wsp>
                            <wps:cNvPr id="626" name="Straight Arrow Connector 1867"/>
                            <wps:cNvCnPr>
                              <a:cxnSpLocks noChangeShapeType="1"/>
                            </wps:cNvCnPr>
                            <wps:spPr bwMode="auto">
                              <a:xfrm>
                                <a:off x="5018567" y="31898"/>
                                <a:ext cx="22979" cy="1637414"/>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627" name="Straight Arrow Connector 1868"/>
                            <wps:cNvCnPr>
                              <a:cxnSpLocks noChangeShapeType="1"/>
                            </wps:cNvCnPr>
                            <wps:spPr bwMode="auto">
                              <a:xfrm>
                                <a:off x="2583712" y="0"/>
                                <a:ext cx="0" cy="22352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628" name="Straight Arrow Connector 1869"/>
                            <wps:cNvCnPr>
                              <a:cxnSpLocks noChangeShapeType="1"/>
                            </wps:cNvCnPr>
                            <wps:spPr bwMode="auto">
                              <a:xfrm>
                                <a:off x="2636874" y="1127052"/>
                                <a:ext cx="0" cy="22352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629" name="Straight Arrow Connector 1870"/>
                            <wps:cNvCnPr>
                              <a:cxnSpLocks noChangeShapeType="1"/>
                            </wps:cNvCnPr>
                            <wps:spPr bwMode="auto">
                              <a:xfrm>
                                <a:off x="1297172" y="574159"/>
                                <a:ext cx="201930" cy="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630" name="Straight Arrow Connector 188"/>
                            <wps:cNvCnPr>
                              <a:cxnSpLocks noChangeShapeType="1"/>
                            </wps:cNvCnPr>
                            <wps:spPr bwMode="auto">
                              <a:xfrm>
                                <a:off x="1371600" y="1531089"/>
                                <a:ext cx="201930" cy="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g:grpSp>
                        <wpg:grpSp>
                          <wpg:cNvPr id="631" name="Group 189"/>
                          <wpg:cNvGrpSpPr>
                            <a:grpSpLocks/>
                          </wpg:cNvGrpSpPr>
                          <wpg:grpSpPr bwMode="auto">
                            <a:xfrm>
                              <a:off x="0" y="4019107"/>
                              <a:ext cx="6101922" cy="924560"/>
                              <a:chOff x="0" y="0"/>
                              <a:chExt cx="6101922" cy="924560"/>
                            </a:xfrm>
                          </wpg:grpSpPr>
                          <wps:wsp>
                            <wps:cNvPr id="632" name="Rounded Rectangle 203"/>
                            <wps:cNvSpPr>
                              <a:spLocks noChangeArrowheads="1"/>
                            </wps:cNvSpPr>
                            <wps:spPr bwMode="auto">
                              <a:xfrm>
                                <a:off x="1626781" y="308344"/>
                                <a:ext cx="2134235" cy="58420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692BD4B9" w14:textId="77777777" w:rsidR="004E3164" w:rsidRPr="00484FAE" w:rsidRDefault="004E3164" w:rsidP="00484FAE">
                                  <w:pPr>
                                    <w:ind w:firstLine="0"/>
                                    <w:jc w:val="center"/>
                                    <w:rPr>
                                      <w:sz w:val="18"/>
                                      <w:szCs w:val="18"/>
                                    </w:rPr>
                                  </w:pPr>
                                  <w:r w:rsidRPr="00484FAE">
                                    <w:rPr>
                                      <w:sz w:val="18"/>
                                      <w:szCs w:val="18"/>
                                    </w:rPr>
                                    <w:t>Оценка на проекта въз основа на доклада от извършен  независим преглед на качеството</w:t>
                                  </w:r>
                                </w:p>
                                <w:p w14:paraId="518CA774" w14:textId="77777777" w:rsidR="004E3164" w:rsidRPr="00484FAE" w:rsidRDefault="004E3164" w:rsidP="00484FAE">
                                  <w:pPr>
                                    <w:ind w:firstLine="0"/>
                                    <w:jc w:val="center"/>
                                    <w:rPr>
                                      <w:sz w:val="18"/>
                                      <w:szCs w:val="18"/>
                                    </w:rPr>
                                  </w:pPr>
                                </w:p>
                              </w:txbxContent>
                            </wps:txbx>
                            <wps:bodyPr rot="0" vert="horz" wrap="square" lIns="91440" tIns="45720" rIns="91440" bIns="45720" anchor="ctr" anchorCtr="0" upright="1">
                              <a:noAutofit/>
                            </wps:bodyPr>
                          </wps:wsp>
                          <wps:wsp>
                            <wps:cNvPr id="633" name="Rounded Rectangle 1944"/>
                            <wps:cNvSpPr>
                              <a:spLocks noChangeArrowheads="1"/>
                            </wps:cNvSpPr>
                            <wps:spPr bwMode="auto">
                              <a:xfrm>
                                <a:off x="3976577" y="0"/>
                                <a:ext cx="2125345" cy="92456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6CEB9759" w14:textId="77777777" w:rsidR="004E3164" w:rsidRPr="00484FAE" w:rsidRDefault="004E3164" w:rsidP="00484FAE">
                                  <w:pPr>
                                    <w:ind w:firstLine="0"/>
                                    <w:jc w:val="center"/>
                                    <w:rPr>
                                      <w:i/>
                                      <w:sz w:val="18"/>
                                      <w:szCs w:val="18"/>
                                    </w:rPr>
                                  </w:pPr>
                                  <w:r w:rsidRPr="00484FAE">
                                    <w:rPr>
                                      <w:sz w:val="18"/>
                                      <w:szCs w:val="18"/>
                                    </w:rPr>
                                    <w:t xml:space="preserve">Оценка на проекта въз основа на информацията по чл. 101 от Регламент № (ЕС) 1303/2013 г. с подкрепата на ЕИБ </w:t>
                                  </w:r>
                                  <w:r w:rsidRPr="00484FAE">
                                    <w:rPr>
                                      <w:i/>
                                      <w:sz w:val="18"/>
                                      <w:szCs w:val="18"/>
                                    </w:rPr>
                                    <w:t>(ако е необходимо)</w:t>
                                  </w:r>
                                </w:p>
                              </w:txbxContent>
                            </wps:txbx>
                            <wps:bodyPr rot="0" vert="horz" wrap="square" lIns="91440" tIns="45720" rIns="91440" bIns="45720" anchor="ctr" anchorCtr="0" upright="1">
                              <a:noAutofit/>
                            </wps:bodyPr>
                          </wps:wsp>
                          <wps:wsp>
                            <wps:cNvPr id="634" name="Oval 1945"/>
                            <wps:cNvSpPr>
                              <a:spLocks noChangeArrowheads="1"/>
                            </wps:cNvSpPr>
                            <wps:spPr bwMode="auto">
                              <a:xfrm>
                                <a:off x="0" y="276447"/>
                                <a:ext cx="1264920" cy="616585"/>
                              </a:xfrm>
                              <a:prstGeom prst="ellipse">
                                <a:avLst/>
                              </a:prstGeom>
                              <a:solidFill>
                                <a:srgbClr val="FFFFFF"/>
                              </a:solidFill>
                              <a:ln w="25400" algn="ctr">
                                <a:solidFill>
                                  <a:srgbClr val="4F81BD"/>
                                </a:solidFill>
                                <a:round/>
                                <a:headEnd/>
                                <a:tailEnd/>
                              </a:ln>
                            </wps:spPr>
                            <wps:txbx>
                              <w:txbxContent>
                                <w:p w14:paraId="77F9B160" w14:textId="77777777" w:rsidR="004E3164" w:rsidRPr="00484FAE" w:rsidRDefault="004E3164" w:rsidP="00484FAE">
                                  <w:pPr>
                                    <w:ind w:firstLine="0"/>
                                    <w:jc w:val="center"/>
                                    <w:rPr>
                                      <w:sz w:val="18"/>
                                      <w:szCs w:val="18"/>
                                    </w:rPr>
                                  </w:pPr>
                                  <w:r w:rsidRPr="00484FAE">
                                    <w:rPr>
                                      <w:sz w:val="18"/>
                                      <w:szCs w:val="18"/>
                                    </w:rPr>
                                    <w:t>ЕК</w:t>
                                  </w:r>
                                </w:p>
                              </w:txbxContent>
                            </wps:txbx>
                            <wps:bodyPr rot="0" vert="horz" wrap="square" lIns="91440" tIns="45720" rIns="91440" bIns="45720" anchor="ctr" anchorCtr="0" upright="1">
                              <a:noAutofit/>
                            </wps:bodyPr>
                          </wps:wsp>
                          <wps:wsp>
                            <wps:cNvPr id="635" name="Straight Arrow Connector 1946"/>
                            <wps:cNvCnPr>
                              <a:cxnSpLocks noChangeShapeType="1"/>
                            </wps:cNvCnPr>
                            <wps:spPr bwMode="auto">
                              <a:xfrm>
                                <a:off x="2626242" y="63795"/>
                                <a:ext cx="0" cy="22352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641" name="Straight Arrow Connector 1947"/>
                            <wps:cNvCnPr>
                              <a:cxnSpLocks noChangeShapeType="1"/>
                            </wps:cNvCnPr>
                            <wps:spPr bwMode="auto">
                              <a:xfrm>
                                <a:off x="1371600" y="542261"/>
                                <a:ext cx="201930" cy="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01A34C5D" id="Group 1787" o:spid="_x0000_s1541" style="width:478.85pt;height:421.1pt;mso-position-horizontal-relative:char;mso-position-vertical-relative:line" coordsize="61127,5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">
                <v:roundrect id="Rounded Rectangle 1789" o:spid="_x0000_s1542" style="position:absolute;left:16905;top:51863;width:44222;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" fillcolor="#a3c4ff" strokecolor="#4a7ebb">
                  <v:fill color2="#e5eeff" rotate="t" angle="180" colors="0 #a3c4ff;22938f #bfd5ff;1 #e5eeff" focus="100%" type="gradient"/>
                  <v:shadow on="t" color="black" opacity="24903f" origin=",.5" offset="0,.55556mm"/>
                  <v:path arrowok="t"/>
                  <v:textbox>
                    <w:txbxContent>
                      <w:p w14:paraId="04E54AF9" w14:textId="77777777" w:rsidR="004E3164" w:rsidRPr="00484FAE" w:rsidRDefault="004E3164" w:rsidP="00484FAE">
                        <w:pPr>
                          <w:ind w:firstLine="0"/>
                          <w:jc w:val="center"/>
                          <w:rPr>
                            <w:sz w:val="18"/>
                            <w:szCs w:val="18"/>
                          </w:rPr>
                        </w:pPr>
                        <w:r w:rsidRPr="00484FAE">
                          <w:rPr>
                            <w:sz w:val="18"/>
                            <w:szCs w:val="18"/>
                          </w:rPr>
                          <w:t>Проектът е одобрен / отхвърлен</w:t>
                        </w:r>
                      </w:p>
                    </w:txbxContent>
                  </v:textbox>
                </v:roundrect>
                <v:shape id="Straight Arrow Connector 65" o:spid="_x0000_s1543" type="#_x0000_t32" style="position:absolute;left:26581;top:49535;width:0;height:2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" strokecolor="#4a7ebb" strokeweight="1pt">
                  <v:stroke endarrow="block"/>
                  <o:lock v:ext="edit" shapetype="f"/>
                </v:shape>
                <v:shape id="Straight Arrow Connector 66" o:spid="_x0000_s1544" type="#_x0000_t32" style="position:absolute;left:50610;top:49748;width:0;height:2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" strokecolor="#4a7ebb" strokeweight="1pt">
                  <v:stroke endarrow="block"/>
                  <o:lock v:ext="edit" shapetype="f"/>
                </v:shape>
                <v:group id="Group 67" o:spid="_x0000_s1545" style="position:absolute;width:61017;height:49434" coordsize="61019,4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aZM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gyjcygl7/AgAA//8DAFBLAQItABQABgAIAAAAIQDb4fbL7gAAAIUBAAATAAAAAAAA&#10;AAAAAAAAAAAAAABbQ29udGVudF9UeXBlc10ueG1sUEsBAi0AFAAGAAgAAAAhAFr0LFu/AAAAFQEA&#10;AAsAAAAAAAAAAAAAAAAAHwEAAF9yZWxzLy5yZWxzUEsBAi0AFAAGAAgAAAAhADkZpkzHAAAA3QAA&#10;AA8AAAAAAAAAAAAAAAAABwIAAGRycy9kb3ducmV2LnhtbFBLBQYAAAAAAwADALcAAAD7AgAAAAA=&#10;">
                  <v:group id="Group 68" o:spid="_x0000_s1546" style="position:absolute;width:59851;height:7974" coordsize="59851,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">
                    <v:roundrect id="Rounded Rectangle 69" o:spid="_x0000_s1547" style="position:absolute;left:14779;top:212;width:45072;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" fillcolor="#a3c4ff" strokecolor="#4a7ebb">
                      <v:fill color2="#e5eeff" rotate="t" angle="180" colors="0 #a3c4ff;22938f #bfd5ff;1 #e5eeff" focus="100%" type="gradient"/>
                      <v:shadow on="t" color="black" opacity="24903f" origin=",.5" offset="0,.55556mm"/>
                      <v:textbox>
                        <w:txbxContent>
                          <w:p w14:paraId="3F48AA0E" w14:textId="77777777" w:rsidR="004E3164" w:rsidRPr="00484FAE" w:rsidRDefault="004E3164" w:rsidP="00484FAE">
                            <w:pPr>
                              <w:ind w:firstLine="0"/>
                              <w:jc w:val="center"/>
                              <w:rPr>
                                <w:sz w:val="18"/>
                                <w:szCs w:val="18"/>
                              </w:rPr>
                            </w:pPr>
                            <w:r w:rsidRPr="00484FAE">
                              <w:rPr>
                                <w:sz w:val="18"/>
                                <w:szCs w:val="18"/>
                              </w:rPr>
                              <w:t>Избор на процедура за оценка на „голям проект“</w:t>
                            </w:r>
                          </w:p>
                        </w:txbxContent>
                      </v:textbox>
                    </v:roundrect>
                    <v:oval id="Oval 70" o:spid="_x0000_s1548" style="position:absolute;width:12649;height:6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" strokecolor="#4f81bd" strokeweight="2pt">
                      <v:textbox>
                        <w:txbxContent>
                          <w:p w14:paraId="53F42FF1" w14:textId="77777777" w:rsidR="004E3164" w:rsidRPr="00484FAE" w:rsidRDefault="004E3164" w:rsidP="00484FAE">
                            <w:pPr>
                              <w:ind w:firstLine="0"/>
                              <w:jc w:val="center"/>
                              <w:rPr>
                                <w:sz w:val="18"/>
                                <w:szCs w:val="18"/>
                              </w:rPr>
                            </w:pPr>
                            <w:r w:rsidRPr="00484FAE">
                              <w:rPr>
                                <w:sz w:val="18"/>
                                <w:szCs w:val="18"/>
                              </w:rPr>
                              <w:t>Държавата членка</w:t>
                            </w:r>
                          </w:p>
                        </w:txbxContent>
                      </v:textbox>
                    </v:oval>
                    <v:shape id="Straight Arrow Connector 71" o:spid="_x0000_s1549" type="#_x0000_t32" style="position:absolute;left:24880;top:4784;width:10526;height:31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" strokecolor="#4a7ebb" strokeweight="1pt">
                      <v:stroke endarrow="block"/>
                    </v:shape>
                    <v:shape id="Straight Arrow Connector 72" o:spid="_x0000_s1550" type="#_x0000_t32" style="position:absolute;left:37639;top:4784;width:12779;height:2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" strokecolor="#4a7ebb" strokeweight="1pt">
                      <v:stroke endarrow="block"/>
                    </v:shape>
                    <v:shape id="Straight Arrow Connector 75" o:spid="_x0000_s1551" type="#_x0000_t32" style="position:absolute;left:12759;top:2764;width:20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" strokecolor="#4a7ebb" strokeweight="1pt">
                      <v:stroke endarrow="block"/>
                    </v:shape>
                  </v:group>
                  <v:group id="Group 76" o:spid="_x0000_s1552" style="position:absolute;top:7868;width:59853;height:16368" coordsize="59853,1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roundrect id="Rounded Rectangle 77" o:spid="_x0000_s1553" style="position:absolute;left:14778;top:8399;width:22834;height:79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" fillcolor="#a3c4ff" strokecolor="#4a7ebb">
                      <v:fill color2="#e5eeff" rotate="t" angle="180" colors="0 #a3c4ff;22938f #bfd5ff;1 #e5eeff" focus="100%" type="gradient"/>
                      <v:shadow on="t" color="black" opacity="24903f" origin=",.5" offset="0,.55556mm"/>
                      <v:textbox>
                        <w:txbxContent>
                          <w:p w14:paraId="01F8BBA5" w14:textId="77777777" w:rsidR="004E3164" w:rsidRPr="00484FAE" w:rsidRDefault="004E3164" w:rsidP="00484FAE">
                            <w:pPr>
                              <w:ind w:firstLine="0"/>
                              <w:jc w:val="center"/>
                              <w:rPr>
                                <w:sz w:val="18"/>
                                <w:szCs w:val="18"/>
                              </w:rPr>
                            </w:pPr>
                            <w:r w:rsidRPr="00484FAE">
                              <w:rPr>
                                <w:sz w:val="18"/>
                                <w:szCs w:val="18"/>
                              </w:rPr>
                              <w:t xml:space="preserve">Осигуряване на информацията по чл. 101 от Регламент № (ЕС) 1303/2013 г. на независимите експерти </w:t>
                            </w:r>
                          </w:p>
                          <w:p w14:paraId="3E434F3B" w14:textId="77777777" w:rsidR="004E3164" w:rsidRPr="00484FAE" w:rsidRDefault="004E3164" w:rsidP="00484FAE">
                            <w:pPr>
                              <w:ind w:firstLine="0"/>
                              <w:jc w:val="center"/>
                              <w:rPr>
                                <w:sz w:val="18"/>
                                <w:szCs w:val="18"/>
                              </w:rPr>
                            </w:pPr>
                          </w:p>
                        </w:txbxContent>
                      </v:textbox>
                    </v:roundrect>
                    <v:roundrect id="Rounded Rectangle 78" o:spid="_x0000_s1554" style="position:absolute;left:39765;top:8399;width:20085;height:75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" fillcolor="#a3c4ff" strokecolor="#4a7ebb">
                      <v:fill color2="#e5eeff" rotate="t" angle="180" colors="0 #a3c4ff;22938f #bfd5ff;1 #e5eeff" focus="100%" type="gradient"/>
                      <v:shadow on="t" color="black" opacity="24903f" origin=",.5" offset="0,.55556mm"/>
                      <v:textbox>
                        <w:txbxContent>
                          <w:p w14:paraId="2E5F6622" w14:textId="77777777" w:rsidR="004E3164" w:rsidRPr="00484FAE" w:rsidRDefault="004E3164" w:rsidP="00484FAE">
                            <w:pPr>
                              <w:ind w:firstLine="0"/>
                              <w:jc w:val="center"/>
                              <w:rPr>
                                <w:sz w:val="18"/>
                                <w:szCs w:val="18"/>
                              </w:rPr>
                            </w:pPr>
                            <w:r w:rsidRPr="00484FAE">
                              <w:rPr>
                                <w:sz w:val="18"/>
                                <w:szCs w:val="18"/>
                              </w:rPr>
                              <w:t>Осигуряване на информацията по чл. 101 от Регламент № (ЕС) 1303/2013 г. и изпращане на ФК на ЕК</w:t>
                            </w:r>
                          </w:p>
                        </w:txbxContent>
                      </v:textbox>
                    </v:roundrect>
                    <v:oval id="Oval 94" o:spid="_x0000_s1555" style="position:absolute;top:8399;width:12649;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" strokecolor="#4f81bd" strokeweight="2pt">
                      <v:textbox>
                        <w:txbxContent>
                          <w:p w14:paraId="0A3EBA8C" w14:textId="77777777" w:rsidR="004E3164" w:rsidRPr="00484FAE" w:rsidRDefault="004E3164" w:rsidP="00484FAE">
                            <w:pPr>
                              <w:ind w:firstLine="0"/>
                              <w:jc w:val="center"/>
                              <w:rPr>
                                <w:sz w:val="18"/>
                                <w:szCs w:val="18"/>
                              </w:rPr>
                            </w:pPr>
                            <w:r w:rsidRPr="00484FAE">
                              <w:rPr>
                                <w:sz w:val="18"/>
                                <w:szCs w:val="18"/>
                              </w:rPr>
                              <w:t>УО на ОПТТИ</w:t>
                            </w:r>
                          </w:p>
                        </w:txbxContent>
                      </v:textbox>
                    </v:oval>
                    <v:group id="Group 120" o:spid="_x0000_s1556" style="position:absolute;left:14779;width:45074;height:8402" coordsize="45074,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roundrect id="Rounded Rectangle 121" o:spid="_x0000_s1557" style="position:absolute;top:106;width:22834;height:6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" fillcolor="#a3c4ff" strokecolor="#4a7ebb">
                        <v:fill color2="#e5eeff" rotate="t" angle="180" colors="0 #a3c4ff;22938f #bfd5ff;1 #e5eeff" focus="100%" type="gradient"/>
                        <v:shadow on="t" color="black" opacity="24903f" origin=",.5" offset="0,.55556mm"/>
                        <v:textbox>
                          <w:txbxContent>
                            <w:p w14:paraId="17B329CB" w14:textId="77777777" w:rsidR="004E3164" w:rsidRPr="00484FAE" w:rsidRDefault="004E3164" w:rsidP="00484FAE">
                              <w:pPr>
                                <w:ind w:firstLine="0"/>
                                <w:jc w:val="center"/>
                                <w:rPr>
                                  <w:sz w:val="18"/>
                                  <w:szCs w:val="18"/>
                                </w:rPr>
                              </w:pPr>
                              <w:r w:rsidRPr="00484FAE">
                                <w:rPr>
                                  <w:sz w:val="18"/>
                                  <w:szCs w:val="18"/>
                                </w:rPr>
                                <w:t xml:space="preserve">Процедура по </w:t>
                              </w:r>
                              <w:r w:rsidRPr="00484FAE">
                                <w:rPr>
                                  <w:b/>
                                  <w:sz w:val="18"/>
                                  <w:szCs w:val="18"/>
                                </w:rPr>
                                <w:t>параграф 1</w:t>
                              </w:r>
                              <w:r w:rsidRPr="00484FAE">
                                <w:rPr>
                                  <w:sz w:val="18"/>
                                  <w:szCs w:val="18"/>
                                </w:rPr>
                                <w:t xml:space="preserve"> на чл. 102 от Регламент № (ЕС) 1303/2013 г.</w:t>
                              </w:r>
                            </w:p>
                          </w:txbxContent>
                        </v:textbox>
                      </v:roundrect>
                      <v:roundrect id="Rounded Rectangle 122" o:spid="_x0000_s1558" style="position:absolute;left:25199;width:19875;height:60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" fillcolor="#a3c4ff" strokecolor="#4a7ebb">
                        <v:fill color2="#e5eeff" rotate="t" angle="180" colors="0 #a3c4ff;22938f #bfd5ff;1 #e5eeff" focus="100%" type="gradient"/>
                        <v:shadow on="t" color="black" opacity="24903f" origin=",.5" offset="0,.55556mm"/>
                        <v:textbox>
                          <w:txbxContent>
                            <w:p w14:paraId="5C999EB7" w14:textId="77777777" w:rsidR="004E3164" w:rsidRPr="00484FAE" w:rsidRDefault="004E3164" w:rsidP="00484FAE">
                              <w:pPr>
                                <w:ind w:firstLine="0"/>
                                <w:jc w:val="center"/>
                                <w:rPr>
                                  <w:sz w:val="18"/>
                                  <w:szCs w:val="18"/>
                                </w:rPr>
                              </w:pPr>
                              <w:r w:rsidRPr="00484FAE">
                                <w:rPr>
                                  <w:sz w:val="18"/>
                                  <w:szCs w:val="18"/>
                                </w:rPr>
                                <w:t xml:space="preserve">Процедура по </w:t>
                              </w:r>
                              <w:r w:rsidRPr="00484FAE">
                                <w:rPr>
                                  <w:b/>
                                  <w:sz w:val="18"/>
                                  <w:szCs w:val="18"/>
                                </w:rPr>
                                <w:t>параграф 2</w:t>
                              </w:r>
                              <w:r w:rsidRPr="00484FAE">
                                <w:rPr>
                                  <w:sz w:val="18"/>
                                  <w:szCs w:val="18"/>
                                </w:rPr>
                                <w:t xml:space="preserve"> на чл. 102 от Регламент № (ЕС) 1303/2013 г.</w:t>
                              </w:r>
                            </w:p>
                          </w:txbxContent>
                        </v:textbox>
                      </v:roundrect>
                      <v:shape id="Straight Arrow Connector 125" o:spid="_x0000_s1559" type="#_x0000_t32" style="position:absolute;left:11057;top:6166;width:0;height:2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" strokecolor="#4a7ebb" strokeweight="1pt">
                        <v:stroke endarrow="block"/>
                      </v:shape>
                      <v:shape id="Straight Arrow Connector 1860" o:spid="_x0000_s1560" type="#_x0000_t32" style="position:absolute;left:35512;top:5954;width:0;height:2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" strokecolor="#4a7ebb" strokeweight="1pt">
                        <v:stroke endarrow="block"/>
                      </v:shape>
                    </v:group>
                    <v:shape id="Straight Arrow Connector 1861" o:spid="_x0000_s1561" type="#_x0000_t32" style="position:absolute;left:12759;top:11270;width:20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" strokecolor="#4a7ebb" strokeweight="1pt">
                      <v:stroke endarrow="block"/>
                    </v:shape>
                  </v:group>
                  <v:group id="Group 1862" o:spid="_x0000_s1562" style="position:absolute;top:23497;width:50415;height:18925" coordsize="50415,18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roundrect id="Rounded Rectangle 1863" o:spid="_x0000_s1563" style="position:absolute;left:15629;top:1913;width:21997;height:92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" fillcolor="#a3c4ff" strokecolor="#4a7ebb">
                      <v:fill color2="#e5eeff" rotate="t" angle="180" colors="0 #a3c4ff;22938f #bfd5ff;1 #e5eeff" focus="100%" type="gradient"/>
                      <v:shadow on="t" color="black" opacity="24903f" origin=",.5" offset="0,.55556mm"/>
                      <v:textbox>
                        <w:txbxContent>
                          <w:p w14:paraId="77A02693" w14:textId="77777777" w:rsidR="004E3164" w:rsidRPr="00484FAE" w:rsidRDefault="004E3164" w:rsidP="00484FAE">
                            <w:pPr>
                              <w:ind w:firstLine="0"/>
                              <w:jc w:val="center"/>
                              <w:rPr>
                                <w:sz w:val="18"/>
                                <w:szCs w:val="18"/>
                              </w:rPr>
                            </w:pPr>
                            <w:r w:rsidRPr="00484FAE">
                              <w:rPr>
                                <w:sz w:val="18"/>
                                <w:szCs w:val="18"/>
                              </w:rPr>
                              <w:t>Оценка на проекта на информацията по чл. 101 от Регламент № (ЕС) 1303/2013 г. и извършване на процедурата по независим преглед на качеството</w:t>
                            </w:r>
                          </w:p>
                        </w:txbxContent>
                      </v:textbox>
                    </v:roundrect>
                    <v:roundrect id="Rounded Rectangle 1864" o:spid="_x0000_s1564" style="position:absolute;left:16267;top:12971;width:21343;height:44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" fillcolor="#a3c4ff" strokecolor="#4a7ebb">
                      <v:fill color2="#e5eeff" rotate="t" angle="180" colors="0 #a3c4ff;22938f #bfd5ff;1 #e5eeff" focus="100%" type="gradient"/>
                      <v:shadow on="t" color="black" opacity="24903f" origin=",.5" offset="0,.55556mm"/>
                      <v:textbox>
                        <w:txbxContent>
                          <w:p w14:paraId="292715ED" w14:textId="77777777" w:rsidR="004E3164" w:rsidRPr="00484FAE" w:rsidRDefault="004E3164" w:rsidP="00484FAE">
                            <w:pPr>
                              <w:ind w:firstLine="0"/>
                              <w:jc w:val="center"/>
                              <w:rPr>
                                <w:sz w:val="18"/>
                                <w:szCs w:val="18"/>
                              </w:rPr>
                            </w:pPr>
                            <w:r w:rsidRPr="00484FAE">
                              <w:rPr>
                                <w:sz w:val="18"/>
                                <w:szCs w:val="18"/>
                              </w:rPr>
                              <w:t>Изпращане на нотификация за избрания проект до ЕК</w:t>
                            </w:r>
                          </w:p>
                        </w:txbxContent>
                      </v:textbox>
                    </v:roundrect>
                    <v:oval id="Oval 1865" o:spid="_x0000_s1565" style="position:absolute;top:2551;width:12649;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" strokecolor="#4f81bd" strokeweight="2pt">
                      <v:textbox>
                        <w:txbxContent>
                          <w:p w14:paraId="79AAE971" w14:textId="77777777" w:rsidR="004E3164" w:rsidRPr="00484FAE" w:rsidRDefault="004E3164" w:rsidP="00484FAE">
                            <w:pPr>
                              <w:ind w:firstLine="0"/>
                              <w:jc w:val="center"/>
                              <w:rPr>
                                <w:sz w:val="18"/>
                                <w:szCs w:val="18"/>
                              </w:rPr>
                            </w:pPr>
                            <w:r w:rsidRPr="00484FAE">
                              <w:rPr>
                                <w:sz w:val="18"/>
                                <w:szCs w:val="18"/>
                              </w:rPr>
                              <w:t>Независими експерти</w:t>
                            </w:r>
                          </w:p>
                        </w:txbxContent>
                      </v:textbox>
                    </v:oval>
                    <v:oval id="Oval 1866" o:spid="_x0000_s1566" style="position:absolute;top:12759;width:12649;height:6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" strokecolor="#4f81bd" strokeweight="2pt">
                      <v:textbox>
                        <w:txbxContent>
                          <w:p w14:paraId="70A3CA6F" w14:textId="77777777" w:rsidR="004E3164" w:rsidRPr="00484FAE" w:rsidRDefault="004E3164" w:rsidP="00484FAE">
                            <w:pPr>
                              <w:ind w:firstLine="0"/>
                              <w:jc w:val="center"/>
                              <w:rPr>
                                <w:sz w:val="18"/>
                                <w:szCs w:val="18"/>
                              </w:rPr>
                            </w:pPr>
                            <w:r w:rsidRPr="00484FAE">
                              <w:rPr>
                                <w:sz w:val="18"/>
                                <w:szCs w:val="18"/>
                              </w:rPr>
                              <w:t>УО на ОПТТИ</w:t>
                            </w:r>
                          </w:p>
                        </w:txbxContent>
                      </v:textbox>
                    </v:oval>
                    <v:shape id="Straight Arrow Connector 1867" o:spid="_x0000_s1567" type="#_x0000_t32" style="position:absolute;left:50185;top:318;width:230;height:16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" strokecolor="#4a7ebb" strokeweight="1pt">
                      <v:stroke endarrow="block"/>
                    </v:shape>
                    <v:shape id="Straight Arrow Connector 1868" o:spid="_x0000_s1568" type="#_x0000_t32" style="position:absolute;left:25837;width:0;height:2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" strokecolor="#4a7ebb" strokeweight="1pt">
                      <v:stroke endarrow="block"/>
                    </v:shape>
                    <v:shape id="Straight Arrow Connector 1869" o:spid="_x0000_s1569" type="#_x0000_t32" style="position:absolute;left:26368;top:11270;width:0;height:2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" strokecolor="#4a7ebb" strokeweight="1pt">
                      <v:stroke endarrow="block"/>
                    </v:shape>
                    <v:shape id="Straight Arrow Connector 1870" o:spid="_x0000_s1570" type="#_x0000_t32" style="position:absolute;left:12971;top:5741;width:20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" strokecolor="#4a7ebb" strokeweight="1pt">
                      <v:stroke endarrow="block"/>
                    </v:shape>
                    <v:shape id="Straight Arrow Connector 188" o:spid="_x0000_s1571" type="#_x0000_t32" style="position:absolute;left:13716;top:15310;width:20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" strokecolor="#4a7ebb" strokeweight="1pt">
                      <v:stroke endarrow="block"/>
                    </v:shape>
                  </v:group>
                  <v:group id="Group 189" o:spid="_x0000_s1572" style="position:absolute;top:40191;width:61019;height:9245" coordsize="6101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roundrect id="Rounded Rectangle 203" o:spid="_x0000_s1573" style="position:absolute;left:16267;top:3083;width:21343;height:5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" fillcolor="#a3c4ff" strokecolor="#4a7ebb">
                      <v:fill color2="#e5eeff" rotate="t" angle="180" colors="0 #a3c4ff;22938f #bfd5ff;1 #e5eeff" focus="100%" type="gradient"/>
                      <v:shadow on="t" color="black" opacity="24903f" origin=",.5" offset="0,.55556mm"/>
                      <v:textbox>
                        <w:txbxContent>
                          <w:p w14:paraId="692BD4B9" w14:textId="77777777" w:rsidR="004E3164" w:rsidRPr="00484FAE" w:rsidRDefault="004E3164" w:rsidP="00484FAE">
                            <w:pPr>
                              <w:ind w:firstLine="0"/>
                              <w:jc w:val="center"/>
                              <w:rPr>
                                <w:sz w:val="18"/>
                                <w:szCs w:val="18"/>
                              </w:rPr>
                            </w:pPr>
                            <w:r w:rsidRPr="00484FAE">
                              <w:rPr>
                                <w:sz w:val="18"/>
                                <w:szCs w:val="18"/>
                              </w:rPr>
                              <w:t>Оценка на проекта въз основа на доклада от извършен  независим преглед на качеството</w:t>
                            </w:r>
                          </w:p>
                          <w:p w14:paraId="518CA774" w14:textId="77777777" w:rsidR="004E3164" w:rsidRPr="00484FAE" w:rsidRDefault="004E3164" w:rsidP="00484FAE">
                            <w:pPr>
                              <w:ind w:firstLine="0"/>
                              <w:jc w:val="center"/>
                              <w:rPr>
                                <w:sz w:val="18"/>
                                <w:szCs w:val="18"/>
                              </w:rPr>
                            </w:pPr>
                          </w:p>
                        </w:txbxContent>
                      </v:textbox>
                    </v:roundrect>
                    <v:roundrect id="Rounded Rectangle 1944" o:spid="_x0000_s1574" style="position:absolute;left:39765;width:21254;height:9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" fillcolor="#a3c4ff" strokecolor="#4a7ebb">
                      <v:fill color2="#e5eeff" rotate="t" angle="180" colors="0 #a3c4ff;22938f #bfd5ff;1 #e5eeff" focus="100%" type="gradient"/>
                      <v:shadow on="t" color="black" opacity="24903f" origin=",.5" offset="0,.55556mm"/>
                      <v:textbox>
                        <w:txbxContent>
                          <w:p w14:paraId="6CEB9759" w14:textId="77777777" w:rsidR="004E3164" w:rsidRPr="00484FAE" w:rsidRDefault="004E3164" w:rsidP="00484FAE">
                            <w:pPr>
                              <w:ind w:firstLine="0"/>
                              <w:jc w:val="center"/>
                              <w:rPr>
                                <w:i/>
                                <w:sz w:val="18"/>
                                <w:szCs w:val="18"/>
                              </w:rPr>
                            </w:pPr>
                            <w:r w:rsidRPr="00484FAE">
                              <w:rPr>
                                <w:sz w:val="18"/>
                                <w:szCs w:val="18"/>
                              </w:rPr>
                              <w:t xml:space="preserve">Оценка на проекта въз основа на информацията по чл. 101 от Регламент № (ЕС) 1303/2013 г. с подкрепата на ЕИБ </w:t>
                            </w:r>
                            <w:r w:rsidRPr="00484FAE">
                              <w:rPr>
                                <w:i/>
                                <w:sz w:val="18"/>
                                <w:szCs w:val="18"/>
                              </w:rPr>
                              <w:t>(ако е необходимо)</w:t>
                            </w:r>
                          </w:p>
                        </w:txbxContent>
                      </v:textbox>
                    </v:roundrect>
                    <v:oval id="Oval 1945" o:spid="_x0000_s1575" style="position:absolute;top:2764;width:12649;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" strokecolor="#4f81bd" strokeweight="2pt">
                      <v:textbox>
                        <w:txbxContent>
                          <w:p w14:paraId="77F9B160" w14:textId="77777777" w:rsidR="004E3164" w:rsidRPr="00484FAE" w:rsidRDefault="004E3164" w:rsidP="00484FAE">
                            <w:pPr>
                              <w:ind w:firstLine="0"/>
                              <w:jc w:val="center"/>
                              <w:rPr>
                                <w:sz w:val="18"/>
                                <w:szCs w:val="18"/>
                              </w:rPr>
                            </w:pPr>
                            <w:r w:rsidRPr="00484FAE">
                              <w:rPr>
                                <w:sz w:val="18"/>
                                <w:szCs w:val="18"/>
                              </w:rPr>
                              <w:t>ЕК</w:t>
                            </w:r>
                          </w:p>
                        </w:txbxContent>
                      </v:textbox>
                    </v:oval>
                    <v:shape id="Straight Arrow Connector 1946" o:spid="_x0000_s1576" type="#_x0000_t32" style="position:absolute;left:26262;top:637;width:0;height:2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" strokecolor="#4a7ebb" strokeweight="1pt">
                      <v:stroke endarrow="block"/>
                    </v:shape>
                    <v:shape id="Straight Arrow Connector 1947" o:spid="_x0000_s1577" type="#_x0000_t32" style="position:absolute;left:13716;top:5422;width:20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" strokecolor="#4a7ebb" strokeweight="1pt">
                      <v:stroke endarrow="block"/>
                    </v:shape>
                  </v:group>
                </v:group>
                <w10:anchorlock/>
              </v:group>
            </w:pict>
          </mc:Fallback>
        </mc:AlternateContent>
      </w:r>
    </w:p>
    <w:p w14:paraId="4BC45AF7" w14:textId="77777777" w:rsidR="00B2034F" w:rsidRPr="001B0EA3" w:rsidRDefault="00B2034F" w:rsidP="00046D61">
      <w:pPr>
        <w:contextualSpacing/>
        <w:rPr>
          <w:szCs w:val="24"/>
        </w:rPr>
      </w:pPr>
    </w:p>
    <w:p w14:paraId="46E28E12" w14:textId="77777777" w:rsidR="00B2034F" w:rsidRPr="001B0EA3" w:rsidRDefault="00B2034F" w:rsidP="00046D61">
      <w:pPr>
        <w:contextualSpacing/>
        <w:rPr>
          <w:szCs w:val="24"/>
          <w:lang w:eastAsia="bg-BG"/>
        </w:rPr>
      </w:pPr>
      <w:r w:rsidRPr="001B0EA3">
        <w:rPr>
          <w:szCs w:val="24"/>
        </w:rPr>
        <w:t xml:space="preserve">В общия случай оценката на инвестиционни/ инфраструктурни проекти се извършва, като се прилага процедурата по </w:t>
      </w:r>
      <w:r w:rsidRPr="001B0EA3">
        <w:rPr>
          <w:b/>
          <w:szCs w:val="24"/>
        </w:rPr>
        <w:t xml:space="preserve">точка </w:t>
      </w:r>
      <w:r w:rsidRPr="001B0EA3">
        <w:rPr>
          <w:b/>
          <w:szCs w:val="24"/>
        </w:rPr>
        <w:fldChar w:fldCharType="begin"/>
      </w:r>
      <w:r w:rsidRPr="001B0EA3">
        <w:rPr>
          <w:b/>
          <w:szCs w:val="24"/>
        </w:rPr>
        <w:instrText xml:space="preserve"> REF _Ref409510826 \r \h  \* MERGEFORMAT </w:instrText>
      </w:r>
      <w:r w:rsidRPr="001B0EA3">
        <w:rPr>
          <w:b/>
          <w:szCs w:val="24"/>
        </w:rPr>
      </w:r>
      <w:r w:rsidRPr="001B0EA3">
        <w:rPr>
          <w:b/>
          <w:szCs w:val="24"/>
        </w:rPr>
        <w:fldChar w:fldCharType="separate"/>
      </w:r>
      <w:r w:rsidR="00F22141">
        <w:rPr>
          <w:b/>
          <w:szCs w:val="24"/>
        </w:rPr>
        <w:t>18.7</w:t>
      </w:r>
      <w:r w:rsidRPr="001B0EA3">
        <w:rPr>
          <w:b/>
          <w:szCs w:val="24"/>
        </w:rPr>
        <w:fldChar w:fldCharType="end"/>
      </w:r>
      <w:r w:rsidRPr="001B0EA3">
        <w:rPr>
          <w:b/>
          <w:szCs w:val="24"/>
        </w:rPr>
        <w:t xml:space="preserve"> (параграф 2 на чл. 102 от Регламент № (ЕС) 1303/2013 г.)</w:t>
      </w:r>
      <w:r w:rsidRPr="001B0EA3">
        <w:rPr>
          <w:szCs w:val="24"/>
        </w:rPr>
        <w:t>, освен ако изрично не е указано за „големи проекти“ (</w:t>
      </w:r>
      <w:r w:rsidRPr="001B0EA3">
        <w:rPr>
          <w:i/>
          <w:szCs w:val="24"/>
        </w:rPr>
        <w:t>с обща стойност на допустимите разходи над 75 млн. евро - по тематична цел 7 и над 50 млн. евро - по тематична цел 4</w:t>
      </w:r>
      <w:r w:rsidRPr="001B0EA3">
        <w:rPr>
          <w:szCs w:val="24"/>
        </w:rPr>
        <w:t xml:space="preserve">) да се извършва, като се прилага процедурата с използване на преглед на качеството от независими експерти по </w:t>
      </w:r>
      <w:r w:rsidRPr="001B0EA3">
        <w:rPr>
          <w:b/>
          <w:szCs w:val="24"/>
          <w:lang w:eastAsia="bg-BG"/>
        </w:rPr>
        <w:t xml:space="preserve">точка </w:t>
      </w:r>
      <w:r w:rsidRPr="001B0EA3">
        <w:rPr>
          <w:b/>
          <w:szCs w:val="24"/>
          <w:lang w:eastAsia="bg-BG"/>
        </w:rPr>
        <w:fldChar w:fldCharType="begin"/>
      </w:r>
      <w:r w:rsidRPr="001B0EA3">
        <w:rPr>
          <w:b/>
          <w:szCs w:val="24"/>
          <w:lang w:eastAsia="bg-BG"/>
        </w:rPr>
        <w:instrText xml:space="preserve"> REF _Ref409510760 \r \h  \* MERGEFORMAT </w:instrText>
      </w:r>
      <w:r w:rsidRPr="001B0EA3">
        <w:rPr>
          <w:b/>
          <w:szCs w:val="24"/>
          <w:lang w:eastAsia="bg-BG"/>
        </w:rPr>
      </w:r>
      <w:r w:rsidRPr="001B0EA3">
        <w:rPr>
          <w:b/>
          <w:szCs w:val="24"/>
          <w:lang w:eastAsia="bg-BG"/>
        </w:rPr>
        <w:fldChar w:fldCharType="separate"/>
      </w:r>
      <w:r w:rsidR="00F22141">
        <w:rPr>
          <w:b/>
          <w:szCs w:val="24"/>
          <w:lang w:eastAsia="bg-BG"/>
        </w:rPr>
        <w:t>18.8</w:t>
      </w:r>
      <w:r w:rsidRPr="001B0EA3">
        <w:rPr>
          <w:b/>
          <w:szCs w:val="24"/>
          <w:lang w:eastAsia="bg-BG"/>
        </w:rPr>
        <w:fldChar w:fldCharType="end"/>
      </w:r>
      <w:r w:rsidRPr="001B0EA3">
        <w:rPr>
          <w:b/>
          <w:szCs w:val="24"/>
          <w:lang w:eastAsia="bg-BG"/>
        </w:rPr>
        <w:t>.</w:t>
      </w:r>
      <w:r w:rsidRPr="001B0EA3">
        <w:rPr>
          <w:szCs w:val="24"/>
          <w:lang w:eastAsia="bg-BG"/>
        </w:rPr>
        <w:t xml:space="preserve">  </w:t>
      </w:r>
      <w:r w:rsidRPr="001B0EA3">
        <w:rPr>
          <w:b/>
          <w:szCs w:val="24"/>
        </w:rPr>
        <w:t>(параграф 1 на чл. 102 от Регламент № (ЕС) 1303/2013 г.)</w:t>
      </w:r>
      <w:r w:rsidRPr="001B0EA3">
        <w:rPr>
          <w:szCs w:val="24"/>
        </w:rPr>
        <w:t>.</w:t>
      </w:r>
    </w:p>
    <w:p w14:paraId="7C71284B" w14:textId="77777777" w:rsidR="00D603F5" w:rsidRPr="001B0EA3" w:rsidRDefault="00D603F5" w:rsidP="00046D61">
      <w:pPr>
        <w:contextualSpacing/>
        <w:rPr>
          <w:szCs w:val="24"/>
        </w:rPr>
      </w:pPr>
    </w:p>
    <w:p w14:paraId="1C23CAB2" w14:textId="77777777" w:rsidR="00D603F5" w:rsidRPr="001B0EA3" w:rsidRDefault="00D603F5" w:rsidP="00046D61">
      <w:pPr>
        <w:contextualSpacing/>
        <w:rPr>
          <w:szCs w:val="24"/>
          <w:lang w:eastAsia="bg-BG"/>
        </w:rPr>
      </w:pPr>
      <w:r w:rsidRPr="001B0EA3">
        <w:rPr>
          <w:szCs w:val="24"/>
        </w:rPr>
        <w:t>Процедурата, описана в настоящата точка се използва при оценката на инвестиционни/ инфраструктурни проекти, освен ако изрично не е указано за „големи проекти“ (</w:t>
      </w:r>
      <w:r w:rsidRPr="001B0EA3">
        <w:rPr>
          <w:i/>
          <w:szCs w:val="24"/>
        </w:rPr>
        <w:t>с обща стойност на допустимите разходи над 75 млн. евро - по тематична цел 7 и над 50 млн. евро - по тематична цел 4</w:t>
      </w:r>
      <w:r w:rsidRPr="001B0EA3">
        <w:rPr>
          <w:szCs w:val="24"/>
        </w:rPr>
        <w:t xml:space="preserve">) да се прилага процедурата с използване на преглед на качеството от независими експерти по </w:t>
      </w:r>
      <w:r w:rsidRPr="001B0EA3">
        <w:rPr>
          <w:b/>
          <w:szCs w:val="24"/>
          <w:lang w:eastAsia="bg-BG"/>
        </w:rPr>
        <w:t xml:space="preserve">точка </w:t>
      </w:r>
      <w:r w:rsidRPr="001B0EA3">
        <w:rPr>
          <w:b/>
          <w:szCs w:val="24"/>
          <w:lang w:eastAsia="bg-BG"/>
        </w:rPr>
        <w:fldChar w:fldCharType="begin"/>
      </w:r>
      <w:r w:rsidRPr="001B0EA3">
        <w:rPr>
          <w:b/>
          <w:szCs w:val="24"/>
          <w:lang w:eastAsia="bg-BG"/>
        </w:rPr>
        <w:instrText xml:space="preserve"> REF _Ref409510760 \r \h  \* MERGEFORMAT </w:instrText>
      </w:r>
      <w:r w:rsidRPr="001B0EA3">
        <w:rPr>
          <w:b/>
          <w:szCs w:val="24"/>
          <w:lang w:eastAsia="bg-BG"/>
        </w:rPr>
      </w:r>
      <w:r w:rsidRPr="001B0EA3">
        <w:rPr>
          <w:b/>
          <w:szCs w:val="24"/>
          <w:lang w:eastAsia="bg-BG"/>
        </w:rPr>
        <w:fldChar w:fldCharType="separate"/>
      </w:r>
      <w:r w:rsidR="00F22141">
        <w:rPr>
          <w:b/>
          <w:szCs w:val="24"/>
          <w:lang w:eastAsia="bg-BG"/>
        </w:rPr>
        <w:t>18.8</w:t>
      </w:r>
      <w:r w:rsidRPr="001B0EA3">
        <w:rPr>
          <w:b/>
          <w:szCs w:val="24"/>
          <w:lang w:eastAsia="bg-BG"/>
        </w:rPr>
        <w:fldChar w:fldCharType="end"/>
      </w:r>
      <w:r w:rsidRPr="001B0EA3">
        <w:rPr>
          <w:b/>
          <w:szCs w:val="24"/>
          <w:lang w:eastAsia="bg-BG"/>
        </w:rPr>
        <w:t>.</w:t>
      </w:r>
      <w:r w:rsidRPr="001B0EA3">
        <w:rPr>
          <w:szCs w:val="24"/>
          <w:lang w:eastAsia="bg-BG"/>
        </w:rPr>
        <w:t xml:space="preserve"> </w:t>
      </w:r>
    </w:p>
    <w:p w14:paraId="2423D579" w14:textId="77777777" w:rsidR="00D603F5" w:rsidRPr="001B0EA3" w:rsidRDefault="00D603F5" w:rsidP="00046D61">
      <w:pPr>
        <w:contextualSpacing/>
        <w:rPr>
          <w:szCs w:val="24"/>
          <w:lang w:eastAsia="bg-BG"/>
        </w:rPr>
      </w:pPr>
    </w:p>
    <w:p w14:paraId="0DC14F63" w14:textId="77777777" w:rsidR="00D603F5" w:rsidRPr="001B0EA3" w:rsidRDefault="00D603F5" w:rsidP="00046D61">
      <w:pPr>
        <w:contextualSpacing/>
        <w:rPr>
          <w:szCs w:val="24"/>
          <w:lang w:eastAsia="bg-BG"/>
        </w:rPr>
      </w:pPr>
      <w:r w:rsidRPr="001B0EA3">
        <w:rPr>
          <w:szCs w:val="24"/>
          <w:lang w:eastAsia="bg-BG"/>
        </w:rPr>
        <w:t>Процесът по оценка на получените проектни предложения стартира след подписване и връчване на Решението за сформиране на оценителна комисия на членовете й.</w:t>
      </w:r>
    </w:p>
    <w:p w14:paraId="4C0F46EE" w14:textId="77777777" w:rsidR="00D603F5" w:rsidRPr="001B0EA3" w:rsidRDefault="00D603F5" w:rsidP="00346F28">
      <w:pPr>
        <w:pStyle w:val="Style3"/>
        <w:rPr>
          <w:lang w:eastAsia="bg-BG"/>
        </w:rPr>
      </w:pPr>
      <w:bookmarkStart w:id="606" w:name="_Toc479775659"/>
      <w:r w:rsidRPr="001B0EA3">
        <w:t>Първо заседание на оценителната комисия</w:t>
      </w:r>
      <w:bookmarkEnd w:id="606"/>
      <w:r w:rsidRPr="001B0EA3">
        <w:t xml:space="preserve"> </w:t>
      </w:r>
    </w:p>
    <w:p w14:paraId="0120FA9F" w14:textId="77777777" w:rsidR="00D603F5" w:rsidRPr="001B0EA3" w:rsidRDefault="00D603F5" w:rsidP="00046D61">
      <w:pPr>
        <w:numPr>
          <w:ilvl w:val="0"/>
          <w:numId w:val="73"/>
        </w:numPr>
        <w:tabs>
          <w:tab w:val="left" w:pos="851"/>
        </w:tabs>
        <w:ind w:left="0" w:firstLine="567"/>
        <w:contextualSpacing/>
        <w:rPr>
          <w:szCs w:val="24"/>
          <w:lang w:eastAsia="bg-BG"/>
        </w:rPr>
      </w:pPr>
      <w:r w:rsidRPr="001B0EA3">
        <w:rPr>
          <w:szCs w:val="24"/>
        </w:rPr>
        <w:lastRenderedPageBreak/>
        <w:t xml:space="preserve">Председателя на оценителната комисия организира провеждането на първо заседание на оценителната комисия и подписване на декларации за липса на конфликт на интереси и поверителност, посочена в </w:t>
      </w:r>
      <w:r w:rsidRPr="001B0EA3">
        <w:rPr>
          <w:b/>
          <w:szCs w:val="24"/>
          <w:lang w:eastAsia="bg-BG"/>
        </w:rPr>
        <w:t xml:space="preserve">подточка </w:t>
      </w:r>
      <w:r w:rsidR="004E4830" w:rsidRPr="001B0EA3">
        <w:fldChar w:fldCharType="begin"/>
      </w:r>
      <w:r w:rsidR="004E4830" w:rsidRPr="001B0EA3">
        <w:instrText xml:space="preserve"> REF _Ref406320240 \r \h  \* MERGEFORMAT </w:instrText>
      </w:r>
      <w:r w:rsidR="004E4830" w:rsidRPr="001B0EA3">
        <w:fldChar w:fldCharType="separate"/>
      </w:r>
      <w:r w:rsidR="00F22141" w:rsidRPr="00F22141">
        <w:rPr>
          <w:b/>
          <w:szCs w:val="24"/>
          <w:lang w:eastAsia="bg-BG"/>
        </w:rPr>
        <w:t>1)</w:t>
      </w:r>
      <w:r w:rsidR="004E4830" w:rsidRPr="001B0EA3">
        <w:fldChar w:fldCharType="end"/>
      </w:r>
      <w:r w:rsidRPr="001B0EA3">
        <w:rPr>
          <w:szCs w:val="24"/>
          <w:lang w:eastAsia="bg-BG"/>
        </w:rPr>
        <w:t xml:space="preserve"> на </w:t>
      </w:r>
      <w:r w:rsidRPr="001B0EA3">
        <w:rPr>
          <w:b/>
          <w:szCs w:val="24"/>
          <w:lang w:eastAsia="bg-BG"/>
        </w:rPr>
        <w:t xml:space="preserve">точка </w:t>
      </w:r>
      <w:r w:rsidRPr="001B0EA3">
        <w:rPr>
          <w:b/>
          <w:szCs w:val="24"/>
        </w:rPr>
        <w:fldChar w:fldCharType="begin"/>
      </w:r>
      <w:r w:rsidRPr="001B0EA3">
        <w:rPr>
          <w:b/>
          <w:szCs w:val="24"/>
        </w:rPr>
        <w:instrText xml:space="preserve"> REF _Ref406320259 \r \h  \* MERGEFORMAT </w:instrText>
      </w:r>
      <w:r w:rsidRPr="001B0EA3">
        <w:rPr>
          <w:b/>
          <w:szCs w:val="24"/>
        </w:rPr>
      </w:r>
      <w:r w:rsidRPr="001B0EA3">
        <w:rPr>
          <w:b/>
          <w:szCs w:val="24"/>
        </w:rPr>
        <w:fldChar w:fldCharType="separate"/>
      </w:r>
      <w:r w:rsidR="00F22141">
        <w:rPr>
          <w:b/>
          <w:szCs w:val="24"/>
          <w:lang w:eastAsia="bg-BG"/>
        </w:rPr>
        <w:t>18.3.3</w:t>
      </w:r>
      <w:r w:rsidRPr="001B0EA3">
        <w:rPr>
          <w:b/>
          <w:szCs w:val="24"/>
        </w:rPr>
        <w:fldChar w:fldCharType="end"/>
      </w:r>
      <w:r w:rsidRPr="001B0EA3">
        <w:rPr>
          <w:b/>
          <w:szCs w:val="24"/>
        </w:rPr>
        <w:t>.</w:t>
      </w:r>
    </w:p>
    <w:p w14:paraId="693B574A" w14:textId="77777777" w:rsidR="00D603F5" w:rsidRPr="001B0EA3" w:rsidRDefault="00D603F5" w:rsidP="00046D61">
      <w:pPr>
        <w:numPr>
          <w:ilvl w:val="0"/>
          <w:numId w:val="73"/>
        </w:numPr>
        <w:tabs>
          <w:tab w:val="left" w:pos="851"/>
        </w:tabs>
        <w:ind w:left="0" w:firstLine="567"/>
        <w:contextualSpacing/>
        <w:rPr>
          <w:szCs w:val="24"/>
          <w:lang w:eastAsia="bg-BG"/>
        </w:rPr>
      </w:pPr>
      <w:r w:rsidRPr="001B0EA3">
        <w:rPr>
          <w:szCs w:val="24"/>
        </w:rPr>
        <w:t>Председателя на оценителната комисия на първото заседание на комисията запознава всички членове на оценителната комисия с процедурата на оценка  на инвестиционни/ инфраструктурни предложения при процедури на директн</w:t>
      </w:r>
      <w:r w:rsidR="00231D64" w:rsidRPr="001B0EA3">
        <w:rPr>
          <w:szCs w:val="24"/>
        </w:rPr>
        <w:t xml:space="preserve">о предоставяне на БФП по ОПТТИ, </w:t>
      </w:r>
      <w:r w:rsidR="00231D64" w:rsidRPr="001B0EA3">
        <w:rPr>
          <w:szCs w:val="24"/>
          <w:lang w:eastAsia="bg-BG"/>
        </w:rPr>
        <w:t>с Насоките за кандидатстване по ОПТТИ и Критерии за оценка на проекти по ОПТТИ, одобрени от Комитета за наблюдение на ОПТТИ.</w:t>
      </w:r>
    </w:p>
    <w:p w14:paraId="24908E33" w14:textId="77777777" w:rsidR="00D603F5" w:rsidRPr="001B0EA3" w:rsidRDefault="00D603F5" w:rsidP="0019114B">
      <w:pPr>
        <w:contextualSpacing/>
        <w:rPr>
          <w:szCs w:val="24"/>
          <w:lang w:eastAsia="bg-BG"/>
        </w:rPr>
      </w:pPr>
    </w:p>
    <w:p w14:paraId="58ABF113" w14:textId="77777777" w:rsidR="00D603F5" w:rsidRPr="001B0EA3" w:rsidRDefault="00D603F5" w:rsidP="00046D61">
      <w:pPr>
        <w:contextualSpacing/>
        <w:rPr>
          <w:szCs w:val="24"/>
          <w:lang w:eastAsia="bg-BG"/>
        </w:rPr>
      </w:pPr>
      <w:r w:rsidRPr="001B0EA3">
        <w:rPr>
          <w:i/>
          <w:szCs w:val="24"/>
          <w:lang w:eastAsia="bg-BG"/>
        </w:rPr>
        <w:t>Срок за изпълнение:</w:t>
      </w:r>
      <w:r w:rsidRPr="001B0EA3">
        <w:rPr>
          <w:szCs w:val="24"/>
          <w:lang w:eastAsia="bg-BG"/>
        </w:rPr>
        <w:t xml:space="preserve"> До 3 работни дни от регистриране на решението за сформиране на оценителна комисия</w:t>
      </w:r>
    </w:p>
    <w:p w14:paraId="574C48BB" w14:textId="77777777" w:rsidR="00D603F5" w:rsidRPr="001B0EA3" w:rsidRDefault="00D603F5" w:rsidP="0019114B">
      <w:pPr>
        <w:contextualSpacing/>
        <w:rPr>
          <w:szCs w:val="24"/>
          <w:lang w:eastAsia="bg-BG"/>
        </w:rPr>
      </w:pPr>
    </w:p>
    <w:p w14:paraId="248F1E2E" w14:textId="77777777" w:rsidR="00FA4B4D" w:rsidRPr="001B0EA3" w:rsidRDefault="00FA4B4D" w:rsidP="00FA4B4D">
      <w:pPr>
        <w:numPr>
          <w:ilvl w:val="0"/>
          <w:numId w:val="73"/>
        </w:numPr>
        <w:tabs>
          <w:tab w:val="left" w:pos="851"/>
        </w:tabs>
        <w:ind w:left="0" w:firstLine="567"/>
        <w:contextualSpacing/>
        <w:rPr>
          <w:szCs w:val="24"/>
          <w:lang w:eastAsia="bg-BG"/>
        </w:rPr>
      </w:pPr>
      <w:r w:rsidRPr="001B0EA3">
        <w:rPr>
          <w:szCs w:val="24"/>
          <w:lang w:eastAsia="bg-BG"/>
        </w:rPr>
        <w:t xml:space="preserve">Служител от УО, определен от Ръководителя на УО на ОПТТИ в решението по </w:t>
      </w:r>
      <w:r w:rsidRPr="001B0EA3">
        <w:rPr>
          <w:b/>
          <w:szCs w:val="24"/>
          <w:lang w:eastAsia="bg-BG"/>
        </w:rPr>
        <w:t xml:space="preserve">точка </w:t>
      </w:r>
      <w:r w:rsidRPr="001B0EA3">
        <w:fldChar w:fldCharType="begin"/>
      </w:r>
      <w:r w:rsidRPr="001B0EA3">
        <w:instrText xml:space="preserve"> REF _Ref406322050 \r \h  \* MERGEFORMAT </w:instrText>
      </w:r>
      <w:r w:rsidRPr="001B0EA3">
        <w:fldChar w:fldCharType="separate"/>
      </w:r>
      <w:r w:rsidR="00F22141" w:rsidRPr="00F22141">
        <w:rPr>
          <w:b/>
          <w:szCs w:val="24"/>
          <w:lang w:eastAsia="bg-BG"/>
        </w:rPr>
        <w:t>18.3.1</w:t>
      </w:r>
      <w:r w:rsidRPr="001B0EA3">
        <w:fldChar w:fldCharType="end"/>
      </w:r>
      <w:r w:rsidRPr="001B0EA3">
        <w:t xml:space="preserve"> </w:t>
      </w:r>
      <w:r w:rsidRPr="001B0EA3">
        <w:rPr>
          <w:szCs w:val="24"/>
          <w:lang w:eastAsia="bg-BG"/>
        </w:rPr>
        <w:t xml:space="preserve">извършва проверката за липса на конфликт на </w:t>
      </w:r>
      <w:r w:rsidRPr="001B0EA3">
        <w:rPr>
          <w:szCs w:val="24"/>
        </w:rPr>
        <w:t>интереси</w:t>
      </w:r>
      <w:r w:rsidRPr="001B0EA3">
        <w:rPr>
          <w:szCs w:val="24"/>
          <w:lang w:eastAsia="bg-BG"/>
        </w:rPr>
        <w:t xml:space="preserve"> на членовете на оценителната комисия</w:t>
      </w:r>
      <w:r>
        <w:rPr>
          <w:szCs w:val="24"/>
          <w:lang w:eastAsia="bg-BG"/>
        </w:rPr>
        <w:t>,</w:t>
      </w:r>
      <w:r w:rsidRPr="001B0EA3">
        <w:rPr>
          <w:szCs w:val="24"/>
          <w:lang w:eastAsia="bg-BG"/>
        </w:rPr>
        <w:t xml:space="preserve"> като спазва процедурата по </w:t>
      </w:r>
      <w:r w:rsidRPr="001B0EA3">
        <w:rPr>
          <w:b/>
          <w:szCs w:val="24"/>
          <w:lang w:eastAsia="bg-BG"/>
        </w:rPr>
        <w:t xml:space="preserve">точка </w:t>
      </w:r>
      <w:r w:rsidRPr="001B0EA3">
        <w:rPr>
          <w:b/>
          <w:szCs w:val="24"/>
        </w:rPr>
        <w:fldChar w:fldCharType="begin"/>
      </w:r>
      <w:r w:rsidRPr="001B0EA3">
        <w:rPr>
          <w:b/>
          <w:szCs w:val="24"/>
        </w:rPr>
        <w:instrText xml:space="preserve"> REF _Ref406320259 \r \h  \* MERGEFORMAT </w:instrText>
      </w:r>
      <w:r w:rsidRPr="001B0EA3">
        <w:rPr>
          <w:b/>
          <w:szCs w:val="24"/>
        </w:rPr>
      </w:r>
      <w:r w:rsidRPr="001B0EA3">
        <w:rPr>
          <w:b/>
          <w:szCs w:val="24"/>
        </w:rPr>
        <w:fldChar w:fldCharType="separate"/>
      </w:r>
      <w:r w:rsidR="00F22141">
        <w:rPr>
          <w:b/>
          <w:szCs w:val="24"/>
          <w:lang w:eastAsia="bg-BG"/>
        </w:rPr>
        <w:t>18.3.3</w:t>
      </w:r>
      <w:r w:rsidRPr="001B0EA3">
        <w:rPr>
          <w:b/>
          <w:szCs w:val="24"/>
        </w:rPr>
        <w:fldChar w:fldCharType="end"/>
      </w:r>
      <w:r w:rsidRPr="001B0EA3">
        <w:rPr>
          <w:b/>
          <w:szCs w:val="24"/>
          <w:lang w:eastAsia="bg-BG"/>
        </w:rPr>
        <w:t>.</w:t>
      </w:r>
      <w:r>
        <w:rPr>
          <w:szCs w:val="24"/>
          <w:lang w:eastAsia="bg-BG"/>
        </w:rPr>
        <w:t>, като попълва контролен лист</w:t>
      </w:r>
      <w:r w:rsidRPr="002B22AA">
        <w:rPr>
          <w:szCs w:val="24"/>
          <w:lang w:eastAsia="bg-BG"/>
        </w:rPr>
        <w:t xml:space="preserve"> </w:t>
      </w:r>
      <w:r w:rsidRPr="00117E69">
        <w:rPr>
          <w:rStyle w:val="Hyperlink"/>
          <w:i/>
        </w:rPr>
        <w:t>(</w:t>
      </w:r>
      <w:hyperlink r:id="rId107" w:tooltip="Критерии  за осигуряване на информация за инвестиционни¦инфраструктурни проекти при извършването на оценка" w:history="1">
        <w:r w:rsidRPr="002B22AA">
          <w:rPr>
            <w:rStyle w:val="Hyperlink"/>
            <w:i/>
            <w:szCs w:val="24"/>
            <w:lang w:eastAsia="bg-BG"/>
          </w:rPr>
          <w:t>Приложение № 3.0</w:t>
        </w:r>
      </w:hyperlink>
      <w:r w:rsidRPr="00117E69">
        <w:rPr>
          <w:rStyle w:val="Hyperlink"/>
          <w:i/>
        </w:rPr>
        <w:t>4</w:t>
      </w:r>
      <w:r w:rsidRPr="00117E69">
        <w:rPr>
          <w:rStyle w:val="Hyperlink"/>
          <w:i/>
          <w:szCs w:val="24"/>
          <w:lang w:eastAsia="bg-BG"/>
        </w:rPr>
        <w:t>)</w:t>
      </w:r>
      <w:r>
        <w:rPr>
          <w:szCs w:val="24"/>
          <w:lang w:eastAsia="bg-BG"/>
        </w:rPr>
        <w:t xml:space="preserve"> в ИСУН 2020.</w:t>
      </w:r>
    </w:p>
    <w:p w14:paraId="218581EF" w14:textId="77777777" w:rsidR="00D603F5" w:rsidRPr="001B0EA3" w:rsidRDefault="00D603F5" w:rsidP="0019114B">
      <w:pPr>
        <w:contextualSpacing/>
        <w:rPr>
          <w:szCs w:val="24"/>
          <w:lang w:eastAsia="bg-BG"/>
        </w:rPr>
      </w:pPr>
    </w:p>
    <w:p w14:paraId="19D682A5" w14:textId="77777777" w:rsidR="00D603F5" w:rsidRPr="001B0EA3" w:rsidRDefault="00D603F5" w:rsidP="00046D61">
      <w:pPr>
        <w:contextualSpacing/>
        <w:rPr>
          <w:szCs w:val="24"/>
          <w:lang w:eastAsia="bg-BG"/>
        </w:rPr>
      </w:pPr>
      <w:r w:rsidRPr="001B0EA3">
        <w:rPr>
          <w:i/>
          <w:szCs w:val="24"/>
          <w:lang w:eastAsia="bg-BG"/>
        </w:rPr>
        <w:t>Срок за изпълнение:</w:t>
      </w:r>
      <w:r w:rsidRPr="001B0EA3">
        <w:rPr>
          <w:szCs w:val="24"/>
          <w:lang w:eastAsia="bg-BG"/>
        </w:rPr>
        <w:t xml:space="preserve"> До </w:t>
      </w:r>
      <w:r w:rsidR="00E6013F" w:rsidRPr="001B0EA3">
        <w:rPr>
          <w:szCs w:val="24"/>
          <w:lang w:eastAsia="bg-BG"/>
        </w:rPr>
        <w:t xml:space="preserve">4 </w:t>
      </w:r>
      <w:r w:rsidRPr="001B0EA3">
        <w:rPr>
          <w:szCs w:val="24"/>
          <w:lang w:eastAsia="bg-BG"/>
        </w:rPr>
        <w:t>работн</w:t>
      </w:r>
      <w:r w:rsidR="00E6013F" w:rsidRPr="001B0EA3">
        <w:rPr>
          <w:szCs w:val="24"/>
          <w:lang w:eastAsia="bg-BG"/>
        </w:rPr>
        <w:t>и</w:t>
      </w:r>
      <w:r w:rsidRPr="001B0EA3">
        <w:rPr>
          <w:szCs w:val="24"/>
          <w:lang w:eastAsia="bg-BG"/>
        </w:rPr>
        <w:t xml:space="preserve"> дн</w:t>
      </w:r>
      <w:r w:rsidR="00E6013F" w:rsidRPr="001B0EA3">
        <w:rPr>
          <w:szCs w:val="24"/>
          <w:lang w:eastAsia="bg-BG"/>
        </w:rPr>
        <w:t>и</w:t>
      </w:r>
      <w:r w:rsidRPr="001B0EA3">
        <w:rPr>
          <w:szCs w:val="24"/>
          <w:lang w:eastAsia="bg-BG"/>
        </w:rPr>
        <w:t xml:space="preserve"> от регистриране на Решението за сформиране на оценителна комисия по</w:t>
      </w:r>
      <w:r w:rsidRPr="001B0EA3">
        <w:rPr>
          <w:b/>
          <w:szCs w:val="24"/>
          <w:lang w:eastAsia="bg-BG"/>
        </w:rPr>
        <w:t xml:space="preserve"> подточка </w:t>
      </w:r>
      <w:r w:rsidR="00E6013F" w:rsidRPr="001B0EA3">
        <w:fldChar w:fldCharType="begin"/>
      </w:r>
      <w:r w:rsidR="00E6013F" w:rsidRPr="001B0EA3">
        <w:instrText xml:space="preserve"> REF _Ref406320240 \r \h  \* MERGEFORMAT </w:instrText>
      </w:r>
      <w:r w:rsidR="00E6013F" w:rsidRPr="001B0EA3">
        <w:fldChar w:fldCharType="separate"/>
      </w:r>
      <w:r w:rsidR="00F22141" w:rsidRPr="00F22141">
        <w:rPr>
          <w:b/>
          <w:szCs w:val="24"/>
          <w:lang w:eastAsia="bg-BG"/>
        </w:rPr>
        <w:t>1)</w:t>
      </w:r>
      <w:r w:rsidR="00E6013F" w:rsidRPr="001B0EA3">
        <w:fldChar w:fldCharType="end"/>
      </w:r>
      <w:r w:rsidRPr="001B0EA3">
        <w:rPr>
          <w:szCs w:val="24"/>
          <w:lang w:eastAsia="bg-BG"/>
        </w:rPr>
        <w:t xml:space="preserve"> на </w:t>
      </w:r>
      <w:r w:rsidRPr="001B0EA3">
        <w:rPr>
          <w:b/>
          <w:szCs w:val="24"/>
          <w:lang w:eastAsia="bg-BG"/>
        </w:rPr>
        <w:t xml:space="preserve">точка </w:t>
      </w:r>
      <w:r w:rsidRPr="001B0EA3">
        <w:rPr>
          <w:b/>
          <w:szCs w:val="24"/>
        </w:rPr>
        <w:fldChar w:fldCharType="begin"/>
      </w:r>
      <w:r w:rsidRPr="001B0EA3">
        <w:rPr>
          <w:b/>
          <w:szCs w:val="24"/>
        </w:rPr>
        <w:instrText xml:space="preserve"> REF _Ref406320259 \r \h  \* MERGEFORMAT </w:instrText>
      </w:r>
      <w:r w:rsidRPr="001B0EA3">
        <w:rPr>
          <w:b/>
          <w:szCs w:val="24"/>
        </w:rPr>
      </w:r>
      <w:r w:rsidRPr="001B0EA3">
        <w:rPr>
          <w:b/>
          <w:szCs w:val="24"/>
        </w:rPr>
        <w:fldChar w:fldCharType="separate"/>
      </w:r>
      <w:r w:rsidR="00F22141">
        <w:rPr>
          <w:b/>
          <w:szCs w:val="24"/>
          <w:lang w:eastAsia="bg-BG"/>
        </w:rPr>
        <w:t>18.3.3</w:t>
      </w:r>
      <w:r w:rsidRPr="001B0EA3">
        <w:rPr>
          <w:b/>
          <w:szCs w:val="24"/>
        </w:rPr>
        <w:fldChar w:fldCharType="end"/>
      </w:r>
      <w:r w:rsidRPr="001B0EA3">
        <w:rPr>
          <w:b/>
          <w:szCs w:val="24"/>
          <w:lang w:eastAsia="bg-BG"/>
        </w:rPr>
        <w:t>.</w:t>
      </w:r>
    </w:p>
    <w:p w14:paraId="555EBF18" w14:textId="77777777" w:rsidR="00D603F5" w:rsidRPr="00842ECC" w:rsidRDefault="00D603F5" w:rsidP="00346F28">
      <w:pPr>
        <w:pStyle w:val="Style3"/>
        <w:rPr>
          <w:lang w:val="bg-BG"/>
        </w:rPr>
      </w:pPr>
      <w:bookmarkStart w:id="607" w:name="_Toc479775660"/>
      <w:r w:rsidRPr="00842ECC">
        <w:rPr>
          <w:lang w:val="bg-BG"/>
        </w:rPr>
        <w:t>Осигуряване на информация необходима при оценката на проектното предложение за инвестиционен/ инфраструктурен проект</w:t>
      </w:r>
      <w:bookmarkEnd w:id="607"/>
    </w:p>
    <w:p w14:paraId="2ED5DCAD" w14:textId="77777777" w:rsidR="00D603F5" w:rsidRPr="001B0EA3" w:rsidRDefault="00D603F5" w:rsidP="00046D61">
      <w:pPr>
        <w:numPr>
          <w:ilvl w:val="0"/>
          <w:numId w:val="73"/>
        </w:numPr>
        <w:tabs>
          <w:tab w:val="left" w:pos="851"/>
        </w:tabs>
        <w:ind w:left="0" w:firstLine="567"/>
        <w:contextualSpacing/>
        <w:rPr>
          <w:szCs w:val="24"/>
          <w:lang w:eastAsia="bg-BG"/>
        </w:rPr>
      </w:pPr>
      <w:r w:rsidRPr="001B0EA3">
        <w:rPr>
          <w:szCs w:val="24"/>
        </w:rPr>
        <w:t xml:space="preserve">В процеса на оценка членовете на оценителната комисия извършват </w:t>
      </w:r>
      <w:r w:rsidRPr="001B0EA3">
        <w:rPr>
          <w:szCs w:val="24"/>
          <w:lang w:eastAsia="bg-BG"/>
        </w:rPr>
        <w:t>проверка на информацията</w:t>
      </w:r>
      <w:r w:rsidRPr="001B0EA3">
        <w:rPr>
          <w:rStyle w:val="FootnoteReference"/>
          <w:szCs w:val="24"/>
          <w:lang w:eastAsia="bg-BG"/>
        </w:rPr>
        <w:footnoteReference w:id="58"/>
      </w:r>
      <w:r w:rsidRPr="001B0EA3">
        <w:rPr>
          <w:szCs w:val="24"/>
          <w:lang w:eastAsia="bg-BG"/>
        </w:rPr>
        <w:t xml:space="preserve"> във формуляра за кандидатстване за съответствие с критериите и указанията в Насоките за кандидатстване</w:t>
      </w:r>
      <w:r w:rsidRPr="001B0EA3">
        <w:t xml:space="preserve"> </w:t>
      </w:r>
      <w:r w:rsidRPr="001B0EA3">
        <w:rPr>
          <w:szCs w:val="24"/>
          <w:lang w:eastAsia="bg-BG"/>
        </w:rPr>
        <w:t>по ОПТТИ на</w:t>
      </w:r>
      <w:r w:rsidRPr="001B0EA3">
        <w:rPr>
          <w:szCs w:val="24"/>
        </w:rPr>
        <w:t>:</w:t>
      </w:r>
    </w:p>
    <w:p w14:paraId="5D7FB455" w14:textId="77777777" w:rsidR="00D603F5" w:rsidRPr="001B0EA3" w:rsidRDefault="00D603F5" w:rsidP="00046D61">
      <w:pPr>
        <w:tabs>
          <w:tab w:val="left" w:pos="1134"/>
        </w:tabs>
        <w:ind w:left="851" w:hanging="284"/>
        <w:contextualSpacing/>
        <w:rPr>
          <w:szCs w:val="24"/>
          <w:lang w:eastAsia="bg-BG"/>
        </w:rPr>
      </w:pPr>
      <w:r w:rsidRPr="001B0EA3">
        <w:rPr>
          <w:szCs w:val="24"/>
          <w:lang w:eastAsia="bg-BG"/>
        </w:rPr>
        <w:t>а) данните относно организацията, която ще отговаря за изпълнението на проекта, и за нейния капацитет;</w:t>
      </w:r>
    </w:p>
    <w:p w14:paraId="073618C5" w14:textId="77777777" w:rsidR="00D603F5" w:rsidRPr="001B0EA3" w:rsidRDefault="00D603F5" w:rsidP="00046D61">
      <w:pPr>
        <w:tabs>
          <w:tab w:val="left" w:pos="1134"/>
        </w:tabs>
        <w:ind w:left="851" w:hanging="284"/>
        <w:contextualSpacing/>
        <w:rPr>
          <w:szCs w:val="24"/>
          <w:lang w:eastAsia="bg-BG"/>
        </w:rPr>
      </w:pPr>
      <w:r w:rsidRPr="001B0EA3">
        <w:rPr>
          <w:szCs w:val="24"/>
          <w:lang w:eastAsia="bg-BG"/>
        </w:rPr>
        <w:t>б) описание на инвестицията и нейното местоположение;</w:t>
      </w:r>
    </w:p>
    <w:p w14:paraId="4160E2A8" w14:textId="77777777" w:rsidR="00D603F5" w:rsidRPr="001B0EA3" w:rsidRDefault="00D603F5" w:rsidP="00046D61">
      <w:pPr>
        <w:tabs>
          <w:tab w:val="left" w:pos="1134"/>
        </w:tabs>
        <w:ind w:left="851" w:hanging="284"/>
        <w:contextualSpacing/>
        <w:rPr>
          <w:szCs w:val="24"/>
          <w:lang w:eastAsia="bg-BG"/>
        </w:rPr>
      </w:pPr>
      <w:r w:rsidRPr="001B0EA3">
        <w:rPr>
          <w:szCs w:val="24"/>
          <w:lang w:eastAsia="bg-BG"/>
        </w:rPr>
        <w:t>в) общият размер на разходите и общият размер на допустимите разходи, като се вземат предвид изискванията, определени в член 61</w:t>
      </w:r>
      <w:r w:rsidR="00151A86" w:rsidRPr="001B0EA3">
        <w:rPr>
          <w:szCs w:val="24"/>
          <w:lang w:eastAsia="bg-BG"/>
        </w:rPr>
        <w:t xml:space="preserve"> от Регламент (ЕС) № 1303/2013 г.</w:t>
      </w:r>
      <w:r w:rsidRPr="001B0EA3">
        <w:rPr>
          <w:szCs w:val="24"/>
          <w:lang w:eastAsia="bg-BG"/>
        </w:rPr>
        <w:t>;</w:t>
      </w:r>
    </w:p>
    <w:p w14:paraId="3CE41D80" w14:textId="77777777" w:rsidR="00D603F5" w:rsidRPr="001B0EA3" w:rsidRDefault="00D603F5" w:rsidP="00046D61">
      <w:pPr>
        <w:tabs>
          <w:tab w:val="left" w:pos="1134"/>
        </w:tabs>
        <w:ind w:left="851" w:hanging="284"/>
        <w:contextualSpacing/>
        <w:rPr>
          <w:szCs w:val="24"/>
          <w:lang w:eastAsia="bg-BG"/>
        </w:rPr>
      </w:pPr>
      <w:r w:rsidRPr="001B0EA3">
        <w:rPr>
          <w:szCs w:val="24"/>
          <w:lang w:eastAsia="bg-BG"/>
        </w:rPr>
        <w:t>г) извършените проучвания за осъществимост, включително и анализ на вариантите, както и резултатите;</w:t>
      </w:r>
    </w:p>
    <w:p w14:paraId="164C8282" w14:textId="77777777" w:rsidR="00D603F5" w:rsidRPr="001B0EA3" w:rsidRDefault="00D603F5" w:rsidP="00046D61">
      <w:pPr>
        <w:tabs>
          <w:tab w:val="left" w:pos="1134"/>
        </w:tabs>
        <w:ind w:left="851" w:hanging="284"/>
        <w:contextualSpacing/>
        <w:rPr>
          <w:szCs w:val="24"/>
          <w:lang w:eastAsia="bg-BG"/>
        </w:rPr>
      </w:pPr>
      <w:r w:rsidRPr="001B0EA3">
        <w:rPr>
          <w:szCs w:val="24"/>
          <w:lang w:eastAsia="bg-BG"/>
        </w:rPr>
        <w:t>д) анализ на разходите и ползите, включително икономически и финансов анализ и оценка на риска;</w:t>
      </w:r>
    </w:p>
    <w:p w14:paraId="103761E3" w14:textId="77777777" w:rsidR="00D603F5" w:rsidRPr="001B0EA3" w:rsidRDefault="00D603F5" w:rsidP="00046D61">
      <w:pPr>
        <w:tabs>
          <w:tab w:val="left" w:pos="1134"/>
        </w:tabs>
        <w:ind w:left="851" w:hanging="284"/>
        <w:contextualSpacing/>
        <w:rPr>
          <w:szCs w:val="24"/>
          <w:lang w:eastAsia="bg-BG"/>
        </w:rPr>
      </w:pPr>
      <w:r w:rsidRPr="001B0EA3">
        <w:rPr>
          <w:szCs w:val="24"/>
          <w:lang w:eastAsia="bg-BG"/>
        </w:rPr>
        <w:t>е) анализ на въздействието върху околната среда, като се вземат предвид нуждите във връзка с приспособяването към изменението на климата и смекчаване на последиците от него и устойчивостта на бедствия;</w:t>
      </w:r>
    </w:p>
    <w:p w14:paraId="37B2FED5" w14:textId="77777777" w:rsidR="00D603F5" w:rsidRPr="001B0EA3" w:rsidRDefault="00D603F5" w:rsidP="00046D61">
      <w:pPr>
        <w:tabs>
          <w:tab w:val="left" w:pos="1134"/>
        </w:tabs>
        <w:ind w:left="851" w:hanging="284"/>
        <w:contextualSpacing/>
        <w:rPr>
          <w:szCs w:val="24"/>
          <w:lang w:eastAsia="bg-BG"/>
        </w:rPr>
      </w:pPr>
      <w:r w:rsidRPr="001B0EA3">
        <w:rPr>
          <w:szCs w:val="24"/>
          <w:lang w:eastAsia="bg-BG"/>
        </w:rPr>
        <w:t>ж) обяснение за начина, по който проекта се съгласува със съответните приоритетни оси на оперативната програма или оперативните програми и неговият очакван принос за постигане на специфичните цели на тези приоритетни оси, и очакваният принос за социално–икономическото развитие;</w:t>
      </w:r>
    </w:p>
    <w:p w14:paraId="68E70226" w14:textId="77777777" w:rsidR="00D603F5" w:rsidRPr="001B0EA3" w:rsidRDefault="00D603F5" w:rsidP="00046D61">
      <w:pPr>
        <w:tabs>
          <w:tab w:val="left" w:pos="1134"/>
        </w:tabs>
        <w:ind w:left="851" w:hanging="284"/>
        <w:contextualSpacing/>
        <w:rPr>
          <w:szCs w:val="24"/>
          <w:lang w:eastAsia="bg-BG"/>
        </w:rPr>
      </w:pPr>
      <w:r w:rsidRPr="001B0EA3">
        <w:rPr>
          <w:szCs w:val="24"/>
          <w:lang w:eastAsia="bg-BG"/>
        </w:rPr>
        <w:t>з) плана за финансиране, който показва общия размер на планираните финансови средства и планираната подкрепа от фондовете, ЕИБ и всички други източници на финансиране, както и физическите и финансови показатели за мониторинг на напредъка, като се отчитат установените рискове;</w:t>
      </w:r>
    </w:p>
    <w:p w14:paraId="014A64AB" w14:textId="77777777" w:rsidR="00D603F5" w:rsidRPr="001B0EA3" w:rsidRDefault="00D603F5" w:rsidP="00046D61">
      <w:pPr>
        <w:tabs>
          <w:tab w:val="left" w:pos="1134"/>
        </w:tabs>
        <w:ind w:left="851" w:hanging="284"/>
        <w:contextualSpacing/>
        <w:rPr>
          <w:szCs w:val="24"/>
          <w:lang w:eastAsia="bg-BG"/>
        </w:rPr>
      </w:pPr>
      <w:r w:rsidRPr="001B0EA3">
        <w:rPr>
          <w:szCs w:val="24"/>
          <w:lang w:eastAsia="bg-BG"/>
        </w:rPr>
        <w:t>и) графика за изпълнение на големия проект и, когато се очаква периодът на изпълнение да е по-дълъг от програмния период, на фазите, за които се иска подкрепа от фондовете през програмния период 2014 г.—2020 г.</w:t>
      </w:r>
    </w:p>
    <w:p w14:paraId="1E04A713" w14:textId="77777777" w:rsidR="00D603F5" w:rsidRPr="001B0EA3" w:rsidRDefault="00D603F5" w:rsidP="0019114B">
      <w:pPr>
        <w:contextualSpacing/>
        <w:rPr>
          <w:i/>
          <w:szCs w:val="24"/>
          <w:lang w:eastAsia="bg-BG"/>
        </w:rPr>
      </w:pPr>
    </w:p>
    <w:p w14:paraId="338A4B29" w14:textId="77777777" w:rsidR="00D603F5" w:rsidRPr="001B0EA3" w:rsidRDefault="00D603F5" w:rsidP="00046D61">
      <w:pPr>
        <w:contextualSpacing/>
        <w:rPr>
          <w:i/>
          <w:szCs w:val="24"/>
          <w:lang w:eastAsia="bg-BG"/>
        </w:rPr>
      </w:pPr>
      <w:r w:rsidRPr="001B0EA3">
        <w:rPr>
          <w:b/>
          <w:i/>
          <w:szCs w:val="24"/>
          <w:lang w:eastAsia="bg-BG"/>
        </w:rPr>
        <w:lastRenderedPageBreak/>
        <w:t xml:space="preserve">Забележка: </w:t>
      </w:r>
      <w:r w:rsidRPr="001B0EA3">
        <w:rPr>
          <w:i/>
          <w:szCs w:val="24"/>
          <w:lang w:eastAsia="bg-BG"/>
        </w:rPr>
        <w:t>Когато се извършва  оценка на инвестиционен/ инфраструктурен проект с обща стойност на допустимите разходи под 75 млн. евро (по тематична цел 7) и под 50 млн. евро (по тематична цел 4) при проверка на качеството се използва опростена оценка, като се прилагат само изискванията и критериите, както са определени в Насоките за кандидатстване по ОПТТИ</w:t>
      </w:r>
    </w:p>
    <w:p w14:paraId="5B723F45" w14:textId="77777777" w:rsidR="00D603F5" w:rsidRPr="001B0EA3" w:rsidRDefault="00D603F5" w:rsidP="0019114B">
      <w:pPr>
        <w:contextualSpacing/>
        <w:rPr>
          <w:i/>
          <w:szCs w:val="24"/>
          <w:lang w:eastAsia="bg-BG"/>
        </w:rPr>
      </w:pPr>
    </w:p>
    <w:p w14:paraId="48F21451" w14:textId="77777777" w:rsidR="00D603F5" w:rsidRPr="001B0EA3" w:rsidRDefault="00D603F5" w:rsidP="00046D61">
      <w:pPr>
        <w:numPr>
          <w:ilvl w:val="0"/>
          <w:numId w:val="73"/>
        </w:numPr>
        <w:tabs>
          <w:tab w:val="left" w:pos="851"/>
        </w:tabs>
        <w:ind w:left="0" w:firstLine="567"/>
        <w:contextualSpacing/>
        <w:rPr>
          <w:szCs w:val="24"/>
          <w:lang w:eastAsia="bg-BG"/>
        </w:rPr>
      </w:pPr>
      <w:r w:rsidRPr="001B0EA3">
        <w:rPr>
          <w:szCs w:val="24"/>
          <w:lang w:eastAsia="bg-BG"/>
        </w:rPr>
        <w:t xml:space="preserve">При извършване на техническа и финансова оценка във връзка с изискванията за предоставяне на информация по на проекта оценителната комисия се ръководи основно от критериите по </w:t>
      </w:r>
      <w:hyperlink r:id="rId108" w:tooltip="Критерии  за осигуряване на информация за инвестиционни¦инфраструктурни проекти при извършването на оценка" w:history="1">
        <w:r w:rsidR="00AE381A" w:rsidRPr="00251D03">
          <w:rPr>
            <w:rStyle w:val="Hyperlink"/>
            <w:i/>
            <w:szCs w:val="24"/>
            <w:lang w:eastAsia="bg-BG"/>
          </w:rPr>
          <w:t>Приложение № 3.05</w:t>
        </w:r>
      </w:hyperlink>
      <w:r w:rsidRPr="001B0EA3">
        <w:rPr>
          <w:szCs w:val="24"/>
          <w:lang w:eastAsia="bg-BG"/>
        </w:rPr>
        <w:t xml:space="preserve"> и прилага детайлизираните критерии, както са определени в Насоките за кандидатстване</w:t>
      </w:r>
      <w:r w:rsidRPr="001B0EA3">
        <w:t xml:space="preserve"> </w:t>
      </w:r>
      <w:r w:rsidRPr="001B0EA3">
        <w:rPr>
          <w:szCs w:val="24"/>
          <w:lang w:eastAsia="bg-BG"/>
        </w:rPr>
        <w:t xml:space="preserve">по ОПТТИ. </w:t>
      </w:r>
    </w:p>
    <w:p w14:paraId="0A024C48" w14:textId="77777777" w:rsidR="00D603F5" w:rsidRPr="001B0EA3" w:rsidRDefault="00D603F5" w:rsidP="0019114B">
      <w:pPr>
        <w:contextualSpacing/>
        <w:rPr>
          <w:szCs w:val="24"/>
          <w:lang w:eastAsia="bg-BG"/>
        </w:rPr>
      </w:pPr>
    </w:p>
    <w:p w14:paraId="15352C5E" w14:textId="77777777" w:rsidR="00D603F5" w:rsidRPr="001B0EA3" w:rsidRDefault="00D603F5" w:rsidP="00046D61">
      <w:pPr>
        <w:numPr>
          <w:ilvl w:val="0"/>
          <w:numId w:val="73"/>
        </w:numPr>
        <w:tabs>
          <w:tab w:val="left" w:pos="851"/>
        </w:tabs>
        <w:ind w:left="0" w:firstLine="567"/>
        <w:contextualSpacing/>
        <w:rPr>
          <w:szCs w:val="24"/>
          <w:lang w:eastAsia="bg-BG"/>
        </w:rPr>
      </w:pPr>
      <w:r w:rsidRPr="001B0EA3">
        <w:rPr>
          <w:szCs w:val="24"/>
          <w:lang w:eastAsia="bg-BG"/>
        </w:rPr>
        <w:t xml:space="preserve">Оценителната комисия извършва проверка на АРП. Процесът е показан на фиг. 2.1. </w:t>
      </w:r>
    </w:p>
    <w:p w14:paraId="33F3CD31" w14:textId="77777777" w:rsidR="00D603F5" w:rsidRPr="001B0EA3" w:rsidRDefault="00D603F5" w:rsidP="0019114B">
      <w:pPr>
        <w:ind w:firstLine="698"/>
        <w:contextualSpacing/>
        <w:rPr>
          <w:szCs w:val="24"/>
          <w:lang w:eastAsia="bg-BG"/>
        </w:rPr>
      </w:pPr>
    </w:p>
    <w:p w14:paraId="2B13AFBD" w14:textId="77777777" w:rsidR="00D603F5" w:rsidRPr="001B0EA3" w:rsidRDefault="00D603F5" w:rsidP="00046D61">
      <w:pPr>
        <w:ind w:firstLine="698"/>
        <w:contextualSpacing/>
        <w:rPr>
          <w:szCs w:val="24"/>
          <w:lang w:eastAsia="bg-BG"/>
        </w:rPr>
      </w:pPr>
      <w:r w:rsidRPr="001B0EA3">
        <w:rPr>
          <w:szCs w:val="24"/>
          <w:lang w:eastAsia="bg-BG"/>
        </w:rPr>
        <w:t>Принципите, методите и критериите представени в АРП се използват за оценка на социално-икономическите разходи и ползи на инвестиционни/инфраструктурни проекти. Резултатите от анализа трябва да покажат, че проектът:</w:t>
      </w:r>
    </w:p>
    <w:p w14:paraId="2D499E75" w14:textId="77777777" w:rsidR="00D603F5" w:rsidRPr="001B0EA3" w:rsidRDefault="00D603F5" w:rsidP="00046D61">
      <w:pPr>
        <w:pStyle w:val="ListParagraph"/>
        <w:numPr>
          <w:ilvl w:val="0"/>
          <w:numId w:val="32"/>
        </w:numPr>
        <w:rPr>
          <w:szCs w:val="24"/>
          <w:lang w:eastAsia="bg-BG"/>
        </w:rPr>
      </w:pPr>
      <w:r w:rsidRPr="001B0EA3">
        <w:rPr>
          <w:szCs w:val="24"/>
          <w:lang w:eastAsia="bg-BG"/>
        </w:rPr>
        <w:t>е в съответствие с целите на оперативната програма;</w:t>
      </w:r>
    </w:p>
    <w:p w14:paraId="7C50BC34" w14:textId="77777777" w:rsidR="00D603F5" w:rsidRPr="001B0EA3" w:rsidRDefault="00D603F5" w:rsidP="00046D61">
      <w:pPr>
        <w:pStyle w:val="ListParagraph"/>
        <w:numPr>
          <w:ilvl w:val="0"/>
          <w:numId w:val="32"/>
        </w:numPr>
        <w:rPr>
          <w:szCs w:val="24"/>
          <w:lang w:eastAsia="bg-BG"/>
        </w:rPr>
      </w:pPr>
      <w:r w:rsidRPr="001B0EA3">
        <w:rPr>
          <w:szCs w:val="24"/>
          <w:lang w:eastAsia="bg-BG"/>
        </w:rPr>
        <w:t>доказано има нужда от съфинансиране;</w:t>
      </w:r>
    </w:p>
    <w:p w14:paraId="4050FE97" w14:textId="77777777" w:rsidR="00D603F5" w:rsidRPr="001B0EA3" w:rsidRDefault="00D603F5" w:rsidP="00046D61">
      <w:pPr>
        <w:pStyle w:val="ListParagraph"/>
        <w:numPr>
          <w:ilvl w:val="0"/>
          <w:numId w:val="32"/>
        </w:numPr>
        <w:rPr>
          <w:szCs w:val="24"/>
          <w:lang w:eastAsia="bg-BG"/>
        </w:rPr>
      </w:pPr>
      <w:r w:rsidRPr="001B0EA3">
        <w:rPr>
          <w:szCs w:val="24"/>
          <w:lang w:eastAsia="bg-BG"/>
        </w:rPr>
        <w:t>е социално-икономически ефективен.</w:t>
      </w:r>
    </w:p>
    <w:p w14:paraId="7E43CFAD" w14:textId="77777777" w:rsidR="00DA3753" w:rsidRPr="001B0EA3" w:rsidRDefault="00DA3753" w:rsidP="00F068A3">
      <w:pPr>
        <w:jc w:val="left"/>
        <w:rPr>
          <w:szCs w:val="24"/>
          <w:lang w:eastAsia="bg-BG"/>
        </w:rPr>
      </w:pPr>
    </w:p>
    <w:p w14:paraId="0A832479" w14:textId="77777777" w:rsidR="00DA3753" w:rsidRPr="001B0EA3" w:rsidRDefault="00DA3753" w:rsidP="00F068A3">
      <w:pPr>
        <w:jc w:val="left"/>
        <w:rPr>
          <w:szCs w:val="24"/>
          <w:lang w:eastAsia="bg-BG"/>
        </w:rPr>
      </w:pPr>
    </w:p>
    <w:p w14:paraId="641AFCEA" w14:textId="77777777" w:rsidR="00DA3753" w:rsidRPr="001B0EA3" w:rsidRDefault="00DA3753" w:rsidP="00F068A3">
      <w:pPr>
        <w:jc w:val="left"/>
        <w:rPr>
          <w:szCs w:val="24"/>
          <w:lang w:eastAsia="bg-BG"/>
        </w:rPr>
      </w:pPr>
    </w:p>
    <w:p w14:paraId="7A65775E" w14:textId="77777777" w:rsidR="00DA3753" w:rsidRPr="001B0EA3" w:rsidRDefault="00DA3753" w:rsidP="00F068A3">
      <w:pPr>
        <w:jc w:val="left"/>
        <w:rPr>
          <w:szCs w:val="24"/>
          <w:lang w:eastAsia="bg-BG"/>
        </w:rPr>
      </w:pPr>
    </w:p>
    <w:p w14:paraId="21A1539A" w14:textId="77777777" w:rsidR="00DA3753" w:rsidRPr="001B0EA3" w:rsidRDefault="00DA3753" w:rsidP="00F068A3">
      <w:pPr>
        <w:jc w:val="left"/>
        <w:rPr>
          <w:szCs w:val="24"/>
          <w:lang w:eastAsia="bg-BG"/>
        </w:rPr>
      </w:pPr>
    </w:p>
    <w:p w14:paraId="4510F790" w14:textId="77777777" w:rsidR="00DA3753" w:rsidRPr="001B0EA3" w:rsidRDefault="00DA3753" w:rsidP="00F068A3">
      <w:pPr>
        <w:jc w:val="left"/>
        <w:rPr>
          <w:szCs w:val="24"/>
          <w:lang w:eastAsia="bg-BG"/>
        </w:rPr>
      </w:pPr>
    </w:p>
    <w:p w14:paraId="36F62721" w14:textId="77777777" w:rsidR="00DA3753" w:rsidRPr="001B0EA3" w:rsidRDefault="00DA3753" w:rsidP="00F068A3">
      <w:pPr>
        <w:jc w:val="left"/>
        <w:rPr>
          <w:szCs w:val="24"/>
          <w:lang w:eastAsia="bg-BG"/>
        </w:rPr>
      </w:pPr>
    </w:p>
    <w:p w14:paraId="1C47F256" w14:textId="77777777" w:rsidR="00DA3753" w:rsidRPr="001B0EA3" w:rsidRDefault="00DA3753" w:rsidP="00F068A3">
      <w:pPr>
        <w:jc w:val="left"/>
        <w:rPr>
          <w:szCs w:val="24"/>
          <w:lang w:eastAsia="bg-BG"/>
        </w:rPr>
      </w:pPr>
    </w:p>
    <w:p w14:paraId="0F287C73" w14:textId="77777777" w:rsidR="00DA3753" w:rsidRPr="001B0EA3" w:rsidRDefault="00DA3753" w:rsidP="00F068A3">
      <w:pPr>
        <w:jc w:val="left"/>
        <w:rPr>
          <w:szCs w:val="24"/>
          <w:lang w:eastAsia="bg-BG"/>
        </w:rPr>
      </w:pPr>
    </w:p>
    <w:p w14:paraId="1F3B0BE4" w14:textId="77777777" w:rsidR="00DA3753" w:rsidRPr="001B0EA3" w:rsidRDefault="00DA3753" w:rsidP="00F068A3">
      <w:pPr>
        <w:jc w:val="left"/>
        <w:rPr>
          <w:szCs w:val="24"/>
          <w:lang w:eastAsia="bg-BG"/>
        </w:rPr>
      </w:pPr>
    </w:p>
    <w:p w14:paraId="3743E193" w14:textId="77777777" w:rsidR="00DA3753" w:rsidRPr="001B0EA3" w:rsidRDefault="00DA3753" w:rsidP="00F068A3">
      <w:pPr>
        <w:jc w:val="left"/>
        <w:rPr>
          <w:szCs w:val="24"/>
          <w:lang w:eastAsia="bg-BG"/>
        </w:rPr>
      </w:pPr>
    </w:p>
    <w:p w14:paraId="4231A3A3" w14:textId="77777777" w:rsidR="00DA3753" w:rsidRPr="001B0EA3" w:rsidRDefault="00DA3753" w:rsidP="00F068A3">
      <w:pPr>
        <w:jc w:val="left"/>
        <w:rPr>
          <w:szCs w:val="24"/>
          <w:lang w:eastAsia="bg-BG"/>
        </w:rPr>
      </w:pPr>
    </w:p>
    <w:p w14:paraId="055F78E3" w14:textId="77777777" w:rsidR="00DA3753" w:rsidRPr="001B0EA3" w:rsidRDefault="00DA3753" w:rsidP="00F068A3">
      <w:pPr>
        <w:jc w:val="left"/>
        <w:rPr>
          <w:szCs w:val="24"/>
          <w:lang w:eastAsia="bg-BG"/>
        </w:rPr>
      </w:pPr>
    </w:p>
    <w:p w14:paraId="3AAD59AF" w14:textId="77777777" w:rsidR="00DA3753" w:rsidRPr="001B0EA3" w:rsidRDefault="00DA3753" w:rsidP="00F068A3">
      <w:pPr>
        <w:jc w:val="left"/>
        <w:rPr>
          <w:szCs w:val="24"/>
          <w:lang w:eastAsia="bg-BG"/>
        </w:rPr>
      </w:pPr>
    </w:p>
    <w:p w14:paraId="27565169" w14:textId="77777777" w:rsidR="00DA3753" w:rsidRPr="001B0EA3" w:rsidRDefault="00DA3753" w:rsidP="00F068A3">
      <w:pPr>
        <w:jc w:val="left"/>
        <w:rPr>
          <w:szCs w:val="24"/>
          <w:lang w:eastAsia="bg-BG"/>
        </w:rPr>
      </w:pPr>
    </w:p>
    <w:p w14:paraId="357E03E2" w14:textId="77777777" w:rsidR="00DA3753" w:rsidRPr="001B0EA3" w:rsidRDefault="00DA3753" w:rsidP="00F068A3">
      <w:pPr>
        <w:jc w:val="left"/>
        <w:rPr>
          <w:szCs w:val="24"/>
          <w:lang w:eastAsia="bg-BG"/>
        </w:rPr>
      </w:pPr>
    </w:p>
    <w:p w14:paraId="3E67CDAB" w14:textId="77777777" w:rsidR="00DA3753" w:rsidRPr="001B0EA3" w:rsidRDefault="00DA3753" w:rsidP="00046D61">
      <w:pPr>
        <w:contextualSpacing/>
        <w:rPr>
          <w:szCs w:val="24"/>
          <w:lang w:eastAsia="bg-BG"/>
        </w:rPr>
      </w:pPr>
      <w:r w:rsidRPr="001B0EA3">
        <w:rPr>
          <w:szCs w:val="24"/>
          <w:lang w:eastAsia="bg-BG"/>
        </w:rPr>
        <w:t>Фиг. 2.1 Роля на АРП при оценка на инвестиционни/инфраструктурни проекти</w:t>
      </w:r>
    </w:p>
    <w:p w14:paraId="2F49E76C" w14:textId="77777777" w:rsidR="00D603F5" w:rsidRPr="001B0EA3" w:rsidRDefault="00D603F5" w:rsidP="00F068A3">
      <w:pPr>
        <w:jc w:val="left"/>
        <w:rPr>
          <w:szCs w:val="24"/>
          <w:lang w:eastAsia="bg-BG"/>
        </w:rPr>
      </w:pPr>
    </w:p>
    <w:p w14:paraId="413FECF5" w14:textId="77777777" w:rsidR="00D603F5" w:rsidRPr="001B0EA3" w:rsidRDefault="00937754" w:rsidP="00046D61">
      <w:pPr>
        <w:pStyle w:val="ListParagraph"/>
        <w:ind w:left="0" w:firstLine="0"/>
        <w:jc w:val="center"/>
        <w:rPr>
          <w:szCs w:val="24"/>
          <w:lang w:eastAsia="bg-BG"/>
        </w:rPr>
      </w:pPr>
      <w:r w:rsidRPr="001B0EA3">
        <w:rPr>
          <w:noProof/>
          <w:lang w:eastAsia="bg-BG"/>
        </w:rPr>
        <w:lastRenderedPageBreak/>
        <mc:AlternateContent>
          <mc:Choice Requires="wpg">
            <w:drawing>
              <wp:inline distT="0" distB="0" distL="0" distR="0" wp14:anchorId="739C46C5" wp14:editId="4D53E994">
                <wp:extent cx="6165215" cy="6344920"/>
                <wp:effectExtent l="57150" t="38100" r="45085" b="17780"/>
                <wp:docPr id="443" name="Group 1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215" cy="6344920"/>
                          <a:chOff x="0" y="0"/>
                          <a:chExt cx="7027649" cy="6389626"/>
                        </a:xfrm>
                      </wpg:grpSpPr>
                      <wps:wsp>
                        <wps:cNvPr id="444" name="Diamond 1784"/>
                        <wps:cNvSpPr>
                          <a:spLocks noChangeArrowheads="1"/>
                        </wps:cNvSpPr>
                        <wps:spPr bwMode="auto">
                          <a:xfrm>
                            <a:off x="0" y="2020186"/>
                            <a:ext cx="7027649" cy="4252209"/>
                          </a:xfrm>
                          <a:prstGeom prst="diamond">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g:grpSp>
                        <wpg:cNvPr id="446" name="Group 1783"/>
                        <wpg:cNvGrpSpPr>
                          <a:grpSpLocks/>
                        </wpg:cNvGrpSpPr>
                        <wpg:grpSpPr bwMode="auto">
                          <a:xfrm>
                            <a:off x="228192" y="0"/>
                            <a:ext cx="6736134" cy="6389626"/>
                            <a:chOff x="-133315" y="0"/>
                            <a:chExt cx="6736134" cy="6389626"/>
                          </a:xfrm>
                        </wpg:grpSpPr>
                        <wpg:grpSp>
                          <wpg:cNvPr id="447" name="Group 1782"/>
                          <wpg:cNvGrpSpPr>
                            <a:grpSpLocks/>
                          </wpg:cNvGrpSpPr>
                          <wpg:grpSpPr bwMode="auto">
                            <a:xfrm>
                              <a:off x="1499191" y="5220586"/>
                              <a:ext cx="3435553" cy="1169040"/>
                              <a:chOff x="0" y="0"/>
                              <a:chExt cx="3435553" cy="1169040"/>
                            </a:xfrm>
                          </wpg:grpSpPr>
                          <wps:wsp>
                            <wps:cNvPr id="1920" name="Oval 1762"/>
                            <wps:cNvSpPr>
                              <a:spLocks noChangeArrowheads="1"/>
                            </wps:cNvSpPr>
                            <wps:spPr bwMode="auto">
                              <a:xfrm>
                                <a:off x="1733003" y="307980"/>
                                <a:ext cx="1702550" cy="861060"/>
                              </a:xfrm>
                              <a:prstGeom prst="ellipse">
                                <a:avLst/>
                              </a:prstGeom>
                              <a:solidFill>
                                <a:srgbClr val="FFFFFF"/>
                              </a:solidFill>
                              <a:ln w="25400" algn="ctr">
                                <a:solidFill>
                                  <a:srgbClr val="4F81BD"/>
                                </a:solidFill>
                                <a:round/>
                                <a:headEnd/>
                                <a:tailEnd/>
                              </a:ln>
                            </wps:spPr>
                            <wps:txbx>
                              <w:txbxContent>
                                <w:p w14:paraId="1F8A5449" w14:textId="77777777" w:rsidR="004E3164" w:rsidRPr="00F23A68" w:rsidRDefault="004E3164" w:rsidP="00F23A68">
                                  <w:pPr>
                                    <w:ind w:firstLine="0"/>
                                    <w:jc w:val="center"/>
                                    <w:rPr>
                                      <w:b/>
                                      <w:sz w:val="20"/>
                                    </w:rPr>
                                  </w:pPr>
                                  <w:r w:rsidRPr="00F23A68">
                                    <w:rPr>
                                      <w:sz w:val="20"/>
                                    </w:rPr>
                                    <w:t xml:space="preserve">Финансирането от ЕС </w:t>
                                  </w:r>
                                  <w:r w:rsidRPr="00F23A68">
                                    <w:rPr>
                                      <w:b/>
                                      <w:sz w:val="20"/>
                                    </w:rPr>
                                    <w:t>е</w:t>
                                  </w:r>
                                  <w:r w:rsidRPr="00F23A68">
                                    <w:rPr>
                                      <w:sz w:val="20"/>
                                    </w:rPr>
                                    <w:t xml:space="preserve"> </w:t>
                                  </w:r>
                                  <w:r w:rsidRPr="00F23A68">
                                    <w:rPr>
                                      <w:b/>
                                      <w:sz w:val="20"/>
                                    </w:rPr>
                                    <w:t xml:space="preserve">обосновано </w:t>
                                  </w:r>
                                </w:p>
                              </w:txbxContent>
                            </wps:txbx>
                            <wps:bodyPr rot="0" vert="horz" wrap="square" lIns="91440" tIns="45720" rIns="91440" bIns="45720" anchor="ctr" anchorCtr="0" upright="1">
                              <a:noAutofit/>
                            </wps:bodyPr>
                          </wps:wsp>
                          <wps:wsp>
                            <wps:cNvPr id="1921" name="Rounded Rectangle 1763"/>
                            <wps:cNvSpPr>
                              <a:spLocks noChangeArrowheads="1"/>
                            </wps:cNvSpPr>
                            <wps:spPr bwMode="auto">
                              <a:xfrm>
                                <a:off x="0" y="276447"/>
                                <a:ext cx="1498600" cy="77597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08BA23DA" w14:textId="77777777" w:rsidR="004E3164" w:rsidRPr="00F23A68" w:rsidRDefault="004E3164" w:rsidP="00F23A68">
                                  <w:pPr>
                                    <w:ind w:firstLine="0"/>
                                    <w:jc w:val="center"/>
                                    <w:rPr>
                                      <w:b/>
                                      <w:color w:val="FF0000"/>
                                      <w:sz w:val="20"/>
                                      <w:lang w:val="en-US"/>
                                    </w:rPr>
                                  </w:pPr>
                                  <w:r w:rsidRPr="00F23A68">
                                    <w:rPr>
                                      <w:b/>
                                      <w:color w:val="FF0000"/>
                                      <w:sz w:val="20"/>
                                    </w:rPr>
                                    <w:t>Изчисление на финансиране от ЕС</w:t>
                                  </w:r>
                                </w:p>
                              </w:txbxContent>
                            </wps:txbx>
                            <wps:bodyPr rot="0" vert="horz" wrap="square" lIns="91440" tIns="45720" rIns="91440" bIns="45720" anchor="ctr" anchorCtr="0" upright="1">
                              <a:noAutofit/>
                            </wps:bodyPr>
                          </wps:wsp>
                          <wps:wsp>
                            <wps:cNvPr id="1922" name="Straight Arrow Connector 1765"/>
                            <wps:cNvCnPr>
                              <a:cxnSpLocks noChangeShapeType="1"/>
                            </wps:cNvCnPr>
                            <wps:spPr bwMode="auto">
                              <a:xfrm flipH="1">
                                <a:off x="2530549" y="0"/>
                                <a:ext cx="0" cy="276225"/>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1926" name="Straight Arrow Connector 1774"/>
                            <wps:cNvCnPr>
                              <a:cxnSpLocks noChangeShapeType="1"/>
                            </wps:cNvCnPr>
                            <wps:spPr bwMode="auto">
                              <a:xfrm flipH="1">
                                <a:off x="1499191" y="733647"/>
                                <a:ext cx="233680" cy="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g:grpSp>
                        <wpg:grpSp>
                          <wpg:cNvPr id="1927" name="Group 1781"/>
                          <wpg:cNvGrpSpPr>
                            <a:grpSpLocks/>
                          </wpg:cNvGrpSpPr>
                          <wpg:grpSpPr bwMode="auto">
                            <a:xfrm>
                              <a:off x="53163" y="3838354"/>
                              <a:ext cx="4538882" cy="1552043"/>
                              <a:chOff x="0" y="0"/>
                              <a:chExt cx="4538882" cy="1552043"/>
                            </a:xfrm>
                          </wpg:grpSpPr>
                          <wps:wsp>
                            <wps:cNvPr id="1928" name="Rounded Rectangle 1758"/>
                            <wps:cNvSpPr>
                              <a:spLocks noChangeArrowheads="1"/>
                            </wps:cNvSpPr>
                            <wps:spPr bwMode="auto">
                              <a:xfrm>
                                <a:off x="2105247" y="0"/>
                                <a:ext cx="1881505" cy="46736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17113600" w14:textId="77777777" w:rsidR="004E3164" w:rsidRPr="00F23A68" w:rsidRDefault="004E3164" w:rsidP="00F23A68">
                                  <w:pPr>
                                    <w:ind w:firstLine="0"/>
                                    <w:jc w:val="center"/>
                                    <w:rPr>
                                      <w:sz w:val="20"/>
                                    </w:rPr>
                                  </w:pPr>
                                  <w:r w:rsidRPr="00F23A68">
                                    <w:rPr>
                                      <w:sz w:val="20"/>
                                    </w:rPr>
                                    <w:t>Проектът се нуждае от съфинансиране</w:t>
                                  </w:r>
                                </w:p>
                                <w:p w14:paraId="0A514F4E" w14:textId="77777777" w:rsidR="004E3164" w:rsidRPr="00F23A68" w:rsidRDefault="004E3164" w:rsidP="00F23A68">
                                  <w:pPr>
                                    <w:ind w:firstLine="0"/>
                                    <w:jc w:val="center"/>
                                    <w:rPr>
                                      <w:sz w:val="20"/>
                                    </w:rPr>
                                  </w:pPr>
                                </w:p>
                              </w:txbxContent>
                            </wps:txbx>
                            <wps:bodyPr rot="0" vert="horz" wrap="square" lIns="91440" tIns="45720" rIns="91440" bIns="45720" anchor="ctr" anchorCtr="0" upright="1">
                              <a:noAutofit/>
                            </wps:bodyPr>
                          </wps:wsp>
                          <wps:wsp>
                            <wps:cNvPr id="1929" name="Rounded Rectangle 1759"/>
                            <wps:cNvSpPr>
                              <a:spLocks noChangeArrowheads="1"/>
                            </wps:cNvSpPr>
                            <wps:spPr bwMode="auto">
                              <a:xfrm>
                                <a:off x="1743679" y="754609"/>
                                <a:ext cx="1052592" cy="62674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26E098D6" w14:textId="77777777" w:rsidR="004E3164" w:rsidRPr="00F23A68" w:rsidRDefault="004E3164" w:rsidP="00F23A68">
                                  <w:pPr>
                                    <w:ind w:firstLine="0"/>
                                    <w:jc w:val="center"/>
                                    <w:rPr>
                                      <w:sz w:val="20"/>
                                    </w:rPr>
                                  </w:pPr>
                                  <w:r w:rsidRPr="00F23A68">
                                    <w:rPr>
                                      <w:sz w:val="20"/>
                                    </w:rPr>
                                    <w:t xml:space="preserve">ИННС </w:t>
                                  </w:r>
                                  <w:r w:rsidRPr="00F23A68">
                                    <w:rPr>
                                      <w:sz w:val="20"/>
                                      <w:lang w:val="en-US"/>
                                    </w:rPr>
                                    <w:t>&lt;</w:t>
                                  </w:r>
                                  <w:r w:rsidRPr="00F23A68">
                                    <w:rPr>
                                      <w:sz w:val="20"/>
                                    </w:rPr>
                                    <w:t xml:space="preserve"> 0</w:t>
                                  </w:r>
                                </w:p>
                                <w:p w14:paraId="11540D1B" w14:textId="77777777" w:rsidR="004E3164" w:rsidRPr="00F23A68" w:rsidRDefault="004E3164" w:rsidP="00F23A68">
                                  <w:pPr>
                                    <w:ind w:firstLine="0"/>
                                    <w:jc w:val="center"/>
                                    <w:rPr>
                                      <w:b/>
                                      <w:sz w:val="20"/>
                                      <w:lang w:val="en-US"/>
                                    </w:rPr>
                                  </w:pPr>
                                  <w:r w:rsidRPr="00F23A68">
                                    <w:rPr>
                                      <w:sz w:val="20"/>
                                    </w:rPr>
                                    <w:t>Е</w:t>
                                  </w:r>
                                  <w:r w:rsidRPr="00F23A68">
                                    <w:rPr>
                                      <w:sz w:val="20"/>
                                      <w:lang w:val="en-US"/>
                                    </w:rPr>
                                    <w:t>NPV  &lt; 0</w:t>
                                  </w:r>
                                </w:p>
                              </w:txbxContent>
                            </wps:txbx>
                            <wps:bodyPr rot="0" vert="horz" wrap="square" lIns="91440" tIns="45720" rIns="91440" bIns="45720" anchor="ctr" anchorCtr="0" upright="1">
                              <a:noAutofit/>
                            </wps:bodyPr>
                          </wps:wsp>
                          <wps:wsp>
                            <wps:cNvPr id="1930" name="Rounded Rectangle 1760"/>
                            <wps:cNvSpPr>
                              <a:spLocks noChangeArrowheads="1"/>
                            </wps:cNvSpPr>
                            <wps:spPr bwMode="auto">
                              <a:xfrm>
                                <a:off x="3519263" y="765242"/>
                                <a:ext cx="1019619" cy="61658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49D066AA" w14:textId="77777777" w:rsidR="004E3164" w:rsidRPr="00F23A68" w:rsidRDefault="004E3164" w:rsidP="00F23A68">
                                  <w:pPr>
                                    <w:ind w:firstLine="0"/>
                                    <w:jc w:val="center"/>
                                    <w:rPr>
                                      <w:sz w:val="20"/>
                                    </w:rPr>
                                  </w:pPr>
                                  <w:r w:rsidRPr="00F23A68">
                                    <w:rPr>
                                      <w:sz w:val="20"/>
                                    </w:rPr>
                                    <w:t xml:space="preserve">ИННС </w:t>
                                  </w:r>
                                  <w:r w:rsidRPr="00F23A68">
                                    <w:rPr>
                                      <w:sz w:val="20"/>
                                      <w:lang w:val="en-US"/>
                                    </w:rPr>
                                    <w:t>&gt;</w:t>
                                  </w:r>
                                  <w:r w:rsidRPr="00F23A68">
                                    <w:rPr>
                                      <w:sz w:val="20"/>
                                    </w:rPr>
                                    <w:t xml:space="preserve"> </w:t>
                                  </w:r>
                                  <w:r w:rsidRPr="00F23A68">
                                    <w:rPr>
                                      <w:sz w:val="20"/>
                                      <w:lang w:val="en-US"/>
                                    </w:rPr>
                                    <w:t>0</w:t>
                                  </w:r>
                                </w:p>
                                <w:p w14:paraId="5AFF58AE" w14:textId="77777777" w:rsidR="004E3164" w:rsidRPr="00F23A68" w:rsidRDefault="004E3164" w:rsidP="00F23A68">
                                  <w:pPr>
                                    <w:ind w:firstLine="0"/>
                                    <w:jc w:val="center"/>
                                    <w:rPr>
                                      <w:b/>
                                      <w:sz w:val="20"/>
                                    </w:rPr>
                                  </w:pPr>
                                  <w:r w:rsidRPr="00F23A68">
                                    <w:rPr>
                                      <w:sz w:val="20"/>
                                    </w:rPr>
                                    <w:t>Е</w:t>
                                  </w:r>
                                  <w:r w:rsidRPr="00F23A68">
                                    <w:rPr>
                                      <w:sz w:val="20"/>
                                      <w:lang w:val="en-US"/>
                                    </w:rPr>
                                    <w:t>NPV &gt;</w:t>
                                  </w:r>
                                  <w:r w:rsidRPr="00F23A68">
                                    <w:rPr>
                                      <w:sz w:val="20"/>
                                    </w:rPr>
                                    <w:t xml:space="preserve"> </w:t>
                                  </w:r>
                                  <w:r w:rsidRPr="00F23A68">
                                    <w:rPr>
                                      <w:sz w:val="20"/>
                                      <w:lang w:val="en-US"/>
                                    </w:rPr>
                                    <w:t>0</w:t>
                                  </w:r>
                                </w:p>
                              </w:txbxContent>
                            </wps:txbx>
                            <wps:bodyPr rot="0" vert="horz" wrap="square" lIns="91440" tIns="45720" rIns="91440" bIns="45720" anchor="ctr" anchorCtr="0" upright="1">
                              <a:noAutofit/>
                            </wps:bodyPr>
                          </wps:wsp>
                          <wps:wsp>
                            <wps:cNvPr id="1931" name="Oval 1761"/>
                            <wps:cNvSpPr>
                              <a:spLocks noChangeArrowheads="1"/>
                            </wps:cNvSpPr>
                            <wps:spPr bwMode="auto">
                              <a:xfrm>
                                <a:off x="0" y="616688"/>
                                <a:ext cx="1456055" cy="935355"/>
                              </a:xfrm>
                              <a:prstGeom prst="ellipse">
                                <a:avLst/>
                              </a:prstGeom>
                              <a:solidFill>
                                <a:srgbClr val="FFFFFF"/>
                              </a:solidFill>
                              <a:ln w="25400" algn="ctr">
                                <a:solidFill>
                                  <a:srgbClr val="4F81BD"/>
                                </a:solidFill>
                                <a:round/>
                                <a:headEnd/>
                                <a:tailEnd/>
                              </a:ln>
                            </wps:spPr>
                            <wps:txbx>
                              <w:txbxContent>
                                <w:p w14:paraId="5ED1EA03" w14:textId="77777777" w:rsidR="004E3164" w:rsidRPr="00F23A68" w:rsidRDefault="004E3164" w:rsidP="00F23A68">
                                  <w:pPr>
                                    <w:ind w:firstLine="0"/>
                                    <w:jc w:val="center"/>
                                    <w:rPr>
                                      <w:sz w:val="20"/>
                                    </w:rPr>
                                  </w:pPr>
                                  <w:r w:rsidRPr="00F23A68">
                                    <w:rPr>
                                      <w:sz w:val="20"/>
                                    </w:rPr>
                                    <w:t xml:space="preserve">Финансиране от ЕС </w:t>
                                  </w:r>
                                  <w:r w:rsidRPr="00F23A68">
                                    <w:rPr>
                                      <w:b/>
                                      <w:sz w:val="20"/>
                                    </w:rPr>
                                    <w:t>не е</w:t>
                                  </w:r>
                                  <w:r w:rsidRPr="00F23A68">
                                    <w:rPr>
                                      <w:sz w:val="20"/>
                                    </w:rPr>
                                    <w:t xml:space="preserve"> обосновано </w:t>
                                  </w:r>
                                </w:p>
                              </w:txbxContent>
                            </wps:txbx>
                            <wps:bodyPr rot="0" vert="horz" wrap="square" lIns="91440" tIns="45720" rIns="91440" bIns="45720" anchor="ctr" anchorCtr="0" upright="1">
                              <a:noAutofit/>
                            </wps:bodyPr>
                          </wps:wsp>
                          <wps:wsp>
                            <wps:cNvPr id="1932" name="Straight Arrow Connector 1769"/>
                            <wps:cNvCnPr>
                              <a:cxnSpLocks noChangeShapeType="1"/>
                            </wps:cNvCnPr>
                            <wps:spPr bwMode="auto">
                              <a:xfrm>
                                <a:off x="3604437" y="520995"/>
                                <a:ext cx="307340" cy="201472"/>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1933" name="Straight Arrow Connector 1770"/>
                            <wps:cNvCnPr>
                              <a:cxnSpLocks noChangeShapeType="1"/>
                            </wps:cNvCnPr>
                            <wps:spPr bwMode="auto">
                              <a:xfrm flipH="1">
                                <a:off x="2179674" y="520995"/>
                                <a:ext cx="287020" cy="18034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1934" name="Straight Arrow Connector 1776"/>
                            <wps:cNvCnPr>
                              <a:cxnSpLocks noChangeShapeType="1"/>
                            </wps:cNvCnPr>
                            <wps:spPr bwMode="auto">
                              <a:xfrm flipH="1">
                                <a:off x="1488558" y="1052623"/>
                                <a:ext cx="233680" cy="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g:grpSp>
                        <wpg:grpSp>
                          <wpg:cNvPr id="1935" name="Group 1780"/>
                          <wpg:cNvGrpSpPr>
                            <a:grpSpLocks/>
                          </wpg:cNvGrpSpPr>
                          <wpg:grpSpPr bwMode="auto">
                            <a:xfrm>
                              <a:off x="-133315" y="0"/>
                              <a:ext cx="6736134" cy="3763616"/>
                              <a:chOff x="-133315" y="0"/>
                              <a:chExt cx="6736134" cy="3763616"/>
                            </a:xfrm>
                          </wpg:grpSpPr>
                          <wps:wsp>
                            <wps:cNvPr id="1936" name="Oval 1754"/>
                            <wps:cNvSpPr>
                              <a:spLocks noChangeArrowheads="1"/>
                            </wps:cNvSpPr>
                            <wps:spPr bwMode="auto">
                              <a:xfrm>
                                <a:off x="1935126" y="2243470"/>
                                <a:ext cx="2327910" cy="541655"/>
                              </a:xfrm>
                              <a:prstGeom prst="ellipse">
                                <a:avLst/>
                              </a:prstGeom>
                              <a:solidFill>
                                <a:srgbClr val="FFFFFF"/>
                              </a:solidFill>
                              <a:ln w="25400" algn="ctr">
                                <a:solidFill>
                                  <a:srgbClr val="4F81BD"/>
                                </a:solidFill>
                                <a:round/>
                                <a:headEnd/>
                                <a:tailEnd/>
                              </a:ln>
                            </wps:spPr>
                            <wps:txbx>
                              <w:txbxContent>
                                <w:p w14:paraId="6DF36EB2" w14:textId="77777777" w:rsidR="004E3164" w:rsidRPr="00F23A68" w:rsidRDefault="004E3164" w:rsidP="00F23A68">
                                  <w:pPr>
                                    <w:ind w:firstLine="0"/>
                                    <w:jc w:val="center"/>
                                    <w:rPr>
                                      <w:sz w:val="20"/>
                                    </w:rPr>
                                  </w:pPr>
                                  <w:r w:rsidRPr="00F23A68">
                                    <w:rPr>
                                      <w:sz w:val="20"/>
                                    </w:rPr>
                                    <w:t xml:space="preserve">Оценка на финансовите и икономически показатели </w:t>
                                  </w:r>
                                </w:p>
                              </w:txbxContent>
                            </wps:txbx>
                            <wps:bodyPr rot="0" vert="horz" wrap="square" lIns="91440" tIns="45720" rIns="91440" bIns="45720" anchor="ctr" anchorCtr="0" upright="1">
                              <a:noAutofit/>
                            </wps:bodyPr>
                          </wps:wsp>
                          <wps:wsp>
                            <wps:cNvPr id="1937" name="Rounded Rectangle 1755"/>
                            <wps:cNvSpPr>
                              <a:spLocks noChangeArrowheads="1"/>
                            </wps:cNvSpPr>
                            <wps:spPr bwMode="auto">
                              <a:xfrm>
                                <a:off x="1733123" y="2902499"/>
                                <a:ext cx="1137060" cy="63754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77E78DE1" w14:textId="77777777" w:rsidR="004E3164" w:rsidRPr="00F23A68" w:rsidRDefault="004E3164" w:rsidP="00F23A68">
                                  <w:pPr>
                                    <w:ind w:firstLine="0"/>
                                    <w:jc w:val="center"/>
                                    <w:rPr>
                                      <w:sz w:val="20"/>
                                    </w:rPr>
                                  </w:pPr>
                                  <w:r w:rsidRPr="00F23A68">
                                    <w:rPr>
                                      <w:sz w:val="20"/>
                                    </w:rPr>
                                    <w:t xml:space="preserve">ФННС </w:t>
                                  </w:r>
                                  <w:r w:rsidRPr="00F23A68">
                                    <w:rPr>
                                      <w:sz w:val="20"/>
                                      <w:lang w:val="en-US"/>
                                    </w:rPr>
                                    <w:t>&gt;</w:t>
                                  </w:r>
                                  <w:r w:rsidRPr="00F23A68">
                                    <w:rPr>
                                      <w:sz w:val="20"/>
                                    </w:rPr>
                                    <w:t xml:space="preserve"> 0</w:t>
                                  </w:r>
                                </w:p>
                                <w:p w14:paraId="093AE3FB" w14:textId="77777777" w:rsidR="004E3164" w:rsidRPr="00F23A68" w:rsidRDefault="004E3164" w:rsidP="00F23A68">
                                  <w:pPr>
                                    <w:ind w:firstLine="0"/>
                                    <w:jc w:val="center"/>
                                    <w:rPr>
                                      <w:b/>
                                      <w:sz w:val="20"/>
                                      <w:lang w:val="en-US"/>
                                    </w:rPr>
                                  </w:pPr>
                                  <w:r w:rsidRPr="00F23A68">
                                    <w:rPr>
                                      <w:sz w:val="20"/>
                                      <w:lang w:val="en-US"/>
                                    </w:rPr>
                                    <w:t>FNPV(C) &gt; 0</w:t>
                                  </w:r>
                                </w:p>
                              </w:txbxContent>
                            </wps:txbx>
                            <wps:bodyPr rot="0" vert="horz" wrap="square" lIns="91440" tIns="45720" rIns="91440" bIns="45720" anchor="ctr" anchorCtr="0" upright="1">
                              <a:noAutofit/>
                            </wps:bodyPr>
                          </wps:wsp>
                          <wps:wsp>
                            <wps:cNvPr id="1938" name="Rounded Rectangle 1756"/>
                            <wps:cNvSpPr>
                              <a:spLocks noChangeArrowheads="1"/>
                            </wps:cNvSpPr>
                            <wps:spPr bwMode="auto">
                              <a:xfrm>
                                <a:off x="3583060" y="2923762"/>
                                <a:ext cx="1182011" cy="61627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0C3CD7C2" w14:textId="77777777" w:rsidR="004E3164" w:rsidRPr="00F23A68" w:rsidRDefault="004E3164" w:rsidP="00F23A68">
                                  <w:pPr>
                                    <w:ind w:firstLine="0"/>
                                    <w:jc w:val="center"/>
                                    <w:rPr>
                                      <w:sz w:val="20"/>
                                    </w:rPr>
                                  </w:pPr>
                                  <w:r w:rsidRPr="00F23A68">
                                    <w:rPr>
                                      <w:sz w:val="20"/>
                                    </w:rPr>
                                    <w:t xml:space="preserve">ФННС </w:t>
                                  </w:r>
                                  <w:r w:rsidRPr="00F23A68">
                                    <w:rPr>
                                      <w:sz w:val="20"/>
                                      <w:lang w:val="en-US"/>
                                    </w:rPr>
                                    <w:t>&lt; 0</w:t>
                                  </w:r>
                                </w:p>
                                <w:p w14:paraId="152DD903" w14:textId="77777777" w:rsidR="004E3164" w:rsidRPr="00F23A68" w:rsidRDefault="004E3164" w:rsidP="00F23A68">
                                  <w:pPr>
                                    <w:ind w:firstLine="0"/>
                                    <w:jc w:val="center"/>
                                    <w:rPr>
                                      <w:b/>
                                      <w:sz w:val="20"/>
                                    </w:rPr>
                                  </w:pPr>
                                  <w:r w:rsidRPr="00F23A68">
                                    <w:rPr>
                                      <w:sz w:val="20"/>
                                      <w:lang w:val="en-US"/>
                                    </w:rPr>
                                    <w:t>FNPV(C)  &lt; 0</w:t>
                                  </w:r>
                                </w:p>
                              </w:txbxContent>
                            </wps:txbx>
                            <wps:bodyPr rot="0" vert="horz" wrap="square" lIns="91440" tIns="45720" rIns="91440" bIns="45720" anchor="ctr" anchorCtr="0" upright="1">
                              <a:noAutofit/>
                            </wps:bodyPr>
                          </wps:wsp>
                          <wps:wsp>
                            <wps:cNvPr id="1939" name="Oval 1757"/>
                            <wps:cNvSpPr>
                              <a:spLocks noChangeArrowheads="1"/>
                            </wps:cNvSpPr>
                            <wps:spPr bwMode="auto">
                              <a:xfrm>
                                <a:off x="-133315" y="2828261"/>
                                <a:ext cx="1508760" cy="935355"/>
                              </a:xfrm>
                              <a:prstGeom prst="ellipse">
                                <a:avLst/>
                              </a:prstGeom>
                              <a:solidFill>
                                <a:srgbClr val="FFFFFF"/>
                              </a:solidFill>
                              <a:ln w="25400" algn="ctr">
                                <a:solidFill>
                                  <a:srgbClr val="4F81BD"/>
                                </a:solidFill>
                                <a:round/>
                                <a:headEnd/>
                                <a:tailEnd/>
                              </a:ln>
                            </wps:spPr>
                            <wps:txbx>
                              <w:txbxContent>
                                <w:p w14:paraId="46D2780B" w14:textId="77777777" w:rsidR="004E3164" w:rsidRPr="00F23A68" w:rsidRDefault="004E3164" w:rsidP="00F23A68">
                                  <w:pPr>
                                    <w:ind w:firstLine="0"/>
                                    <w:jc w:val="center"/>
                                    <w:rPr>
                                      <w:sz w:val="20"/>
                                    </w:rPr>
                                  </w:pPr>
                                  <w:r w:rsidRPr="00F23A68">
                                    <w:rPr>
                                      <w:sz w:val="20"/>
                                    </w:rPr>
                                    <w:t xml:space="preserve">Проектът </w:t>
                                  </w:r>
                                </w:p>
                                <w:p w14:paraId="13540AE0" w14:textId="77777777" w:rsidR="004E3164" w:rsidRPr="00F23A68" w:rsidRDefault="004E3164" w:rsidP="00F23A68">
                                  <w:pPr>
                                    <w:ind w:firstLine="0"/>
                                    <w:jc w:val="center"/>
                                    <w:rPr>
                                      <w:sz w:val="20"/>
                                    </w:rPr>
                                  </w:pPr>
                                  <w:r w:rsidRPr="00F23A68">
                                    <w:rPr>
                                      <w:b/>
                                      <w:sz w:val="20"/>
                                    </w:rPr>
                                    <w:t xml:space="preserve">не се </w:t>
                                  </w:r>
                                  <w:r w:rsidRPr="00F23A68">
                                    <w:rPr>
                                      <w:sz w:val="20"/>
                                    </w:rPr>
                                    <w:t xml:space="preserve">нуждае от финансиране </w:t>
                                  </w:r>
                                </w:p>
                              </w:txbxContent>
                            </wps:txbx>
                            <wps:bodyPr rot="0" vert="horz" wrap="square" lIns="91440" tIns="45720" rIns="91440" bIns="45720" anchor="ctr" anchorCtr="0" upright="1">
                              <a:noAutofit/>
                            </wps:bodyPr>
                          </wps:wsp>
                          <wps:wsp>
                            <wps:cNvPr id="1941" name="Straight Arrow Connector 1771"/>
                            <wps:cNvCnPr>
                              <a:cxnSpLocks noChangeShapeType="1"/>
                            </wps:cNvCnPr>
                            <wps:spPr bwMode="auto">
                              <a:xfrm flipH="1">
                                <a:off x="2849526" y="2828261"/>
                                <a:ext cx="287020" cy="18034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1942" name="Straight Arrow Connector 1772"/>
                            <wps:cNvCnPr>
                              <a:cxnSpLocks noChangeShapeType="1"/>
                            </wps:cNvCnPr>
                            <wps:spPr bwMode="auto">
                              <a:xfrm>
                                <a:off x="3242930" y="2828261"/>
                                <a:ext cx="265430" cy="20193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1943" name="Straight Arrow Connector 1773"/>
                            <wps:cNvCnPr>
                              <a:cxnSpLocks noChangeShapeType="1"/>
                            </wps:cNvCnPr>
                            <wps:spPr bwMode="auto">
                              <a:xfrm flipH="1">
                                <a:off x="3678865" y="3583172"/>
                                <a:ext cx="287020" cy="18034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1944" name="Straight Arrow Connector 1775"/>
                            <wps:cNvCnPr>
                              <a:cxnSpLocks noChangeShapeType="1"/>
                            </wps:cNvCnPr>
                            <wps:spPr bwMode="auto">
                              <a:xfrm flipH="1">
                                <a:off x="1399663" y="3242930"/>
                                <a:ext cx="233680" cy="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g:grpSp>
                            <wpg:cNvPr id="1945" name="Group 1779"/>
                            <wpg:cNvGrpSpPr>
                              <a:grpSpLocks/>
                            </wpg:cNvGrpSpPr>
                            <wpg:grpSpPr bwMode="auto">
                              <a:xfrm>
                                <a:off x="1297172" y="0"/>
                                <a:ext cx="5305647" cy="2360088"/>
                                <a:chOff x="0" y="0"/>
                                <a:chExt cx="5305647" cy="2360088"/>
                              </a:xfrm>
                            </wpg:grpSpPr>
                            <wps:wsp>
                              <wps:cNvPr id="1946" name="Rounded Rectangle 1715"/>
                              <wps:cNvSpPr>
                                <a:spLocks noChangeArrowheads="1"/>
                              </wps:cNvSpPr>
                              <wps:spPr bwMode="auto">
                                <a:xfrm>
                                  <a:off x="595424" y="0"/>
                                  <a:ext cx="2423795" cy="49911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0988B2D1" w14:textId="77777777" w:rsidR="004E3164" w:rsidRPr="00F23A68" w:rsidRDefault="004E3164" w:rsidP="00F23A68">
                                    <w:pPr>
                                      <w:ind w:firstLine="0"/>
                                      <w:jc w:val="center"/>
                                      <w:rPr>
                                        <w:sz w:val="20"/>
                                      </w:rPr>
                                    </w:pPr>
                                    <w:r w:rsidRPr="00F23A68">
                                      <w:rPr>
                                        <w:sz w:val="20"/>
                                      </w:rPr>
                                      <w:t>АРП резултати</w:t>
                                    </w:r>
                                  </w:p>
                                </w:txbxContent>
                              </wps:txbx>
                              <wps:bodyPr rot="0" vert="horz" wrap="square" lIns="91440" tIns="45720" rIns="91440" bIns="45720" anchor="ctr" anchorCtr="0" upright="1">
                                <a:noAutofit/>
                              </wps:bodyPr>
                            </wps:wsp>
                            <wps:wsp>
                              <wps:cNvPr id="1947" name="Oval 1750"/>
                              <wps:cNvSpPr>
                                <a:spLocks noChangeArrowheads="1"/>
                              </wps:cNvSpPr>
                              <wps:spPr bwMode="auto">
                                <a:xfrm>
                                  <a:off x="637954" y="776177"/>
                                  <a:ext cx="2327910" cy="541655"/>
                                </a:xfrm>
                                <a:prstGeom prst="ellipse">
                                  <a:avLst/>
                                </a:prstGeom>
                                <a:solidFill>
                                  <a:srgbClr val="FFFFFF"/>
                                </a:solidFill>
                                <a:ln w="25400" algn="ctr">
                                  <a:solidFill>
                                    <a:srgbClr val="4F81BD"/>
                                  </a:solidFill>
                                  <a:round/>
                                  <a:headEnd/>
                                  <a:tailEnd/>
                                </a:ln>
                              </wps:spPr>
                              <wps:txbx>
                                <w:txbxContent>
                                  <w:p w14:paraId="38A15393" w14:textId="77777777" w:rsidR="004E3164" w:rsidRPr="00F23A68" w:rsidRDefault="004E3164" w:rsidP="00F23A68">
                                    <w:pPr>
                                      <w:ind w:firstLine="0"/>
                                      <w:jc w:val="center"/>
                                      <w:rPr>
                                        <w:sz w:val="20"/>
                                      </w:rPr>
                                    </w:pPr>
                                    <w:r w:rsidRPr="00F23A68">
                                      <w:rPr>
                                        <w:sz w:val="20"/>
                                      </w:rPr>
                                      <w:t>Проверка за пълнота  и завършеност на АРП</w:t>
                                    </w:r>
                                  </w:p>
                                </w:txbxContent>
                              </wps:txbx>
                              <wps:bodyPr rot="0" vert="horz" wrap="square" lIns="91440" tIns="45720" rIns="91440" bIns="45720" anchor="ctr" anchorCtr="0" upright="1">
                                <a:noAutofit/>
                              </wps:bodyPr>
                            </wps:wsp>
                            <wps:wsp>
                              <wps:cNvPr id="1948" name="Rounded Rectangle 1751"/>
                              <wps:cNvSpPr>
                                <a:spLocks noChangeArrowheads="1"/>
                              </wps:cNvSpPr>
                              <wps:spPr bwMode="auto">
                                <a:xfrm>
                                  <a:off x="0" y="1424763"/>
                                  <a:ext cx="1553210" cy="73342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1F8F616D" w14:textId="77777777" w:rsidR="004E3164" w:rsidRPr="00F23A68" w:rsidRDefault="004E3164" w:rsidP="00F23A68">
                                    <w:pPr>
                                      <w:ind w:firstLine="0"/>
                                      <w:jc w:val="center"/>
                                      <w:rPr>
                                        <w:sz w:val="20"/>
                                      </w:rPr>
                                    </w:pPr>
                                    <w:r w:rsidRPr="00F23A68">
                                      <w:rPr>
                                        <w:sz w:val="20"/>
                                      </w:rPr>
                                      <w:t>Методологията е спазена</w:t>
                                    </w:r>
                                  </w:p>
                                  <w:p w14:paraId="5A995043" w14:textId="77777777" w:rsidR="004E3164" w:rsidRPr="00F23A68" w:rsidRDefault="004E3164" w:rsidP="00F23A68">
                                    <w:pPr>
                                      <w:ind w:firstLine="0"/>
                                      <w:jc w:val="center"/>
                                      <w:rPr>
                                        <w:b/>
                                        <w:sz w:val="20"/>
                                      </w:rPr>
                                    </w:pPr>
                                    <w:r w:rsidRPr="00F23A68">
                                      <w:rPr>
                                        <w:sz w:val="20"/>
                                      </w:rPr>
                                      <w:t xml:space="preserve"> </w:t>
                                    </w:r>
                                    <w:r w:rsidRPr="00F23A68">
                                      <w:rPr>
                                        <w:b/>
                                        <w:sz w:val="20"/>
                                      </w:rPr>
                                      <w:t>Резултатите от АРП са достоверни</w:t>
                                    </w:r>
                                  </w:p>
                                </w:txbxContent>
                              </wps:txbx>
                              <wps:bodyPr rot="0" vert="horz" wrap="square" lIns="91440" tIns="45720" rIns="91440" bIns="45720" anchor="ctr" anchorCtr="0" upright="1">
                                <a:noAutofit/>
                              </wps:bodyPr>
                            </wps:wsp>
                            <wps:wsp>
                              <wps:cNvPr id="1949" name="Rounded Rectangle 1752"/>
                              <wps:cNvSpPr>
                                <a:spLocks noChangeArrowheads="1"/>
                              </wps:cNvSpPr>
                              <wps:spPr bwMode="auto">
                                <a:xfrm>
                                  <a:off x="1839275" y="1424669"/>
                                  <a:ext cx="1711291" cy="72263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5D7DD9EC" w14:textId="77777777" w:rsidR="004E3164" w:rsidRPr="00F23A68" w:rsidRDefault="004E3164" w:rsidP="00F23A68">
                                    <w:pPr>
                                      <w:ind w:firstLine="0"/>
                                      <w:jc w:val="center"/>
                                      <w:rPr>
                                        <w:sz w:val="20"/>
                                      </w:rPr>
                                    </w:pPr>
                                    <w:r w:rsidRPr="00F23A68">
                                      <w:rPr>
                                        <w:sz w:val="20"/>
                                      </w:rPr>
                                      <w:t>Методологията не е спазена в някои точки</w:t>
                                    </w:r>
                                  </w:p>
                                  <w:p w14:paraId="401E0D8C" w14:textId="77777777" w:rsidR="004E3164" w:rsidRPr="00F23A68" w:rsidRDefault="004E3164" w:rsidP="00F23A68">
                                    <w:pPr>
                                      <w:ind w:firstLine="0"/>
                                      <w:jc w:val="center"/>
                                      <w:rPr>
                                        <w:b/>
                                        <w:sz w:val="20"/>
                                      </w:rPr>
                                    </w:pPr>
                                    <w:r w:rsidRPr="00F23A68">
                                      <w:rPr>
                                        <w:sz w:val="20"/>
                                      </w:rPr>
                                      <w:t xml:space="preserve"> </w:t>
                                    </w:r>
                                    <w:r w:rsidRPr="00F23A68">
                                      <w:rPr>
                                        <w:b/>
                                        <w:sz w:val="20"/>
                                      </w:rPr>
                                      <w:t>Резултатите от АРП не са достоверни</w:t>
                                    </w:r>
                                  </w:p>
                                </w:txbxContent>
                              </wps:txbx>
                              <wps:bodyPr rot="0" vert="horz" wrap="square" lIns="91440" tIns="45720" rIns="91440" bIns="45720" anchor="ctr" anchorCtr="0" upright="1">
                                <a:noAutofit/>
                              </wps:bodyPr>
                            </wps:wsp>
                            <wps:wsp>
                              <wps:cNvPr id="1950" name="Rounded Rectangle 1753"/>
                              <wps:cNvSpPr>
                                <a:spLocks noChangeArrowheads="1"/>
                              </wps:cNvSpPr>
                              <wps:spPr bwMode="auto">
                                <a:xfrm>
                                  <a:off x="3806456" y="1435396"/>
                                  <a:ext cx="1499191" cy="72263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36F553DF" w14:textId="77777777" w:rsidR="004E3164" w:rsidRPr="00F23A68" w:rsidRDefault="004E3164" w:rsidP="00F23A68">
                                    <w:pPr>
                                      <w:ind w:firstLine="0"/>
                                      <w:jc w:val="center"/>
                                      <w:rPr>
                                        <w:b/>
                                        <w:sz w:val="20"/>
                                      </w:rPr>
                                    </w:pPr>
                                    <w:r w:rsidRPr="00F23A68">
                                      <w:rPr>
                                        <w:sz w:val="20"/>
                                      </w:rPr>
                                      <w:t>Нужда от проверка на предпоставките и пълнотата на АРП</w:t>
                                    </w:r>
                                  </w:p>
                                </w:txbxContent>
                              </wps:txbx>
                              <wps:bodyPr rot="0" vert="horz" wrap="square" lIns="91440" tIns="45720" rIns="91440" bIns="45720" anchor="ctr" anchorCtr="0" upright="1">
                                <a:noAutofit/>
                              </wps:bodyPr>
                            </wps:wsp>
                            <wps:wsp>
                              <wps:cNvPr id="1951" name="Straight Arrow Connector 1764"/>
                              <wps:cNvCnPr>
                                <a:cxnSpLocks noChangeShapeType="1"/>
                              </wps:cNvCnPr>
                              <wps:spPr bwMode="auto">
                                <a:xfrm flipH="1">
                                  <a:off x="1807535" y="499730"/>
                                  <a:ext cx="0" cy="276225"/>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1984" name="Straight Arrow Connector 1766"/>
                              <wps:cNvCnPr>
                                <a:cxnSpLocks noChangeShapeType="1"/>
                              </wps:cNvCnPr>
                              <wps:spPr bwMode="auto">
                                <a:xfrm>
                                  <a:off x="2604977" y="1222744"/>
                                  <a:ext cx="265814" cy="20193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1985" name="Straight Arrow Connector 1767"/>
                              <wps:cNvCnPr>
                                <a:cxnSpLocks noChangeShapeType="1"/>
                              </wps:cNvCnPr>
                              <wps:spPr bwMode="auto">
                                <a:xfrm flipH="1">
                                  <a:off x="712382" y="1254642"/>
                                  <a:ext cx="287079" cy="180754"/>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1986" name="Straight Arrow Connector 1768"/>
                              <wps:cNvCnPr>
                                <a:cxnSpLocks noChangeShapeType="1"/>
                              </wps:cNvCnPr>
                              <wps:spPr bwMode="auto">
                                <a:xfrm>
                                  <a:off x="595424" y="2158409"/>
                                  <a:ext cx="265252" cy="201679"/>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1987" name="Elbow Connector 1777"/>
                              <wps:cNvCnPr>
                                <a:cxnSpLocks noChangeShapeType="1"/>
                              </wps:cNvCnPr>
                              <wps:spPr bwMode="auto">
                                <a:xfrm flipH="1" flipV="1">
                                  <a:off x="3019647" y="148856"/>
                                  <a:ext cx="1552781" cy="1275907"/>
                                </a:xfrm>
                                <a:prstGeom prst="bentConnector3">
                                  <a:avLst>
                                    <a:gd name="adj1" fmla="val -676"/>
                                  </a:avLst>
                                </a:prstGeom>
                                <a:noFill/>
                                <a:ln w="12700" algn="ctr">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wps:wsp>
                              <wps:cNvPr id="1988" name="Straight Arrow Connector 1778"/>
                              <wps:cNvCnPr>
                                <a:cxnSpLocks noChangeShapeType="1"/>
                              </wps:cNvCnPr>
                              <wps:spPr bwMode="auto">
                                <a:xfrm flipH="1">
                                  <a:off x="3572540" y="1786270"/>
                                  <a:ext cx="233680" cy="0"/>
                                </a:xfrm>
                                <a:prstGeom prst="straightConnector1">
                                  <a:avLst/>
                                </a:prstGeom>
                                <a:noFill/>
                                <a:ln w="12700" algn="ctr">
                                  <a:solidFill>
                                    <a:srgbClr val="4A7EBB"/>
                                  </a:solidFill>
                                  <a:round/>
                                  <a:headEnd type="triangle" w="med" len="med"/>
                                  <a:tailEnd/>
                                </a:ln>
                                <a:extLst>
                                  <a:ext uri="{909E8E84-426E-40DD-AFC4-6F175D3DCCD1}">
                                    <a14:hiddenFill xmlns:a14="http://schemas.microsoft.com/office/drawing/2010/main">
                                      <a:noFill/>
                                    </a14:hiddenFill>
                                  </a:ext>
                                </a:extLst>
                              </wps:spPr>
                              <wps:bodyPr/>
                            </wps:wsp>
                          </wpg:grpSp>
                        </wpg:grpSp>
                      </wpg:grpSp>
                    </wpg:wgp>
                  </a:graphicData>
                </a:graphic>
              </wp:inline>
            </w:drawing>
          </mc:Choice>
          <mc:Fallback>
            <w:pict>
              <v:group w14:anchorId="739C46C5" id="Group 1785" o:spid="_x0000_s1578" style="width:485.45pt;height:499.6pt;mso-position-horizontal-relative:char;mso-position-vertical-relative:line" coordsize="70276,63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">
                <v:shape id="Diamond 1784" o:spid="_x0000_s1579" type="#_x0000_t4" style="position:absolute;top:20201;width:70276;height:42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" fillcolor="#bcbcbc">
                  <v:fill color2="#ededed" rotate="t" angle="180" colors="0 #bcbcbc;22938f #d0d0d0;1 #ededed" focus="100%" type="gradient"/>
                  <v:shadow on="t" color="black" opacity="24903f" origin=",.5" offset="0,.55556mm"/>
                </v:shape>
                <v:group id="Group 1783" o:spid="_x0000_s1580" style="position:absolute;left:2281;width:67362;height:63896" coordorigin="-1333" coordsize="67361,6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group id="Group 1782" o:spid="_x0000_s1581" style="position:absolute;left:14991;top:52205;width:34356;height:11691" coordsize="34355,1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oval id="Oval 1762" o:spid="_x0000_s1582" style="position:absolute;left:17330;top:3079;width:17025;height:8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" strokecolor="#4f81bd" strokeweight="2pt">
                      <v:textbox>
                        <w:txbxContent>
                          <w:p w14:paraId="1F8A5449" w14:textId="77777777" w:rsidR="004E3164" w:rsidRPr="00F23A68" w:rsidRDefault="004E3164" w:rsidP="00F23A68">
                            <w:pPr>
                              <w:ind w:firstLine="0"/>
                              <w:jc w:val="center"/>
                              <w:rPr>
                                <w:b/>
                                <w:sz w:val="20"/>
                              </w:rPr>
                            </w:pPr>
                            <w:r w:rsidRPr="00F23A68">
                              <w:rPr>
                                <w:sz w:val="20"/>
                              </w:rPr>
                              <w:t xml:space="preserve">Финансирането от ЕС </w:t>
                            </w:r>
                            <w:r w:rsidRPr="00F23A68">
                              <w:rPr>
                                <w:b/>
                                <w:sz w:val="20"/>
                              </w:rPr>
                              <w:t>е</w:t>
                            </w:r>
                            <w:r w:rsidRPr="00F23A68">
                              <w:rPr>
                                <w:sz w:val="20"/>
                              </w:rPr>
                              <w:t xml:space="preserve"> </w:t>
                            </w:r>
                            <w:r w:rsidRPr="00F23A68">
                              <w:rPr>
                                <w:b/>
                                <w:sz w:val="20"/>
                              </w:rPr>
                              <w:t xml:space="preserve">обосновано </w:t>
                            </w:r>
                          </w:p>
                        </w:txbxContent>
                      </v:textbox>
                    </v:oval>
                    <v:roundrect id="Rounded Rectangle 1763" o:spid="_x0000_s1583" style="position:absolute;top:2764;width:14986;height:7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" fillcolor="#a3c4ff" strokecolor="#4a7ebb">
                      <v:fill color2="#e5eeff" rotate="t" angle="180" colors="0 #a3c4ff;22938f #bfd5ff;1 #e5eeff" focus="100%" type="gradient"/>
                      <v:shadow on="t" color="black" opacity="24903f" origin=",.5" offset="0,.55556mm"/>
                      <v:textbox>
                        <w:txbxContent>
                          <w:p w14:paraId="08BA23DA" w14:textId="77777777" w:rsidR="004E3164" w:rsidRPr="00F23A68" w:rsidRDefault="004E3164" w:rsidP="00F23A68">
                            <w:pPr>
                              <w:ind w:firstLine="0"/>
                              <w:jc w:val="center"/>
                              <w:rPr>
                                <w:b/>
                                <w:color w:val="FF0000"/>
                                <w:sz w:val="20"/>
                                <w:lang w:val="en-US"/>
                              </w:rPr>
                            </w:pPr>
                            <w:r w:rsidRPr="00F23A68">
                              <w:rPr>
                                <w:b/>
                                <w:color w:val="FF0000"/>
                                <w:sz w:val="20"/>
                              </w:rPr>
                              <w:t>Изчисление на финансиране от ЕС</w:t>
                            </w:r>
                          </w:p>
                        </w:txbxContent>
                      </v:textbox>
                    </v:roundrect>
                    <v:shape id="Straight Arrow Connector 1765" o:spid="_x0000_s1584" type="#_x0000_t32" style="position:absolute;left:25305;width:0;height:2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" strokecolor="#4a7ebb" strokeweight="1pt">
                      <v:stroke endarrow="block"/>
                    </v:shape>
                    <v:shape id="Straight Arrow Connector 1774" o:spid="_x0000_s1585" type="#_x0000_t32" style="position:absolute;left:14991;top:7336;width:23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" strokecolor="#4a7ebb" strokeweight="1pt">
                      <v:stroke endarrow="block"/>
                    </v:shape>
                  </v:group>
                  <v:group id="Group 1781" o:spid="_x0000_s1586" style="position:absolute;left:531;top:38383;width:45389;height:15520" coordsize="45388,1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">
                    <v:roundrect id="Rounded Rectangle 1758" o:spid="_x0000_s1587" style="position:absolute;left:21052;width:18815;height:46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" fillcolor="#a3c4ff" strokecolor="#4a7ebb">
                      <v:fill color2="#e5eeff" rotate="t" angle="180" colors="0 #a3c4ff;22938f #bfd5ff;1 #e5eeff" focus="100%" type="gradient"/>
                      <v:shadow on="t" color="black" opacity="24903f" origin=",.5" offset="0,.55556mm"/>
                      <v:textbox>
                        <w:txbxContent>
                          <w:p w14:paraId="17113600" w14:textId="77777777" w:rsidR="004E3164" w:rsidRPr="00F23A68" w:rsidRDefault="004E3164" w:rsidP="00F23A68">
                            <w:pPr>
                              <w:ind w:firstLine="0"/>
                              <w:jc w:val="center"/>
                              <w:rPr>
                                <w:sz w:val="20"/>
                              </w:rPr>
                            </w:pPr>
                            <w:r w:rsidRPr="00F23A68">
                              <w:rPr>
                                <w:sz w:val="20"/>
                              </w:rPr>
                              <w:t>Проектът се нуждае от съфинансиране</w:t>
                            </w:r>
                          </w:p>
                          <w:p w14:paraId="0A514F4E" w14:textId="77777777" w:rsidR="004E3164" w:rsidRPr="00F23A68" w:rsidRDefault="004E3164" w:rsidP="00F23A68">
                            <w:pPr>
                              <w:ind w:firstLine="0"/>
                              <w:jc w:val="center"/>
                              <w:rPr>
                                <w:sz w:val="20"/>
                              </w:rPr>
                            </w:pPr>
                          </w:p>
                        </w:txbxContent>
                      </v:textbox>
                    </v:roundrect>
                    <v:roundrect id="Rounded Rectangle 1759" o:spid="_x0000_s1588" style="position:absolute;left:17436;top:7546;width:10526;height:6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" fillcolor="#a3c4ff" strokecolor="#4a7ebb">
                      <v:fill color2="#e5eeff" rotate="t" angle="180" colors="0 #a3c4ff;22938f #bfd5ff;1 #e5eeff" focus="100%" type="gradient"/>
                      <v:shadow on="t" color="black" opacity="24903f" origin=",.5" offset="0,.55556mm"/>
                      <v:textbox>
                        <w:txbxContent>
                          <w:p w14:paraId="26E098D6" w14:textId="77777777" w:rsidR="004E3164" w:rsidRPr="00F23A68" w:rsidRDefault="004E3164" w:rsidP="00F23A68">
                            <w:pPr>
                              <w:ind w:firstLine="0"/>
                              <w:jc w:val="center"/>
                              <w:rPr>
                                <w:sz w:val="20"/>
                              </w:rPr>
                            </w:pPr>
                            <w:r w:rsidRPr="00F23A68">
                              <w:rPr>
                                <w:sz w:val="20"/>
                              </w:rPr>
                              <w:t xml:space="preserve">ИННС </w:t>
                            </w:r>
                            <w:r w:rsidRPr="00F23A68">
                              <w:rPr>
                                <w:sz w:val="20"/>
                                <w:lang w:val="en-US"/>
                              </w:rPr>
                              <w:t>&lt;</w:t>
                            </w:r>
                            <w:r w:rsidRPr="00F23A68">
                              <w:rPr>
                                <w:sz w:val="20"/>
                              </w:rPr>
                              <w:t xml:space="preserve"> 0</w:t>
                            </w:r>
                          </w:p>
                          <w:p w14:paraId="11540D1B" w14:textId="77777777" w:rsidR="004E3164" w:rsidRPr="00F23A68" w:rsidRDefault="004E3164" w:rsidP="00F23A68">
                            <w:pPr>
                              <w:ind w:firstLine="0"/>
                              <w:jc w:val="center"/>
                              <w:rPr>
                                <w:b/>
                                <w:sz w:val="20"/>
                                <w:lang w:val="en-US"/>
                              </w:rPr>
                            </w:pPr>
                            <w:r w:rsidRPr="00F23A68">
                              <w:rPr>
                                <w:sz w:val="20"/>
                              </w:rPr>
                              <w:t>Е</w:t>
                            </w:r>
                            <w:r w:rsidRPr="00F23A68">
                              <w:rPr>
                                <w:sz w:val="20"/>
                                <w:lang w:val="en-US"/>
                              </w:rPr>
                              <w:t>NPV  &lt; 0</w:t>
                            </w:r>
                          </w:p>
                        </w:txbxContent>
                      </v:textbox>
                    </v:roundrect>
                    <v:roundrect id="Rounded Rectangle 1760" o:spid="_x0000_s1589" style="position:absolute;left:35192;top:7652;width:10196;height:61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" fillcolor="#a3c4ff" strokecolor="#4a7ebb">
                      <v:fill color2="#e5eeff" rotate="t" angle="180" colors="0 #a3c4ff;22938f #bfd5ff;1 #e5eeff" focus="100%" type="gradient"/>
                      <v:shadow on="t" color="black" opacity="24903f" origin=",.5" offset="0,.55556mm"/>
                      <v:textbox>
                        <w:txbxContent>
                          <w:p w14:paraId="49D066AA" w14:textId="77777777" w:rsidR="004E3164" w:rsidRPr="00F23A68" w:rsidRDefault="004E3164" w:rsidP="00F23A68">
                            <w:pPr>
                              <w:ind w:firstLine="0"/>
                              <w:jc w:val="center"/>
                              <w:rPr>
                                <w:sz w:val="20"/>
                              </w:rPr>
                            </w:pPr>
                            <w:r w:rsidRPr="00F23A68">
                              <w:rPr>
                                <w:sz w:val="20"/>
                              </w:rPr>
                              <w:t xml:space="preserve">ИННС </w:t>
                            </w:r>
                            <w:r w:rsidRPr="00F23A68">
                              <w:rPr>
                                <w:sz w:val="20"/>
                                <w:lang w:val="en-US"/>
                              </w:rPr>
                              <w:t>&gt;</w:t>
                            </w:r>
                            <w:r w:rsidRPr="00F23A68">
                              <w:rPr>
                                <w:sz w:val="20"/>
                              </w:rPr>
                              <w:t xml:space="preserve"> </w:t>
                            </w:r>
                            <w:r w:rsidRPr="00F23A68">
                              <w:rPr>
                                <w:sz w:val="20"/>
                                <w:lang w:val="en-US"/>
                              </w:rPr>
                              <w:t>0</w:t>
                            </w:r>
                          </w:p>
                          <w:p w14:paraId="5AFF58AE" w14:textId="77777777" w:rsidR="004E3164" w:rsidRPr="00F23A68" w:rsidRDefault="004E3164" w:rsidP="00F23A68">
                            <w:pPr>
                              <w:ind w:firstLine="0"/>
                              <w:jc w:val="center"/>
                              <w:rPr>
                                <w:b/>
                                <w:sz w:val="20"/>
                              </w:rPr>
                            </w:pPr>
                            <w:r w:rsidRPr="00F23A68">
                              <w:rPr>
                                <w:sz w:val="20"/>
                              </w:rPr>
                              <w:t>Е</w:t>
                            </w:r>
                            <w:r w:rsidRPr="00F23A68">
                              <w:rPr>
                                <w:sz w:val="20"/>
                                <w:lang w:val="en-US"/>
                              </w:rPr>
                              <w:t>NPV &gt;</w:t>
                            </w:r>
                            <w:r w:rsidRPr="00F23A68">
                              <w:rPr>
                                <w:sz w:val="20"/>
                              </w:rPr>
                              <w:t xml:space="preserve"> </w:t>
                            </w:r>
                            <w:r w:rsidRPr="00F23A68">
                              <w:rPr>
                                <w:sz w:val="20"/>
                                <w:lang w:val="en-US"/>
                              </w:rPr>
                              <w:t>0</w:t>
                            </w:r>
                          </w:p>
                        </w:txbxContent>
                      </v:textbox>
                    </v:roundrect>
                    <v:oval id="Oval 1761" o:spid="_x0000_s1590" style="position:absolute;top:6166;width:14560;height: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" strokecolor="#4f81bd" strokeweight="2pt">
                      <v:textbox>
                        <w:txbxContent>
                          <w:p w14:paraId="5ED1EA03" w14:textId="77777777" w:rsidR="004E3164" w:rsidRPr="00F23A68" w:rsidRDefault="004E3164" w:rsidP="00F23A68">
                            <w:pPr>
                              <w:ind w:firstLine="0"/>
                              <w:jc w:val="center"/>
                              <w:rPr>
                                <w:sz w:val="20"/>
                              </w:rPr>
                            </w:pPr>
                            <w:r w:rsidRPr="00F23A68">
                              <w:rPr>
                                <w:sz w:val="20"/>
                              </w:rPr>
                              <w:t xml:space="preserve">Финансиране от ЕС </w:t>
                            </w:r>
                            <w:r w:rsidRPr="00F23A68">
                              <w:rPr>
                                <w:b/>
                                <w:sz w:val="20"/>
                              </w:rPr>
                              <w:t>не е</w:t>
                            </w:r>
                            <w:r w:rsidRPr="00F23A68">
                              <w:rPr>
                                <w:sz w:val="20"/>
                              </w:rPr>
                              <w:t xml:space="preserve"> обосновано </w:t>
                            </w:r>
                          </w:p>
                        </w:txbxContent>
                      </v:textbox>
                    </v:oval>
                    <v:shape id="Straight Arrow Connector 1769" o:spid="_x0000_s1591" type="#_x0000_t32" style="position:absolute;left:36044;top:5209;width:3073;height:20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" strokecolor="#4a7ebb" strokeweight="1pt">
                      <v:stroke endarrow="block"/>
                    </v:shape>
                    <v:shape id="Straight Arrow Connector 1770" o:spid="_x0000_s1592" type="#_x0000_t32" style="position:absolute;left:21796;top:5209;width:2870;height:18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" strokecolor="#4a7ebb" strokeweight="1pt">
                      <v:stroke endarrow="block"/>
                    </v:shape>
                    <v:shape id="Straight Arrow Connector 1776" o:spid="_x0000_s1593" type="#_x0000_t32" style="position:absolute;left:14885;top:10526;width:23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" strokecolor="#4a7ebb" strokeweight="1pt">
                      <v:stroke endarrow="block"/>
                    </v:shape>
                  </v:group>
                  <v:group id="Group 1780" o:spid="_x0000_s1594" style="position:absolute;left:-1333;width:67361;height:37636" coordorigin="-1333" coordsize="67361,3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">
                    <v:oval id="Oval 1754" o:spid="_x0000_s1595" style="position:absolute;left:19351;top:22434;width:23279;height:5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" strokecolor="#4f81bd" strokeweight="2pt">
                      <v:textbox>
                        <w:txbxContent>
                          <w:p w14:paraId="6DF36EB2" w14:textId="77777777" w:rsidR="004E3164" w:rsidRPr="00F23A68" w:rsidRDefault="004E3164" w:rsidP="00F23A68">
                            <w:pPr>
                              <w:ind w:firstLine="0"/>
                              <w:jc w:val="center"/>
                              <w:rPr>
                                <w:sz w:val="20"/>
                              </w:rPr>
                            </w:pPr>
                            <w:r w:rsidRPr="00F23A68">
                              <w:rPr>
                                <w:sz w:val="20"/>
                              </w:rPr>
                              <w:t xml:space="preserve">Оценка на финансовите и икономически показатели </w:t>
                            </w:r>
                          </w:p>
                        </w:txbxContent>
                      </v:textbox>
                    </v:oval>
                    <v:roundrect id="Rounded Rectangle 1755" o:spid="_x0000_s1596" style="position:absolute;left:17331;top:29024;width:11370;height:63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" fillcolor="#a3c4ff" strokecolor="#4a7ebb">
                      <v:fill color2="#e5eeff" rotate="t" angle="180" colors="0 #a3c4ff;22938f #bfd5ff;1 #e5eeff" focus="100%" type="gradient"/>
                      <v:shadow on="t" color="black" opacity="24903f" origin=",.5" offset="0,.55556mm"/>
                      <v:textbox>
                        <w:txbxContent>
                          <w:p w14:paraId="77E78DE1" w14:textId="77777777" w:rsidR="004E3164" w:rsidRPr="00F23A68" w:rsidRDefault="004E3164" w:rsidP="00F23A68">
                            <w:pPr>
                              <w:ind w:firstLine="0"/>
                              <w:jc w:val="center"/>
                              <w:rPr>
                                <w:sz w:val="20"/>
                              </w:rPr>
                            </w:pPr>
                            <w:r w:rsidRPr="00F23A68">
                              <w:rPr>
                                <w:sz w:val="20"/>
                              </w:rPr>
                              <w:t xml:space="preserve">ФННС </w:t>
                            </w:r>
                            <w:r w:rsidRPr="00F23A68">
                              <w:rPr>
                                <w:sz w:val="20"/>
                                <w:lang w:val="en-US"/>
                              </w:rPr>
                              <w:t>&gt;</w:t>
                            </w:r>
                            <w:r w:rsidRPr="00F23A68">
                              <w:rPr>
                                <w:sz w:val="20"/>
                              </w:rPr>
                              <w:t xml:space="preserve"> 0</w:t>
                            </w:r>
                          </w:p>
                          <w:p w14:paraId="093AE3FB" w14:textId="77777777" w:rsidR="004E3164" w:rsidRPr="00F23A68" w:rsidRDefault="004E3164" w:rsidP="00F23A68">
                            <w:pPr>
                              <w:ind w:firstLine="0"/>
                              <w:jc w:val="center"/>
                              <w:rPr>
                                <w:b/>
                                <w:sz w:val="20"/>
                                <w:lang w:val="en-US"/>
                              </w:rPr>
                            </w:pPr>
                            <w:r w:rsidRPr="00F23A68">
                              <w:rPr>
                                <w:sz w:val="20"/>
                                <w:lang w:val="en-US"/>
                              </w:rPr>
                              <w:t>FNPV(C) &gt; 0</w:t>
                            </w:r>
                          </w:p>
                        </w:txbxContent>
                      </v:textbox>
                    </v:roundrect>
                    <v:roundrect id="Rounded Rectangle 1756" o:spid="_x0000_s1597" style="position:absolute;left:35830;top:29237;width:11820;height:61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" fillcolor="#a3c4ff" strokecolor="#4a7ebb">
                      <v:fill color2="#e5eeff" rotate="t" angle="180" colors="0 #a3c4ff;22938f #bfd5ff;1 #e5eeff" focus="100%" type="gradient"/>
                      <v:shadow on="t" color="black" opacity="24903f" origin=",.5" offset="0,.55556mm"/>
                      <v:textbox>
                        <w:txbxContent>
                          <w:p w14:paraId="0C3CD7C2" w14:textId="77777777" w:rsidR="004E3164" w:rsidRPr="00F23A68" w:rsidRDefault="004E3164" w:rsidP="00F23A68">
                            <w:pPr>
                              <w:ind w:firstLine="0"/>
                              <w:jc w:val="center"/>
                              <w:rPr>
                                <w:sz w:val="20"/>
                              </w:rPr>
                            </w:pPr>
                            <w:r w:rsidRPr="00F23A68">
                              <w:rPr>
                                <w:sz w:val="20"/>
                              </w:rPr>
                              <w:t xml:space="preserve">ФННС </w:t>
                            </w:r>
                            <w:r w:rsidRPr="00F23A68">
                              <w:rPr>
                                <w:sz w:val="20"/>
                                <w:lang w:val="en-US"/>
                              </w:rPr>
                              <w:t>&lt; 0</w:t>
                            </w:r>
                          </w:p>
                          <w:p w14:paraId="152DD903" w14:textId="77777777" w:rsidR="004E3164" w:rsidRPr="00F23A68" w:rsidRDefault="004E3164" w:rsidP="00F23A68">
                            <w:pPr>
                              <w:ind w:firstLine="0"/>
                              <w:jc w:val="center"/>
                              <w:rPr>
                                <w:b/>
                                <w:sz w:val="20"/>
                              </w:rPr>
                            </w:pPr>
                            <w:r w:rsidRPr="00F23A68">
                              <w:rPr>
                                <w:sz w:val="20"/>
                                <w:lang w:val="en-US"/>
                              </w:rPr>
                              <w:t>FNPV(C)  &lt; 0</w:t>
                            </w:r>
                          </w:p>
                        </w:txbxContent>
                      </v:textbox>
                    </v:roundrect>
                    <v:oval id="Oval 1757" o:spid="_x0000_s1598" style="position:absolute;left:-1333;top:28282;width:15087;height: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" strokecolor="#4f81bd" strokeweight="2pt">
                      <v:textbox>
                        <w:txbxContent>
                          <w:p w14:paraId="46D2780B" w14:textId="77777777" w:rsidR="004E3164" w:rsidRPr="00F23A68" w:rsidRDefault="004E3164" w:rsidP="00F23A68">
                            <w:pPr>
                              <w:ind w:firstLine="0"/>
                              <w:jc w:val="center"/>
                              <w:rPr>
                                <w:sz w:val="20"/>
                              </w:rPr>
                            </w:pPr>
                            <w:r w:rsidRPr="00F23A68">
                              <w:rPr>
                                <w:sz w:val="20"/>
                              </w:rPr>
                              <w:t xml:space="preserve">Проектът </w:t>
                            </w:r>
                          </w:p>
                          <w:p w14:paraId="13540AE0" w14:textId="77777777" w:rsidR="004E3164" w:rsidRPr="00F23A68" w:rsidRDefault="004E3164" w:rsidP="00F23A68">
                            <w:pPr>
                              <w:ind w:firstLine="0"/>
                              <w:jc w:val="center"/>
                              <w:rPr>
                                <w:sz w:val="20"/>
                              </w:rPr>
                            </w:pPr>
                            <w:r w:rsidRPr="00F23A68">
                              <w:rPr>
                                <w:b/>
                                <w:sz w:val="20"/>
                              </w:rPr>
                              <w:t xml:space="preserve">не се </w:t>
                            </w:r>
                            <w:r w:rsidRPr="00F23A68">
                              <w:rPr>
                                <w:sz w:val="20"/>
                              </w:rPr>
                              <w:t xml:space="preserve">нуждае от финансиране </w:t>
                            </w:r>
                          </w:p>
                        </w:txbxContent>
                      </v:textbox>
                    </v:oval>
                    <v:shape id="Straight Arrow Connector 1771" o:spid="_x0000_s1599" type="#_x0000_t32" style="position:absolute;left:28495;top:28282;width:2870;height:18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" strokecolor="#4a7ebb" strokeweight="1pt">
                      <v:stroke endarrow="block"/>
                    </v:shape>
                    <v:shape id="Straight Arrow Connector 1772" o:spid="_x0000_s1600" type="#_x0000_t32" style="position:absolute;left:32429;top:28282;width:2654;height:2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" strokecolor="#4a7ebb" strokeweight="1pt">
                      <v:stroke endarrow="block"/>
                    </v:shape>
                    <v:shape id="Straight Arrow Connector 1773" o:spid="_x0000_s1601" type="#_x0000_t32" style="position:absolute;left:36788;top:35831;width:2870;height:18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" strokecolor="#4a7ebb" strokeweight="1pt">
                      <v:stroke endarrow="block"/>
                    </v:shape>
                    <v:shape id="Straight Arrow Connector 1775" o:spid="_x0000_s1602" type="#_x0000_t32" style="position:absolute;left:13996;top:32429;width:23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" strokecolor="#4a7ebb" strokeweight="1pt">
                      <v:stroke endarrow="block"/>
                    </v:shape>
                    <v:group id="Group 1779" o:spid="_x0000_s1603" style="position:absolute;left:12971;width:53057;height:23600" coordsize="53056,2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">
                      <v:roundrect id="Rounded Rectangle 1715" o:spid="_x0000_s1604" style="position:absolute;left:5954;width:24238;height:49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" fillcolor="#a3c4ff" strokecolor="#4a7ebb">
                        <v:fill color2="#e5eeff" rotate="t" angle="180" colors="0 #a3c4ff;22938f #bfd5ff;1 #e5eeff" focus="100%" type="gradient"/>
                        <v:shadow on="t" color="black" opacity="24903f" origin=",.5" offset="0,.55556mm"/>
                        <v:textbox>
                          <w:txbxContent>
                            <w:p w14:paraId="0988B2D1" w14:textId="77777777" w:rsidR="004E3164" w:rsidRPr="00F23A68" w:rsidRDefault="004E3164" w:rsidP="00F23A68">
                              <w:pPr>
                                <w:ind w:firstLine="0"/>
                                <w:jc w:val="center"/>
                                <w:rPr>
                                  <w:sz w:val="20"/>
                                </w:rPr>
                              </w:pPr>
                              <w:r w:rsidRPr="00F23A68">
                                <w:rPr>
                                  <w:sz w:val="20"/>
                                </w:rPr>
                                <w:t>АРП резултати</w:t>
                              </w:r>
                            </w:p>
                          </w:txbxContent>
                        </v:textbox>
                      </v:roundrect>
                      <v:oval id="Oval 1750" o:spid="_x0000_s1605" style="position:absolute;left:6379;top:7761;width:23279;height:5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" strokecolor="#4f81bd" strokeweight="2pt">
                        <v:textbox>
                          <w:txbxContent>
                            <w:p w14:paraId="38A15393" w14:textId="77777777" w:rsidR="004E3164" w:rsidRPr="00F23A68" w:rsidRDefault="004E3164" w:rsidP="00F23A68">
                              <w:pPr>
                                <w:ind w:firstLine="0"/>
                                <w:jc w:val="center"/>
                                <w:rPr>
                                  <w:sz w:val="20"/>
                                </w:rPr>
                              </w:pPr>
                              <w:r w:rsidRPr="00F23A68">
                                <w:rPr>
                                  <w:sz w:val="20"/>
                                </w:rPr>
                                <w:t>Проверка за пълнота  и завършеност на АРП</w:t>
                              </w:r>
                            </w:p>
                          </w:txbxContent>
                        </v:textbox>
                      </v:oval>
                      <v:roundrect id="Rounded Rectangle 1751" o:spid="_x0000_s1606" style="position:absolute;top:14247;width:15532;height:7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" fillcolor="#a3c4ff" strokecolor="#4a7ebb">
                        <v:fill color2="#e5eeff" rotate="t" angle="180" colors="0 #a3c4ff;22938f #bfd5ff;1 #e5eeff" focus="100%" type="gradient"/>
                        <v:shadow on="t" color="black" opacity="24903f" origin=",.5" offset="0,.55556mm"/>
                        <v:textbox>
                          <w:txbxContent>
                            <w:p w14:paraId="1F8F616D" w14:textId="77777777" w:rsidR="004E3164" w:rsidRPr="00F23A68" w:rsidRDefault="004E3164" w:rsidP="00F23A68">
                              <w:pPr>
                                <w:ind w:firstLine="0"/>
                                <w:jc w:val="center"/>
                                <w:rPr>
                                  <w:sz w:val="20"/>
                                </w:rPr>
                              </w:pPr>
                              <w:r w:rsidRPr="00F23A68">
                                <w:rPr>
                                  <w:sz w:val="20"/>
                                </w:rPr>
                                <w:t>Методологията е спазена</w:t>
                              </w:r>
                            </w:p>
                            <w:p w14:paraId="5A995043" w14:textId="77777777" w:rsidR="004E3164" w:rsidRPr="00F23A68" w:rsidRDefault="004E3164" w:rsidP="00F23A68">
                              <w:pPr>
                                <w:ind w:firstLine="0"/>
                                <w:jc w:val="center"/>
                                <w:rPr>
                                  <w:b/>
                                  <w:sz w:val="20"/>
                                </w:rPr>
                              </w:pPr>
                              <w:r w:rsidRPr="00F23A68">
                                <w:rPr>
                                  <w:sz w:val="20"/>
                                </w:rPr>
                                <w:t xml:space="preserve"> </w:t>
                              </w:r>
                              <w:r w:rsidRPr="00F23A68">
                                <w:rPr>
                                  <w:b/>
                                  <w:sz w:val="20"/>
                                </w:rPr>
                                <w:t>Резултатите от АРП са достоверни</w:t>
                              </w:r>
                            </w:p>
                          </w:txbxContent>
                        </v:textbox>
                      </v:roundrect>
                      <v:roundrect id="Rounded Rectangle 1752" o:spid="_x0000_s1607" style="position:absolute;left:18392;top:14246;width:17113;height:72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" fillcolor="#a3c4ff" strokecolor="#4a7ebb">
                        <v:fill color2="#e5eeff" rotate="t" angle="180" colors="0 #a3c4ff;22938f #bfd5ff;1 #e5eeff" focus="100%" type="gradient"/>
                        <v:shadow on="t" color="black" opacity="24903f" origin=",.5" offset="0,.55556mm"/>
                        <v:textbox>
                          <w:txbxContent>
                            <w:p w14:paraId="5D7DD9EC" w14:textId="77777777" w:rsidR="004E3164" w:rsidRPr="00F23A68" w:rsidRDefault="004E3164" w:rsidP="00F23A68">
                              <w:pPr>
                                <w:ind w:firstLine="0"/>
                                <w:jc w:val="center"/>
                                <w:rPr>
                                  <w:sz w:val="20"/>
                                </w:rPr>
                              </w:pPr>
                              <w:r w:rsidRPr="00F23A68">
                                <w:rPr>
                                  <w:sz w:val="20"/>
                                </w:rPr>
                                <w:t>Методологията не е спазена в някои точки</w:t>
                              </w:r>
                            </w:p>
                            <w:p w14:paraId="401E0D8C" w14:textId="77777777" w:rsidR="004E3164" w:rsidRPr="00F23A68" w:rsidRDefault="004E3164" w:rsidP="00F23A68">
                              <w:pPr>
                                <w:ind w:firstLine="0"/>
                                <w:jc w:val="center"/>
                                <w:rPr>
                                  <w:b/>
                                  <w:sz w:val="20"/>
                                </w:rPr>
                              </w:pPr>
                              <w:r w:rsidRPr="00F23A68">
                                <w:rPr>
                                  <w:sz w:val="20"/>
                                </w:rPr>
                                <w:t xml:space="preserve"> </w:t>
                              </w:r>
                              <w:r w:rsidRPr="00F23A68">
                                <w:rPr>
                                  <w:b/>
                                  <w:sz w:val="20"/>
                                </w:rPr>
                                <w:t>Резултатите от АРП не са достоверни</w:t>
                              </w:r>
                            </w:p>
                          </w:txbxContent>
                        </v:textbox>
                      </v:roundrect>
                      <v:roundrect id="Rounded Rectangle 1753" o:spid="_x0000_s1608" style="position:absolute;left:38064;top:14353;width:14992;height:7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" fillcolor="#a3c4ff" strokecolor="#4a7ebb">
                        <v:fill color2="#e5eeff" rotate="t" angle="180" colors="0 #a3c4ff;22938f #bfd5ff;1 #e5eeff" focus="100%" type="gradient"/>
                        <v:shadow on="t" color="black" opacity="24903f" origin=",.5" offset="0,.55556mm"/>
                        <v:textbox>
                          <w:txbxContent>
                            <w:p w14:paraId="36F553DF" w14:textId="77777777" w:rsidR="004E3164" w:rsidRPr="00F23A68" w:rsidRDefault="004E3164" w:rsidP="00F23A68">
                              <w:pPr>
                                <w:ind w:firstLine="0"/>
                                <w:jc w:val="center"/>
                                <w:rPr>
                                  <w:b/>
                                  <w:sz w:val="20"/>
                                </w:rPr>
                              </w:pPr>
                              <w:r w:rsidRPr="00F23A68">
                                <w:rPr>
                                  <w:sz w:val="20"/>
                                </w:rPr>
                                <w:t>Нужда от проверка на предпоставките и пълнотата на АРП</w:t>
                              </w:r>
                            </w:p>
                          </w:txbxContent>
                        </v:textbox>
                      </v:roundrect>
                      <v:shape id="Straight Arrow Connector 1764" o:spid="_x0000_s1609" type="#_x0000_t32" style="position:absolute;left:18075;top:4997;width:0;height:2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" strokecolor="#4a7ebb" strokeweight="1pt">
                        <v:stroke endarrow="block"/>
                      </v:shape>
                      <v:shape id="Straight Arrow Connector 1766" o:spid="_x0000_s1610" type="#_x0000_t32" style="position:absolute;left:26049;top:12227;width:2658;height:2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" strokecolor="#4a7ebb" strokeweight="1pt">
                        <v:stroke endarrow="block"/>
                      </v:shape>
                      <v:shape id="Straight Arrow Connector 1767" o:spid="_x0000_s1611" type="#_x0000_t32" style="position:absolute;left:7123;top:12546;width:2871;height:18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" strokecolor="#4a7ebb" strokeweight="1pt">
                        <v:stroke endarrow="block"/>
                      </v:shape>
                      <v:shape id="Straight Arrow Connector 1768" o:spid="_x0000_s1612" type="#_x0000_t32" style="position:absolute;left:5954;top:21584;width:2652;height:20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" strokecolor="#4a7ebb" strokeweight="1pt">
                        <v:stroke endarrow="block"/>
                      </v:shape>
                      <v:shape id="Elbow Connector 1777" o:spid="_x0000_s1613" type="#_x0000_t34" style="position:absolute;left:30196;top:1488;width:15528;height:12759;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" adj="-146" strokecolor="#4a7ebb" strokeweight="1pt">
                        <v:stroke endarrow="block"/>
                      </v:shape>
                      <v:shape id="Straight Arrow Connector 1778" o:spid="_x0000_s1614" type="#_x0000_t32" style="position:absolute;left:35725;top:17862;width:23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" strokecolor="#4a7ebb" strokeweight="1pt">
                        <v:stroke startarrow="block"/>
                      </v:shape>
                    </v:group>
                  </v:group>
                </v:group>
                <w10:anchorlock/>
              </v:group>
            </w:pict>
          </mc:Fallback>
        </mc:AlternateContent>
      </w:r>
    </w:p>
    <w:p w14:paraId="4C723ADC" w14:textId="77777777" w:rsidR="00DA3753" w:rsidRPr="001B0EA3" w:rsidRDefault="00DA3753" w:rsidP="0019114B">
      <w:pPr>
        <w:pStyle w:val="ListParagraph"/>
        <w:ind w:left="0"/>
        <w:rPr>
          <w:szCs w:val="24"/>
          <w:lang w:eastAsia="bg-BG"/>
        </w:rPr>
      </w:pPr>
    </w:p>
    <w:p w14:paraId="5548EB2E" w14:textId="77777777" w:rsidR="00D603F5" w:rsidRPr="001B0EA3" w:rsidRDefault="00D603F5" w:rsidP="0019114B">
      <w:pPr>
        <w:pStyle w:val="ListParagraph"/>
        <w:ind w:left="0"/>
        <w:rPr>
          <w:szCs w:val="24"/>
          <w:lang w:eastAsia="bg-BG"/>
        </w:rPr>
      </w:pPr>
    </w:p>
    <w:p w14:paraId="697314B5" w14:textId="77777777" w:rsidR="00D603F5" w:rsidRPr="001B0EA3" w:rsidRDefault="00D603F5" w:rsidP="00046D61">
      <w:pPr>
        <w:ind w:left="720"/>
        <w:contextualSpacing/>
        <w:rPr>
          <w:szCs w:val="24"/>
          <w:lang w:eastAsia="bg-BG"/>
        </w:rPr>
      </w:pPr>
      <w:r w:rsidRPr="001B0EA3">
        <w:rPr>
          <w:szCs w:val="24"/>
          <w:lang w:eastAsia="bg-BG"/>
        </w:rPr>
        <w:t xml:space="preserve">Стандартно АРП е структуриран в седем стъпки: </w:t>
      </w:r>
    </w:p>
    <w:p w14:paraId="7EEE4B27" w14:textId="77777777" w:rsidR="00D603F5" w:rsidRPr="001B0EA3" w:rsidRDefault="00D603F5" w:rsidP="00046D61">
      <w:pPr>
        <w:pStyle w:val="ListParagraph"/>
        <w:numPr>
          <w:ilvl w:val="0"/>
          <w:numId w:val="154"/>
        </w:numPr>
        <w:rPr>
          <w:szCs w:val="24"/>
          <w:lang w:eastAsia="bg-BG"/>
        </w:rPr>
      </w:pPr>
      <w:r w:rsidRPr="001B0EA3">
        <w:rPr>
          <w:szCs w:val="24"/>
          <w:lang w:eastAsia="bg-BG"/>
        </w:rPr>
        <w:t>Описание на предпоставките;</w:t>
      </w:r>
    </w:p>
    <w:p w14:paraId="16C60A7C" w14:textId="77777777" w:rsidR="00D603F5" w:rsidRPr="001B0EA3" w:rsidRDefault="00D603F5" w:rsidP="00046D61">
      <w:pPr>
        <w:pStyle w:val="ListParagraph"/>
        <w:numPr>
          <w:ilvl w:val="0"/>
          <w:numId w:val="154"/>
        </w:numPr>
        <w:rPr>
          <w:szCs w:val="24"/>
          <w:lang w:eastAsia="bg-BG"/>
        </w:rPr>
      </w:pPr>
      <w:r w:rsidRPr="001B0EA3">
        <w:rPr>
          <w:szCs w:val="24"/>
          <w:lang w:eastAsia="bg-BG"/>
        </w:rPr>
        <w:t>Дефиниране на целите;</w:t>
      </w:r>
    </w:p>
    <w:p w14:paraId="468CFF81" w14:textId="77777777" w:rsidR="00D603F5" w:rsidRPr="001B0EA3" w:rsidRDefault="00D603F5" w:rsidP="00046D61">
      <w:pPr>
        <w:pStyle w:val="ListParagraph"/>
        <w:numPr>
          <w:ilvl w:val="0"/>
          <w:numId w:val="154"/>
        </w:numPr>
        <w:rPr>
          <w:szCs w:val="24"/>
          <w:lang w:eastAsia="bg-BG"/>
        </w:rPr>
      </w:pPr>
      <w:r w:rsidRPr="001B0EA3">
        <w:rPr>
          <w:szCs w:val="24"/>
          <w:lang w:eastAsia="bg-BG"/>
        </w:rPr>
        <w:t>Идентификация на проекта;</w:t>
      </w:r>
    </w:p>
    <w:p w14:paraId="2A32C424" w14:textId="77777777" w:rsidR="00D603F5" w:rsidRPr="001B0EA3" w:rsidRDefault="00D603F5" w:rsidP="00046D61">
      <w:pPr>
        <w:pStyle w:val="ListParagraph"/>
        <w:numPr>
          <w:ilvl w:val="0"/>
          <w:numId w:val="154"/>
        </w:numPr>
        <w:rPr>
          <w:szCs w:val="24"/>
          <w:lang w:eastAsia="bg-BG"/>
        </w:rPr>
      </w:pPr>
      <w:r w:rsidRPr="001B0EA3">
        <w:rPr>
          <w:szCs w:val="24"/>
          <w:lang w:eastAsia="bg-BG"/>
        </w:rPr>
        <w:t>Технически проучвания и екологична устойчивост;</w:t>
      </w:r>
    </w:p>
    <w:p w14:paraId="789B6F78" w14:textId="77777777" w:rsidR="00D603F5" w:rsidRPr="001B0EA3" w:rsidRDefault="00D603F5" w:rsidP="00046D61">
      <w:pPr>
        <w:pStyle w:val="ListParagraph"/>
        <w:numPr>
          <w:ilvl w:val="0"/>
          <w:numId w:val="154"/>
        </w:numPr>
        <w:rPr>
          <w:szCs w:val="24"/>
          <w:lang w:eastAsia="bg-BG"/>
        </w:rPr>
      </w:pPr>
      <w:r w:rsidRPr="001B0EA3">
        <w:rPr>
          <w:szCs w:val="24"/>
          <w:lang w:eastAsia="bg-BG"/>
        </w:rPr>
        <w:t>Финансов анализ;</w:t>
      </w:r>
    </w:p>
    <w:p w14:paraId="7E1038FD" w14:textId="77777777" w:rsidR="00D603F5" w:rsidRPr="001B0EA3" w:rsidRDefault="00D603F5" w:rsidP="00046D61">
      <w:pPr>
        <w:pStyle w:val="ListParagraph"/>
        <w:numPr>
          <w:ilvl w:val="0"/>
          <w:numId w:val="154"/>
        </w:numPr>
        <w:rPr>
          <w:szCs w:val="24"/>
          <w:lang w:eastAsia="bg-BG"/>
        </w:rPr>
      </w:pPr>
      <w:r w:rsidRPr="001B0EA3">
        <w:rPr>
          <w:szCs w:val="24"/>
          <w:lang w:eastAsia="bg-BG"/>
        </w:rPr>
        <w:t>Икономически анализ;</w:t>
      </w:r>
    </w:p>
    <w:p w14:paraId="4F673F6A" w14:textId="77777777" w:rsidR="00D603F5" w:rsidRPr="001B0EA3" w:rsidRDefault="00D603F5" w:rsidP="00046D61">
      <w:pPr>
        <w:pStyle w:val="ListParagraph"/>
        <w:numPr>
          <w:ilvl w:val="0"/>
          <w:numId w:val="154"/>
        </w:numPr>
        <w:rPr>
          <w:szCs w:val="24"/>
          <w:lang w:eastAsia="bg-BG"/>
        </w:rPr>
      </w:pPr>
      <w:r w:rsidRPr="001B0EA3">
        <w:rPr>
          <w:szCs w:val="24"/>
          <w:lang w:eastAsia="bg-BG"/>
        </w:rPr>
        <w:t xml:space="preserve">Оценка на риска; </w:t>
      </w:r>
    </w:p>
    <w:p w14:paraId="46F8A8F0" w14:textId="77777777" w:rsidR="00D603F5" w:rsidRPr="001B0EA3" w:rsidRDefault="00D603F5" w:rsidP="00F068A3">
      <w:pPr>
        <w:rPr>
          <w:szCs w:val="24"/>
        </w:rPr>
      </w:pPr>
    </w:p>
    <w:p w14:paraId="4C75DA73" w14:textId="77777777" w:rsidR="00D603F5" w:rsidRPr="001B0EA3" w:rsidRDefault="00D603F5" w:rsidP="00F068A3">
      <w:pPr>
        <w:jc w:val="left"/>
        <w:rPr>
          <w:szCs w:val="24"/>
        </w:rPr>
      </w:pPr>
      <w:r w:rsidRPr="001B0EA3">
        <w:rPr>
          <w:szCs w:val="24"/>
        </w:rPr>
        <w:t>Референтните периоди, за които се изготвя финансовия анализ, съгласно  Приложение № І на Делегиран регламент (ЕС) № 480/2014 г. са както следва</w:t>
      </w:r>
    </w:p>
    <w:p w14:paraId="604A50C2" w14:textId="77777777" w:rsidR="00D603F5" w:rsidRPr="001B0EA3" w:rsidRDefault="00D603F5" w:rsidP="00F068A3">
      <w:pPr>
        <w:pStyle w:val="ListParagraph"/>
        <w:ind w:left="1440"/>
      </w:pPr>
    </w:p>
    <w:p w14:paraId="1E08FA4B" w14:textId="77777777" w:rsidR="00D603F5" w:rsidRPr="001B0EA3" w:rsidRDefault="00D603F5" w:rsidP="00F068A3">
      <w:pPr>
        <w:pStyle w:val="ListParagraph"/>
        <w:ind w:left="1440"/>
      </w:pPr>
    </w:p>
    <w:tbl>
      <w:tblPr>
        <w:tblW w:w="0" w:type="auto"/>
        <w:jc w:val="center"/>
        <w:tblLook w:val="04A0" w:firstRow="1" w:lastRow="0" w:firstColumn="1" w:lastColumn="0" w:noHBand="0" w:noVBand="1"/>
      </w:tblPr>
      <w:tblGrid>
        <w:gridCol w:w="3569"/>
        <w:gridCol w:w="3569"/>
      </w:tblGrid>
      <w:tr w:rsidR="00D603F5" w:rsidRPr="001B0EA3" w14:paraId="5AD82CDD" w14:textId="77777777" w:rsidTr="005804C3">
        <w:trPr>
          <w:trHeight w:val="263"/>
          <w:jc w:val="center"/>
        </w:trPr>
        <w:tc>
          <w:tcPr>
            <w:tcW w:w="3569" w:type="dxa"/>
            <w:tcBorders>
              <w:top w:val="nil"/>
              <w:left w:val="nil"/>
              <w:bottom w:val="single" w:sz="4" w:space="0" w:color="7F7F7F"/>
              <w:right w:val="nil"/>
            </w:tcBorders>
            <w:hideMark/>
          </w:tcPr>
          <w:p w14:paraId="5976E497" w14:textId="77777777" w:rsidR="00D603F5" w:rsidRPr="001B0EA3" w:rsidRDefault="00D603F5" w:rsidP="00F70D13">
            <w:pPr>
              <w:ind w:firstLine="0"/>
              <w:jc w:val="center"/>
              <w:rPr>
                <w:b/>
                <w:bCs/>
                <w:caps/>
                <w:sz w:val="22"/>
                <w:szCs w:val="22"/>
                <w:lang w:eastAsia="en-US"/>
              </w:rPr>
            </w:pPr>
            <w:r w:rsidRPr="001B0EA3">
              <w:rPr>
                <w:b/>
                <w:bCs/>
                <w:caps/>
                <w:sz w:val="22"/>
                <w:szCs w:val="22"/>
              </w:rPr>
              <w:lastRenderedPageBreak/>
              <w:t>сектор</w:t>
            </w:r>
          </w:p>
        </w:tc>
        <w:tc>
          <w:tcPr>
            <w:tcW w:w="3569" w:type="dxa"/>
            <w:tcBorders>
              <w:top w:val="nil"/>
              <w:left w:val="nil"/>
              <w:bottom w:val="single" w:sz="4" w:space="0" w:color="7F7F7F"/>
              <w:right w:val="nil"/>
            </w:tcBorders>
            <w:hideMark/>
          </w:tcPr>
          <w:p w14:paraId="412C4A6D" w14:textId="77777777" w:rsidR="00D603F5" w:rsidRPr="001B0EA3" w:rsidRDefault="00D603F5" w:rsidP="00F70D13">
            <w:pPr>
              <w:ind w:firstLine="0"/>
              <w:jc w:val="center"/>
              <w:rPr>
                <w:b/>
                <w:bCs/>
                <w:caps/>
                <w:sz w:val="22"/>
                <w:szCs w:val="22"/>
              </w:rPr>
            </w:pPr>
            <w:r w:rsidRPr="001B0EA3">
              <w:rPr>
                <w:b/>
                <w:bCs/>
                <w:caps/>
                <w:sz w:val="22"/>
                <w:szCs w:val="22"/>
              </w:rPr>
              <w:t>референтен период</w:t>
            </w:r>
          </w:p>
          <w:p w14:paraId="5B2FFBB5" w14:textId="77777777" w:rsidR="00D603F5" w:rsidRPr="001B0EA3" w:rsidRDefault="00D603F5" w:rsidP="00F70D13">
            <w:pPr>
              <w:ind w:firstLine="0"/>
              <w:jc w:val="center"/>
              <w:rPr>
                <w:b/>
                <w:bCs/>
                <w:caps/>
                <w:sz w:val="22"/>
                <w:szCs w:val="22"/>
                <w:lang w:eastAsia="en-US"/>
              </w:rPr>
            </w:pPr>
            <w:r w:rsidRPr="001B0EA3">
              <w:rPr>
                <w:bCs/>
                <w:sz w:val="22"/>
                <w:szCs w:val="22"/>
              </w:rPr>
              <w:t>(в години)</w:t>
            </w:r>
          </w:p>
        </w:tc>
      </w:tr>
      <w:tr w:rsidR="00D603F5" w:rsidRPr="001B0EA3" w14:paraId="4D62A220" w14:textId="77777777" w:rsidTr="005804C3">
        <w:trPr>
          <w:trHeight w:val="263"/>
          <w:jc w:val="center"/>
        </w:trPr>
        <w:tc>
          <w:tcPr>
            <w:tcW w:w="3569" w:type="dxa"/>
            <w:tcBorders>
              <w:top w:val="nil"/>
              <w:left w:val="nil"/>
              <w:bottom w:val="nil"/>
              <w:right w:val="single" w:sz="4" w:space="0" w:color="7F7F7F"/>
            </w:tcBorders>
            <w:shd w:val="clear" w:color="auto" w:fill="F2F2F2"/>
            <w:hideMark/>
          </w:tcPr>
          <w:p w14:paraId="323DF985" w14:textId="77777777" w:rsidR="00D603F5" w:rsidRPr="001B0EA3" w:rsidRDefault="00D603F5" w:rsidP="00F70D13">
            <w:pPr>
              <w:ind w:firstLine="0"/>
              <w:jc w:val="left"/>
              <w:rPr>
                <w:b/>
                <w:bCs/>
                <w:caps/>
                <w:sz w:val="22"/>
                <w:szCs w:val="22"/>
                <w:lang w:eastAsia="en-US"/>
              </w:rPr>
            </w:pPr>
            <w:r w:rsidRPr="001B0EA3">
              <w:rPr>
                <w:b/>
                <w:bCs/>
                <w:caps/>
                <w:sz w:val="22"/>
                <w:szCs w:val="22"/>
              </w:rPr>
              <w:t>железопътен трнаспорт</w:t>
            </w:r>
          </w:p>
        </w:tc>
        <w:tc>
          <w:tcPr>
            <w:tcW w:w="3569" w:type="dxa"/>
            <w:shd w:val="clear" w:color="auto" w:fill="F2F2F2"/>
            <w:hideMark/>
          </w:tcPr>
          <w:p w14:paraId="0E9A37FD" w14:textId="77777777" w:rsidR="00D603F5" w:rsidRPr="001B0EA3" w:rsidRDefault="00D603F5" w:rsidP="00F70D13">
            <w:pPr>
              <w:ind w:firstLine="0"/>
              <w:jc w:val="center"/>
              <w:rPr>
                <w:sz w:val="22"/>
                <w:szCs w:val="22"/>
                <w:lang w:eastAsia="en-US"/>
              </w:rPr>
            </w:pPr>
            <w:r w:rsidRPr="001B0EA3">
              <w:rPr>
                <w:sz w:val="22"/>
                <w:szCs w:val="22"/>
              </w:rPr>
              <w:t>30</w:t>
            </w:r>
          </w:p>
        </w:tc>
      </w:tr>
      <w:tr w:rsidR="00D603F5" w:rsidRPr="001B0EA3" w14:paraId="4A8147E5" w14:textId="77777777" w:rsidTr="005804C3">
        <w:trPr>
          <w:trHeight w:val="263"/>
          <w:jc w:val="center"/>
        </w:trPr>
        <w:tc>
          <w:tcPr>
            <w:tcW w:w="3569" w:type="dxa"/>
            <w:tcBorders>
              <w:top w:val="nil"/>
              <w:left w:val="nil"/>
              <w:bottom w:val="nil"/>
              <w:right w:val="single" w:sz="4" w:space="0" w:color="7F7F7F"/>
            </w:tcBorders>
            <w:hideMark/>
          </w:tcPr>
          <w:p w14:paraId="5BF28ED3" w14:textId="77777777" w:rsidR="00D603F5" w:rsidRPr="001B0EA3" w:rsidRDefault="00D603F5" w:rsidP="00F70D13">
            <w:pPr>
              <w:ind w:firstLine="0"/>
              <w:jc w:val="left"/>
              <w:rPr>
                <w:b/>
                <w:bCs/>
                <w:caps/>
                <w:sz w:val="22"/>
                <w:szCs w:val="22"/>
                <w:lang w:eastAsia="en-US"/>
              </w:rPr>
            </w:pPr>
            <w:r w:rsidRPr="001B0EA3">
              <w:rPr>
                <w:b/>
                <w:bCs/>
                <w:caps/>
                <w:sz w:val="22"/>
                <w:szCs w:val="22"/>
              </w:rPr>
              <w:t>пътища</w:t>
            </w:r>
          </w:p>
        </w:tc>
        <w:tc>
          <w:tcPr>
            <w:tcW w:w="3569" w:type="dxa"/>
            <w:hideMark/>
          </w:tcPr>
          <w:p w14:paraId="035E0F65" w14:textId="77777777" w:rsidR="00D603F5" w:rsidRPr="001B0EA3" w:rsidRDefault="00D603F5" w:rsidP="00F70D13">
            <w:pPr>
              <w:ind w:firstLine="0"/>
              <w:jc w:val="center"/>
              <w:rPr>
                <w:sz w:val="22"/>
                <w:szCs w:val="22"/>
                <w:lang w:eastAsia="en-US"/>
              </w:rPr>
            </w:pPr>
            <w:r w:rsidRPr="001B0EA3">
              <w:rPr>
                <w:sz w:val="22"/>
                <w:szCs w:val="22"/>
              </w:rPr>
              <w:t>25-30</w:t>
            </w:r>
          </w:p>
        </w:tc>
      </w:tr>
      <w:tr w:rsidR="00D603F5" w:rsidRPr="001B0EA3" w14:paraId="663CEDFE" w14:textId="77777777" w:rsidTr="005804C3">
        <w:trPr>
          <w:trHeight w:val="263"/>
          <w:jc w:val="center"/>
        </w:trPr>
        <w:tc>
          <w:tcPr>
            <w:tcW w:w="3569" w:type="dxa"/>
            <w:tcBorders>
              <w:top w:val="nil"/>
              <w:left w:val="nil"/>
              <w:bottom w:val="nil"/>
              <w:right w:val="single" w:sz="4" w:space="0" w:color="7F7F7F"/>
            </w:tcBorders>
            <w:shd w:val="clear" w:color="auto" w:fill="F2F2F2"/>
            <w:hideMark/>
          </w:tcPr>
          <w:p w14:paraId="5CAFEA7D" w14:textId="77777777" w:rsidR="00D603F5" w:rsidRPr="001B0EA3" w:rsidRDefault="00D603F5" w:rsidP="00F70D13">
            <w:pPr>
              <w:ind w:firstLine="0"/>
              <w:jc w:val="left"/>
              <w:rPr>
                <w:b/>
                <w:bCs/>
                <w:caps/>
                <w:sz w:val="22"/>
                <w:szCs w:val="22"/>
                <w:lang w:eastAsia="en-US"/>
              </w:rPr>
            </w:pPr>
            <w:r w:rsidRPr="001B0EA3">
              <w:rPr>
                <w:b/>
                <w:bCs/>
                <w:caps/>
                <w:sz w:val="22"/>
                <w:szCs w:val="22"/>
              </w:rPr>
              <w:t>пристанища и летища</w:t>
            </w:r>
          </w:p>
        </w:tc>
        <w:tc>
          <w:tcPr>
            <w:tcW w:w="3569" w:type="dxa"/>
            <w:shd w:val="clear" w:color="auto" w:fill="F2F2F2"/>
            <w:hideMark/>
          </w:tcPr>
          <w:p w14:paraId="63C3B67E" w14:textId="77777777" w:rsidR="00D603F5" w:rsidRPr="001B0EA3" w:rsidRDefault="00D603F5" w:rsidP="00F70D13">
            <w:pPr>
              <w:ind w:firstLine="0"/>
              <w:jc w:val="center"/>
              <w:rPr>
                <w:sz w:val="22"/>
                <w:szCs w:val="22"/>
                <w:lang w:eastAsia="en-US"/>
              </w:rPr>
            </w:pPr>
            <w:r w:rsidRPr="001B0EA3">
              <w:rPr>
                <w:sz w:val="22"/>
                <w:szCs w:val="22"/>
              </w:rPr>
              <w:t>25</w:t>
            </w:r>
          </w:p>
        </w:tc>
      </w:tr>
      <w:tr w:rsidR="00D603F5" w:rsidRPr="001B0EA3" w14:paraId="18DC5AD2" w14:textId="77777777" w:rsidTr="005804C3">
        <w:trPr>
          <w:trHeight w:val="263"/>
          <w:jc w:val="center"/>
        </w:trPr>
        <w:tc>
          <w:tcPr>
            <w:tcW w:w="3569" w:type="dxa"/>
            <w:tcBorders>
              <w:top w:val="nil"/>
              <w:left w:val="nil"/>
              <w:bottom w:val="nil"/>
              <w:right w:val="single" w:sz="4" w:space="0" w:color="7F7F7F"/>
            </w:tcBorders>
            <w:hideMark/>
          </w:tcPr>
          <w:p w14:paraId="4A830A88" w14:textId="77777777" w:rsidR="00D603F5" w:rsidRPr="001B0EA3" w:rsidRDefault="00D603F5" w:rsidP="00F70D13">
            <w:pPr>
              <w:ind w:firstLine="0"/>
              <w:jc w:val="left"/>
              <w:rPr>
                <w:b/>
                <w:bCs/>
                <w:caps/>
                <w:sz w:val="22"/>
                <w:szCs w:val="22"/>
                <w:lang w:eastAsia="en-US"/>
              </w:rPr>
            </w:pPr>
            <w:r w:rsidRPr="001B0EA3">
              <w:rPr>
                <w:b/>
                <w:bCs/>
                <w:caps/>
                <w:sz w:val="22"/>
                <w:szCs w:val="22"/>
              </w:rPr>
              <w:t>градски транспорт</w:t>
            </w:r>
          </w:p>
        </w:tc>
        <w:tc>
          <w:tcPr>
            <w:tcW w:w="3569" w:type="dxa"/>
            <w:hideMark/>
          </w:tcPr>
          <w:p w14:paraId="2037D468" w14:textId="77777777" w:rsidR="00D603F5" w:rsidRPr="001B0EA3" w:rsidRDefault="00D603F5" w:rsidP="00F70D13">
            <w:pPr>
              <w:ind w:firstLine="0"/>
              <w:jc w:val="center"/>
              <w:rPr>
                <w:sz w:val="22"/>
                <w:szCs w:val="22"/>
                <w:lang w:eastAsia="en-US"/>
              </w:rPr>
            </w:pPr>
            <w:r w:rsidRPr="001B0EA3">
              <w:rPr>
                <w:sz w:val="22"/>
                <w:szCs w:val="22"/>
              </w:rPr>
              <w:t>25-30</w:t>
            </w:r>
          </w:p>
        </w:tc>
      </w:tr>
      <w:tr w:rsidR="00D603F5" w:rsidRPr="001B0EA3" w14:paraId="09310298" w14:textId="77777777" w:rsidTr="005804C3">
        <w:trPr>
          <w:trHeight w:val="263"/>
          <w:jc w:val="center"/>
        </w:trPr>
        <w:tc>
          <w:tcPr>
            <w:tcW w:w="3569" w:type="dxa"/>
            <w:tcBorders>
              <w:top w:val="nil"/>
              <w:left w:val="nil"/>
              <w:bottom w:val="nil"/>
              <w:right w:val="single" w:sz="4" w:space="0" w:color="7F7F7F"/>
            </w:tcBorders>
            <w:shd w:val="clear" w:color="auto" w:fill="F2F2F2"/>
            <w:hideMark/>
          </w:tcPr>
          <w:p w14:paraId="5894F73D" w14:textId="77777777" w:rsidR="00D603F5" w:rsidRPr="001B0EA3" w:rsidRDefault="00D603F5" w:rsidP="00F70D13">
            <w:pPr>
              <w:ind w:firstLine="0"/>
              <w:jc w:val="left"/>
              <w:rPr>
                <w:b/>
                <w:bCs/>
                <w:caps/>
                <w:sz w:val="22"/>
                <w:szCs w:val="22"/>
                <w:lang w:eastAsia="en-US"/>
              </w:rPr>
            </w:pPr>
            <w:r w:rsidRPr="001B0EA3">
              <w:rPr>
                <w:b/>
                <w:bCs/>
                <w:caps/>
                <w:sz w:val="22"/>
                <w:szCs w:val="22"/>
              </w:rPr>
              <w:t>други сектори</w:t>
            </w:r>
          </w:p>
        </w:tc>
        <w:tc>
          <w:tcPr>
            <w:tcW w:w="3569" w:type="dxa"/>
            <w:shd w:val="clear" w:color="auto" w:fill="F2F2F2"/>
            <w:hideMark/>
          </w:tcPr>
          <w:p w14:paraId="65DDCDE7" w14:textId="77777777" w:rsidR="00D603F5" w:rsidRPr="001B0EA3" w:rsidRDefault="00D603F5" w:rsidP="00F70D13">
            <w:pPr>
              <w:ind w:firstLine="0"/>
              <w:jc w:val="center"/>
              <w:rPr>
                <w:sz w:val="22"/>
                <w:szCs w:val="22"/>
                <w:lang w:eastAsia="en-US"/>
              </w:rPr>
            </w:pPr>
            <w:r w:rsidRPr="001B0EA3">
              <w:rPr>
                <w:sz w:val="22"/>
                <w:szCs w:val="22"/>
              </w:rPr>
              <w:t>10-15</w:t>
            </w:r>
          </w:p>
        </w:tc>
      </w:tr>
    </w:tbl>
    <w:p w14:paraId="383D355F" w14:textId="77777777" w:rsidR="00D603F5" w:rsidRPr="001B0EA3" w:rsidRDefault="00D603F5" w:rsidP="00F068A3">
      <w:pPr>
        <w:pStyle w:val="ListParagraph"/>
        <w:ind w:left="1440"/>
        <w:rPr>
          <w:sz w:val="22"/>
          <w:szCs w:val="22"/>
          <w:lang w:eastAsia="en-US"/>
        </w:rPr>
      </w:pPr>
    </w:p>
    <w:p w14:paraId="1F35412D" w14:textId="77777777" w:rsidR="00D603F5" w:rsidRPr="001B0EA3" w:rsidRDefault="00D603F5" w:rsidP="00046D61">
      <w:pPr>
        <w:pStyle w:val="ListParagraph"/>
        <w:ind w:left="1440"/>
        <w:rPr>
          <w:szCs w:val="24"/>
          <w:lang w:eastAsia="bg-BG"/>
        </w:rPr>
      </w:pPr>
    </w:p>
    <w:p w14:paraId="59120FA5" w14:textId="77777777" w:rsidR="00D603F5" w:rsidRPr="00842ECC" w:rsidRDefault="00D603F5" w:rsidP="00346F28">
      <w:pPr>
        <w:pStyle w:val="Style3"/>
        <w:rPr>
          <w:lang w:val="bg-BG"/>
        </w:rPr>
      </w:pPr>
      <w:bookmarkStart w:id="608" w:name="_Toc479775661"/>
      <w:r w:rsidRPr="00842ECC">
        <w:rPr>
          <w:lang w:val="bg-BG"/>
        </w:rPr>
        <w:t>Оценка на проектното предложение в съответствие с чл. 125, параграф 3 на Регламент (ЕС) № 1303/2013 г.</w:t>
      </w:r>
      <w:bookmarkEnd w:id="608"/>
    </w:p>
    <w:p w14:paraId="24EF24E7" w14:textId="77777777" w:rsidR="00D603F5" w:rsidRPr="001B0EA3" w:rsidRDefault="00D603F5" w:rsidP="00046D61">
      <w:pPr>
        <w:ind w:left="720"/>
        <w:contextualSpacing/>
        <w:rPr>
          <w:szCs w:val="24"/>
          <w:lang w:eastAsia="bg-BG"/>
        </w:rPr>
      </w:pPr>
    </w:p>
    <w:p w14:paraId="05678458" w14:textId="77777777" w:rsidR="007C72B2" w:rsidRPr="001B0EA3" w:rsidRDefault="007C72B2" w:rsidP="007C72B2">
      <w:pPr>
        <w:ind w:left="720"/>
        <w:contextualSpacing/>
        <w:rPr>
          <w:szCs w:val="24"/>
          <w:lang w:eastAsia="bg-BG"/>
        </w:rPr>
      </w:pPr>
      <w:bookmarkStart w:id="609" w:name="_Ref413933803"/>
    </w:p>
    <w:p w14:paraId="6F4CCFF3" w14:textId="77777777" w:rsidR="007C72B2" w:rsidRPr="001B0EA3" w:rsidRDefault="007C72B2" w:rsidP="007C72B2">
      <w:pPr>
        <w:numPr>
          <w:ilvl w:val="0"/>
          <w:numId w:val="73"/>
        </w:numPr>
        <w:tabs>
          <w:tab w:val="left" w:pos="851"/>
        </w:tabs>
        <w:ind w:left="0" w:firstLine="567"/>
        <w:contextualSpacing/>
        <w:rPr>
          <w:szCs w:val="24"/>
        </w:rPr>
      </w:pPr>
      <w:r w:rsidRPr="001B0EA3">
        <w:rPr>
          <w:szCs w:val="24"/>
        </w:rPr>
        <w:t xml:space="preserve">Оценителната комисия </w:t>
      </w:r>
      <w:r w:rsidRPr="001B0EA3">
        <w:rPr>
          <w:szCs w:val="24"/>
          <w:lang w:eastAsia="bg-BG"/>
        </w:rPr>
        <w:t xml:space="preserve">извършва оценка на проектните предложения, включваща оценка на административното съответствие и допустимостта и </w:t>
      </w:r>
      <w:r w:rsidRPr="001B0EA3">
        <w:rPr>
          <w:szCs w:val="24"/>
        </w:rPr>
        <w:t xml:space="preserve">оценява проектното предложение като: </w:t>
      </w:r>
    </w:p>
    <w:p w14:paraId="70D28F04" w14:textId="77777777" w:rsidR="007C72B2" w:rsidRPr="001B0EA3" w:rsidRDefault="007C72B2" w:rsidP="007C72B2">
      <w:pPr>
        <w:ind w:left="993" w:hanging="426"/>
        <w:contextualSpacing/>
        <w:rPr>
          <w:szCs w:val="24"/>
        </w:rPr>
      </w:pPr>
      <w:r w:rsidRPr="001B0EA3">
        <w:rPr>
          <w:b/>
          <w:szCs w:val="24"/>
        </w:rPr>
        <w:t>а)</w:t>
      </w:r>
      <w:r w:rsidRPr="001B0EA3">
        <w:rPr>
          <w:szCs w:val="24"/>
        </w:rPr>
        <w:t xml:space="preserve"> прилага подходящите процедури и критерии за подбор;</w:t>
      </w:r>
    </w:p>
    <w:p w14:paraId="58C58277" w14:textId="77777777" w:rsidR="007C72B2" w:rsidRPr="001B0EA3" w:rsidRDefault="007C72B2" w:rsidP="007C72B2">
      <w:pPr>
        <w:ind w:left="993" w:hanging="426"/>
        <w:contextualSpacing/>
        <w:rPr>
          <w:szCs w:val="24"/>
        </w:rPr>
      </w:pPr>
      <w:r w:rsidRPr="001B0EA3">
        <w:rPr>
          <w:b/>
          <w:szCs w:val="24"/>
        </w:rPr>
        <w:t>б)</w:t>
      </w:r>
      <w:r w:rsidRPr="001B0EA3">
        <w:rPr>
          <w:szCs w:val="24"/>
        </w:rPr>
        <w:t xml:space="preserve"> проверява, дали избраната операция попада в обхвата на съответния фонд (КФ, ЕФРР) и може да бъде включена в категория интервенции; </w:t>
      </w:r>
    </w:p>
    <w:p w14:paraId="2C2AEC5E" w14:textId="77777777" w:rsidR="007C72B2" w:rsidRPr="001B0EA3" w:rsidRDefault="007C72B2" w:rsidP="007C72B2">
      <w:pPr>
        <w:ind w:left="993" w:hanging="426"/>
        <w:contextualSpacing/>
        <w:rPr>
          <w:szCs w:val="24"/>
        </w:rPr>
      </w:pPr>
      <w:r w:rsidRPr="001B0EA3">
        <w:rPr>
          <w:b/>
          <w:szCs w:val="24"/>
        </w:rPr>
        <w:t>в)</w:t>
      </w:r>
      <w:r w:rsidRPr="001B0EA3">
        <w:rPr>
          <w:szCs w:val="24"/>
        </w:rPr>
        <w:t xml:space="preserve"> проверява, дали на бенефициента е предоставен документ, в който се посочват условията за подпомагане за всяка операция, включително специфичните изисквания за продуктите или услугите, които трябва да бъдат доставени по съответната операция, плана за финансиране и крайните срокове за изпълнение; </w:t>
      </w:r>
    </w:p>
    <w:p w14:paraId="05BAA386" w14:textId="77777777" w:rsidR="007C72B2" w:rsidRPr="001B0EA3" w:rsidRDefault="007C72B2" w:rsidP="007C72B2">
      <w:pPr>
        <w:ind w:left="993" w:hanging="426"/>
        <w:contextualSpacing/>
        <w:rPr>
          <w:szCs w:val="24"/>
        </w:rPr>
      </w:pPr>
      <w:r w:rsidRPr="001B0EA3">
        <w:rPr>
          <w:b/>
          <w:szCs w:val="24"/>
        </w:rPr>
        <w:t>г)</w:t>
      </w:r>
      <w:r w:rsidRPr="001B0EA3">
        <w:rPr>
          <w:szCs w:val="24"/>
        </w:rPr>
        <w:t xml:space="preserve"> потвърждава, че бенефициентът разполага с необходимия административен, финансов и оперативен капацитет за изпълнение на условията, посочени в буква в), преди одобряването на операцията; </w:t>
      </w:r>
    </w:p>
    <w:p w14:paraId="64200932" w14:textId="77777777" w:rsidR="007C72B2" w:rsidRPr="001B0EA3" w:rsidRDefault="007C72B2" w:rsidP="007C72B2">
      <w:pPr>
        <w:ind w:left="993" w:hanging="426"/>
        <w:contextualSpacing/>
        <w:rPr>
          <w:szCs w:val="24"/>
        </w:rPr>
      </w:pPr>
      <w:r w:rsidRPr="001B0EA3">
        <w:rPr>
          <w:b/>
          <w:szCs w:val="24"/>
        </w:rPr>
        <w:t>д)</w:t>
      </w:r>
      <w:r w:rsidRPr="001B0EA3">
        <w:rPr>
          <w:szCs w:val="24"/>
        </w:rPr>
        <w:t xml:space="preserve"> се уверява, че когато операцията е започнала преди подаването на заявление за финансиране до управляващия орган, приложимо право, касаещо операцията, са били спазени; </w:t>
      </w:r>
    </w:p>
    <w:p w14:paraId="3C0DA1E0" w14:textId="77777777" w:rsidR="007C72B2" w:rsidRPr="001B0EA3" w:rsidRDefault="007C72B2" w:rsidP="007C72B2">
      <w:pPr>
        <w:ind w:left="993" w:hanging="426"/>
        <w:contextualSpacing/>
        <w:rPr>
          <w:szCs w:val="24"/>
        </w:rPr>
      </w:pPr>
      <w:r w:rsidRPr="001B0EA3">
        <w:rPr>
          <w:b/>
          <w:szCs w:val="24"/>
        </w:rPr>
        <w:t>е)</w:t>
      </w:r>
      <w:r w:rsidRPr="001B0EA3">
        <w:rPr>
          <w:szCs w:val="24"/>
        </w:rPr>
        <w:t xml:space="preserve"> гарантира, че операциите, избрани да получат подкрепа от фондовете, не включват дейности, които са били част от операция, която е била или е трябвало да бъде обект на процедура за събиране в съответствие с член 71 след преместване на производствена дейност извън програмния район; </w:t>
      </w:r>
    </w:p>
    <w:p w14:paraId="7207D8A0" w14:textId="77777777" w:rsidR="007C72B2" w:rsidRPr="001B0EA3" w:rsidRDefault="007C72B2" w:rsidP="007C72B2">
      <w:pPr>
        <w:ind w:left="993" w:hanging="426"/>
        <w:contextualSpacing/>
        <w:rPr>
          <w:szCs w:val="24"/>
        </w:rPr>
      </w:pPr>
      <w:r w:rsidRPr="001B0EA3">
        <w:rPr>
          <w:b/>
          <w:szCs w:val="24"/>
        </w:rPr>
        <w:t>ж)</w:t>
      </w:r>
      <w:r w:rsidRPr="001B0EA3">
        <w:rPr>
          <w:szCs w:val="24"/>
        </w:rPr>
        <w:t xml:space="preserve"> определя категориите интервенции към които се приписват разходите по дадена операция.</w:t>
      </w:r>
    </w:p>
    <w:p w14:paraId="320E728E" w14:textId="77777777" w:rsidR="007C72B2" w:rsidRPr="001B0EA3" w:rsidRDefault="007C72B2" w:rsidP="007C72B2">
      <w:pPr>
        <w:ind w:left="993" w:hanging="426"/>
        <w:contextualSpacing/>
        <w:rPr>
          <w:szCs w:val="24"/>
          <w:highlight w:val="yellow"/>
        </w:rPr>
      </w:pPr>
    </w:p>
    <w:p w14:paraId="6F4D71F2" w14:textId="77777777" w:rsidR="007C72B2" w:rsidRPr="001B0EA3" w:rsidRDefault="007C72B2" w:rsidP="007C72B2">
      <w:pPr>
        <w:contextualSpacing/>
        <w:rPr>
          <w:szCs w:val="24"/>
          <w:lang w:eastAsia="bg-BG"/>
        </w:rPr>
      </w:pPr>
      <w:r w:rsidRPr="001B0EA3">
        <w:rPr>
          <w:i/>
          <w:szCs w:val="24"/>
          <w:lang w:eastAsia="bg-BG"/>
        </w:rPr>
        <w:t>Срок за изпълнение:</w:t>
      </w:r>
      <w:r w:rsidRPr="001B0EA3">
        <w:rPr>
          <w:szCs w:val="24"/>
          <w:lang w:eastAsia="bg-BG"/>
        </w:rPr>
        <w:t xml:space="preserve"> Съгласно срока, посочен в Решението за сформиране на оценителна комисия, но не повече от три месеца от датата на подаването им.</w:t>
      </w:r>
    </w:p>
    <w:p w14:paraId="0919523E" w14:textId="77777777" w:rsidR="007C72B2" w:rsidRPr="001B0EA3" w:rsidRDefault="007C72B2" w:rsidP="007C72B2">
      <w:pPr>
        <w:ind w:left="720"/>
        <w:contextualSpacing/>
        <w:rPr>
          <w:szCs w:val="24"/>
          <w:lang w:eastAsia="bg-BG"/>
        </w:rPr>
      </w:pPr>
    </w:p>
    <w:p w14:paraId="2B74DBC8" w14:textId="77777777" w:rsidR="007C72B2" w:rsidRPr="001B0EA3" w:rsidRDefault="007C72B2" w:rsidP="007C72B2">
      <w:pPr>
        <w:numPr>
          <w:ilvl w:val="0"/>
          <w:numId w:val="73"/>
        </w:numPr>
        <w:tabs>
          <w:tab w:val="left" w:pos="851"/>
        </w:tabs>
        <w:ind w:left="0" w:firstLine="567"/>
        <w:contextualSpacing/>
        <w:rPr>
          <w:szCs w:val="24"/>
          <w:lang w:eastAsia="bg-BG"/>
        </w:rPr>
      </w:pPr>
      <w:r w:rsidRPr="001B0EA3">
        <w:rPr>
          <w:szCs w:val="24"/>
          <w:lang w:eastAsia="bg-BG"/>
        </w:rPr>
        <w:t xml:space="preserve">В случаи на установени в процеса на оценка непълноти и/или нередовности на проектното предложение, то може да бъде връщано мотивирано на конкретния бенефициент при спазване на процедурата по </w:t>
      </w:r>
      <w:r w:rsidRPr="001B0EA3">
        <w:rPr>
          <w:b/>
          <w:szCs w:val="24"/>
          <w:lang w:eastAsia="bg-BG"/>
        </w:rPr>
        <w:t xml:space="preserve">точка </w:t>
      </w:r>
      <w:r w:rsidRPr="001B0EA3">
        <w:fldChar w:fldCharType="begin"/>
      </w:r>
      <w:r w:rsidRPr="001B0EA3">
        <w:instrText xml:space="preserve"> REF _Ref395626228 \r \h  \* MERGEFORMAT </w:instrText>
      </w:r>
      <w:r w:rsidRPr="001B0EA3">
        <w:fldChar w:fldCharType="separate"/>
      </w:r>
      <w:r w:rsidR="00F22141" w:rsidRPr="00F22141">
        <w:rPr>
          <w:b/>
          <w:szCs w:val="24"/>
          <w:lang w:eastAsia="bg-BG"/>
        </w:rPr>
        <w:t>18.11</w:t>
      </w:r>
      <w:r w:rsidRPr="001B0EA3">
        <w:fldChar w:fldCharType="end"/>
      </w:r>
      <w:r w:rsidRPr="001B0EA3">
        <w:rPr>
          <w:szCs w:val="24"/>
          <w:lang w:eastAsia="bg-BG"/>
        </w:rPr>
        <w:t>.</w:t>
      </w:r>
    </w:p>
    <w:p w14:paraId="3D205788" w14:textId="77777777" w:rsidR="007C72B2" w:rsidRPr="001B0EA3" w:rsidRDefault="007C72B2" w:rsidP="007C72B2">
      <w:pPr>
        <w:ind w:left="720"/>
        <w:contextualSpacing/>
        <w:rPr>
          <w:szCs w:val="24"/>
          <w:lang w:eastAsia="bg-BG"/>
        </w:rPr>
      </w:pPr>
    </w:p>
    <w:p w14:paraId="1CCAC803" w14:textId="77777777" w:rsidR="007C72B2" w:rsidRPr="001B0EA3" w:rsidRDefault="007C72B2" w:rsidP="007C72B2">
      <w:pPr>
        <w:numPr>
          <w:ilvl w:val="0"/>
          <w:numId w:val="73"/>
        </w:numPr>
        <w:tabs>
          <w:tab w:val="left" w:pos="1134"/>
        </w:tabs>
        <w:spacing w:before="120"/>
        <w:ind w:left="0" w:firstLine="567"/>
        <w:rPr>
          <w:szCs w:val="24"/>
          <w:lang w:eastAsia="bg-BG"/>
        </w:rPr>
      </w:pPr>
      <w:r w:rsidRPr="001B0EA3">
        <w:rPr>
          <w:szCs w:val="24"/>
          <w:lang w:eastAsia="bg-BG"/>
        </w:rPr>
        <w:t xml:space="preserve">Член на оценителната комисия, определен от председателя й извършва проверка за съответствие с правилата за допустимите държавни/ минимални помощи, съгласно </w:t>
      </w:r>
      <w:r w:rsidRPr="001B0EA3">
        <w:rPr>
          <w:b/>
          <w:szCs w:val="24"/>
          <w:lang w:eastAsia="bg-BG"/>
        </w:rPr>
        <w:t>глава 2 „Държавни помощи“.</w:t>
      </w:r>
      <w:r w:rsidRPr="001B0EA3">
        <w:rPr>
          <w:szCs w:val="24"/>
          <w:lang w:eastAsia="bg-BG"/>
        </w:rPr>
        <w:t xml:space="preserve"> Резултатите от проверката се записват в Контролен лист – (</w:t>
      </w:r>
      <w:hyperlink r:id="rId109" w:tooltip="Контролен лист за предварителна оценка за  определяне наличието на държавна помощ - Тест за държавна помощ - изключения" w:history="1">
        <w:r w:rsidRPr="00251D03">
          <w:rPr>
            <w:rStyle w:val="Hyperlink"/>
            <w:i/>
            <w:szCs w:val="24"/>
            <w:lang w:eastAsia="bg-BG"/>
          </w:rPr>
          <w:t>Приложение № 2.02</w:t>
        </w:r>
      </w:hyperlink>
      <w:r w:rsidRPr="001B0EA3">
        <w:rPr>
          <w:b/>
          <w:i/>
          <w:szCs w:val="24"/>
          <w:lang w:eastAsia="bg-BG"/>
        </w:rPr>
        <w:t xml:space="preserve">, </w:t>
      </w:r>
      <w:hyperlink r:id="rId110" w:tooltip="Контролен лист за предварителна оценка за определяне на приложим към мярката режим  на съвместима държавна помощ" w:history="1">
        <w:r w:rsidRPr="00251D03">
          <w:rPr>
            <w:rStyle w:val="Hyperlink"/>
            <w:i/>
            <w:szCs w:val="24"/>
            <w:lang w:eastAsia="bg-BG"/>
          </w:rPr>
          <w:t>Приложение № 2.03</w:t>
        </w:r>
      </w:hyperlink>
      <w:r w:rsidRPr="001B0EA3">
        <w:rPr>
          <w:b/>
          <w:i/>
          <w:szCs w:val="24"/>
          <w:lang w:eastAsia="bg-BG"/>
        </w:rPr>
        <w:t>)</w:t>
      </w:r>
      <w:r>
        <w:rPr>
          <w:b/>
          <w:i/>
          <w:szCs w:val="24"/>
          <w:lang w:eastAsia="bg-BG"/>
        </w:rPr>
        <w:t xml:space="preserve"> </w:t>
      </w:r>
      <w:r>
        <w:rPr>
          <w:szCs w:val="24"/>
          <w:lang w:eastAsia="bg-BG"/>
        </w:rPr>
        <w:t>в ИСУН 2020</w:t>
      </w:r>
      <w:r w:rsidRPr="001B0EA3">
        <w:rPr>
          <w:i/>
          <w:szCs w:val="24"/>
          <w:lang w:eastAsia="bg-BG"/>
        </w:rPr>
        <w:t>.</w:t>
      </w:r>
      <w:r w:rsidRPr="001B0EA3">
        <w:rPr>
          <w:szCs w:val="24"/>
          <w:lang w:eastAsia="bg-BG"/>
        </w:rPr>
        <w:t xml:space="preserve"> Председателят на оценителната комисия извършва втора проверка на попълнения контролен лист</w:t>
      </w:r>
      <w:r w:rsidR="00CF37B9">
        <w:rPr>
          <w:szCs w:val="24"/>
          <w:lang w:eastAsia="bg-BG"/>
        </w:rPr>
        <w:t xml:space="preserve"> в системата</w:t>
      </w:r>
      <w:r w:rsidRPr="001B0EA3">
        <w:rPr>
          <w:szCs w:val="24"/>
          <w:lang w:eastAsia="bg-BG"/>
        </w:rPr>
        <w:t>.</w:t>
      </w:r>
    </w:p>
    <w:p w14:paraId="2A67D922" w14:textId="77777777" w:rsidR="007C72B2" w:rsidRPr="001B0EA3" w:rsidRDefault="007C72B2" w:rsidP="007C72B2">
      <w:pPr>
        <w:numPr>
          <w:ilvl w:val="0"/>
          <w:numId w:val="73"/>
        </w:numPr>
        <w:tabs>
          <w:tab w:val="left" w:pos="1134"/>
        </w:tabs>
        <w:spacing w:before="120" w:after="120"/>
        <w:ind w:left="0" w:firstLine="567"/>
        <w:rPr>
          <w:szCs w:val="24"/>
          <w:lang w:eastAsia="bg-BG"/>
        </w:rPr>
      </w:pPr>
      <w:r w:rsidRPr="001B0EA3">
        <w:rPr>
          <w:szCs w:val="24"/>
        </w:rPr>
        <w:t xml:space="preserve">Всеки оценител с право на глас </w:t>
      </w:r>
      <w:r w:rsidRPr="001B0EA3">
        <w:rPr>
          <w:szCs w:val="24"/>
          <w:lang w:eastAsia="bg-BG"/>
        </w:rPr>
        <w:t xml:space="preserve">в съответствие с процедурата по </w:t>
      </w:r>
      <w:r w:rsidRPr="001B0EA3">
        <w:rPr>
          <w:b/>
          <w:szCs w:val="24"/>
          <w:lang w:eastAsia="bg-BG"/>
        </w:rPr>
        <w:t xml:space="preserve">точка </w:t>
      </w:r>
      <w:r w:rsidRPr="001B0EA3">
        <w:rPr>
          <w:b/>
          <w:szCs w:val="24"/>
          <w:lang w:eastAsia="bg-BG"/>
        </w:rPr>
        <w:fldChar w:fldCharType="begin"/>
      </w:r>
      <w:r w:rsidRPr="001B0EA3">
        <w:rPr>
          <w:b/>
          <w:szCs w:val="24"/>
          <w:lang w:eastAsia="bg-BG"/>
        </w:rPr>
        <w:instrText xml:space="preserve"> REF _Ref413933205 \r \h  \* MERGEFORMAT </w:instrText>
      </w:r>
      <w:r w:rsidRPr="001B0EA3">
        <w:rPr>
          <w:b/>
          <w:szCs w:val="24"/>
          <w:lang w:eastAsia="bg-BG"/>
        </w:rPr>
      </w:r>
      <w:r w:rsidRPr="001B0EA3">
        <w:rPr>
          <w:b/>
          <w:szCs w:val="24"/>
          <w:lang w:eastAsia="bg-BG"/>
        </w:rPr>
        <w:fldChar w:fldCharType="separate"/>
      </w:r>
      <w:r w:rsidR="00F22141">
        <w:rPr>
          <w:b/>
          <w:szCs w:val="24"/>
          <w:lang w:eastAsia="bg-BG"/>
        </w:rPr>
        <w:t>18.13</w:t>
      </w:r>
      <w:r w:rsidRPr="001B0EA3">
        <w:rPr>
          <w:b/>
          <w:szCs w:val="24"/>
          <w:lang w:eastAsia="bg-BG"/>
        </w:rPr>
        <w:fldChar w:fldCharType="end"/>
      </w:r>
      <w:r w:rsidRPr="001B0EA3">
        <w:rPr>
          <w:szCs w:val="24"/>
          <w:lang w:eastAsia="bg-BG"/>
        </w:rPr>
        <w:t xml:space="preserve"> „Оценителни таблици“ </w:t>
      </w:r>
      <w:r w:rsidRPr="001B0EA3">
        <w:rPr>
          <w:szCs w:val="24"/>
        </w:rPr>
        <w:t xml:space="preserve">отразява в ИСУН 2020 резултатите от извършената оценка </w:t>
      </w:r>
      <w:r w:rsidRPr="001B0EA3">
        <w:rPr>
          <w:szCs w:val="24"/>
          <w:lang w:eastAsia="bg-BG"/>
        </w:rPr>
        <w:t xml:space="preserve">по </w:t>
      </w:r>
      <w:r w:rsidRPr="001B0EA3">
        <w:rPr>
          <w:b/>
          <w:szCs w:val="24"/>
          <w:lang w:eastAsia="bg-BG"/>
        </w:rPr>
        <w:t xml:space="preserve">подточка </w:t>
      </w:r>
      <w:r w:rsidRPr="001B0EA3">
        <w:rPr>
          <w:b/>
          <w:szCs w:val="24"/>
          <w:lang w:eastAsia="bg-BG"/>
        </w:rPr>
        <w:fldChar w:fldCharType="begin"/>
      </w:r>
      <w:r w:rsidRPr="001B0EA3">
        <w:rPr>
          <w:b/>
          <w:szCs w:val="24"/>
          <w:lang w:eastAsia="bg-BG"/>
        </w:rPr>
        <w:instrText xml:space="preserve"> REF _Ref413933803 \r \h  \* MERGEFORMAT </w:instrText>
      </w:r>
      <w:r w:rsidRPr="001B0EA3">
        <w:rPr>
          <w:b/>
          <w:szCs w:val="24"/>
          <w:lang w:eastAsia="bg-BG"/>
        </w:rPr>
      </w:r>
      <w:r w:rsidRPr="001B0EA3">
        <w:rPr>
          <w:b/>
          <w:szCs w:val="24"/>
          <w:lang w:eastAsia="bg-BG"/>
        </w:rPr>
        <w:fldChar w:fldCharType="separate"/>
      </w:r>
      <w:r w:rsidR="00F22141">
        <w:rPr>
          <w:b/>
          <w:szCs w:val="24"/>
          <w:lang w:eastAsia="bg-BG"/>
        </w:rPr>
        <w:t>0</w:t>
      </w:r>
      <w:r w:rsidRPr="001B0EA3">
        <w:rPr>
          <w:b/>
          <w:szCs w:val="24"/>
          <w:lang w:eastAsia="bg-BG"/>
        </w:rPr>
        <w:fldChar w:fldCharType="end"/>
      </w:r>
      <w:r w:rsidRPr="001B0EA3">
        <w:rPr>
          <w:b/>
          <w:szCs w:val="24"/>
          <w:lang w:eastAsia="bg-BG"/>
        </w:rPr>
        <w:t xml:space="preserve"> </w:t>
      </w:r>
      <w:r w:rsidRPr="001B0EA3">
        <w:rPr>
          <w:szCs w:val="24"/>
        </w:rPr>
        <w:t xml:space="preserve">в приложимата оценителна таблица: </w:t>
      </w:r>
      <w:hyperlink r:id="rId111" w:tooltip="Оценителна таблица за извършена оценка на  проектни предложения за инвестиционни¦инфраструктурни проекти" w:history="1">
        <w:r w:rsidRPr="00251D03">
          <w:rPr>
            <w:rStyle w:val="Hyperlink"/>
            <w:i/>
            <w:szCs w:val="24"/>
          </w:rPr>
          <w:t>Приложение № 3.06.1</w:t>
        </w:r>
      </w:hyperlink>
      <w:r w:rsidRPr="001B0EA3">
        <w:rPr>
          <w:szCs w:val="24"/>
        </w:rPr>
        <w:t xml:space="preserve">, съдържаща </w:t>
      </w:r>
      <w:r w:rsidRPr="001B0EA3">
        <w:rPr>
          <w:szCs w:val="24"/>
        </w:rPr>
        <w:lastRenderedPageBreak/>
        <w:t xml:space="preserve">мотивирано заключение, направено по време на цялостната оценка по отношение на </w:t>
      </w:r>
      <w:r w:rsidRPr="001B0EA3">
        <w:rPr>
          <w:szCs w:val="24"/>
          <w:lang w:eastAsia="bg-BG"/>
        </w:rPr>
        <w:t>критериите</w:t>
      </w:r>
      <w:r w:rsidRPr="001B0EA3">
        <w:rPr>
          <w:szCs w:val="24"/>
        </w:rPr>
        <w:t xml:space="preserve"> за оценка на </w:t>
      </w:r>
      <w:r w:rsidRPr="001B0EA3">
        <w:rPr>
          <w:szCs w:val="24"/>
          <w:lang w:eastAsia="bg-BG"/>
        </w:rPr>
        <w:t>проекта и в съответствие с критериите за оценка на проекти, съгласно Насоките за кандидатстване по ОПТТИ.</w:t>
      </w:r>
    </w:p>
    <w:p w14:paraId="6D01B01C" w14:textId="77777777" w:rsidR="007C72B2" w:rsidRPr="001B0EA3" w:rsidRDefault="007C72B2" w:rsidP="007C72B2">
      <w:pPr>
        <w:numPr>
          <w:ilvl w:val="0"/>
          <w:numId w:val="73"/>
        </w:numPr>
        <w:tabs>
          <w:tab w:val="left" w:pos="993"/>
        </w:tabs>
        <w:spacing w:before="120" w:after="120"/>
        <w:ind w:left="0" w:firstLine="567"/>
        <w:rPr>
          <w:szCs w:val="24"/>
          <w:lang w:eastAsia="bg-BG"/>
        </w:rPr>
      </w:pPr>
      <w:r w:rsidRPr="001B0EA3">
        <w:rPr>
          <w:szCs w:val="24"/>
          <w:lang w:eastAsia="bg-BG"/>
        </w:rPr>
        <w:t>При оценка на „голям проект“ оценителната комисия дава становище за съответствието на ФК за проекта с чл. 125, параграф 3 от Регламент (ЕС) № 1303/2013).</w:t>
      </w:r>
    </w:p>
    <w:p w14:paraId="74CE1C4D" w14:textId="77777777" w:rsidR="007C72B2" w:rsidRPr="001B0EA3" w:rsidRDefault="007C72B2" w:rsidP="007C72B2">
      <w:pPr>
        <w:numPr>
          <w:ilvl w:val="0"/>
          <w:numId w:val="73"/>
        </w:numPr>
        <w:tabs>
          <w:tab w:val="left" w:pos="851"/>
          <w:tab w:val="left" w:pos="993"/>
        </w:tabs>
        <w:ind w:left="0" w:firstLine="567"/>
        <w:contextualSpacing/>
        <w:rPr>
          <w:szCs w:val="24"/>
          <w:lang w:eastAsia="bg-BG"/>
        </w:rPr>
      </w:pPr>
      <w:r w:rsidRPr="001B0EA3">
        <w:rPr>
          <w:szCs w:val="24"/>
          <w:lang w:eastAsia="bg-BG"/>
        </w:rPr>
        <w:t xml:space="preserve">Член на оценителната комисия, определен от председателя й извършва проверка за липса на двойно финансиране, съгласно процедурата по </w:t>
      </w:r>
      <w:r w:rsidRPr="001B0EA3">
        <w:rPr>
          <w:b/>
          <w:szCs w:val="24"/>
          <w:lang w:eastAsia="bg-BG"/>
        </w:rPr>
        <w:t xml:space="preserve">точка </w:t>
      </w:r>
      <w:r w:rsidRPr="001B0EA3">
        <w:fldChar w:fldCharType="begin"/>
      </w:r>
      <w:r w:rsidRPr="001B0EA3">
        <w:instrText xml:space="preserve"> REF _Ref406323209 \r \h  \* MERGEFORMAT </w:instrText>
      </w:r>
      <w:r w:rsidRPr="001B0EA3">
        <w:fldChar w:fldCharType="separate"/>
      </w:r>
      <w:r w:rsidR="00F22141" w:rsidRPr="00F22141">
        <w:rPr>
          <w:b/>
          <w:szCs w:val="24"/>
          <w:lang w:eastAsia="bg-BG"/>
        </w:rPr>
        <w:t>18.12</w:t>
      </w:r>
      <w:r w:rsidRPr="001B0EA3">
        <w:fldChar w:fldCharType="end"/>
      </w:r>
      <w:r w:rsidRPr="001B0EA3">
        <w:rPr>
          <w:b/>
        </w:rPr>
        <w:t>.</w:t>
      </w:r>
      <w:r w:rsidRPr="001B0EA3">
        <w:t xml:space="preserve"> </w:t>
      </w:r>
      <w:r w:rsidRPr="001B0EA3">
        <w:rPr>
          <w:szCs w:val="24"/>
          <w:lang w:eastAsia="bg-BG"/>
        </w:rPr>
        <w:t xml:space="preserve">и резултатите от проверката се записват в Контролен лист </w:t>
      </w:r>
      <w:r w:rsidRPr="001B0EA3">
        <w:rPr>
          <w:i/>
          <w:szCs w:val="24"/>
          <w:lang w:eastAsia="bg-BG"/>
        </w:rPr>
        <w:t>(</w:t>
      </w:r>
      <w:hyperlink r:id="rId112" w:tooltip="Контролен лист за извършена проверка в ИСУН за липса на двойно финансиране" w:history="1">
        <w:r w:rsidRPr="00251D03">
          <w:rPr>
            <w:rStyle w:val="Hyperlink"/>
            <w:i/>
            <w:szCs w:val="24"/>
            <w:lang w:eastAsia="bg-BG"/>
          </w:rPr>
          <w:t>Приложение № 3.08</w:t>
        </w:r>
      </w:hyperlink>
      <w:r w:rsidRPr="001B0EA3">
        <w:rPr>
          <w:b/>
          <w:i/>
          <w:szCs w:val="24"/>
          <w:lang w:eastAsia="bg-BG"/>
        </w:rPr>
        <w:t>)</w:t>
      </w:r>
      <w:r>
        <w:rPr>
          <w:b/>
          <w:i/>
          <w:szCs w:val="24"/>
          <w:lang w:eastAsia="bg-BG"/>
        </w:rPr>
        <w:t xml:space="preserve"> </w:t>
      </w:r>
      <w:r>
        <w:rPr>
          <w:szCs w:val="24"/>
          <w:lang w:eastAsia="bg-BG"/>
        </w:rPr>
        <w:t>в ИСУН 2020.</w:t>
      </w:r>
      <w:r w:rsidRPr="001B0EA3">
        <w:rPr>
          <w:b/>
          <w:i/>
          <w:szCs w:val="24"/>
          <w:lang w:eastAsia="bg-BG"/>
        </w:rPr>
        <w:t xml:space="preserve"> </w:t>
      </w:r>
      <w:r w:rsidRPr="001B0EA3">
        <w:rPr>
          <w:szCs w:val="24"/>
          <w:lang w:eastAsia="bg-BG"/>
        </w:rPr>
        <w:t>Председателят на оценителната комисия извършва втора проверка на попълнения контролен лист</w:t>
      </w:r>
      <w:r w:rsidR="00E56FF5">
        <w:rPr>
          <w:szCs w:val="24"/>
          <w:lang w:eastAsia="bg-BG"/>
        </w:rPr>
        <w:t xml:space="preserve"> в системата</w:t>
      </w:r>
      <w:r w:rsidRPr="001B0EA3">
        <w:rPr>
          <w:szCs w:val="24"/>
          <w:lang w:eastAsia="bg-BG"/>
        </w:rPr>
        <w:t>.</w:t>
      </w:r>
    </w:p>
    <w:p w14:paraId="2220B92D" w14:textId="77777777" w:rsidR="007C72B2" w:rsidRPr="001B0EA3" w:rsidRDefault="007C72B2" w:rsidP="007C72B2">
      <w:pPr>
        <w:pStyle w:val="ListParagraph"/>
        <w:rPr>
          <w:szCs w:val="24"/>
          <w:lang w:eastAsia="bg-BG"/>
        </w:rPr>
      </w:pPr>
    </w:p>
    <w:p w14:paraId="5C6CA8EC" w14:textId="77777777" w:rsidR="007C72B2" w:rsidRPr="001B0EA3" w:rsidRDefault="007C72B2" w:rsidP="007C72B2">
      <w:pPr>
        <w:numPr>
          <w:ilvl w:val="0"/>
          <w:numId w:val="73"/>
        </w:numPr>
        <w:tabs>
          <w:tab w:val="left" w:pos="1134"/>
        </w:tabs>
        <w:ind w:left="0" w:firstLine="567"/>
        <w:contextualSpacing/>
        <w:rPr>
          <w:szCs w:val="24"/>
          <w:lang w:eastAsia="bg-BG"/>
        </w:rPr>
      </w:pPr>
      <w:r w:rsidRPr="001B0EA3">
        <w:rPr>
          <w:szCs w:val="24"/>
          <w:lang w:eastAsia="bg-BG"/>
        </w:rPr>
        <w:t xml:space="preserve">Оценителната комисия изготвя доклад - </w:t>
      </w:r>
      <w:hyperlink r:id="rId113" w:tooltip="Доклад за извършена оценка на проектно предложение" w:history="1">
        <w:r w:rsidRPr="00251D03">
          <w:rPr>
            <w:rStyle w:val="Hyperlink"/>
            <w:i/>
            <w:szCs w:val="24"/>
            <w:lang w:eastAsia="bg-BG"/>
          </w:rPr>
          <w:t>Приложение № 3.07</w:t>
        </w:r>
      </w:hyperlink>
      <w:r w:rsidRPr="001B0EA3">
        <w:rPr>
          <w:szCs w:val="24"/>
          <w:lang w:eastAsia="bg-BG"/>
        </w:rPr>
        <w:t xml:space="preserve"> в съответствие с процедурата по </w:t>
      </w:r>
      <w:r w:rsidRPr="001B0EA3">
        <w:rPr>
          <w:b/>
          <w:szCs w:val="24"/>
          <w:lang w:eastAsia="bg-BG"/>
        </w:rPr>
        <w:t xml:space="preserve">точка </w:t>
      </w:r>
      <w:r w:rsidRPr="001B0EA3">
        <w:rPr>
          <w:b/>
          <w:szCs w:val="24"/>
          <w:lang w:eastAsia="bg-BG"/>
        </w:rPr>
        <w:fldChar w:fldCharType="begin"/>
      </w:r>
      <w:r w:rsidRPr="001B0EA3">
        <w:rPr>
          <w:b/>
          <w:szCs w:val="24"/>
          <w:lang w:eastAsia="bg-BG"/>
        </w:rPr>
        <w:instrText xml:space="preserve"> REF _Ref406325382 \r \h  \* MERGEFORMAT </w:instrText>
      </w:r>
      <w:r w:rsidRPr="001B0EA3">
        <w:rPr>
          <w:b/>
          <w:szCs w:val="24"/>
          <w:lang w:eastAsia="bg-BG"/>
        </w:rPr>
      </w:r>
      <w:r w:rsidRPr="001B0EA3">
        <w:rPr>
          <w:b/>
          <w:szCs w:val="24"/>
          <w:lang w:eastAsia="bg-BG"/>
        </w:rPr>
        <w:fldChar w:fldCharType="separate"/>
      </w:r>
      <w:r w:rsidR="00F22141">
        <w:rPr>
          <w:b/>
          <w:szCs w:val="24"/>
          <w:lang w:eastAsia="bg-BG"/>
        </w:rPr>
        <w:t>18.14</w:t>
      </w:r>
      <w:r w:rsidRPr="001B0EA3">
        <w:rPr>
          <w:b/>
          <w:szCs w:val="24"/>
          <w:lang w:eastAsia="bg-BG"/>
        </w:rPr>
        <w:fldChar w:fldCharType="end"/>
      </w:r>
      <w:r w:rsidRPr="001B0EA3">
        <w:rPr>
          <w:szCs w:val="24"/>
          <w:lang w:eastAsia="bg-BG"/>
        </w:rPr>
        <w:t xml:space="preserve"> „Доклад на оценителна комисия“.</w:t>
      </w:r>
    </w:p>
    <w:p w14:paraId="4F993AB4" w14:textId="77777777" w:rsidR="007C72B2" w:rsidRPr="001B0EA3" w:rsidRDefault="007C72B2" w:rsidP="007C72B2">
      <w:pPr>
        <w:ind w:left="720"/>
        <w:contextualSpacing/>
        <w:rPr>
          <w:szCs w:val="24"/>
          <w:lang w:eastAsia="bg-BG"/>
        </w:rPr>
      </w:pPr>
    </w:p>
    <w:p w14:paraId="446DE47B" w14:textId="77777777" w:rsidR="007C72B2" w:rsidRPr="001B0EA3" w:rsidRDefault="007C72B2" w:rsidP="007C72B2">
      <w:pPr>
        <w:contextualSpacing/>
        <w:rPr>
          <w:szCs w:val="24"/>
          <w:lang w:eastAsia="bg-BG"/>
        </w:rPr>
      </w:pPr>
      <w:r w:rsidRPr="001B0EA3">
        <w:rPr>
          <w:i/>
          <w:szCs w:val="24"/>
          <w:lang w:eastAsia="bg-BG"/>
        </w:rPr>
        <w:t>Срок за изпълнение:</w:t>
      </w:r>
      <w:r w:rsidRPr="001B0EA3">
        <w:rPr>
          <w:szCs w:val="24"/>
          <w:lang w:eastAsia="bg-BG"/>
        </w:rPr>
        <w:t xml:space="preserve"> в съответствие със срока, посочен в решението за сформиране на оценителна комисия, но не повече от три месеца.</w:t>
      </w:r>
    </w:p>
    <w:p w14:paraId="46E31B66" w14:textId="77777777" w:rsidR="007C72B2" w:rsidRPr="001B0EA3" w:rsidRDefault="007C72B2" w:rsidP="007C72B2">
      <w:pPr>
        <w:ind w:left="720"/>
        <w:contextualSpacing/>
        <w:rPr>
          <w:szCs w:val="24"/>
          <w:lang w:eastAsia="bg-BG"/>
        </w:rPr>
      </w:pPr>
    </w:p>
    <w:p w14:paraId="119EF44B" w14:textId="77777777" w:rsidR="007C72B2" w:rsidRPr="001B0EA3" w:rsidRDefault="007C72B2" w:rsidP="007C72B2">
      <w:pPr>
        <w:numPr>
          <w:ilvl w:val="0"/>
          <w:numId w:val="73"/>
        </w:numPr>
        <w:tabs>
          <w:tab w:val="left" w:pos="1134"/>
        </w:tabs>
        <w:ind w:left="0" w:firstLine="567"/>
        <w:contextualSpacing/>
        <w:rPr>
          <w:szCs w:val="24"/>
          <w:lang w:eastAsia="bg-BG"/>
        </w:rPr>
      </w:pPr>
      <w:r w:rsidRPr="001B0EA3">
        <w:rPr>
          <w:szCs w:val="24"/>
        </w:rPr>
        <w:t xml:space="preserve">След приключване на оценката, </w:t>
      </w:r>
      <w:r w:rsidRPr="001B0EA3">
        <w:rPr>
          <w:szCs w:val="24"/>
          <w:lang w:eastAsia="bg-BG"/>
        </w:rPr>
        <w:t xml:space="preserve">председателя на оценителната комисия представя на началника на отдел „Програмиране” </w:t>
      </w:r>
      <w:r>
        <w:rPr>
          <w:szCs w:val="24"/>
          <w:lang w:eastAsia="bg-BG"/>
        </w:rPr>
        <w:t xml:space="preserve"> преглежда </w:t>
      </w:r>
      <w:r w:rsidRPr="001B0EA3">
        <w:rPr>
          <w:szCs w:val="24"/>
          <w:lang w:eastAsia="bg-BG"/>
        </w:rPr>
        <w:t xml:space="preserve">оценения ФК, оценителите таблици на оценителите от ИСУН 2020, подписания от оценителите оценителен доклад, изготвен проект на решение за одобрение на оценителния доклад и предоставяне на БФП/ отхвърляне на проектно предложение, </w:t>
      </w:r>
      <w:r w:rsidRPr="001B0EA3">
        <w:rPr>
          <w:szCs w:val="24"/>
        </w:rPr>
        <w:t xml:space="preserve">попълнени </w:t>
      </w:r>
      <w:r w:rsidRPr="001B0EA3">
        <w:rPr>
          <w:szCs w:val="24"/>
          <w:lang w:eastAsia="bg-BG"/>
        </w:rPr>
        <w:t>контролни листа и всички документи свързани с процеса на извършване на оценката му за извършване на  проверка.</w:t>
      </w:r>
    </w:p>
    <w:p w14:paraId="1A0EABBA" w14:textId="77777777" w:rsidR="007C72B2" w:rsidRPr="001B0EA3" w:rsidRDefault="007C72B2" w:rsidP="007C72B2">
      <w:pPr>
        <w:ind w:left="720"/>
        <w:contextualSpacing/>
        <w:rPr>
          <w:szCs w:val="24"/>
          <w:lang w:eastAsia="bg-BG"/>
        </w:rPr>
      </w:pPr>
    </w:p>
    <w:p w14:paraId="3FDEC72D" w14:textId="77777777" w:rsidR="007C72B2" w:rsidRPr="001B0EA3" w:rsidRDefault="007C72B2" w:rsidP="007C72B2">
      <w:pPr>
        <w:numPr>
          <w:ilvl w:val="0"/>
          <w:numId w:val="73"/>
        </w:numPr>
        <w:tabs>
          <w:tab w:val="left" w:pos="1134"/>
        </w:tabs>
        <w:ind w:left="0" w:firstLine="567"/>
        <w:contextualSpacing/>
      </w:pPr>
      <w:r w:rsidRPr="001B0EA3">
        <w:rPr>
          <w:szCs w:val="24"/>
        </w:rPr>
        <w:t xml:space="preserve">Началникът на отдел „Програмиране” се запознава с оценения ФК, </w:t>
      </w:r>
      <w:r w:rsidRPr="001B0EA3">
        <w:rPr>
          <w:szCs w:val="24"/>
          <w:lang w:eastAsia="bg-BG"/>
        </w:rPr>
        <w:t xml:space="preserve">подписания от оценителите </w:t>
      </w:r>
      <w:r w:rsidRPr="001B0EA3">
        <w:rPr>
          <w:szCs w:val="24"/>
        </w:rPr>
        <w:t xml:space="preserve">доклад с отразени резултати от оценката на оценителите, попълнени контролни листа и всички документи свързани с процеса на извършване на оценката му за извършване на проверка на процедурата и попълва </w:t>
      </w:r>
      <w:hyperlink r:id="rId114" w:tooltip="Контролен лист за проверка на процедурата на извършена оценка на проектно предложение" w:history="1">
        <w:r w:rsidRPr="00251D03">
          <w:rPr>
            <w:rStyle w:val="Hyperlink"/>
            <w:i/>
            <w:szCs w:val="24"/>
          </w:rPr>
          <w:t>Приложение № 3.09</w:t>
        </w:r>
      </w:hyperlink>
      <w:r w:rsidR="009669D3">
        <w:rPr>
          <w:rStyle w:val="Hyperlink"/>
          <w:szCs w:val="24"/>
          <w:u w:val="none"/>
        </w:rPr>
        <w:t xml:space="preserve"> </w:t>
      </w:r>
      <w:r w:rsidR="009669D3" w:rsidRPr="0048690D">
        <w:rPr>
          <w:rStyle w:val="Hyperlink"/>
          <w:color w:val="auto"/>
          <w:szCs w:val="24"/>
          <w:u w:val="none"/>
        </w:rPr>
        <w:t>в ИСУН 2020.</w:t>
      </w:r>
    </w:p>
    <w:p w14:paraId="608BE38F" w14:textId="77777777" w:rsidR="007C72B2" w:rsidRPr="001B0EA3" w:rsidRDefault="007C72B2" w:rsidP="007C72B2">
      <w:pPr>
        <w:pStyle w:val="ListParagraph"/>
        <w:rPr>
          <w:i/>
          <w:szCs w:val="24"/>
          <w:lang w:eastAsia="bg-BG"/>
        </w:rPr>
      </w:pPr>
    </w:p>
    <w:p w14:paraId="71A5D976" w14:textId="77777777" w:rsidR="007C72B2" w:rsidRPr="001B0EA3" w:rsidRDefault="007C72B2" w:rsidP="007C72B2">
      <w:pPr>
        <w:pStyle w:val="ListParagraph"/>
        <w:ind w:left="0"/>
        <w:rPr>
          <w:szCs w:val="24"/>
          <w:lang w:eastAsia="bg-BG"/>
        </w:rPr>
      </w:pPr>
      <w:r w:rsidRPr="001B0EA3">
        <w:rPr>
          <w:i/>
          <w:szCs w:val="24"/>
          <w:lang w:eastAsia="bg-BG"/>
        </w:rPr>
        <w:t>Срок за изпълнение:</w:t>
      </w:r>
      <w:r w:rsidRPr="001B0EA3">
        <w:rPr>
          <w:szCs w:val="24"/>
          <w:lang w:eastAsia="bg-BG"/>
        </w:rPr>
        <w:t xml:space="preserve"> До 5 работни дни от представянето на документите</w:t>
      </w:r>
    </w:p>
    <w:p w14:paraId="02946F05" w14:textId="77777777" w:rsidR="007C72B2" w:rsidRPr="001B0EA3" w:rsidRDefault="007C72B2" w:rsidP="007C72B2">
      <w:pPr>
        <w:tabs>
          <w:tab w:val="left" w:pos="1134"/>
        </w:tabs>
        <w:ind w:left="567"/>
        <w:contextualSpacing/>
      </w:pPr>
    </w:p>
    <w:p w14:paraId="1373BCB4" w14:textId="77777777" w:rsidR="00230723" w:rsidRPr="001B0EA3" w:rsidRDefault="00230723" w:rsidP="00230723">
      <w:pPr>
        <w:numPr>
          <w:ilvl w:val="0"/>
          <w:numId w:val="73"/>
        </w:numPr>
        <w:tabs>
          <w:tab w:val="left" w:pos="1134"/>
        </w:tabs>
        <w:ind w:left="0" w:firstLine="567"/>
        <w:contextualSpacing/>
      </w:pPr>
      <w:r w:rsidRPr="001B0EA3">
        <w:rPr>
          <w:szCs w:val="24"/>
        </w:rPr>
        <w:t xml:space="preserve">Началника на отдел „Програмиране“ представя </w:t>
      </w:r>
      <w:r w:rsidRPr="001B0EA3">
        <w:rPr>
          <w:szCs w:val="24"/>
          <w:lang w:eastAsia="bg-BG"/>
        </w:rPr>
        <w:t>оценения ФК, оценителния доклад (</w:t>
      </w:r>
      <w:hyperlink r:id="rId115" w:tooltip="Доклад за извършена оценка на проектно предложение" w:history="1">
        <w:r w:rsidRPr="00251D03">
          <w:rPr>
            <w:rStyle w:val="Hyperlink"/>
            <w:i/>
            <w:szCs w:val="24"/>
          </w:rPr>
          <w:t>Приложение № 3.07</w:t>
        </w:r>
      </w:hyperlink>
      <w:r w:rsidRPr="001B0EA3">
        <w:rPr>
          <w:szCs w:val="24"/>
          <w:lang w:eastAsia="bg-BG"/>
        </w:rPr>
        <w:t>), съдържащ взетото решение за одобрение на оценителния доклад и предоставяне на БФП/ отхвърляне на БФП (</w:t>
      </w:r>
      <w:hyperlink r:id="rId116" w:tooltip="Решение за отказ за предоставяне на БФП" w:history="1">
        <w:r w:rsidRPr="00251D03">
          <w:rPr>
            <w:rStyle w:val="Hyperlink"/>
            <w:i/>
            <w:szCs w:val="24"/>
          </w:rPr>
          <w:t>Приложение № 3.10</w:t>
        </w:r>
      </w:hyperlink>
      <w:r w:rsidRPr="00842ECC">
        <w:rPr>
          <w:szCs w:val="24"/>
          <w:lang w:eastAsia="bg-BG"/>
        </w:rPr>
        <w:t>)</w:t>
      </w:r>
      <w:r w:rsidRPr="001B0EA3">
        <w:rPr>
          <w:szCs w:val="24"/>
          <w:lang w:eastAsia="bg-BG"/>
        </w:rPr>
        <w:t xml:space="preserve"> и всички документи свързани с процеса на извършване на оценката му</w:t>
      </w:r>
      <w:r w:rsidRPr="00842ECC">
        <w:rPr>
          <w:szCs w:val="24"/>
          <w:lang w:eastAsia="bg-BG"/>
        </w:rPr>
        <w:t xml:space="preserve">, </w:t>
      </w:r>
      <w:r>
        <w:rPr>
          <w:szCs w:val="24"/>
          <w:lang w:eastAsia="bg-BG"/>
        </w:rPr>
        <w:t>които не са налични в системата ИСУН 2020 на директора на дирекция КПП.</w:t>
      </w:r>
      <w:r w:rsidRPr="00842ECC">
        <w:rPr>
          <w:szCs w:val="24"/>
          <w:lang w:eastAsia="bg-BG"/>
        </w:rPr>
        <w:t xml:space="preserve"> </w:t>
      </w:r>
      <w:r>
        <w:rPr>
          <w:szCs w:val="24"/>
          <w:lang w:eastAsia="bg-BG"/>
        </w:rPr>
        <w:t xml:space="preserve">Директора на дирекция </w:t>
      </w:r>
      <w:r w:rsidR="00A5355B">
        <w:rPr>
          <w:szCs w:val="24"/>
          <w:lang w:eastAsia="bg-BG"/>
        </w:rPr>
        <w:t>КПП извършва втор</w:t>
      </w:r>
      <w:r>
        <w:rPr>
          <w:szCs w:val="24"/>
          <w:lang w:eastAsia="bg-BG"/>
        </w:rPr>
        <w:t>а проверка в</w:t>
      </w:r>
      <w:r w:rsidRPr="001B0EA3">
        <w:rPr>
          <w:szCs w:val="24"/>
          <w:lang w:eastAsia="bg-BG"/>
        </w:rPr>
        <w:t xml:space="preserve"> попълнения </w:t>
      </w:r>
      <w:r>
        <w:rPr>
          <w:szCs w:val="24"/>
          <w:lang w:eastAsia="bg-BG"/>
        </w:rPr>
        <w:t xml:space="preserve"> от началника на отдел „Програмиране“ контролен лист </w:t>
      </w:r>
      <w:hyperlink r:id="rId117" w:tooltip="Контролен лист за проверка на процедурата на извършена оценка на проектно предложение" w:history="1">
        <w:r w:rsidRPr="00251D03">
          <w:rPr>
            <w:rStyle w:val="Hyperlink"/>
            <w:i/>
            <w:szCs w:val="24"/>
          </w:rPr>
          <w:t>Приложение № 3.09</w:t>
        </w:r>
      </w:hyperlink>
      <w:r>
        <w:rPr>
          <w:rStyle w:val="Hyperlink"/>
          <w:i/>
          <w:szCs w:val="24"/>
        </w:rPr>
        <w:t>,</w:t>
      </w:r>
      <w:r w:rsidRPr="001B0EA3">
        <w:rPr>
          <w:b/>
          <w:i/>
          <w:szCs w:val="24"/>
        </w:rPr>
        <w:t xml:space="preserve"> </w:t>
      </w:r>
      <w:r>
        <w:rPr>
          <w:szCs w:val="24"/>
        </w:rPr>
        <w:t xml:space="preserve"> след което целия пакет от документи се пред</w:t>
      </w:r>
      <w:r w:rsidR="002D1AF7">
        <w:rPr>
          <w:szCs w:val="24"/>
        </w:rPr>
        <w:t>а</w:t>
      </w:r>
      <w:r>
        <w:rPr>
          <w:szCs w:val="24"/>
        </w:rPr>
        <w:t xml:space="preserve">ва </w:t>
      </w:r>
      <w:r w:rsidRPr="001B0EA3">
        <w:rPr>
          <w:szCs w:val="24"/>
        </w:rPr>
        <w:t>и за одобрение от Ръководителя на УО на ОПТТИ.</w:t>
      </w:r>
    </w:p>
    <w:p w14:paraId="5A1B0D79" w14:textId="77777777" w:rsidR="007C72B2" w:rsidRPr="001B0EA3" w:rsidRDefault="007C72B2" w:rsidP="007C72B2">
      <w:pPr>
        <w:rPr>
          <w:i/>
          <w:szCs w:val="24"/>
          <w:lang w:eastAsia="bg-BG"/>
        </w:rPr>
      </w:pPr>
    </w:p>
    <w:p w14:paraId="5AE0C1C2" w14:textId="77777777" w:rsidR="007C72B2" w:rsidRPr="001B0EA3" w:rsidRDefault="007C72B2" w:rsidP="007C72B2">
      <w:pPr>
        <w:contextualSpacing/>
        <w:rPr>
          <w:szCs w:val="24"/>
          <w:lang w:eastAsia="bg-BG"/>
        </w:rPr>
      </w:pPr>
      <w:r w:rsidRPr="001B0EA3">
        <w:rPr>
          <w:i/>
          <w:szCs w:val="24"/>
          <w:lang w:eastAsia="bg-BG"/>
        </w:rPr>
        <w:t>Срок за изпълнение:</w:t>
      </w:r>
      <w:r w:rsidRPr="001B0EA3">
        <w:rPr>
          <w:szCs w:val="24"/>
          <w:lang w:eastAsia="bg-BG"/>
        </w:rPr>
        <w:t xml:space="preserve"> До 5 работни дни за всеки съгласуващ и за одобряващия</w:t>
      </w:r>
    </w:p>
    <w:p w14:paraId="7B761168" w14:textId="77777777" w:rsidR="00D603F5" w:rsidRPr="00842ECC" w:rsidRDefault="00D603F5" w:rsidP="00B502C7">
      <w:pPr>
        <w:pStyle w:val="Style2"/>
        <w:rPr>
          <w:lang w:val="bg-BG" w:eastAsia="bg-BG"/>
        </w:rPr>
      </w:pPr>
      <w:bookmarkStart w:id="610" w:name="_Ref409510760"/>
      <w:bookmarkStart w:id="611" w:name="_Ref409510885"/>
      <w:bookmarkStart w:id="612" w:name="_Toc479775662"/>
      <w:bookmarkStart w:id="613" w:name="_Toc140150219"/>
      <w:bookmarkEnd w:id="609"/>
      <w:r w:rsidRPr="00842ECC">
        <w:rPr>
          <w:lang w:val="bg-BG" w:eastAsia="bg-BG"/>
        </w:rPr>
        <w:t>Процедура за оценка от УО на ОПТТИ на проектни предложения за „големи проекти” и извършване на „преглед на качеството“ от независими експерти</w:t>
      </w:r>
      <w:bookmarkEnd w:id="610"/>
      <w:bookmarkEnd w:id="611"/>
      <w:bookmarkEnd w:id="612"/>
      <w:bookmarkEnd w:id="613"/>
    </w:p>
    <w:p w14:paraId="7B86AC21" w14:textId="77777777" w:rsidR="00D603F5" w:rsidRPr="001B0EA3" w:rsidRDefault="00D603F5" w:rsidP="00DD3FF3">
      <w:r w:rsidRPr="001B0EA3">
        <w:t>В общия случай оценката на „големи проекти“ (</w:t>
      </w:r>
      <w:r w:rsidRPr="001B0EA3">
        <w:rPr>
          <w:i/>
        </w:rPr>
        <w:t>с обща стойност на допустимите разходи над 75 млн. евро - по тематична цел 7 и над 50 млн. евро - по тематична цел 4</w:t>
      </w:r>
      <w:r w:rsidRPr="001B0EA3">
        <w:t xml:space="preserve">) се изпълнява процедурата по </w:t>
      </w:r>
      <w:r w:rsidRPr="001B0EA3">
        <w:rPr>
          <w:b/>
        </w:rPr>
        <w:t xml:space="preserve">точка </w:t>
      </w:r>
      <w:r w:rsidRPr="001B0EA3">
        <w:rPr>
          <w:b/>
        </w:rPr>
        <w:fldChar w:fldCharType="begin"/>
      </w:r>
      <w:r w:rsidRPr="001B0EA3">
        <w:rPr>
          <w:b/>
        </w:rPr>
        <w:instrText xml:space="preserve"> REF _Ref409510826 \r \h </w:instrText>
      </w:r>
      <w:r w:rsidR="004A494A" w:rsidRPr="001B0EA3">
        <w:rPr>
          <w:b/>
        </w:rPr>
        <w:instrText xml:space="preserve"> \* MERGEFORMAT </w:instrText>
      </w:r>
      <w:r w:rsidRPr="001B0EA3">
        <w:rPr>
          <w:b/>
        </w:rPr>
      </w:r>
      <w:r w:rsidRPr="001B0EA3">
        <w:rPr>
          <w:b/>
        </w:rPr>
        <w:fldChar w:fldCharType="separate"/>
      </w:r>
      <w:r w:rsidR="00F22141">
        <w:rPr>
          <w:b/>
        </w:rPr>
        <w:t>18.7</w:t>
      </w:r>
      <w:r w:rsidRPr="001B0EA3">
        <w:rPr>
          <w:b/>
        </w:rPr>
        <w:fldChar w:fldCharType="end"/>
      </w:r>
      <w:r w:rsidRPr="001B0EA3">
        <w:t>. Процедурата, описана в настоящата точка се използва при оценката на „големи проекти“ (</w:t>
      </w:r>
      <w:r w:rsidRPr="001B0EA3">
        <w:rPr>
          <w:i/>
        </w:rPr>
        <w:t>с обща стойност на допустимите разходи над 75 млн. евро - по тематична цел 7 и над 50 млн. евро - по тематична цел 4</w:t>
      </w:r>
      <w:r w:rsidRPr="001B0EA3">
        <w:t xml:space="preserve">), </w:t>
      </w:r>
      <w:r w:rsidRPr="001B0EA3">
        <w:rPr>
          <w:b/>
        </w:rPr>
        <w:t xml:space="preserve">само ако </w:t>
      </w:r>
      <w:r w:rsidRPr="001B0EA3">
        <w:t xml:space="preserve">изрично е указано да се използват независими експерти за извършване на преглед на качеството. </w:t>
      </w:r>
    </w:p>
    <w:p w14:paraId="788656CF" w14:textId="77777777" w:rsidR="00D603F5" w:rsidRPr="001B0EA3" w:rsidRDefault="00D603F5" w:rsidP="00DD3FF3">
      <w:r w:rsidRPr="001B0EA3">
        <w:lastRenderedPageBreak/>
        <w:t xml:space="preserve">По инициатива на Комисията европейските структурни и инвестиционни фондове могат да подкрепят мерки за подготвителна помощ, мерки за оценка и други посочени в чл. 58, параграф 1 от  Регламент (ЕС) № 1303/2013 г., необходими за изпълнението на регламента. Тези мерки могат да се изпълняват или пряко от Комисията или непряко от образувания и лица, различни от държавите-членки, в съответствие с член 60 от Финансовия регламент. </w:t>
      </w:r>
    </w:p>
    <w:p w14:paraId="54BD47E5" w14:textId="77777777" w:rsidR="00D603F5" w:rsidRPr="001B0EA3" w:rsidRDefault="00D603F5" w:rsidP="00DD3FF3">
      <w:r w:rsidRPr="001B0EA3">
        <w:t xml:space="preserve">Мерките могат да включват по-специално помощ за подготовка и оценка на проекти от техническа подкрепа по инициатива на Комисията (например: инициативата </w:t>
      </w:r>
      <w:r w:rsidR="00E40779" w:rsidRPr="001B0EA3">
        <w:t>Джаспърс</w:t>
      </w:r>
      <w:r w:rsidRPr="001B0EA3">
        <w:t>), включително с ЕИБ.</w:t>
      </w:r>
    </w:p>
    <w:p w14:paraId="7C7C1067" w14:textId="77777777" w:rsidR="00D603F5" w:rsidRPr="001B0EA3" w:rsidRDefault="00D603F5" w:rsidP="00046D61">
      <w:pPr>
        <w:contextualSpacing/>
        <w:rPr>
          <w:szCs w:val="24"/>
        </w:rPr>
      </w:pPr>
    </w:p>
    <w:p w14:paraId="3E8E350E" w14:textId="77777777" w:rsidR="00D603F5" w:rsidRPr="00842ECC" w:rsidRDefault="00D603F5" w:rsidP="00346F28">
      <w:pPr>
        <w:pStyle w:val="Style3"/>
        <w:rPr>
          <w:lang w:val="bg-BG" w:eastAsia="bg-BG"/>
        </w:rPr>
      </w:pPr>
      <w:bookmarkStart w:id="614" w:name="_Ref409190446"/>
      <w:bookmarkStart w:id="615" w:name="_Toc479775663"/>
      <w:bookmarkStart w:id="616" w:name="_Ref406347435"/>
      <w:bookmarkStart w:id="617" w:name="_Ref409510975"/>
      <w:r w:rsidRPr="00842ECC">
        <w:rPr>
          <w:lang w:val="bg-BG" w:eastAsia="bg-BG"/>
        </w:rPr>
        <w:t>Изпращане на формуляр за кандидатстване за „голям проект“ за извършване на „преглед на качеството“ от независими експерти</w:t>
      </w:r>
      <w:bookmarkEnd w:id="614"/>
      <w:bookmarkEnd w:id="615"/>
      <w:r w:rsidRPr="00842ECC">
        <w:rPr>
          <w:lang w:val="bg-BG" w:eastAsia="bg-BG"/>
        </w:rPr>
        <w:t xml:space="preserve"> </w:t>
      </w:r>
      <w:bookmarkEnd w:id="616"/>
    </w:p>
    <w:p w14:paraId="70963AD1" w14:textId="77777777" w:rsidR="00D603F5" w:rsidRPr="001B0EA3" w:rsidRDefault="00D603F5" w:rsidP="00DD3FF3">
      <w:pPr>
        <w:pStyle w:val="ListParagraph"/>
        <w:numPr>
          <w:ilvl w:val="0"/>
          <w:numId w:val="312"/>
        </w:numPr>
        <w:ind w:left="0" w:firstLine="851"/>
      </w:pPr>
      <w:bookmarkStart w:id="618" w:name="_Ref406337314"/>
      <w:r w:rsidRPr="001B0EA3">
        <w:t>По решение на Ръководителя на УО на ОПТТИ за оценката на „голям проект“ за проектите, включени за оценка в годишните планове за действие по инициативата на ЕК, ЕИБ и ЕБВР, ДЖАСПЪРС може да бъде използвана техническа подкрепа по инициатива на Комисията по силата на член 58 от Регламент (ЕС) № 1303/2013 за извършване на независим преглед на качеството.</w:t>
      </w:r>
      <w:bookmarkEnd w:id="618"/>
    </w:p>
    <w:p w14:paraId="4E5B50DF" w14:textId="77777777" w:rsidR="00D603F5" w:rsidRPr="001B0EA3" w:rsidRDefault="00D603F5" w:rsidP="00DD3FF3">
      <w:pPr>
        <w:pStyle w:val="ListParagraph"/>
        <w:numPr>
          <w:ilvl w:val="0"/>
          <w:numId w:val="312"/>
        </w:numPr>
        <w:ind w:left="0" w:firstLine="851"/>
      </w:pPr>
      <w:r w:rsidRPr="001B0EA3">
        <w:t xml:space="preserve">След получаване на ФК за „голям проект“, по резолюция на Ръководителя/Заместник-ръководителя на УО на ОПТТИ за използване на възможността по </w:t>
      </w:r>
      <w:r w:rsidR="0031515C" w:rsidRPr="00DD3FF3">
        <w:rPr>
          <w:b/>
        </w:rPr>
        <w:t>подточка</w:t>
      </w:r>
      <w:r w:rsidR="0043343C" w:rsidRPr="00DD3FF3">
        <w:rPr>
          <w:b/>
        </w:rPr>
        <w:t xml:space="preserve"> </w:t>
      </w:r>
      <w:r w:rsidRPr="00DD3FF3">
        <w:rPr>
          <w:b/>
        </w:rPr>
        <w:fldChar w:fldCharType="begin"/>
      </w:r>
      <w:r w:rsidRPr="00DD3FF3">
        <w:rPr>
          <w:b/>
        </w:rPr>
        <w:instrText xml:space="preserve"> REF _Ref406337314 \r \h  \* MERGEFORMAT </w:instrText>
      </w:r>
      <w:r w:rsidRPr="00DD3FF3">
        <w:rPr>
          <w:b/>
        </w:rPr>
      </w:r>
      <w:r w:rsidRPr="00DD3FF3">
        <w:rPr>
          <w:b/>
        </w:rPr>
        <w:fldChar w:fldCharType="separate"/>
      </w:r>
      <w:r w:rsidR="00F22141">
        <w:rPr>
          <w:b/>
        </w:rPr>
        <w:t>1)</w:t>
      </w:r>
      <w:r w:rsidRPr="00DD3FF3">
        <w:rPr>
          <w:b/>
        </w:rPr>
        <w:fldChar w:fldCharType="end"/>
      </w:r>
      <w:r w:rsidRPr="001B0EA3">
        <w:t>, служител от отдел „Програмиране“ подготвя ФК на електронен носител и заедно с придружително писмо го изпраща до одобрените от ЕК независими експерти (инициатива Джаспърс) за извършване на независим преглед на качеството на проектното предложение.</w:t>
      </w:r>
    </w:p>
    <w:p w14:paraId="203A590D" w14:textId="77777777" w:rsidR="00D603F5" w:rsidRPr="001B0EA3" w:rsidRDefault="00D603F5" w:rsidP="00DD3FF3">
      <w:pPr>
        <w:pStyle w:val="ListParagraph"/>
        <w:numPr>
          <w:ilvl w:val="0"/>
          <w:numId w:val="312"/>
        </w:numPr>
        <w:ind w:left="0" w:firstLine="851"/>
      </w:pPr>
      <w:r w:rsidRPr="001B0EA3">
        <w:t xml:space="preserve">Независимите експерти извършват оценка въз основа на информацията по член 101, първа алинея, букви а)—и) от Регламент (ЕС) № 1303/2013. </w:t>
      </w:r>
    </w:p>
    <w:p w14:paraId="7976F99F" w14:textId="77777777" w:rsidR="00D603F5" w:rsidRPr="001B0EA3" w:rsidRDefault="00D603F5" w:rsidP="00DD3FF3">
      <w:r w:rsidRPr="001B0EA3">
        <w:rPr>
          <w:i/>
        </w:rPr>
        <w:t>Забележка:</w:t>
      </w:r>
      <w:r w:rsidRPr="001B0EA3">
        <w:t xml:space="preserve"> В процеса на оценка независимите експерти могат да поискат допълнителни сведения, които смятат за необходими за прегледа на качеството.</w:t>
      </w:r>
    </w:p>
    <w:p w14:paraId="645347EA" w14:textId="77777777" w:rsidR="00D603F5" w:rsidRPr="001B0EA3" w:rsidRDefault="00D603F5" w:rsidP="00DD3FF3">
      <w:pPr>
        <w:pStyle w:val="ListParagraph"/>
        <w:numPr>
          <w:ilvl w:val="0"/>
          <w:numId w:val="312"/>
        </w:numPr>
        <w:ind w:left="0" w:firstLine="851"/>
      </w:pPr>
      <w:r w:rsidRPr="001B0EA3">
        <w:t>За целите на прегледа на качеството независимите експерти извършват следното:</w:t>
      </w:r>
    </w:p>
    <w:p w14:paraId="69FABF49" w14:textId="77777777" w:rsidR="00D603F5" w:rsidRPr="001B0EA3" w:rsidRDefault="00D603F5" w:rsidP="00DD3FF3">
      <w:pPr>
        <w:pStyle w:val="ListParagraph"/>
        <w:numPr>
          <w:ilvl w:val="0"/>
          <w:numId w:val="313"/>
        </w:numPr>
      </w:pPr>
      <w:r w:rsidRPr="001B0EA3">
        <w:t>проверяват дали операцията представлява „голям проект“ по смисъла на член 100 от Регламент (ЕС) № 1303/2013, дали големият проект не е приключена операция по смисъла на член 2, параграф 14 и член 65, параграф 6 от посочения регламент и дали големият проект е включен</w:t>
      </w:r>
    </w:p>
    <w:p w14:paraId="53894735" w14:textId="77777777" w:rsidR="00D603F5" w:rsidRPr="001B0EA3" w:rsidRDefault="00D603F5" w:rsidP="00DD3FF3">
      <w:pPr>
        <w:pStyle w:val="ListParagraph"/>
        <w:numPr>
          <w:ilvl w:val="0"/>
          <w:numId w:val="313"/>
        </w:numPr>
      </w:pPr>
      <w:r w:rsidRPr="001B0EA3">
        <w:t xml:space="preserve">проверяват пълнотата, последователността и точността на информацията по член 101, първа алинея, букви а)—и) от Регламент (ЕС) № 1303/2013, представена във формата по член 101, пета алинея от посочения регламент в съответната оперативна програма </w:t>
      </w:r>
    </w:p>
    <w:p w14:paraId="547DA77A" w14:textId="77777777" w:rsidR="00D603F5" w:rsidRPr="001B0EA3" w:rsidRDefault="00D603F5" w:rsidP="00DD3FF3">
      <w:pPr>
        <w:pStyle w:val="ListParagraph"/>
        <w:numPr>
          <w:ilvl w:val="0"/>
          <w:numId w:val="313"/>
        </w:numPr>
      </w:pPr>
      <w:r w:rsidRPr="001B0EA3">
        <w:t>оценяват качеството на големия проект въз основа на критериите по приложение II към Делегиращ регламент (ЕС) № 480/2014 г.</w:t>
      </w:r>
    </w:p>
    <w:p w14:paraId="738ECA62" w14:textId="77777777" w:rsidR="00D603F5" w:rsidRPr="001B0EA3" w:rsidRDefault="00D603F5" w:rsidP="00DD3FF3">
      <w:pPr>
        <w:pStyle w:val="ListParagraph"/>
        <w:numPr>
          <w:ilvl w:val="0"/>
          <w:numId w:val="313"/>
        </w:numPr>
      </w:pPr>
      <w:r w:rsidRPr="001B0EA3">
        <w:t>изготвят доклад за независимия преглед на качеството във формата по член 102, параграф 1, трета алинея от Регламент (ЕС) № 1303/2013. В доклада за НПК независимите експерти излагат и обосновават по недвусмислен начин своите констатации.</w:t>
      </w:r>
    </w:p>
    <w:p w14:paraId="47F7145A" w14:textId="77777777" w:rsidR="00D603F5" w:rsidRPr="001B0EA3" w:rsidRDefault="00D603F5" w:rsidP="00DD3FF3">
      <w:pPr>
        <w:pStyle w:val="ListParagraph"/>
        <w:numPr>
          <w:ilvl w:val="0"/>
          <w:numId w:val="312"/>
        </w:numPr>
        <w:ind w:left="0" w:firstLine="851"/>
      </w:pPr>
      <w:bookmarkStart w:id="619" w:name="_Ref406338854"/>
      <w:r w:rsidRPr="001B0EA3">
        <w:t>Оценката въз основа на прегледа на качеството на „голям проект“ е положителна по смисъла на член 102, параграф 1 от Регламент (ЕС) № 1303/2013, ако независимите експерти заключат, че са изпълнени всички критерии по приложение II към Делегиращ регламент (ЕС) № 480/2014 г.</w:t>
      </w:r>
      <w:bookmarkEnd w:id="619"/>
    </w:p>
    <w:p w14:paraId="6CD4992F" w14:textId="77777777" w:rsidR="00D603F5" w:rsidRPr="001B0EA3" w:rsidRDefault="00D603F5" w:rsidP="00DD3FF3">
      <w:pPr>
        <w:pStyle w:val="ListParagraph"/>
        <w:numPr>
          <w:ilvl w:val="0"/>
          <w:numId w:val="312"/>
        </w:numPr>
        <w:ind w:left="0" w:firstLine="851"/>
      </w:pPr>
      <w:bookmarkStart w:id="620" w:name="_Ref407373847"/>
      <w:r w:rsidRPr="001B0EA3">
        <w:t xml:space="preserve">След получаване на положителната оценка по </w:t>
      </w:r>
      <w:r w:rsidR="0031515C" w:rsidRPr="00DD3FF3">
        <w:rPr>
          <w:b/>
        </w:rPr>
        <w:t>под</w:t>
      </w:r>
      <w:r w:rsidRPr="00DD3FF3">
        <w:rPr>
          <w:b/>
        </w:rPr>
        <w:t xml:space="preserve">точка </w:t>
      </w:r>
      <w:r w:rsidRPr="00DD3FF3">
        <w:rPr>
          <w:b/>
        </w:rPr>
        <w:fldChar w:fldCharType="begin"/>
      </w:r>
      <w:r w:rsidRPr="00DD3FF3">
        <w:rPr>
          <w:b/>
        </w:rPr>
        <w:instrText xml:space="preserve"> REF _Ref406338854 \r \h  \* MERGEFORMAT </w:instrText>
      </w:r>
      <w:r w:rsidRPr="00DD3FF3">
        <w:rPr>
          <w:b/>
        </w:rPr>
      </w:r>
      <w:r w:rsidRPr="00DD3FF3">
        <w:rPr>
          <w:b/>
        </w:rPr>
        <w:fldChar w:fldCharType="separate"/>
      </w:r>
      <w:r w:rsidR="00F22141">
        <w:rPr>
          <w:b/>
        </w:rPr>
        <w:t>5)</w:t>
      </w:r>
      <w:r w:rsidRPr="00DD3FF3">
        <w:rPr>
          <w:b/>
        </w:rPr>
        <w:fldChar w:fldCharType="end"/>
      </w:r>
      <w:r w:rsidRPr="001B0EA3">
        <w:t xml:space="preserve"> Управляващият орган може да пристъпи към подбора на големия проект в съответствие с член 125, параграф 3 от Регламент (ЕС) № 1303/2013 г.</w:t>
      </w:r>
      <w:bookmarkEnd w:id="620"/>
      <w:r w:rsidRPr="001B0EA3">
        <w:t xml:space="preserve"> и се пристъпва към процедурата по издаване на Решение за сформиране на оценителна комисия по </w:t>
      </w:r>
      <w:r w:rsidRPr="00DD3FF3">
        <w:rPr>
          <w:b/>
        </w:rPr>
        <w:t xml:space="preserve">точка </w:t>
      </w:r>
      <w:r w:rsidRPr="00DD3FF3">
        <w:rPr>
          <w:b/>
        </w:rPr>
        <w:fldChar w:fldCharType="begin"/>
      </w:r>
      <w:r w:rsidRPr="00DD3FF3">
        <w:rPr>
          <w:b/>
        </w:rPr>
        <w:instrText xml:space="preserve"> REF _Ref406320545 \w \h </w:instrText>
      </w:r>
      <w:r w:rsidR="004A494A" w:rsidRPr="00DD3FF3">
        <w:rPr>
          <w:b/>
        </w:rPr>
        <w:instrText xml:space="preserve"> \* MERGEFORMAT </w:instrText>
      </w:r>
      <w:r w:rsidRPr="00DD3FF3">
        <w:rPr>
          <w:b/>
        </w:rPr>
      </w:r>
      <w:r w:rsidRPr="00DD3FF3">
        <w:rPr>
          <w:b/>
        </w:rPr>
        <w:fldChar w:fldCharType="separate"/>
      </w:r>
      <w:r w:rsidR="00F22141">
        <w:rPr>
          <w:b/>
        </w:rPr>
        <w:t>18.3</w:t>
      </w:r>
      <w:r w:rsidRPr="00DD3FF3">
        <w:rPr>
          <w:b/>
        </w:rPr>
        <w:fldChar w:fldCharType="end"/>
      </w:r>
      <w:r w:rsidRPr="00DD3FF3">
        <w:t xml:space="preserve"> „</w:t>
      </w:r>
      <w:r w:rsidRPr="001B0EA3">
        <w:fldChar w:fldCharType="begin"/>
      </w:r>
      <w:r w:rsidRPr="001B0EA3">
        <w:instrText xml:space="preserve"> REF _Ref406320545 \h  \* MERGEFORMAT </w:instrText>
      </w:r>
      <w:r w:rsidRPr="001B0EA3">
        <w:fldChar w:fldCharType="separate"/>
      </w:r>
      <w:r w:rsidR="00F22141" w:rsidRPr="001B0EA3">
        <w:t>Сформиране на оценителна комисия</w:t>
      </w:r>
      <w:r w:rsidRPr="001B0EA3">
        <w:fldChar w:fldCharType="end"/>
      </w:r>
      <w:r w:rsidRPr="001B0EA3">
        <w:t>“</w:t>
      </w:r>
      <w:r w:rsidRPr="00DD3FF3">
        <w:t>.</w:t>
      </w:r>
    </w:p>
    <w:p w14:paraId="33058DC5" w14:textId="77777777" w:rsidR="00D603F5" w:rsidRPr="001B0EA3" w:rsidRDefault="00D603F5" w:rsidP="00046D61">
      <w:pPr>
        <w:contextualSpacing/>
        <w:rPr>
          <w:szCs w:val="24"/>
        </w:rPr>
      </w:pPr>
    </w:p>
    <w:p w14:paraId="771C9568" w14:textId="77777777" w:rsidR="00D603F5" w:rsidRPr="00842ECC" w:rsidRDefault="00D603F5" w:rsidP="00346F28">
      <w:pPr>
        <w:pStyle w:val="Style3"/>
        <w:rPr>
          <w:lang w:val="bg-BG"/>
        </w:rPr>
      </w:pPr>
      <w:bookmarkStart w:id="621" w:name="_Ref413253121"/>
      <w:bookmarkStart w:id="622" w:name="_Toc479775664"/>
      <w:r w:rsidRPr="00842ECC">
        <w:rPr>
          <w:lang w:val="bg-BG"/>
        </w:rPr>
        <w:lastRenderedPageBreak/>
        <w:t>Оценка от УО на ОПТТИ на „голям проект“ при извършване на преглед на качеството от независими експерти</w:t>
      </w:r>
      <w:bookmarkEnd w:id="621"/>
      <w:bookmarkEnd w:id="622"/>
    </w:p>
    <w:p w14:paraId="1E9CA4A1" w14:textId="77777777" w:rsidR="00D603F5" w:rsidRPr="001B0EA3" w:rsidRDefault="00D603F5" w:rsidP="00DD3FF3">
      <w:r w:rsidRPr="001B0EA3">
        <w:t xml:space="preserve">Настоящата процедура се изпълнява след приключила процедура по </w:t>
      </w:r>
      <w:r w:rsidRPr="001B0EA3">
        <w:rPr>
          <w:b/>
        </w:rPr>
        <w:t>точка</w:t>
      </w:r>
      <w:r w:rsidRPr="001B0EA3">
        <w:t xml:space="preserve"> </w:t>
      </w:r>
      <w:r w:rsidRPr="001B0EA3">
        <w:rPr>
          <w:b/>
        </w:rPr>
        <w:fldChar w:fldCharType="begin"/>
      </w:r>
      <w:r w:rsidRPr="001B0EA3">
        <w:rPr>
          <w:b/>
        </w:rPr>
        <w:instrText xml:space="preserve"> REF _Ref409190446 \r \h  \* MERGEFORMAT </w:instrText>
      </w:r>
      <w:r w:rsidRPr="001B0EA3">
        <w:rPr>
          <w:b/>
        </w:rPr>
      </w:r>
      <w:r w:rsidRPr="001B0EA3">
        <w:rPr>
          <w:b/>
        </w:rPr>
        <w:fldChar w:fldCharType="separate"/>
      </w:r>
      <w:r w:rsidR="00F22141">
        <w:rPr>
          <w:b/>
        </w:rPr>
        <w:t>18.8.1</w:t>
      </w:r>
      <w:r w:rsidRPr="001B0EA3">
        <w:rPr>
          <w:b/>
        </w:rPr>
        <w:fldChar w:fldCharType="end"/>
      </w:r>
      <w:r w:rsidRPr="001B0EA3">
        <w:t xml:space="preserve"> за извършен „преглед на качеството“ на „голям проект“ от независими експерти и след получаване на положителна оценка от тях по </w:t>
      </w:r>
      <w:r w:rsidRPr="001B0EA3">
        <w:rPr>
          <w:b/>
        </w:rPr>
        <w:t xml:space="preserve">подточка </w:t>
      </w:r>
      <w:r w:rsidRPr="001B0EA3">
        <w:rPr>
          <w:b/>
        </w:rPr>
        <w:fldChar w:fldCharType="begin"/>
      </w:r>
      <w:r w:rsidRPr="001B0EA3">
        <w:rPr>
          <w:b/>
        </w:rPr>
        <w:instrText xml:space="preserve"> REF _Ref407373847 \r \h  \* MERGEFORMAT </w:instrText>
      </w:r>
      <w:r w:rsidRPr="001B0EA3">
        <w:rPr>
          <w:b/>
        </w:rPr>
      </w:r>
      <w:r w:rsidRPr="001B0EA3">
        <w:rPr>
          <w:b/>
        </w:rPr>
        <w:fldChar w:fldCharType="separate"/>
      </w:r>
      <w:r w:rsidR="00F22141">
        <w:rPr>
          <w:b/>
        </w:rPr>
        <w:t>6)</w:t>
      </w:r>
      <w:r w:rsidRPr="001B0EA3">
        <w:rPr>
          <w:b/>
        </w:rPr>
        <w:fldChar w:fldCharType="end"/>
      </w:r>
      <w:r w:rsidRPr="001B0EA3">
        <w:rPr>
          <w:b/>
        </w:rPr>
        <w:t xml:space="preserve"> на точка </w:t>
      </w:r>
      <w:r w:rsidRPr="001B0EA3">
        <w:rPr>
          <w:b/>
        </w:rPr>
        <w:fldChar w:fldCharType="begin"/>
      </w:r>
      <w:r w:rsidRPr="001B0EA3">
        <w:rPr>
          <w:b/>
        </w:rPr>
        <w:instrText xml:space="preserve"> REF _Ref406347435 \r \h  \* MERGEFORMAT </w:instrText>
      </w:r>
      <w:r w:rsidRPr="001B0EA3">
        <w:rPr>
          <w:b/>
        </w:rPr>
      </w:r>
      <w:r w:rsidRPr="001B0EA3">
        <w:rPr>
          <w:b/>
        </w:rPr>
        <w:fldChar w:fldCharType="separate"/>
      </w:r>
      <w:r w:rsidR="00F22141">
        <w:rPr>
          <w:b/>
        </w:rPr>
        <w:t>18.8.1</w:t>
      </w:r>
      <w:r w:rsidRPr="001B0EA3">
        <w:rPr>
          <w:b/>
        </w:rPr>
        <w:fldChar w:fldCharType="end"/>
      </w:r>
      <w:r w:rsidRPr="001B0EA3">
        <w:rPr>
          <w:b/>
        </w:rPr>
        <w:t xml:space="preserve">. </w:t>
      </w:r>
    </w:p>
    <w:p w14:paraId="7A64730D" w14:textId="77777777" w:rsidR="00D603F5" w:rsidRPr="001B0EA3" w:rsidRDefault="00D603F5" w:rsidP="00DD3FF3">
      <w:pPr>
        <w:pStyle w:val="ListParagraph"/>
        <w:numPr>
          <w:ilvl w:val="0"/>
          <w:numId w:val="314"/>
        </w:numPr>
        <w:ind w:left="0" w:firstLine="851"/>
      </w:pPr>
      <w:r w:rsidRPr="001B0EA3">
        <w:t>Когато даден „голям проект“  е оценен положително по време на прегледа на качеството от независими експерти, въз основа на тяхната оценка на информацията, посочена в член 101, първа алинея на Регламент (ЕС) №1303/2013 г., УО на ОПТТИ може да пристъпи към подбора на големия проект в съответствие с член 125, параграф 3 на същия регламент. За целта се сформира оценителна комисия, която продължава оценката на проектното предложение.</w:t>
      </w:r>
    </w:p>
    <w:p w14:paraId="7A9EAD42" w14:textId="77777777" w:rsidR="00D603F5" w:rsidRPr="001B0EA3" w:rsidRDefault="00D603F5" w:rsidP="00DD3FF3">
      <w:pPr>
        <w:pStyle w:val="ListParagraph"/>
        <w:numPr>
          <w:ilvl w:val="0"/>
          <w:numId w:val="314"/>
        </w:numPr>
        <w:ind w:left="0" w:firstLine="851"/>
      </w:pPr>
      <w:r w:rsidRPr="001B0EA3">
        <w:t xml:space="preserve">Председателя на оценителната комисия организира провеждането на първо заседание на оценителната комисия и подписване на декларации за липса на конфликт на интереси и поверителност, посочена в </w:t>
      </w:r>
      <w:r w:rsidRPr="00DD3FF3">
        <w:rPr>
          <w:b/>
        </w:rPr>
        <w:t xml:space="preserve">точка </w:t>
      </w:r>
      <w:r w:rsidRPr="00DD3FF3">
        <w:rPr>
          <w:b/>
        </w:rPr>
        <w:fldChar w:fldCharType="begin"/>
      </w:r>
      <w:r w:rsidRPr="00DD3FF3">
        <w:rPr>
          <w:b/>
        </w:rPr>
        <w:instrText xml:space="preserve"> REF _Ref406320259 \r \h  \* MERGEFORMAT </w:instrText>
      </w:r>
      <w:r w:rsidRPr="00DD3FF3">
        <w:rPr>
          <w:b/>
        </w:rPr>
      </w:r>
      <w:r w:rsidRPr="00DD3FF3">
        <w:rPr>
          <w:b/>
        </w:rPr>
        <w:fldChar w:fldCharType="separate"/>
      </w:r>
      <w:r w:rsidR="00F22141">
        <w:rPr>
          <w:b/>
        </w:rPr>
        <w:t>18.3.3</w:t>
      </w:r>
      <w:r w:rsidRPr="00DD3FF3">
        <w:rPr>
          <w:b/>
        </w:rPr>
        <w:fldChar w:fldCharType="end"/>
      </w:r>
      <w:r w:rsidRPr="00DD3FF3">
        <w:rPr>
          <w:b/>
        </w:rPr>
        <w:t xml:space="preserve"> подточка </w:t>
      </w:r>
      <w:r w:rsidRPr="00DD3FF3">
        <w:rPr>
          <w:b/>
        </w:rPr>
        <w:fldChar w:fldCharType="begin"/>
      </w:r>
      <w:r w:rsidRPr="00DD3FF3">
        <w:rPr>
          <w:b/>
        </w:rPr>
        <w:instrText xml:space="preserve"> REF _Ref406320240 \r \h  \* MERGEFORMAT </w:instrText>
      </w:r>
      <w:r w:rsidRPr="00DD3FF3">
        <w:rPr>
          <w:b/>
        </w:rPr>
      </w:r>
      <w:r w:rsidRPr="00DD3FF3">
        <w:rPr>
          <w:b/>
        </w:rPr>
        <w:fldChar w:fldCharType="separate"/>
      </w:r>
      <w:r w:rsidR="00F22141">
        <w:rPr>
          <w:b/>
        </w:rPr>
        <w:t>1)</w:t>
      </w:r>
      <w:r w:rsidRPr="00DD3FF3">
        <w:rPr>
          <w:b/>
        </w:rPr>
        <w:fldChar w:fldCharType="end"/>
      </w:r>
      <w:r w:rsidRPr="001B0EA3">
        <w:t>.</w:t>
      </w:r>
    </w:p>
    <w:p w14:paraId="3469C0C7" w14:textId="77777777" w:rsidR="00151BE3" w:rsidRPr="001B0EA3" w:rsidRDefault="00151BE3" w:rsidP="00DD3FF3">
      <w:pPr>
        <w:pStyle w:val="ListParagraph"/>
        <w:numPr>
          <w:ilvl w:val="0"/>
          <w:numId w:val="314"/>
        </w:numPr>
        <w:ind w:left="0" w:firstLine="851"/>
      </w:pPr>
      <w:r w:rsidRPr="00DD3FF3">
        <w:t>Председателя на оценителната комисия на първото заседание на комисията запознава всички членове на оценителната комисия с процедурата на оценка  на инвестиционни/ инфраструктурни предложения при процедури на директно предоставяне на</w:t>
      </w:r>
      <w:r w:rsidRPr="001B0EA3">
        <w:t xml:space="preserve"> БФП по ОПТТИ. </w:t>
      </w:r>
    </w:p>
    <w:p w14:paraId="58155940" w14:textId="77777777" w:rsidR="00D603F5" w:rsidRDefault="00D603F5" w:rsidP="00DD3FF3">
      <w:pPr>
        <w:rPr>
          <w:lang w:eastAsia="bg-BG"/>
        </w:rPr>
      </w:pPr>
      <w:r w:rsidRPr="001B0EA3">
        <w:rPr>
          <w:i/>
          <w:lang w:eastAsia="bg-BG"/>
        </w:rPr>
        <w:t>Срок за изпълнение:</w:t>
      </w:r>
      <w:r w:rsidRPr="001B0EA3">
        <w:rPr>
          <w:lang w:eastAsia="bg-BG"/>
        </w:rPr>
        <w:t xml:space="preserve"> До 3 работни дни от регистриране на решението за сформиране на оценителна комисия</w:t>
      </w:r>
    </w:p>
    <w:p w14:paraId="460DC69D" w14:textId="77777777" w:rsidR="00DD3FF3" w:rsidRPr="001B0EA3" w:rsidRDefault="00DD3FF3" w:rsidP="00DD3FF3">
      <w:pPr>
        <w:rPr>
          <w:lang w:eastAsia="bg-BG"/>
        </w:rPr>
      </w:pPr>
    </w:p>
    <w:p w14:paraId="19895120" w14:textId="77777777" w:rsidR="00FA0D80" w:rsidRPr="002B22AA" w:rsidRDefault="00FA0D80" w:rsidP="00FA0D80">
      <w:pPr>
        <w:pStyle w:val="ListParagraph"/>
        <w:numPr>
          <w:ilvl w:val="0"/>
          <w:numId w:val="314"/>
        </w:numPr>
        <w:tabs>
          <w:tab w:val="left" w:pos="1134"/>
        </w:tabs>
        <w:ind w:left="0" w:firstLine="851"/>
      </w:pPr>
      <w:r w:rsidRPr="001B0EA3">
        <w:t xml:space="preserve">Служител от УО, определен от Ръководителя на УО на ОПТТИ в решението по </w:t>
      </w:r>
      <w:r w:rsidRPr="00DD3FF3">
        <w:rPr>
          <w:b/>
        </w:rPr>
        <w:t xml:space="preserve">точка </w:t>
      </w:r>
      <w:r w:rsidRPr="00DD3FF3">
        <w:rPr>
          <w:b/>
        </w:rPr>
        <w:fldChar w:fldCharType="begin"/>
      </w:r>
      <w:r w:rsidRPr="00DD3FF3">
        <w:rPr>
          <w:b/>
        </w:rPr>
        <w:instrText xml:space="preserve"> REF _Ref406322050 \r \h  \* MERGEFORMAT </w:instrText>
      </w:r>
      <w:r w:rsidRPr="00DD3FF3">
        <w:rPr>
          <w:b/>
        </w:rPr>
      </w:r>
      <w:r w:rsidRPr="00DD3FF3">
        <w:rPr>
          <w:b/>
        </w:rPr>
        <w:fldChar w:fldCharType="separate"/>
      </w:r>
      <w:r w:rsidR="00F22141">
        <w:rPr>
          <w:b/>
        </w:rPr>
        <w:t>18.3.1</w:t>
      </w:r>
      <w:r w:rsidRPr="00DD3FF3">
        <w:rPr>
          <w:b/>
        </w:rPr>
        <w:fldChar w:fldCharType="end"/>
      </w:r>
      <w:r w:rsidRPr="001B0EA3">
        <w:t xml:space="preserve"> извършва проверката за липса на конфликт на интереси на членовете на оценителната комисия като спазва процедурата по </w:t>
      </w:r>
      <w:r w:rsidRPr="00DD3FF3">
        <w:rPr>
          <w:b/>
        </w:rPr>
        <w:t xml:space="preserve">точка </w:t>
      </w:r>
      <w:r w:rsidRPr="00DD3FF3">
        <w:rPr>
          <w:b/>
        </w:rPr>
        <w:fldChar w:fldCharType="begin"/>
      </w:r>
      <w:r w:rsidRPr="00DD3FF3">
        <w:rPr>
          <w:b/>
        </w:rPr>
        <w:instrText xml:space="preserve"> REF _Ref406320259 \r \h  \* MERGEFORMAT </w:instrText>
      </w:r>
      <w:r w:rsidRPr="00DD3FF3">
        <w:rPr>
          <w:b/>
        </w:rPr>
      </w:r>
      <w:r w:rsidRPr="00DD3FF3">
        <w:rPr>
          <w:b/>
        </w:rPr>
        <w:fldChar w:fldCharType="separate"/>
      </w:r>
      <w:r w:rsidR="00F22141">
        <w:rPr>
          <w:b/>
        </w:rPr>
        <w:t>18.3.3</w:t>
      </w:r>
      <w:r w:rsidRPr="00DD3FF3">
        <w:rPr>
          <w:b/>
        </w:rPr>
        <w:fldChar w:fldCharType="end"/>
      </w:r>
      <w:r w:rsidRPr="00DD3FF3">
        <w:t xml:space="preserve"> </w:t>
      </w:r>
      <w:r w:rsidRPr="001B0EA3">
        <w:t xml:space="preserve"> </w:t>
      </w:r>
      <w:r w:rsidRPr="002B22AA">
        <w:t xml:space="preserve">, като попълва контролен лист </w:t>
      </w:r>
      <w:hyperlink r:id="rId118" w:tooltip="Критерии  за осигуряване на информация за инвестиционни¦инфраструктурни проекти при извършването на оценка" w:history="1">
        <w:r w:rsidRPr="006A746B">
          <w:rPr>
            <w:rStyle w:val="Hyperlink"/>
            <w:i/>
            <w:color w:val="0070C0"/>
          </w:rPr>
          <w:t>Приложение № 3.0</w:t>
        </w:r>
      </w:hyperlink>
      <w:r w:rsidRPr="006A746B">
        <w:rPr>
          <w:i/>
          <w:color w:val="0070C0"/>
          <w:u w:val="single"/>
        </w:rPr>
        <w:t>4</w:t>
      </w:r>
      <w:r w:rsidRPr="002B22AA">
        <w:t xml:space="preserve"> в ИСУН 2020.</w:t>
      </w:r>
    </w:p>
    <w:p w14:paraId="43F9F52B" w14:textId="77777777" w:rsidR="00D603F5" w:rsidRDefault="00D603F5" w:rsidP="00DD3FF3">
      <w:pPr>
        <w:rPr>
          <w:lang w:eastAsia="bg-BG"/>
        </w:rPr>
      </w:pPr>
      <w:r w:rsidRPr="001B0EA3">
        <w:rPr>
          <w:i/>
          <w:lang w:eastAsia="bg-BG"/>
        </w:rPr>
        <w:t>Срок за изпълнение:</w:t>
      </w:r>
      <w:r w:rsidRPr="001B0EA3">
        <w:rPr>
          <w:lang w:eastAsia="bg-BG"/>
        </w:rPr>
        <w:t xml:space="preserve"> До 4 работн</w:t>
      </w:r>
      <w:r w:rsidR="00AB3088" w:rsidRPr="001B0EA3">
        <w:rPr>
          <w:lang w:eastAsia="bg-BG"/>
        </w:rPr>
        <w:t>и</w:t>
      </w:r>
      <w:r w:rsidRPr="001B0EA3">
        <w:rPr>
          <w:lang w:eastAsia="bg-BG"/>
        </w:rPr>
        <w:t xml:space="preserve"> дн</w:t>
      </w:r>
      <w:r w:rsidR="00AB3088" w:rsidRPr="001B0EA3">
        <w:rPr>
          <w:lang w:eastAsia="bg-BG"/>
        </w:rPr>
        <w:t>и</w:t>
      </w:r>
      <w:r w:rsidRPr="001B0EA3">
        <w:rPr>
          <w:lang w:eastAsia="bg-BG"/>
        </w:rPr>
        <w:t xml:space="preserve"> от регистриране на Решението за сформиране на оценителна комисия по </w:t>
      </w:r>
      <w:r w:rsidRPr="001B0EA3">
        <w:rPr>
          <w:b/>
          <w:lang w:eastAsia="bg-BG"/>
        </w:rPr>
        <w:t xml:space="preserve">точка </w:t>
      </w:r>
      <w:r w:rsidRPr="001B0EA3">
        <w:rPr>
          <w:b/>
        </w:rPr>
        <w:fldChar w:fldCharType="begin"/>
      </w:r>
      <w:r w:rsidRPr="001B0EA3">
        <w:rPr>
          <w:b/>
        </w:rPr>
        <w:instrText xml:space="preserve"> REF _Ref406320259 \r \h  \* MERGEFORMAT </w:instrText>
      </w:r>
      <w:r w:rsidRPr="001B0EA3">
        <w:rPr>
          <w:b/>
        </w:rPr>
      </w:r>
      <w:r w:rsidRPr="001B0EA3">
        <w:rPr>
          <w:b/>
        </w:rPr>
        <w:fldChar w:fldCharType="separate"/>
      </w:r>
      <w:r w:rsidR="00F22141">
        <w:rPr>
          <w:b/>
          <w:lang w:eastAsia="bg-BG"/>
        </w:rPr>
        <w:t>18.3.3</w:t>
      </w:r>
      <w:r w:rsidRPr="001B0EA3">
        <w:rPr>
          <w:b/>
        </w:rPr>
        <w:fldChar w:fldCharType="end"/>
      </w:r>
      <w:r w:rsidRPr="001B0EA3">
        <w:rPr>
          <w:b/>
          <w:lang w:eastAsia="bg-BG"/>
        </w:rPr>
        <w:t xml:space="preserve">  подточка </w:t>
      </w:r>
      <w:r w:rsidRPr="001B0EA3">
        <w:fldChar w:fldCharType="begin"/>
      </w:r>
      <w:r w:rsidRPr="001B0EA3">
        <w:instrText xml:space="preserve"> REF _Ref406320240 \r \h  \* MERGEFORMAT </w:instrText>
      </w:r>
      <w:r w:rsidRPr="001B0EA3">
        <w:fldChar w:fldCharType="separate"/>
      </w:r>
      <w:r w:rsidR="00F22141" w:rsidRPr="00F22141">
        <w:rPr>
          <w:b/>
          <w:lang w:eastAsia="bg-BG"/>
        </w:rPr>
        <w:t>1)</w:t>
      </w:r>
      <w:r w:rsidRPr="001B0EA3">
        <w:fldChar w:fldCharType="end"/>
      </w:r>
      <w:r w:rsidRPr="001B0EA3">
        <w:rPr>
          <w:lang w:eastAsia="bg-BG"/>
        </w:rPr>
        <w:t>.</w:t>
      </w:r>
    </w:p>
    <w:p w14:paraId="673F4377" w14:textId="77777777" w:rsidR="00DD3FF3" w:rsidRPr="001B0EA3" w:rsidRDefault="00DD3FF3" w:rsidP="00DD3FF3">
      <w:pPr>
        <w:rPr>
          <w:lang w:eastAsia="bg-BG"/>
        </w:rPr>
      </w:pPr>
    </w:p>
    <w:p w14:paraId="010C2C10" w14:textId="77777777" w:rsidR="00D603F5" w:rsidRPr="001B0EA3" w:rsidRDefault="00D603F5" w:rsidP="00DD3FF3">
      <w:pPr>
        <w:pStyle w:val="ListParagraph"/>
        <w:numPr>
          <w:ilvl w:val="0"/>
          <w:numId w:val="314"/>
        </w:numPr>
        <w:ind w:left="0" w:firstLine="851"/>
      </w:pPr>
      <w:bookmarkStart w:id="623" w:name="_Ref408303154"/>
      <w:r w:rsidRPr="001B0EA3">
        <w:t>Оценителната комисия, като взема предвид положителното становище на независимите експерти („преглед на качеството“) извършва оценка на проектните предложения, включваща оценка на административното съответствие и допустимостта и оценява проектното предложение като:</w:t>
      </w:r>
      <w:bookmarkEnd w:id="623"/>
      <w:r w:rsidRPr="001B0EA3">
        <w:t xml:space="preserve"> </w:t>
      </w:r>
    </w:p>
    <w:p w14:paraId="4B0310A4" w14:textId="77777777" w:rsidR="00D603F5" w:rsidRPr="00DD3FF3" w:rsidRDefault="00D603F5" w:rsidP="00046D61">
      <w:pPr>
        <w:pStyle w:val="ListParagraph"/>
        <w:numPr>
          <w:ilvl w:val="1"/>
          <w:numId w:val="316"/>
        </w:numPr>
        <w:tabs>
          <w:tab w:val="left" w:pos="851"/>
        </w:tabs>
        <w:rPr>
          <w:szCs w:val="24"/>
        </w:rPr>
      </w:pPr>
      <w:r w:rsidRPr="00DD3FF3">
        <w:rPr>
          <w:szCs w:val="24"/>
        </w:rPr>
        <w:t>прилага подходящите процедури и критерии за подбор;</w:t>
      </w:r>
    </w:p>
    <w:p w14:paraId="4FA25193" w14:textId="77777777" w:rsidR="00D603F5" w:rsidRPr="00DD3FF3" w:rsidRDefault="00D603F5" w:rsidP="00046D61">
      <w:pPr>
        <w:pStyle w:val="ListParagraph"/>
        <w:numPr>
          <w:ilvl w:val="1"/>
          <w:numId w:val="316"/>
        </w:numPr>
        <w:rPr>
          <w:szCs w:val="24"/>
        </w:rPr>
      </w:pPr>
      <w:r w:rsidRPr="00DD3FF3">
        <w:rPr>
          <w:szCs w:val="24"/>
        </w:rPr>
        <w:t xml:space="preserve">проверява, дали избраната операция попада в обхвата на съответния фонд (КФ, ЕФРР) и може да бъде включена в категория интервенции; </w:t>
      </w:r>
    </w:p>
    <w:p w14:paraId="21204C38" w14:textId="77777777" w:rsidR="00D603F5" w:rsidRPr="00DD3FF3" w:rsidRDefault="00D603F5" w:rsidP="00046D61">
      <w:pPr>
        <w:pStyle w:val="ListParagraph"/>
        <w:numPr>
          <w:ilvl w:val="1"/>
          <w:numId w:val="316"/>
        </w:numPr>
        <w:rPr>
          <w:szCs w:val="24"/>
        </w:rPr>
      </w:pPr>
      <w:r w:rsidRPr="00DD3FF3">
        <w:rPr>
          <w:szCs w:val="24"/>
        </w:rPr>
        <w:t xml:space="preserve">проверява, дали на бенефициента е предоставен документ, в който се посочват условията за подпомагане за всяка операция, включително специфичните изисквания за продуктите или услугите, които трябва да бъдат доставени по съответната операция, плана за финансиране и крайните срокове за изпълнение; </w:t>
      </w:r>
    </w:p>
    <w:p w14:paraId="6F18D5AF" w14:textId="77777777" w:rsidR="00D603F5" w:rsidRPr="00DD3FF3" w:rsidRDefault="00D603F5" w:rsidP="00046D61">
      <w:pPr>
        <w:pStyle w:val="ListParagraph"/>
        <w:numPr>
          <w:ilvl w:val="1"/>
          <w:numId w:val="316"/>
        </w:numPr>
        <w:rPr>
          <w:szCs w:val="24"/>
        </w:rPr>
      </w:pPr>
      <w:r w:rsidRPr="00DD3FF3">
        <w:rPr>
          <w:szCs w:val="24"/>
        </w:rPr>
        <w:t xml:space="preserve">потвърждава, че бенефициентът разполага с необходимия административен, финансов и оперативен капацитет за изпълнение на условията, посочени в буква в), преди одобряването на операцията; </w:t>
      </w:r>
    </w:p>
    <w:p w14:paraId="26CA9682" w14:textId="77777777" w:rsidR="00D603F5" w:rsidRPr="00DD3FF3" w:rsidRDefault="00D603F5" w:rsidP="00046D61">
      <w:pPr>
        <w:pStyle w:val="ListParagraph"/>
        <w:numPr>
          <w:ilvl w:val="1"/>
          <w:numId w:val="316"/>
        </w:numPr>
        <w:rPr>
          <w:szCs w:val="24"/>
        </w:rPr>
      </w:pPr>
      <w:r w:rsidRPr="00DD3FF3">
        <w:rPr>
          <w:szCs w:val="24"/>
        </w:rPr>
        <w:t xml:space="preserve">се уверява, че когато операцията е започнала преди подаването на заявление за финансиране до управляващия орган, приложимо право, касаещо операцията, са били спазени; </w:t>
      </w:r>
    </w:p>
    <w:p w14:paraId="44FCBD7C" w14:textId="77777777" w:rsidR="00D603F5" w:rsidRPr="00DD3FF3" w:rsidRDefault="00D603F5" w:rsidP="00046D61">
      <w:pPr>
        <w:pStyle w:val="ListParagraph"/>
        <w:numPr>
          <w:ilvl w:val="1"/>
          <w:numId w:val="316"/>
        </w:numPr>
        <w:rPr>
          <w:szCs w:val="24"/>
        </w:rPr>
      </w:pPr>
      <w:r w:rsidRPr="00DD3FF3">
        <w:rPr>
          <w:szCs w:val="24"/>
        </w:rPr>
        <w:t xml:space="preserve">гарантира, че операциите, избрани да получат подкрепа от фондовете, не включват дейности, които са били част от операция, която е била или е трябвало да бъде обект на процедура за събиране в съответствие с член 71 след преместване на производствена дейност извън програмния район; </w:t>
      </w:r>
    </w:p>
    <w:p w14:paraId="2EFE2A18" w14:textId="77777777" w:rsidR="00D603F5" w:rsidRPr="00DD3FF3" w:rsidRDefault="00D603F5" w:rsidP="00046D61">
      <w:pPr>
        <w:pStyle w:val="ListParagraph"/>
        <w:numPr>
          <w:ilvl w:val="1"/>
          <w:numId w:val="316"/>
        </w:numPr>
        <w:rPr>
          <w:szCs w:val="24"/>
        </w:rPr>
      </w:pPr>
      <w:r w:rsidRPr="00DD3FF3">
        <w:rPr>
          <w:szCs w:val="24"/>
        </w:rPr>
        <w:t>определя категориите интервенции към които се приписват разходите по дадена операция.</w:t>
      </w:r>
    </w:p>
    <w:p w14:paraId="67A1B1B5" w14:textId="77777777" w:rsidR="00D603F5" w:rsidRDefault="00D603F5" w:rsidP="00DD3FF3">
      <w:pPr>
        <w:rPr>
          <w:lang w:eastAsia="bg-BG"/>
        </w:rPr>
      </w:pPr>
      <w:r w:rsidRPr="001B0EA3">
        <w:rPr>
          <w:i/>
          <w:lang w:eastAsia="bg-BG"/>
        </w:rPr>
        <w:lastRenderedPageBreak/>
        <w:t>Срок за изпълнение:</w:t>
      </w:r>
      <w:r w:rsidRPr="001B0EA3">
        <w:rPr>
          <w:lang w:eastAsia="bg-BG"/>
        </w:rPr>
        <w:t xml:space="preserve"> Съгласно срока, посочен в Решението за сформиране на оценителна комисия, но не повече от </w:t>
      </w:r>
      <w:r w:rsidR="00AB3088" w:rsidRPr="001B0EA3">
        <w:rPr>
          <w:lang w:eastAsia="bg-BG"/>
        </w:rPr>
        <w:t>три месеца от датата на подаването им</w:t>
      </w:r>
      <w:r w:rsidR="00AB3088" w:rsidRPr="001B0EA3" w:rsidDel="00AB3088">
        <w:rPr>
          <w:lang w:eastAsia="bg-BG"/>
        </w:rPr>
        <w:t xml:space="preserve"> </w:t>
      </w:r>
      <w:r w:rsidRPr="001B0EA3">
        <w:rPr>
          <w:lang w:eastAsia="bg-BG"/>
        </w:rPr>
        <w:t>.</w:t>
      </w:r>
    </w:p>
    <w:p w14:paraId="412B6889" w14:textId="77777777" w:rsidR="00DD3FF3" w:rsidRPr="001B0EA3" w:rsidRDefault="00DD3FF3" w:rsidP="00DD3FF3">
      <w:pPr>
        <w:rPr>
          <w:lang w:eastAsia="bg-BG"/>
        </w:rPr>
      </w:pPr>
    </w:p>
    <w:p w14:paraId="39562C4F" w14:textId="77777777" w:rsidR="00D603F5" w:rsidRPr="001B0EA3" w:rsidRDefault="00D603F5" w:rsidP="00DD3FF3">
      <w:pPr>
        <w:pStyle w:val="ListParagraph"/>
        <w:numPr>
          <w:ilvl w:val="0"/>
          <w:numId w:val="314"/>
        </w:numPr>
        <w:ind w:left="0" w:firstLine="851"/>
      </w:pPr>
      <w:r w:rsidRPr="001B0EA3">
        <w:t xml:space="preserve">В случаи на установени в процеса на оценка непълноти и/или нередовности на проектното предложение, то може да бъде връщано мотивирано на конкретния бенефициент при спазване на процедурата по </w:t>
      </w:r>
      <w:r w:rsidRPr="00DD3FF3">
        <w:rPr>
          <w:b/>
        </w:rPr>
        <w:t xml:space="preserve">точка </w:t>
      </w:r>
      <w:r w:rsidRPr="00DD3FF3">
        <w:rPr>
          <w:b/>
        </w:rPr>
        <w:fldChar w:fldCharType="begin"/>
      </w:r>
      <w:r w:rsidRPr="00DD3FF3">
        <w:rPr>
          <w:b/>
        </w:rPr>
        <w:instrText xml:space="preserve"> REF _Ref395626228 \r \h  \* MERGEFORMAT </w:instrText>
      </w:r>
      <w:r w:rsidRPr="00DD3FF3">
        <w:rPr>
          <w:b/>
        </w:rPr>
      </w:r>
      <w:r w:rsidRPr="00DD3FF3">
        <w:rPr>
          <w:b/>
        </w:rPr>
        <w:fldChar w:fldCharType="separate"/>
      </w:r>
      <w:r w:rsidR="00F22141">
        <w:rPr>
          <w:b/>
        </w:rPr>
        <w:t>18.11</w:t>
      </w:r>
      <w:r w:rsidRPr="00DD3FF3">
        <w:rPr>
          <w:b/>
        </w:rPr>
        <w:fldChar w:fldCharType="end"/>
      </w:r>
      <w:r w:rsidRPr="001B0EA3">
        <w:t>.</w:t>
      </w:r>
    </w:p>
    <w:p w14:paraId="39EE92B0" w14:textId="77777777" w:rsidR="00222D54" w:rsidRPr="001B0EA3" w:rsidRDefault="00222D54" w:rsidP="00222D54">
      <w:pPr>
        <w:pStyle w:val="ListParagraph"/>
        <w:numPr>
          <w:ilvl w:val="0"/>
          <w:numId w:val="314"/>
        </w:numPr>
        <w:ind w:left="0" w:firstLine="851"/>
      </w:pPr>
      <w:r w:rsidRPr="001B0EA3">
        <w:t xml:space="preserve">Член на оценителната комисия, определен от председателя й извършва проверка за съответствие с правилата за допустимите държавни/ минимални помощи, съгласно </w:t>
      </w:r>
      <w:r w:rsidRPr="00DD3FF3">
        <w:t xml:space="preserve"> глава „Държавни помощи“. </w:t>
      </w:r>
      <w:r w:rsidRPr="001B0EA3">
        <w:t xml:space="preserve">Резултатите от проверката се записват в Контролен лист – </w:t>
      </w:r>
      <w:r w:rsidRPr="00DD3FF3">
        <w:t>(</w:t>
      </w:r>
      <w:hyperlink r:id="rId119" w:tooltip="Контролен лист за предварителна оценка за  определяне наличието на държавна помощ - Тест за държавна помощ - изключения" w:history="1">
        <w:r w:rsidRPr="00251D03">
          <w:rPr>
            <w:rStyle w:val="Hyperlink"/>
            <w:i/>
          </w:rPr>
          <w:t>Приложение № 2.02</w:t>
        </w:r>
      </w:hyperlink>
      <w:r w:rsidRPr="00DD3FF3">
        <w:rPr>
          <w:b/>
          <w:i/>
        </w:rPr>
        <w:t xml:space="preserve">, </w:t>
      </w:r>
      <w:hyperlink r:id="rId120" w:tooltip="Контролен лист за предварителна оценка за определяне на приложим към мярката режим  на съвместима държавна помощ" w:history="1">
        <w:r w:rsidRPr="00251D03">
          <w:rPr>
            <w:rStyle w:val="Hyperlink"/>
            <w:i/>
          </w:rPr>
          <w:t>Приложение № 2.03</w:t>
        </w:r>
      </w:hyperlink>
      <w:r w:rsidRPr="00DD3FF3">
        <w:rPr>
          <w:b/>
          <w:i/>
        </w:rPr>
        <w:t xml:space="preserve"> </w:t>
      </w:r>
      <w:r>
        <w:t xml:space="preserve">в ИСУН 2020 </w:t>
      </w:r>
      <w:r w:rsidRPr="00DD3FF3">
        <w:rPr>
          <w:b/>
          <w:i/>
        </w:rPr>
        <w:t>– ако е приложимо</w:t>
      </w:r>
      <w:r w:rsidRPr="00DD3FF3">
        <w:t>).</w:t>
      </w:r>
      <w:r w:rsidRPr="001B0EA3">
        <w:t xml:space="preserve"> Председателят на оценителната комисия извършва втора проверка на попълнения контролен лист</w:t>
      </w:r>
      <w:r w:rsidR="009D7849">
        <w:t xml:space="preserve"> в системата</w:t>
      </w:r>
      <w:r w:rsidRPr="001B0EA3">
        <w:t>.</w:t>
      </w:r>
    </w:p>
    <w:p w14:paraId="107E486D" w14:textId="77777777" w:rsidR="00387665" w:rsidRPr="001B0EA3" w:rsidRDefault="00876228" w:rsidP="00DD3FF3">
      <w:pPr>
        <w:pStyle w:val="ListParagraph"/>
        <w:numPr>
          <w:ilvl w:val="0"/>
          <w:numId w:val="314"/>
        </w:numPr>
        <w:ind w:left="0" w:firstLine="851"/>
      </w:pPr>
      <w:r w:rsidRPr="001B0EA3">
        <w:t xml:space="preserve">Всеки оценител с право на глас в съответствие с процедурата по </w:t>
      </w:r>
      <w:r w:rsidRPr="00DD3FF3">
        <w:rPr>
          <w:b/>
        </w:rPr>
        <w:t xml:space="preserve">точка </w:t>
      </w:r>
      <w:r w:rsidRPr="00DD3FF3">
        <w:rPr>
          <w:b/>
        </w:rPr>
        <w:fldChar w:fldCharType="begin"/>
      </w:r>
      <w:r w:rsidRPr="00DD3FF3">
        <w:rPr>
          <w:b/>
        </w:rPr>
        <w:instrText xml:space="preserve"> REF _Ref413933205 \r \h </w:instrText>
      </w:r>
      <w:r w:rsidR="008B5397" w:rsidRPr="00DD3FF3">
        <w:rPr>
          <w:b/>
        </w:rPr>
        <w:instrText xml:space="preserve"> \* MERGEFORMAT </w:instrText>
      </w:r>
      <w:r w:rsidRPr="00DD3FF3">
        <w:rPr>
          <w:b/>
        </w:rPr>
      </w:r>
      <w:r w:rsidRPr="00DD3FF3">
        <w:rPr>
          <w:b/>
        </w:rPr>
        <w:fldChar w:fldCharType="separate"/>
      </w:r>
      <w:r w:rsidR="00F22141">
        <w:rPr>
          <w:b/>
        </w:rPr>
        <w:t>18.13</w:t>
      </w:r>
      <w:r w:rsidRPr="00DD3FF3">
        <w:rPr>
          <w:b/>
        </w:rPr>
        <w:fldChar w:fldCharType="end"/>
      </w:r>
      <w:r w:rsidRPr="001B0EA3">
        <w:t xml:space="preserve"> „Оценителни таблици“ отразява резултатите от извършената оценка </w:t>
      </w:r>
      <w:r w:rsidR="00387665" w:rsidRPr="001B0EA3">
        <w:t xml:space="preserve">по </w:t>
      </w:r>
      <w:r w:rsidR="00387665" w:rsidRPr="00DD3FF3">
        <w:rPr>
          <w:b/>
        </w:rPr>
        <w:t xml:space="preserve">подточка </w:t>
      </w:r>
      <w:r w:rsidR="00387665" w:rsidRPr="00DD3FF3">
        <w:rPr>
          <w:b/>
        </w:rPr>
        <w:fldChar w:fldCharType="begin"/>
      </w:r>
      <w:r w:rsidR="00387665" w:rsidRPr="00DD3FF3">
        <w:rPr>
          <w:b/>
        </w:rPr>
        <w:instrText xml:space="preserve"> REF _Ref408303154 \r \h  \* MERGEFORMAT </w:instrText>
      </w:r>
      <w:r w:rsidR="00387665" w:rsidRPr="00DD3FF3">
        <w:rPr>
          <w:b/>
        </w:rPr>
      </w:r>
      <w:r w:rsidR="00387665" w:rsidRPr="00DD3FF3">
        <w:rPr>
          <w:b/>
        </w:rPr>
        <w:fldChar w:fldCharType="separate"/>
      </w:r>
      <w:r w:rsidR="00F22141">
        <w:rPr>
          <w:b/>
        </w:rPr>
        <w:t>5)</w:t>
      </w:r>
      <w:r w:rsidR="00387665" w:rsidRPr="00DD3FF3">
        <w:rPr>
          <w:b/>
        </w:rPr>
        <w:fldChar w:fldCharType="end"/>
      </w:r>
      <w:r w:rsidR="00387665" w:rsidRPr="00DD3FF3">
        <w:t xml:space="preserve"> </w:t>
      </w:r>
      <w:r w:rsidRPr="001B0EA3">
        <w:t xml:space="preserve">в приложимата оценителна таблица: </w:t>
      </w:r>
      <w:hyperlink r:id="rId121" w:tooltip="Оценителна таблица за извършена оценка на  проектни предложения за инвестиционни¦инфраструктурни проекти" w:history="1">
        <w:r w:rsidR="00AE381A" w:rsidRPr="00251D03">
          <w:rPr>
            <w:rStyle w:val="Hyperlink"/>
            <w:i/>
          </w:rPr>
          <w:t>Приложение № 3.06.1</w:t>
        </w:r>
      </w:hyperlink>
      <w:r w:rsidR="008471E1" w:rsidRPr="00DD3FF3">
        <w:t xml:space="preserve"> </w:t>
      </w:r>
      <w:r w:rsidR="008471E1" w:rsidRPr="001B0EA3">
        <w:t>в ИСУН 2020</w:t>
      </w:r>
      <w:r w:rsidRPr="001B0EA3">
        <w:t>, съдържаща мотивирано заключение, направено по време на цялостната оценка по отношение на критериите за оценка на проекта</w:t>
      </w:r>
      <w:r w:rsidR="00387665" w:rsidRPr="001B0EA3">
        <w:t xml:space="preserve"> и в съответствие с критериите за оценка на проекти, съгласно Насоките за кандидатстване по ОПТТИ.</w:t>
      </w:r>
    </w:p>
    <w:p w14:paraId="57AD32F2" w14:textId="77777777" w:rsidR="002B6F7A" w:rsidRPr="001B0EA3" w:rsidRDefault="002B6F7A" w:rsidP="002B6F7A">
      <w:pPr>
        <w:pStyle w:val="ListParagraph"/>
        <w:numPr>
          <w:ilvl w:val="0"/>
          <w:numId w:val="314"/>
        </w:numPr>
        <w:ind w:left="0" w:firstLine="851"/>
      </w:pPr>
      <w:r w:rsidRPr="001B0EA3">
        <w:t xml:space="preserve">Член на оценителната комисия, определен от председателя й извършва проверка за липса на двойно финансиране, съгласно процедурата по </w:t>
      </w:r>
      <w:r w:rsidRPr="00DD3FF3">
        <w:rPr>
          <w:b/>
        </w:rPr>
        <w:t xml:space="preserve">точка </w:t>
      </w:r>
      <w:r w:rsidRPr="00DD3FF3">
        <w:rPr>
          <w:b/>
        </w:rPr>
        <w:fldChar w:fldCharType="begin"/>
      </w:r>
      <w:r w:rsidRPr="00DD3FF3">
        <w:rPr>
          <w:b/>
        </w:rPr>
        <w:instrText xml:space="preserve"> REF _Ref406323209 \r \h  \* MERGEFORMAT </w:instrText>
      </w:r>
      <w:r w:rsidRPr="00DD3FF3">
        <w:rPr>
          <w:b/>
        </w:rPr>
      </w:r>
      <w:r w:rsidRPr="00DD3FF3">
        <w:rPr>
          <w:b/>
        </w:rPr>
        <w:fldChar w:fldCharType="separate"/>
      </w:r>
      <w:r w:rsidR="00F22141">
        <w:rPr>
          <w:b/>
        </w:rPr>
        <w:t>18.12</w:t>
      </w:r>
      <w:r w:rsidRPr="00DD3FF3">
        <w:rPr>
          <w:b/>
        </w:rPr>
        <w:fldChar w:fldCharType="end"/>
      </w:r>
      <w:r w:rsidRPr="001B0EA3">
        <w:t xml:space="preserve"> и резултатите от проверката се записват в Контролен лист (</w:t>
      </w:r>
      <w:hyperlink r:id="rId122" w:tooltip="Контролен лист за извършена проверка в ИСУН за липса на двойно финансиране" w:history="1">
        <w:r w:rsidRPr="00251D03">
          <w:rPr>
            <w:rStyle w:val="Hyperlink"/>
            <w:i/>
          </w:rPr>
          <w:t>Приложение № 3.08</w:t>
        </w:r>
      </w:hyperlink>
      <w:r w:rsidRPr="00DD3FF3">
        <w:t>)</w:t>
      </w:r>
      <w:r>
        <w:t xml:space="preserve"> в ИСУН 2020</w:t>
      </w:r>
      <w:r w:rsidRPr="001B0EA3">
        <w:t>. Председателят на оценителната комисия извършва втора проверка на попълнения контролен лист</w:t>
      </w:r>
      <w:r w:rsidR="008337C1">
        <w:t xml:space="preserve"> в системата</w:t>
      </w:r>
      <w:r w:rsidRPr="001B0EA3">
        <w:t>.</w:t>
      </w:r>
    </w:p>
    <w:p w14:paraId="2A885458" w14:textId="77777777" w:rsidR="00D603F5" w:rsidRPr="001B0EA3" w:rsidRDefault="00D603F5" w:rsidP="00DD3FF3">
      <w:pPr>
        <w:pStyle w:val="ListParagraph"/>
        <w:numPr>
          <w:ilvl w:val="0"/>
          <w:numId w:val="314"/>
        </w:numPr>
        <w:ind w:left="0" w:firstLine="851"/>
      </w:pPr>
      <w:r w:rsidRPr="001B0EA3">
        <w:t xml:space="preserve">Оценителната комисия изготвя доклад в съответствие с процедурата по </w:t>
      </w:r>
      <w:r w:rsidRPr="00DD3FF3">
        <w:rPr>
          <w:b/>
        </w:rPr>
        <w:t xml:space="preserve">точка </w:t>
      </w:r>
      <w:r w:rsidR="00426D98" w:rsidRPr="00DD3FF3">
        <w:rPr>
          <w:b/>
        </w:rPr>
        <w:fldChar w:fldCharType="begin"/>
      </w:r>
      <w:r w:rsidR="00426D98" w:rsidRPr="00DD3FF3">
        <w:rPr>
          <w:b/>
        </w:rPr>
        <w:instrText xml:space="preserve"> REF _Ref406325382 \r \h </w:instrText>
      </w:r>
      <w:r w:rsidR="008B5397" w:rsidRPr="00DD3FF3">
        <w:rPr>
          <w:b/>
        </w:rPr>
        <w:instrText xml:space="preserve"> \* MERGEFORMAT </w:instrText>
      </w:r>
      <w:r w:rsidR="00426D98" w:rsidRPr="00DD3FF3">
        <w:rPr>
          <w:b/>
        </w:rPr>
      </w:r>
      <w:r w:rsidR="00426D98" w:rsidRPr="00DD3FF3">
        <w:rPr>
          <w:b/>
        </w:rPr>
        <w:fldChar w:fldCharType="separate"/>
      </w:r>
      <w:r w:rsidR="00F22141">
        <w:rPr>
          <w:b/>
        </w:rPr>
        <w:t>18.14</w:t>
      </w:r>
      <w:r w:rsidR="00426D98" w:rsidRPr="00DD3FF3">
        <w:rPr>
          <w:b/>
        </w:rPr>
        <w:fldChar w:fldCharType="end"/>
      </w:r>
      <w:r w:rsidRPr="001B0EA3">
        <w:t xml:space="preserve"> „Доклад на оценителна комисия“ (</w:t>
      </w:r>
      <w:hyperlink r:id="rId123" w:tooltip="Доклад за извършена оценка на проектно предложение" w:history="1">
        <w:r w:rsidR="00AE381A" w:rsidRPr="00251D03">
          <w:rPr>
            <w:rStyle w:val="Hyperlink"/>
            <w:i/>
          </w:rPr>
          <w:t>Приложение № 3.07</w:t>
        </w:r>
      </w:hyperlink>
      <w:r w:rsidRPr="001B0EA3">
        <w:t>).</w:t>
      </w:r>
    </w:p>
    <w:p w14:paraId="4B18730F" w14:textId="77777777" w:rsidR="00D603F5" w:rsidRDefault="00D603F5" w:rsidP="00046D61">
      <w:pPr>
        <w:tabs>
          <w:tab w:val="left" w:pos="993"/>
        </w:tabs>
        <w:contextualSpacing/>
        <w:rPr>
          <w:szCs w:val="24"/>
          <w:lang w:eastAsia="bg-BG"/>
        </w:rPr>
      </w:pPr>
      <w:r w:rsidRPr="001B0EA3">
        <w:rPr>
          <w:i/>
          <w:szCs w:val="24"/>
          <w:lang w:eastAsia="bg-BG"/>
        </w:rPr>
        <w:t>Срок за изпълнение:</w:t>
      </w:r>
      <w:r w:rsidRPr="001B0EA3">
        <w:rPr>
          <w:szCs w:val="24"/>
          <w:lang w:eastAsia="bg-BG"/>
        </w:rPr>
        <w:t xml:space="preserve"> в съответствие със срока, посочен в решението за сформиране на оценителна комисия, но не повече от </w:t>
      </w:r>
      <w:r w:rsidR="008471E1" w:rsidRPr="001B0EA3">
        <w:rPr>
          <w:szCs w:val="24"/>
          <w:lang w:eastAsia="bg-BG"/>
        </w:rPr>
        <w:t>три месеца от подаване на проектното предложение.</w:t>
      </w:r>
    </w:p>
    <w:p w14:paraId="0402DE0B" w14:textId="77777777" w:rsidR="00DD3FF3" w:rsidRPr="001B0EA3" w:rsidRDefault="00DD3FF3" w:rsidP="00046D61">
      <w:pPr>
        <w:tabs>
          <w:tab w:val="left" w:pos="993"/>
        </w:tabs>
        <w:contextualSpacing/>
        <w:rPr>
          <w:szCs w:val="24"/>
          <w:lang w:eastAsia="bg-BG"/>
        </w:rPr>
      </w:pPr>
    </w:p>
    <w:p w14:paraId="7D0D0C6E" w14:textId="77777777" w:rsidR="00D06B71" w:rsidRPr="00A2772B" w:rsidRDefault="00D06B71" w:rsidP="00DD3FF3">
      <w:pPr>
        <w:pStyle w:val="ListParagraph"/>
        <w:numPr>
          <w:ilvl w:val="0"/>
          <w:numId w:val="314"/>
        </w:numPr>
        <w:ind w:left="0" w:firstLine="851"/>
      </w:pPr>
      <w:r w:rsidRPr="00DD3FF3">
        <w:t xml:space="preserve">Началникът на отдел „Програмиране” се запознава с оценения ФК, </w:t>
      </w:r>
      <w:r w:rsidR="00FC2D10" w:rsidRPr="00DD3FF3">
        <w:t xml:space="preserve">оценителния </w:t>
      </w:r>
      <w:r w:rsidRPr="00DD3FF3">
        <w:t xml:space="preserve">доклад, </w:t>
      </w:r>
      <w:r w:rsidR="008471E1" w:rsidRPr="00DD3FF3">
        <w:t xml:space="preserve">с отразени резултати от оценителните таблици на оценителите, </w:t>
      </w:r>
      <w:r w:rsidRPr="00DD3FF3">
        <w:t xml:space="preserve">контролни листа и всички документи свързани с процеса на извършване на оценката </w:t>
      </w:r>
      <w:r w:rsidR="00FC2D10" w:rsidRPr="00DD3FF3">
        <w:t>на ФК</w:t>
      </w:r>
      <w:r w:rsidRPr="00DD3FF3">
        <w:t xml:space="preserve"> за извършване на проверка на процедурата и попълва </w:t>
      </w:r>
      <w:hyperlink r:id="rId124" w:tooltip="Контролен лист за проверка на процедурата на извършена оценка на проектно предложение" w:history="1">
        <w:r w:rsidR="00AE381A" w:rsidRPr="00251D03">
          <w:rPr>
            <w:rStyle w:val="Hyperlink"/>
            <w:i/>
          </w:rPr>
          <w:t>Приложение № 3.09</w:t>
        </w:r>
      </w:hyperlink>
      <w:r w:rsidR="00D321C9">
        <w:rPr>
          <w:rStyle w:val="Hyperlink"/>
          <w:u w:val="none"/>
        </w:rPr>
        <w:t xml:space="preserve"> </w:t>
      </w:r>
      <w:r w:rsidR="00D321C9" w:rsidRPr="0032704A">
        <w:rPr>
          <w:rStyle w:val="Hyperlink"/>
          <w:color w:val="auto"/>
          <w:u w:val="none"/>
        </w:rPr>
        <w:t>в ИСУН 2020.</w:t>
      </w:r>
    </w:p>
    <w:p w14:paraId="78A2E041" w14:textId="77777777" w:rsidR="00D06B71" w:rsidRPr="001B0EA3" w:rsidRDefault="00D06B71" w:rsidP="009412B9">
      <w:pPr>
        <w:rPr>
          <w:lang w:eastAsia="bg-BG"/>
        </w:rPr>
      </w:pPr>
      <w:r w:rsidRPr="001B0EA3">
        <w:rPr>
          <w:i/>
          <w:lang w:eastAsia="bg-BG"/>
        </w:rPr>
        <w:t>Срок за изпълнение:</w:t>
      </w:r>
      <w:r w:rsidRPr="001B0EA3">
        <w:rPr>
          <w:lang w:eastAsia="bg-BG"/>
        </w:rPr>
        <w:t xml:space="preserve"> До 5 работни дни от представянето на документите</w:t>
      </w:r>
    </w:p>
    <w:p w14:paraId="1B82070A" w14:textId="77777777" w:rsidR="00D06B71" w:rsidRPr="001B0EA3" w:rsidRDefault="00D06B71" w:rsidP="00046D61">
      <w:pPr>
        <w:pStyle w:val="ListParagraph"/>
        <w:ind w:left="0"/>
        <w:rPr>
          <w:szCs w:val="24"/>
          <w:lang w:eastAsia="bg-BG"/>
        </w:rPr>
      </w:pPr>
    </w:p>
    <w:p w14:paraId="6654D3FC" w14:textId="77777777" w:rsidR="00664379" w:rsidRPr="00664379" w:rsidRDefault="00664379" w:rsidP="00664379">
      <w:pPr>
        <w:pStyle w:val="ListParagraph"/>
        <w:numPr>
          <w:ilvl w:val="0"/>
          <w:numId w:val="314"/>
        </w:numPr>
        <w:ind w:left="0" w:firstLine="851"/>
      </w:pPr>
      <w:r w:rsidRPr="00664379">
        <w:t xml:space="preserve">Началника на отдел „Програмиране“ представя оценения ФК, оценителния доклад </w:t>
      </w:r>
      <w:r w:rsidRPr="00664379">
        <w:rPr>
          <w:i/>
          <w:u w:val="single"/>
        </w:rPr>
        <w:t>(Приложение № 3.07)</w:t>
      </w:r>
      <w:r w:rsidRPr="00664379">
        <w:t xml:space="preserve">, съдържащ взетото решение за одобрение на оценителния доклад и предоставяне на БФП/ отхвърляне на БФП </w:t>
      </w:r>
      <w:r w:rsidRPr="00664379">
        <w:rPr>
          <w:i/>
          <w:u w:val="single"/>
        </w:rPr>
        <w:t>(Приложение № 3.10)</w:t>
      </w:r>
      <w:r w:rsidRPr="00664379">
        <w:t xml:space="preserve"> и всички документи свързани с процеса н</w:t>
      </w:r>
      <w:r>
        <w:t>а извършване на оценката му, кои</w:t>
      </w:r>
      <w:r w:rsidRPr="00664379">
        <w:t>то не са налични в системата ИСУН 2020 на директора на дирекция КПП. Директора</w:t>
      </w:r>
      <w:r>
        <w:t xml:space="preserve"> на дирекция  КПП извършва втора проверка в попълнения </w:t>
      </w:r>
      <w:r w:rsidRPr="00664379">
        <w:t xml:space="preserve">от началника на отдел „Програмиране“ контролен лист </w:t>
      </w:r>
      <w:r w:rsidRPr="00664379">
        <w:rPr>
          <w:i/>
          <w:u w:val="single"/>
        </w:rPr>
        <w:t>Приложение № 3.09</w:t>
      </w:r>
      <w:r w:rsidRPr="00664379">
        <w:t>,  след което целия пакет от документи се преда</w:t>
      </w:r>
      <w:r w:rsidR="006F06EC">
        <w:t xml:space="preserve">ва </w:t>
      </w:r>
      <w:r w:rsidRPr="00664379">
        <w:t xml:space="preserve">за одобрение от Ръководителя на УО на ОПТТИ </w:t>
      </w:r>
      <w:r w:rsidRPr="00664379">
        <w:rPr>
          <w:i/>
        </w:rPr>
        <w:t>(когато директора на дирекция КПП не е Ръководител на УО)</w:t>
      </w:r>
      <w:r w:rsidRPr="00664379">
        <w:t>.</w:t>
      </w:r>
    </w:p>
    <w:p w14:paraId="5F556414" w14:textId="77777777" w:rsidR="00D603F5" w:rsidRPr="001B0EA3" w:rsidRDefault="00D603F5" w:rsidP="009412B9">
      <w:pPr>
        <w:rPr>
          <w:lang w:eastAsia="bg-BG"/>
        </w:rPr>
      </w:pPr>
      <w:r w:rsidRPr="001B0EA3">
        <w:rPr>
          <w:i/>
          <w:lang w:eastAsia="bg-BG"/>
        </w:rPr>
        <w:t>Срок за изпълнение:</w:t>
      </w:r>
      <w:r w:rsidRPr="001B0EA3">
        <w:rPr>
          <w:lang w:eastAsia="bg-BG"/>
        </w:rPr>
        <w:t xml:space="preserve"> До 5 работни дни за всеки съгласуващ и за одобряващия</w:t>
      </w:r>
    </w:p>
    <w:p w14:paraId="69ED44EE" w14:textId="77777777" w:rsidR="00D603F5" w:rsidRPr="001B0EA3" w:rsidRDefault="00D603F5" w:rsidP="00046D61">
      <w:pPr>
        <w:tabs>
          <w:tab w:val="num" w:pos="709"/>
        </w:tabs>
        <w:contextualSpacing/>
        <w:rPr>
          <w:szCs w:val="24"/>
          <w:lang w:eastAsia="bg-BG"/>
        </w:rPr>
      </w:pPr>
    </w:p>
    <w:p w14:paraId="4E7A4D5B" w14:textId="77777777" w:rsidR="00D603F5" w:rsidRPr="00842ECC" w:rsidRDefault="00D603F5" w:rsidP="00B502C7">
      <w:pPr>
        <w:pStyle w:val="Style2"/>
        <w:rPr>
          <w:lang w:val="bg-BG" w:eastAsia="bg-BG"/>
        </w:rPr>
      </w:pPr>
      <w:bookmarkStart w:id="624" w:name="_Ref409604515"/>
      <w:bookmarkStart w:id="625" w:name="_Toc479775665"/>
      <w:bookmarkStart w:id="626" w:name="_Toc140150220"/>
      <w:r w:rsidRPr="00842ECC">
        <w:rPr>
          <w:lang w:val="bg-BG" w:eastAsia="bg-BG"/>
        </w:rPr>
        <w:t>Процедура за оценка на проектни предложения за техническа помощ, включително техническа помощ за подготовка на инвестиционни/инфраструктурни проекти</w:t>
      </w:r>
      <w:bookmarkEnd w:id="617"/>
      <w:bookmarkEnd w:id="624"/>
      <w:bookmarkEnd w:id="625"/>
      <w:bookmarkEnd w:id="626"/>
    </w:p>
    <w:p w14:paraId="44F66F4E" w14:textId="77777777" w:rsidR="00D603F5" w:rsidRPr="001B0EA3" w:rsidRDefault="00D603F5" w:rsidP="00046D61">
      <w:pPr>
        <w:ind w:firstLine="992"/>
        <w:contextualSpacing/>
        <w:rPr>
          <w:szCs w:val="24"/>
          <w:lang w:eastAsia="bg-BG"/>
        </w:rPr>
      </w:pPr>
      <w:r w:rsidRPr="001B0EA3">
        <w:rPr>
          <w:szCs w:val="24"/>
          <w:lang w:eastAsia="bg-BG"/>
        </w:rPr>
        <w:t>Процесът по оценка на получените проектни предложения стартира след подписване и връчване на Решението за сформиране на оценителна комисия на членовете й</w:t>
      </w:r>
      <w:r w:rsidR="001E4236" w:rsidRPr="001B0EA3">
        <w:rPr>
          <w:szCs w:val="24"/>
          <w:lang w:eastAsia="bg-BG"/>
        </w:rPr>
        <w:t xml:space="preserve"> и след предоставянето на съответните права за оценка в системата ИСУН 2020</w:t>
      </w:r>
      <w:r w:rsidRPr="001B0EA3">
        <w:rPr>
          <w:szCs w:val="24"/>
          <w:lang w:eastAsia="bg-BG"/>
        </w:rPr>
        <w:t>.</w:t>
      </w:r>
    </w:p>
    <w:p w14:paraId="3D18D59C" w14:textId="77777777" w:rsidR="00D603F5" w:rsidRPr="001B0EA3" w:rsidRDefault="00D603F5" w:rsidP="00046D61">
      <w:pPr>
        <w:numPr>
          <w:ilvl w:val="0"/>
          <w:numId w:val="81"/>
        </w:numPr>
        <w:spacing w:before="120" w:after="120"/>
        <w:ind w:left="0" w:firstLine="414"/>
        <w:rPr>
          <w:szCs w:val="24"/>
          <w:lang w:eastAsia="bg-BG"/>
        </w:rPr>
      </w:pPr>
      <w:r w:rsidRPr="001B0EA3">
        <w:rPr>
          <w:szCs w:val="24"/>
        </w:rPr>
        <w:lastRenderedPageBreak/>
        <w:t xml:space="preserve">Председателя на оценителната комисия организира провеждането на първо заседание на оценителната комисия и подписване на декларации за липса на конфликт на интереси и поверителност, посочена в </w:t>
      </w:r>
      <w:r w:rsidRPr="001B0EA3">
        <w:rPr>
          <w:b/>
          <w:szCs w:val="24"/>
          <w:lang w:eastAsia="bg-BG"/>
        </w:rPr>
        <w:t>подточка</w:t>
      </w:r>
      <w:r w:rsidR="00507E84" w:rsidRPr="001B0EA3">
        <w:rPr>
          <w:b/>
          <w:szCs w:val="24"/>
          <w:lang w:eastAsia="bg-BG"/>
        </w:rPr>
        <w:t xml:space="preserve"> </w:t>
      </w:r>
      <w:r w:rsidRPr="001B0EA3">
        <w:rPr>
          <w:szCs w:val="24"/>
        </w:rPr>
        <w:fldChar w:fldCharType="begin"/>
      </w:r>
      <w:r w:rsidRPr="001B0EA3">
        <w:rPr>
          <w:szCs w:val="24"/>
        </w:rPr>
        <w:instrText xml:space="preserve"> REF _Ref406320240 \r \h  \* MERGEFORMAT </w:instrText>
      </w:r>
      <w:r w:rsidRPr="001B0EA3">
        <w:rPr>
          <w:szCs w:val="24"/>
        </w:rPr>
      </w:r>
      <w:r w:rsidRPr="001B0EA3">
        <w:rPr>
          <w:szCs w:val="24"/>
        </w:rPr>
        <w:fldChar w:fldCharType="separate"/>
      </w:r>
      <w:r w:rsidR="00F22141" w:rsidRPr="00F22141">
        <w:rPr>
          <w:b/>
          <w:szCs w:val="24"/>
          <w:lang w:eastAsia="bg-BG"/>
        </w:rPr>
        <w:t>1)</w:t>
      </w:r>
      <w:r w:rsidRPr="001B0EA3">
        <w:rPr>
          <w:szCs w:val="24"/>
        </w:rPr>
        <w:fldChar w:fldCharType="end"/>
      </w:r>
      <w:r w:rsidRPr="001B0EA3">
        <w:rPr>
          <w:szCs w:val="24"/>
        </w:rPr>
        <w:t xml:space="preserve"> на </w:t>
      </w:r>
      <w:r w:rsidRPr="001B0EA3">
        <w:rPr>
          <w:b/>
          <w:szCs w:val="24"/>
          <w:lang w:eastAsia="bg-BG"/>
        </w:rPr>
        <w:t>точка</w:t>
      </w:r>
      <w:r w:rsidR="00CC7689" w:rsidRPr="001B0EA3">
        <w:rPr>
          <w:b/>
          <w:szCs w:val="24"/>
          <w:lang w:eastAsia="bg-BG"/>
        </w:rPr>
        <w:t xml:space="preserve"> </w:t>
      </w:r>
      <w:r w:rsidRPr="001B0EA3">
        <w:rPr>
          <w:b/>
          <w:szCs w:val="24"/>
        </w:rPr>
        <w:fldChar w:fldCharType="begin"/>
      </w:r>
      <w:r w:rsidRPr="001B0EA3">
        <w:rPr>
          <w:b/>
          <w:szCs w:val="24"/>
        </w:rPr>
        <w:instrText xml:space="preserve"> REF _Ref406320259 \r \h  \* MERGEFORMAT </w:instrText>
      </w:r>
      <w:r w:rsidRPr="001B0EA3">
        <w:rPr>
          <w:b/>
          <w:szCs w:val="24"/>
        </w:rPr>
      </w:r>
      <w:r w:rsidRPr="001B0EA3">
        <w:rPr>
          <w:b/>
          <w:szCs w:val="24"/>
        </w:rPr>
        <w:fldChar w:fldCharType="separate"/>
      </w:r>
      <w:r w:rsidR="00F22141">
        <w:rPr>
          <w:b/>
          <w:szCs w:val="24"/>
          <w:lang w:eastAsia="bg-BG"/>
        </w:rPr>
        <w:t>18.3.3</w:t>
      </w:r>
      <w:r w:rsidRPr="001B0EA3">
        <w:rPr>
          <w:b/>
          <w:szCs w:val="24"/>
        </w:rPr>
        <w:fldChar w:fldCharType="end"/>
      </w:r>
      <w:r w:rsidRPr="001B0EA3">
        <w:rPr>
          <w:szCs w:val="24"/>
        </w:rPr>
        <w:t>.</w:t>
      </w:r>
      <w:r w:rsidRPr="001B0EA3">
        <w:rPr>
          <w:b/>
          <w:szCs w:val="24"/>
          <w:lang w:eastAsia="bg-BG"/>
        </w:rPr>
        <w:t xml:space="preserve"> </w:t>
      </w:r>
    </w:p>
    <w:p w14:paraId="7CC78614" w14:textId="77777777" w:rsidR="00D603F5" w:rsidRPr="001B0EA3" w:rsidRDefault="00D603F5" w:rsidP="00046D61">
      <w:pPr>
        <w:numPr>
          <w:ilvl w:val="0"/>
          <w:numId w:val="81"/>
        </w:numPr>
        <w:spacing w:before="120" w:after="120"/>
        <w:ind w:left="0" w:firstLine="414"/>
        <w:rPr>
          <w:szCs w:val="24"/>
          <w:lang w:eastAsia="bg-BG"/>
        </w:rPr>
      </w:pPr>
      <w:r w:rsidRPr="001B0EA3">
        <w:rPr>
          <w:szCs w:val="24"/>
        </w:rPr>
        <w:t>Председателя на оценителната комисия на първото заседание на комисията запознава всички членове на оценителната комисия с процедурата на оценка  на проектни предложения за техническа помощ при процедури на</w:t>
      </w:r>
      <w:r w:rsidR="00507E84" w:rsidRPr="001B0EA3">
        <w:rPr>
          <w:szCs w:val="24"/>
        </w:rPr>
        <w:t xml:space="preserve"> </w:t>
      </w:r>
      <w:r w:rsidRPr="001B0EA3">
        <w:rPr>
          <w:szCs w:val="24"/>
        </w:rPr>
        <w:t>директно предоставяне на БФП по ОПТТИ</w:t>
      </w:r>
      <w:r w:rsidR="0090608A" w:rsidRPr="001B0EA3">
        <w:rPr>
          <w:szCs w:val="24"/>
        </w:rPr>
        <w:t>,</w:t>
      </w:r>
      <w:r w:rsidRPr="001B0EA3">
        <w:rPr>
          <w:szCs w:val="24"/>
        </w:rPr>
        <w:t xml:space="preserve"> </w:t>
      </w:r>
      <w:r w:rsidR="0090608A" w:rsidRPr="001B0EA3">
        <w:rPr>
          <w:szCs w:val="24"/>
          <w:lang w:eastAsia="bg-BG"/>
        </w:rPr>
        <w:t>с Насоките за кандидатстване по ОПТТИ и Критерии за подбор и оценка на проекти по ОПТТИ, одобрени от Комитета за наблюдение на ОПТТИ.</w:t>
      </w:r>
    </w:p>
    <w:p w14:paraId="0D6FA741" w14:textId="77777777" w:rsidR="00D603F5" w:rsidRPr="001B0EA3" w:rsidRDefault="00D603F5" w:rsidP="00046D61">
      <w:pPr>
        <w:spacing w:before="120" w:after="120"/>
        <w:rPr>
          <w:szCs w:val="24"/>
          <w:lang w:eastAsia="bg-BG"/>
        </w:rPr>
      </w:pPr>
      <w:r w:rsidRPr="001B0EA3">
        <w:rPr>
          <w:i/>
          <w:szCs w:val="24"/>
          <w:lang w:eastAsia="bg-BG"/>
        </w:rPr>
        <w:t>Срок за изпълнение:</w:t>
      </w:r>
      <w:r w:rsidRPr="001B0EA3">
        <w:rPr>
          <w:szCs w:val="24"/>
          <w:lang w:eastAsia="bg-BG"/>
        </w:rPr>
        <w:t xml:space="preserve"> До 3 работни дни от регистриране на решението за сформиране на оценителна комисия</w:t>
      </w:r>
    </w:p>
    <w:p w14:paraId="0F701101" w14:textId="77777777" w:rsidR="001812CF" w:rsidRPr="001E6492" w:rsidRDefault="001812CF" w:rsidP="001812CF">
      <w:pPr>
        <w:numPr>
          <w:ilvl w:val="0"/>
          <w:numId w:val="81"/>
        </w:numPr>
        <w:spacing w:before="120" w:after="120"/>
        <w:ind w:left="0" w:firstLine="414"/>
        <w:rPr>
          <w:szCs w:val="24"/>
          <w:lang w:eastAsia="bg-BG"/>
        </w:rPr>
      </w:pPr>
      <w:r w:rsidRPr="001B0EA3">
        <w:rPr>
          <w:szCs w:val="24"/>
          <w:lang w:eastAsia="bg-BG"/>
        </w:rPr>
        <w:t xml:space="preserve">Служител от УО, определен от Ръководителя на УО на ОПТТИ в </w:t>
      </w:r>
      <w:r w:rsidRPr="001B0EA3">
        <w:rPr>
          <w:szCs w:val="24"/>
        </w:rPr>
        <w:t>решението</w:t>
      </w:r>
      <w:r w:rsidRPr="001B0EA3">
        <w:rPr>
          <w:szCs w:val="24"/>
          <w:lang w:eastAsia="bg-BG"/>
        </w:rPr>
        <w:t xml:space="preserve"> по </w:t>
      </w:r>
      <w:r w:rsidRPr="001B0EA3">
        <w:rPr>
          <w:b/>
          <w:szCs w:val="24"/>
          <w:lang w:eastAsia="bg-BG"/>
        </w:rPr>
        <w:t>точка</w:t>
      </w:r>
      <w:r w:rsidRPr="001B0EA3">
        <w:rPr>
          <w:szCs w:val="24"/>
        </w:rPr>
        <w:fldChar w:fldCharType="begin"/>
      </w:r>
      <w:r w:rsidRPr="001B0EA3">
        <w:rPr>
          <w:szCs w:val="24"/>
        </w:rPr>
        <w:instrText xml:space="preserve"> REF _Ref406322050 \r \h  \* MERGEFORMAT </w:instrText>
      </w:r>
      <w:r w:rsidRPr="001B0EA3">
        <w:rPr>
          <w:szCs w:val="24"/>
        </w:rPr>
      </w:r>
      <w:r w:rsidRPr="001B0EA3">
        <w:rPr>
          <w:szCs w:val="24"/>
        </w:rPr>
        <w:fldChar w:fldCharType="separate"/>
      </w:r>
      <w:r w:rsidR="00F22141" w:rsidRPr="00F22141">
        <w:rPr>
          <w:b/>
          <w:szCs w:val="24"/>
          <w:lang w:eastAsia="bg-BG"/>
        </w:rPr>
        <w:t>18.3.1</w:t>
      </w:r>
      <w:r w:rsidRPr="001B0EA3">
        <w:rPr>
          <w:szCs w:val="24"/>
        </w:rPr>
        <w:fldChar w:fldCharType="end"/>
      </w:r>
      <w:r w:rsidRPr="001B0EA3">
        <w:rPr>
          <w:szCs w:val="24"/>
        </w:rPr>
        <w:t xml:space="preserve"> </w:t>
      </w:r>
      <w:r w:rsidRPr="001B0EA3">
        <w:rPr>
          <w:szCs w:val="24"/>
          <w:lang w:eastAsia="bg-BG"/>
        </w:rPr>
        <w:t xml:space="preserve">извършва проверката за липса на конфликт на интереси на членовете на оценителната комисия като спазва процедурата по </w:t>
      </w:r>
      <w:r w:rsidRPr="001B0EA3">
        <w:rPr>
          <w:b/>
          <w:szCs w:val="24"/>
          <w:lang w:eastAsia="bg-BG"/>
        </w:rPr>
        <w:t xml:space="preserve">точка </w:t>
      </w:r>
      <w:r w:rsidRPr="001B0EA3">
        <w:rPr>
          <w:b/>
          <w:szCs w:val="24"/>
        </w:rPr>
        <w:fldChar w:fldCharType="begin"/>
      </w:r>
      <w:r w:rsidRPr="001B0EA3">
        <w:rPr>
          <w:b/>
          <w:szCs w:val="24"/>
        </w:rPr>
        <w:instrText xml:space="preserve"> REF _Ref406320259 \r \h  \* MERGEFORMAT </w:instrText>
      </w:r>
      <w:r w:rsidRPr="001B0EA3">
        <w:rPr>
          <w:b/>
          <w:szCs w:val="24"/>
        </w:rPr>
      </w:r>
      <w:r w:rsidRPr="001B0EA3">
        <w:rPr>
          <w:b/>
          <w:szCs w:val="24"/>
        </w:rPr>
        <w:fldChar w:fldCharType="separate"/>
      </w:r>
      <w:r w:rsidR="00F22141">
        <w:rPr>
          <w:b/>
          <w:szCs w:val="24"/>
          <w:lang w:eastAsia="bg-BG"/>
        </w:rPr>
        <w:t>18.3.3</w:t>
      </w:r>
      <w:r w:rsidRPr="001B0EA3">
        <w:rPr>
          <w:b/>
          <w:szCs w:val="24"/>
        </w:rPr>
        <w:fldChar w:fldCharType="end"/>
      </w:r>
      <w:r w:rsidRPr="001B0EA3">
        <w:rPr>
          <w:b/>
          <w:szCs w:val="24"/>
          <w:lang w:eastAsia="bg-BG"/>
        </w:rPr>
        <w:t>.</w:t>
      </w:r>
      <w:r w:rsidRPr="001E6492">
        <w:rPr>
          <w:szCs w:val="24"/>
          <w:lang w:eastAsia="bg-BG"/>
        </w:rPr>
        <w:t xml:space="preserve">, като попълва контролен лист </w:t>
      </w:r>
      <w:hyperlink r:id="rId125" w:tooltip="Критерии  за осигуряване на информация за инвестиционни¦инфраструктурни проекти при извършването на оценка" w:history="1">
        <w:r w:rsidRPr="001E6492">
          <w:rPr>
            <w:rStyle w:val="Hyperlink"/>
            <w:i/>
            <w:szCs w:val="24"/>
            <w:lang w:eastAsia="bg-BG"/>
          </w:rPr>
          <w:t>Приложение № 3.0</w:t>
        </w:r>
      </w:hyperlink>
      <w:r w:rsidRPr="001E6492">
        <w:rPr>
          <w:szCs w:val="24"/>
          <w:lang w:eastAsia="bg-BG"/>
        </w:rPr>
        <w:t>4 в ИСУН 2020.</w:t>
      </w:r>
    </w:p>
    <w:p w14:paraId="5949032B" w14:textId="77777777" w:rsidR="00D603F5" w:rsidRPr="001B0EA3" w:rsidRDefault="00D603F5" w:rsidP="00046D61">
      <w:pPr>
        <w:spacing w:before="120" w:after="120"/>
        <w:rPr>
          <w:szCs w:val="24"/>
          <w:lang w:eastAsia="bg-BG"/>
        </w:rPr>
      </w:pPr>
      <w:r w:rsidRPr="001B0EA3">
        <w:rPr>
          <w:i/>
          <w:szCs w:val="24"/>
          <w:lang w:eastAsia="bg-BG"/>
        </w:rPr>
        <w:t>Срок за изпълнение:</w:t>
      </w:r>
      <w:r w:rsidRPr="001B0EA3">
        <w:rPr>
          <w:szCs w:val="24"/>
          <w:lang w:eastAsia="bg-BG"/>
        </w:rPr>
        <w:t xml:space="preserve"> До </w:t>
      </w:r>
      <w:r w:rsidR="00027E6B" w:rsidRPr="001B0EA3">
        <w:rPr>
          <w:szCs w:val="24"/>
          <w:lang w:eastAsia="bg-BG"/>
        </w:rPr>
        <w:t xml:space="preserve">4 </w:t>
      </w:r>
      <w:r w:rsidRPr="001B0EA3">
        <w:rPr>
          <w:szCs w:val="24"/>
          <w:lang w:eastAsia="bg-BG"/>
        </w:rPr>
        <w:t>работн</w:t>
      </w:r>
      <w:r w:rsidR="00027E6B" w:rsidRPr="001B0EA3">
        <w:rPr>
          <w:szCs w:val="24"/>
          <w:lang w:eastAsia="bg-BG"/>
        </w:rPr>
        <w:t>и</w:t>
      </w:r>
      <w:r w:rsidRPr="001B0EA3">
        <w:rPr>
          <w:szCs w:val="24"/>
          <w:lang w:eastAsia="bg-BG"/>
        </w:rPr>
        <w:t xml:space="preserve"> дн</w:t>
      </w:r>
      <w:r w:rsidR="00027E6B" w:rsidRPr="001B0EA3">
        <w:rPr>
          <w:szCs w:val="24"/>
          <w:lang w:eastAsia="bg-BG"/>
        </w:rPr>
        <w:t>и</w:t>
      </w:r>
      <w:r w:rsidRPr="001B0EA3">
        <w:rPr>
          <w:szCs w:val="24"/>
          <w:lang w:eastAsia="bg-BG"/>
        </w:rPr>
        <w:t xml:space="preserve"> от регистриране на Решението за сформиране на оценителна комисия по </w:t>
      </w:r>
      <w:r w:rsidRPr="001B0EA3">
        <w:rPr>
          <w:b/>
          <w:szCs w:val="24"/>
          <w:lang w:eastAsia="bg-BG"/>
        </w:rPr>
        <w:t xml:space="preserve">подточка </w:t>
      </w:r>
      <w:r w:rsidRPr="001B0EA3">
        <w:rPr>
          <w:szCs w:val="24"/>
        </w:rPr>
        <w:fldChar w:fldCharType="begin"/>
      </w:r>
      <w:r w:rsidRPr="001B0EA3">
        <w:rPr>
          <w:szCs w:val="24"/>
        </w:rPr>
        <w:instrText xml:space="preserve"> REF _Ref406320240 \r \h  \* MERGEFORMAT </w:instrText>
      </w:r>
      <w:r w:rsidRPr="001B0EA3">
        <w:rPr>
          <w:szCs w:val="24"/>
        </w:rPr>
      </w:r>
      <w:r w:rsidRPr="001B0EA3">
        <w:rPr>
          <w:szCs w:val="24"/>
        </w:rPr>
        <w:fldChar w:fldCharType="separate"/>
      </w:r>
      <w:r w:rsidR="00F22141" w:rsidRPr="00F22141">
        <w:rPr>
          <w:b/>
          <w:szCs w:val="24"/>
          <w:lang w:eastAsia="bg-BG"/>
        </w:rPr>
        <w:t>1)</w:t>
      </w:r>
      <w:r w:rsidRPr="001B0EA3">
        <w:rPr>
          <w:szCs w:val="24"/>
        </w:rPr>
        <w:fldChar w:fldCharType="end"/>
      </w:r>
      <w:r w:rsidRPr="001B0EA3">
        <w:rPr>
          <w:szCs w:val="24"/>
        </w:rPr>
        <w:t xml:space="preserve"> на </w:t>
      </w:r>
      <w:r w:rsidRPr="001B0EA3">
        <w:rPr>
          <w:b/>
          <w:szCs w:val="24"/>
          <w:lang w:eastAsia="bg-BG"/>
        </w:rPr>
        <w:t xml:space="preserve">точка </w:t>
      </w:r>
      <w:r w:rsidRPr="001B0EA3">
        <w:rPr>
          <w:b/>
          <w:szCs w:val="24"/>
        </w:rPr>
        <w:fldChar w:fldCharType="begin"/>
      </w:r>
      <w:r w:rsidRPr="001B0EA3">
        <w:rPr>
          <w:b/>
          <w:szCs w:val="24"/>
        </w:rPr>
        <w:instrText xml:space="preserve"> REF _Ref406320259 \r \h  \* MERGEFORMAT </w:instrText>
      </w:r>
      <w:r w:rsidRPr="001B0EA3">
        <w:rPr>
          <w:b/>
          <w:szCs w:val="24"/>
        </w:rPr>
      </w:r>
      <w:r w:rsidRPr="001B0EA3">
        <w:rPr>
          <w:b/>
          <w:szCs w:val="24"/>
        </w:rPr>
        <w:fldChar w:fldCharType="separate"/>
      </w:r>
      <w:r w:rsidR="00F22141">
        <w:rPr>
          <w:b/>
          <w:szCs w:val="24"/>
          <w:lang w:eastAsia="bg-BG"/>
        </w:rPr>
        <w:t>18.3.3</w:t>
      </w:r>
      <w:r w:rsidRPr="001B0EA3">
        <w:rPr>
          <w:b/>
          <w:szCs w:val="24"/>
        </w:rPr>
        <w:fldChar w:fldCharType="end"/>
      </w:r>
      <w:r w:rsidRPr="001B0EA3">
        <w:rPr>
          <w:b/>
          <w:szCs w:val="24"/>
          <w:lang w:eastAsia="bg-BG"/>
        </w:rPr>
        <w:t>.</w:t>
      </w:r>
    </w:p>
    <w:p w14:paraId="610B5E1D" w14:textId="77777777" w:rsidR="00017AD6" w:rsidRPr="001B0EA3" w:rsidRDefault="00017AD6" w:rsidP="00046D61">
      <w:pPr>
        <w:numPr>
          <w:ilvl w:val="0"/>
          <w:numId w:val="81"/>
        </w:numPr>
        <w:spacing w:before="120" w:after="120"/>
        <w:ind w:left="0" w:firstLine="414"/>
        <w:rPr>
          <w:i/>
          <w:szCs w:val="24"/>
          <w:lang w:eastAsia="bg-BG"/>
        </w:rPr>
      </w:pPr>
      <w:bookmarkStart w:id="627" w:name="_Ref413939036"/>
      <w:r w:rsidRPr="001B0EA3">
        <w:rPr>
          <w:szCs w:val="24"/>
          <w:lang w:eastAsia="bg-BG"/>
        </w:rPr>
        <w:t>Оценителната комисия извършва оценка на проектните предложения, включваща оценка на административното съответствие и допустимостта и техническа и финансова оценка.</w:t>
      </w:r>
      <w:bookmarkEnd w:id="627"/>
    </w:p>
    <w:p w14:paraId="0C26620B" w14:textId="77777777" w:rsidR="00017AD6" w:rsidRPr="001B0EA3" w:rsidRDefault="00017AD6" w:rsidP="00046D61">
      <w:pPr>
        <w:spacing w:before="120" w:after="120"/>
        <w:rPr>
          <w:b/>
          <w:szCs w:val="24"/>
          <w:lang w:eastAsia="bg-BG"/>
        </w:rPr>
      </w:pPr>
      <w:r w:rsidRPr="001B0EA3">
        <w:rPr>
          <w:i/>
          <w:szCs w:val="24"/>
          <w:lang w:eastAsia="bg-BG"/>
        </w:rPr>
        <w:t>Срок за изпълнение:</w:t>
      </w:r>
      <w:r w:rsidRPr="001B0EA3">
        <w:rPr>
          <w:szCs w:val="24"/>
          <w:lang w:eastAsia="bg-BG"/>
        </w:rPr>
        <w:t xml:space="preserve"> Съгласно срока, посочен в Решението за сформиране на оценителна комисия, но не повече от </w:t>
      </w:r>
      <w:r w:rsidR="00027E6B" w:rsidRPr="001B0EA3">
        <w:rPr>
          <w:szCs w:val="24"/>
          <w:lang w:eastAsia="bg-BG"/>
        </w:rPr>
        <w:t>три месеца от датата на подаването му</w:t>
      </w:r>
      <w:r w:rsidRPr="001B0EA3">
        <w:rPr>
          <w:b/>
          <w:szCs w:val="24"/>
          <w:lang w:eastAsia="bg-BG"/>
        </w:rPr>
        <w:t>.</w:t>
      </w:r>
    </w:p>
    <w:p w14:paraId="378BFBDD" w14:textId="77777777" w:rsidR="00724C5E" w:rsidRPr="001B0EA3" w:rsidRDefault="00724C5E" w:rsidP="00724C5E">
      <w:pPr>
        <w:numPr>
          <w:ilvl w:val="0"/>
          <w:numId w:val="81"/>
        </w:numPr>
        <w:spacing w:before="120" w:after="120"/>
        <w:ind w:left="0" w:firstLine="414"/>
        <w:rPr>
          <w:szCs w:val="24"/>
          <w:lang w:eastAsia="bg-BG"/>
        </w:rPr>
      </w:pPr>
      <w:r w:rsidRPr="001B0EA3">
        <w:rPr>
          <w:szCs w:val="24"/>
          <w:lang w:eastAsia="bg-BG"/>
        </w:rPr>
        <w:t xml:space="preserve">Член на оценителната комисия, определен от председателя й извършва проверка за съответствие с правилата за допустимите държавни/ минимални помощи, съгласно </w:t>
      </w:r>
      <w:r w:rsidRPr="001B0EA3">
        <w:rPr>
          <w:b/>
          <w:szCs w:val="24"/>
          <w:lang w:eastAsia="bg-BG"/>
        </w:rPr>
        <w:t>глава 2 „Държавни помощи“.</w:t>
      </w:r>
      <w:r w:rsidRPr="001B0EA3">
        <w:rPr>
          <w:szCs w:val="24"/>
          <w:lang w:eastAsia="bg-BG"/>
        </w:rPr>
        <w:t xml:space="preserve"> Резултатите от проверката се записват в Контролен лист (</w:t>
      </w:r>
      <w:hyperlink r:id="rId126" w:tooltip="Контролен лист за предварителна оценка за  определяне наличието на държавна помощ - Тест за държавна помощ - изключения" w:history="1">
        <w:r w:rsidRPr="00251D03">
          <w:rPr>
            <w:rStyle w:val="Hyperlink"/>
            <w:i/>
            <w:szCs w:val="24"/>
            <w:lang w:eastAsia="bg-BG"/>
          </w:rPr>
          <w:t>Приложение № 2.02</w:t>
        </w:r>
      </w:hyperlink>
      <w:r w:rsidRPr="001B0EA3">
        <w:rPr>
          <w:b/>
          <w:i/>
          <w:szCs w:val="24"/>
          <w:lang w:eastAsia="bg-BG"/>
        </w:rPr>
        <w:t xml:space="preserve">, </w:t>
      </w:r>
      <w:hyperlink r:id="rId127" w:tooltip="Контролен лист за предварителна оценка за определяне на приложим към мярката режим  на съвместима държавна помощ" w:history="1">
        <w:r w:rsidRPr="00251D03">
          <w:rPr>
            <w:rStyle w:val="Hyperlink"/>
            <w:i/>
            <w:szCs w:val="24"/>
            <w:lang w:eastAsia="bg-BG"/>
          </w:rPr>
          <w:t>Приложение № 2.03</w:t>
        </w:r>
      </w:hyperlink>
      <w:r w:rsidRPr="001B0EA3">
        <w:rPr>
          <w:b/>
          <w:i/>
          <w:szCs w:val="24"/>
          <w:lang w:eastAsia="bg-BG"/>
        </w:rPr>
        <w:t xml:space="preserve"> </w:t>
      </w:r>
      <w:r>
        <w:rPr>
          <w:b/>
          <w:i/>
          <w:szCs w:val="24"/>
          <w:lang w:eastAsia="bg-BG"/>
        </w:rPr>
        <w:t xml:space="preserve"> </w:t>
      </w:r>
      <w:r>
        <w:rPr>
          <w:szCs w:val="24"/>
          <w:lang w:eastAsia="bg-BG"/>
        </w:rPr>
        <w:t xml:space="preserve">в ИСУН 2020 </w:t>
      </w:r>
      <w:r>
        <w:rPr>
          <w:b/>
          <w:i/>
          <w:szCs w:val="24"/>
          <w:lang w:eastAsia="bg-BG"/>
        </w:rPr>
        <w:t xml:space="preserve">– ако е </w:t>
      </w:r>
      <w:r w:rsidRPr="001B0EA3">
        <w:rPr>
          <w:b/>
          <w:i/>
          <w:szCs w:val="24"/>
          <w:lang w:eastAsia="bg-BG"/>
        </w:rPr>
        <w:t>приложимо)</w:t>
      </w:r>
      <w:r w:rsidRPr="001B0EA3">
        <w:rPr>
          <w:i/>
          <w:szCs w:val="24"/>
          <w:lang w:eastAsia="bg-BG"/>
        </w:rPr>
        <w:t>.</w:t>
      </w:r>
      <w:r w:rsidRPr="001B0EA3">
        <w:rPr>
          <w:szCs w:val="24"/>
          <w:lang w:eastAsia="bg-BG"/>
        </w:rPr>
        <w:t xml:space="preserve"> Председателят на оценителната комисия извършва втора проверка на попълнения контролен лист</w:t>
      </w:r>
      <w:r w:rsidR="0009765A">
        <w:rPr>
          <w:szCs w:val="24"/>
          <w:lang w:eastAsia="bg-BG"/>
        </w:rPr>
        <w:t xml:space="preserve"> в системата</w:t>
      </w:r>
      <w:r w:rsidRPr="001B0EA3">
        <w:rPr>
          <w:szCs w:val="24"/>
          <w:lang w:eastAsia="bg-BG"/>
        </w:rPr>
        <w:t>.</w:t>
      </w:r>
    </w:p>
    <w:p w14:paraId="104A2C26" w14:textId="77777777" w:rsidR="00D603F5" w:rsidRPr="001B0EA3" w:rsidRDefault="00D603F5" w:rsidP="00046D61">
      <w:pPr>
        <w:numPr>
          <w:ilvl w:val="0"/>
          <w:numId w:val="81"/>
        </w:numPr>
        <w:spacing w:before="120" w:after="120"/>
        <w:ind w:left="0" w:firstLine="414"/>
        <w:rPr>
          <w:szCs w:val="24"/>
          <w:lang w:eastAsia="bg-BG"/>
        </w:rPr>
      </w:pPr>
      <w:r w:rsidRPr="001B0EA3">
        <w:rPr>
          <w:szCs w:val="24"/>
          <w:lang w:eastAsia="bg-BG"/>
        </w:rPr>
        <w:t xml:space="preserve">В случаи на установени в процеса на оценка непълноти и/или нередовности на проектното предложение, то може да бъде връщано мотивирано на конкретния бенефициент при спазване на процедурата по </w:t>
      </w:r>
      <w:r w:rsidRPr="001B0EA3">
        <w:rPr>
          <w:b/>
          <w:szCs w:val="24"/>
          <w:lang w:eastAsia="bg-BG"/>
        </w:rPr>
        <w:t xml:space="preserve">точка </w:t>
      </w:r>
      <w:r w:rsidRPr="001B0EA3">
        <w:fldChar w:fldCharType="begin"/>
      </w:r>
      <w:r w:rsidRPr="001B0EA3">
        <w:instrText xml:space="preserve"> REF _Ref395626228 \r \h  \* MERGEFORMAT </w:instrText>
      </w:r>
      <w:r w:rsidRPr="001B0EA3">
        <w:fldChar w:fldCharType="separate"/>
      </w:r>
      <w:r w:rsidR="00F22141" w:rsidRPr="00F22141">
        <w:rPr>
          <w:b/>
          <w:szCs w:val="24"/>
          <w:lang w:eastAsia="bg-BG"/>
        </w:rPr>
        <w:t>18.11</w:t>
      </w:r>
      <w:r w:rsidRPr="001B0EA3">
        <w:fldChar w:fldCharType="end"/>
      </w:r>
      <w:r w:rsidRPr="001B0EA3">
        <w:rPr>
          <w:szCs w:val="24"/>
          <w:lang w:eastAsia="bg-BG"/>
        </w:rPr>
        <w:t>.</w:t>
      </w:r>
    </w:p>
    <w:p w14:paraId="088C5FA3" w14:textId="77777777" w:rsidR="002366CE" w:rsidRPr="001B0EA3" w:rsidRDefault="002366CE" w:rsidP="00046D61">
      <w:pPr>
        <w:numPr>
          <w:ilvl w:val="0"/>
          <w:numId w:val="81"/>
        </w:numPr>
        <w:spacing w:before="120" w:after="120"/>
        <w:ind w:left="0" w:firstLine="414"/>
        <w:rPr>
          <w:szCs w:val="24"/>
        </w:rPr>
      </w:pPr>
      <w:r w:rsidRPr="001B0EA3">
        <w:rPr>
          <w:szCs w:val="24"/>
        </w:rPr>
        <w:t xml:space="preserve">Всеки оценител с право на глас в съответствие с процедурата по </w:t>
      </w:r>
      <w:r w:rsidRPr="001B0EA3">
        <w:rPr>
          <w:b/>
          <w:szCs w:val="24"/>
        </w:rPr>
        <w:t xml:space="preserve">точка </w:t>
      </w:r>
      <w:r w:rsidRPr="001B0EA3">
        <w:rPr>
          <w:b/>
          <w:szCs w:val="24"/>
        </w:rPr>
        <w:fldChar w:fldCharType="begin"/>
      </w:r>
      <w:r w:rsidRPr="001B0EA3">
        <w:rPr>
          <w:b/>
          <w:szCs w:val="24"/>
        </w:rPr>
        <w:instrText xml:space="preserve"> REF _Ref413933205 \r \h  \* MERGEFORMAT </w:instrText>
      </w:r>
      <w:r w:rsidRPr="001B0EA3">
        <w:rPr>
          <w:b/>
          <w:szCs w:val="24"/>
        </w:rPr>
      </w:r>
      <w:r w:rsidRPr="001B0EA3">
        <w:rPr>
          <w:b/>
          <w:szCs w:val="24"/>
        </w:rPr>
        <w:fldChar w:fldCharType="separate"/>
      </w:r>
      <w:r w:rsidR="00F22141">
        <w:rPr>
          <w:b/>
          <w:szCs w:val="24"/>
        </w:rPr>
        <w:t>18.13</w:t>
      </w:r>
      <w:r w:rsidRPr="001B0EA3">
        <w:rPr>
          <w:b/>
          <w:szCs w:val="24"/>
        </w:rPr>
        <w:fldChar w:fldCharType="end"/>
      </w:r>
      <w:r w:rsidRPr="001B0EA3">
        <w:rPr>
          <w:szCs w:val="24"/>
        </w:rPr>
        <w:t xml:space="preserve"> „Оценителни таблици“ отразява </w:t>
      </w:r>
      <w:r w:rsidR="00802DBF" w:rsidRPr="001B0EA3">
        <w:rPr>
          <w:szCs w:val="24"/>
        </w:rPr>
        <w:t xml:space="preserve">в ИСУН 2020 </w:t>
      </w:r>
      <w:r w:rsidRPr="001B0EA3">
        <w:rPr>
          <w:szCs w:val="24"/>
        </w:rPr>
        <w:t xml:space="preserve">резултатите от извършената оценка по </w:t>
      </w:r>
      <w:r w:rsidRPr="001B0EA3">
        <w:rPr>
          <w:b/>
          <w:szCs w:val="24"/>
        </w:rPr>
        <w:t xml:space="preserve">подточка </w:t>
      </w:r>
      <w:r w:rsidRPr="001B0EA3">
        <w:rPr>
          <w:b/>
          <w:szCs w:val="24"/>
        </w:rPr>
        <w:fldChar w:fldCharType="begin"/>
      </w:r>
      <w:r w:rsidRPr="001B0EA3">
        <w:rPr>
          <w:b/>
          <w:szCs w:val="24"/>
        </w:rPr>
        <w:instrText xml:space="preserve"> REF _Ref413939036 \r \h </w:instrText>
      </w:r>
      <w:r w:rsidR="00F81757" w:rsidRPr="001B0EA3">
        <w:rPr>
          <w:b/>
          <w:szCs w:val="24"/>
        </w:rPr>
        <w:instrText xml:space="preserve"> \* MERGEFORMAT </w:instrText>
      </w:r>
      <w:r w:rsidRPr="001B0EA3">
        <w:rPr>
          <w:b/>
          <w:szCs w:val="24"/>
        </w:rPr>
      </w:r>
      <w:r w:rsidRPr="001B0EA3">
        <w:rPr>
          <w:b/>
          <w:szCs w:val="24"/>
        </w:rPr>
        <w:fldChar w:fldCharType="separate"/>
      </w:r>
      <w:r w:rsidR="00F22141">
        <w:rPr>
          <w:b/>
          <w:szCs w:val="24"/>
        </w:rPr>
        <w:t>4)</w:t>
      </w:r>
      <w:r w:rsidRPr="001B0EA3">
        <w:rPr>
          <w:b/>
          <w:szCs w:val="24"/>
        </w:rPr>
        <w:fldChar w:fldCharType="end"/>
      </w:r>
      <w:r w:rsidRPr="001B0EA3">
        <w:rPr>
          <w:b/>
          <w:szCs w:val="24"/>
        </w:rPr>
        <w:t xml:space="preserve"> </w:t>
      </w:r>
      <w:r w:rsidRPr="001B0EA3">
        <w:rPr>
          <w:szCs w:val="24"/>
        </w:rPr>
        <w:t xml:space="preserve">в приложимата оценителна таблица: </w:t>
      </w:r>
      <w:hyperlink r:id="rId128" w:tooltip="Оценителна таблица за извършена оценка на проектни предложения за техническа помощ" w:history="1">
        <w:r w:rsidR="00AE381A" w:rsidRPr="00251D03">
          <w:rPr>
            <w:rStyle w:val="Hyperlink"/>
            <w:i/>
            <w:szCs w:val="24"/>
          </w:rPr>
          <w:t>Приложение № 3.06.2</w:t>
        </w:r>
      </w:hyperlink>
      <w:r w:rsidRPr="001B0EA3">
        <w:rPr>
          <w:szCs w:val="24"/>
        </w:rPr>
        <w:t xml:space="preserve">, съдържаща мотивирано заключение, направено по време на цялостната оценка по отношение на критериите за оценка на проекта и в съответствие с </w:t>
      </w:r>
      <w:r w:rsidRPr="001B0EA3">
        <w:rPr>
          <w:szCs w:val="24"/>
          <w:lang w:eastAsia="bg-BG"/>
        </w:rPr>
        <w:t>критериите</w:t>
      </w:r>
      <w:r w:rsidRPr="001B0EA3">
        <w:rPr>
          <w:szCs w:val="24"/>
        </w:rPr>
        <w:t xml:space="preserve"> за оценка на проекти, съгласно Насоките за кандидатстване по ОПТТИ.</w:t>
      </w:r>
    </w:p>
    <w:p w14:paraId="0C3D9BAD" w14:textId="77777777" w:rsidR="005B5EC1" w:rsidRPr="001B0EA3" w:rsidRDefault="005B5EC1" w:rsidP="005B5EC1">
      <w:pPr>
        <w:numPr>
          <w:ilvl w:val="0"/>
          <w:numId w:val="81"/>
        </w:numPr>
        <w:spacing w:before="120" w:after="120"/>
        <w:ind w:left="0" w:firstLine="414"/>
        <w:rPr>
          <w:szCs w:val="24"/>
          <w:lang w:eastAsia="bg-BG"/>
        </w:rPr>
      </w:pPr>
      <w:r w:rsidRPr="001B0EA3">
        <w:rPr>
          <w:szCs w:val="24"/>
          <w:lang w:eastAsia="bg-BG"/>
        </w:rPr>
        <w:t xml:space="preserve">Член на оценителната комисия, определен от председателя й извършва проверка за липса на двойно финансиране, съгласно процедурата по </w:t>
      </w:r>
      <w:r w:rsidRPr="001B0EA3">
        <w:rPr>
          <w:b/>
          <w:szCs w:val="24"/>
          <w:lang w:eastAsia="bg-BG"/>
        </w:rPr>
        <w:t xml:space="preserve">точка </w:t>
      </w:r>
      <w:r w:rsidRPr="001B0EA3">
        <w:fldChar w:fldCharType="begin"/>
      </w:r>
      <w:r w:rsidRPr="001B0EA3">
        <w:instrText xml:space="preserve"> REF _Ref406323209 \r \h  \* MERGEFORMAT </w:instrText>
      </w:r>
      <w:r w:rsidRPr="001B0EA3">
        <w:fldChar w:fldCharType="separate"/>
      </w:r>
      <w:r w:rsidR="00F22141" w:rsidRPr="00F22141">
        <w:rPr>
          <w:b/>
          <w:szCs w:val="24"/>
          <w:lang w:eastAsia="bg-BG"/>
        </w:rPr>
        <w:t>18.12</w:t>
      </w:r>
      <w:r w:rsidRPr="001B0EA3">
        <w:fldChar w:fldCharType="end"/>
      </w:r>
      <w:r w:rsidRPr="001B0EA3">
        <w:t xml:space="preserve"> </w:t>
      </w:r>
      <w:r w:rsidRPr="001B0EA3">
        <w:rPr>
          <w:szCs w:val="24"/>
          <w:lang w:eastAsia="bg-BG"/>
        </w:rPr>
        <w:t xml:space="preserve">и резултатите от проверката се записват в Контролен лист </w:t>
      </w:r>
      <w:r w:rsidRPr="001B0EA3">
        <w:rPr>
          <w:b/>
          <w:i/>
          <w:szCs w:val="24"/>
          <w:lang w:eastAsia="bg-BG"/>
        </w:rPr>
        <w:t>(</w:t>
      </w:r>
      <w:hyperlink r:id="rId129" w:tooltip="Контролен лист за извършена проверка в ИСУН за липса на двойно финансиране" w:history="1">
        <w:r w:rsidRPr="00251D03">
          <w:rPr>
            <w:rStyle w:val="Hyperlink"/>
            <w:i/>
            <w:szCs w:val="24"/>
            <w:lang w:eastAsia="bg-BG"/>
          </w:rPr>
          <w:t>Приложение № 3.08</w:t>
        </w:r>
      </w:hyperlink>
      <w:r w:rsidRPr="001B0EA3">
        <w:rPr>
          <w:b/>
          <w:i/>
          <w:szCs w:val="24"/>
          <w:lang w:eastAsia="bg-BG"/>
        </w:rPr>
        <w:t>)</w:t>
      </w:r>
      <w:r>
        <w:rPr>
          <w:b/>
          <w:i/>
          <w:szCs w:val="24"/>
          <w:lang w:eastAsia="bg-BG"/>
        </w:rPr>
        <w:t xml:space="preserve"> </w:t>
      </w:r>
      <w:r>
        <w:rPr>
          <w:szCs w:val="24"/>
          <w:lang w:eastAsia="bg-BG"/>
        </w:rPr>
        <w:t>в ИСУН 2020</w:t>
      </w:r>
      <w:r w:rsidR="00C3796D">
        <w:rPr>
          <w:szCs w:val="24"/>
          <w:lang w:eastAsia="bg-BG"/>
        </w:rPr>
        <w:t xml:space="preserve">. Председателят на оценителната </w:t>
      </w:r>
      <w:r w:rsidRPr="001B0EA3">
        <w:rPr>
          <w:szCs w:val="24"/>
          <w:lang w:eastAsia="bg-BG"/>
        </w:rPr>
        <w:t>комисия извършва втора проверка на попълнения контролен лист</w:t>
      </w:r>
      <w:r w:rsidR="00C3796D">
        <w:rPr>
          <w:szCs w:val="24"/>
          <w:lang w:eastAsia="bg-BG"/>
        </w:rPr>
        <w:t xml:space="preserve"> в системата</w:t>
      </w:r>
      <w:r w:rsidRPr="001B0EA3">
        <w:rPr>
          <w:szCs w:val="24"/>
          <w:lang w:eastAsia="bg-BG"/>
        </w:rPr>
        <w:t>.</w:t>
      </w:r>
    </w:p>
    <w:p w14:paraId="3289FCD0" w14:textId="77777777" w:rsidR="00D603F5" w:rsidRPr="001B0EA3" w:rsidRDefault="00D603F5" w:rsidP="00046D61">
      <w:pPr>
        <w:numPr>
          <w:ilvl w:val="0"/>
          <w:numId w:val="81"/>
        </w:numPr>
        <w:spacing w:before="120" w:after="120"/>
        <w:ind w:left="0" w:firstLine="414"/>
        <w:rPr>
          <w:szCs w:val="24"/>
          <w:lang w:eastAsia="bg-BG"/>
        </w:rPr>
      </w:pPr>
      <w:r w:rsidRPr="001B0EA3">
        <w:rPr>
          <w:szCs w:val="24"/>
          <w:lang w:eastAsia="bg-BG"/>
        </w:rPr>
        <w:t xml:space="preserve">Оценителната комисия изготвя доклад </w:t>
      </w:r>
      <w:r w:rsidRPr="001B0EA3">
        <w:rPr>
          <w:b/>
          <w:i/>
          <w:szCs w:val="24"/>
          <w:lang w:eastAsia="bg-BG"/>
        </w:rPr>
        <w:t>(</w:t>
      </w:r>
      <w:hyperlink r:id="rId130" w:tooltip="Доклад за извършена оценка на проектно предложение" w:history="1">
        <w:r w:rsidR="00AE381A" w:rsidRPr="00251D03">
          <w:rPr>
            <w:rStyle w:val="Hyperlink"/>
            <w:i/>
            <w:szCs w:val="24"/>
            <w:lang w:eastAsia="bg-BG"/>
          </w:rPr>
          <w:t>Приложение № 3.07</w:t>
        </w:r>
      </w:hyperlink>
      <w:r w:rsidRPr="001B0EA3">
        <w:rPr>
          <w:b/>
          <w:i/>
          <w:szCs w:val="24"/>
          <w:lang w:eastAsia="bg-BG"/>
        </w:rPr>
        <w:t>)</w:t>
      </w:r>
      <w:r w:rsidRPr="001B0EA3">
        <w:rPr>
          <w:szCs w:val="24"/>
          <w:lang w:eastAsia="bg-BG"/>
        </w:rPr>
        <w:t xml:space="preserve"> в съответствие с процедурата по</w:t>
      </w:r>
      <w:r w:rsidRPr="001B0EA3">
        <w:rPr>
          <w:b/>
          <w:szCs w:val="24"/>
          <w:lang w:eastAsia="bg-BG"/>
        </w:rPr>
        <w:t xml:space="preserve">  точка </w:t>
      </w:r>
      <w:r w:rsidRPr="001B0EA3">
        <w:rPr>
          <w:b/>
          <w:szCs w:val="24"/>
          <w:lang w:eastAsia="bg-BG"/>
        </w:rPr>
        <w:fldChar w:fldCharType="begin"/>
      </w:r>
      <w:r w:rsidRPr="001B0EA3">
        <w:rPr>
          <w:b/>
          <w:szCs w:val="24"/>
          <w:lang w:eastAsia="bg-BG"/>
        </w:rPr>
        <w:instrText xml:space="preserve"> REF _Ref406325382 \r \h  \* MERGEFORMAT </w:instrText>
      </w:r>
      <w:r w:rsidRPr="001B0EA3">
        <w:rPr>
          <w:b/>
          <w:szCs w:val="24"/>
          <w:lang w:eastAsia="bg-BG"/>
        </w:rPr>
      </w:r>
      <w:r w:rsidRPr="001B0EA3">
        <w:rPr>
          <w:b/>
          <w:szCs w:val="24"/>
          <w:lang w:eastAsia="bg-BG"/>
        </w:rPr>
        <w:fldChar w:fldCharType="separate"/>
      </w:r>
      <w:r w:rsidR="00F22141">
        <w:rPr>
          <w:b/>
          <w:szCs w:val="24"/>
          <w:lang w:eastAsia="bg-BG"/>
        </w:rPr>
        <w:t>18.14</w:t>
      </w:r>
      <w:r w:rsidRPr="001B0EA3">
        <w:rPr>
          <w:b/>
          <w:szCs w:val="24"/>
          <w:lang w:eastAsia="bg-BG"/>
        </w:rPr>
        <w:fldChar w:fldCharType="end"/>
      </w:r>
      <w:r w:rsidRPr="001B0EA3">
        <w:rPr>
          <w:szCs w:val="24"/>
          <w:lang w:eastAsia="bg-BG"/>
        </w:rPr>
        <w:t xml:space="preserve"> „Доклад на оценителна комисия“.</w:t>
      </w:r>
    </w:p>
    <w:p w14:paraId="72B47D8B" w14:textId="77777777" w:rsidR="00D603F5" w:rsidRPr="001B0EA3" w:rsidRDefault="00D603F5" w:rsidP="00046D61">
      <w:pPr>
        <w:contextualSpacing/>
        <w:rPr>
          <w:szCs w:val="24"/>
          <w:lang w:eastAsia="bg-BG"/>
        </w:rPr>
      </w:pPr>
      <w:r w:rsidRPr="001B0EA3">
        <w:rPr>
          <w:i/>
          <w:szCs w:val="24"/>
          <w:lang w:eastAsia="bg-BG"/>
        </w:rPr>
        <w:t>Срок за изпълнение:</w:t>
      </w:r>
      <w:r w:rsidRPr="001B0EA3">
        <w:rPr>
          <w:szCs w:val="24"/>
          <w:lang w:eastAsia="bg-BG"/>
        </w:rPr>
        <w:t xml:space="preserve"> в съответствие със срока, посочен в решението за сформиране на оценителна комисия, но не повече от </w:t>
      </w:r>
      <w:r w:rsidR="00802DBF" w:rsidRPr="001B0EA3">
        <w:rPr>
          <w:szCs w:val="24"/>
          <w:lang w:eastAsia="bg-BG"/>
        </w:rPr>
        <w:t>три месеца от датата на подаването им</w:t>
      </w:r>
      <w:r w:rsidR="00802DBF" w:rsidRPr="001B0EA3" w:rsidDel="00802DBF">
        <w:rPr>
          <w:szCs w:val="24"/>
          <w:lang w:eastAsia="bg-BG"/>
        </w:rPr>
        <w:t xml:space="preserve"> </w:t>
      </w:r>
      <w:r w:rsidR="00911136" w:rsidRPr="001B0EA3">
        <w:rPr>
          <w:szCs w:val="24"/>
          <w:lang w:eastAsia="bg-BG"/>
        </w:rPr>
        <w:t>.</w:t>
      </w:r>
    </w:p>
    <w:p w14:paraId="1141305D" w14:textId="77777777" w:rsidR="00D06B71" w:rsidRPr="001B0EA3" w:rsidRDefault="00D06B71" w:rsidP="00046D61">
      <w:pPr>
        <w:numPr>
          <w:ilvl w:val="0"/>
          <w:numId w:val="81"/>
        </w:numPr>
        <w:tabs>
          <w:tab w:val="left" w:pos="851"/>
        </w:tabs>
        <w:spacing w:before="120" w:after="120"/>
        <w:ind w:left="0" w:firstLine="414"/>
        <w:rPr>
          <w:szCs w:val="24"/>
        </w:rPr>
      </w:pPr>
      <w:r w:rsidRPr="001B0EA3">
        <w:rPr>
          <w:szCs w:val="24"/>
        </w:rPr>
        <w:t xml:space="preserve">Началникът на отдел „Програмиране” се запознава с оценения ФК, </w:t>
      </w:r>
      <w:r w:rsidR="00FC2D10" w:rsidRPr="001B0EA3">
        <w:rPr>
          <w:szCs w:val="24"/>
        </w:rPr>
        <w:t xml:space="preserve">оценителния </w:t>
      </w:r>
      <w:r w:rsidRPr="001B0EA3">
        <w:rPr>
          <w:szCs w:val="24"/>
        </w:rPr>
        <w:t>доклад</w:t>
      </w:r>
      <w:r w:rsidR="006B1ABC" w:rsidRPr="001B0EA3">
        <w:rPr>
          <w:szCs w:val="24"/>
        </w:rPr>
        <w:t xml:space="preserve"> с отразени резултатите от оценителните таблици на оценителите</w:t>
      </w:r>
      <w:r w:rsidRPr="001B0EA3">
        <w:rPr>
          <w:szCs w:val="24"/>
        </w:rPr>
        <w:t xml:space="preserve">, контролни листа и </w:t>
      </w:r>
      <w:r w:rsidRPr="001B0EA3">
        <w:rPr>
          <w:szCs w:val="24"/>
        </w:rPr>
        <w:lastRenderedPageBreak/>
        <w:t>всички документи</w:t>
      </w:r>
      <w:r w:rsidR="00FC2D10" w:rsidRPr="001B0EA3">
        <w:rPr>
          <w:szCs w:val="24"/>
        </w:rPr>
        <w:t>,</w:t>
      </w:r>
      <w:r w:rsidRPr="001B0EA3">
        <w:rPr>
          <w:szCs w:val="24"/>
        </w:rPr>
        <w:t xml:space="preserve"> свързани с процеса на извършване на оценката му за извършване на проверка на процедурата и попълва </w:t>
      </w:r>
      <w:hyperlink r:id="rId131" w:tooltip="Контролен лист за проверка на процедурата на извършена оценка на проектно предложение" w:history="1">
        <w:r w:rsidR="00AE381A" w:rsidRPr="00251D03">
          <w:rPr>
            <w:rStyle w:val="Hyperlink"/>
            <w:i/>
            <w:szCs w:val="24"/>
          </w:rPr>
          <w:t>Приложение № 3.09</w:t>
        </w:r>
      </w:hyperlink>
      <w:r w:rsidR="00EE79FA">
        <w:rPr>
          <w:rStyle w:val="Hyperlink"/>
          <w:szCs w:val="24"/>
          <w:u w:val="none"/>
        </w:rPr>
        <w:t xml:space="preserve"> </w:t>
      </w:r>
      <w:r w:rsidR="00EE79FA" w:rsidRPr="007509C5">
        <w:rPr>
          <w:rStyle w:val="Hyperlink"/>
          <w:color w:val="auto"/>
          <w:szCs w:val="24"/>
          <w:u w:val="none"/>
        </w:rPr>
        <w:t>в ИСУН 2020.</w:t>
      </w:r>
    </w:p>
    <w:p w14:paraId="0CE924CC" w14:textId="77777777" w:rsidR="00D06B71" w:rsidRPr="001B0EA3" w:rsidRDefault="00D06B71" w:rsidP="00046D61">
      <w:pPr>
        <w:pStyle w:val="ListParagraph"/>
        <w:ind w:left="0"/>
        <w:rPr>
          <w:szCs w:val="24"/>
          <w:lang w:eastAsia="bg-BG"/>
        </w:rPr>
      </w:pPr>
      <w:r w:rsidRPr="001B0EA3">
        <w:rPr>
          <w:i/>
          <w:szCs w:val="24"/>
          <w:lang w:eastAsia="bg-BG"/>
        </w:rPr>
        <w:t>Срок за изпълнение:</w:t>
      </w:r>
      <w:r w:rsidRPr="001B0EA3">
        <w:rPr>
          <w:szCs w:val="24"/>
          <w:lang w:eastAsia="bg-BG"/>
        </w:rPr>
        <w:t xml:space="preserve"> До 5 работни дни от представянето на документите</w:t>
      </w:r>
    </w:p>
    <w:p w14:paraId="673564BF" w14:textId="77777777" w:rsidR="00280625" w:rsidRPr="00117E69" w:rsidRDefault="00280625" w:rsidP="00280625">
      <w:pPr>
        <w:pStyle w:val="ListParagraph"/>
        <w:numPr>
          <w:ilvl w:val="0"/>
          <w:numId w:val="81"/>
        </w:numPr>
        <w:tabs>
          <w:tab w:val="left" w:pos="851"/>
        </w:tabs>
        <w:spacing w:before="120" w:after="120"/>
        <w:ind w:left="0" w:firstLine="426"/>
        <w:rPr>
          <w:i/>
          <w:szCs w:val="24"/>
        </w:rPr>
      </w:pPr>
      <w:r w:rsidRPr="00820E11">
        <w:rPr>
          <w:szCs w:val="24"/>
        </w:rPr>
        <w:t xml:space="preserve">Началника на отдел „Програмиране“ представя оценения ФК, оценителния доклад </w:t>
      </w:r>
      <w:r w:rsidRPr="00117E69">
        <w:rPr>
          <w:rStyle w:val="Hyperlink"/>
          <w:i/>
        </w:rPr>
        <w:t>(Приложение № 3.07</w:t>
      </w:r>
      <w:r w:rsidRPr="00820E11">
        <w:rPr>
          <w:szCs w:val="24"/>
        </w:rPr>
        <w:t xml:space="preserve">), съдържащ взетото решение за одобрение на оценителния доклад и предоставяне на БФП/ отхвърляне на БФП </w:t>
      </w:r>
      <w:r w:rsidRPr="00117E69">
        <w:rPr>
          <w:rStyle w:val="Hyperlink"/>
          <w:i/>
        </w:rPr>
        <w:t>(Приложение № 3.10)</w:t>
      </w:r>
      <w:r w:rsidRPr="00820E11">
        <w:rPr>
          <w:szCs w:val="24"/>
        </w:rPr>
        <w:t xml:space="preserve"> и всички документи свързани с процеса на извършване на оценката му, ко</w:t>
      </w:r>
      <w:r>
        <w:rPr>
          <w:szCs w:val="24"/>
        </w:rPr>
        <w:t>и</w:t>
      </w:r>
      <w:r w:rsidRPr="00820E11">
        <w:rPr>
          <w:szCs w:val="24"/>
        </w:rPr>
        <w:t>то не са налични в системата ИСУН 2020 на директора на дирек</w:t>
      </w:r>
      <w:r>
        <w:rPr>
          <w:szCs w:val="24"/>
        </w:rPr>
        <w:t xml:space="preserve">ция КПП. Директора на дирекция </w:t>
      </w:r>
      <w:r w:rsidRPr="00820E11">
        <w:rPr>
          <w:szCs w:val="24"/>
        </w:rPr>
        <w:t xml:space="preserve">КПП извършва втора проверка в попълнения  от началника на отдел „Програмиране“ контролен лист </w:t>
      </w:r>
      <w:r w:rsidRPr="00117E69">
        <w:rPr>
          <w:rStyle w:val="Hyperlink"/>
          <w:i/>
        </w:rPr>
        <w:t>Приложение № 3.09</w:t>
      </w:r>
      <w:r w:rsidRPr="00820E11">
        <w:rPr>
          <w:szCs w:val="24"/>
        </w:rPr>
        <w:t>,  след което целия пакет от документи се пред</w:t>
      </w:r>
      <w:r>
        <w:rPr>
          <w:szCs w:val="24"/>
        </w:rPr>
        <w:t xml:space="preserve">ава </w:t>
      </w:r>
      <w:r w:rsidRPr="00820E11">
        <w:rPr>
          <w:szCs w:val="24"/>
        </w:rPr>
        <w:t>за одобрение от Ръководителя на УО на ОПТТИ</w:t>
      </w:r>
      <w:r>
        <w:rPr>
          <w:szCs w:val="24"/>
        </w:rPr>
        <w:t xml:space="preserve"> </w:t>
      </w:r>
      <w:r w:rsidRPr="00117E69">
        <w:rPr>
          <w:i/>
          <w:szCs w:val="24"/>
        </w:rPr>
        <w:t>(когато директора на дирекция КПП не е Ръководител на УО).</w:t>
      </w:r>
    </w:p>
    <w:p w14:paraId="0666EDE6" w14:textId="77777777" w:rsidR="001B76D3" w:rsidRPr="001B76D3" w:rsidRDefault="001B76D3" w:rsidP="00AE1F0D">
      <w:pPr>
        <w:pStyle w:val="ListParagraph"/>
        <w:tabs>
          <w:tab w:val="left" w:pos="851"/>
        </w:tabs>
        <w:spacing w:before="120" w:after="120"/>
        <w:ind w:left="786" w:firstLine="0"/>
        <w:rPr>
          <w:szCs w:val="24"/>
        </w:rPr>
      </w:pPr>
      <w:r w:rsidRPr="001B76D3">
        <w:rPr>
          <w:i/>
          <w:szCs w:val="24"/>
        </w:rPr>
        <w:t>Срок за изпълнение:</w:t>
      </w:r>
      <w:r w:rsidRPr="001B76D3">
        <w:rPr>
          <w:szCs w:val="24"/>
        </w:rPr>
        <w:t xml:space="preserve"> До 5 работни дни за всеки съгласуващ и за одобряващия</w:t>
      </w:r>
    </w:p>
    <w:p w14:paraId="35C1435B" w14:textId="77777777" w:rsidR="001B76D3" w:rsidRPr="001B0EA3" w:rsidRDefault="001B76D3" w:rsidP="00AE1F0D">
      <w:pPr>
        <w:tabs>
          <w:tab w:val="left" w:pos="851"/>
        </w:tabs>
        <w:spacing w:before="120" w:after="120"/>
        <w:ind w:left="414" w:firstLine="0"/>
        <w:rPr>
          <w:szCs w:val="24"/>
        </w:rPr>
      </w:pPr>
    </w:p>
    <w:p w14:paraId="5241D9BE" w14:textId="77777777" w:rsidR="00D603F5" w:rsidRPr="00842ECC" w:rsidRDefault="00D603F5" w:rsidP="00B502C7">
      <w:pPr>
        <w:pStyle w:val="Style2"/>
        <w:rPr>
          <w:lang w:val="bg-BG" w:eastAsia="bg-BG"/>
        </w:rPr>
      </w:pPr>
      <w:bookmarkStart w:id="628" w:name="_Toc431992204"/>
      <w:bookmarkStart w:id="629" w:name="_Toc432165936"/>
      <w:bookmarkStart w:id="630" w:name="_Toc431992205"/>
      <w:bookmarkStart w:id="631" w:name="_Toc432165937"/>
      <w:bookmarkStart w:id="632" w:name="_Toc431992206"/>
      <w:bookmarkStart w:id="633" w:name="_Toc432165938"/>
      <w:bookmarkStart w:id="634" w:name="_Toc431992207"/>
      <w:bookmarkStart w:id="635" w:name="_Toc432165939"/>
      <w:bookmarkStart w:id="636" w:name="_Toc431992208"/>
      <w:bookmarkStart w:id="637" w:name="_Toc432165940"/>
      <w:bookmarkStart w:id="638" w:name="_Ref409511071"/>
      <w:bookmarkStart w:id="639" w:name="_Toc479775666"/>
      <w:bookmarkStart w:id="640" w:name="_Toc140150221"/>
      <w:bookmarkStart w:id="641" w:name="_Ref406323455"/>
      <w:bookmarkEnd w:id="589"/>
      <w:bookmarkEnd w:id="628"/>
      <w:bookmarkEnd w:id="629"/>
      <w:bookmarkEnd w:id="630"/>
      <w:bookmarkEnd w:id="631"/>
      <w:bookmarkEnd w:id="632"/>
      <w:bookmarkEnd w:id="633"/>
      <w:bookmarkEnd w:id="634"/>
      <w:bookmarkEnd w:id="635"/>
      <w:bookmarkEnd w:id="636"/>
      <w:bookmarkEnd w:id="637"/>
      <w:r w:rsidRPr="00842ECC">
        <w:rPr>
          <w:lang w:val="bg-BG" w:eastAsia="bg-BG"/>
        </w:rPr>
        <w:t>Процедура за оценка на бюджетна линия</w:t>
      </w:r>
      <w:bookmarkEnd w:id="638"/>
      <w:bookmarkEnd w:id="639"/>
      <w:bookmarkEnd w:id="640"/>
    </w:p>
    <w:p w14:paraId="434B2624" w14:textId="77777777" w:rsidR="00D603F5" w:rsidRPr="00842ECC" w:rsidRDefault="00D603F5" w:rsidP="00346F28">
      <w:pPr>
        <w:pStyle w:val="Style3"/>
        <w:rPr>
          <w:lang w:val="bg-BG"/>
        </w:rPr>
      </w:pPr>
      <w:bookmarkStart w:id="642" w:name="_Toc479775667"/>
      <w:r w:rsidRPr="00842ECC">
        <w:rPr>
          <w:lang w:val="bg-BG"/>
        </w:rPr>
        <w:t>Предпоставки за финансиране на дейности чрез бюджетна линия</w:t>
      </w:r>
      <w:bookmarkEnd w:id="642"/>
    </w:p>
    <w:p w14:paraId="3502FDEF" w14:textId="77777777" w:rsidR="00D603F5" w:rsidRPr="001B0EA3" w:rsidRDefault="00D603F5" w:rsidP="00DD3FF3">
      <w:r w:rsidRPr="001B0EA3">
        <w:t xml:space="preserve">Съгласно чл. </w:t>
      </w:r>
      <w:r w:rsidR="003E12BE" w:rsidRPr="001B0EA3">
        <w:t>43, ал. 1 т. 3 от ЗУСЕСИФ БФП може да се предоставя за финансиране на еднотипни и повтарящи се дейности извършвани от конкретния бенефициент от администрацията на изпълнителната власт – УО на ОПТТИ по силата на нормативен акт. Това са разходи за</w:t>
      </w:r>
      <w:r w:rsidR="003E12BE" w:rsidRPr="001B0EA3" w:rsidDel="003E12BE">
        <w:t xml:space="preserve"> </w:t>
      </w:r>
      <w:r w:rsidRPr="001B0EA3">
        <w:t xml:space="preserve">обезпечаване на дейностите по програмиране, наблюдение, управление, контрол, координация, сертифициране, както и дейности по одит и оценка на усвоените средства от определените средства за техническа помощ, финансирани чрез ЕФРР и КФ на ЕС за програмен период 2014-2020 г., чрез бюджетни линии. </w:t>
      </w:r>
    </w:p>
    <w:p w14:paraId="4ED47EE8" w14:textId="77777777" w:rsidR="007356FA" w:rsidRPr="001B0EA3" w:rsidRDefault="007356FA" w:rsidP="00DD3FF3">
      <w:pPr>
        <w:rPr>
          <w:szCs w:val="24"/>
          <w:lang w:eastAsia="bg-BG"/>
        </w:rPr>
      </w:pPr>
      <w:r w:rsidRPr="001B0EA3">
        <w:rPr>
          <w:szCs w:val="24"/>
          <w:lang w:eastAsia="bg-BG"/>
        </w:rPr>
        <w:t>За осигуряване на финансиране на дейности чрез бюджетна линия УО на ОПТТИ подава за одобрение формуляр за кандидатстване, съгласно образеца в ИСУН и Насоките за кандидатстване по ОПТТИ, включително финансов план, по утвърден образец със Заповед № ЗФМ-53/21.01.2016 г. от министъра на финансите. Формулярът за кандидатстване се попълва в ИСУН 2020 (попълват се само приложимите за бюджетна линия полета), съгласно указанията в ИСУН 2020 и Насоките за кандидатстване по ОПТТИ.</w:t>
      </w:r>
    </w:p>
    <w:p w14:paraId="49157641" w14:textId="77777777" w:rsidR="00D603F5" w:rsidRPr="001B0EA3" w:rsidRDefault="00D603F5" w:rsidP="00DD3FF3">
      <w:r w:rsidRPr="001B0EA3">
        <w:t xml:space="preserve">Дейностите, които бенефициентите финансират чрез бюджетна линия, следва да бъдат определени въз основа на </w:t>
      </w:r>
      <w:r w:rsidR="007512ED" w:rsidRPr="001B0EA3">
        <w:t xml:space="preserve">Критерии </w:t>
      </w:r>
      <w:r w:rsidRPr="001B0EA3">
        <w:t xml:space="preserve">за </w:t>
      </w:r>
      <w:r w:rsidR="007512ED" w:rsidRPr="001B0EA3">
        <w:t xml:space="preserve">подбор и оценка </w:t>
      </w:r>
      <w:r w:rsidRPr="001B0EA3">
        <w:t xml:space="preserve">на </w:t>
      </w:r>
      <w:r w:rsidR="007512ED" w:rsidRPr="001B0EA3">
        <w:t>проекти</w:t>
      </w:r>
      <w:r w:rsidRPr="001B0EA3">
        <w:t>, одобрени от КН на ОПТТИ.</w:t>
      </w:r>
    </w:p>
    <w:p w14:paraId="57666BA3" w14:textId="77777777" w:rsidR="00D603F5" w:rsidRPr="001B0EA3" w:rsidRDefault="00D603F5" w:rsidP="00DD3FF3">
      <w:r w:rsidRPr="001B0EA3">
        <w:t xml:space="preserve">Предоставянето на помощта, чрез бюджетна линия се извършва на следните етапи: </w:t>
      </w:r>
    </w:p>
    <w:p w14:paraId="0F3C25C2" w14:textId="77777777" w:rsidR="00D603F5" w:rsidRPr="001B0EA3" w:rsidRDefault="00D603F5" w:rsidP="00DD3FF3">
      <w:pPr>
        <w:pStyle w:val="ListParagraph"/>
        <w:numPr>
          <w:ilvl w:val="0"/>
          <w:numId w:val="311"/>
        </w:numPr>
        <w:ind w:left="0" w:firstLine="1211"/>
        <w:rPr>
          <w:lang w:eastAsia="bg-BG"/>
        </w:rPr>
      </w:pPr>
      <w:r w:rsidRPr="001B0EA3">
        <w:rPr>
          <w:lang w:eastAsia="bg-BG"/>
        </w:rPr>
        <w:t xml:space="preserve">представяне на УО на ОПТТИ на финансов план; </w:t>
      </w:r>
    </w:p>
    <w:p w14:paraId="11813947" w14:textId="77777777" w:rsidR="00D603F5" w:rsidRPr="001B0EA3" w:rsidRDefault="00D603F5" w:rsidP="00DD3FF3">
      <w:pPr>
        <w:pStyle w:val="ListParagraph"/>
        <w:numPr>
          <w:ilvl w:val="0"/>
          <w:numId w:val="311"/>
        </w:numPr>
        <w:ind w:left="0" w:firstLine="1211"/>
        <w:rPr>
          <w:lang w:eastAsia="bg-BG"/>
        </w:rPr>
      </w:pPr>
      <w:r w:rsidRPr="001B0EA3">
        <w:rPr>
          <w:lang w:eastAsia="bg-BG"/>
        </w:rPr>
        <w:t xml:space="preserve">оценка от УО на ОПТТИ на финансовия план по отношение на критериите за административно съответствие и за допустимост на разходите; </w:t>
      </w:r>
    </w:p>
    <w:p w14:paraId="257F1C4E" w14:textId="77777777" w:rsidR="00D603F5" w:rsidRPr="001B0EA3" w:rsidRDefault="007356FA" w:rsidP="00DD3FF3">
      <w:pPr>
        <w:pStyle w:val="ListParagraph"/>
        <w:numPr>
          <w:ilvl w:val="0"/>
          <w:numId w:val="311"/>
        </w:numPr>
        <w:ind w:left="0" w:firstLine="1211"/>
        <w:rPr>
          <w:lang w:eastAsia="bg-BG"/>
        </w:rPr>
      </w:pPr>
      <w:r w:rsidRPr="001B0EA3">
        <w:rPr>
          <w:lang w:eastAsia="bg-BG"/>
        </w:rPr>
        <w:t xml:space="preserve">вземане </w:t>
      </w:r>
      <w:r w:rsidR="00D603F5" w:rsidRPr="001B0EA3">
        <w:rPr>
          <w:lang w:eastAsia="bg-BG"/>
        </w:rPr>
        <w:t xml:space="preserve">на Решение на Ръководителя на УО на ОПТТИ за одобряване на бюджетна линия; </w:t>
      </w:r>
    </w:p>
    <w:p w14:paraId="186DA911" w14:textId="77777777" w:rsidR="00D603F5" w:rsidRPr="001B0EA3" w:rsidRDefault="00D603F5" w:rsidP="00DD3FF3">
      <w:pPr>
        <w:pStyle w:val="ListParagraph"/>
        <w:numPr>
          <w:ilvl w:val="0"/>
          <w:numId w:val="311"/>
        </w:numPr>
        <w:ind w:left="0" w:firstLine="1211"/>
        <w:rPr>
          <w:lang w:eastAsia="bg-BG"/>
        </w:rPr>
      </w:pPr>
      <w:r w:rsidRPr="001B0EA3">
        <w:rPr>
          <w:lang w:eastAsia="bg-BG"/>
        </w:rPr>
        <w:t xml:space="preserve">издаване на заповед за предоставяне на БФП. </w:t>
      </w:r>
    </w:p>
    <w:p w14:paraId="41FBA4A7" w14:textId="77777777" w:rsidR="007356FA" w:rsidRPr="001B0EA3" w:rsidRDefault="00C367CA" w:rsidP="00DD3FF3">
      <w:r w:rsidRPr="001B0EA3">
        <w:t xml:space="preserve">УО </w:t>
      </w:r>
      <w:r w:rsidR="007356FA" w:rsidRPr="001B0EA3">
        <w:t>на ОПТТИ</w:t>
      </w:r>
      <w:r w:rsidRPr="001B0EA3">
        <w:t>, чрез ръководителите на звената</w:t>
      </w:r>
      <w:r w:rsidR="007356FA" w:rsidRPr="001B0EA3">
        <w:t xml:space="preserve"> </w:t>
      </w:r>
      <w:r w:rsidRPr="001B0EA3">
        <w:t xml:space="preserve">за управление на бюджетни линии </w:t>
      </w:r>
      <w:r w:rsidR="00D603F5" w:rsidRPr="001B0EA3">
        <w:t xml:space="preserve">подават за одобрение финансов план за осигуряване на финансиране чрез бюджетна линия през целия програмен период, като планират разходи, които ще бъдат извършени в периода на допустимост от 01.01.2014 г. до 31.12.2023 г. </w:t>
      </w:r>
      <w:r w:rsidR="007356FA" w:rsidRPr="001B0EA3">
        <w:t>Препоръчителен срок на бюджетната линия е 3-4 години.</w:t>
      </w:r>
    </w:p>
    <w:p w14:paraId="6DE86C56" w14:textId="77777777" w:rsidR="00D603F5" w:rsidRPr="001B0EA3" w:rsidRDefault="007356FA" w:rsidP="00DD3FF3">
      <w:r w:rsidRPr="001B0EA3">
        <w:t>ФК и финансовия план, съдържат</w:t>
      </w:r>
      <w:r w:rsidRPr="001B0EA3" w:rsidDel="007356FA">
        <w:t xml:space="preserve"> </w:t>
      </w:r>
      <w:r w:rsidR="00D603F5" w:rsidRPr="001B0EA3">
        <w:t>следните основни компоненти:</w:t>
      </w:r>
    </w:p>
    <w:p w14:paraId="08911F00" w14:textId="77777777" w:rsidR="00D603F5" w:rsidRPr="001B0EA3" w:rsidRDefault="00D603F5" w:rsidP="00DD3FF3">
      <w:pPr>
        <w:pStyle w:val="ListParagraph"/>
        <w:numPr>
          <w:ilvl w:val="0"/>
          <w:numId w:val="310"/>
        </w:numPr>
        <w:rPr>
          <w:lang w:eastAsia="bg-BG"/>
        </w:rPr>
      </w:pPr>
      <w:r w:rsidRPr="001B0EA3">
        <w:rPr>
          <w:lang w:eastAsia="bg-BG"/>
        </w:rPr>
        <w:t>Бюджет</w:t>
      </w:r>
    </w:p>
    <w:p w14:paraId="425EEAF0" w14:textId="77777777" w:rsidR="00D603F5" w:rsidRPr="001B0EA3" w:rsidRDefault="00D603F5" w:rsidP="00DD3FF3">
      <w:pPr>
        <w:pStyle w:val="ListParagraph"/>
        <w:numPr>
          <w:ilvl w:val="0"/>
          <w:numId w:val="310"/>
        </w:numPr>
        <w:rPr>
          <w:lang w:eastAsia="bg-BG"/>
        </w:rPr>
      </w:pPr>
      <w:r w:rsidRPr="001B0EA3">
        <w:rPr>
          <w:lang w:eastAsia="bg-BG"/>
        </w:rPr>
        <w:t>цел/и</w:t>
      </w:r>
    </w:p>
    <w:p w14:paraId="4E67CBE8" w14:textId="77777777" w:rsidR="00D603F5" w:rsidRPr="001B0EA3" w:rsidRDefault="00D603F5" w:rsidP="00DD3FF3">
      <w:pPr>
        <w:pStyle w:val="ListParagraph"/>
        <w:numPr>
          <w:ilvl w:val="0"/>
          <w:numId w:val="310"/>
        </w:numPr>
        <w:rPr>
          <w:lang w:eastAsia="bg-BG"/>
        </w:rPr>
      </w:pPr>
      <w:r w:rsidRPr="001B0EA3">
        <w:rPr>
          <w:lang w:eastAsia="bg-BG"/>
        </w:rPr>
        <w:t>индикатори за постигнати резултати</w:t>
      </w:r>
    </w:p>
    <w:p w14:paraId="7F06717F" w14:textId="77777777" w:rsidR="00D603F5" w:rsidRPr="001B0EA3" w:rsidRDefault="00D603F5" w:rsidP="00DD3FF3">
      <w:pPr>
        <w:pStyle w:val="ListParagraph"/>
        <w:numPr>
          <w:ilvl w:val="0"/>
          <w:numId w:val="310"/>
        </w:numPr>
        <w:rPr>
          <w:lang w:eastAsia="bg-BG"/>
        </w:rPr>
      </w:pPr>
      <w:r w:rsidRPr="001B0EA3">
        <w:rPr>
          <w:lang w:eastAsia="bg-BG"/>
        </w:rPr>
        <w:t>обособена позиция за разходите за организация и управление (ако е приложимо).</w:t>
      </w:r>
    </w:p>
    <w:p w14:paraId="353D1CC2" w14:textId="77777777" w:rsidR="00D603F5" w:rsidRPr="001B0EA3" w:rsidRDefault="00D603F5" w:rsidP="00DD3FF3">
      <w:r w:rsidRPr="001B0EA3">
        <w:lastRenderedPageBreak/>
        <w:t>Бюджетът съдържа разпределение на планираното публично финансиране и на планираните разходи, като разходите, в това число разходи за възнаграждения, обучения, организиране на комитети за наблюдение, разходи за закупуване/придобиване на дълготрайни активи, както и други допустими разходи по програмите, се представят кумулативно по предвидените за изпълнение дейности от УО на ОПТТИ за периода на финансиране.</w:t>
      </w:r>
    </w:p>
    <w:p w14:paraId="04850FA1" w14:textId="77777777" w:rsidR="00524BB7" w:rsidRPr="001B0EA3" w:rsidRDefault="00524BB7" w:rsidP="00DD3FF3">
      <w:r w:rsidRPr="001B0EA3">
        <w:t xml:space="preserve">Определените цели във финансовия план трябва да допринасят за постигане на целите и приоритетите на ОПТТИ и на приоритетна ос 5 в частност и да бъдат ясно обвързани – логически и времево, с планираните за финансиране дейности, както и с индикаторите за постигнати резултати. </w:t>
      </w:r>
    </w:p>
    <w:p w14:paraId="7FB53C19" w14:textId="77777777" w:rsidR="00524BB7" w:rsidRPr="001B0EA3" w:rsidRDefault="00524BB7" w:rsidP="00DD3FF3">
      <w:r w:rsidRPr="001B0EA3">
        <w:t xml:space="preserve">Във финансовия план звеното в УО на ОПТТИ, като бенефициент следва да заложи конкретни индикатори за постигнати резултати, чрез които да бъде осигурено отчитане на степента на изпълнение на дейностите, финансирани чрез бюджетната линия, както и да опише начина им за измерване. </w:t>
      </w:r>
    </w:p>
    <w:p w14:paraId="66CF7627" w14:textId="77777777" w:rsidR="00524BB7" w:rsidRPr="001B0EA3" w:rsidRDefault="00524BB7" w:rsidP="00DD3FF3">
      <w:r w:rsidRPr="001B0EA3">
        <w:t>УО на ОПТТИ задължително декларира във ФК, че дейностите, финансирани по бюджетната линия, не се финансират/не са финансирани от друг проект/програма/бюджетна линия или друга финансова схема с източник националния бюджет, бюджета на ЕС или друга донорска програма.</w:t>
      </w:r>
    </w:p>
    <w:p w14:paraId="3FF4A5BD" w14:textId="77777777" w:rsidR="00524BB7" w:rsidRPr="001B0EA3" w:rsidRDefault="00524BB7" w:rsidP="00DD3FF3">
      <w:r w:rsidRPr="001B0EA3">
        <w:t xml:space="preserve">Формуляр за кандидатстване за финансиране, чрез бюджетна линия се попълва ИСУН 2020, и се прилага финансов план, изготвен съгласно стандартен образец, приложен към Насоките по ОПТТИ </w:t>
      </w:r>
      <w:r w:rsidRPr="001B0EA3">
        <w:rPr>
          <w:b/>
          <w:i/>
        </w:rPr>
        <w:t>(Приложение № 04).</w:t>
      </w:r>
      <w:r w:rsidRPr="001B0EA3">
        <w:t xml:space="preserve"> Попълнения ФК се предоставя за одобрение от УО на ОПТТИ. При необходимост от допълнителни пояснения или уточнения УО на ОПТТИ може да изиска от конкретното звено-бенефициент по ОПТТИ корекция/ допълнителна информация, преди да разреши финансирането.</w:t>
      </w:r>
    </w:p>
    <w:p w14:paraId="278708E5" w14:textId="77777777" w:rsidR="00524BB7" w:rsidRPr="001B0EA3" w:rsidRDefault="00524BB7" w:rsidP="00DD3FF3">
      <w:r w:rsidRPr="001B0EA3">
        <w:t>Бюджетът представя разпределеното по години публично финансиране на разходите, допустими за финансиране съгласно приложимото законодателство и правилата на ОПТТИ. Разпределението на разходите по години следва да бъде съобразено със спецификата на изпълняваните дейности. В случаите, когато се предвижда възлагането на дейности по реда на ЗОП, при изготвянето на финансовия план (бюджет) е необходимо да се вземат предвид нормативните срокове за възлагането, включително и за осъществяване на контрол, когато е приложимо.</w:t>
      </w:r>
    </w:p>
    <w:p w14:paraId="026D0CBE" w14:textId="77777777" w:rsidR="00524BB7" w:rsidRPr="001B0EA3" w:rsidRDefault="00524BB7" w:rsidP="00DD3FF3">
      <w:r w:rsidRPr="001B0EA3">
        <w:t>В образец „Бюджет” се попълват стойности за финансиране, съответно за разходи по години, които са включени в периода за финансиране.</w:t>
      </w:r>
    </w:p>
    <w:p w14:paraId="2C8E7671" w14:textId="77777777" w:rsidR="00524BB7" w:rsidRPr="001B0EA3" w:rsidRDefault="00524BB7" w:rsidP="00DD3FF3">
      <w:r w:rsidRPr="001B0EA3">
        <w:t>Бюджетната линия се счита за открита от датата на заповедта за предоставяне на БФП.</w:t>
      </w:r>
    </w:p>
    <w:p w14:paraId="7062A757" w14:textId="77777777" w:rsidR="00524BB7" w:rsidRPr="001B0EA3" w:rsidRDefault="00524BB7" w:rsidP="00DD3FF3">
      <w:r w:rsidRPr="001B0EA3">
        <w:t>Бюджетната линия се счита за приключена на крайната дата, посочена в заповедта за предоставяне на БФП, като при изготвяне на бюджета във финансовия план следва да се вземе предвид, че плащанията от бенефициента за направените от него разходи могат да бъдат извършени до крайната ú дата.</w:t>
      </w:r>
    </w:p>
    <w:p w14:paraId="13BAA0BB" w14:textId="77777777" w:rsidR="00D603F5" w:rsidRPr="001B0EA3" w:rsidRDefault="00D603F5" w:rsidP="00DD3FF3">
      <w:r w:rsidRPr="001B0EA3">
        <w:t>Документите, които се подават за одобрение на финансиране чрез бюджетната линия и с които се отчита изпълнението на финансираните дейности, следва да са в съответствие с принципа за осигуряване на информация и публичност, съгласно чл. 115 и Приложение № ХІІ от Регламент (ЕС) № 1303/2013 г.</w:t>
      </w:r>
    </w:p>
    <w:p w14:paraId="79B4DD9A" w14:textId="77777777" w:rsidR="00D603F5" w:rsidRPr="001B0EA3" w:rsidRDefault="00D603F5" w:rsidP="00DD3FF3">
      <w:r w:rsidRPr="001B0EA3">
        <w:t xml:space="preserve">При подаване на финансовия план се определя и екипа за организация и управление на бюджетната линия, в това число: </w:t>
      </w:r>
    </w:p>
    <w:p w14:paraId="2AA65B93" w14:textId="77777777" w:rsidR="00D603F5" w:rsidRPr="001B0EA3" w:rsidRDefault="00D603F5" w:rsidP="00DD3FF3">
      <w:pPr>
        <w:pStyle w:val="ListParagraph"/>
        <w:numPr>
          <w:ilvl w:val="0"/>
          <w:numId w:val="309"/>
        </w:numPr>
        <w:rPr>
          <w:lang w:eastAsia="bg-BG"/>
        </w:rPr>
      </w:pPr>
      <w:r w:rsidRPr="001B0EA3">
        <w:rPr>
          <w:lang w:eastAsia="bg-BG"/>
        </w:rPr>
        <w:t>ръководител</w:t>
      </w:r>
      <w:r w:rsidR="00204116" w:rsidRPr="001B0EA3">
        <w:rPr>
          <w:lang w:eastAsia="bg-BG"/>
        </w:rPr>
        <w:t xml:space="preserve"> на бюджетна линия</w:t>
      </w:r>
      <w:r w:rsidRPr="001B0EA3">
        <w:rPr>
          <w:lang w:eastAsia="bg-BG"/>
        </w:rPr>
        <w:t xml:space="preserve">, </w:t>
      </w:r>
    </w:p>
    <w:p w14:paraId="4B13EF58" w14:textId="77777777" w:rsidR="00D603F5" w:rsidRPr="001B0EA3" w:rsidRDefault="00D603F5" w:rsidP="00DD3FF3">
      <w:pPr>
        <w:pStyle w:val="ListParagraph"/>
        <w:numPr>
          <w:ilvl w:val="0"/>
          <w:numId w:val="309"/>
        </w:numPr>
        <w:rPr>
          <w:lang w:eastAsia="bg-BG"/>
        </w:rPr>
      </w:pPr>
      <w:r w:rsidRPr="001B0EA3">
        <w:rPr>
          <w:lang w:eastAsia="bg-BG"/>
        </w:rPr>
        <w:t xml:space="preserve">лице, отговорно за техническото изпълнение на </w:t>
      </w:r>
      <w:r w:rsidR="00C367CA" w:rsidRPr="001B0EA3">
        <w:rPr>
          <w:lang w:eastAsia="bg-BG"/>
        </w:rPr>
        <w:t>бюджетната линия;</w:t>
      </w:r>
    </w:p>
    <w:p w14:paraId="56D1CDBF" w14:textId="77777777" w:rsidR="00D603F5" w:rsidRPr="001B0EA3" w:rsidRDefault="00D603F5" w:rsidP="00DD3FF3">
      <w:pPr>
        <w:pStyle w:val="ListParagraph"/>
        <w:numPr>
          <w:ilvl w:val="0"/>
          <w:numId w:val="309"/>
        </w:numPr>
        <w:rPr>
          <w:lang w:eastAsia="bg-BG"/>
        </w:rPr>
      </w:pPr>
      <w:r w:rsidRPr="001B0EA3">
        <w:rPr>
          <w:lang w:eastAsia="bg-BG"/>
        </w:rPr>
        <w:t xml:space="preserve">лице, отговорно за финансовото и счетоводно отчитане </w:t>
      </w:r>
      <w:r w:rsidR="00C367CA" w:rsidRPr="001B0EA3">
        <w:rPr>
          <w:lang w:eastAsia="bg-BG"/>
        </w:rPr>
        <w:t>на бюджетната линия</w:t>
      </w:r>
      <w:r w:rsidR="00204116" w:rsidRPr="001B0EA3">
        <w:rPr>
          <w:lang w:eastAsia="bg-BG"/>
        </w:rPr>
        <w:t>;</w:t>
      </w:r>
      <w:r w:rsidRPr="001B0EA3">
        <w:rPr>
          <w:lang w:eastAsia="bg-BG"/>
        </w:rPr>
        <w:t xml:space="preserve"> </w:t>
      </w:r>
    </w:p>
    <w:p w14:paraId="49CEFCDE" w14:textId="77777777" w:rsidR="00D603F5" w:rsidRPr="001B0EA3" w:rsidRDefault="00D603F5" w:rsidP="00DD3FF3">
      <w:r w:rsidRPr="001B0EA3">
        <w:t>Възнагражденията на екипа за управление на бюджетната линия, ако са допустими за финансиране, се описват на отделен ред като „Разходи за организация и управление на бюджетната линия”, извън планирания бюджет за изпълнение на дейностите.</w:t>
      </w:r>
    </w:p>
    <w:p w14:paraId="24C79A61" w14:textId="77777777" w:rsidR="00D603F5" w:rsidRPr="001B0EA3" w:rsidRDefault="00D603F5" w:rsidP="00DD3FF3">
      <w:bookmarkStart w:id="643" w:name="_Ref395616591"/>
      <w:r w:rsidRPr="001B0EA3">
        <w:t xml:space="preserve">Звеното-бенефициент по ОПТТИ оценява ежегодно темпа на изпълнение на дейностите, отчитайки евентуално забавяне при изпълнението им, промяна в продължителността им поради специфика в изпълнението, алокиране на средства от една </w:t>
      </w:r>
      <w:r w:rsidRPr="001B0EA3">
        <w:lastRenderedPageBreak/>
        <w:t>година в друга или други обстоятелства, водещи до промяна в планираните стойности на разходите и финансирането по години.</w:t>
      </w:r>
      <w:bookmarkEnd w:id="643"/>
    </w:p>
    <w:p w14:paraId="187A4AE4" w14:textId="77777777" w:rsidR="00D603F5" w:rsidRPr="001B0EA3" w:rsidRDefault="00D603F5" w:rsidP="00DD3FF3">
      <w:r w:rsidRPr="001B0EA3">
        <w:t>Звеното-бенефициент по ОПТТИ информира УО на ОПТТИ за извършената оценка на темпа на изпълнение на дейностите, в срок до 15.02. на година (n+1), следваща годината на одобрение на бюджетната линия (n), като представя актуализиран образец „Бюджет по години” за календарни години (n+1) и (n+2) и отчетни стойности за година (n) на база изплатените разходи.</w:t>
      </w:r>
    </w:p>
    <w:p w14:paraId="2697C387" w14:textId="77777777" w:rsidR="00204116" w:rsidRPr="001B0EA3" w:rsidRDefault="00204116" w:rsidP="00DD3FF3">
      <w:r w:rsidRPr="001B0EA3">
        <w:t>След получаване на актуализирания образец „Бюджет по години”, в случаите, в които е налице увеличение или намаление на прогнозните стойности за следващите години, но тя се извършва компенсирано за годината и/или за годините, т.е. промяната не води до увеличение на общия размер на бюджетна линия, УО на ОПТТИ съгласува промяната без да изменя Решението за предоставяне на БФП. В случаите, в които корекцията води до намаление на общата стойност на бюджетна линия, Ръководителят на УО на ОПТТИ прави изменение на заповедта за предоставяне на БФП, съответно одобрява предложения нов образец „Бюджет” за разходване на бюджетната линия. При неизпълнение на планираните разходи по бюджетната линия, Ръководителят на УО на ОПТТИ може да издаде заповед за намаление на общия размер на финансирането, с оглед освобождаване на ресурс.</w:t>
      </w:r>
    </w:p>
    <w:p w14:paraId="2734DC73" w14:textId="77777777" w:rsidR="00204116" w:rsidRDefault="00204116" w:rsidP="00DD3FF3">
      <w:r w:rsidRPr="001B0EA3">
        <w:t xml:space="preserve">Авансовото плащане е в размер до 20% от общия размер на планираните разходи за периода на финансирането. Авансови средства по открита бюджетна линия се изплащат на бенефициента след подписване на заповедта за предоставяне на БФП. </w:t>
      </w:r>
    </w:p>
    <w:p w14:paraId="31F9E96A" w14:textId="77777777" w:rsidR="00DD3FF3" w:rsidRPr="001B0EA3" w:rsidRDefault="00DD3FF3" w:rsidP="00DD3FF3"/>
    <w:p w14:paraId="5B7C65D7" w14:textId="77777777" w:rsidR="00D603F5" w:rsidRPr="001B0EA3" w:rsidRDefault="00D603F5" w:rsidP="00DD3FF3">
      <w:pPr>
        <w:rPr>
          <w:lang w:eastAsia="bg-BG"/>
        </w:rPr>
      </w:pPr>
      <w:r w:rsidRPr="001B0EA3">
        <w:rPr>
          <w:i/>
          <w:lang w:eastAsia="bg-BG"/>
        </w:rPr>
        <w:t>Срок за изпълнение:</w:t>
      </w:r>
      <w:r w:rsidRPr="001B0EA3">
        <w:rPr>
          <w:lang w:eastAsia="bg-BG"/>
        </w:rPr>
        <w:t xml:space="preserve">  </w:t>
      </w:r>
      <w:r w:rsidR="007A733B" w:rsidRPr="001B0EA3">
        <w:rPr>
          <w:lang w:eastAsia="bg-BG"/>
        </w:rPr>
        <w:t xml:space="preserve">Оценката на бюджетните линии се извършва в срок </w:t>
      </w:r>
      <w:r w:rsidRPr="001B0EA3">
        <w:rPr>
          <w:lang w:eastAsia="bg-BG"/>
        </w:rPr>
        <w:t>до</w:t>
      </w:r>
      <w:r w:rsidR="00204116" w:rsidRPr="001B0EA3">
        <w:rPr>
          <w:lang w:eastAsia="bg-BG"/>
        </w:rPr>
        <w:t xml:space="preserve"> един месец от датата на подаването им</w:t>
      </w:r>
    </w:p>
    <w:p w14:paraId="4E5BDD3E" w14:textId="77777777" w:rsidR="00D603F5" w:rsidRPr="00842ECC" w:rsidRDefault="00D603F5" w:rsidP="00346F28">
      <w:pPr>
        <w:pStyle w:val="Style3"/>
        <w:rPr>
          <w:lang w:val="bg-BG" w:eastAsia="bg-BG"/>
        </w:rPr>
      </w:pPr>
      <w:bookmarkStart w:id="644" w:name="_Toc479775668"/>
      <w:r w:rsidRPr="00842ECC">
        <w:rPr>
          <w:lang w:val="bg-BG"/>
        </w:rPr>
        <w:t xml:space="preserve">Основни </w:t>
      </w:r>
      <w:r w:rsidRPr="00842ECC">
        <w:rPr>
          <w:lang w:val="bg-BG" w:eastAsia="bg-BG"/>
        </w:rPr>
        <w:t>стъпки</w:t>
      </w:r>
      <w:r w:rsidRPr="00842ECC">
        <w:rPr>
          <w:lang w:val="bg-BG"/>
        </w:rPr>
        <w:t xml:space="preserve"> при оценката на </w:t>
      </w:r>
      <w:r w:rsidR="00507E84" w:rsidRPr="00842ECC">
        <w:rPr>
          <w:lang w:val="bg-BG"/>
        </w:rPr>
        <w:t>бюджетната линия (</w:t>
      </w:r>
      <w:r w:rsidRPr="00842ECC">
        <w:rPr>
          <w:lang w:val="bg-BG"/>
        </w:rPr>
        <w:t>финансов план</w:t>
      </w:r>
      <w:r w:rsidR="00507E84" w:rsidRPr="00842ECC">
        <w:rPr>
          <w:lang w:val="bg-BG"/>
        </w:rPr>
        <w:t>)</w:t>
      </w:r>
      <w:bookmarkEnd w:id="644"/>
      <w:r w:rsidRPr="00842ECC">
        <w:rPr>
          <w:lang w:val="bg-BG"/>
        </w:rPr>
        <w:t xml:space="preserve"> </w:t>
      </w:r>
    </w:p>
    <w:p w14:paraId="35438232" w14:textId="77777777" w:rsidR="00743A07" w:rsidRPr="001B0EA3" w:rsidRDefault="00D603F5" w:rsidP="00046D61">
      <w:pPr>
        <w:ind w:firstLine="992"/>
        <w:contextualSpacing/>
        <w:rPr>
          <w:szCs w:val="24"/>
          <w:lang w:eastAsia="bg-BG"/>
        </w:rPr>
      </w:pPr>
      <w:r w:rsidRPr="001B0EA3">
        <w:rPr>
          <w:szCs w:val="24"/>
          <w:lang w:eastAsia="bg-BG"/>
        </w:rPr>
        <w:t>Процесът по оценка на получените бюджетни линии стартира след подписване и връчване на Решението за сформиране на оценителна комисия на членовете й.</w:t>
      </w:r>
      <w:r w:rsidR="00743A07" w:rsidRPr="001B0EA3">
        <w:rPr>
          <w:szCs w:val="24"/>
          <w:lang w:eastAsia="bg-BG"/>
        </w:rPr>
        <w:t xml:space="preserve"> В случай, че експерти от дирекция КПП участват в подготовката на бюджетната линия с бенефициент УО на ОПТТИ, те не трябва да се включват в оценителната комисия.  </w:t>
      </w:r>
    </w:p>
    <w:p w14:paraId="79E67680" w14:textId="77777777" w:rsidR="00D603F5" w:rsidRPr="001B0EA3" w:rsidRDefault="00D603F5" w:rsidP="00046D61">
      <w:pPr>
        <w:numPr>
          <w:ilvl w:val="0"/>
          <w:numId w:val="123"/>
        </w:numPr>
        <w:tabs>
          <w:tab w:val="left" w:pos="851"/>
        </w:tabs>
        <w:spacing w:before="120"/>
        <w:ind w:left="0" w:firstLine="567"/>
        <w:rPr>
          <w:szCs w:val="24"/>
          <w:lang w:eastAsia="bg-BG"/>
        </w:rPr>
      </w:pPr>
      <w:r w:rsidRPr="001B0EA3">
        <w:rPr>
          <w:szCs w:val="24"/>
        </w:rPr>
        <w:t xml:space="preserve">Председателя на оценителната комисия организира провеждането на първо заседание на оценителната комисия и подписването от </w:t>
      </w:r>
      <w:r w:rsidR="00D95DEA" w:rsidRPr="001B0EA3">
        <w:rPr>
          <w:szCs w:val="24"/>
        </w:rPr>
        <w:t>членовете</w:t>
      </w:r>
      <w:r w:rsidRPr="001B0EA3">
        <w:rPr>
          <w:szCs w:val="24"/>
        </w:rPr>
        <w:t xml:space="preserve"> на декларации за липса на конфликт на интереси и поверителност, посочена в </w:t>
      </w:r>
      <w:r w:rsidRPr="001B0EA3">
        <w:rPr>
          <w:b/>
          <w:szCs w:val="24"/>
          <w:lang w:eastAsia="bg-BG"/>
        </w:rPr>
        <w:t xml:space="preserve">подточка </w:t>
      </w:r>
      <w:r w:rsidRPr="001B0EA3">
        <w:rPr>
          <w:szCs w:val="24"/>
        </w:rPr>
        <w:fldChar w:fldCharType="begin"/>
      </w:r>
      <w:r w:rsidRPr="001B0EA3">
        <w:rPr>
          <w:szCs w:val="24"/>
        </w:rPr>
        <w:instrText xml:space="preserve"> REF _Ref406320240 \r \h  \* MERGEFORMAT </w:instrText>
      </w:r>
      <w:r w:rsidRPr="001B0EA3">
        <w:rPr>
          <w:szCs w:val="24"/>
        </w:rPr>
      </w:r>
      <w:r w:rsidRPr="001B0EA3">
        <w:rPr>
          <w:szCs w:val="24"/>
        </w:rPr>
        <w:fldChar w:fldCharType="separate"/>
      </w:r>
      <w:r w:rsidR="00F22141" w:rsidRPr="00F22141">
        <w:rPr>
          <w:b/>
          <w:szCs w:val="24"/>
          <w:lang w:eastAsia="bg-BG"/>
        </w:rPr>
        <w:t>1)</w:t>
      </w:r>
      <w:r w:rsidRPr="001B0EA3">
        <w:rPr>
          <w:szCs w:val="24"/>
        </w:rPr>
        <w:fldChar w:fldCharType="end"/>
      </w:r>
      <w:r w:rsidRPr="001B0EA3">
        <w:rPr>
          <w:szCs w:val="24"/>
        </w:rPr>
        <w:t xml:space="preserve"> на </w:t>
      </w:r>
      <w:r w:rsidRPr="001B0EA3">
        <w:rPr>
          <w:b/>
          <w:szCs w:val="24"/>
          <w:lang w:eastAsia="bg-BG"/>
        </w:rPr>
        <w:t>точка</w:t>
      </w:r>
      <w:r w:rsidR="001C7B29" w:rsidRPr="001B0EA3">
        <w:rPr>
          <w:b/>
          <w:szCs w:val="24"/>
          <w:lang w:eastAsia="bg-BG"/>
        </w:rPr>
        <w:t xml:space="preserve"> </w:t>
      </w:r>
      <w:r w:rsidRPr="001B0EA3">
        <w:rPr>
          <w:b/>
          <w:szCs w:val="24"/>
        </w:rPr>
        <w:fldChar w:fldCharType="begin"/>
      </w:r>
      <w:r w:rsidRPr="001B0EA3">
        <w:rPr>
          <w:b/>
          <w:szCs w:val="24"/>
        </w:rPr>
        <w:instrText xml:space="preserve"> REF _Ref406320259 \r \h  \* MERGEFORMAT </w:instrText>
      </w:r>
      <w:r w:rsidRPr="001B0EA3">
        <w:rPr>
          <w:b/>
          <w:szCs w:val="24"/>
        </w:rPr>
      </w:r>
      <w:r w:rsidRPr="001B0EA3">
        <w:rPr>
          <w:b/>
          <w:szCs w:val="24"/>
        </w:rPr>
        <w:fldChar w:fldCharType="separate"/>
      </w:r>
      <w:r w:rsidR="00F22141">
        <w:rPr>
          <w:b/>
          <w:szCs w:val="24"/>
          <w:lang w:eastAsia="bg-BG"/>
        </w:rPr>
        <w:t>18.3.3</w:t>
      </w:r>
      <w:r w:rsidRPr="001B0EA3">
        <w:rPr>
          <w:b/>
          <w:szCs w:val="24"/>
        </w:rPr>
        <w:fldChar w:fldCharType="end"/>
      </w:r>
      <w:r w:rsidRPr="001B0EA3">
        <w:rPr>
          <w:b/>
          <w:szCs w:val="24"/>
        </w:rPr>
        <w:t>.</w:t>
      </w:r>
      <w:r w:rsidRPr="001B0EA3">
        <w:rPr>
          <w:b/>
          <w:szCs w:val="24"/>
          <w:lang w:eastAsia="bg-BG"/>
        </w:rPr>
        <w:t xml:space="preserve"> </w:t>
      </w:r>
    </w:p>
    <w:p w14:paraId="195D1180" w14:textId="77777777" w:rsidR="00D603F5" w:rsidRPr="001B0EA3" w:rsidRDefault="00D603F5" w:rsidP="00046D61">
      <w:pPr>
        <w:numPr>
          <w:ilvl w:val="0"/>
          <w:numId w:val="123"/>
        </w:numPr>
        <w:tabs>
          <w:tab w:val="left" w:pos="851"/>
        </w:tabs>
        <w:spacing w:before="120"/>
        <w:ind w:left="0" w:firstLine="567"/>
        <w:rPr>
          <w:szCs w:val="24"/>
          <w:lang w:eastAsia="bg-BG"/>
        </w:rPr>
      </w:pPr>
      <w:r w:rsidRPr="001B0EA3">
        <w:rPr>
          <w:szCs w:val="24"/>
        </w:rPr>
        <w:t>Председателя на оценителната комисия на първото заседание на комисията запознава всички членове на оценителната комисия с процедурата на оценка  на бюджетни линии при процедура на директно предоставяне на БФП по ОПТТИ</w:t>
      </w:r>
      <w:r w:rsidR="0090608A" w:rsidRPr="001B0EA3">
        <w:rPr>
          <w:szCs w:val="24"/>
        </w:rPr>
        <w:t>,</w:t>
      </w:r>
      <w:r w:rsidR="0090608A" w:rsidRPr="001B0EA3">
        <w:rPr>
          <w:szCs w:val="24"/>
          <w:lang w:eastAsia="bg-BG"/>
        </w:rPr>
        <w:t xml:space="preserve"> с Насоките за кандидатстване по ОПТТИ и Критерии за подбор и оценка на проекти по ОПТТИ, одобрени от Комитета за наблюдение на ОПТТИ</w:t>
      </w:r>
      <w:r w:rsidRPr="001B0EA3">
        <w:rPr>
          <w:szCs w:val="24"/>
        </w:rPr>
        <w:t xml:space="preserve">. </w:t>
      </w:r>
    </w:p>
    <w:p w14:paraId="22751EDD" w14:textId="77777777" w:rsidR="00D603F5" w:rsidRPr="001B0EA3" w:rsidRDefault="00D603F5" w:rsidP="00046D61">
      <w:pPr>
        <w:ind w:left="720"/>
        <w:contextualSpacing/>
        <w:rPr>
          <w:szCs w:val="24"/>
          <w:lang w:eastAsia="bg-BG"/>
        </w:rPr>
      </w:pPr>
    </w:p>
    <w:p w14:paraId="022DC314" w14:textId="77777777" w:rsidR="00D603F5" w:rsidRPr="001B0EA3" w:rsidRDefault="00D603F5" w:rsidP="00046D61">
      <w:pPr>
        <w:contextualSpacing/>
        <w:rPr>
          <w:szCs w:val="24"/>
          <w:lang w:eastAsia="bg-BG"/>
        </w:rPr>
      </w:pPr>
      <w:r w:rsidRPr="001B0EA3">
        <w:rPr>
          <w:i/>
          <w:szCs w:val="24"/>
          <w:lang w:eastAsia="bg-BG"/>
        </w:rPr>
        <w:t>Срок за изпълнение:</w:t>
      </w:r>
      <w:r w:rsidRPr="001B0EA3">
        <w:rPr>
          <w:szCs w:val="24"/>
          <w:lang w:eastAsia="bg-BG"/>
        </w:rPr>
        <w:t xml:space="preserve"> До 3 работни дни от регистриране на решението за сформиране на оценителна комисия</w:t>
      </w:r>
    </w:p>
    <w:p w14:paraId="30A191FC" w14:textId="77777777" w:rsidR="0059116C" w:rsidRPr="004433FB" w:rsidRDefault="0059116C" w:rsidP="0059116C">
      <w:pPr>
        <w:numPr>
          <w:ilvl w:val="0"/>
          <w:numId w:val="123"/>
        </w:numPr>
        <w:tabs>
          <w:tab w:val="left" w:pos="851"/>
        </w:tabs>
        <w:spacing w:before="120"/>
        <w:ind w:left="0" w:firstLine="567"/>
        <w:rPr>
          <w:szCs w:val="24"/>
          <w:lang w:eastAsia="bg-BG"/>
        </w:rPr>
      </w:pPr>
      <w:r w:rsidRPr="001B0EA3">
        <w:rPr>
          <w:szCs w:val="24"/>
          <w:lang w:eastAsia="bg-BG"/>
        </w:rPr>
        <w:t xml:space="preserve">Служител от УО, определен от Ръководителя на УО на ОПТТИ в </w:t>
      </w:r>
      <w:r w:rsidRPr="001B0EA3">
        <w:rPr>
          <w:szCs w:val="24"/>
        </w:rPr>
        <w:t>решението</w:t>
      </w:r>
      <w:r w:rsidRPr="001B0EA3">
        <w:rPr>
          <w:szCs w:val="24"/>
          <w:lang w:eastAsia="bg-BG"/>
        </w:rPr>
        <w:t xml:space="preserve"> по </w:t>
      </w:r>
      <w:r w:rsidRPr="001B0EA3">
        <w:rPr>
          <w:b/>
          <w:szCs w:val="24"/>
          <w:lang w:eastAsia="bg-BG"/>
        </w:rPr>
        <w:t xml:space="preserve">точка </w:t>
      </w:r>
      <w:r w:rsidRPr="001B0EA3">
        <w:rPr>
          <w:szCs w:val="24"/>
        </w:rPr>
        <w:fldChar w:fldCharType="begin"/>
      </w:r>
      <w:r w:rsidRPr="001B0EA3">
        <w:rPr>
          <w:szCs w:val="24"/>
        </w:rPr>
        <w:instrText xml:space="preserve"> REF _Ref406322050 \r \h  \* MERGEFORMAT </w:instrText>
      </w:r>
      <w:r w:rsidRPr="001B0EA3">
        <w:rPr>
          <w:szCs w:val="24"/>
        </w:rPr>
      </w:r>
      <w:r w:rsidRPr="001B0EA3">
        <w:rPr>
          <w:szCs w:val="24"/>
        </w:rPr>
        <w:fldChar w:fldCharType="separate"/>
      </w:r>
      <w:r w:rsidR="00F22141" w:rsidRPr="00F22141">
        <w:rPr>
          <w:b/>
          <w:szCs w:val="24"/>
          <w:lang w:eastAsia="bg-BG"/>
        </w:rPr>
        <w:t>18.3.1</w:t>
      </w:r>
      <w:r w:rsidRPr="001B0EA3">
        <w:rPr>
          <w:szCs w:val="24"/>
        </w:rPr>
        <w:fldChar w:fldCharType="end"/>
      </w:r>
      <w:r w:rsidRPr="001B0EA3">
        <w:rPr>
          <w:szCs w:val="24"/>
        </w:rPr>
        <w:t xml:space="preserve"> </w:t>
      </w:r>
      <w:r w:rsidRPr="001B0EA3">
        <w:rPr>
          <w:szCs w:val="24"/>
          <w:lang w:eastAsia="bg-BG"/>
        </w:rPr>
        <w:t xml:space="preserve">извършва проверката за липса на конфликт на интереси на членовете на оценителната комисия като спазва процедурата по </w:t>
      </w:r>
      <w:r w:rsidRPr="001B0EA3">
        <w:rPr>
          <w:b/>
          <w:szCs w:val="24"/>
          <w:lang w:eastAsia="bg-BG"/>
        </w:rPr>
        <w:t xml:space="preserve">точка </w:t>
      </w:r>
      <w:r w:rsidRPr="001B0EA3">
        <w:rPr>
          <w:b/>
          <w:szCs w:val="24"/>
        </w:rPr>
        <w:fldChar w:fldCharType="begin"/>
      </w:r>
      <w:r w:rsidRPr="001B0EA3">
        <w:rPr>
          <w:b/>
          <w:szCs w:val="24"/>
        </w:rPr>
        <w:instrText xml:space="preserve"> REF _Ref406320259 \r \h  \* MERGEFORMAT </w:instrText>
      </w:r>
      <w:r w:rsidRPr="001B0EA3">
        <w:rPr>
          <w:b/>
          <w:szCs w:val="24"/>
        </w:rPr>
      </w:r>
      <w:r w:rsidRPr="001B0EA3">
        <w:rPr>
          <w:b/>
          <w:szCs w:val="24"/>
        </w:rPr>
        <w:fldChar w:fldCharType="separate"/>
      </w:r>
      <w:r w:rsidR="00F22141">
        <w:rPr>
          <w:b/>
          <w:szCs w:val="24"/>
          <w:lang w:eastAsia="bg-BG"/>
        </w:rPr>
        <w:t>18.3.3</w:t>
      </w:r>
      <w:r w:rsidRPr="001B0EA3">
        <w:rPr>
          <w:b/>
          <w:szCs w:val="24"/>
        </w:rPr>
        <w:fldChar w:fldCharType="end"/>
      </w:r>
      <w:r w:rsidRPr="001B0EA3">
        <w:rPr>
          <w:b/>
          <w:szCs w:val="24"/>
          <w:lang w:eastAsia="bg-BG"/>
        </w:rPr>
        <w:t>.</w:t>
      </w:r>
      <w:r w:rsidRPr="001B0EA3">
        <w:rPr>
          <w:szCs w:val="24"/>
          <w:lang w:eastAsia="bg-BG"/>
        </w:rPr>
        <w:t xml:space="preserve"> </w:t>
      </w:r>
      <w:r w:rsidRPr="004433FB">
        <w:rPr>
          <w:szCs w:val="24"/>
          <w:lang w:eastAsia="bg-BG"/>
        </w:rPr>
        <w:t xml:space="preserve"> , като попълва контролен лист </w:t>
      </w:r>
      <w:hyperlink r:id="rId132" w:tooltip="Критерии  за осигуряване на информация за инвестиционни¦инфраструктурни проекти при извършването на оценка" w:history="1">
        <w:r w:rsidRPr="00AA099E">
          <w:rPr>
            <w:rStyle w:val="Hyperlink"/>
            <w:i/>
            <w:szCs w:val="24"/>
            <w:lang w:eastAsia="bg-BG"/>
          </w:rPr>
          <w:t>Приложение № 3.0</w:t>
        </w:r>
      </w:hyperlink>
      <w:r w:rsidRPr="00AA099E">
        <w:rPr>
          <w:i/>
          <w:color w:val="0066FF"/>
          <w:szCs w:val="24"/>
          <w:u w:val="single"/>
          <w:lang w:eastAsia="bg-BG"/>
        </w:rPr>
        <w:t>4</w:t>
      </w:r>
      <w:r w:rsidRPr="004433FB">
        <w:rPr>
          <w:szCs w:val="24"/>
          <w:lang w:eastAsia="bg-BG"/>
        </w:rPr>
        <w:t xml:space="preserve"> в ИСУН 2020.</w:t>
      </w:r>
    </w:p>
    <w:p w14:paraId="416A4179" w14:textId="77777777" w:rsidR="00D603F5" w:rsidRPr="001B0EA3" w:rsidRDefault="00D603F5" w:rsidP="00046D61">
      <w:pPr>
        <w:contextualSpacing/>
        <w:rPr>
          <w:szCs w:val="24"/>
          <w:lang w:eastAsia="bg-BG"/>
        </w:rPr>
      </w:pPr>
      <w:r w:rsidRPr="001B0EA3">
        <w:rPr>
          <w:i/>
          <w:szCs w:val="24"/>
          <w:lang w:eastAsia="bg-BG"/>
        </w:rPr>
        <w:t>Срок за изпълнение:</w:t>
      </w:r>
      <w:r w:rsidRPr="001B0EA3">
        <w:rPr>
          <w:szCs w:val="24"/>
          <w:lang w:eastAsia="bg-BG"/>
        </w:rPr>
        <w:t xml:space="preserve"> </w:t>
      </w:r>
      <w:r w:rsidR="00BC51A2" w:rsidRPr="001B0EA3">
        <w:rPr>
          <w:szCs w:val="24"/>
          <w:lang w:eastAsia="bg-BG"/>
        </w:rPr>
        <w:t xml:space="preserve">До 3 работни дни </w:t>
      </w:r>
      <w:r w:rsidRPr="001B0EA3">
        <w:rPr>
          <w:szCs w:val="24"/>
          <w:lang w:eastAsia="bg-BG"/>
        </w:rPr>
        <w:t xml:space="preserve">от регистриране на Решението за сформиране на оценителна комисия по </w:t>
      </w:r>
      <w:r w:rsidRPr="001B0EA3">
        <w:rPr>
          <w:b/>
          <w:szCs w:val="24"/>
          <w:lang w:eastAsia="bg-BG"/>
        </w:rPr>
        <w:t xml:space="preserve">подточка </w:t>
      </w:r>
      <w:r w:rsidRPr="001B0EA3">
        <w:rPr>
          <w:szCs w:val="24"/>
        </w:rPr>
        <w:fldChar w:fldCharType="begin"/>
      </w:r>
      <w:r w:rsidRPr="001B0EA3">
        <w:rPr>
          <w:szCs w:val="24"/>
        </w:rPr>
        <w:instrText xml:space="preserve"> REF _Ref406320240 \r \h  \* MERGEFORMAT </w:instrText>
      </w:r>
      <w:r w:rsidRPr="001B0EA3">
        <w:rPr>
          <w:szCs w:val="24"/>
        </w:rPr>
      </w:r>
      <w:r w:rsidRPr="001B0EA3">
        <w:rPr>
          <w:szCs w:val="24"/>
        </w:rPr>
        <w:fldChar w:fldCharType="separate"/>
      </w:r>
      <w:r w:rsidR="00F22141" w:rsidRPr="00F22141">
        <w:rPr>
          <w:b/>
          <w:szCs w:val="24"/>
          <w:lang w:eastAsia="bg-BG"/>
        </w:rPr>
        <w:t>1)</w:t>
      </w:r>
      <w:r w:rsidRPr="001B0EA3">
        <w:rPr>
          <w:szCs w:val="24"/>
        </w:rPr>
        <w:fldChar w:fldCharType="end"/>
      </w:r>
      <w:r w:rsidRPr="001B0EA3">
        <w:rPr>
          <w:szCs w:val="24"/>
        </w:rPr>
        <w:t xml:space="preserve"> на </w:t>
      </w:r>
      <w:r w:rsidRPr="001B0EA3">
        <w:rPr>
          <w:b/>
          <w:szCs w:val="24"/>
          <w:lang w:eastAsia="bg-BG"/>
        </w:rPr>
        <w:t xml:space="preserve">точка </w:t>
      </w:r>
      <w:r w:rsidRPr="001B0EA3">
        <w:rPr>
          <w:b/>
          <w:szCs w:val="24"/>
        </w:rPr>
        <w:fldChar w:fldCharType="begin"/>
      </w:r>
      <w:r w:rsidRPr="001B0EA3">
        <w:rPr>
          <w:b/>
          <w:szCs w:val="24"/>
        </w:rPr>
        <w:instrText xml:space="preserve"> REF _Ref406320259 \r \h  \* MERGEFORMAT </w:instrText>
      </w:r>
      <w:r w:rsidRPr="001B0EA3">
        <w:rPr>
          <w:b/>
          <w:szCs w:val="24"/>
        </w:rPr>
      </w:r>
      <w:r w:rsidRPr="001B0EA3">
        <w:rPr>
          <w:b/>
          <w:szCs w:val="24"/>
        </w:rPr>
        <w:fldChar w:fldCharType="separate"/>
      </w:r>
      <w:r w:rsidR="00F22141">
        <w:rPr>
          <w:b/>
          <w:szCs w:val="24"/>
          <w:lang w:eastAsia="bg-BG"/>
        </w:rPr>
        <w:t>18.3.3</w:t>
      </w:r>
      <w:r w:rsidRPr="001B0EA3">
        <w:rPr>
          <w:b/>
          <w:szCs w:val="24"/>
        </w:rPr>
        <w:fldChar w:fldCharType="end"/>
      </w:r>
      <w:r w:rsidRPr="001B0EA3">
        <w:rPr>
          <w:b/>
          <w:szCs w:val="24"/>
          <w:lang w:eastAsia="bg-BG"/>
        </w:rPr>
        <w:t>.</w:t>
      </w:r>
    </w:p>
    <w:p w14:paraId="245E9008" w14:textId="77777777" w:rsidR="00D603F5" w:rsidRPr="001B0EA3" w:rsidRDefault="00D603F5" w:rsidP="00046D61">
      <w:pPr>
        <w:numPr>
          <w:ilvl w:val="0"/>
          <w:numId w:val="123"/>
        </w:numPr>
        <w:tabs>
          <w:tab w:val="left" w:pos="851"/>
        </w:tabs>
        <w:spacing w:before="120"/>
        <w:ind w:left="0" w:firstLine="567"/>
        <w:rPr>
          <w:i/>
          <w:szCs w:val="24"/>
          <w:lang w:eastAsia="bg-BG"/>
        </w:rPr>
      </w:pPr>
      <w:r w:rsidRPr="001B0EA3">
        <w:rPr>
          <w:szCs w:val="24"/>
          <w:lang w:eastAsia="bg-BG"/>
        </w:rPr>
        <w:t xml:space="preserve">Всеки член на оценителната комисия извършва оценка на </w:t>
      </w:r>
      <w:r w:rsidR="00C528E3" w:rsidRPr="001B0EA3">
        <w:rPr>
          <w:szCs w:val="24"/>
          <w:lang w:eastAsia="bg-BG"/>
        </w:rPr>
        <w:t xml:space="preserve">финансовия план и </w:t>
      </w:r>
      <w:r w:rsidR="005124B5" w:rsidRPr="001B0EA3">
        <w:rPr>
          <w:szCs w:val="24"/>
          <w:lang w:eastAsia="bg-BG"/>
        </w:rPr>
        <w:t xml:space="preserve">формуляра за кандидатстване за финансиране на </w:t>
      </w:r>
      <w:r w:rsidR="001930F5" w:rsidRPr="001B0EA3">
        <w:rPr>
          <w:szCs w:val="24"/>
          <w:lang w:eastAsia="bg-BG"/>
        </w:rPr>
        <w:t>бюджетната линия</w:t>
      </w:r>
      <w:r w:rsidRPr="001B0EA3">
        <w:rPr>
          <w:szCs w:val="24"/>
          <w:lang w:eastAsia="bg-BG"/>
        </w:rPr>
        <w:t>, включваща оценка на административното съответствие и допустимостта.</w:t>
      </w:r>
    </w:p>
    <w:p w14:paraId="5AC84AE9" w14:textId="77777777" w:rsidR="00D603F5" w:rsidRPr="001B0EA3" w:rsidRDefault="00D603F5" w:rsidP="00046D61">
      <w:pPr>
        <w:contextualSpacing/>
        <w:rPr>
          <w:b/>
          <w:szCs w:val="24"/>
          <w:lang w:eastAsia="bg-BG"/>
        </w:rPr>
      </w:pPr>
      <w:r w:rsidRPr="001B0EA3">
        <w:rPr>
          <w:i/>
          <w:szCs w:val="24"/>
          <w:lang w:eastAsia="bg-BG"/>
        </w:rPr>
        <w:lastRenderedPageBreak/>
        <w:t>Срок за изпълнение:</w:t>
      </w:r>
      <w:r w:rsidRPr="001B0EA3">
        <w:rPr>
          <w:szCs w:val="24"/>
          <w:lang w:eastAsia="bg-BG"/>
        </w:rPr>
        <w:t xml:space="preserve"> Съгласно срока, посочен в Решението за сформиране на оцени</w:t>
      </w:r>
      <w:r w:rsidR="00F073F2" w:rsidRPr="001B0EA3">
        <w:rPr>
          <w:szCs w:val="24"/>
          <w:lang w:eastAsia="bg-BG"/>
        </w:rPr>
        <w:t xml:space="preserve">телна комисия, но не повече от </w:t>
      </w:r>
      <w:r w:rsidR="009A387E" w:rsidRPr="001B0EA3">
        <w:rPr>
          <w:szCs w:val="24"/>
          <w:lang w:eastAsia="bg-BG"/>
        </w:rPr>
        <w:t>един месец от подаване на бюджетната линия.</w:t>
      </w:r>
    </w:p>
    <w:p w14:paraId="50EEBBD6" w14:textId="77777777" w:rsidR="001930F5" w:rsidRPr="001B0EA3" w:rsidRDefault="001930F5" w:rsidP="00046D61">
      <w:pPr>
        <w:numPr>
          <w:ilvl w:val="0"/>
          <w:numId w:val="123"/>
        </w:numPr>
        <w:tabs>
          <w:tab w:val="left" w:pos="851"/>
        </w:tabs>
        <w:spacing w:before="120"/>
        <w:ind w:left="0" w:firstLine="567"/>
        <w:rPr>
          <w:szCs w:val="24"/>
          <w:lang w:eastAsia="bg-BG"/>
        </w:rPr>
      </w:pPr>
      <w:r w:rsidRPr="001B0EA3">
        <w:rPr>
          <w:szCs w:val="24"/>
          <w:lang w:eastAsia="bg-BG"/>
        </w:rPr>
        <w:t xml:space="preserve">В случаи на установени в процеса на оценка непълноти и/или нередовности на формуляра за кандидатстване за финансиране на бюджетна линия, включително финансовия план, той може да бъде връщан мотивирано на конкретния бенефициент при спазване на процедурата по </w:t>
      </w:r>
      <w:r w:rsidRPr="001B0EA3">
        <w:rPr>
          <w:b/>
          <w:szCs w:val="24"/>
          <w:lang w:eastAsia="bg-BG"/>
        </w:rPr>
        <w:t xml:space="preserve">точка </w:t>
      </w:r>
      <w:r w:rsidRPr="001B0EA3">
        <w:fldChar w:fldCharType="begin"/>
      </w:r>
      <w:r w:rsidRPr="001B0EA3">
        <w:instrText xml:space="preserve"> REF _Ref395626228 \r \h  \* MERGEFORMAT </w:instrText>
      </w:r>
      <w:r w:rsidRPr="001B0EA3">
        <w:fldChar w:fldCharType="separate"/>
      </w:r>
      <w:r w:rsidR="00F22141" w:rsidRPr="00F22141">
        <w:rPr>
          <w:b/>
          <w:szCs w:val="24"/>
          <w:lang w:eastAsia="bg-BG"/>
        </w:rPr>
        <w:t>18.11</w:t>
      </w:r>
      <w:r w:rsidRPr="001B0EA3">
        <w:fldChar w:fldCharType="end"/>
      </w:r>
      <w:r w:rsidRPr="001B0EA3">
        <w:rPr>
          <w:szCs w:val="24"/>
          <w:lang w:eastAsia="bg-BG"/>
        </w:rPr>
        <w:t>.</w:t>
      </w:r>
    </w:p>
    <w:p w14:paraId="71A8EFDC" w14:textId="77777777" w:rsidR="00375253" w:rsidRPr="001B0EA3" w:rsidRDefault="00375253" w:rsidP="00375253">
      <w:pPr>
        <w:numPr>
          <w:ilvl w:val="0"/>
          <w:numId w:val="123"/>
        </w:numPr>
        <w:tabs>
          <w:tab w:val="left" w:pos="851"/>
        </w:tabs>
        <w:spacing w:before="120"/>
        <w:ind w:left="0" w:firstLine="567"/>
        <w:rPr>
          <w:szCs w:val="24"/>
          <w:lang w:eastAsia="bg-BG"/>
        </w:rPr>
      </w:pPr>
      <w:r w:rsidRPr="001B0EA3">
        <w:rPr>
          <w:szCs w:val="24"/>
          <w:lang w:eastAsia="bg-BG"/>
        </w:rPr>
        <w:t xml:space="preserve">Член на оценителната комисия, определен от председателя й извършва проверка за съответствие с правилата за допустимите държавни/ минимални помощи, съгласно </w:t>
      </w:r>
      <w:r w:rsidRPr="001B0EA3">
        <w:rPr>
          <w:b/>
          <w:szCs w:val="24"/>
          <w:lang w:eastAsia="bg-BG"/>
        </w:rPr>
        <w:t>глава „Държавни помощи“.</w:t>
      </w:r>
      <w:r w:rsidRPr="001B0EA3">
        <w:rPr>
          <w:szCs w:val="24"/>
          <w:lang w:eastAsia="bg-BG"/>
        </w:rPr>
        <w:t xml:space="preserve"> Резултатите от проверката се записват в Контролен лист </w:t>
      </w:r>
      <w:r w:rsidRPr="001B0EA3">
        <w:rPr>
          <w:b/>
          <w:i/>
          <w:szCs w:val="24"/>
          <w:lang w:eastAsia="bg-BG"/>
        </w:rPr>
        <w:t>(</w:t>
      </w:r>
      <w:hyperlink r:id="rId133" w:tooltip="Контролен лист за предварителна оценка за  определяне наличието на държавна помощ - Тест за държавна помощ - изключения" w:history="1">
        <w:r w:rsidRPr="00251D03">
          <w:rPr>
            <w:rStyle w:val="Hyperlink"/>
            <w:i/>
            <w:szCs w:val="24"/>
            <w:lang w:eastAsia="bg-BG"/>
          </w:rPr>
          <w:t>Приложение № 2.02</w:t>
        </w:r>
      </w:hyperlink>
      <w:r w:rsidRPr="001B0EA3">
        <w:rPr>
          <w:b/>
          <w:i/>
          <w:szCs w:val="24"/>
          <w:lang w:eastAsia="bg-BG"/>
        </w:rPr>
        <w:t xml:space="preserve">, </w:t>
      </w:r>
      <w:hyperlink r:id="rId134" w:tooltip="Контролен лист за предварителна оценка за определяне на приложим към мярката режим  на съвместима държавна помощ" w:history="1">
        <w:r w:rsidRPr="00251D03">
          <w:rPr>
            <w:rStyle w:val="Hyperlink"/>
            <w:i/>
            <w:szCs w:val="24"/>
            <w:lang w:eastAsia="bg-BG"/>
          </w:rPr>
          <w:t>Приложение № 2.03</w:t>
        </w:r>
      </w:hyperlink>
      <w:r w:rsidRPr="001B0EA3">
        <w:rPr>
          <w:b/>
          <w:i/>
          <w:szCs w:val="24"/>
          <w:lang w:eastAsia="bg-BG"/>
        </w:rPr>
        <w:t xml:space="preserve"> </w:t>
      </w:r>
      <w:r>
        <w:rPr>
          <w:szCs w:val="24"/>
          <w:lang w:eastAsia="bg-BG"/>
        </w:rPr>
        <w:t xml:space="preserve">в ИСУН 2020 </w:t>
      </w:r>
      <w:r w:rsidRPr="001B0EA3">
        <w:rPr>
          <w:b/>
          <w:i/>
          <w:szCs w:val="24"/>
          <w:lang w:eastAsia="bg-BG"/>
        </w:rPr>
        <w:t>- ако е приложимо).</w:t>
      </w:r>
      <w:r w:rsidRPr="001B0EA3">
        <w:rPr>
          <w:szCs w:val="24"/>
          <w:lang w:eastAsia="bg-BG"/>
        </w:rPr>
        <w:t xml:space="preserve"> Председателят на оценителната комисия извършва втора проверка на попълнения контролен лист</w:t>
      </w:r>
      <w:r w:rsidR="000F57DE">
        <w:rPr>
          <w:szCs w:val="24"/>
          <w:lang w:eastAsia="bg-BG"/>
        </w:rPr>
        <w:t xml:space="preserve"> в системата</w:t>
      </w:r>
      <w:r w:rsidRPr="001B0EA3">
        <w:rPr>
          <w:szCs w:val="24"/>
          <w:lang w:eastAsia="bg-BG"/>
        </w:rPr>
        <w:t>.</w:t>
      </w:r>
    </w:p>
    <w:p w14:paraId="7906B312" w14:textId="77777777" w:rsidR="00375253" w:rsidRPr="001B0EA3" w:rsidRDefault="00375253" w:rsidP="00375253">
      <w:pPr>
        <w:numPr>
          <w:ilvl w:val="0"/>
          <w:numId w:val="123"/>
        </w:numPr>
        <w:tabs>
          <w:tab w:val="left" w:pos="851"/>
        </w:tabs>
        <w:spacing w:before="120"/>
        <w:ind w:left="0" w:firstLine="567"/>
        <w:rPr>
          <w:szCs w:val="24"/>
        </w:rPr>
      </w:pPr>
      <w:r w:rsidRPr="001B0EA3">
        <w:rPr>
          <w:szCs w:val="24"/>
        </w:rPr>
        <w:t xml:space="preserve">Всеки оценител с право на глас в съответствие с процедурата по </w:t>
      </w:r>
      <w:r w:rsidRPr="001B0EA3">
        <w:rPr>
          <w:b/>
          <w:szCs w:val="24"/>
        </w:rPr>
        <w:t xml:space="preserve">точка </w:t>
      </w:r>
      <w:r w:rsidRPr="001B0EA3">
        <w:rPr>
          <w:b/>
          <w:szCs w:val="24"/>
        </w:rPr>
        <w:fldChar w:fldCharType="begin"/>
      </w:r>
      <w:r w:rsidRPr="001B0EA3">
        <w:rPr>
          <w:b/>
          <w:szCs w:val="24"/>
        </w:rPr>
        <w:instrText xml:space="preserve"> REF _Ref413933205 \r \h  \* MERGEFORMAT </w:instrText>
      </w:r>
      <w:r w:rsidRPr="001B0EA3">
        <w:rPr>
          <w:b/>
          <w:szCs w:val="24"/>
        </w:rPr>
      </w:r>
      <w:r w:rsidRPr="001B0EA3">
        <w:rPr>
          <w:b/>
          <w:szCs w:val="24"/>
        </w:rPr>
        <w:fldChar w:fldCharType="separate"/>
      </w:r>
      <w:r w:rsidR="00F22141">
        <w:rPr>
          <w:b/>
          <w:szCs w:val="24"/>
        </w:rPr>
        <w:t>18.13</w:t>
      </w:r>
      <w:r w:rsidRPr="001B0EA3">
        <w:rPr>
          <w:b/>
          <w:szCs w:val="24"/>
        </w:rPr>
        <w:fldChar w:fldCharType="end"/>
      </w:r>
      <w:r w:rsidRPr="001B0EA3">
        <w:rPr>
          <w:szCs w:val="24"/>
        </w:rPr>
        <w:t xml:space="preserve"> „Оценителни таблици“ отразява </w:t>
      </w:r>
      <w:r>
        <w:rPr>
          <w:szCs w:val="24"/>
        </w:rPr>
        <w:t xml:space="preserve">в ИСУН 2020 </w:t>
      </w:r>
      <w:r w:rsidRPr="001B0EA3">
        <w:rPr>
          <w:szCs w:val="24"/>
        </w:rPr>
        <w:t xml:space="preserve">резултатите от извършената оценка по </w:t>
      </w:r>
      <w:r w:rsidRPr="001B0EA3">
        <w:rPr>
          <w:b/>
          <w:szCs w:val="24"/>
        </w:rPr>
        <w:t xml:space="preserve">подточка </w:t>
      </w:r>
      <w:r w:rsidRPr="001B0EA3">
        <w:rPr>
          <w:b/>
          <w:szCs w:val="24"/>
        </w:rPr>
        <w:fldChar w:fldCharType="begin"/>
      </w:r>
      <w:r w:rsidRPr="001B0EA3">
        <w:rPr>
          <w:b/>
          <w:szCs w:val="24"/>
        </w:rPr>
        <w:instrText xml:space="preserve"> REF _Ref413939036 \r \h  \* MERGEFORMAT </w:instrText>
      </w:r>
      <w:r w:rsidRPr="001B0EA3">
        <w:rPr>
          <w:b/>
          <w:szCs w:val="24"/>
        </w:rPr>
      </w:r>
      <w:r w:rsidRPr="001B0EA3">
        <w:rPr>
          <w:b/>
          <w:szCs w:val="24"/>
        </w:rPr>
        <w:fldChar w:fldCharType="separate"/>
      </w:r>
      <w:r w:rsidR="00F22141">
        <w:rPr>
          <w:b/>
          <w:szCs w:val="24"/>
        </w:rPr>
        <w:t>4)</w:t>
      </w:r>
      <w:r w:rsidRPr="001B0EA3">
        <w:rPr>
          <w:b/>
          <w:szCs w:val="24"/>
        </w:rPr>
        <w:fldChar w:fldCharType="end"/>
      </w:r>
      <w:r w:rsidRPr="001B0EA3">
        <w:rPr>
          <w:b/>
          <w:szCs w:val="24"/>
        </w:rPr>
        <w:t xml:space="preserve"> </w:t>
      </w:r>
      <w:r w:rsidRPr="001B0EA3">
        <w:rPr>
          <w:szCs w:val="24"/>
        </w:rPr>
        <w:t xml:space="preserve">в приложимата оценителна таблица: </w:t>
      </w:r>
      <w:hyperlink r:id="rId135" w:tooltip="Оценителна таблица за извършена оценка на бюджетна линия" w:history="1">
        <w:r w:rsidRPr="00251D03">
          <w:rPr>
            <w:rStyle w:val="Hyperlink"/>
            <w:i/>
            <w:szCs w:val="24"/>
          </w:rPr>
          <w:t>Приложение № 3.06.3</w:t>
        </w:r>
      </w:hyperlink>
      <w:r w:rsidRPr="001B0EA3">
        <w:rPr>
          <w:szCs w:val="24"/>
        </w:rPr>
        <w:t xml:space="preserve">, съдържаща мотивирано заключение, направено по време на цялостната оценка по </w:t>
      </w:r>
      <w:r w:rsidRPr="001B0EA3">
        <w:rPr>
          <w:szCs w:val="24"/>
          <w:lang w:eastAsia="bg-BG"/>
        </w:rPr>
        <w:t>отношение</w:t>
      </w:r>
      <w:r w:rsidRPr="001B0EA3">
        <w:rPr>
          <w:szCs w:val="24"/>
        </w:rPr>
        <w:t xml:space="preserve"> на критериите за оценка на проекта и в съответствие с </w:t>
      </w:r>
      <w:r w:rsidRPr="001B0EA3">
        <w:rPr>
          <w:szCs w:val="24"/>
          <w:lang w:eastAsia="bg-BG"/>
        </w:rPr>
        <w:t>критериите</w:t>
      </w:r>
      <w:r w:rsidRPr="001B0EA3">
        <w:rPr>
          <w:szCs w:val="24"/>
        </w:rPr>
        <w:t xml:space="preserve"> за оценка на проекти, съгласно Насоките за кандидатстване по ОПТТИ.</w:t>
      </w:r>
    </w:p>
    <w:p w14:paraId="1110A5F7" w14:textId="77777777" w:rsidR="00375253" w:rsidRPr="001B0EA3" w:rsidRDefault="00375253" w:rsidP="00375253">
      <w:pPr>
        <w:numPr>
          <w:ilvl w:val="0"/>
          <w:numId w:val="123"/>
        </w:numPr>
        <w:tabs>
          <w:tab w:val="left" w:pos="851"/>
        </w:tabs>
        <w:spacing w:before="120"/>
        <w:ind w:left="0" w:firstLine="567"/>
        <w:rPr>
          <w:szCs w:val="24"/>
          <w:lang w:eastAsia="bg-BG"/>
        </w:rPr>
      </w:pPr>
      <w:r w:rsidRPr="001B0EA3">
        <w:rPr>
          <w:szCs w:val="24"/>
          <w:lang w:eastAsia="bg-BG"/>
        </w:rPr>
        <w:t xml:space="preserve">Член на оценителната комисия, определен от председателя й извършва проверка за липса на двойно финансиране, съгласно процедурата по </w:t>
      </w:r>
      <w:r w:rsidRPr="001B0EA3">
        <w:rPr>
          <w:b/>
          <w:szCs w:val="24"/>
          <w:lang w:eastAsia="bg-BG"/>
        </w:rPr>
        <w:t xml:space="preserve">точка </w:t>
      </w:r>
      <w:r w:rsidRPr="001B0EA3">
        <w:fldChar w:fldCharType="begin"/>
      </w:r>
      <w:r w:rsidRPr="001B0EA3">
        <w:instrText xml:space="preserve"> REF _Ref406323209 \r \h  \* MERGEFORMAT </w:instrText>
      </w:r>
      <w:r w:rsidRPr="001B0EA3">
        <w:fldChar w:fldCharType="separate"/>
      </w:r>
      <w:r w:rsidR="00F22141" w:rsidRPr="00F22141">
        <w:rPr>
          <w:b/>
          <w:szCs w:val="24"/>
          <w:lang w:eastAsia="bg-BG"/>
        </w:rPr>
        <w:t>18.12</w:t>
      </w:r>
      <w:r w:rsidRPr="001B0EA3">
        <w:fldChar w:fldCharType="end"/>
      </w:r>
      <w:r w:rsidRPr="001B0EA3">
        <w:t xml:space="preserve"> </w:t>
      </w:r>
      <w:r w:rsidRPr="001B0EA3">
        <w:rPr>
          <w:szCs w:val="24"/>
          <w:lang w:eastAsia="bg-BG"/>
        </w:rPr>
        <w:t xml:space="preserve">и резултатите от проверката се записват в Контролен лист </w:t>
      </w:r>
      <w:r w:rsidRPr="001B0EA3">
        <w:rPr>
          <w:b/>
          <w:i/>
          <w:szCs w:val="24"/>
          <w:lang w:eastAsia="bg-BG"/>
        </w:rPr>
        <w:t>(</w:t>
      </w:r>
      <w:hyperlink r:id="rId136" w:tooltip="Контролен лист за извършена проверка в ИСУН за липса на двойно финансиране" w:history="1">
        <w:r w:rsidRPr="00251D03">
          <w:rPr>
            <w:rStyle w:val="Hyperlink"/>
            <w:i/>
            <w:szCs w:val="24"/>
            <w:lang w:eastAsia="bg-BG"/>
          </w:rPr>
          <w:t>Приложение № 3.08</w:t>
        </w:r>
      </w:hyperlink>
      <w:r w:rsidRPr="001B0EA3">
        <w:rPr>
          <w:b/>
          <w:i/>
          <w:szCs w:val="24"/>
          <w:lang w:eastAsia="bg-BG"/>
        </w:rPr>
        <w:t>)</w:t>
      </w:r>
      <w:r>
        <w:rPr>
          <w:b/>
          <w:i/>
          <w:szCs w:val="24"/>
          <w:lang w:eastAsia="bg-BG"/>
        </w:rPr>
        <w:t xml:space="preserve"> </w:t>
      </w:r>
      <w:r>
        <w:rPr>
          <w:szCs w:val="24"/>
          <w:lang w:eastAsia="bg-BG"/>
        </w:rPr>
        <w:t>в ИСУН 2020</w:t>
      </w:r>
      <w:r w:rsidRPr="001B0EA3">
        <w:rPr>
          <w:szCs w:val="24"/>
          <w:lang w:eastAsia="bg-BG"/>
        </w:rPr>
        <w:t>. Председателят на оценителната комисия извършва втора проверка на попълнения контролен лист</w:t>
      </w:r>
      <w:r w:rsidR="009858D5">
        <w:rPr>
          <w:szCs w:val="24"/>
          <w:lang w:eastAsia="bg-BG"/>
        </w:rPr>
        <w:t xml:space="preserve"> в системата</w:t>
      </w:r>
      <w:r w:rsidRPr="001B0EA3">
        <w:rPr>
          <w:szCs w:val="24"/>
          <w:lang w:eastAsia="bg-BG"/>
        </w:rPr>
        <w:t>.</w:t>
      </w:r>
    </w:p>
    <w:p w14:paraId="46BBA1EA" w14:textId="77777777" w:rsidR="00D603F5" w:rsidRPr="001B0EA3" w:rsidRDefault="00D603F5" w:rsidP="00046D61">
      <w:pPr>
        <w:numPr>
          <w:ilvl w:val="0"/>
          <w:numId w:val="123"/>
        </w:numPr>
        <w:tabs>
          <w:tab w:val="left" w:pos="851"/>
        </w:tabs>
        <w:spacing w:before="120"/>
        <w:ind w:left="0" w:firstLine="567"/>
        <w:rPr>
          <w:szCs w:val="24"/>
          <w:lang w:eastAsia="bg-BG"/>
        </w:rPr>
      </w:pPr>
      <w:r w:rsidRPr="001B0EA3">
        <w:rPr>
          <w:szCs w:val="24"/>
          <w:lang w:eastAsia="bg-BG"/>
        </w:rPr>
        <w:t xml:space="preserve">Оценителната комисия изготвя </w:t>
      </w:r>
      <w:r w:rsidRPr="001B0EA3">
        <w:rPr>
          <w:b/>
          <w:i/>
          <w:szCs w:val="24"/>
          <w:lang w:eastAsia="bg-BG"/>
        </w:rPr>
        <w:t>(</w:t>
      </w:r>
      <w:hyperlink r:id="rId137" w:tooltip="Доклад за извършена оценка на проектно предложение" w:history="1">
        <w:r w:rsidR="00AE381A" w:rsidRPr="00251D03">
          <w:rPr>
            <w:rStyle w:val="Hyperlink"/>
            <w:i/>
            <w:szCs w:val="24"/>
            <w:lang w:eastAsia="bg-BG"/>
          </w:rPr>
          <w:t>Приложение № 3.07</w:t>
        </w:r>
      </w:hyperlink>
      <w:r w:rsidRPr="001B0EA3">
        <w:rPr>
          <w:b/>
          <w:i/>
          <w:szCs w:val="24"/>
          <w:lang w:eastAsia="bg-BG"/>
        </w:rPr>
        <w:t>)</w:t>
      </w:r>
      <w:r w:rsidRPr="001B0EA3">
        <w:rPr>
          <w:szCs w:val="24"/>
          <w:lang w:eastAsia="bg-BG"/>
        </w:rPr>
        <w:t xml:space="preserve"> в съответствие с процедурата по</w:t>
      </w:r>
      <w:r w:rsidRPr="001B0EA3">
        <w:rPr>
          <w:b/>
          <w:szCs w:val="24"/>
          <w:lang w:eastAsia="bg-BG"/>
        </w:rPr>
        <w:t xml:space="preserve">  точка </w:t>
      </w:r>
      <w:r w:rsidRPr="001B0EA3">
        <w:rPr>
          <w:b/>
          <w:szCs w:val="24"/>
          <w:lang w:eastAsia="bg-BG"/>
        </w:rPr>
        <w:fldChar w:fldCharType="begin"/>
      </w:r>
      <w:r w:rsidRPr="001B0EA3">
        <w:rPr>
          <w:b/>
          <w:szCs w:val="24"/>
          <w:lang w:eastAsia="bg-BG"/>
        </w:rPr>
        <w:instrText xml:space="preserve"> REF _Ref406325382 \r \h  \* MERGEFORMAT </w:instrText>
      </w:r>
      <w:r w:rsidRPr="001B0EA3">
        <w:rPr>
          <w:b/>
          <w:szCs w:val="24"/>
          <w:lang w:eastAsia="bg-BG"/>
        </w:rPr>
      </w:r>
      <w:r w:rsidRPr="001B0EA3">
        <w:rPr>
          <w:b/>
          <w:szCs w:val="24"/>
          <w:lang w:eastAsia="bg-BG"/>
        </w:rPr>
        <w:fldChar w:fldCharType="separate"/>
      </w:r>
      <w:r w:rsidR="00F22141">
        <w:rPr>
          <w:b/>
          <w:szCs w:val="24"/>
          <w:lang w:eastAsia="bg-BG"/>
        </w:rPr>
        <w:t>18.14</w:t>
      </w:r>
      <w:r w:rsidRPr="001B0EA3">
        <w:rPr>
          <w:b/>
          <w:szCs w:val="24"/>
          <w:lang w:eastAsia="bg-BG"/>
        </w:rPr>
        <w:fldChar w:fldCharType="end"/>
      </w:r>
      <w:r w:rsidRPr="001B0EA3">
        <w:rPr>
          <w:szCs w:val="24"/>
          <w:lang w:eastAsia="bg-BG"/>
        </w:rPr>
        <w:t xml:space="preserve"> „Доклад на оценителна комисия“.</w:t>
      </w:r>
    </w:p>
    <w:p w14:paraId="273F55CA" w14:textId="77777777" w:rsidR="00D603F5" w:rsidRPr="001B0EA3" w:rsidRDefault="00D603F5" w:rsidP="00046D61">
      <w:pPr>
        <w:contextualSpacing/>
        <w:rPr>
          <w:szCs w:val="24"/>
          <w:lang w:eastAsia="bg-BG"/>
        </w:rPr>
      </w:pPr>
      <w:r w:rsidRPr="001B0EA3">
        <w:rPr>
          <w:i/>
          <w:szCs w:val="24"/>
          <w:lang w:eastAsia="bg-BG"/>
        </w:rPr>
        <w:t>Срок за изпълнение:</w:t>
      </w:r>
      <w:r w:rsidRPr="001B0EA3">
        <w:rPr>
          <w:szCs w:val="24"/>
          <w:lang w:eastAsia="bg-BG"/>
        </w:rPr>
        <w:t xml:space="preserve"> в съответствие със срока, посочен в решението за сформиране на оценителна комисия, но не повече от </w:t>
      </w:r>
      <w:r w:rsidR="009A387E" w:rsidRPr="001B0EA3">
        <w:rPr>
          <w:szCs w:val="24"/>
          <w:lang w:eastAsia="bg-BG"/>
        </w:rPr>
        <w:t>един месец от подаване на бюджетната линия</w:t>
      </w:r>
      <w:r w:rsidR="00A35C05" w:rsidRPr="001B0EA3">
        <w:rPr>
          <w:szCs w:val="24"/>
          <w:lang w:eastAsia="bg-BG"/>
        </w:rPr>
        <w:t>.</w:t>
      </w:r>
    </w:p>
    <w:p w14:paraId="43CB00AC" w14:textId="77777777" w:rsidR="00D06B71" w:rsidRPr="001B0EA3" w:rsidRDefault="00D06B71" w:rsidP="00046D61">
      <w:pPr>
        <w:numPr>
          <w:ilvl w:val="0"/>
          <w:numId w:val="123"/>
        </w:numPr>
        <w:tabs>
          <w:tab w:val="left" w:pos="993"/>
        </w:tabs>
        <w:spacing w:before="120"/>
        <w:ind w:left="0" w:firstLine="567"/>
        <w:rPr>
          <w:szCs w:val="24"/>
        </w:rPr>
      </w:pPr>
      <w:r w:rsidRPr="001B0EA3">
        <w:rPr>
          <w:szCs w:val="24"/>
        </w:rPr>
        <w:t xml:space="preserve">Началникът на отдел „Програмиране” се запознава с оценения ФК, </w:t>
      </w:r>
      <w:r w:rsidR="00FC2D10" w:rsidRPr="001B0EA3">
        <w:rPr>
          <w:szCs w:val="24"/>
        </w:rPr>
        <w:t xml:space="preserve">оценителния </w:t>
      </w:r>
      <w:r w:rsidRPr="001B0EA3">
        <w:rPr>
          <w:szCs w:val="24"/>
        </w:rPr>
        <w:t>доклад</w:t>
      </w:r>
      <w:r w:rsidR="009A387E" w:rsidRPr="001B0EA3">
        <w:rPr>
          <w:szCs w:val="24"/>
        </w:rPr>
        <w:t xml:space="preserve">  с отразени резултати от оценителните таблици на оценителите</w:t>
      </w:r>
      <w:r w:rsidRPr="001B0EA3">
        <w:rPr>
          <w:szCs w:val="24"/>
        </w:rPr>
        <w:t xml:space="preserve">, контролни листа и всички документи свързани с процеса на извършване на оценката </w:t>
      </w:r>
      <w:r w:rsidR="00FC2D10" w:rsidRPr="001B0EA3">
        <w:rPr>
          <w:szCs w:val="24"/>
        </w:rPr>
        <w:t>на ФК</w:t>
      </w:r>
      <w:r w:rsidRPr="001B0EA3">
        <w:rPr>
          <w:szCs w:val="24"/>
        </w:rPr>
        <w:t xml:space="preserve"> за извършване на проверка на процедурата и попълва </w:t>
      </w:r>
      <w:hyperlink r:id="rId138" w:tooltip="Контролен лист за проверка на процедурата на извършена оценка на проектно предложение" w:history="1">
        <w:r w:rsidR="00AE381A" w:rsidRPr="00251D03">
          <w:rPr>
            <w:rStyle w:val="Hyperlink"/>
            <w:i/>
            <w:szCs w:val="24"/>
          </w:rPr>
          <w:t>Приложение № 3.09</w:t>
        </w:r>
      </w:hyperlink>
      <w:r w:rsidR="0004491C">
        <w:rPr>
          <w:rStyle w:val="Hyperlink"/>
          <w:i/>
          <w:szCs w:val="24"/>
        </w:rPr>
        <w:t xml:space="preserve"> </w:t>
      </w:r>
      <w:r w:rsidR="0004491C" w:rsidRPr="00191671">
        <w:rPr>
          <w:rStyle w:val="Hyperlink"/>
          <w:color w:val="auto"/>
          <w:szCs w:val="24"/>
          <w:u w:val="none"/>
        </w:rPr>
        <w:t>в ИСУН 2020.</w:t>
      </w:r>
    </w:p>
    <w:p w14:paraId="5DE59B9A" w14:textId="77777777" w:rsidR="00D06B71" w:rsidRPr="001B0EA3" w:rsidRDefault="00D06B71" w:rsidP="00046D61">
      <w:pPr>
        <w:pStyle w:val="ListParagraph"/>
        <w:ind w:left="0"/>
        <w:rPr>
          <w:szCs w:val="24"/>
          <w:lang w:eastAsia="bg-BG"/>
        </w:rPr>
      </w:pPr>
      <w:r w:rsidRPr="001B0EA3">
        <w:rPr>
          <w:i/>
          <w:szCs w:val="24"/>
          <w:lang w:eastAsia="bg-BG"/>
        </w:rPr>
        <w:t>Срок за изпълнение:</w:t>
      </w:r>
      <w:r w:rsidRPr="001B0EA3">
        <w:rPr>
          <w:szCs w:val="24"/>
          <w:lang w:eastAsia="bg-BG"/>
        </w:rPr>
        <w:t xml:space="preserve"> До 5 работни дни от представянето на документите</w:t>
      </w:r>
    </w:p>
    <w:p w14:paraId="4C8F49F9" w14:textId="77777777" w:rsidR="001608D0" w:rsidRPr="001608D0" w:rsidRDefault="001608D0" w:rsidP="001608D0">
      <w:pPr>
        <w:numPr>
          <w:ilvl w:val="0"/>
          <w:numId w:val="123"/>
        </w:numPr>
        <w:tabs>
          <w:tab w:val="left" w:pos="993"/>
        </w:tabs>
        <w:spacing w:before="120"/>
        <w:ind w:left="0" w:firstLine="567"/>
        <w:rPr>
          <w:szCs w:val="24"/>
        </w:rPr>
      </w:pPr>
      <w:r w:rsidRPr="001608D0">
        <w:rPr>
          <w:szCs w:val="24"/>
        </w:rPr>
        <w:t xml:space="preserve">Началника на отдел „Програмиране“ представя оценения ФК, оценителния доклад </w:t>
      </w:r>
      <w:r w:rsidRPr="001608D0">
        <w:rPr>
          <w:i/>
          <w:szCs w:val="24"/>
          <w:u w:val="single"/>
        </w:rPr>
        <w:t>(Приложение № 3.07</w:t>
      </w:r>
      <w:r w:rsidRPr="001608D0">
        <w:rPr>
          <w:szCs w:val="24"/>
        </w:rPr>
        <w:t xml:space="preserve">), съдържащ взетото решение за одобрение на оценителния доклад и предоставяне на БФП/ отхвърляне на БФП </w:t>
      </w:r>
      <w:r w:rsidRPr="001608D0">
        <w:rPr>
          <w:i/>
          <w:szCs w:val="24"/>
          <w:u w:val="single"/>
        </w:rPr>
        <w:t>(Приложение № 3.10)</w:t>
      </w:r>
      <w:r w:rsidRPr="001608D0">
        <w:rPr>
          <w:szCs w:val="24"/>
        </w:rPr>
        <w:t xml:space="preserve"> и всички документи свързани с процеса на извършване на оценката му, ко</w:t>
      </w:r>
      <w:r w:rsidR="00A41A20">
        <w:rPr>
          <w:szCs w:val="24"/>
        </w:rPr>
        <w:t>и</w:t>
      </w:r>
      <w:r w:rsidRPr="001608D0">
        <w:rPr>
          <w:szCs w:val="24"/>
        </w:rPr>
        <w:t>то не са налични в системата ИСУН 2020 на директора на дирек</w:t>
      </w:r>
      <w:r w:rsidR="00A41A20">
        <w:rPr>
          <w:szCs w:val="24"/>
        </w:rPr>
        <w:t xml:space="preserve">ция КПП. Директора на дирекция </w:t>
      </w:r>
      <w:r w:rsidRPr="001608D0">
        <w:rPr>
          <w:szCs w:val="24"/>
        </w:rPr>
        <w:t xml:space="preserve">КПП извършва втора проверка в попълнения  от началника на отдел „Програмиране“ контролен лист </w:t>
      </w:r>
      <w:r w:rsidRPr="001608D0">
        <w:rPr>
          <w:i/>
          <w:szCs w:val="24"/>
          <w:u w:val="single"/>
        </w:rPr>
        <w:t>Приложение № 3.09</w:t>
      </w:r>
      <w:r w:rsidRPr="001608D0">
        <w:rPr>
          <w:szCs w:val="24"/>
        </w:rPr>
        <w:t>,  след което целия пакет от документи се преда</w:t>
      </w:r>
      <w:r w:rsidR="00A41A20">
        <w:rPr>
          <w:szCs w:val="24"/>
        </w:rPr>
        <w:t xml:space="preserve">ва </w:t>
      </w:r>
      <w:r w:rsidRPr="001608D0">
        <w:rPr>
          <w:szCs w:val="24"/>
        </w:rPr>
        <w:t xml:space="preserve">за одобрение от Ръководителя на УО на ОПТТИ </w:t>
      </w:r>
      <w:r w:rsidRPr="001608D0">
        <w:rPr>
          <w:i/>
          <w:szCs w:val="24"/>
        </w:rPr>
        <w:t>(когато директора на дирекция КПП не е Ръководител на УО).</w:t>
      </w:r>
    </w:p>
    <w:p w14:paraId="3015A5EE" w14:textId="77777777" w:rsidR="002C349E" w:rsidRPr="001B0EA3" w:rsidRDefault="002C349E" w:rsidP="002C349E">
      <w:pPr>
        <w:spacing w:after="120"/>
        <w:ind w:left="1418" w:hanging="284"/>
        <w:rPr>
          <w:szCs w:val="24"/>
          <w:lang w:eastAsia="bg-BG"/>
        </w:rPr>
      </w:pPr>
      <w:r w:rsidRPr="00117E69">
        <w:rPr>
          <w:i/>
          <w:szCs w:val="24"/>
          <w:lang w:eastAsia="bg-BG"/>
        </w:rPr>
        <w:t>Срок за изпълнение:</w:t>
      </w:r>
      <w:r w:rsidRPr="00A71054">
        <w:rPr>
          <w:szCs w:val="24"/>
          <w:lang w:eastAsia="bg-BG"/>
        </w:rPr>
        <w:t xml:space="preserve"> До 5 работни дни за всеки съгласуващ и за одобряващия</w:t>
      </w:r>
    </w:p>
    <w:p w14:paraId="498B7872" w14:textId="77777777" w:rsidR="00D603F5" w:rsidRPr="001B0EA3" w:rsidRDefault="00D603F5" w:rsidP="00046D61">
      <w:pPr>
        <w:spacing w:after="120"/>
        <w:ind w:left="1418" w:hanging="284"/>
        <w:rPr>
          <w:szCs w:val="24"/>
          <w:lang w:eastAsia="bg-BG"/>
        </w:rPr>
      </w:pPr>
    </w:p>
    <w:p w14:paraId="06989737" w14:textId="77777777" w:rsidR="00D603F5" w:rsidRPr="001B0EA3" w:rsidRDefault="00D603F5" w:rsidP="00B502C7">
      <w:pPr>
        <w:pStyle w:val="Style2"/>
        <w:rPr>
          <w:lang w:eastAsia="bg-BG"/>
        </w:rPr>
      </w:pPr>
      <w:bookmarkStart w:id="645" w:name="_Ref395626228"/>
      <w:bookmarkStart w:id="646" w:name="_Toc479775669"/>
      <w:bookmarkStart w:id="647" w:name="_Toc140150222"/>
      <w:bookmarkEnd w:id="641"/>
      <w:r w:rsidRPr="001B0EA3">
        <w:rPr>
          <w:lang w:eastAsia="bg-BG"/>
        </w:rPr>
        <w:t>Ревизиране на проектно предложение</w:t>
      </w:r>
      <w:bookmarkEnd w:id="645"/>
      <w:bookmarkEnd w:id="646"/>
      <w:bookmarkEnd w:id="647"/>
    </w:p>
    <w:p w14:paraId="26EDDEBE" w14:textId="77777777" w:rsidR="00594119" w:rsidRPr="001B0EA3" w:rsidRDefault="00594119" w:rsidP="00BD0929">
      <w:r w:rsidRPr="001B0EA3">
        <w:t xml:space="preserve">Съгласно чл. 44, ал. 4 от ЗУСЕСИФ, в случаи на установени в процеса на оценка нередовности, непълноти и/или несъответствия на проектното предложение, то може да бъде връщано мотивирано на конкретния бенефициент, като се посочва срок за отстраняването им. За целта оценителната комисия подготвя </w:t>
      </w:r>
      <w:r w:rsidR="00B55902" w:rsidRPr="001B0EA3">
        <w:t xml:space="preserve">документ </w:t>
      </w:r>
      <w:r w:rsidRPr="001B0EA3">
        <w:t xml:space="preserve">с конкретни бележки, препоръки за установените непълноти и/или нередовности. При определяне на срока за ревизиране на ФК </w:t>
      </w:r>
      <w:r w:rsidRPr="001B0EA3">
        <w:lastRenderedPageBreak/>
        <w:t>следва реалистично да се оцени времето, което е необходимо за отстраняване на непълнотите и/или нередовностите на проектното предложение.</w:t>
      </w:r>
      <w:r w:rsidR="00B55902" w:rsidRPr="001B0EA3">
        <w:t xml:space="preserve"> По преценка на оценителната комисия може да се даде възможност на бенефициента да представи ревизирана версия когато е готов с отразяване на бележките без да се отбелязва конкретен срок.</w:t>
      </w:r>
    </w:p>
    <w:p w14:paraId="0E86D6A0" w14:textId="77777777" w:rsidR="00594119" w:rsidRPr="001B0EA3" w:rsidRDefault="00594119" w:rsidP="00BD0929">
      <w:r w:rsidRPr="001B0EA3">
        <w:t xml:space="preserve">По време на работата на оценителната комисия, конкретния бенефициент получава обратна информация, чрез ИСУН 2020 за процеса на оценка на подадените от него проектни предложения. </w:t>
      </w:r>
    </w:p>
    <w:p w14:paraId="65E4630F" w14:textId="77777777" w:rsidR="00594119" w:rsidRPr="001B0EA3" w:rsidRDefault="00594119" w:rsidP="00BD0929">
      <w:pPr>
        <w:pStyle w:val="ListParagraph"/>
        <w:numPr>
          <w:ilvl w:val="0"/>
          <w:numId w:val="295"/>
        </w:numPr>
        <w:ind w:left="0" w:firstLine="851"/>
      </w:pPr>
      <w:r w:rsidRPr="001B0EA3">
        <w:t>В случаи на установени в процеса на оценка непълноти и/или нередовности на проектното предложение, то може да бъде връщано мотивирано на конкретния бенефициент, като при необходимост се посочва срок за отстраняването им</w:t>
      </w:r>
      <w:r w:rsidR="007D18EE" w:rsidRPr="001B0EA3">
        <w:t>, който не може да бъде по-кратък от една седмица</w:t>
      </w:r>
      <w:r w:rsidRPr="001B0EA3">
        <w:t>. При определяне на срока за ревизиране на ФК следва реалистично да се оцени времето, което е необходимо за отстраняване на непълнотите и/или нередовностите на проектното предложение.</w:t>
      </w:r>
    </w:p>
    <w:p w14:paraId="05B9135D" w14:textId="77777777" w:rsidR="00594119" w:rsidRPr="001B0EA3" w:rsidRDefault="00594119" w:rsidP="00BD0929">
      <w:pPr>
        <w:pStyle w:val="ListParagraph"/>
        <w:numPr>
          <w:ilvl w:val="0"/>
          <w:numId w:val="295"/>
        </w:numPr>
        <w:ind w:left="0" w:firstLine="851"/>
      </w:pPr>
      <w:r w:rsidRPr="001B0EA3">
        <w:t>За установените в процеса на оценка несъответствия, непълноти и/или нередовности на проектното предложение чрез модул „Комуникация“ на системата ИСУН 2020 председателят на оценителната комисия уведомява бенефициента. При необходимост по преценка на председателя на оценителната комисия се изготвя официално писмо от името на Ръководителя/ Заместник ръководителя на УО на ОПТТИ, което се съгласува с началника на отдел „Програмиране“ и/или директора на дирекция КПП.</w:t>
      </w:r>
    </w:p>
    <w:p w14:paraId="28289341" w14:textId="77777777" w:rsidR="00594119" w:rsidRPr="001B0EA3" w:rsidRDefault="00594119" w:rsidP="00BD0929">
      <w:pPr>
        <w:pStyle w:val="ListParagraph"/>
        <w:numPr>
          <w:ilvl w:val="0"/>
          <w:numId w:val="295"/>
        </w:numPr>
        <w:ind w:left="0" w:firstLine="851"/>
      </w:pPr>
      <w:r w:rsidRPr="001B0EA3">
        <w:t>Когато отговорът изисква редактиране на формуляра за кандидатстване, председателя на оценителната комисия отваря за редактиране в системата ИСУН 2020 за въвеждането/ промяната само по тези части от формуляра, които са маркирани за редакция.</w:t>
      </w:r>
    </w:p>
    <w:p w14:paraId="37A5EE7E" w14:textId="77777777" w:rsidR="00594119" w:rsidRPr="001B0EA3" w:rsidRDefault="00594119" w:rsidP="00BD0929">
      <w:pPr>
        <w:pStyle w:val="ListParagraph"/>
        <w:numPr>
          <w:ilvl w:val="0"/>
          <w:numId w:val="295"/>
        </w:numPr>
        <w:ind w:left="0" w:firstLine="851"/>
      </w:pPr>
      <w:r w:rsidRPr="001B0EA3">
        <w:t>Процедурата по ревизиране на проектното предложение се повтаря до отстраняване от бенефициента по проекта на установените от оценителната комисия несъответствия, непълноти и/или нередовности.</w:t>
      </w:r>
    </w:p>
    <w:p w14:paraId="73BB355B" w14:textId="77777777" w:rsidR="00594119" w:rsidRPr="001B0EA3" w:rsidRDefault="00594119" w:rsidP="00BD0929">
      <w:pPr>
        <w:pStyle w:val="ListParagraph"/>
        <w:numPr>
          <w:ilvl w:val="0"/>
          <w:numId w:val="295"/>
        </w:numPr>
        <w:ind w:left="0" w:firstLine="851"/>
      </w:pPr>
      <w:r w:rsidRPr="001B0EA3">
        <w:t>В случай, че несъответствията, непълнотите и/или нередовностите по проектното предложение не са отстранени в срок до 80 дни от датата на първоначалното му подаване и/или проектното предложение не е представено ревизирано, проектното предложение може да се счита за отхвърлено, за което бенефициента следва да е предварително уведомен</w:t>
      </w:r>
      <w:r w:rsidR="00090871" w:rsidRPr="001B0EA3">
        <w:t xml:space="preserve"> или о</w:t>
      </w:r>
      <w:r w:rsidR="006530C4" w:rsidRPr="001B0EA3">
        <w:t xml:space="preserve">ценката да продължи до </w:t>
      </w:r>
      <w:r w:rsidR="00A85760" w:rsidRPr="001B0EA3">
        <w:t>представянето</w:t>
      </w:r>
      <w:r w:rsidR="006530C4" w:rsidRPr="001B0EA3">
        <w:t xml:space="preserve"> на ревизирано версия с отстранени бележки</w:t>
      </w:r>
      <w:r w:rsidRPr="001B0EA3">
        <w:t>.</w:t>
      </w:r>
      <w:r w:rsidR="00026CD4" w:rsidRPr="001B0EA3">
        <w:t xml:space="preserve"> </w:t>
      </w:r>
    </w:p>
    <w:p w14:paraId="6FFADF3D" w14:textId="77777777" w:rsidR="00D603F5" w:rsidRPr="001B0EA3" w:rsidRDefault="00D603F5" w:rsidP="00660856">
      <w:pPr>
        <w:rPr>
          <w:b/>
          <w:szCs w:val="24"/>
          <w:lang w:eastAsia="bg-BG"/>
        </w:rPr>
      </w:pPr>
    </w:p>
    <w:p w14:paraId="065318AE" w14:textId="77777777" w:rsidR="00D603F5" w:rsidRPr="00842ECC" w:rsidRDefault="00D603F5" w:rsidP="00B502C7">
      <w:pPr>
        <w:pStyle w:val="Style2"/>
        <w:rPr>
          <w:lang w:val="bg-BG" w:eastAsia="bg-BG"/>
        </w:rPr>
      </w:pPr>
      <w:bookmarkStart w:id="648" w:name="_Toc479775670"/>
      <w:bookmarkStart w:id="649" w:name="_Toc140150223"/>
      <w:bookmarkStart w:id="650" w:name="_Ref407609016"/>
      <w:bookmarkStart w:id="651" w:name="_Ref406323209"/>
      <w:bookmarkStart w:id="652" w:name="_Ref403035455"/>
      <w:r w:rsidRPr="00842ECC">
        <w:rPr>
          <w:lang w:val="bg-BG" w:eastAsia="bg-BG"/>
        </w:rPr>
        <w:t>Механизъм за избягване на двойно финансиране</w:t>
      </w:r>
      <w:bookmarkEnd w:id="648"/>
      <w:bookmarkEnd w:id="649"/>
    </w:p>
    <w:p w14:paraId="3CE685E1" w14:textId="77777777" w:rsidR="0003219D" w:rsidRPr="001B0EA3" w:rsidRDefault="0003219D" w:rsidP="00BD0929">
      <w:r w:rsidRPr="001B0EA3">
        <w:t xml:space="preserve">БФП не може да бъде предоставяна за проектна дейност, финансирана по друг проект, програма или процедура, финансирани с публични средства, освен когато: </w:t>
      </w:r>
    </w:p>
    <w:p w14:paraId="72AAEB31" w14:textId="77777777" w:rsidR="0003219D" w:rsidRPr="001B0EA3" w:rsidRDefault="0003219D" w:rsidP="00BD0929">
      <w:pPr>
        <w:pStyle w:val="ListParagraph"/>
        <w:numPr>
          <w:ilvl w:val="0"/>
          <w:numId w:val="296"/>
        </w:numPr>
        <w:rPr>
          <w:lang w:eastAsia="bg-BG"/>
        </w:rPr>
      </w:pPr>
      <w:r w:rsidRPr="001B0EA3">
        <w:rPr>
          <w:lang w:eastAsia="bg-BG"/>
        </w:rPr>
        <w:t>УО на ОПТТИ прецени, че дейността е свързана с непрекъсната потребност на бенефициента или целевата група, но се отнасят за различен период от време;</w:t>
      </w:r>
    </w:p>
    <w:p w14:paraId="220DAA91" w14:textId="77777777" w:rsidR="0003219D" w:rsidRPr="001B0EA3" w:rsidRDefault="0003219D" w:rsidP="00BD0929">
      <w:pPr>
        <w:pStyle w:val="ListParagraph"/>
        <w:numPr>
          <w:ilvl w:val="0"/>
          <w:numId w:val="296"/>
        </w:numPr>
        <w:rPr>
          <w:lang w:eastAsia="bg-BG"/>
        </w:rPr>
      </w:pPr>
      <w:r w:rsidRPr="001B0EA3">
        <w:rPr>
          <w:lang w:eastAsia="bg-BG"/>
        </w:rPr>
        <w:t xml:space="preserve">различни звена от структурата на бенефициента кандидатстват чрез него за финансиране на една и съща дейност; </w:t>
      </w:r>
    </w:p>
    <w:p w14:paraId="01554895" w14:textId="77777777" w:rsidR="00A96D61" w:rsidRPr="007B5DDB" w:rsidRDefault="00A96D61" w:rsidP="00A96D61">
      <w:pPr>
        <w:rPr>
          <w:b/>
        </w:rPr>
      </w:pPr>
      <w:r w:rsidRPr="001B0EA3">
        <w:rPr>
          <w:lang w:eastAsia="bg-BG"/>
        </w:rPr>
        <w:t xml:space="preserve">Тези случаи следва да са описани в контролния лист </w:t>
      </w:r>
      <w:hyperlink r:id="rId139" w:tooltip="Контролен лист за извършена проверка в ИСУН за липса на двойно финансиране" w:history="1">
        <w:r w:rsidRPr="00251D03">
          <w:rPr>
            <w:rStyle w:val="Hyperlink"/>
            <w:i/>
          </w:rPr>
          <w:t>Приложение № 3.08</w:t>
        </w:r>
      </w:hyperlink>
      <w:r w:rsidR="007B5DDB">
        <w:rPr>
          <w:rStyle w:val="Hyperlink"/>
          <w:u w:val="none"/>
        </w:rPr>
        <w:t xml:space="preserve"> </w:t>
      </w:r>
      <w:r w:rsidR="00DF60DE" w:rsidRPr="007B5DDB">
        <w:rPr>
          <w:rStyle w:val="Hyperlink"/>
          <w:color w:val="auto"/>
          <w:u w:val="none"/>
        </w:rPr>
        <w:t>попълнен</w:t>
      </w:r>
      <w:r w:rsidR="007B5DDB">
        <w:rPr>
          <w:rStyle w:val="Hyperlink"/>
          <w:color w:val="auto"/>
          <w:u w:val="none"/>
        </w:rPr>
        <w:t xml:space="preserve"> в</w:t>
      </w:r>
      <w:r w:rsidRPr="007B5DDB">
        <w:rPr>
          <w:rStyle w:val="Hyperlink"/>
          <w:color w:val="auto"/>
          <w:u w:val="none"/>
        </w:rPr>
        <w:t xml:space="preserve"> ИСУН 2020</w:t>
      </w:r>
      <w:r w:rsidR="007B5DDB">
        <w:rPr>
          <w:rStyle w:val="Hyperlink"/>
          <w:color w:val="auto"/>
          <w:u w:val="none"/>
        </w:rPr>
        <w:t>.</w:t>
      </w:r>
    </w:p>
    <w:p w14:paraId="3FCE2FAE" w14:textId="77777777" w:rsidR="0003219D" w:rsidRPr="00AE381A" w:rsidRDefault="0003219D" w:rsidP="00BD0929">
      <w:pPr>
        <w:rPr>
          <w:b/>
          <w:i/>
        </w:rPr>
      </w:pPr>
    </w:p>
    <w:p w14:paraId="6407FEDA" w14:textId="77777777" w:rsidR="00BD0929" w:rsidRPr="001B0EA3" w:rsidRDefault="00BD0929" w:rsidP="00BD0929">
      <w:pPr>
        <w:rPr>
          <w:lang w:eastAsia="bg-BG"/>
        </w:rPr>
      </w:pPr>
    </w:p>
    <w:p w14:paraId="21C8D1EE" w14:textId="77777777" w:rsidR="0003219D" w:rsidRDefault="0003219D" w:rsidP="00BD0929">
      <w:r w:rsidRPr="001B0EA3">
        <w:t>БФП се предоставя след извършване на проверка от УО на ОПТТИ за липса на двойно финансиране и, ако е приложимо, за съответствие с правилата за допустимите държавни/ минимални помощи. ИСУН 2007 и ИСУН 2020 позволяват да се извърши проверка за двойно финансиране.</w:t>
      </w:r>
    </w:p>
    <w:p w14:paraId="302A5E0B" w14:textId="77777777" w:rsidR="00BD0929" w:rsidRPr="001B0EA3" w:rsidRDefault="00BD0929" w:rsidP="00BD0929"/>
    <w:p w14:paraId="6466A9E1" w14:textId="77777777" w:rsidR="0003219D" w:rsidRPr="00BD0929" w:rsidRDefault="0003219D" w:rsidP="00BD0929">
      <w:pPr>
        <w:rPr>
          <w:b/>
          <w:u w:val="single"/>
        </w:rPr>
      </w:pPr>
      <w:r w:rsidRPr="00BD0929">
        <w:rPr>
          <w:b/>
          <w:u w:val="single"/>
        </w:rPr>
        <w:t>Основни стъпки:</w:t>
      </w:r>
    </w:p>
    <w:p w14:paraId="51900D6E" w14:textId="77777777" w:rsidR="0003219D" w:rsidRPr="001B0EA3" w:rsidRDefault="0003219D" w:rsidP="00BD0929">
      <w:pPr>
        <w:pStyle w:val="ListParagraph"/>
        <w:numPr>
          <w:ilvl w:val="0"/>
          <w:numId w:val="297"/>
        </w:numPr>
        <w:ind w:left="0" w:firstLine="851"/>
      </w:pPr>
      <w:r w:rsidRPr="001B0EA3">
        <w:t xml:space="preserve">За превенция от двойно финансиране на  разходи по проект/ бюджетна линия и избягване на риска от предоставяне на БФП за вече финансирани дейности първоначална </w:t>
      </w:r>
      <w:r w:rsidRPr="001B0EA3">
        <w:lastRenderedPageBreak/>
        <w:t xml:space="preserve">проверка в ИСУН се извършва при подаване на ФК. При вероятност за двойно финансиране оценителната комисия изпраща бележка до конкретния бенефициент за изключване от обхвата на проекта на подобни разходи или за допълване на информацията с по-подробно описание на дейностите/ разходите, така че да се отстрани възникналото съмнение. </w:t>
      </w:r>
    </w:p>
    <w:p w14:paraId="1E6015FF" w14:textId="77777777" w:rsidR="0003219D" w:rsidRPr="001B0EA3" w:rsidRDefault="0003219D" w:rsidP="00BD0929">
      <w:pPr>
        <w:pStyle w:val="ListParagraph"/>
        <w:numPr>
          <w:ilvl w:val="0"/>
          <w:numId w:val="297"/>
        </w:numPr>
        <w:ind w:left="0" w:firstLine="851"/>
      </w:pPr>
      <w:r w:rsidRPr="001B0EA3">
        <w:t xml:space="preserve">Проверката за липса на двойно финансиране се осъществява в ИСУН преди момента на вземане на решение за предоставяне на БФП и одобрение на доклада на оценителната комисия. </w:t>
      </w:r>
    </w:p>
    <w:p w14:paraId="673893BA" w14:textId="77777777" w:rsidR="0003219D" w:rsidRPr="001B0EA3" w:rsidRDefault="0003219D" w:rsidP="00BD0929">
      <w:pPr>
        <w:pStyle w:val="ListParagraph"/>
        <w:numPr>
          <w:ilvl w:val="0"/>
          <w:numId w:val="297"/>
        </w:numPr>
        <w:ind w:left="0" w:firstLine="851"/>
      </w:pPr>
      <w:r w:rsidRPr="001B0EA3">
        <w:t>Проверката се извършва от член на оценителната комисия, определен от председателя на комисията,.</w:t>
      </w:r>
    </w:p>
    <w:p w14:paraId="00883A57" w14:textId="77777777" w:rsidR="00D762AF" w:rsidRPr="001B0EA3" w:rsidRDefault="00D762AF" w:rsidP="00D762AF">
      <w:pPr>
        <w:pStyle w:val="ListParagraph"/>
        <w:numPr>
          <w:ilvl w:val="0"/>
          <w:numId w:val="298"/>
        </w:numPr>
        <w:rPr>
          <w:lang w:eastAsia="bg-BG"/>
        </w:rPr>
      </w:pPr>
      <w:r w:rsidRPr="001B0EA3">
        <w:rPr>
          <w:lang w:eastAsia="bg-BG"/>
        </w:rPr>
        <w:t xml:space="preserve">Резултатите от проверката се записват в Контролен лист - </w:t>
      </w:r>
      <w:hyperlink r:id="rId140" w:tooltip="Контролен лист за извършена проверка в ИСУН за липса на двойно финансиране" w:history="1">
        <w:r w:rsidRPr="00251D03">
          <w:rPr>
            <w:rStyle w:val="Hyperlink"/>
            <w:i/>
          </w:rPr>
          <w:t>Приложение № 3.08</w:t>
        </w:r>
      </w:hyperlink>
      <w:r>
        <w:rPr>
          <w:rStyle w:val="Hyperlink"/>
          <w:i/>
        </w:rPr>
        <w:t xml:space="preserve"> </w:t>
      </w:r>
      <w:r w:rsidRPr="004F0392">
        <w:rPr>
          <w:rStyle w:val="Hyperlink"/>
          <w:color w:val="auto"/>
          <w:u w:val="none"/>
        </w:rPr>
        <w:t>в ИСУН 2020</w:t>
      </w:r>
    </w:p>
    <w:p w14:paraId="0532C113" w14:textId="77777777" w:rsidR="0003219D" w:rsidRPr="001B0EA3" w:rsidRDefault="0003219D" w:rsidP="00BD0929">
      <w:pPr>
        <w:pStyle w:val="ListParagraph"/>
        <w:numPr>
          <w:ilvl w:val="0"/>
          <w:numId w:val="298"/>
        </w:numPr>
        <w:rPr>
          <w:lang w:eastAsia="bg-BG"/>
        </w:rPr>
      </w:pPr>
      <w:r w:rsidRPr="001B0EA3">
        <w:rPr>
          <w:lang w:eastAsia="bg-BG"/>
        </w:rPr>
        <w:t xml:space="preserve">Председателят на оценителната комисия извършва </w:t>
      </w:r>
      <w:r w:rsidR="008949A0">
        <w:rPr>
          <w:lang w:eastAsia="bg-BG"/>
        </w:rPr>
        <w:t xml:space="preserve">втора </w:t>
      </w:r>
      <w:r w:rsidRPr="001B0EA3">
        <w:rPr>
          <w:lang w:eastAsia="bg-BG"/>
        </w:rPr>
        <w:t>проверка на попълнения контролен лист</w:t>
      </w:r>
      <w:r w:rsidR="008949A0">
        <w:rPr>
          <w:lang w:eastAsia="bg-BG"/>
        </w:rPr>
        <w:t xml:space="preserve"> в системата</w:t>
      </w:r>
      <w:r w:rsidRPr="001B0EA3">
        <w:rPr>
          <w:lang w:eastAsia="bg-BG"/>
        </w:rPr>
        <w:t>.</w:t>
      </w:r>
    </w:p>
    <w:p w14:paraId="0725A27D" w14:textId="77777777" w:rsidR="0003219D" w:rsidRPr="001B0EA3" w:rsidRDefault="0003219D" w:rsidP="00BD0929">
      <w:pPr>
        <w:pStyle w:val="ListParagraph"/>
        <w:numPr>
          <w:ilvl w:val="0"/>
          <w:numId w:val="297"/>
        </w:numPr>
        <w:ind w:left="0" w:firstLine="851"/>
      </w:pPr>
      <w:r w:rsidRPr="001B0EA3">
        <w:t>В случаите, в които преди момента на сключване на административен договор/ договор за предоставяне на БФП/издаването за заповед за предоставяне на БФП не се установи наличие на двойно финансиране по проект или дейности по този проект, Ръководителят на УО на ОПТТИ взема решение за одобрение на оценителния доклад и предоставяне на БФП.</w:t>
      </w:r>
    </w:p>
    <w:p w14:paraId="49D7574E" w14:textId="77777777" w:rsidR="0003219D" w:rsidRPr="001B0EA3" w:rsidRDefault="0003219D" w:rsidP="00BD0929">
      <w:pPr>
        <w:pStyle w:val="ListParagraph"/>
        <w:numPr>
          <w:ilvl w:val="0"/>
          <w:numId w:val="297"/>
        </w:numPr>
        <w:ind w:left="0" w:firstLine="851"/>
      </w:pPr>
      <w:r w:rsidRPr="001B0EA3">
        <w:t>В случаите, в които преди момента на сключване на административен договор/ заповед за предоставяне на БФП се установи наличие на двойно финансиране по проект/ бюджетна линия или дейности по този проект, Ръководителят на УО издава мотивирано решение за отказ за предоставяне на БФП.</w:t>
      </w:r>
    </w:p>
    <w:p w14:paraId="653D2741" w14:textId="77777777" w:rsidR="0003219D" w:rsidRDefault="0003219D" w:rsidP="00BD0929">
      <w:r w:rsidRPr="001B0EA3">
        <w:rPr>
          <w:i/>
        </w:rPr>
        <w:t xml:space="preserve">Срок за изпълнение: </w:t>
      </w:r>
      <w:r w:rsidRPr="001B0EA3">
        <w:t>преди момента на предоставяне на БФП и сключване на договор за предоставяне на БФП</w:t>
      </w:r>
      <w:r w:rsidR="00BD0929">
        <w:t>.</w:t>
      </w:r>
    </w:p>
    <w:p w14:paraId="7617C572" w14:textId="77777777" w:rsidR="00BD0929" w:rsidRPr="001B0EA3" w:rsidRDefault="00BD0929" w:rsidP="00BD0929"/>
    <w:p w14:paraId="08FEA8A5" w14:textId="77777777" w:rsidR="00D603F5" w:rsidRPr="001B0EA3" w:rsidRDefault="00D603F5" w:rsidP="00B502C7">
      <w:pPr>
        <w:pStyle w:val="Style2"/>
        <w:rPr>
          <w:lang w:eastAsia="bg-BG"/>
        </w:rPr>
      </w:pPr>
      <w:bookmarkStart w:id="653" w:name="_Toc464561690"/>
      <w:bookmarkStart w:id="654" w:name="_Toc464573402"/>
      <w:bookmarkStart w:id="655" w:name="_Toc464573855"/>
      <w:bookmarkStart w:id="656" w:name="_Toc464561691"/>
      <w:bookmarkStart w:id="657" w:name="_Toc464573403"/>
      <w:bookmarkStart w:id="658" w:name="_Toc464573856"/>
      <w:bookmarkStart w:id="659" w:name="_Toc464561692"/>
      <w:bookmarkStart w:id="660" w:name="_Toc464573404"/>
      <w:bookmarkStart w:id="661" w:name="_Toc464573857"/>
      <w:bookmarkStart w:id="662" w:name="_Toc464561693"/>
      <w:bookmarkStart w:id="663" w:name="_Toc464573405"/>
      <w:bookmarkStart w:id="664" w:name="_Toc464573858"/>
      <w:bookmarkStart w:id="665" w:name="_Toc464561694"/>
      <w:bookmarkStart w:id="666" w:name="_Toc464573406"/>
      <w:bookmarkStart w:id="667" w:name="_Toc464573859"/>
      <w:bookmarkStart w:id="668" w:name="_Toc464561695"/>
      <w:bookmarkStart w:id="669" w:name="_Toc464573407"/>
      <w:bookmarkStart w:id="670" w:name="_Toc464573860"/>
      <w:bookmarkStart w:id="671" w:name="_Toc464561696"/>
      <w:bookmarkStart w:id="672" w:name="_Toc464573408"/>
      <w:bookmarkStart w:id="673" w:name="_Toc464573861"/>
      <w:bookmarkStart w:id="674" w:name="_Toc464561697"/>
      <w:bookmarkStart w:id="675" w:name="_Toc464573409"/>
      <w:bookmarkStart w:id="676" w:name="_Toc464573862"/>
      <w:bookmarkStart w:id="677" w:name="_Toc464561698"/>
      <w:bookmarkStart w:id="678" w:name="_Toc464573410"/>
      <w:bookmarkStart w:id="679" w:name="_Toc464573863"/>
      <w:bookmarkStart w:id="680" w:name="_Toc464561699"/>
      <w:bookmarkStart w:id="681" w:name="_Toc464573411"/>
      <w:bookmarkStart w:id="682" w:name="_Toc464573864"/>
      <w:bookmarkStart w:id="683" w:name="_Toc464561700"/>
      <w:bookmarkStart w:id="684" w:name="_Toc464573412"/>
      <w:bookmarkStart w:id="685" w:name="_Toc464573865"/>
      <w:bookmarkStart w:id="686" w:name="_Toc464561701"/>
      <w:bookmarkStart w:id="687" w:name="_Toc464573413"/>
      <w:bookmarkStart w:id="688" w:name="_Toc464573866"/>
      <w:bookmarkStart w:id="689" w:name="_Toc464561702"/>
      <w:bookmarkStart w:id="690" w:name="_Toc464573414"/>
      <w:bookmarkStart w:id="691" w:name="_Toc464573867"/>
      <w:bookmarkStart w:id="692" w:name="_Toc464561703"/>
      <w:bookmarkStart w:id="693" w:name="_Toc464573415"/>
      <w:bookmarkStart w:id="694" w:name="_Toc464573868"/>
      <w:bookmarkStart w:id="695" w:name="_Toc464561704"/>
      <w:bookmarkStart w:id="696" w:name="_Toc464573416"/>
      <w:bookmarkStart w:id="697" w:name="_Toc464573869"/>
      <w:bookmarkStart w:id="698" w:name="_Toc464561705"/>
      <w:bookmarkStart w:id="699" w:name="_Toc464573417"/>
      <w:bookmarkStart w:id="700" w:name="_Toc464573870"/>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r w:rsidRPr="00842ECC">
        <w:rPr>
          <w:lang w:val="bg-BG" w:eastAsia="bg-BG"/>
        </w:rPr>
        <w:t xml:space="preserve"> </w:t>
      </w:r>
      <w:bookmarkStart w:id="701" w:name="_Ref413933205"/>
      <w:bookmarkStart w:id="702" w:name="_Toc479775671"/>
      <w:bookmarkStart w:id="703" w:name="_Toc140150224"/>
      <w:r w:rsidRPr="001B0EA3">
        <w:rPr>
          <w:lang w:eastAsia="bg-BG"/>
        </w:rPr>
        <w:t>Оценителни таблици</w:t>
      </w:r>
      <w:bookmarkEnd w:id="701"/>
      <w:bookmarkEnd w:id="702"/>
      <w:bookmarkEnd w:id="703"/>
    </w:p>
    <w:p w14:paraId="2C9869BB" w14:textId="77777777" w:rsidR="0003219D" w:rsidRPr="001B0EA3" w:rsidRDefault="0003219D" w:rsidP="006537EC">
      <w:pPr>
        <w:pStyle w:val="ListParagraph"/>
        <w:numPr>
          <w:ilvl w:val="0"/>
          <w:numId w:val="299"/>
        </w:numPr>
        <w:ind w:left="0" w:firstLine="851"/>
      </w:pPr>
      <w:r w:rsidRPr="001B0EA3">
        <w:t xml:space="preserve">Всеки оценител с право на глас отразява резултатите от извършената оценка в ИСУН 2020 в приложимата оценителна таблица: </w:t>
      </w:r>
      <w:hyperlink r:id="rId141" w:tooltip="Оценителна таблица за извършена оценка на  проектни предложения за инвестиционни¦инфраструктурни проекти" w:history="1">
        <w:r w:rsidR="00AE381A" w:rsidRPr="00251D03">
          <w:rPr>
            <w:rStyle w:val="Hyperlink"/>
            <w:i/>
          </w:rPr>
          <w:t>Приложение № 3.06.1</w:t>
        </w:r>
      </w:hyperlink>
      <w:r w:rsidRPr="001B0EA3">
        <w:t xml:space="preserve"> - при инвестиционни/инфраструктурни проекти или </w:t>
      </w:r>
      <w:hyperlink r:id="rId142" w:tooltip="Оценителна таблица за извършена оценка на проектни предложения за техническа помощ" w:history="1">
        <w:r w:rsidR="00AE381A" w:rsidRPr="00251D03">
          <w:rPr>
            <w:rStyle w:val="Hyperlink"/>
            <w:i/>
          </w:rPr>
          <w:t>Приложение № 3.06.2</w:t>
        </w:r>
      </w:hyperlink>
      <w:r w:rsidRPr="001B0EA3">
        <w:t xml:space="preserve"> - при оценка на проекти за техническа помощ или </w:t>
      </w:r>
      <w:hyperlink r:id="rId143" w:tooltip="Оценителна таблица за извършена оценка на бюджетна линия" w:history="1">
        <w:r w:rsidR="00AE381A" w:rsidRPr="00251D03">
          <w:rPr>
            <w:rStyle w:val="Hyperlink"/>
            <w:i/>
          </w:rPr>
          <w:t>Приложение № 3.06.3</w:t>
        </w:r>
      </w:hyperlink>
      <w:r w:rsidRPr="001B0EA3">
        <w:t xml:space="preserve"> - при оценка на бюджетна линия, съдържаща мотивирано заключение, направено по време на цялостната оценка по отношение на критериите за оценка на проекта. </w:t>
      </w:r>
    </w:p>
    <w:p w14:paraId="6E1CEFB7" w14:textId="77777777" w:rsidR="0003219D" w:rsidRPr="001B0EA3" w:rsidRDefault="0003219D" w:rsidP="006537EC">
      <w:pPr>
        <w:pStyle w:val="ListParagraph"/>
        <w:numPr>
          <w:ilvl w:val="0"/>
          <w:numId w:val="299"/>
        </w:numPr>
        <w:ind w:left="0" w:firstLine="851"/>
      </w:pPr>
      <w:r w:rsidRPr="001B0EA3">
        <w:t>Оценителната таблица трябва задължително да включва:</w:t>
      </w:r>
    </w:p>
    <w:p w14:paraId="672535F1" w14:textId="77777777" w:rsidR="0003219D" w:rsidRPr="001B0EA3" w:rsidRDefault="0003219D" w:rsidP="006537EC">
      <w:pPr>
        <w:pStyle w:val="ListParagraph"/>
        <w:numPr>
          <w:ilvl w:val="0"/>
          <w:numId w:val="300"/>
        </w:numPr>
        <w:rPr>
          <w:lang w:eastAsia="bg-BG"/>
        </w:rPr>
      </w:pPr>
      <w:r w:rsidRPr="001B0EA3">
        <w:rPr>
          <w:lang w:eastAsia="bg-BG"/>
        </w:rPr>
        <w:t>наименование на проектното предложение, номер на проектното предложение;</w:t>
      </w:r>
    </w:p>
    <w:p w14:paraId="19933F23" w14:textId="77777777" w:rsidR="0003219D" w:rsidRPr="001B0EA3" w:rsidRDefault="0003219D" w:rsidP="006537EC">
      <w:pPr>
        <w:pStyle w:val="ListParagraph"/>
        <w:numPr>
          <w:ilvl w:val="0"/>
          <w:numId w:val="300"/>
        </w:numPr>
        <w:rPr>
          <w:lang w:eastAsia="bg-BG"/>
        </w:rPr>
      </w:pPr>
      <w:r w:rsidRPr="001B0EA3">
        <w:rPr>
          <w:lang w:eastAsia="bg-BG"/>
        </w:rPr>
        <w:t>резултати от проверката по всички административните критерии;</w:t>
      </w:r>
    </w:p>
    <w:p w14:paraId="40E9DA5C" w14:textId="77777777" w:rsidR="0003219D" w:rsidRPr="001B0EA3" w:rsidRDefault="0003219D" w:rsidP="006537EC">
      <w:pPr>
        <w:pStyle w:val="ListParagraph"/>
        <w:numPr>
          <w:ilvl w:val="0"/>
          <w:numId w:val="300"/>
        </w:numPr>
        <w:rPr>
          <w:lang w:eastAsia="bg-BG"/>
        </w:rPr>
      </w:pPr>
      <w:r w:rsidRPr="001B0EA3">
        <w:rPr>
          <w:lang w:eastAsia="bg-BG"/>
        </w:rPr>
        <w:t>резултати от проверката по всички критерии за допустимост;</w:t>
      </w:r>
    </w:p>
    <w:p w14:paraId="666AE18C" w14:textId="77777777" w:rsidR="0003219D" w:rsidRPr="001B0EA3" w:rsidRDefault="0003219D" w:rsidP="006537EC">
      <w:pPr>
        <w:pStyle w:val="ListParagraph"/>
        <w:numPr>
          <w:ilvl w:val="0"/>
          <w:numId w:val="300"/>
        </w:numPr>
        <w:rPr>
          <w:lang w:eastAsia="bg-BG"/>
        </w:rPr>
      </w:pPr>
      <w:r w:rsidRPr="001B0EA3">
        <w:rPr>
          <w:lang w:eastAsia="bg-BG"/>
        </w:rPr>
        <w:t>заключения по техническата  и финансова оценка на проекта</w:t>
      </w:r>
      <w:r w:rsidRPr="001B0EA3">
        <w:rPr>
          <w:vertAlign w:val="superscript"/>
          <w:lang w:eastAsia="bg-BG"/>
        </w:rPr>
        <w:footnoteReference w:id="59"/>
      </w:r>
      <w:r w:rsidRPr="001B0EA3">
        <w:rPr>
          <w:lang w:eastAsia="bg-BG"/>
        </w:rPr>
        <w:t>, които се отразяват в доклада;</w:t>
      </w:r>
    </w:p>
    <w:p w14:paraId="2D5BA7CE" w14:textId="77777777" w:rsidR="0003219D" w:rsidRPr="001B0EA3" w:rsidRDefault="0003219D" w:rsidP="006537EC">
      <w:pPr>
        <w:pStyle w:val="ListParagraph"/>
        <w:numPr>
          <w:ilvl w:val="0"/>
          <w:numId w:val="300"/>
        </w:numPr>
        <w:rPr>
          <w:lang w:eastAsia="bg-BG"/>
        </w:rPr>
      </w:pPr>
      <w:r w:rsidRPr="001B0EA3">
        <w:rPr>
          <w:lang w:eastAsia="bg-BG"/>
        </w:rPr>
        <w:t>препоръка за преминаване към следващ етап на оценка на проектното предложение, която се съдържа в доклада;</w:t>
      </w:r>
    </w:p>
    <w:p w14:paraId="30414B8D" w14:textId="77777777" w:rsidR="0003219D" w:rsidRPr="001B0EA3" w:rsidRDefault="0003219D" w:rsidP="006537EC">
      <w:pPr>
        <w:pStyle w:val="ListParagraph"/>
        <w:numPr>
          <w:ilvl w:val="0"/>
          <w:numId w:val="299"/>
        </w:numPr>
        <w:ind w:left="0" w:firstLine="851"/>
      </w:pPr>
      <w:r w:rsidRPr="001B0EA3">
        <w:t xml:space="preserve">Оценителят, чрез отразяване в ИСУН 2020 може да препоръча проектното предложение да премине към следващ етап на оценка, когато ФК/ФП отговаря на всички критерии за административна оценка, оценка за допустимост, техническа и финансова оценка. </w:t>
      </w:r>
    </w:p>
    <w:p w14:paraId="53FC1F29" w14:textId="77777777" w:rsidR="0003219D" w:rsidRPr="001B0EA3" w:rsidRDefault="0003219D" w:rsidP="00CC313F">
      <w:pPr>
        <w:tabs>
          <w:tab w:val="num" w:pos="1134"/>
        </w:tabs>
        <w:spacing w:before="120" w:after="120"/>
        <w:ind w:firstLine="709"/>
        <w:rPr>
          <w:szCs w:val="24"/>
          <w:lang w:eastAsia="bg-BG"/>
        </w:rPr>
      </w:pPr>
      <w:r w:rsidRPr="001B0EA3">
        <w:rPr>
          <w:szCs w:val="24"/>
          <w:lang w:eastAsia="bg-BG"/>
        </w:rPr>
        <w:t>или</w:t>
      </w:r>
    </w:p>
    <w:p w14:paraId="0A4457EA" w14:textId="77777777" w:rsidR="0003219D" w:rsidRPr="001B0EA3" w:rsidRDefault="0003219D" w:rsidP="006537EC">
      <w:pPr>
        <w:pStyle w:val="ListParagraph"/>
        <w:numPr>
          <w:ilvl w:val="0"/>
          <w:numId w:val="299"/>
        </w:numPr>
        <w:ind w:left="0" w:firstLine="851"/>
      </w:pPr>
      <w:r w:rsidRPr="001B0EA3">
        <w:t xml:space="preserve">Оценителят, чрез отразяване в ИСУН 2020 може да препоръча проектното предложение да не премине към следващ етап на оценка, когато ФК не отговаря на един, </w:t>
      </w:r>
      <w:r w:rsidRPr="001B0EA3">
        <w:lastRenderedPageBreak/>
        <w:t xml:space="preserve">няколко или на всички критерии за административна оценка и/или оценка  за допустимост. В този случай се мотивирано се обосновава за непреминаването  на проектното предложение. </w:t>
      </w:r>
    </w:p>
    <w:p w14:paraId="7AED74AF" w14:textId="77777777" w:rsidR="0003219D" w:rsidRPr="001B0EA3" w:rsidRDefault="0003219D" w:rsidP="006537EC">
      <w:pPr>
        <w:rPr>
          <w:lang w:eastAsia="bg-BG"/>
        </w:rPr>
      </w:pPr>
    </w:p>
    <w:p w14:paraId="02A26520" w14:textId="77777777" w:rsidR="00D603F5" w:rsidRPr="001B0EA3" w:rsidRDefault="00D603F5" w:rsidP="006537EC">
      <w:pPr>
        <w:rPr>
          <w:lang w:eastAsia="bg-BG"/>
        </w:rPr>
      </w:pPr>
    </w:p>
    <w:p w14:paraId="2B0E205E" w14:textId="77777777" w:rsidR="00D603F5" w:rsidRPr="00842ECC" w:rsidRDefault="00D603F5" w:rsidP="00B502C7">
      <w:pPr>
        <w:pStyle w:val="Style2"/>
        <w:rPr>
          <w:lang w:val="bg-BG" w:eastAsia="bg-BG"/>
        </w:rPr>
      </w:pPr>
      <w:bookmarkStart w:id="704" w:name="_Ref406325382"/>
      <w:bookmarkStart w:id="705" w:name="_Toc479775672"/>
      <w:bookmarkStart w:id="706" w:name="_Toc140150225"/>
      <w:r w:rsidRPr="00842ECC">
        <w:rPr>
          <w:lang w:val="bg-BG" w:eastAsia="bg-BG"/>
        </w:rPr>
        <w:t>Доклад на оценителна комисия</w:t>
      </w:r>
      <w:bookmarkEnd w:id="704"/>
      <w:r w:rsidR="007A1133" w:rsidRPr="00842ECC">
        <w:rPr>
          <w:lang w:val="bg-BG" w:eastAsia="bg-BG"/>
        </w:rPr>
        <w:t xml:space="preserve"> за извършена оценка на проектно предложение</w:t>
      </w:r>
      <w:bookmarkEnd w:id="705"/>
      <w:bookmarkEnd w:id="706"/>
    </w:p>
    <w:p w14:paraId="57FC8247" w14:textId="77777777" w:rsidR="00597253" w:rsidRPr="001B0EA3" w:rsidRDefault="00597253" w:rsidP="006537EC">
      <w:pPr>
        <w:pStyle w:val="ListParagraph"/>
        <w:numPr>
          <w:ilvl w:val="0"/>
          <w:numId w:val="301"/>
        </w:numPr>
        <w:ind w:left="0" w:firstLine="851"/>
      </w:pPr>
      <w:r w:rsidRPr="001B0EA3">
        <w:t xml:space="preserve">Резултатите от извършената оценка в ИСУН 2020 от членовете на оценителната комисия се отразяват в оценителен доклад - </w:t>
      </w:r>
      <w:hyperlink r:id="rId144" w:tooltip="Доклад за извършена оценка на проектно предложение" w:history="1">
        <w:r w:rsidR="00AE381A" w:rsidRPr="00251D03">
          <w:rPr>
            <w:rStyle w:val="Hyperlink"/>
            <w:i/>
          </w:rPr>
          <w:t>Приложение № 3.07</w:t>
        </w:r>
      </w:hyperlink>
      <w:r w:rsidRPr="001B0EA3">
        <w:t xml:space="preserve"> съдържащ мотивирано заключение, направено по време на цялостната оценка по отношение на одобрението или отхвърлянето на проекта. </w:t>
      </w:r>
    </w:p>
    <w:p w14:paraId="0D1EBD41" w14:textId="77777777" w:rsidR="00597253" w:rsidRPr="001B0EA3" w:rsidRDefault="00597253" w:rsidP="006537EC">
      <w:pPr>
        <w:pStyle w:val="ListParagraph"/>
        <w:numPr>
          <w:ilvl w:val="0"/>
          <w:numId w:val="301"/>
        </w:numPr>
        <w:ind w:left="0" w:firstLine="851"/>
      </w:pPr>
      <w:r w:rsidRPr="001B0EA3">
        <w:t>Докладът на оценителната комисия трябва задължително да включва:</w:t>
      </w:r>
    </w:p>
    <w:p w14:paraId="6F4F29D2" w14:textId="77777777" w:rsidR="00597253" w:rsidRPr="001B0EA3" w:rsidRDefault="00597253" w:rsidP="006537EC">
      <w:pPr>
        <w:pStyle w:val="ListParagraph"/>
        <w:numPr>
          <w:ilvl w:val="0"/>
          <w:numId w:val="302"/>
        </w:numPr>
        <w:ind w:left="0" w:firstLine="1211"/>
        <w:rPr>
          <w:lang w:eastAsia="bg-BG"/>
        </w:rPr>
      </w:pPr>
      <w:r w:rsidRPr="001B0EA3">
        <w:rPr>
          <w:lang w:eastAsia="bg-BG"/>
        </w:rPr>
        <w:t>административни данни за проекта и конкретния бенефициент по ОПТТИ: идентификационни данни на конкретния бенефициент, наименование на проектното предложение, номер на проектното предложение;</w:t>
      </w:r>
    </w:p>
    <w:p w14:paraId="4B045ADE" w14:textId="77777777" w:rsidR="00597253" w:rsidRPr="001B0EA3" w:rsidRDefault="00597253" w:rsidP="006537EC">
      <w:pPr>
        <w:pStyle w:val="ListParagraph"/>
        <w:numPr>
          <w:ilvl w:val="0"/>
          <w:numId w:val="302"/>
        </w:numPr>
        <w:ind w:left="0" w:firstLine="1211"/>
        <w:rPr>
          <w:lang w:eastAsia="bg-BG"/>
        </w:rPr>
      </w:pPr>
      <w:r w:rsidRPr="001B0EA3">
        <w:rPr>
          <w:lang w:eastAsia="bg-BG"/>
        </w:rPr>
        <w:t>резултати от проверката по критериите за допустимост;</w:t>
      </w:r>
    </w:p>
    <w:p w14:paraId="011EE0FA" w14:textId="77777777" w:rsidR="00597253" w:rsidRPr="001B0EA3" w:rsidRDefault="00597253" w:rsidP="006537EC">
      <w:pPr>
        <w:pStyle w:val="ListParagraph"/>
        <w:numPr>
          <w:ilvl w:val="0"/>
          <w:numId w:val="302"/>
        </w:numPr>
        <w:ind w:left="0" w:firstLine="1211"/>
        <w:rPr>
          <w:lang w:eastAsia="bg-BG"/>
        </w:rPr>
      </w:pPr>
      <w:r w:rsidRPr="001B0EA3">
        <w:rPr>
          <w:lang w:eastAsia="bg-BG"/>
        </w:rPr>
        <w:t>финансови параметри на проекта: обща стойност, допустими и недопустими разходи, финансиране от други източници;</w:t>
      </w:r>
    </w:p>
    <w:p w14:paraId="18A980A2" w14:textId="77777777" w:rsidR="00597253" w:rsidRPr="001B0EA3" w:rsidRDefault="00597253" w:rsidP="006537EC">
      <w:pPr>
        <w:pStyle w:val="ListParagraph"/>
        <w:numPr>
          <w:ilvl w:val="0"/>
          <w:numId w:val="302"/>
        </w:numPr>
        <w:ind w:left="0" w:firstLine="1211"/>
        <w:rPr>
          <w:lang w:eastAsia="bg-BG"/>
        </w:rPr>
      </w:pPr>
      <w:r w:rsidRPr="001B0EA3">
        <w:rPr>
          <w:lang w:eastAsia="bg-BG"/>
        </w:rPr>
        <w:t>заключения по техническата  и финансова оценка на проекта</w:t>
      </w:r>
      <w:r w:rsidRPr="001B0EA3">
        <w:rPr>
          <w:vertAlign w:val="superscript"/>
          <w:lang w:eastAsia="bg-BG"/>
        </w:rPr>
        <w:footnoteReference w:id="60"/>
      </w:r>
      <w:r w:rsidRPr="001B0EA3">
        <w:rPr>
          <w:lang w:eastAsia="bg-BG"/>
        </w:rPr>
        <w:t>;</w:t>
      </w:r>
    </w:p>
    <w:p w14:paraId="39B887F7" w14:textId="77777777" w:rsidR="00597253" w:rsidRPr="001B0EA3" w:rsidRDefault="00597253" w:rsidP="006537EC">
      <w:pPr>
        <w:pStyle w:val="ListParagraph"/>
        <w:numPr>
          <w:ilvl w:val="0"/>
          <w:numId w:val="302"/>
        </w:numPr>
        <w:ind w:left="0" w:firstLine="1211"/>
        <w:rPr>
          <w:lang w:eastAsia="bg-BG"/>
        </w:rPr>
      </w:pPr>
      <w:r w:rsidRPr="001B0EA3">
        <w:rPr>
          <w:lang w:eastAsia="bg-BG"/>
        </w:rPr>
        <w:t>препоръка за одобрение на проекта или мотивирано обяснение за отхвърлянето на проектното предложение;</w:t>
      </w:r>
    </w:p>
    <w:p w14:paraId="7744EE26" w14:textId="77777777" w:rsidR="00597253" w:rsidRPr="001B0EA3" w:rsidRDefault="00597253" w:rsidP="006537EC">
      <w:pPr>
        <w:pStyle w:val="ListParagraph"/>
        <w:numPr>
          <w:ilvl w:val="0"/>
          <w:numId w:val="302"/>
        </w:numPr>
        <w:ind w:left="0" w:firstLine="1211"/>
        <w:rPr>
          <w:lang w:eastAsia="bg-BG"/>
        </w:rPr>
      </w:pPr>
      <w:r w:rsidRPr="001B0EA3">
        <w:rPr>
          <w:lang w:eastAsia="bg-BG"/>
        </w:rPr>
        <w:t>подписи на членовете на оценителната комисия. Когато член на комисията е против взетото решение, той подписва доклада с особено мнение и писмено излага мотивите си.</w:t>
      </w:r>
    </w:p>
    <w:p w14:paraId="2A71210A" w14:textId="77777777" w:rsidR="00597253" w:rsidRPr="001B0EA3" w:rsidRDefault="00597253" w:rsidP="006537EC">
      <w:pPr>
        <w:pStyle w:val="ListParagraph"/>
        <w:numPr>
          <w:ilvl w:val="0"/>
          <w:numId w:val="301"/>
        </w:numPr>
        <w:ind w:left="0" w:firstLine="851"/>
      </w:pPr>
      <w:r w:rsidRPr="001B0EA3">
        <w:t xml:space="preserve">Оценителната комисия може да препоръча одобрението на проектното предложение, когато ФК отговаря на всички критерии за административна оценка, оценка за допустимост, техническа и финансова оценка. </w:t>
      </w:r>
    </w:p>
    <w:p w14:paraId="510D5293" w14:textId="77777777" w:rsidR="00597253" w:rsidRPr="001B0EA3" w:rsidRDefault="00597253" w:rsidP="00CC313F">
      <w:pPr>
        <w:tabs>
          <w:tab w:val="num" w:pos="1134"/>
        </w:tabs>
        <w:spacing w:before="120" w:after="120"/>
        <w:ind w:firstLine="709"/>
        <w:rPr>
          <w:szCs w:val="24"/>
          <w:lang w:eastAsia="bg-BG"/>
        </w:rPr>
      </w:pPr>
      <w:r w:rsidRPr="001B0EA3">
        <w:rPr>
          <w:szCs w:val="24"/>
          <w:lang w:eastAsia="bg-BG"/>
        </w:rPr>
        <w:t>или</w:t>
      </w:r>
    </w:p>
    <w:p w14:paraId="0725B85C" w14:textId="77777777" w:rsidR="00597253" w:rsidRPr="001B0EA3" w:rsidRDefault="00597253" w:rsidP="006537EC">
      <w:pPr>
        <w:pStyle w:val="ListParagraph"/>
        <w:numPr>
          <w:ilvl w:val="0"/>
          <w:numId w:val="301"/>
        </w:numPr>
        <w:ind w:left="0" w:firstLine="851"/>
      </w:pPr>
      <w:r w:rsidRPr="001B0EA3">
        <w:t>Оценителната комисия може да препоръча одобрението на проекта под условие, когато ФК отговаря на всички критериите за административна оценка, оценка  за допустимост, техническа и финансова оценка, но е установила съществуването на условие, което възпрепятства вземането на решение за предоставяне на БФП при пълно съответствие с ФК. В този случай се посочва конкретно специалното/ите условие/я за предоставяне на БФП по проекта.</w:t>
      </w:r>
    </w:p>
    <w:p w14:paraId="4D1E4490" w14:textId="77777777" w:rsidR="00597253" w:rsidRPr="001B0EA3" w:rsidRDefault="00597253" w:rsidP="00CC313F">
      <w:pPr>
        <w:tabs>
          <w:tab w:val="num" w:pos="1134"/>
        </w:tabs>
        <w:spacing w:before="120" w:after="120"/>
        <w:ind w:firstLine="709"/>
        <w:rPr>
          <w:szCs w:val="24"/>
          <w:lang w:eastAsia="bg-BG"/>
        </w:rPr>
      </w:pPr>
      <w:r w:rsidRPr="001B0EA3">
        <w:rPr>
          <w:szCs w:val="24"/>
          <w:lang w:eastAsia="bg-BG"/>
        </w:rPr>
        <w:t>или</w:t>
      </w:r>
    </w:p>
    <w:p w14:paraId="1D39296C" w14:textId="77777777" w:rsidR="00597253" w:rsidRPr="001B0EA3" w:rsidRDefault="00597253" w:rsidP="006537EC">
      <w:pPr>
        <w:pStyle w:val="ListParagraph"/>
        <w:numPr>
          <w:ilvl w:val="0"/>
          <w:numId w:val="301"/>
        </w:numPr>
        <w:ind w:left="0" w:firstLine="851"/>
      </w:pPr>
      <w:r w:rsidRPr="001B0EA3">
        <w:t xml:space="preserve">Оценителната комисия може да отхвърли проекта, когато ФК не отговаря на един, няколко или на всички критерии за административна оценка, оценка  за допустимост, техническа и финансова оценка. В този случай се мотивирано се обосновава отхвърлянето на формуляра за кандидатстване. </w:t>
      </w:r>
    </w:p>
    <w:p w14:paraId="34F6D74C" w14:textId="77777777" w:rsidR="00597253" w:rsidRPr="001B0EA3" w:rsidRDefault="00597253" w:rsidP="006537EC">
      <w:pPr>
        <w:pStyle w:val="ListParagraph"/>
        <w:numPr>
          <w:ilvl w:val="0"/>
          <w:numId w:val="301"/>
        </w:numPr>
        <w:ind w:left="0" w:firstLine="851"/>
      </w:pPr>
      <w:r w:rsidRPr="001B0EA3">
        <w:t xml:space="preserve">В случаите на ревизиране на ФК по </w:t>
      </w:r>
      <w:r w:rsidRPr="006537EC">
        <w:rPr>
          <w:b/>
        </w:rPr>
        <w:t xml:space="preserve">точка </w:t>
      </w:r>
      <w:r w:rsidRPr="006537EC">
        <w:rPr>
          <w:b/>
        </w:rPr>
        <w:fldChar w:fldCharType="begin"/>
      </w:r>
      <w:r w:rsidRPr="006537EC">
        <w:rPr>
          <w:b/>
        </w:rPr>
        <w:instrText xml:space="preserve"> REF _Ref395626228 \r \h  \* MERGEFORMAT </w:instrText>
      </w:r>
      <w:r w:rsidRPr="006537EC">
        <w:rPr>
          <w:b/>
        </w:rPr>
      </w:r>
      <w:r w:rsidRPr="006537EC">
        <w:rPr>
          <w:b/>
        </w:rPr>
        <w:fldChar w:fldCharType="separate"/>
      </w:r>
      <w:r w:rsidR="00F22141">
        <w:rPr>
          <w:b/>
        </w:rPr>
        <w:t>18.11</w:t>
      </w:r>
      <w:r w:rsidRPr="006537EC">
        <w:rPr>
          <w:b/>
        </w:rPr>
        <w:fldChar w:fldCharType="end"/>
      </w:r>
      <w:r w:rsidRPr="001B0EA3">
        <w:t xml:space="preserve"> при оценка на инвестиционни/ инфраструктурни проекти срокът за извършване на оценката от оценителната комисия спира да тече до датата на отстраняване на непълноти и/или нередовности.  </w:t>
      </w:r>
    </w:p>
    <w:p w14:paraId="7CAE47E3" w14:textId="77777777" w:rsidR="00597253" w:rsidRPr="001B0EA3" w:rsidRDefault="00597253" w:rsidP="006537EC">
      <w:pPr>
        <w:pStyle w:val="ListParagraph"/>
        <w:numPr>
          <w:ilvl w:val="0"/>
          <w:numId w:val="301"/>
        </w:numPr>
        <w:ind w:left="0" w:firstLine="851"/>
      </w:pPr>
      <w:r w:rsidRPr="001B0EA3">
        <w:t>В случай, че срокът за приключване на работа на оценителната комисия, по решението на ръководителя на УО, е изтекъл оценителната комисия трябва да приключи своята работа до 5 (пет) работни дни от дата на представяне на последния ревизиран вариант на ФК.</w:t>
      </w:r>
    </w:p>
    <w:p w14:paraId="4508C208" w14:textId="77777777" w:rsidR="00597253" w:rsidRPr="001B0EA3" w:rsidRDefault="00597253" w:rsidP="006537EC">
      <w:pPr>
        <w:pStyle w:val="ListParagraph"/>
        <w:numPr>
          <w:ilvl w:val="0"/>
          <w:numId w:val="301"/>
        </w:numPr>
        <w:ind w:left="0" w:firstLine="851"/>
      </w:pPr>
      <w:r w:rsidRPr="001B0EA3">
        <w:lastRenderedPageBreak/>
        <w:t>Докладът на оценителната комисия се изготвя от членовете в срок три</w:t>
      </w:r>
      <w:r w:rsidR="00B55902" w:rsidRPr="001B0EA3">
        <w:t>/ един</w:t>
      </w:r>
      <w:r w:rsidRPr="001B0EA3">
        <w:t xml:space="preserve"> месец</w:t>
      </w:r>
      <w:r w:rsidR="00B55902" w:rsidRPr="001B0EA3">
        <w:t>/</w:t>
      </w:r>
      <w:r w:rsidRPr="001B0EA3">
        <w:t>а от датата на подаване на проектното предложение</w:t>
      </w:r>
      <w:r w:rsidR="00B55902" w:rsidRPr="001B0EA3">
        <w:t>/ бюджетна линия</w:t>
      </w:r>
      <w:r w:rsidRPr="001B0EA3">
        <w:t xml:space="preserve"> и се предоставя за подпис и одобрение от председателя на оценителната комисия, който го предава на началника на отдел „Програмиране”.</w:t>
      </w:r>
    </w:p>
    <w:p w14:paraId="7C087C67" w14:textId="77777777" w:rsidR="00597253" w:rsidRPr="006537EC" w:rsidRDefault="00597253" w:rsidP="006537EC">
      <w:pPr>
        <w:pStyle w:val="ListParagraph"/>
        <w:numPr>
          <w:ilvl w:val="0"/>
          <w:numId w:val="301"/>
        </w:numPr>
        <w:ind w:left="0" w:firstLine="851"/>
      </w:pPr>
      <w:r w:rsidRPr="001B0EA3">
        <w:t xml:space="preserve">След получаване на оценителния доклад началникът на отдел „Програмиране” извършва проверка на процедурата за оценка на ФК, като се запознава с оценения ФК, доклада с отразени резултати от оценителните таблици на оценителите, контролни листа и всички документи свързани с процеса на извършване на оценката му за извършване на проверка на процедурата и попълва Контролен лист - </w:t>
      </w:r>
      <w:hyperlink r:id="rId145" w:tooltip="Контролен лист за проверка на процедурата на извършена оценка на проектно предложение" w:history="1">
        <w:r w:rsidR="00AE381A" w:rsidRPr="00251D03">
          <w:rPr>
            <w:rStyle w:val="Hyperlink"/>
            <w:i/>
          </w:rPr>
          <w:t>Приложение № 3.09</w:t>
        </w:r>
      </w:hyperlink>
      <w:r w:rsidRPr="006537EC">
        <w:t xml:space="preserve"> </w:t>
      </w:r>
      <w:r w:rsidR="00005157">
        <w:t>в ИСУН 2020.</w:t>
      </w:r>
    </w:p>
    <w:p w14:paraId="6C9970E7" w14:textId="77777777" w:rsidR="00597253" w:rsidRDefault="00597253" w:rsidP="006537EC">
      <w:r w:rsidRPr="001B0EA3">
        <w:rPr>
          <w:i/>
        </w:rPr>
        <w:t>Срок за изпълнение:</w:t>
      </w:r>
      <w:r w:rsidRPr="001B0EA3">
        <w:t xml:space="preserve"> До 5 работни дни от представянето на документите</w:t>
      </w:r>
    </w:p>
    <w:p w14:paraId="558D46ED" w14:textId="77777777" w:rsidR="006537EC" w:rsidRPr="001B0EA3" w:rsidRDefault="006537EC" w:rsidP="006537EC">
      <w:pPr>
        <w:rPr>
          <w:b/>
        </w:rPr>
      </w:pPr>
    </w:p>
    <w:p w14:paraId="27E6D96D" w14:textId="77777777" w:rsidR="00597253" w:rsidRPr="001B0EA3" w:rsidRDefault="00597253" w:rsidP="006537EC">
      <w:pPr>
        <w:pStyle w:val="ListParagraph"/>
        <w:numPr>
          <w:ilvl w:val="0"/>
          <w:numId w:val="301"/>
        </w:numPr>
        <w:ind w:left="0" w:firstLine="851"/>
      </w:pPr>
      <w:r w:rsidRPr="001B0EA3">
        <w:t>В контролния лист се отчита получено ли е окончателното официално становище за завършеност на проекта от страна на JASPERS, в случаите когато проектът е включен в годишния план за действие JASPERS за годината в която се извършва оценката.</w:t>
      </w:r>
    </w:p>
    <w:p w14:paraId="5E2FF094" w14:textId="77777777" w:rsidR="00597253" w:rsidRPr="001B0EA3" w:rsidRDefault="00B55902" w:rsidP="006537EC">
      <w:pPr>
        <w:pStyle w:val="ListParagraph"/>
        <w:numPr>
          <w:ilvl w:val="0"/>
          <w:numId w:val="301"/>
        </w:numPr>
        <w:ind w:left="0" w:firstLine="851"/>
      </w:pPr>
      <w:r w:rsidRPr="001B0EA3">
        <w:t xml:space="preserve">При одобрението </w:t>
      </w:r>
      <w:r w:rsidR="00597253" w:rsidRPr="001B0EA3">
        <w:t>на доклада на оценителната комисия, всеки съгласуващ  може да постъпи по следния начин:</w:t>
      </w:r>
    </w:p>
    <w:p w14:paraId="702D50A1" w14:textId="77777777" w:rsidR="00597253" w:rsidRPr="001B0EA3" w:rsidRDefault="00597253" w:rsidP="006537EC">
      <w:pPr>
        <w:pStyle w:val="ListParagraph"/>
        <w:numPr>
          <w:ilvl w:val="0"/>
          <w:numId w:val="303"/>
        </w:numPr>
        <w:rPr>
          <w:lang w:eastAsia="bg-BG"/>
        </w:rPr>
      </w:pPr>
      <w:r w:rsidRPr="001B0EA3">
        <w:rPr>
          <w:lang w:eastAsia="bg-BG"/>
        </w:rPr>
        <w:t xml:space="preserve">да одобри доклада, като съгласува </w:t>
      </w:r>
      <w:r w:rsidR="00B55902" w:rsidRPr="001B0EA3">
        <w:rPr>
          <w:lang w:eastAsia="bg-BG"/>
        </w:rPr>
        <w:t xml:space="preserve">предложението на оценителната комисия  </w:t>
      </w:r>
      <w:r w:rsidRPr="001B0EA3">
        <w:rPr>
          <w:lang w:eastAsia="bg-BG"/>
        </w:rPr>
        <w:t>за предоставяне на БФП или</w:t>
      </w:r>
    </w:p>
    <w:p w14:paraId="157B1BCA" w14:textId="77777777" w:rsidR="00597253" w:rsidRPr="001B0EA3" w:rsidRDefault="00597253" w:rsidP="006537EC">
      <w:pPr>
        <w:pStyle w:val="ListParagraph"/>
        <w:numPr>
          <w:ilvl w:val="0"/>
          <w:numId w:val="303"/>
        </w:numPr>
        <w:rPr>
          <w:lang w:eastAsia="bg-BG"/>
        </w:rPr>
      </w:pPr>
      <w:r w:rsidRPr="001B0EA3">
        <w:rPr>
          <w:lang w:eastAsia="bg-BG"/>
        </w:rPr>
        <w:t>да върне обратно доклада, с указания за корекция и/или преразглеждане от страна на членовете на оценителната комисия като посочи основания за това.</w:t>
      </w:r>
    </w:p>
    <w:p w14:paraId="2EE5CC0E" w14:textId="77777777" w:rsidR="00597253" w:rsidRPr="001B0EA3" w:rsidRDefault="00597253" w:rsidP="006537EC">
      <w:pPr>
        <w:pStyle w:val="ListParagraph"/>
        <w:numPr>
          <w:ilvl w:val="0"/>
          <w:numId w:val="301"/>
        </w:numPr>
        <w:ind w:left="0" w:firstLine="851"/>
      </w:pPr>
      <w:r w:rsidRPr="001B0EA3">
        <w:t xml:space="preserve">Одобрението на доклада се извършва в срок до 5 работни дни за всеки съгласуващ и в следния порядък: </w:t>
      </w:r>
    </w:p>
    <w:p w14:paraId="40D20D5A" w14:textId="77777777" w:rsidR="00597253" w:rsidRPr="001B0EA3" w:rsidRDefault="00597253" w:rsidP="006537EC">
      <w:pPr>
        <w:pStyle w:val="ListParagraph"/>
        <w:numPr>
          <w:ilvl w:val="0"/>
          <w:numId w:val="304"/>
        </w:numPr>
        <w:rPr>
          <w:lang w:eastAsia="bg-BG"/>
        </w:rPr>
      </w:pPr>
      <w:r w:rsidRPr="001B0EA3">
        <w:rPr>
          <w:lang w:eastAsia="bg-BG"/>
        </w:rPr>
        <w:t>началника на отдел „Програмиране”, дирекция КПП;</w:t>
      </w:r>
    </w:p>
    <w:p w14:paraId="55570E7C" w14:textId="77777777" w:rsidR="00597253" w:rsidRPr="001B0EA3" w:rsidRDefault="00597253" w:rsidP="006537EC">
      <w:pPr>
        <w:pStyle w:val="ListParagraph"/>
        <w:numPr>
          <w:ilvl w:val="0"/>
          <w:numId w:val="304"/>
        </w:numPr>
        <w:rPr>
          <w:lang w:eastAsia="bg-BG"/>
        </w:rPr>
      </w:pPr>
      <w:r w:rsidRPr="001B0EA3">
        <w:rPr>
          <w:lang w:eastAsia="bg-BG"/>
        </w:rPr>
        <w:t>директора на дирекция КПП</w:t>
      </w:r>
      <w:r w:rsidR="00F70944" w:rsidRPr="001B0EA3">
        <w:rPr>
          <w:lang w:eastAsia="bg-BG"/>
        </w:rPr>
        <w:t xml:space="preserve"> (</w:t>
      </w:r>
      <w:r w:rsidR="00F70944" w:rsidRPr="006537EC">
        <w:rPr>
          <w:i/>
          <w:lang w:eastAsia="bg-BG"/>
        </w:rPr>
        <w:t>не е приложимо когато директорът е и ръководител на УО</w:t>
      </w:r>
      <w:r w:rsidR="00F70944" w:rsidRPr="001B0EA3">
        <w:rPr>
          <w:lang w:eastAsia="bg-BG"/>
        </w:rPr>
        <w:t>)</w:t>
      </w:r>
      <w:r w:rsidRPr="001B0EA3">
        <w:rPr>
          <w:lang w:eastAsia="bg-BG"/>
        </w:rPr>
        <w:t>;</w:t>
      </w:r>
    </w:p>
    <w:p w14:paraId="07D38E41" w14:textId="77777777" w:rsidR="00597253" w:rsidRPr="00E6695F" w:rsidRDefault="00597253" w:rsidP="00E6695F">
      <w:pPr>
        <w:pStyle w:val="ListParagraph"/>
        <w:numPr>
          <w:ilvl w:val="0"/>
          <w:numId w:val="301"/>
        </w:numPr>
        <w:ind w:left="0" w:firstLine="851"/>
      </w:pPr>
      <w:r w:rsidRPr="001B0EA3">
        <w:t>Оценителният доклад (</w:t>
      </w:r>
      <w:hyperlink r:id="rId146" w:tooltip="Доклад за извършена оценка на проектно предложение" w:history="1">
        <w:r w:rsidR="00AE381A" w:rsidRPr="00251D03">
          <w:rPr>
            <w:rStyle w:val="Hyperlink"/>
            <w:i/>
          </w:rPr>
          <w:t>Приложение № 3.07</w:t>
        </w:r>
      </w:hyperlink>
      <w:r w:rsidRPr="001B0EA3">
        <w:t>), с отразени резултати от оценителните таблици на оценителите</w:t>
      </w:r>
      <w:r w:rsidRPr="00E6695F">
        <w:t xml:space="preserve"> </w:t>
      </w:r>
      <w:r w:rsidR="00B55902" w:rsidRPr="00E6695F">
        <w:t xml:space="preserve">от ИСУН 2020 </w:t>
      </w:r>
      <w:r w:rsidRPr="00E6695F">
        <w:t>(</w:t>
      </w:r>
      <w:hyperlink r:id="rId147" w:tooltip="Оценителна таблица за извършена оценка на  проектни предложения за инвестиционни¦инфраструктурни проекти" w:history="1">
        <w:r w:rsidR="006D44A3" w:rsidRPr="00251D03">
          <w:rPr>
            <w:i/>
            <w:color w:val="0000FF"/>
            <w:szCs w:val="24"/>
            <w:u w:val="single"/>
            <w:lang w:eastAsia="bg-BG"/>
          </w:rPr>
          <w:t>Приложение № 3.06.1</w:t>
        </w:r>
      </w:hyperlink>
      <w:r w:rsidRPr="00E6695F">
        <w:rPr>
          <w:b/>
          <w:i/>
        </w:rPr>
        <w:t xml:space="preserve">/ </w:t>
      </w:r>
      <w:hyperlink r:id="rId148" w:tooltip="Оценителна таблица за извършена оценка на проектни предложения за техническа помощ" w:history="1">
        <w:r w:rsidR="006D44A3" w:rsidRPr="00251D03">
          <w:rPr>
            <w:i/>
            <w:color w:val="0000FF"/>
            <w:szCs w:val="24"/>
            <w:u w:val="single"/>
            <w:lang w:eastAsia="bg-BG"/>
          </w:rPr>
          <w:t>Приложение № 3.06.2</w:t>
        </w:r>
      </w:hyperlink>
      <w:r w:rsidRPr="00E6695F">
        <w:rPr>
          <w:b/>
          <w:i/>
        </w:rPr>
        <w:t xml:space="preserve">/ </w:t>
      </w:r>
      <w:hyperlink r:id="rId149" w:tooltip="Оценителна таблица за извършена оценка на бюджетна линия" w:history="1">
        <w:r w:rsidR="006D44A3" w:rsidRPr="00251D03">
          <w:rPr>
            <w:i/>
            <w:color w:val="0000FF"/>
            <w:szCs w:val="24"/>
            <w:u w:val="single"/>
            <w:lang w:eastAsia="bg-BG"/>
          </w:rPr>
          <w:t>Приложение № 3.06.3</w:t>
        </w:r>
      </w:hyperlink>
      <w:r w:rsidRPr="00E6695F">
        <w:t xml:space="preserve">), </w:t>
      </w:r>
      <w:r w:rsidRPr="001B0EA3">
        <w:t xml:space="preserve">включително контролни листа </w:t>
      </w:r>
      <w:r w:rsidR="00EB0F1C">
        <w:t xml:space="preserve">попълнени в ИСУН 2020 </w:t>
      </w:r>
      <w:r w:rsidRPr="001B0EA3">
        <w:t>(</w:t>
      </w:r>
      <w:hyperlink r:id="rId150" w:tooltip="Контролен лист за извършена проверка в ИСУН за липса на двойно финансиране" w:history="1">
        <w:r w:rsidR="00AE381A" w:rsidRPr="00251D03">
          <w:rPr>
            <w:rStyle w:val="Hyperlink"/>
            <w:i/>
          </w:rPr>
          <w:t>Приложение № 3.08</w:t>
        </w:r>
      </w:hyperlink>
      <w:r w:rsidRPr="00E6695F">
        <w:rPr>
          <w:b/>
          <w:i/>
        </w:rPr>
        <w:t xml:space="preserve">, </w:t>
      </w:r>
      <w:hyperlink r:id="rId151" w:tooltip="Контролен лист за предварителна оценка за  определяне наличието на държавна помощ - Тест за държавна помощ - изключения" w:history="1">
        <w:r w:rsidR="00AE381A" w:rsidRPr="00251D03">
          <w:rPr>
            <w:rStyle w:val="Hyperlink"/>
            <w:i/>
          </w:rPr>
          <w:t>Приложение № 2.02</w:t>
        </w:r>
      </w:hyperlink>
      <w:r w:rsidRPr="00E6695F">
        <w:rPr>
          <w:b/>
          <w:i/>
        </w:rPr>
        <w:t xml:space="preserve"> и </w:t>
      </w:r>
      <w:hyperlink r:id="rId152" w:tooltip="Контролен лист за предварителна оценка за определяне на приложим към мярката режим  на съвместима държавна помощ" w:history="1">
        <w:r w:rsidR="00AE381A" w:rsidRPr="00251D03">
          <w:rPr>
            <w:rStyle w:val="Hyperlink"/>
            <w:i/>
          </w:rPr>
          <w:t>Приложение № 2.03</w:t>
        </w:r>
      </w:hyperlink>
      <w:r w:rsidRPr="00E6695F">
        <w:rPr>
          <w:b/>
          <w:i/>
        </w:rPr>
        <w:t>, когато е приложимо</w:t>
      </w:r>
      <w:r w:rsidRPr="001B0EA3">
        <w:t xml:space="preserve">) и всички други документи, свързани с процеса на извършване на оценката му, включително попълнения контролен лист - </w:t>
      </w:r>
      <w:hyperlink r:id="rId153" w:tooltip="Контролен лист за проверка на процедурата на извършена оценка на проектно предложение" w:history="1">
        <w:r w:rsidR="00AE381A" w:rsidRPr="00251D03">
          <w:rPr>
            <w:rStyle w:val="Hyperlink"/>
            <w:i/>
          </w:rPr>
          <w:t>Приложение № 3.09</w:t>
        </w:r>
      </w:hyperlink>
      <w:r w:rsidRPr="00E6695F">
        <w:t xml:space="preserve"> </w:t>
      </w:r>
      <w:r w:rsidR="00B759CD">
        <w:t xml:space="preserve">и </w:t>
      </w:r>
      <w:r w:rsidRPr="001B0EA3">
        <w:t>съгласувани от директора на дирекция КПП</w:t>
      </w:r>
      <w:r w:rsidR="00B759CD">
        <w:t xml:space="preserve"> в ИСУН 2020</w:t>
      </w:r>
      <w:r w:rsidR="00B55902" w:rsidRPr="001B0EA3">
        <w:t xml:space="preserve"> (</w:t>
      </w:r>
      <w:r w:rsidR="00B55902" w:rsidRPr="00391998">
        <w:rPr>
          <w:i/>
        </w:rPr>
        <w:t>не е приложимо когато директорът е и ръководител на УО</w:t>
      </w:r>
      <w:r w:rsidR="00B55902" w:rsidRPr="001B0EA3">
        <w:t>)</w:t>
      </w:r>
      <w:r w:rsidRPr="001B0EA3">
        <w:t>, заедно с всички документи, изготвени от оценителната комисия</w:t>
      </w:r>
      <w:r w:rsidR="002A46F8">
        <w:t>, които не са налични в ИСУН 2020</w:t>
      </w:r>
      <w:r w:rsidRPr="001B0EA3">
        <w:t xml:space="preserve"> се представят на Ръководителя на УО на ОПТТИ за взимане на решение за одобрение на оценителния доклад и предоставяне/ отказ на БФП при спазване на процедурата по </w:t>
      </w:r>
      <w:r w:rsidRPr="00391998">
        <w:rPr>
          <w:b/>
        </w:rPr>
        <w:t xml:space="preserve">точка </w:t>
      </w:r>
      <w:r w:rsidRPr="00391998">
        <w:rPr>
          <w:b/>
        </w:rPr>
        <w:fldChar w:fldCharType="begin"/>
      </w:r>
      <w:r w:rsidRPr="00391998">
        <w:rPr>
          <w:b/>
        </w:rPr>
        <w:instrText xml:space="preserve"> REF _Ref413252927 \r \h  \* MERGEFORMAT </w:instrText>
      </w:r>
      <w:r w:rsidRPr="00391998">
        <w:rPr>
          <w:b/>
        </w:rPr>
      </w:r>
      <w:r w:rsidRPr="00391998">
        <w:rPr>
          <w:b/>
        </w:rPr>
        <w:fldChar w:fldCharType="separate"/>
      </w:r>
      <w:r w:rsidR="00F22141">
        <w:rPr>
          <w:b/>
        </w:rPr>
        <w:t>19</w:t>
      </w:r>
      <w:r w:rsidRPr="00391998">
        <w:rPr>
          <w:b/>
        </w:rPr>
        <w:fldChar w:fldCharType="end"/>
      </w:r>
      <w:r w:rsidRPr="00E6695F">
        <w:t>.</w:t>
      </w:r>
    </w:p>
    <w:p w14:paraId="5A0519F8" w14:textId="77777777" w:rsidR="00597253" w:rsidRPr="001B0EA3" w:rsidRDefault="00597253" w:rsidP="00391998">
      <w:pPr>
        <w:rPr>
          <w:lang w:eastAsia="bg-BG"/>
        </w:rPr>
      </w:pPr>
      <w:r w:rsidRPr="001B0EA3">
        <w:rPr>
          <w:i/>
          <w:lang w:eastAsia="bg-BG"/>
        </w:rPr>
        <w:t>Срок за изпълнение:</w:t>
      </w:r>
      <w:r w:rsidRPr="001B0EA3">
        <w:rPr>
          <w:lang w:eastAsia="bg-BG"/>
        </w:rPr>
        <w:t xml:space="preserve"> До 5 работни дни от представянето на документите</w:t>
      </w:r>
    </w:p>
    <w:p w14:paraId="10C22E71" w14:textId="77777777" w:rsidR="00592963" w:rsidRPr="00117E69" w:rsidRDefault="00592963" w:rsidP="00592963">
      <w:pPr>
        <w:pStyle w:val="ListParagraph"/>
        <w:numPr>
          <w:ilvl w:val="0"/>
          <w:numId w:val="301"/>
        </w:numPr>
        <w:ind w:left="0" w:firstLine="851"/>
      </w:pPr>
      <w:r w:rsidRPr="006134E3">
        <w:t xml:space="preserve">След одобрението на доклада на хартиен носител, председателят на оценителната комисия създава доклад в ИСУН 2020, като </w:t>
      </w:r>
      <w:r w:rsidRPr="00117E69">
        <w:rPr>
          <w:color w:val="000000" w:themeColor="text1"/>
        </w:rPr>
        <w:t xml:space="preserve">прикачва подписания на хартия доклад и в допълнение към него </w:t>
      </w:r>
      <w:r w:rsidRPr="00842ECC">
        <w:rPr>
          <w:color w:val="000000" w:themeColor="text1"/>
        </w:rPr>
        <w:t xml:space="preserve"> </w:t>
      </w:r>
      <w:r w:rsidRPr="00117E69">
        <w:rPr>
          <w:color w:val="000000" w:themeColor="text1"/>
        </w:rPr>
        <w:t>всички документи изготвени на хартиен носител, свързани с процеса на оценка и проверките направени в ИСУН 2020, които не са налични в ИСУН 2020.</w:t>
      </w:r>
    </w:p>
    <w:p w14:paraId="047C5562" w14:textId="77777777" w:rsidR="00592963" w:rsidRPr="006134E3" w:rsidRDefault="00592963" w:rsidP="00592963">
      <w:pPr>
        <w:ind w:firstLine="0"/>
      </w:pPr>
      <w:r w:rsidRPr="00117E69">
        <w:rPr>
          <w:color w:val="000000" w:themeColor="text1"/>
        </w:rPr>
        <w:t>Тоест</w:t>
      </w:r>
      <w:r w:rsidRPr="00842ECC">
        <w:rPr>
          <w:color w:val="000000" w:themeColor="text1"/>
        </w:rPr>
        <w:t xml:space="preserve"> </w:t>
      </w:r>
      <w:r>
        <w:rPr>
          <w:color w:val="000000" w:themeColor="text1"/>
        </w:rPr>
        <w:t xml:space="preserve">следва да бъдат прикачени, </w:t>
      </w:r>
      <w:hyperlink r:id="rId154" w:tooltip="Решение за Оценителна комисия" w:history="1">
        <w:r w:rsidRPr="006134E3">
          <w:rPr>
            <w:rStyle w:val="Hyperlink"/>
            <w:i/>
          </w:rPr>
          <w:t>Приложение № 3.02</w:t>
        </w:r>
      </w:hyperlink>
      <w:r w:rsidRPr="006134E3">
        <w:t xml:space="preserve"> - Решение за сформиране на оценителна комисия, Декларации </w:t>
      </w:r>
      <w:hyperlink r:id="rId155" w:tooltip="Декларация за липса на конфликт на интереси и поверителност" w:history="1">
        <w:r w:rsidRPr="006134E3">
          <w:rPr>
            <w:rStyle w:val="Hyperlink"/>
            <w:i/>
          </w:rPr>
          <w:t>Приложение № 3.03</w:t>
        </w:r>
      </w:hyperlink>
      <w:r w:rsidRPr="006134E3">
        <w:t xml:space="preserve"> за липса на конфликт на интереси на членовете на оценителната комисия, Декларации </w:t>
      </w:r>
      <w:hyperlink r:id="rId156" w:tooltip="Декларация за липса на конфликт на интереси и поверителност" w:history="1">
        <w:r w:rsidRPr="006134E3">
          <w:rPr>
            <w:rStyle w:val="Hyperlink"/>
            <w:i/>
          </w:rPr>
          <w:t>Приложение № 3.03</w:t>
        </w:r>
      </w:hyperlink>
      <w:r w:rsidRPr="006134E3">
        <w:t xml:space="preserve"> за липса на конфликт на интереси на началника на отдел „Програмиране“, директора на дирекция „Координация на програми и проекти“ и Ръководителя на УО на ОПТТИ (</w:t>
      </w:r>
      <w:r w:rsidRPr="006134E3">
        <w:rPr>
          <w:i/>
        </w:rPr>
        <w:t>не е приложимо когато директорът е и Ръководител на УО</w:t>
      </w:r>
      <w:r w:rsidRPr="006134E3">
        <w:t xml:space="preserve">), уведомление до бенефициента за одобряване/ отхвърляне на проектното предложение. </w:t>
      </w:r>
    </w:p>
    <w:p w14:paraId="30E44A26" w14:textId="77777777" w:rsidR="00597253" w:rsidRPr="001B0EA3" w:rsidRDefault="00B55902" w:rsidP="004D37E9">
      <w:pPr>
        <w:pStyle w:val="ListParagraph"/>
        <w:numPr>
          <w:ilvl w:val="0"/>
          <w:numId w:val="301"/>
        </w:numPr>
        <w:ind w:left="0" w:firstLine="851"/>
      </w:pPr>
      <w:r w:rsidRPr="004D37E9">
        <w:t xml:space="preserve">В случай, че проектното предложение е подадено „на хартия“ в секция „документи“ в ИСУН 2020 се прикачат и сканирани копия на писмата и декларациите, с които са подадени всички версии на проектното предложение. </w:t>
      </w:r>
    </w:p>
    <w:p w14:paraId="40FD5A76" w14:textId="77777777" w:rsidR="001659B1" w:rsidRDefault="001659B1" w:rsidP="004D37E9">
      <w:pPr>
        <w:rPr>
          <w:lang w:eastAsia="bg-BG"/>
        </w:rPr>
      </w:pPr>
      <w:r w:rsidRPr="001B0EA3">
        <w:rPr>
          <w:i/>
          <w:lang w:eastAsia="bg-BG"/>
        </w:rPr>
        <w:t>Срок за изпълнение:</w:t>
      </w:r>
      <w:r w:rsidRPr="001B0EA3">
        <w:rPr>
          <w:lang w:eastAsia="bg-BG"/>
        </w:rPr>
        <w:t xml:space="preserve"> До </w:t>
      </w:r>
      <w:r w:rsidR="00725071" w:rsidRPr="001B0EA3">
        <w:rPr>
          <w:lang w:eastAsia="bg-BG"/>
        </w:rPr>
        <w:t>3</w:t>
      </w:r>
      <w:r w:rsidRPr="001B0EA3">
        <w:rPr>
          <w:lang w:eastAsia="bg-BG"/>
        </w:rPr>
        <w:t xml:space="preserve"> работни дни от одобрението на доклада на хартиен носител</w:t>
      </w:r>
    </w:p>
    <w:p w14:paraId="528445B8" w14:textId="77777777" w:rsidR="004D37E9" w:rsidRPr="001B0EA3" w:rsidRDefault="004D37E9" w:rsidP="004D37E9">
      <w:pPr>
        <w:rPr>
          <w:lang w:eastAsia="bg-BG"/>
        </w:rPr>
      </w:pPr>
    </w:p>
    <w:p w14:paraId="3773906A" w14:textId="77777777" w:rsidR="00150B3C" w:rsidRPr="00117E69" w:rsidRDefault="00150B3C" w:rsidP="00150B3C">
      <w:pPr>
        <w:pStyle w:val="ListParagraph"/>
        <w:numPr>
          <w:ilvl w:val="0"/>
          <w:numId w:val="301"/>
        </w:numPr>
        <w:ind w:left="0" w:firstLine="851"/>
      </w:pPr>
      <w:r w:rsidRPr="005327FD">
        <w:lastRenderedPageBreak/>
        <w:t xml:space="preserve">За самоконтрол и извършване на проверка за изпълнението задължението по подт. 14) председателят на оценителната сесия, попълва контролен лист </w:t>
      </w:r>
      <w:hyperlink r:id="rId157" w:tooltip="Контролен лист за проверка на приложените документи в ИСУН 2020 относими към извършена оценка на проектно предложение" w:history="1">
        <w:r w:rsidRPr="005327FD">
          <w:rPr>
            <w:rStyle w:val="Hyperlink"/>
            <w:i/>
          </w:rPr>
          <w:t>Приложение № 3.14</w:t>
        </w:r>
      </w:hyperlink>
      <w:r w:rsidRPr="005327FD">
        <w:t>,</w:t>
      </w:r>
      <w:r w:rsidRPr="00117E69">
        <w:t xml:space="preserve"> в ИСУН 2020, след което</w:t>
      </w:r>
      <w:r w:rsidRPr="005327FD">
        <w:t xml:space="preserve"> началника на отдел „Програмиране“ </w:t>
      </w:r>
      <w:r w:rsidRPr="00117E69">
        <w:t xml:space="preserve">извършва втора </w:t>
      </w:r>
      <w:r w:rsidRPr="005327FD">
        <w:t>проверка</w:t>
      </w:r>
      <w:r w:rsidRPr="00117E69">
        <w:t xml:space="preserve"> в системата</w:t>
      </w:r>
      <w:r w:rsidRPr="005327FD">
        <w:t>. Към контролния лист се прилага справка (Screenshot) от модул „Оценителни сесии“, подмодул „Преглед“,  секция „Документи“ на ИСУН 2020</w:t>
      </w:r>
      <w:r w:rsidRPr="00117E69">
        <w:t xml:space="preserve"> за документите на хартия и</w:t>
      </w:r>
    </w:p>
    <w:p w14:paraId="677813EA" w14:textId="77777777" w:rsidR="00150B3C" w:rsidRPr="00117E69" w:rsidRDefault="00150B3C" w:rsidP="00150B3C">
      <w:pPr>
        <w:ind w:firstLine="0"/>
      </w:pPr>
      <w:r w:rsidRPr="00117E69">
        <w:t>справка (Screenshot) от модул „Процедури“, секция „Документи“, поле контролни листа за документите/ контро</w:t>
      </w:r>
      <w:r w:rsidR="00937F3D">
        <w:t>лните листа, които се попълват</w:t>
      </w:r>
      <w:r w:rsidRPr="00117E69">
        <w:t xml:space="preserve"> директно в системата ИСУН.</w:t>
      </w:r>
    </w:p>
    <w:p w14:paraId="04A0D6F2" w14:textId="77777777" w:rsidR="00150B3C" w:rsidRPr="00117E69" w:rsidRDefault="00150B3C" w:rsidP="00150B3C">
      <w:pPr>
        <w:pStyle w:val="ListParagraph"/>
        <w:ind w:left="851" w:firstLine="0"/>
      </w:pPr>
    </w:p>
    <w:p w14:paraId="2962BAB6" w14:textId="77777777" w:rsidR="00E039CE" w:rsidRPr="008850E0" w:rsidRDefault="008850E0" w:rsidP="001E404B">
      <w:pPr>
        <w:pStyle w:val="ListParagraph"/>
        <w:numPr>
          <w:ilvl w:val="0"/>
          <w:numId w:val="301"/>
        </w:numPr>
        <w:ind w:left="0" w:firstLine="851"/>
      </w:pPr>
      <w:r w:rsidRPr="004D37E9">
        <w:t>При оценка на „голям проект“ след издаване на Решение на ЕК за одобрение на проектно предложение е необходимо служител от отдел „Програмиране“, чрез модул „Коренспонденция“ на ИСУН 2020 да изпрати копие на решението до бенефициента.</w:t>
      </w:r>
    </w:p>
    <w:p w14:paraId="4BA1A5D1" w14:textId="77777777" w:rsidR="008850E0" w:rsidRPr="001B0EA3" w:rsidRDefault="008850E0" w:rsidP="00046D61">
      <w:pPr>
        <w:pStyle w:val="ListParagraph"/>
        <w:ind w:left="0"/>
        <w:rPr>
          <w:szCs w:val="24"/>
          <w:lang w:eastAsia="bg-BG"/>
        </w:rPr>
      </w:pPr>
    </w:p>
    <w:p w14:paraId="13632AA1" w14:textId="77777777" w:rsidR="00D603F5" w:rsidRPr="00A110A4" w:rsidRDefault="00D603F5" w:rsidP="00F058E0">
      <w:pPr>
        <w:pStyle w:val="Style1"/>
      </w:pPr>
      <w:bookmarkStart w:id="707" w:name="_Toc431992216"/>
      <w:bookmarkStart w:id="708" w:name="_Ref413252927"/>
      <w:bookmarkStart w:id="709" w:name="_Toc479775673"/>
      <w:bookmarkStart w:id="710" w:name="_Toc140150226"/>
      <w:bookmarkEnd w:id="650"/>
      <w:bookmarkEnd w:id="651"/>
      <w:bookmarkEnd w:id="652"/>
      <w:bookmarkEnd w:id="707"/>
      <w:r w:rsidRPr="00A110A4">
        <w:t>ПРЕДОСТАВЯНЕ НА БЕЗВЪЗМЕЗДНА ФИНАНСОВА ПОМОЩ</w:t>
      </w:r>
      <w:bookmarkEnd w:id="708"/>
      <w:bookmarkEnd w:id="709"/>
      <w:bookmarkEnd w:id="710"/>
    </w:p>
    <w:p w14:paraId="5E6724F3" w14:textId="77777777" w:rsidR="00D603F5" w:rsidRPr="001B0EA3" w:rsidRDefault="00FA37B8" w:rsidP="00EA528B">
      <w:pPr>
        <w:rPr>
          <w:b/>
        </w:rPr>
      </w:pPr>
      <w:r w:rsidRPr="001B0EA3">
        <w:t xml:space="preserve">В </w:t>
      </w:r>
      <w:r w:rsidR="00351654" w:rsidRPr="001B0EA3">
        <w:t xml:space="preserve">случай </w:t>
      </w:r>
      <w:r w:rsidRPr="001B0EA3">
        <w:t xml:space="preserve">на </w:t>
      </w:r>
      <w:r w:rsidR="00351654" w:rsidRPr="001B0EA3">
        <w:t xml:space="preserve">„голям </w:t>
      </w:r>
      <w:r w:rsidRPr="001B0EA3">
        <w:t>проект</w:t>
      </w:r>
      <w:r w:rsidR="00351654" w:rsidRPr="001B0EA3">
        <w:t>“</w:t>
      </w:r>
      <w:r w:rsidR="00B010D1" w:rsidRPr="001B0EA3">
        <w:t xml:space="preserve"> преди </w:t>
      </w:r>
      <w:r w:rsidR="00351654" w:rsidRPr="001B0EA3">
        <w:t xml:space="preserve">издаване </w:t>
      </w:r>
      <w:r w:rsidR="00B010D1" w:rsidRPr="001B0EA3">
        <w:t>на Решение на Ръководителя на УО на ОПТТИ за одобрение/ отхвърляне на проектно предложение</w:t>
      </w:r>
      <w:r w:rsidRPr="001B0EA3">
        <w:t xml:space="preserve"> </w:t>
      </w:r>
      <w:r w:rsidR="00351654" w:rsidRPr="001B0EA3">
        <w:t xml:space="preserve">е необходимо да се изпрати нотификация </w:t>
      </w:r>
      <w:r w:rsidR="00BB2AD4" w:rsidRPr="001B0EA3">
        <w:t xml:space="preserve">за „голям проект“ </w:t>
      </w:r>
      <w:r w:rsidR="00351654" w:rsidRPr="001B0EA3">
        <w:t>до ЕК</w:t>
      </w:r>
      <w:r w:rsidR="00BB2AD4" w:rsidRPr="001B0EA3">
        <w:t xml:space="preserve">, съгласно процедурата по </w:t>
      </w:r>
      <w:r w:rsidR="00BB2AD4" w:rsidRPr="001B0EA3">
        <w:rPr>
          <w:b/>
        </w:rPr>
        <w:t>точка</w:t>
      </w:r>
      <w:r w:rsidR="00BB2AD4" w:rsidRPr="001B0EA3">
        <w:t xml:space="preserve"> </w:t>
      </w:r>
      <w:r w:rsidR="00BB2AD4" w:rsidRPr="001B0EA3">
        <w:rPr>
          <w:b/>
        </w:rPr>
        <w:fldChar w:fldCharType="begin"/>
      </w:r>
      <w:r w:rsidR="00BB2AD4" w:rsidRPr="001B0EA3">
        <w:rPr>
          <w:b/>
        </w:rPr>
        <w:instrText xml:space="preserve"> REF _Ref413252562 \r \h  \* MERGEFORMAT </w:instrText>
      </w:r>
      <w:r w:rsidR="00BB2AD4" w:rsidRPr="001B0EA3">
        <w:rPr>
          <w:b/>
        </w:rPr>
      </w:r>
      <w:r w:rsidR="00BB2AD4" w:rsidRPr="001B0EA3">
        <w:rPr>
          <w:b/>
        </w:rPr>
        <w:fldChar w:fldCharType="separate"/>
      </w:r>
      <w:r w:rsidR="00F22141">
        <w:rPr>
          <w:b/>
        </w:rPr>
        <w:t>19.1</w:t>
      </w:r>
      <w:r w:rsidR="00BB2AD4" w:rsidRPr="001B0EA3">
        <w:rPr>
          <w:b/>
        </w:rPr>
        <w:fldChar w:fldCharType="end"/>
      </w:r>
      <w:r w:rsidR="00BB2AD4" w:rsidRPr="001B0EA3">
        <w:t xml:space="preserve"> (при извършен независим преглед на качеството от независими експерти) или изпращане на ФК за „голям проект“ за одобрение от Европейската комисия (при осигурена информация по чл. 101</w:t>
      </w:r>
      <w:r w:rsidR="00FF2D67" w:rsidRPr="001B0EA3">
        <w:t>, ал. 1 от Регламент (ЕС) № 1303/2013 г. от УО на ОПТТИ</w:t>
      </w:r>
      <w:r w:rsidR="00BB2AD4" w:rsidRPr="001B0EA3">
        <w:t>)</w:t>
      </w:r>
      <w:r w:rsidR="00FF2D67" w:rsidRPr="001B0EA3">
        <w:t xml:space="preserve">, съгласно процедурата по </w:t>
      </w:r>
      <w:r w:rsidR="00FF2D67" w:rsidRPr="001B0EA3">
        <w:rPr>
          <w:b/>
        </w:rPr>
        <w:t xml:space="preserve">точка </w:t>
      </w:r>
      <w:r w:rsidR="00FF2D67" w:rsidRPr="001B0EA3">
        <w:rPr>
          <w:b/>
        </w:rPr>
        <w:fldChar w:fldCharType="begin"/>
      </w:r>
      <w:r w:rsidR="00FF2D67" w:rsidRPr="001B0EA3">
        <w:rPr>
          <w:b/>
        </w:rPr>
        <w:instrText xml:space="preserve"> REF _Ref413252749 \r \h </w:instrText>
      </w:r>
      <w:r w:rsidR="00F81757" w:rsidRPr="001B0EA3">
        <w:rPr>
          <w:b/>
        </w:rPr>
        <w:instrText xml:space="preserve"> \* MERGEFORMAT </w:instrText>
      </w:r>
      <w:r w:rsidR="00FF2D67" w:rsidRPr="001B0EA3">
        <w:rPr>
          <w:b/>
        </w:rPr>
      </w:r>
      <w:r w:rsidR="00FF2D67" w:rsidRPr="001B0EA3">
        <w:rPr>
          <w:b/>
        </w:rPr>
        <w:fldChar w:fldCharType="separate"/>
      </w:r>
      <w:r w:rsidR="00F22141">
        <w:rPr>
          <w:b/>
        </w:rPr>
        <w:t>19.2</w:t>
      </w:r>
      <w:r w:rsidR="00FF2D67" w:rsidRPr="001B0EA3">
        <w:rPr>
          <w:b/>
        </w:rPr>
        <w:fldChar w:fldCharType="end"/>
      </w:r>
      <w:r w:rsidR="00FF2D67" w:rsidRPr="001B0EA3">
        <w:rPr>
          <w:b/>
        </w:rPr>
        <w:t xml:space="preserve">. </w:t>
      </w:r>
    </w:p>
    <w:p w14:paraId="36015C8A" w14:textId="77777777" w:rsidR="00D603F5" w:rsidRPr="00842ECC" w:rsidRDefault="00D603F5" w:rsidP="00B502C7">
      <w:pPr>
        <w:pStyle w:val="Style2"/>
        <w:rPr>
          <w:lang w:val="bg-BG" w:eastAsia="bg-BG"/>
        </w:rPr>
      </w:pPr>
      <w:bookmarkStart w:id="711" w:name="_Ref413252562"/>
      <w:bookmarkStart w:id="712" w:name="_Toc479775674"/>
      <w:bookmarkStart w:id="713" w:name="_Toc140150227"/>
      <w:r w:rsidRPr="00842ECC">
        <w:rPr>
          <w:lang w:val="bg-BG" w:eastAsia="bg-BG"/>
        </w:rPr>
        <w:t>Изпращане на нотификация за „голям проект“ до Европейската комисия, след независим преглед на качеството от независими експерти</w:t>
      </w:r>
      <w:bookmarkEnd w:id="711"/>
      <w:bookmarkEnd w:id="712"/>
      <w:bookmarkEnd w:id="713"/>
    </w:p>
    <w:p w14:paraId="6D47E0F0" w14:textId="77777777" w:rsidR="00D603F5" w:rsidRPr="001B0EA3" w:rsidRDefault="00D603F5" w:rsidP="00EA528B">
      <w:pPr>
        <w:pStyle w:val="ListParagraph"/>
        <w:numPr>
          <w:ilvl w:val="0"/>
          <w:numId w:val="305"/>
        </w:numPr>
        <w:ind w:left="0" w:firstLine="851"/>
      </w:pPr>
      <w:bookmarkStart w:id="714" w:name="_Ref406241618"/>
      <w:r w:rsidRPr="001B0EA3">
        <w:t xml:space="preserve">Управляващият орган нотифицира Комисията за избрания „голям проект“. Тази нотификация съдържа следните елементи: </w:t>
      </w:r>
    </w:p>
    <w:p w14:paraId="798D49F9" w14:textId="77777777" w:rsidR="00D603F5" w:rsidRPr="001B0EA3" w:rsidRDefault="00D603F5" w:rsidP="00EA528B">
      <w:pPr>
        <w:pStyle w:val="ListParagraph"/>
        <w:numPr>
          <w:ilvl w:val="0"/>
          <w:numId w:val="306"/>
        </w:numPr>
        <w:tabs>
          <w:tab w:val="left" w:pos="1560"/>
        </w:tabs>
        <w:ind w:left="0" w:firstLine="1211"/>
      </w:pPr>
      <w:r w:rsidRPr="001B0EA3">
        <w:t xml:space="preserve">документа, посочен в член 125, параграф 3, буква в) от Регламент (ЕС) № 1303/2013 г., в който се посочват: </w:t>
      </w:r>
    </w:p>
    <w:p w14:paraId="3C5BE026" w14:textId="77777777" w:rsidR="00D603F5" w:rsidRPr="001B0EA3" w:rsidRDefault="00D603F5" w:rsidP="00EA528B">
      <w:pPr>
        <w:pStyle w:val="ListParagraph"/>
        <w:numPr>
          <w:ilvl w:val="0"/>
          <w:numId w:val="307"/>
        </w:numPr>
        <w:ind w:left="2268"/>
      </w:pPr>
      <w:r w:rsidRPr="001B0EA3">
        <w:t xml:space="preserve">организацията, която ще отговаря за изпълнението на големия проект; </w:t>
      </w:r>
    </w:p>
    <w:p w14:paraId="2BB2F40A" w14:textId="77777777" w:rsidR="00D603F5" w:rsidRPr="001B0EA3" w:rsidRDefault="00D603F5" w:rsidP="00EA528B">
      <w:pPr>
        <w:pStyle w:val="ListParagraph"/>
        <w:numPr>
          <w:ilvl w:val="0"/>
          <w:numId w:val="307"/>
        </w:numPr>
        <w:ind w:left="2268"/>
      </w:pPr>
      <w:r w:rsidRPr="001B0EA3">
        <w:t xml:space="preserve">описание на инвестицията, местоположението, графика и очаквания принос на големия проект за специфичните цели на съответната приоритетна ос или оси; </w:t>
      </w:r>
    </w:p>
    <w:p w14:paraId="0B48DC22" w14:textId="77777777" w:rsidR="00D603F5" w:rsidRPr="001B0EA3" w:rsidRDefault="00D603F5" w:rsidP="00EA528B">
      <w:pPr>
        <w:pStyle w:val="ListParagraph"/>
        <w:numPr>
          <w:ilvl w:val="0"/>
          <w:numId w:val="307"/>
        </w:numPr>
        <w:ind w:left="2268"/>
      </w:pPr>
      <w:r w:rsidRPr="001B0EA3">
        <w:t xml:space="preserve">общият размер на разходите и общия размер на допустимите разходи, като се вземат предвид изискванията, определени в член 61 от Регламент (ЕС) № 1303/2013 г., </w:t>
      </w:r>
    </w:p>
    <w:p w14:paraId="0531B62F" w14:textId="77777777" w:rsidR="00D603F5" w:rsidRPr="001B0EA3" w:rsidRDefault="00D603F5" w:rsidP="00EA528B">
      <w:pPr>
        <w:pStyle w:val="ListParagraph"/>
        <w:numPr>
          <w:ilvl w:val="0"/>
          <w:numId w:val="307"/>
        </w:numPr>
        <w:ind w:left="2268"/>
      </w:pPr>
      <w:r w:rsidRPr="001B0EA3">
        <w:t xml:space="preserve">планът за финансиране, както и физическите и финансовите показатели за мониторинг на напредъка, като се отчитат установените рискове; </w:t>
      </w:r>
    </w:p>
    <w:p w14:paraId="5F26D488" w14:textId="77777777" w:rsidR="00D603F5" w:rsidRPr="001B0EA3" w:rsidRDefault="00D603F5" w:rsidP="00EA528B">
      <w:pPr>
        <w:pStyle w:val="ListParagraph"/>
        <w:numPr>
          <w:ilvl w:val="0"/>
          <w:numId w:val="306"/>
        </w:numPr>
        <w:tabs>
          <w:tab w:val="left" w:pos="1560"/>
        </w:tabs>
        <w:ind w:left="0" w:firstLine="1211"/>
      </w:pPr>
      <w:r w:rsidRPr="001B0EA3">
        <w:t xml:space="preserve">прегледа на качеството от независимите експерти, предоставящ ясни становища относно осъществимостта на инвестицията и икономическата жизнеспособност на големия проект. </w:t>
      </w:r>
    </w:p>
    <w:p w14:paraId="6FB44CBB" w14:textId="77777777" w:rsidR="00D603F5" w:rsidRPr="001B0EA3" w:rsidRDefault="00D603F5" w:rsidP="00EA528B">
      <w:pPr>
        <w:pStyle w:val="ListParagraph"/>
        <w:numPr>
          <w:ilvl w:val="0"/>
          <w:numId w:val="305"/>
        </w:numPr>
        <w:ind w:left="0" w:firstLine="851"/>
      </w:pPr>
      <w:r w:rsidRPr="001B0EA3">
        <w:t>Нотификацията се изготвя в съответствие с формата установен в Приложение № І „Формат за нотификация на избран голям проект“ към Регламент 1011/2014 г.</w:t>
      </w:r>
    </w:p>
    <w:p w14:paraId="72F08E47" w14:textId="77777777" w:rsidR="00D603F5" w:rsidRPr="001B0EA3" w:rsidRDefault="00D603F5" w:rsidP="00EA528B">
      <w:pPr>
        <w:pStyle w:val="ListParagraph"/>
        <w:numPr>
          <w:ilvl w:val="0"/>
          <w:numId w:val="305"/>
        </w:numPr>
        <w:ind w:left="0" w:firstLine="851"/>
      </w:pPr>
      <w:r w:rsidRPr="001B0EA3">
        <w:t xml:space="preserve">Финансовият принос за големия проект, избран от държавата-членка, се счита за </w:t>
      </w:r>
      <w:r w:rsidRPr="00EA528B">
        <w:rPr>
          <w:b/>
          <w:u w:val="single"/>
        </w:rPr>
        <w:t>одобрен</w:t>
      </w:r>
      <w:r w:rsidRPr="001B0EA3">
        <w:t xml:space="preserve"> от Комисията при липсата на решение чрез акт за изпълнение за отказване на финансовия принос, в срок от три месеца от датата на нотификацията, посочена в първа алинея на член 102 от Приложение № І към Регламент (ЕС) № 1303/2013 г.</w:t>
      </w:r>
    </w:p>
    <w:p w14:paraId="118F2CD0" w14:textId="77777777" w:rsidR="00D603F5" w:rsidRPr="001B0EA3" w:rsidRDefault="00D603F5" w:rsidP="00EA528B">
      <w:pPr>
        <w:pStyle w:val="ListParagraph"/>
        <w:numPr>
          <w:ilvl w:val="0"/>
          <w:numId w:val="305"/>
        </w:numPr>
        <w:ind w:left="0" w:firstLine="851"/>
      </w:pPr>
      <w:r w:rsidRPr="001B0EA3">
        <w:t xml:space="preserve">Комисията </w:t>
      </w:r>
      <w:r w:rsidRPr="00EA528B">
        <w:rPr>
          <w:b/>
          <w:u w:val="single"/>
        </w:rPr>
        <w:t>отказва</w:t>
      </w:r>
      <w:r w:rsidRPr="001B0EA3">
        <w:t xml:space="preserve"> предоставянето на финансовия принос </w:t>
      </w:r>
      <w:r w:rsidRPr="00EA528B">
        <w:rPr>
          <w:b/>
          <w:u w:val="single"/>
        </w:rPr>
        <w:t>само</w:t>
      </w:r>
      <w:r w:rsidRPr="001B0EA3">
        <w:t xml:space="preserve"> на основание на </w:t>
      </w:r>
      <w:r w:rsidRPr="00EA528B">
        <w:rPr>
          <w:b/>
          <w:u w:val="single"/>
        </w:rPr>
        <w:t>установена съществена слабост</w:t>
      </w:r>
      <w:r w:rsidRPr="001B0EA3">
        <w:t xml:space="preserve"> на проекта по време на независимия преглед на качеството. </w:t>
      </w:r>
    </w:p>
    <w:p w14:paraId="3CB6D425" w14:textId="77777777" w:rsidR="00D603F5" w:rsidRPr="00842ECC" w:rsidRDefault="00D603F5" w:rsidP="00B502C7">
      <w:pPr>
        <w:pStyle w:val="Style2"/>
        <w:rPr>
          <w:lang w:val="bg-BG" w:eastAsia="bg-BG"/>
        </w:rPr>
      </w:pPr>
      <w:bookmarkStart w:id="715" w:name="_Ref413252749"/>
      <w:bookmarkStart w:id="716" w:name="_Toc479775675"/>
      <w:bookmarkStart w:id="717" w:name="_Toc140150228"/>
      <w:r w:rsidRPr="00842ECC">
        <w:rPr>
          <w:lang w:val="bg-BG" w:eastAsia="bg-BG"/>
        </w:rPr>
        <w:t>Изпращане на ФК за „голям проект“ за одобрение от Европейската комисия</w:t>
      </w:r>
      <w:bookmarkEnd w:id="714"/>
      <w:bookmarkEnd w:id="715"/>
      <w:bookmarkEnd w:id="716"/>
      <w:bookmarkEnd w:id="717"/>
    </w:p>
    <w:p w14:paraId="4CF56C34" w14:textId="77777777" w:rsidR="00D603F5" w:rsidRPr="001B0EA3" w:rsidRDefault="00D603F5" w:rsidP="008D4CF7">
      <w:pPr>
        <w:rPr>
          <w:b/>
        </w:rPr>
      </w:pPr>
      <w:r w:rsidRPr="001B0EA3">
        <w:lastRenderedPageBreak/>
        <w:t xml:space="preserve">Процедурата се изпълнява в случаи, когато не е използвана възможността за независим преглед на качеството по </w:t>
      </w:r>
      <w:r w:rsidRPr="001B0EA3">
        <w:rPr>
          <w:b/>
        </w:rPr>
        <w:t xml:space="preserve">точка </w:t>
      </w:r>
      <w:r w:rsidRPr="001B0EA3">
        <w:rPr>
          <w:b/>
        </w:rPr>
        <w:fldChar w:fldCharType="begin"/>
      </w:r>
      <w:r w:rsidRPr="001B0EA3">
        <w:rPr>
          <w:b/>
        </w:rPr>
        <w:instrText xml:space="preserve"> REF _Ref406347435 \r \h  \* MERGEFORMAT </w:instrText>
      </w:r>
      <w:r w:rsidRPr="001B0EA3">
        <w:rPr>
          <w:b/>
        </w:rPr>
      </w:r>
      <w:r w:rsidRPr="001B0EA3">
        <w:rPr>
          <w:b/>
        </w:rPr>
        <w:fldChar w:fldCharType="separate"/>
      </w:r>
      <w:r w:rsidR="00F22141">
        <w:rPr>
          <w:b/>
        </w:rPr>
        <w:t>18.8.1</w:t>
      </w:r>
      <w:r w:rsidRPr="001B0EA3">
        <w:rPr>
          <w:b/>
        </w:rPr>
        <w:fldChar w:fldCharType="end"/>
      </w:r>
      <w:r w:rsidRPr="001B0EA3">
        <w:rPr>
          <w:b/>
        </w:rPr>
        <w:t xml:space="preserve">. </w:t>
      </w:r>
    </w:p>
    <w:p w14:paraId="7E44DBC8" w14:textId="77777777" w:rsidR="00D603F5" w:rsidRPr="001B0EA3" w:rsidRDefault="00D603F5" w:rsidP="007A6D76">
      <w:pPr>
        <w:pStyle w:val="ListParagraph"/>
        <w:numPr>
          <w:ilvl w:val="0"/>
          <w:numId w:val="285"/>
        </w:numPr>
        <w:ind w:left="0" w:firstLine="851"/>
      </w:pPr>
      <w:r w:rsidRPr="001B0EA3">
        <w:t>При тези обстоятелства,</w:t>
      </w:r>
      <w:r w:rsidR="008711BA" w:rsidRPr="001B0EA3">
        <w:t xml:space="preserve"> </w:t>
      </w:r>
      <w:r w:rsidRPr="001B0EA3">
        <w:t xml:space="preserve">чрез системата SFC 2014, УО на ОПТТИ изпраща на ЕК за </w:t>
      </w:r>
      <w:r w:rsidRPr="007A6D76">
        <w:rPr>
          <w:b/>
          <w:u w:val="single"/>
        </w:rPr>
        <w:t>оценка</w:t>
      </w:r>
      <w:r w:rsidRPr="001B0EA3">
        <w:t xml:space="preserve"> големия проект. </w:t>
      </w:r>
    </w:p>
    <w:p w14:paraId="32B08024" w14:textId="77777777" w:rsidR="00D603F5" w:rsidRDefault="00D603F5" w:rsidP="007A6D76">
      <w:pPr>
        <w:pStyle w:val="ListParagraph"/>
        <w:numPr>
          <w:ilvl w:val="0"/>
          <w:numId w:val="285"/>
        </w:numPr>
        <w:ind w:left="0" w:firstLine="851"/>
      </w:pPr>
      <w:r w:rsidRPr="001B0EA3">
        <w:t>Комисията го оценява въз основа на информацията, посочена в член 101</w:t>
      </w:r>
      <w:r w:rsidR="00AB3CFD" w:rsidRPr="001B0EA3">
        <w:t xml:space="preserve"> от Регламент (ЕС) № 1303/2013 г.</w:t>
      </w:r>
      <w:r w:rsidRPr="001B0EA3">
        <w:t xml:space="preserve">, с цел да определи дали е основателен исканият финансов принос за големия проект, избран от управляващия орган в съответствие с член 125, параграф 3 от Регламент (ЕС) № 1303/2013 г. </w:t>
      </w:r>
    </w:p>
    <w:p w14:paraId="3830C1EA" w14:textId="77777777" w:rsidR="00830D19" w:rsidRPr="001B0EA3" w:rsidRDefault="00830D19" w:rsidP="00830D19"/>
    <w:p w14:paraId="418C09DF" w14:textId="77777777" w:rsidR="00D603F5" w:rsidRPr="001B0EA3" w:rsidRDefault="00AB3CFD" w:rsidP="00830D19">
      <w:bookmarkStart w:id="718" w:name="_Ref406241547"/>
      <w:r w:rsidRPr="001B0EA3">
        <w:t>УО на ОПТТИ, чрез оценителната комисия за оценка на проекта осигурява следната информация, посочена в член 101 от Регламент (ЕС) № 1303/2013 г.</w:t>
      </w:r>
      <w:r w:rsidR="00D603F5" w:rsidRPr="001B0EA3">
        <w:t>:</w:t>
      </w:r>
      <w:bookmarkEnd w:id="718"/>
    </w:p>
    <w:p w14:paraId="34637E03" w14:textId="77777777" w:rsidR="00D603F5" w:rsidRPr="001B0EA3" w:rsidRDefault="00D603F5" w:rsidP="009640A7">
      <w:pPr>
        <w:pStyle w:val="ListParagraph"/>
        <w:numPr>
          <w:ilvl w:val="0"/>
          <w:numId w:val="308"/>
        </w:numPr>
        <w:tabs>
          <w:tab w:val="left" w:pos="1701"/>
        </w:tabs>
        <w:ind w:left="0" w:firstLine="1211"/>
        <w:rPr>
          <w:lang w:eastAsia="bg-BG"/>
        </w:rPr>
      </w:pPr>
      <w:r w:rsidRPr="001B0EA3">
        <w:rPr>
          <w:lang w:eastAsia="bg-BG"/>
        </w:rPr>
        <w:t xml:space="preserve"> данни относно организацията, която ще отговаря за изпълнението на големия проект, и за нейния капацитет;</w:t>
      </w:r>
    </w:p>
    <w:p w14:paraId="67E6164C" w14:textId="77777777" w:rsidR="00D603F5" w:rsidRPr="001B0EA3" w:rsidRDefault="00D603F5" w:rsidP="009640A7">
      <w:pPr>
        <w:pStyle w:val="ListParagraph"/>
        <w:numPr>
          <w:ilvl w:val="0"/>
          <w:numId w:val="308"/>
        </w:numPr>
        <w:tabs>
          <w:tab w:val="left" w:pos="1701"/>
        </w:tabs>
        <w:ind w:left="0" w:firstLine="1211"/>
        <w:rPr>
          <w:lang w:eastAsia="bg-BG"/>
        </w:rPr>
      </w:pPr>
      <w:r w:rsidRPr="001B0EA3">
        <w:rPr>
          <w:lang w:eastAsia="bg-BG"/>
        </w:rPr>
        <w:t xml:space="preserve"> описание на инвестицията и нейното местоположение;</w:t>
      </w:r>
    </w:p>
    <w:p w14:paraId="00F26051" w14:textId="77777777" w:rsidR="00D603F5" w:rsidRPr="001B0EA3" w:rsidRDefault="00D603F5" w:rsidP="009640A7">
      <w:pPr>
        <w:pStyle w:val="ListParagraph"/>
        <w:numPr>
          <w:ilvl w:val="0"/>
          <w:numId w:val="308"/>
        </w:numPr>
        <w:tabs>
          <w:tab w:val="left" w:pos="1701"/>
        </w:tabs>
        <w:ind w:left="0" w:firstLine="1211"/>
        <w:rPr>
          <w:lang w:eastAsia="bg-BG"/>
        </w:rPr>
      </w:pPr>
      <w:r w:rsidRPr="001B0EA3">
        <w:rPr>
          <w:lang w:eastAsia="bg-BG"/>
        </w:rPr>
        <w:t xml:space="preserve"> общият размер на разходите и общият размер на допустимите разходи, като се вземат предвид изискванията, определени в член 61 от Регламент (ЕС) № 1303/2013 г.;</w:t>
      </w:r>
    </w:p>
    <w:p w14:paraId="6D65BCD2" w14:textId="77777777" w:rsidR="00D603F5" w:rsidRPr="001B0EA3" w:rsidRDefault="00D603F5" w:rsidP="009640A7">
      <w:pPr>
        <w:pStyle w:val="ListParagraph"/>
        <w:numPr>
          <w:ilvl w:val="0"/>
          <w:numId w:val="308"/>
        </w:numPr>
        <w:tabs>
          <w:tab w:val="left" w:pos="1701"/>
        </w:tabs>
        <w:ind w:left="0" w:firstLine="1211"/>
        <w:rPr>
          <w:lang w:eastAsia="bg-BG"/>
        </w:rPr>
      </w:pPr>
      <w:r w:rsidRPr="001B0EA3">
        <w:rPr>
          <w:lang w:eastAsia="bg-BG"/>
        </w:rPr>
        <w:t xml:space="preserve"> извършените проучвания за осъществимост, включително и анализ на вариантите, както и резултатите; </w:t>
      </w:r>
    </w:p>
    <w:p w14:paraId="7309A35F" w14:textId="77777777" w:rsidR="00D603F5" w:rsidRPr="001B0EA3" w:rsidRDefault="00D603F5" w:rsidP="009640A7">
      <w:pPr>
        <w:pStyle w:val="ListParagraph"/>
        <w:numPr>
          <w:ilvl w:val="0"/>
          <w:numId w:val="308"/>
        </w:numPr>
        <w:tabs>
          <w:tab w:val="left" w:pos="1701"/>
        </w:tabs>
        <w:ind w:left="0" w:firstLine="1211"/>
        <w:rPr>
          <w:lang w:eastAsia="bg-BG"/>
        </w:rPr>
      </w:pPr>
      <w:r w:rsidRPr="001B0EA3">
        <w:rPr>
          <w:lang w:eastAsia="bg-BG"/>
        </w:rPr>
        <w:t xml:space="preserve"> анализ на разходите и ползите, включително икономически и финансов анализ и оценка на риска;</w:t>
      </w:r>
    </w:p>
    <w:p w14:paraId="53CD6C38" w14:textId="77777777" w:rsidR="00D603F5" w:rsidRPr="001B0EA3" w:rsidRDefault="00D603F5" w:rsidP="009640A7">
      <w:pPr>
        <w:pStyle w:val="ListParagraph"/>
        <w:numPr>
          <w:ilvl w:val="0"/>
          <w:numId w:val="308"/>
        </w:numPr>
        <w:tabs>
          <w:tab w:val="left" w:pos="1701"/>
        </w:tabs>
        <w:ind w:left="0" w:firstLine="1211"/>
        <w:rPr>
          <w:lang w:eastAsia="bg-BG"/>
        </w:rPr>
      </w:pPr>
      <w:r w:rsidRPr="001B0EA3">
        <w:rPr>
          <w:lang w:eastAsia="bg-BG"/>
        </w:rPr>
        <w:t xml:space="preserve"> анализ на въздействието върху околната среда, като се вземат предвид нуждите във връзка с приспособяването към изменението на климата и смекчаване на последиците от него и устойчивостта на бедствия;</w:t>
      </w:r>
    </w:p>
    <w:p w14:paraId="0ABD922A" w14:textId="77777777" w:rsidR="00D603F5" w:rsidRPr="001B0EA3" w:rsidRDefault="00D603F5" w:rsidP="009640A7">
      <w:pPr>
        <w:pStyle w:val="ListParagraph"/>
        <w:numPr>
          <w:ilvl w:val="0"/>
          <w:numId w:val="308"/>
        </w:numPr>
        <w:tabs>
          <w:tab w:val="left" w:pos="1701"/>
        </w:tabs>
        <w:ind w:left="0" w:firstLine="1211"/>
        <w:rPr>
          <w:lang w:eastAsia="bg-BG"/>
        </w:rPr>
      </w:pPr>
      <w:r w:rsidRPr="001B0EA3">
        <w:rPr>
          <w:lang w:eastAsia="bg-BG"/>
        </w:rPr>
        <w:t>обяснение за начина, по който големият проект се съгласува със съответните приоритетни оси на оперативната програма или оперативните програми и неговият очакван принос за постигане на специфичните цели на тези приоритетни оси, и очакваният принос за социално–икономическото развитие;</w:t>
      </w:r>
    </w:p>
    <w:p w14:paraId="259D055D" w14:textId="77777777" w:rsidR="00D603F5" w:rsidRPr="001B0EA3" w:rsidRDefault="00D603F5" w:rsidP="009640A7">
      <w:pPr>
        <w:pStyle w:val="ListParagraph"/>
        <w:numPr>
          <w:ilvl w:val="0"/>
          <w:numId w:val="308"/>
        </w:numPr>
        <w:tabs>
          <w:tab w:val="left" w:pos="1701"/>
        </w:tabs>
        <w:ind w:left="0" w:firstLine="1211"/>
        <w:rPr>
          <w:lang w:eastAsia="bg-BG"/>
        </w:rPr>
      </w:pPr>
      <w:r w:rsidRPr="001B0EA3">
        <w:rPr>
          <w:lang w:eastAsia="bg-BG"/>
        </w:rPr>
        <w:t xml:space="preserve"> плана за финансиране, който показва общия размер на планираните финансови средства и планираната подкрепа от фондовете, ЕИБ и всички други източници на финансиране, както и физическите и финансови показатели за мониторинг на напредъка, като се отчитат установените рискове;</w:t>
      </w:r>
    </w:p>
    <w:p w14:paraId="13E38BCB" w14:textId="77777777" w:rsidR="00D603F5" w:rsidRPr="001B0EA3" w:rsidRDefault="00D603F5" w:rsidP="009640A7">
      <w:pPr>
        <w:pStyle w:val="ListParagraph"/>
        <w:numPr>
          <w:ilvl w:val="0"/>
          <w:numId w:val="308"/>
        </w:numPr>
        <w:tabs>
          <w:tab w:val="left" w:pos="1701"/>
        </w:tabs>
        <w:ind w:left="0" w:firstLine="1211"/>
        <w:rPr>
          <w:lang w:eastAsia="bg-BG"/>
        </w:rPr>
      </w:pPr>
      <w:r w:rsidRPr="001B0EA3">
        <w:rPr>
          <w:lang w:eastAsia="bg-BG"/>
        </w:rPr>
        <w:t>графика за изпълнение на големия проект и, когато се очаква периодът на изпълнение да е по-дълъг от програмния период, на фазите, за които се иска подкрепа от фондовете през програмния период 2014 г.—2020 г.</w:t>
      </w:r>
    </w:p>
    <w:p w14:paraId="1B769768" w14:textId="77777777" w:rsidR="00D603F5" w:rsidRPr="007A6D76" w:rsidRDefault="00D603F5" w:rsidP="007A6D76">
      <w:pPr>
        <w:pStyle w:val="ListParagraph"/>
        <w:numPr>
          <w:ilvl w:val="0"/>
          <w:numId w:val="285"/>
        </w:numPr>
        <w:ind w:left="0" w:firstLine="851"/>
      </w:pPr>
      <w:r w:rsidRPr="001B0EA3">
        <w:t xml:space="preserve">След приключване на процедурата по </w:t>
      </w:r>
      <w:r w:rsidRPr="007A6D76">
        <w:rPr>
          <w:b/>
        </w:rPr>
        <w:t xml:space="preserve">точка </w:t>
      </w:r>
      <w:r w:rsidRPr="007A6D76">
        <w:rPr>
          <w:b/>
        </w:rPr>
        <w:fldChar w:fldCharType="begin"/>
      </w:r>
      <w:r w:rsidRPr="007A6D76">
        <w:rPr>
          <w:b/>
        </w:rPr>
        <w:instrText xml:space="preserve"> REF _Ref406349202 \r \h  \* MERGEFORMAT </w:instrText>
      </w:r>
      <w:r w:rsidRPr="007A6D76">
        <w:rPr>
          <w:b/>
        </w:rPr>
      </w:r>
      <w:r w:rsidRPr="007A6D76">
        <w:rPr>
          <w:b/>
        </w:rPr>
        <w:fldChar w:fldCharType="separate"/>
      </w:r>
      <w:r w:rsidR="00F22141">
        <w:rPr>
          <w:b/>
        </w:rPr>
        <w:t>19.3</w:t>
      </w:r>
      <w:r w:rsidRPr="007A6D76">
        <w:rPr>
          <w:b/>
        </w:rPr>
        <w:fldChar w:fldCharType="end"/>
      </w:r>
      <w:r w:rsidRPr="001B0EA3">
        <w:t xml:space="preserve"> за одобрение на доклада на оценителната комисия, отговорен служител от отдел „Програмиране“ с права в системата SFC 2014 процедира за окончателна оценка от ЕК одобреният от УО на ОПТТИ формуляр за кандидатстване, окомплектован съгласно чл. 101 и чл. 102, параграф 1 на Регламент (ЕС) № 1303/2013 г.;  </w:t>
      </w:r>
    </w:p>
    <w:p w14:paraId="2F9B2E26" w14:textId="77777777" w:rsidR="00D603F5" w:rsidRDefault="00D603F5" w:rsidP="00830D19">
      <w:r w:rsidRPr="001B0EA3">
        <w:rPr>
          <w:i/>
        </w:rPr>
        <w:t>Срок за изпълнение:</w:t>
      </w:r>
      <w:r w:rsidRPr="001B0EA3">
        <w:t xml:space="preserve"> в срок до 15 работни дни от дата на одобрение на доклада;</w:t>
      </w:r>
    </w:p>
    <w:p w14:paraId="6F463893" w14:textId="77777777" w:rsidR="00830D19" w:rsidRPr="001B0EA3" w:rsidRDefault="00830D19" w:rsidP="00830D19"/>
    <w:p w14:paraId="73F55842" w14:textId="77777777" w:rsidR="00D603F5" w:rsidRPr="001B0EA3" w:rsidRDefault="00D603F5" w:rsidP="007A6D76">
      <w:pPr>
        <w:pStyle w:val="ListParagraph"/>
        <w:numPr>
          <w:ilvl w:val="0"/>
          <w:numId w:val="285"/>
        </w:numPr>
        <w:ind w:left="0" w:firstLine="851"/>
      </w:pPr>
      <w:r w:rsidRPr="001B0EA3">
        <w:t>В срок до 30 работни дни от дата на одобрение на доклада на оценителната комисия, одобрения ФК, окомплектован съгласно чл. 101 на Регламент (ЕС) № 1303/2013 г. се процедира към ЕК, чрез системата SFC 2014 от отговорен служител от отдел „Програмиране“, притежаващ съответните права.</w:t>
      </w:r>
    </w:p>
    <w:p w14:paraId="2647DBBB" w14:textId="77777777" w:rsidR="00D603F5" w:rsidRPr="001B0EA3" w:rsidRDefault="00D603F5" w:rsidP="007A6D76">
      <w:pPr>
        <w:pStyle w:val="ListParagraph"/>
        <w:numPr>
          <w:ilvl w:val="0"/>
          <w:numId w:val="285"/>
        </w:numPr>
        <w:ind w:left="0" w:firstLine="851"/>
      </w:pPr>
      <w:r w:rsidRPr="001B0EA3">
        <w:t xml:space="preserve">Оценителният процес приключва с получаване на решението на ЕК. </w:t>
      </w:r>
    </w:p>
    <w:p w14:paraId="2DC5633C" w14:textId="77777777" w:rsidR="00D603F5" w:rsidRPr="001B0EA3" w:rsidRDefault="00D603F5" w:rsidP="007A6D76">
      <w:pPr>
        <w:pStyle w:val="ListParagraph"/>
        <w:numPr>
          <w:ilvl w:val="0"/>
          <w:numId w:val="285"/>
        </w:numPr>
        <w:ind w:left="0" w:firstLine="851"/>
      </w:pPr>
      <w:r w:rsidRPr="001B0EA3">
        <w:t>Окончателното решение за предоставяне на БФП за „голям проект“ се базира на предложението за одобрение/отхвърляне на оценителната комисия, становището за завършеност на проекта от страна на JASPERS, в случаите когато проекта е включен в годишният план за действие на JASPERS и решението на ЕК за одобряване на финансов принос за проекта.</w:t>
      </w:r>
    </w:p>
    <w:p w14:paraId="087CC785" w14:textId="77777777" w:rsidR="00597253" w:rsidRPr="001B0EA3" w:rsidRDefault="00597253" w:rsidP="007A6D76">
      <w:pPr>
        <w:pStyle w:val="ListParagraph"/>
        <w:numPr>
          <w:ilvl w:val="0"/>
          <w:numId w:val="285"/>
        </w:numPr>
        <w:ind w:left="0" w:firstLine="851"/>
      </w:pPr>
      <w:r w:rsidRPr="001B0EA3">
        <w:lastRenderedPageBreak/>
        <w:t xml:space="preserve">Ако в резултат от проведените процедури по </w:t>
      </w:r>
      <w:r w:rsidRPr="007A6D76">
        <w:rPr>
          <w:b/>
        </w:rPr>
        <w:t xml:space="preserve">точка </w:t>
      </w:r>
      <w:r w:rsidRPr="007A6D76">
        <w:rPr>
          <w:b/>
        </w:rPr>
        <w:fldChar w:fldCharType="begin"/>
      </w:r>
      <w:r w:rsidRPr="007A6D76">
        <w:rPr>
          <w:b/>
        </w:rPr>
        <w:instrText xml:space="preserve"> REF _Ref413253121 \r \h  \* MERGEFORMAT </w:instrText>
      </w:r>
      <w:r w:rsidRPr="007A6D76">
        <w:rPr>
          <w:b/>
        </w:rPr>
      </w:r>
      <w:r w:rsidRPr="007A6D76">
        <w:rPr>
          <w:b/>
        </w:rPr>
        <w:fldChar w:fldCharType="separate"/>
      </w:r>
      <w:r w:rsidR="00F22141">
        <w:rPr>
          <w:b/>
        </w:rPr>
        <w:t>18.8.2</w:t>
      </w:r>
      <w:r w:rsidRPr="007A6D76">
        <w:rPr>
          <w:b/>
        </w:rPr>
        <w:fldChar w:fldCharType="end"/>
      </w:r>
      <w:r w:rsidRPr="001B0EA3">
        <w:t xml:space="preserve"> за оценка, </w:t>
      </w:r>
      <w:r w:rsidRPr="007A6D76">
        <w:rPr>
          <w:b/>
        </w:rPr>
        <w:t>ФК е одобрен</w:t>
      </w:r>
      <w:r w:rsidRPr="001B0EA3">
        <w:t>, получено е положително становище за завършеност на проекта от страна на JASPERS и ЕК е одобрила финансов принос за проекта Ръководителя на УО на ОПТТИ подписва договор за предоставяне на БФП. Договор за БФП за „голям проект“ може да се подпише и преди одобрението на проекта от ЕК на основание Решение на Министерския съвет, в което се посочва източникът на финансиране на проекта в случай на отрицателно решение на ЕК.</w:t>
      </w:r>
    </w:p>
    <w:p w14:paraId="35FF012C" w14:textId="77777777" w:rsidR="00597253" w:rsidRPr="001B0EA3" w:rsidRDefault="00597253" w:rsidP="007A6D76">
      <w:pPr>
        <w:pStyle w:val="ListParagraph"/>
        <w:numPr>
          <w:ilvl w:val="0"/>
          <w:numId w:val="285"/>
        </w:numPr>
        <w:ind w:left="0" w:firstLine="851"/>
      </w:pPr>
      <w:r w:rsidRPr="001B0EA3">
        <w:t>В срок до 10 работни дни от одобрението на  големия проект от  ЕК, УО на ОПТТИ информира за това бенефициента.</w:t>
      </w:r>
    </w:p>
    <w:p w14:paraId="12DCD63F" w14:textId="77777777" w:rsidR="00D603F5" w:rsidRPr="001B0EA3" w:rsidRDefault="00D603F5" w:rsidP="00830D19">
      <w:pPr>
        <w:pStyle w:val="ListParagraph"/>
        <w:numPr>
          <w:ilvl w:val="0"/>
          <w:numId w:val="285"/>
        </w:numPr>
        <w:ind w:left="0" w:firstLine="851"/>
      </w:pPr>
      <w:r w:rsidRPr="001B0EA3">
        <w:t xml:space="preserve">Ако в резултат от проведените процедури по </w:t>
      </w:r>
      <w:r w:rsidR="00FF2D67" w:rsidRPr="00830D19">
        <w:rPr>
          <w:b/>
        </w:rPr>
        <w:t xml:space="preserve">точка </w:t>
      </w:r>
      <w:r w:rsidR="00FF2D67" w:rsidRPr="00830D19">
        <w:rPr>
          <w:b/>
        </w:rPr>
        <w:fldChar w:fldCharType="begin"/>
      </w:r>
      <w:r w:rsidR="00FF2D67" w:rsidRPr="00830D19">
        <w:rPr>
          <w:b/>
        </w:rPr>
        <w:instrText xml:space="preserve"> REF _Ref413253121 \r \h </w:instrText>
      </w:r>
      <w:r w:rsidR="00F81757" w:rsidRPr="00830D19">
        <w:rPr>
          <w:b/>
        </w:rPr>
        <w:instrText xml:space="preserve"> \* MERGEFORMAT </w:instrText>
      </w:r>
      <w:r w:rsidR="00FF2D67" w:rsidRPr="00830D19">
        <w:rPr>
          <w:b/>
        </w:rPr>
      </w:r>
      <w:r w:rsidR="00FF2D67" w:rsidRPr="00830D19">
        <w:rPr>
          <w:b/>
        </w:rPr>
        <w:fldChar w:fldCharType="separate"/>
      </w:r>
      <w:r w:rsidR="00F22141">
        <w:rPr>
          <w:b/>
        </w:rPr>
        <w:t>18.8.2</w:t>
      </w:r>
      <w:r w:rsidR="00FF2D67" w:rsidRPr="00830D19">
        <w:rPr>
          <w:b/>
        </w:rPr>
        <w:fldChar w:fldCharType="end"/>
      </w:r>
      <w:r w:rsidRPr="001B0EA3">
        <w:t xml:space="preserve"> за оценка,</w:t>
      </w:r>
      <w:r w:rsidR="00C31E83" w:rsidRPr="001B0EA3">
        <w:t xml:space="preserve"> </w:t>
      </w:r>
      <w:r w:rsidRPr="00830D19">
        <w:rPr>
          <w:b/>
        </w:rPr>
        <w:t>ФК не е одобрен</w:t>
      </w:r>
      <w:r w:rsidRPr="001B0EA3">
        <w:t xml:space="preserve"> или е получено </w:t>
      </w:r>
      <w:r w:rsidRPr="00830D19">
        <w:rPr>
          <w:b/>
        </w:rPr>
        <w:t>отрицателно</w:t>
      </w:r>
      <w:r w:rsidRPr="001B0EA3">
        <w:t xml:space="preserve"> становище за завършеност на проекта от страна на JASPERS или Комисията </w:t>
      </w:r>
      <w:r w:rsidRPr="00830D19">
        <w:t>не е</w:t>
      </w:r>
      <w:r w:rsidRPr="001B0EA3">
        <w:t xml:space="preserve"> одобрила финансов принос за проекта, УО информира бенефициента в срок до 15 работни дни от настъпване на събитието. В този случай бенефициента се информира и се изпращат пояснения за необходимостта от подобрение на проектното предложение.</w:t>
      </w:r>
    </w:p>
    <w:p w14:paraId="3D13D985" w14:textId="77777777" w:rsidR="00D603F5" w:rsidRPr="001B0EA3" w:rsidRDefault="00D603F5" w:rsidP="007A6D76">
      <w:pPr>
        <w:pStyle w:val="ListParagraph"/>
        <w:numPr>
          <w:ilvl w:val="0"/>
          <w:numId w:val="285"/>
        </w:numPr>
        <w:ind w:left="0" w:firstLine="851"/>
      </w:pPr>
      <w:r w:rsidRPr="001B0EA3">
        <w:t xml:space="preserve">Комисията приема чрез акт за </w:t>
      </w:r>
      <w:r w:rsidRPr="007A6D76">
        <w:t xml:space="preserve">изпълнение </w:t>
      </w:r>
      <w:r w:rsidRPr="007A6D76">
        <w:rPr>
          <w:b/>
          <w:u w:val="single"/>
        </w:rPr>
        <w:t>решение за одобряване на финансовия принос</w:t>
      </w:r>
      <w:r w:rsidRPr="001B0EA3">
        <w:t xml:space="preserve"> за избрания „голям проект“  не по-късно от три месеца след датата на подаване на информацията, посочена в член 101</w:t>
      </w:r>
      <w:r w:rsidR="00FA0B06" w:rsidRPr="001B0EA3">
        <w:t xml:space="preserve"> на Регламент (ЕС) № 1303/2013 г.</w:t>
      </w:r>
      <w:r w:rsidRPr="001B0EA3">
        <w:t xml:space="preserve">. </w:t>
      </w:r>
    </w:p>
    <w:p w14:paraId="3D8CAAB8" w14:textId="77777777" w:rsidR="00D603F5" w:rsidRPr="001B0EA3" w:rsidRDefault="00D603F5" w:rsidP="00830D19">
      <w:pPr>
        <w:pStyle w:val="ListParagraph"/>
        <w:numPr>
          <w:ilvl w:val="0"/>
          <w:numId w:val="285"/>
        </w:numPr>
        <w:ind w:left="0" w:firstLine="851"/>
      </w:pPr>
      <w:r w:rsidRPr="001B0EA3">
        <w:t xml:space="preserve">Когато Комисията не одобри финансовия принос за избрания „голям проект“, в решението си тя излага мотивите за своя отказ. </w:t>
      </w:r>
    </w:p>
    <w:p w14:paraId="587E21CB" w14:textId="77777777" w:rsidR="00D603F5" w:rsidRPr="00842ECC" w:rsidRDefault="00FD5B09" w:rsidP="00B502C7">
      <w:pPr>
        <w:pStyle w:val="Style2"/>
        <w:rPr>
          <w:lang w:val="bg-BG"/>
        </w:rPr>
      </w:pPr>
      <w:bookmarkStart w:id="719" w:name="_Ref406349202"/>
      <w:bookmarkStart w:id="720" w:name="_Toc479775676"/>
      <w:bookmarkStart w:id="721" w:name="_Toc140150229"/>
      <w:bookmarkStart w:id="722" w:name="_Ref395540708"/>
      <w:r w:rsidRPr="00842ECC">
        <w:rPr>
          <w:lang w:val="bg-BG" w:eastAsia="bg-BG"/>
        </w:rPr>
        <w:t xml:space="preserve">Вземане </w:t>
      </w:r>
      <w:r w:rsidR="00D603F5" w:rsidRPr="00842ECC">
        <w:rPr>
          <w:lang w:val="bg-BG" w:eastAsia="bg-BG"/>
        </w:rPr>
        <w:t>на Решение на Ръководителя на УО на ОПТТИ за о</w:t>
      </w:r>
      <w:r w:rsidR="00D603F5" w:rsidRPr="00842ECC">
        <w:rPr>
          <w:lang w:val="bg-BG"/>
        </w:rPr>
        <w:t>добрение/ отхвърляне на проектно предложение</w:t>
      </w:r>
      <w:bookmarkEnd w:id="719"/>
      <w:bookmarkEnd w:id="720"/>
      <w:bookmarkEnd w:id="721"/>
    </w:p>
    <w:p w14:paraId="79E3577D" w14:textId="77777777" w:rsidR="00237A8E" w:rsidRPr="001B0EA3" w:rsidRDefault="00237A8E" w:rsidP="00237A8E">
      <w:pPr>
        <w:pStyle w:val="ListParagraph"/>
        <w:numPr>
          <w:ilvl w:val="0"/>
          <w:numId w:val="291"/>
        </w:numPr>
        <w:ind w:left="0" w:firstLine="851"/>
      </w:pPr>
      <w:bookmarkStart w:id="723" w:name="_Ref395523728"/>
      <w:r w:rsidRPr="001B0EA3">
        <w:t>Оригинал</w:t>
      </w:r>
      <w:r>
        <w:t>а</w:t>
      </w:r>
      <w:r w:rsidRPr="001B0EA3">
        <w:t xml:space="preserve"> на формулярът за кандидатстване</w:t>
      </w:r>
      <w:r>
        <w:t xml:space="preserve"> </w:t>
      </w:r>
      <w:r w:rsidRPr="00B7119B">
        <w:t xml:space="preserve">се представят на Ръководителят на УО на ОПТТИ заедно с докладът на оценителната комисия </w:t>
      </w:r>
      <w:r w:rsidRPr="00B7119B">
        <w:rPr>
          <w:b/>
          <w:i/>
        </w:rPr>
        <w:t>(</w:t>
      </w:r>
      <w:hyperlink r:id="rId158" w:tooltip="Доклад за извършена оценка на проектно предложение" w:history="1">
        <w:r w:rsidRPr="00B7119B">
          <w:rPr>
            <w:rStyle w:val="Hyperlink"/>
            <w:i/>
          </w:rPr>
          <w:t>Приложение № 3.07</w:t>
        </w:r>
      </w:hyperlink>
      <w:r w:rsidRPr="00B7119B">
        <w:rPr>
          <w:b/>
          <w:i/>
        </w:rPr>
        <w:t>)</w:t>
      </w:r>
      <w:r w:rsidRPr="00B7119B">
        <w:t>.</w:t>
      </w:r>
      <w:r>
        <w:t>Останалите документи:</w:t>
      </w:r>
      <w:r w:rsidRPr="001B0EA3">
        <w:t xml:space="preserve"> Контролен лист за липса на двойно финансиране </w:t>
      </w:r>
      <w:r w:rsidRPr="006A5D6A">
        <w:rPr>
          <w:b/>
          <w:i/>
        </w:rPr>
        <w:t>(</w:t>
      </w:r>
      <w:hyperlink r:id="rId159" w:tooltip="Контролен лист за извършена проверка в ИСУН за липса на двойно финансиране" w:history="1">
        <w:r w:rsidRPr="00251D03">
          <w:rPr>
            <w:rStyle w:val="Hyperlink"/>
            <w:i/>
          </w:rPr>
          <w:t>Приложение № 3.08</w:t>
        </w:r>
      </w:hyperlink>
      <w:r w:rsidRPr="006A5D6A">
        <w:rPr>
          <w:b/>
          <w:i/>
        </w:rPr>
        <w:t>)</w:t>
      </w:r>
      <w:r w:rsidRPr="001B0EA3">
        <w:t xml:space="preserve">, Контролен лист за проверка за липса на държавни помощи </w:t>
      </w:r>
      <w:r w:rsidRPr="006A5D6A">
        <w:rPr>
          <w:b/>
          <w:i/>
        </w:rPr>
        <w:t>(</w:t>
      </w:r>
      <w:hyperlink r:id="rId160" w:tooltip="Контролен лист за предварителна оценка за  определяне наличието на държавна помощ - Тест за държавна помощ - изключения" w:history="1">
        <w:r w:rsidRPr="00251D03">
          <w:rPr>
            <w:rStyle w:val="Hyperlink"/>
            <w:i/>
          </w:rPr>
          <w:t>Приложение № 2.02</w:t>
        </w:r>
      </w:hyperlink>
      <w:r w:rsidRPr="006A5D6A">
        <w:rPr>
          <w:b/>
          <w:i/>
        </w:rPr>
        <w:t xml:space="preserve"> и/или </w:t>
      </w:r>
      <w:hyperlink r:id="rId161" w:tooltip="Контролен лист за предварителна оценка за определяне на приложим към мярката режим  на съвместима държавна помощ" w:history="1">
        <w:r w:rsidRPr="00251D03">
          <w:rPr>
            <w:rStyle w:val="Hyperlink"/>
            <w:i/>
          </w:rPr>
          <w:t>Приложение № 2.03</w:t>
        </w:r>
      </w:hyperlink>
      <w:r w:rsidRPr="006A5D6A">
        <w:rPr>
          <w:b/>
          <w:i/>
        </w:rPr>
        <w:t>)</w:t>
      </w:r>
      <w:r w:rsidRPr="001B0EA3">
        <w:t xml:space="preserve"> и Контролен лист на проведената процедура </w:t>
      </w:r>
      <w:r w:rsidRPr="006A5D6A">
        <w:rPr>
          <w:b/>
          <w:i/>
        </w:rPr>
        <w:t>(</w:t>
      </w:r>
      <w:hyperlink r:id="rId162" w:tooltip="Контролен лист за проверка на процедурата на извършена оценка на проектно предложение" w:history="1">
        <w:r w:rsidRPr="00251D03">
          <w:rPr>
            <w:rStyle w:val="Hyperlink"/>
            <w:i/>
          </w:rPr>
          <w:t>Приложение № 3.09</w:t>
        </w:r>
      </w:hyperlink>
      <w:r w:rsidRPr="006A5D6A">
        <w:rPr>
          <w:b/>
          <w:i/>
        </w:rPr>
        <w:t>)</w:t>
      </w:r>
      <w:r w:rsidRPr="001B0EA3">
        <w:t xml:space="preserve"> </w:t>
      </w:r>
      <w:r>
        <w:t xml:space="preserve">са налични в системата ИСУН 2020 и при необходимост могат да бъдат разпечатани и приложени към </w:t>
      </w:r>
      <w:r w:rsidRPr="00B7119B">
        <w:t>доклад</w:t>
      </w:r>
      <w:r>
        <w:t>а</w:t>
      </w:r>
      <w:r w:rsidRPr="00B7119B">
        <w:t xml:space="preserve"> на оценителната комисия </w:t>
      </w:r>
      <w:r w:rsidRPr="00B7119B">
        <w:rPr>
          <w:b/>
          <w:i/>
        </w:rPr>
        <w:t>(</w:t>
      </w:r>
      <w:hyperlink r:id="rId163" w:tooltip="Доклад за извършена оценка на проектно предложение" w:history="1">
        <w:r w:rsidRPr="00B7119B">
          <w:rPr>
            <w:rStyle w:val="Hyperlink"/>
            <w:i/>
          </w:rPr>
          <w:t>Приложение № 3.07</w:t>
        </w:r>
      </w:hyperlink>
      <w:r w:rsidRPr="00B7119B">
        <w:rPr>
          <w:b/>
          <w:i/>
        </w:rPr>
        <w:t>)</w:t>
      </w:r>
      <w:r w:rsidRPr="00B7119B">
        <w:t>.</w:t>
      </w:r>
    </w:p>
    <w:p w14:paraId="21A04216" w14:textId="77777777" w:rsidR="00FD5B09" w:rsidRPr="001B0EA3" w:rsidRDefault="00D603F5" w:rsidP="006A5D6A">
      <w:pPr>
        <w:pStyle w:val="ListParagraph"/>
        <w:numPr>
          <w:ilvl w:val="0"/>
          <w:numId w:val="291"/>
        </w:numPr>
        <w:ind w:left="0" w:firstLine="851"/>
      </w:pPr>
      <w:bookmarkStart w:id="724" w:name="_Ref411593439"/>
      <w:r w:rsidRPr="001B0EA3">
        <w:t xml:space="preserve">Ръководителят на УО на ОПТТИ взема мотивирано </w:t>
      </w:r>
      <w:r w:rsidR="00516AD3" w:rsidRPr="001B0EA3">
        <w:t>Решение</w:t>
      </w:r>
      <w:r w:rsidR="00C86AF8" w:rsidRPr="001B0EA3">
        <w:t xml:space="preserve"> за</w:t>
      </w:r>
      <w:r w:rsidR="00FD5B09" w:rsidRPr="001B0EA3">
        <w:t>:</w:t>
      </w:r>
    </w:p>
    <w:p w14:paraId="1C13FA38" w14:textId="77777777" w:rsidR="00FD5B09" w:rsidRPr="001B0EA3" w:rsidRDefault="00FD5B09" w:rsidP="00BE5A58"/>
    <w:bookmarkEnd w:id="723"/>
    <w:bookmarkEnd w:id="724"/>
    <w:p w14:paraId="457300F9" w14:textId="77777777" w:rsidR="00FD5B09" w:rsidRPr="001B0EA3" w:rsidRDefault="00FD5B09" w:rsidP="00046D61">
      <w:pPr>
        <w:numPr>
          <w:ilvl w:val="0"/>
          <w:numId w:val="41"/>
        </w:numPr>
        <w:ind w:left="1134" w:hanging="284"/>
        <w:rPr>
          <w:szCs w:val="24"/>
          <w:lang w:eastAsia="bg-BG"/>
        </w:rPr>
      </w:pPr>
      <w:r w:rsidRPr="001B0EA3">
        <w:rPr>
          <w:szCs w:val="24"/>
          <w:lang w:eastAsia="bg-BG"/>
        </w:rPr>
        <w:t>одобрение на доклада на оценителната комисия и предоставяне на безвъзмездна финансова помощ/ одобрение на ФК на първа инстанция/ отхвърляне на проекта;</w:t>
      </w:r>
    </w:p>
    <w:p w14:paraId="67F926FF" w14:textId="77777777" w:rsidR="00FD5B09" w:rsidRPr="001B0EA3" w:rsidRDefault="00FD5B09" w:rsidP="00046D61">
      <w:pPr>
        <w:spacing w:after="120"/>
        <w:ind w:left="1134"/>
        <w:rPr>
          <w:szCs w:val="24"/>
          <w:lang w:eastAsia="bg-BG"/>
        </w:rPr>
      </w:pPr>
      <w:r w:rsidRPr="001B0EA3">
        <w:rPr>
          <w:szCs w:val="24"/>
          <w:lang w:eastAsia="bg-BG"/>
        </w:rPr>
        <w:t>или</w:t>
      </w:r>
    </w:p>
    <w:p w14:paraId="5C59FCF8" w14:textId="77777777" w:rsidR="00FD5B09" w:rsidRPr="001B0EA3" w:rsidRDefault="00FD5B09" w:rsidP="00046D61">
      <w:pPr>
        <w:numPr>
          <w:ilvl w:val="0"/>
          <w:numId w:val="41"/>
        </w:numPr>
        <w:ind w:left="1134" w:hanging="284"/>
        <w:rPr>
          <w:szCs w:val="24"/>
          <w:lang w:eastAsia="bg-BG"/>
        </w:rPr>
      </w:pPr>
      <w:r w:rsidRPr="001B0EA3">
        <w:rPr>
          <w:szCs w:val="24"/>
          <w:lang w:eastAsia="bg-BG"/>
        </w:rPr>
        <w:t>повторна оценка на формуляра за кандидатстване/ финансов план, придружено с обосновка;</w:t>
      </w:r>
    </w:p>
    <w:p w14:paraId="034AAB5C" w14:textId="77777777" w:rsidR="00FD5B09" w:rsidRPr="001B0EA3" w:rsidRDefault="00FD5B09" w:rsidP="00046D61">
      <w:pPr>
        <w:spacing w:after="120"/>
        <w:ind w:left="1134"/>
        <w:rPr>
          <w:szCs w:val="24"/>
          <w:lang w:eastAsia="bg-BG"/>
        </w:rPr>
      </w:pPr>
      <w:r w:rsidRPr="001B0EA3">
        <w:rPr>
          <w:szCs w:val="24"/>
          <w:lang w:eastAsia="bg-BG"/>
        </w:rPr>
        <w:t>или</w:t>
      </w:r>
    </w:p>
    <w:p w14:paraId="629CA629" w14:textId="77777777" w:rsidR="00FD5B09" w:rsidRPr="001B0EA3" w:rsidRDefault="00FD5B09" w:rsidP="00046D61">
      <w:pPr>
        <w:numPr>
          <w:ilvl w:val="0"/>
          <w:numId w:val="41"/>
        </w:numPr>
        <w:ind w:left="1134" w:hanging="284"/>
        <w:rPr>
          <w:szCs w:val="24"/>
          <w:lang w:eastAsia="bg-BG"/>
        </w:rPr>
      </w:pPr>
      <w:r w:rsidRPr="001B0EA3">
        <w:rPr>
          <w:szCs w:val="24"/>
          <w:lang w:eastAsia="bg-BG"/>
        </w:rPr>
        <w:t>отменяне на процеса на оценка, придружено с обосновка. В този случай оценителната сесия се анулира в ИСУН 2020 и проектното предложение се оттегля служебно от УО на ОПТТИ или по писмено искане на Бенефициента.</w:t>
      </w:r>
    </w:p>
    <w:p w14:paraId="2E9F6683" w14:textId="77777777" w:rsidR="00D603F5" w:rsidRPr="001B0EA3" w:rsidRDefault="00D603F5" w:rsidP="006A5D6A">
      <w:pPr>
        <w:pStyle w:val="ListParagraph"/>
        <w:numPr>
          <w:ilvl w:val="0"/>
          <w:numId w:val="291"/>
        </w:numPr>
        <w:ind w:left="0" w:firstLine="851"/>
      </w:pPr>
      <w:r w:rsidRPr="001B0EA3">
        <w:t xml:space="preserve">В случай на връщане на оценителния доклад за повторна оценка, оценителната комисия, като взема предвид основанията за връщане, извършва повторна оценка на проектното предложение и изготвя нов доклад, който предава по реда на </w:t>
      </w:r>
      <w:r w:rsidRPr="006A5D6A">
        <w:rPr>
          <w:b/>
        </w:rPr>
        <w:t>точка</w:t>
      </w:r>
      <w:r w:rsidR="00583698" w:rsidRPr="006A5D6A">
        <w:rPr>
          <w:b/>
        </w:rPr>
        <w:t xml:space="preserve"> </w:t>
      </w:r>
      <w:r w:rsidR="00583698" w:rsidRPr="006A5D6A">
        <w:rPr>
          <w:b/>
        </w:rPr>
        <w:fldChar w:fldCharType="begin"/>
      </w:r>
      <w:r w:rsidR="00583698" w:rsidRPr="006A5D6A">
        <w:rPr>
          <w:b/>
        </w:rPr>
        <w:instrText xml:space="preserve"> REF _Ref406325382 \r \h </w:instrText>
      </w:r>
      <w:r w:rsidR="00F81757" w:rsidRPr="006A5D6A">
        <w:rPr>
          <w:b/>
        </w:rPr>
        <w:instrText xml:space="preserve"> \* MERGEFORMAT </w:instrText>
      </w:r>
      <w:r w:rsidR="00583698" w:rsidRPr="006A5D6A">
        <w:rPr>
          <w:b/>
        </w:rPr>
      </w:r>
      <w:r w:rsidR="00583698" w:rsidRPr="006A5D6A">
        <w:rPr>
          <w:b/>
        </w:rPr>
        <w:fldChar w:fldCharType="separate"/>
      </w:r>
      <w:r w:rsidR="00F22141">
        <w:rPr>
          <w:b/>
        </w:rPr>
        <w:t>18.14</w:t>
      </w:r>
      <w:r w:rsidR="00583698" w:rsidRPr="006A5D6A">
        <w:rPr>
          <w:b/>
        </w:rPr>
        <w:fldChar w:fldCharType="end"/>
      </w:r>
      <w:r w:rsidRPr="001B0EA3">
        <w:t>.</w:t>
      </w:r>
    </w:p>
    <w:p w14:paraId="342C847C" w14:textId="77777777" w:rsidR="00FD5B09" w:rsidRPr="001B0EA3" w:rsidRDefault="00FD5B09" w:rsidP="006A5D6A">
      <w:pPr>
        <w:pStyle w:val="ListParagraph"/>
        <w:numPr>
          <w:ilvl w:val="0"/>
          <w:numId w:val="291"/>
        </w:numPr>
        <w:ind w:left="0" w:firstLine="851"/>
      </w:pPr>
      <w:r w:rsidRPr="001B0EA3">
        <w:t xml:space="preserve">С одобрение на доклада на оценителната комисия </w:t>
      </w:r>
      <w:r w:rsidRPr="006A5D6A">
        <w:t>(</w:t>
      </w:r>
      <w:hyperlink r:id="rId164" w:tooltip="Доклад за извършена оценка на проектно предложение" w:history="1">
        <w:r w:rsidR="00AE381A" w:rsidRPr="00251D03">
          <w:rPr>
            <w:rStyle w:val="Hyperlink"/>
            <w:i/>
          </w:rPr>
          <w:t>Приложение № 3.07</w:t>
        </w:r>
      </w:hyperlink>
      <w:r w:rsidRPr="006A5D6A">
        <w:t xml:space="preserve">) </w:t>
      </w:r>
      <w:r w:rsidRPr="001B0EA3">
        <w:t>се взема Решение  за предоставяне на БФП или се отхвърля проектното предложение и се отказва предоставянето на БФП за изпълнение на проекта.</w:t>
      </w:r>
    </w:p>
    <w:p w14:paraId="2AE35B2B" w14:textId="77777777" w:rsidR="00FD5B09" w:rsidRPr="001B0EA3" w:rsidRDefault="00FD5B09" w:rsidP="006A5D6A">
      <w:pPr>
        <w:pStyle w:val="ListParagraph"/>
        <w:numPr>
          <w:ilvl w:val="0"/>
          <w:numId w:val="291"/>
        </w:numPr>
        <w:ind w:left="0" w:firstLine="851"/>
      </w:pPr>
      <w:r w:rsidRPr="001B0EA3">
        <w:t xml:space="preserve">Решението по </w:t>
      </w:r>
      <w:r w:rsidRPr="006A5D6A">
        <w:rPr>
          <w:b/>
        </w:rPr>
        <w:t xml:space="preserve">точка </w:t>
      </w:r>
      <w:r w:rsidRPr="006A5D6A">
        <w:rPr>
          <w:b/>
        </w:rPr>
        <w:fldChar w:fldCharType="begin"/>
      </w:r>
      <w:r w:rsidRPr="006A5D6A">
        <w:rPr>
          <w:b/>
        </w:rPr>
        <w:instrText xml:space="preserve"> REF _Ref411593439 \r \h  \* MERGEFORMAT </w:instrText>
      </w:r>
      <w:r w:rsidRPr="006A5D6A">
        <w:rPr>
          <w:b/>
        </w:rPr>
      </w:r>
      <w:r w:rsidRPr="006A5D6A">
        <w:rPr>
          <w:b/>
        </w:rPr>
        <w:fldChar w:fldCharType="separate"/>
      </w:r>
      <w:r w:rsidR="00F22141">
        <w:rPr>
          <w:b/>
        </w:rPr>
        <w:t>2)</w:t>
      </w:r>
      <w:r w:rsidRPr="006A5D6A">
        <w:rPr>
          <w:b/>
        </w:rPr>
        <w:fldChar w:fldCharType="end"/>
      </w:r>
      <w:r w:rsidRPr="001B0EA3">
        <w:t xml:space="preserve"> се съдържа в доклада на оценителната комисия, който се съгласува от началник на отдел „Програмиране“ и директора на дирекция „Координация на програми  и проекти“, се одобрява от Ръководителя на УО на ОПТТИ.</w:t>
      </w:r>
    </w:p>
    <w:p w14:paraId="6F2D5D74" w14:textId="77777777" w:rsidR="00FD5B09" w:rsidRPr="001B0EA3" w:rsidRDefault="00FD5B09" w:rsidP="006A5D6A">
      <w:pPr>
        <w:pStyle w:val="ListParagraph"/>
        <w:numPr>
          <w:ilvl w:val="0"/>
          <w:numId w:val="291"/>
        </w:numPr>
        <w:ind w:left="0" w:firstLine="851"/>
      </w:pPr>
      <w:bookmarkStart w:id="725" w:name="_Ref464206798"/>
      <w:r w:rsidRPr="001B0EA3">
        <w:t>Решението за предоставяне на БФП от оценителния доклад съдържа най-малко:</w:t>
      </w:r>
      <w:bookmarkEnd w:id="725"/>
      <w:r w:rsidRPr="001B0EA3">
        <w:t xml:space="preserve"> </w:t>
      </w:r>
    </w:p>
    <w:p w14:paraId="3A672D5E" w14:textId="77777777" w:rsidR="00FD5B09" w:rsidRPr="001B0EA3" w:rsidRDefault="00FD5B09" w:rsidP="006A5D6A">
      <w:pPr>
        <w:pStyle w:val="ListParagraph"/>
        <w:numPr>
          <w:ilvl w:val="0"/>
          <w:numId w:val="292"/>
        </w:numPr>
      </w:pPr>
      <w:r w:rsidRPr="001B0EA3">
        <w:lastRenderedPageBreak/>
        <w:t>Обща стойност на проекта;</w:t>
      </w:r>
    </w:p>
    <w:p w14:paraId="23443D4D" w14:textId="77777777" w:rsidR="00FD5B09" w:rsidRPr="001B0EA3" w:rsidRDefault="00FD5B09" w:rsidP="006A5D6A">
      <w:pPr>
        <w:pStyle w:val="ListParagraph"/>
        <w:numPr>
          <w:ilvl w:val="0"/>
          <w:numId w:val="292"/>
        </w:numPr>
      </w:pPr>
      <w:r w:rsidRPr="001B0EA3">
        <w:t>Обща стойност на допустимите разходи на проекта;</w:t>
      </w:r>
    </w:p>
    <w:p w14:paraId="0BF077C3" w14:textId="77777777" w:rsidR="00FD5B09" w:rsidRPr="001B0EA3" w:rsidRDefault="00FD5B09" w:rsidP="006A5D6A">
      <w:pPr>
        <w:pStyle w:val="ListParagraph"/>
        <w:numPr>
          <w:ilvl w:val="0"/>
          <w:numId w:val="292"/>
        </w:numPr>
      </w:pPr>
      <w:r w:rsidRPr="001B0EA3">
        <w:t>Общ размер на безвъзмездната финансова помощ;</w:t>
      </w:r>
    </w:p>
    <w:p w14:paraId="232F1D94" w14:textId="77777777" w:rsidR="00FD5B09" w:rsidRPr="001B0EA3" w:rsidRDefault="00FD5B09" w:rsidP="006A5D6A">
      <w:pPr>
        <w:pStyle w:val="ListParagraph"/>
        <w:numPr>
          <w:ilvl w:val="0"/>
          <w:numId w:val="292"/>
        </w:numPr>
      </w:pPr>
      <w:r w:rsidRPr="006A5D6A">
        <w:rPr>
          <w:color w:val="000000"/>
          <w:lang w:eastAsia="en-US"/>
        </w:rPr>
        <w:t>Съотношение БФП към общо допустими разходи:  (%);</w:t>
      </w:r>
    </w:p>
    <w:p w14:paraId="618E70E9" w14:textId="77777777" w:rsidR="00FD5B09" w:rsidRPr="001B0EA3" w:rsidRDefault="00FD5B09" w:rsidP="006A5D6A">
      <w:pPr>
        <w:pStyle w:val="ListParagraph"/>
        <w:numPr>
          <w:ilvl w:val="0"/>
          <w:numId w:val="292"/>
        </w:numPr>
      </w:pPr>
      <w:r w:rsidRPr="006A5D6A">
        <w:rPr>
          <w:color w:val="000000"/>
          <w:lang w:eastAsia="en-US"/>
        </w:rPr>
        <w:t>ЕС /Фонд - КФ/ ЕФРР (лева и в %);</w:t>
      </w:r>
    </w:p>
    <w:p w14:paraId="308E72B0" w14:textId="77777777" w:rsidR="00FD5B09" w:rsidRPr="001B0EA3" w:rsidRDefault="00FD5B09" w:rsidP="006A5D6A">
      <w:pPr>
        <w:pStyle w:val="ListParagraph"/>
        <w:numPr>
          <w:ilvl w:val="0"/>
          <w:numId w:val="292"/>
        </w:numPr>
      </w:pPr>
      <w:r w:rsidRPr="006A5D6A">
        <w:rPr>
          <w:color w:val="000000"/>
          <w:lang w:eastAsia="en-US"/>
        </w:rPr>
        <w:t>Държавен бюджет (национално съфинансиране) (лева и в %);</w:t>
      </w:r>
    </w:p>
    <w:p w14:paraId="63D28DD2" w14:textId="77777777" w:rsidR="00FD5B09" w:rsidRPr="006A5D6A" w:rsidRDefault="00FD5B09" w:rsidP="006A5D6A">
      <w:pPr>
        <w:pStyle w:val="ListParagraph"/>
        <w:numPr>
          <w:ilvl w:val="0"/>
          <w:numId w:val="292"/>
        </w:numPr>
        <w:rPr>
          <w:color w:val="000000"/>
          <w:lang w:eastAsia="en-US"/>
        </w:rPr>
      </w:pPr>
      <w:r w:rsidRPr="006A5D6A">
        <w:rPr>
          <w:color w:val="000000"/>
          <w:lang w:eastAsia="en-US"/>
        </w:rPr>
        <w:t>Обща стойност от допустимите разходи, съ-финансирани от бенефициента: (лева);</w:t>
      </w:r>
    </w:p>
    <w:p w14:paraId="1F97A0DC" w14:textId="77777777" w:rsidR="00FD5B09" w:rsidRPr="006A5D6A" w:rsidRDefault="00FD5B09" w:rsidP="006A5D6A">
      <w:pPr>
        <w:pStyle w:val="ListParagraph"/>
        <w:numPr>
          <w:ilvl w:val="0"/>
          <w:numId w:val="292"/>
        </w:numPr>
        <w:rPr>
          <w:color w:val="000000"/>
          <w:lang w:eastAsia="en-US"/>
        </w:rPr>
      </w:pPr>
      <w:r w:rsidRPr="006A5D6A">
        <w:rPr>
          <w:color w:val="000000"/>
          <w:lang w:eastAsia="en-US"/>
        </w:rPr>
        <w:t>Обща стойност на недопустимите разходи, необходими за изпълнението на проекта (</w:t>
      </w:r>
      <w:r w:rsidRPr="006A5D6A">
        <w:rPr>
          <w:i/>
          <w:color w:val="000000"/>
          <w:lang w:eastAsia="en-US"/>
        </w:rPr>
        <w:t>когато е приложимо</w:t>
      </w:r>
      <w:r w:rsidRPr="006A5D6A">
        <w:rPr>
          <w:color w:val="000000"/>
          <w:lang w:eastAsia="en-US"/>
        </w:rPr>
        <w:t>).</w:t>
      </w:r>
    </w:p>
    <w:p w14:paraId="1702DD29" w14:textId="77777777" w:rsidR="00FD5B09" w:rsidRPr="001B0EA3" w:rsidRDefault="00FD5B09" w:rsidP="006A5D6A">
      <w:pPr>
        <w:pStyle w:val="ListParagraph"/>
        <w:numPr>
          <w:ilvl w:val="0"/>
          <w:numId w:val="291"/>
        </w:numPr>
        <w:ind w:left="0" w:firstLine="851"/>
      </w:pPr>
      <w:r w:rsidRPr="001B0EA3">
        <w:t xml:space="preserve">В доклада </w:t>
      </w:r>
      <w:r w:rsidRPr="006A5D6A">
        <w:t>(</w:t>
      </w:r>
      <w:hyperlink r:id="rId165" w:tooltip="Доклад за извършена оценка на проектно предложение" w:history="1">
        <w:r w:rsidR="00AE381A" w:rsidRPr="00251D03">
          <w:rPr>
            <w:rStyle w:val="Hyperlink"/>
            <w:i/>
          </w:rPr>
          <w:t>Приложение № 3.07</w:t>
        </w:r>
      </w:hyperlink>
      <w:r w:rsidRPr="006A5D6A">
        <w:t xml:space="preserve">) </w:t>
      </w:r>
      <w:r w:rsidRPr="001B0EA3">
        <w:t>при вземането на</w:t>
      </w:r>
      <w:r w:rsidRPr="006A5D6A">
        <w:t xml:space="preserve"> </w:t>
      </w:r>
      <w:r w:rsidRPr="001B0EA3">
        <w:t>решение за  предоставяне на безвъзмездна финансова помощ може да се съдържат специфични условия, свързани с финансирането и/или  изпълнението на проектното предложение.</w:t>
      </w:r>
    </w:p>
    <w:p w14:paraId="63EB1B13" w14:textId="77777777" w:rsidR="00FD5B09" w:rsidRPr="001B0EA3" w:rsidRDefault="00FD5B09" w:rsidP="006A5D6A">
      <w:pPr>
        <w:pStyle w:val="ListParagraph"/>
        <w:numPr>
          <w:ilvl w:val="0"/>
          <w:numId w:val="291"/>
        </w:numPr>
        <w:ind w:left="0" w:firstLine="851"/>
      </w:pPr>
      <w:r w:rsidRPr="001B0EA3">
        <w:t>В случай на отхвърляне на проектното предложение и при отменяне на процеса на оценка, 10-дневен срок от одобряването на оценителния доклад ръководителят на управляващия орган издава мотивирано решение, с което отказва предоставянето на безвъзмездна финансова помощ за проектното предложение (</w:t>
      </w:r>
      <w:hyperlink r:id="rId166" w:tooltip="Решение за отказ за предоставяне на БФП" w:history="1">
        <w:r w:rsidR="00AE381A" w:rsidRPr="00251D03">
          <w:rPr>
            <w:rStyle w:val="Hyperlink"/>
            <w:i/>
          </w:rPr>
          <w:t>Приложение № 3.10</w:t>
        </w:r>
      </w:hyperlink>
      <w:r w:rsidRPr="001B0EA3">
        <w:t xml:space="preserve">). </w:t>
      </w:r>
    </w:p>
    <w:p w14:paraId="4D7A960C" w14:textId="77777777" w:rsidR="00FD5B09" w:rsidRPr="001B0EA3" w:rsidRDefault="00FD5B09" w:rsidP="006A5D6A">
      <w:pPr>
        <w:pStyle w:val="ListParagraph"/>
        <w:numPr>
          <w:ilvl w:val="0"/>
          <w:numId w:val="291"/>
        </w:numPr>
        <w:ind w:left="0" w:firstLine="851"/>
      </w:pPr>
      <w:r w:rsidRPr="001B0EA3">
        <w:t xml:space="preserve">в срок до 10 работни дни от решението по </w:t>
      </w:r>
      <w:r w:rsidRPr="006A5D6A">
        <w:rPr>
          <w:b/>
        </w:rPr>
        <w:t xml:space="preserve">точка </w:t>
      </w:r>
      <w:r w:rsidRPr="006A5D6A">
        <w:rPr>
          <w:b/>
        </w:rPr>
        <w:fldChar w:fldCharType="begin"/>
      </w:r>
      <w:r w:rsidRPr="006A5D6A">
        <w:rPr>
          <w:b/>
        </w:rPr>
        <w:instrText xml:space="preserve"> REF _Ref411593439 \r \h  \* MERGEFORMAT </w:instrText>
      </w:r>
      <w:r w:rsidRPr="006A5D6A">
        <w:rPr>
          <w:b/>
        </w:rPr>
      </w:r>
      <w:r w:rsidRPr="006A5D6A">
        <w:rPr>
          <w:b/>
        </w:rPr>
        <w:fldChar w:fldCharType="separate"/>
      </w:r>
      <w:r w:rsidR="00F22141">
        <w:rPr>
          <w:b/>
        </w:rPr>
        <w:t>2)</w:t>
      </w:r>
      <w:r w:rsidRPr="006A5D6A">
        <w:rPr>
          <w:b/>
        </w:rPr>
        <w:fldChar w:fldCharType="end"/>
      </w:r>
      <w:r w:rsidRPr="001B0EA3">
        <w:t xml:space="preserve"> УО на ОПТТИ, уведомява (писмено или по електронен път) конкретния бенефициент за взетото решение.</w:t>
      </w:r>
    </w:p>
    <w:p w14:paraId="72DB24A5" w14:textId="77777777" w:rsidR="00FD5B09" w:rsidRPr="001B0EA3" w:rsidRDefault="00FD5B09" w:rsidP="006A5D6A">
      <w:pPr>
        <w:pStyle w:val="ListParagraph"/>
        <w:numPr>
          <w:ilvl w:val="0"/>
          <w:numId w:val="291"/>
        </w:numPr>
        <w:ind w:left="0" w:firstLine="851"/>
      </w:pPr>
      <w:r w:rsidRPr="001B0EA3">
        <w:t xml:space="preserve">В срок до 6 работни дни от </w:t>
      </w:r>
      <w:r w:rsidR="00A85760" w:rsidRPr="001B0EA3">
        <w:t>издаване</w:t>
      </w:r>
      <w:r w:rsidRPr="001B0EA3">
        <w:t xml:space="preserve"> на решението за отказ за предоставяне на БФП УО на ОПТТИ, уведомява (писмено или по електронен път) конкретния бенефициент за взетото решение за отказ за предоставяне на БФП. В тези случаи</w:t>
      </w:r>
    </w:p>
    <w:p w14:paraId="5C19C96C" w14:textId="77777777" w:rsidR="00FD5B09" w:rsidRPr="001B0EA3" w:rsidRDefault="00FD5B09" w:rsidP="006A5D6A">
      <w:pPr>
        <w:pStyle w:val="ListParagraph"/>
        <w:numPr>
          <w:ilvl w:val="0"/>
          <w:numId w:val="291"/>
        </w:numPr>
        <w:ind w:left="0" w:firstLine="851"/>
      </w:pPr>
      <w:r w:rsidRPr="001B0EA3">
        <w:t>Решението за отказ за предоставяне на безвъзмездна финансова помощ се изготвя от член/ председател на комисията за оценка на проектното предложение и се съгласува от началника на отдел „Програмиране“ и директора на дирекция КПП и се предоставя за подпис на Ръководителя на УО.</w:t>
      </w:r>
    </w:p>
    <w:p w14:paraId="64511B42" w14:textId="77777777" w:rsidR="00FD5B09" w:rsidRPr="001B0EA3" w:rsidRDefault="00FD5B09" w:rsidP="00BE5A58">
      <w:pPr>
        <w:pStyle w:val="ListParagraph"/>
        <w:numPr>
          <w:ilvl w:val="0"/>
          <w:numId w:val="291"/>
        </w:numPr>
        <w:ind w:left="0" w:firstLine="851"/>
      </w:pPr>
      <w:r w:rsidRPr="001B0EA3">
        <w:t xml:space="preserve">В уведомлението по </w:t>
      </w:r>
      <w:r w:rsidRPr="00BE5A58">
        <w:rPr>
          <w:b/>
        </w:rPr>
        <w:t xml:space="preserve">точка </w:t>
      </w:r>
      <w:r w:rsidR="00F76908" w:rsidRPr="00BE5A58">
        <w:rPr>
          <w:b/>
        </w:rPr>
        <w:t>1</w:t>
      </w:r>
      <w:r w:rsidR="001B188A" w:rsidRPr="00BE5A58">
        <w:rPr>
          <w:b/>
        </w:rPr>
        <w:t>0</w:t>
      </w:r>
      <w:r w:rsidR="00F76908" w:rsidRPr="00BE5A58">
        <w:rPr>
          <w:b/>
        </w:rPr>
        <w:t>)</w:t>
      </w:r>
      <w:r w:rsidR="00F76908" w:rsidRPr="00BE5A58">
        <w:t xml:space="preserve"> </w:t>
      </w:r>
      <w:r w:rsidRPr="001B0EA3">
        <w:t>се посочват и основанията за това. В този случай Бенефициентът има право, в срок до 7 дни от уведомлението за отхвърляне на проектното предложение, да направи възражение и поиска допълнителни разяснения за причините за отхвърлянето му.</w:t>
      </w:r>
    </w:p>
    <w:p w14:paraId="168FA9D1" w14:textId="77777777" w:rsidR="00FD5B09" w:rsidRPr="001B0EA3" w:rsidRDefault="00FD5B09" w:rsidP="00BE5A58">
      <w:pPr>
        <w:pStyle w:val="ListParagraph"/>
        <w:numPr>
          <w:ilvl w:val="0"/>
          <w:numId w:val="291"/>
        </w:numPr>
        <w:ind w:left="0" w:firstLine="851"/>
      </w:pPr>
      <w:r w:rsidRPr="001B0EA3">
        <w:t>В случай, че в процеса на оценка бенефициентът не е отразил напълно коментари, бележки или препоръки на УО на ОПТТИ по проектното предложение, бенефициента се уведомява за това (писмено или по електронен път). Ако бенефициент не отстрани в срок нередовност, непълнота и/ или несъответствие с изискванията;</w:t>
      </w:r>
    </w:p>
    <w:p w14:paraId="20726D8D" w14:textId="77777777" w:rsidR="00D603F5" w:rsidRPr="001B0EA3" w:rsidRDefault="00D603F5" w:rsidP="00BE5A58"/>
    <w:p w14:paraId="60E17DA8" w14:textId="77777777" w:rsidR="00D603F5" w:rsidRPr="00842ECC" w:rsidRDefault="00FD5B09" w:rsidP="00B502C7">
      <w:pPr>
        <w:pStyle w:val="Style2"/>
        <w:rPr>
          <w:lang w:val="bg-BG" w:eastAsia="bg-BG"/>
        </w:rPr>
      </w:pPr>
      <w:bookmarkStart w:id="726" w:name="_Toc479775677"/>
      <w:bookmarkStart w:id="727" w:name="_Toc140150230"/>
      <w:r w:rsidRPr="00842ECC">
        <w:rPr>
          <w:lang w:val="bg-BG" w:eastAsia="bg-BG"/>
        </w:rPr>
        <w:t>Административен д</w:t>
      </w:r>
      <w:r w:rsidR="00D603F5" w:rsidRPr="00842ECC">
        <w:rPr>
          <w:lang w:val="bg-BG" w:eastAsia="bg-BG"/>
        </w:rPr>
        <w:t>оговор/ Заповед за предоставяне на БФП</w:t>
      </w:r>
      <w:bookmarkEnd w:id="722"/>
      <w:bookmarkEnd w:id="726"/>
      <w:bookmarkEnd w:id="727"/>
    </w:p>
    <w:p w14:paraId="459E8227" w14:textId="77777777" w:rsidR="00FD5B09" w:rsidRPr="001B0EA3" w:rsidRDefault="00FD5B09" w:rsidP="00BE5A58">
      <w:pPr>
        <w:pStyle w:val="ListParagraph"/>
        <w:numPr>
          <w:ilvl w:val="0"/>
          <w:numId w:val="293"/>
        </w:numPr>
        <w:ind w:left="0" w:firstLine="851"/>
      </w:pPr>
      <w:bookmarkStart w:id="728" w:name="_Ref395514677"/>
      <w:r w:rsidRPr="001B0EA3">
        <w:t xml:space="preserve">След приключване на оценителния процес в случай на положителен резултат от оценяването на проекта/ бюджетната линия, се пристъпва към процедурата по предоставяне на БФП, като за целта в съответствие с </w:t>
      </w:r>
      <w:r w:rsidRPr="001B0EA3">
        <w:rPr>
          <w:lang w:eastAsia="fr-FR"/>
        </w:rPr>
        <w:t xml:space="preserve">чл. 24, ал. 1, </w:t>
      </w:r>
      <w:r w:rsidRPr="00BE5A58">
        <w:rPr>
          <w:i/>
        </w:rPr>
        <w:t>ал. 3/ ал. 4 (когато е приложимо)</w:t>
      </w:r>
      <w:r w:rsidRPr="001B0EA3">
        <w:rPr>
          <w:lang w:eastAsia="fr-FR"/>
        </w:rPr>
        <w:t xml:space="preserve"> и чл. 45, ал. 2 от Закона за управление на средствата от европейските структурни инвестиционни фондове (ЗУСЕСИФ), чл. 3,</w:t>
      </w:r>
      <w:r w:rsidRPr="00BE5A58">
        <w:rPr>
          <w:i/>
          <w:lang w:eastAsia="fr-FR"/>
        </w:rPr>
        <w:t xml:space="preserve"> </w:t>
      </w:r>
      <w:r w:rsidRPr="001B0EA3">
        <w:rPr>
          <w:lang w:eastAsia="fr-FR"/>
        </w:rPr>
        <w:t>ал.1</w:t>
      </w:r>
      <w:r w:rsidRPr="00BE5A58">
        <w:rPr>
          <w:i/>
          <w:lang w:eastAsia="fr-FR"/>
        </w:rPr>
        <w:t xml:space="preserve"> и ал. 2/ ал. 3 </w:t>
      </w:r>
      <w:r w:rsidRPr="00BE5A58">
        <w:rPr>
          <w:i/>
        </w:rPr>
        <w:t>(когато е приложимо)</w:t>
      </w:r>
      <w:r w:rsidRPr="001B0EA3">
        <w:rPr>
          <w:lang w:eastAsia="fr-FR"/>
        </w:rPr>
        <w:t xml:space="preserve"> от Постановление № 162 на Министерския съвет от 05.07.2016 г. за определяне на детайлни правила за предоставяне на безвъзмездна финансова помощ по програмите, финансирани от Европейските структурни и инвестиционни фондове (обн., ДВ, бр. 53 от 2016 г.) </w:t>
      </w:r>
      <w:r w:rsidRPr="001B0EA3">
        <w:t>се подготвя проект на:</w:t>
      </w:r>
    </w:p>
    <w:p w14:paraId="6CF3F020" w14:textId="77777777" w:rsidR="00FD5B09" w:rsidRPr="001B0EA3" w:rsidRDefault="00FD5B09" w:rsidP="00046D61">
      <w:pPr>
        <w:numPr>
          <w:ilvl w:val="3"/>
          <w:numId w:val="60"/>
        </w:numPr>
        <w:spacing w:after="120"/>
        <w:ind w:left="1276" w:hanging="283"/>
        <w:rPr>
          <w:szCs w:val="24"/>
          <w:lang w:eastAsia="bg-BG"/>
        </w:rPr>
      </w:pPr>
      <w:r w:rsidRPr="001B0EA3">
        <w:rPr>
          <w:szCs w:val="24"/>
          <w:lang w:eastAsia="bg-BG"/>
        </w:rPr>
        <w:t>административен договор между Ръководителя на УО на ОПТТИ и Бенефициента;</w:t>
      </w:r>
    </w:p>
    <w:p w14:paraId="654FF349" w14:textId="77777777" w:rsidR="00FD5B09" w:rsidRPr="001B0EA3" w:rsidRDefault="00FD5B09" w:rsidP="00046D61">
      <w:pPr>
        <w:spacing w:after="120"/>
        <w:ind w:left="1843" w:hanging="567"/>
        <w:rPr>
          <w:szCs w:val="24"/>
          <w:lang w:eastAsia="bg-BG"/>
        </w:rPr>
      </w:pPr>
      <w:r w:rsidRPr="001B0EA3">
        <w:rPr>
          <w:szCs w:val="24"/>
          <w:lang w:eastAsia="bg-BG"/>
        </w:rPr>
        <w:t>или</w:t>
      </w:r>
    </w:p>
    <w:p w14:paraId="47351481" w14:textId="77777777" w:rsidR="00FD5B09" w:rsidRPr="001B0EA3" w:rsidRDefault="00FD5B09" w:rsidP="00046D61">
      <w:pPr>
        <w:numPr>
          <w:ilvl w:val="3"/>
          <w:numId w:val="60"/>
        </w:numPr>
        <w:spacing w:after="120"/>
        <w:ind w:left="1276" w:hanging="283"/>
        <w:rPr>
          <w:szCs w:val="24"/>
          <w:lang w:eastAsia="bg-BG"/>
        </w:rPr>
      </w:pPr>
      <w:r w:rsidRPr="001B0EA3">
        <w:rPr>
          <w:szCs w:val="24"/>
          <w:lang w:eastAsia="bg-BG"/>
        </w:rPr>
        <w:t>заповед на Ръководителя на УО на ОПТТИ в случаите, в които бенефициентът и УО са в една и съща администрация.</w:t>
      </w:r>
    </w:p>
    <w:p w14:paraId="5A6082A9" w14:textId="77777777" w:rsidR="00FD5B09" w:rsidRPr="001B0EA3" w:rsidRDefault="00FD5B09" w:rsidP="00BE5A58">
      <w:pPr>
        <w:pStyle w:val="ListParagraph"/>
        <w:numPr>
          <w:ilvl w:val="0"/>
          <w:numId w:val="293"/>
        </w:numPr>
        <w:ind w:left="0" w:firstLine="851"/>
      </w:pPr>
      <w:r w:rsidRPr="001B0EA3">
        <w:lastRenderedPageBreak/>
        <w:t xml:space="preserve">Образци на административен договор/ заповед за БФП са </w:t>
      </w:r>
      <w:r w:rsidRPr="00BE5A58">
        <w:t>(</w:t>
      </w:r>
      <w:hyperlink r:id="rId167" w:tooltip="Административен договор" w:history="1">
        <w:r w:rsidR="00AE381A" w:rsidRPr="00251D03">
          <w:rPr>
            <w:rStyle w:val="Hyperlink"/>
            <w:i/>
          </w:rPr>
          <w:t>Приложение № 3.11.1</w:t>
        </w:r>
      </w:hyperlink>
      <w:r w:rsidRPr="00BE5A58">
        <w:rPr>
          <w:b/>
          <w:i/>
        </w:rPr>
        <w:t xml:space="preserve"> и </w:t>
      </w:r>
      <w:hyperlink r:id="rId168" w:tooltip="Заповед за БФП" w:history="1">
        <w:r w:rsidR="00AE381A" w:rsidRPr="00251D03">
          <w:rPr>
            <w:rStyle w:val="Hyperlink"/>
            <w:i/>
          </w:rPr>
          <w:t>Приложение № 3.11.2</w:t>
        </w:r>
      </w:hyperlink>
      <w:r w:rsidRPr="00BE5A58">
        <w:t>)</w:t>
      </w:r>
      <w:r w:rsidRPr="001B0EA3">
        <w:t>. В договора/ заповедта за БФП се включва информация от одобрения ФК/финансов план, която е съотносима само към етапа на изпълнение на финансирания проект или частта от него, предвидена в образеца на административен договор. Договора/заповедта за БФП се генерира и от ИСУН 2020.</w:t>
      </w:r>
    </w:p>
    <w:p w14:paraId="43817984" w14:textId="77777777" w:rsidR="00FD5B09" w:rsidRPr="001B0EA3" w:rsidRDefault="00FD5B09" w:rsidP="00BE5A58">
      <w:pPr>
        <w:pStyle w:val="ListParagraph"/>
        <w:numPr>
          <w:ilvl w:val="0"/>
          <w:numId w:val="293"/>
        </w:numPr>
        <w:ind w:left="0" w:firstLine="851"/>
      </w:pPr>
      <w:r w:rsidRPr="001B0EA3">
        <w:t xml:space="preserve">Срокът на договора/ заповедта се определя като към срока за изпълнение на дейностите по проекта/ бюджетната линия се добавя период от приблизително 6 месеца за изготвяне на документите за приключване на отчитането на проекта/ бюджетната линия. </w:t>
      </w:r>
    </w:p>
    <w:p w14:paraId="591F9AE9" w14:textId="77777777" w:rsidR="00FD5B09" w:rsidRPr="001B0EA3" w:rsidRDefault="00FD5B09" w:rsidP="00BE5A58">
      <w:pPr>
        <w:pStyle w:val="ListParagraph"/>
        <w:numPr>
          <w:ilvl w:val="0"/>
          <w:numId w:val="293"/>
        </w:numPr>
        <w:ind w:left="0" w:firstLine="851"/>
      </w:pPr>
      <w:r w:rsidRPr="001B0EA3">
        <w:t>Договорът/Заповедта за БФП се изготвя в четири/ два еднообразни екземпляра и се попълва от експерт/и в отдел „Програмиране”, определени от началника на отдела. За целта, в зависимост от бенефициента, се използва образеца на договор (</w:t>
      </w:r>
      <w:hyperlink r:id="rId169" w:tooltip="Административен договор" w:history="1">
        <w:r w:rsidR="00AE381A" w:rsidRPr="00251D03">
          <w:rPr>
            <w:rStyle w:val="Hyperlink"/>
            <w:i/>
          </w:rPr>
          <w:t>Приложение № 3.11.1</w:t>
        </w:r>
      </w:hyperlink>
      <w:r w:rsidRPr="001B0EA3">
        <w:t>) или образец на заповед (</w:t>
      </w:r>
      <w:hyperlink r:id="rId170" w:tooltip="Заповед за БФП" w:history="1">
        <w:r w:rsidR="00AE381A" w:rsidRPr="00251D03">
          <w:rPr>
            <w:rStyle w:val="Hyperlink"/>
            <w:i/>
          </w:rPr>
          <w:t>Приложение № 3.11.2</w:t>
        </w:r>
      </w:hyperlink>
      <w:r w:rsidRPr="001B0EA3">
        <w:t>), като при необходимост се добавят спецификите на конкретния проект.</w:t>
      </w:r>
    </w:p>
    <w:p w14:paraId="2C86D44E" w14:textId="77777777" w:rsidR="00FD5B09" w:rsidRPr="001B0EA3" w:rsidRDefault="00FD5B09" w:rsidP="00BE5A58">
      <w:pPr>
        <w:pStyle w:val="ListParagraph"/>
        <w:numPr>
          <w:ilvl w:val="0"/>
          <w:numId w:val="293"/>
        </w:numPr>
        <w:ind w:left="0" w:firstLine="851"/>
      </w:pPr>
      <w:r w:rsidRPr="001B0EA3">
        <w:t>Следваща стъпка е съгласуването на договора/ заповедта за предоставяне на БФП като всеки съгласуващ  може да постъпи по следния начин:</w:t>
      </w:r>
    </w:p>
    <w:p w14:paraId="4B8B913F" w14:textId="77777777" w:rsidR="00FD5B09" w:rsidRPr="001B0EA3" w:rsidRDefault="00FD5B09" w:rsidP="00046D61">
      <w:pPr>
        <w:numPr>
          <w:ilvl w:val="0"/>
          <w:numId w:val="42"/>
        </w:numPr>
        <w:spacing w:before="120" w:after="120"/>
        <w:ind w:left="1276"/>
        <w:rPr>
          <w:szCs w:val="24"/>
          <w:lang w:eastAsia="bg-BG"/>
        </w:rPr>
      </w:pPr>
      <w:r w:rsidRPr="001B0EA3">
        <w:rPr>
          <w:szCs w:val="24"/>
          <w:lang w:eastAsia="bg-BG"/>
        </w:rPr>
        <w:t xml:space="preserve">да съгласува договора/ заповедта за предоставяне на БФП </w:t>
      </w:r>
    </w:p>
    <w:p w14:paraId="445000B8" w14:textId="77777777" w:rsidR="00FD5B09" w:rsidRPr="001B0EA3" w:rsidRDefault="00FD5B09" w:rsidP="00046D61">
      <w:pPr>
        <w:spacing w:after="120"/>
        <w:ind w:left="720"/>
        <w:rPr>
          <w:szCs w:val="24"/>
          <w:lang w:eastAsia="bg-BG"/>
        </w:rPr>
      </w:pPr>
      <w:r w:rsidRPr="001B0EA3">
        <w:rPr>
          <w:szCs w:val="24"/>
          <w:lang w:eastAsia="bg-BG"/>
        </w:rPr>
        <w:t>или</w:t>
      </w:r>
    </w:p>
    <w:p w14:paraId="4C385CB9" w14:textId="77777777" w:rsidR="00FD5B09" w:rsidRPr="001B0EA3" w:rsidRDefault="00FD5B09" w:rsidP="00046D61">
      <w:pPr>
        <w:numPr>
          <w:ilvl w:val="0"/>
          <w:numId w:val="42"/>
        </w:numPr>
        <w:spacing w:before="120" w:after="120"/>
        <w:ind w:left="1276"/>
        <w:rPr>
          <w:szCs w:val="24"/>
          <w:lang w:eastAsia="bg-BG"/>
        </w:rPr>
      </w:pPr>
      <w:r w:rsidRPr="001B0EA3">
        <w:rPr>
          <w:szCs w:val="24"/>
          <w:lang w:eastAsia="bg-BG"/>
        </w:rPr>
        <w:t>да върне обратно договора/заповедта за БФП, с указания за корекция и/или допълване като посочи основания за това.</w:t>
      </w:r>
    </w:p>
    <w:p w14:paraId="294A02CB" w14:textId="77777777" w:rsidR="00FD5B09" w:rsidRPr="001B0EA3" w:rsidRDefault="00FD5B09" w:rsidP="00BE5A58">
      <w:pPr>
        <w:pStyle w:val="ListParagraph"/>
        <w:numPr>
          <w:ilvl w:val="0"/>
          <w:numId w:val="293"/>
        </w:numPr>
        <w:ind w:left="0" w:firstLine="851"/>
      </w:pPr>
      <w:r w:rsidRPr="001B0EA3">
        <w:t xml:space="preserve">Съгласуването на договора/ заповедта за БФП се извършва в срок до 6 дни от всички съгласуващи в следния порядък: </w:t>
      </w:r>
    </w:p>
    <w:p w14:paraId="1759FA91" w14:textId="77777777" w:rsidR="00FD5B09" w:rsidRPr="001B0EA3" w:rsidRDefault="00FD5B09" w:rsidP="00046D61">
      <w:pPr>
        <w:numPr>
          <w:ilvl w:val="0"/>
          <w:numId w:val="42"/>
        </w:numPr>
        <w:spacing w:before="120" w:after="120"/>
        <w:ind w:left="1276"/>
        <w:rPr>
          <w:szCs w:val="24"/>
          <w:lang w:eastAsia="bg-BG"/>
        </w:rPr>
      </w:pPr>
      <w:r w:rsidRPr="001B0EA3">
        <w:rPr>
          <w:szCs w:val="24"/>
          <w:lang w:eastAsia="bg-BG"/>
        </w:rPr>
        <w:t>началника на отдел „Програмиране”, дирекция КПП;</w:t>
      </w:r>
    </w:p>
    <w:p w14:paraId="71EE57D3" w14:textId="77777777" w:rsidR="00FD5B09" w:rsidRPr="001B0EA3" w:rsidRDefault="00FD5B09" w:rsidP="00046D61">
      <w:pPr>
        <w:numPr>
          <w:ilvl w:val="0"/>
          <w:numId w:val="42"/>
        </w:numPr>
        <w:spacing w:before="120" w:after="120"/>
        <w:ind w:left="1276"/>
        <w:rPr>
          <w:szCs w:val="24"/>
          <w:lang w:eastAsia="bg-BG"/>
        </w:rPr>
      </w:pPr>
      <w:r w:rsidRPr="001B0EA3">
        <w:rPr>
          <w:szCs w:val="24"/>
          <w:lang w:eastAsia="bg-BG"/>
        </w:rPr>
        <w:t>началника на отдел „Финансово управление”;</w:t>
      </w:r>
    </w:p>
    <w:p w14:paraId="5FAC40F9" w14:textId="77777777" w:rsidR="00FD5B09" w:rsidRPr="001B0EA3" w:rsidRDefault="00FD5B09" w:rsidP="00046D61">
      <w:pPr>
        <w:numPr>
          <w:ilvl w:val="0"/>
          <w:numId w:val="42"/>
        </w:numPr>
        <w:spacing w:before="120" w:after="120"/>
        <w:ind w:left="1276"/>
        <w:rPr>
          <w:szCs w:val="24"/>
          <w:lang w:eastAsia="bg-BG"/>
        </w:rPr>
      </w:pPr>
      <w:r w:rsidRPr="001B0EA3">
        <w:rPr>
          <w:szCs w:val="24"/>
          <w:lang w:eastAsia="bg-BG"/>
        </w:rPr>
        <w:t>директора на дирекция „Координация на програми и проекти“</w:t>
      </w:r>
      <w:r w:rsidR="000D2F5C" w:rsidRPr="001B0EA3">
        <w:rPr>
          <w:szCs w:val="24"/>
          <w:lang w:eastAsia="bg-BG"/>
        </w:rPr>
        <w:t xml:space="preserve"> (</w:t>
      </w:r>
      <w:r w:rsidR="000D2F5C" w:rsidRPr="00BE5A58">
        <w:rPr>
          <w:i/>
          <w:szCs w:val="24"/>
          <w:lang w:eastAsia="bg-BG"/>
        </w:rPr>
        <w:t>не е приложимо когато директорът е и ръководител на УО</w:t>
      </w:r>
      <w:r w:rsidR="000D2F5C" w:rsidRPr="001B0EA3">
        <w:rPr>
          <w:szCs w:val="24"/>
          <w:lang w:eastAsia="bg-BG"/>
        </w:rPr>
        <w:t>)</w:t>
      </w:r>
    </w:p>
    <w:p w14:paraId="6E456C18" w14:textId="77777777" w:rsidR="00FD5B09" w:rsidRPr="001B0EA3" w:rsidRDefault="00FD5B09" w:rsidP="00046D61">
      <w:pPr>
        <w:numPr>
          <w:ilvl w:val="0"/>
          <w:numId w:val="42"/>
        </w:numPr>
        <w:spacing w:before="120" w:after="120"/>
        <w:ind w:left="1276"/>
        <w:rPr>
          <w:szCs w:val="24"/>
          <w:lang w:eastAsia="bg-BG"/>
        </w:rPr>
      </w:pPr>
      <w:r w:rsidRPr="001B0EA3">
        <w:rPr>
          <w:szCs w:val="24"/>
          <w:lang w:eastAsia="bg-BG"/>
        </w:rPr>
        <w:t>директора на дирекция „Финанси“ (</w:t>
      </w:r>
      <w:r w:rsidRPr="00BE5A58">
        <w:rPr>
          <w:i/>
          <w:szCs w:val="24"/>
          <w:lang w:eastAsia="bg-BG"/>
        </w:rPr>
        <w:t>приложимо само за заповед за предоставяне на БФП</w:t>
      </w:r>
      <w:r w:rsidRPr="001B0EA3">
        <w:rPr>
          <w:szCs w:val="24"/>
          <w:lang w:eastAsia="bg-BG"/>
        </w:rPr>
        <w:t>);</w:t>
      </w:r>
    </w:p>
    <w:p w14:paraId="7850B42D" w14:textId="77777777" w:rsidR="00FD5B09" w:rsidRPr="001B0EA3" w:rsidRDefault="00FD5B09" w:rsidP="00046D61">
      <w:pPr>
        <w:numPr>
          <w:ilvl w:val="0"/>
          <w:numId w:val="42"/>
        </w:numPr>
        <w:spacing w:before="120" w:after="120"/>
        <w:ind w:left="1276"/>
        <w:rPr>
          <w:szCs w:val="24"/>
          <w:lang w:eastAsia="bg-BG"/>
        </w:rPr>
      </w:pPr>
      <w:r w:rsidRPr="001B0EA3">
        <w:rPr>
          <w:szCs w:val="24"/>
          <w:lang w:eastAsia="bg-BG"/>
        </w:rPr>
        <w:t>директора на дирекция „Правна”;</w:t>
      </w:r>
    </w:p>
    <w:p w14:paraId="4B1D0C12" w14:textId="77777777" w:rsidR="00FD5B09" w:rsidRPr="001B0EA3" w:rsidRDefault="00FD5B09" w:rsidP="00046D61">
      <w:pPr>
        <w:numPr>
          <w:ilvl w:val="0"/>
          <w:numId w:val="42"/>
        </w:numPr>
        <w:spacing w:before="120" w:after="120"/>
        <w:ind w:left="1276"/>
        <w:rPr>
          <w:szCs w:val="24"/>
          <w:lang w:eastAsia="bg-BG"/>
        </w:rPr>
      </w:pPr>
      <w:r w:rsidRPr="001B0EA3">
        <w:rPr>
          <w:szCs w:val="24"/>
          <w:lang w:eastAsia="bg-BG"/>
        </w:rPr>
        <w:t xml:space="preserve">финансов контрольор по ОПТТИ, който попълва </w:t>
      </w:r>
      <w:hyperlink r:id="rId171" w:tooltip="Kонтролен лист № за извършване на предварителен контрол от финансовия контрольор преди поемане на задължение" w:history="1">
        <w:r w:rsidR="00AE381A" w:rsidRPr="00251D03">
          <w:rPr>
            <w:rStyle w:val="Hyperlink"/>
            <w:i/>
            <w:szCs w:val="24"/>
            <w:lang w:eastAsia="bg-BG"/>
          </w:rPr>
          <w:t>Приложение № 3.13</w:t>
        </w:r>
      </w:hyperlink>
    </w:p>
    <w:p w14:paraId="3464F3C5" w14:textId="77777777" w:rsidR="00FD5B09" w:rsidRPr="001B0EA3" w:rsidRDefault="00FD5B09" w:rsidP="00BE5A58">
      <w:pPr>
        <w:pStyle w:val="ListParagraph"/>
        <w:numPr>
          <w:ilvl w:val="0"/>
          <w:numId w:val="293"/>
        </w:numPr>
        <w:ind w:left="0" w:firstLine="851"/>
      </w:pPr>
      <w:r w:rsidRPr="001B0EA3">
        <w:t>Когато съгласува административния договор/ заповедта за БФП началникът на отдел „Финансово управление” определя размера на авансовото плащане на база наличните средства от предоставения от Европейския фонд за регионално развитие или Кохезионния фонд аванс по програмата, бюджета  на проекта  и информацията относно сключените договори с изпълнители по проекта, представена в приложението към договора/ заповедта за предоставяне на БФП;</w:t>
      </w:r>
    </w:p>
    <w:p w14:paraId="1FE88F41" w14:textId="77777777" w:rsidR="00FD5B09" w:rsidRPr="001B0EA3" w:rsidRDefault="00FD5B09" w:rsidP="00BE5A58">
      <w:pPr>
        <w:pStyle w:val="ListParagraph"/>
        <w:numPr>
          <w:ilvl w:val="0"/>
          <w:numId w:val="293"/>
        </w:numPr>
        <w:ind w:left="0" w:firstLine="851"/>
      </w:pPr>
      <w:r w:rsidRPr="001B0EA3">
        <w:t xml:space="preserve">Съгласуваният/ата договор/заповед за БФП се предоставя за проверка и съгласуване от Финансовия контрольор в УО на ОПТТИ. Финансовия контрольор извършва проверка на договора/заповедта за предоставяне на БФП и попълва Контролен лист за извършване на предварителен контрол преди поемане на задължението </w:t>
      </w:r>
      <w:r w:rsidRPr="00BE5A58">
        <w:t>(</w:t>
      </w:r>
      <w:hyperlink r:id="rId172" w:tooltip="Kонтролен лист № за извършване на предварителен контрол от финансовия контрольор преди поемане на задължение" w:history="1">
        <w:r w:rsidR="00AE381A" w:rsidRPr="00251D03">
          <w:rPr>
            <w:rStyle w:val="Hyperlink"/>
            <w:i/>
          </w:rPr>
          <w:t>Приложение № 3.13</w:t>
        </w:r>
      </w:hyperlink>
      <w:r w:rsidRPr="00BE5A58">
        <w:t>)</w:t>
      </w:r>
      <w:r w:rsidR="0004644C">
        <w:t xml:space="preserve"> в системата ИСУН 2020</w:t>
      </w:r>
      <w:r w:rsidRPr="00BE5A58">
        <w:t>.</w:t>
      </w:r>
      <w:r w:rsidRPr="001B0EA3">
        <w:t xml:space="preserve"> В резултат на извършената проверка, Финансовия контрольор може:</w:t>
      </w:r>
    </w:p>
    <w:p w14:paraId="37CC7D6A" w14:textId="77777777" w:rsidR="00FD5B09" w:rsidRPr="001B0EA3" w:rsidRDefault="00FD5B09" w:rsidP="00046D61">
      <w:pPr>
        <w:numPr>
          <w:ilvl w:val="0"/>
          <w:numId w:val="42"/>
        </w:numPr>
        <w:spacing w:before="120" w:after="120"/>
        <w:rPr>
          <w:szCs w:val="24"/>
          <w:lang w:eastAsia="bg-BG"/>
        </w:rPr>
      </w:pPr>
      <w:r w:rsidRPr="001B0EA3">
        <w:rPr>
          <w:szCs w:val="24"/>
          <w:lang w:eastAsia="bg-BG"/>
        </w:rPr>
        <w:t>да одобри поемането на задължението и съгласува договор/ заповед за предоставяне на БФП;</w:t>
      </w:r>
    </w:p>
    <w:p w14:paraId="3AF42C51" w14:textId="77777777" w:rsidR="00FD5B09" w:rsidRPr="001B0EA3" w:rsidRDefault="00FD5B09" w:rsidP="00046D61">
      <w:pPr>
        <w:spacing w:before="120" w:after="120"/>
        <w:ind w:left="851"/>
        <w:rPr>
          <w:szCs w:val="24"/>
          <w:lang w:eastAsia="bg-BG"/>
        </w:rPr>
      </w:pPr>
      <w:r w:rsidRPr="001B0EA3">
        <w:rPr>
          <w:szCs w:val="24"/>
          <w:lang w:eastAsia="bg-BG"/>
        </w:rPr>
        <w:t>или</w:t>
      </w:r>
    </w:p>
    <w:p w14:paraId="4454ECFA" w14:textId="77777777" w:rsidR="00FD5B09" w:rsidRPr="001B0EA3" w:rsidRDefault="00FD5B09" w:rsidP="00046D61">
      <w:pPr>
        <w:numPr>
          <w:ilvl w:val="0"/>
          <w:numId w:val="42"/>
        </w:numPr>
        <w:spacing w:before="120" w:after="120"/>
        <w:rPr>
          <w:szCs w:val="24"/>
          <w:lang w:eastAsia="bg-BG"/>
        </w:rPr>
      </w:pPr>
      <w:r w:rsidRPr="001B0EA3">
        <w:rPr>
          <w:szCs w:val="24"/>
          <w:lang w:eastAsia="bg-BG"/>
        </w:rPr>
        <w:t>да не одобри поемането на задължението и да върне договора/ заповедта за предоставяне на БФП, с указания за корекция.</w:t>
      </w:r>
    </w:p>
    <w:p w14:paraId="09140C97" w14:textId="77777777" w:rsidR="00FD5B09" w:rsidRPr="001B0EA3" w:rsidRDefault="00FD5B09" w:rsidP="00BE5A58">
      <w:pPr>
        <w:pStyle w:val="ListParagraph"/>
        <w:numPr>
          <w:ilvl w:val="0"/>
          <w:numId w:val="293"/>
        </w:numPr>
        <w:ind w:left="0" w:firstLine="851"/>
      </w:pPr>
      <w:r w:rsidRPr="001B0EA3">
        <w:lastRenderedPageBreak/>
        <w:t>Договор/Заповед за БФП се извършва, чрез прилагане на системата за двоен подпис, изискваща подпис на Ръководителя на УО и подпис на служител, отговорен за финансовата отчетност по ОПТТИ.</w:t>
      </w:r>
    </w:p>
    <w:p w14:paraId="6133A132" w14:textId="77777777" w:rsidR="00FD5B09" w:rsidRPr="001B0EA3" w:rsidRDefault="00FD5B09" w:rsidP="00BE5A58">
      <w:pPr>
        <w:pStyle w:val="ListParagraph"/>
        <w:numPr>
          <w:ilvl w:val="0"/>
          <w:numId w:val="293"/>
        </w:numPr>
        <w:ind w:left="0" w:firstLine="851"/>
      </w:pPr>
      <w:r w:rsidRPr="001B0EA3">
        <w:t xml:space="preserve">Със заповед Ръководителя на УО на ОПТТИ определя-оторизира служител от отдел „Финансово управление“, отговорен за счетоводните записвания по ОПТТИ, изпълняващ спазването на системата за двоен подпис, съгласно изискванията на чл. 13, ал. 3 от Закона за финансовото управление и контрол в публичния сектор. </w:t>
      </w:r>
    </w:p>
    <w:p w14:paraId="14BBD8AD" w14:textId="77777777" w:rsidR="00FD5B09" w:rsidRPr="001B0EA3" w:rsidRDefault="00FD5B09" w:rsidP="00BE5A58">
      <w:pPr>
        <w:pStyle w:val="ListParagraph"/>
        <w:numPr>
          <w:ilvl w:val="0"/>
          <w:numId w:val="293"/>
        </w:numPr>
        <w:ind w:left="0" w:firstLine="851"/>
      </w:pPr>
      <w:r w:rsidRPr="001B0EA3">
        <w:t xml:space="preserve">Съгласуваният/ата договор (анекс)/заповед за БФП се предоставя за подпис на определения служител по </w:t>
      </w:r>
      <w:r w:rsidRPr="00BE5A58">
        <w:rPr>
          <w:b/>
        </w:rPr>
        <w:t xml:space="preserve">точка </w:t>
      </w:r>
      <w:r w:rsidR="001B188A" w:rsidRPr="00BE5A58">
        <w:rPr>
          <w:b/>
        </w:rPr>
        <w:t>10</w:t>
      </w:r>
      <w:r w:rsidR="00F76908" w:rsidRPr="00BE5A58">
        <w:rPr>
          <w:b/>
        </w:rPr>
        <w:t>)</w:t>
      </w:r>
      <w:r w:rsidRPr="001B0EA3">
        <w:t xml:space="preserve"> и на Ръководителят на УО на ОПТТИ в едноседмичен срок от вземането на Решението за предоставяне на БФП, съдържащо се в оценителния доклад (</w:t>
      </w:r>
      <w:hyperlink r:id="rId173" w:tooltip="Доклад за извършена оценка на проектно предложение" w:history="1">
        <w:r w:rsidR="00AE381A" w:rsidRPr="00251D03">
          <w:rPr>
            <w:rStyle w:val="Hyperlink"/>
            <w:i/>
          </w:rPr>
          <w:t>Приложение № 3.07</w:t>
        </w:r>
      </w:hyperlink>
      <w:r w:rsidRPr="001B0EA3">
        <w:t>).</w:t>
      </w:r>
    </w:p>
    <w:p w14:paraId="057432B4" w14:textId="77777777" w:rsidR="00FD5B09" w:rsidRPr="001B0EA3" w:rsidRDefault="00FD5B09" w:rsidP="00BE5A58">
      <w:pPr>
        <w:pStyle w:val="ListParagraph"/>
        <w:numPr>
          <w:ilvl w:val="0"/>
          <w:numId w:val="293"/>
        </w:numPr>
        <w:ind w:left="0" w:firstLine="851"/>
      </w:pPr>
      <w:r w:rsidRPr="001B0EA3">
        <w:t xml:space="preserve">Договора/заповедта за БФП се предоставя за подпис на Бенефициента по проекта, който връща четирите подписани и подпечатани екземпляра в УО на ОПТТИ за регистриране в деловодната система на </w:t>
      </w:r>
      <w:r w:rsidR="00BB6BF6">
        <w:t>МТС</w:t>
      </w:r>
      <w:r w:rsidRPr="001B0EA3">
        <w:t xml:space="preserve"> с регистрационен номер и дата и отразяване в ИСУН 2020.</w:t>
      </w:r>
    </w:p>
    <w:p w14:paraId="55C9CC4D" w14:textId="77777777" w:rsidR="00FD5B09" w:rsidRPr="00BE5A58" w:rsidRDefault="00FD5B09" w:rsidP="00BE5A58">
      <w:pPr>
        <w:pStyle w:val="ListParagraph"/>
        <w:numPr>
          <w:ilvl w:val="0"/>
          <w:numId w:val="293"/>
        </w:numPr>
        <w:ind w:left="0" w:firstLine="851"/>
      </w:pPr>
      <w:r w:rsidRPr="001B0EA3">
        <w:t>Безвъзмездната финансова помощ за големи проекти по смисъла на чл. 100 от Регламент (ЕС) № 1303/2013 се предоставя от УО на ОПТТИ след решение относно голям проект, съгласно чл. 102 от същия регламент.</w:t>
      </w:r>
    </w:p>
    <w:p w14:paraId="39AF868E" w14:textId="77777777" w:rsidR="00003790" w:rsidRDefault="00003790" w:rsidP="001E404B">
      <w:pPr>
        <w:pStyle w:val="ListParagraph"/>
        <w:numPr>
          <w:ilvl w:val="0"/>
          <w:numId w:val="293"/>
        </w:numPr>
        <w:ind w:left="0" w:firstLine="851"/>
      </w:pPr>
      <w:r w:rsidRPr="00003790">
        <w:t>Ръководителят на УО на ОПТТИ взема решение за предоставяне на БФП, което се обективира в Административен договор/ Заповед в едноседмичен срок от приключването на оценката, в случай на положителен резултат  (чл. 45, ал. 1 на ЗУСЕСИФ).</w:t>
      </w:r>
    </w:p>
    <w:p w14:paraId="1DC9D499" w14:textId="77777777" w:rsidR="00FD5B09" w:rsidRPr="001B0EA3" w:rsidRDefault="00FD5B09" w:rsidP="00BE5A58">
      <w:pPr>
        <w:pStyle w:val="ListParagraph"/>
        <w:numPr>
          <w:ilvl w:val="0"/>
          <w:numId w:val="293"/>
        </w:numPr>
        <w:ind w:left="0" w:firstLine="851"/>
      </w:pPr>
      <w:r w:rsidRPr="001B0EA3">
        <w:t>УО на ОПТТИ може да предостави безвъзмездна финансова помощ за голям проект по смисъла на чл. 100 от Регламент (ЕС) № 1303/2013 г. и преди решение относно голям проект съгласно чл. 102 от същия регламент въз основа на решение на Министерския съвет. В решението на Министерския съвет се посочва източникът на финансиране на проекта в случай на отрицателно решение относно голям проект.</w:t>
      </w:r>
    </w:p>
    <w:p w14:paraId="62EDB158" w14:textId="77777777" w:rsidR="00FD5B09" w:rsidRPr="001B0EA3" w:rsidRDefault="00FD5B09" w:rsidP="00BE5A58">
      <w:pPr>
        <w:pStyle w:val="ListParagraph"/>
        <w:numPr>
          <w:ilvl w:val="0"/>
          <w:numId w:val="293"/>
        </w:numPr>
        <w:ind w:left="0" w:firstLine="851"/>
      </w:pPr>
      <w:r w:rsidRPr="001B0EA3">
        <w:t xml:space="preserve">В случай на „голям проект“ по смисъла на чл. 100 от Регламент (ЕС) № 1303/2013 г. срокът по </w:t>
      </w:r>
      <w:r w:rsidRPr="00BE5A58">
        <w:rPr>
          <w:b/>
        </w:rPr>
        <w:t xml:space="preserve">точка </w:t>
      </w:r>
      <w:r w:rsidR="00003790" w:rsidRPr="00BE5A58">
        <w:rPr>
          <w:b/>
        </w:rPr>
        <w:t>11</w:t>
      </w:r>
      <w:r w:rsidR="00F76908" w:rsidRPr="00BE5A58">
        <w:rPr>
          <w:b/>
        </w:rPr>
        <w:t>)</w:t>
      </w:r>
      <w:r w:rsidR="00F76908" w:rsidRPr="00BE5A58">
        <w:t xml:space="preserve"> </w:t>
      </w:r>
      <w:r w:rsidRPr="001B0EA3">
        <w:t>започва да тече от издаването на решението на Комисията за одобряване на финансов принос за проекта.</w:t>
      </w:r>
    </w:p>
    <w:p w14:paraId="53B96CE9" w14:textId="77777777" w:rsidR="00FD5B09" w:rsidRPr="001B0EA3" w:rsidRDefault="00FD5B09" w:rsidP="00BE5A58">
      <w:pPr>
        <w:pStyle w:val="ListParagraph"/>
        <w:numPr>
          <w:ilvl w:val="0"/>
          <w:numId w:val="293"/>
        </w:numPr>
        <w:ind w:left="0" w:firstLine="851"/>
      </w:pPr>
      <w:r w:rsidRPr="001B0EA3">
        <w:t>Служител от отдел „Програмиране“ информира за сключения договор/ издадената заповед за предоставяне на БФП, чрез електронна поща, началниците на всички отдели в дирекция „Координация на програми и проекти” в срок до 5 работни дни от дата на подписването му.</w:t>
      </w:r>
    </w:p>
    <w:p w14:paraId="0B940EB9" w14:textId="1D338CB9" w:rsidR="00FD5B09" w:rsidRPr="00BA22EB" w:rsidRDefault="00FD5B09" w:rsidP="00BE5A58">
      <w:pPr>
        <w:pStyle w:val="ListParagraph"/>
        <w:numPr>
          <w:ilvl w:val="0"/>
          <w:numId w:val="293"/>
        </w:numPr>
        <w:ind w:left="0" w:firstLine="851"/>
      </w:pPr>
      <w:r w:rsidRPr="001B0EA3">
        <w:t xml:space="preserve">До 14 работни дни от датата на сключване на административния договора/ издаване на заповедта за предоставяне на безвъзмездна финансова помощ на интернет страницата на ОПТТИ и на ЕИП се публикува информация относно предоставената помощ в съответствие с изискванията, посочени в </w:t>
      </w:r>
      <w:hyperlink r:id="rId174" w:history="1">
        <w:r w:rsidRPr="001B0EA3">
          <w:t>приложение XII</w:t>
        </w:r>
      </w:hyperlink>
      <w:r w:rsidRPr="001B0EA3">
        <w:t xml:space="preserve">, т. 1 „Списък на операциите“ към </w:t>
      </w:r>
      <w:hyperlink r:id="rId175" w:history="1">
        <w:r w:rsidRPr="001B0EA3">
          <w:t>Регламент (ЕС) № 1303/2013</w:t>
        </w:r>
      </w:hyperlink>
      <w:r w:rsidRPr="001B0EA3">
        <w:t xml:space="preserve">. </w:t>
      </w:r>
      <w:r w:rsidR="0021199E" w:rsidRPr="001B0EA3">
        <w:t>Начални</w:t>
      </w:r>
      <w:r w:rsidR="0021199E">
        <w:t xml:space="preserve">кът </w:t>
      </w:r>
      <w:r w:rsidR="004A5918">
        <w:t xml:space="preserve">на отдел </w:t>
      </w:r>
      <w:r w:rsidR="004A5918" w:rsidRPr="00BA22EB">
        <w:t>„Информация, публичност и техническа помощ”</w:t>
      </w:r>
      <w:r w:rsidRPr="00BA22EB">
        <w:t xml:space="preserve"> организира изпълнението на т. 16</w:t>
      </w:r>
    </w:p>
    <w:p w14:paraId="4A058E26" w14:textId="77777777" w:rsidR="00FD5B09" w:rsidRPr="001B0EA3" w:rsidRDefault="00FD5B09" w:rsidP="00BE5A58">
      <w:pPr>
        <w:pStyle w:val="ListParagraph"/>
        <w:numPr>
          <w:ilvl w:val="0"/>
          <w:numId w:val="293"/>
        </w:numPr>
        <w:ind w:left="0" w:firstLine="851"/>
      </w:pPr>
      <w:r w:rsidRPr="001B0EA3">
        <w:t xml:space="preserve">След подписване на административния договор/ издаване на заповедта  в срок до 3 работни дни от регистрирането му в деловодната система на </w:t>
      </w:r>
      <w:r w:rsidR="00BB6BF6">
        <w:t>МТС</w:t>
      </w:r>
      <w:r w:rsidRPr="001B0EA3">
        <w:t>, служител от отдел „Програмиране“ въвежда информацията в модул „Договори“ на ИСУН 2020</w:t>
      </w:r>
      <w:r w:rsidR="00003790">
        <w:t>.</w:t>
      </w:r>
    </w:p>
    <w:p w14:paraId="522B1175" w14:textId="77777777" w:rsidR="009E13F5" w:rsidRPr="001B0EA3" w:rsidRDefault="009E13F5" w:rsidP="00F068A3">
      <w:pPr>
        <w:rPr>
          <w:b/>
          <w:szCs w:val="24"/>
          <w:lang w:eastAsia="bg-BG"/>
        </w:rPr>
      </w:pPr>
    </w:p>
    <w:p w14:paraId="5949A48C" w14:textId="77777777" w:rsidR="00E92230" w:rsidRPr="001B0EA3" w:rsidRDefault="00FD5B09" w:rsidP="00F068A3">
      <w:pPr>
        <w:rPr>
          <w:szCs w:val="24"/>
          <w:lang w:eastAsia="bg-BG"/>
        </w:rPr>
      </w:pPr>
      <w:r w:rsidRPr="001B0EA3">
        <w:rPr>
          <w:b/>
          <w:szCs w:val="24"/>
          <w:lang w:eastAsia="bg-BG"/>
        </w:rPr>
        <w:t xml:space="preserve">Забележка: </w:t>
      </w:r>
      <w:r w:rsidRPr="001B0EA3">
        <w:rPr>
          <w:szCs w:val="24"/>
          <w:lang w:eastAsia="bg-BG"/>
        </w:rPr>
        <w:t xml:space="preserve">В Модул „Договори” на ИСУН 2020 се въвежда подробна информация за подписаните договори, както и за всички изменения/ промени на договори (анекси) </w:t>
      </w:r>
      <w:r w:rsidRPr="001B0EA3">
        <w:rPr>
          <w:b/>
          <w:szCs w:val="24"/>
          <w:lang w:eastAsia="bg-BG"/>
        </w:rPr>
        <w:t xml:space="preserve">по точка </w:t>
      </w:r>
      <w:r w:rsidR="00F76908" w:rsidRPr="00842ECC">
        <w:rPr>
          <w:b/>
          <w:szCs w:val="24"/>
          <w:lang w:eastAsia="bg-BG"/>
        </w:rPr>
        <w:t>19.5.</w:t>
      </w:r>
      <w:r w:rsidRPr="001B0EA3">
        <w:rPr>
          <w:szCs w:val="24"/>
          <w:lang w:eastAsia="bg-BG"/>
        </w:rPr>
        <w:t xml:space="preserve"> В този модул се поддържа пълната информация от формуляра за кандидатстване. Регистрацията на договор в системата „заключва” данните за съответното проектно предложение, така че те да не могат да бъдат редактирани или променяни.</w:t>
      </w:r>
    </w:p>
    <w:bookmarkEnd w:id="728"/>
    <w:p w14:paraId="793A700A" w14:textId="77777777" w:rsidR="009E0D6E" w:rsidRPr="001B0EA3" w:rsidRDefault="009E0D6E" w:rsidP="00F068A3">
      <w:pPr>
        <w:jc w:val="left"/>
        <w:rPr>
          <w:szCs w:val="24"/>
          <w:lang w:eastAsia="bg-BG"/>
        </w:rPr>
      </w:pPr>
    </w:p>
    <w:p w14:paraId="51E92006" w14:textId="77777777" w:rsidR="009E13F5" w:rsidRPr="001B0EA3" w:rsidRDefault="009E13F5" w:rsidP="00046D61">
      <w:pPr>
        <w:tabs>
          <w:tab w:val="num" w:pos="709"/>
          <w:tab w:val="num" w:pos="1020"/>
        </w:tabs>
        <w:spacing w:before="134"/>
        <w:rPr>
          <w:szCs w:val="24"/>
          <w:lang w:eastAsia="bg-BG"/>
        </w:rPr>
      </w:pPr>
      <w:r w:rsidRPr="001B0EA3">
        <w:rPr>
          <w:szCs w:val="24"/>
          <w:lang w:eastAsia="bg-BG"/>
        </w:rPr>
        <w:t xml:space="preserve">В </w:t>
      </w:r>
      <w:r w:rsidRPr="001B0EA3">
        <w:rPr>
          <w:b/>
          <w:szCs w:val="24"/>
          <w:lang w:eastAsia="bg-BG"/>
        </w:rPr>
        <w:t xml:space="preserve">Модул “Договори” </w:t>
      </w:r>
      <w:r w:rsidRPr="001B0EA3">
        <w:rPr>
          <w:szCs w:val="24"/>
          <w:lang w:eastAsia="bg-BG"/>
        </w:rPr>
        <w:t xml:space="preserve">на системата ИСУН 2020 се въвежда подробна информация за подписаните договори, както и за всички изменения/промени на договори (анекси). В този </w:t>
      </w:r>
      <w:r w:rsidRPr="001B0EA3">
        <w:rPr>
          <w:szCs w:val="24"/>
          <w:lang w:eastAsia="bg-BG"/>
        </w:rPr>
        <w:lastRenderedPageBreak/>
        <w:t xml:space="preserve">модул се поддържа пълната информация от формуляра за кандидатстване. Регистрацията на договор в системата „заключва” данните за съответното проектно предложение, така че те да не могат да бъдат редактирани или променяни. Системата поддържа функционалността за проверка на данните въведени за договори / анекси, както и ролята за потребител (служител от отдел „Програмиране“), който да извършва тези проверки. Така статусът на един договор може да бъде „проверен” или „непроверен”. Когато статусът на договор бъде променен на „проверен”, то въведените за договора данни се „заключват” и не могат да бъдат редактирани / променяни. Статусът на договор не може да бъде „проверен”, ако за този договор не са въведени всички задължителни данни. Всички данни налични в модул договори ще могат да бъдат използвани от другите модули на системата. </w:t>
      </w:r>
    </w:p>
    <w:p w14:paraId="777E71B3" w14:textId="77777777" w:rsidR="007A1C41" w:rsidRPr="001B0EA3" w:rsidRDefault="007A1C41" w:rsidP="007A1C41">
      <w:pPr>
        <w:tabs>
          <w:tab w:val="num" w:pos="709"/>
          <w:tab w:val="num" w:pos="1020"/>
        </w:tabs>
        <w:spacing w:before="134"/>
        <w:rPr>
          <w:szCs w:val="24"/>
          <w:lang w:eastAsia="bg-BG"/>
        </w:rPr>
      </w:pPr>
      <w:r>
        <w:rPr>
          <w:szCs w:val="24"/>
          <w:lang w:eastAsia="bg-BG"/>
        </w:rPr>
        <w:t>Всички контролни листа, които се попълват в системата ИСУН 2020 в модул „Процедури“ и модул „Договори“ следва да съдържат в на</w:t>
      </w:r>
      <w:r w:rsidR="00132E69">
        <w:rPr>
          <w:szCs w:val="24"/>
          <w:lang w:eastAsia="bg-BG"/>
        </w:rPr>
        <w:t>и</w:t>
      </w:r>
      <w:r>
        <w:rPr>
          <w:szCs w:val="24"/>
          <w:lang w:eastAsia="bg-BG"/>
        </w:rPr>
        <w:t>менованието си номера на проектното предложение</w:t>
      </w:r>
      <w:r w:rsidR="00132E69">
        <w:rPr>
          <w:szCs w:val="24"/>
          <w:lang w:eastAsia="bg-BG"/>
        </w:rPr>
        <w:t>,</w:t>
      </w:r>
      <w:r>
        <w:rPr>
          <w:szCs w:val="24"/>
          <w:lang w:eastAsia="bg-BG"/>
        </w:rPr>
        <w:t xml:space="preserve"> генериран от системата ИСУН с цел улесняване на намирането на им в системата</w:t>
      </w:r>
      <w:r w:rsidR="00132E69">
        <w:rPr>
          <w:szCs w:val="24"/>
          <w:lang w:eastAsia="bg-BG"/>
        </w:rPr>
        <w:t>.</w:t>
      </w:r>
    </w:p>
    <w:p w14:paraId="48DCD2F8" w14:textId="77777777" w:rsidR="009E13F5" w:rsidRPr="001B0EA3" w:rsidRDefault="009E13F5" w:rsidP="00046D61">
      <w:pPr>
        <w:tabs>
          <w:tab w:val="num" w:pos="709"/>
          <w:tab w:val="num" w:pos="1020"/>
        </w:tabs>
        <w:spacing w:before="134"/>
        <w:rPr>
          <w:szCs w:val="24"/>
          <w:lang w:eastAsia="bg-BG"/>
        </w:rPr>
      </w:pPr>
    </w:p>
    <w:p w14:paraId="5A964025" w14:textId="77777777" w:rsidR="009E13F5" w:rsidRPr="001B0EA3" w:rsidRDefault="009E13F5" w:rsidP="00F068A3">
      <w:pPr>
        <w:jc w:val="left"/>
        <w:rPr>
          <w:szCs w:val="24"/>
          <w:lang w:eastAsia="bg-BG"/>
        </w:rPr>
      </w:pPr>
      <w:r w:rsidRPr="001B0EA3">
        <w:rPr>
          <w:szCs w:val="24"/>
          <w:lang w:eastAsia="bg-BG"/>
        </w:rPr>
        <w:br w:type="page"/>
      </w:r>
    </w:p>
    <w:p w14:paraId="5127B34B" w14:textId="77777777" w:rsidR="00E92230" w:rsidRPr="001B0EA3" w:rsidRDefault="00E92230" w:rsidP="00F068A3">
      <w:pPr>
        <w:jc w:val="left"/>
        <w:rPr>
          <w:szCs w:val="24"/>
          <w:lang w:eastAsia="bg-BG"/>
        </w:rPr>
      </w:pPr>
    </w:p>
    <w:p w14:paraId="7B1614A4" w14:textId="77777777" w:rsidR="00E92230" w:rsidRPr="001B0EA3" w:rsidRDefault="00E92230" w:rsidP="00046D61">
      <w:pPr>
        <w:tabs>
          <w:tab w:val="left" w:pos="851"/>
        </w:tabs>
        <w:spacing w:before="120" w:after="120"/>
        <w:ind w:firstLine="709"/>
        <w:rPr>
          <w:szCs w:val="24"/>
          <w:lang w:eastAsia="bg-BG"/>
        </w:rPr>
      </w:pPr>
    </w:p>
    <w:p w14:paraId="1922D3F6" w14:textId="77777777" w:rsidR="00E92230" w:rsidRPr="00842ECC" w:rsidRDefault="00E92230" w:rsidP="00822AA5">
      <w:pPr>
        <w:pStyle w:val="Style2"/>
        <w:rPr>
          <w:lang w:val="bg-BG" w:eastAsia="bg-BG"/>
        </w:rPr>
      </w:pPr>
      <w:bookmarkStart w:id="729" w:name="_Toc460251275"/>
      <w:bookmarkStart w:id="730" w:name="_Toc479775678"/>
      <w:bookmarkStart w:id="731" w:name="_Toc140150231"/>
      <w:r w:rsidRPr="00842ECC">
        <w:rPr>
          <w:lang w:val="bg-BG" w:eastAsia="bg-BG"/>
        </w:rPr>
        <w:t xml:space="preserve">Изменение на </w:t>
      </w:r>
      <w:r w:rsidR="008C02DC" w:rsidRPr="00842ECC">
        <w:rPr>
          <w:lang w:val="bg-BG" w:eastAsia="bg-BG"/>
        </w:rPr>
        <w:t>административен</w:t>
      </w:r>
      <w:r w:rsidRPr="00842ECC">
        <w:rPr>
          <w:lang w:val="bg-BG" w:eastAsia="bg-BG"/>
        </w:rPr>
        <w:t xml:space="preserve"> договор/заповед за предоставяне на безвъзмездна финансова помощ</w:t>
      </w:r>
      <w:bookmarkEnd w:id="729"/>
      <w:bookmarkEnd w:id="730"/>
      <w:bookmarkEnd w:id="731"/>
    </w:p>
    <w:p w14:paraId="682A4BEC" w14:textId="77777777" w:rsidR="00392B18" w:rsidRPr="007958FB" w:rsidRDefault="00392B18" w:rsidP="00223233">
      <w:pPr>
        <w:pStyle w:val="Style3"/>
      </w:pPr>
      <w:bookmarkStart w:id="732" w:name="_Toc479775679"/>
      <w:r w:rsidRPr="007958FB">
        <w:t>Общи правила за изменение/ промяна</w:t>
      </w:r>
      <w:bookmarkEnd w:id="732"/>
    </w:p>
    <w:p w14:paraId="39AF887B" w14:textId="77777777" w:rsidR="00E92230" w:rsidRPr="001B0EA3" w:rsidRDefault="00E92230" w:rsidP="00046D61">
      <w:pPr>
        <w:numPr>
          <w:ilvl w:val="0"/>
          <w:numId w:val="162"/>
        </w:numPr>
        <w:tabs>
          <w:tab w:val="num" w:pos="993"/>
        </w:tabs>
        <w:spacing w:before="134"/>
        <w:ind w:left="0" w:firstLine="567"/>
        <w:rPr>
          <w:szCs w:val="24"/>
          <w:lang w:eastAsia="bg-BG"/>
        </w:rPr>
      </w:pPr>
      <w:r w:rsidRPr="001B0EA3">
        <w:rPr>
          <w:szCs w:val="24"/>
          <w:lang w:eastAsia="bg-BG"/>
        </w:rPr>
        <w:t>Принципна схема на процедурата за изменение на договор/заповед за предоставяне на безвъзмездна финансова помощ</w:t>
      </w:r>
    </w:p>
    <w:p w14:paraId="1E13B82B" w14:textId="77777777" w:rsidR="00E92230" w:rsidRPr="001B0EA3" w:rsidRDefault="00937754" w:rsidP="00046D61">
      <w:pPr>
        <w:spacing w:before="134"/>
        <w:ind w:firstLine="0"/>
        <w:jc w:val="center"/>
        <w:rPr>
          <w:szCs w:val="24"/>
          <w:lang w:eastAsia="bg-BG"/>
        </w:rPr>
      </w:pPr>
      <w:r w:rsidRPr="001B0EA3">
        <w:rPr>
          <w:noProof/>
          <w:lang w:eastAsia="bg-BG"/>
        </w:rPr>
        <mc:AlternateContent>
          <mc:Choice Requires="wpg">
            <w:drawing>
              <wp:inline distT="0" distB="0" distL="0" distR="0" wp14:anchorId="2734AFE7" wp14:editId="2B4D024B">
                <wp:extent cx="5039995" cy="5447030"/>
                <wp:effectExtent l="57150" t="38100" r="84455" b="96520"/>
                <wp:docPr id="423"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5447030"/>
                          <a:chOff x="2000" y="4231"/>
                          <a:chExt cx="7937" cy="8578"/>
                        </a:xfrm>
                      </wpg:grpSpPr>
                      <wps:wsp>
                        <wps:cNvPr id="424" name="Bent-Up Arrow 2148"/>
                        <wps:cNvSpPr>
                          <a:spLocks/>
                        </wps:cNvSpPr>
                        <wps:spPr bwMode="auto">
                          <a:xfrm flipH="1" flipV="1">
                            <a:off x="3504" y="8978"/>
                            <a:ext cx="885" cy="667"/>
                          </a:xfrm>
                          <a:custGeom>
                            <a:avLst/>
                            <a:gdLst>
                              <a:gd name="T0" fmla="*/ 0 w 561975"/>
                              <a:gd name="T1" fmla="*/ 317659 h 423545"/>
                              <a:gd name="T2" fmla="*/ 403146 w 561975"/>
                              <a:gd name="T3" fmla="*/ 317659 h 423545"/>
                              <a:gd name="T4" fmla="*/ 403146 w 561975"/>
                              <a:gd name="T5" fmla="*/ 105886 h 423545"/>
                              <a:gd name="T6" fmla="*/ 350203 w 561975"/>
                              <a:gd name="T7" fmla="*/ 105886 h 423545"/>
                              <a:gd name="T8" fmla="*/ 456089 w 561975"/>
                              <a:gd name="T9" fmla="*/ 0 h 423545"/>
                              <a:gd name="T10" fmla="*/ 561975 w 561975"/>
                              <a:gd name="T11" fmla="*/ 105886 h 423545"/>
                              <a:gd name="T12" fmla="*/ 509032 w 561975"/>
                              <a:gd name="T13" fmla="*/ 105886 h 423545"/>
                              <a:gd name="T14" fmla="*/ 509032 w 561975"/>
                              <a:gd name="T15" fmla="*/ 423545 h 423545"/>
                              <a:gd name="T16" fmla="*/ 0 w 561975"/>
                              <a:gd name="T17" fmla="*/ 423545 h 423545"/>
                              <a:gd name="T18" fmla="*/ 0 w 561975"/>
                              <a:gd name="T19" fmla="*/ 317659 h 42354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61975" h="423545">
                                <a:moveTo>
                                  <a:pt x="0" y="317659"/>
                                </a:moveTo>
                                <a:lnTo>
                                  <a:pt x="403146" y="317659"/>
                                </a:lnTo>
                                <a:lnTo>
                                  <a:pt x="403146" y="105886"/>
                                </a:lnTo>
                                <a:lnTo>
                                  <a:pt x="350203" y="105886"/>
                                </a:lnTo>
                                <a:lnTo>
                                  <a:pt x="456089" y="0"/>
                                </a:lnTo>
                                <a:lnTo>
                                  <a:pt x="561975" y="105886"/>
                                </a:lnTo>
                                <a:lnTo>
                                  <a:pt x="509032" y="105886"/>
                                </a:lnTo>
                                <a:lnTo>
                                  <a:pt x="509032" y="423545"/>
                                </a:lnTo>
                                <a:lnTo>
                                  <a:pt x="0" y="423545"/>
                                </a:lnTo>
                                <a:lnTo>
                                  <a:pt x="0" y="317659"/>
                                </a:lnTo>
                                <a:close/>
                              </a:path>
                            </a:pathLst>
                          </a:custGeom>
                          <a:solidFill>
                            <a:srgbClr val="4F81BD"/>
                          </a:solidFill>
                          <a:ln w="25400" cap="flat" cmpd="sng" algn="ctr">
                            <a:solidFill>
                              <a:srgbClr val="385D8A"/>
                            </a:solidFill>
                            <a:prstDash val="solid"/>
                            <a:round/>
                            <a:headEnd/>
                            <a:tailEnd/>
                          </a:ln>
                        </wps:spPr>
                        <wps:bodyPr rot="0" vert="horz" wrap="square" lIns="91440" tIns="45720" rIns="91440" bIns="45720" anchor="ctr" anchorCtr="0" upright="1">
                          <a:noAutofit/>
                        </wps:bodyPr>
                      </wps:wsp>
                      <wps:wsp>
                        <wps:cNvPr id="425" name="Text Box 2150"/>
                        <wps:cNvSpPr txBox="1">
                          <a:spLocks/>
                        </wps:cNvSpPr>
                        <wps:spPr bwMode="auto">
                          <a:xfrm>
                            <a:off x="3019" y="8978"/>
                            <a:ext cx="529" cy="353"/>
                          </a:xfrm>
                          <a:prstGeom prst="rect">
                            <a:avLst/>
                          </a:prstGeom>
                          <a:solidFill>
                            <a:srgbClr val="FFFFFF"/>
                          </a:solidFill>
                          <a:ln w="6350">
                            <a:solidFill>
                              <a:srgbClr val="FFFFFF"/>
                            </a:solidFill>
                            <a:miter lim="800000"/>
                            <a:headEnd/>
                            <a:tailEnd/>
                          </a:ln>
                        </wps:spPr>
                        <wps:txbx>
                          <w:txbxContent>
                            <w:p w14:paraId="09F6A783" w14:textId="77777777" w:rsidR="004E3164" w:rsidRPr="002E7370" w:rsidRDefault="004E3164" w:rsidP="00F23A68">
                              <w:pPr>
                                <w:ind w:firstLine="0"/>
                                <w:jc w:val="center"/>
                                <w:rPr>
                                  <w:sz w:val="20"/>
                                </w:rPr>
                              </w:pPr>
                              <w:r w:rsidRPr="002E7370">
                                <w:rPr>
                                  <w:sz w:val="20"/>
                                </w:rPr>
                                <w:t xml:space="preserve">Да </w:t>
                              </w:r>
                            </w:p>
                          </w:txbxContent>
                        </wps:txbx>
                        <wps:bodyPr rot="0" vert="horz" wrap="square" lIns="91440" tIns="45720" rIns="91440" bIns="45720" anchor="t" anchorCtr="0" upright="1">
                          <a:noAutofit/>
                        </wps:bodyPr>
                      </wps:wsp>
                      <wps:wsp>
                        <wps:cNvPr id="426" name="Text Box 2149"/>
                        <wps:cNvSpPr txBox="1">
                          <a:spLocks/>
                        </wps:cNvSpPr>
                        <wps:spPr bwMode="auto">
                          <a:xfrm>
                            <a:off x="8348" y="8999"/>
                            <a:ext cx="705" cy="353"/>
                          </a:xfrm>
                          <a:prstGeom prst="rect">
                            <a:avLst/>
                          </a:prstGeom>
                          <a:solidFill>
                            <a:srgbClr val="FFFFFF"/>
                          </a:solidFill>
                          <a:ln w="6350">
                            <a:solidFill>
                              <a:srgbClr val="FFFFFF"/>
                            </a:solidFill>
                            <a:miter lim="800000"/>
                            <a:headEnd/>
                            <a:tailEnd/>
                          </a:ln>
                        </wps:spPr>
                        <wps:txbx>
                          <w:txbxContent>
                            <w:p w14:paraId="4566749C" w14:textId="77777777" w:rsidR="004E3164" w:rsidRPr="002E7370" w:rsidRDefault="004E3164" w:rsidP="00F23A68">
                              <w:pPr>
                                <w:ind w:firstLine="0"/>
                                <w:jc w:val="center"/>
                                <w:rPr>
                                  <w:sz w:val="20"/>
                                </w:rPr>
                              </w:pPr>
                              <w:r w:rsidRPr="002E7370">
                                <w:rPr>
                                  <w:sz w:val="20"/>
                                </w:rPr>
                                <w:t>Не</w:t>
                              </w:r>
                            </w:p>
                          </w:txbxContent>
                        </wps:txbx>
                        <wps:bodyPr rot="0" vert="horz" wrap="square" lIns="91440" tIns="45720" rIns="91440" bIns="45720" anchor="t" anchorCtr="0" upright="1">
                          <a:noAutofit/>
                        </wps:bodyPr>
                      </wps:wsp>
                      <wps:wsp>
                        <wps:cNvPr id="427" name="Bent-Up Arrow 2148"/>
                        <wps:cNvSpPr>
                          <a:spLocks/>
                        </wps:cNvSpPr>
                        <wps:spPr bwMode="auto">
                          <a:xfrm flipV="1">
                            <a:off x="7547" y="8978"/>
                            <a:ext cx="885" cy="667"/>
                          </a:xfrm>
                          <a:custGeom>
                            <a:avLst/>
                            <a:gdLst>
                              <a:gd name="T0" fmla="*/ 0 w 561975"/>
                              <a:gd name="T1" fmla="*/ 317659 h 423545"/>
                              <a:gd name="T2" fmla="*/ 403146 w 561975"/>
                              <a:gd name="T3" fmla="*/ 317659 h 423545"/>
                              <a:gd name="T4" fmla="*/ 403146 w 561975"/>
                              <a:gd name="T5" fmla="*/ 105886 h 423545"/>
                              <a:gd name="T6" fmla="*/ 350203 w 561975"/>
                              <a:gd name="T7" fmla="*/ 105886 h 423545"/>
                              <a:gd name="T8" fmla="*/ 456089 w 561975"/>
                              <a:gd name="T9" fmla="*/ 0 h 423545"/>
                              <a:gd name="T10" fmla="*/ 561975 w 561975"/>
                              <a:gd name="T11" fmla="*/ 105886 h 423545"/>
                              <a:gd name="T12" fmla="*/ 509032 w 561975"/>
                              <a:gd name="T13" fmla="*/ 105886 h 423545"/>
                              <a:gd name="T14" fmla="*/ 509032 w 561975"/>
                              <a:gd name="T15" fmla="*/ 423545 h 423545"/>
                              <a:gd name="T16" fmla="*/ 0 w 561975"/>
                              <a:gd name="T17" fmla="*/ 423545 h 423545"/>
                              <a:gd name="T18" fmla="*/ 0 w 561975"/>
                              <a:gd name="T19" fmla="*/ 317659 h 42354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61975" h="423545">
                                <a:moveTo>
                                  <a:pt x="0" y="317659"/>
                                </a:moveTo>
                                <a:lnTo>
                                  <a:pt x="403146" y="317659"/>
                                </a:lnTo>
                                <a:lnTo>
                                  <a:pt x="403146" y="105886"/>
                                </a:lnTo>
                                <a:lnTo>
                                  <a:pt x="350203" y="105886"/>
                                </a:lnTo>
                                <a:lnTo>
                                  <a:pt x="456089" y="0"/>
                                </a:lnTo>
                                <a:lnTo>
                                  <a:pt x="561975" y="105886"/>
                                </a:lnTo>
                                <a:lnTo>
                                  <a:pt x="509032" y="105886"/>
                                </a:lnTo>
                                <a:lnTo>
                                  <a:pt x="509032" y="423545"/>
                                </a:lnTo>
                                <a:lnTo>
                                  <a:pt x="0" y="423545"/>
                                </a:lnTo>
                                <a:lnTo>
                                  <a:pt x="0" y="317659"/>
                                </a:lnTo>
                                <a:close/>
                              </a:path>
                            </a:pathLst>
                          </a:custGeom>
                          <a:solidFill>
                            <a:srgbClr val="4F81BD"/>
                          </a:solidFill>
                          <a:ln w="25400" cap="flat" cmpd="sng" algn="ctr">
                            <a:solidFill>
                              <a:srgbClr val="385D8A"/>
                            </a:solidFill>
                            <a:prstDash val="solid"/>
                            <a:round/>
                            <a:headEnd/>
                            <a:tailEnd/>
                          </a:ln>
                        </wps:spPr>
                        <wps:bodyPr rot="0" vert="horz" wrap="square" lIns="91440" tIns="45720" rIns="91440" bIns="45720" anchor="ctr" anchorCtr="0" upright="1">
                          <a:noAutofit/>
                        </wps:bodyPr>
                      </wps:wsp>
                      <wps:wsp>
                        <wps:cNvPr id="428" name="Rounded Rectangle 2133"/>
                        <wps:cNvSpPr>
                          <a:spLocks/>
                        </wps:cNvSpPr>
                        <wps:spPr bwMode="auto">
                          <a:xfrm>
                            <a:off x="2000" y="5652"/>
                            <a:ext cx="3402" cy="733"/>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045F6040" w14:textId="77777777" w:rsidR="004E3164" w:rsidRPr="002E7370" w:rsidRDefault="004E3164" w:rsidP="00F23A68">
                              <w:pPr>
                                <w:ind w:firstLine="0"/>
                                <w:jc w:val="center"/>
                                <w:rPr>
                                  <w:sz w:val="20"/>
                                </w:rPr>
                              </w:pPr>
                              <w:r w:rsidRPr="002E7370">
                                <w:rPr>
                                  <w:sz w:val="20"/>
                                </w:rPr>
                                <w:t>Договор за БФП</w:t>
                              </w:r>
                            </w:p>
                          </w:txbxContent>
                        </wps:txbx>
                        <wps:bodyPr rot="0" vert="horz" wrap="square" lIns="91440" tIns="45720" rIns="91440" bIns="45720" anchor="ctr" anchorCtr="0" upright="1">
                          <a:noAutofit/>
                        </wps:bodyPr>
                      </wps:wsp>
                      <wps:wsp>
                        <wps:cNvPr id="429" name="Rounded Rectangle 2134"/>
                        <wps:cNvSpPr>
                          <a:spLocks/>
                        </wps:cNvSpPr>
                        <wps:spPr bwMode="auto">
                          <a:xfrm>
                            <a:off x="6535" y="5652"/>
                            <a:ext cx="3402" cy="734"/>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38C98136" w14:textId="77777777" w:rsidR="004E3164" w:rsidRPr="002E7370" w:rsidRDefault="004E3164" w:rsidP="00F23A68">
                              <w:pPr>
                                <w:ind w:firstLine="0"/>
                                <w:jc w:val="center"/>
                                <w:rPr>
                                  <w:sz w:val="20"/>
                                </w:rPr>
                              </w:pPr>
                              <w:r w:rsidRPr="002E7370">
                                <w:rPr>
                                  <w:sz w:val="20"/>
                                </w:rPr>
                                <w:t>Заповед за БФП (в случай, че бенефициент е УО на ОПТТИ)</w:t>
                              </w:r>
                            </w:p>
                            <w:p w14:paraId="256EBEB9" w14:textId="77777777" w:rsidR="004E3164" w:rsidRPr="002E7370" w:rsidRDefault="004E3164" w:rsidP="00F23A68">
                              <w:pPr>
                                <w:ind w:firstLine="0"/>
                                <w:jc w:val="center"/>
                                <w:rPr>
                                  <w:sz w:val="20"/>
                                </w:rPr>
                              </w:pPr>
                            </w:p>
                          </w:txbxContent>
                        </wps:txbx>
                        <wps:bodyPr rot="0" vert="horz" wrap="square" lIns="91440" tIns="45720" rIns="91440" bIns="45720" anchor="ctr" anchorCtr="0" upright="1">
                          <a:noAutofit/>
                        </wps:bodyPr>
                      </wps:wsp>
                      <wps:wsp>
                        <wps:cNvPr id="430" name="Rounded Rectangle 2135"/>
                        <wps:cNvSpPr>
                          <a:spLocks/>
                        </wps:cNvSpPr>
                        <wps:spPr bwMode="auto">
                          <a:xfrm>
                            <a:off x="6535" y="6793"/>
                            <a:ext cx="3402" cy="734"/>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64C92AB2" w14:textId="77777777" w:rsidR="004E3164" w:rsidRPr="002E7370" w:rsidRDefault="004E3164" w:rsidP="00F23A68">
                              <w:pPr>
                                <w:ind w:firstLine="0"/>
                                <w:jc w:val="center"/>
                                <w:rPr>
                                  <w:sz w:val="20"/>
                                </w:rPr>
                              </w:pPr>
                              <w:r w:rsidRPr="002E7370">
                                <w:rPr>
                                  <w:sz w:val="20"/>
                                </w:rPr>
                                <w:t>Доклад от Ръководител ЗИП</w:t>
                              </w:r>
                            </w:p>
                            <w:p w14:paraId="1477E14F" w14:textId="77777777" w:rsidR="004E3164" w:rsidRPr="002E7370" w:rsidRDefault="004E3164" w:rsidP="00F23A68">
                              <w:pPr>
                                <w:ind w:firstLine="0"/>
                                <w:jc w:val="center"/>
                                <w:rPr>
                                  <w:sz w:val="20"/>
                                </w:rPr>
                              </w:pPr>
                            </w:p>
                          </w:txbxContent>
                        </wps:txbx>
                        <wps:bodyPr rot="0" vert="horz" wrap="square" lIns="91440" tIns="45720" rIns="91440" bIns="45720" anchor="ctr" anchorCtr="0" upright="1">
                          <a:noAutofit/>
                        </wps:bodyPr>
                      </wps:wsp>
                      <wps:wsp>
                        <wps:cNvPr id="431" name="Down Arrow 2136"/>
                        <wps:cNvSpPr>
                          <a:spLocks/>
                        </wps:cNvSpPr>
                        <wps:spPr bwMode="auto">
                          <a:xfrm>
                            <a:off x="8039" y="6494"/>
                            <a:ext cx="393" cy="203"/>
                          </a:xfrm>
                          <a:prstGeom prst="down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432" name="Down Arrow 2137"/>
                        <wps:cNvSpPr>
                          <a:spLocks/>
                        </wps:cNvSpPr>
                        <wps:spPr bwMode="auto">
                          <a:xfrm>
                            <a:off x="3504" y="6531"/>
                            <a:ext cx="393" cy="1155"/>
                          </a:xfrm>
                          <a:prstGeom prst="downArrow">
                            <a:avLst>
                              <a:gd name="adj1" fmla="val 50000"/>
                              <a:gd name="adj2" fmla="val 50003"/>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433" name="Rounded Rectangle 248"/>
                        <wps:cNvSpPr>
                          <a:spLocks/>
                        </wps:cNvSpPr>
                        <wps:spPr bwMode="auto">
                          <a:xfrm>
                            <a:off x="2000" y="4231"/>
                            <a:ext cx="7937" cy="691"/>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093220F9" w14:textId="77777777" w:rsidR="004E3164" w:rsidRPr="002E7370" w:rsidRDefault="004E3164" w:rsidP="00F23A68">
                              <w:pPr>
                                <w:ind w:firstLine="0"/>
                                <w:jc w:val="center"/>
                                <w:rPr>
                                  <w:sz w:val="20"/>
                                </w:rPr>
                              </w:pPr>
                              <w:r w:rsidRPr="002E7370">
                                <w:rPr>
                                  <w:sz w:val="20"/>
                                </w:rPr>
                                <w:t>Възниква необходимост от изменение/промяна на условията на предоставената помощ</w:t>
                              </w:r>
                            </w:p>
                          </w:txbxContent>
                        </wps:txbx>
                        <wps:bodyPr rot="0" vert="horz" wrap="square" lIns="91440" tIns="45720" rIns="91440" bIns="45720" anchor="ctr" anchorCtr="0" upright="1">
                          <a:noAutofit/>
                        </wps:bodyPr>
                      </wps:wsp>
                      <wps:wsp>
                        <wps:cNvPr id="434" name="Down Arrow 249"/>
                        <wps:cNvSpPr>
                          <a:spLocks/>
                        </wps:cNvSpPr>
                        <wps:spPr bwMode="auto">
                          <a:xfrm>
                            <a:off x="5772" y="5001"/>
                            <a:ext cx="393" cy="203"/>
                          </a:xfrm>
                          <a:prstGeom prst="down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435" name="Text Box 250"/>
                        <wps:cNvSpPr txBox="1">
                          <a:spLocks/>
                        </wps:cNvSpPr>
                        <wps:spPr bwMode="auto">
                          <a:xfrm>
                            <a:off x="4644" y="5248"/>
                            <a:ext cx="2649" cy="353"/>
                          </a:xfrm>
                          <a:prstGeom prst="rect">
                            <a:avLst/>
                          </a:prstGeom>
                          <a:solidFill>
                            <a:srgbClr val="FFFFFF"/>
                          </a:solidFill>
                          <a:ln w="6350">
                            <a:solidFill>
                              <a:srgbClr val="FFFFFF"/>
                            </a:solidFill>
                            <a:miter lim="800000"/>
                            <a:headEnd/>
                            <a:tailEnd/>
                          </a:ln>
                        </wps:spPr>
                        <wps:txbx>
                          <w:txbxContent>
                            <w:p w14:paraId="02615E28" w14:textId="77777777" w:rsidR="004E3164" w:rsidRPr="002E7370" w:rsidRDefault="004E3164" w:rsidP="00F23A68">
                              <w:pPr>
                                <w:ind w:firstLine="0"/>
                                <w:jc w:val="center"/>
                                <w:rPr>
                                  <w:sz w:val="20"/>
                                </w:rPr>
                              </w:pPr>
                              <w:r w:rsidRPr="002E7370">
                                <w:rPr>
                                  <w:sz w:val="20"/>
                                </w:rPr>
                                <w:t>БФП е предоставена чрез:</w:t>
                              </w:r>
                            </w:p>
                          </w:txbxContent>
                        </wps:txbx>
                        <wps:bodyPr rot="0" vert="horz" wrap="square" lIns="91440" tIns="45720" rIns="91440" bIns="45720" anchor="t" anchorCtr="0" upright="1">
                          <a:noAutofit/>
                        </wps:bodyPr>
                      </wps:wsp>
                      <wps:wsp>
                        <wps:cNvPr id="436" name="Rounded Rectangle 2142"/>
                        <wps:cNvSpPr>
                          <a:spLocks/>
                        </wps:cNvSpPr>
                        <wps:spPr bwMode="auto">
                          <a:xfrm>
                            <a:off x="2000" y="7859"/>
                            <a:ext cx="7937" cy="47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1947DFF9" w14:textId="77777777" w:rsidR="004E3164" w:rsidRPr="002E7370" w:rsidRDefault="004E3164" w:rsidP="00F23A68">
                              <w:pPr>
                                <w:ind w:firstLine="0"/>
                                <w:jc w:val="center"/>
                                <w:rPr>
                                  <w:sz w:val="20"/>
                                </w:rPr>
                              </w:pPr>
                              <w:r w:rsidRPr="002E7370">
                                <w:rPr>
                                  <w:sz w:val="20"/>
                                </w:rPr>
                                <w:t>Писмо до УО на ОПТТИ с обосновка за изменение/промяна</w:t>
                              </w:r>
                            </w:p>
                          </w:txbxContent>
                        </wps:txbx>
                        <wps:bodyPr rot="0" vert="horz" wrap="square" lIns="91440" tIns="45720" rIns="91440" bIns="45720" anchor="ctr" anchorCtr="0" upright="1">
                          <a:noAutofit/>
                        </wps:bodyPr>
                      </wps:wsp>
                      <wps:wsp>
                        <wps:cNvPr id="437" name="Rounded Rectangle 2143"/>
                        <wps:cNvSpPr>
                          <a:spLocks/>
                        </wps:cNvSpPr>
                        <wps:spPr bwMode="auto">
                          <a:xfrm>
                            <a:off x="2000" y="9949"/>
                            <a:ext cx="3402" cy="912"/>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35F82CCE" w14:textId="77777777" w:rsidR="004E3164" w:rsidRPr="002E7370" w:rsidRDefault="004E3164" w:rsidP="00F23A68">
                              <w:pPr>
                                <w:ind w:firstLine="0"/>
                                <w:jc w:val="center"/>
                                <w:rPr>
                                  <w:sz w:val="20"/>
                                </w:rPr>
                              </w:pPr>
                              <w:r w:rsidRPr="002E7370">
                                <w:rPr>
                                  <w:sz w:val="20"/>
                                </w:rPr>
                                <w:t>Доклад до Ръководителя на УО на ОПТТИ, мотивиращ изменението</w:t>
                              </w:r>
                            </w:p>
                          </w:txbxContent>
                        </wps:txbx>
                        <wps:bodyPr rot="0" vert="horz" wrap="square" lIns="91440" tIns="45720" rIns="91440" bIns="45720" anchor="ctr" anchorCtr="0" upright="1">
                          <a:noAutofit/>
                        </wps:bodyPr>
                      </wps:wsp>
                      <wps:wsp>
                        <wps:cNvPr id="438" name="Down Arrow 2144"/>
                        <wps:cNvSpPr>
                          <a:spLocks/>
                        </wps:cNvSpPr>
                        <wps:spPr bwMode="auto">
                          <a:xfrm>
                            <a:off x="5772" y="8383"/>
                            <a:ext cx="393" cy="203"/>
                          </a:xfrm>
                          <a:prstGeom prst="down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439" name="Down Arrow 2145"/>
                        <wps:cNvSpPr>
                          <a:spLocks/>
                        </wps:cNvSpPr>
                        <wps:spPr bwMode="auto">
                          <a:xfrm>
                            <a:off x="3504" y="11056"/>
                            <a:ext cx="393" cy="203"/>
                          </a:xfrm>
                          <a:prstGeom prst="down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440" name="Oval 2146"/>
                        <wps:cNvSpPr>
                          <a:spLocks/>
                        </wps:cNvSpPr>
                        <wps:spPr bwMode="auto">
                          <a:xfrm>
                            <a:off x="4181" y="8638"/>
                            <a:ext cx="3574" cy="910"/>
                          </a:xfrm>
                          <a:prstGeom prst="ellipse">
                            <a:avLst/>
                          </a:prstGeom>
                          <a:solidFill>
                            <a:srgbClr val="FFFFFF"/>
                          </a:solidFill>
                          <a:ln w="25400" algn="ctr">
                            <a:solidFill>
                              <a:srgbClr val="4F81BD"/>
                            </a:solidFill>
                            <a:round/>
                            <a:headEnd/>
                            <a:tailEnd/>
                          </a:ln>
                        </wps:spPr>
                        <wps:txbx>
                          <w:txbxContent>
                            <w:p w14:paraId="5FE94DF9" w14:textId="77777777" w:rsidR="004E3164" w:rsidRPr="002E7370" w:rsidRDefault="004E3164" w:rsidP="00F23A68">
                              <w:pPr>
                                <w:ind w:firstLine="0"/>
                                <w:jc w:val="center"/>
                                <w:rPr>
                                  <w:sz w:val="20"/>
                                </w:rPr>
                              </w:pPr>
                              <w:r w:rsidRPr="002E7370">
                                <w:rPr>
                                  <w:sz w:val="20"/>
                                </w:rPr>
                                <w:t xml:space="preserve">Отговаря ли на условията за изменение. на  </w:t>
                              </w:r>
                            </w:p>
                          </w:txbxContent>
                        </wps:txbx>
                        <wps:bodyPr rot="0" vert="horz" wrap="square" lIns="91440" tIns="45720" rIns="91440" bIns="45720" anchor="ctr" anchorCtr="0" upright="1">
                          <a:noAutofit/>
                        </wps:bodyPr>
                      </wps:wsp>
                      <wps:wsp>
                        <wps:cNvPr id="441" name="Rounded Rectangle 2139"/>
                        <wps:cNvSpPr>
                          <a:spLocks/>
                        </wps:cNvSpPr>
                        <wps:spPr bwMode="auto">
                          <a:xfrm>
                            <a:off x="2000" y="11392"/>
                            <a:ext cx="3402" cy="1417"/>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6E0CA6D9" w14:textId="77777777" w:rsidR="004E3164" w:rsidRPr="002E7370" w:rsidRDefault="004E3164" w:rsidP="00F23A68">
                              <w:pPr>
                                <w:ind w:firstLine="0"/>
                                <w:jc w:val="center"/>
                                <w:rPr>
                                  <w:sz w:val="20"/>
                                </w:rPr>
                              </w:pPr>
                              <w:r w:rsidRPr="002E7370">
                                <w:rPr>
                                  <w:sz w:val="20"/>
                                </w:rPr>
                                <w:t>Изменение чрез, Анекс на Договор за БФП/ Заповед за изменение на Заповед за БФП (в случай, че бенефициент е УО на ОПТТИ)</w:t>
                              </w:r>
                            </w:p>
                            <w:p w14:paraId="7669BEF3" w14:textId="77777777" w:rsidR="004E3164" w:rsidRPr="002E7370" w:rsidRDefault="004E3164" w:rsidP="00F23A68">
                              <w:pPr>
                                <w:ind w:firstLine="0"/>
                                <w:jc w:val="center"/>
                                <w:rPr>
                                  <w:sz w:val="20"/>
                                </w:rPr>
                              </w:pPr>
                            </w:p>
                            <w:p w14:paraId="51CF74AD" w14:textId="77777777" w:rsidR="004E3164" w:rsidRPr="002E7370" w:rsidRDefault="004E3164" w:rsidP="00F23A68">
                              <w:pPr>
                                <w:ind w:firstLine="0"/>
                                <w:jc w:val="center"/>
                                <w:rPr>
                                  <w:sz w:val="20"/>
                                </w:rPr>
                              </w:pPr>
                            </w:p>
                          </w:txbxContent>
                        </wps:txbx>
                        <wps:bodyPr rot="0" vert="horz" wrap="square" lIns="91440" tIns="45720" rIns="91440" bIns="45720" anchor="ctr" anchorCtr="0" upright="1">
                          <a:noAutofit/>
                        </wps:bodyPr>
                      </wps:wsp>
                      <wps:wsp>
                        <wps:cNvPr id="442" name="Rounded Rectangle 2140"/>
                        <wps:cNvSpPr>
                          <a:spLocks/>
                        </wps:cNvSpPr>
                        <wps:spPr bwMode="auto">
                          <a:xfrm>
                            <a:off x="6535" y="11392"/>
                            <a:ext cx="3402" cy="1417"/>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29EDB633" w14:textId="77777777" w:rsidR="004E3164" w:rsidRPr="002E7370" w:rsidRDefault="004E3164" w:rsidP="00F23A68">
                              <w:pPr>
                                <w:ind w:firstLine="0"/>
                                <w:jc w:val="center"/>
                                <w:rPr>
                                  <w:sz w:val="20"/>
                                </w:rPr>
                              </w:pPr>
                              <w:r w:rsidRPr="002E7370">
                                <w:rPr>
                                  <w:sz w:val="20"/>
                                </w:rPr>
                                <w:t>Промяна на Договор за БФП /Заповед за изменение на Заповед за БФП (в случай, че бенефициент е УО на ОПТТИ)</w:t>
                              </w:r>
                            </w:p>
                            <w:p w14:paraId="1F737B40" w14:textId="77777777" w:rsidR="004E3164" w:rsidRPr="002E7370" w:rsidRDefault="004E3164" w:rsidP="00F23A68">
                              <w:pPr>
                                <w:ind w:firstLine="0"/>
                                <w:jc w:val="center"/>
                                <w:rPr>
                                  <w:sz w:val="20"/>
                                </w:rPr>
                              </w:pPr>
                            </w:p>
                          </w:txbxContent>
                        </wps:txbx>
                        <wps:bodyPr rot="0" vert="horz" wrap="square" lIns="91440" tIns="45720" rIns="91440" bIns="45720" anchor="ctr" anchorCtr="0" upright="1">
                          <a:noAutofit/>
                        </wps:bodyPr>
                      </wps:wsp>
                    </wpg:wgp>
                  </a:graphicData>
                </a:graphic>
              </wp:inline>
            </w:drawing>
          </mc:Choice>
          <mc:Fallback>
            <w:pict>
              <v:group w14:anchorId="2734AFE7" id="Group 906" o:spid="_x0000_s1615" style="width:396.85pt;height:428.9pt;mso-position-horizontal-relative:char;mso-position-vertical-relative:line" coordorigin="2000,4231" coordsize="7937,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">
                <v:shape id="Bent-Up Arrow 2148" o:spid="_x0000_s1616" style="position:absolute;left:3504;top:8978;width:885;height:667;flip:x y;visibility:visible;mso-wrap-style:square;v-text-anchor:middle" coordsize="56197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" path="m,317659r403146,l403146,105886r-52943,l456089,,561975,105886r-52943,l509032,423545,,423545,,317659xe" fillcolor="#4f81bd" strokecolor="#385d8a" strokeweight="2pt">
                  <v:path arrowok="t" o:connecttype="custom" o:connectlocs="0,500;635,500;635,167;552,167;718,0;885,167;802,167;802,667;0,667;0,500" o:connectangles="0,0,0,0,0,0,0,0,0,0"/>
                </v:shape>
                <v:shape id="Text Box 2150" o:spid="_x0000_s1617" type="#_x0000_t202" style="position:absolute;left:3019;top:8978;width:529;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" strokecolor="white" strokeweight=".5pt">
                  <v:path arrowok="t"/>
                  <v:textbox>
                    <w:txbxContent>
                      <w:p w14:paraId="09F6A783" w14:textId="77777777" w:rsidR="004E3164" w:rsidRPr="002E7370" w:rsidRDefault="004E3164" w:rsidP="00F23A68">
                        <w:pPr>
                          <w:ind w:firstLine="0"/>
                          <w:jc w:val="center"/>
                          <w:rPr>
                            <w:sz w:val="20"/>
                          </w:rPr>
                        </w:pPr>
                        <w:r w:rsidRPr="002E7370">
                          <w:rPr>
                            <w:sz w:val="20"/>
                          </w:rPr>
                          <w:t xml:space="preserve">Да </w:t>
                        </w:r>
                      </w:p>
                    </w:txbxContent>
                  </v:textbox>
                </v:shape>
                <v:shape id="Text Box 2149" o:spid="_x0000_s1618" type="#_x0000_t202" style="position:absolute;left:8348;top:8999;width:705;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" strokecolor="white" strokeweight=".5pt">
                  <v:path arrowok="t"/>
                  <v:textbox>
                    <w:txbxContent>
                      <w:p w14:paraId="4566749C" w14:textId="77777777" w:rsidR="004E3164" w:rsidRPr="002E7370" w:rsidRDefault="004E3164" w:rsidP="00F23A68">
                        <w:pPr>
                          <w:ind w:firstLine="0"/>
                          <w:jc w:val="center"/>
                          <w:rPr>
                            <w:sz w:val="20"/>
                          </w:rPr>
                        </w:pPr>
                        <w:r w:rsidRPr="002E7370">
                          <w:rPr>
                            <w:sz w:val="20"/>
                          </w:rPr>
                          <w:t>Не</w:t>
                        </w:r>
                      </w:p>
                    </w:txbxContent>
                  </v:textbox>
                </v:shape>
                <v:shape id="Bent-Up Arrow 2148" o:spid="_x0000_s1619" style="position:absolute;left:7547;top:8978;width:885;height:667;flip:y;visibility:visible;mso-wrap-style:square;v-text-anchor:middle" coordsize="56197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" path="m,317659r403146,l403146,105886r-52943,l456089,,561975,105886r-52943,l509032,423545,,423545,,317659xe" fillcolor="#4f81bd" strokecolor="#385d8a" strokeweight="2pt">
                  <v:path arrowok="t" o:connecttype="custom" o:connectlocs="0,500;635,500;635,167;552,167;718,0;885,167;802,167;802,667;0,667;0,500" o:connectangles="0,0,0,0,0,0,0,0,0,0"/>
                </v:shape>
                <v:roundrect id="Rounded Rectangle 2133" o:spid="_x0000_s1620" style="position:absolute;left:2000;top:5652;width:3402;height: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" fillcolor="#a3c4ff" strokecolor="#4a7ebb">
                  <v:fill color2="#e5eeff" rotate="t" angle="180" colors="0 #a3c4ff;22938f #bfd5ff;1 #e5eeff" focus="100%" type="gradient"/>
                  <v:shadow on="t" color="black" opacity="24903f" origin=",.5" offset="0,.55556mm"/>
                  <v:path arrowok="t"/>
                  <v:textbox>
                    <w:txbxContent>
                      <w:p w14:paraId="045F6040" w14:textId="77777777" w:rsidR="004E3164" w:rsidRPr="002E7370" w:rsidRDefault="004E3164" w:rsidP="00F23A68">
                        <w:pPr>
                          <w:ind w:firstLine="0"/>
                          <w:jc w:val="center"/>
                          <w:rPr>
                            <w:sz w:val="20"/>
                          </w:rPr>
                        </w:pPr>
                        <w:r w:rsidRPr="002E7370">
                          <w:rPr>
                            <w:sz w:val="20"/>
                          </w:rPr>
                          <w:t>Договор за БФП</w:t>
                        </w:r>
                      </w:p>
                    </w:txbxContent>
                  </v:textbox>
                </v:roundrect>
                <v:roundrect id="Rounded Rectangle 2134" o:spid="_x0000_s1621" style="position:absolute;left:6535;top:5652;width:3402;height: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" fillcolor="#a3c4ff" strokecolor="#4a7ebb">
                  <v:fill color2="#e5eeff" rotate="t" angle="180" colors="0 #a3c4ff;22938f #bfd5ff;1 #e5eeff" focus="100%" type="gradient"/>
                  <v:shadow on="t" color="black" opacity="24903f" origin=",.5" offset="0,.55556mm"/>
                  <v:path arrowok="t"/>
                  <v:textbox>
                    <w:txbxContent>
                      <w:p w14:paraId="38C98136" w14:textId="77777777" w:rsidR="004E3164" w:rsidRPr="002E7370" w:rsidRDefault="004E3164" w:rsidP="00F23A68">
                        <w:pPr>
                          <w:ind w:firstLine="0"/>
                          <w:jc w:val="center"/>
                          <w:rPr>
                            <w:sz w:val="20"/>
                          </w:rPr>
                        </w:pPr>
                        <w:r w:rsidRPr="002E7370">
                          <w:rPr>
                            <w:sz w:val="20"/>
                          </w:rPr>
                          <w:t>Заповед за БФП (в случай, че бенефициент е УО на ОПТТИ)</w:t>
                        </w:r>
                      </w:p>
                      <w:p w14:paraId="256EBEB9" w14:textId="77777777" w:rsidR="004E3164" w:rsidRPr="002E7370" w:rsidRDefault="004E3164" w:rsidP="00F23A68">
                        <w:pPr>
                          <w:ind w:firstLine="0"/>
                          <w:jc w:val="center"/>
                          <w:rPr>
                            <w:sz w:val="20"/>
                          </w:rPr>
                        </w:pPr>
                      </w:p>
                    </w:txbxContent>
                  </v:textbox>
                </v:roundrect>
                <v:roundrect id="Rounded Rectangle 2135" o:spid="_x0000_s1622" style="position:absolute;left:6535;top:6793;width:3402;height: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" fillcolor="#a3c4ff" strokecolor="#4a7ebb">
                  <v:fill color2="#e5eeff" rotate="t" angle="180" colors="0 #a3c4ff;22938f #bfd5ff;1 #e5eeff" focus="100%" type="gradient"/>
                  <v:shadow on="t" color="black" opacity="24903f" origin=",.5" offset="0,.55556mm"/>
                  <v:path arrowok="t"/>
                  <v:textbox>
                    <w:txbxContent>
                      <w:p w14:paraId="64C92AB2" w14:textId="77777777" w:rsidR="004E3164" w:rsidRPr="002E7370" w:rsidRDefault="004E3164" w:rsidP="00F23A68">
                        <w:pPr>
                          <w:ind w:firstLine="0"/>
                          <w:jc w:val="center"/>
                          <w:rPr>
                            <w:sz w:val="20"/>
                          </w:rPr>
                        </w:pPr>
                        <w:r w:rsidRPr="002E7370">
                          <w:rPr>
                            <w:sz w:val="20"/>
                          </w:rPr>
                          <w:t>Доклад от Ръководител ЗИП</w:t>
                        </w:r>
                      </w:p>
                      <w:p w14:paraId="1477E14F" w14:textId="77777777" w:rsidR="004E3164" w:rsidRPr="002E7370" w:rsidRDefault="004E3164" w:rsidP="00F23A68">
                        <w:pPr>
                          <w:ind w:firstLine="0"/>
                          <w:jc w:val="center"/>
                          <w:rPr>
                            <w:sz w:val="20"/>
                          </w:rPr>
                        </w:pPr>
                      </w:p>
                    </w:txbxContent>
                  </v:textbox>
                </v:roundrect>
                <v:shape id="Down Arrow 2136" o:spid="_x0000_s1623" type="#_x0000_t67" style="position:absolute;left:8039;top:6494;width:393;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" adj="10800" fillcolor="#4f81bd" strokecolor="#385d8a" strokeweight="2pt">
                  <v:path arrowok="t"/>
                </v:shape>
                <v:shape id="Down Arrow 2137" o:spid="_x0000_s1624" type="#_x0000_t67" style="position:absolute;left:3504;top:6531;width:393;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" adj="17925" fillcolor="#4f81bd" strokecolor="#385d8a" strokeweight="2pt">
                  <v:path arrowok="t"/>
                </v:shape>
                <v:roundrect id="Rounded Rectangle 248" o:spid="_x0000_s1625" style="position:absolute;left:2000;top:4231;width:7937;height:6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" fillcolor="#a3c4ff" strokecolor="#4a7ebb">
                  <v:fill color2="#e5eeff" rotate="t" angle="180" colors="0 #a3c4ff;22938f #bfd5ff;1 #e5eeff" focus="100%" type="gradient"/>
                  <v:shadow on="t" color="black" opacity="24903f" origin=",.5" offset="0,.55556mm"/>
                  <v:path arrowok="t"/>
                  <v:textbox>
                    <w:txbxContent>
                      <w:p w14:paraId="093220F9" w14:textId="77777777" w:rsidR="004E3164" w:rsidRPr="002E7370" w:rsidRDefault="004E3164" w:rsidP="00F23A68">
                        <w:pPr>
                          <w:ind w:firstLine="0"/>
                          <w:jc w:val="center"/>
                          <w:rPr>
                            <w:sz w:val="20"/>
                          </w:rPr>
                        </w:pPr>
                        <w:r w:rsidRPr="002E7370">
                          <w:rPr>
                            <w:sz w:val="20"/>
                          </w:rPr>
                          <w:t>Възниква необходимост от изменение/промяна на условията на предоставената помощ</w:t>
                        </w:r>
                      </w:p>
                    </w:txbxContent>
                  </v:textbox>
                </v:roundrect>
                <v:shape id="Down Arrow 249" o:spid="_x0000_s1626" type="#_x0000_t67" style="position:absolute;left:5772;top:5001;width:393;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" adj="10800" fillcolor="#4f81bd" strokecolor="#385d8a" strokeweight="2pt">
                  <v:path arrowok="t"/>
                </v:shape>
                <v:shape id="Text Box 250" o:spid="_x0000_s1627" type="#_x0000_t202" style="position:absolute;left:4644;top:5248;width:2649;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" strokecolor="white" strokeweight=".5pt">
                  <v:path arrowok="t"/>
                  <v:textbox>
                    <w:txbxContent>
                      <w:p w14:paraId="02615E28" w14:textId="77777777" w:rsidR="004E3164" w:rsidRPr="002E7370" w:rsidRDefault="004E3164" w:rsidP="00F23A68">
                        <w:pPr>
                          <w:ind w:firstLine="0"/>
                          <w:jc w:val="center"/>
                          <w:rPr>
                            <w:sz w:val="20"/>
                          </w:rPr>
                        </w:pPr>
                        <w:r w:rsidRPr="002E7370">
                          <w:rPr>
                            <w:sz w:val="20"/>
                          </w:rPr>
                          <w:t>БФП е предоставена чрез:</w:t>
                        </w:r>
                      </w:p>
                    </w:txbxContent>
                  </v:textbox>
                </v:shape>
                <v:roundrect id="Rounded Rectangle 2142" o:spid="_x0000_s1628" style="position:absolute;left:2000;top:7859;width:7937;height: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" fillcolor="#a3c4ff" strokecolor="#4a7ebb">
                  <v:fill color2="#e5eeff" rotate="t" angle="180" colors="0 #a3c4ff;22938f #bfd5ff;1 #e5eeff" focus="100%" type="gradient"/>
                  <v:shadow on="t" color="black" opacity="24903f" origin=",.5" offset="0,.55556mm"/>
                  <v:path arrowok="t"/>
                  <v:textbox>
                    <w:txbxContent>
                      <w:p w14:paraId="1947DFF9" w14:textId="77777777" w:rsidR="004E3164" w:rsidRPr="002E7370" w:rsidRDefault="004E3164" w:rsidP="00F23A68">
                        <w:pPr>
                          <w:ind w:firstLine="0"/>
                          <w:jc w:val="center"/>
                          <w:rPr>
                            <w:sz w:val="20"/>
                          </w:rPr>
                        </w:pPr>
                        <w:r w:rsidRPr="002E7370">
                          <w:rPr>
                            <w:sz w:val="20"/>
                          </w:rPr>
                          <w:t>Писмо до УО на ОПТТИ с обосновка за изменение/промяна</w:t>
                        </w:r>
                      </w:p>
                    </w:txbxContent>
                  </v:textbox>
                </v:roundrect>
                <v:roundrect id="Rounded Rectangle 2143" o:spid="_x0000_s1629" style="position:absolute;left:2000;top:9949;width:3402;height:9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" fillcolor="#a3c4ff" strokecolor="#4a7ebb">
                  <v:fill color2="#e5eeff" rotate="t" angle="180" colors="0 #a3c4ff;22938f #bfd5ff;1 #e5eeff" focus="100%" type="gradient"/>
                  <v:shadow on="t" color="black" opacity="24903f" origin=",.5" offset="0,.55556mm"/>
                  <v:path arrowok="t"/>
                  <v:textbox>
                    <w:txbxContent>
                      <w:p w14:paraId="35F82CCE" w14:textId="77777777" w:rsidR="004E3164" w:rsidRPr="002E7370" w:rsidRDefault="004E3164" w:rsidP="00F23A68">
                        <w:pPr>
                          <w:ind w:firstLine="0"/>
                          <w:jc w:val="center"/>
                          <w:rPr>
                            <w:sz w:val="20"/>
                          </w:rPr>
                        </w:pPr>
                        <w:r w:rsidRPr="002E7370">
                          <w:rPr>
                            <w:sz w:val="20"/>
                          </w:rPr>
                          <w:t>Доклад до Ръководителя на УО на ОПТТИ, мотивиращ изменението</w:t>
                        </w:r>
                      </w:p>
                    </w:txbxContent>
                  </v:textbox>
                </v:roundrect>
                <v:shape id="Down Arrow 2144" o:spid="_x0000_s1630" type="#_x0000_t67" style="position:absolute;left:5772;top:8383;width:393;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" adj="10800" fillcolor="#4f81bd" strokecolor="#385d8a" strokeweight="2pt">
                  <v:path arrowok="t"/>
                </v:shape>
                <v:shape id="Down Arrow 2145" o:spid="_x0000_s1631" type="#_x0000_t67" style="position:absolute;left:3504;top:11056;width:393;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" adj="10800" fillcolor="#4f81bd" strokecolor="#385d8a" strokeweight="2pt">
                  <v:path arrowok="t"/>
                </v:shape>
                <v:oval id="Oval 2146" o:spid="_x0000_s1632" style="position:absolute;left:4181;top:8638;width:3574;height: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" strokecolor="#4f81bd" strokeweight="2pt">
                  <v:path arrowok="t"/>
                  <v:textbox>
                    <w:txbxContent>
                      <w:p w14:paraId="5FE94DF9" w14:textId="77777777" w:rsidR="004E3164" w:rsidRPr="002E7370" w:rsidRDefault="004E3164" w:rsidP="00F23A68">
                        <w:pPr>
                          <w:ind w:firstLine="0"/>
                          <w:jc w:val="center"/>
                          <w:rPr>
                            <w:sz w:val="20"/>
                          </w:rPr>
                        </w:pPr>
                        <w:r w:rsidRPr="002E7370">
                          <w:rPr>
                            <w:sz w:val="20"/>
                          </w:rPr>
                          <w:t xml:space="preserve">Отговаря ли на условията за изменение. на  </w:t>
                        </w:r>
                      </w:p>
                    </w:txbxContent>
                  </v:textbox>
                </v:oval>
                <v:roundrect id="Rounded Rectangle 2139" o:spid="_x0000_s1633" style="position:absolute;left:2000;top:11392;width:3402;height:14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" fillcolor="#a3c4ff" strokecolor="#4a7ebb">
                  <v:fill color2="#e5eeff" rotate="t" angle="180" colors="0 #a3c4ff;22938f #bfd5ff;1 #e5eeff" focus="100%" type="gradient"/>
                  <v:shadow on="t" color="black" opacity="24903f" origin=",.5" offset="0,.55556mm"/>
                  <v:path arrowok="t"/>
                  <v:textbox>
                    <w:txbxContent>
                      <w:p w14:paraId="6E0CA6D9" w14:textId="77777777" w:rsidR="004E3164" w:rsidRPr="002E7370" w:rsidRDefault="004E3164" w:rsidP="00F23A68">
                        <w:pPr>
                          <w:ind w:firstLine="0"/>
                          <w:jc w:val="center"/>
                          <w:rPr>
                            <w:sz w:val="20"/>
                          </w:rPr>
                        </w:pPr>
                        <w:r w:rsidRPr="002E7370">
                          <w:rPr>
                            <w:sz w:val="20"/>
                          </w:rPr>
                          <w:t>Изменение чрез, Анекс на Договор за БФП/ Заповед за изменение на Заповед за БФП (в случай, че бенефициент е УО на ОПТТИ)</w:t>
                        </w:r>
                      </w:p>
                      <w:p w14:paraId="7669BEF3" w14:textId="77777777" w:rsidR="004E3164" w:rsidRPr="002E7370" w:rsidRDefault="004E3164" w:rsidP="00F23A68">
                        <w:pPr>
                          <w:ind w:firstLine="0"/>
                          <w:jc w:val="center"/>
                          <w:rPr>
                            <w:sz w:val="20"/>
                          </w:rPr>
                        </w:pPr>
                      </w:p>
                      <w:p w14:paraId="51CF74AD" w14:textId="77777777" w:rsidR="004E3164" w:rsidRPr="002E7370" w:rsidRDefault="004E3164" w:rsidP="00F23A68">
                        <w:pPr>
                          <w:ind w:firstLine="0"/>
                          <w:jc w:val="center"/>
                          <w:rPr>
                            <w:sz w:val="20"/>
                          </w:rPr>
                        </w:pPr>
                      </w:p>
                    </w:txbxContent>
                  </v:textbox>
                </v:roundrect>
                <v:roundrect id="Rounded Rectangle 2140" o:spid="_x0000_s1634" style="position:absolute;left:6535;top:11392;width:3402;height:14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" fillcolor="#a3c4ff" strokecolor="#4a7ebb">
                  <v:fill color2="#e5eeff" rotate="t" angle="180" colors="0 #a3c4ff;22938f #bfd5ff;1 #e5eeff" focus="100%" type="gradient"/>
                  <v:shadow on="t" color="black" opacity="24903f" origin=",.5" offset="0,.55556mm"/>
                  <v:path arrowok="t"/>
                  <v:textbox>
                    <w:txbxContent>
                      <w:p w14:paraId="29EDB633" w14:textId="77777777" w:rsidR="004E3164" w:rsidRPr="002E7370" w:rsidRDefault="004E3164" w:rsidP="00F23A68">
                        <w:pPr>
                          <w:ind w:firstLine="0"/>
                          <w:jc w:val="center"/>
                          <w:rPr>
                            <w:sz w:val="20"/>
                          </w:rPr>
                        </w:pPr>
                        <w:r w:rsidRPr="002E7370">
                          <w:rPr>
                            <w:sz w:val="20"/>
                          </w:rPr>
                          <w:t>Промяна на Договор за БФП /Заповед за изменение на Заповед за БФП (в случай, че бенефициент е УО на ОПТТИ)</w:t>
                        </w:r>
                      </w:p>
                      <w:p w14:paraId="1F737B40" w14:textId="77777777" w:rsidR="004E3164" w:rsidRPr="002E7370" w:rsidRDefault="004E3164" w:rsidP="00F23A68">
                        <w:pPr>
                          <w:ind w:firstLine="0"/>
                          <w:jc w:val="center"/>
                          <w:rPr>
                            <w:sz w:val="20"/>
                          </w:rPr>
                        </w:pPr>
                      </w:p>
                    </w:txbxContent>
                  </v:textbox>
                </v:roundrect>
                <w10:anchorlock/>
              </v:group>
            </w:pict>
          </mc:Fallback>
        </mc:AlternateContent>
      </w:r>
    </w:p>
    <w:p w14:paraId="758D0928" w14:textId="77777777" w:rsidR="00E92230" w:rsidRPr="001B0EA3" w:rsidRDefault="00E92230" w:rsidP="00046D61">
      <w:pPr>
        <w:spacing w:before="120" w:after="120"/>
        <w:rPr>
          <w:szCs w:val="24"/>
          <w:lang w:eastAsia="bg-BG"/>
        </w:rPr>
      </w:pPr>
    </w:p>
    <w:p w14:paraId="3EA544EF" w14:textId="77777777" w:rsidR="00E92230" w:rsidRPr="001B0EA3" w:rsidRDefault="00E92230" w:rsidP="00046D61">
      <w:pPr>
        <w:numPr>
          <w:ilvl w:val="0"/>
          <w:numId w:val="162"/>
        </w:numPr>
        <w:tabs>
          <w:tab w:val="num" w:pos="993"/>
        </w:tabs>
        <w:spacing w:before="134"/>
        <w:ind w:left="0" w:firstLine="567"/>
        <w:rPr>
          <w:spacing w:val="10"/>
          <w:szCs w:val="24"/>
          <w:lang w:eastAsia="bg-BG"/>
        </w:rPr>
      </w:pPr>
      <w:r w:rsidRPr="001B0EA3">
        <w:rPr>
          <w:szCs w:val="24"/>
          <w:lang w:eastAsia="bg-BG"/>
        </w:rPr>
        <w:t>Административният договор, включително одобреният с него проект, може да бъде изменян и/или допълван по инициатива на УО или по искане на бенефициента, когато това се основава на свързани с процедурата промени в правото на Европейския съюз и/или българското законодателство, в политиката на европейско и/или национално ниво, произтичаща от стратегически документ, или в съответната програма (по чл. 39, ал. 1. от ЗУСЕСИФ).</w:t>
      </w:r>
    </w:p>
    <w:p w14:paraId="655252F9" w14:textId="77777777" w:rsidR="00E92230" w:rsidRPr="001B0EA3" w:rsidRDefault="00E92230" w:rsidP="00046D61">
      <w:pPr>
        <w:numPr>
          <w:ilvl w:val="0"/>
          <w:numId w:val="162"/>
        </w:numPr>
        <w:tabs>
          <w:tab w:val="num" w:pos="993"/>
        </w:tabs>
        <w:spacing w:before="134"/>
        <w:ind w:left="0" w:firstLine="567"/>
        <w:rPr>
          <w:spacing w:val="10"/>
          <w:szCs w:val="24"/>
          <w:lang w:eastAsia="bg-BG"/>
        </w:rPr>
      </w:pPr>
      <w:r w:rsidRPr="001B0EA3">
        <w:rPr>
          <w:szCs w:val="24"/>
          <w:lang w:eastAsia="bg-BG"/>
        </w:rPr>
        <w:t xml:space="preserve">При изменение по инициатива на Бенефициента, той трябва да представи искане за изменение на проекта на вниманието на УО в едномесечен срок преди датата на влизане в сила </w:t>
      </w:r>
      <w:r w:rsidRPr="001B0EA3">
        <w:rPr>
          <w:szCs w:val="24"/>
          <w:lang w:eastAsia="bg-BG"/>
        </w:rPr>
        <w:lastRenderedPageBreak/>
        <w:t xml:space="preserve">на исканото изменение, освен ако са налице особени обстоятелства, надлежно обосновани от Бенефициента и приети от Управляващия орган. Управляващият орган се произнася писмено или по електронен път, като стартира подготвянето, на анекс за изменение /въвеждането на промяна в срок до 15 работни дни от получаване на искането, като си запазва правото мотивирано да откаже исканото от Бенефициента изменение на договора. </w:t>
      </w:r>
    </w:p>
    <w:p w14:paraId="2246059B" w14:textId="77777777" w:rsidR="00E92230" w:rsidRPr="001B0EA3" w:rsidRDefault="00E92230" w:rsidP="00046D61">
      <w:pPr>
        <w:numPr>
          <w:ilvl w:val="0"/>
          <w:numId w:val="162"/>
        </w:numPr>
        <w:tabs>
          <w:tab w:val="num" w:pos="993"/>
        </w:tabs>
        <w:spacing w:before="134"/>
        <w:ind w:left="0" w:firstLine="567"/>
        <w:rPr>
          <w:spacing w:val="10"/>
          <w:szCs w:val="24"/>
          <w:lang w:eastAsia="bg-BG"/>
        </w:rPr>
      </w:pPr>
      <w:r w:rsidRPr="001B0EA3">
        <w:rPr>
          <w:b/>
          <w:szCs w:val="24"/>
          <w:lang w:eastAsia="bg-BG"/>
        </w:rPr>
        <w:t>Изменение</w:t>
      </w:r>
      <w:r w:rsidRPr="001B0EA3">
        <w:rPr>
          <w:szCs w:val="24"/>
          <w:lang w:eastAsia="bg-BG"/>
        </w:rPr>
        <w:t xml:space="preserve"> на проект влиза в сила </w:t>
      </w:r>
      <w:r w:rsidRPr="001B0EA3">
        <w:rPr>
          <w:b/>
          <w:szCs w:val="24"/>
          <w:lang w:eastAsia="bg-BG"/>
        </w:rPr>
        <w:t>след подписване на анекс</w:t>
      </w:r>
      <w:r w:rsidRPr="001B0EA3">
        <w:rPr>
          <w:szCs w:val="24"/>
          <w:lang w:eastAsia="bg-BG"/>
        </w:rPr>
        <w:t xml:space="preserve"> към административ</w:t>
      </w:r>
      <w:r w:rsidRPr="001B0EA3">
        <w:rPr>
          <w:spacing w:val="10"/>
          <w:szCs w:val="24"/>
          <w:lang w:eastAsia="bg-BG"/>
        </w:rPr>
        <w:t>ния договор между Управляващия орган и Бенефициента в следните случаи:</w:t>
      </w:r>
    </w:p>
    <w:p w14:paraId="7351DB67" w14:textId="77777777" w:rsidR="00E92230" w:rsidRPr="001B0EA3" w:rsidRDefault="00E92230" w:rsidP="00F068A3">
      <w:pPr>
        <w:tabs>
          <w:tab w:val="left" w:pos="2302"/>
        </w:tabs>
        <w:spacing w:after="120"/>
        <w:ind w:firstLine="567"/>
        <w:rPr>
          <w:szCs w:val="24"/>
          <w:lang w:eastAsia="en-US"/>
        </w:rPr>
      </w:pPr>
      <w:r w:rsidRPr="001B0EA3">
        <w:rPr>
          <w:szCs w:val="24"/>
          <w:lang w:eastAsia="en-US"/>
        </w:rPr>
        <w:t xml:space="preserve">а) изменение на първоначалните стойности на конкретните разходи, посочени в т. 5 „Бюджет“ на проектното предложение, когато се извършва преразпределение на БФП по типове разходи в бюджета на проекта, водещо до увеличаване или намаляване </w:t>
      </w:r>
      <w:r w:rsidRPr="001B0EA3">
        <w:rPr>
          <w:b/>
          <w:szCs w:val="24"/>
          <w:lang w:eastAsia="en-US"/>
        </w:rPr>
        <w:t>с повече от 10 %</w:t>
      </w:r>
      <w:r w:rsidRPr="001B0EA3">
        <w:rPr>
          <w:szCs w:val="24"/>
          <w:lang w:eastAsia="en-US"/>
        </w:rPr>
        <w:t xml:space="preserve"> за всеки засегнат от промяната тип разход, както и разделянето, окрупняването и отпадането на конкретни разходи (типове разходи). Бенефициентът няма право да приложи изменението преди да бъде одобрено от Управляващия орган и да бъде сключен анекс. </w:t>
      </w:r>
    </w:p>
    <w:p w14:paraId="265B054A" w14:textId="77777777" w:rsidR="00E92230" w:rsidRPr="001B0EA3" w:rsidRDefault="00E92230" w:rsidP="00F068A3">
      <w:pPr>
        <w:tabs>
          <w:tab w:val="left" w:pos="2302"/>
        </w:tabs>
        <w:spacing w:after="120"/>
        <w:ind w:firstLine="567"/>
        <w:rPr>
          <w:szCs w:val="24"/>
          <w:lang w:eastAsia="en-US"/>
        </w:rPr>
      </w:pPr>
      <w:r w:rsidRPr="001B0EA3">
        <w:rPr>
          <w:szCs w:val="24"/>
          <w:lang w:eastAsia="en-US"/>
        </w:rPr>
        <w:t>б) изменение на срока на проекта. Бенефициентът няма право да приложи изменението преди да бъде одобрено от Управляващия орган и да бъде сключен анекс;</w:t>
      </w:r>
    </w:p>
    <w:p w14:paraId="0CE6BFED" w14:textId="77777777" w:rsidR="00E92230" w:rsidRPr="001B0EA3" w:rsidRDefault="00E92230" w:rsidP="00F068A3">
      <w:pPr>
        <w:tabs>
          <w:tab w:val="left" w:pos="2302"/>
        </w:tabs>
        <w:spacing w:after="120"/>
        <w:ind w:firstLine="567"/>
        <w:rPr>
          <w:szCs w:val="24"/>
          <w:lang w:eastAsia="en-US"/>
        </w:rPr>
      </w:pPr>
      <w:r w:rsidRPr="001B0EA3">
        <w:rPr>
          <w:szCs w:val="24"/>
          <w:lang w:eastAsia="en-US"/>
        </w:rPr>
        <w:t>в) изменение в плана за изпълнение на дейностите;</w:t>
      </w:r>
    </w:p>
    <w:p w14:paraId="0B5DAAFC" w14:textId="77777777" w:rsidR="00E92230" w:rsidRPr="001B0EA3" w:rsidRDefault="00E92230" w:rsidP="00046D61">
      <w:pPr>
        <w:numPr>
          <w:ilvl w:val="0"/>
          <w:numId w:val="162"/>
        </w:numPr>
        <w:tabs>
          <w:tab w:val="num" w:pos="993"/>
        </w:tabs>
        <w:spacing w:before="134"/>
        <w:ind w:left="0" w:firstLine="567"/>
        <w:rPr>
          <w:spacing w:val="10"/>
          <w:szCs w:val="24"/>
          <w:lang w:eastAsia="bg-BG"/>
        </w:rPr>
      </w:pPr>
      <w:r w:rsidRPr="001B0EA3">
        <w:rPr>
          <w:b/>
          <w:szCs w:val="24"/>
          <w:lang w:eastAsia="bg-BG"/>
        </w:rPr>
        <w:t>За промяна</w:t>
      </w:r>
      <w:r w:rsidRPr="001B0EA3">
        <w:rPr>
          <w:szCs w:val="24"/>
          <w:lang w:eastAsia="bg-BG"/>
        </w:rPr>
        <w:t xml:space="preserve"> на проект не се подписва анекс, при настъпване на  посочените в настоящата точка обстоятелства, Бенефициентът следва да уведоми незабавно Управляващия орган и да обоснове необходимостта от извършване на съответната промяна, като анекс не се подписва. Бенефициентът има право да приложи промяната, за което писмено е уведомил Управляващия орган, като Управляващият орган може да възрази в срок от 15 работни дни от получаване на писменото уведомление. Посоченият ред  се прилага в следните случаи: </w:t>
      </w:r>
    </w:p>
    <w:p w14:paraId="23754EC1" w14:textId="77777777" w:rsidR="00E92230" w:rsidRPr="001B0EA3" w:rsidRDefault="00E92230" w:rsidP="00F068A3">
      <w:pPr>
        <w:tabs>
          <w:tab w:val="left" w:pos="2302"/>
        </w:tabs>
        <w:spacing w:after="120"/>
        <w:ind w:firstLine="567"/>
        <w:rPr>
          <w:szCs w:val="24"/>
          <w:lang w:eastAsia="en-US"/>
        </w:rPr>
      </w:pPr>
      <w:r w:rsidRPr="001B0EA3">
        <w:rPr>
          <w:szCs w:val="24"/>
          <w:lang w:eastAsia="en-US"/>
        </w:rPr>
        <w:t>а)   промяна в адреса за кореспонденция и контакти;</w:t>
      </w:r>
      <w:r w:rsidRPr="001B0EA3">
        <w:rPr>
          <w:szCs w:val="24"/>
          <w:lang w:eastAsia="en-US"/>
        </w:rPr>
        <w:tab/>
      </w:r>
    </w:p>
    <w:p w14:paraId="665B0758" w14:textId="77777777" w:rsidR="00E92230" w:rsidRPr="001B0EA3" w:rsidRDefault="00E92230" w:rsidP="00F068A3">
      <w:pPr>
        <w:tabs>
          <w:tab w:val="left" w:pos="2302"/>
        </w:tabs>
        <w:spacing w:after="120"/>
        <w:ind w:firstLine="567"/>
        <w:rPr>
          <w:szCs w:val="24"/>
          <w:lang w:eastAsia="en-US"/>
        </w:rPr>
      </w:pPr>
      <w:r w:rsidRPr="001B0EA3">
        <w:rPr>
          <w:szCs w:val="24"/>
          <w:lang w:eastAsia="en-US"/>
        </w:rPr>
        <w:t>б)  отстраняване на технически грешки в  проекта с изключение на промяна на минималните технически и функционални характеристики, съгласно одобрения ФК и индикатори;</w:t>
      </w:r>
    </w:p>
    <w:p w14:paraId="4D35B4E0" w14:textId="77777777" w:rsidR="00E92230" w:rsidRPr="001B0EA3" w:rsidRDefault="00E92230" w:rsidP="00F068A3">
      <w:pPr>
        <w:tabs>
          <w:tab w:val="left" w:pos="2302"/>
        </w:tabs>
        <w:spacing w:after="120"/>
        <w:ind w:firstLine="567"/>
        <w:rPr>
          <w:szCs w:val="24"/>
          <w:lang w:eastAsia="en-US"/>
        </w:rPr>
      </w:pPr>
      <w:r w:rsidRPr="001B0EA3">
        <w:rPr>
          <w:szCs w:val="24"/>
          <w:lang w:eastAsia="en-US"/>
        </w:rPr>
        <w:t>в)  промяна в седалището и адреса на управление;</w:t>
      </w:r>
    </w:p>
    <w:p w14:paraId="2068E386" w14:textId="77777777" w:rsidR="00E92230" w:rsidRPr="001B0EA3" w:rsidRDefault="00E92230" w:rsidP="00F068A3">
      <w:pPr>
        <w:tabs>
          <w:tab w:val="left" w:pos="2302"/>
        </w:tabs>
        <w:spacing w:after="120"/>
        <w:ind w:firstLine="567"/>
        <w:rPr>
          <w:szCs w:val="24"/>
          <w:lang w:eastAsia="en-US"/>
        </w:rPr>
      </w:pPr>
      <w:r w:rsidRPr="001B0EA3">
        <w:rPr>
          <w:szCs w:val="24"/>
          <w:lang w:eastAsia="en-US"/>
        </w:rPr>
        <w:t>г)  уеднаквяване на текстове в договора и/или приложенията към него;</w:t>
      </w:r>
    </w:p>
    <w:p w14:paraId="72ED3F9A" w14:textId="77777777" w:rsidR="00E92230" w:rsidRPr="001B0EA3" w:rsidRDefault="00E92230" w:rsidP="00F068A3">
      <w:pPr>
        <w:tabs>
          <w:tab w:val="left" w:pos="2302"/>
        </w:tabs>
        <w:spacing w:after="120"/>
        <w:ind w:firstLine="567"/>
        <w:rPr>
          <w:szCs w:val="24"/>
          <w:lang w:eastAsia="en-US"/>
        </w:rPr>
      </w:pPr>
      <w:r w:rsidRPr="001B0EA3">
        <w:rPr>
          <w:szCs w:val="24"/>
          <w:lang w:eastAsia="en-US"/>
        </w:rPr>
        <w:t xml:space="preserve">д)  промяна в бюджета на договора, свързана с прехвърляне на  средства в рамките на един „тип разходи“ или прехвърляне на средства от един „тип разходи“ в друг, като отклонението е </w:t>
      </w:r>
      <w:r w:rsidRPr="001B0EA3">
        <w:rPr>
          <w:b/>
          <w:szCs w:val="24"/>
          <w:lang w:eastAsia="en-US"/>
        </w:rPr>
        <w:t>под 10 %</w:t>
      </w:r>
      <w:r w:rsidRPr="001B0EA3">
        <w:rPr>
          <w:szCs w:val="24"/>
          <w:lang w:eastAsia="en-US"/>
        </w:rPr>
        <w:t xml:space="preserve"> от първоначално договорения размер за всеки засегнат от промяната тип разход (до 10% както за увеличения разход, така и до 10% за намаления разход), в случаите когато посоченото е в съответствие с Насоките за кандидатстване по ОПТТИ;</w:t>
      </w:r>
    </w:p>
    <w:p w14:paraId="12ADF26E" w14:textId="77777777" w:rsidR="00E92230" w:rsidRPr="001B0EA3" w:rsidRDefault="00E92230" w:rsidP="00F068A3">
      <w:pPr>
        <w:tabs>
          <w:tab w:val="left" w:pos="2302"/>
        </w:tabs>
        <w:spacing w:after="120"/>
        <w:ind w:firstLine="567"/>
        <w:rPr>
          <w:szCs w:val="24"/>
          <w:lang w:eastAsia="en-US"/>
        </w:rPr>
      </w:pPr>
      <w:r w:rsidRPr="001B0EA3">
        <w:rPr>
          <w:szCs w:val="24"/>
          <w:lang w:eastAsia="en-US"/>
        </w:rPr>
        <w:t>е)  промяна в екипа по проекта;</w:t>
      </w:r>
    </w:p>
    <w:p w14:paraId="363A26A0" w14:textId="77777777" w:rsidR="00E92230" w:rsidRPr="001B0EA3" w:rsidRDefault="00E92230" w:rsidP="00F068A3">
      <w:pPr>
        <w:tabs>
          <w:tab w:val="left" w:pos="2302"/>
        </w:tabs>
        <w:spacing w:after="120"/>
        <w:ind w:firstLine="567"/>
        <w:rPr>
          <w:szCs w:val="24"/>
          <w:lang w:eastAsia="en-US"/>
        </w:rPr>
      </w:pPr>
      <w:r w:rsidRPr="001B0EA3">
        <w:rPr>
          <w:szCs w:val="24"/>
          <w:lang w:eastAsia="en-US"/>
        </w:rPr>
        <w:t>ж) промяна в плана за външно възлагане.</w:t>
      </w:r>
    </w:p>
    <w:p w14:paraId="6FE89898" w14:textId="77777777" w:rsidR="00E92230" w:rsidRPr="001B0EA3" w:rsidRDefault="00E92230" w:rsidP="00046D61">
      <w:pPr>
        <w:numPr>
          <w:ilvl w:val="0"/>
          <w:numId w:val="162"/>
        </w:numPr>
        <w:tabs>
          <w:tab w:val="num" w:pos="993"/>
        </w:tabs>
        <w:spacing w:before="134"/>
        <w:ind w:left="0" w:firstLine="567"/>
        <w:rPr>
          <w:spacing w:val="10"/>
          <w:szCs w:val="24"/>
          <w:lang w:eastAsia="bg-BG"/>
        </w:rPr>
      </w:pPr>
      <w:r w:rsidRPr="001B0EA3">
        <w:rPr>
          <w:szCs w:val="24"/>
          <w:lang w:eastAsia="bg-BG"/>
        </w:rPr>
        <w:t>В случаите по т. 5), Управляващия орган може да не приеме направената промяна или да даде допълнителни указания на бенефициента когато:</w:t>
      </w:r>
    </w:p>
    <w:p w14:paraId="49330291" w14:textId="77777777" w:rsidR="00E92230" w:rsidRPr="001B0EA3" w:rsidRDefault="00E92230" w:rsidP="00F068A3">
      <w:pPr>
        <w:tabs>
          <w:tab w:val="left" w:pos="2302"/>
        </w:tabs>
        <w:spacing w:after="120"/>
        <w:ind w:left="928"/>
        <w:rPr>
          <w:szCs w:val="24"/>
          <w:lang w:eastAsia="en-US"/>
        </w:rPr>
      </w:pPr>
      <w:r w:rsidRPr="001B0EA3">
        <w:rPr>
          <w:szCs w:val="24"/>
          <w:lang w:eastAsia="en-US"/>
        </w:rPr>
        <w:t>а)   промяната по вид не е сред изброените в т. 5);</w:t>
      </w:r>
    </w:p>
    <w:p w14:paraId="44F65E8D" w14:textId="77777777" w:rsidR="00E92230" w:rsidRPr="001B0EA3" w:rsidRDefault="00E92230" w:rsidP="00F068A3">
      <w:pPr>
        <w:tabs>
          <w:tab w:val="left" w:pos="2302"/>
        </w:tabs>
        <w:spacing w:after="120"/>
        <w:ind w:left="928"/>
        <w:rPr>
          <w:szCs w:val="24"/>
          <w:lang w:eastAsia="en-US"/>
        </w:rPr>
      </w:pPr>
      <w:r w:rsidRPr="001B0EA3">
        <w:rPr>
          <w:szCs w:val="24"/>
          <w:lang w:eastAsia="en-US"/>
        </w:rPr>
        <w:t>б)  се нарушават условията на т. 9) от настоящите Условия за изпълнение на одобрени проекти;</w:t>
      </w:r>
    </w:p>
    <w:p w14:paraId="3A9613F3" w14:textId="77777777" w:rsidR="00E92230" w:rsidRPr="001B0EA3" w:rsidRDefault="00E92230" w:rsidP="00F068A3">
      <w:pPr>
        <w:tabs>
          <w:tab w:val="left" w:pos="2302"/>
        </w:tabs>
        <w:spacing w:after="120"/>
        <w:ind w:left="928"/>
        <w:rPr>
          <w:szCs w:val="24"/>
          <w:lang w:eastAsia="en-US"/>
        </w:rPr>
      </w:pPr>
      <w:r w:rsidRPr="001B0EA3">
        <w:rPr>
          <w:szCs w:val="24"/>
          <w:lang w:eastAsia="en-US"/>
        </w:rPr>
        <w:t>в)   не е добре обоснована необходимостта от извършването му.</w:t>
      </w:r>
    </w:p>
    <w:p w14:paraId="2A882B1E" w14:textId="77777777" w:rsidR="00E92230" w:rsidRPr="001B0EA3" w:rsidRDefault="00E92230" w:rsidP="00046D61">
      <w:pPr>
        <w:numPr>
          <w:ilvl w:val="0"/>
          <w:numId w:val="162"/>
        </w:numPr>
        <w:tabs>
          <w:tab w:val="num" w:pos="993"/>
        </w:tabs>
        <w:spacing w:before="134"/>
        <w:ind w:left="0" w:firstLine="567"/>
        <w:rPr>
          <w:spacing w:val="10"/>
          <w:szCs w:val="24"/>
          <w:lang w:eastAsia="bg-BG"/>
        </w:rPr>
      </w:pPr>
      <w:r w:rsidRPr="001B0EA3">
        <w:rPr>
          <w:szCs w:val="24"/>
          <w:lang w:eastAsia="bg-BG"/>
        </w:rPr>
        <w:t>Анекс не се сключва, но Бенефициентът е длъжен да уведоми Управляващия орган, като промяната на проекта влиза в сила след получаване на съгласие от страна на Управляващия орган, който се произнася в срок до 15 работни дни от получаване на уведомлението при промяна на следните обстоятелства:</w:t>
      </w:r>
    </w:p>
    <w:p w14:paraId="44EAEF92" w14:textId="77777777" w:rsidR="00E92230" w:rsidRPr="001B0EA3" w:rsidRDefault="00E92230" w:rsidP="00F068A3">
      <w:pPr>
        <w:tabs>
          <w:tab w:val="left" w:pos="2302"/>
        </w:tabs>
        <w:spacing w:after="120"/>
        <w:ind w:left="928"/>
        <w:rPr>
          <w:szCs w:val="24"/>
          <w:lang w:eastAsia="en-US"/>
        </w:rPr>
      </w:pPr>
      <w:r w:rsidRPr="001B0EA3">
        <w:rPr>
          <w:szCs w:val="24"/>
          <w:lang w:eastAsia="en-US"/>
        </w:rPr>
        <w:lastRenderedPageBreak/>
        <w:t>а)   промяна на законния/ите представляващ/и;</w:t>
      </w:r>
    </w:p>
    <w:p w14:paraId="03F58D6F" w14:textId="77777777" w:rsidR="00E92230" w:rsidRPr="001B0EA3" w:rsidRDefault="00E92230" w:rsidP="00F068A3">
      <w:pPr>
        <w:tabs>
          <w:tab w:val="left" w:pos="2302"/>
        </w:tabs>
        <w:spacing w:after="120"/>
        <w:ind w:left="928"/>
        <w:rPr>
          <w:szCs w:val="24"/>
          <w:lang w:eastAsia="en-US"/>
        </w:rPr>
      </w:pPr>
      <w:r w:rsidRPr="001B0EA3">
        <w:rPr>
          <w:szCs w:val="24"/>
          <w:lang w:eastAsia="en-US"/>
        </w:rPr>
        <w:t>б)   промени на минималните технически параметри, съгласно одобрения проект;</w:t>
      </w:r>
    </w:p>
    <w:p w14:paraId="7E3F832F" w14:textId="77777777" w:rsidR="00E92230" w:rsidRPr="001B0EA3" w:rsidRDefault="00E92230" w:rsidP="00F068A3">
      <w:pPr>
        <w:tabs>
          <w:tab w:val="left" w:pos="2302"/>
        </w:tabs>
        <w:spacing w:after="120"/>
        <w:ind w:left="928"/>
        <w:rPr>
          <w:szCs w:val="24"/>
          <w:lang w:eastAsia="en-US"/>
        </w:rPr>
      </w:pPr>
      <w:r w:rsidRPr="001B0EA3">
        <w:rPr>
          <w:szCs w:val="24"/>
          <w:lang w:eastAsia="en-US"/>
        </w:rPr>
        <w:t>в)  промени в заложени събития (семинари, конференции, обучения и т. н.);</w:t>
      </w:r>
    </w:p>
    <w:p w14:paraId="65989430" w14:textId="77777777" w:rsidR="00E92230" w:rsidRPr="001B0EA3" w:rsidRDefault="00E92230" w:rsidP="00F068A3">
      <w:pPr>
        <w:tabs>
          <w:tab w:val="left" w:pos="2302"/>
        </w:tabs>
        <w:spacing w:after="120"/>
        <w:ind w:left="928"/>
        <w:rPr>
          <w:szCs w:val="24"/>
          <w:lang w:eastAsia="en-US"/>
        </w:rPr>
      </w:pPr>
      <w:r w:rsidRPr="001B0EA3">
        <w:rPr>
          <w:szCs w:val="24"/>
          <w:lang w:eastAsia="en-US"/>
        </w:rPr>
        <w:t>г)    промяна в правно-организационната форма;</w:t>
      </w:r>
    </w:p>
    <w:p w14:paraId="2979E7DB" w14:textId="77777777" w:rsidR="00E92230" w:rsidRPr="001B0EA3" w:rsidRDefault="00E92230" w:rsidP="00F068A3">
      <w:pPr>
        <w:tabs>
          <w:tab w:val="left" w:pos="2302"/>
        </w:tabs>
        <w:spacing w:after="120"/>
        <w:ind w:left="928"/>
        <w:rPr>
          <w:szCs w:val="24"/>
          <w:lang w:eastAsia="en-US"/>
        </w:rPr>
      </w:pPr>
      <w:r w:rsidRPr="001B0EA3">
        <w:rPr>
          <w:szCs w:val="24"/>
          <w:lang w:eastAsia="en-US"/>
        </w:rPr>
        <w:t>д)   в случаите, които не са изрично посочени т. 4).</w:t>
      </w:r>
    </w:p>
    <w:p w14:paraId="44C07E0C" w14:textId="77777777" w:rsidR="00E92230" w:rsidRPr="001B0EA3" w:rsidRDefault="00E92230" w:rsidP="00046D61">
      <w:pPr>
        <w:numPr>
          <w:ilvl w:val="0"/>
          <w:numId w:val="162"/>
        </w:numPr>
        <w:tabs>
          <w:tab w:val="num" w:pos="993"/>
        </w:tabs>
        <w:spacing w:before="134"/>
        <w:ind w:left="0" w:firstLine="567"/>
        <w:rPr>
          <w:b/>
          <w:spacing w:val="10"/>
          <w:szCs w:val="24"/>
          <w:lang w:eastAsia="bg-BG"/>
        </w:rPr>
      </w:pPr>
      <w:r w:rsidRPr="001B0EA3">
        <w:rPr>
          <w:b/>
          <w:szCs w:val="24"/>
          <w:lang w:eastAsia="bg-BG"/>
        </w:rPr>
        <w:t>Недопустими са следните изменения и промени:</w:t>
      </w:r>
    </w:p>
    <w:p w14:paraId="27B062C2" w14:textId="77777777" w:rsidR="00E92230" w:rsidRPr="001B0EA3" w:rsidRDefault="00E92230" w:rsidP="00F068A3">
      <w:pPr>
        <w:tabs>
          <w:tab w:val="left" w:pos="2302"/>
        </w:tabs>
        <w:spacing w:after="120"/>
        <w:ind w:firstLine="567"/>
        <w:rPr>
          <w:szCs w:val="24"/>
          <w:lang w:eastAsia="en-US"/>
        </w:rPr>
      </w:pPr>
      <w:r w:rsidRPr="001B0EA3">
        <w:rPr>
          <w:szCs w:val="24"/>
          <w:lang w:eastAsia="en-US"/>
        </w:rPr>
        <w:t>а) Промени в бюджета на проекта, водещи до увеличаване на първоначално договорения процент и размер, предвидени в чл. 2.1 от административния договор за предоставяне на безвъзмездна финансова помощ, и/или водещи до превишаване на средствата по „тип разходи“, за които има определен размер в нормативен акт, в акт на правото на европейския съюз или в Насоките  по ОПТТИ;</w:t>
      </w:r>
    </w:p>
    <w:p w14:paraId="34C9827F" w14:textId="77777777" w:rsidR="00E92230" w:rsidRPr="001B0EA3" w:rsidRDefault="00E92230" w:rsidP="00F068A3">
      <w:pPr>
        <w:tabs>
          <w:tab w:val="left" w:pos="2302"/>
        </w:tabs>
        <w:spacing w:after="120"/>
        <w:ind w:firstLine="567"/>
        <w:rPr>
          <w:szCs w:val="24"/>
          <w:lang w:eastAsia="en-US"/>
        </w:rPr>
      </w:pPr>
      <w:r w:rsidRPr="001B0EA3">
        <w:rPr>
          <w:szCs w:val="24"/>
          <w:lang w:eastAsia="en-US"/>
        </w:rPr>
        <w:t xml:space="preserve">б) Промени, които поставят под въпрос постигането на основната цел и планираните резултати на проекта и имат за цел или резултат внасяне на изменения в проекта, които биха поставили под въпрос решението за отпускане на БФП. </w:t>
      </w:r>
    </w:p>
    <w:p w14:paraId="31A009B2" w14:textId="77777777" w:rsidR="00E92230" w:rsidRPr="001B0EA3" w:rsidRDefault="00E92230" w:rsidP="00F068A3">
      <w:pPr>
        <w:tabs>
          <w:tab w:val="left" w:pos="2302"/>
        </w:tabs>
        <w:spacing w:after="120"/>
        <w:ind w:firstLine="567"/>
        <w:rPr>
          <w:szCs w:val="24"/>
          <w:lang w:eastAsia="en-US"/>
        </w:rPr>
      </w:pPr>
      <w:r w:rsidRPr="001B0EA3">
        <w:rPr>
          <w:szCs w:val="24"/>
          <w:lang w:eastAsia="en-US"/>
        </w:rPr>
        <w:t>в) Промени, които биха представлявали нарушение на принципа на равнопоставеност на кандидатите и нарушават конкурентните условия, заложени в Насоките по ОПТТИ, и приложимата нормативна уредба към съответната процедура за предоставяне на безвъзмездна финансова помощ.</w:t>
      </w:r>
    </w:p>
    <w:p w14:paraId="63A0B70C" w14:textId="77777777" w:rsidR="00E92230" w:rsidRPr="001B0EA3" w:rsidRDefault="00E92230" w:rsidP="00F068A3">
      <w:pPr>
        <w:spacing w:after="240"/>
        <w:ind w:firstLine="567"/>
        <w:rPr>
          <w:szCs w:val="24"/>
          <w:lang w:eastAsia="en-US"/>
        </w:rPr>
      </w:pPr>
      <w:r w:rsidRPr="001B0EA3">
        <w:rPr>
          <w:szCs w:val="24"/>
          <w:lang w:eastAsia="en-US"/>
        </w:rPr>
        <w:t>г) Промени, които биха довели до несъответствие на проекта със съответните правила за държавна помощ.</w:t>
      </w:r>
    </w:p>
    <w:p w14:paraId="279B28D8" w14:textId="77777777" w:rsidR="00E92230" w:rsidRPr="001B0EA3" w:rsidRDefault="00E92230" w:rsidP="00046D61">
      <w:pPr>
        <w:numPr>
          <w:ilvl w:val="0"/>
          <w:numId w:val="162"/>
        </w:numPr>
        <w:tabs>
          <w:tab w:val="num" w:pos="993"/>
        </w:tabs>
        <w:spacing w:before="134"/>
        <w:ind w:left="0" w:firstLine="567"/>
        <w:rPr>
          <w:spacing w:val="10"/>
          <w:szCs w:val="24"/>
          <w:lang w:eastAsia="bg-BG"/>
        </w:rPr>
      </w:pPr>
      <w:r w:rsidRPr="001B0EA3">
        <w:rPr>
          <w:szCs w:val="24"/>
          <w:lang w:eastAsia="bg-BG"/>
        </w:rPr>
        <w:t>Одобреният с административния договор проект може да бъде изменян и/или допълван по мотивирано искане на бенефициента (</w:t>
      </w:r>
      <w:hyperlink r:id="rId176" w:tooltip="Писмо за промяна на договор за предоставяне на безвъзмездна финансова помощ " w:history="1">
        <w:r w:rsidR="00AE381A" w:rsidRPr="00251D03">
          <w:rPr>
            <w:rStyle w:val="Hyperlink"/>
            <w:i/>
            <w:szCs w:val="24"/>
            <w:lang w:eastAsia="bg-BG"/>
          </w:rPr>
          <w:t>Приложение № 3.12</w:t>
        </w:r>
      </w:hyperlink>
      <w:r w:rsidRPr="001B0EA3">
        <w:rPr>
          <w:szCs w:val="24"/>
          <w:lang w:eastAsia="bg-BG"/>
        </w:rPr>
        <w:t xml:space="preserve"> от ПНУИ на ОПТТИ) и извън случаите по т. 2). Промяната не може да води до нарушаване на принципите по чл. 29, ал. 1. от ЗУСЕСИФ. </w:t>
      </w:r>
    </w:p>
    <w:p w14:paraId="067AA603" w14:textId="77777777" w:rsidR="00E92230" w:rsidRPr="001B0EA3" w:rsidRDefault="00E92230" w:rsidP="00046D61">
      <w:pPr>
        <w:numPr>
          <w:ilvl w:val="0"/>
          <w:numId w:val="162"/>
        </w:numPr>
        <w:tabs>
          <w:tab w:val="num" w:pos="993"/>
        </w:tabs>
        <w:spacing w:before="134"/>
        <w:ind w:left="0" w:firstLine="567"/>
        <w:rPr>
          <w:spacing w:val="10"/>
          <w:szCs w:val="24"/>
          <w:lang w:eastAsia="bg-BG"/>
        </w:rPr>
      </w:pPr>
      <w:r w:rsidRPr="001B0EA3">
        <w:rPr>
          <w:szCs w:val="24"/>
          <w:lang w:eastAsia="bg-BG"/>
        </w:rPr>
        <w:t xml:space="preserve">Когато не е възможно да бъде приведен в съответствие с промяната по т. 2), както и при несъгласие на другата страна с нея, административният договор може да бъде едностранно прекратен. </w:t>
      </w:r>
    </w:p>
    <w:p w14:paraId="2A3F75C4" w14:textId="77777777" w:rsidR="00E92230" w:rsidRPr="001B0EA3" w:rsidRDefault="00E92230" w:rsidP="00046D61">
      <w:pPr>
        <w:numPr>
          <w:ilvl w:val="0"/>
          <w:numId w:val="162"/>
        </w:numPr>
        <w:tabs>
          <w:tab w:val="num" w:pos="993"/>
        </w:tabs>
        <w:spacing w:before="134"/>
        <w:ind w:left="0" w:firstLine="567"/>
        <w:rPr>
          <w:spacing w:val="10"/>
          <w:szCs w:val="24"/>
          <w:lang w:eastAsia="bg-BG"/>
        </w:rPr>
      </w:pPr>
      <w:r w:rsidRPr="001B0EA3">
        <w:rPr>
          <w:szCs w:val="24"/>
          <w:lang w:eastAsia="bg-BG"/>
        </w:rPr>
        <w:t>Финансирането с безвъзмездна финансова помощ може да се прекрати едностранно от Ръководителя на управляващия орган, когато бенефициент не сключи договор с изпълнител до 12 месеца от изтичането на срока, предвиден за неговото сключване. Случаите, при които този срок спира да тече, се определят с акта по чл. 28, ал. 1, т. 1. от ЗУСЕСИФ.</w:t>
      </w:r>
    </w:p>
    <w:p w14:paraId="5F95AE47" w14:textId="77777777" w:rsidR="00E92230" w:rsidRPr="001B0EA3" w:rsidRDefault="00E92230" w:rsidP="00046D61">
      <w:pPr>
        <w:numPr>
          <w:ilvl w:val="0"/>
          <w:numId w:val="162"/>
        </w:numPr>
        <w:tabs>
          <w:tab w:val="num" w:pos="993"/>
        </w:tabs>
        <w:spacing w:before="134"/>
        <w:ind w:left="0" w:firstLine="567"/>
        <w:rPr>
          <w:spacing w:val="10"/>
          <w:szCs w:val="24"/>
          <w:lang w:eastAsia="bg-BG"/>
        </w:rPr>
      </w:pPr>
      <w:r w:rsidRPr="001B0EA3">
        <w:rPr>
          <w:szCs w:val="24"/>
          <w:lang w:eastAsia="bg-BG"/>
        </w:rPr>
        <w:t>Ръководителят на УО може едностранно да прекрати административния договор и за да предотврати или отстрани тежки последици за обществения интерес.</w:t>
      </w:r>
    </w:p>
    <w:p w14:paraId="0C4BBDFA" w14:textId="77777777" w:rsidR="00E92230" w:rsidRPr="001B0EA3" w:rsidRDefault="00E92230" w:rsidP="00046D61">
      <w:pPr>
        <w:numPr>
          <w:ilvl w:val="0"/>
          <w:numId w:val="162"/>
        </w:numPr>
        <w:tabs>
          <w:tab w:val="num" w:pos="993"/>
        </w:tabs>
        <w:spacing w:before="134"/>
        <w:ind w:left="0" w:firstLine="567"/>
        <w:rPr>
          <w:spacing w:val="10"/>
          <w:szCs w:val="24"/>
          <w:lang w:eastAsia="bg-BG"/>
        </w:rPr>
      </w:pPr>
      <w:r w:rsidRPr="001B0EA3">
        <w:rPr>
          <w:szCs w:val="24"/>
          <w:lang w:eastAsia="bg-BG"/>
        </w:rPr>
        <w:t>Когато по сключен договор за предоставяне на БФП бенефициента  прецени, че няма да извършва дейности по проекта и няма да използва средства от  предоставената БФП за реализиране на проекта, бенефициента  може да внесе искане за прекратяване на договора в съответствие с изискванията на ПНУИ на ОПТТИ.</w:t>
      </w:r>
    </w:p>
    <w:p w14:paraId="50C3CDAD" w14:textId="77777777" w:rsidR="00E92230" w:rsidRPr="001B0EA3" w:rsidRDefault="00E92230" w:rsidP="00046D61">
      <w:pPr>
        <w:numPr>
          <w:ilvl w:val="0"/>
          <w:numId w:val="162"/>
        </w:numPr>
        <w:tabs>
          <w:tab w:val="num" w:pos="993"/>
        </w:tabs>
        <w:spacing w:before="134"/>
        <w:ind w:left="0" w:firstLine="567"/>
        <w:rPr>
          <w:spacing w:val="10"/>
          <w:szCs w:val="24"/>
          <w:lang w:eastAsia="bg-BG"/>
        </w:rPr>
      </w:pPr>
      <w:r w:rsidRPr="001B0EA3">
        <w:rPr>
          <w:szCs w:val="24"/>
          <w:lang w:eastAsia="bg-BG"/>
        </w:rPr>
        <w:t xml:space="preserve">Точки 2) – 13) се прилагат и когато безвъзмездната помощ е предоставена със заповед на Ръководителя на Управляващия орган, в случаите в които бенефициент е УО на ОПТТИ. </w:t>
      </w:r>
    </w:p>
    <w:p w14:paraId="02B645FC" w14:textId="77777777" w:rsidR="00E92230" w:rsidRPr="001B0EA3" w:rsidRDefault="00E92230" w:rsidP="00046D61">
      <w:pPr>
        <w:numPr>
          <w:ilvl w:val="0"/>
          <w:numId w:val="162"/>
        </w:numPr>
        <w:tabs>
          <w:tab w:val="num" w:pos="993"/>
        </w:tabs>
        <w:spacing w:before="134"/>
        <w:ind w:left="0" w:firstLine="567"/>
        <w:rPr>
          <w:szCs w:val="24"/>
          <w:lang w:eastAsia="bg-BG"/>
        </w:rPr>
      </w:pPr>
      <w:r w:rsidRPr="001B0EA3">
        <w:rPr>
          <w:szCs w:val="24"/>
          <w:lang w:eastAsia="bg-BG"/>
        </w:rPr>
        <w:t>В договора или в заповедта за предоставяне на БФП могат да се предвидят обстоятелства, при промяната на които бенефициентът уведомява УО на ОПТТИ без да е необходимо изменение на договора, съответно на заповедта.</w:t>
      </w:r>
    </w:p>
    <w:p w14:paraId="25A789BF" w14:textId="77777777" w:rsidR="00392B18" w:rsidRPr="00842ECC" w:rsidRDefault="00392B18" w:rsidP="00223233">
      <w:pPr>
        <w:pStyle w:val="Style3"/>
        <w:rPr>
          <w:lang w:val="bg-BG"/>
        </w:rPr>
      </w:pPr>
      <w:bookmarkStart w:id="733" w:name="_Toc479775680"/>
      <w:r w:rsidRPr="00842ECC">
        <w:rPr>
          <w:lang w:val="bg-BG"/>
        </w:rPr>
        <w:lastRenderedPageBreak/>
        <w:t>Процедура при изменение/ промяна на договор/заповед</w:t>
      </w:r>
      <w:bookmarkEnd w:id="733"/>
    </w:p>
    <w:p w14:paraId="275C3CE2" w14:textId="77777777" w:rsidR="00983B97" w:rsidRPr="00983B97" w:rsidRDefault="00392B18" w:rsidP="00046D61">
      <w:pPr>
        <w:pStyle w:val="ListParagraph"/>
        <w:numPr>
          <w:ilvl w:val="3"/>
          <w:numId w:val="4"/>
        </w:numPr>
        <w:tabs>
          <w:tab w:val="num" w:pos="1020"/>
        </w:tabs>
        <w:spacing w:before="134"/>
        <w:ind w:left="0" w:firstLine="567"/>
        <w:rPr>
          <w:szCs w:val="24"/>
          <w:lang w:eastAsia="bg-BG"/>
        </w:rPr>
      </w:pPr>
      <w:r w:rsidRPr="00983B97">
        <w:rPr>
          <w:szCs w:val="24"/>
          <w:lang w:eastAsia="bg-BG"/>
        </w:rPr>
        <w:t xml:space="preserve">След получаване на писмено искане </w:t>
      </w:r>
      <w:r w:rsidR="000E27A5" w:rsidRPr="00983B97">
        <w:rPr>
          <w:szCs w:val="24"/>
          <w:lang w:eastAsia="bg-BG"/>
        </w:rPr>
        <w:t>от</w:t>
      </w:r>
      <w:r w:rsidRPr="00983B97">
        <w:rPr>
          <w:szCs w:val="24"/>
          <w:lang w:eastAsia="bg-BG"/>
        </w:rPr>
        <w:t xml:space="preserve"> бенефициента или по инициатива на УО за изменение на административния договор</w:t>
      </w:r>
      <w:r w:rsidR="000E27A5" w:rsidRPr="00983B97">
        <w:rPr>
          <w:szCs w:val="24"/>
          <w:lang w:eastAsia="bg-BG"/>
        </w:rPr>
        <w:t>/ заповед</w:t>
      </w:r>
      <w:r w:rsidRPr="00983B97">
        <w:rPr>
          <w:szCs w:val="24"/>
          <w:lang w:eastAsia="bg-BG"/>
        </w:rPr>
        <w:t xml:space="preserve">, служител от отдел „Програмиране“ по резолюция на началника на отдел „Програмиране“ </w:t>
      </w:r>
      <w:r w:rsidR="00983B97" w:rsidRPr="00983B97">
        <w:rPr>
          <w:szCs w:val="24"/>
          <w:lang w:eastAsia="bg-BG"/>
        </w:rPr>
        <w:t>извършва анализ и изготвя мотивиран доклад, в който отразява становището по поисканите от бенефициента изменения.</w:t>
      </w:r>
    </w:p>
    <w:p w14:paraId="18986213" w14:textId="77777777" w:rsidR="000E27A5" w:rsidRPr="001B0EA3" w:rsidRDefault="00983B97" w:rsidP="00046D61">
      <w:pPr>
        <w:pStyle w:val="ListParagraph"/>
        <w:numPr>
          <w:ilvl w:val="3"/>
          <w:numId w:val="4"/>
        </w:numPr>
        <w:tabs>
          <w:tab w:val="num" w:pos="1020"/>
        </w:tabs>
        <w:spacing w:before="134"/>
        <w:ind w:left="0" w:firstLine="567"/>
        <w:rPr>
          <w:szCs w:val="24"/>
          <w:lang w:eastAsia="bg-BG"/>
        </w:rPr>
      </w:pPr>
      <w:r>
        <w:rPr>
          <w:szCs w:val="24"/>
          <w:lang w:eastAsia="bg-BG"/>
        </w:rPr>
        <w:t xml:space="preserve">След одобрение на доклада по т. 1 </w:t>
      </w:r>
      <w:r w:rsidRPr="000E27A5">
        <w:rPr>
          <w:szCs w:val="24"/>
          <w:lang w:eastAsia="bg-BG"/>
        </w:rPr>
        <w:t xml:space="preserve">служител от отдел </w:t>
      </w:r>
      <w:r w:rsidRPr="00A869FF">
        <w:rPr>
          <w:szCs w:val="24"/>
          <w:lang w:eastAsia="bg-BG"/>
        </w:rPr>
        <w:t>„Програмиране</w:t>
      </w:r>
      <w:r>
        <w:rPr>
          <w:szCs w:val="24"/>
          <w:lang w:eastAsia="bg-BG"/>
        </w:rPr>
        <w:t xml:space="preserve"> изготвя проект на анекс към договор/</w:t>
      </w:r>
      <w:r w:rsidR="00392B18" w:rsidRPr="001B0EA3">
        <w:rPr>
          <w:szCs w:val="24"/>
          <w:lang w:eastAsia="bg-BG"/>
        </w:rPr>
        <w:t xml:space="preserve"> заповед за изменение.</w:t>
      </w:r>
      <w:r w:rsidR="000E27A5" w:rsidRPr="001B0EA3">
        <w:rPr>
          <w:szCs w:val="24"/>
          <w:lang w:eastAsia="bg-BG"/>
        </w:rPr>
        <w:t xml:space="preserve"> </w:t>
      </w:r>
    </w:p>
    <w:p w14:paraId="28F740AE" w14:textId="77777777" w:rsidR="000E27A5" w:rsidRPr="001B0EA3" w:rsidRDefault="000E27A5" w:rsidP="00046D61">
      <w:pPr>
        <w:pStyle w:val="ListParagraph"/>
        <w:numPr>
          <w:ilvl w:val="3"/>
          <w:numId w:val="4"/>
        </w:numPr>
        <w:tabs>
          <w:tab w:val="num" w:pos="1020"/>
        </w:tabs>
        <w:spacing w:before="134"/>
        <w:ind w:left="0" w:firstLine="567"/>
        <w:rPr>
          <w:szCs w:val="24"/>
          <w:lang w:eastAsia="bg-BG"/>
        </w:rPr>
      </w:pPr>
      <w:r w:rsidRPr="001B0EA3">
        <w:rPr>
          <w:szCs w:val="24"/>
          <w:lang w:eastAsia="bg-BG"/>
        </w:rPr>
        <w:t xml:space="preserve">Всяко изменение на договора/заповедта за предоставяне на БФП се изпълнява процедурата по изготвяне и съгласуване, описана в точка 19.4. </w:t>
      </w:r>
    </w:p>
    <w:p w14:paraId="30791B85" w14:textId="77777777" w:rsidR="000E27A5" w:rsidRPr="001B0EA3" w:rsidRDefault="000E27A5" w:rsidP="00046D61">
      <w:pPr>
        <w:pStyle w:val="ListParagraph"/>
        <w:numPr>
          <w:ilvl w:val="3"/>
          <w:numId w:val="4"/>
        </w:numPr>
        <w:tabs>
          <w:tab w:val="num" w:pos="1020"/>
        </w:tabs>
        <w:spacing w:before="134"/>
        <w:ind w:left="0" w:firstLine="567"/>
        <w:rPr>
          <w:szCs w:val="24"/>
          <w:lang w:eastAsia="bg-BG"/>
        </w:rPr>
      </w:pPr>
      <w:r w:rsidRPr="001B0EA3">
        <w:rPr>
          <w:szCs w:val="24"/>
          <w:lang w:eastAsia="bg-BG"/>
        </w:rPr>
        <w:t xml:space="preserve">След подписване на изменение на административния договор/ издаване на заповедта за изменение в срок до 3 работни дни от регистрирането му в деловодната система на </w:t>
      </w:r>
      <w:r w:rsidR="00BB6BF6">
        <w:rPr>
          <w:szCs w:val="24"/>
          <w:lang w:eastAsia="bg-BG"/>
        </w:rPr>
        <w:t>МТС</w:t>
      </w:r>
      <w:r w:rsidRPr="001B0EA3">
        <w:rPr>
          <w:szCs w:val="24"/>
          <w:lang w:eastAsia="bg-BG"/>
        </w:rPr>
        <w:t>, служител от отдел „Програмиране“ въвежда информацията в модул „Договори“ на ИСУН 2020.</w:t>
      </w:r>
    </w:p>
    <w:p w14:paraId="31217BA8" w14:textId="77777777" w:rsidR="000E27A5" w:rsidRPr="001B0EA3" w:rsidRDefault="000E27A5" w:rsidP="00046D61">
      <w:pPr>
        <w:pStyle w:val="ListParagraph"/>
        <w:numPr>
          <w:ilvl w:val="3"/>
          <w:numId w:val="4"/>
        </w:numPr>
        <w:tabs>
          <w:tab w:val="num" w:pos="1020"/>
        </w:tabs>
        <w:spacing w:before="134"/>
        <w:ind w:left="0" w:firstLine="567"/>
        <w:rPr>
          <w:szCs w:val="24"/>
          <w:lang w:eastAsia="bg-BG"/>
        </w:rPr>
      </w:pPr>
      <w:r w:rsidRPr="001B0EA3">
        <w:rPr>
          <w:szCs w:val="24"/>
          <w:lang w:eastAsia="bg-BG"/>
        </w:rPr>
        <w:t>След постъпване на искане за промяна на административния договор/ промяна на заповедта в срок до 3 работни дни, служител от отдел „Програмиране“ въвежда информацията в модул „Договори“ на ИСУН 2020.</w:t>
      </w:r>
    </w:p>
    <w:p w14:paraId="6C91BAAA" w14:textId="77777777" w:rsidR="000E27A5" w:rsidRPr="001B0EA3" w:rsidRDefault="00A869FF" w:rsidP="00046D61">
      <w:pPr>
        <w:pStyle w:val="ListParagraph"/>
        <w:numPr>
          <w:ilvl w:val="3"/>
          <w:numId w:val="4"/>
        </w:numPr>
        <w:tabs>
          <w:tab w:val="num" w:pos="1020"/>
        </w:tabs>
        <w:spacing w:before="134"/>
        <w:ind w:left="0" w:firstLine="567"/>
        <w:rPr>
          <w:szCs w:val="24"/>
          <w:lang w:eastAsia="bg-BG"/>
        </w:rPr>
      </w:pPr>
      <w:r w:rsidRPr="001B0EA3">
        <w:rPr>
          <w:szCs w:val="24"/>
          <w:lang w:eastAsia="bg-BG"/>
        </w:rPr>
        <w:t xml:space="preserve">Срокът по т. 3) и т. 4 не се прилага в </w:t>
      </w:r>
      <w:r w:rsidR="000E27A5" w:rsidRPr="001B0EA3">
        <w:rPr>
          <w:szCs w:val="24"/>
          <w:lang w:eastAsia="bg-BG"/>
        </w:rPr>
        <w:t>случай, че информационната система ИСУН 2020  изведе съобщение за валидационни грешки, като например:</w:t>
      </w:r>
    </w:p>
    <w:p w14:paraId="2DB2F568" w14:textId="77777777" w:rsidR="000E27A5" w:rsidRPr="001B0EA3" w:rsidRDefault="000E27A5" w:rsidP="00046D61">
      <w:pPr>
        <w:spacing w:before="134"/>
        <w:ind w:firstLine="567"/>
        <w:rPr>
          <w:szCs w:val="24"/>
          <w:lang w:eastAsia="bg-BG"/>
        </w:rPr>
      </w:pPr>
      <w:r w:rsidRPr="001B0EA3">
        <w:rPr>
          <w:szCs w:val="24"/>
          <w:lang w:eastAsia="bg-BG"/>
        </w:rPr>
        <w:t>- Не може да се създаде нова версия на договор, когато съществува пакет отчетни документи, който не е в статус Приет или Отхвърлен.</w:t>
      </w:r>
    </w:p>
    <w:p w14:paraId="457D751E" w14:textId="77777777" w:rsidR="000E27A5" w:rsidRPr="001B0EA3" w:rsidRDefault="000E27A5" w:rsidP="00046D61">
      <w:pPr>
        <w:spacing w:before="134"/>
        <w:ind w:firstLine="567"/>
        <w:rPr>
          <w:b/>
          <w:szCs w:val="24"/>
          <w:lang w:eastAsia="bg-BG"/>
        </w:rPr>
      </w:pPr>
      <w:r w:rsidRPr="001B0EA3">
        <w:rPr>
          <w:szCs w:val="24"/>
          <w:lang w:eastAsia="bg-BG"/>
        </w:rPr>
        <w:t xml:space="preserve">- Не може да се създаде нова версия на договор, когато съществува </w:t>
      </w:r>
      <w:r w:rsidR="008C02DC" w:rsidRPr="001B0EA3">
        <w:rPr>
          <w:szCs w:val="24"/>
          <w:lang w:eastAsia="bg-BG"/>
        </w:rPr>
        <w:t>процедура</w:t>
      </w:r>
      <w:r w:rsidRPr="001B0EA3">
        <w:rPr>
          <w:szCs w:val="24"/>
          <w:lang w:eastAsia="bg-BG"/>
        </w:rPr>
        <w:t xml:space="preserve"> за избор на изпълнител и сключени договори, която не е в статус Актуален или Архивиран.</w:t>
      </w:r>
    </w:p>
    <w:p w14:paraId="7902CDAC" w14:textId="77777777" w:rsidR="000E27A5" w:rsidRPr="001B0EA3" w:rsidRDefault="000E27A5" w:rsidP="00046D61">
      <w:pPr>
        <w:spacing w:before="134"/>
        <w:ind w:firstLine="567"/>
        <w:rPr>
          <w:b/>
          <w:szCs w:val="24"/>
          <w:lang w:eastAsia="bg-BG"/>
        </w:rPr>
      </w:pPr>
      <w:r w:rsidRPr="001B0EA3">
        <w:rPr>
          <w:szCs w:val="24"/>
          <w:lang w:eastAsia="bg-BG"/>
        </w:rPr>
        <w:t>- Не може да се създаде нова версия на договор, когато съществува план за разходване на средствата, който не е в статус Актуален или Архивиран.</w:t>
      </w:r>
    </w:p>
    <w:p w14:paraId="7B992E26" w14:textId="77777777" w:rsidR="000E27A5" w:rsidRPr="001B0EA3" w:rsidRDefault="00A869FF" w:rsidP="00046D61">
      <w:pPr>
        <w:pStyle w:val="ListParagraph"/>
        <w:numPr>
          <w:ilvl w:val="3"/>
          <w:numId w:val="4"/>
        </w:numPr>
        <w:tabs>
          <w:tab w:val="num" w:pos="1020"/>
        </w:tabs>
        <w:spacing w:before="134"/>
        <w:ind w:left="0" w:firstLine="567"/>
        <w:rPr>
          <w:szCs w:val="24"/>
          <w:lang w:eastAsia="bg-BG"/>
        </w:rPr>
      </w:pPr>
      <w:r w:rsidRPr="001B0EA3">
        <w:rPr>
          <w:szCs w:val="24"/>
          <w:lang w:eastAsia="bg-BG"/>
        </w:rPr>
        <w:t xml:space="preserve">Промяната/ изменението на договора/ заповедта се отразява в ИСУН 2020 от отговорния служител от отдел „Програмиране“ след отстраняване на валидационните грешки по т. 5) (въвеждане на информацията от Бенефициента в полетата, пакет отчетни документи е със статус </w:t>
      </w:r>
      <w:r w:rsidR="008C02DC" w:rsidRPr="001B0EA3">
        <w:rPr>
          <w:szCs w:val="24"/>
          <w:lang w:eastAsia="bg-BG"/>
        </w:rPr>
        <w:t>актуален</w:t>
      </w:r>
      <w:r w:rsidRPr="001B0EA3">
        <w:rPr>
          <w:szCs w:val="24"/>
          <w:lang w:eastAsia="bg-BG"/>
        </w:rPr>
        <w:t xml:space="preserve"> и т.н.).</w:t>
      </w:r>
    </w:p>
    <w:p w14:paraId="3E8C72F2" w14:textId="77777777" w:rsidR="000E27A5" w:rsidRPr="001B0EA3" w:rsidRDefault="000E27A5" w:rsidP="00CC313F">
      <w:pPr>
        <w:pStyle w:val="ListParagraph"/>
        <w:spacing w:before="134"/>
        <w:ind w:left="0"/>
        <w:rPr>
          <w:szCs w:val="24"/>
          <w:lang w:eastAsia="bg-BG"/>
        </w:rPr>
      </w:pPr>
    </w:p>
    <w:p w14:paraId="2D229398" w14:textId="77777777" w:rsidR="00D603F5" w:rsidRPr="00842ECC" w:rsidRDefault="00D603F5" w:rsidP="00B502C7">
      <w:pPr>
        <w:pStyle w:val="Style2"/>
        <w:rPr>
          <w:lang w:val="bg-BG" w:eastAsia="bg-BG"/>
        </w:rPr>
      </w:pPr>
      <w:bookmarkStart w:id="734" w:name="_Toc479775232"/>
      <w:bookmarkStart w:id="735" w:name="_Toc479775233"/>
      <w:bookmarkStart w:id="736" w:name="_Toc479775234"/>
      <w:bookmarkStart w:id="737" w:name="_Toc464561714"/>
      <w:bookmarkStart w:id="738" w:name="_Toc464573426"/>
      <w:bookmarkStart w:id="739" w:name="_Toc464573879"/>
      <w:bookmarkStart w:id="740" w:name="_Toc464561715"/>
      <w:bookmarkStart w:id="741" w:name="_Toc464573427"/>
      <w:bookmarkStart w:id="742" w:name="_Toc464573880"/>
      <w:bookmarkStart w:id="743" w:name="_Toc464561716"/>
      <w:bookmarkStart w:id="744" w:name="_Toc464573428"/>
      <w:bookmarkStart w:id="745" w:name="_Toc464573881"/>
      <w:bookmarkStart w:id="746" w:name="_Toc464561717"/>
      <w:bookmarkStart w:id="747" w:name="_Toc464573429"/>
      <w:bookmarkStart w:id="748" w:name="_Toc464573882"/>
      <w:bookmarkStart w:id="749" w:name="_Toc464561718"/>
      <w:bookmarkStart w:id="750" w:name="_Toc464573430"/>
      <w:bookmarkStart w:id="751" w:name="_Toc464573883"/>
      <w:bookmarkStart w:id="752" w:name="_Toc464561719"/>
      <w:bookmarkStart w:id="753" w:name="_Toc464573431"/>
      <w:bookmarkStart w:id="754" w:name="_Toc464573884"/>
      <w:bookmarkStart w:id="755" w:name="_Toc464561720"/>
      <w:bookmarkStart w:id="756" w:name="_Toc464573432"/>
      <w:bookmarkStart w:id="757" w:name="_Toc464573885"/>
      <w:bookmarkStart w:id="758" w:name="_Toc464561721"/>
      <w:bookmarkStart w:id="759" w:name="_Toc464573433"/>
      <w:bookmarkStart w:id="760" w:name="_Toc464573886"/>
      <w:bookmarkStart w:id="761" w:name="_Toc464561722"/>
      <w:bookmarkStart w:id="762" w:name="_Toc464573434"/>
      <w:bookmarkStart w:id="763" w:name="_Toc464573887"/>
      <w:bookmarkStart w:id="764" w:name="_Toc464561723"/>
      <w:bookmarkStart w:id="765" w:name="_Toc464573435"/>
      <w:bookmarkStart w:id="766" w:name="_Toc464573888"/>
      <w:bookmarkStart w:id="767" w:name="_Toc464561724"/>
      <w:bookmarkStart w:id="768" w:name="_Toc464573436"/>
      <w:bookmarkStart w:id="769" w:name="_Toc464573889"/>
      <w:bookmarkStart w:id="770" w:name="_Toc464561725"/>
      <w:bookmarkStart w:id="771" w:name="_Toc464573437"/>
      <w:bookmarkStart w:id="772" w:name="_Toc464573890"/>
      <w:bookmarkStart w:id="773" w:name="_Toc464561726"/>
      <w:bookmarkStart w:id="774" w:name="_Toc464573438"/>
      <w:bookmarkStart w:id="775" w:name="_Toc464573891"/>
      <w:bookmarkStart w:id="776" w:name="_Toc464561727"/>
      <w:bookmarkStart w:id="777" w:name="_Toc464573439"/>
      <w:bookmarkStart w:id="778" w:name="_Toc464573892"/>
      <w:bookmarkStart w:id="779" w:name="_Toc464561728"/>
      <w:bookmarkStart w:id="780" w:name="_Toc464573440"/>
      <w:bookmarkStart w:id="781" w:name="_Toc464573893"/>
      <w:bookmarkStart w:id="782" w:name="_Toc464561729"/>
      <w:bookmarkStart w:id="783" w:name="_Toc464573441"/>
      <w:bookmarkStart w:id="784" w:name="_Toc464573894"/>
      <w:bookmarkStart w:id="785" w:name="_Toc464561730"/>
      <w:bookmarkStart w:id="786" w:name="_Toc464573442"/>
      <w:bookmarkStart w:id="787" w:name="_Toc464573895"/>
      <w:bookmarkStart w:id="788" w:name="_Toc464561731"/>
      <w:bookmarkStart w:id="789" w:name="_Toc464573443"/>
      <w:bookmarkStart w:id="790" w:name="_Toc464573896"/>
      <w:bookmarkStart w:id="791" w:name="_Toc464561732"/>
      <w:bookmarkStart w:id="792" w:name="_Toc464573444"/>
      <w:bookmarkStart w:id="793" w:name="_Toc464573897"/>
      <w:bookmarkStart w:id="794" w:name="_Toc464561733"/>
      <w:bookmarkStart w:id="795" w:name="_Toc464573445"/>
      <w:bookmarkStart w:id="796" w:name="_Toc464573898"/>
      <w:bookmarkStart w:id="797" w:name="_Toc464561734"/>
      <w:bookmarkStart w:id="798" w:name="_Toc464573446"/>
      <w:bookmarkStart w:id="799" w:name="_Toc464573899"/>
      <w:bookmarkStart w:id="800" w:name="_Toc464561735"/>
      <w:bookmarkStart w:id="801" w:name="_Toc464573447"/>
      <w:bookmarkStart w:id="802" w:name="_Toc464573900"/>
      <w:bookmarkStart w:id="803" w:name="_Toc464561736"/>
      <w:bookmarkStart w:id="804" w:name="_Toc464573448"/>
      <w:bookmarkStart w:id="805" w:name="_Toc464573901"/>
      <w:bookmarkStart w:id="806" w:name="_Toc464561737"/>
      <w:bookmarkStart w:id="807" w:name="_Toc464573449"/>
      <w:bookmarkStart w:id="808" w:name="_Toc464573902"/>
      <w:bookmarkStart w:id="809" w:name="_Toc464561738"/>
      <w:bookmarkStart w:id="810" w:name="_Toc464573450"/>
      <w:bookmarkStart w:id="811" w:name="_Toc464573903"/>
      <w:bookmarkStart w:id="812" w:name="_Toc464561739"/>
      <w:bookmarkStart w:id="813" w:name="_Toc464573451"/>
      <w:bookmarkStart w:id="814" w:name="_Toc464573904"/>
      <w:bookmarkStart w:id="815" w:name="_Toc464561740"/>
      <w:bookmarkStart w:id="816" w:name="_Toc464573452"/>
      <w:bookmarkStart w:id="817" w:name="_Toc464573905"/>
      <w:bookmarkStart w:id="818" w:name="_Toc464561741"/>
      <w:bookmarkStart w:id="819" w:name="_Toc464573453"/>
      <w:bookmarkStart w:id="820" w:name="_Toc464573906"/>
      <w:bookmarkStart w:id="821" w:name="_Toc464561742"/>
      <w:bookmarkStart w:id="822" w:name="_Toc464573454"/>
      <w:bookmarkStart w:id="823" w:name="_Toc464573907"/>
      <w:bookmarkStart w:id="824" w:name="_Toc464561743"/>
      <w:bookmarkStart w:id="825" w:name="_Toc464573455"/>
      <w:bookmarkStart w:id="826" w:name="_Toc464573908"/>
      <w:bookmarkStart w:id="827" w:name="_Toc464561744"/>
      <w:bookmarkStart w:id="828" w:name="_Toc464573456"/>
      <w:bookmarkStart w:id="829" w:name="_Toc464573909"/>
      <w:bookmarkStart w:id="830" w:name="_Toc464561745"/>
      <w:bookmarkStart w:id="831" w:name="_Toc464573457"/>
      <w:bookmarkStart w:id="832" w:name="_Toc464573910"/>
      <w:bookmarkStart w:id="833" w:name="_Toc464561746"/>
      <w:bookmarkStart w:id="834" w:name="_Toc464573458"/>
      <w:bookmarkStart w:id="835" w:name="_Toc464573911"/>
      <w:bookmarkStart w:id="836" w:name="_Toc464561747"/>
      <w:bookmarkStart w:id="837" w:name="_Toc464573459"/>
      <w:bookmarkStart w:id="838" w:name="_Toc464573912"/>
      <w:bookmarkStart w:id="839" w:name="_Toc464561748"/>
      <w:bookmarkStart w:id="840" w:name="_Toc464573460"/>
      <w:bookmarkStart w:id="841" w:name="_Toc464573913"/>
      <w:bookmarkStart w:id="842" w:name="_Toc464561749"/>
      <w:bookmarkStart w:id="843" w:name="_Toc464573461"/>
      <w:bookmarkStart w:id="844" w:name="_Toc464573914"/>
      <w:bookmarkStart w:id="845" w:name="_Toc464561750"/>
      <w:bookmarkStart w:id="846" w:name="_Toc464573462"/>
      <w:bookmarkStart w:id="847" w:name="_Toc464573915"/>
      <w:bookmarkStart w:id="848" w:name="_Toc464561751"/>
      <w:bookmarkStart w:id="849" w:name="_Toc464573463"/>
      <w:bookmarkStart w:id="850" w:name="_Toc464573916"/>
      <w:bookmarkStart w:id="851" w:name="_Toc464561752"/>
      <w:bookmarkStart w:id="852" w:name="_Toc464573464"/>
      <w:bookmarkStart w:id="853" w:name="_Toc464573917"/>
      <w:bookmarkStart w:id="854" w:name="_Toc479775681"/>
      <w:bookmarkStart w:id="855" w:name="_Toc140150232"/>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rsidRPr="00842ECC">
        <w:rPr>
          <w:lang w:val="bg-BG" w:eastAsia="bg-BG"/>
        </w:rPr>
        <w:t xml:space="preserve">Приключване на </w:t>
      </w:r>
      <w:r w:rsidR="0043670E" w:rsidRPr="00842ECC">
        <w:rPr>
          <w:lang w:val="bg-BG" w:eastAsia="bg-BG"/>
        </w:rPr>
        <w:t>Административен д</w:t>
      </w:r>
      <w:r w:rsidRPr="00842ECC">
        <w:rPr>
          <w:lang w:val="bg-BG" w:eastAsia="bg-BG"/>
        </w:rPr>
        <w:t>оговор/Заповед за предоставяне на безвъзмездна финансова помощ</w:t>
      </w:r>
      <w:bookmarkEnd w:id="854"/>
      <w:bookmarkEnd w:id="855"/>
    </w:p>
    <w:p w14:paraId="2284F45B" w14:textId="77777777" w:rsidR="00D603F5" w:rsidRPr="001B0EA3" w:rsidRDefault="00D603F5" w:rsidP="007A6D76">
      <w:r w:rsidRPr="001B0EA3">
        <w:t xml:space="preserve">Изпълнението на дейностите от страна на бенефициента по </w:t>
      </w:r>
      <w:r w:rsidR="0043670E" w:rsidRPr="001B0EA3">
        <w:t xml:space="preserve">административен </w:t>
      </w:r>
      <w:r w:rsidRPr="001B0EA3">
        <w:t xml:space="preserve">договор/заповед за БФП се счита за приключило с подаването на искане за окончателно плащане по проекта. </w:t>
      </w:r>
    </w:p>
    <w:p w14:paraId="619EFB22" w14:textId="77777777" w:rsidR="00D603F5" w:rsidRPr="001B0EA3" w:rsidRDefault="00D603F5" w:rsidP="007A6D76">
      <w:pPr>
        <w:pStyle w:val="ListParagraph"/>
        <w:numPr>
          <w:ilvl w:val="0"/>
          <w:numId w:val="283"/>
        </w:numPr>
        <w:tabs>
          <w:tab w:val="left" w:pos="1134"/>
        </w:tabs>
        <w:ind w:left="0" w:firstLine="851"/>
      </w:pPr>
      <w:r w:rsidRPr="001B0EA3">
        <w:t>Ангажиментът на УО на ОПТТИ за изплащане на БФП по даден договор/заповед за предоставяне на БФП се счита за приключил след изплащане на бенефициента на цялата одобрена в искания за плащане от  УО на ОПТТИ безвъзмездна помощ по проекта към бенефициента.</w:t>
      </w:r>
    </w:p>
    <w:p w14:paraId="2B152A69" w14:textId="77777777" w:rsidR="00D603F5" w:rsidRPr="001B0EA3" w:rsidRDefault="00D603F5" w:rsidP="007A6D76">
      <w:pPr>
        <w:pStyle w:val="ListParagraph"/>
        <w:numPr>
          <w:ilvl w:val="0"/>
          <w:numId w:val="283"/>
        </w:numPr>
        <w:tabs>
          <w:tab w:val="left" w:pos="1134"/>
        </w:tabs>
        <w:ind w:left="0" w:firstLine="851"/>
      </w:pPr>
      <w:r w:rsidRPr="001B0EA3">
        <w:t xml:space="preserve">В срок до 5 работни дни от извършване на окончателно плащане по договор за предоставяне на БФП, отдел „Финансово управление” представя в отдел „Програмиране” с писмо информация за пълния размер на изплатените и верифицирани средства по дейности по договора. </w:t>
      </w:r>
    </w:p>
    <w:p w14:paraId="6608B690" w14:textId="77777777" w:rsidR="00D603F5" w:rsidRPr="001B0EA3" w:rsidRDefault="00D603F5" w:rsidP="007A6D76">
      <w:pPr>
        <w:pStyle w:val="ListParagraph"/>
        <w:numPr>
          <w:ilvl w:val="0"/>
          <w:numId w:val="283"/>
        </w:numPr>
        <w:tabs>
          <w:tab w:val="left" w:pos="1134"/>
        </w:tabs>
        <w:ind w:left="0" w:firstLine="851"/>
      </w:pPr>
      <w:r w:rsidRPr="001B0EA3">
        <w:t>В случай, че по конкретен договор има неусвоени и/или неверифицирани средства, размерът на отпуснатата БФП по проекта се намалява и неусвоените средства по договора се прибавят към свободните за договориране средства на приоритетната ос.</w:t>
      </w:r>
    </w:p>
    <w:p w14:paraId="7750A9E5" w14:textId="77777777" w:rsidR="00D603F5" w:rsidRDefault="00D603F5" w:rsidP="007A6D76">
      <w:pPr>
        <w:pStyle w:val="ListParagraph"/>
        <w:numPr>
          <w:ilvl w:val="0"/>
          <w:numId w:val="283"/>
        </w:numPr>
        <w:tabs>
          <w:tab w:val="left" w:pos="1134"/>
        </w:tabs>
        <w:ind w:left="0" w:firstLine="851"/>
      </w:pPr>
      <w:bookmarkStart w:id="856" w:name="_Ref395539445"/>
      <w:r w:rsidRPr="001B0EA3">
        <w:t>Когато по сключен договор за предоставяне на БФП бенефициента  прецени, че няма да извършва дейности по проекта и няма да използва средства от  предоставената БФП за реализиране на проекта, бенефициента  може да внесе искане за прекратяване на договора.</w:t>
      </w:r>
      <w:bookmarkEnd w:id="856"/>
    </w:p>
    <w:p w14:paraId="6C92B27F" w14:textId="77777777" w:rsidR="007A6D76" w:rsidRPr="001B0EA3" w:rsidRDefault="007A6D76" w:rsidP="007A6D76"/>
    <w:p w14:paraId="5B84D50F" w14:textId="770CF319" w:rsidR="00544EB4" w:rsidRDefault="00544EB4" w:rsidP="006A6D08">
      <w:r>
        <w:t>А</w:t>
      </w:r>
      <w:r w:rsidR="00D603F5" w:rsidRPr="001B0EA3">
        <w:t xml:space="preserve">ко към момента на подаване на искането за прекратяване на договора по </w:t>
      </w:r>
      <w:r w:rsidR="00D603F5" w:rsidRPr="001B0EA3">
        <w:rPr>
          <w:b/>
        </w:rPr>
        <w:t xml:space="preserve">точка </w:t>
      </w:r>
      <w:r w:rsidR="00D603F5" w:rsidRPr="001B0EA3">
        <w:fldChar w:fldCharType="begin"/>
      </w:r>
      <w:r w:rsidR="00D603F5" w:rsidRPr="001B0EA3">
        <w:instrText xml:space="preserve"> REF _Ref395539445 \r \h  \* MERGEFORMAT </w:instrText>
      </w:r>
      <w:r w:rsidR="00D603F5" w:rsidRPr="001B0EA3">
        <w:fldChar w:fldCharType="separate"/>
      </w:r>
      <w:r w:rsidR="00F22141" w:rsidRPr="00F22141">
        <w:rPr>
          <w:b/>
        </w:rPr>
        <w:t>4)</w:t>
      </w:r>
      <w:r w:rsidR="00D603F5" w:rsidRPr="001B0EA3">
        <w:fldChar w:fldCharType="end"/>
      </w:r>
      <w:r w:rsidR="00D603F5" w:rsidRPr="001B0EA3">
        <w:t xml:space="preserve">, няма извършени дейности по проекта, не са подавани в УО на ОПТТИ доклади за изпълнението на проекта и по проекта не са изплащани средства от ОПТТИ по авансови и междини искания за плащане </w:t>
      </w:r>
      <w:r>
        <w:t>н</w:t>
      </w:r>
      <w:r w:rsidR="00D603F5" w:rsidRPr="001B0EA3">
        <w:t xml:space="preserve">е </w:t>
      </w:r>
      <w:r>
        <w:t xml:space="preserve">е </w:t>
      </w:r>
      <w:r w:rsidR="00D603F5" w:rsidRPr="001B0EA3">
        <w:t>необходимо да се изпълняват процедурите по приключване на договор</w:t>
      </w:r>
      <w:r>
        <w:t xml:space="preserve"> чрез подаване на Окончателен доклад и Окончателно искане за плащане.</w:t>
      </w:r>
    </w:p>
    <w:p w14:paraId="11EE8CF3" w14:textId="77777777" w:rsidR="00D603F5" w:rsidRPr="001B0EA3" w:rsidRDefault="00D603F5" w:rsidP="006A6D08">
      <w:r w:rsidRPr="001B0EA3">
        <w:t>УО на ОПТТИ може да отпише задължения и да намали ангажиментите си към Бенефициентите по даден договор за БФП само въз основата на подписан анекс за промяна</w:t>
      </w:r>
      <w:r w:rsidR="00544EB4">
        <w:t>/прекратяване</w:t>
      </w:r>
      <w:r w:rsidRPr="001B0EA3">
        <w:t xml:space="preserve"> на договора.</w:t>
      </w:r>
    </w:p>
    <w:p w14:paraId="07A1FA5B" w14:textId="77777777" w:rsidR="001C2346" w:rsidRPr="001B0EA3" w:rsidRDefault="001C2346" w:rsidP="00F068A3">
      <w:pPr>
        <w:jc w:val="left"/>
        <w:rPr>
          <w:b/>
          <w:bCs/>
          <w:kern w:val="28"/>
          <w:szCs w:val="24"/>
          <w:lang w:eastAsia="bg-BG"/>
        </w:rPr>
      </w:pPr>
      <w:r w:rsidRPr="001B0EA3">
        <w:rPr>
          <w:szCs w:val="24"/>
          <w:lang w:eastAsia="bg-BG"/>
        </w:rPr>
        <w:br w:type="page"/>
      </w:r>
    </w:p>
    <w:p w14:paraId="6C0E31C0" w14:textId="77777777" w:rsidR="00D603F5" w:rsidRPr="001B0EA3" w:rsidRDefault="00D603F5" w:rsidP="00046D61">
      <w:pPr>
        <w:pStyle w:val="Title"/>
        <w:spacing w:after="240"/>
        <w:ind w:firstLine="0"/>
        <w:jc w:val="center"/>
        <w:rPr>
          <w:rFonts w:ascii="Times New Roman" w:hAnsi="Times New Roman"/>
          <w:sz w:val="24"/>
          <w:szCs w:val="24"/>
          <w:lang w:eastAsia="bg-BG"/>
        </w:rPr>
      </w:pPr>
      <w:bookmarkStart w:id="857" w:name="_Toc479775682"/>
      <w:bookmarkStart w:id="858" w:name="_Toc140150233"/>
      <w:r w:rsidRPr="001B0EA3">
        <w:rPr>
          <w:rFonts w:ascii="Times New Roman" w:hAnsi="Times New Roman"/>
          <w:sz w:val="24"/>
          <w:szCs w:val="24"/>
          <w:lang w:eastAsia="bg-BG"/>
        </w:rPr>
        <w:lastRenderedPageBreak/>
        <w:t>ГЛАВА 4</w:t>
      </w:r>
      <w:r w:rsidRPr="001B0EA3">
        <w:rPr>
          <w:rFonts w:ascii="Times New Roman" w:hAnsi="Times New Roman"/>
          <w:sz w:val="24"/>
          <w:szCs w:val="24"/>
          <w:lang w:eastAsia="bg-BG"/>
        </w:rPr>
        <w:br/>
        <w:t>ОБЩЕСТВЕНИ ПОРЪЧКИ</w:t>
      </w:r>
      <w:bookmarkEnd w:id="857"/>
      <w:bookmarkEnd w:id="858"/>
    </w:p>
    <w:p w14:paraId="77977188" w14:textId="77777777" w:rsidR="00D603F5" w:rsidRPr="00A110A4" w:rsidRDefault="00D603F5" w:rsidP="00F058E0">
      <w:pPr>
        <w:pStyle w:val="Style1"/>
      </w:pPr>
      <w:bookmarkStart w:id="859" w:name="_Toc479775683"/>
      <w:bookmarkStart w:id="860" w:name="_Toc140150234"/>
      <w:r w:rsidRPr="00A110A4">
        <w:t>Нормативна уредба в областта на възлагането на обществените поръчки</w:t>
      </w:r>
      <w:bookmarkEnd w:id="859"/>
      <w:bookmarkEnd w:id="860"/>
    </w:p>
    <w:p w14:paraId="07EB6612" w14:textId="77777777" w:rsidR="00D603F5" w:rsidRPr="001B0EA3" w:rsidRDefault="00D603F5" w:rsidP="00046D61">
      <w:pPr>
        <w:spacing w:before="60" w:after="60"/>
        <w:rPr>
          <w:color w:val="000000"/>
          <w:szCs w:val="24"/>
        </w:rPr>
      </w:pPr>
      <w:r w:rsidRPr="001B0EA3">
        <w:rPr>
          <w:color w:val="000000"/>
          <w:szCs w:val="24"/>
        </w:rPr>
        <w:t xml:space="preserve">Правната рамка на възлагането на обществените поръчки се формира на ниво европейско законодателство  и на ниво национално законодателство: </w:t>
      </w:r>
    </w:p>
    <w:p w14:paraId="6CB77729" w14:textId="77777777" w:rsidR="00D603F5" w:rsidRPr="001B0EA3" w:rsidRDefault="00D603F5" w:rsidP="00046D61">
      <w:pPr>
        <w:numPr>
          <w:ilvl w:val="0"/>
          <w:numId w:val="50"/>
        </w:numPr>
        <w:spacing w:before="60" w:after="60"/>
        <w:rPr>
          <w:color w:val="000000"/>
          <w:szCs w:val="24"/>
        </w:rPr>
      </w:pPr>
      <w:r w:rsidRPr="001B0EA3">
        <w:rPr>
          <w:color w:val="000000"/>
          <w:szCs w:val="24"/>
        </w:rPr>
        <w:t>Ниво ЕО:</w:t>
      </w:r>
    </w:p>
    <w:p w14:paraId="556349B1" w14:textId="77777777" w:rsidR="00D603F5" w:rsidRPr="001B0EA3" w:rsidRDefault="00D603F5" w:rsidP="00046D61">
      <w:pPr>
        <w:numPr>
          <w:ilvl w:val="0"/>
          <w:numId w:val="49"/>
        </w:numPr>
        <w:tabs>
          <w:tab w:val="clear" w:pos="360"/>
          <w:tab w:val="num" w:pos="1276"/>
          <w:tab w:val="left" w:pos="1560"/>
        </w:tabs>
        <w:ind w:left="1134" w:hanging="283"/>
        <w:rPr>
          <w:color w:val="000000"/>
          <w:szCs w:val="24"/>
        </w:rPr>
      </w:pPr>
      <w:r w:rsidRPr="001B0EA3">
        <w:rPr>
          <w:color w:val="000000"/>
          <w:szCs w:val="24"/>
        </w:rPr>
        <w:t>Директивите на ЕС в областта на възлагане на обществени поръчки;</w:t>
      </w:r>
    </w:p>
    <w:p w14:paraId="5D0EF76C" w14:textId="77777777" w:rsidR="00D603F5" w:rsidRPr="001B0EA3" w:rsidRDefault="00D603F5" w:rsidP="00046D61">
      <w:pPr>
        <w:numPr>
          <w:ilvl w:val="0"/>
          <w:numId w:val="49"/>
        </w:numPr>
        <w:tabs>
          <w:tab w:val="clear" w:pos="360"/>
          <w:tab w:val="num" w:pos="1276"/>
          <w:tab w:val="left" w:pos="1560"/>
        </w:tabs>
        <w:ind w:left="1134" w:hanging="283"/>
        <w:rPr>
          <w:color w:val="000000"/>
          <w:szCs w:val="24"/>
        </w:rPr>
      </w:pPr>
      <w:r w:rsidRPr="001B0EA3">
        <w:rPr>
          <w:color w:val="000000"/>
          <w:szCs w:val="24"/>
        </w:rPr>
        <w:t>Решения на съда на Европейските общности;</w:t>
      </w:r>
    </w:p>
    <w:p w14:paraId="2236C832" w14:textId="77777777" w:rsidR="00D603F5" w:rsidRPr="001B0EA3" w:rsidRDefault="00D603F5" w:rsidP="00046D61">
      <w:pPr>
        <w:numPr>
          <w:ilvl w:val="0"/>
          <w:numId w:val="50"/>
        </w:numPr>
        <w:spacing w:before="60" w:after="60"/>
        <w:rPr>
          <w:color w:val="000000"/>
          <w:szCs w:val="24"/>
        </w:rPr>
      </w:pPr>
      <w:r w:rsidRPr="001B0EA3">
        <w:rPr>
          <w:color w:val="000000"/>
          <w:szCs w:val="24"/>
        </w:rPr>
        <w:t>Национално ниво:</w:t>
      </w:r>
    </w:p>
    <w:p w14:paraId="2AAAF776" w14:textId="77777777" w:rsidR="00D603F5" w:rsidRPr="001B0EA3" w:rsidRDefault="00D603F5" w:rsidP="00046D61">
      <w:pPr>
        <w:numPr>
          <w:ilvl w:val="0"/>
          <w:numId w:val="49"/>
        </w:numPr>
        <w:tabs>
          <w:tab w:val="clear" w:pos="360"/>
          <w:tab w:val="num" w:pos="1276"/>
          <w:tab w:val="left" w:pos="1560"/>
        </w:tabs>
        <w:ind w:left="1134" w:hanging="283"/>
        <w:rPr>
          <w:color w:val="000000"/>
          <w:szCs w:val="24"/>
        </w:rPr>
      </w:pPr>
      <w:r w:rsidRPr="001B0EA3">
        <w:rPr>
          <w:color w:val="000000"/>
          <w:szCs w:val="24"/>
        </w:rPr>
        <w:t>Закон за обществените поръчки (ЗОП);</w:t>
      </w:r>
    </w:p>
    <w:p w14:paraId="7BE446C6" w14:textId="77777777" w:rsidR="00D603F5" w:rsidRPr="001B0EA3" w:rsidRDefault="00D603F5" w:rsidP="00046D61">
      <w:pPr>
        <w:numPr>
          <w:ilvl w:val="0"/>
          <w:numId w:val="49"/>
        </w:numPr>
        <w:tabs>
          <w:tab w:val="clear" w:pos="360"/>
          <w:tab w:val="num" w:pos="1276"/>
          <w:tab w:val="left" w:pos="1560"/>
        </w:tabs>
        <w:ind w:left="1134" w:hanging="283"/>
        <w:rPr>
          <w:color w:val="000000"/>
          <w:szCs w:val="24"/>
        </w:rPr>
      </w:pPr>
      <w:r w:rsidRPr="001B0EA3">
        <w:rPr>
          <w:color w:val="000000"/>
          <w:szCs w:val="24"/>
        </w:rPr>
        <w:t>Правилник за прилагане на ЗОП;</w:t>
      </w:r>
    </w:p>
    <w:p w14:paraId="7F7C231F" w14:textId="77777777" w:rsidR="00D603F5" w:rsidRPr="001B0EA3" w:rsidRDefault="00D603F5" w:rsidP="00046D61">
      <w:pPr>
        <w:ind w:left="600"/>
        <w:rPr>
          <w:color w:val="000000"/>
          <w:szCs w:val="24"/>
        </w:rPr>
      </w:pPr>
    </w:p>
    <w:p w14:paraId="585C4C94" w14:textId="77777777" w:rsidR="00D603F5" w:rsidRPr="001B0EA3" w:rsidRDefault="00D603F5" w:rsidP="00046D61">
      <w:pPr>
        <w:spacing w:after="240"/>
        <w:rPr>
          <w:b/>
          <w:color w:val="000000"/>
          <w:szCs w:val="24"/>
          <w:lang w:eastAsia="en-US"/>
        </w:rPr>
      </w:pPr>
      <w:r w:rsidRPr="001B0EA3">
        <w:rPr>
          <w:b/>
          <w:color w:val="000000"/>
          <w:szCs w:val="24"/>
          <w:lang w:eastAsia="en-US"/>
        </w:rPr>
        <w:t>Прилагането на Закона за обществени поръчки е условие за осигуряване приемливост за финансиране на разходите от Оперативна програма „Транспорт и транспортна инфраструктура”.</w:t>
      </w:r>
    </w:p>
    <w:p w14:paraId="67F2AE64" w14:textId="46D70ED3" w:rsidR="00D603F5" w:rsidRPr="001B0EA3" w:rsidRDefault="00D603F5" w:rsidP="00046D61">
      <w:pPr>
        <w:spacing w:before="120"/>
        <w:rPr>
          <w:color w:val="000000"/>
          <w:szCs w:val="24"/>
        </w:rPr>
      </w:pPr>
      <w:r w:rsidRPr="001B0EA3">
        <w:rPr>
          <w:color w:val="000000"/>
          <w:szCs w:val="24"/>
        </w:rPr>
        <w:t xml:space="preserve">Целта на Закона за обществените поръчки е осигуряването на ефективност и ефикасност при разходване на публичните средства – чрез неговото прилагане се гарантира, че публичните средства се разходват по най-ефективния начин с оглед на целта и предмета на обществената поръчка чрез изпълнение на публична процедура за сключване на договор и избор на оферта. В Закона за обществените поръчки са регламентирани основните принципи, които се спазват при провеждане на процедурите за възлагане на обществени поръчки, а именно: </w:t>
      </w:r>
    </w:p>
    <w:p w14:paraId="6419305B" w14:textId="77777777" w:rsidR="00180C5D" w:rsidRPr="001B0EA3" w:rsidRDefault="00180C5D" w:rsidP="00046D61">
      <w:pPr>
        <w:numPr>
          <w:ilvl w:val="0"/>
          <w:numId w:val="156"/>
        </w:numPr>
        <w:ind w:left="851" w:hanging="357"/>
        <w:rPr>
          <w:color w:val="000000"/>
          <w:szCs w:val="24"/>
        </w:rPr>
      </w:pPr>
      <w:r w:rsidRPr="001B0EA3">
        <w:rPr>
          <w:color w:val="000000"/>
          <w:szCs w:val="24"/>
        </w:rPr>
        <w:t xml:space="preserve">Равнопоставеност и недопускане на дискриминация; </w:t>
      </w:r>
    </w:p>
    <w:p w14:paraId="356100D4" w14:textId="77777777" w:rsidR="00180C5D" w:rsidRPr="001B0EA3" w:rsidRDefault="00180C5D" w:rsidP="00046D61">
      <w:pPr>
        <w:numPr>
          <w:ilvl w:val="0"/>
          <w:numId w:val="156"/>
        </w:numPr>
        <w:tabs>
          <w:tab w:val="clear" w:pos="360"/>
          <w:tab w:val="num" w:pos="851"/>
        </w:tabs>
        <w:ind w:left="851"/>
        <w:rPr>
          <w:color w:val="000000"/>
          <w:szCs w:val="24"/>
        </w:rPr>
      </w:pPr>
      <w:r w:rsidRPr="001B0EA3">
        <w:rPr>
          <w:color w:val="000000"/>
          <w:szCs w:val="24"/>
        </w:rPr>
        <w:t xml:space="preserve">Свободна конкуренция; </w:t>
      </w:r>
    </w:p>
    <w:p w14:paraId="6569A2D3" w14:textId="77777777" w:rsidR="00180C5D" w:rsidRPr="001B0EA3" w:rsidRDefault="00180C5D" w:rsidP="00046D61">
      <w:pPr>
        <w:numPr>
          <w:ilvl w:val="0"/>
          <w:numId w:val="156"/>
        </w:numPr>
        <w:tabs>
          <w:tab w:val="clear" w:pos="360"/>
          <w:tab w:val="num" w:pos="851"/>
        </w:tabs>
        <w:ind w:left="851"/>
        <w:rPr>
          <w:color w:val="000000"/>
          <w:szCs w:val="24"/>
        </w:rPr>
      </w:pPr>
      <w:r w:rsidRPr="001B0EA3">
        <w:rPr>
          <w:color w:val="000000"/>
          <w:szCs w:val="24"/>
        </w:rPr>
        <w:t>Пропорционалност;</w:t>
      </w:r>
    </w:p>
    <w:p w14:paraId="20986261" w14:textId="77777777" w:rsidR="00180C5D" w:rsidRPr="001B0EA3" w:rsidRDefault="00180C5D" w:rsidP="00046D61">
      <w:pPr>
        <w:numPr>
          <w:ilvl w:val="0"/>
          <w:numId w:val="156"/>
        </w:numPr>
        <w:tabs>
          <w:tab w:val="clear" w:pos="360"/>
          <w:tab w:val="num" w:pos="851"/>
        </w:tabs>
        <w:ind w:left="851"/>
        <w:rPr>
          <w:color w:val="000000"/>
          <w:szCs w:val="24"/>
        </w:rPr>
      </w:pPr>
      <w:r w:rsidRPr="001B0EA3">
        <w:rPr>
          <w:color w:val="000000"/>
          <w:szCs w:val="24"/>
        </w:rPr>
        <w:t>Публичност и прозрачност</w:t>
      </w:r>
    </w:p>
    <w:p w14:paraId="1102E208" w14:textId="77777777" w:rsidR="00A1582E" w:rsidRPr="001B0EA3" w:rsidRDefault="00A1582E" w:rsidP="00046D61">
      <w:pPr>
        <w:spacing w:after="240"/>
        <w:rPr>
          <w:b/>
          <w:color w:val="000000"/>
          <w:szCs w:val="24"/>
          <w:u w:val="single"/>
          <w:lang w:eastAsia="en-US"/>
        </w:rPr>
      </w:pPr>
    </w:p>
    <w:p w14:paraId="36A608A0" w14:textId="77777777" w:rsidR="00D603F5" w:rsidRPr="001B0EA3" w:rsidRDefault="00D603F5" w:rsidP="00BF088E">
      <w:pPr>
        <w:spacing w:after="240"/>
        <w:ind w:firstLine="0"/>
        <w:rPr>
          <w:b/>
          <w:color w:val="000000"/>
          <w:szCs w:val="24"/>
          <w:u w:val="single"/>
          <w:lang w:eastAsia="en-US"/>
        </w:rPr>
      </w:pPr>
      <w:r w:rsidRPr="001B0EA3">
        <w:rPr>
          <w:b/>
          <w:color w:val="000000"/>
          <w:szCs w:val="24"/>
          <w:u w:val="single"/>
          <w:lang w:eastAsia="en-US"/>
        </w:rPr>
        <w:t xml:space="preserve">Обекти на обществени поръчки са:  </w:t>
      </w:r>
    </w:p>
    <w:p w14:paraId="1AA5B30D" w14:textId="77777777" w:rsidR="00180C5D" w:rsidRPr="001B0EA3" w:rsidRDefault="00180C5D" w:rsidP="00BF088E">
      <w:pPr>
        <w:ind w:firstLine="567"/>
        <w:rPr>
          <w:color w:val="000000"/>
          <w:szCs w:val="24"/>
          <w:lang w:eastAsia="bg-BG"/>
        </w:rPr>
      </w:pPr>
      <w:r w:rsidRPr="001B0EA3">
        <w:rPr>
          <w:color w:val="000000"/>
          <w:szCs w:val="24"/>
          <w:lang w:eastAsia="bg-BG"/>
        </w:rPr>
        <w:t>1. Строителството, включително:</w:t>
      </w:r>
    </w:p>
    <w:p w14:paraId="61D2B3CA" w14:textId="77777777" w:rsidR="00180C5D" w:rsidRPr="001B0EA3" w:rsidRDefault="00180C5D" w:rsidP="00BF088E">
      <w:pPr>
        <w:ind w:firstLine="567"/>
        <w:rPr>
          <w:color w:val="000000"/>
          <w:szCs w:val="24"/>
          <w:lang w:eastAsia="bg-BG"/>
        </w:rPr>
      </w:pPr>
      <w:r w:rsidRPr="001B0EA3">
        <w:rPr>
          <w:color w:val="000000"/>
          <w:szCs w:val="24"/>
          <w:lang w:eastAsia="bg-BG"/>
        </w:rPr>
        <w:t>а) изпълнение или проектиране и изпълнение на строителство, свързано с една от дейностите по приложение № 1 на ЗОП;</w:t>
      </w:r>
    </w:p>
    <w:p w14:paraId="6B4843D1" w14:textId="77777777" w:rsidR="00180C5D" w:rsidRPr="001B0EA3" w:rsidRDefault="00180C5D" w:rsidP="00BF088E">
      <w:pPr>
        <w:ind w:firstLine="567"/>
        <w:rPr>
          <w:color w:val="000000"/>
          <w:szCs w:val="24"/>
          <w:lang w:eastAsia="bg-BG"/>
        </w:rPr>
      </w:pPr>
      <w:r w:rsidRPr="001B0EA3">
        <w:rPr>
          <w:color w:val="000000"/>
          <w:szCs w:val="24"/>
          <w:lang w:eastAsia="bg-BG"/>
        </w:rPr>
        <w:t>б) изпълнение или проектиране и изпълнение на строеж;</w:t>
      </w:r>
    </w:p>
    <w:p w14:paraId="4E5E974B" w14:textId="77777777" w:rsidR="00180C5D" w:rsidRPr="001B0EA3" w:rsidRDefault="00180C5D" w:rsidP="00BF088E">
      <w:pPr>
        <w:ind w:firstLine="567"/>
        <w:rPr>
          <w:color w:val="000000"/>
          <w:szCs w:val="24"/>
          <w:lang w:eastAsia="bg-BG"/>
        </w:rPr>
      </w:pPr>
      <w:r w:rsidRPr="001B0EA3">
        <w:rPr>
          <w:color w:val="000000"/>
          <w:szCs w:val="24"/>
          <w:lang w:eastAsia="bg-BG"/>
        </w:rPr>
        <w:t>2. Доставките на стоки, осъществявани чрез покупка, лизинг, наем или финансов лизинг, със или без право на закупуване, както и всички необходими предварителни дейности по употребата на стоката, като инсталационни или монтажни работи, тестване на машини и съоръжения и други;</w:t>
      </w:r>
    </w:p>
    <w:p w14:paraId="1DDF0784" w14:textId="77777777" w:rsidR="00180C5D" w:rsidRPr="001B0EA3" w:rsidRDefault="00180C5D" w:rsidP="00046D61">
      <w:pPr>
        <w:ind w:firstLine="1134"/>
        <w:rPr>
          <w:color w:val="000000"/>
          <w:szCs w:val="24"/>
          <w:lang w:eastAsia="bg-BG"/>
        </w:rPr>
      </w:pPr>
    </w:p>
    <w:p w14:paraId="103022AE" w14:textId="77777777" w:rsidR="00180C5D" w:rsidRPr="001B0EA3" w:rsidRDefault="00180C5D" w:rsidP="00046D61">
      <w:pPr>
        <w:ind w:firstLine="1134"/>
        <w:rPr>
          <w:color w:val="000000"/>
          <w:szCs w:val="24"/>
          <w:lang w:eastAsia="bg-BG"/>
        </w:rPr>
      </w:pPr>
    </w:p>
    <w:p w14:paraId="21AF2AE1" w14:textId="77777777" w:rsidR="00180C5D" w:rsidRPr="001B0EA3" w:rsidRDefault="00180C5D" w:rsidP="00413C66">
      <w:pPr>
        <w:ind w:firstLine="567"/>
        <w:rPr>
          <w:color w:val="000000"/>
          <w:szCs w:val="24"/>
          <w:lang w:eastAsia="bg-BG"/>
        </w:rPr>
      </w:pPr>
      <w:r w:rsidRPr="001B0EA3">
        <w:rPr>
          <w:color w:val="000000"/>
          <w:szCs w:val="24"/>
          <w:lang w:eastAsia="bg-BG"/>
        </w:rPr>
        <w:t>3. Предоставянето на услуги.</w:t>
      </w:r>
    </w:p>
    <w:p w14:paraId="580CC005" w14:textId="77777777" w:rsidR="00D603F5" w:rsidRPr="001B0EA3" w:rsidRDefault="00D603F5" w:rsidP="00046D61">
      <w:pPr>
        <w:ind w:firstLine="1134"/>
        <w:rPr>
          <w:color w:val="000000"/>
          <w:szCs w:val="24"/>
          <w:lang w:eastAsia="bg-BG"/>
        </w:rPr>
      </w:pPr>
    </w:p>
    <w:p w14:paraId="7C2F6830" w14:textId="77777777" w:rsidR="00D603F5" w:rsidRPr="001B0EA3" w:rsidRDefault="00D603F5" w:rsidP="00413C66">
      <w:pPr>
        <w:autoSpaceDE w:val="0"/>
        <w:autoSpaceDN w:val="0"/>
        <w:adjustRightInd w:val="0"/>
        <w:spacing w:after="240"/>
        <w:ind w:firstLine="567"/>
        <w:rPr>
          <w:color w:val="000000"/>
          <w:szCs w:val="24"/>
        </w:rPr>
      </w:pPr>
      <w:r w:rsidRPr="001B0EA3">
        <w:rPr>
          <w:color w:val="000000"/>
          <w:szCs w:val="24"/>
        </w:rPr>
        <w:t xml:space="preserve">Процедурите, предвидени в нормативната уредба по обществени поръчки, са система от действия на възложителя и участниците в процедурата, чиято крайна цел е определянето на изпълнител на обществената поръчка и сключването на договор с него. </w:t>
      </w:r>
    </w:p>
    <w:p w14:paraId="41BCFA9D" w14:textId="77777777" w:rsidR="00D603F5" w:rsidRPr="001B0EA3" w:rsidRDefault="00D603F5" w:rsidP="00CC313F">
      <w:pPr>
        <w:tabs>
          <w:tab w:val="num" w:pos="426"/>
        </w:tabs>
        <w:autoSpaceDE w:val="0"/>
        <w:autoSpaceDN w:val="0"/>
        <w:adjustRightInd w:val="0"/>
        <w:spacing w:before="120" w:after="120"/>
        <w:rPr>
          <w:b/>
          <w:color w:val="000000"/>
          <w:szCs w:val="24"/>
          <w:highlight w:val="yellow"/>
          <w:lang w:eastAsia="en-US"/>
        </w:rPr>
      </w:pPr>
    </w:p>
    <w:p w14:paraId="09E73893" w14:textId="77777777" w:rsidR="00D603F5" w:rsidRPr="00A110A4" w:rsidRDefault="00D603F5" w:rsidP="00F058E0">
      <w:pPr>
        <w:pStyle w:val="Style1"/>
      </w:pPr>
      <w:bookmarkStart w:id="861" w:name="_Toc479775684"/>
      <w:bookmarkStart w:id="862" w:name="_Toc140150235"/>
      <w:r w:rsidRPr="00A110A4">
        <w:lastRenderedPageBreak/>
        <w:t>Осъществяване на контрол от Управляващия орган по Оперативна програма „Транспорт и транспортна инфраструктура”</w:t>
      </w:r>
      <w:bookmarkEnd w:id="861"/>
      <w:bookmarkEnd w:id="862"/>
    </w:p>
    <w:p w14:paraId="06720339" w14:textId="77777777" w:rsidR="00D603F5" w:rsidRPr="001B0EA3" w:rsidRDefault="00D603F5" w:rsidP="00046D61">
      <w:pPr>
        <w:spacing w:after="120"/>
        <w:ind w:firstLine="567"/>
        <w:rPr>
          <w:b/>
          <w:color w:val="000000"/>
          <w:szCs w:val="24"/>
        </w:rPr>
      </w:pPr>
      <w:r w:rsidRPr="001B0EA3">
        <w:rPr>
          <w:b/>
          <w:color w:val="000000"/>
          <w:szCs w:val="24"/>
        </w:rPr>
        <w:t xml:space="preserve">Целта на контрола е постигането на разумна увереност за законосъобразност при възлагането на обществените поръчки, финансирани напълно или частично от </w:t>
      </w:r>
      <w:r w:rsidR="00844A59" w:rsidRPr="001B0EA3">
        <w:rPr>
          <w:b/>
          <w:color w:val="000000"/>
          <w:szCs w:val="24"/>
        </w:rPr>
        <w:t>ОПТТИ</w:t>
      </w:r>
      <w:r w:rsidR="00A1582E" w:rsidRPr="001B0EA3">
        <w:rPr>
          <w:b/>
          <w:color w:val="000000"/>
          <w:szCs w:val="24"/>
        </w:rPr>
        <w:t>.</w:t>
      </w:r>
    </w:p>
    <w:p w14:paraId="5EF24E70" w14:textId="77777777" w:rsidR="00D603F5" w:rsidRPr="001B0EA3" w:rsidRDefault="00D603F5" w:rsidP="00046D61">
      <w:pPr>
        <w:ind w:firstLine="567"/>
        <w:rPr>
          <w:b/>
          <w:color w:val="000000"/>
          <w:szCs w:val="24"/>
        </w:rPr>
      </w:pPr>
      <w:r w:rsidRPr="001B0EA3">
        <w:rPr>
          <w:b/>
          <w:color w:val="000000"/>
          <w:szCs w:val="24"/>
        </w:rPr>
        <w:t>Контролните дейности на Управляващия орган в процеса на възлагане на обществени поръчки се извършват по отношение приемливостта за финансиране на разходите по сключените договори от ОПТТИ. Бенефициентите на оперативната програма са възложители на обществените поръчки. Контролът от страна на Управляващия орган се осъществява по отношение на проведената обществена поръчка  с оглед възстановяване на разходите по нея от средствата по ОПТТИ, но не и по отношение на поемане на задължения от възложителя в процеса на възлагане и изпълнение на обществената поръчка. Независимо от този контрол, бенефициентите по програмата, като разпоредители с бюджетни средства, прилагат свои вътрешни правила и процедури за финансово управление и контрол.</w:t>
      </w:r>
    </w:p>
    <w:p w14:paraId="10B80963" w14:textId="77777777" w:rsidR="00D603F5" w:rsidRPr="001B0EA3" w:rsidRDefault="00D603F5" w:rsidP="00046D61">
      <w:pPr>
        <w:ind w:firstLine="567"/>
        <w:rPr>
          <w:b/>
          <w:color w:val="000000"/>
          <w:szCs w:val="24"/>
        </w:rPr>
      </w:pPr>
    </w:p>
    <w:p w14:paraId="7F4CE79D" w14:textId="77777777" w:rsidR="00D603F5" w:rsidRPr="001B0EA3" w:rsidRDefault="00D603F5" w:rsidP="00046D61">
      <w:pPr>
        <w:widowControl w:val="0"/>
        <w:autoSpaceDE w:val="0"/>
        <w:autoSpaceDN w:val="0"/>
        <w:adjustRightInd w:val="0"/>
        <w:ind w:firstLine="567"/>
        <w:rPr>
          <w:color w:val="000000"/>
          <w:szCs w:val="24"/>
          <w:lang w:eastAsia="bg-BG"/>
        </w:rPr>
      </w:pPr>
      <w:r w:rsidRPr="001B0EA3">
        <w:rPr>
          <w:color w:val="000000"/>
          <w:szCs w:val="24"/>
          <w:lang w:eastAsia="bg-BG"/>
        </w:rPr>
        <w:t xml:space="preserve">Контролът от Управляващия орган се осъществява за съответствие с нормативните актове в тази област и съгласно процедурите, разписани в настоящия Наръчник, и вътрешните правила за възлагане на обществени поръчки в </w:t>
      </w:r>
      <w:r w:rsidR="00D34044">
        <w:rPr>
          <w:color w:val="000000"/>
          <w:szCs w:val="24"/>
          <w:lang w:eastAsia="bg-BG"/>
        </w:rPr>
        <w:t>Министерството на транспорта и съобщенията</w:t>
      </w:r>
      <w:r w:rsidRPr="001B0EA3">
        <w:rPr>
          <w:color w:val="000000"/>
          <w:szCs w:val="24"/>
          <w:lang w:eastAsia="bg-BG"/>
        </w:rPr>
        <w:t xml:space="preserve"> (в случаите, когато бенефициент по проектите е Управляващият орган).</w:t>
      </w:r>
    </w:p>
    <w:p w14:paraId="445E6B45" w14:textId="77777777" w:rsidR="00D603F5" w:rsidRPr="001B0EA3" w:rsidRDefault="00D603F5" w:rsidP="00046D61">
      <w:pPr>
        <w:widowControl w:val="0"/>
        <w:autoSpaceDE w:val="0"/>
        <w:autoSpaceDN w:val="0"/>
        <w:adjustRightInd w:val="0"/>
        <w:ind w:firstLine="567"/>
        <w:rPr>
          <w:color w:val="000000"/>
          <w:szCs w:val="24"/>
          <w:lang w:eastAsia="bg-BG"/>
        </w:rPr>
      </w:pPr>
    </w:p>
    <w:p w14:paraId="75460C02" w14:textId="77777777" w:rsidR="00D603F5" w:rsidRPr="001B0EA3" w:rsidRDefault="00D603F5" w:rsidP="00046D61">
      <w:pPr>
        <w:autoSpaceDE w:val="0"/>
        <w:autoSpaceDN w:val="0"/>
        <w:adjustRightInd w:val="0"/>
        <w:spacing w:after="240"/>
        <w:ind w:firstLine="567"/>
        <w:rPr>
          <w:color w:val="000000"/>
          <w:szCs w:val="24"/>
        </w:rPr>
      </w:pPr>
      <w:r w:rsidRPr="001B0EA3">
        <w:rPr>
          <w:color w:val="000000"/>
          <w:szCs w:val="24"/>
        </w:rPr>
        <w:t xml:space="preserve">За дейности в обхвата на проектите по ОПТТИ, които не са обект на обществени поръчки </w:t>
      </w:r>
      <w:r w:rsidR="0062288E" w:rsidRPr="001B0EA3">
        <w:rPr>
          <w:color w:val="000000"/>
          <w:szCs w:val="24"/>
        </w:rPr>
        <w:t>съгласно действащия ЗОП</w:t>
      </w:r>
      <w:r w:rsidRPr="001B0EA3">
        <w:rPr>
          <w:color w:val="000000"/>
          <w:szCs w:val="24"/>
        </w:rPr>
        <w:t>, както и за договори, сключени в хипотез</w:t>
      </w:r>
      <w:r w:rsidR="0094141E" w:rsidRPr="001B0EA3">
        <w:rPr>
          <w:color w:val="000000"/>
          <w:szCs w:val="24"/>
        </w:rPr>
        <w:t>ите</w:t>
      </w:r>
      <w:r w:rsidRPr="001B0EA3">
        <w:rPr>
          <w:color w:val="000000"/>
          <w:szCs w:val="24"/>
        </w:rPr>
        <w:t xml:space="preserve"> на </w:t>
      </w:r>
      <w:r w:rsidR="0094141E" w:rsidRPr="001B0EA3">
        <w:rPr>
          <w:color w:val="000000"/>
          <w:szCs w:val="24"/>
        </w:rPr>
        <w:t>изключения на</w:t>
      </w:r>
      <w:r w:rsidRPr="001B0EA3">
        <w:rPr>
          <w:color w:val="000000"/>
          <w:szCs w:val="24"/>
        </w:rPr>
        <w:t xml:space="preserve"> ЗОП, не се осъществява контрол за законосъобразност от Управляващия орган</w:t>
      </w:r>
      <w:r w:rsidR="00180C5D" w:rsidRPr="001B0EA3">
        <w:rPr>
          <w:color w:val="000000"/>
          <w:szCs w:val="24"/>
        </w:rPr>
        <w:t>, освен в изрично предвидени случаи в настоящия Наръчник</w:t>
      </w:r>
      <w:r w:rsidRPr="001B0EA3">
        <w:rPr>
          <w:color w:val="000000"/>
          <w:szCs w:val="24"/>
        </w:rPr>
        <w:t xml:space="preserve">.  </w:t>
      </w:r>
    </w:p>
    <w:p w14:paraId="1B478FAE" w14:textId="77777777" w:rsidR="000F57BD" w:rsidRDefault="00D603F5" w:rsidP="00046D61">
      <w:pPr>
        <w:ind w:firstLine="567"/>
        <w:rPr>
          <w:b/>
          <w:color w:val="000000"/>
          <w:szCs w:val="24"/>
        </w:rPr>
      </w:pPr>
      <w:r w:rsidRPr="001B0EA3">
        <w:rPr>
          <w:b/>
          <w:color w:val="000000"/>
          <w:szCs w:val="24"/>
        </w:rPr>
        <w:t xml:space="preserve">Бенефициенти по ОПТТИ са както институции извън рамките на </w:t>
      </w:r>
      <w:r w:rsidR="00BB6BF6">
        <w:rPr>
          <w:b/>
          <w:color w:val="000000"/>
          <w:szCs w:val="24"/>
        </w:rPr>
        <w:t>Министерство на транспорта и съобщенията</w:t>
      </w:r>
      <w:r w:rsidRPr="001B0EA3">
        <w:rPr>
          <w:b/>
          <w:color w:val="000000"/>
          <w:szCs w:val="24"/>
        </w:rPr>
        <w:t xml:space="preserve"> (Държавно предприятие „Национална компания „Железопътна инфраструктура”, Агенция „Пътна инфраструктура”, „Метрополитен” ЕАД, Агенция за поддържане и проучване на р. Дунав,  ДП „Пристанищна инфраструктура”, ИА „Морска администрация”, така и самото </w:t>
      </w:r>
      <w:r w:rsidR="00BB6BF6">
        <w:rPr>
          <w:b/>
          <w:color w:val="000000"/>
          <w:szCs w:val="24"/>
        </w:rPr>
        <w:t>Министерство на транспорта и съобщенията</w:t>
      </w:r>
      <w:r w:rsidRPr="001B0EA3">
        <w:rPr>
          <w:b/>
          <w:color w:val="000000"/>
          <w:szCs w:val="24"/>
        </w:rPr>
        <w:t xml:space="preserve"> чрез Управляващия орган в качеството му на бенефициент по приоритетна ос „Техническа помощ”. </w:t>
      </w:r>
    </w:p>
    <w:p w14:paraId="235FCFDE" w14:textId="77777777" w:rsidR="00D603F5" w:rsidRPr="001B0EA3" w:rsidRDefault="0037330E" w:rsidP="00046D61">
      <w:pPr>
        <w:ind w:firstLine="567"/>
        <w:rPr>
          <w:b/>
          <w:color w:val="000000"/>
          <w:szCs w:val="24"/>
        </w:rPr>
      </w:pPr>
      <w:r w:rsidRPr="001B0EA3">
        <w:rPr>
          <w:b/>
          <w:color w:val="000000"/>
          <w:szCs w:val="24"/>
        </w:rPr>
        <w:t xml:space="preserve"> </w:t>
      </w:r>
    </w:p>
    <w:p w14:paraId="2DB64055" w14:textId="77777777" w:rsidR="00D603F5" w:rsidRPr="00A110A4" w:rsidRDefault="00A1582E" w:rsidP="00F058E0">
      <w:pPr>
        <w:pStyle w:val="Style1"/>
      </w:pPr>
      <w:bookmarkStart w:id="863" w:name="_Toc479775685"/>
      <w:bookmarkStart w:id="864" w:name="_Toc140150236"/>
      <w:r w:rsidRPr="00A110A4">
        <w:t>Контрол върху документация от проведена обществена поръчка</w:t>
      </w:r>
      <w:bookmarkEnd w:id="863"/>
      <w:bookmarkEnd w:id="864"/>
    </w:p>
    <w:p w14:paraId="6C6A180E" w14:textId="77777777" w:rsidR="0094141E" w:rsidRPr="001B0EA3" w:rsidRDefault="00D603F5" w:rsidP="006A6D08">
      <w:pPr>
        <w:ind w:firstLine="426"/>
        <w:rPr>
          <w:color w:val="000000"/>
          <w:szCs w:val="24"/>
        </w:rPr>
      </w:pPr>
      <w:r w:rsidRPr="001B0EA3">
        <w:rPr>
          <w:color w:val="000000"/>
          <w:szCs w:val="24"/>
        </w:rPr>
        <w:t xml:space="preserve">В случаите, когато бенефициентите са извън Управляващия орган, процедурата по възлагане на обществените поръчки се провежда  от съответния бенефициент, който е и възложител на поръчката. Всички взаимодействия с бенефициентите по отношение на процедурите по контрол при възлагане на поръчки са регламентирани </w:t>
      </w:r>
      <w:r w:rsidR="00180C5D" w:rsidRPr="001B0EA3">
        <w:rPr>
          <w:color w:val="000000"/>
          <w:szCs w:val="24"/>
        </w:rPr>
        <w:t xml:space="preserve">и </w:t>
      </w:r>
      <w:r w:rsidRPr="001B0EA3">
        <w:rPr>
          <w:color w:val="000000"/>
          <w:szCs w:val="24"/>
        </w:rPr>
        <w:t xml:space="preserve">в </w:t>
      </w:r>
      <w:r w:rsidR="000539EF" w:rsidRPr="001B0EA3">
        <w:rPr>
          <w:color w:val="000000"/>
          <w:szCs w:val="24"/>
        </w:rPr>
        <w:t xml:space="preserve">Приложение № 09 </w:t>
      </w:r>
      <w:r w:rsidR="0094141E" w:rsidRPr="001B0EA3">
        <w:rPr>
          <w:color w:val="000000"/>
          <w:szCs w:val="24"/>
        </w:rPr>
        <w:t>„Условия за изпълнение на одобрени проекти по Оперативна програма „Транспорт и транспортна инфраструктура“ 20014-2020  г.“</w:t>
      </w:r>
      <w:r w:rsidR="000539EF" w:rsidRPr="001B0EA3">
        <w:rPr>
          <w:color w:val="000000"/>
          <w:szCs w:val="24"/>
        </w:rPr>
        <w:t xml:space="preserve"> към Насоките по ОПТТИ</w:t>
      </w:r>
      <w:r w:rsidR="0094141E" w:rsidRPr="001B0EA3">
        <w:rPr>
          <w:color w:val="000000"/>
          <w:szCs w:val="24"/>
        </w:rPr>
        <w:t>.</w:t>
      </w:r>
    </w:p>
    <w:p w14:paraId="3D29BC9C" w14:textId="77777777" w:rsidR="0094141E" w:rsidRPr="001B0EA3" w:rsidRDefault="0094141E" w:rsidP="00046D61">
      <w:pPr>
        <w:rPr>
          <w:color w:val="000000"/>
          <w:szCs w:val="24"/>
        </w:rPr>
      </w:pPr>
    </w:p>
    <w:p w14:paraId="05357954" w14:textId="77777777" w:rsidR="0094141E" w:rsidRPr="001B0EA3" w:rsidRDefault="0094141E" w:rsidP="007408A7">
      <w:pPr>
        <w:ind w:firstLine="426"/>
        <w:rPr>
          <w:color w:val="000000"/>
          <w:szCs w:val="24"/>
        </w:rPr>
      </w:pPr>
      <w:r w:rsidRPr="001B0EA3">
        <w:rPr>
          <w:color w:val="000000"/>
          <w:szCs w:val="24"/>
        </w:rPr>
        <w:t>Ежегодно, бенефициентите по програмата следва да изпращат на Управляващия орган, утвърдения си график за възлагане на обществени поръчки.</w:t>
      </w:r>
    </w:p>
    <w:p w14:paraId="6F7C3805" w14:textId="77777777" w:rsidR="0094141E" w:rsidRPr="001B0EA3" w:rsidRDefault="0094141E" w:rsidP="00046D61">
      <w:pPr>
        <w:rPr>
          <w:color w:val="000000"/>
          <w:szCs w:val="24"/>
        </w:rPr>
      </w:pPr>
    </w:p>
    <w:p w14:paraId="0B7E13FA" w14:textId="77777777" w:rsidR="0094141E" w:rsidRPr="001B0EA3" w:rsidRDefault="0094141E" w:rsidP="007408A7">
      <w:pPr>
        <w:ind w:firstLine="426"/>
        <w:rPr>
          <w:color w:val="000000"/>
          <w:szCs w:val="24"/>
        </w:rPr>
      </w:pPr>
      <w:r w:rsidRPr="001B0EA3">
        <w:rPr>
          <w:color w:val="000000"/>
          <w:szCs w:val="24"/>
        </w:rPr>
        <w:t>Контрол за законосъобразност върху документацията от проведената  обществена поръчка се осъществява за всички поръчки над стойностните прагове по ЗОП за възлагане, преди верифициране на докладваните от бенефициента разходи.</w:t>
      </w:r>
    </w:p>
    <w:p w14:paraId="7ED1108B" w14:textId="77777777" w:rsidR="0094141E" w:rsidRPr="001B0EA3" w:rsidRDefault="0094141E" w:rsidP="007408A7">
      <w:pPr>
        <w:spacing w:before="120" w:after="120"/>
        <w:ind w:firstLine="426"/>
        <w:rPr>
          <w:color w:val="000000"/>
          <w:szCs w:val="24"/>
        </w:rPr>
      </w:pPr>
      <w:r w:rsidRPr="001B0EA3">
        <w:rPr>
          <w:color w:val="000000"/>
          <w:szCs w:val="24"/>
        </w:rPr>
        <w:t xml:space="preserve">Бенефициентът, възложител на поръчката, изпраща за контрол в УО документацията в тридесет (30) дневен срок преди  първото включване на разходи по сключения договор за </w:t>
      </w:r>
      <w:r w:rsidRPr="001B0EA3">
        <w:rPr>
          <w:color w:val="000000"/>
          <w:szCs w:val="24"/>
        </w:rPr>
        <w:lastRenderedPageBreak/>
        <w:t>верификация в искане за плащане. Документите, които следва</w:t>
      </w:r>
      <w:r w:rsidR="00E41E45" w:rsidRPr="001B0EA3">
        <w:rPr>
          <w:color w:val="000000"/>
          <w:szCs w:val="24"/>
        </w:rPr>
        <w:t xml:space="preserve"> да</w:t>
      </w:r>
      <w:r w:rsidRPr="001B0EA3">
        <w:rPr>
          <w:color w:val="000000"/>
          <w:szCs w:val="24"/>
        </w:rPr>
        <w:t xml:space="preserve"> се представят </w:t>
      </w:r>
      <w:r w:rsidR="00180C5D" w:rsidRPr="001B0EA3">
        <w:rPr>
          <w:color w:val="000000"/>
          <w:szCs w:val="24"/>
        </w:rPr>
        <w:t xml:space="preserve">на електронен носител </w:t>
      </w:r>
      <w:r w:rsidRPr="001B0EA3">
        <w:rPr>
          <w:color w:val="000000"/>
          <w:szCs w:val="24"/>
        </w:rPr>
        <w:t xml:space="preserve">са: </w:t>
      </w:r>
    </w:p>
    <w:p w14:paraId="3574A393" w14:textId="77777777" w:rsidR="00A1582E" w:rsidRPr="001B0EA3" w:rsidRDefault="00A1582E" w:rsidP="0054623A">
      <w:pPr>
        <w:numPr>
          <w:ilvl w:val="0"/>
          <w:numId w:val="216"/>
        </w:numPr>
        <w:rPr>
          <w:color w:val="000000"/>
          <w:szCs w:val="24"/>
        </w:rPr>
      </w:pPr>
      <w:r w:rsidRPr="001B0EA3">
        <w:rPr>
          <w:color w:val="000000"/>
          <w:szCs w:val="24"/>
        </w:rPr>
        <w:t>Предварително обявление (ако има такова)</w:t>
      </w:r>
      <w:r w:rsidRPr="001B0EA3">
        <w:t xml:space="preserve"> </w:t>
      </w:r>
      <w:r w:rsidRPr="001B0EA3">
        <w:rPr>
          <w:color w:val="000000"/>
          <w:szCs w:val="24"/>
        </w:rPr>
        <w:t>(поотделно от ОВ и от АОП);</w:t>
      </w:r>
    </w:p>
    <w:p w14:paraId="56B41AA3" w14:textId="77777777" w:rsidR="00A1582E" w:rsidRPr="001B0EA3" w:rsidRDefault="00A1582E" w:rsidP="0054623A">
      <w:pPr>
        <w:numPr>
          <w:ilvl w:val="0"/>
          <w:numId w:val="216"/>
        </w:numPr>
        <w:rPr>
          <w:color w:val="000000"/>
          <w:szCs w:val="24"/>
        </w:rPr>
      </w:pPr>
      <w:r w:rsidRPr="001B0EA3">
        <w:rPr>
          <w:color w:val="000000"/>
          <w:szCs w:val="24"/>
        </w:rPr>
        <w:t>Обявление за обществената поръчка (по отделно от ОВ и от АОП);</w:t>
      </w:r>
    </w:p>
    <w:p w14:paraId="566ED00E" w14:textId="77777777" w:rsidR="00A1582E" w:rsidRPr="001B0EA3" w:rsidRDefault="00A1582E" w:rsidP="0054623A">
      <w:pPr>
        <w:numPr>
          <w:ilvl w:val="0"/>
          <w:numId w:val="216"/>
        </w:numPr>
        <w:rPr>
          <w:bCs/>
          <w:color w:val="000000"/>
          <w:szCs w:val="24"/>
        </w:rPr>
      </w:pPr>
      <w:r w:rsidRPr="001B0EA3">
        <w:rPr>
          <w:bCs/>
          <w:color w:val="000000"/>
          <w:szCs w:val="24"/>
        </w:rPr>
        <w:t xml:space="preserve">Документация за участие, вкл. </w:t>
      </w:r>
      <w:r w:rsidR="00180C5D" w:rsidRPr="001B0EA3">
        <w:rPr>
          <w:bCs/>
          <w:color w:val="000000"/>
          <w:szCs w:val="24"/>
        </w:rPr>
        <w:t xml:space="preserve">кореспонденцията и </w:t>
      </w:r>
      <w:r w:rsidRPr="001B0EA3">
        <w:rPr>
          <w:bCs/>
          <w:color w:val="000000"/>
          <w:szCs w:val="24"/>
        </w:rPr>
        <w:t xml:space="preserve">разясненията на възложителя </w:t>
      </w:r>
      <w:r w:rsidR="00180C5D" w:rsidRPr="001B0EA3">
        <w:rPr>
          <w:bCs/>
          <w:color w:val="000000"/>
          <w:szCs w:val="24"/>
        </w:rPr>
        <w:t xml:space="preserve">по получени въпроси от участниците </w:t>
      </w:r>
      <w:r w:rsidRPr="001B0EA3">
        <w:rPr>
          <w:bCs/>
          <w:color w:val="000000"/>
          <w:szCs w:val="24"/>
        </w:rPr>
        <w:t>(ако има такива);</w:t>
      </w:r>
    </w:p>
    <w:p w14:paraId="7430980D" w14:textId="77777777" w:rsidR="00A1582E" w:rsidRPr="001B0EA3" w:rsidRDefault="00A1582E" w:rsidP="0054623A">
      <w:pPr>
        <w:numPr>
          <w:ilvl w:val="0"/>
          <w:numId w:val="216"/>
        </w:numPr>
        <w:rPr>
          <w:bCs/>
          <w:color w:val="000000"/>
          <w:szCs w:val="24"/>
        </w:rPr>
      </w:pPr>
      <w:r w:rsidRPr="001B0EA3">
        <w:rPr>
          <w:color w:val="000000"/>
          <w:szCs w:val="24"/>
        </w:rPr>
        <w:t xml:space="preserve">Актове </w:t>
      </w:r>
      <w:r w:rsidR="00180C5D" w:rsidRPr="001B0EA3">
        <w:rPr>
          <w:color w:val="000000"/>
          <w:szCs w:val="24"/>
        </w:rPr>
        <w:t>от външен контрол, осъществяван от</w:t>
      </w:r>
      <w:r w:rsidR="008C02DC" w:rsidRPr="001B0EA3">
        <w:rPr>
          <w:color w:val="000000"/>
          <w:szCs w:val="24"/>
        </w:rPr>
        <w:t xml:space="preserve"> </w:t>
      </w:r>
      <w:r w:rsidRPr="001B0EA3">
        <w:rPr>
          <w:color w:val="000000"/>
          <w:szCs w:val="24"/>
        </w:rPr>
        <w:t>АОП  (ако има такива);</w:t>
      </w:r>
    </w:p>
    <w:p w14:paraId="07462B4E" w14:textId="77777777" w:rsidR="00A1582E" w:rsidRPr="001B0EA3" w:rsidRDefault="00A1582E" w:rsidP="0054623A">
      <w:pPr>
        <w:numPr>
          <w:ilvl w:val="0"/>
          <w:numId w:val="216"/>
        </w:numPr>
        <w:rPr>
          <w:color w:val="000000"/>
          <w:szCs w:val="24"/>
        </w:rPr>
      </w:pPr>
      <w:r w:rsidRPr="001B0EA3">
        <w:rPr>
          <w:color w:val="000000"/>
          <w:szCs w:val="24"/>
        </w:rPr>
        <w:t xml:space="preserve">Решения за промяна на </w:t>
      </w:r>
      <w:r w:rsidR="00613164" w:rsidRPr="001B0EA3">
        <w:rPr>
          <w:color w:val="000000"/>
          <w:szCs w:val="24"/>
        </w:rPr>
        <w:t>обявлението</w:t>
      </w:r>
      <w:r w:rsidRPr="001B0EA3">
        <w:rPr>
          <w:color w:val="000000"/>
          <w:szCs w:val="24"/>
        </w:rPr>
        <w:t xml:space="preserve"> или документацията за участие (ако има такива) (поотделно от ОВ и от АОП);</w:t>
      </w:r>
    </w:p>
    <w:p w14:paraId="29F7F720" w14:textId="77777777" w:rsidR="00527E32" w:rsidRPr="001B0EA3" w:rsidRDefault="00A1582E" w:rsidP="0054623A">
      <w:pPr>
        <w:numPr>
          <w:ilvl w:val="0"/>
          <w:numId w:val="216"/>
        </w:numPr>
        <w:rPr>
          <w:color w:val="000000"/>
          <w:szCs w:val="24"/>
        </w:rPr>
      </w:pPr>
      <w:r w:rsidRPr="001B0EA3">
        <w:rPr>
          <w:color w:val="000000"/>
          <w:szCs w:val="24"/>
        </w:rPr>
        <w:t>Протоколи за работата на комисията, вкл. оценителни листове</w:t>
      </w:r>
      <w:r w:rsidR="00527E32" w:rsidRPr="001B0EA3">
        <w:rPr>
          <w:color w:val="000000"/>
          <w:szCs w:val="24"/>
        </w:rPr>
        <w:t>;</w:t>
      </w:r>
    </w:p>
    <w:p w14:paraId="28D04B69" w14:textId="77777777" w:rsidR="00527E32" w:rsidRPr="001B0EA3" w:rsidRDefault="00527E32" w:rsidP="0054623A">
      <w:pPr>
        <w:numPr>
          <w:ilvl w:val="0"/>
          <w:numId w:val="216"/>
        </w:numPr>
        <w:rPr>
          <w:color w:val="000000"/>
          <w:szCs w:val="24"/>
        </w:rPr>
      </w:pPr>
      <w:r w:rsidRPr="001B0EA3">
        <w:rPr>
          <w:bCs/>
          <w:color w:val="000000"/>
          <w:szCs w:val="24"/>
        </w:rPr>
        <w:t xml:space="preserve">Заповед </w:t>
      </w:r>
      <w:r w:rsidR="00A1582E" w:rsidRPr="001B0EA3">
        <w:rPr>
          <w:bCs/>
          <w:color w:val="000000"/>
          <w:szCs w:val="24"/>
        </w:rPr>
        <w:t>за назначаване на комисия за провеждане на процедурата</w:t>
      </w:r>
      <w:r w:rsidRPr="001B0EA3">
        <w:rPr>
          <w:bCs/>
          <w:color w:val="000000"/>
          <w:szCs w:val="24"/>
        </w:rPr>
        <w:t>;</w:t>
      </w:r>
    </w:p>
    <w:p w14:paraId="59E9CB3E" w14:textId="77777777" w:rsidR="00527E32" w:rsidRPr="001B0EA3" w:rsidRDefault="00527E32" w:rsidP="0054623A">
      <w:pPr>
        <w:numPr>
          <w:ilvl w:val="0"/>
          <w:numId w:val="216"/>
        </w:numPr>
        <w:rPr>
          <w:color w:val="000000"/>
          <w:szCs w:val="24"/>
        </w:rPr>
      </w:pPr>
      <w:r w:rsidRPr="001B0EA3">
        <w:rPr>
          <w:bCs/>
          <w:color w:val="000000"/>
          <w:szCs w:val="24"/>
        </w:rPr>
        <w:t xml:space="preserve">Декларации </w:t>
      </w:r>
      <w:r w:rsidR="00A1582E" w:rsidRPr="001B0EA3">
        <w:rPr>
          <w:bCs/>
          <w:color w:val="000000"/>
          <w:szCs w:val="24"/>
        </w:rPr>
        <w:t>по чл.</w:t>
      </w:r>
      <w:r w:rsidR="00AA5135" w:rsidRPr="00842ECC">
        <w:rPr>
          <w:bCs/>
          <w:color w:val="000000"/>
          <w:szCs w:val="24"/>
        </w:rPr>
        <w:t>103</w:t>
      </w:r>
      <w:r w:rsidR="00AA5135" w:rsidRPr="001B0EA3">
        <w:rPr>
          <w:bCs/>
          <w:color w:val="000000"/>
          <w:szCs w:val="24"/>
        </w:rPr>
        <w:t xml:space="preserve"> </w:t>
      </w:r>
      <w:r w:rsidR="00A1582E" w:rsidRPr="001B0EA3">
        <w:rPr>
          <w:bCs/>
          <w:color w:val="000000"/>
          <w:szCs w:val="24"/>
        </w:rPr>
        <w:t>от ЗОП</w:t>
      </w:r>
      <w:r w:rsidR="00A1582E" w:rsidRPr="001B0EA3">
        <w:rPr>
          <w:color w:val="000000"/>
          <w:szCs w:val="24"/>
        </w:rPr>
        <w:t xml:space="preserve"> и др. подобни (ако има такива);</w:t>
      </w:r>
      <w:r w:rsidRPr="001B0EA3">
        <w:rPr>
          <w:color w:val="000000"/>
          <w:szCs w:val="24"/>
        </w:rPr>
        <w:t xml:space="preserve"> </w:t>
      </w:r>
    </w:p>
    <w:p w14:paraId="7926EA07" w14:textId="77777777" w:rsidR="00A1582E" w:rsidRPr="001B0EA3" w:rsidRDefault="00527E32" w:rsidP="0054623A">
      <w:pPr>
        <w:numPr>
          <w:ilvl w:val="0"/>
          <w:numId w:val="216"/>
        </w:numPr>
        <w:rPr>
          <w:color w:val="000000"/>
          <w:szCs w:val="24"/>
        </w:rPr>
      </w:pPr>
      <w:r w:rsidRPr="001B0EA3">
        <w:rPr>
          <w:bCs/>
          <w:color w:val="000000"/>
          <w:szCs w:val="24"/>
        </w:rPr>
        <w:t>Разменена кореспонденция между участниците и комисията за оценка по време на процедурата вкл. допълнително представени документи и др. подобни;</w:t>
      </w:r>
    </w:p>
    <w:p w14:paraId="64ED0CF2" w14:textId="77777777" w:rsidR="00A1582E" w:rsidRPr="001B0EA3" w:rsidRDefault="00A1582E" w:rsidP="0054623A">
      <w:pPr>
        <w:numPr>
          <w:ilvl w:val="0"/>
          <w:numId w:val="216"/>
        </w:numPr>
        <w:rPr>
          <w:color w:val="000000"/>
          <w:szCs w:val="24"/>
        </w:rPr>
      </w:pPr>
      <w:r w:rsidRPr="001B0EA3">
        <w:rPr>
          <w:color w:val="000000"/>
          <w:szCs w:val="24"/>
        </w:rPr>
        <w:t>Решение за определяне на изпълнител;</w:t>
      </w:r>
    </w:p>
    <w:p w14:paraId="75168A3C" w14:textId="77777777" w:rsidR="00A1582E" w:rsidRPr="001B0EA3" w:rsidRDefault="00A1582E" w:rsidP="0054623A">
      <w:pPr>
        <w:numPr>
          <w:ilvl w:val="0"/>
          <w:numId w:val="216"/>
        </w:numPr>
        <w:rPr>
          <w:color w:val="000000"/>
          <w:szCs w:val="24"/>
        </w:rPr>
      </w:pPr>
      <w:r w:rsidRPr="001B0EA3">
        <w:rPr>
          <w:color w:val="000000"/>
          <w:szCs w:val="24"/>
        </w:rPr>
        <w:t xml:space="preserve"> Договор за обществена поръчка/рамково споразумение и договор по него;</w:t>
      </w:r>
    </w:p>
    <w:p w14:paraId="7CC21654" w14:textId="77777777" w:rsidR="00A1582E" w:rsidRPr="001B0EA3" w:rsidRDefault="00A1582E" w:rsidP="0054623A">
      <w:pPr>
        <w:numPr>
          <w:ilvl w:val="0"/>
          <w:numId w:val="216"/>
        </w:numPr>
        <w:rPr>
          <w:color w:val="000000"/>
          <w:szCs w:val="24"/>
        </w:rPr>
      </w:pPr>
      <w:r w:rsidRPr="001B0EA3">
        <w:rPr>
          <w:color w:val="000000"/>
          <w:szCs w:val="24"/>
        </w:rPr>
        <w:t>Актове на КЗК и ВАС във връзка с процедурата;</w:t>
      </w:r>
    </w:p>
    <w:p w14:paraId="3CDFA281" w14:textId="77777777" w:rsidR="00A1582E" w:rsidRPr="001B0EA3" w:rsidRDefault="00A1582E" w:rsidP="00AA5135">
      <w:pPr>
        <w:numPr>
          <w:ilvl w:val="0"/>
          <w:numId w:val="216"/>
        </w:numPr>
        <w:rPr>
          <w:color w:val="000000"/>
          <w:szCs w:val="24"/>
        </w:rPr>
      </w:pPr>
      <w:r w:rsidRPr="001B0EA3">
        <w:rPr>
          <w:color w:val="000000"/>
          <w:szCs w:val="24"/>
        </w:rPr>
        <w:t xml:space="preserve">Копие от офертата на спечелилия участник и копия от офертите на </w:t>
      </w:r>
      <w:r w:rsidR="00AA5135" w:rsidRPr="00AA5135">
        <w:rPr>
          <w:color w:val="000000"/>
          <w:szCs w:val="24"/>
        </w:rPr>
        <w:t xml:space="preserve">останалите </w:t>
      </w:r>
      <w:r w:rsidRPr="001B0EA3">
        <w:rPr>
          <w:color w:val="000000"/>
          <w:szCs w:val="24"/>
        </w:rPr>
        <w:t>участници</w:t>
      </w:r>
      <w:r w:rsidR="00527E32" w:rsidRPr="001B0EA3">
        <w:rPr>
          <w:color w:val="000000"/>
          <w:szCs w:val="24"/>
        </w:rPr>
        <w:t>;</w:t>
      </w:r>
    </w:p>
    <w:p w14:paraId="6A6A10CB" w14:textId="77777777" w:rsidR="00527E32" w:rsidRPr="001B0EA3" w:rsidRDefault="00527E32" w:rsidP="0054623A">
      <w:pPr>
        <w:pStyle w:val="ListParagraph"/>
        <w:numPr>
          <w:ilvl w:val="0"/>
          <w:numId w:val="216"/>
        </w:numPr>
        <w:rPr>
          <w:color w:val="000000"/>
          <w:szCs w:val="24"/>
        </w:rPr>
      </w:pPr>
      <w:r w:rsidRPr="001B0EA3">
        <w:rPr>
          <w:color w:val="000000"/>
          <w:szCs w:val="24"/>
        </w:rPr>
        <w:t>Посочените по-горе документи следва да са налични в ИСУН 2020 към датата на изпращане за контрол в УО на документацията;</w:t>
      </w:r>
    </w:p>
    <w:p w14:paraId="02132519" w14:textId="77777777" w:rsidR="00527E32" w:rsidRPr="001B0EA3" w:rsidRDefault="00527E32" w:rsidP="0054623A">
      <w:pPr>
        <w:pStyle w:val="ListParagraph"/>
        <w:numPr>
          <w:ilvl w:val="0"/>
          <w:numId w:val="216"/>
        </w:numPr>
        <w:rPr>
          <w:color w:val="000000"/>
          <w:szCs w:val="24"/>
        </w:rPr>
      </w:pPr>
      <w:r w:rsidRPr="001B0EA3">
        <w:rPr>
          <w:color w:val="000000"/>
          <w:szCs w:val="24"/>
        </w:rPr>
        <w:t>Бенефициентът представя и други документи, извън горните – при необходимост (напр.  справка- образец, попълнена и подписана от възложителя за проведени процедури със сходен предмет за съответната календарна година, както и график за планираните по проекта).</w:t>
      </w:r>
    </w:p>
    <w:p w14:paraId="3382F265" w14:textId="77777777" w:rsidR="00A1582E" w:rsidRPr="001B0EA3" w:rsidRDefault="00A1582E" w:rsidP="00CC313F">
      <w:pPr>
        <w:rPr>
          <w:color w:val="000000"/>
          <w:szCs w:val="24"/>
        </w:rPr>
      </w:pPr>
    </w:p>
    <w:p w14:paraId="4199DD04" w14:textId="77777777" w:rsidR="00E41E45" w:rsidRPr="001B0EA3" w:rsidRDefault="00E41E45" w:rsidP="00166C0A">
      <w:pPr>
        <w:ind w:firstLine="709"/>
        <w:rPr>
          <w:color w:val="000000"/>
          <w:szCs w:val="24"/>
        </w:rPr>
      </w:pPr>
      <w:r w:rsidRPr="001B0EA3">
        <w:rPr>
          <w:color w:val="000000"/>
          <w:szCs w:val="24"/>
        </w:rPr>
        <w:t>Към горните документи, бенефициентът следва да приложи и документ, който да дава информация, че към датата на решението за откриване на процедурата или на публикуване на обява, той е обобщил всички идентични или сходни потребности, които са му известни, с оглед на правилното определяне на реда за възлагане.</w:t>
      </w:r>
    </w:p>
    <w:p w14:paraId="46C0C881" w14:textId="77777777" w:rsidR="00663A0F" w:rsidRPr="001B0EA3" w:rsidRDefault="00663A0F" w:rsidP="00663A0F">
      <w:pPr>
        <w:spacing w:before="120" w:after="120"/>
        <w:ind w:firstLine="709"/>
        <w:rPr>
          <w:color w:val="000000"/>
          <w:szCs w:val="24"/>
        </w:rPr>
      </w:pPr>
      <w:r w:rsidRPr="001B0EA3">
        <w:rPr>
          <w:color w:val="000000"/>
          <w:szCs w:val="24"/>
        </w:rPr>
        <w:t xml:space="preserve">УО извършва контрол върху получените документи с приложим към настоящия Наръчник </w:t>
      </w:r>
      <w:r>
        <w:rPr>
          <w:color w:val="000000"/>
          <w:szCs w:val="24"/>
        </w:rPr>
        <w:t xml:space="preserve"> общ </w:t>
      </w:r>
      <w:r w:rsidRPr="001B0EA3">
        <w:rPr>
          <w:color w:val="000000"/>
          <w:szCs w:val="24"/>
        </w:rPr>
        <w:t>контрол</w:t>
      </w:r>
      <w:r>
        <w:rPr>
          <w:color w:val="000000"/>
          <w:szCs w:val="24"/>
        </w:rPr>
        <w:t>ен</w:t>
      </w:r>
      <w:r w:rsidRPr="001B0EA3">
        <w:rPr>
          <w:color w:val="000000"/>
          <w:szCs w:val="24"/>
        </w:rPr>
        <w:t xml:space="preserve"> лист</w:t>
      </w:r>
      <w:r>
        <w:rPr>
          <w:color w:val="000000"/>
          <w:szCs w:val="24"/>
        </w:rPr>
        <w:t xml:space="preserve">, който се попълва в ИСУН 2020 и приложения към него </w:t>
      </w:r>
      <w:r w:rsidRPr="001B0EA3">
        <w:rPr>
          <w:color w:val="000000"/>
          <w:szCs w:val="24"/>
        </w:rPr>
        <w:t xml:space="preserve"> </w:t>
      </w:r>
      <w:r>
        <w:rPr>
          <w:color w:val="000000"/>
          <w:szCs w:val="24"/>
        </w:rPr>
        <w:t>(</w:t>
      </w:r>
      <w:r w:rsidRPr="001B0EA3">
        <w:rPr>
          <w:color w:val="000000"/>
          <w:szCs w:val="24"/>
        </w:rPr>
        <w:t>в зависимост от вида на процедурата</w:t>
      </w:r>
      <w:r>
        <w:rPr>
          <w:color w:val="000000"/>
          <w:szCs w:val="24"/>
        </w:rPr>
        <w:t>), също част от Наръчника, които се публикуват в ИСУН 2020</w:t>
      </w:r>
      <w:r w:rsidRPr="001B0EA3">
        <w:rPr>
          <w:color w:val="000000"/>
          <w:szCs w:val="24"/>
        </w:rPr>
        <w:t xml:space="preserve">. Срокът за проверка на документацията от проведената  обществена поръчка е до 20 работни дни от получаването в УО на гореописаните документи. </w:t>
      </w:r>
    </w:p>
    <w:p w14:paraId="6CD8E5D6" w14:textId="77777777" w:rsidR="00E41E45" w:rsidRPr="001B0EA3" w:rsidRDefault="00E41E45" w:rsidP="00046D61">
      <w:pPr>
        <w:spacing w:before="120" w:after="120"/>
        <w:ind w:firstLine="709"/>
        <w:rPr>
          <w:color w:val="000000"/>
          <w:szCs w:val="24"/>
        </w:rPr>
      </w:pPr>
      <w:r w:rsidRPr="001B0EA3">
        <w:rPr>
          <w:color w:val="000000"/>
          <w:szCs w:val="24"/>
        </w:rPr>
        <w:t>Ако в процеса на проверка на документацията се установят пропуски в представените документи</w:t>
      </w:r>
      <w:r w:rsidR="00527E32" w:rsidRPr="001B0EA3">
        <w:rPr>
          <w:color w:val="000000"/>
          <w:szCs w:val="24"/>
        </w:rPr>
        <w:t>, съответно наличните такива в ИСУН 2020</w:t>
      </w:r>
      <w:r w:rsidRPr="001B0EA3">
        <w:rPr>
          <w:color w:val="000000"/>
          <w:szCs w:val="24"/>
        </w:rPr>
        <w:t>, експерт от отдел „КОП“ изисква писмено от бенефициента (официално, по факс или по ел. поща) представянето на допълнителни документи, информация или разяснения</w:t>
      </w:r>
      <w:r w:rsidR="00527E32" w:rsidRPr="001B0EA3">
        <w:rPr>
          <w:color w:val="000000"/>
          <w:szCs w:val="24"/>
        </w:rPr>
        <w:t>, като същите следва да се публикуват и в ИСУН 2020</w:t>
      </w:r>
      <w:r w:rsidRPr="001B0EA3">
        <w:rPr>
          <w:color w:val="000000"/>
          <w:szCs w:val="24"/>
        </w:rPr>
        <w:t xml:space="preserve">. </w:t>
      </w:r>
    </w:p>
    <w:p w14:paraId="57F62EF0" w14:textId="77777777" w:rsidR="00E41E45" w:rsidRPr="001B0EA3" w:rsidRDefault="00E41E45" w:rsidP="00046D61">
      <w:pPr>
        <w:spacing w:before="120" w:after="120"/>
        <w:ind w:firstLine="709"/>
        <w:rPr>
          <w:color w:val="000000"/>
          <w:szCs w:val="24"/>
        </w:rPr>
      </w:pPr>
      <w:r w:rsidRPr="001B0EA3">
        <w:rPr>
          <w:color w:val="000000"/>
          <w:szCs w:val="24"/>
        </w:rPr>
        <w:t>Срокът за изпращане</w:t>
      </w:r>
      <w:r w:rsidR="00527E32" w:rsidRPr="001B0EA3">
        <w:rPr>
          <w:color w:val="000000"/>
          <w:szCs w:val="24"/>
        </w:rPr>
        <w:t>/ публикуване в ИСУН 2020</w:t>
      </w:r>
      <w:r w:rsidRPr="001B0EA3">
        <w:rPr>
          <w:color w:val="000000"/>
          <w:szCs w:val="24"/>
        </w:rPr>
        <w:t xml:space="preserve"> на документите/допълнителната информация от бенефициента е до 3 работни дни от получаване на писмено запитване. До получаване на отговор/изпращането на документи от страна на бенефициента в УО, се прекъсва срокът за проверка на документацията от проведената процедура.</w:t>
      </w:r>
    </w:p>
    <w:p w14:paraId="1A73921E" w14:textId="77777777" w:rsidR="00C91A64" w:rsidRPr="001B0EA3" w:rsidRDefault="00C91A64" w:rsidP="00463680">
      <w:pPr>
        <w:ind w:firstLine="709"/>
        <w:rPr>
          <w:color w:val="000000"/>
          <w:szCs w:val="24"/>
        </w:rPr>
      </w:pPr>
      <w:r w:rsidRPr="001B0EA3">
        <w:rPr>
          <w:color w:val="000000"/>
          <w:szCs w:val="24"/>
        </w:rPr>
        <w:t xml:space="preserve">Гореописаните проверки се финализират с </w:t>
      </w:r>
      <w:r>
        <w:rPr>
          <w:color w:val="000000"/>
          <w:szCs w:val="24"/>
        </w:rPr>
        <w:t>попълването</w:t>
      </w:r>
      <w:r w:rsidRPr="001B0EA3">
        <w:rPr>
          <w:color w:val="000000"/>
          <w:szCs w:val="24"/>
        </w:rPr>
        <w:t xml:space="preserve"> на </w:t>
      </w:r>
      <w:r>
        <w:rPr>
          <w:color w:val="000000"/>
          <w:szCs w:val="24"/>
        </w:rPr>
        <w:t xml:space="preserve">общ </w:t>
      </w:r>
      <w:r w:rsidRPr="001B0EA3">
        <w:rPr>
          <w:color w:val="000000"/>
          <w:szCs w:val="24"/>
        </w:rPr>
        <w:t>КЛ</w:t>
      </w:r>
      <w:r>
        <w:rPr>
          <w:color w:val="000000"/>
          <w:szCs w:val="24"/>
        </w:rPr>
        <w:t xml:space="preserve"> в ИСУН 2020 и публикуването на приложенията към него</w:t>
      </w:r>
      <w:r w:rsidRPr="001B0EA3">
        <w:rPr>
          <w:color w:val="000000"/>
          <w:szCs w:val="24"/>
        </w:rPr>
        <w:t xml:space="preserve"> от експерта</w:t>
      </w:r>
      <w:r>
        <w:rPr>
          <w:color w:val="000000"/>
          <w:szCs w:val="24"/>
        </w:rPr>
        <w:t>,</w:t>
      </w:r>
      <w:r w:rsidRPr="001B0EA3">
        <w:rPr>
          <w:color w:val="000000"/>
          <w:szCs w:val="24"/>
        </w:rPr>
        <w:t xml:space="preserve"> и одобрението му</w:t>
      </w:r>
      <w:r w:rsidRPr="001B0EA3">
        <w:rPr>
          <w:color w:val="000000"/>
        </w:rPr>
        <w:t xml:space="preserve"> от </w:t>
      </w:r>
      <w:r w:rsidRPr="001B0EA3">
        <w:rPr>
          <w:color w:val="000000"/>
          <w:szCs w:val="24"/>
        </w:rPr>
        <w:t>началника на отдел „Контрол по обществени поръчки“</w:t>
      </w:r>
      <w:r>
        <w:rPr>
          <w:color w:val="000000"/>
          <w:szCs w:val="24"/>
        </w:rPr>
        <w:t xml:space="preserve"> в ИСУН 2020</w:t>
      </w:r>
      <w:r w:rsidRPr="001B0EA3">
        <w:rPr>
          <w:color w:val="000000"/>
          <w:szCs w:val="24"/>
        </w:rPr>
        <w:t xml:space="preserve">. </w:t>
      </w:r>
      <w:r>
        <w:rPr>
          <w:color w:val="000000"/>
          <w:szCs w:val="24"/>
        </w:rPr>
        <w:t>З</w:t>
      </w:r>
      <w:r w:rsidRPr="001B0EA3">
        <w:rPr>
          <w:color w:val="000000"/>
          <w:szCs w:val="24"/>
        </w:rPr>
        <w:t>а резултатите от проверката се изпраща уведомление по електронен път до началниците на отдели „ИК“ и „ФУ“ (писмо, в случаите по  Глава 6, т.26.3, б. „А“).</w:t>
      </w:r>
    </w:p>
    <w:p w14:paraId="5EB95613" w14:textId="77777777" w:rsidR="00A1582E" w:rsidRPr="001B0EA3" w:rsidRDefault="00A1582E" w:rsidP="00046D61">
      <w:pPr>
        <w:rPr>
          <w:b/>
          <w:bCs/>
          <w:i/>
          <w:color w:val="000000"/>
          <w:szCs w:val="24"/>
        </w:rPr>
      </w:pPr>
    </w:p>
    <w:p w14:paraId="0727F431" w14:textId="77777777" w:rsidR="00D603F5" w:rsidRPr="001B0EA3" w:rsidRDefault="00A1582E" w:rsidP="00046D61">
      <w:pPr>
        <w:rPr>
          <w:b/>
          <w:bCs/>
          <w:i/>
          <w:color w:val="000000"/>
          <w:szCs w:val="24"/>
        </w:rPr>
      </w:pPr>
      <w:r w:rsidRPr="001B0EA3">
        <w:rPr>
          <w:b/>
          <w:bCs/>
          <w:i/>
          <w:color w:val="000000"/>
          <w:szCs w:val="24"/>
        </w:rPr>
        <w:t>Всички оферти, в процеса на оценка от комисията за избор на изпълнител,  следва да се съхраняват  в помещения с ограничен достъп при съответния бенефициент, като правилата за съхранение се изготвят от бенефициента.</w:t>
      </w:r>
    </w:p>
    <w:p w14:paraId="22CFB4C0" w14:textId="77777777" w:rsidR="009A6447" w:rsidRPr="00842ECC" w:rsidRDefault="009A6447" w:rsidP="00463680">
      <w:pPr>
        <w:pStyle w:val="Style2"/>
        <w:ind w:hanging="792"/>
        <w:rPr>
          <w:lang w:val="bg-BG"/>
        </w:rPr>
      </w:pPr>
      <w:bookmarkStart w:id="865" w:name="_Toc479775686"/>
      <w:bookmarkStart w:id="866" w:name="_Toc140150237"/>
      <w:r w:rsidRPr="00842ECC">
        <w:rPr>
          <w:lang w:val="bg-BG"/>
        </w:rPr>
        <w:t>Контрол за разделяне на поръчка под стойностните прагове на ЗОП</w:t>
      </w:r>
      <w:bookmarkEnd w:id="865"/>
      <w:bookmarkEnd w:id="866"/>
      <w:r w:rsidRPr="00842ECC">
        <w:rPr>
          <w:lang w:val="bg-BG"/>
        </w:rPr>
        <w:t xml:space="preserve"> </w:t>
      </w:r>
    </w:p>
    <w:p w14:paraId="1555DF07" w14:textId="77777777" w:rsidR="006B08CB" w:rsidRPr="001B0EA3" w:rsidRDefault="006B08CB" w:rsidP="00046D61">
      <w:pPr>
        <w:rPr>
          <w:color w:val="000000"/>
          <w:szCs w:val="24"/>
        </w:rPr>
      </w:pPr>
      <w:r w:rsidRPr="001B0EA3">
        <w:rPr>
          <w:color w:val="000000"/>
          <w:szCs w:val="24"/>
        </w:rPr>
        <w:t>За поръчки под стойностните прагове за възлагане по ЗОП възложителите прилагат собствените си утвърдени контролни процедури за осигуряване на законосъобразност.</w:t>
      </w:r>
    </w:p>
    <w:p w14:paraId="1A59C8A4" w14:textId="77777777" w:rsidR="006B08CB" w:rsidRPr="001B0EA3" w:rsidRDefault="006B08CB" w:rsidP="00046D61">
      <w:pPr>
        <w:rPr>
          <w:color w:val="000000"/>
          <w:szCs w:val="24"/>
        </w:rPr>
      </w:pPr>
    </w:p>
    <w:p w14:paraId="0172FECB" w14:textId="77777777" w:rsidR="006B08CB" w:rsidRPr="001B0EA3" w:rsidRDefault="00E605C4" w:rsidP="00046D61">
      <w:pPr>
        <w:rPr>
          <w:color w:val="000000"/>
          <w:szCs w:val="24"/>
        </w:rPr>
      </w:pPr>
      <w:r w:rsidRPr="001B0EA3">
        <w:rPr>
          <w:color w:val="000000"/>
          <w:szCs w:val="24"/>
        </w:rPr>
        <w:t xml:space="preserve">22.1.1. </w:t>
      </w:r>
      <w:r w:rsidR="006B08CB" w:rsidRPr="001B0EA3">
        <w:rPr>
          <w:color w:val="000000"/>
          <w:szCs w:val="24"/>
        </w:rPr>
        <w:t>В случаите, когато бенефициентът иска верификация на средства по сключен договор под стойностните прагове за възлагане на ЗОП, същият представя следната информация:</w:t>
      </w:r>
    </w:p>
    <w:p w14:paraId="33A5629A" w14:textId="77777777" w:rsidR="006B08CB" w:rsidRPr="001B0EA3" w:rsidRDefault="006B08CB" w:rsidP="00046D61">
      <w:pPr>
        <w:rPr>
          <w:color w:val="000000"/>
          <w:szCs w:val="24"/>
        </w:rPr>
      </w:pPr>
      <w:r w:rsidRPr="001B0EA3">
        <w:rPr>
          <w:color w:val="000000"/>
          <w:szCs w:val="24"/>
        </w:rPr>
        <w:t xml:space="preserve">1. При </w:t>
      </w:r>
      <w:r w:rsidRPr="001B0EA3">
        <w:rPr>
          <w:color w:val="000000"/>
          <w:szCs w:val="24"/>
          <w:u w:val="single"/>
        </w:rPr>
        <w:t>първо искане за верификация</w:t>
      </w:r>
      <w:r w:rsidRPr="001B0EA3">
        <w:rPr>
          <w:color w:val="000000"/>
          <w:szCs w:val="24"/>
        </w:rPr>
        <w:t xml:space="preserve"> на средства по договора, бенефициентът следва да попълни справка с информация за сключени други договори със същия или сходен предмет</w:t>
      </w:r>
      <w:r w:rsidR="00C75719" w:rsidRPr="001B0EA3">
        <w:rPr>
          <w:color w:val="000000"/>
          <w:szCs w:val="24"/>
        </w:rPr>
        <w:t>, независимо от източника им на финансиране,</w:t>
      </w:r>
      <w:r w:rsidRPr="001B0EA3">
        <w:rPr>
          <w:color w:val="000000"/>
          <w:szCs w:val="24"/>
        </w:rPr>
        <w:t xml:space="preserve"> от началната дата на допустимост на разходите по ОПТТИ до момента (ако е приложимо). Справката е приложение към искането за междинно плащане;</w:t>
      </w:r>
    </w:p>
    <w:p w14:paraId="6AC471E7" w14:textId="77777777" w:rsidR="006B08CB" w:rsidRPr="001B0EA3" w:rsidRDefault="006B08CB" w:rsidP="00046D61">
      <w:pPr>
        <w:rPr>
          <w:color w:val="000000"/>
          <w:szCs w:val="24"/>
        </w:rPr>
      </w:pPr>
      <w:r w:rsidRPr="001B0EA3">
        <w:rPr>
          <w:color w:val="000000"/>
          <w:szCs w:val="24"/>
        </w:rPr>
        <w:t xml:space="preserve">2. При всяко следващо искане за верификация, бенефициентът следва да попълва справката с информация за сключени други договори със същия или сходен предмет, </w:t>
      </w:r>
      <w:r w:rsidR="00C75719" w:rsidRPr="001B0EA3">
        <w:rPr>
          <w:color w:val="000000"/>
          <w:szCs w:val="24"/>
        </w:rPr>
        <w:t xml:space="preserve">независимо от източника им на финансиране </w:t>
      </w:r>
      <w:r w:rsidRPr="001B0EA3">
        <w:rPr>
          <w:color w:val="000000"/>
          <w:szCs w:val="24"/>
          <w:u w:val="single"/>
        </w:rPr>
        <w:t>за периода от предходното искане</w:t>
      </w:r>
      <w:r w:rsidRPr="001B0EA3">
        <w:rPr>
          <w:color w:val="000000"/>
          <w:szCs w:val="24"/>
        </w:rPr>
        <w:t xml:space="preserve"> до момента (ако е приложимо).</w:t>
      </w:r>
    </w:p>
    <w:p w14:paraId="0D52ACF6" w14:textId="77777777" w:rsidR="006B08CB" w:rsidRPr="001B0EA3" w:rsidRDefault="006B08CB" w:rsidP="00046D61">
      <w:pPr>
        <w:rPr>
          <w:color w:val="000000"/>
          <w:szCs w:val="24"/>
        </w:rPr>
      </w:pPr>
      <w:r w:rsidRPr="001B0EA3">
        <w:rPr>
          <w:color w:val="000000"/>
          <w:szCs w:val="24"/>
        </w:rPr>
        <w:t>В случай, че няма сключени такива договори, бенефициентът следва да посочи изрично това обстоятелство.</w:t>
      </w:r>
    </w:p>
    <w:p w14:paraId="37C202CE" w14:textId="77777777" w:rsidR="00AA5135" w:rsidRPr="00AA5135" w:rsidRDefault="00AA5135" w:rsidP="00AA5135">
      <w:pPr>
        <w:rPr>
          <w:color w:val="000000"/>
          <w:szCs w:val="24"/>
        </w:rPr>
      </w:pPr>
      <w:r w:rsidRPr="00AA5135">
        <w:rPr>
          <w:color w:val="000000"/>
          <w:szCs w:val="24"/>
        </w:rPr>
        <w:t xml:space="preserve">При получаване в УО на искане за междинно плащане, в което са докладвани за верификация разходи по договор на стойност под праговете за възлагане на ЗОП и с попълнено Приложение № 3 от искане за междинно плащане, отдел „Финансово управление“ препраща Приложение № 3 за становище за евентуално  неправомерно разделяне на поръчката до отдел „КОП“. </w:t>
      </w:r>
    </w:p>
    <w:p w14:paraId="28F25D79" w14:textId="77777777" w:rsidR="00AA5135" w:rsidRPr="00AA5135" w:rsidRDefault="00AA5135" w:rsidP="00AA5135">
      <w:pPr>
        <w:rPr>
          <w:color w:val="000000"/>
          <w:szCs w:val="24"/>
        </w:rPr>
      </w:pPr>
      <w:r w:rsidRPr="00AA5135">
        <w:rPr>
          <w:color w:val="000000"/>
          <w:szCs w:val="24"/>
        </w:rPr>
        <w:t xml:space="preserve">В срок от 3 работни дни началникът на отдел „КОП“ уведомява по електронна поща началника на отдел „Финансово управление“ (с копие до началника на отдел „Изпълнение и координация“) за договорите за изпълнение, включени в Приложение № 3, подлежащи на проверка, както и за необходимостта същите да бъдат изискани от бенефициента. </w:t>
      </w:r>
    </w:p>
    <w:p w14:paraId="74F8AD1E" w14:textId="77777777" w:rsidR="00AA5135" w:rsidRPr="00AA5135" w:rsidRDefault="00AA5135" w:rsidP="00AA5135">
      <w:pPr>
        <w:rPr>
          <w:color w:val="000000"/>
          <w:szCs w:val="24"/>
        </w:rPr>
      </w:pPr>
      <w:r w:rsidRPr="00AA5135">
        <w:rPr>
          <w:color w:val="000000"/>
          <w:szCs w:val="24"/>
        </w:rPr>
        <w:t xml:space="preserve">Отдел „КОП“ изисква от бенефициента необходимите документи за проверка, съгласно т. 22 от настоящата глава. </w:t>
      </w:r>
    </w:p>
    <w:p w14:paraId="031640A7" w14:textId="77777777" w:rsidR="00AA5135" w:rsidRPr="00AA5135" w:rsidRDefault="00AA5135" w:rsidP="00AA5135">
      <w:pPr>
        <w:rPr>
          <w:color w:val="000000"/>
          <w:szCs w:val="24"/>
        </w:rPr>
      </w:pPr>
      <w:r w:rsidRPr="00AA5135">
        <w:rPr>
          <w:color w:val="000000"/>
          <w:szCs w:val="24"/>
        </w:rPr>
        <w:t>В срок от 15 работни дни от получаване на изисканите документи отдел „КОП“ следва да излезе със становище от извършената проверка. В случай, че бенефициентите не представят необходимата за проверката информация, срокът за проверката се увеличава със съответния брой дни на забавата на бенефициента.</w:t>
      </w:r>
    </w:p>
    <w:p w14:paraId="07BAF7C0" w14:textId="77777777" w:rsidR="006B08CB" w:rsidRPr="001B0EA3" w:rsidRDefault="00AA5135" w:rsidP="00AA5135">
      <w:pPr>
        <w:rPr>
          <w:color w:val="000000"/>
          <w:szCs w:val="24"/>
        </w:rPr>
      </w:pPr>
      <w:r w:rsidRPr="00AA5135">
        <w:rPr>
          <w:color w:val="000000"/>
          <w:szCs w:val="24"/>
        </w:rPr>
        <w:t>Началникът на отдел „КОП“ уведомява по електронна поща началника на отдел „Финансово управление“ (с копие до началника на отдел „Изпълнение и координация“) за резултатите от извършената проверка.</w:t>
      </w:r>
    </w:p>
    <w:p w14:paraId="2ABF3341" w14:textId="77777777" w:rsidR="006B08CB" w:rsidRPr="001B0EA3" w:rsidRDefault="006B08CB" w:rsidP="00046D61">
      <w:pPr>
        <w:rPr>
          <w:color w:val="000000"/>
          <w:szCs w:val="24"/>
        </w:rPr>
      </w:pPr>
    </w:p>
    <w:p w14:paraId="041E1F6C" w14:textId="77777777" w:rsidR="006B08CB" w:rsidRPr="001B0EA3" w:rsidRDefault="006B08CB" w:rsidP="00046D61">
      <w:pPr>
        <w:rPr>
          <w:color w:val="000000"/>
          <w:szCs w:val="24"/>
        </w:rPr>
      </w:pPr>
    </w:p>
    <w:p w14:paraId="12A81C29" w14:textId="77777777" w:rsidR="006B08CB" w:rsidRPr="001B0EA3" w:rsidRDefault="00E605C4" w:rsidP="00046D61">
      <w:pPr>
        <w:rPr>
          <w:color w:val="000000"/>
          <w:szCs w:val="24"/>
        </w:rPr>
      </w:pPr>
      <w:r w:rsidRPr="001B0EA3">
        <w:rPr>
          <w:color w:val="000000"/>
          <w:szCs w:val="24"/>
        </w:rPr>
        <w:t xml:space="preserve">22.1.2 </w:t>
      </w:r>
      <w:r w:rsidR="006B08CB" w:rsidRPr="001B0EA3">
        <w:rPr>
          <w:color w:val="000000"/>
          <w:szCs w:val="24"/>
        </w:rPr>
        <w:t xml:space="preserve">В случаите, когато </w:t>
      </w:r>
      <w:r w:rsidR="006B08CB" w:rsidRPr="001B0EA3">
        <w:rPr>
          <w:color w:val="000000"/>
          <w:szCs w:val="24"/>
          <w:u w:val="single"/>
        </w:rPr>
        <w:t>бенефициентът по проекта е Управляващият орган</w:t>
      </w:r>
      <w:r w:rsidR="006B08CB" w:rsidRPr="001B0EA3">
        <w:rPr>
          <w:color w:val="000000"/>
          <w:szCs w:val="24"/>
        </w:rPr>
        <w:t xml:space="preserve"> и се иска верификация на средства по сключен договор под стойностните прагове за възлагане на ЗОП, същият представя следната информация:</w:t>
      </w:r>
    </w:p>
    <w:p w14:paraId="564D0947" w14:textId="77777777" w:rsidR="006B08CB" w:rsidRPr="001B0EA3" w:rsidRDefault="006B08CB" w:rsidP="00046D61">
      <w:pPr>
        <w:rPr>
          <w:color w:val="000000"/>
          <w:szCs w:val="24"/>
        </w:rPr>
      </w:pPr>
      <w:r w:rsidRPr="001B0EA3">
        <w:rPr>
          <w:color w:val="000000"/>
          <w:szCs w:val="24"/>
        </w:rPr>
        <w:t>1. При подготовка на първо искане за верификация на средства по договора, бенефициентът следва да попълни справка с информация за сключени други договори със същия или сходен предмет</w:t>
      </w:r>
      <w:r w:rsidR="00C75719" w:rsidRPr="001B0EA3">
        <w:rPr>
          <w:color w:val="000000"/>
          <w:szCs w:val="24"/>
        </w:rPr>
        <w:t>,</w:t>
      </w:r>
      <w:r w:rsidRPr="001B0EA3">
        <w:rPr>
          <w:color w:val="000000"/>
          <w:szCs w:val="24"/>
        </w:rPr>
        <w:t xml:space="preserve"> </w:t>
      </w:r>
      <w:r w:rsidR="00C75719" w:rsidRPr="001B0EA3">
        <w:rPr>
          <w:color w:val="000000"/>
          <w:szCs w:val="24"/>
        </w:rPr>
        <w:t xml:space="preserve">независимо от източника им на финансиране, </w:t>
      </w:r>
      <w:r w:rsidRPr="001B0EA3">
        <w:rPr>
          <w:color w:val="000000"/>
          <w:szCs w:val="24"/>
        </w:rPr>
        <w:t>от началната дата на допустимост на разходите по ОПТТИ до момента (ако е приложимо). Справката е приложение към искането за междинно плащане;</w:t>
      </w:r>
    </w:p>
    <w:p w14:paraId="6469C9B6" w14:textId="77777777" w:rsidR="006B08CB" w:rsidRPr="001B0EA3" w:rsidRDefault="006B08CB" w:rsidP="00046D61">
      <w:pPr>
        <w:rPr>
          <w:color w:val="000000"/>
          <w:szCs w:val="24"/>
        </w:rPr>
      </w:pPr>
      <w:r w:rsidRPr="001B0EA3">
        <w:rPr>
          <w:color w:val="000000"/>
          <w:szCs w:val="24"/>
        </w:rPr>
        <w:lastRenderedPageBreak/>
        <w:t>2. При всяко следващо искане за верификация, бенефициентът следва да попълва справката с информация за сключени други договори със същия или сходен предмет</w:t>
      </w:r>
      <w:r w:rsidR="00142318" w:rsidRPr="001B0EA3">
        <w:rPr>
          <w:color w:val="000000"/>
          <w:szCs w:val="24"/>
        </w:rPr>
        <w:t>, независимо от източника им на финансиране,</w:t>
      </w:r>
      <w:r w:rsidRPr="001B0EA3">
        <w:rPr>
          <w:color w:val="000000"/>
          <w:szCs w:val="24"/>
        </w:rPr>
        <w:t>, за периода от предходното искане до момента (ако е приложимо).</w:t>
      </w:r>
    </w:p>
    <w:p w14:paraId="496C3644" w14:textId="77777777" w:rsidR="006B08CB" w:rsidRPr="001B0EA3" w:rsidRDefault="006B08CB" w:rsidP="00046D61">
      <w:pPr>
        <w:rPr>
          <w:color w:val="000000"/>
          <w:szCs w:val="24"/>
        </w:rPr>
      </w:pPr>
      <w:r w:rsidRPr="001B0EA3">
        <w:rPr>
          <w:color w:val="000000"/>
          <w:szCs w:val="24"/>
        </w:rPr>
        <w:t>В случай, че няма сключени такива договори, бенефициентът следва да посочи изрично това обстоятелство.</w:t>
      </w:r>
    </w:p>
    <w:p w14:paraId="576A9ECD" w14:textId="77777777" w:rsidR="00AA5135" w:rsidRDefault="00AA5135" w:rsidP="00046D61">
      <w:pPr>
        <w:rPr>
          <w:color w:val="000000"/>
          <w:szCs w:val="24"/>
        </w:rPr>
      </w:pPr>
    </w:p>
    <w:p w14:paraId="305AFEFB" w14:textId="77777777" w:rsidR="006B08CB" w:rsidRDefault="006B08CB" w:rsidP="00046D61">
      <w:pPr>
        <w:rPr>
          <w:color w:val="000000"/>
          <w:szCs w:val="24"/>
        </w:rPr>
      </w:pPr>
      <w:r w:rsidRPr="001B0EA3">
        <w:rPr>
          <w:color w:val="000000"/>
          <w:szCs w:val="24"/>
        </w:rPr>
        <w:t>При подготовка на искане за верификация на средства, с включен договор на стойност под праговете за възлагане на ЗОП с попълнена справка</w:t>
      </w:r>
      <w:r w:rsidR="00AA5135" w:rsidRPr="00842ECC">
        <w:rPr>
          <w:color w:val="000000"/>
          <w:szCs w:val="24"/>
        </w:rPr>
        <w:t xml:space="preserve"> Приложение № 3</w:t>
      </w:r>
      <w:r w:rsidRPr="001B0EA3">
        <w:rPr>
          <w:color w:val="000000"/>
          <w:szCs w:val="24"/>
        </w:rPr>
        <w:t xml:space="preserve">, Ръководителят на ЗИП го изпраща за становище за евентуално  неправомерно разделяне на поръчката до отдел „КОП“. В случай, че бенефициентът </w:t>
      </w:r>
      <w:r w:rsidR="00AA5135">
        <w:rPr>
          <w:color w:val="000000"/>
          <w:szCs w:val="24"/>
        </w:rPr>
        <w:t xml:space="preserve">УО </w:t>
      </w:r>
      <w:r w:rsidRPr="001B0EA3">
        <w:rPr>
          <w:color w:val="000000"/>
          <w:szCs w:val="24"/>
        </w:rPr>
        <w:t>изрично е посочил, че няма сключени други договори, не се изисква становище от отдел „КОП“.</w:t>
      </w:r>
      <w:r w:rsidR="00162A2E">
        <w:rPr>
          <w:color w:val="000000"/>
          <w:szCs w:val="24"/>
        </w:rPr>
        <w:t xml:space="preserve"> </w:t>
      </w:r>
      <w:r w:rsidR="00162A2E" w:rsidRPr="00162A2E">
        <w:rPr>
          <w:color w:val="000000"/>
          <w:szCs w:val="24"/>
        </w:rPr>
        <w:t>В срок от 3 работни дни началникът на отдел „КОП“ уведомява по електронна поща Ръководителя на ЗИП за договорите за изпълнение, включени в Приложение № 3, подлежащи на проверка, както и за необходимостта същите да бъдат представени за проверка, съгласно т. 22 от настоящата глава.</w:t>
      </w:r>
    </w:p>
    <w:p w14:paraId="2DF4BB3A" w14:textId="77777777" w:rsidR="00162A2E" w:rsidRPr="001B0EA3" w:rsidRDefault="00162A2E" w:rsidP="00046D61">
      <w:pPr>
        <w:rPr>
          <w:color w:val="000000"/>
          <w:szCs w:val="24"/>
        </w:rPr>
      </w:pPr>
    </w:p>
    <w:p w14:paraId="20BF63F5" w14:textId="77777777" w:rsidR="006B08CB" w:rsidRPr="001B0EA3" w:rsidRDefault="006B08CB" w:rsidP="00046D61">
      <w:pPr>
        <w:rPr>
          <w:color w:val="000000"/>
          <w:szCs w:val="24"/>
        </w:rPr>
      </w:pPr>
      <w:r w:rsidRPr="001B0EA3">
        <w:rPr>
          <w:color w:val="000000"/>
          <w:szCs w:val="24"/>
        </w:rPr>
        <w:t xml:space="preserve">Отдел „КОП“ следва да излезе със становище в срок от 15 работни дни от получаване на документите за проверка. В случай, че бенефициентът </w:t>
      </w:r>
      <w:r w:rsidR="00162A2E">
        <w:rPr>
          <w:color w:val="000000"/>
          <w:szCs w:val="24"/>
        </w:rPr>
        <w:t xml:space="preserve">УО </w:t>
      </w:r>
      <w:r w:rsidRPr="001B0EA3">
        <w:rPr>
          <w:color w:val="000000"/>
          <w:szCs w:val="24"/>
        </w:rPr>
        <w:t>не представи необходимата за проверката информация, срокът за проверката се увеличава със съответния брой дни на забавата на бенефициента.</w:t>
      </w:r>
      <w:r w:rsidR="00AA5135">
        <w:rPr>
          <w:color w:val="000000"/>
          <w:szCs w:val="24"/>
        </w:rPr>
        <w:t xml:space="preserve"> </w:t>
      </w:r>
    </w:p>
    <w:p w14:paraId="696A7735" w14:textId="77777777" w:rsidR="009A6447" w:rsidRPr="001B0EA3" w:rsidRDefault="006B08CB" w:rsidP="00046D61">
      <w:pPr>
        <w:rPr>
          <w:b/>
          <w:bCs/>
          <w:i/>
          <w:color w:val="000000"/>
          <w:szCs w:val="24"/>
        </w:rPr>
      </w:pPr>
      <w:r w:rsidRPr="001B0EA3">
        <w:rPr>
          <w:color w:val="000000"/>
          <w:szCs w:val="24"/>
        </w:rPr>
        <w:t xml:space="preserve">Отдел „КОП“ уведомява </w:t>
      </w:r>
      <w:r w:rsidR="00162A2E" w:rsidRPr="00162A2E">
        <w:rPr>
          <w:color w:val="000000"/>
          <w:szCs w:val="24"/>
        </w:rPr>
        <w:t>по електронна поща Ръководителя на ЗИП за резултатите от извършената проверка</w:t>
      </w:r>
      <w:r w:rsidR="00162A2E">
        <w:rPr>
          <w:color w:val="000000"/>
          <w:szCs w:val="24"/>
        </w:rPr>
        <w:t>.</w:t>
      </w:r>
    </w:p>
    <w:p w14:paraId="346C17DA" w14:textId="77777777" w:rsidR="009A6447" w:rsidRPr="001B0EA3" w:rsidRDefault="009A6447" w:rsidP="00046D61">
      <w:pPr>
        <w:rPr>
          <w:b/>
          <w:bCs/>
          <w:i/>
          <w:color w:val="000000"/>
          <w:szCs w:val="24"/>
        </w:rPr>
      </w:pPr>
    </w:p>
    <w:p w14:paraId="31DBD9BE" w14:textId="77777777" w:rsidR="00D603F5" w:rsidRPr="00842ECC" w:rsidRDefault="000A2278" w:rsidP="00F42E15">
      <w:pPr>
        <w:pStyle w:val="Style2"/>
        <w:ind w:hanging="792"/>
        <w:rPr>
          <w:lang w:val="bg-BG"/>
        </w:rPr>
      </w:pPr>
      <w:bookmarkStart w:id="867" w:name="_Toc479775687"/>
      <w:bookmarkStart w:id="868" w:name="_Toc140150238"/>
      <w:r w:rsidRPr="00842ECC">
        <w:rPr>
          <w:lang w:val="bg-BG"/>
        </w:rPr>
        <w:t>Контрол от страна на УО на измененията на договор за обществена поръчка</w:t>
      </w:r>
      <w:bookmarkEnd w:id="867"/>
      <w:bookmarkEnd w:id="868"/>
    </w:p>
    <w:p w14:paraId="5A3D15CE" w14:textId="77777777" w:rsidR="00D603F5" w:rsidRPr="001B0EA3" w:rsidRDefault="00D603F5" w:rsidP="00046D61">
      <w:pPr>
        <w:rPr>
          <w:b/>
          <w:i/>
          <w:color w:val="000000"/>
          <w:szCs w:val="24"/>
        </w:rPr>
      </w:pPr>
    </w:p>
    <w:p w14:paraId="747A5A1F" w14:textId="77777777" w:rsidR="00142318" w:rsidRPr="001B0EA3" w:rsidRDefault="000A2278" w:rsidP="00046D61">
      <w:pPr>
        <w:autoSpaceDE w:val="0"/>
        <w:autoSpaceDN w:val="0"/>
        <w:adjustRightInd w:val="0"/>
        <w:ind w:firstLine="567"/>
        <w:rPr>
          <w:color w:val="000000"/>
          <w:szCs w:val="24"/>
        </w:rPr>
      </w:pPr>
      <w:r w:rsidRPr="001B0EA3">
        <w:rPr>
          <w:color w:val="000000"/>
          <w:szCs w:val="24"/>
        </w:rPr>
        <w:t xml:space="preserve">В случай, че възникне някоя от предвидените в </w:t>
      </w:r>
      <w:r w:rsidR="005B0E77" w:rsidRPr="001B0EA3">
        <w:rPr>
          <w:color w:val="000000"/>
          <w:szCs w:val="24"/>
        </w:rPr>
        <w:t xml:space="preserve">ЗОП </w:t>
      </w:r>
      <w:r w:rsidRPr="001B0EA3">
        <w:rPr>
          <w:color w:val="000000"/>
          <w:szCs w:val="24"/>
        </w:rPr>
        <w:t xml:space="preserve">хипотези, подписаното изменение на договора  и копие от документацията, обосноваваща изменението на договора, се представя за последващ контрол в Управляващия орган за осъществяване на проверка за съответствие със законовите изисквания и клаузите на договора в срок от 5 работни дни от сключването му. </w:t>
      </w:r>
      <w:r w:rsidR="00142318" w:rsidRPr="001B0EA3">
        <w:rPr>
          <w:color w:val="000000"/>
          <w:szCs w:val="24"/>
        </w:rPr>
        <w:t>Към датата на представянето му за проверката, същото следва да е публикувано и в ИСУН 2020, заедно с документацията, обосноваваща изменението.</w:t>
      </w:r>
    </w:p>
    <w:p w14:paraId="14E052BF" w14:textId="77777777" w:rsidR="000A2278" w:rsidRPr="001B0EA3" w:rsidRDefault="000A2278" w:rsidP="00046D61">
      <w:pPr>
        <w:autoSpaceDE w:val="0"/>
        <w:autoSpaceDN w:val="0"/>
        <w:adjustRightInd w:val="0"/>
        <w:ind w:firstLine="567"/>
        <w:rPr>
          <w:color w:val="000000"/>
          <w:szCs w:val="24"/>
        </w:rPr>
      </w:pPr>
      <w:r w:rsidRPr="001B0EA3">
        <w:rPr>
          <w:color w:val="000000"/>
          <w:szCs w:val="24"/>
        </w:rPr>
        <w:t xml:space="preserve">При </w:t>
      </w:r>
      <w:r w:rsidR="005B0E77" w:rsidRPr="001B0EA3">
        <w:rPr>
          <w:color w:val="000000"/>
          <w:szCs w:val="24"/>
        </w:rPr>
        <w:t xml:space="preserve">проверката </w:t>
      </w:r>
      <w:r w:rsidRPr="001B0EA3">
        <w:rPr>
          <w:color w:val="000000"/>
          <w:szCs w:val="24"/>
        </w:rPr>
        <w:t xml:space="preserve">се извършват консултации и се изисква становище от отдел „Изпълнение и координация” </w:t>
      </w:r>
      <w:r w:rsidR="005B0E77" w:rsidRPr="001B0EA3">
        <w:rPr>
          <w:color w:val="000000"/>
          <w:szCs w:val="24"/>
        </w:rPr>
        <w:t>(официално или по е</w:t>
      </w:r>
      <w:r w:rsidR="00613164" w:rsidRPr="001B0EA3">
        <w:rPr>
          <w:color w:val="000000"/>
          <w:szCs w:val="24"/>
        </w:rPr>
        <w:t>ле</w:t>
      </w:r>
      <w:r w:rsidR="005B0E77" w:rsidRPr="001B0EA3">
        <w:rPr>
          <w:color w:val="000000"/>
          <w:szCs w:val="24"/>
        </w:rPr>
        <w:t xml:space="preserve">ктронна поща) </w:t>
      </w:r>
      <w:r w:rsidRPr="001B0EA3">
        <w:rPr>
          <w:color w:val="000000"/>
          <w:szCs w:val="24"/>
        </w:rPr>
        <w:t>във връзка с актуалния статус на изпълнение на проекта/договора и обстоятелствата, наложили изменението.</w:t>
      </w:r>
    </w:p>
    <w:p w14:paraId="7CD32A0C" w14:textId="77777777" w:rsidR="00142318" w:rsidRPr="001B0EA3" w:rsidRDefault="00142318" w:rsidP="00046D61">
      <w:pPr>
        <w:autoSpaceDE w:val="0"/>
        <w:autoSpaceDN w:val="0"/>
        <w:adjustRightInd w:val="0"/>
        <w:ind w:firstLine="567"/>
        <w:rPr>
          <w:color w:val="000000"/>
          <w:szCs w:val="24"/>
        </w:rPr>
      </w:pPr>
    </w:p>
    <w:p w14:paraId="4C010532" w14:textId="77777777" w:rsidR="000A2278" w:rsidRPr="001B0EA3" w:rsidRDefault="000A2278" w:rsidP="00046D61">
      <w:pPr>
        <w:autoSpaceDE w:val="0"/>
        <w:autoSpaceDN w:val="0"/>
        <w:adjustRightInd w:val="0"/>
        <w:ind w:firstLine="567"/>
        <w:rPr>
          <w:color w:val="000000"/>
          <w:szCs w:val="24"/>
        </w:rPr>
      </w:pPr>
      <w:r w:rsidRPr="001B0EA3">
        <w:rPr>
          <w:color w:val="000000"/>
          <w:szCs w:val="24"/>
        </w:rPr>
        <w:t>В случаите, когато при преобразуване на изпълнителя в съответствие със законодателството на държавата, в която е установен, Възложителя сключва договор за продължаване на договора за обществена поръчка с правоприемника, Възложителят уведомява УО.  С договора с правоприемника не могат да се правят промени в договора за обществена поръчка.</w:t>
      </w:r>
    </w:p>
    <w:p w14:paraId="5E312C4C" w14:textId="77777777" w:rsidR="005B0E77" w:rsidRPr="001B0EA3" w:rsidRDefault="005B0E77" w:rsidP="00046D61">
      <w:pPr>
        <w:autoSpaceDE w:val="0"/>
        <w:autoSpaceDN w:val="0"/>
        <w:adjustRightInd w:val="0"/>
        <w:ind w:firstLine="567"/>
        <w:rPr>
          <w:color w:val="000000"/>
          <w:szCs w:val="24"/>
        </w:rPr>
      </w:pPr>
      <w:r w:rsidRPr="001B0EA3">
        <w:rPr>
          <w:color w:val="000000"/>
          <w:szCs w:val="24"/>
        </w:rPr>
        <w:t xml:space="preserve">Заедно с уведомлението Възложителят представя на УО доказателства, че не са налице обстоятелствата, изискващи задължително отстраняване по ЗОП, както и такива обстоятелства посочени от Възложителя (основания за незадължително отстраняване), и че правоприемникът покрива изискванията относно критериите за подбор. </w:t>
      </w:r>
    </w:p>
    <w:p w14:paraId="1F7D5759" w14:textId="77777777" w:rsidR="00BD1B00" w:rsidRPr="001B0EA3" w:rsidRDefault="00BD1B00" w:rsidP="00BD1B00">
      <w:pPr>
        <w:spacing w:before="120" w:after="120"/>
        <w:ind w:firstLine="567"/>
        <w:rPr>
          <w:color w:val="000000"/>
          <w:szCs w:val="24"/>
        </w:rPr>
      </w:pPr>
      <w:r w:rsidRPr="001B0EA3">
        <w:rPr>
          <w:color w:val="000000"/>
          <w:szCs w:val="24"/>
        </w:rPr>
        <w:t xml:space="preserve">Проверката на допълнителното споразумение се извършва в срок от 7 работни дни след получаването му в отдел КОП. Отдел КОП, в посочения срок изготвя становище по полученото споразумение. За резултатите от проверката се </w:t>
      </w:r>
      <w:r>
        <w:rPr>
          <w:color w:val="000000"/>
          <w:szCs w:val="24"/>
        </w:rPr>
        <w:t>уведомяват по електронна поща</w:t>
      </w:r>
      <w:r w:rsidRPr="001B0EA3">
        <w:rPr>
          <w:color w:val="000000"/>
          <w:szCs w:val="24"/>
        </w:rPr>
        <w:t xml:space="preserve"> отдел ФУ и отдел ИК, а самото становище се публикува в ИСУН 2020 до 2 работни дни. </w:t>
      </w:r>
    </w:p>
    <w:p w14:paraId="268CAEDA" w14:textId="77777777" w:rsidR="00142318" w:rsidRPr="001B0EA3" w:rsidRDefault="00142318" w:rsidP="00046D61">
      <w:pPr>
        <w:spacing w:before="120" w:after="120"/>
        <w:ind w:firstLine="567"/>
        <w:rPr>
          <w:color w:val="000000"/>
          <w:szCs w:val="24"/>
        </w:rPr>
      </w:pPr>
      <w:r w:rsidRPr="001B0EA3">
        <w:rPr>
          <w:color w:val="000000"/>
          <w:szCs w:val="24"/>
        </w:rPr>
        <w:t xml:space="preserve">При констатирано нарушение се прилагат процедурите съгласно Глава 6, т.26.3, б. „А“ от настоящия наръчник. </w:t>
      </w:r>
    </w:p>
    <w:p w14:paraId="7E1C998A" w14:textId="77777777" w:rsidR="005B0E77" w:rsidRDefault="005B0E77" w:rsidP="00046D61">
      <w:pPr>
        <w:spacing w:before="120" w:after="120"/>
        <w:ind w:firstLine="567"/>
        <w:rPr>
          <w:color w:val="000000"/>
          <w:szCs w:val="24"/>
        </w:rPr>
      </w:pPr>
      <w:r w:rsidRPr="001B0EA3">
        <w:rPr>
          <w:color w:val="000000"/>
          <w:szCs w:val="24"/>
        </w:rPr>
        <w:lastRenderedPageBreak/>
        <w:t xml:space="preserve">Ако в процеса на проверка се установят пропуски в представените документи, експерт от отдел КОП  изисква писмено от бенефициента (официално, по факс или по ел. поща) представянето на допълнителни документи, информация или разяснения. Срокът за изпращане на документите/допълнителната информация от бенефициента е до 2 работни дни от получаване на писмено запитване. </w:t>
      </w:r>
    </w:p>
    <w:p w14:paraId="2A3B33C0" w14:textId="77777777" w:rsidR="004C3A93" w:rsidRPr="00842ECC" w:rsidRDefault="004C3A93" w:rsidP="004C3A93">
      <w:pPr>
        <w:pStyle w:val="Style2"/>
        <w:ind w:hanging="792"/>
        <w:rPr>
          <w:lang w:val="bg-BG"/>
        </w:rPr>
      </w:pPr>
      <w:bookmarkStart w:id="869" w:name="_Toc140150239"/>
      <w:r w:rsidRPr="00AF762B">
        <w:rPr>
          <w:lang w:val="bg-BG"/>
        </w:rPr>
        <w:t>Избягване на конфликт на интереси в обществените поръчки</w:t>
      </w:r>
      <w:bookmarkEnd w:id="869"/>
    </w:p>
    <w:p w14:paraId="3C3D26E4" w14:textId="77777777" w:rsidR="004357D0" w:rsidRPr="004357D0" w:rsidRDefault="004357D0" w:rsidP="006A6D08">
      <w:pPr>
        <w:spacing w:after="160" w:line="259" w:lineRule="auto"/>
        <w:ind w:firstLine="709"/>
        <w:rPr>
          <w:rFonts w:eastAsiaTheme="minorHAnsi"/>
          <w:szCs w:val="24"/>
          <w:lang w:eastAsia="en-US"/>
        </w:rPr>
      </w:pPr>
      <w:r w:rsidRPr="004357D0">
        <w:rPr>
          <w:rFonts w:eastAsiaTheme="minorHAnsi"/>
          <w:szCs w:val="24"/>
          <w:lang w:eastAsia="en-US"/>
        </w:rPr>
        <w:t>Във връзка с изискванията на чл.24 от директива 2014/24/ЕС,  параграф 21 от ДР на ЗОП и във връзка с чл. 61, пар. 1 и 3 от Регламент (ЕС, Евратом) № 1046/ 2018 на Европейския парламент и на Съвета, е необходимо:</w:t>
      </w:r>
    </w:p>
    <w:p w14:paraId="1109C003" w14:textId="77777777" w:rsidR="004357D0" w:rsidRPr="004357D0" w:rsidRDefault="004357D0" w:rsidP="004357D0">
      <w:pPr>
        <w:spacing w:after="160" w:line="259" w:lineRule="auto"/>
        <w:ind w:firstLine="0"/>
        <w:rPr>
          <w:rFonts w:eastAsiaTheme="minorHAnsi"/>
          <w:szCs w:val="24"/>
          <w:lang w:eastAsia="en-US"/>
        </w:rPr>
      </w:pPr>
      <w:r w:rsidRPr="004357D0">
        <w:rPr>
          <w:rFonts w:eastAsiaTheme="minorHAnsi"/>
          <w:szCs w:val="24"/>
          <w:lang w:eastAsia="en-US"/>
        </w:rPr>
        <w:t xml:space="preserve"> Възложителят, членовете на управителните му органи, негови служители или наети от него лица извън неговата структура, които участват в подготовката на обществена поръчка да подават декларация за липса на конфликт на интереси по смисъла на горните разпоредби, касаеща провежданата обществена поръчка. </w:t>
      </w:r>
    </w:p>
    <w:p w14:paraId="3E17FBFF" w14:textId="77777777" w:rsidR="004357D0" w:rsidRPr="004357D0" w:rsidRDefault="004357D0" w:rsidP="004357D0">
      <w:pPr>
        <w:spacing w:after="160" w:line="259" w:lineRule="auto"/>
        <w:ind w:firstLine="0"/>
        <w:rPr>
          <w:rFonts w:eastAsiaTheme="minorHAnsi"/>
          <w:szCs w:val="24"/>
          <w:lang w:eastAsia="en-US"/>
        </w:rPr>
      </w:pPr>
      <w:r w:rsidRPr="004357D0">
        <w:rPr>
          <w:rFonts w:eastAsiaTheme="minorHAnsi"/>
          <w:szCs w:val="24"/>
          <w:lang w:eastAsia="en-US"/>
        </w:rPr>
        <w:t xml:space="preserve">Декларациите следва да се подписват към момента на стартиране на действията по подготовка на съответната процедура - за лицата, които участват в подготовката на обществена поръчка) и преди одобряване на доклада/протокола от работата на комисията по чл. 60/чл. 60а от ППЗОП, от възложителя и членовете на управителните му органи. Декларацията </w:t>
      </w:r>
      <w:r w:rsidR="00652E59">
        <w:rPr>
          <w:rFonts w:eastAsiaTheme="minorHAnsi"/>
          <w:szCs w:val="24"/>
          <w:lang w:eastAsia="en-US"/>
        </w:rPr>
        <w:t xml:space="preserve">е приложение № 4.4 </w:t>
      </w:r>
      <w:r w:rsidRPr="004357D0">
        <w:rPr>
          <w:rFonts w:eastAsiaTheme="minorHAnsi"/>
          <w:szCs w:val="24"/>
          <w:lang w:eastAsia="en-US"/>
        </w:rPr>
        <w:t>към ПН на ОПТТИ.</w:t>
      </w:r>
    </w:p>
    <w:p w14:paraId="392B355C" w14:textId="77777777" w:rsidR="004357D0" w:rsidRPr="004357D0" w:rsidRDefault="004357D0" w:rsidP="004357D0">
      <w:pPr>
        <w:spacing w:after="160" w:line="259" w:lineRule="auto"/>
        <w:ind w:firstLine="0"/>
        <w:rPr>
          <w:rFonts w:eastAsiaTheme="minorHAnsi"/>
          <w:szCs w:val="24"/>
          <w:lang w:eastAsia="en-US"/>
        </w:rPr>
      </w:pPr>
      <w:r w:rsidRPr="004357D0">
        <w:rPr>
          <w:rFonts w:eastAsiaTheme="minorHAnsi"/>
          <w:szCs w:val="24"/>
          <w:lang w:eastAsia="en-US"/>
        </w:rPr>
        <w:t xml:space="preserve">Копия от декларациите се представят в УО заедно с документите по проведената процедура. </w:t>
      </w:r>
    </w:p>
    <w:p w14:paraId="49AAEE73" w14:textId="77777777" w:rsidR="004357D0" w:rsidRPr="004357D0" w:rsidRDefault="004357D0" w:rsidP="004357D0">
      <w:pPr>
        <w:spacing w:after="160" w:line="259" w:lineRule="auto"/>
        <w:ind w:firstLine="0"/>
        <w:rPr>
          <w:rFonts w:eastAsiaTheme="minorHAnsi"/>
          <w:szCs w:val="24"/>
          <w:lang w:eastAsia="en-US"/>
        </w:rPr>
      </w:pPr>
      <w:r w:rsidRPr="004357D0">
        <w:rPr>
          <w:rFonts w:eastAsiaTheme="minorHAnsi"/>
          <w:szCs w:val="24"/>
          <w:lang w:eastAsia="en-US"/>
        </w:rPr>
        <w:t>Декларацията не заменя декларацията, която се подава по реда на т.27 от настоящия ПН.</w:t>
      </w:r>
    </w:p>
    <w:p w14:paraId="3D8A9E6D" w14:textId="77777777" w:rsidR="004357D0" w:rsidRDefault="004357D0" w:rsidP="004357D0">
      <w:pPr>
        <w:spacing w:after="160" w:line="259" w:lineRule="auto"/>
        <w:ind w:firstLine="0"/>
        <w:rPr>
          <w:rFonts w:eastAsiaTheme="minorHAnsi"/>
          <w:szCs w:val="24"/>
          <w:lang w:eastAsia="en-US"/>
        </w:rPr>
      </w:pPr>
      <w:r w:rsidRPr="004357D0">
        <w:rPr>
          <w:rFonts w:eastAsiaTheme="minorHAnsi"/>
          <w:szCs w:val="24"/>
          <w:lang w:eastAsia="en-US"/>
        </w:rPr>
        <w:t>Декларациите по чл.103 от ЗОП на членовете на оценителната комисия по съответната обществена поръчка се представят както до момента.</w:t>
      </w:r>
    </w:p>
    <w:p w14:paraId="09EC7D9D" w14:textId="77777777" w:rsidR="004357D0" w:rsidRPr="006A6D08" w:rsidRDefault="004357D0" w:rsidP="006A6D08">
      <w:pPr>
        <w:pStyle w:val="Style2"/>
        <w:numPr>
          <w:ilvl w:val="0"/>
          <w:numId w:val="0"/>
        </w:numPr>
        <w:ind w:left="792" w:hanging="792"/>
        <w:rPr>
          <w:lang w:val="bg-BG"/>
        </w:rPr>
      </w:pPr>
      <w:bookmarkStart w:id="870" w:name="_Toc140150240"/>
      <w:r>
        <w:rPr>
          <w:lang w:val="bg-BG"/>
        </w:rPr>
        <w:t>22.3.1.</w:t>
      </w:r>
      <w:r>
        <w:rPr>
          <w:lang w:val="bg-BG"/>
        </w:rPr>
        <w:tab/>
        <w:t>Видове проверки</w:t>
      </w:r>
      <w:bookmarkEnd w:id="870"/>
    </w:p>
    <w:p w14:paraId="509BA47C" w14:textId="024D0DF6" w:rsidR="004357D0" w:rsidRPr="004357D0" w:rsidRDefault="004357D0" w:rsidP="006A6D08">
      <w:pPr>
        <w:spacing w:after="160" w:line="259" w:lineRule="auto"/>
        <w:ind w:firstLine="709"/>
        <w:rPr>
          <w:rFonts w:eastAsiaTheme="minorHAnsi"/>
          <w:szCs w:val="24"/>
          <w:u w:val="single"/>
          <w:lang w:eastAsia="en-US"/>
        </w:rPr>
      </w:pPr>
      <w:r w:rsidRPr="004357D0">
        <w:rPr>
          <w:rFonts w:eastAsiaTheme="minorHAnsi"/>
          <w:szCs w:val="24"/>
          <w:u w:val="single"/>
          <w:lang w:eastAsia="en-US"/>
        </w:rPr>
        <w:t>А)</w:t>
      </w:r>
      <w:r w:rsidRPr="004357D0">
        <w:rPr>
          <w:rFonts w:eastAsiaTheme="minorHAnsi"/>
          <w:szCs w:val="24"/>
          <w:lang w:eastAsia="en-US"/>
        </w:rPr>
        <w:t xml:space="preserve"> За всички процедури за обществени поръчки, чийто стойностен праг е над праговете заложени в Директива 2014/24 ЕС за съответната година, Експертите проверяват наличието на декларации и данни</w:t>
      </w:r>
      <w:r w:rsidR="001C443E">
        <w:rPr>
          <w:rFonts w:eastAsiaTheme="minorHAnsi"/>
          <w:szCs w:val="24"/>
          <w:lang w:eastAsia="en-US"/>
        </w:rPr>
        <w:t>те в тях , използвайки регистри, в които се съдържат данни з</w:t>
      </w:r>
      <w:r w:rsidRPr="004357D0">
        <w:rPr>
          <w:rFonts w:eastAsiaTheme="minorHAnsi"/>
          <w:szCs w:val="24"/>
          <w:lang w:eastAsia="en-US"/>
        </w:rPr>
        <w:t>а юридически лица</w:t>
      </w:r>
      <w:r w:rsidR="001C443E">
        <w:rPr>
          <w:rFonts w:eastAsiaTheme="minorHAnsi"/>
          <w:szCs w:val="24"/>
          <w:lang w:eastAsia="en-US"/>
        </w:rPr>
        <w:t xml:space="preserve"> и физически лица, напр. Апис +/ регистър БУЛСТАТ/ Търговски регистър или </w:t>
      </w:r>
      <w:r w:rsidRPr="004357D0">
        <w:rPr>
          <w:rFonts w:eastAsiaTheme="minorHAnsi"/>
          <w:szCs w:val="24"/>
          <w:lang w:eastAsia="en-US"/>
        </w:rPr>
        <w:t xml:space="preserve">електронна система </w:t>
      </w:r>
      <w:r w:rsidRPr="004357D0">
        <w:rPr>
          <w:rFonts w:eastAsiaTheme="minorHAnsi"/>
          <w:szCs w:val="24"/>
          <w:lang w:val="en-US" w:eastAsia="en-US"/>
        </w:rPr>
        <w:t>ARACHNE</w:t>
      </w:r>
      <w:r w:rsidRPr="004357D0">
        <w:rPr>
          <w:rFonts w:eastAsiaTheme="minorHAnsi"/>
          <w:szCs w:val="24"/>
          <w:lang w:eastAsia="en-US"/>
        </w:rPr>
        <w:t>, или други общодостъпни източници на информация</w:t>
      </w:r>
      <w:r w:rsidR="001C443E">
        <w:rPr>
          <w:rFonts w:eastAsiaTheme="minorHAnsi"/>
          <w:szCs w:val="24"/>
          <w:lang w:eastAsia="en-US"/>
        </w:rPr>
        <w:t>.</w:t>
      </w:r>
      <w:r w:rsidRPr="004357D0">
        <w:rPr>
          <w:rFonts w:eastAsiaTheme="minorHAnsi"/>
          <w:szCs w:val="24"/>
          <w:lang w:eastAsia="en-US"/>
        </w:rPr>
        <w:t xml:space="preserve"> </w:t>
      </w:r>
      <w:r w:rsidR="001C443E">
        <w:rPr>
          <w:rFonts w:eastAsiaTheme="minorHAnsi"/>
          <w:szCs w:val="24"/>
          <w:lang w:eastAsia="en-US"/>
        </w:rPr>
        <w:t>К</w:t>
      </w:r>
      <w:r w:rsidRPr="004357D0">
        <w:rPr>
          <w:rFonts w:eastAsiaTheme="minorHAnsi"/>
          <w:szCs w:val="24"/>
          <w:lang w:eastAsia="en-US"/>
        </w:rPr>
        <w:t xml:space="preserve">ъм проверките на процедурата за обществена поръчка </w:t>
      </w:r>
      <w:r w:rsidR="001C443E">
        <w:rPr>
          <w:rFonts w:eastAsiaTheme="minorHAnsi"/>
          <w:szCs w:val="24"/>
          <w:lang w:eastAsia="en-US"/>
        </w:rPr>
        <w:t>се прилагат и резултатите от горепосочените проверки.</w:t>
      </w:r>
      <w:r w:rsidRPr="004357D0">
        <w:rPr>
          <w:rFonts w:eastAsiaTheme="minorHAnsi"/>
          <w:szCs w:val="24"/>
          <w:lang w:eastAsia="en-US"/>
        </w:rPr>
        <w:t>.</w:t>
      </w:r>
    </w:p>
    <w:p w14:paraId="7E020894" w14:textId="77777777" w:rsidR="004357D0" w:rsidRPr="004357D0" w:rsidRDefault="004357D0" w:rsidP="006A6D08">
      <w:pPr>
        <w:spacing w:after="160" w:line="259" w:lineRule="auto"/>
        <w:ind w:firstLine="709"/>
        <w:rPr>
          <w:rFonts w:eastAsiaTheme="minorHAnsi"/>
          <w:szCs w:val="24"/>
          <w:lang w:eastAsia="en-US"/>
        </w:rPr>
      </w:pPr>
      <w:r w:rsidRPr="004357D0">
        <w:rPr>
          <w:rFonts w:eastAsiaTheme="minorHAnsi"/>
          <w:szCs w:val="24"/>
          <w:lang w:eastAsia="en-US"/>
        </w:rPr>
        <w:t>Б) За поръчки под прагове заложени в Директива 2014/24 ЕС за съответната година се осъществява проверка на данните в декларациите в случаите, когато има подадена само една оферта или до етап класиране е допусната само една оферта.</w:t>
      </w:r>
    </w:p>
    <w:p w14:paraId="2F10064F" w14:textId="77777777" w:rsidR="00824C36" w:rsidRDefault="004357D0" w:rsidP="004357D0">
      <w:pPr>
        <w:spacing w:after="160" w:line="259" w:lineRule="auto"/>
        <w:ind w:firstLine="0"/>
        <w:rPr>
          <w:rFonts w:eastAsiaTheme="minorHAnsi"/>
          <w:szCs w:val="24"/>
          <w:lang w:eastAsia="en-US"/>
        </w:rPr>
      </w:pPr>
      <w:r w:rsidRPr="004357D0">
        <w:rPr>
          <w:rFonts w:eastAsiaTheme="minorHAnsi"/>
          <w:szCs w:val="24"/>
          <w:lang w:eastAsia="en-US"/>
        </w:rPr>
        <w:t>С документите по т.22. от ПН, бенефициентът подава и попълнена справка, относно</w:t>
      </w:r>
      <w:r w:rsidRPr="004357D0">
        <w:rPr>
          <w:rFonts w:asciiTheme="minorHAnsi" w:eastAsiaTheme="minorHAnsi" w:hAnsiTheme="minorHAnsi" w:cstheme="minorBidi"/>
          <w:sz w:val="22"/>
          <w:szCs w:val="22"/>
          <w:lang w:eastAsia="en-US"/>
        </w:rPr>
        <w:t xml:space="preserve"> </w:t>
      </w:r>
      <w:r w:rsidRPr="004357D0">
        <w:rPr>
          <w:rFonts w:eastAsiaTheme="minorHAnsi"/>
          <w:szCs w:val="24"/>
          <w:lang w:eastAsia="en-US"/>
        </w:rPr>
        <w:t>провеждани пазарни консултации и/или външно участие при подготовка на документацията на обществена</w:t>
      </w:r>
      <w:r w:rsidR="0049534D">
        <w:rPr>
          <w:rFonts w:eastAsiaTheme="minorHAnsi"/>
          <w:szCs w:val="24"/>
          <w:lang w:eastAsia="en-US"/>
        </w:rPr>
        <w:t xml:space="preserve"> поръчка по приложен образец № 4.5 </w:t>
      </w:r>
      <w:r w:rsidR="00B21E16">
        <w:rPr>
          <w:rFonts w:eastAsiaTheme="minorHAnsi"/>
          <w:szCs w:val="24"/>
          <w:lang w:eastAsia="en-US"/>
        </w:rPr>
        <w:t xml:space="preserve">към </w:t>
      </w:r>
      <w:r w:rsidRPr="004357D0">
        <w:rPr>
          <w:rFonts w:eastAsiaTheme="minorHAnsi"/>
          <w:szCs w:val="24"/>
          <w:lang w:eastAsia="en-US"/>
        </w:rPr>
        <w:t xml:space="preserve">ПН на ОПТТИ. Същата служи освен за преценка на обстоятелствата по ЗОП, касаещи провеждането на пазарни проучвания, така и за проверка на наличие на потенциален конфликт на интереси. </w:t>
      </w:r>
    </w:p>
    <w:p w14:paraId="14CED7F3" w14:textId="77777777" w:rsidR="00D52CE8" w:rsidRPr="006A6D08" w:rsidRDefault="00D52CE8" w:rsidP="006A6D08">
      <w:pPr>
        <w:pStyle w:val="Style2"/>
        <w:numPr>
          <w:ilvl w:val="2"/>
          <w:numId w:val="387"/>
        </w:numPr>
        <w:ind w:left="0" w:firstLine="0"/>
        <w:rPr>
          <w:lang w:val="bg-BG"/>
        </w:rPr>
      </w:pPr>
      <w:bookmarkStart w:id="871" w:name="_Toc140150241"/>
      <w:r>
        <w:rPr>
          <w:lang w:val="bg-BG"/>
        </w:rPr>
        <w:t>Процедура по самоотвод на експерти, осъществяващи последващ контрол на</w:t>
      </w:r>
      <w:r w:rsidR="00DB054E">
        <w:rPr>
          <w:lang w:val="bg-BG"/>
        </w:rPr>
        <w:t xml:space="preserve"> </w:t>
      </w:r>
      <w:r>
        <w:rPr>
          <w:lang w:val="bg-BG"/>
        </w:rPr>
        <w:t>ОП в УО</w:t>
      </w:r>
      <w:bookmarkEnd w:id="871"/>
    </w:p>
    <w:p w14:paraId="5E3F312F" w14:textId="77777777" w:rsidR="004357D0" w:rsidRPr="004357D0" w:rsidRDefault="004357D0" w:rsidP="004357D0">
      <w:pPr>
        <w:spacing w:after="160" w:line="259" w:lineRule="auto"/>
        <w:ind w:firstLine="0"/>
        <w:rPr>
          <w:rFonts w:eastAsiaTheme="minorHAnsi"/>
          <w:szCs w:val="24"/>
          <w:u w:val="single"/>
          <w:lang w:eastAsia="en-US"/>
        </w:rPr>
      </w:pPr>
    </w:p>
    <w:p w14:paraId="394EC2D9" w14:textId="77777777" w:rsidR="004357D0" w:rsidRPr="004357D0" w:rsidRDefault="004357D0" w:rsidP="006A6D08">
      <w:pPr>
        <w:spacing w:after="160" w:line="259" w:lineRule="auto"/>
        <w:ind w:firstLine="709"/>
        <w:rPr>
          <w:rFonts w:eastAsiaTheme="minorHAnsi"/>
          <w:szCs w:val="24"/>
          <w:lang w:eastAsia="en-US"/>
        </w:rPr>
      </w:pPr>
      <w:r w:rsidRPr="004357D0">
        <w:rPr>
          <w:rFonts w:eastAsiaTheme="minorHAnsi"/>
          <w:szCs w:val="24"/>
          <w:lang w:eastAsia="en-US"/>
        </w:rPr>
        <w:lastRenderedPageBreak/>
        <w:t>Във връзка с чл. 61, пар. 2  от Регламент (ЕС, Евратом) № 1046 от 2018 на Европейския парламент и на Съвета, когато има риск от конфликт на интереси с участието на служител, осъществяващ последващ контрол на обществена поръчка, след узнаване на кандидатите или участниците, същият следва да си направи самоотвод, когато установи, че е налице или в хода на проверката е възникнал конфликт на интереси.</w:t>
      </w:r>
    </w:p>
    <w:p w14:paraId="1D95D274" w14:textId="77777777" w:rsidR="004357D0" w:rsidRPr="004357D0" w:rsidRDefault="004357D0" w:rsidP="004357D0">
      <w:pPr>
        <w:spacing w:after="160" w:line="259" w:lineRule="auto"/>
        <w:ind w:firstLine="0"/>
        <w:rPr>
          <w:rFonts w:eastAsiaTheme="minorHAnsi"/>
          <w:szCs w:val="24"/>
          <w:lang w:eastAsia="en-US"/>
        </w:rPr>
      </w:pPr>
      <w:r w:rsidRPr="004357D0">
        <w:rPr>
          <w:rFonts w:eastAsiaTheme="minorHAnsi"/>
          <w:szCs w:val="24"/>
          <w:lang w:eastAsia="en-US"/>
        </w:rPr>
        <w:t>Самоотводът се прави в писмен вид в свободен текст до началника на отдел, който определя друг експерт, който да осъществи проверката на съответната процедура.</w:t>
      </w:r>
    </w:p>
    <w:p w14:paraId="17B77AE5" w14:textId="77777777" w:rsidR="004357D0" w:rsidRPr="004357D0" w:rsidRDefault="004357D0" w:rsidP="004357D0">
      <w:pPr>
        <w:spacing w:after="160" w:line="259" w:lineRule="auto"/>
        <w:ind w:firstLine="0"/>
        <w:rPr>
          <w:rFonts w:eastAsiaTheme="minorHAnsi"/>
          <w:szCs w:val="24"/>
          <w:lang w:eastAsia="en-US"/>
        </w:rPr>
      </w:pPr>
      <w:r w:rsidRPr="004357D0">
        <w:rPr>
          <w:rFonts w:eastAsiaTheme="minorHAnsi"/>
          <w:szCs w:val="24"/>
          <w:lang w:eastAsia="en-US"/>
        </w:rPr>
        <w:t>Експертите, осъществяващи последващ контрол на ОП в УО, декларират липсата на конфликт на интереси по проверяваната от тях процедура по подходящ начин.</w:t>
      </w:r>
    </w:p>
    <w:p w14:paraId="0F66D622" w14:textId="77777777" w:rsidR="002256CA" w:rsidRPr="001B0EA3" w:rsidRDefault="002256CA" w:rsidP="006A6D08">
      <w:pPr>
        <w:autoSpaceDE w:val="0"/>
        <w:autoSpaceDN w:val="0"/>
        <w:adjustRightInd w:val="0"/>
        <w:ind w:firstLine="0"/>
      </w:pPr>
    </w:p>
    <w:p w14:paraId="77319391" w14:textId="77777777" w:rsidR="00D603F5" w:rsidRPr="00A110A4" w:rsidRDefault="00D603F5" w:rsidP="00F058E0">
      <w:pPr>
        <w:pStyle w:val="Style1"/>
      </w:pPr>
      <w:bookmarkStart w:id="872" w:name="_Toc431992229"/>
      <w:bookmarkStart w:id="873" w:name="_Toc432165960"/>
      <w:bookmarkStart w:id="874" w:name="_Toc431992230"/>
      <w:bookmarkStart w:id="875" w:name="_Toc432165961"/>
      <w:bookmarkStart w:id="876" w:name="_Toc431992231"/>
      <w:bookmarkStart w:id="877" w:name="_Toc432165962"/>
      <w:bookmarkStart w:id="878" w:name="_Toc431992232"/>
      <w:bookmarkStart w:id="879" w:name="_Toc432165963"/>
      <w:bookmarkStart w:id="880" w:name="_Toc431992233"/>
      <w:bookmarkStart w:id="881" w:name="_Toc432165964"/>
      <w:bookmarkStart w:id="882" w:name="_Toc431992234"/>
      <w:bookmarkStart w:id="883" w:name="_Toc432165965"/>
      <w:bookmarkStart w:id="884" w:name="_Toc431992235"/>
      <w:bookmarkStart w:id="885" w:name="_Toc432165966"/>
      <w:bookmarkStart w:id="886" w:name="_Toc431992236"/>
      <w:bookmarkStart w:id="887" w:name="_Toc432165967"/>
      <w:bookmarkStart w:id="888" w:name="_Toc431992237"/>
      <w:bookmarkStart w:id="889" w:name="_Toc432165968"/>
      <w:bookmarkStart w:id="890" w:name="_Toc431992238"/>
      <w:bookmarkStart w:id="891" w:name="_Toc432165969"/>
      <w:bookmarkStart w:id="892" w:name="_Toc431992239"/>
      <w:bookmarkStart w:id="893" w:name="_Toc432165970"/>
      <w:bookmarkStart w:id="894" w:name="_Toc431992240"/>
      <w:bookmarkStart w:id="895" w:name="_Toc432165971"/>
      <w:bookmarkStart w:id="896" w:name="_Toc431992241"/>
      <w:bookmarkStart w:id="897" w:name="_Toc432165972"/>
      <w:bookmarkStart w:id="898" w:name="_Toc431992242"/>
      <w:bookmarkStart w:id="899" w:name="_Toc432165973"/>
      <w:bookmarkStart w:id="900" w:name="_Toc431992243"/>
      <w:bookmarkStart w:id="901" w:name="_Toc432165974"/>
      <w:bookmarkStart w:id="902" w:name="_Toc431992244"/>
      <w:bookmarkStart w:id="903" w:name="_Toc432165975"/>
      <w:bookmarkStart w:id="904" w:name="_Toc431992245"/>
      <w:bookmarkStart w:id="905" w:name="_Toc432165976"/>
      <w:bookmarkStart w:id="906" w:name="_Toc431992246"/>
      <w:bookmarkStart w:id="907" w:name="_Toc432165977"/>
      <w:bookmarkStart w:id="908" w:name="_Toc431992247"/>
      <w:bookmarkStart w:id="909" w:name="_Toc432165978"/>
      <w:bookmarkStart w:id="910" w:name="_Toc431992248"/>
      <w:bookmarkStart w:id="911" w:name="_Toc432165979"/>
      <w:bookmarkStart w:id="912" w:name="_Toc431992249"/>
      <w:bookmarkStart w:id="913" w:name="_Toc432165980"/>
      <w:bookmarkStart w:id="914" w:name="_Toc431992250"/>
      <w:bookmarkStart w:id="915" w:name="_Toc432165981"/>
      <w:bookmarkStart w:id="916" w:name="_Toc431992251"/>
      <w:bookmarkStart w:id="917" w:name="_Toc432165982"/>
      <w:bookmarkStart w:id="918" w:name="_Toc431992252"/>
      <w:bookmarkStart w:id="919" w:name="_Toc432165983"/>
      <w:bookmarkStart w:id="920" w:name="_Toc431992253"/>
      <w:bookmarkStart w:id="921" w:name="_Toc432165984"/>
      <w:bookmarkStart w:id="922" w:name="_Toc431992254"/>
      <w:bookmarkStart w:id="923" w:name="_Toc432165985"/>
      <w:bookmarkStart w:id="924" w:name="_Toc431992255"/>
      <w:bookmarkStart w:id="925" w:name="_Toc432165986"/>
      <w:bookmarkStart w:id="926" w:name="_Toc431992256"/>
      <w:bookmarkStart w:id="927" w:name="_Toc432165987"/>
      <w:bookmarkStart w:id="928" w:name="_Toc431992257"/>
      <w:bookmarkStart w:id="929" w:name="_Toc432165988"/>
      <w:bookmarkStart w:id="930" w:name="_Toc431992258"/>
      <w:bookmarkStart w:id="931" w:name="_Toc432165989"/>
      <w:bookmarkStart w:id="932" w:name="_Toc431992259"/>
      <w:bookmarkStart w:id="933" w:name="_Toc432165990"/>
      <w:bookmarkStart w:id="934" w:name="_Toc431992260"/>
      <w:bookmarkStart w:id="935" w:name="_Toc432165991"/>
      <w:bookmarkStart w:id="936" w:name="_Toc431992261"/>
      <w:bookmarkStart w:id="937" w:name="_Toc432165992"/>
      <w:bookmarkStart w:id="938" w:name="_Toc431992262"/>
      <w:bookmarkStart w:id="939" w:name="_Toc432165993"/>
      <w:bookmarkStart w:id="940" w:name="_Toc431992263"/>
      <w:bookmarkStart w:id="941" w:name="_Toc432165994"/>
      <w:bookmarkStart w:id="942" w:name="_Toc431992264"/>
      <w:bookmarkStart w:id="943" w:name="_Toc432165995"/>
      <w:bookmarkStart w:id="944" w:name="_Toc431992265"/>
      <w:bookmarkStart w:id="945" w:name="_Toc432165996"/>
      <w:bookmarkStart w:id="946" w:name="_Toc431992266"/>
      <w:bookmarkStart w:id="947" w:name="_Toc432165997"/>
      <w:bookmarkStart w:id="948" w:name="_Toc431992267"/>
      <w:bookmarkStart w:id="949" w:name="_Toc432165998"/>
      <w:bookmarkStart w:id="950" w:name="_Toc431992268"/>
      <w:bookmarkStart w:id="951" w:name="_Toc432165999"/>
      <w:bookmarkStart w:id="952" w:name="_Toc431992269"/>
      <w:bookmarkStart w:id="953" w:name="_Toc432166000"/>
      <w:bookmarkStart w:id="954" w:name="_Toc431992270"/>
      <w:bookmarkStart w:id="955" w:name="_Toc432166001"/>
      <w:bookmarkStart w:id="956" w:name="_Toc431992271"/>
      <w:bookmarkStart w:id="957" w:name="_Toc432166002"/>
      <w:bookmarkStart w:id="958" w:name="_Toc431992272"/>
      <w:bookmarkStart w:id="959" w:name="_Toc432166003"/>
      <w:bookmarkStart w:id="960" w:name="_Toc431992273"/>
      <w:bookmarkStart w:id="961" w:name="_Toc432166004"/>
      <w:bookmarkStart w:id="962" w:name="_Toc431992274"/>
      <w:bookmarkStart w:id="963" w:name="_Toc432166005"/>
      <w:bookmarkStart w:id="964" w:name="_Toc431992275"/>
      <w:bookmarkStart w:id="965" w:name="_Toc432166006"/>
      <w:bookmarkStart w:id="966" w:name="_Toc431992276"/>
      <w:bookmarkStart w:id="967" w:name="_Toc432166007"/>
      <w:bookmarkStart w:id="968" w:name="_Toc431992277"/>
      <w:bookmarkStart w:id="969" w:name="_Toc432166008"/>
      <w:bookmarkStart w:id="970" w:name="_Toc431992278"/>
      <w:bookmarkStart w:id="971" w:name="_Toc432166009"/>
      <w:bookmarkStart w:id="972" w:name="_Toc431992279"/>
      <w:bookmarkStart w:id="973" w:name="_Toc432166010"/>
      <w:bookmarkStart w:id="974" w:name="_Toc431992280"/>
      <w:bookmarkStart w:id="975" w:name="_Toc432166011"/>
      <w:bookmarkStart w:id="976" w:name="_Toc431992281"/>
      <w:bookmarkStart w:id="977" w:name="_Toc432166012"/>
      <w:bookmarkStart w:id="978" w:name="_Toc431992282"/>
      <w:bookmarkStart w:id="979" w:name="_Toc432166013"/>
      <w:bookmarkStart w:id="980" w:name="_Toc431992283"/>
      <w:bookmarkStart w:id="981" w:name="_Toc432166014"/>
      <w:bookmarkStart w:id="982" w:name="_Toc431992284"/>
      <w:bookmarkStart w:id="983" w:name="_Toc432166015"/>
      <w:bookmarkStart w:id="984" w:name="_Toc431992285"/>
      <w:bookmarkStart w:id="985" w:name="_Toc432166016"/>
      <w:bookmarkStart w:id="986" w:name="_Toc431992286"/>
      <w:bookmarkStart w:id="987" w:name="_Toc432166017"/>
      <w:bookmarkStart w:id="988" w:name="_Toc431992287"/>
      <w:bookmarkStart w:id="989" w:name="_Toc432166018"/>
      <w:bookmarkStart w:id="990" w:name="_Toc431992288"/>
      <w:bookmarkStart w:id="991" w:name="_Toc432166019"/>
      <w:bookmarkStart w:id="992" w:name="_Toc431992289"/>
      <w:bookmarkStart w:id="993" w:name="_Toc432166020"/>
      <w:bookmarkStart w:id="994" w:name="_Toc431992290"/>
      <w:bookmarkStart w:id="995" w:name="_Toc432166021"/>
      <w:bookmarkStart w:id="996" w:name="_Toc431992291"/>
      <w:bookmarkStart w:id="997" w:name="_Toc432166022"/>
      <w:bookmarkStart w:id="998" w:name="_Toc431992292"/>
      <w:bookmarkStart w:id="999" w:name="_Toc432166023"/>
      <w:bookmarkStart w:id="1000" w:name="_Toc431992293"/>
      <w:bookmarkStart w:id="1001" w:name="_Toc432166024"/>
      <w:bookmarkStart w:id="1002" w:name="_Toc431992294"/>
      <w:bookmarkStart w:id="1003" w:name="_Toc432166025"/>
      <w:bookmarkStart w:id="1004" w:name="_Toc431992295"/>
      <w:bookmarkStart w:id="1005" w:name="_Toc432166026"/>
      <w:bookmarkStart w:id="1006" w:name="_Toc431992296"/>
      <w:bookmarkStart w:id="1007" w:name="_Toc432166027"/>
      <w:bookmarkStart w:id="1008" w:name="_Toc431992297"/>
      <w:bookmarkStart w:id="1009" w:name="_Toc432166028"/>
      <w:bookmarkStart w:id="1010" w:name="_Toc431992298"/>
      <w:bookmarkStart w:id="1011" w:name="_Toc432166029"/>
      <w:bookmarkStart w:id="1012" w:name="_Toc431992299"/>
      <w:bookmarkStart w:id="1013" w:name="_Toc432166030"/>
      <w:bookmarkStart w:id="1014" w:name="_Toc431992300"/>
      <w:bookmarkStart w:id="1015" w:name="_Toc432166031"/>
      <w:bookmarkStart w:id="1016" w:name="_Toc431992301"/>
      <w:bookmarkStart w:id="1017" w:name="_Toc432166032"/>
      <w:bookmarkStart w:id="1018" w:name="_Toc431992302"/>
      <w:bookmarkStart w:id="1019" w:name="_Toc432166033"/>
      <w:bookmarkStart w:id="1020" w:name="_Toc431992303"/>
      <w:bookmarkStart w:id="1021" w:name="_Toc432166034"/>
      <w:bookmarkStart w:id="1022" w:name="_Toc431992304"/>
      <w:bookmarkStart w:id="1023" w:name="_Toc432166035"/>
      <w:bookmarkStart w:id="1024" w:name="_Toc431992305"/>
      <w:bookmarkStart w:id="1025" w:name="_Toc432166036"/>
      <w:bookmarkStart w:id="1026" w:name="_Toc431992306"/>
      <w:bookmarkStart w:id="1027" w:name="_Toc432166037"/>
      <w:bookmarkStart w:id="1028" w:name="_Toc431992307"/>
      <w:bookmarkStart w:id="1029" w:name="_Toc432166038"/>
      <w:bookmarkStart w:id="1030" w:name="_Toc431992308"/>
      <w:bookmarkStart w:id="1031" w:name="_Toc432166039"/>
      <w:bookmarkStart w:id="1032" w:name="_Toc431992309"/>
      <w:bookmarkStart w:id="1033" w:name="_Toc432166040"/>
      <w:bookmarkStart w:id="1034" w:name="_Toc431992310"/>
      <w:bookmarkStart w:id="1035" w:name="_Toc432166041"/>
      <w:bookmarkStart w:id="1036" w:name="_Toc431992311"/>
      <w:bookmarkStart w:id="1037" w:name="_Toc432166042"/>
      <w:bookmarkStart w:id="1038" w:name="_Toc431992312"/>
      <w:bookmarkStart w:id="1039" w:name="_Toc432166043"/>
      <w:bookmarkStart w:id="1040" w:name="_Toc431992313"/>
      <w:bookmarkStart w:id="1041" w:name="_Toc432166044"/>
      <w:bookmarkStart w:id="1042" w:name="_Toc431992314"/>
      <w:bookmarkStart w:id="1043" w:name="_Toc432166045"/>
      <w:bookmarkStart w:id="1044" w:name="_Toc431992315"/>
      <w:bookmarkStart w:id="1045" w:name="_Toc432166046"/>
      <w:bookmarkStart w:id="1046" w:name="_Toc431992316"/>
      <w:bookmarkStart w:id="1047" w:name="_Toc432166047"/>
      <w:bookmarkStart w:id="1048" w:name="_Toc431992317"/>
      <w:bookmarkStart w:id="1049" w:name="_Toc432166048"/>
      <w:bookmarkStart w:id="1050" w:name="_Toc431992318"/>
      <w:bookmarkStart w:id="1051" w:name="_Toc432166049"/>
      <w:bookmarkStart w:id="1052" w:name="_Toc431992319"/>
      <w:bookmarkStart w:id="1053" w:name="_Toc432166050"/>
      <w:bookmarkStart w:id="1054" w:name="_Toc431992320"/>
      <w:bookmarkStart w:id="1055" w:name="_Toc432166051"/>
      <w:bookmarkStart w:id="1056" w:name="_Toc431992321"/>
      <w:bookmarkStart w:id="1057" w:name="_Toc432166052"/>
      <w:bookmarkStart w:id="1058" w:name="_Toc431992322"/>
      <w:bookmarkStart w:id="1059" w:name="_Toc432166053"/>
      <w:bookmarkStart w:id="1060" w:name="_Toc431992323"/>
      <w:bookmarkStart w:id="1061" w:name="_Toc432166054"/>
      <w:bookmarkStart w:id="1062" w:name="_Toc431992324"/>
      <w:bookmarkStart w:id="1063" w:name="_Toc432166055"/>
      <w:bookmarkStart w:id="1064" w:name="_Toc431992325"/>
      <w:bookmarkStart w:id="1065" w:name="_Toc432166056"/>
      <w:bookmarkStart w:id="1066" w:name="_Toc431992326"/>
      <w:bookmarkStart w:id="1067" w:name="_Toc432166057"/>
      <w:bookmarkStart w:id="1068" w:name="_Toc431992327"/>
      <w:bookmarkStart w:id="1069" w:name="_Toc432166058"/>
      <w:bookmarkStart w:id="1070" w:name="_Toc431992328"/>
      <w:bookmarkStart w:id="1071" w:name="_Toc432166059"/>
      <w:bookmarkStart w:id="1072" w:name="_Toc431992329"/>
      <w:bookmarkStart w:id="1073" w:name="_Toc432166060"/>
      <w:bookmarkStart w:id="1074" w:name="_Toc431992330"/>
      <w:bookmarkStart w:id="1075" w:name="_Toc432166061"/>
      <w:bookmarkStart w:id="1076" w:name="_Toc431992331"/>
      <w:bookmarkStart w:id="1077" w:name="_Toc432166062"/>
      <w:bookmarkStart w:id="1078" w:name="_Toc431992332"/>
      <w:bookmarkStart w:id="1079" w:name="_Toc432166063"/>
      <w:bookmarkStart w:id="1080" w:name="_Toc431992333"/>
      <w:bookmarkStart w:id="1081" w:name="_Toc432166064"/>
      <w:bookmarkStart w:id="1082" w:name="_Toc431992334"/>
      <w:bookmarkStart w:id="1083" w:name="_Toc432166065"/>
      <w:bookmarkStart w:id="1084" w:name="_Toc431992335"/>
      <w:bookmarkStart w:id="1085" w:name="_Toc432166066"/>
      <w:bookmarkStart w:id="1086" w:name="_Toc431992336"/>
      <w:bookmarkStart w:id="1087" w:name="_Toc432166067"/>
      <w:bookmarkStart w:id="1088" w:name="_Toc431992337"/>
      <w:bookmarkStart w:id="1089" w:name="_Toc432166068"/>
      <w:bookmarkStart w:id="1090" w:name="_Toc479775688"/>
      <w:bookmarkStart w:id="1091" w:name="_Toc140150242"/>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r w:rsidRPr="00A110A4">
        <w:t>Основни контролни дейности при възлагане на обществени поръчки за проекти по ОПТТИ, при които бенефициент по проектите е Управляващият орган</w:t>
      </w:r>
      <w:bookmarkEnd w:id="1090"/>
      <w:bookmarkEnd w:id="1091"/>
    </w:p>
    <w:p w14:paraId="77690E1C" w14:textId="60CF8C0A" w:rsidR="00D603F5" w:rsidRPr="001B0EA3" w:rsidRDefault="00D603F5" w:rsidP="006A6D08">
      <w:pPr>
        <w:autoSpaceDE w:val="0"/>
        <w:autoSpaceDN w:val="0"/>
        <w:adjustRightInd w:val="0"/>
        <w:ind w:firstLine="567"/>
        <w:rPr>
          <w:color w:val="000000"/>
          <w:szCs w:val="24"/>
        </w:rPr>
      </w:pPr>
      <w:r w:rsidRPr="001B0EA3">
        <w:rPr>
          <w:color w:val="000000"/>
          <w:szCs w:val="24"/>
        </w:rPr>
        <w:t xml:space="preserve">В случаите на изпълнение на проекти, финансирани по приоритетна ос „Техническа помощ”, бенефициент може да бъде Управляващият орган. В тези случаи процедурата за възлагане на обществена поръчка се осъществява в рамките на </w:t>
      </w:r>
      <w:r w:rsidR="00D34044">
        <w:rPr>
          <w:color w:val="000000"/>
          <w:szCs w:val="24"/>
        </w:rPr>
        <w:t>Министерството на транспорта и съобщенията</w:t>
      </w:r>
      <w:r w:rsidRPr="001B0EA3">
        <w:rPr>
          <w:color w:val="000000"/>
          <w:szCs w:val="24"/>
        </w:rPr>
        <w:t xml:space="preserve"> в съответствие с утвърдените от Министъра на транспорта, информационните технологии и съобщенията „Вътрешни правила за реда и организацията за възлагане на обществени поръчки в Министерството на транспорта”.</w:t>
      </w:r>
    </w:p>
    <w:p w14:paraId="144F471A" w14:textId="77777777" w:rsidR="00D603F5" w:rsidRPr="00842ECC" w:rsidRDefault="002256CA" w:rsidP="00C657BC">
      <w:pPr>
        <w:pStyle w:val="Style2"/>
        <w:ind w:hanging="792"/>
        <w:rPr>
          <w:lang w:val="bg-BG"/>
        </w:rPr>
      </w:pPr>
      <w:bookmarkStart w:id="1092" w:name="_Toc431992339"/>
      <w:bookmarkStart w:id="1093" w:name="_Toc432166070"/>
      <w:bookmarkStart w:id="1094" w:name="_Toc431992340"/>
      <w:bookmarkStart w:id="1095" w:name="_Toc432166071"/>
      <w:bookmarkStart w:id="1096" w:name="_Toc431992341"/>
      <w:bookmarkStart w:id="1097" w:name="_Toc432166072"/>
      <w:bookmarkStart w:id="1098" w:name="_Toc431992342"/>
      <w:bookmarkStart w:id="1099" w:name="_Toc432166073"/>
      <w:bookmarkStart w:id="1100" w:name="_Toc431992343"/>
      <w:bookmarkStart w:id="1101" w:name="_Toc432166074"/>
      <w:bookmarkStart w:id="1102" w:name="_Toc431992344"/>
      <w:bookmarkStart w:id="1103" w:name="_Toc432166075"/>
      <w:bookmarkStart w:id="1104" w:name="_Toc431992345"/>
      <w:bookmarkStart w:id="1105" w:name="_Toc432166076"/>
      <w:bookmarkStart w:id="1106" w:name="_Toc479775689"/>
      <w:bookmarkStart w:id="1107" w:name="_Toc140150243"/>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r w:rsidRPr="00842ECC">
        <w:rPr>
          <w:lang w:val="bg-BG"/>
        </w:rPr>
        <w:t>Контрол върху документацията от проведената обществена поръчка</w:t>
      </w:r>
      <w:bookmarkEnd w:id="1106"/>
      <w:bookmarkEnd w:id="1107"/>
    </w:p>
    <w:p w14:paraId="40677EE5" w14:textId="77777777" w:rsidR="002256CA" w:rsidRPr="001B0EA3" w:rsidRDefault="002256CA" w:rsidP="00046D61">
      <w:pPr>
        <w:ind w:firstLine="709"/>
        <w:rPr>
          <w:color w:val="000000"/>
          <w:szCs w:val="24"/>
        </w:rPr>
      </w:pPr>
      <w:r w:rsidRPr="001B0EA3">
        <w:rPr>
          <w:color w:val="000000"/>
          <w:szCs w:val="24"/>
        </w:rPr>
        <w:t xml:space="preserve">Контрол за законосъобразност върху документацията от проведената  обществена поръчка се осъществява за всички  поръчки над </w:t>
      </w:r>
      <w:r w:rsidR="005B0E77" w:rsidRPr="001B0EA3">
        <w:rPr>
          <w:color w:val="000000"/>
          <w:szCs w:val="24"/>
        </w:rPr>
        <w:t xml:space="preserve">стойностните </w:t>
      </w:r>
      <w:r w:rsidRPr="001B0EA3">
        <w:rPr>
          <w:color w:val="000000"/>
          <w:szCs w:val="24"/>
        </w:rPr>
        <w:t>праговете по ЗОП.</w:t>
      </w:r>
    </w:p>
    <w:p w14:paraId="5D7BF7D9" w14:textId="77777777" w:rsidR="00142318" w:rsidRPr="001B0EA3" w:rsidRDefault="00142318" w:rsidP="00046D61">
      <w:pPr>
        <w:spacing w:before="120" w:after="120"/>
        <w:ind w:firstLine="567"/>
        <w:rPr>
          <w:color w:val="000000"/>
          <w:szCs w:val="24"/>
        </w:rPr>
      </w:pPr>
      <w:r w:rsidRPr="001B0EA3">
        <w:rPr>
          <w:color w:val="000000"/>
          <w:szCs w:val="24"/>
        </w:rPr>
        <w:t>Бенефициентът</w:t>
      </w:r>
      <w:r w:rsidR="00B62080" w:rsidRPr="00B62080">
        <w:rPr>
          <w:color w:val="000000"/>
          <w:szCs w:val="24"/>
        </w:rPr>
        <w:t>/Ръководителят на ЗИП в УО</w:t>
      </w:r>
      <w:r w:rsidRPr="001B0EA3">
        <w:rPr>
          <w:color w:val="000000"/>
          <w:szCs w:val="24"/>
        </w:rPr>
        <w:t xml:space="preserve"> изпраща за контрол в отдел „Контрол по обществени поръчки“ документацията в тридесет (30) дневен срок преди  първото включване на разходи по сключения договор за верификация в искане за плащане. Документите, които следва да се представят на електронен носител  са: </w:t>
      </w:r>
    </w:p>
    <w:p w14:paraId="77E025CE" w14:textId="77777777" w:rsidR="00142318" w:rsidRPr="001B0EA3" w:rsidRDefault="00142318" w:rsidP="00046D61">
      <w:pPr>
        <w:spacing w:before="120" w:after="120"/>
        <w:ind w:firstLine="567"/>
        <w:rPr>
          <w:color w:val="000000"/>
          <w:szCs w:val="24"/>
        </w:rPr>
      </w:pPr>
      <w:r w:rsidRPr="001B0EA3">
        <w:rPr>
          <w:color w:val="000000"/>
          <w:szCs w:val="24"/>
        </w:rPr>
        <w:t>•</w:t>
      </w:r>
      <w:r w:rsidRPr="001B0EA3">
        <w:rPr>
          <w:color w:val="000000"/>
          <w:szCs w:val="24"/>
        </w:rPr>
        <w:tab/>
        <w:t>Предварително обявление (ако има такова) (поотделно от ОВ и от АОП);</w:t>
      </w:r>
    </w:p>
    <w:p w14:paraId="6D175834" w14:textId="77777777" w:rsidR="00142318" w:rsidRPr="001B0EA3" w:rsidRDefault="00142318" w:rsidP="00046D61">
      <w:pPr>
        <w:spacing w:before="120" w:after="120"/>
        <w:ind w:firstLine="567"/>
        <w:rPr>
          <w:color w:val="000000"/>
          <w:szCs w:val="24"/>
        </w:rPr>
      </w:pPr>
      <w:r w:rsidRPr="001B0EA3">
        <w:rPr>
          <w:color w:val="000000"/>
          <w:szCs w:val="24"/>
        </w:rPr>
        <w:t>•</w:t>
      </w:r>
      <w:r w:rsidRPr="001B0EA3">
        <w:rPr>
          <w:color w:val="000000"/>
          <w:szCs w:val="24"/>
        </w:rPr>
        <w:tab/>
        <w:t>Обявление за обществената поръчка (по отделно от ОВ и от АОП);</w:t>
      </w:r>
    </w:p>
    <w:p w14:paraId="339FB336" w14:textId="77777777" w:rsidR="00142318" w:rsidRPr="001B0EA3" w:rsidRDefault="00142318" w:rsidP="00046D61">
      <w:pPr>
        <w:spacing w:before="120" w:after="120"/>
        <w:ind w:firstLine="567"/>
        <w:rPr>
          <w:color w:val="000000"/>
          <w:szCs w:val="24"/>
        </w:rPr>
      </w:pPr>
      <w:r w:rsidRPr="001B0EA3">
        <w:rPr>
          <w:color w:val="000000"/>
          <w:szCs w:val="24"/>
        </w:rPr>
        <w:t>•</w:t>
      </w:r>
      <w:r w:rsidRPr="001B0EA3">
        <w:rPr>
          <w:color w:val="000000"/>
          <w:szCs w:val="24"/>
        </w:rPr>
        <w:tab/>
        <w:t>Документация за участие, вкл. кореспонденцията и разясненията на възложителя  по получени въпроси от участниците (ако има такива);</w:t>
      </w:r>
    </w:p>
    <w:p w14:paraId="10AADCE3" w14:textId="77777777" w:rsidR="00142318" w:rsidRPr="001B0EA3" w:rsidRDefault="00142318" w:rsidP="00046D61">
      <w:pPr>
        <w:spacing w:before="120" w:after="120"/>
        <w:ind w:firstLine="567"/>
        <w:rPr>
          <w:color w:val="000000"/>
          <w:szCs w:val="24"/>
        </w:rPr>
      </w:pPr>
      <w:r w:rsidRPr="001B0EA3">
        <w:rPr>
          <w:color w:val="000000"/>
          <w:szCs w:val="24"/>
        </w:rPr>
        <w:t>•</w:t>
      </w:r>
      <w:r w:rsidRPr="001B0EA3">
        <w:rPr>
          <w:color w:val="000000"/>
          <w:szCs w:val="24"/>
        </w:rPr>
        <w:tab/>
        <w:t>Актове от външен контрол, осъществяван на АОП  (ако има такива);</w:t>
      </w:r>
    </w:p>
    <w:p w14:paraId="05E8A1C6" w14:textId="77777777" w:rsidR="00142318" w:rsidRPr="001B0EA3" w:rsidRDefault="00142318" w:rsidP="00046D61">
      <w:pPr>
        <w:spacing w:before="120" w:after="120"/>
        <w:ind w:firstLine="567"/>
        <w:rPr>
          <w:color w:val="000000"/>
          <w:szCs w:val="24"/>
        </w:rPr>
      </w:pPr>
      <w:r w:rsidRPr="001B0EA3">
        <w:rPr>
          <w:color w:val="000000"/>
          <w:szCs w:val="24"/>
        </w:rPr>
        <w:t>•</w:t>
      </w:r>
      <w:r w:rsidRPr="001B0EA3">
        <w:rPr>
          <w:color w:val="000000"/>
          <w:szCs w:val="24"/>
        </w:rPr>
        <w:tab/>
        <w:t xml:space="preserve">Решения за промяна на </w:t>
      </w:r>
      <w:r w:rsidR="00613164" w:rsidRPr="001B0EA3">
        <w:rPr>
          <w:color w:val="000000"/>
          <w:szCs w:val="24"/>
        </w:rPr>
        <w:t>обявлението</w:t>
      </w:r>
      <w:r w:rsidRPr="001B0EA3">
        <w:rPr>
          <w:color w:val="000000"/>
          <w:szCs w:val="24"/>
        </w:rPr>
        <w:t xml:space="preserve"> или документацията за участие (ако има такива) (поотделно от ОВ и от АОП);</w:t>
      </w:r>
    </w:p>
    <w:p w14:paraId="4892C9F9" w14:textId="77777777" w:rsidR="00142318" w:rsidRPr="001B0EA3" w:rsidRDefault="00142318" w:rsidP="00046D61">
      <w:pPr>
        <w:spacing w:before="120" w:after="120"/>
        <w:ind w:firstLine="567"/>
        <w:rPr>
          <w:color w:val="000000"/>
          <w:szCs w:val="24"/>
        </w:rPr>
      </w:pPr>
      <w:r w:rsidRPr="001B0EA3">
        <w:rPr>
          <w:color w:val="000000"/>
          <w:szCs w:val="24"/>
        </w:rPr>
        <w:t>•</w:t>
      </w:r>
      <w:r w:rsidRPr="001B0EA3">
        <w:rPr>
          <w:color w:val="000000"/>
          <w:szCs w:val="24"/>
        </w:rPr>
        <w:tab/>
        <w:t xml:space="preserve">Протоколи за работата на комисията, вкл. оценителни листове; </w:t>
      </w:r>
    </w:p>
    <w:p w14:paraId="425B3344" w14:textId="77777777" w:rsidR="00142318" w:rsidRPr="001B0EA3" w:rsidRDefault="00142318" w:rsidP="00046D61">
      <w:pPr>
        <w:spacing w:before="120" w:after="120"/>
        <w:ind w:firstLine="567"/>
        <w:rPr>
          <w:color w:val="000000"/>
          <w:szCs w:val="24"/>
        </w:rPr>
      </w:pPr>
      <w:r w:rsidRPr="001B0EA3">
        <w:rPr>
          <w:color w:val="000000"/>
          <w:szCs w:val="24"/>
        </w:rPr>
        <w:t>•</w:t>
      </w:r>
      <w:r w:rsidRPr="001B0EA3">
        <w:rPr>
          <w:color w:val="000000"/>
          <w:szCs w:val="24"/>
        </w:rPr>
        <w:tab/>
        <w:t>Заповед за назначаване на комисия за провеждане на процедурата;</w:t>
      </w:r>
    </w:p>
    <w:p w14:paraId="3FCAA16D" w14:textId="77777777" w:rsidR="00142318" w:rsidRPr="001B0EA3" w:rsidRDefault="00142318" w:rsidP="00046D61">
      <w:pPr>
        <w:spacing w:before="120" w:after="120"/>
        <w:ind w:firstLine="567"/>
        <w:rPr>
          <w:color w:val="000000"/>
          <w:szCs w:val="24"/>
        </w:rPr>
      </w:pPr>
      <w:r w:rsidRPr="001B0EA3">
        <w:rPr>
          <w:color w:val="000000"/>
          <w:szCs w:val="24"/>
        </w:rPr>
        <w:t>•</w:t>
      </w:r>
      <w:r w:rsidRPr="001B0EA3">
        <w:rPr>
          <w:color w:val="000000"/>
          <w:szCs w:val="24"/>
        </w:rPr>
        <w:tab/>
        <w:t>Декларации по чл.</w:t>
      </w:r>
      <w:r w:rsidR="00B62080">
        <w:rPr>
          <w:color w:val="000000"/>
          <w:szCs w:val="24"/>
        </w:rPr>
        <w:t>103</w:t>
      </w:r>
      <w:r w:rsidR="00B62080" w:rsidRPr="001B0EA3">
        <w:rPr>
          <w:color w:val="000000"/>
          <w:szCs w:val="24"/>
        </w:rPr>
        <w:t xml:space="preserve"> </w:t>
      </w:r>
      <w:r w:rsidRPr="001B0EA3">
        <w:rPr>
          <w:color w:val="000000"/>
          <w:szCs w:val="24"/>
        </w:rPr>
        <w:t>от ЗОП и др. подобни (ако има такива);</w:t>
      </w:r>
    </w:p>
    <w:p w14:paraId="5B9FB7C0" w14:textId="77777777" w:rsidR="00142318" w:rsidRPr="001B0EA3" w:rsidRDefault="00142318" w:rsidP="00046D61">
      <w:pPr>
        <w:spacing w:before="120" w:after="120"/>
        <w:ind w:firstLine="567"/>
        <w:rPr>
          <w:color w:val="000000"/>
          <w:szCs w:val="24"/>
        </w:rPr>
      </w:pPr>
      <w:r w:rsidRPr="001B0EA3">
        <w:rPr>
          <w:color w:val="000000"/>
          <w:szCs w:val="24"/>
        </w:rPr>
        <w:t>•</w:t>
      </w:r>
      <w:r w:rsidRPr="001B0EA3">
        <w:rPr>
          <w:color w:val="000000"/>
          <w:szCs w:val="24"/>
        </w:rPr>
        <w:tab/>
        <w:t>Разменена кореспонденция между участниците и комисията за оценка по време на процедурата вкл. допълнително представени документи и др. подобни;</w:t>
      </w:r>
    </w:p>
    <w:p w14:paraId="195922D5" w14:textId="77777777" w:rsidR="00142318" w:rsidRPr="001B0EA3" w:rsidRDefault="00142318" w:rsidP="00046D61">
      <w:pPr>
        <w:spacing w:before="120" w:after="120"/>
        <w:ind w:firstLine="567"/>
        <w:rPr>
          <w:color w:val="000000"/>
          <w:szCs w:val="24"/>
        </w:rPr>
      </w:pPr>
      <w:r w:rsidRPr="001B0EA3">
        <w:rPr>
          <w:color w:val="000000"/>
          <w:szCs w:val="24"/>
        </w:rPr>
        <w:t>•</w:t>
      </w:r>
      <w:r w:rsidRPr="001B0EA3">
        <w:rPr>
          <w:color w:val="000000"/>
          <w:szCs w:val="24"/>
        </w:rPr>
        <w:tab/>
        <w:t>Решение за определяне на изпълнител;</w:t>
      </w:r>
    </w:p>
    <w:p w14:paraId="0B9A164E" w14:textId="77777777" w:rsidR="00142318" w:rsidRPr="001B0EA3" w:rsidRDefault="00142318" w:rsidP="00046D61">
      <w:pPr>
        <w:spacing w:before="120" w:after="120"/>
        <w:ind w:firstLine="567"/>
        <w:rPr>
          <w:color w:val="000000"/>
          <w:szCs w:val="24"/>
        </w:rPr>
      </w:pPr>
      <w:r w:rsidRPr="001B0EA3">
        <w:rPr>
          <w:color w:val="000000"/>
          <w:szCs w:val="24"/>
        </w:rPr>
        <w:t>•</w:t>
      </w:r>
      <w:r w:rsidRPr="001B0EA3">
        <w:rPr>
          <w:color w:val="000000"/>
          <w:szCs w:val="24"/>
        </w:rPr>
        <w:tab/>
        <w:t xml:space="preserve"> Договор за обществена поръчка/рамково споразумение и договор по него;</w:t>
      </w:r>
    </w:p>
    <w:p w14:paraId="31566868" w14:textId="77777777" w:rsidR="00142318" w:rsidRPr="001B0EA3" w:rsidRDefault="00142318" w:rsidP="00046D61">
      <w:pPr>
        <w:spacing w:before="120" w:after="120"/>
        <w:ind w:firstLine="567"/>
        <w:rPr>
          <w:color w:val="000000"/>
          <w:szCs w:val="24"/>
        </w:rPr>
      </w:pPr>
      <w:r w:rsidRPr="001B0EA3">
        <w:rPr>
          <w:color w:val="000000"/>
          <w:szCs w:val="24"/>
        </w:rPr>
        <w:t>•</w:t>
      </w:r>
      <w:r w:rsidRPr="001B0EA3">
        <w:rPr>
          <w:color w:val="000000"/>
          <w:szCs w:val="24"/>
        </w:rPr>
        <w:tab/>
        <w:t>Актове на КЗК и ВАС във връзка с процедурата;</w:t>
      </w:r>
    </w:p>
    <w:p w14:paraId="5AF02EDA" w14:textId="77777777" w:rsidR="00142318" w:rsidRPr="001B0EA3" w:rsidRDefault="00142318" w:rsidP="00046D61">
      <w:pPr>
        <w:spacing w:before="120" w:after="120"/>
        <w:ind w:firstLine="567"/>
        <w:rPr>
          <w:color w:val="000000"/>
          <w:szCs w:val="24"/>
        </w:rPr>
      </w:pPr>
      <w:r w:rsidRPr="001B0EA3">
        <w:rPr>
          <w:color w:val="000000"/>
          <w:szCs w:val="24"/>
        </w:rPr>
        <w:lastRenderedPageBreak/>
        <w:t>•</w:t>
      </w:r>
      <w:r w:rsidRPr="001B0EA3">
        <w:rPr>
          <w:color w:val="000000"/>
          <w:szCs w:val="24"/>
        </w:rPr>
        <w:tab/>
        <w:t>Копие от офертата на спечелилия участник и копия от офертите на останалите участници;</w:t>
      </w:r>
    </w:p>
    <w:p w14:paraId="4B424F90" w14:textId="77777777" w:rsidR="00142318" w:rsidRPr="001B0EA3" w:rsidRDefault="00142318" w:rsidP="00046D61">
      <w:pPr>
        <w:spacing w:before="120" w:after="120"/>
        <w:ind w:firstLine="567"/>
        <w:rPr>
          <w:color w:val="000000"/>
          <w:szCs w:val="24"/>
        </w:rPr>
      </w:pPr>
      <w:r w:rsidRPr="001B0EA3">
        <w:rPr>
          <w:color w:val="000000"/>
          <w:szCs w:val="24"/>
        </w:rPr>
        <w:t xml:space="preserve">Посочените по-горе документи следва да са налични в ИСУН 2020 към датата на изпращане за контрол на документацията. </w:t>
      </w:r>
    </w:p>
    <w:p w14:paraId="49F33681" w14:textId="77777777" w:rsidR="00142318" w:rsidRPr="001B0EA3" w:rsidRDefault="00B62080" w:rsidP="004E0A65">
      <w:pPr>
        <w:ind w:firstLine="567"/>
        <w:rPr>
          <w:color w:val="000000"/>
          <w:szCs w:val="24"/>
        </w:rPr>
      </w:pPr>
      <w:r w:rsidRPr="00B62080">
        <w:rPr>
          <w:color w:val="000000"/>
          <w:szCs w:val="24"/>
        </w:rPr>
        <w:t>Бенефициентът/Ръководителят на ЗИП в УО</w:t>
      </w:r>
      <w:r w:rsidR="00142318" w:rsidRPr="001B0EA3">
        <w:rPr>
          <w:color w:val="000000"/>
          <w:szCs w:val="24"/>
        </w:rPr>
        <w:t xml:space="preserve"> представя и други документи, извън горните – при необходимост (напр.  справка- образец, попълнена и подписана от възложителя за проведени процедури със сходен предмет за съответната календарна година)</w:t>
      </w:r>
    </w:p>
    <w:p w14:paraId="127EE1FC" w14:textId="77777777" w:rsidR="002256CA" w:rsidRPr="001B0EA3" w:rsidRDefault="002256CA" w:rsidP="00CC313F">
      <w:pPr>
        <w:jc w:val="left"/>
        <w:rPr>
          <w:color w:val="000000"/>
          <w:szCs w:val="24"/>
        </w:rPr>
      </w:pPr>
    </w:p>
    <w:p w14:paraId="28B04256" w14:textId="77777777" w:rsidR="005B0E77" w:rsidRPr="001B0EA3" w:rsidRDefault="005B0E77" w:rsidP="005B0E77">
      <w:pPr>
        <w:ind w:firstLine="567"/>
        <w:rPr>
          <w:color w:val="000000"/>
          <w:szCs w:val="24"/>
        </w:rPr>
      </w:pPr>
      <w:r w:rsidRPr="001B0EA3">
        <w:rPr>
          <w:color w:val="000000"/>
          <w:szCs w:val="24"/>
        </w:rPr>
        <w:t xml:space="preserve">Към горните документи, следва да </w:t>
      </w:r>
      <w:r w:rsidR="00B62080">
        <w:rPr>
          <w:color w:val="000000"/>
          <w:szCs w:val="24"/>
        </w:rPr>
        <w:t xml:space="preserve">се </w:t>
      </w:r>
      <w:r w:rsidRPr="001B0EA3">
        <w:rPr>
          <w:color w:val="000000"/>
          <w:szCs w:val="24"/>
        </w:rPr>
        <w:t xml:space="preserve">приложи и документ, който да дава информация, че към датата на решението за откриване на процедурата или на публикуване на обява, </w:t>
      </w:r>
      <w:r w:rsidR="00B62080" w:rsidRPr="00B62080">
        <w:rPr>
          <w:color w:val="000000"/>
          <w:szCs w:val="24"/>
        </w:rPr>
        <w:t>бенефициентът</w:t>
      </w:r>
      <w:r w:rsidRPr="001B0EA3">
        <w:rPr>
          <w:color w:val="000000"/>
          <w:szCs w:val="24"/>
        </w:rPr>
        <w:t xml:space="preserve"> е обобщил всички идентични или сходни потребности, които са му известни, с оглед на правилното определяне на реда за възлагане.</w:t>
      </w:r>
    </w:p>
    <w:p w14:paraId="0CEDA327" w14:textId="77777777" w:rsidR="005B0E77" w:rsidRPr="001B0EA3" w:rsidRDefault="005B0E77" w:rsidP="00CC313F">
      <w:pPr>
        <w:jc w:val="left"/>
        <w:rPr>
          <w:color w:val="000000"/>
          <w:szCs w:val="24"/>
        </w:rPr>
      </w:pPr>
    </w:p>
    <w:p w14:paraId="1398D4B4" w14:textId="77777777" w:rsidR="000E1C2D" w:rsidRPr="0052015B" w:rsidRDefault="000E1C2D" w:rsidP="000E1C2D">
      <w:pPr>
        <w:ind w:firstLine="567"/>
        <w:rPr>
          <w:color w:val="000000"/>
          <w:szCs w:val="24"/>
        </w:rPr>
      </w:pPr>
      <w:r w:rsidRPr="0052015B">
        <w:rPr>
          <w:color w:val="000000"/>
          <w:szCs w:val="24"/>
        </w:rPr>
        <w:t xml:space="preserve">УО извършва контрол върху получените документи с приложим към настоящия Наръчник  общ контролен лист, който се попълва в ИСУН 2020 и приложения към него  </w:t>
      </w:r>
      <w:r>
        <w:rPr>
          <w:color w:val="000000"/>
          <w:szCs w:val="24"/>
        </w:rPr>
        <w:t>(</w:t>
      </w:r>
      <w:r w:rsidRPr="0052015B">
        <w:rPr>
          <w:color w:val="000000"/>
          <w:szCs w:val="24"/>
        </w:rPr>
        <w:t>в зависимост от вида на процедурата</w:t>
      </w:r>
      <w:r>
        <w:rPr>
          <w:color w:val="000000"/>
          <w:szCs w:val="24"/>
        </w:rPr>
        <w:t>)</w:t>
      </w:r>
      <w:r w:rsidRPr="0052015B">
        <w:rPr>
          <w:color w:val="000000"/>
          <w:szCs w:val="24"/>
        </w:rPr>
        <w:t>, също част от Наръчника, които се публикуват в ИСУН 2020. Срокът за проверка на</w:t>
      </w:r>
      <w:r>
        <w:rPr>
          <w:color w:val="000000"/>
          <w:szCs w:val="24"/>
        </w:rPr>
        <w:t xml:space="preserve"> документацията от проведената </w:t>
      </w:r>
      <w:r w:rsidRPr="0052015B">
        <w:rPr>
          <w:color w:val="000000"/>
          <w:szCs w:val="24"/>
        </w:rPr>
        <w:t xml:space="preserve">обществена поръчка е до 20 работни дни от получаването в УО на гореописаните документи. </w:t>
      </w:r>
    </w:p>
    <w:p w14:paraId="6924C672" w14:textId="77777777" w:rsidR="005B0E77" w:rsidRPr="001B0EA3" w:rsidRDefault="005B0E77" w:rsidP="00046D61">
      <w:pPr>
        <w:ind w:firstLine="567"/>
        <w:rPr>
          <w:color w:val="000000"/>
          <w:szCs w:val="24"/>
        </w:rPr>
      </w:pPr>
      <w:r w:rsidRPr="001B0EA3">
        <w:rPr>
          <w:color w:val="000000"/>
          <w:szCs w:val="24"/>
        </w:rPr>
        <w:t xml:space="preserve">Ако в процеса на проверка на документацията се установят пропуски в представените документи, експерт от отдел „КОП“  изисква писмено от </w:t>
      </w:r>
      <w:r w:rsidR="00B62080" w:rsidRPr="00B62080">
        <w:rPr>
          <w:color w:val="000000"/>
          <w:szCs w:val="24"/>
        </w:rPr>
        <w:t>Ръководителя на ЗИП в УО</w:t>
      </w:r>
      <w:r w:rsidRPr="001B0EA3">
        <w:rPr>
          <w:color w:val="000000"/>
          <w:szCs w:val="24"/>
        </w:rPr>
        <w:t xml:space="preserve"> (официално, по факс или по ел. поща) представянето на допълнителни документи, информация или разяснения. </w:t>
      </w:r>
    </w:p>
    <w:p w14:paraId="42DDE113" w14:textId="77777777" w:rsidR="005B0E77" w:rsidRPr="001B0EA3" w:rsidRDefault="005B0E77" w:rsidP="00046D61">
      <w:pPr>
        <w:ind w:firstLine="567"/>
        <w:rPr>
          <w:color w:val="000000"/>
          <w:szCs w:val="24"/>
        </w:rPr>
      </w:pPr>
      <w:r w:rsidRPr="001B0EA3">
        <w:rPr>
          <w:color w:val="000000"/>
          <w:szCs w:val="24"/>
        </w:rPr>
        <w:t>Срокът за изпращане на документите/допълнителната информация е до 3 работни дни от получаване на писмено запитване. До получаване на отговор/изпращането на документи от страна на бенефициента в УО, се прекъсва срокът от 20 работни дни за проверка на документацията от проведената процедура.</w:t>
      </w:r>
    </w:p>
    <w:p w14:paraId="551071B0" w14:textId="77777777" w:rsidR="005B0E77" w:rsidRPr="001B0EA3" w:rsidRDefault="005B0E77" w:rsidP="00046D61">
      <w:pPr>
        <w:ind w:firstLine="567"/>
        <w:rPr>
          <w:color w:val="000000"/>
          <w:szCs w:val="24"/>
        </w:rPr>
      </w:pPr>
      <w:r w:rsidRPr="001B0EA3">
        <w:rPr>
          <w:color w:val="000000"/>
          <w:szCs w:val="24"/>
        </w:rPr>
        <w:t xml:space="preserve">За поръчки под стойностните прагове за възлагане по ЗОП възложителят прилага утвърдени в рамките на </w:t>
      </w:r>
      <w:r w:rsidR="00BB6BF6">
        <w:rPr>
          <w:color w:val="000000"/>
          <w:szCs w:val="24"/>
        </w:rPr>
        <w:t>МТС</w:t>
      </w:r>
      <w:r w:rsidRPr="001B0EA3">
        <w:rPr>
          <w:color w:val="000000"/>
          <w:szCs w:val="24"/>
        </w:rPr>
        <w:t xml:space="preserve"> контролни процедури за осигуряване на законосъобразност. По отношение на контрол за разделяне на поръчка под стойностните прагове за възлагане по ЗОП се прилагат правилата на т.22.1. от настоящия наръчник.</w:t>
      </w:r>
    </w:p>
    <w:p w14:paraId="72E65A54" w14:textId="77777777" w:rsidR="00B8004D" w:rsidRPr="001B0EA3" w:rsidRDefault="00B8004D" w:rsidP="00B8004D">
      <w:pPr>
        <w:ind w:firstLine="544"/>
        <w:rPr>
          <w:color w:val="000000"/>
          <w:szCs w:val="24"/>
        </w:rPr>
      </w:pPr>
      <w:r w:rsidRPr="0052015B">
        <w:rPr>
          <w:color w:val="000000"/>
          <w:szCs w:val="24"/>
        </w:rPr>
        <w:t xml:space="preserve">Гореописаните проверки се финализират с попълването на </w:t>
      </w:r>
      <w:r>
        <w:rPr>
          <w:color w:val="000000"/>
          <w:szCs w:val="24"/>
        </w:rPr>
        <w:t xml:space="preserve">общ </w:t>
      </w:r>
      <w:r w:rsidRPr="0052015B">
        <w:rPr>
          <w:color w:val="000000"/>
          <w:szCs w:val="24"/>
        </w:rPr>
        <w:t>КЛ в ИСУН 2020 и публикуването на приложенията към него от експерта, и одобрението му от началника на отдел „Контрол по обществени поръчки“ в ИСУН</w:t>
      </w:r>
      <w:r>
        <w:rPr>
          <w:color w:val="000000"/>
          <w:szCs w:val="24"/>
        </w:rPr>
        <w:t>.</w:t>
      </w:r>
      <w:r w:rsidRPr="0052015B">
        <w:rPr>
          <w:color w:val="000000"/>
          <w:szCs w:val="24"/>
        </w:rPr>
        <w:t xml:space="preserve"> </w:t>
      </w:r>
      <w:r>
        <w:rPr>
          <w:color w:val="000000"/>
          <w:szCs w:val="24"/>
        </w:rPr>
        <w:t>З</w:t>
      </w:r>
      <w:r w:rsidRPr="001B0EA3">
        <w:rPr>
          <w:color w:val="000000"/>
          <w:szCs w:val="24"/>
        </w:rPr>
        <w:t>а резултатите от проверката се изпраща уведомление по електронен път до началниците на отдели „ИК“ и „ФУ“ (писмо, в случаите по  Глава 6, т.26.3, б. „А“)</w:t>
      </w:r>
      <w:r w:rsidRPr="00B62080">
        <w:rPr>
          <w:color w:val="000000"/>
          <w:szCs w:val="24"/>
        </w:rPr>
        <w:t>, както и до Ръководителят на ЗИП в УО</w:t>
      </w:r>
      <w:r w:rsidRPr="001B0EA3">
        <w:rPr>
          <w:color w:val="000000"/>
          <w:szCs w:val="24"/>
        </w:rPr>
        <w:t>.</w:t>
      </w:r>
    </w:p>
    <w:p w14:paraId="0A245037" w14:textId="77777777" w:rsidR="002256CA" w:rsidRPr="001B0EA3" w:rsidRDefault="002256CA" w:rsidP="00046D61">
      <w:pPr>
        <w:ind w:firstLine="567"/>
        <w:rPr>
          <w:color w:val="000000"/>
          <w:szCs w:val="24"/>
        </w:rPr>
      </w:pPr>
    </w:p>
    <w:p w14:paraId="2E25FFA9" w14:textId="77777777" w:rsidR="00D603F5" w:rsidRDefault="002256CA" w:rsidP="00046D61">
      <w:pPr>
        <w:ind w:firstLine="567"/>
        <w:rPr>
          <w:b/>
          <w:bCs/>
          <w:i/>
          <w:color w:val="000000"/>
          <w:szCs w:val="24"/>
        </w:rPr>
      </w:pPr>
      <w:r w:rsidRPr="001B0EA3">
        <w:rPr>
          <w:b/>
          <w:bCs/>
          <w:i/>
          <w:color w:val="000000"/>
          <w:szCs w:val="24"/>
        </w:rPr>
        <w:t xml:space="preserve">Всички оферти, в процеса на оценка от комисията за избор на изпълнител,  следва да се съхраняват  в помещения с ограничен достъп, в случая в нарочно предвидена зала в сградата на </w:t>
      </w:r>
      <w:r w:rsidR="00BB6BF6">
        <w:rPr>
          <w:b/>
          <w:bCs/>
          <w:i/>
          <w:color w:val="000000"/>
          <w:szCs w:val="24"/>
        </w:rPr>
        <w:t>МТС</w:t>
      </w:r>
      <w:r w:rsidRPr="001B0EA3">
        <w:rPr>
          <w:b/>
          <w:bCs/>
          <w:i/>
          <w:color w:val="000000"/>
          <w:szCs w:val="24"/>
        </w:rPr>
        <w:t>, в предвидени за целта метални шкафове със заключващ механизъм.</w:t>
      </w:r>
    </w:p>
    <w:p w14:paraId="02CDBA49" w14:textId="77777777" w:rsidR="00AA7615" w:rsidRPr="001B0EA3" w:rsidRDefault="00AA7615" w:rsidP="00046D61">
      <w:pPr>
        <w:ind w:firstLine="567"/>
        <w:rPr>
          <w:color w:val="000000"/>
          <w:szCs w:val="24"/>
        </w:rPr>
      </w:pPr>
    </w:p>
    <w:p w14:paraId="2970255D" w14:textId="77777777" w:rsidR="00D603F5" w:rsidRPr="00842ECC" w:rsidRDefault="002256CA" w:rsidP="000A5112">
      <w:pPr>
        <w:pStyle w:val="Style2"/>
        <w:tabs>
          <w:tab w:val="left" w:pos="993"/>
        </w:tabs>
        <w:ind w:hanging="792"/>
        <w:rPr>
          <w:lang w:val="bg-BG"/>
        </w:rPr>
      </w:pPr>
      <w:bookmarkStart w:id="1108" w:name="_Toc479775690"/>
      <w:bookmarkStart w:id="1109" w:name="_Toc140150244"/>
      <w:r w:rsidRPr="00842ECC">
        <w:rPr>
          <w:lang w:val="bg-BG"/>
        </w:rPr>
        <w:t>Контрол от страна на УО на измененията на договор за обществена поръчка</w:t>
      </w:r>
      <w:bookmarkEnd w:id="1108"/>
      <w:bookmarkEnd w:id="1109"/>
    </w:p>
    <w:p w14:paraId="4E562605" w14:textId="77777777" w:rsidR="00142318" w:rsidRPr="001B0EA3" w:rsidRDefault="002256CA" w:rsidP="00046D61">
      <w:pPr>
        <w:ind w:firstLine="567"/>
        <w:rPr>
          <w:color w:val="000000"/>
          <w:szCs w:val="24"/>
        </w:rPr>
      </w:pPr>
      <w:r w:rsidRPr="001B0EA3">
        <w:rPr>
          <w:color w:val="000000"/>
          <w:szCs w:val="24"/>
        </w:rPr>
        <w:t xml:space="preserve">В случай, че възникне някоя от предвидените в </w:t>
      </w:r>
      <w:r w:rsidR="0065353D" w:rsidRPr="001B0EA3">
        <w:rPr>
          <w:color w:val="000000"/>
          <w:szCs w:val="24"/>
        </w:rPr>
        <w:t xml:space="preserve">ЗОП </w:t>
      </w:r>
      <w:r w:rsidRPr="001B0EA3">
        <w:rPr>
          <w:color w:val="000000"/>
          <w:szCs w:val="24"/>
        </w:rPr>
        <w:t xml:space="preserve">хипотези, подписаното изменение на договора и копие от документацията, обосноваваща изменението на договора, се представя за контрол в Управляващия орган (отдел „Контрол по обществени поръчки“) за осъществяване на проверка за съответствие със законовите изисквания и клаузите на договора в срок от 5 работни дни след сключването му. </w:t>
      </w:r>
      <w:r w:rsidR="00142318" w:rsidRPr="001B0EA3">
        <w:rPr>
          <w:color w:val="000000"/>
          <w:szCs w:val="24"/>
        </w:rPr>
        <w:t>Към датата на представянето му за проверката, същото следва да е публикувано и в ИСУН 2020, заедно с документацията, обосноваваща изменението.</w:t>
      </w:r>
    </w:p>
    <w:p w14:paraId="59FD785D" w14:textId="77777777" w:rsidR="002256CA" w:rsidRPr="001B0EA3" w:rsidRDefault="002256CA" w:rsidP="00046D61">
      <w:pPr>
        <w:ind w:firstLine="567"/>
      </w:pPr>
      <w:r w:rsidRPr="001B0EA3">
        <w:rPr>
          <w:color w:val="000000"/>
          <w:szCs w:val="24"/>
        </w:rPr>
        <w:lastRenderedPageBreak/>
        <w:t xml:space="preserve">При </w:t>
      </w:r>
      <w:r w:rsidR="0065353D" w:rsidRPr="001B0EA3">
        <w:rPr>
          <w:color w:val="000000"/>
          <w:szCs w:val="24"/>
        </w:rPr>
        <w:t xml:space="preserve">проверката </w:t>
      </w:r>
      <w:r w:rsidRPr="001B0EA3">
        <w:rPr>
          <w:color w:val="000000"/>
          <w:szCs w:val="24"/>
        </w:rPr>
        <w:t xml:space="preserve">се извършват консултации и се изисква становище от отдел „Изпълнение и координация” </w:t>
      </w:r>
      <w:r w:rsidR="0065353D" w:rsidRPr="001B0EA3">
        <w:rPr>
          <w:color w:val="000000"/>
          <w:szCs w:val="24"/>
        </w:rPr>
        <w:t xml:space="preserve">(официално или по електронна поща) </w:t>
      </w:r>
      <w:r w:rsidRPr="001B0EA3">
        <w:rPr>
          <w:color w:val="000000"/>
          <w:szCs w:val="24"/>
        </w:rPr>
        <w:t>във връзка с актуалния статус на изпълнение на проекта/договора и обстоятелствата, наложили изменението.</w:t>
      </w:r>
    </w:p>
    <w:p w14:paraId="6BFF6CDC" w14:textId="77777777" w:rsidR="00B73757" w:rsidRPr="001B0EA3" w:rsidRDefault="002256CA" w:rsidP="00046D61">
      <w:pPr>
        <w:spacing w:before="120" w:after="120"/>
        <w:ind w:firstLine="709"/>
        <w:rPr>
          <w:color w:val="000000"/>
          <w:szCs w:val="24"/>
        </w:rPr>
      </w:pPr>
      <w:r w:rsidRPr="001B0EA3">
        <w:rPr>
          <w:color w:val="000000"/>
          <w:szCs w:val="24"/>
        </w:rPr>
        <w:t xml:space="preserve">В случаите, когато при преобразуване на изпълнителя в съответствие със законодателството на държавата, в която е установен, Възложителя сключва договор за продължаване на договора за обществена поръчка с правоприемника, Възложителят уведомява УО.  С договора с правоприемника не могат да се правят промени в договора за обществена поръчка. </w:t>
      </w:r>
      <w:r w:rsidR="00B73757" w:rsidRPr="001B0EA3">
        <w:rPr>
          <w:color w:val="000000"/>
          <w:szCs w:val="24"/>
        </w:rPr>
        <w:t xml:space="preserve">Заедно с уведомлението Възложителят представя на УО и доказателства, че не са налице обстоятелствата изискващи задължително отстраняване по ЗОП, както и такива обстоятелства посочени от Възложителя (основания за незадължително отстраняване) и че правоприемникът покрива изискванията относно критериите за подбор. </w:t>
      </w:r>
    </w:p>
    <w:p w14:paraId="41003566" w14:textId="77777777" w:rsidR="00066A40" w:rsidRPr="001B0EA3" w:rsidRDefault="00066A40" w:rsidP="00066A40">
      <w:pPr>
        <w:spacing w:before="120" w:after="120"/>
        <w:ind w:firstLine="709"/>
        <w:rPr>
          <w:color w:val="000000"/>
          <w:szCs w:val="24"/>
        </w:rPr>
      </w:pPr>
      <w:r w:rsidRPr="001B0EA3">
        <w:rPr>
          <w:color w:val="000000"/>
          <w:szCs w:val="24"/>
        </w:rPr>
        <w:t xml:space="preserve">Проверката на допълнителното споразумение се извършва в срок от 7 работни дни след получаването му в отдел „КОП“. Отдел „КОП“, в посочения срок изготвя становище по полученото споразумение. За резултатите от проверката се </w:t>
      </w:r>
      <w:r w:rsidRPr="005B7F29">
        <w:rPr>
          <w:color w:val="000000"/>
          <w:szCs w:val="24"/>
        </w:rPr>
        <w:t>уведомяват по електронна поща</w:t>
      </w:r>
      <w:r w:rsidRPr="005B7F29" w:rsidDel="005B7F29">
        <w:rPr>
          <w:color w:val="000000"/>
          <w:szCs w:val="24"/>
        </w:rPr>
        <w:t xml:space="preserve"> </w:t>
      </w:r>
      <w:r w:rsidRPr="001B0EA3">
        <w:rPr>
          <w:color w:val="000000"/>
          <w:szCs w:val="24"/>
        </w:rPr>
        <w:t xml:space="preserve">отдел „ФУ“ и отдел „ИК“, а самото становище се публикува в ИСУН 2020 до 2 работни дни. </w:t>
      </w:r>
    </w:p>
    <w:p w14:paraId="400D5F19" w14:textId="77777777" w:rsidR="00142318" w:rsidRPr="001B0EA3" w:rsidRDefault="00142318" w:rsidP="00046D61">
      <w:pPr>
        <w:spacing w:before="120" w:after="120"/>
        <w:ind w:firstLine="709"/>
        <w:rPr>
          <w:color w:val="000000"/>
          <w:szCs w:val="24"/>
        </w:rPr>
      </w:pPr>
      <w:r w:rsidRPr="001B0EA3">
        <w:rPr>
          <w:color w:val="000000"/>
          <w:szCs w:val="24"/>
        </w:rPr>
        <w:t>При констатирано нарушение се прилагат процедурите съгласно Глава 6, т.26.3, б. „А“ от настоящия наръчник.</w:t>
      </w:r>
    </w:p>
    <w:p w14:paraId="5C062224" w14:textId="77777777" w:rsidR="00B73757" w:rsidRDefault="00B73757" w:rsidP="00046D61">
      <w:pPr>
        <w:spacing w:before="120" w:after="120"/>
        <w:ind w:firstLine="709"/>
        <w:rPr>
          <w:color w:val="000000"/>
          <w:szCs w:val="24"/>
        </w:rPr>
      </w:pPr>
      <w:r w:rsidRPr="001B0EA3">
        <w:rPr>
          <w:color w:val="000000"/>
          <w:szCs w:val="24"/>
        </w:rPr>
        <w:t>Ако в процеса на проверка се установят пропуски в представените документи, експерт от отдел „КОП“  изисква писмено от бенефициента (официално, по факс или по ел. поща) представянето на допълнителни документи, информация или разяснения. Срокът за изпращане на документите/допълнителната информация от бенефициента е до 2 работни дни от получаване на писмено запитване.</w:t>
      </w:r>
    </w:p>
    <w:p w14:paraId="725893AB" w14:textId="77777777" w:rsidR="00C67737" w:rsidRPr="006A6D08" w:rsidRDefault="00C67737" w:rsidP="00046D61">
      <w:pPr>
        <w:spacing w:before="120" w:after="120"/>
        <w:ind w:firstLine="709"/>
        <w:rPr>
          <w:b/>
          <w:color w:val="000000"/>
          <w:szCs w:val="24"/>
        </w:rPr>
      </w:pPr>
      <w:r w:rsidRPr="006A6D08">
        <w:rPr>
          <w:b/>
        </w:rPr>
        <w:t>Описаната в т.22.3. процедура и изисквания, касаещи избягване на конфликт на интереси в обществените поръчки, се прилага и в случаите, когато бенефициент по проектите е Управляващият орган.</w:t>
      </w:r>
    </w:p>
    <w:p w14:paraId="4B260A18" w14:textId="77777777" w:rsidR="00B8141F" w:rsidRPr="001B0EA3" w:rsidRDefault="00B8141F" w:rsidP="00046D61">
      <w:pPr>
        <w:ind w:firstLine="567"/>
        <w:rPr>
          <w:color w:val="000000"/>
          <w:szCs w:val="24"/>
        </w:rPr>
      </w:pPr>
    </w:p>
    <w:p w14:paraId="0D5E280B" w14:textId="77777777" w:rsidR="00D603F5" w:rsidRPr="00A110A4" w:rsidRDefault="00D603F5" w:rsidP="00F058E0">
      <w:pPr>
        <w:pStyle w:val="Style1"/>
      </w:pPr>
      <w:bookmarkStart w:id="1110" w:name="_Toc431992348"/>
      <w:bookmarkStart w:id="1111" w:name="_Toc431992349"/>
      <w:bookmarkStart w:id="1112" w:name="_Toc431992351"/>
      <w:bookmarkEnd w:id="1110"/>
      <w:bookmarkEnd w:id="1111"/>
      <w:bookmarkEnd w:id="1112"/>
      <w:r w:rsidRPr="00A110A4">
        <w:t xml:space="preserve"> </w:t>
      </w:r>
      <w:bookmarkStart w:id="1113" w:name="_Toc479775691"/>
      <w:bookmarkStart w:id="1114" w:name="_Toc140150245"/>
      <w:r w:rsidR="00B8141F" w:rsidRPr="00A110A4">
        <w:t xml:space="preserve">Резултати от </w:t>
      </w:r>
      <w:r w:rsidRPr="00A110A4">
        <w:t>контрол</w:t>
      </w:r>
      <w:r w:rsidR="004B6090" w:rsidRPr="00A110A4">
        <w:t>а</w:t>
      </w:r>
      <w:r w:rsidRPr="00A110A4">
        <w:t xml:space="preserve"> на обществените поръчки</w:t>
      </w:r>
      <w:bookmarkEnd w:id="1113"/>
      <w:bookmarkEnd w:id="1114"/>
    </w:p>
    <w:p w14:paraId="7032E1FE" w14:textId="77777777" w:rsidR="002F5EA8" w:rsidRPr="001B0EA3" w:rsidRDefault="002F5EA8" w:rsidP="002F5EA8">
      <w:pPr>
        <w:spacing w:before="60" w:after="60"/>
        <w:rPr>
          <w:color w:val="000000"/>
          <w:szCs w:val="24"/>
        </w:rPr>
      </w:pPr>
      <w:r w:rsidRPr="001B0EA3">
        <w:rPr>
          <w:color w:val="000000"/>
          <w:szCs w:val="24"/>
        </w:rPr>
        <w:t>Ако в резултат на извършения контрол от експерта от отдел „КОП“, се констатират нарушения, в контрол</w:t>
      </w:r>
      <w:r>
        <w:rPr>
          <w:color w:val="000000"/>
          <w:szCs w:val="24"/>
        </w:rPr>
        <w:t>ния</w:t>
      </w:r>
      <w:r w:rsidRPr="001B0EA3">
        <w:rPr>
          <w:color w:val="000000"/>
          <w:szCs w:val="24"/>
        </w:rPr>
        <w:t xml:space="preserve"> лист</w:t>
      </w:r>
      <w:r>
        <w:rPr>
          <w:color w:val="000000"/>
          <w:szCs w:val="24"/>
        </w:rPr>
        <w:t xml:space="preserve">в ИСУН 2020 и приложенията </w:t>
      </w:r>
      <w:r w:rsidRPr="001B0EA3">
        <w:rPr>
          <w:color w:val="000000"/>
          <w:szCs w:val="24"/>
        </w:rPr>
        <w:t>, се описват установените нарушения и се дава препоръчителен процентен показател на финансова корекция за съответния вид нарушение свързано с възлагането на обществената поръчка по „Насоките за определяне на финансовите корекции, които следва да бъдат направени спрямо разходите, съфинансирани от Структурните и Кохезионния фонд при неспазване на правилата за обществени поръчки“. В този случай се прилагат процедурите съгласно Глава 6, т.26.3, б. „А“ от настоящия наръчник.</w:t>
      </w:r>
    </w:p>
    <w:p w14:paraId="6B14CFB9" w14:textId="77777777" w:rsidR="001C2346" w:rsidRPr="001B0EA3" w:rsidRDefault="001C2346" w:rsidP="00660856">
      <w:pPr>
        <w:jc w:val="left"/>
        <w:rPr>
          <w:b/>
          <w:bCs/>
          <w:kern w:val="28"/>
          <w:szCs w:val="24"/>
          <w:lang w:eastAsia="bg-BG"/>
        </w:rPr>
      </w:pPr>
      <w:r w:rsidRPr="001B0EA3">
        <w:rPr>
          <w:szCs w:val="24"/>
          <w:lang w:eastAsia="bg-BG"/>
        </w:rPr>
        <w:br w:type="page"/>
      </w:r>
    </w:p>
    <w:p w14:paraId="1871CF31" w14:textId="77777777" w:rsidR="000444CE" w:rsidRPr="001B0EA3" w:rsidRDefault="000444CE" w:rsidP="00046D61">
      <w:pPr>
        <w:pStyle w:val="Title"/>
        <w:spacing w:after="240"/>
        <w:ind w:firstLine="0"/>
        <w:jc w:val="center"/>
        <w:rPr>
          <w:rFonts w:ascii="Times New Roman" w:hAnsi="Times New Roman"/>
          <w:sz w:val="24"/>
          <w:szCs w:val="24"/>
          <w:lang w:eastAsia="bg-BG"/>
        </w:rPr>
      </w:pPr>
      <w:bookmarkStart w:id="1115" w:name="_Toc479775692"/>
      <w:bookmarkStart w:id="1116" w:name="_Toc140150246"/>
      <w:r w:rsidRPr="001B0EA3">
        <w:rPr>
          <w:rFonts w:ascii="Times New Roman" w:hAnsi="Times New Roman"/>
          <w:sz w:val="24"/>
          <w:szCs w:val="24"/>
          <w:lang w:eastAsia="bg-BG"/>
        </w:rPr>
        <w:lastRenderedPageBreak/>
        <w:t>ГЛАВА 5</w:t>
      </w:r>
      <w:r w:rsidRPr="001B0EA3">
        <w:rPr>
          <w:rFonts w:ascii="Times New Roman" w:hAnsi="Times New Roman"/>
          <w:sz w:val="24"/>
          <w:szCs w:val="24"/>
          <w:lang w:eastAsia="bg-BG"/>
        </w:rPr>
        <w:br/>
        <w:t>ФИНАНСОВО УПРАВЛЕНИЕ</w:t>
      </w:r>
      <w:bookmarkEnd w:id="1115"/>
      <w:bookmarkEnd w:id="1116"/>
    </w:p>
    <w:p w14:paraId="61263C54" w14:textId="77777777" w:rsidR="000444CE" w:rsidRPr="001B0EA3" w:rsidRDefault="000444CE" w:rsidP="00046D61"/>
    <w:p w14:paraId="12E53ED5" w14:textId="77777777" w:rsidR="000444CE" w:rsidRPr="00A110A4" w:rsidRDefault="000444CE" w:rsidP="00F058E0">
      <w:pPr>
        <w:pStyle w:val="Style1"/>
      </w:pPr>
      <w:bookmarkStart w:id="1117" w:name="_Toc479775693"/>
      <w:bookmarkStart w:id="1118" w:name="_Toc140150247"/>
      <w:r w:rsidRPr="00A110A4">
        <w:t>ФИНАНСОВО УПРАВЛЕНИЕ</w:t>
      </w:r>
      <w:bookmarkEnd w:id="1117"/>
      <w:bookmarkEnd w:id="1118"/>
    </w:p>
    <w:p w14:paraId="7FA81C76" w14:textId="77777777" w:rsidR="000444CE" w:rsidRPr="001B0EA3" w:rsidRDefault="000444CE" w:rsidP="000444CE">
      <w:pPr>
        <w:tabs>
          <w:tab w:val="left" w:pos="2430"/>
          <w:tab w:val="center" w:pos="4890"/>
        </w:tabs>
        <w:spacing w:after="120"/>
        <w:rPr>
          <w:color w:val="000000"/>
          <w:szCs w:val="24"/>
        </w:rPr>
      </w:pPr>
      <w:r w:rsidRPr="001B0EA3">
        <w:rPr>
          <w:color w:val="000000"/>
          <w:szCs w:val="24"/>
        </w:rPr>
        <w:t>Правилата за финансово управление са предназначени да дадат насока на ръководителите и експертите, участващи в изпълнението и управлението на проекти, финансирани от ОПТТИ и съфинансирани от Кохезионния фонд и Европейски фонд за регионално развитие. Разделът планира да даде ясни и практически насоки за стабилен финансов мениджмънт на Управляващия орган по ОПТТИ, в съответствие с националното и европейското законодателство.</w:t>
      </w:r>
    </w:p>
    <w:p w14:paraId="6F58C5B6" w14:textId="77777777" w:rsidR="000444CE" w:rsidRPr="001B0EA3" w:rsidRDefault="000444CE" w:rsidP="000444CE">
      <w:pPr>
        <w:tabs>
          <w:tab w:val="left" w:pos="2430"/>
          <w:tab w:val="center" w:pos="4890"/>
        </w:tabs>
        <w:spacing w:after="120"/>
        <w:rPr>
          <w:color w:val="000000"/>
          <w:szCs w:val="24"/>
        </w:rPr>
      </w:pPr>
      <w:r w:rsidRPr="001B0EA3">
        <w:rPr>
          <w:color w:val="000000"/>
          <w:szCs w:val="24"/>
        </w:rPr>
        <w:t>Целта на разписаните процедури в тази част е да се даде необходимата увереност, че финансовите и контролни процедури на всички нива при управлението на средствата от ЕСИФ  функционират съобразно европейското и национално законодателство и да се представи описание на процедурите за:</w:t>
      </w:r>
    </w:p>
    <w:p w14:paraId="3BA5D838" w14:textId="77777777" w:rsidR="000444CE" w:rsidRPr="001B0EA3" w:rsidRDefault="000444CE" w:rsidP="000444CE">
      <w:pPr>
        <w:tabs>
          <w:tab w:val="left" w:pos="2430"/>
          <w:tab w:val="center" w:pos="4890"/>
        </w:tabs>
        <w:ind w:firstLine="708"/>
        <w:rPr>
          <w:color w:val="000000"/>
          <w:szCs w:val="24"/>
        </w:rPr>
      </w:pPr>
      <w:r w:rsidRPr="001B0EA3">
        <w:rPr>
          <w:color w:val="000000"/>
          <w:szCs w:val="24"/>
        </w:rPr>
        <w:t>-финансово управление и контрол;</w:t>
      </w:r>
    </w:p>
    <w:p w14:paraId="6464B4FB" w14:textId="77777777" w:rsidR="000444CE" w:rsidRPr="001B0EA3" w:rsidRDefault="000444CE" w:rsidP="000444CE">
      <w:pPr>
        <w:tabs>
          <w:tab w:val="left" w:pos="2430"/>
          <w:tab w:val="center" w:pos="4890"/>
        </w:tabs>
        <w:ind w:firstLine="708"/>
        <w:rPr>
          <w:color w:val="000000"/>
          <w:szCs w:val="24"/>
        </w:rPr>
      </w:pPr>
      <w:r w:rsidRPr="001B0EA3">
        <w:rPr>
          <w:color w:val="000000"/>
          <w:szCs w:val="24"/>
        </w:rPr>
        <w:t>-верификация/сертификация на разходи по ОПТТИ;</w:t>
      </w:r>
      <w:r w:rsidRPr="001B0EA3">
        <w:rPr>
          <w:color w:val="000000"/>
          <w:szCs w:val="24"/>
        </w:rPr>
        <w:tab/>
      </w:r>
    </w:p>
    <w:p w14:paraId="067FFCD2" w14:textId="77777777" w:rsidR="000444CE" w:rsidRPr="001B0EA3" w:rsidRDefault="000444CE" w:rsidP="000444CE">
      <w:pPr>
        <w:tabs>
          <w:tab w:val="left" w:pos="2430"/>
          <w:tab w:val="center" w:pos="4890"/>
        </w:tabs>
        <w:ind w:firstLine="708"/>
        <w:rPr>
          <w:color w:val="000000"/>
          <w:szCs w:val="24"/>
        </w:rPr>
      </w:pPr>
      <w:r w:rsidRPr="001B0EA3">
        <w:rPr>
          <w:color w:val="000000"/>
          <w:szCs w:val="24"/>
        </w:rPr>
        <w:t>-плащания;</w:t>
      </w:r>
    </w:p>
    <w:p w14:paraId="7712AC86" w14:textId="77777777" w:rsidR="000444CE" w:rsidRPr="001B0EA3" w:rsidRDefault="000444CE" w:rsidP="000444CE">
      <w:pPr>
        <w:tabs>
          <w:tab w:val="left" w:pos="2430"/>
          <w:tab w:val="center" w:pos="4890"/>
        </w:tabs>
        <w:ind w:firstLine="708"/>
        <w:rPr>
          <w:color w:val="000000"/>
          <w:szCs w:val="24"/>
        </w:rPr>
      </w:pPr>
      <w:r w:rsidRPr="001B0EA3">
        <w:rPr>
          <w:color w:val="000000"/>
          <w:szCs w:val="24"/>
        </w:rPr>
        <w:t>-известяване за нередности и финансови корекции;</w:t>
      </w:r>
    </w:p>
    <w:p w14:paraId="22717F47" w14:textId="77777777" w:rsidR="000444CE" w:rsidRPr="001B0EA3" w:rsidRDefault="000444CE" w:rsidP="000444CE">
      <w:pPr>
        <w:tabs>
          <w:tab w:val="left" w:pos="2430"/>
          <w:tab w:val="center" w:pos="4890"/>
        </w:tabs>
        <w:ind w:firstLine="708"/>
        <w:rPr>
          <w:color w:val="000000"/>
          <w:szCs w:val="24"/>
        </w:rPr>
      </w:pPr>
      <w:r w:rsidRPr="001B0EA3">
        <w:rPr>
          <w:color w:val="000000"/>
          <w:szCs w:val="24"/>
        </w:rPr>
        <w:t>-използване на информационната система за управление и наблюдение;</w:t>
      </w:r>
    </w:p>
    <w:p w14:paraId="772C7E29" w14:textId="77777777" w:rsidR="000444CE" w:rsidRPr="001B0EA3" w:rsidRDefault="000444CE" w:rsidP="000444CE">
      <w:pPr>
        <w:tabs>
          <w:tab w:val="left" w:pos="2430"/>
          <w:tab w:val="center" w:pos="4890"/>
        </w:tabs>
        <w:ind w:firstLine="708"/>
        <w:rPr>
          <w:color w:val="000000"/>
          <w:szCs w:val="24"/>
        </w:rPr>
      </w:pPr>
      <w:r w:rsidRPr="001B0EA3">
        <w:rPr>
          <w:color w:val="000000"/>
          <w:szCs w:val="24"/>
        </w:rPr>
        <w:t xml:space="preserve">-поддържане на </w:t>
      </w:r>
      <w:r w:rsidR="00613164" w:rsidRPr="001B0EA3">
        <w:rPr>
          <w:color w:val="000000"/>
          <w:szCs w:val="24"/>
        </w:rPr>
        <w:t>надеждна</w:t>
      </w:r>
      <w:r w:rsidRPr="001B0EA3">
        <w:rPr>
          <w:color w:val="000000"/>
          <w:szCs w:val="24"/>
        </w:rPr>
        <w:t xml:space="preserve"> одитна </w:t>
      </w:r>
      <w:r w:rsidR="00613164" w:rsidRPr="001B0EA3">
        <w:rPr>
          <w:color w:val="000000"/>
          <w:szCs w:val="24"/>
        </w:rPr>
        <w:t>пътека</w:t>
      </w:r>
      <w:r w:rsidRPr="001B0EA3">
        <w:rPr>
          <w:color w:val="000000"/>
          <w:szCs w:val="24"/>
        </w:rPr>
        <w:t>.</w:t>
      </w:r>
    </w:p>
    <w:p w14:paraId="00F0F404" w14:textId="77777777" w:rsidR="000444CE" w:rsidRPr="001B0EA3" w:rsidRDefault="000444CE" w:rsidP="000444CE">
      <w:pPr>
        <w:rPr>
          <w:b/>
          <w:color w:val="000000"/>
          <w:szCs w:val="24"/>
        </w:rPr>
      </w:pPr>
    </w:p>
    <w:p w14:paraId="36CE0084" w14:textId="77777777" w:rsidR="000444CE" w:rsidRPr="00842ECC" w:rsidRDefault="000444CE" w:rsidP="00B502C7">
      <w:pPr>
        <w:pStyle w:val="Style2"/>
        <w:rPr>
          <w:lang w:val="bg-BG" w:eastAsia="bg-BG"/>
        </w:rPr>
      </w:pPr>
      <w:bookmarkStart w:id="1119" w:name="_Toc479775694"/>
      <w:bookmarkStart w:id="1120" w:name="_Toc140150248"/>
      <w:r w:rsidRPr="00842ECC">
        <w:rPr>
          <w:lang w:val="bg-BG" w:eastAsia="bg-BG"/>
        </w:rPr>
        <w:t>Нива на отговорности в УО в процеса по верификация на разходите</w:t>
      </w:r>
      <w:bookmarkEnd w:id="1119"/>
      <w:bookmarkEnd w:id="1120"/>
      <w:r w:rsidRPr="00842ECC">
        <w:rPr>
          <w:lang w:val="bg-BG" w:eastAsia="bg-BG"/>
        </w:rPr>
        <w:t xml:space="preserve"> </w:t>
      </w:r>
    </w:p>
    <w:p w14:paraId="17F6913D" w14:textId="77777777" w:rsidR="000444CE" w:rsidRPr="001B0EA3" w:rsidRDefault="000444CE" w:rsidP="000444CE">
      <w:pPr>
        <w:spacing w:before="120"/>
        <w:rPr>
          <w:color w:val="000000"/>
          <w:szCs w:val="24"/>
        </w:rPr>
      </w:pPr>
      <w:r w:rsidRPr="001B0EA3">
        <w:rPr>
          <w:color w:val="000000"/>
          <w:szCs w:val="24"/>
        </w:rPr>
        <w:t>Организационната структура на УО определя следните нива на отговорности в процеса на верификация:</w:t>
      </w:r>
    </w:p>
    <w:p w14:paraId="692E8276" w14:textId="77777777" w:rsidR="000444CE" w:rsidRPr="001B0EA3" w:rsidRDefault="000444CE" w:rsidP="000444CE">
      <w:pPr>
        <w:rPr>
          <w:color w:val="000000"/>
          <w:szCs w:val="24"/>
        </w:rPr>
      </w:pPr>
      <w:r w:rsidRPr="001B0EA3">
        <w:rPr>
          <w:color w:val="000000"/>
          <w:szCs w:val="24"/>
        </w:rPr>
        <w:t>А) Експертно ниво – експерти по верификация</w:t>
      </w:r>
    </w:p>
    <w:p w14:paraId="384FD6A3" w14:textId="77777777" w:rsidR="000444CE" w:rsidRPr="001B0EA3" w:rsidRDefault="000444CE" w:rsidP="000444CE">
      <w:pPr>
        <w:rPr>
          <w:color w:val="000000"/>
          <w:szCs w:val="24"/>
        </w:rPr>
      </w:pPr>
      <w:r w:rsidRPr="001B0EA3">
        <w:rPr>
          <w:color w:val="000000"/>
          <w:szCs w:val="24"/>
        </w:rPr>
        <w:t>Б) Контролиращо ниво – началници на отдели</w:t>
      </w:r>
    </w:p>
    <w:p w14:paraId="69EA0906" w14:textId="77777777" w:rsidR="000444CE" w:rsidRPr="001B0EA3" w:rsidRDefault="000444CE" w:rsidP="000444CE">
      <w:pPr>
        <w:rPr>
          <w:color w:val="000000"/>
          <w:szCs w:val="24"/>
        </w:rPr>
      </w:pPr>
      <w:r w:rsidRPr="001B0EA3">
        <w:rPr>
          <w:color w:val="000000"/>
          <w:szCs w:val="24"/>
        </w:rPr>
        <w:t>В) Ръководно ниво – Ръководител/Зам. Ръководител на УО.</w:t>
      </w:r>
    </w:p>
    <w:p w14:paraId="526914E7" w14:textId="77777777" w:rsidR="000444CE" w:rsidRPr="001B0EA3" w:rsidRDefault="004D5002" w:rsidP="000444CE">
      <w:pPr>
        <w:spacing w:before="120"/>
        <w:rPr>
          <w:color w:val="000000"/>
          <w:szCs w:val="24"/>
        </w:rPr>
      </w:pPr>
      <w:r>
        <w:rPr>
          <w:color w:val="000000"/>
          <w:szCs w:val="24"/>
        </w:rPr>
        <w:t>УО</w:t>
      </w:r>
      <w:r w:rsidR="000444CE" w:rsidRPr="001B0EA3">
        <w:rPr>
          <w:color w:val="000000"/>
          <w:szCs w:val="24"/>
        </w:rPr>
        <w:t xml:space="preserve"> е отговорен за финансовото управление на ОПТТИ. В рамките на тези отговорности УО извършва следните основни процедури:</w:t>
      </w:r>
    </w:p>
    <w:p w14:paraId="2453C713" w14:textId="77777777" w:rsidR="000444CE" w:rsidRPr="001B0EA3" w:rsidRDefault="000444CE" w:rsidP="0054623A">
      <w:pPr>
        <w:numPr>
          <w:ilvl w:val="0"/>
          <w:numId w:val="125"/>
        </w:numPr>
        <w:tabs>
          <w:tab w:val="left" w:pos="993"/>
        </w:tabs>
        <w:ind w:left="0" w:firstLine="851"/>
        <w:contextualSpacing/>
        <w:rPr>
          <w:color w:val="000000"/>
          <w:szCs w:val="24"/>
        </w:rPr>
      </w:pPr>
      <w:r w:rsidRPr="001B0EA3">
        <w:rPr>
          <w:color w:val="000000"/>
          <w:szCs w:val="24"/>
        </w:rPr>
        <w:t>Управление и изпълнение на ОПТТИ, на база ефективно функциониращи системи за финансово управление и контрол, изградени в съответствие с приложимите национални и европейски актове;</w:t>
      </w:r>
    </w:p>
    <w:p w14:paraId="3D08DF9F" w14:textId="77777777" w:rsidR="000444CE" w:rsidRPr="001B0EA3" w:rsidRDefault="000444CE" w:rsidP="0054623A">
      <w:pPr>
        <w:numPr>
          <w:ilvl w:val="0"/>
          <w:numId w:val="125"/>
        </w:numPr>
        <w:tabs>
          <w:tab w:val="left" w:pos="993"/>
        </w:tabs>
        <w:ind w:left="0" w:firstLine="851"/>
        <w:contextualSpacing/>
        <w:rPr>
          <w:color w:val="000000"/>
          <w:szCs w:val="24"/>
        </w:rPr>
      </w:pPr>
      <w:r w:rsidRPr="001B0EA3">
        <w:rPr>
          <w:color w:val="000000"/>
          <w:szCs w:val="24"/>
        </w:rPr>
        <w:t>Проверка за съответствие на разходите по проектите с националните правила за допустимост, детайлните правила за допустимост и приложимите Регламенти на ЕС;</w:t>
      </w:r>
    </w:p>
    <w:p w14:paraId="1877A7B0" w14:textId="77777777" w:rsidR="000444CE" w:rsidRPr="001B0EA3" w:rsidRDefault="000444CE" w:rsidP="0054623A">
      <w:pPr>
        <w:numPr>
          <w:ilvl w:val="0"/>
          <w:numId w:val="125"/>
        </w:numPr>
        <w:tabs>
          <w:tab w:val="left" w:pos="993"/>
        </w:tabs>
        <w:ind w:left="0" w:firstLine="851"/>
        <w:contextualSpacing/>
        <w:rPr>
          <w:color w:val="000000"/>
          <w:szCs w:val="24"/>
        </w:rPr>
      </w:pPr>
      <w:r w:rsidRPr="001B0EA3">
        <w:rPr>
          <w:color w:val="000000"/>
          <w:szCs w:val="24"/>
        </w:rPr>
        <w:t>Разплащане към бенефициентите по проектите</w:t>
      </w:r>
    </w:p>
    <w:p w14:paraId="4168C502" w14:textId="77777777" w:rsidR="000444CE" w:rsidRPr="001B0EA3" w:rsidRDefault="000444CE" w:rsidP="0054623A">
      <w:pPr>
        <w:numPr>
          <w:ilvl w:val="0"/>
          <w:numId w:val="125"/>
        </w:numPr>
        <w:tabs>
          <w:tab w:val="left" w:pos="993"/>
        </w:tabs>
        <w:ind w:left="0" w:firstLine="851"/>
        <w:contextualSpacing/>
        <w:rPr>
          <w:color w:val="000000"/>
          <w:szCs w:val="24"/>
        </w:rPr>
      </w:pPr>
      <w:r w:rsidRPr="001B0EA3">
        <w:rPr>
          <w:color w:val="000000"/>
          <w:szCs w:val="24"/>
        </w:rPr>
        <w:t xml:space="preserve">Изготвяне на ДСДДР до СО, в изпълнение на изискванията, указани в Наредба </w:t>
      </w:r>
      <w:r w:rsidR="004D5002">
        <w:rPr>
          <w:color w:val="000000"/>
          <w:szCs w:val="24"/>
        </w:rPr>
        <w:t xml:space="preserve">№ </w:t>
      </w:r>
      <w:r w:rsidRPr="001B0EA3">
        <w:rPr>
          <w:color w:val="000000"/>
          <w:szCs w:val="24"/>
        </w:rPr>
        <w:t>Н-3/</w:t>
      </w:r>
      <w:r w:rsidR="004D5002">
        <w:rPr>
          <w:color w:val="000000"/>
          <w:szCs w:val="24"/>
        </w:rPr>
        <w:t>22</w:t>
      </w:r>
      <w:r w:rsidR="00150BAC">
        <w:rPr>
          <w:color w:val="000000"/>
          <w:szCs w:val="24"/>
        </w:rPr>
        <w:t>.05.2018</w:t>
      </w:r>
      <w:r w:rsidRPr="001B0EA3">
        <w:rPr>
          <w:color w:val="000000"/>
          <w:szCs w:val="24"/>
        </w:rPr>
        <w:t xml:space="preserve"> г.;</w:t>
      </w:r>
    </w:p>
    <w:p w14:paraId="6B5AAECC" w14:textId="77777777" w:rsidR="000444CE" w:rsidRPr="001B0EA3" w:rsidRDefault="000444CE" w:rsidP="0054623A">
      <w:pPr>
        <w:numPr>
          <w:ilvl w:val="0"/>
          <w:numId w:val="125"/>
        </w:numPr>
        <w:tabs>
          <w:tab w:val="num" w:pos="720"/>
          <w:tab w:val="left" w:pos="993"/>
        </w:tabs>
        <w:ind w:left="0" w:firstLine="851"/>
        <w:contextualSpacing/>
        <w:rPr>
          <w:color w:val="000000"/>
          <w:szCs w:val="24"/>
        </w:rPr>
      </w:pPr>
      <w:r w:rsidRPr="001B0EA3">
        <w:rPr>
          <w:color w:val="000000"/>
          <w:szCs w:val="24"/>
        </w:rPr>
        <w:t>Проверка на действащата система за счетоводна отчетност на бенефициентите;</w:t>
      </w:r>
    </w:p>
    <w:p w14:paraId="10F0B67B" w14:textId="77777777" w:rsidR="000444CE" w:rsidRPr="001B0EA3" w:rsidRDefault="000444CE" w:rsidP="0054623A">
      <w:pPr>
        <w:numPr>
          <w:ilvl w:val="0"/>
          <w:numId w:val="125"/>
        </w:numPr>
        <w:tabs>
          <w:tab w:val="left" w:pos="993"/>
        </w:tabs>
        <w:ind w:left="0" w:firstLine="851"/>
        <w:contextualSpacing/>
        <w:rPr>
          <w:color w:val="000000"/>
          <w:szCs w:val="24"/>
        </w:rPr>
      </w:pPr>
      <w:r w:rsidRPr="001B0EA3">
        <w:rPr>
          <w:color w:val="000000"/>
          <w:szCs w:val="24"/>
        </w:rPr>
        <w:t xml:space="preserve">Осигурява поддържането на одитна </w:t>
      </w:r>
      <w:r w:rsidR="00613164" w:rsidRPr="001B0EA3">
        <w:rPr>
          <w:color w:val="000000"/>
          <w:szCs w:val="24"/>
        </w:rPr>
        <w:t>пътека</w:t>
      </w:r>
      <w:r w:rsidRPr="001B0EA3">
        <w:rPr>
          <w:color w:val="000000"/>
          <w:szCs w:val="24"/>
        </w:rPr>
        <w:t xml:space="preserve"> в процеса на верификация. </w:t>
      </w:r>
    </w:p>
    <w:p w14:paraId="7D955596" w14:textId="77777777" w:rsidR="000444CE" w:rsidRPr="001B0EA3" w:rsidRDefault="000444CE" w:rsidP="000444CE">
      <w:pPr>
        <w:spacing w:before="120"/>
        <w:rPr>
          <w:color w:val="000000"/>
          <w:szCs w:val="24"/>
        </w:rPr>
      </w:pPr>
      <w:r w:rsidRPr="001B0EA3">
        <w:rPr>
          <w:color w:val="000000"/>
          <w:szCs w:val="24"/>
        </w:rPr>
        <w:t>УО отговаря за верифициране на разходите, извършени от бенефициентите по всеки проект. Процесът на верифициране на разходите се основава на получените от бенефициента документи, включително извършените управленски проверки в съответствие с чл. 125 от Регламент (ЕС) 1303/2013 и чл. 32 от Регламент (ЕС) 223/2014. Управленските проверки за верифициране на разходите от УО включват:</w:t>
      </w:r>
    </w:p>
    <w:p w14:paraId="65015194" w14:textId="77777777" w:rsidR="000444CE" w:rsidRPr="001B0EA3" w:rsidRDefault="000444CE" w:rsidP="0054623A">
      <w:pPr>
        <w:numPr>
          <w:ilvl w:val="0"/>
          <w:numId w:val="125"/>
        </w:numPr>
        <w:contextualSpacing/>
        <w:rPr>
          <w:color w:val="000000"/>
          <w:szCs w:val="24"/>
        </w:rPr>
      </w:pPr>
      <w:r w:rsidRPr="001B0EA3">
        <w:rPr>
          <w:color w:val="000000"/>
          <w:szCs w:val="24"/>
        </w:rPr>
        <w:t>Документална проверка на всяко искане за плащане, подадено от бенефициента, включително и на придружаващата го документация, и</w:t>
      </w:r>
    </w:p>
    <w:p w14:paraId="7EA37ECB" w14:textId="77777777" w:rsidR="000444CE" w:rsidRPr="001B0EA3" w:rsidRDefault="000444CE" w:rsidP="0054623A">
      <w:pPr>
        <w:numPr>
          <w:ilvl w:val="0"/>
          <w:numId w:val="125"/>
        </w:numPr>
        <w:contextualSpacing/>
        <w:rPr>
          <w:color w:val="000000"/>
          <w:szCs w:val="24"/>
        </w:rPr>
      </w:pPr>
      <w:r w:rsidRPr="001B0EA3">
        <w:rPr>
          <w:color w:val="000000"/>
          <w:szCs w:val="24"/>
        </w:rPr>
        <w:t>Проверки на място при бенефициентите и/или на мястото на проекта.</w:t>
      </w:r>
    </w:p>
    <w:p w14:paraId="61441E64" w14:textId="77777777" w:rsidR="000444CE" w:rsidRPr="001B0EA3" w:rsidRDefault="000444CE" w:rsidP="000444CE">
      <w:pPr>
        <w:rPr>
          <w:color w:val="000000"/>
          <w:szCs w:val="24"/>
        </w:rPr>
      </w:pPr>
    </w:p>
    <w:p w14:paraId="0D4ECADB" w14:textId="77777777" w:rsidR="000444CE" w:rsidRPr="00842ECC" w:rsidRDefault="000444CE" w:rsidP="00B502C7">
      <w:pPr>
        <w:pStyle w:val="Style2"/>
        <w:rPr>
          <w:lang w:val="bg-BG" w:eastAsia="bg-BG"/>
        </w:rPr>
      </w:pPr>
      <w:bookmarkStart w:id="1121" w:name="_Toc479775695"/>
      <w:bookmarkStart w:id="1122" w:name="_Toc140150249"/>
      <w:r w:rsidRPr="00842ECC">
        <w:rPr>
          <w:lang w:val="bg-BG" w:eastAsia="bg-BG"/>
        </w:rPr>
        <w:t>Разделение на отговорностите в процеса по верификация на разходите</w:t>
      </w:r>
      <w:bookmarkEnd w:id="1121"/>
      <w:bookmarkEnd w:id="1122"/>
    </w:p>
    <w:p w14:paraId="22C8F5F2" w14:textId="77777777" w:rsidR="000444CE" w:rsidRPr="00842ECC" w:rsidRDefault="000444CE" w:rsidP="00223233">
      <w:pPr>
        <w:pStyle w:val="Style3"/>
        <w:rPr>
          <w:lang w:val="bg-BG" w:eastAsia="bg-BG"/>
        </w:rPr>
      </w:pPr>
      <w:bookmarkStart w:id="1123" w:name="_Toc479775696"/>
      <w:r w:rsidRPr="00842ECC">
        <w:rPr>
          <w:lang w:val="bg-BG" w:eastAsia="bg-BG"/>
        </w:rPr>
        <w:t>Основни отговорности на експерт в отдел „Финансово управление”</w:t>
      </w:r>
      <w:bookmarkEnd w:id="1123"/>
    </w:p>
    <w:p w14:paraId="12901C35"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Проверява за допустимост разходите по проектите, докладвани от външни бенефициенти за съответствие с националните правила за допустимост, детайлните правила за допустимост и приложимите Регламенти на ЕС;</w:t>
      </w:r>
    </w:p>
    <w:p w14:paraId="3D96E82F"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 xml:space="preserve">Участва в процеса по верификация на разходите, докладвани в искания за </w:t>
      </w:r>
      <w:r w:rsidR="00613164" w:rsidRPr="001B0EA3">
        <w:rPr>
          <w:color w:val="000000"/>
          <w:szCs w:val="24"/>
        </w:rPr>
        <w:t>междинни</w:t>
      </w:r>
      <w:r w:rsidRPr="001B0EA3">
        <w:rPr>
          <w:color w:val="000000"/>
          <w:szCs w:val="24"/>
        </w:rPr>
        <w:t>/окончателни плащания, представени от външни бенефициенти;</w:t>
      </w:r>
    </w:p>
    <w:p w14:paraId="61561F20"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 xml:space="preserve">Участва в процеса на одобрение на БФП, докладвана от </w:t>
      </w:r>
      <w:r w:rsidR="00613164" w:rsidRPr="001B0EA3">
        <w:rPr>
          <w:color w:val="000000"/>
          <w:szCs w:val="24"/>
        </w:rPr>
        <w:t>външните</w:t>
      </w:r>
      <w:r w:rsidRPr="001B0EA3">
        <w:rPr>
          <w:color w:val="000000"/>
          <w:szCs w:val="24"/>
        </w:rPr>
        <w:t xml:space="preserve"> бенефициенти в исканията за плащане;</w:t>
      </w:r>
    </w:p>
    <w:p w14:paraId="3FF4F67A" w14:textId="77777777" w:rsidR="000444CE" w:rsidRPr="001B0EA3" w:rsidRDefault="00613164" w:rsidP="0054623A">
      <w:pPr>
        <w:numPr>
          <w:ilvl w:val="0"/>
          <w:numId w:val="124"/>
        </w:numPr>
        <w:tabs>
          <w:tab w:val="left" w:pos="1134"/>
          <w:tab w:val="num" w:pos="1560"/>
        </w:tabs>
        <w:ind w:left="0" w:firstLine="840"/>
        <w:rPr>
          <w:color w:val="000000"/>
          <w:szCs w:val="24"/>
        </w:rPr>
      </w:pPr>
      <w:r w:rsidRPr="001B0EA3">
        <w:rPr>
          <w:color w:val="000000"/>
          <w:szCs w:val="24"/>
        </w:rPr>
        <w:t>Извършва</w:t>
      </w:r>
      <w:r w:rsidR="000444CE" w:rsidRPr="001B0EA3">
        <w:rPr>
          <w:color w:val="000000"/>
          <w:szCs w:val="24"/>
        </w:rPr>
        <w:t xml:space="preserve"> проверки на искания за плащане, </w:t>
      </w:r>
      <w:r w:rsidR="00150BAC">
        <w:rPr>
          <w:color w:val="000000"/>
          <w:szCs w:val="24"/>
        </w:rPr>
        <w:t>ф</w:t>
      </w:r>
      <w:r w:rsidR="000444CE" w:rsidRPr="001B0EA3">
        <w:rPr>
          <w:color w:val="000000"/>
          <w:szCs w:val="24"/>
        </w:rPr>
        <w:t>инансови отчети на бенефициентите в ИСУН2020. Изготвя становище за потвърждаване допустимостта и достоверността на разходите, което се съгласува и потвърждава от началник на отдел „Финансово управление,”</w:t>
      </w:r>
    </w:p>
    <w:p w14:paraId="33A076B8"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Проверява плащанията към бенефициентите и директни плащания към изпълнители по проекти;</w:t>
      </w:r>
    </w:p>
    <w:p w14:paraId="2DF746DD"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Подготвя ДСДДР към СО и въвежда информацията в ИСУН 2020;</w:t>
      </w:r>
    </w:p>
    <w:p w14:paraId="026653D9"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Получава и анализира доклади от проверките на място, проведени от УО и СО;</w:t>
      </w:r>
    </w:p>
    <w:p w14:paraId="2AAB4ADB"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Получава и анализира одитните доклади, получени от одитни органи;</w:t>
      </w:r>
    </w:p>
    <w:p w14:paraId="08636EAF"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Изготвя предложения за промяна на правилата и процедурите на УО по отношение на процеса на финансово управление на ОПТТИ;</w:t>
      </w:r>
    </w:p>
    <w:p w14:paraId="6999DFC0"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Архивира пакети документи, свързани с финансовото управление на проектите</w:t>
      </w:r>
      <w:r w:rsidR="00613164" w:rsidRPr="001B0EA3">
        <w:rPr>
          <w:color w:val="000000"/>
          <w:szCs w:val="24"/>
        </w:rPr>
        <w:t xml:space="preserve"> </w:t>
      </w:r>
      <w:r w:rsidRPr="001B0EA3">
        <w:rPr>
          <w:color w:val="000000"/>
          <w:szCs w:val="24"/>
        </w:rPr>
        <w:t>по ОПТТИ;</w:t>
      </w:r>
    </w:p>
    <w:p w14:paraId="4F29C116"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Въвежда информация и отговаря за актуалността на информацията за наложени финансови корекции и възстановени суми по проекти по ОПТТИ в ИСУН 2020.</w:t>
      </w:r>
    </w:p>
    <w:p w14:paraId="0FE137E5" w14:textId="77777777" w:rsidR="000444CE" w:rsidRPr="001B0EA3" w:rsidRDefault="000444CE" w:rsidP="00F068A3">
      <w:pPr>
        <w:rPr>
          <w:color w:val="000000"/>
          <w:szCs w:val="24"/>
        </w:rPr>
      </w:pPr>
    </w:p>
    <w:p w14:paraId="4E2A09EF" w14:textId="77777777" w:rsidR="000444CE" w:rsidRPr="00842ECC" w:rsidRDefault="000444CE" w:rsidP="00223233">
      <w:pPr>
        <w:pStyle w:val="Style3"/>
        <w:rPr>
          <w:lang w:val="bg-BG" w:eastAsia="bg-BG"/>
        </w:rPr>
      </w:pPr>
      <w:bookmarkStart w:id="1124" w:name="_Toc479775697"/>
      <w:r w:rsidRPr="00842ECC">
        <w:rPr>
          <w:lang w:val="bg-BG" w:eastAsia="bg-BG"/>
        </w:rPr>
        <w:t>Основни отговорности на експерт (счетоводител) в отдел „Финансово управление”</w:t>
      </w:r>
      <w:bookmarkEnd w:id="1124"/>
    </w:p>
    <w:p w14:paraId="3DCBE313"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 xml:space="preserve">Поддържа двойно счетоводна и аналитична счетоводна система SAP, която включва всички договорни и други финансови операции, свързани със </w:t>
      </w:r>
      <w:r w:rsidR="00613164" w:rsidRPr="001B0EA3">
        <w:rPr>
          <w:color w:val="000000"/>
          <w:szCs w:val="24"/>
        </w:rPr>
        <w:t>средствата</w:t>
      </w:r>
      <w:r w:rsidRPr="001B0EA3">
        <w:rPr>
          <w:color w:val="000000"/>
          <w:szCs w:val="24"/>
        </w:rPr>
        <w:t xml:space="preserve"> от фондовете на ЕС и кореспондиращото национално съфинансиране по проекти/по ОПТТИ;</w:t>
      </w:r>
    </w:p>
    <w:p w14:paraId="51D33428"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Осъвременява на регулярна основа, отчетната система SAP по отношение на европейските фондове и кореспондиращото национално съфинансиране;</w:t>
      </w:r>
    </w:p>
    <w:p w14:paraId="2E84BDB8"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Подготвя и осигурява при поискване от другите отдели в УО доклади за движенията по десетразрядни кодове в СЕБРА (получени/разходвани суми);</w:t>
      </w:r>
    </w:p>
    <w:p w14:paraId="356F17DB" w14:textId="77777777" w:rsidR="000444CE" w:rsidRPr="001B0EA3" w:rsidRDefault="00613164" w:rsidP="0054623A">
      <w:pPr>
        <w:numPr>
          <w:ilvl w:val="0"/>
          <w:numId w:val="124"/>
        </w:numPr>
        <w:tabs>
          <w:tab w:val="left" w:pos="1134"/>
          <w:tab w:val="num" w:pos="1560"/>
        </w:tabs>
        <w:ind w:left="0" w:firstLine="840"/>
        <w:rPr>
          <w:color w:val="000000"/>
          <w:szCs w:val="24"/>
        </w:rPr>
      </w:pPr>
      <w:r w:rsidRPr="001B0EA3">
        <w:rPr>
          <w:color w:val="000000"/>
          <w:szCs w:val="24"/>
        </w:rPr>
        <w:t>Извършва</w:t>
      </w:r>
      <w:r w:rsidR="000444CE" w:rsidRPr="001B0EA3">
        <w:rPr>
          <w:color w:val="000000"/>
          <w:szCs w:val="24"/>
        </w:rPr>
        <w:t xml:space="preserve"> проверка на искания за междинни/окончателно плащане, подадени от външни бенефициенти;</w:t>
      </w:r>
    </w:p>
    <w:p w14:paraId="01F30880"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 xml:space="preserve">Осигурява съпътстваща документация и информация от счетоводната система при подготовка на Доклад по сертификация и Декларация за допустимите разходи; </w:t>
      </w:r>
    </w:p>
    <w:p w14:paraId="6399C51B" w14:textId="77777777" w:rsidR="000444CE" w:rsidRPr="001B0EA3" w:rsidRDefault="00613164" w:rsidP="0054623A">
      <w:pPr>
        <w:numPr>
          <w:ilvl w:val="0"/>
          <w:numId w:val="124"/>
        </w:numPr>
        <w:tabs>
          <w:tab w:val="left" w:pos="1134"/>
          <w:tab w:val="num" w:pos="1560"/>
        </w:tabs>
        <w:ind w:left="0" w:firstLine="840"/>
        <w:rPr>
          <w:color w:val="000000"/>
          <w:szCs w:val="24"/>
        </w:rPr>
      </w:pPr>
      <w:r w:rsidRPr="001B0EA3">
        <w:rPr>
          <w:color w:val="000000"/>
          <w:szCs w:val="24"/>
        </w:rPr>
        <w:t>Извършва</w:t>
      </w:r>
      <w:r w:rsidR="000444CE" w:rsidRPr="001B0EA3">
        <w:rPr>
          <w:color w:val="000000"/>
          <w:szCs w:val="24"/>
        </w:rPr>
        <w:t xml:space="preserve"> проверка на Доклад по сертификация и Декларация за допустимите разходи;</w:t>
      </w:r>
    </w:p>
    <w:p w14:paraId="1D2B75E7"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Изготвя отчетите за касово изпълнение по Единна бюджетна класификация по функции и дейности по ОПТТИ.</w:t>
      </w:r>
    </w:p>
    <w:p w14:paraId="2756E846"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Изготвя оборотни ведомости за ежемесечно равнение на обороти и салда по счетоводните сметки в счетоводната система SAP;</w:t>
      </w:r>
    </w:p>
    <w:p w14:paraId="4C19989A"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Извършва осчетоводяване на:</w:t>
      </w:r>
    </w:p>
    <w:p w14:paraId="0D001740" w14:textId="77777777" w:rsidR="000444CE" w:rsidRPr="001B0EA3" w:rsidRDefault="000444CE" w:rsidP="0054623A">
      <w:pPr>
        <w:numPr>
          <w:ilvl w:val="1"/>
          <w:numId w:val="212"/>
        </w:numPr>
        <w:rPr>
          <w:color w:val="000000"/>
          <w:szCs w:val="24"/>
          <w:lang w:eastAsia="bg-BG"/>
        </w:rPr>
      </w:pPr>
      <w:r w:rsidRPr="001B0EA3">
        <w:rPr>
          <w:color w:val="000000"/>
          <w:szCs w:val="24"/>
          <w:lang w:eastAsia="bg-BG"/>
        </w:rPr>
        <w:t>вземания и задължения от и към бенефициентите;</w:t>
      </w:r>
    </w:p>
    <w:p w14:paraId="5788BAC8" w14:textId="77777777" w:rsidR="000444CE" w:rsidRPr="001B0EA3" w:rsidRDefault="000444CE" w:rsidP="0054623A">
      <w:pPr>
        <w:numPr>
          <w:ilvl w:val="1"/>
          <w:numId w:val="212"/>
        </w:numPr>
        <w:rPr>
          <w:color w:val="000000"/>
          <w:szCs w:val="24"/>
          <w:lang w:eastAsia="bg-BG"/>
        </w:rPr>
      </w:pPr>
      <w:r w:rsidRPr="001B0EA3">
        <w:rPr>
          <w:color w:val="000000"/>
          <w:szCs w:val="24"/>
          <w:lang w:eastAsia="bg-BG"/>
        </w:rPr>
        <w:t>вземания за суми, подлежащи на възстановяване, възстановените и невъзстановимите суми;</w:t>
      </w:r>
    </w:p>
    <w:p w14:paraId="33725DE7" w14:textId="77777777" w:rsidR="000444CE" w:rsidRPr="001B0EA3" w:rsidRDefault="000444CE" w:rsidP="0054623A">
      <w:pPr>
        <w:numPr>
          <w:ilvl w:val="1"/>
          <w:numId w:val="212"/>
        </w:numPr>
        <w:rPr>
          <w:color w:val="000000"/>
          <w:szCs w:val="24"/>
          <w:lang w:eastAsia="bg-BG"/>
        </w:rPr>
      </w:pPr>
      <w:r w:rsidRPr="001B0EA3">
        <w:rPr>
          <w:color w:val="000000"/>
          <w:szCs w:val="24"/>
          <w:lang w:eastAsia="bg-BG"/>
        </w:rPr>
        <w:t xml:space="preserve">суми, оттеглени от ДСДДР; </w:t>
      </w:r>
    </w:p>
    <w:p w14:paraId="45893930" w14:textId="77777777" w:rsidR="000444CE" w:rsidRPr="001B0EA3" w:rsidRDefault="000444CE" w:rsidP="0054623A">
      <w:pPr>
        <w:numPr>
          <w:ilvl w:val="1"/>
          <w:numId w:val="212"/>
        </w:numPr>
        <w:rPr>
          <w:color w:val="000000"/>
          <w:szCs w:val="24"/>
          <w:lang w:eastAsia="bg-BG"/>
        </w:rPr>
      </w:pPr>
      <w:r w:rsidRPr="001B0EA3">
        <w:rPr>
          <w:color w:val="000000"/>
          <w:szCs w:val="24"/>
          <w:lang w:eastAsia="bg-BG"/>
        </w:rPr>
        <w:lastRenderedPageBreak/>
        <w:t>невъзстановими суми;</w:t>
      </w:r>
    </w:p>
    <w:p w14:paraId="3C63D136" w14:textId="77777777" w:rsidR="000444CE" w:rsidRPr="001B0EA3" w:rsidRDefault="000444CE" w:rsidP="0054623A">
      <w:pPr>
        <w:numPr>
          <w:ilvl w:val="1"/>
          <w:numId w:val="212"/>
        </w:numPr>
        <w:rPr>
          <w:color w:val="000000"/>
          <w:szCs w:val="24"/>
          <w:lang w:eastAsia="bg-BG"/>
        </w:rPr>
      </w:pPr>
      <w:r w:rsidRPr="001B0EA3">
        <w:rPr>
          <w:color w:val="000000"/>
          <w:szCs w:val="24"/>
          <w:lang w:eastAsia="bg-BG"/>
        </w:rPr>
        <w:t>вземания от лихви за просрочие от бенефициентите, лихви, генерирани по открити банкови сметки на бенефициентите за целите на изпълняваните от тях проекти, генерирани приходи по проектите;</w:t>
      </w:r>
    </w:p>
    <w:p w14:paraId="5C5DD83C" w14:textId="77777777" w:rsidR="000444CE" w:rsidRPr="001B0EA3" w:rsidRDefault="000444CE" w:rsidP="0054623A">
      <w:pPr>
        <w:numPr>
          <w:ilvl w:val="1"/>
          <w:numId w:val="212"/>
        </w:numPr>
        <w:rPr>
          <w:color w:val="000000"/>
          <w:szCs w:val="24"/>
          <w:lang w:eastAsia="bg-BG"/>
        </w:rPr>
      </w:pPr>
      <w:r w:rsidRPr="001B0EA3">
        <w:rPr>
          <w:color w:val="000000"/>
          <w:szCs w:val="24"/>
          <w:lang w:eastAsia="bg-BG"/>
        </w:rPr>
        <w:t xml:space="preserve">верифицирани, сертифицирани и несертифицирани разходи; </w:t>
      </w:r>
    </w:p>
    <w:p w14:paraId="173D6AEA" w14:textId="77777777" w:rsidR="000444CE" w:rsidRPr="001B0EA3" w:rsidRDefault="000444CE" w:rsidP="0054623A">
      <w:pPr>
        <w:numPr>
          <w:ilvl w:val="1"/>
          <w:numId w:val="212"/>
        </w:numPr>
        <w:rPr>
          <w:color w:val="000000"/>
          <w:szCs w:val="24"/>
          <w:lang w:eastAsia="bg-BG"/>
        </w:rPr>
      </w:pPr>
      <w:r w:rsidRPr="001B0EA3">
        <w:rPr>
          <w:color w:val="000000"/>
          <w:szCs w:val="24"/>
          <w:lang w:eastAsia="bg-BG"/>
        </w:rPr>
        <w:t xml:space="preserve">одобрени лимити за плащане; </w:t>
      </w:r>
    </w:p>
    <w:p w14:paraId="2A3B42D0" w14:textId="77777777" w:rsidR="000444CE" w:rsidRPr="001B0EA3" w:rsidRDefault="000444CE" w:rsidP="0054623A">
      <w:pPr>
        <w:numPr>
          <w:ilvl w:val="1"/>
          <w:numId w:val="212"/>
        </w:numPr>
        <w:rPr>
          <w:color w:val="000000"/>
          <w:szCs w:val="24"/>
          <w:lang w:eastAsia="bg-BG"/>
        </w:rPr>
      </w:pPr>
      <w:r w:rsidRPr="001B0EA3">
        <w:rPr>
          <w:color w:val="000000"/>
          <w:szCs w:val="24"/>
          <w:lang w:eastAsia="bg-BG"/>
        </w:rPr>
        <w:t>плащания към бенефициентите</w:t>
      </w:r>
    </w:p>
    <w:p w14:paraId="3E7EFB0E"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Извършва счетоводно отразяване на случаите на нередности, които имат финансово изражение и подава информация към служителя по нередности за възстановените суми по случаите на нередности;</w:t>
      </w:r>
    </w:p>
    <w:p w14:paraId="28722B98"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Поддържа информация в Книги на длъжниците по ОПТТИ.</w:t>
      </w:r>
    </w:p>
    <w:p w14:paraId="3EFF2216" w14:textId="77777777" w:rsidR="000444CE" w:rsidRPr="001B0EA3" w:rsidRDefault="000444CE" w:rsidP="00F068A3">
      <w:pPr>
        <w:tabs>
          <w:tab w:val="left" w:pos="1134"/>
        </w:tabs>
        <w:ind w:left="840"/>
        <w:rPr>
          <w:color w:val="000000"/>
          <w:szCs w:val="24"/>
        </w:rPr>
      </w:pPr>
    </w:p>
    <w:p w14:paraId="5CCB84DA" w14:textId="77777777" w:rsidR="000444CE" w:rsidRPr="00842ECC" w:rsidRDefault="000444CE" w:rsidP="00223233">
      <w:pPr>
        <w:pStyle w:val="Style3"/>
        <w:rPr>
          <w:lang w:val="bg-BG" w:eastAsia="bg-BG"/>
        </w:rPr>
      </w:pPr>
      <w:bookmarkStart w:id="1125" w:name="_Toc479775698"/>
      <w:r w:rsidRPr="00842ECC">
        <w:rPr>
          <w:lang w:val="bg-BG" w:eastAsia="bg-BG"/>
        </w:rPr>
        <w:t>Основни отговорности на експерта (Главен счетоводител) в отдел „Финансово управление”</w:t>
      </w:r>
      <w:bookmarkEnd w:id="1125"/>
    </w:p>
    <w:p w14:paraId="06B47764"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Контролира поддържането на двойно счетоводна аналитична система SAP, която включва всички договорни и други финансови операции, свързани с помощта, получена от ЕС за България;</w:t>
      </w:r>
    </w:p>
    <w:p w14:paraId="5454E2C9"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Контролира осъвременяването на регулярна основа на отчетната система SAP по отношение на европейските фондове и кореспондиращото национално съфинансиране;</w:t>
      </w:r>
    </w:p>
    <w:p w14:paraId="578D2058"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Проверява  правилността на счетоводните операции преди тяхното изпълнение;</w:t>
      </w:r>
    </w:p>
    <w:p w14:paraId="5C1EBC50"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Проверява, одобрява и изпраща отчети по ЕБК, оборотни ведомости и други финансови отчети на ОПТТИ до дирекция „Национален фонд” на Министерство на финансите;</w:t>
      </w:r>
    </w:p>
    <w:p w14:paraId="222B3BEE"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Извършва проверка на искания за междинни/ окончателно плащане, подадени от външни бенефициенти;</w:t>
      </w:r>
    </w:p>
    <w:p w14:paraId="6FA6DE64"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 xml:space="preserve"> Контролира процеса на изготвяне на съпътстваща документация и информация от счетоводната система при подготовка на Доклад по сертификация и Декларация за допустимите разходи;</w:t>
      </w:r>
    </w:p>
    <w:p w14:paraId="6FAEA6B9"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Извършва проверка на ДСДДР;</w:t>
      </w:r>
    </w:p>
    <w:p w14:paraId="1A3F05EA"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Извършва проверка на информацията в Книги на длъжниците.</w:t>
      </w:r>
    </w:p>
    <w:p w14:paraId="7ED29B79" w14:textId="77777777" w:rsidR="000444CE" w:rsidRPr="001B0EA3" w:rsidRDefault="000444CE" w:rsidP="00CC313F">
      <w:pPr>
        <w:rPr>
          <w:color w:val="000000"/>
          <w:szCs w:val="24"/>
        </w:rPr>
      </w:pPr>
    </w:p>
    <w:p w14:paraId="70A37D5F" w14:textId="77777777" w:rsidR="000444CE" w:rsidRPr="00842ECC" w:rsidRDefault="000444CE" w:rsidP="00223233">
      <w:pPr>
        <w:pStyle w:val="Style3"/>
        <w:rPr>
          <w:lang w:val="bg-BG" w:eastAsia="bg-BG"/>
        </w:rPr>
      </w:pPr>
      <w:bookmarkStart w:id="1126" w:name="_Toc479775699"/>
      <w:r w:rsidRPr="00842ECC">
        <w:rPr>
          <w:lang w:val="bg-BG" w:eastAsia="bg-BG"/>
        </w:rPr>
        <w:t>Основни отговорности на началник отдел “Финансово управление”</w:t>
      </w:r>
      <w:bookmarkEnd w:id="1126"/>
    </w:p>
    <w:p w14:paraId="4B0D8EA3"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 xml:space="preserve">Проверява размера на верифицираните разходи в искания за междинни/окончателно плащане, което се потвърждава със съгласуване на становището, изготвено от финансовия експерт </w:t>
      </w:r>
    </w:p>
    <w:p w14:paraId="6225D70F"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Проверява размера на одобрената БФП по искания за плащане;</w:t>
      </w:r>
    </w:p>
    <w:p w14:paraId="60B83E1A"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Проверява Доклад по сертификация и Декларация за допустимите разходи;</w:t>
      </w:r>
    </w:p>
    <w:p w14:paraId="17335B9E"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Извършва проверки на искания за плащане и въвежда проверките в ИСУН 2020;</w:t>
      </w:r>
    </w:p>
    <w:p w14:paraId="284E6CA7"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Съгласува плащанията към бенефициентите и/или директни плащания към изпълнители по проекти;</w:t>
      </w:r>
    </w:p>
    <w:p w14:paraId="63AB1B9B"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Отговаря за актуалността на информацията за финансови корекции и възстановени суми в ИСУН 2020;</w:t>
      </w:r>
    </w:p>
    <w:p w14:paraId="364EFA74" w14:textId="77777777" w:rsidR="000444CE" w:rsidRPr="00842ECC" w:rsidRDefault="000444CE" w:rsidP="00223233">
      <w:pPr>
        <w:pStyle w:val="Style3"/>
        <w:rPr>
          <w:lang w:val="bg-BG" w:eastAsia="bg-BG"/>
        </w:rPr>
      </w:pPr>
      <w:bookmarkStart w:id="1127" w:name="_Toc479775700"/>
      <w:r w:rsidRPr="00842ECC">
        <w:rPr>
          <w:lang w:val="bg-BG" w:eastAsia="bg-BG"/>
        </w:rPr>
        <w:t>Основни отговорности на експерта в отдел  “Изпълнение и координация”</w:t>
      </w:r>
      <w:bookmarkEnd w:id="1127"/>
    </w:p>
    <w:p w14:paraId="0EEAF242"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Извършва проверки на искания за плащане на външните бенефициенти;</w:t>
      </w:r>
    </w:p>
    <w:p w14:paraId="665C97B4" w14:textId="77777777" w:rsidR="000444CE" w:rsidRPr="001B0EA3" w:rsidRDefault="000444CE" w:rsidP="00C3146A">
      <w:pPr>
        <w:numPr>
          <w:ilvl w:val="0"/>
          <w:numId w:val="124"/>
        </w:numPr>
        <w:tabs>
          <w:tab w:val="left" w:pos="1134"/>
          <w:tab w:val="num" w:pos="1560"/>
        </w:tabs>
        <w:ind w:left="0" w:firstLine="840"/>
        <w:rPr>
          <w:color w:val="000000"/>
          <w:szCs w:val="24"/>
        </w:rPr>
      </w:pPr>
      <w:r w:rsidRPr="001B0EA3">
        <w:rPr>
          <w:color w:val="000000"/>
          <w:szCs w:val="24"/>
        </w:rPr>
        <w:t xml:space="preserve">Проверява кореспонденцията между извършените разходи и физическия напредък по проекта въз основа на информация от </w:t>
      </w:r>
      <w:r w:rsidR="00C3146A" w:rsidRPr="00C3146A">
        <w:rPr>
          <w:color w:val="000000"/>
          <w:szCs w:val="24"/>
        </w:rPr>
        <w:t>техническия отчет</w:t>
      </w:r>
      <w:r w:rsidRPr="001B0EA3">
        <w:rPr>
          <w:color w:val="000000"/>
          <w:szCs w:val="24"/>
        </w:rPr>
        <w:t xml:space="preserve"> и   информация от проведени проверки на място;</w:t>
      </w:r>
    </w:p>
    <w:p w14:paraId="0934CA68" w14:textId="77777777" w:rsidR="000444CE" w:rsidRPr="001B0EA3" w:rsidRDefault="000444CE" w:rsidP="00C3146A">
      <w:pPr>
        <w:numPr>
          <w:ilvl w:val="0"/>
          <w:numId w:val="124"/>
        </w:numPr>
        <w:tabs>
          <w:tab w:val="left" w:pos="1134"/>
          <w:tab w:val="num" w:pos="1560"/>
        </w:tabs>
        <w:ind w:left="0" w:firstLine="840"/>
        <w:rPr>
          <w:color w:val="000000"/>
          <w:szCs w:val="24"/>
        </w:rPr>
      </w:pPr>
      <w:r w:rsidRPr="001B0EA3">
        <w:rPr>
          <w:color w:val="000000"/>
          <w:szCs w:val="24"/>
        </w:rPr>
        <w:lastRenderedPageBreak/>
        <w:t xml:space="preserve">Изготвя становище за </w:t>
      </w:r>
      <w:r w:rsidR="00C3146A" w:rsidRPr="00C3146A">
        <w:rPr>
          <w:color w:val="000000"/>
          <w:szCs w:val="24"/>
        </w:rPr>
        <w:t xml:space="preserve">достатъчността на информацията и за </w:t>
      </w:r>
      <w:r w:rsidRPr="001B0EA3">
        <w:rPr>
          <w:color w:val="000000"/>
          <w:szCs w:val="24"/>
        </w:rPr>
        <w:t>потвърждаване допустимостта и достоверността на разходите, което се съгласува и потвърждава от началник на отдел „Изпълнение и координация”.</w:t>
      </w:r>
    </w:p>
    <w:p w14:paraId="4945AE7B" w14:textId="77777777" w:rsidR="000444CE" w:rsidRPr="00842ECC" w:rsidRDefault="000444CE" w:rsidP="00223233">
      <w:pPr>
        <w:pStyle w:val="Style3"/>
        <w:rPr>
          <w:lang w:val="bg-BG" w:eastAsia="bg-BG"/>
        </w:rPr>
      </w:pPr>
      <w:bookmarkStart w:id="1128" w:name="_Toc479775701"/>
      <w:r w:rsidRPr="00842ECC">
        <w:rPr>
          <w:lang w:val="bg-BG" w:eastAsia="bg-BG"/>
        </w:rPr>
        <w:t>Основни отговорности на началник отдел “Изпълнение и координация”</w:t>
      </w:r>
      <w:bookmarkEnd w:id="1128"/>
    </w:p>
    <w:p w14:paraId="11436F17" w14:textId="77777777" w:rsidR="00C3146A" w:rsidRPr="00C3146A" w:rsidRDefault="00C3146A" w:rsidP="00C3146A">
      <w:pPr>
        <w:numPr>
          <w:ilvl w:val="0"/>
          <w:numId w:val="124"/>
        </w:numPr>
        <w:tabs>
          <w:tab w:val="left" w:pos="1134"/>
          <w:tab w:val="num" w:pos="1560"/>
        </w:tabs>
        <w:ind w:left="0" w:firstLine="840"/>
        <w:rPr>
          <w:color w:val="000000"/>
          <w:szCs w:val="24"/>
        </w:rPr>
      </w:pPr>
      <w:r w:rsidRPr="00C3146A">
        <w:rPr>
          <w:color w:val="000000"/>
          <w:szCs w:val="24"/>
        </w:rPr>
        <w:t xml:space="preserve">Извършва </w:t>
      </w:r>
      <w:r w:rsidR="00380E64">
        <w:rPr>
          <w:color w:val="000000"/>
          <w:szCs w:val="24"/>
        </w:rPr>
        <w:t xml:space="preserve">контролна </w:t>
      </w:r>
      <w:r w:rsidRPr="00C3146A">
        <w:rPr>
          <w:color w:val="000000"/>
          <w:szCs w:val="24"/>
        </w:rPr>
        <w:t>проверка на искания за междинни/окончателно плащане, подадени от външни бенефициенти</w:t>
      </w:r>
      <w:r w:rsidR="00380E64">
        <w:rPr>
          <w:color w:val="000000"/>
          <w:szCs w:val="24"/>
        </w:rPr>
        <w:t xml:space="preserve"> въз основа на становището на </w:t>
      </w:r>
      <w:r w:rsidR="00380E64" w:rsidRPr="00C3146A">
        <w:rPr>
          <w:color w:val="000000"/>
          <w:szCs w:val="24"/>
        </w:rPr>
        <w:t>експерта от отдел „Изпълнение и координация“</w:t>
      </w:r>
      <w:r w:rsidRPr="00C3146A">
        <w:rPr>
          <w:color w:val="000000"/>
          <w:szCs w:val="24"/>
        </w:rPr>
        <w:t>;</w:t>
      </w:r>
    </w:p>
    <w:p w14:paraId="630986FE" w14:textId="77777777" w:rsidR="00C3146A" w:rsidRPr="00C3146A" w:rsidRDefault="00C3146A" w:rsidP="00C3146A">
      <w:pPr>
        <w:numPr>
          <w:ilvl w:val="0"/>
          <w:numId w:val="124"/>
        </w:numPr>
        <w:tabs>
          <w:tab w:val="left" w:pos="1134"/>
          <w:tab w:val="num" w:pos="1560"/>
        </w:tabs>
        <w:ind w:left="0" w:firstLine="840"/>
        <w:rPr>
          <w:color w:val="000000"/>
          <w:szCs w:val="24"/>
        </w:rPr>
      </w:pPr>
      <w:r w:rsidRPr="00C3146A">
        <w:rPr>
          <w:color w:val="000000"/>
          <w:szCs w:val="24"/>
        </w:rPr>
        <w:t>Потвърждава кореспонденцията между извършените разходи и физическия напредък по проекта въз основа на информация от техническите отчети и   информация от проведени проверки на място;</w:t>
      </w:r>
    </w:p>
    <w:p w14:paraId="7F8C9C9B" w14:textId="77777777" w:rsidR="00C3146A" w:rsidRDefault="00C3146A" w:rsidP="00C3146A">
      <w:pPr>
        <w:numPr>
          <w:ilvl w:val="0"/>
          <w:numId w:val="124"/>
        </w:numPr>
        <w:tabs>
          <w:tab w:val="left" w:pos="1134"/>
          <w:tab w:val="num" w:pos="1560"/>
        </w:tabs>
        <w:ind w:left="0" w:firstLine="840"/>
        <w:rPr>
          <w:color w:val="000000"/>
          <w:szCs w:val="24"/>
        </w:rPr>
      </w:pPr>
      <w:r w:rsidRPr="00C3146A">
        <w:rPr>
          <w:color w:val="000000"/>
          <w:szCs w:val="24"/>
        </w:rPr>
        <w:t>Съгласува и потвържава становището на експерта от отдел „Изпълнение и координация“ по отношение на достатъчността на информацията, допустимостта и достоверността на разходите.</w:t>
      </w:r>
    </w:p>
    <w:p w14:paraId="5060DA72" w14:textId="77777777" w:rsidR="000444CE" w:rsidRPr="001B0EA3" w:rsidRDefault="000444CE" w:rsidP="00F068A3">
      <w:pPr>
        <w:rPr>
          <w:color w:val="000000"/>
          <w:szCs w:val="24"/>
        </w:rPr>
      </w:pPr>
    </w:p>
    <w:p w14:paraId="2EA9363C" w14:textId="77777777" w:rsidR="000444CE" w:rsidRPr="00842ECC" w:rsidRDefault="000444CE" w:rsidP="00223233">
      <w:pPr>
        <w:pStyle w:val="Style3"/>
        <w:rPr>
          <w:lang w:val="bg-BG" w:eastAsia="bg-BG"/>
        </w:rPr>
      </w:pPr>
      <w:bookmarkStart w:id="1129" w:name="_Toc479775702"/>
      <w:r w:rsidRPr="00842ECC">
        <w:rPr>
          <w:lang w:val="bg-BG" w:eastAsia="bg-BG"/>
        </w:rPr>
        <w:t>Основни отговорности на директора на дирекция „КПП”</w:t>
      </w:r>
      <w:bookmarkEnd w:id="1129"/>
    </w:p>
    <w:p w14:paraId="2C926813"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Съгласува размера на верифицираните разходи и БФП в искания за плащане;</w:t>
      </w:r>
    </w:p>
    <w:p w14:paraId="07AF774C"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Съгласува ДСДДР;</w:t>
      </w:r>
    </w:p>
    <w:p w14:paraId="718062A4"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 xml:space="preserve">Съгласува искания за </w:t>
      </w:r>
      <w:r w:rsidRPr="001B0EA3">
        <w:rPr>
          <w:color w:val="000000"/>
          <w:szCs w:val="24"/>
        </w:rPr>
        <w:tab/>
        <w:t>авансови, междинни и окончателни плащания към бенефициентите и одобрява директни плащания към изпълнители по проекти.</w:t>
      </w:r>
    </w:p>
    <w:p w14:paraId="65552B15" w14:textId="77777777" w:rsidR="000444CE" w:rsidRPr="001B0EA3" w:rsidRDefault="000444CE" w:rsidP="00F068A3">
      <w:pPr>
        <w:rPr>
          <w:color w:val="000000"/>
          <w:szCs w:val="24"/>
        </w:rPr>
      </w:pPr>
    </w:p>
    <w:p w14:paraId="0F62A810" w14:textId="77777777" w:rsidR="000444CE" w:rsidRPr="00842ECC" w:rsidRDefault="000444CE" w:rsidP="00223233">
      <w:pPr>
        <w:pStyle w:val="Style3"/>
        <w:rPr>
          <w:lang w:val="bg-BG"/>
        </w:rPr>
      </w:pPr>
      <w:bookmarkStart w:id="1130" w:name="_Toc479775703"/>
      <w:r w:rsidRPr="00842ECC">
        <w:rPr>
          <w:lang w:val="bg-BG"/>
        </w:rPr>
        <w:t>Основни отговорности на ръководителя на УО</w:t>
      </w:r>
      <w:bookmarkEnd w:id="1130"/>
    </w:p>
    <w:p w14:paraId="56D622B6"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Одобрява размера на верифицираните разходите в искания за междинни/окончателно плащане;</w:t>
      </w:r>
    </w:p>
    <w:p w14:paraId="6FFE8318"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Одобрява размера на БФП в искания за плащане;</w:t>
      </w:r>
    </w:p>
    <w:p w14:paraId="11F82DE7"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Одобрява Доклади по сертификация и Декларация за допустими разходи;</w:t>
      </w:r>
    </w:p>
    <w:p w14:paraId="7905A5E5" w14:textId="77777777"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Одобрява счетоводните отчети на УО.</w:t>
      </w:r>
    </w:p>
    <w:p w14:paraId="68BA3E1F" w14:textId="77777777" w:rsidR="000444CE" w:rsidRPr="001B0EA3" w:rsidRDefault="000444CE" w:rsidP="00F068A3">
      <w:pPr>
        <w:tabs>
          <w:tab w:val="left" w:pos="1134"/>
        </w:tabs>
        <w:ind w:left="840"/>
        <w:rPr>
          <w:color w:val="000000"/>
          <w:szCs w:val="24"/>
        </w:rPr>
      </w:pPr>
    </w:p>
    <w:p w14:paraId="4BEE15E2" w14:textId="77777777" w:rsidR="00982AE3" w:rsidRPr="001B0EA3" w:rsidRDefault="00982AE3" w:rsidP="00F068A3">
      <w:pPr>
        <w:tabs>
          <w:tab w:val="left" w:pos="1134"/>
        </w:tabs>
        <w:ind w:left="840"/>
        <w:rPr>
          <w:color w:val="000000"/>
          <w:szCs w:val="24"/>
        </w:rPr>
      </w:pPr>
    </w:p>
    <w:p w14:paraId="07CA6B27" w14:textId="77777777" w:rsidR="000444CE" w:rsidRPr="00842ECC" w:rsidRDefault="000444CE" w:rsidP="00B502C7">
      <w:pPr>
        <w:pStyle w:val="Style2"/>
        <w:rPr>
          <w:lang w:val="bg-BG" w:eastAsia="bg-BG"/>
        </w:rPr>
      </w:pPr>
      <w:bookmarkStart w:id="1131" w:name="_Toc479775704"/>
      <w:bookmarkStart w:id="1132" w:name="_Toc140150250"/>
      <w:r w:rsidRPr="00842ECC">
        <w:rPr>
          <w:lang w:val="bg-BG" w:eastAsia="bg-BG"/>
        </w:rPr>
        <w:t>Процес на верифициране/сертифициране на разходи по ОПТТИ</w:t>
      </w:r>
      <w:bookmarkEnd w:id="1131"/>
      <w:bookmarkEnd w:id="1132"/>
    </w:p>
    <w:p w14:paraId="7B7D67CB" w14:textId="77777777" w:rsidR="000444CE" w:rsidRPr="001B0EA3" w:rsidRDefault="000444CE" w:rsidP="00223233">
      <w:pPr>
        <w:pStyle w:val="Style3"/>
        <w:rPr>
          <w:lang w:eastAsia="bg-BG"/>
        </w:rPr>
      </w:pPr>
      <w:bookmarkStart w:id="1133" w:name="_Toc479775705"/>
      <w:r w:rsidRPr="001B0EA3">
        <w:rPr>
          <w:lang w:eastAsia="bg-BG"/>
        </w:rPr>
        <w:t>Общо описание</w:t>
      </w:r>
      <w:bookmarkEnd w:id="1133"/>
      <w:r w:rsidRPr="001B0EA3">
        <w:rPr>
          <w:lang w:eastAsia="bg-BG"/>
        </w:rPr>
        <w:t xml:space="preserve"> </w:t>
      </w:r>
    </w:p>
    <w:p w14:paraId="1503D288" w14:textId="77777777" w:rsidR="000444CE" w:rsidRPr="001B0EA3" w:rsidRDefault="000444CE" w:rsidP="000444CE">
      <w:pPr>
        <w:spacing w:after="120"/>
        <w:rPr>
          <w:color w:val="000000"/>
          <w:szCs w:val="24"/>
        </w:rPr>
      </w:pPr>
      <w:r w:rsidRPr="001B0EA3">
        <w:rPr>
          <w:color w:val="000000"/>
          <w:szCs w:val="24"/>
        </w:rPr>
        <w:t>Верифицирането на разходите е цялостен процес на наблюдение и контрол върху финансовия и физически напредък по проектите</w:t>
      </w:r>
      <w:r w:rsidR="00613164" w:rsidRPr="001B0EA3">
        <w:rPr>
          <w:color w:val="000000"/>
          <w:szCs w:val="24"/>
        </w:rPr>
        <w:t xml:space="preserve"> </w:t>
      </w:r>
      <w:r w:rsidRPr="001B0EA3">
        <w:rPr>
          <w:color w:val="000000"/>
          <w:szCs w:val="24"/>
        </w:rPr>
        <w:t>за потвърждение на допустимостта на разходите за изпълнение на одобрени проекти</w:t>
      </w:r>
      <w:r w:rsidR="00613164" w:rsidRPr="001B0EA3">
        <w:rPr>
          <w:color w:val="000000"/>
          <w:szCs w:val="24"/>
        </w:rPr>
        <w:t xml:space="preserve"> </w:t>
      </w:r>
      <w:r w:rsidRPr="001B0EA3">
        <w:rPr>
          <w:color w:val="000000"/>
          <w:szCs w:val="24"/>
        </w:rPr>
        <w:t>по ОПТТИ.</w:t>
      </w:r>
    </w:p>
    <w:p w14:paraId="4EB06194" w14:textId="77777777" w:rsidR="000444CE" w:rsidRPr="001B0EA3" w:rsidRDefault="000444CE" w:rsidP="000444CE">
      <w:pPr>
        <w:spacing w:after="120"/>
        <w:rPr>
          <w:color w:val="000000"/>
          <w:szCs w:val="24"/>
        </w:rPr>
      </w:pPr>
      <w:r w:rsidRPr="001B0EA3">
        <w:rPr>
          <w:color w:val="000000"/>
          <w:szCs w:val="24"/>
        </w:rPr>
        <w:t xml:space="preserve">Верифицирането на разходите потвърждава тяхното съответствие с националните правила за допустимост и приложимите Регламенти на ЕС, както и тяхното извършване при спазването на системите за управление и контрол на средствата от ЕСИФ </w:t>
      </w:r>
    </w:p>
    <w:p w14:paraId="5F9C511E" w14:textId="77777777" w:rsidR="000444CE" w:rsidRPr="001B0EA3" w:rsidRDefault="000444CE" w:rsidP="000444CE">
      <w:pPr>
        <w:spacing w:after="120"/>
        <w:rPr>
          <w:color w:val="000000"/>
          <w:szCs w:val="24"/>
        </w:rPr>
      </w:pPr>
      <w:r w:rsidRPr="001B0EA3">
        <w:rPr>
          <w:color w:val="000000"/>
          <w:szCs w:val="24"/>
        </w:rPr>
        <w:t xml:space="preserve">Верифицирането на разходите уверява, че направените разходи за определен период от време са в резултат от проекти/договори, избрани за финансиране в съответствие с критериите, приложими за ОПТТИ и приложимите за Общността и националните правила. </w:t>
      </w:r>
    </w:p>
    <w:p w14:paraId="0AE0CA63" w14:textId="77777777" w:rsidR="000444CE" w:rsidRPr="001B0EA3" w:rsidRDefault="000444CE" w:rsidP="000444CE">
      <w:pPr>
        <w:spacing w:after="120"/>
        <w:rPr>
          <w:color w:val="000000"/>
          <w:szCs w:val="24"/>
        </w:rPr>
      </w:pPr>
      <w:r w:rsidRPr="001B0EA3">
        <w:rPr>
          <w:color w:val="000000"/>
          <w:szCs w:val="24"/>
        </w:rPr>
        <w:t>Верифицирането на разходите е задължително условие за сертифициране на разходите от СО.</w:t>
      </w:r>
    </w:p>
    <w:p w14:paraId="6CC0ED50" w14:textId="77777777" w:rsidR="000444CE" w:rsidRPr="001B0EA3" w:rsidRDefault="000444CE" w:rsidP="000444CE">
      <w:pPr>
        <w:spacing w:after="120"/>
        <w:rPr>
          <w:color w:val="000000"/>
          <w:szCs w:val="24"/>
        </w:rPr>
      </w:pPr>
      <w:r w:rsidRPr="001B0EA3">
        <w:rPr>
          <w:color w:val="000000"/>
          <w:szCs w:val="24"/>
        </w:rPr>
        <w:t xml:space="preserve">Верифицирането на разходите се основава на получените от бенефициента документи, включително извършените управленски проверки в съответствие с чл. 125 от Регламент (ЕС) 1303/2013 и чл. 32 от Регламент (ЕС) 223/2014. </w:t>
      </w:r>
    </w:p>
    <w:p w14:paraId="405CFC7D" w14:textId="77777777" w:rsidR="000444CE" w:rsidRPr="001B0EA3" w:rsidRDefault="000444CE" w:rsidP="000444CE">
      <w:pPr>
        <w:rPr>
          <w:b/>
          <w:color w:val="000000"/>
          <w:szCs w:val="24"/>
        </w:rPr>
      </w:pPr>
    </w:p>
    <w:p w14:paraId="4A4F2CF0" w14:textId="77777777" w:rsidR="000444CE" w:rsidRPr="00842ECC" w:rsidRDefault="000444CE" w:rsidP="00223233">
      <w:pPr>
        <w:pStyle w:val="Style3"/>
        <w:rPr>
          <w:lang w:val="bg-BG" w:eastAsia="bg-BG"/>
        </w:rPr>
      </w:pPr>
      <w:bookmarkStart w:id="1134" w:name="_Toc479775706"/>
      <w:r w:rsidRPr="00842ECC">
        <w:rPr>
          <w:lang w:val="bg-BG" w:eastAsia="bg-BG"/>
        </w:rPr>
        <w:lastRenderedPageBreak/>
        <w:t>Участници в процеса на верификация/ сертификация</w:t>
      </w:r>
      <w:bookmarkEnd w:id="1134"/>
    </w:p>
    <w:p w14:paraId="5A7BD1BF" w14:textId="77777777" w:rsidR="000444CE" w:rsidRPr="001B0EA3" w:rsidRDefault="000444CE" w:rsidP="000444CE">
      <w:pPr>
        <w:rPr>
          <w:color w:val="000000"/>
          <w:szCs w:val="24"/>
        </w:rPr>
      </w:pPr>
      <w:r w:rsidRPr="001B0EA3">
        <w:rPr>
          <w:color w:val="000000"/>
          <w:szCs w:val="24"/>
        </w:rPr>
        <w:tab/>
        <w:t>Пряко включени в процеса на сертифициране/верифициране на разходи по ОПТТИ са:</w:t>
      </w:r>
    </w:p>
    <w:p w14:paraId="5B2A6F11" w14:textId="77777777" w:rsidR="000444CE" w:rsidRPr="001B0EA3" w:rsidRDefault="000444CE" w:rsidP="0054623A">
      <w:pPr>
        <w:numPr>
          <w:ilvl w:val="0"/>
          <w:numId w:val="128"/>
        </w:numPr>
        <w:rPr>
          <w:color w:val="000000"/>
          <w:szCs w:val="24"/>
        </w:rPr>
      </w:pPr>
      <w:r w:rsidRPr="001B0EA3">
        <w:rPr>
          <w:color w:val="000000"/>
          <w:szCs w:val="24"/>
        </w:rPr>
        <w:t>Бенефициент</w:t>
      </w:r>
    </w:p>
    <w:p w14:paraId="05F3C17C" w14:textId="77777777" w:rsidR="000444CE" w:rsidRPr="001B0EA3" w:rsidRDefault="000444CE" w:rsidP="0054623A">
      <w:pPr>
        <w:numPr>
          <w:ilvl w:val="0"/>
          <w:numId w:val="128"/>
        </w:numPr>
        <w:rPr>
          <w:color w:val="000000"/>
          <w:szCs w:val="24"/>
        </w:rPr>
      </w:pPr>
      <w:r w:rsidRPr="001B0EA3">
        <w:rPr>
          <w:color w:val="000000"/>
          <w:szCs w:val="24"/>
        </w:rPr>
        <w:t xml:space="preserve">Управляващ орган </w:t>
      </w:r>
    </w:p>
    <w:p w14:paraId="73527182" w14:textId="77777777" w:rsidR="000444CE" w:rsidRPr="001B0EA3" w:rsidRDefault="000444CE" w:rsidP="0054623A">
      <w:pPr>
        <w:numPr>
          <w:ilvl w:val="0"/>
          <w:numId w:val="128"/>
        </w:numPr>
        <w:rPr>
          <w:color w:val="000000"/>
          <w:szCs w:val="24"/>
        </w:rPr>
      </w:pPr>
      <w:r w:rsidRPr="001B0EA3">
        <w:rPr>
          <w:color w:val="000000"/>
          <w:szCs w:val="24"/>
        </w:rPr>
        <w:t xml:space="preserve">Сертифициращ орган </w:t>
      </w:r>
    </w:p>
    <w:p w14:paraId="3CD982A9" w14:textId="77777777" w:rsidR="00982AE3" w:rsidRPr="001B0EA3" w:rsidRDefault="00982AE3" w:rsidP="00982AE3">
      <w:pPr>
        <w:rPr>
          <w:color w:val="000000"/>
          <w:szCs w:val="24"/>
        </w:rPr>
      </w:pPr>
    </w:p>
    <w:p w14:paraId="7F765FBD" w14:textId="77777777" w:rsidR="000444CE" w:rsidRPr="001B0EA3" w:rsidRDefault="000444CE" w:rsidP="000444CE">
      <w:pPr>
        <w:rPr>
          <w:color w:val="000000"/>
          <w:szCs w:val="24"/>
        </w:rPr>
      </w:pPr>
      <w:r w:rsidRPr="001B0EA3">
        <w:rPr>
          <w:color w:val="000000"/>
          <w:szCs w:val="24"/>
        </w:rPr>
        <w:t>Крайната цел на всички органи, включени в процеса на верификация/сертификация е да се осигури точност и регулярност на разходите, декларирани към ЕК за плащания по ОПТТИ. Верифицирането/сертифицирането се извършва в съответствие с принципа за разделение на функциите и отговорностите между участниците в процеса и е разделен на вертикални нива (между оторизираните власти и упражняване на достатъчно контролни дейности) и хоризонтални нива (определят дейностите на УО по отношение на верифицирането на разходите).</w:t>
      </w:r>
    </w:p>
    <w:p w14:paraId="7B43C766" w14:textId="77777777" w:rsidR="00B22936" w:rsidRPr="001B0EA3" w:rsidRDefault="00937754" w:rsidP="00502BF0">
      <w:pPr>
        <w:rPr>
          <w:color w:val="000000"/>
          <w:szCs w:val="24"/>
        </w:rPr>
      </w:pPr>
      <w:r w:rsidRPr="001B0EA3">
        <w:rPr>
          <w:noProof/>
          <w:lang w:eastAsia="bg-BG"/>
        </w:rPr>
        <mc:AlternateContent>
          <mc:Choice Requires="wpg">
            <w:drawing>
              <wp:inline distT="0" distB="0" distL="0" distR="0" wp14:anchorId="445DB4C3" wp14:editId="59EC7B8C">
                <wp:extent cx="4960620" cy="3460750"/>
                <wp:effectExtent l="0" t="0" r="0" b="6350"/>
                <wp:docPr id="167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0620" cy="3460750"/>
                          <a:chOff x="0" y="0"/>
                          <a:chExt cx="4960620" cy="3460943"/>
                        </a:xfrm>
                      </wpg:grpSpPr>
                      <wps:wsp>
                        <wps:cNvPr id="1679" name="Line 89"/>
                        <wps:cNvCnPr>
                          <a:cxnSpLocks noChangeShapeType="1"/>
                        </wps:cNvCnPr>
                        <wps:spPr bwMode="auto">
                          <a:xfrm>
                            <a:off x="2472855" y="349857"/>
                            <a:ext cx="0" cy="227965"/>
                          </a:xfrm>
                          <a:prstGeom prst="line">
                            <a:avLst/>
                          </a:prstGeom>
                          <a:noFill/>
                          <a:ln w="127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680" name="AutoShape 79"/>
                        <wps:cNvSpPr>
                          <a:spLocks noChangeArrowheads="1"/>
                        </wps:cNvSpPr>
                        <wps:spPr bwMode="auto">
                          <a:xfrm>
                            <a:off x="3776869" y="230588"/>
                            <a:ext cx="1080000" cy="342265"/>
                          </a:xfrm>
                          <a:prstGeom prst="flowChartDocument">
                            <a:avLst/>
                          </a:prstGeom>
                          <a:solidFill>
                            <a:srgbClr val="FFFFFF"/>
                          </a:solidFill>
                          <a:ln w="9525">
                            <a:solidFill>
                              <a:srgbClr val="000000"/>
                            </a:solidFill>
                            <a:miter lim="800000"/>
                            <a:headEnd/>
                            <a:tailEnd/>
                          </a:ln>
                        </wps:spPr>
                        <wps:txbx>
                          <w:txbxContent>
                            <w:p w14:paraId="7C9AE501" w14:textId="77777777" w:rsidR="004E3164" w:rsidRPr="002E7370" w:rsidRDefault="004E3164" w:rsidP="002E7370">
                              <w:pPr>
                                <w:ind w:firstLine="0"/>
                                <w:jc w:val="center"/>
                                <w:rPr>
                                  <w:sz w:val="20"/>
                                </w:rPr>
                              </w:pPr>
                              <w:r w:rsidRPr="002E7370">
                                <w:rPr>
                                  <w:sz w:val="20"/>
                                </w:rPr>
                                <w:t>Сертификат</w:t>
                              </w:r>
                            </w:p>
                          </w:txbxContent>
                        </wps:txbx>
                        <wps:bodyPr rot="0" vert="horz" wrap="square" lIns="91440" tIns="45720" rIns="91440" bIns="45720" anchor="t" anchorCtr="0" upright="1">
                          <a:noAutofit/>
                        </wps:bodyPr>
                      </wps:wsp>
                      <wps:wsp>
                        <wps:cNvPr id="1681" name="AutoShape 80"/>
                        <wps:cNvSpPr>
                          <a:spLocks noChangeArrowheads="1"/>
                        </wps:cNvSpPr>
                        <wps:spPr bwMode="auto">
                          <a:xfrm>
                            <a:off x="3776869" y="715617"/>
                            <a:ext cx="1079500" cy="515620"/>
                          </a:xfrm>
                          <a:prstGeom prst="flowChartDocument">
                            <a:avLst/>
                          </a:prstGeom>
                          <a:solidFill>
                            <a:srgbClr val="FFFFFF"/>
                          </a:solidFill>
                          <a:ln w="9525">
                            <a:solidFill>
                              <a:srgbClr val="000000"/>
                            </a:solidFill>
                            <a:miter lim="800000"/>
                            <a:headEnd/>
                            <a:tailEnd/>
                          </a:ln>
                        </wps:spPr>
                        <wps:txbx>
                          <w:txbxContent>
                            <w:p w14:paraId="6AACF07E" w14:textId="77777777" w:rsidR="004E3164" w:rsidRPr="002E7370" w:rsidRDefault="004E3164" w:rsidP="002E7370">
                              <w:pPr>
                                <w:ind w:firstLine="0"/>
                                <w:jc w:val="center"/>
                                <w:rPr>
                                  <w:sz w:val="20"/>
                                </w:rPr>
                              </w:pPr>
                              <w:r w:rsidRPr="002E7370">
                                <w:rPr>
                                  <w:sz w:val="20"/>
                                </w:rPr>
                                <w:t>Искане за плащане</w:t>
                              </w:r>
                            </w:p>
                          </w:txbxContent>
                        </wps:txbx>
                        <wps:bodyPr rot="0" vert="horz" wrap="square" lIns="91440" tIns="45720" rIns="91440" bIns="45720" anchor="t" anchorCtr="0" upright="1">
                          <a:noAutofit/>
                        </wps:bodyPr>
                      </wps:wsp>
                      <wps:wsp>
                        <wps:cNvPr id="1682" name="AutoShape 81"/>
                        <wps:cNvSpPr>
                          <a:spLocks noChangeArrowheads="1"/>
                        </wps:cNvSpPr>
                        <wps:spPr bwMode="auto">
                          <a:xfrm>
                            <a:off x="3776869" y="1375576"/>
                            <a:ext cx="1079500" cy="524510"/>
                          </a:xfrm>
                          <a:prstGeom prst="flowChartDocument">
                            <a:avLst/>
                          </a:prstGeom>
                          <a:solidFill>
                            <a:srgbClr val="FFFFFF"/>
                          </a:solidFill>
                          <a:ln w="9525">
                            <a:solidFill>
                              <a:srgbClr val="000000"/>
                            </a:solidFill>
                            <a:miter lim="800000"/>
                            <a:headEnd/>
                            <a:tailEnd/>
                          </a:ln>
                        </wps:spPr>
                        <wps:txbx>
                          <w:txbxContent>
                            <w:p w14:paraId="2CB8BCF0" w14:textId="77777777" w:rsidR="004E3164" w:rsidRPr="002E7370" w:rsidRDefault="004E3164" w:rsidP="002E7370">
                              <w:pPr>
                                <w:ind w:firstLine="0"/>
                                <w:jc w:val="center"/>
                                <w:rPr>
                                  <w:sz w:val="20"/>
                                </w:rPr>
                              </w:pPr>
                              <w:r w:rsidRPr="002E7370">
                                <w:rPr>
                                  <w:sz w:val="20"/>
                                </w:rPr>
                                <w:t>Доклад по сертификация</w:t>
                              </w:r>
                            </w:p>
                          </w:txbxContent>
                        </wps:txbx>
                        <wps:bodyPr rot="0" vert="horz" wrap="square" lIns="91440" tIns="45720" rIns="91440" bIns="45720" anchor="t" anchorCtr="0" upright="1">
                          <a:noAutofit/>
                        </wps:bodyPr>
                      </wps:wsp>
                      <wps:wsp>
                        <wps:cNvPr id="1683" name="AutoShape 82"/>
                        <wps:cNvSpPr>
                          <a:spLocks noChangeArrowheads="1"/>
                        </wps:cNvSpPr>
                        <wps:spPr bwMode="auto">
                          <a:xfrm>
                            <a:off x="71562" y="230588"/>
                            <a:ext cx="1079500" cy="342265"/>
                          </a:xfrm>
                          <a:prstGeom prst="flowChartDocument">
                            <a:avLst/>
                          </a:prstGeom>
                          <a:solidFill>
                            <a:srgbClr val="FFFFFF"/>
                          </a:solidFill>
                          <a:ln w="9525">
                            <a:solidFill>
                              <a:srgbClr val="000000"/>
                            </a:solidFill>
                            <a:miter lim="800000"/>
                            <a:headEnd/>
                            <a:tailEnd/>
                          </a:ln>
                        </wps:spPr>
                        <wps:txbx>
                          <w:txbxContent>
                            <w:p w14:paraId="7D3A57A3" w14:textId="77777777" w:rsidR="004E3164" w:rsidRPr="002E7370" w:rsidRDefault="004E3164" w:rsidP="002E7370">
                              <w:pPr>
                                <w:ind w:firstLine="0"/>
                                <w:jc w:val="center"/>
                                <w:rPr>
                                  <w:sz w:val="20"/>
                                </w:rPr>
                              </w:pPr>
                              <w:r w:rsidRPr="002E7370">
                                <w:rPr>
                                  <w:sz w:val="20"/>
                                </w:rPr>
                                <w:t>Фактура</w:t>
                              </w:r>
                            </w:p>
                          </w:txbxContent>
                        </wps:txbx>
                        <wps:bodyPr rot="0" vert="horz" wrap="square" lIns="91440" tIns="45720" rIns="91440" bIns="45720" anchor="t" anchorCtr="0" upright="1">
                          <a:noAutofit/>
                        </wps:bodyPr>
                      </wps:wsp>
                      <wps:wsp>
                        <wps:cNvPr id="1684" name="AutoShape 83"/>
                        <wps:cNvSpPr>
                          <a:spLocks noChangeArrowheads="1"/>
                        </wps:cNvSpPr>
                        <wps:spPr bwMode="auto">
                          <a:xfrm>
                            <a:off x="71562" y="691763"/>
                            <a:ext cx="1057275" cy="571500"/>
                          </a:xfrm>
                          <a:prstGeom prst="flowChartDocument">
                            <a:avLst/>
                          </a:prstGeom>
                          <a:solidFill>
                            <a:srgbClr val="FFFFFF"/>
                          </a:solidFill>
                          <a:ln w="9525">
                            <a:solidFill>
                              <a:srgbClr val="000000"/>
                            </a:solidFill>
                            <a:miter lim="800000"/>
                            <a:headEnd/>
                            <a:tailEnd/>
                          </a:ln>
                        </wps:spPr>
                        <wps:txbx>
                          <w:txbxContent>
                            <w:p w14:paraId="51CD7B22" w14:textId="77777777" w:rsidR="004E3164" w:rsidRPr="002E7370" w:rsidRDefault="004E3164" w:rsidP="002E7370">
                              <w:pPr>
                                <w:ind w:firstLine="0"/>
                                <w:jc w:val="center"/>
                                <w:rPr>
                                  <w:sz w:val="20"/>
                                </w:rPr>
                              </w:pPr>
                              <w:r w:rsidRPr="002E7370">
                                <w:rPr>
                                  <w:sz w:val="20"/>
                                </w:rPr>
                                <w:t>Възстановяване на разходите</w:t>
                              </w:r>
                            </w:p>
                          </w:txbxContent>
                        </wps:txbx>
                        <wps:bodyPr rot="0" vert="horz" wrap="square" lIns="91440" tIns="45720" rIns="91440" bIns="45720" anchor="t" anchorCtr="0" upright="1">
                          <a:noAutofit/>
                        </wps:bodyPr>
                      </wps:wsp>
                      <wps:wsp>
                        <wps:cNvPr id="1685" name="AutoShape 84"/>
                        <wps:cNvSpPr>
                          <a:spLocks noChangeArrowheads="1"/>
                        </wps:cNvSpPr>
                        <wps:spPr bwMode="auto">
                          <a:xfrm>
                            <a:off x="71562" y="1391478"/>
                            <a:ext cx="1085729" cy="508635"/>
                          </a:xfrm>
                          <a:prstGeom prst="flowChartDocument">
                            <a:avLst/>
                          </a:prstGeom>
                          <a:solidFill>
                            <a:srgbClr val="FFFFFF"/>
                          </a:solidFill>
                          <a:ln w="9525">
                            <a:solidFill>
                              <a:srgbClr val="000000"/>
                            </a:solidFill>
                            <a:miter lim="800000"/>
                            <a:headEnd/>
                            <a:tailEnd/>
                          </a:ln>
                        </wps:spPr>
                        <wps:txbx>
                          <w:txbxContent>
                            <w:p w14:paraId="516C9B26" w14:textId="77777777" w:rsidR="004E3164" w:rsidRPr="002E7370" w:rsidRDefault="004E3164" w:rsidP="002E7370">
                              <w:pPr>
                                <w:ind w:firstLine="0"/>
                                <w:jc w:val="center"/>
                                <w:rPr>
                                  <w:sz w:val="20"/>
                                </w:rPr>
                              </w:pPr>
                              <w:r w:rsidRPr="002E7370">
                                <w:rPr>
                                  <w:sz w:val="20"/>
                                </w:rPr>
                                <w:t>Сертификат  за разходи</w:t>
                              </w:r>
                            </w:p>
                          </w:txbxContent>
                        </wps:txbx>
                        <wps:bodyPr rot="0" vert="horz" wrap="square" lIns="91440" tIns="45720" rIns="91440" bIns="45720" anchor="t" anchorCtr="0" upright="1">
                          <a:noAutofit/>
                        </wps:bodyPr>
                      </wps:wsp>
                      <wps:wsp>
                        <wps:cNvPr id="1686" name="Text Box 87"/>
                        <wps:cNvSpPr txBox="1">
                          <a:spLocks noChangeArrowheads="1"/>
                        </wps:cNvSpPr>
                        <wps:spPr bwMode="auto">
                          <a:xfrm>
                            <a:off x="1280160" y="2528515"/>
                            <a:ext cx="3359785" cy="2375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3B9D7B" w14:textId="77777777" w:rsidR="004E3164" w:rsidRPr="002E7370" w:rsidRDefault="004E3164" w:rsidP="002E7370">
                              <w:pPr>
                                <w:ind w:firstLine="0"/>
                                <w:jc w:val="left"/>
                                <w:rPr>
                                  <w:sz w:val="20"/>
                                </w:rPr>
                              </w:pPr>
                              <w:r w:rsidRPr="002E7370">
                                <w:rPr>
                                  <w:sz w:val="20"/>
                                </w:rPr>
                                <w:t>Процес на  верифициране/сертифициране на разходите</w:t>
                              </w:r>
                            </w:p>
                          </w:txbxContent>
                        </wps:txbx>
                        <wps:bodyPr rot="0" vert="horz" wrap="square" lIns="91440" tIns="45720" rIns="91440" bIns="45720" anchor="t" anchorCtr="0" upright="1">
                          <a:spAutoFit/>
                        </wps:bodyPr>
                      </wps:wsp>
                      <wps:wsp>
                        <wps:cNvPr id="1687" name="Text Box 88"/>
                        <wps:cNvSpPr txBox="1">
                          <a:spLocks noChangeArrowheads="1"/>
                        </wps:cNvSpPr>
                        <wps:spPr bwMode="auto">
                          <a:xfrm>
                            <a:off x="1280160" y="2727297"/>
                            <a:ext cx="3350895" cy="2375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5B92D" w14:textId="77777777" w:rsidR="004E3164" w:rsidRPr="002E7370" w:rsidRDefault="004E3164" w:rsidP="002E7370">
                              <w:pPr>
                                <w:ind w:firstLine="0"/>
                                <w:jc w:val="left"/>
                                <w:rPr>
                                  <w:sz w:val="20"/>
                                </w:rPr>
                              </w:pPr>
                              <w:r w:rsidRPr="002E7370">
                                <w:rPr>
                                  <w:sz w:val="20"/>
                                </w:rPr>
                                <w:t>Процес на възстановяване на разходите</w:t>
                              </w:r>
                            </w:p>
                          </w:txbxContent>
                        </wps:txbx>
                        <wps:bodyPr rot="0" vert="horz" wrap="square" lIns="91440" tIns="45720" rIns="91440" bIns="45720" anchor="t" anchorCtr="0" upright="1">
                          <a:spAutoFit/>
                        </wps:bodyPr>
                      </wps:wsp>
                      <wps:wsp>
                        <wps:cNvPr id="1688" name="AutoShape 71"/>
                        <wps:cNvSpPr>
                          <a:spLocks noChangeArrowheads="1"/>
                        </wps:cNvSpPr>
                        <wps:spPr bwMode="auto">
                          <a:xfrm>
                            <a:off x="1296062" y="572494"/>
                            <a:ext cx="2340000" cy="228600"/>
                          </a:xfrm>
                          <a:prstGeom prst="flowChartProcess">
                            <a:avLst/>
                          </a:prstGeom>
                          <a:solidFill>
                            <a:srgbClr val="FFFFFF"/>
                          </a:solidFill>
                          <a:ln w="9525">
                            <a:solidFill>
                              <a:srgbClr val="000000"/>
                            </a:solidFill>
                            <a:miter lim="800000"/>
                            <a:headEnd/>
                            <a:tailEnd/>
                          </a:ln>
                        </wps:spPr>
                        <wps:txbx>
                          <w:txbxContent>
                            <w:p w14:paraId="38B8A272" w14:textId="77777777" w:rsidR="004E3164" w:rsidRPr="002E7370" w:rsidRDefault="004E3164" w:rsidP="002E7370">
                              <w:pPr>
                                <w:ind w:firstLine="0"/>
                                <w:jc w:val="center"/>
                                <w:rPr>
                                  <w:sz w:val="20"/>
                                </w:rPr>
                              </w:pPr>
                              <w:r w:rsidRPr="002E7370">
                                <w:rPr>
                                  <w:sz w:val="20"/>
                                </w:rPr>
                                <w:t>Бенефициент</w:t>
                              </w:r>
                            </w:p>
                          </w:txbxContent>
                        </wps:txbx>
                        <wps:bodyPr rot="0" vert="horz" wrap="square" lIns="59436" tIns="29718" rIns="59436" bIns="29718" anchor="t" anchorCtr="0" upright="1">
                          <a:noAutofit/>
                        </wps:bodyPr>
                      </wps:wsp>
                      <wps:wsp>
                        <wps:cNvPr id="1689" name="AutoShape 73"/>
                        <wps:cNvSpPr>
                          <a:spLocks noChangeArrowheads="1"/>
                        </wps:cNvSpPr>
                        <wps:spPr bwMode="auto">
                          <a:xfrm>
                            <a:off x="1296062" y="0"/>
                            <a:ext cx="2340000" cy="342900"/>
                          </a:xfrm>
                          <a:prstGeom prst="flowChartProcess">
                            <a:avLst/>
                          </a:prstGeom>
                          <a:solidFill>
                            <a:srgbClr val="FFFFFF"/>
                          </a:solidFill>
                          <a:ln w="9525">
                            <a:solidFill>
                              <a:srgbClr val="000000"/>
                            </a:solidFill>
                            <a:miter lim="800000"/>
                            <a:headEnd/>
                            <a:tailEnd/>
                          </a:ln>
                        </wps:spPr>
                        <wps:txbx>
                          <w:txbxContent>
                            <w:p w14:paraId="1E77437A" w14:textId="77777777" w:rsidR="004E3164" w:rsidRPr="002E7370" w:rsidRDefault="004E3164" w:rsidP="002E7370">
                              <w:pPr>
                                <w:ind w:firstLine="0"/>
                                <w:jc w:val="center"/>
                                <w:rPr>
                                  <w:sz w:val="20"/>
                                </w:rPr>
                              </w:pPr>
                              <w:r w:rsidRPr="002E7370">
                                <w:rPr>
                                  <w:sz w:val="20"/>
                                </w:rPr>
                                <w:t>Изпълнител</w:t>
                              </w:r>
                            </w:p>
                          </w:txbxContent>
                        </wps:txbx>
                        <wps:bodyPr rot="0" vert="horz" wrap="square" lIns="59436" tIns="29718" rIns="59436" bIns="29718" anchor="t" anchorCtr="0" upright="1">
                          <a:noAutofit/>
                        </wps:bodyPr>
                      </wps:wsp>
                      <wps:wsp>
                        <wps:cNvPr id="1690" name="AutoShape 72"/>
                        <wps:cNvSpPr>
                          <a:spLocks noChangeArrowheads="1"/>
                        </wps:cNvSpPr>
                        <wps:spPr bwMode="auto">
                          <a:xfrm>
                            <a:off x="1296062" y="1041621"/>
                            <a:ext cx="2339975" cy="794385"/>
                          </a:xfrm>
                          <a:prstGeom prst="flowChartProcess">
                            <a:avLst/>
                          </a:prstGeom>
                          <a:solidFill>
                            <a:srgbClr val="FFFFFF"/>
                          </a:solidFill>
                          <a:ln w="9525">
                            <a:solidFill>
                              <a:srgbClr val="000000"/>
                            </a:solidFill>
                            <a:miter lim="800000"/>
                            <a:headEnd/>
                            <a:tailEnd/>
                          </a:ln>
                        </wps:spPr>
                        <wps:txbx>
                          <w:txbxContent>
                            <w:p w14:paraId="03EBAC3C" w14:textId="77777777" w:rsidR="004E3164" w:rsidRPr="002E7370" w:rsidRDefault="004E3164" w:rsidP="002E7370">
                              <w:pPr>
                                <w:autoSpaceDE w:val="0"/>
                                <w:autoSpaceDN w:val="0"/>
                                <w:adjustRightInd w:val="0"/>
                                <w:spacing w:before="120"/>
                                <w:ind w:firstLine="0"/>
                                <w:jc w:val="center"/>
                                <w:rPr>
                                  <w:sz w:val="20"/>
                                </w:rPr>
                              </w:pPr>
                              <w:r w:rsidRPr="002E7370">
                                <w:rPr>
                                  <w:sz w:val="20"/>
                                </w:rPr>
                                <w:t>Управляващ орган  (УО):</w:t>
                              </w:r>
                            </w:p>
                            <w:p w14:paraId="033B21BD" w14:textId="77777777" w:rsidR="004E3164" w:rsidRPr="002E7370" w:rsidRDefault="004E3164" w:rsidP="002E7370">
                              <w:pPr>
                                <w:autoSpaceDE w:val="0"/>
                                <w:autoSpaceDN w:val="0"/>
                                <w:adjustRightInd w:val="0"/>
                                <w:ind w:firstLine="0"/>
                                <w:jc w:val="center"/>
                                <w:rPr>
                                  <w:sz w:val="20"/>
                                </w:rPr>
                              </w:pPr>
                            </w:p>
                            <w:p w14:paraId="0E89FC05" w14:textId="77777777" w:rsidR="004E3164" w:rsidRPr="002E7370" w:rsidRDefault="004E3164" w:rsidP="002E7370">
                              <w:pPr>
                                <w:numPr>
                                  <w:ilvl w:val="0"/>
                                  <w:numId w:val="132"/>
                                </w:numPr>
                                <w:tabs>
                                  <w:tab w:val="clear" w:pos="720"/>
                                  <w:tab w:val="num" w:pos="426"/>
                                </w:tabs>
                                <w:autoSpaceDE w:val="0"/>
                                <w:autoSpaceDN w:val="0"/>
                                <w:adjustRightInd w:val="0"/>
                                <w:ind w:left="0" w:firstLine="0"/>
                                <w:jc w:val="left"/>
                                <w:rPr>
                                  <w:sz w:val="20"/>
                                  <w:lang w:val="pl-PL"/>
                                </w:rPr>
                              </w:pPr>
                              <w:r w:rsidRPr="002E7370">
                                <w:rPr>
                                  <w:sz w:val="20"/>
                                </w:rPr>
                                <w:t>отдел „Финансово управление”</w:t>
                              </w:r>
                            </w:p>
                            <w:p w14:paraId="5E9613AC" w14:textId="77777777" w:rsidR="004E3164" w:rsidRPr="002E7370" w:rsidRDefault="004E3164" w:rsidP="002E7370">
                              <w:pPr>
                                <w:numPr>
                                  <w:ilvl w:val="0"/>
                                  <w:numId w:val="132"/>
                                </w:numPr>
                                <w:tabs>
                                  <w:tab w:val="clear" w:pos="720"/>
                                  <w:tab w:val="num" w:pos="426"/>
                                </w:tabs>
                                <w:autoSpaceDE w:val="0"/>
                                <w:autoSpaceDN w:val="0"/>
                                <w:adjustRightInd w:val="0"/>
                                <w:ind w:left="0" w:firstLine="0"/>
                                <w:jc w:val="left"/>
                                <w:rPr>
                                  <w:sz w:val="20"/>
                                </w:rPr>
                              </w:pPr>
                              <w:r w:rsidRPr="002E7370">
                                <w:rPr>
                                  <w:sz w:val="20"/>
                                </w:rPr>
                                <w:t>отдел „Изпълнение и координация”</w:t>
                              </w:r>
                            </w:p>
                            <w:p w14:paraId="3E7DA5BF" w14:textId="77777777" w:rsidR="004E3164" w:rsidRPr="002E7370" w:rsidRDefault="004E3164" w:rsidP="002E7370">
                              <w:pPr>
                                <w:autoSpaceDE w:val="0"/>
                                <w:autoSpaceDN w:val="0"/>
                                <w:adjustRightInd w:val="0"/>
                                <w:ind w:firstLine="0"/>
                                <w:jc w:val="center"/>
                                <w:rPr>
                                  <w:sz w:val="20"/>
                                </w:rPr>
                              </w:pPr>
                            </w:p>
                            <w:p w14:paraId="754C5851" w14:textId="77777777" w:rsidR="004E3164" w:rsidRPr="002E7370" w:rsidRDefault="004E3164" w:rsidP="002E7370">
                              <w:pPr>
                                <w:autoSpaceDE w:val="0"/>
                                <w:autoSpaceDN w:val="0"/>
                                <w:adjustRightInd w:val="0"/>
                                <w:ind w:firstLine="0"/>
                                <w:jc w:val="center"/>
                                <w:rPr>
                                  <w:sz w:val="20"/>
                                </w:rPr>
                              </w:pPr>
                            </w:p>
                          </w:txbxContent>
                        </wps:txbx>
                        <wps:bodyPr rot="0" vert="horz" wrap="square" lIns="59436" tIns="29718" rIns="59436" bIns="29718" anchor="t" anchorCtr="0" upright="1">
                          <a:noAutofit/>
                        </wps:bodyPr>
                      </wps:wsp>
                      <wps:wsp>
                        <wps:cNvPr id="1691" name="AutoShape 76"/>
                        <wps:cNvSpPr>
                          <a:spLocks noChangeArrowheads="1"/>
                        </wps:cNvSpPr>
                        <wps:spPr bwMode="auto">
                          <a:xfrm>
                            <a:off x="1296062" y="2075290"/>
                            <a:ext cx="2339975" cy="227965"/>
                          </a:xfrm>
                          <a:prstGeom prst="flowChartProcess">
                            <a:avLst/>
                          </a:prstGeom>
                          <a:solidFill>
                            <a:srgbClr val="FFFFFF"/>
                          </a:solidFill>
                          <a:ln w="9525">
                            <a:solidFill>
                              <a:srgbClr val="000000"/>
                            </a:solidFill>
                            <a:miter lim="800000"/>
                            <a:headEnd/>
                            <a:tailEnd/>
                          </a:ln>
                        </wps:spPr>
                        <wps:txbx>
                          <w:txbxContent>
                            <w:p w14:paraId="48C9EA9E" w14:textId="77777777" w:rsidR="004E3164" w:rsidRPr="002E7370" w:rsidRDefault="004E3164" w:rsidP="002E7370">
                              <w:pPr>
                                <w:autoSpaceDE w:val="0"/>
                                <w:autoSpaceDN w:val="0"/>
                                <w:adjustRightInd w:val="0"/>
                                <w:ind w:firstLine="0"/>
                                <w:jc w:val="center"/>
                                <w:rPr>
                                  <w:sz w:val="20"/>
                                </w:rPr>
                              </w:pPr>
                              <w:r w:rsidRPr="002E7370">
                                <w:rPr>
                                  <w:sz w:val="20"/>
                                </w:rPr>
                                <w:t>Сертифициращ  орган  (СО)</w:t>
                              </w:r>
                            </w:p>
                          </w:txbxContent>
                        </wps:txbx>
                        <wps:bodyPr rot="0" vert="horz" wrap="square" lIns="59436" tIns="29718" rIns="59436" bIns="29718" anchor="t" anchorCtr="0" upright="1">
                          <a:noAutofit/>
                        </wps:bodyPr>
                      </wps:wsp>
                      <wps:wsp>
                        <wps:cNvPr id="1692" name="AutoShape 74"/>
                        <wps:cNvSpPr>
                          <a:spLocks noChangeArrowheads="1"/>
                        </wps:cNvSpPr>
                        <wps:spPr bwMode="auto">
                          <a:xfrm>
                            <a:off x="2949934" y="803082"/>
                            <a:ext cx="160020" cy="228600"/>
                          </a:xfrm>
                          <a:prstGeom prst="downArrow">
                            <a:avLst>
                              <a:gd name="adj1" fmla="val 50000"/>
                              <a:gd name="adj2" fmla="val 50132"/>
                            </a:avLst>
                          </a:prstGeom>
                          <a:solidFill>
                            <a:srgbClr val="333300"/>
                          </a:solidFill>
                          <a:ln w="9525">
                            <a:solidFill>
                              <a:srgbClr val="000000"/>
                            </a:solidFill>
                            <a:miter lim="800000"/>
                            <a:headEnd/>
                            <a:tailEnd/>
                          </a:ln>
                        </wps:spPr>
                        <wps:bodyPr rot="0" vert="horz" wrap="square" lIns="91440" tIns="45720" rIns="91440" bIns="45720" anchor="t" anchorCtr="0" upright="1">
                          <a:noAutofit/>
                        </wps:bodyPr>
                      </wps:wsp>
                      <wps:wsp>
                        <wps:cNvPr id="1693" name="AutoShape 78"/>
                        <wps:cNvSpPr>
                          <a:spLocks noChangeArrowheads="1"/>
                        </wps:cNvSpPr>
                        <wps:spPr bwMode="auto">
                          <a:xfrm>
                            <a:off x="1812897" y="803082"/>
                            <a:ext cx="160655" cy="228600"/>
                          </a:xfrm>
                          <a:prstGeom prst="upArrow">
                            <a:avLst>
                              <a:gd name="adj1" fmla="val 50000"/>
                              <a:gd name="adj2" fmla="val 499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94" name="Text Box 91"/>
                        <wps:cNvSpPr txBox="1">
                          <a:spLocks noChangeArrowheads="1"/>
                        </wps:cNvSpPr>
                        <wps:spPr bwMode="auto">
                          <a:xfrm>
                            <a:off x="1280160" y="2926080"/>
                            <a:ext cx="3286760" cy="2375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1B6C0" w14:textId="77777777" w:rsidR="004E3164" w:rsidRPr="002E7370" w:rsidRDefault="004E3164" w:rsidP="002E7370">
                              <w:pPr>
                                <w:ind w:firstLine="0"/>
                                <w:jc w:val="left"/>
                                <w:rPr>
                                  <w:sz w:val="20"/>
                                </w:rPr>
                              </w:pPr>
                              <w:r w:rsidRPr="002E7370">
                                <w:rPr>
                                  <w:sz w:val="20"/>
                                </w:rPr>
                                <w:t>Информация и документи за извършени разходи</w:t>
                              </w:r>
                            </w:p>
                          </w:txbxContent>
                        </wps:txbx>
                        <wps:bodyPr rot="0" vert="horz" wrap="square" lIns="91440" tIns="45720" rIns="91440" bIns="45720" anchor="t" anchorCtr="0" upright="1">
                          <a:spAutoFit/>
                        </wps:bodyPr>
                      </wps:wsp>
                      <wps:wsp>
                        <wps:cNvPr id="1695" name="AutoShape 92"/>
                        <wps:cNvSpPr>
                          <a:spLocks noChangeArrowheads="1"/>
                        </wps:cNvSpPr>
                        <wps:spPr bwMode="auto">
                          <a:xfrm>
                            <a:off x="0" y="3220278"/>
                            <a:ext cx="4960620" cy="24066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BFA5D" w14:textId="77777777" w:rsidR="004E3164" w:rsidRPr="002E7370" w:rsidRDefault="004E3164" w:rsidP="002E7370">
                              <w:pPr>
                                <w:autoSpaceDE w:val="0"/>
                                <w:autoSpaceDN w:val="0"/>
                                <w:adjustRightInd w:val="0"/>
                                <w:ind w:firstLine="0"/>
                                <w:jc w:val="center"/>
                                <w:rPr>
                                  <w:b/>
                                  <w:i/>
                                  <w:sz w:val="20"/>
                                </w:rPr>
                              </w:pPr>
                              <w:r w:rsidRPr="002E7370">
                                <w:rPr>
                                  <w:b/>
                                  <w:i/>
                                  <w:sz w:val="20"/>
                                </w:rPr>
                                <w:t>Обща схема на процеса на верифициране и възстановяване на разходите  по ОПТТИ</w:t>
                              </w:r>
                            </w:p>
                            <w:p w14:paraId="29C09C86" w14:textId="77777777" w:rsidR="004E3164" w:rsidRPr="002E7370" w:rsidRDefault="004E3164" w:rsidP="002E7370">
                              <w:pPr>
                                <w:autoSpaceDE w:val="0"/>
                                <w:autoSpaceDN w:val="0"/>
                                <w:adjustRightInd w:val="0"/>
                                <w:ind w:firstLine="0"/>
                                <w:jc w:val="center"/>
                                <w:rPr>
                                  <w:b/>
                                  <w:i/>
                                  <w:sz w:val="20"/>
                                </w:rPr>
                              </w:pPr>
                            </w:p>
                          </w:txbxContent>
                        </wps:txbx>
                        <wps:bodyPr rot="0" vert="horz" wrap="square" lIns="59436" tIns="29718" rIns="59436" bIns="29718" anchor="t" anchorCtr="0" upright="1">
                          <a:noAutofit/>
                        </wps:bodyPr>
                      </wps:wsp>
                      <wps:wsp>
                        <wps:cNvPr id="416" name="AutoShape 74"/>
                        <wps:cNvSpPr>
                          <a:spLocks noChangeArrowheads="1"/>
                        </wps:cNvSpPr>
                        <wps:spPr bwMode="auto">
                          <a:xfrm>
                            <a:off x="2949934" y="1836751"/>
                            <a:ext cx="160006" cy="228600"/>
                          </a:xfrm>
                          <a:prstGeom prst="downArrow">
                            <a:avLst>
                              <a:gd name="adj1" fmla="val 50000"/>
                              <a:gd name="adj2" fmla="val 50130"/>
                            </a:avLst>
                          </a:prstGeom>
                          <a:solidFill>
                            <a:srgbClr val="333300"/>
                          </a:solidFill>
                          <a:ln w="9525">
                            <a:solidFill>
                              <a:srgbClr val="000000"/>
                            </a:solidFill>
                            <a:miter lim="800000"/>
                            <a:headEnd/>
                            <a:tailEnd/>
                          </a:ln>
                        </wps:spPr>
                        <wps:bodyPr rot="0" vert="horz" wrap="square" lIns="91440" tIns="45720" rIns="91440" bIns="45720" anchor="t" anchorCtr="0" upright="1">
                          <a:noAutofit/>
                        </wps:bodyPr>
                      </wps:wsp>
                      <wps:wsp>
                        <wps:cNvPr id="417" name="AutoShape 78"/>
                        <wps:cNvSpPr>
                          <a:spLocks noChangeArrowheads="1"/>
                        </wps:cNvSpPr>
                        <wps:spPr bwMode="auto">
                          <a:xfrm>
                            <a:off x="1812897" y="1828800"/>
                            <a:ext cx="160641" cy="228600"/>
                          </a:xfrm>
                          <a:prstGeom prst="upArrow">
                            <a:avLst>
                              <a:gd name="adj1" fmla="val 50000"/>
                              <a:gd name="adj2" fmla="val 4991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8" name="AutoShape 74"/>
                        <wps:cNvSpPr>
                          <a:spLocks noChangeArrowheads="1"/>
                        </wps:cNvSpPr>
                        <wps:spPr bwMode="auto">
                          <a:xfrm rot="-5400000">
                            <a:off x="1037645" y="2508636"/>
                            <a:ext cx="159385" cy="228600"/>
                          </a:xfrm>
                          <a:prstGeom prst="downArrow">
                            <a:avLst>
                              <a:gd name="adj1" fmla="val 50000"/>
                              <a:gd name="adj2" fmla="val 50133"/>
                            </a:avLst>
                          </a:prstGeom>
                          <a:solidFill>
                            <a:srgbClr val="333300"/>
                          </a:solidFill>
                          <a:ln w="9525">
                            <a:solidFill>
                              <a:srgbClr val="000000"/>
                            </a:solidFill>
                            <a:miter lim="800000"/>
                            <a:headEnd/>
                            <a:tailEnd/>
                          </a:ln>
                        </wps:spPr>
                        <wps:bodyPr rot="0" vert="horz" wrap="square" lIns="91440" tIns="45720" rIns="91440" bIns="45720" anchor="t" anchorCtr="0" upright="1">
                          <a:noAutofit/>
                        </wps:bodyPr>
                      </wps:wsp>
                      <wps:wsp>
                        <wps:cNvPr id="419" name="AutoShape 78"/>
                        <wps:cNvSpPr>
                          <a:spLocks noChangeArrowheads="1"/>
                        </wps:cNvSpPr>
                        <wps:spPr bwMode="auto">
                          <a:xfrm rot="5400000">
                            <a:off x="1053548" y="2715370"/>
                            <a:ext cx="160020" cy="228600"/>
                          </a:xfrm>
                          <a:prstGeom prst="upArrow">
                            <a:avLst>
                              <a:gd name="adj1" fmla="val 50000"/>
                              <a:gd name="adj2" fmla="val 499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0" name="Line 89"/>
                        <wps:cNvCnPr>
                          <a:cxnSpLocks noChangeShapeType="1"/>
                        </wps:cNvCnPr>
                        <wps:spPr bwMode="auto">
                          <a:xfrm rot="-5400000">
                            <a:off x="1121133" y="2902226"/>
                            <a:ext cx="0" cy="227965"/>
                          </a:xfrm>
                          <a:prstGeom prst="line">
                            <a:avLst/>
                          </a:prstGeom>
                          <a:noFill/>
                          <a:ln w="127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45DB4C3" id="Group 248" o:spid="_x0000_s1635" style="width:390.6pt;height:272.5pt;mso-position-horizontal-relative:char;mso-position-vertical-relative:line" coordsize="49606,34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">
                <v:line id="Line 89" o:spid="_x0000_s1636" style="position:absolute;visibility:visible;mso-wrap-style:square" from="24728,3498" to="24728,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" strokeweight="1pt">
                  <v:stroke dashstyle="1 1" endarrow="block" endcap="round"/>
                </v:line>
                <v:shape id="AutoShape 79" o:spid="_x0000_s1637" type="#_x0000_t114" style="position:absolute;left:37768;top:2305;width:10800;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">
                  <v:textbox>
                    <w:txbxContent>
                      <w:p w14:paraId="7C9AE501" w14:textId="77777777" w:rsidR="004E3164" w:rsidRPr="002E7370" w:rsidRDefault="004E3164" w:rsidP="002E7370">
                        <w:pPr>
                          <w:ind w:firstLine="0"/>
                          <w:jc w:val="center"/>
                          <w:rPr>
                            <w:sz w:val="20"/>
                          </w:rPr>
                        </w:pPr>
                        <w:r w:rsidRPr="002E7370">
                          <w:rPr>
                            <w:sz w:val="20"/>
                          </w:rPr>
                          <w:t>Сертификат</w:t>
                        </w:r>
                      </w:p>
                    </w:txbxContent>
                  </v:textbox>
                </v:shape>
                <v:shape id="AutoShape 80" o:spid="_x0000_s1638" type="#_x0000_t114" style="position:absolute;left:37768;top:7156;width:10795;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">
                  <v:textbox>
                    <w:txbxContent>
                      <w:p w14:paraId="6AACF07E" w14:textId="77777777" w:rsidR="004E3164" w:rsidRPr="002E7370" w:rsidRDefault="004E3164" w:rsidP="002E7370">
                        <w:pPr>
                          <w:ind w:firstLine="0"/>
                          <w:jc w:val="center"/>
                          <w:rPr>
                            <w:sz w:val="20"/>
                          </w:rPr>
                        </w:pPr>
                        <w:r w:rsidRPr="002E7370">
                          <w:rPr>
                            <w:sz w:val="20"/>
                          </w:rPr>
                          <w:t>Искане за плащане</w:t>
                        </w:r>
                      </w:p>
                    </w:txbxContent>
                  </v:textbox>
                </v:shape>
                <v:shape id="AutoShape 81" o:spid="_x0000_s1639" type="#_x0000_t114" style="position:absolute;left:37768;top:13755;width:10795;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">
                  <v:textbox>
                    <w:txbxContent>
                      <w:p w14:paraId="2CB8BCF0" w14:textId="77777777" w:rsidR="004E3164" w:rsidRPr="002E7370" w:rsidRDefault="004E3164" w:rsidP="002E7370">
                        <w:pPr>
                          <w:ind w:firstLine="0"/>
                          <w:jc w:val="center"/>
                          <w:rPr>
                            <w:sz w:val="20"/>
                          </w:rPr>
                        </w:pPr>
                        <w:r w:rsidRPr="002E7370">
                          <w:rPr>
                            <w:sz w:val="20"/>
                          </w:rPr>
                          <w:t>Доклад по сертификация</w:t>
                        </w:r>
                      </w:p>
                    </w:txbxContent>
                  </v:textbox>
                </v:shape>
                <v:shape id="AutoShape 82" o:spid="_x0000_s1640" type="#_x0000_t114" style="position:absolute;left:715;top:2305;width:10795;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">
                  <v:textbox>
                    <w:txbxContent>
                      <w:p w14:paraId="7D3A57A3" w14:textId="77777777" w:rsidR="004E3164" w:rsidRPr="002E7370" w:rsidRDefault="004E3164" w:rsidP="002E7370">
                        <w:pPr>
                          <w:ind w:firstLine="0"/>
                          <w:jc w:val="center"/>
                          <w:rPr>
                            <w:sz w:val="20"/>
                          </w:rPr>
                        </w:pPr>
                        <w:r w:rsidRPr="002E7370">
                          <w:rPr>
                            <w:sz w:val="20"/>
                          </w:rPr>
                          <w:t>Фактура</w:t>
                        </w:r>
                      </w:p>
                    </w:txbxContent>
                  </v:textbox>
                </v:shape>
                <v:shape id="AutoShape 83" o:spid="_x0000_s1641" type="#_x0000_t114" style="position:absolute;left:715;top:6917;width:1057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">
                  <v:textbox>
                    <w:txbxContent>
                      <w:p w14:paraId="51CD7B22" w14:textId="77777777" w:rsidR="004E3164" w:rsidRPr="002E7370" w:rsidRDefault="004E3164" w:rsidP="002E7370">
                        <w:pPr>
                          <w:ind w:firstLine="0"/>
                          <w:jc w:val="center"/>
                          <w:rPr>
                            <w:sz w:val="20"/>
                          </w:rPr>
                        </w:pPr>
                        <w:r w:rsidRPr="002E7370">
                          <w:rPr>
                            <w:sz w:val="20"/>
                          </w:rPr>
                          <w:t>Възстановяване на разходите</w:t>
                        </w:r>
                      </w:p>
                    </w:txbxContent>
                  </v:textbox>
                </v:shape>
                <v:shape id="AutoShape 84" o:spid="_x0000_s1642" type="#_x0000_t114" style="position:absolute;left:715;top:13914;width:10857;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">
                  <v:textbox>
                    <w:txbxContent>
                      <w:p w14:paraId="516C9B26" w14:textId="77777777" w:rsidR="004E3164" w:rsidRPr="002E7370" w:rsidRDefault="004E3164" w:rsidP="002E7370">
                        <w:pPr>
                          <w:ind w:firstLine="0"/>
                          <w:jc w:val="center"/>
                          <w:rPr>
                            <w:sz w:val="20"/>
                          </w:rPr>
                        </w:pPr>
                        <w:r w:rsidRPr="002E7370">
                          <w:rPr>
                            <w:sz w:val="20"/>
                          </w:rPr>
                          <w:t>Сертификат  за разходи</w:t>
                        </w:r>
                      </w:p>
                    </w:txbxContent>
                  </v:textbox>
                </v:shape>
                <v:shape id="Text Box 87" o:spid="_x0000_s1643" type="#_x0000_t202" style="position:absolute;left:12801;top:25285;width:3359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" stroked="f">
                  <v:textbox style="mso-fit-shape-to-text:t">
                    <w:txbxContent>
                      <w:p w14:paraId="733B9D7B" w14:textId="77777777" w:rsidR="004E3164" w:rsidRPr="002E7370" w:rsidRDefault="004E3164" w:rsidP="002E7370">
                        <w:pPr>
                          <w:ind w:firstLine="0"/>
                          <w:jc w:val="left"/>
                          <w:rPr>
                            <w:sz w:val="20"/>
                          </w:rPr>
                        </w:pPr>
                        <w:r w:rsidRPr="002E7370">
                          <w:rPr>
                            <w:sz w:val="20"/>
                          </w:rPr>
                          <w:t>Процес на  верифициране/сертифициране на разходите</w:t>
                        </w:r>
                      </w:p>
                    </w:txbxContent>
                  </v:textbox>
                </v:shape>
                <v:shape id="Text Box 88" o:spid="_x0000_s1644" type="#_x0000_t202" style="position:absolute;left:12801;top:27272;width:33509;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" stroked="f">
                  <v:textbox style="mso-fit-shape-to-text:t">
                    <w:txbxContent>
                      <w:p w14:paraId="3EF5B92D" w14:textId="77777777" w:rsidR="004E3164" w:rsidRPr="002E7370" w:rsidRDefault="004E3164" w:rsidP="002E7370">
                        <w:pPr>
                          <w:ind w:firstLine="0"/>
                          <w:jc w:val="left"/>
                          <w:rPr>
                            <w:sz w:val="20"/>
                          </w:rPr>
                        </w:pPr>
                        <w:r w:rsidRPr="002E7370">
                          <w:rPr>
                            <w:sz w:val="20"/>
                          </w:rPr>
                          <w:t>Процес на възстановяване на разходите</w:t>
                        </w:r>
                      </w:p>
                    </w:txbxContent>
                  </v:textbox>
                </v:shape>
                <v:shape id="AutoShape 71" o:spid="_x0000_s1645" type="#_x0000_t109" style="position:absolute;left:12960;top:5724;width:2340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">
                  <v:textbox inset="4.68pt,2.34pt,4.68pt,2.34pt">
                    <w:txbxContent>
                      <w:p w14:paraId="38B8A272" w14:textId="77777777" w:rsidR="004E3164" w:rsidRPr="002E7370" w:rsidRDefault="004E3164" w:rsidP="002E7370">
                        <w:pPr>
                          <w:ind w:firstLine="0"/>
                          <w:jc w:val="center"/>
                          <w:rPr>
                            <w:sz w:val="20"/>
                          </w:rPr>
                        </w:pPr>
                        <w:r w:rsidRPr="002E7370">
                          <w:rPr>
                            <w:sz w:val="20"/>
                          </w:rPr>
                          <w:t>Бенефициент</w:t>
                        </w:r>
                      </w:p>
                    </w:txbxContent>
                  </v:textbox>
                </v:shape>
                <v:shape id="AutoShape 73" o:spid="_x0000_s1646" type="#_x0000_t109" style="position:absolute;left:12960;width:2340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">
                  <v:textbox inset="4.68pt,2.34pt,4.68pt,2.34pt">
                    <w:txbxContent>
                      <w:p w14:paraId="1E77437A" w14:textId="77777777" w:rsidR="004E3164" w:rsidRPr="002E7370" w:rsidRDefault="004E3164" w:rsidP="002E7370">
                        <w:pPr>
                          <w:ind w:firstLine="0"/>
                          <w:jc w:val="center"/>
                          <w:rPr>
                            <w:sz w:val="20"/>
                          </w:rPr>
                        </w:pPr>
                        <w:r w:rsidRPr="002E7370">
                          <w:rPr>
                            <w:sz w:val="20"/>
                          </w:rPr>
                          <w:t>Изпълнител</w:t>
                        </w:r>
                      </w:p>
                    </w:txbxContent>
                  </v:textbox>
                </v:shape>
                <v:shape id="AutoShape 72" o:spid="_x0000_s1647" type="#_x0000_t109" style="position:absolute;left:12960;top:10416;width:23400;height:7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">
                  <v:textbox inset="4.68pt,2.34pt,4.68pt,2.34pt">
                    <w:txbxContent>
                      <w:p w14:paraId="03EBAC3C" w14:textId="77777777" w:rsidR="004E3164" w:rsidRPr="002E7370" w:rsidRDefault="004E3164" w:rsidP="002E7370">
                        <w:pPr>
                          <w:autoSpaceDE w:val="0"/>
                          <w:autoSpaceDN w:val="0"/>
                          <w:adjustRightInd w:val="0"/>
                          <w:spacing w:before="120"/>
                          <w:ind w:firstLine="0"/>
                          <w:jc w:val="center"/>
                          <w:rPr>
                            <w:sz w:val="20"/>
                          </w:rPr>
                        </w:pPr>
                        <w:r w:rsidRPr="002E7370">
                          <w:rPr>
                            <w:sz w:val="20"/>
                          </w:rPr>
                          <w:t>Управляващ орган  (УО):</w:t>
                        </w:r>
                      </w:p>
                      <w:p w14:paraId="033B21BD" w14:textId="77777777" w:rsidR="004E3164" w:rsidRPr="002E7370" w:rsidRDefault="004E3164" w:rsidP="002E7370">
                        <w:pPr>
                          <w:autoSpaceDE w:val="0"/>
                          <w:autoSpaceDN w:val="0"/>
                          <w:adjustRightInd w:val="0"/>
                          <w:ind w:firstLine="0"/>
                          <w:jc w:val="center"/>
                          <w:rPr>
                            <w:sz w:val="20"/>
                          </w:rPr>
                        </w:pPr>
                      </w:p>
                      <w:p w14:paraId="0E89FC05" w14:textId="77777777" w:rsidR="004E3164" w:rsidRPr="002E7370" w:rsidRDefault="004E3164" w:rsidP="002E7370">
                        <w:pPr>
                          <w:numPr>
                            <w:ilvl w:val="0"/>
                            <w:numId w:val="132"/>
                          </w:numPr>
                          <w:tabs>
                            <w:tab w:val="clear" w:pos="720"/>
                            <w:tab w:val="num" w:pos="426"/>
                          </w:tabs>
                          <w:autoSpaceDE w:val="0"/>
                          <w:autoSpaceDN w:val="0"/>
                          <w:adjustRightInd w:val="0"/>
                          <w:ind w:left="0" w:firstLine="0"/>
                          <w:jc w:val="left"/>
                          <w:rPr>
                            <w:sz w:val="20"/>
                            <w:lang w:val="pl-PL"/>
                          </w:rPr>
                        </w:pPr>
                        <w:r w:rsidRPr="002E7370">
                          <w:rPr>
                            <w:sz w:val="20"/>
                          </w:rPr>
                          <w:t>отдел „Финансово управление”</w:t>
                        </w:r>
                      </w:p>
                      <w:p w14:paraId="5E9613AC" w14:textId="77777777" w:rsidR="004E3164" w:rsidRPr="002E7370" w:rsidRDefault="004E3164" w:rsidP="002E7370">
                        <w:pPr>
                          <w:numPr>
                            <w:ilvl w:val="0"/>
                            <w:numId w:val="132"/>
                          </w:numPr>
                          <w:tabs>
                            <w:tab w:val="clear" w:pos="720"/>
                            <w:tab w:val="num" w:pos="426"/>
                          </w:tabs>
                          <w:autoSpaceDE w:val="0"/>
                          <w:autoSpaceDN w:val="0"/>
                          <w:adjustRightInd w:val="0"/>
                          <w:ind w:left="0" w:firstLine="0"/>
                          <w:jc w:val="left"/>
                          <w:rPr>
                            <w:sz w:val="20"/>
                          </w:rPr>
                        </w:pPr>
                        <w:r w:rsidRPr="002E7370">
                          <w:rPr>
                            <w:sz w:val="20"/>
                          </w:rPr>
                          <w:t>отдел „Изпълнение и координация”</w:t>
                        </w:r>
                      </w:p>
                      <w:p w14:paraId="3E7DA5BF" w14:textId="77777777" w:rsidR="004E3164" w:rsidRPr="002E7370" w:rsidRDefault="004E3164" w:rsidP="002E7370">
                        <w:pPr>
                          <w:autoSpaceDE w:val="0"/>
                          <w:autoSpaceDN w:val="0"/>
                          <w:adjustRightInd w:val="0"/>
                          <w:ind w:firstLine="0"/>
                          <w:jc w:val="center"/>
                          <w:rPr>
                            <w:sz w:val="20"/>
                          </w:rPr>
                        </w:pPr>
                      </w:p>
                      <w:p w14:paraId="754C5851" w14:textId="77777777" w:rsidR="004E3164" w:rsidRPr="002E7370" w:rsidRDefault="004E3164" w:rsidP="002E7370">
                        <w:pPr>
                          <w:autoSpaceDE w:val="0"/>
                          <w:autoSpaceDN w:val="0"/>
                          <w:adjustRightInd w:val="0"/>
                          <w:ind w:firstLine="0"/>
                          <w:jc w:val="center"/>
                          <w:rPr>
                            <w:sz w:val="20"/>
                          </w:rPr>
                        </w:pPr>
                      </w:p>
                    </w:txbxContent>
                  </v:textbox>
                </v:shape>
                <v:shape id="AutoShape 76" o:spid="_x0000_s1648" type="#_x0000_t109" style="position:absolute;left:12960;top:20752;width:2340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">
                  <v:textbox inset="4.68pt,2.34pt,4.68pt,2.34pt">
                    <w:txbxContent>
                      <w:p w14:paraId="48C9EA9E" w14:textId="77777777" w:rsidR="004E3164" w:rsidRPr="002E7370" w:rsidRDefault="004E3164" w:rsidP="002E7370">
                        <w:pPr>
                          <w:autoSpaceDE w:val="0"/>
                          <w:autoSpaceDN w:val="0"/>
                          <w:adjustRightInd w:val="0"/>
                          <w:ind w:firstLine="0"/>
                          <w:jc w:val="center"/>
                          <w:rPr>
                            <w:sz w:val="20"/>
                          </w:rPr>
                        </w:pPr>
                        <w:r w:rsidRPr="002E7370">
                          <w:rPr>
                            <w:sz w:val="20"/>
                          </w:rPr>
                          <w:t>Сертифициращ  орган  (СО)</w:t>
                        </w:r>
                      </w:p>
                    </w:txbxContent>
                  </v:textbox>
                </v:shape>
                <v:shape id="AutoShape 74" o:spid="_x0000_s1649" type="#_x0000_t67" style="position:absolute;left:29499;top:8030;width:160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" adj="14020" fillcolor="#330"/>
                <v:shape id="AutoShape 78" o:spid="_x0000_s1650" type="#_x0000_t68" style="position:absolute;left:18128;top:8030;width:160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" adj="7577"/>
                <v:shape id="Text Box 91" o:spid="_x0000_s1651" type="#_x0000_t202" style="position:absolute;left:12801;top:29260;width:3286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" stroked="f">
                  <v:textbox style="mso-fit-shape-to-text:t">
                    <w:txbxContent>
                      <w:p w14:paraId="34D1B6C0" w14:textId="77777777" w:rsidR="004E3164" w:rsidRPr="002E7370" w:rsidRDefault="004E3164" w:rsidP="002E7370">
                        <w:pPr>
                          <w:ind w:firstLine="0"/>
                          <w:jc w:val="left"/>
                          <w:rPr>
                            <w:sz w:val="20"/>
                          </w:rPr>
                        </w:pPr>
                        <w:r w:rsidRPr="002E7370">
                          <w:rPr>
                            <w:sz w:val="20"/>
                          </w:rPr>
                          <w:t>Информация и документи за извършени разходи</w:t>
                        </w:r>
                      </w:p>
                    </w:txbxContent>
                  </v:textbox>
                </v:shape>
                <v:shape id="AutoShape 92" o:spid="_x0000_s1652" type="#_x0000_t109" style="position:absolute;top:32202;width:4960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" stroked="f">
                  <v:textbox inset="4.68pt,2.34pt,4.68pt,2.34pt">
                    <w:txbxContent>
                      <w:p w14:paraId="3CFBFA5D" w14:textId="77777777" w:rsidR="004E3164" w:rsidRPr="002E7370" w:rsidRDefault="004E3164" w:rsidP="002E7370">
                        <w:pPr>
                          <w:autoSpaceDE w:val="0"/>
                          <w:autoSpaceDN w:val="0"/>
                          <w:adjustRightInd w:val="0"/>
                          <w:ind w:firstLine="0"/>
                          <w:jc w:val="center"/>
                          <w:rPr>
                            <w:b/>
                            <w:i/>
                            <w:sz w:val="20"/>
                          </w:rPr>
                        </w:pPr>
                        <w:r w:rsidRPr="002E7370">
                          <w:rPr>
                            <w:b/>
                            <w:i/>
                            <w:sz w:val="20"/>
                          </w:rPr>
                          <w:t>Обща схема на процеса на верифициране и възстановяване на разходите  по ОПТТИ</w:t>
                        </w:r>
                      </w:p>
                      <w:p w14:paraId="29C09C86" w14:textId="77777777" w:rsidR="004E3164" w:rsidRPr="002E7370" w:rsidRDefault="004E3164" w:rsidP="002E7370">
                        <w:pPr>
                          <w:autoSpaceDE w:val="0"/>
                          <w:autoSpaceDN w:val="0"/>
                          <w:adjustRightInd w:val="0"/>
                          <w:ind w:firstLine="0"/>
                          <w:jc w:val="center"/>
                          <w:rPr>
                            <w:b/>
                            <w:i/>
                            <w:sz w:val="20"/>
                          </w:rPr>
                        </w:pPr>
                      </w:p>
                    </w:txbxContent>
                  </v:textbox>
                </v:shape>
                <v:shape id="AutoShape 74" o:spid="_x0000_s1653" type="#_x0000_t67" style="position:absolute;left:29499;top:18367;width:160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" adj="14021" fillcolor="#330"/>
                <v:shape id="AutoShape 78" o:spid="_x0000_s1654" type="#_x0000_t68" style="position:absolute;left:18128;top:18288;width:160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" adj="7576"/>
                <v:shape id="AutoShape 74" o:spid="_x0000_s1655" type="#_x0000_t67" style="position:absolute;left:10376;top:25086;width:1594;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" adj="14050" fillcolor="#330"/>
                <v:shape id="AutoShape 78" o:spid="_x0000_s1656" type="#_x0000_t68" style="position:absolute;left:10535;top:27153;width:1600;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" adj="7547"/>
                <v:line id="Line 89" o:spid="_x0000_s1657" style="position:absolute;rotation:-90;visibility:visible;mso-wrap-style:square" from="11211,29022" to="11211,3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" strokeweight="1pt">
                  <v:stroke dashstyle="1 1" endarrow="block" endcap="round"/>
                </v:line>
                <w10:anchorlock/>
              </v:group>
            </w:pict>
          </mc:Fallback>
        </mc:AlternateContent>
      </w:r>
    </w:p>
    <w:p w14:paraId="72458A10" w14:textId="77777777" w:rsidR="000444CE" w:rsidRPr="001B0EA3" w:rsidRDefault="000444CE" w:rsidP="000444CE">
      <w:pPr>
        <w:rPr>
          <w:b/>
          <w:color w:val="000000"/>
          <w:szCs w:val="24"/>
        </w:rPr>
      </w:pPr>
    </w:p>
    <w:p w14:paraId="70CE8B4F" w14:textId="77777777" w:rsidR="000444CE" w:rsidRPr="001B0EA3" w:rsidRDefault="000444CE" w:rsidP="00223233">
      <w:pPr>
        <w:pStyle w:val="Style3"/>
      </w:pPr>
      <w:bookmarkStart w:id="1135" w:name="_Toc479775707"/>
      <w:r w:rsidRPr="001B0EA3">
        <w:t>Вертикални нива</w:t>
      </w:r>
      <w:bookmarkEnd w:id="1135"/>
      <w:r w:rsidRPr="001B0EA3">
        <w:t xml:space="preserve"> </w:t>
      </w:r>
    </w:p>
    <w:p w14:paraId="3EC34D83" w14:textId="77777777" w:rsidR="000444CE" w:rsidRPr="001B0EA3" w:rsidRDefault="000444CE" w:rsidP="000444CE">
      <w:pPr>
        <w:rPr>
          <w:color w:val="000000"/>
          <w:szCs w:val="24"/>
        </w:rPr>
      </w:pPr>
      <w:r w:rsidRPr="001B0EA3">
        <w:rPr>
          <w:color w:val="000000"/>
          <w:szCs w:val="24"/>
        </w:rPr>
        <w:t>Процесът на верификация започва от момента на декларирането на разходи за плащания от изпълнителя към бенефициента. В следствие на това, процесът е представен на фази, както следва:</w:t>
      </w:r>
    </w:p>
    <w:p w14:paraId="65815F26" w14:textId="77777777" w:rsidR="000444CE" w:rsidRPr="001B0EA3" w:rsidRDefault="000444CE" w:rsidP="0054623A">
      <w:pPr>
        <w:numPr>
          <w:ilvl w:val="0"/>
          <w:numId w:val="129"/>
        </w:numPr>
        <w:rPr>
          <w:color w:val="000000"/>
          <w:szCs w:val="24"/>
        </w:rPr>
      </w:pPr>
      <w:r w:rsidRPr="001B0EA3">
        <w:rPr>
          <w:color w:val="000000"/>
          <w:szCs w:val="24"/>
        </w:rPr>
        <w:t>Потвърждаване на разходи от бенефициента;</w:t>
      </w:r>
    </w:p>
    <w:p w14:paraId="2F2C165D" w14:textId="77777777" w:rsidR="000444CE" w:rsidRPr="001B0EA3" w:rsidRDefault="000444CE" w:rsidP="0054623A">
      <w:pPr>
        <w:numPr>
          <w:ilvl w:val="0"/>
          <w:numId w:val="129"/>
        </w:numPr>
        <w:rPr>
          <w:color w:val="000000"/>
          <w:szCs w:val="24"/>
        </w:rPr>
      </w:pPr>
      <w:r w:rsidRPr="001B0EA3">
        <w:rPr>
          <w:color w:val="000000"/>
          <w:szCs w:val="24"/>
        </w:rPr>
        <w:t>Верифициране на разходи от УО;</w:t>
      </w:r>
    </w:p>
    <w:p w14:paraId="4962B44B" w14:textId="77777777" w:rsidR="000444CE" w:rsidRPr="001B0EA3" w:rsidRDefault="000444CE" w:rsidP="0054623A">
      <w:pPr>
        <w:numPr>
          <w:ilvl w:val="0"/>
          <w:numId w:val="129"/>
        </w:numPr>
        <w:rPr>
          <w:color w:val="000000"/>
          <w:szCs w:val="24"/>
        </w:rPr>
      </w:pPr>
      <w:r w:rsidRPr="001B0EA3">
        <w:rPr>
          <w:color w:val="000000"/>
          <w:szCs w:val="24"/>
        </w:rPr>
        <w:t>Сертифициране на разходите от СО, изготвяне и изпращане до Европейската комисия на заявления за плащане за разходите, верифицирани от УО.</w:t>
      </w:r>
    </w:p>
    <w:p w14:paraId="6AAB7829" w14:textId="77777777" w:rsidR="00A17CA0" w:rsidRDefault="000444CE" w:rsidP="000444CE">
      <w:pPr>
        <w:rPr>
          <w:color w:val="000000"/>
          <w:szCs w:val="24"/>
        </w:rPr>
      </w:pPr>
      <w:r w:rsidRPr="001B0EA3">
        <w:rPr>
          <w:color w:val="000000"/>
          <w:szCs w:val="24"/>
        </w:rPr>
        <w:t xml:space="preserve">Потвърждаването на разходи от бенефициента и тяхната верификация от УО е процес, в който се извършва проверка за съответствие на дейностите с подписаните договори за изпълнение и/или одобрения Формуляр за кандидатстване и проверка за съответствие на разходите с националните правила за допустимост и Регламентите на ЕК. </w:t>
      </w:r>
    </w:p>
    <w:p w14:paraId="4F2DB1B5" w14:textId="77777777" w:rsidR="00A17CA0" w:rsidRPr="00CC5C85" w:rsidRDefault="00A17CA0" w:rsidP="00A17CA0">
      <w:pPr>
        <w:shd w:val="clear" w:color="auto" w:fill="FEFEFE"/>
        <w:rPr>
          <w:color w:val="000000"/>
          <w:szCs w:val="24"/>
          <w:lang w:eastAsia="bg-BG"/>
        </w:rPr>
      </w:pPr>
      <w:r>
        <w:rPr>
          <w:color w:val="000000"/>
          <w:szCs w:val="24"/>
          <w:lang w:eastAsia="bg-BG"/>
        </w:rPr>
        <w:t>УО</w:t>
      </w:r>
      <w:r w:rsidRPr="00CC5C85">
        <w:rPr>
          <w:color w:val="000000"/>
          <w:szCs w:val="24"/>
          <w:lang w:eastAsia="bg-BG"/>
        </w:rPr>
        <w:t xml:space="preserve"> отговаря за верифициране на разходите, извършени от бенефициентите по програмата.</w:t>
      </w:r>
      <w:r w:rsidRPr="00842ECC">
        <w:rPr>
          <w:color w:val="000000"/>
          <w:szCs w:val="24"/>
          <w:lang w:eastAsia="bg-BG"/>
        </w:rPr>
        <w:t xml:space="preserve"> </w:t>
      </w:r>
      <w:r w:rsidRPr="00CC5C85">
        <w:rPr>
          <w:color w:val="000000"/>
          <w:szCs w:val="24"/>
          <w:lang w:eastAsia="bg-BG"/>
        </w:rPr>
        <w:t xml:space="preserve"> Разходите се верифицират въз основа на документите, представени от бенефициента с всяко искане за плащане, чрез извършване на управленски проверки.</w:t>
      </w:r>
      <w:r w:rsidRPr="00842ECC">
        <w:rPr>
          <w:color w:val="000000"/>
          <w:szCs w:val="24"/>
          <w:lang w:eastAsia="bg-BG"/>
        </w:rPr>
        <w:t xml:space="preserve"> </w:t>
      </w:r>
      <w:r w:rsidRPr="00CC5C85">
        <w:rPr>
          <w:color w:val="000000"/>
          <w:szCs w:val="24"/>
          <w:lang w:eastAsia="bg-BG"/>
        </w:rPr>
        <w:lastRenderedPageBreak/>
        <w:t>Управленските проверки за верифициране на разходите включват</w:t>
      </w:r>
      <w:r w:rsidRPr="00247C9F">
        <w:rPr>
          <w:color w:val="000000"/>
          <w:szCs w:val="24"/>
        </w:rPr>
        <w:t xml:space="preserve"> </w:t>
      </w:r>
      <w:r w:rsidRPr="00CC5C85">
        <w:rPr>
          <w:b/>
          <w:color w:val="000000"/>
          <w:szCs w:val="24"/>
        </w:rPr>
        <w:t xml:space="preserve">документална </w:t>
      </w:r>
      <w:r>
        <w:rPr>
          <w:b/>
          <w:color w:val="000000"/>
          <w:szCs w:val="24"/>
        </w:rPr>
        <w:t xml:space="preserve">проверка </w:t>
      </w:r>
      <w:r w:rsidRPr="00CC5C85">
        <w:rPr>
          <w:b/>
          <w:color w:val="000000"/>
          <w:szCs w:val="24"/>
        </w:rPr>
        <w:t>и проверки на място</w:t>
      </w:r>
      <w:r>
        <w:rPr>
          <w:color w:val="000000"/>
          <w:szCs w:val="24"/>
          <w:lang w:eastAsia="bg-BG"/>
        </w:rPr>
        <w:t>.</w:t>
      </w:r>
    </w:p>
    <w:p w14:paraId="27074D6A" w14:textId="77777777" w:rsidR="00A17CA0" w:rsidRPr="00CC5C85" w:rsidRDefault="00A17CA0" w:rsidP="00A17CA0">
      <w:pPr>
        <w:shd w:val="clear" w:color="auto" w:fill="FEFEFE"/>
        <w:rPr>
          <w:color w:val="000000"/>
          <w:szCs w:val="24"/>
          <w:lang w:eastAsia="bg-BG"/>
        </w:rPr>
      </w:pPr>
      <w:r w:rsidRPr="00CC5C85">
        <w:rPr>
          <w:b/>
          <w:color w:val="000000"/>
          <w:szCs w:val="24"/>
          <w:lang w:eastAsia="bg-BG"/>
        </w:rPr>
        <w:t>1.</w:t>
      </w:r>
      <w:r w:rsidRPr="00CC5C85">
        <w:rPr>
          <w:color w:val="000000"/>
          <w:szCs w:val="24"/>
          <w:lang w:eastAsia="bg-BG"/>
        </w:rPr>
        <w:t xml:space="preserve"> Документалната проверка на всяко искане за плащане, подадено от бенефициента, включително и на придружаващата го документация обхваща минимум следните обстоятелства:</w:t>
      </w:r>
    </w:p>
    <w:p w14:paraId="5E319B1F" w14:textId="77777777" w:rsidR="00A17CA0" w:rsidRPr="00CC5C85" w:rsidRDefault="00A17CA0" w:rsidP="00A17CA0">
      <w:pPr>
        <w:shd w:val="clear" w:color="auto" w:fill="FEFEFE"/>
        <w:ind w:firstLine="1134"/>
        <w:rPr>
          <w:color w:val="000000"/>
          <w:szCs w:val="24"/>
          <w:lang w:eastAsia="bg-BG"/>
        </w:rPr>
      </w:pPr>
      <w:r w:rsidRPr="00CC5C85">
        <w:rPr>
          <w:color w:val="000000"/>
          <w:szCs w:val="24"/>
          <w:lang w:eastAsia="bg-BG"/>
        </w:rPr>
        <w:t>а) разходите са направени и платени в периода на допустимост;</w:t>
      </w:r>
    </w:p>
    <w:p w14:paraId="3018D645" w14:textId="77777777" w:rsidR="00A17CA0" w:rsidRPr="00CC5C85" w:rsidRDefault="00A17CA0" w:rsidP="00A17CA0">
      <w:pPr>
        <w:shd w:val="clear" w:color="auto" w:fill="FEFEFE"/>
        <w:ind w:firstLine="1134"/>
        <w:rPr>
          <w:color w:val="000000"/>
          <w:szCs w:val="24"/>
          <w:lang w:eastAsia="bg-BG"/>
        </w:rPr>
      </w:pPr>
      <w:r w:rsidRPr="00CC5C85">
        <w:rPr>
          <w:color w:val="000000"/>
          <w:szCs w:val="24"/>
          <w:lang w:eastAsia="bg-BG"/>
        </w:rPr>
        <w:t>б) разходите са свързани с одобрения проект;</w:t>
      </w:r>
    </w:p>
    <w:p w14:paraId="43E0DF05" w14:textId="77777777" w:rsidR="00A17CA0" w:rsidRPr="00CC5C85" w:rsidRDefault="00A17CA0" w:rsidP="00A17CA0">
      <w:pPr>
        <w:shd w:val="clear" w:color="auto" w:fill="FEFEFE"/>
        <w:ind w:firstLine="1134"/>
        <w:rPr>
          <w:color w:val="000000"/>
          <w:szCs w:val="24"/>
          <w:lang w:eastAsia="bg-BG"/>
        </w:rPr>
      </w:pPr>
      <w:r w:rsidRPr="00CC5C85">
        <w:rPr>
          <w:color w:val="000000"/>
          <w:szCs w:val="24"/>
          <w:lang w:eastAsia="bg-BG"/>
        </w:rPr>
        <w:t>в) съответствие с програмните условия, включително, където е приложимо, съответствие с одобрената ставка за финансиране;</w:t>
      </w:r>
    </w:p>
    <w:p w14:paraId="24D8A75F" w14:textId="77777777" w:rsidR="00A17CA0" w:rsidRPr="00CC5C85" w:rsidRDefault="00A17CA0" w:rsidP="00A17CA0">
      <w:pPr>
        <w:shd w:val="clear" w:color="auto" w:fill="FEFEFE"/>
        <w:ind w:firstLine="1134"/>
        <w:rPr>
          <w:color w:val="000000"/>
          <w:szCs w:val="24"/>
          <w:lang w:eastAsia="bg-BG"/>
        </w:rPr>
      </w:pPr>
      <w:r w:rsidRPr="00CC5C85">
        <w:rPr>
          <w:color w:val="000000"/>
          <w:szCs w:val="24"/>
          <w:lang w:eastAsia="bg-BG"/>
        </w:rPr>
        <w:t>г) съответствие с правилата за допустимост на разходите;</w:t>
      </w:r>
    </w:p>
    <w:p w14:paraId="2699B836" w14:textId="77777777" w:rsidR="00A17CA0" w:rsidRPr="007428F3" w:rsidRDefault="00A17CA0" w:rsidP="00A17CA0">
      <w:pPr>
        <w:shd w:val="clear" w:color="auto" w:fill="FEFEFE"/>
        <w:ind w:firstLine="1134"/>
        <w:rPr>
          <w:color w:val="000000"/>
          <w:szCs w:val="24"/>
          <w:lang w:eastAsia="bg-BG"/>
        </w:rPr>
      </w:pPr>
      <w:r w:rsidRPr="00CC5C85">
        <w:rPr>
          <w:color w:val="000000"/>
          <w:szCs w:val="24"/>
          <w:lang w:eastAsia="bg-BG"/>
        </w:rPr>
        <w:t xml:space="preserve">д) съответствие и коректност на разходооправдателните документи и </w:t>
      </w:r>
      <w:r w:rsidRPr="007428F3">
        <w:rPr>
          <w:color w:val="000000"/>
          <w:szCs w:val="24"/>
          <w:lang w:eastAsia="bg-BG"/>
        </w:rPr>
        <w:t>съществуването на адекватна одитна следа;</w:t>
      </w:r>
    </w:p>
    <w:p w14:paraId="723CBB24" w14:textId="77777777" w:rsidR="00A17CA0" w:rsidRPr="00A4345A" w:rsidRDefault="00A17CA0" w:rsidP="00A17CA0">
      <w:pPr>
        <w:shd w:val="clear" w:color="auto" w:fill="FEFEFE"/>
        <w:ind w:firstLine="1134"/>
        <w:rPr>
          <w:color w:val="000000"/>
          <w:szCs w:val="24"/>
          <w:lang w:eastAsia="bg-BG"/>
        </w:rPr>
      </w:pPr>
      <w:r w:rsidRPr="008C1290">
        <w:rPr>
          <w:color w:val="000000"/>
          <w:szCs w:val="24"/>
          <w:lang w:eastAsia="bg-BG"/>
        </w:rPr>
        <w:t>е)</w:t>
      </w:r>
      <w:r w:rsidRPr="007428F3">
        <w:rPr>
          <w:color w:val="000000"/>
          <w:szCs w:val="24"/>
          <w:lang w:eastAsia="bg-BG"/>
        </w:rPr>
        <w:t xml:space="preserve"> при опростени форми на предоставяне на финансова подкрепа дали условията за</w:t>
      </w:r>
      <w:r w:rsidRPr="00A4345A">
        <w:rPr>
          <w:color w:val="000000"/>
          <w:szCs w:val="24"/>
          <w:lang w:eastAsia="bg-BG"/>
        </w:rPr>
        <w:t xml:space="preserve"> плащане са изпълнени;</w:t>
      </w:r>
    </w:p>
    <w:p w14:paraId="1EE457E1" w14:textId="77777777" w:rsidR="00A17CA0" w:rsidRPr="007428F3" w:rsidRDefault="00A17CA0" w:rsidP="00A17CA0">
      <w:pPr>
        <w:shd w:val="clear" w:color="auto" w:fill="FEFEFE"/>
        <w:ind w:firstLine="1134"/>
        <w:rPr>
          <w:color w:val="000000"/>
          <w:szCs w:val="24"/>
          <w:lang w:eastAsia="bg-BG"/>
        </w:rPr>
      </w:pPr>
      <w:r w:rsidRPr="008C1290">
        <w:rPr>
          <w:color w:val="000000"/>
          <w:szCs w:val="24"/>
          <w:lang w:eastAsia="bg-BG"/>
        </w:rPr>
        <w:t>ж)</w:t>
      </w:r>
      <w:r w:rsidRPr="007428F3">
        <w:rPr>
          <w:color w:val="000000"/>
          <w:szCs w:val="24"/>
          <w:lang w:eastAsia="bg-BG"/>
        </w:rPr>
        <w:t xml:space="preserve"> съответствие с правилата за държавна помощ и изискванията за устойчиво развитие, равни възможности и недискриминация;</w:t>
      </w:r>
    </w:p>
    <w:p w14:paraId="390C19B2" w14:textId="77777777" w:rsidR="00A17CA0" w:rsidRPr="00A92F0B" w:rsidRDefault="00A17CA0" w:rsidP="00A17CA0">
      <w:pPr>
        <w:shd w:val="clear" w:color="auto" w:fill="FEFEFE"/>
        <w:ind w:firstLine="1134"/>
        <w:rPr>
          <w:color w:val="000000"/>
          <w:szCs w:val="24"/>
          <w:lang w:eastAsia="bg-BG"/>
        </w:rPr>
      </w:pPr>
      <w:r w:rsidRPr="00A4345A">
        <w:rPr>
          <w:color w:val="000000"/>
          <w:szCs w:val="24"/>
          <w:lang w:eastAsia="bg-BG"/>
        </w:rPr>
        <w:t>з) съответствие с правилата за възлагане на обществени поръчки и за определяне на изпълнител по реда на глава четвърта от ЗУСЕСИФ;</w:t>
      </w:r>
    </w:p>
    <w:p w14:paraId="20429C08" w14:textId="77777777" w:rsidR="00A17CA0" w:rsidRPr="00A92F0B" w:rsidRDefault="00A17CA0" w:rsidP="00A17CA0">
      <w:pPr>
        <w:shd w:val="clear" w:color="auto" w:fill="FEFEFE"/>
        <w:ind w:firstLine="1134"/>
        <w:rPr>
          <w:color w:val="000000"/>
          <w:szCs w:val="24"/>
          <w:lang w:eastAsia="bg-BG"/>
        </w:rPr>
      </w:pPr>
      <w:r w:rsidRPr="00A92F0B">
        <w:rPr>
          <w:color w:val="000000"/>
          <w:szCs w:val="24"/>
          <w:lang w:eastAsia="bg-BG"/>
        </w:rPr>
        <w:t>и) спазване на правилата за публичност;</w:t>
      </w:r>
    </w:p>
    <w:p w14:paraId="366894A1" w14:textId="77777777" w:rsidR="00A17CA0" w:rsidRPr="007428F3" w:rsidRDefault="00A17CA0" w:rsidP="00A17CA0">
      <w:pPr>
        <w:shd w:val="clear" w:color="auto" w:fill="FEFEFE"/>
        <w:ind w:firstLine="1134"/>
        <w:rPr>
          <w:color w:val="000000"/>
          <w:szCs w:val="24"/>
          <w:lang w:eastAsia="bg-BG"/>
        </w:rPr>
      </w:pPr>
      <w:r w:rsidRPr="008B036D">
        <w:rPr>
          <w:color w:val="000000"/>
          <w:szCs w:val="24"/>
          <w:lang w:eastAsia="bg-BG"/>
        </w:rPr>
        <w:t xml:space="preserve">й) физически напредък на проекта, измерен с общи и специфични за програмата крайни резултати, </w:t>
      </w:r>
      <w:r w:rsidRPr="008C1290">
        <w:rPr>
          <w:color w:val="000000"/>
          <w:szCs w:val="24"/>
          <w:lang w:eastAsia="bg-BG"/>
        </w:rPr>
        <w:t>и където е приложимо, показатели за резултатите и микроданни;</w:t>
      </w:r>
    </w:p>
    <w:p w14:paraId="651AC764" w14:textId="77777777" w:rsidR="00A17CA0" w:rsidRPr="00EB339E" w:rsidRDefault="00A17CA0" w:rsidP="00A17CA0">
      <w:pPr>
        <w:shd w:val="clear" w:color="auto" w:fill="FEFEFE"/>
        <w:ind w:firstLine="1134"/>
        <w:rPr>
          <w:color w:val="000000"/>
          <w:szCs w:val="24"/>
          <w:lang w:eastAsia="bg-BG"/>
        </w:rPr>
      </w:pPr>
      <w:r w:rsidRPr="00A4345A">
        <w:rPr>
          <w:color w:val="000000"/>
          <w:szCs w:val="24"/>
          <w:lang w:eastAsia="bg-BG"/>
        </w:rPr>
        <w:t xml:space="preserve">к) доставката на продукта или услугата е в пълно съответствие с условията на </w:t>
      </w:r>
      <w:r w:rsidRPr="00A92F0B">
        <w:rPr>
          <w:color w:val="000000"/>
          <w:szCs w:val="24"/>
          <w:lang w:eastAsia="bg-BG"/>
        </w:rPr>
        <w:t>Административен договор</w:t>
      </w:r>
      <w:r>
        <w:rPr>
          <w:color w:val="000000"/>
          <w:szCs w:val="24"/>
          <w:lang w:eastAsia="bg-BG"/>
        </w:rPr>
        <w:t xml:space="preserve"> </w:t>
      </w:r>
      <w:r w:rsidRPr="00A92F0B">
        <w:rPr>
          <w:color w:val="000000"/>
          <w:szCs w:val="24"/>
          <w:lang w:eastAsia="bg-BG"/>
        </w:rPr>
        <w:t>за</w:t>
      </w:r>
      <w:r w:rsidRPr="008B036D">
        <w:rPr>
          <w:color w:val="000000"/>
          <w:szCs w:val="24"/>
          <w:lang w:eastAsia="bg-BG"/>
        </w:rPr>
        <w:t xml:space="preserve"> пр</w:t>
      </w:r>
      <w:r>
        <w:rPr>
          <w:color w:val="000000"/>
          <w:szCs w:val="24"/>
          <w:lang w:eastAsia="bg-BG"/>
        </w:rPr>
        <w:t>едоставяне на БФП.</w:t>
      </w:r>
    </w:p>
    <w:p w14:paraId="4F603E8A" w14:textId="77777777" w:rsidR="00A17CA0" w:rsidRPr="007428F3" w:rsidRDefault="00A17CA0" w:rsidP="00A17CA0">
      <w:pPr>
        <w:shd w:val="clear" w:color="auto" w:fill="FEFEFE"/>
        <w:rPr>
          <w:color w:val="000000"/>
          <w:szCs w:val="24"/>
          <w:lang w:eastAsia="bg-BG"/>
        </w:rPr>
      </w:pPr>
      <w:r w:rsidRPr="00F92FA3">
        <w:rPr>
          <w:color w:val="000000"/>
          <w:szCs w:val="24"/>
          <w:lang w:eastAsia="bg-BG"/>
        </w:rPr>
        <w:t>2. Проверка на място на бенефициенти, включително на мястото на изпълнение на проекта, финансови посредници или кра</w:t>
      </w:r>
      <w:r w:rsidRPr="00A84146">
        <w:rPr>
          <w:color w:val="000000"/>
          <w:szCs w:val="24"/>
          <w:lang w:eastAsia="bg-BG"/>
        </w:rPr>
        <w:t>йни получатели</w:t>
      </w:r>
      <w:r w:rsidRPr="008C1290">
        <w:rPr>
          <w:color w:val="000000"/>
          <w:szCs w:val="24"/>
          <w:lang w:eastAsia="bg-BG"/>
        </w:rPr>
        <w:t>, партньори на бенефициента, когато това е приложимо, п</w:t>
      </w:r>
      <w:r w:rsidRPr="00AE206A">
        <w:rPr>
          <w:color w:val="000000"/>
          <w:szCs w:val="24"/>
          <w:lang w:eastAsia="bg-BG"/>
        </w:rPr>
        <w:t>о преценка на УО.</w:t>
      </w:r>
      <w:r w:rsidRPr="008C1290">
        <w:rPr>
          <w:color w:val="000000"/>
          <w:szCs w:val="24"/>
          <w:lang w:eastAsia="bg-BG"/>
        </w:rPr>
        <w:t xml:space="preserve"> </w:t>
      </w:r>
    </w:p>
    <w:p w14:paraId="3A4C0D99" w14:textId="77777777" w:rsidR="00A17CA0" w:rsidRPr="00CC5C85" w:rsidRDefault="00A17CA0" w:rsidP="00A17CA0">
      <w:pPr>
        <w:shd w:val="clear" w:color="auto" w:fill="FEFEFE"/>
        <w:rPr>
          <w:color w:val="000000"/>
          <w:szCs w:val="24"/>
          <w:lang w:eastAsia="bg-BG"/>
        </w:rPr>
      </w:pPr>
      <w:r w:rsidRPr="008C1290">
        <w:rPr>
          <w:color w:val="000000"/>
          <w:szCs w:val="24"/>
          <w:lang w:eastAsia="bg-BG"/>
        </w:rPr>
        <w:t>3.</w:t>
      </w:r>
      <w:r w:rsidRPr="007428F3">
        <w:rPr>
          <w:color w:val="000000"/>
          <w:szCs w:val="24"/>
          <w:lang w:eastAsia="bg-BG"/>
        </w:rPr>
        <w:t xml:space="preserve"> Проверка на предоставените от бенефициента данни или микроданни, свързани с изпълнението на индикаторите по проекта.</w:t>
      </w:r>
    </w:p>
    <w:p w14:paraId="12B27BC7" w14:textId="77777777" w:rsidR="00A17CA0" w:rsidRDefault="00A17CA0" w:rsidP="000444CE">
      <w:pPr>
        <w:rPr>
          <w:color w:val="000000"/>
          <w:szCs w:val="24"/>
        </w:rPr>
      </w:pPr>
    </w:p>
    <w:p w14:paraId="644348EC" w14:textId="77777777" w:rsidR="000444CE" w:rsidRPr="001B0EA3" w:rsidRDefault="000444CE" w:rsidP="000444CE">
      <w:pPr>
        <w:rPr>
          <w:color w:val="000000"/>
          <w:szCs w:val="24"/>
        </w:rPr>
      </w:pPr>
      <w:r w:rsidRPr="001B0EA3">
        <w:rPr>
          <w:color w:val="000000"/>
          <w:szCs w:val="24"/>
        </w:rPr>
        <w:t xml:space="preserve">Верификацията включва административен, финансов, технически и физически контрол на документите и дейностите по всеки проект.  </w:t>
      </w:r>
    </w:p>
    <w:p w14:paraId="04517874" w14:textId="77777777" w:rsidR="000444CE" w:rsidRPr="001B0EA3" w:rsidRDefault="000444CE" w:rsidP="000444CE">
      <w:pPr>
        <w:rPr>
          <w:color w:val="000000"/>
          <w:szCs w:val="24"/>
        </w:rPr>
      </w:pPr>
      <w:r w:rsidRPr="001B0EA3">
        <w:rPr>
          <w:color w:val="000000"/>
          <w:szCs w:val="24"/>
        </w:rPr>
        <w:t>Процесът на верификация / сертификация е основан на:</w:t>
      </w:r>
    </w:p>
    <w:p w14:paraId="4486B123" w14:textId="77777777" w:rsidR="000444CE" w:rsidRPr="001B0EA3" w:rsidRDefault="000444CE" w:rsidP="0054623A">
      <w:pPr>
        <w:numPr>
          <w:ilvl w:val="0"/>
          <w:numId w:val="130"/>
        </w:numPr>
        <w:tabs>
          <w:tab w:val="clear" w:pos="720"/>
          <w:tab w:val="num" w:pos="1134"/>
        </w:tabs>
        <w:ind w:left="0" w:firstLine="851"/>
        <w:rPr>
          <w:color w:val="000000"/>
          <w:szCs w:val="24"/>
        </w:rPr>
      </w:pPr>
      <w:r w:rsidRPr="001B0EA3">
        <w:rPr>
          <w:color w:val="000000"/>
          <w:szCs w:val="24"/>
        </w:rPr>
        <w:t>Подадено от бенефициента искане за междинно/окончателно плащане, придружено с копия на фактури и други документи с еквивалентна доказателствена стойност, доказващи извършените разходи и тяхното съответствие с условията по договор/и, както и потвърдени междинни/окончателни сертификати на изпълнителя;</w:t>
      </w:r>
    </w:p>
    <w:p w14:paraId="7E4671FD" w14:textId="77777777" w:rsidR="000444CE" w:rsidRPr="001B0EA3" w:rsidRDefault="000444CE" w:rsidP="0054623A">
      <w:pPr>
        <w:numPr>
          <w:ilvl w:val="0"/>
          <w:numId w:val="130"/>
        </w:numPr>
        <w:tabs>
          <w:tab w:val="clear" w:pos="720"/>
          <w:tab w:val="num" w:pos="1134"/>
        </w:tabs>
        <w:ind w:left="0" w:firstLine="851"/>
        <w:rPr>
          <w:color w:val="000000"/>
          <w:szCs w:val="24"/>
        </w:rPr>
      </w:pPr>
      <w:r w:rsidRPr="001B0EA3">
        <w:rPr>
          <w:color w:val="000000"/>
          <w:szCs w:val="24"/>
        </w:rPr>
        <w:t>ДСДДР, подготвен от УО на ниво ОПТТИ, включващ верифицирани и платени на бенефициентите допустими разходи по искания за плащане;</w:t>
      </w:r>
    </w:p>
    <w:p w14:paraId="6F8FF4C9" w14:textId="77777777" w:rsidR="000444CE" w:rsidRPr="001B0EA3" w:rsidRDefault="000444CE" w:rsidP="00A17CA0">
      <w:pPr>
        <w:numPr>
          <w:ilvl w:val="0"/>
          <w:numId w:val="130"/>
        </w:numPr>
        <w:tabs>
          <w:tab w:val="clear" w:pos="720"/>
          <w:tab w:val="num" w:pos="1134"/>
        </w:tabs>
        <w:ind w:left="0" w:firstLine="851"/>
        <w:rPr>
          <w:color w:val="000000"/>
          <w:szCs w:val="24"/>
        </w:rPr>
      </w:pPr>
      <w:r w:rsidRPr="001B0EA3">
        <w:rPr>
          <w:color w:val="000000"/>
          <w:szCs w:val="24"/>
        </w:rPr>
        <w:t>Документална проверка от СО на ДСДДР</w:t>
      </w:r>
      <w:r w:rsidR="00A17CA0" w:rsidRPr="00A17CA0">
        <w:rPr>
          <w:color w:val="000000"/>
          <w:szCs w:val="24"/>
        </w:rPr>
        <w:t>, проверка за спазването на процедурите и контролните дейности но УО за верификация на разходите</w:t>
      </w:r>
      <w:r w:rsidRPr="001B0EA3">
        <w:rPr>
          <w:color w:val="000000"/>
          <w:szCs w:val="24"/>
        </w:rPr>
        <w:t xml:space="preserve"> и проверка на място при бенефициента</w:t>
      </w:r>
      <w:r w:rsidR="009926A7" w:rsidRPr="009926A7">
        <w:rPr>
          <w:color w:val="000000"/>
          <w:szCs w:val="24"/>
        </w:rPr>
        <w:t>, включително на място на изпълнение на проекта</w:t>
      </w:r>
      <w:r w:rsidR="00A17CA0">
        <w:rPr>
          <w:color w:val="000000"/>
          <w:szCs w:val="24"/>
        </w:rPr>
        <w:t>.</w:t>
      </w:r>
      <w:r w:rsidRPr="001B0EA3">
        <w:rPr>
          <w:color w:val="000000"/>
          <w:szCs w:val="24"/>
        </w:rPr>
        <w:t xml:space="preserve"> </w:t>
      </w:r>
    </w:p>
    <w:p w14:paraId="00AEC938" w14:textId="77777777" w:rsidR="000444CE" w:rsidRPr="001B0EA3" w:rsidRDefault="00A17CA0" w:rsidP="00A17CA0">
      <w:pPr>
        <w:numPr>
          <w:ilvl w:val="0"/>
          <w:numId w:val="130"/>
        </w:numPr>
        <w:tabs>
          <w:tab w:val="clear" w:pos="720"/>
          <w:tab w:val="num" w:pos="1134"/>
        </w:tabs>
        <w:ind w:left="0" w:firstLine="851"/>
        <w:rPr>
          <w:color w:val="000000"/>
          <w:szCs w:val="24"/>
        </w:rPr>
      </w:pPr>
      <w:r w:rsidRPr="00A17CA0">
        <w:rPr>
          <w:color w:val="000000"/>
          <w:szCs w:val="24"/>
        </w:rPr>
        <w:t>Изпратено от СО до ЕК З</w:t>
      </w:r>
      <w:r w:rsidR="000444CE" w:rsidRPr="001B0EA3">
        <w:rPr>
          <w:color w:val="000000"/>
          <w:szCs w:val="24"/>
        </w:rPr>
        <w:t>аявление за плащане</w:t>
      </w:r>
      <w:r w:rsidRPr="00A17CA0">
        <w:t xml:space="preserve"> </w:t>
      </w:r>
      <w:r w:rsidRPr="00A17CA0">
        <w:rPr>
          <w:color w:val="000000"/>
          <w:szCs w:val="24"/>
        </w:rPr>
        <w:t>за разходите, верифицирани от УО и сертифицирани от СО</w:t>
      </w:r>
      <w:r>
        <w:rPr>
          <w:color w:val="000000"/>
          <w:szCs w:val="24"/>
        </w:rPr>
        <w:t>.</w:t>
      </w:r>
    </w:p>
    <w:p w14:paraId="4C6A291B" w14:textId="77777777" w:rsidR="00C7277C" w:rsidRPr="001B0EA3" w:rsidRDefault="00937754" w:rsidP="00502BF0">
      <w:pPr>
        <w:rPr>
          <w:color w:val="000000"/>
          <w:szCs w:val="24"/>
        </w:rPr>
      </w:pPr>
      <w:r w:rsidRPr="001B0EA3">
        <w:rPr>
          <w:noProof/>
          <w:lang w:eastAsia="bg-BG"/>
        </w:rPr>
        <w:lastRenderedPageBreak/>
        <mc:AlternateContent>
          <mc:Choice Requires="wpg">
            <w:drawing>
              <wp:inline distT="0" distB="0" distL="0" distR="0" wp14:anchorId="604C9A7A" wp14:editId="75CF1462">
                <wp:extent cx="4723765" cy="4730750"/>
                <wp:effectExtent l="6985" t="5715" r="12700" b="0"/>
                <wp:docPr id="1648"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3765" cy="4730750"/>
                          <a:chOff x="0" y="0"/>
                          <a:chExt cx="4723614" cy="4731027"/>
                        </a:xfrm>
                      </wpg:grpSpPr>
                      <wps:wsp>
                        <wps:cNvPr id="1649" name="AutoShape 51"/>
                        <wps:cNvSpPr>
                          <a:spLocks noChangeArrowheads="1"/>
                        </wps:cNvSpPr>
                        <wps:spPr bwMode="auto">
                          <a:xfrm>
                            <a:off x="0" y="771277"/>
                            <a:ext cx="2159635" cy="365760"/>
                          </a:xfrm>
                          <a:prstGeom prst="flowChartProcess">
                            <a:avLst/>
                          </a:prstGeom>
                          <a:solidFill>
                            <a:srgbClr val="FFFFFF"/>
                          </a:solidFill>
                          <a:ln w="9525">
                            <a:solidFill>
                              <a:srgbClr val="000000"/>
                            </a:solidFill>
                            <a:miter lim="800000"/>
                            <a:headEnd/>
                            <a:tailEnd/>
                          </a:ln>
                        </wps:spPr>
                        <wps:txbx>
                          <w:txbxContent>
                            <w:p w14:paraId="38A0D430" w14:textId="77777777" w:rsidR="004E3164" w:rsidRPr="002E7370" w:rsidRDefault="004E3164" w:rsidP="002E7370">
                              <w:pPr>
                                <w:ind w:firstLine="0"/>
                                <w:jc w:val="center"/>
                                <w:rPr>
                                  <w:sz w:val="20"/>
                                </w:rPr>
                              </w:pPr>
                              <w:r w:rsidRPr="002E7370">
                                <w:rPr>
                                  <w:sz w:val="20"/>
                                </w:rPr>
                                <w:t xml:space="preserve"> Потвърждаване на разходите от бенефициента</w:t>
                              </w:r>
                            </w:p>
                          </w:txbxContent>
                        </wps:txbx>
                        <wps:bodyPr rot="0" vert="horz" wrap="square" lIns="59436" tIns="29718" rIns="59436" bIns="29718" anchor="ctr" anchorCtr="0" upright="1">
                          <a:noAutofit/>
                        </wps:bodyPr>
                      </wps:wsp>
                      <wps:wsp>
                        <wps:cNvPr id="1653" name="AutoShape 52"/>
                        <wps:cNvSpPr>
                          <a:spLocks noChangeArrowheads="1"/>
                        </wps:cNvSpPr>
                        <wps:spPr bwMode="auto">
                          <a:xfrm>
                            <a:off x="0" y="1455089"/>
                            <a:ext cx="2160000" cy="2059388"/>
                          </a:xfrm>
                          <a:prstGeom prst="flowChartProcess">
                            <a:avLst/>
                          </a:prstGeom>
                          <a:solidFill>
                            <a:srgbClr val="FFFFFF"/>
                          </a:solidFill>
                          <a:ln w="9525">
                            <a:solidFill>
                              <a:srgbClr val="000000"/>
                            </a:solidFill>
                            <a:miter lim="800000"/>
                            <a:headEnd/>
                            <a:tailEnd/>
                          </a:ln>
                        </wps:spPr>
                        <wps:txbx>
                          <w:txbxContent>
                            <w:p w14:paraId="48BAD4C0" w14:textId="77777777" w:rsidR="004E3164" w:rsidRPr="002E7370" w:rsidRDefault="004E3164" w:rsidP="002E7370">
                              <w:pPr>
                                <w:ind w:firstLine="0"/>
                                <w:jc w:val="center"/>
                                <w:rPr>
                                  <w:sz w:val="20"/>
                                </w:rPr>
                              </w:pPr>
                              <w:r w:rsidRPr="002E7370">
                                <w:rPr>
                                  <w:sz w:val="20"/>
                                </w:rPr>
                                <w:t>Верифициране на разходите от УО:</w:t>
                              </w:r>
                            </w:p>
                            <w:p w14:paraId="4280AB02" w14:textId="77777777" w:rsidR="004E3164" w:rsidRPr="002E7370" w:rsidRDefault="004E3164" w:rsidP="002E7370">
                              <w:pPr>
                                <w:numPr>
                                  <w:ilvl w:val="0"/>
                                  <w:numId w:val="133"/>
                                </w:numPr>
                                <w:tabs>
                                  <w:tab w:val="clear" w:pos="720"/>
                                  <w:tab w:val="num" w:pos="200"/>
                                </w:tabs>
                                <w:autoSpaceDE w:val="0"/>
                                <w:autoSpaceDN w:val="0"/>
                                <w:adjustRightInd w:val="0"/>
                                <w:ind w:left="0" w:firstLine="0"/>
                                <w:jc w:val="left"/>
                                <w:rPr>
                                  <w:sz w:val="20"/>
                                </w:rPr>
                              </w:pPr>
                              <w:r w:rsidRPr="002E7370">
                                <w:rPr>
                                  <w:sz w:val="20"/>
                                </w:rPr>
                                <w:t>Документална проверка на искане за междинно/окончателно плащане и съпътстващата го разходооправдателна документация от отдел ”Финансово управление”;</w:t>
                              </w:r>
                            </w:p>
                            <w:p w14:paraId="5D2D3CB9" w14:textId="77777777" w:rsidR="004E3164" w:rsidRPr="002E7370" w:rsidRDefault="004E3164" w:rsidP="002E7370">
                              <w:pPr>
                                <w:numPr>
                                  <w:ilvl w:val="0"/>
                                  <w:numId w:val="133"/>
                                </w:numPr>
                                <w:tabs>
                                  <w:tab w:val="clear" w:pos="720"/>
                                  <w:tab w:val="num" w:pos="200"/>
                                </w:tabs>
                                <w:autoSpaceDE w:val="0"/>
                                <w:autoSpaceDN w:val="0"/>
                                <w:adjustRightInd w:val="0"/>
                                <w:ind w:left="0" w:firstLine="0"/>
                                <w:jc w:val="left"/>
                                <w:rPr>
                                  <w:sz w:val="20"/>
                                </w:rPr>
                              </w:pPr>
                              <w:r w:rsidRPr="002E7370">
                                <w:rPr>
                                  <w:color w:val="000000"/>
                                  <w:sz w:val="20"/>
                                </w:rPr>
                                <w:t xml:space="preserve">Проверка на кореспонденцията между </w:t>
                              </w:r>
                              <w:r w:rsidRPr="002E7370">
                                <w:rPr>
                                  <w:sz w:val="20"/>
                                </w:rPr>
                                <w:t>докладваните</w:t>
                              </w:r>
                              <w:r w:rsidRPr="002E7370">
                                <w:rPr>
                                  <w:color w:val="000000"/>
                                  <w:sz w:val="20"/>
                                </w:rPr>
                                <w:t xml:space="preserve"> разходи в </w:t>
                              </w:r>
                              <w:r w:rsidRPr="002E7370">
                                <w:rPr>
                                  <w:sz w:val="20"/>
                                </w:rPr>
                                <w:t xml:space="preserve">искане за междинно/окончателно плащане </w:t>
                              </w:r>
                              <w:r w:rsidRPr="002E7370">
                                <w:rPr>
                                  <w:color w:val="000000"/>
                                  <w:sz w:val="20"/>
                                </w:rPr>
                                <w:t>и физическия напредък по проекта</w:t>
                              </w:r>
                              <w:r w:rsidRPr="002E7370">
                                <w:rPr>
                                  <w:sz w:val="20"/>
                                </w:rPr>
                                <w:t xml:space="preserve"> от отдел „Изпълнение и координация”</w:t>
                              </w:r>
                            </w:p>
                            <w:p w14:paraId="2B7F6C9C" w14:textId="77777777" w:rsidR="004E3164" w:rsidRPr="002E7370" w:rsidRDefault="004E3164" w:rsidP="002E7370">
                              <w:pPr>
                                <w:numPr>
                                  <w:ilvl w:val="0"/>
                                  <w:numId w:val="133"/>
                                </w:numPr>
                                <w:tabs>
                                  <w:tab w:val="clear" w:pos="720"/>
                                  <w:tab w:val="num" w:pos="200"/>
                                </w:tabs>
                                <w:autoSpaceDE w:val="0"/>
                                <w:autoSpaceDN w:val="0"/>
                                <w:adjustRightInd w:val="0"/>
                                <w:ind w:left="0" w:firstLine="0"/>
                                <w:jc w:val="left"/>
                                <w:rPr>
                                  <w:sz w:val="20"/>
                                </w:rPr>
                              </w:pPr>
                              <w:r w:rsidRPr="002E7370">
                                <w:rPr>
                                  <w:color w:val="000000"/>
                                  <w:sz w:val="20"/>
                                </w:rPr>
                                <w:t>Одобрение</w:t>
                              </w:r>
                              <w:r w:rsidRPr="002E7370">
                                <w:rPr>
                                  <w:sz w:val="20"/>
                                </w:rPr>
                                <w:t xml:space="preserve"> от Ръководител на УО</w:t>
                              </w:r>
                              <w:r w:rsidRPr="00842ECC">
                                <w:rPr>
                                  <w:sz w:val="20"/>
                                </w:rPr>
                                <w:t>.</w:t>
                              </w:r>
                            </w:p>
                          </w:txbxContent>
                        </wps:txbx>
                        <wps:bodyPr rot="0" vert="horz" wrap="square" lIns="59436" tIns="29718" rIns="59436" bIns="29718" anchor="ctr" anchorCtr="0" upright="1">
                          <a:noAutofit/>
                        </wps:bodyPr>
                      </wps:wsp>
                      <wps:wsp>
                        <wps:cNvPr id="1656" name="AutoShape 53"/>
                        <wps:cNvSpPr>
                          <a:spLocks noChangeArrowheads="1"/>
                        </wps:cNvSpPr>
                        <wps:spPr bwMode="auto">
                          <a:xfrm>
                            <a:off x="0" y="0"/>
                            <a:ext cx="2160000" cy="457200"/>
                          </a:xfrm>
                          <a:prstGeom prst="flowChartProcess">
                            <a:avLst/>
                          </a:prstGeom>
                          <a:solidFill>
                            <a:srgbClr val="FFFFFF"/>
                          </a:solidFill>
                          <a:ln w="9525">
                            <a:solidFill>
                              <a:srgbClr val="000000"/>
                            </a:solidFill>
                            <a:miter lim="800000"/>
                            <a:headEnd/>
                            <a:tailEnd/>
                          </a:ln>
                        </wps:spPr>
                        <wps:txbx>
                          <w:txbxContent>
                            <w:p w14:paraId="23BEE782" w14:textId="77777777" w:rsidR="004E3164" w:rsidRPr="002E7370" w:rsidRDefault="004E3164" w:rsidP="002E7370">
                              <w:pPr>
                                <w:ind w:firstLine="0"/>
                                <w:jc w:val="center"/>
                                <w:rPr>
                                  <w:sz w:val="20"/>
                                </w:rPr>
                              </w:pPr>
                              <w:r w:rsidRPr="002E7370">
                                <w:rPr>
                                  <w:sz w:val="20"/>
                                </w:rPr>
                                <w:t>Получаване на фактури за извършени услуги от изпълнителя</w:t>
                              </w:r>
                            </w:p>
                          </w:txbxContent>
                        </wps:txbx>
                        <wps:bodyPr rot="0" vert="horz" wrap="square" lIns="59436" tIns="29718" rIns="59436" bIns="29718" anchor="ctr" anchorCtr="0" upright="1">
                          <a:noAutofit/>
                        </wps:bodyPr>
                      </wps:wsp>
                      <wps:wsp>
                        <wps:cNvPr id="1657" name="AutoShape 54"/>
                        <wps:cNvSpPr>
                          <a:spLocks noChangeArrowheads="1"/>
                        </wps:cNvSpPr>
                        <wps:spPr bwMode="auto">
                          <a:xfrm>
                            <a:off x="1017767" y="500933"/>
                            <a:ext cx="113665" cy="227965"/>
                          </a:xfrm>
                          <a:prstGeom prst="downArrow">
                            <a:avLst>
                              <a:gd name="adj1" fmla="val 50000"/>
                              <a:gd name="adj2" fmla="val 500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8" name="AutoShape 58"/>
                        <wps:cNvSpPr>
                          <a:spLocks noChangeArrowheads="1"/>
                        </wps:cNvSpPr>
                        <wps:spPr bwMode="auto">
                          <a:xfrm>
                            <a:off x="0" y="3832529"/>
                            <a:ext cx="2159635" cy="457200"/>
                          </a:xfrm>
                          <a:prstGeom prst="flowChartProcess">
                            <a:avLst/>
                          </a:prstGeom>
                          <a:solidFill>
                            <a:srgbClr val="FFFFFF"/>
                          </a:solidFill>
                          <a:ln w="9525">
                            <a:solidFill>
                              <a:srgbClr val="000000"/>
                            </a:solidFill>
                            <a:miter lim="800000"/>
                            <a:headEnd/>
                            <a:tailEnd/>
                          </a:ln>
                        </wps:spPr>
                        <wps:txbx>
                          <w:txbxContent>
                            <w:p w14:paraId="19C70149" w14:textId="77777777" w:rsidR="004E3164" w:rsidRPr="002E7370" w:rsidRDefault="004E3164" w:rsidP="002E7370">
                              <w:pPr>
                                <w:autoSpaceDE w:val="0"/>
                                <w:autoSpaceDN w:val="0"/>
                                <w:adjustRightInd w:val="0"/>
                                <w:ind w:firstLine="0"/>
                                <w:jc w:val="center"/>
                                <w:rPr>
                                  <w:sz w:val="20"/>
                                </w:rPr>
                              </w:pPr>
                              <w:r w:rsidRPr="002E7370">
                                <w:rPr>
                                  <w:sz w:val="20"/>
                                </w:rPr>
                                <w:t>Изпращане на ДС и  ДДР до СО</w:t>
                              </w:r>
                            </w:p>
                          </w:txbxContent>
                        </wps:txbx>
                        <wps:bodyPr rot="0" vert="horz" wrap="square" lIns="59436" tIns="29718" rIns="59436" bIns="29718" anchor="ctr" anchorCtr="0" upright="1">
                          <a:noAutofit/>
                        </wps:bodyPr>
                      </wps:wsp>
                      <wps:wsp>
                        <wps:cNvPr id="1659" name="AutoShape 59"/>
                        <wps:cNvSpPr>
                          <a:spLocks noChangeArrowheads="1"/>
                        </wps:cNvSpPr>
                        <wps:spPr bwMode="auto">
                          <a:xfrm>
                            <a:off x="2743200" y="2186609"/>
                            <a:ext cx="1980000" cy="576000"/>
                          </a:xfrm>
                          <a:prstGeom prst="flowChartDocument">
                            <a:avLst/>
                          </a:prstGeom>
                          <a:solidFill>
                            <a:srgbClr val="FFFFFF"/>
                          </a:solidFill>
                          <a:ln w="9525">
                            <a:solidFill>
                              <a:srgbClr val="000000"/>
                            </a:solidFill>
                            <a:miter lim="800000"/>
                            <a:headEnd/>
                            <a:tailEnd/>
                          </a:ln>
                        </wps:spPr>
                        <wps:txbx>
                          <w:txbxContent>
                            <w:p w14:paraId="5F64EC5F" w14:textId="77777777" w:rsidR="004E3164" w:rsidRPr="002E7370" w:rsidRDefault="004E3164" w:rsidP="002E7370">
                              <w:pPr>
                                <w:ind w:firstLine="0"/>
                                <w:jc w:val="center"/>
                                <w:rPr>
                                  <w:sz w:val="20"/>
                                </w:rPr>
                              </w:pPr>
                              <w:r w:rsidRPr="002E7370">
                                <w:rPr>
                                  <w:sz w:val="20"/>
                                </w:rPr>
                                <w:t>Контролен лист</w:t>
                              </w:r>
                            </w:p>
                            <w:p w14:paraId="3DCCF07A" w14:textId="77777777" w:rsidR="004E3164" w:rsidRPr="002E7370" w:rsidRDefault="004E3164" w:rsidP="002E7370">
                              <w:pPr>
                                <w:ind w:firstLine="0"/>
                                <w:jc w:val="center"/>
                                <w:rPr>
                                  <w:i/>
                                  <w:color w:val="0070C0"/>
                                  <w:sz w:val="20"/>
                                </w:rPr>
                              </w:pPr>
                              <w:r w:rsidRPr="002E7370">
                                <w:rPr>
                                  <w:i/>
                                  <w:sz w:val="20"/>
                                </w:rPr>
                                <w:t xml:space="preserve">(Приложение </w:t>
                              </w:r>
                              <w:r w:rsidRPr="002E7370">
                                <w:rPr>
                                  <w:i/>
                                  <w:color w:val="0070C0"/>
                                  <w:sz w:val="20"/>
                                </w:rPr>
                                <w:t>5.01.2.1, 5.01.3,1.)</w:t>
                              </w:r>
                            </w:p>
                          </w:txbxContent>
                        </wps:txbx>
                        <wps:bodyPr rot="0" vert="horz" wrap="square" lIns="91440" tIns="45720" rIns="91440" bIns="45720" anchor="t" anchorCtr="0" upright="1">
                          <a:noAutofit/>
                        </wps:bodyPr>
                      </wps:wsp>
                      <wps:wsp>
                        <wps:cNvPr id="1660" name="AutoShape 61"/>
                        <wps:cNvSpPr>
                          <a:spLocks noChangeArrowheads="1"/>
                        </wps:cNvSpPr>
                        <wps:spPr bwMode="auto">
                          <a:xfrm>
                            <a:off x="2743614" y="3713259"/>
                            <a:ext cx="1980000" cy="576000"/>
                          </a:xfrm>
                          <a:prstGeom prst="flowChartDocument">
                            <a:avLst/>
                          </a:prstGeom>
                          <a:solidFill>
                            <a:srgbClr val="FFFFFF"/>
                          </a:solidFill>
                          <a:ln w="9525">
                            <a:solidFill>
                              <a:srgbClr val="000000"/>
                            </a:solidFill>
                            <a:miter lim="800000"/>
                            <a:headEnd/>
                            <a:tailEnd/>
                          </a:ln>
                        </wps:spPr>
                        <wps:txbx>
                          <w:txbxContent>
                            <w:p w14:paraId="741CE7E1" w14:textId="77777777" w:rsidR="004E3164" w:rsidRPr="002E7370" w:rsidRDefault="004E3164" w:rsidP="002E7370">
                              <w:pPr>
                                <w:ind w:firstLine="0"/>
                                <w:jc w:val="center"/>
                                <w:rPr>
                                  <w:sz w:val="20"/>
                                </w:rPr>
                              </w:pPr>
                              <w:r w:rsidRPr="002E7370">
                                <w:rPr>
                                  <w:sz w:val="20"/>
                                </w:rPr>
                                <w:t xml:space="preserve">ДС и ДДР </w:t>
                              </w:r>
                            </w:p>
                            <w:p w14:paraId="13F89575" w14:textId="77777777" w:rsidR="004E3164" w:rsidRPr="002E7370" w:rsidRDefault="004E3164" w:rsidP="002E7370">
                              <w:pPr>
                                <w:ind w:firstLine="0"/>
                                <w:jc w:val="center"/>
                                <w:rPr>
                                  <w:sz w:val="20"/>
                                </w:rPr>
                              </w:pPr>
                              <w:r w:rsidRPr="002E7370">
                                <w:rPr>
                                  <w:i/>
                                  <w:sz w:val="20"/>
                                  <w:lang w:val="en-US"/>
                                </w:rPr>
                                <w:t>(</w:t>
                              </w:r>
                              <w:r w:rsidRPr="002E7370">
                                <w:rPr>
                                  <w:i/>
                                  <w:sz w:val="20"/>
                                </w:rPr>
                                <w:t xml:space="preserve">Приложение </w:t>
                              </w:r>
                              <w:r w:rsidRPr="002E7370">
                                <w:rPr>
                                  <w:i/>
                                  <w:color w:val="0070C0"/>
                                  <w:sz w:val="20"/>
                                </w:rPr>
                                <w:t>5.02.1)</w:t>
                              </w:r>
                            </w:p>
                          </w:txbxContent>
                        </wps:txbx>
                        <wps:bodyPr rot="0" vert="horz" wrap="square" lIns="91440" tIns="45720" rIns="91440" bIns="45720" anchor="t" anchorCtr="0" upright="1">
                          <a:noAutofit/>
                        </wps:bodyPr>
                      </wps:wsp>
                      <wps:wsp>
                        <wps:cNvPr id="1666" name="AutoShape 64"/>
                        <wps:cNvSpPr>
                          <a:spLocks noChangeArrowheads="1"/>
                        </wps:cNvSpPr>
                        <wps:spPr bwMode="auto">
                          <a:xfrm>
                            <a:off x="2743200" y="659959"/>
                            <a:ext cx="1979930" cy="575945"/>
                          </a:xfrm>
                          <a:prstGeom prst="flowChartDocument">
                            <a:avLst/>
                          </a:prstGeom>
                          <a:solidFill>
                            <a:srgbClr val="FFFFFF"/>
                          </a:solidFill>
                          <a:ln w="9525">
                            <a:solidFill>
                              <a:srgbClr val="000000"/>
                            </a:solidFill>
                            <a:miter lim="800000"/>
                            <a:headEnd/>
                            <a:tailEnd/>
                          </a:ln>
                        </wps:spPr>
                        <wps:txbx>
                          <w:txbxContent>
                            <w:p w14:paraId="51A7D4A6" w14:textId="77777777" w:rsidR="004E3164" w:rsidRPr="002E7370" w:rsidRDefault="004E3164" w:rsidP="002E7370">
                              <w:pPr>
                                <w:ind w:firstLine="0"/>
                                <w:jc w:val="center"/>
                                <w:rPr>
                                  <w:sz w:val="20"/>
                                </w:rPr>
                              </w:pPr>
                              <w:r w:rsidRPr="002E7370">
                                <w:rPr>
                                  <w:sz w:val="20"/>
                                </w:rPr>
                                <w:t>Искане за плащане</w:t>
                              </w:r>
                            </w:p>
                            <w:p w14:paraId="2E95B7B4" w14:textId="77777777" w:rsidR="004E3164" w:rsidRPr="002E7370" w:rsidRDefault="004E3164" w:rsidP="002E7370">
                              <w:pPr>
                                <w:ind w:firstLine="0"/>
                                <w:jc w:val="center"/>
                                <w:rPr>
                                  <w:sz w:val="20"/>
                                </w:rPr>
                              </w:pPr>
                              <w:r w:rsidRPr="002E7370">
                                <w:rPr>
                                  <w:i/>
                                  <w:color w:val="0070C0"/>
                                  <w:sz w:val="20"/>
                                </w:rPr>
                                <w:t>(Приложение 5.01.2, 5.01.3.)</w:t>
                              </w:r>
                            </w:p>
                          </w:txbxContent>
                        </wps:txbx>
                        <wps:bodyPr rot="0" vert="horz" wrap="square" lIns="91440" tIns="45720" rIns="91440" bIns="45720" anchor="t" anchorCtr="0" upright="1">
                          <a:noAutofit/>
                        </wps:bodyPr>
                      </wps:wsp>
                      <wps:wsp>
                        <wps:cNvPr id="1667" name="AutoShape 65"/>
                        <wps:cNvSpPr>
                          <a:spLocks noChangeArrowheads="1"/>
                        </wps:cNvSpPr>
                        <wps:spPr bwMode="auto">
                          <a:xfrm>
                            <a:off x="2743200" y="47708"/>
                            <a:ext cx="1980000" cy="360000"/>
                          </a:xfrm>
                          <a:prstGeom prst="flowChartDocument">
                            <a:avLst/>
                          </a:prstGeom>
                          <a:solidFill>
                            <a:srgbClr val="FFFFFF"/>
                          </a:solidFill>
                          <a:ln w="9525">
                            <a:solidFill>
                              <a:srgbClr val="000000"/>
                            </a:solidFill>
                            <a:miter lim="800000"/>
                            <a:headEnd/>
                            <a:tailEnd/>
                          </a:ln>
                        </wps:spPr>
                        <wps:txbx>
                          <w:txbxContent>
                            <w:p w14:paraId="01BB9655" w14:textId="77777777" w:rsidR="004E3164" w:rsidRPr="002E7370" w:rsidRDefault="004E3164" w:rsidP="002E7370">
                              <w:pPr>
                                <w:ind w:firstLine="0"/>
                                <w:jc w:val="center"/>
                                <w:rPr>
                                  <w:sz w:val="20"/>
                                </w:rPr>
                              </w:pPr>
                              <w:r w:rsidRPr="002E7370">
                                <w:rPr>
                                  <w:sz w:val="20"/>
                                </w:rPr>
                                <w:t>Сертификат.</w:t>
                              </w:r>
                            </w:p>
                          </w:txbxContent>
                        </wps:txbx>
                        <wps:bodyPr rot="0" vert="horz" wrap="square" lIns="91440" tIns="45720" rIns="91440" bIns="45720" anchor="t" anchorCtr="0" upright="1">
                          <a:noAutofit/>
                        </wps:bodyPr>
                      </wps:wsp>
                      <wps:wsp>
                        <wps:cNvPr id="1671" name="AutoShape 67"/>
                        <wps:cNvSpPr>
                          <a:spLocks noChangeArrowheads="1"/>
                        </wps:cNvSpPr>
                        <wps:spPr bwMode="auto">
                          <a:xfrm>
                            <a:off x="492981" y="4500439"/>
                            <a:ext cx="3856383" cy="230588"/>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D142C" w14:textId="77777777" w:rsidR="004E3164" w:rsidRPr="002E7370" w:rsidRDefault="004E3164" w:rsidP="002E7370">
                              <w:pPr>
                                <w:autoSpaceDE w:val="0"/>
                                <w:autoSpaceDN w:val="0"/>
                                <w:adjustRightInd w:val="0"/>
                                <w:ind w:firstLine="0"/>
                                <w:jc w:val="center"/>
                                <w:rPr>
                                  <w:b/>
                                  <w:i/>
                                  <w:sz w:val="20"/>
                                </w:rPr>
                              </w:pPr>
                              <w:r w:rsidRPr="002E7370">
                                <w:rPr>
                                  <w:b/>
                                  <w:i/>
                                  <w:sz w:val="20"/>
                                </w:rPr>
                                <w:t>Схема на процеса на верифициране на раз</w:t>
                              </w:r>
                              <w:r w:rsidRPr="002E7370">
                                <w:rPr>
                                  <w:b/>
                                  <w:i/>
                                  <w:sz w:val="20"/>
                                  <w:lang w:val="ru-RU"/>
                                </w:rPr>
                                <w:t>х</w:t>
                              </w:r>
                              <w:r w:rsidRPr="002E7370">
                                <w:rPr>
                                  <w:b/>
                                  <w:i/>
                                  <w:sz w:val="20"/>
                                </w:rPr>
                                <w:t>одите по ОПТТИ</w:t>
                              </w:r>
                            </w:p>
                          </w:txbxContent>
                        </wps:txbx>
                        <wps:bodyPr rot="0" vert="horz" wrap="square" lIns="59436" tIns="29718" rIns="59436" bIns="29718" anchor="t" anchorCtr="0" upright="1">
                          <a:noAutofit/>
                        </wps:bodyPr>
                      </wps:wsp>
                      <wps:wsp>
                        <wps:cNvPr id="1672" name="AutoShape 54"/>
                        <wps:cNvSpPr>
                          <a:spLocks noChangeArrowheads="1"/>
                        </wps:cNvSpPr>
                        <wps:spPr bwMode="auto">
                          <a:xfrm>
                            <a:off x="1025718" y="1184745"/>
                            <a:ext cx="113665" cy="227965"/>
                          </a:xfrm>
                          <a:prstGeom prst="downArrow">
                            <a:avLst>
                              <a:gd name="adj1" fmla="val 50000"/>
                              <a:gd name="adj2" fmla="val 500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3" name="AutoShape 54"/>
                        <wps:cNvSpPr>
                          <a:spLocks noChangeArrowheads="1"/>
                        </wps:cNvSpPr>
                        <wps:spPr bwMode="auto">
                          <a:xfrm>
                            <a:off x="1025718" y="3562185"/>
                            <a:ext cx="113665" cy="227965"/>
                          </a:xfrm>
                          <a:prstGeom prst="downArrow">
                            <a:avLst>
                              <a:gd name="adj1" fmla="val 50000"/>
                              <a:gd name="adj2" fmla="val 500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4" name="Straight Connector 424"/>
                        <wps:cNvCnPr>
                          <a:cxnSpLocks noChangeShapeType="1"/>
                          <a:stCxn id="1658" idx="3"/>
                          <a:endCxn id="1660" idx="1"/>
                        </wps:cNvCnPr>
                        <wps:spPr bwMode="auto">
                          <a:xfrm flipV="1">
                            <a:off x="2159414" y="4001025"/>
                            <a:ext cx="583919" cy="59867"/>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675" name="Straight Connector 426"/>
                        <wps:cNvCnPr>
                          <a:cxnSpLocks noChangeShapeType="1"/>
                          <a:stCxn id="1653" idx="3"/>
                          <a:endCxn id="1659" idx="1"/>
                        </wps:cNvCnPr>
                        <wps:spPr bwMode="auto">
                          <a:xfrm flipV="1">
                            <a:off x="2159779" y="2474464"/>
                            <a:ext cx="583140" cy="10174"/>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676" name="Straight Connector 427"/>
                        <wps:cNvCnPr>
                          <a:cxnSpLocks noChangeShapeType="1"/>
                          <a:stCxn id="1649" idx="3"/>
                          <a:endCxn id="1666" idx="1"/>
                        </wps:cNvCnPr>
                        <wps:spPr bwMode="auto">
                          <a:xfrm flipV="1">
                            <a:off x="2159414" y="947876"/>
                            <a:ext cx="583505" cy="622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677" name="Straight Connector 428"/>
                        <wps:cNvCnPr>
                          <a:cxnSpLocks noChangeShapeType="1"/>
                          <a:stCxn id="1656" idx="3"/>
                          <a:endCxn id="1667" idx="1"/>
                        </wps:cNvCnPr>
                        <wps:spPr bwMode="auto">
                          <a:xfrm flipV="1">
                            <a:off x="2159779" y="227695"/>
                            <a:ext cx="583140" cy="892"/>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4C9A7A" id="Group 429" o:spid="_x0000_s1658" style="width:371.95pt;height:372.5pt;mso-position-horizontal-relative:char;mso-position-vertical-relative:line" coordsize="47236,4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">
                <v:shape id="AutoShape 51" o:spid="_x0000_s1659" type="#_x0000_t109" style="position:absolute;top:7712;width:21596;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">
                  <v:textbox inset="4.68pt,2.34pt,4.68pt,2.34pt">
                    <w:txbxContent>
                      <w:p w14:paraId="38A0D430" w14:textId="77777777" w:rsidR="004E3164" w:rsidRPr="002E7370" w:rsidRDefault="004E3164" w:rsidP="002E7370">
                        <w:pPr>
                          <w:ind w:firstLine="0"/>
                          <w:jc w:val="center"/>
                          <w:rPr>
                            <w:sz w:val="20"/>
                          </w:rPr>
                        </w:pPr>
                        <w:r w:rsidRPr="002E7370">
                          <w:rPr>
                            <w:sz w:val="20"/>
                          </w:rPr>
                          <w:t xml:space="preserve"> Потвърждаване на разходите от бенефициента</w:t>
                        </w:r>
                      </w:p>
                    </w:txbxContent>
                  </v:textbox>
                </v:shape>
                <v:shape id="AutoShape 52" o:spid="_x0000_s1660" type="#_x0000_t109" style="position:absolute;top:14550;width:21600;height:20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">
                  <v:textbox inset="4.68pt,2.34pt,4.68pt,2.34pt">
                    <w:txbxContent>
                      <w:p w14:paraId="48BAD4C0" w14:textId="77777777" w:rsidR="004E3164" w:rsidRPr="002E7370" w:rsidRDefault="004E3164" w:rsidP="002E7370">
                        <w:pPr>
                          <w:ind w:firstLine="0"/>
                          <w:jc w:val="center"/>
                          <w:rPr>
                            <w:sz w:val="20"/>
                          </w:rPr>
                        </w:pPr>
                        <w:r w:rsidRPr="002E7370">
                          <w:rPr>
                            <w:sz w:val="20"/>
                          </w:rPr>
                          <w:t>Верифициране на разходите от УО:</w:t>
                        </w:r>
                      </w:p>
                      <w:p w14:paraId="4280AB02" w14:textId="77777777" w:rsidR="004E3164" w:rsidRPr="002E7370" w:rsidRDefault="004E3164" w:rsidP="002E7370">
                        <w:pPr>
                          <w:numPr>
                            <w:ilvl w:val="0"/>
                            <w:numId w:val="133"/>
                          </w:numPr>
                          <w:tabs>
                            <w:tab w:val="clear" w:pos="720"/>
                            <w:tab w:val="num" w:pos="200"/>
                          </w:tabs>
                          <w:autoSpaceDE w:val="0"/>
                          <w:autoSpaceDN w:val="0"/>
                          <w:adjustRightInd w:val="0"/>
                          <w:ind w:left="0" w:firstLine="0"/>
                          <w:jc w:val="left"/>
                          <w:rPr>
                            <w:sz w:val="20"/>
                          </w:rPr>
                        </w:pPr>
                        <w:r w:rsidRPr="002E7370">
                          <w:rPr>
                            <w:sz w:val="20"/>
                          </w:rPr>
                          <w:t>Документална проверка на искане за междинно/окончателно плащане и съпътстващата го разходооправдателна документация от отдел ”Финансово управление”;</w:t>
                        </w:r>
                      </w:p>
                      <w:p w14:paraId="5D2D3CB9" w14:textId="77777777" w:rsidR="004E3164" w:rsidRPr="002E7370" w:rsidRDefault="004E3164" w:rsidP="002E7370">
                        <w:pPr>
                          <w:numPr>
                            <w:ilvl w:val="0"/>
                            <w:numId w:val="133"/>
                          </w:numPr>
                          <w:tabs>
                            <w:tab w:val="clear" w:pos="720"/>
                            <w:tab w:val="num" w:pos="200"/>
                          </w:tabs>
                          <w:autoSpaceDE w:val="0"/>
                          <w:autoSpaceDN w:val="0"/>
                          <w:adjustRightInd w:val="0"/>
                          <w:ind w:left="0" w:firstLine="0"/>
                          <w:jc w:val="left"/>
                          <w:rPr>
                            <w:sz w:val="20"/>
                          </w:rPr>
                        </w:pPr>
                        <w:r w:rsidRPr="002E7370">
                          <w:rPr>
                            <w:color w:val="000000"/>
                            <w:sz w:val="20"/>
                          </w:rPr>
                          <w:t xml:space="preserve">Проверка на кореспонденцията между </w:t>
                        </w:r>
                        <w:r w:rsidRPr="002E7370">
                          <w:rPr>
                            <w:sz w:val="20"/>
                          </w:rPr>
                          <w:t>докладваните</w:t>
                        </w:r>
                        <w:r w:rsidRPr="002E7370">
                          <w:rPr>
                            <w:color w:val="000000"/>
                            <w:sz w:val="20"/>
                          </w:rPr>
                          <w:t xml:space="preserve"> разходи в </w:t>
                        </w:r>
                        <w:r w:rsidRPr="002E7370">
                          <w:rPr>
                            <w:sz w:val="20"/>
                          </w:rPr>
                          <w:t xml:space="preserve">искане за междинно/окончателно плащане </w:t>
                        </w:r>
                        <w:r w:rsidRPr="002E7370">
                          <w:rPr>
                            <w:color w:val="000000"/>
                            <w:sz w:val="20"/>
                          </w:rPr>
                          <w:t>и физическия напредък по проекта</w:t>
                        </w:r>
                        <w:r w:rsidRPr="002E7370">
                          <w:rPr>
                            <w:sz w:val="20"/>
                          </w:rPr>
                          <w:t xml:space="preserve"> от отдел „Изпълнение и координация”</w:t>
                        </w:r>
                      </w:p>
                      <w:p w14:paraId="2B7F6C9C" w14:textId="77777777" w:rsidR="004E3164" w:rsidRPr="002E7370" w:rsidRDefault="004E3164" w:rsidP="002E7370">
                        <w:pPr>
                          <w:numPr>
                            <w:ilvl w:val="0"/>
                            <w:numId w:val="133"/>
                          </w:numPr>
                          <w:tabs>
                            <w:tab w:val="clear" w:pos="720"/>
                            <w:tab w:val="num" w:pos="200"/>
                          </w:tabs>
                          <w:autoSpaceDE w:val="0"/>
                          <w:autoSpaceDN w:val="0"/>
                          <w:adjustRightInd w:val="0"/>
                          <w:ind w:left="0" w:firstLine="0"/>
                          <w:jc w:val="left"/>
                          <w:rPr>
                            <w:sz w:val="20"/>
                          </w:rPr>
                        </w:pPr>
                        <w:r w:rsidRPr="002E7370">
                          <w:rPr>
                            <w:color w:val="000000"/>
                            <w:sz w:val="20"/>
                          </w:rPr>
                          <w:t>Одобрение</w:t>
                        </w:r>
                        <w:r w:rsidRPr="002E7370">
                          <w:rPr>
                            <w:sz w:val="20"/>
                          </w:rPr>
                          <w:t xml:space="preserve"> от Ръководител на УО</w:t>
                        </w:r>
                        <w:r w:rsidRPr="00842ECC">
                          <w:rPr>
                            <w:sz w:val="20"/>
                          </w:rPr>
                          <w:t>.</w:t>
                        </w:r>
                      </w:p>
                    </w:txbxContent>
                  </v:textbox>
                </v:shape>
                <v:shape id="AutoShape 53" o:spid="_x0000_s1661" type="#_x0000_t109" style="position:absolute;width:2160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">
                  <v:textbox inset="4.68pt,2.34pt,4.68pt,2.34pt">
                    <w:txbxContent>
                      <w:p w14:paraId="23BEE782" w14:textId="77777777" w:rsidR="004E3164" w:rsidRPr="002E7370" w:rsidRDefault="004E3164" w:rsidP="002E7370">
                        <w:pPr>
                          <w:ind w:firstLine="0"/>
                          <w:jc w:val="center"/>
                          <w:rPr>
                            <w:sz w:val="20"/>
                          </w:rPr>
                        </w:pPr>
                        <w:r w:rsidRPr="002E7370">
                          <w:rPr>
                            <w:sz w:val="20"/>
                          </w:rPr>
                          <w:t>Получаване на фактури за извършени услуги от изпълнителя</w:t>
                        </w:r>
                      </w:p>
                    </w:txbxContent>
                  </v:textbox>
                </v:shape>
                <v:shape id="AutoShape 54" o:spid="_x0000_s1662" type="#_x0000_t67" style="position:absolute;left:10177;top:5009;width:1137;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" adj="16214"/>
                <v:shape id="AutoShape 58" o:spid="_x0000_s1663" type="#_x0000_t109" style="position:absolute;top:38325;width:2159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">
                  <v:textbox inset="4.68pt,2.34pt,4.68pt,2.34pt">
                    <w:txbxContent>
                      <w:p w14:paraId="19C70149" w14:textId="77777777" w:rsidR="004E3164" w:rsidRPr="002E7370" w:rsidRDefault="004E3164" w:rsidP="002E7370">
                        <w:pPr>
                          <w:autoSpaceDE w:val="0"/>
                          <w:autoSpaceDN w:val="0"/>
                          <w:adjustRightInd w:val="0"/>
                          <w:ind w:firstLine="0"/>
                          <w:jc w:val="center"/>
                          <w:rPr>
                            <w:sz w:val="20"/>
                          </w:rPr>
                        </w:pPr>
                        <w:r w:rsidRPr="002E7370">
                          <w:rPr>
                            <w:sz w:val="20"/>
                          </w:rPr>
                          <w:t>Изпращане на ДС и  ДДР до СО</w:t>
                        </w:r>
                      </w:p>
                    </w:txbxContent>
                  </v:textbox>
                </v:shape>
                <v:shape id="AutoShape 59" o:spid="_x0000_s1664" type="#_x0000_t114" style="position:absolute;left:27432;top:21866;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">
                  <v:textbox>
                    <w:txbxContent>
                      <w:p w14:paraId="5F64EC5F" w14:textId="77777777" w:rsidR="004E3164" w:rsidRPr="002E7370" w:rsidRDefault="004E3164" w:rsidP="002E7370">
                        <w:pPr>
                          <w:ind w:firstLine="0"/>
                          <w:jc w:val="center"/>
                          <w:rPr>
                            <w:sz w:val="20"/>
                          </w:rPr>
                        </w:pPr>
                        <w:r w:rsidRPr="002E7370">
                          <w:rPr>
                            <w:sz w:val="20"/>
                          </w:rPr>
                          <w:t>Контролен лист</w:t>
                        </w:r>
                      </w:p>
                      <w:p w14:paraId="3DCCF07A" w14:textId="77777777" w:rsidR="004E3164" w:rsidRPr="002E7370" w:rsidRDefault="004E3164" w:rsidP="002E7370">
                        <w:pPr>
                          <w:ind w:firstLine="0"/>
                          <w:jc w:val="center"/>
                          <w:rPr>
                            <w:i/>
                            <w:color w:val="0070C0"/>
                            <w:sz w:val="20"/>
                          </w:rPr>
                        </w:pPr>
                        <w:r w:rsidRPr="002E7370">
                          <w:rPr>
                            <w:i/>
                            <w:sz w:val="20"/>
                          </w:rPr>
                          <w:t xml:space="preserve">(Приложение </w:t>
                        </w:r>
                        <w:r w:rsidRPr="002E7370">
                          <w:rPr>
                            <w:i/>
                            <w:color w:val="0070C0"/>
                            <w:sz w:val="20"/>
                          </w:rPr>
                          <w:t>5.01.2.1, 5.01.3,1.)</w:t>
                        </w:r>
                      </w:p>
                    </w:txbxContent>
                  </v:textbox>
                </v:shape>
                <v:shape id="AutoShape 61" o:spid="_x0000_s1665" type="#_x0000_t114" style="position:absolute;left:27436;top:37132;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">
                  <v:textbox>
                    <w:txbxContent>
                      <w:p w14:paraId="741CE7E1" w14:textId="77777777" w:rsidR="004E3164" w:rsidRPr="002E7370" w:rsidRDefault="004E3164" w:rsidP="002E7370">
                        <w:pPr>
                          <w:ind w:firstLine="0"/>
                          <w:jc w:val="center"/>
                          <w:rPr>
                            <w:sz w:val="20"/>
                          </w:rPr>
                        </w:pPr>
                        <w:r w:rsidRPr="002E7370">
                          <w:rPr>
                            <w:sz w:val="20"/>
                          </w:rPr>
                          <w:t xml:space="preserve">ДС и ДДР </w:t>
                        </w:r>
                      </w:p>
                      <w:p w14:paraId="13F89575" w14:textId="77777777" w:rsidR="004E3164" w:rsidRPr="002E7370" w:rsidRDefault="004E3164" w:rsidP="002E7370">
                        <w:pPr>
                          <w:ind w:firstLine="0"/>
                          <w:jc w:val="center"/>
                          <w:rPr>
                            <w:sz w:val="20"/>
                          </w:rPr>
                        </w:pPr>
                        <w:r w:rsidRPr="002E7370">
                          <w:rPr>
                            <w:i/>
                            <w:sz w:val="20"/>
                            <w:lang w:val="en-US"/>
                          </w:rPr>
                          <w:t>(</w:t>
                        </w:r>
                        <w:r w:rsidRPr="002E7370">
                          <w:rPr>
                            <w:i/>
                            <w:sz w:val="20"/>
                          </w:rPr>
                          <w:t xml:space="preserve">Приложение </w:t>
                        </w:r>
                        <w:r w:rsidRPr="002E7370">
                          <w:rPr>
                            <w:i/>
                            <w:color w:val="0070C0"/>
                            <w:sz w:val="20"/>
                          </w:rPr>
                          <w:t>5.02.1)</w:t>
                        </w:r>
                      </w:p>
                    </w:txbxContent>
                  </v:textbox>
                </v:shape>
                <v:shape id="AutoShape 64" o:spid="_x0000_s1666" type="#_x0000_t114" style="position:absolute;left:27432;top:6599;width:1979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">
                  <v:textbox>
                    <w:txbxContent>
                      <w:p w14:paraId="51A7D4A6" w14:textId="77777777" w:rsidR="004E3164" w:rsidRPr="002E7370" w:rsidRDefault="004E3164" w:rsidP="002E7370">
                        <w:pPr>
                          <w:ind w:firstLine="0"/>
                          <w:jc w:val="center"/>
                          <w:rPr>
                            <w:sz w:val="20"/>
                          </w:rPr>
                        </w:pPr>
                        <w:r w:rsidRPr="002E7370">
                          <w:rPr>
                            <w:sz w:val="20"/>
                          </w:rPr>
                          <w:t>Искане за плащане</w:t>
                        </w:r>
                      </w:p>
                      <w:p w14:paraId="2E95B7B4" w14:textId="77777777" w:rsidR="004E3164" w:rsidRPr="002E7370" w:rsidRDefault="004E3164" w:rsidP="002E7370">
                        <w:pPr>
                          <w:ind w:firstLine="0"/>
                          <w:jc w:val="center"/>
                          <w:rPr>
                            <w:sz w:val="20"/>
                          </w:rPr>
                        </w:pPr>
                        <w:r w:rsidRPr="002E7370">
                          <w:rPr>
                            <w:i/>
                            <w:color w:val="0070C0"/>
                            <w:sz w:val="20"/>
                          </w:rPr>
                          <w:t>(Приложение 5.01.2, 5.01.3.)</w:t>
                        </w:r>
                      </w:p>
                    </w:txbxContent>
                  </v:textbox>
                </v:shape>
                <v:shape id="AutoShape 65" o:spid="_x0000_s1667" type="#_x0000_t114" style="position:absolute;left:27432;top:477;width:198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">
                  <v:textbox>
                    <w:txbxContent>
                      <w:p w14:paraId="01BB9655" w14:textId="77777777" w:rsidR="004E3164" w:rsidRPr="002E7370" w:rsidRDefault="004E3164" w:rsidP="002E7370">
                        <w:pPr>
                          <w:ind w:firstLine="0"/>
                          <w:jc w:val="center"/>
                          <w:rPr>
                            <w:sz w:val="20"/>
                          </w:rPr>
                        </w:pPr>
                        <w:r w:rsidRPr="002E7370">
                          <w:rPr>
                            <w:sz w:val="20"/>
                          </w:rPr>
                          <w:t>Сертификат.</w:t>
                        </w:r>
                      </w:p>
                    </w:txbxContent>
                  </v:textbox>
                </v:shape>
                <v:shape id="AutoShape 67" o:spid="_x0000_s1668" type="#_x0000_t109" style="position:absolute;left:4929;top:45004;width:38564;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" stroked="f">
                  <v:textbox inset="4.68pt,2.34pt,4.68pt,2.34pt">
                    <w:txbxContent>
                      <w:p w14:paraId="7D2D142C" w14:textId="77777777" w:rsidR="004E3164" w:rsidRPr="002E7370" w:rsidRDefault="004E3164" w:rsidP="002E7370">
                        <w:pPr>
                          <w:autoSpaceDE w:val="0"/>
                          <w:autoSpaceDN w:val="0"/>
                          <w:adjustRightInd w:val="0"/>
                          <w:ind w:firstLine="0"/>
                          <w:jc w:val="center"/>
                          <w:rPr>
                            <w:b/>
                            <w:i/>
                            <w:sz w:val="20"/>
                          </w:rPr>
                        </w:pPr>
                        <w:r w:rsidRPr="002E7370">
                          <w:rPr>
                            <w:b/>
                            <w:i/>
                            <w:sz w:val="20"/>
                          </w:rPr>
                          <w:t>Схема на процеса на верифициране на раз</w:t>
                        </w:r>
                        <w:r w:rsidRPr="002E7370">
                          <w:rPr>
                            <w:b/>
                            <w:i/>
                            <w:sz w:val="20"/>
                            <w:lang w:val="ru-RU"/>
                          </w:rPr>
                          <w:t>х</w:t>
                        </w:r>
                        <w:r w:rsidRPr="002E7370">
                          <w:rPr>
                            <w:b/>
                            <w:i/>
                            <w:sz w:val="20"/>
                          </w:rPr>
                          <w:t>одите по ОПТТИ</w:t>
                        </w:r>
                      </w:p>
                    </w:txbxContent>
                  </v:textbox>
                </v:shape>
                <v:shape id="AutoShape 54" o:spid="_x0000_s1669" type="#_x0000_t67" style="position:absolute;left:10257;top:11847;width:1136;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" adj="16214"/>
                <v:shape id="AutoShape 54" o:spid="_x0000_s1670" type="#_x0000_t67" style="position:absolute;left:10257;top:35621;width:1136;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" adj="16214"/>
                <v:line id="Straight Connector 424" o:spid="_x0000_s1671" style="position:absolute;flip:y;visibility:visible;mso-wrap-style:square" from="21594,40010" to="27433,40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" strokeweight=".5pt">
                  <v:stroke joinstyle="miter"/>
                </v:line>
                <v:line id="Straight Connector 426" o:spid="_x0000_s1672" style="position:absolute;flip:y;visibility:visible;mso-wrap-style:square" from="21597,24744" to="27429,24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" strokeweight=".5pt">
                  <v:stroke joinstyle="miter"/>
                </v:line>
                <v:line id="Straight Connector 427" o:spid="_x0000_s1673" style="position:absolute;flip:y;visibility:visible;mso-wrap-style:square" from="21594,9478" to="27429,9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" strokeweight=".5pt">
                  <v:stroke joinstyle="miter"/>
                </v:line>
                <v:line id="Straight Connector 428" o:spid="_x0000_s1674" style="position:absolute;flip:y;visibility:visible;mso-wrap-style:square" from="21597,2276" to="27429,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" strokeweight=".5pt">
                  <v:stroke joinstyle="miter"/>
                </v:line>
                <w10:anchorlock/>
              </v:group>
            </w:pict>
          </mc:Fallback>
        </mc:AlternateContent>
      </w:r>
    </w:p>
    <w:p w14:paraId="1FB7E0C1" w14:textId="77777777" w:rsidR="000444CE" w:rsidRPr="001B0EA3" w:rsidRDefault="000444CE" w:rsidP="000444CE">
      <w:pPr>
        <w:rPr>
          <w:b/>
          <w:color w:val="000000"/>
          <w:szCs w:val="24"/>
        </w:rPr>
      </w:pPr>
    </w:p>
    <w:p w14:paraId="6C361949" w14:textId="77777777" w:rsidR="000444CE" w:rsidRPr="00842ECC" w:rsidRDefault="000444CE" w:rsidP="00223233">
      <w:pPr>
        <w:pStyle w:val="Style3"/>
        <w:rPr>
          <w:lang w:val="bg-BG"/>
        </w:rPr>
      </w:pPr>
      <w:bookmarkStart w:id="1136" w:name="_Toc479775708"/>
      <w:r w:rsidRPr="00842ECC">
        <w:rPr>
          <w:lang w:val="bg-BG"/>
        </w:rPr>
        <w:t>Схема на процеса на верифициране на разходите по ОПТТИ</w:t>
      </w:r>
      <w:bookmarkEnd w:id="1136"/>
    </w:p>
    <w:p w14:paraId="7275092A" w14:textId="77777777" w:rsidR="00363266" w:rsidRPr="00363266" w:rsidRDefault="00363266" w:rsidP="00363266">
      <w:pPr>
        <w:spacing w:after="120"/>
        <w:rPr>
          <w:color w:val="000000"/>
          <w:szCs w:val="24"/>
        </w:rPr>
      </w:pPr>
      <w:r w:rsidRPr="00363266">
        <w:rPr>
          <w:color w:val="000000"/>
          <w:szCs w:val="24"/>
        </w:rPr>
        <w:t xml:space="preserve">Бенефициентът е задължен да изготви и одобри свои системи и правила за изпълнение, управление и контрол на проектитепо ОПТТИ, в които да опише принципите, изискванията и процедурите, които ще се следват при изпълнението на проектите, финансирани от ЕСИФ . Всяка дейност, заложена като задължение на бенефициента в Административен договор/Заповед за предоставяне на БФП и  в Насоките за кандидатстване по ОПТТИ , следва да бъде подробно разписана по отношение на процедурите, задълженията, отговорностите и сроковете за финансово изпълнение в структурата на бенефициента. </w:t>
      </w:r>
    </w:p>
    <w:p w14:paraId="0EED9602" w14:textId="77777777" w:rsidR="00363266" w:rsidRDefault="00363266" w:rsidP="00363266">
      <w:pPr>
        <w:spacing w:after="120"/>
        <w:rPr>
          <w:color w:val="000000"/>
          <w:szCs w:val="24"/>
        </w:rPr>
      </w:pPr>
      <w:r w:rsidRPr="00363266">
        <w:rPr>
          <w:color w:val="000000"/>
          <w:szCs w:val="24"/>
        </w:rPr>
        <w:t>Бенефициентът е отговорен за изпълнението на одобрения проект, финансиран от ОПТТИ, съгласно сключен Административен договор/издадена Заповед за отпускане на безвъзмездна финансова помощ, както и за потвърждаване на разходите по проекта (за строително-монтажни работи и/или доставка на стоки и/или предоставяне на услуги …..)  въз основа на фактури и/или разходооправдателни документи с еквивалентна доказателствена стойност, съгласно приложимото законодателство и съответните счетоводни документи.</w:t>
      </w:r>
    </w:p>
    <w:p w14:paraId="4BA0870B" w14:textId="77777777" w:rsidR="000444CE" w:rsidRPr="001B0EA3" w:rsidRDefault="000444CE" w:rsidP="000444CE">
      <w:pPr>
        <w:tabs>
          <w:tab w:val="left" w:pos="0"/>
        </w:tabs>
        <w:spacing w:after="120"/>
        <w:rPr>
          <w:color w:val="000000"/>
          <w:szCs w:val="24"/>
        </w:rPr>
      </w:pPr>
      <w:r w:rsidRPr="001B0EA3">
        <w:rPr>
          <w:color w:val="000000"/>
          <w:szCs w:val="24"/>
        </w:rPr>
        <w:t>Бенефициентът е отговорен за потвърждаване на разходите за доставка, стоки и/или извършване на строителни работи и/или предоставяне на услуги по проекта въз основа на фактури и/или други документи с еквивалентна доказателствена стойност.</w:t>
      </w:r>
    </w:p>
    <w:p w14:paraId="6869934D" w14:textId="77777777" w:rsidR="000444CE" w:rsidRPr="001B0EA3" w:rsidRDefault="000444CE" w:rsidP="000444CE">
      <w:pPr>
        <w:tabs>
          <w:tab w:val="left" w:pos="0"/>
        </w:tabs>
        <w:spacing w:after="120"/>
        <w:rPr>
          <w:szCs w:val="24"/>
        </w:rPr>
      </w:pPr>
      <w:r w:rsidRPr="001B0EA3">
        <w:rPr>
          <w:szCs w:val="24"/>
        </w:rPr>
        <w:t>Бенефициентът е отговорен за потвърждаване на извършените дейности в рамките на договора/заповедта за отпускане на БФП, когато тези дейности се извършват от самия бенефициент.</w:t>
      </w:r>
    </w:p>
    <w:p w14:paraId="3544D6CD" w14:textId="77777777" w:rsidR="003C2A10" w:rsidRPr="001B0EA3" w:rsidRDefault="00363266" w:rsidP="003C2A10">
      <w:pPr>
        <w:tabs>
          <w:tab w:val="left" w:pos="0"/>
        </w:tabs>
        <w:spacing w:after="120"/>
        <w:rPr>
          <w:szCs w:val="24"/>
        </w:rPr>
      </w:pPr>
      <w:r w:rsidRPr="00363266">
        <w:rPr>
          <w:szCs w:val="24"/>
        </w:rPr>
        <w:lastRenderedPageBreak/>
        <w:t xml:space="preserve">След като дейностите са договорени и услугите са извършени, стоките са осигурени и работите изпълнени, изпълнителят/доставчикът издава фактури, които предоставя на бенефициента. Преди плащане, бенефициентът извършва пълна проверка на документите, представени от изпълнителите по договори в рамките на проекта, проверка за изпълнение на определените условия за плащане  и проверка на място на проекта за удостоверяване извършването на заявените за плащане дейности (когато е приложимо), в съответствие с техническо задание и/или тръжно досие на проекта и/или други свързани документи. Преди плащане бенефициентът изготвя, окомплектова и извършва пълна проверка на необходимите документи, когато изпълнението на проекта се осъществява от самия бенефициент. </w:t>
      </w:r>
      <w:r w:rsidR="003C2A10" w:rsidRPr="00363266">
        <w:rPr>
          <w:szCs w:val="24"/>
        </w:rPr>
        <w:t>След приключване на проверката и извършване на  плащането/ията, бенефициентът представя на  УО искане за междинно/окончателно плащане</w:t>
      </w:r>
      <w:r w:rsidR="003C2A10">
        <w:rPr>
          <w:szCs w:val="24"/>
        </w:rPr>
        <w:t>, регистрирано по електронен път в ИСУН 2020.</w:t>
      </w:r>
    </w:p>
    <w:p w14:paraId="2CF14A8B" w14:textId="77777777" w:rsidR="00363266" w:rsidRDefault="00363266" w:rsidP="003C2A10">
      <w:pPr>
        <w:tabs>
          <w:tab w:val="left" w:pos="0"/>
        </w:tabs>
        <w:spacing w:after="120"/>
        <w:rPr>
          <w:szCs w:val="24"/>
        </w:rPr>
      </w:pPr>
      <w:r w:rsidRPr="003B37B4">
        <w:rPr>
          <w:szCs w:val="24"/>
        </w:rPr>
        <w:t xml:space="preserve">Исканията за междинно/окончателно плащане, подадени от бенефициента се придружават с декларация, потвърждаваща </w:t>
      </w:r>
      <w:r>
        <w:rPr>
          <w:szCs w:val="24"/>
        </w:rPr>
        <w:t xml:space="preserve">следните </w:t>
      </w:r>
      <w:r w:rsidRPr="003B37B4">
        <w:rPr>
          <w:szCs w:val="24"/>
        </w:rPr>
        <w:t>обстоятелства</w:t>
      </w:r>
      <w:r>
        <w:rPr>
          <w:szCs w:val="24"/>
        </w:rPr>
        <w:t>:</w:t>
      </w:r>
    </w:p>
    <w:p w14:paraId="3FC588B1" w14:textId="77777777" w:rsidR="00363266" w:rsidRPr="005B04E5" w:rsidRDefault="00363266" w:rsidP="00363266">
      <w:pPr>
        <w:tabs>
          <w:tab w:val="left" w:pos="567"/>
        </w:tabs>
        <w:spacing w:after="120"/>
        <w:rPr>
          <w:color w:val="000000"/>
          <w:szCs w:val="24"/>
        </w:rPr>
      </w:pPr>
      <w:r w:rsidRPr="003B37B4">
        <w:rPr>
          <w:szCs w:val="24"/>
        </w:rPr>
        <w:t xml:space="preserve"> -</w:t>
      </w:r>
      <w:r w:rsidRPr="003B37B4">
        <w:rPr>
          <w:szCs w:val="24"/>
        </w:rPr>
        <w:tab/>
      </w:r>
      <w:r>
        <w:rPr>
          <w:szCs w:val="24"/>
        </w:rPr>
        <w:t>И</w:t>
      </w:r>
      <w:r w:rsidRPr="003B37B4">
        <w:rPr>
          <w:szCs w:val="24"/>
        </w:rPr>
        <w:t xml:space="preserve">зборът на изпълнител </w:t>
      </w:r>
      <w:r w:rsidRPr="005B04E5">
        <w:rPr>
          <w:color w:val="000000"/>
          <w:szCs w:val="24"/>
        </w:rPr>
        <w:t>е осъществен, съгласно условията и реда на Закона за обществените поръчки и/или съответната приложима нормативна уредба</w:t>
      </w:r>
    </w:p>
    <w:p w14:paraId="1819D21C" w14:textId="77777777" w:rsidR="00363266" w:rsidRPr="005B04E5" w:rsidRDefault="00363266" w:rsidP="00363266">
      <w:pPr>
        <w:numPr>
          <w:ilvl w:val="0"/>
          <w:numId w:val="127"/>
        </w:numPr>
        <w:tabs>
          <w:tab w:val="left" w:pos="993"/>
        </w:tabs>
        <w:spacing w:after="120"/>
        <w:ind w:left="0" w:firstLine="851"/>
        <w:rPr>
          <w:color w:val="000000"/>
          <w:szCs w:val="24"/>
        </w:rPr>
      </w:pPr>
      <w:r w:rsidRPr="005B04E5">
        <w:rPr>
          <w:color w:val="000000"/>
          <w:szCs w:val="24"/>
        </w:rPr>
        <w:t>Дейностите по проекта</w:t>
      </w:r>
      <w:r>
        <w:rPr>
          <w:color w:val="000000"/>
          <w:szCs w:val="24"/>
        </w:rPr>
        <w:t xml:space="preserve"> </w:t>
      </w:r>
      <w:r w:rsidRPr="005B04E5">
        <w:rPr>
          <w:color w:val="000000"/>
          <w:szCs w:val="24"/>
        </w:rPr>
        <w:t>са осъществени в съответствие с принципа за добро финансово управление;</w:t>
      </w:r>
    </w:p>
    <w:p w14:paraId="319E2D8D" w14:textId="77777777" w:rsidR="00363266" w:rsidRDefault="00363266" w:rsidP="00363266">
      <w:pPr>
        <w:numPr>
          <w:ilvl w:val="0"/>
          <w:numId w:val="127"/>
        </w:numPr>
        <w:tabs>
          <w:tab w:val="left" w:pos="993"/>
        </w:tabs>
        <w:spacing w:after="120"/>
        <w:ind w:left="0" w:firstLine="851"/>
        <w:rPr>
          <w:color w:val="000000"/>
          <w:szCs w:val="24"/>
        </w:rPr>
      </w:pPr>
      <w:r w:rsidRPr="00E11B13">
        <w:rPr>
          <w:color w:val="000000"/>
          <w:szCs w:val="24"/>
        </w:rPr>
        <w:t xml:space="preserve">Искането за плащане включва само </w:t>
      </w:r>
      <w:r w:rsidRPr="006141A3">
        <w:rPr>
          <w:color w:val="000000"/>
          <w:szCs w:val="24"/>
        </w:rPr>
        <w:t>допустими</w:t>
      </w:r>
      <w:r w:rsidRPr="00062B93">
        <w:rPr>
          <w:color w:val="000000"/>
          <w:szCs w:val="24"/>
        </w:rPr>
        <w:t xml:space="preserve"> (в съответствие с раздел I</w:t>
      </w:r>
      <w:r w:rsidRPr="008C1290">
        <w:rPr>
          <w:color w:val="000000"/>
          <w:szCs w:val="24"/>
        </w:rPr>
        <w:t>, т. 9 от Насоки за кандидатстване по ОПТТИ 2014-2020 г.)</w:t>
      </w:r>
      <w:r w:rsidRPr="00A42425">
        <w:rPr>
          <w:color w:val="000000"/>
          <w:szCs w:val="24"/>
        </w:rPr>
        <w:t xml:space="preserve"> </w:t>
      </w:r>
      <w:r w:rsidRPr="005B04E5">
        <w:rPr>
          <w:color w:val="000000"/>
          <w:szCs w:val="24"/>
        </w:rPr>
        <w:t xml:space="preserve"> и действително извършени  от бенефициента разходи, придружени от фактури и/или други счетоводни документи с еквивалентна доказателствена стойност, съгласно приложимото законодателство, които се съхраняват при бенефициента;</w:t>
      </w:r>
    </w:p>
    <w:p w14:paraId="1C46489A" w14:textId="77777777" w:rsidR="00363266" w:rsidRPr="005B04E5" w:rsidRDefault="00363266" w:rsidP="00363266">
      <w:pPr>
        <w:numPr>
          <w:ilvl w:val="0"/>
          <w:numId w:val="127"/>
        </w:numPr>
        <w:tabs>
          <w:tab w:val="left" w:pos="993"/>
        </w:tabs>
        <w:spacing w:after="120"/>
        <w:ind w:left="0" w:firstLine="851"/>
        <w:rPr>
          <w:color w:val="000000"/>
          <w:szCs w:val="24"/>
        </w:rPr>
      </w:pPr>
      <w:r w:rsidRPr="00A42425">
        <w:rPr>
          <w:color w:val="000000"/>
          <w:szCs w:val="24"/>
        </w:rPr>
        <w:t xml:space="preserve">Исканата сума за </w:t>
      </w:r>
      <w:r w:rsidRPr="005F123B">
        <w:rPr>
          <w:color w:val="000000"/>
          <w:szCs w:val="24"/>
        </w:rPr>
        <w:t>междинно</w:t>
      </w:r>
      <w:r w:rsidRPr="004F5E73">
        <w:rPr>
          <w:color w:val="000000"/>
          <w:szCs w:val="24"/>
        </w:rPr>
        <w:t>/</w:t>
      </w:r>
      <w:r>
        <w:rPr>
          <w:color w:val="000000"/>
          <w:szCs w:val="24"/>
        </w:rPr>
        <w:t>окончателно</w:t>
      </w:r>
      <w:r w:rsidRPr="00A42425">
        <w:rPr>
          <w:color w:val="000000"/>
          <w:szCs w:val="24"/>
        </w:rPr>
        <w:t xml:space="preserve">  плащане включва само разходи,  за които са извършени всички необходими проверки по административните, финансовите, техническите и физическите аспекти на дейностите, включително 100% документална проверка</w:t>
      </w:r>
      <w:r>
        <w:rPr>
          <w:color w:val="000000"/>
          <w:szCs w:val="24"/>
        </w:rPr>
        <w:t>;</w:t>
      </w:r>
    </w:p>
    <w:p w14:paraId="4F5BEF45" w14:textId="77777777" w:rsidR="00363266" w:rsidRPr="005B04E5" w:rsidRDefault="00363266" w:rsidP="00363266">
      <w:pPr>
        <w:numPr>
          <w:ilvl w:val="0"/>
          <w:numId w:val="127"/>
        </w:numPr>
        <w:tabs>
          <w:tab w:val="left" w:pos="993"/>
        </w:tabs>
        <w:spacing w:after="120"/>
        <w:ind w:left="0" w:firstLine="851"/>
        <w:rPr>
          <w:color w:val="000000"/>
          <w:szCs w:val="24"/>
        </w:rPr>
      </w:pPr>
      <w:r w:rsidRPr="005B04E5">
        <w:rPr>
          <w:color w:val="000000"/>
          <w:szCs w:val="24"/>
        </w:rPr>
        <w:t>Напредъкът по проекта, в това число финансов и физически, е проверен от бенефициента, включително чрез проверка на място</w:t>
      </w:r>
      <w:r>
        <w:rPr>
          <w:color w:val="000000"/>
          <w:szCs w:val="24"/>
        </w:rPr>
        <w:t>;</w:t>
      </w:r>
    </w:p>
    <w:p w14:paraId="14F7142B" w14:textId="77777777" w:rsidR="00363266" w:rsidRPr="005B04E5" w:rsidRDefault="00363266" w:rsidP="00363266">
      <w:pPr>
        <w:numPr>
          <w:ilvl w:val="0"/>
          <w:numId w:val="127"/>
        </w:numPr>
        <w:tabs>
          <w:tab w:val="left" w:pos="993"/>
        </w:tabs>
        <w:spacing w:after="120"/>
        <w:ind w:left="0" w:firstLine="851"/>
        <w:rPr>
          <w:color w:val="000000"/>
          <w:szCs w:val="24"/>
        </w:rPr>
      </w:pPr>
      <w:r w:rsidRPr="005B04E5">
        <w:rPr>
          <w:color w:val="000000"/>
          <w:szCs w:val="24"/>
        </w:rPr>
        <w:t>Извършените дейности за изпълнение на проекта</w:t>
      </w:r>
      <w:r w:rsidR="003C2A10" w:rsidRPr="00842ECC">
        <w:rPr>
          <w:color w:val="000000"/>
          <w:szCs w:val="24"/>
        </w:rPr>
        <w:t xml:space="preserve"> </w:t>
      </w:r>
      <w:r w:rsidRPr="005B04E5">
        <w:rPr>
          <w:color w:val="000000"/>
          <w:szCs w:val="24"/>
        </w:rPr>
        <w:t>са надлежно документирани и документите са на разположение на националните и европейските контролни и одитни органи при поискване;</w:t>
      </w:r>
    </w:p>
    <w:p w14:paraId="65CD70E3" w14:textId="77777777" w:rsidR="00363266" w:rsidRDefault="00363266" w:rsidP="00363266">
      <w:pPr>
        <w:numPr>
          <w:ilvl w:val="0"/>
          <w:numId w:val="127"/>
        </w:numPr>
        <w:tabs>
          <w:tab w:val="left" w:pos="993"/>
        </w:tabs>
        <w:spacing w:after="120"/>
        <w:ind w:left="0" w:firstLine="851"/>
        <w:rPr>
          <w:color w:val="000000"/>
          <w:szCs w:val="24"/>
        </w:rPr>
      </w:pPr>
      <w:r w:rsidRPr="00544E49">
        <w:rPr>
          <w:color w:val="000000"/>
          <w:szCs w:val="24"/>
        </w:rPr>
        <w:t xml:space="preserve"> </w:t>
      </w:r>
      <w:r>
        <w:rPr>
          <w:color w:val="000000"/>
          <w:szCs w:val="24"/>
        </w:rPr>
        <w:t xml:space="preserve">Бенефициентът поддържа адекватна счетоводна система, със съответната аналитичност на ниво програма, проект, договор, която осигурява поддържането и архивирането на финансовата информация и прилежащите документи в съответствие с действащите изисквания. </w:t>
      </w:r>
      <w:r w:rsidRPr="005B04E5">
        <w:rPr>
          <w:color w:val="000000"/>
          <w:szCs w:val="24"/>
        </w:rPr>
        <w:t xml:space="preserve"> </w:t>
      </w:r>
      <w:r>
        <w:rPr>
          <w:color w:val="000000"/>
          <w:szCs w:val="24"/>
        </w:rPr>
        <w:t>П</w:t>
      </w:r>
      <w:r w:rsidRPr="005B04E5">
        <w:rPr>
          <w:color w:val="000000"/>
          <w:szCs w:val="24"/>
        </w:rPr>
        <w:t>ри поискване счетоводната система е достъпна за проверка от националните и европейските контролни и одитни органи;</w:t>
      </w:r>
    </w:p>
    <w:p w14:paraId="1570A84F" w14:textId="77777777" w:rsidR="00363266" w:rsidRPr="00544E49" w:rsidRDefault="00363266" w:rsidP="00363266">
      <w:pPr>
        <w:tabs>
          <w:tab w:val="left" w:pos="993"/>
        </w:tabs>
        <w:spacing w:after="120"/>
        <w:rPr>
          <w:color w:val="000000"/>
          <w:szCs w:val="24"/>
        </w:rPr>
      </w:pPr>
      <w:r w:rsidRPr="00544E49">
        <w:rPr>
          <w:color w:val="000000"/>
          <w:szCs w:val="24"/>
        </w:rPr>
        <w:t xml:space="preserve">-Бенефициентът създава и поддържа система </w:t>
      </w:r>
      <w:r>
        <w:rPr>
          <w:color w:val="000000"/>
          <w:szCs w:val="24"/>
        </w:rPr>
        <w:t>з</w:t>
      </w:r>
      <w:r w:rsidRPr="00544E49">
        <w:rPr>
          <w:color w:val="000000"/>
          <w:szCs w:val="24"/>
        </w:rPr>
        <w:t>а архивиране на финасовата</w:t>
      </w:r>
      <w:r>
        <w:rPr>
          <w:color w:val="000000"/>
          <w:szCs w:val="24"/>
        </w:rPr>
        <w:t xml:space="preserve"> </w:t>
      </w:r>
      <w:r w:rsidRPr="00544E49">
        <w:rPr>
          <w:color w:val="000000"/>
          <w:szCs w:val="24"/>
        </w:rPr>
        <w:t>и счетоводната информация, която трябва да изпълнява целта си на адекватна одитна пътека.</w:t>
      </w:r>
    </w:p>
    <w:p w14:paraId="1DF58B22" w14:textId="77777777" w:rsidR="00363266" w:rsidRPr="005B04E5" w:rsidRDefault="00363266" w:rsidP="00363266">
      <w:pPr>
        <w:tabs>
          <w:tab w:val="left" w:pos="993"/>
        </w:tabs>
        <w:spacing w:after="120"/>
        <w:rPr>
          <w:color w:val="000000"/>
          <w:szCs w:val="24"/>
        </w:rPr>
      </w:pPr>
      <w:r w:rsidRPr="005B04E5">
        <w:rPr>
          <w:color w:val="000000"/>
          <w:szCs w:val="24"/>
        </w:rPr>
        <w:t xml:space="preserve"> -</w:t>
      </w:r>
      <w:r w:rsidRPr="005B04E5">
        <w:rPr>
          <w:color w:val="000000"/>
          <w:szCs w:val="24"/>
        </w:rPr>
        <w:tab/>
      </w:r>
      <w:r>
        <w:rPr>
          <w:color w:val="000000"/>
          <w:szCs w:val="24"/>
        </w:rPr>
        <w:t xml:space="preserve"> </w:t>
      </w:r>
      <w:r w:rsidRPr="005B04E5">
        <w:rPr>
          <w:color w:val="000000"/>
          <w:szCs w:val="24"/>
        </w:rPr>
        <w:t>При извършени одити и/или проверки не са констатирани слабости и пропуски при управлението на одобрения проект, или ако са констатирани такива, са предприети действия за тяхното отстраняване по одобрен график с корективни мерки.</w:t>
      </w:r>
    </w:p>
    <w:p w14:paraId="6FE7662C" w14:textId="77777777" w:rsidR="00363266" w:rsidRPr="005B04E5" w:rsidRDefault="00363266" w:rsidP="00363266">
      <w:pPr>
        <w:tabs>
          <w:tab w:val="left" w:pos="1134"/>
        </w:tabs>
        <w:spacing w:after="120"/>
        <w:rPr>
          <w:color w:val="000000"/>
          <w:szCs w:val="24"/>
        </w:rPr>
      </w:pPr>
      <w:r w:rsidRPr="005B04E5">
        <w:rPr>
          <w:color w:val="000000"/>
          <w:szCs w:val="24"/>
        </w:rPr>
        <w:t>С подаването на искане за плащане бенефициентът декларира своя статут на регистрирано или нерегистрирано лице по ЗДДС. В случаите на регистрация по ЗДДС бенефициентът посочва и основанието за регистрация. При подаване на първото искане за плащане по даден проект, бенефициентът представя на УО копие на удостоверение за регистрация по ЗДДС, заверено вярно с оригинала. При всяка промяна бенефициентът се задължава да информира УО в срок от 5 работни дни от датата на  настъпване на промяната.</w:t>
      </w:r>
    </w:p>
    <w:p w14:paraId="1B47A97C" w14:textId="21CC54F2" w:rsidR="00B7388F" w:rsidRDefault="00363266" w:rsidP="00B7388F">
      <w:pPr>
        <w:tabs>
          <w:tab w:val="left" w:pos="1134"/>
        </w:tabs>
        <w:spacing w:after="120"/>
        <w:rPr>
          <w:color w:val="000000"/>
          <w:szCs w:val="24"/>
        </w:rPr>
      </w:pPr>
      <w:r w:rsidRPr="005B04E5">
        <w:rPr>
          <w:color w:val="000000"/>
          <w:szCs w:val="24"/>
        </w:rPr>
        <w:lastRenderedPageBreak/>
        <w:t>Бенефициентът представя на УО</w:t>
      </w:r>
      <w:r>
        <w:rPr>
          <w:color w:val="000000"/>
          <w:szCs w:val="24"/>
        </w:rPr>
        <w:t xml:space="preserve"> искане</w:t>
      </w:r>
      <w:r w:rsidRPr="005B04E5">
        <w:rPr>
          <w:color w:val="000000"/>
          <w:szCs w:val="24"/>
        </w:rPr>
        <w:t xml:space="preserve"> за плащане</w:t>
      </w:r>
      <w:r>
        <w:rPr>
          <w:color w:val="000000"/>
          <w:szCs w:val="24"/>
        </w:rPr>
        <w:t xml:space="preserve"> (авансово, междинно и окончателно), регистрирано</w:t>
      </w:r>
      <w:r w:rsidRPr="005B04E5">
        <w:rPr>
          <w:color w:val="000000"/>
          <w:szCs w:val="24"/>
        </w:rPr>
        <w:t xml:space="preserve"> по електронен път в ИСУН 2020</w:t>
      </w:r>
      <w:r w:rsidRPr="00842ECC">
        <w:rPr>
          <w:color w:val="000000"/>
          <w:szCs w:val="24"/>
        </w:rPr>
        <w:t xml:space="preserve">, </w:t>
      </w:r>
      <w:r>
        <w:rPr>
          <w:color w:val="000000"/>
          <w:szCs w:val="24"/>
        </w:rPr>
        <w:t xml:space="preserve">което е част от подаден пакет документи  (вкл. искане за плащане, финансов отчет и технически </w:t>
      </w:r>
      <w:r w:rsidR="00B62D83">
        <w:rPr>
          <w:color w:val="000000"/>
          <w:szCs w:val="24"/>
        </w:rPr>
        <w:t>отчет</w:t>
      </w:r>
      <w:r>
        <w:rPr>
          <w:color w:val="000000"/>
          <w:szCs w:val="24"/>
        </w:rPr>
        <w:t>)</w:t>
      </w:r>
      <w:r w:rsidRPr="005B04E5">
        <w:rPr>
          <w:color w:val="000000"/>
          <w:szCs w:val="24"/>
        </w:rPr>
        <w:t>.</w:t>
      </w:r>
      <w:r>
        <w:rPr>
          <w:color w:val="000000"/>
          <w:szCs w:val="24"/>
        </w:rPr>
        <w:t xml:space="preserve">  </w:t>
      </w:r>
      <w:r w:rsidRPr="005B04E5">
        <w:rPr>
          <w:color w:val="000000"/>
          <w:szCs w:val="24"/>
        </w:rPr>
        <w:t xml:space="preserve"> Искането за плащане се придружава с прикачени в електронен формат документи, доказващи основанието за извършване на разхода, документи за извършените плащания, документи от счетоводната система на бенефициента и документи, доказващи извършените от бенефициента управленски проверки.</w:t>
      </w:r>
      <w:r>
        <w:rPr>
          <w:color w:val="000000"/>
          <w:szCs w:val="24"/>
        </w:rPr>
        <w:t xml:space="preserve"> </w:t>
      </w:r>
      <w:r w:rsidR="00B7388F" w:rsidRPr="00247C9F">
        <w:rPr>
          <w:color w:val="000000"/>
          <w:szCs w:val="24"/>
        </w:rPr>
        <w:t xml:space="preserve">Регистрирането на искане за плащане </w:t>
      </w:r>
      <w:r w:rsidR="00B7388F">
        <w:rPr>
          <w:color w:val="000000"/>
          <w:szCs w:val="24"/>
        </w:rPr>
        <w:t xml:space="preserve">в ИСУН 2020 </w:t>
      </w:r>
      <w:r w:rsidR="00B7388F" w:rsidRPr="00247C9F">
        <w:rPr>
          <w:color w:val="000000"/>
          <w:szCs w:val="24"/>
        </w:rPr>
        <w:t xml:space="preserve">се извършва от ръководителя на бенефициента </w:t>
      </w:r>
      <w:r w:rsidR="00B7388F">
        <w:rPr>
          <w:color w:val="000000"/>
          <w:szCs w:val="24"/>
        </w:rPr>
        <w:t xml:space="preserve">или от оторизирано от него лице. </w:t>
      </w:r>
      <w:r w:rsidR="00B7388F" w:rsidRPr="00247C9F">
        <w:rPr>
          <w:color w:val="000000"/>
          <w:szCs w:val="24"/>
        </w:rPr>
        <w:t xml:space="preserve">За </w:t>
      </w:r>
      <w:r w:rsidR="00B7388F">
        <w:rPr>
          <w:color w:val="000000"/>
          <w:szCs w:val="24"/>
        </w:rPr>
        <w:t xml:space="preserve">дата на представяне на </w:t>
      </w:r>
      <w:r w:rsidR="00B7388F" w:rsidRPr="00247C9F">
        <w:rPr>
          <w:color w:val="000000"/>
          <w:szCs w:val="24"/>
        </w:rPr>
        <w:t xml:space="preserve">искане за плащане от страна на бенефициент се счита датата на </w:t>
      </w:r>
      <w:r w:rsidR="00B7388F">
        <w:rPr>
          <w:color w:val="000000"/>
          <w:szCs w:val="24"/>
        </w:rPr>
        <w:t xml:space="preserve">която е </w:t>
      </w:r>
      <w:r w:rsidR="00B7388F" w:rsidRPr="00247C9F">
        <w:rPr>
          <w:color w:val="000000"/>
          <w:szCs w:val="24"/>
        </w:rPr>
        <w:t>регистриран пакет отчетни документи в ИСУН</w:t>
      </w:r>
      <w:r w:rsidR="00B7388F">
        <w:rPr>
          <w:color w:val="000000"/>
          <w:szCs w:val="24"/>
        </w:rPr>
        <w:t xml:space="preserve"> </w:t>
      </w:r>
      <w:r w:rsidR="00B7388F" w:rsidRPr="00247C9F">
        <w:rPr>
          <w:color w:val="000000"/>
          <w:szCs w:val="24"/>
        </w:rPr>
        <w:t>2020.</w:t>
      </w:r>
    </w:p>
    <w:p w14:paraId="273DCB7F" w14:textId="77777777" w:rsidR="000444CE" w:rsidRPr="001B0EA3" w:rsidRDefault="000444CE" w:rsidP="000444CE">
      <w:pPr>
        <w:tabs>
          <w:tab w:val="left" w:pos="1134"/>
        </w:tabs>
        <w:spacing w:after="120"/>
        <w:rPr>
          <w:color w:val="000000"/>
          <w:szCs w:val="24"/>
        </w:rPr>
      </w:pPr>
      <w:r w:rsidRPr="001B0EA3">
        <w:rPr>
          <w:i/>
          <w:color w:val="000000"/>
          <w:szCs w:val="24"/>
        </w:rPr>
        <w:t>За целите на електронното отчитане на исканията за плащане бенефициентът следва да спазва следната подредба и вид на документите качени в pdf формат в компресиран (zip или подобен) файл в ИСУН 2020</w:t>
      </w:r>
      <w:r w:rsidRPr="001B0EA3">
        <w:rPr>
          <w:color w:val="000000"/>
          <w:szCs w:val="24"/>
        </w:rPr>
        <w:t>:</w:t>
      </w:r>
    </w:p>
    <w:p w14:paraId="08B48BA0" w14:textId="77777777" w:rsidR="000444CE" w:rsidRPr="001B0EA3" w:rsidRDefault="000444CE" w:rsidP="0054623A">
      <w:pPr>
        <w:pStyle w:val="ListParagraph"/>
        <w:numPr>
          <w:ilvl w:val="0"/>
          <w:numId w:val="265"/>
        </w:numPr>
        <w:ind w:left="0" w:firstLine="426"/>
        <w:rPr>
          <w:b/>
        </w:rPr>
      </w:pPr>
      <w:r w:rsidRPr="001B0EA3">
        <w:rPr>
          <w:b/>
        </w:rPr>
        <w:t>Раздел „Технически отчет“ към пакета на съответното искане за плащане от бенефициенти по ОПТТИ</w:t>
      </w:r>
    </w:p>
    <w:p w14:paraId="115D2D5A" w14:textId="77777777" w:rsidR="00F03D14" w:rsidRPr="001B0EA3" w:rsidRDefault="00F03D14" w:rsidP="00CC313F">
      <w:pPr>
        <w:pStyle w:val="ListParagraph"/>
        <w:ind w:left="0"/>
        <w:rPr>
          <w:b/>
        </w:rPr>
      </w:pPr>
      <w:r>
        <w:rPr>
          <w:b/>
          <w:noProof/>
          <w:lang w:eastAsia="bg-BG"/>
        </w:rPr>
        <w:drawing>
          <wp:inline distT="0" distB="0" distL="0" distR="0" wp14:anchorId="244DDA2E" wp14:editId="59B7E3D0">
            <wp:extent cx="5773420" cy="2950845"/>
            <wp:effectExtent l="0" t="0" r="0" b="190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73420" cy="2950845"/>
                    </a:xfrm>
                    <a:prstGeom prst="rect">
                      <a:avLst/>
                    </a:prstGeom>
                    <a:noFill/>
                  </pic:spPr>
                </pic:pic>
              </a:graphicData>
            </a:graphic>
          </wp:inline>
        </w:drawing>
      </w:r>
    </w:p>
    <w:p w14:paraId="3EA1A053" w14:textId="77777777" w:rsidR="000444CE" w:rsidRPr="001B0EA3" w:rsidRDefault="000444CE" w:rsidP="000444CE">
      <w:pPr>
        <w:pStyle w:val="ListParagraph"/>
        <w:ind w:left="0" w:firstLine="426"/>
        <w:jc w:val="left"/>
        <w:rPr>
          <w:rStyle w:val="filled-value"/>
          <w:rFonts w:ascii="Calibri" w:hAnsi="Calibri" w:cs="Arial"/>
          <w:b/>
          <w:color w:val="000000"/>
          <w:spacing w:val="10"/>
          <w:sz w:val="28"/>
          <w:szCs w:val="22"/>
          <w:lang w:eastAsia="bg-BG"/>
        </w:rPr>
      </w:pPr>
      <w:r w:rsidRPr="001B0EA3">
        <w:rPr>
          <w:b/>
        </w:rPr>
        <w:t xml:space="preserve">Файл, качен в ИСУН 2020 </w:t>
      </w:r>
      <w:r w:rsidR="009729CF" w:rsidRPr="009729CF">
        <w:t>в раздел „Технически отчет“, поле „Опис на документи“</w:t>
      </w:r>
      <w:r w:rsidR="009729CF">
        <w:t xml:space="preserve"> -</w:t>
      </w:r>
    </w:p>
    <w:p w14:paraId="599066B1" w14:textId="77777777" w:rsidR="000444CE" w:rsidRDefault="000444CE" w:rsidP="000444CE">
      <w:pPr>
        <w:spacing w:after="120"/>
        <w:ind w:left="426"/>
        <w:rPr>
          <w:color w:val="000000"/>
          <w:sz w:val="32"/>
          <w:szCs w:val="24"/>
        </w:rPr>
      </w:pPr>
      <w:r w:rsidRPr="001B0EA3">
        <w:rPr>
          <w:i/>
          <w:u w:val="single"/>
        </w:rPr>
        <w:t>пример</w:t>
      </w:r>
      <w:r w:rsidRPr="001B0EA3">
        <w:rPr>
          <w:u w:val="single"/>
        </w:rPr>
        <w:t>:</w:t>
      </w:r>
      <w:r w:rsidRPr="001B0EA3">
        <w:rPr>
          <w:b/>
        </w:rPr>
        <w:t xml:space="preserve"> BG16M1OP001-*.***-***_</w:t>
      </w:r>
      <w:r w:rsidR="009729CF" w:rsidRPr="009729CF">
        <w:rPr>
          <w:b/>
        </w:rPr>
        <w:t>Окончателен</w:t>
      </w:r>
      <w:r w:rsidR="009729CF">
        <w:rPr>
          <w:b/>
        </w:rPr>
        <w:t xml:space="preserve"> д</w:t>
      </w:r>
      <w:r w:rsidRPr="001B0EA3">
        <w:rPr>
          <w:b/>
        </w:rPr>
        <w:t>оклад за напредъка (период).pdf</w:t>
      </w:r>
      <w:r w:rsidR="009729CF">
        <w:rPr>
          <w:color w:val="000000"/>
          <w:sz w:val="32"/>
          <w:szCs w:val="24"/>
        </w:rPr>
        <w:t xml:space="preserve">; </w:t>
      </w:r>
      <w:r w:rsidR="009729CF" w:rsidRPr="00FF6A59">
        <w:rPr>
          <w:b/>
        </w:rPr>
        <w:t xml:space="preserve">Акт 16 </w:t>
      </w:r>
      <w:r w:rsidR="009729CF" w:rsidRPr="00954EC3">
        <w:rPr>
          <w:b/>
        </w:rPr>
        <w:t>Обект/етап/Лот.</w:t>
      </w:r>
      <w:r w:rsidR="009729CF" w:rsidRPr="00954EC3">
        <w:rPr>
          <w:b/>
          <w:lang w:val="en-US"/>
        </w:rPr>
        <w:t>pdf</w:t>
      </w:r>
      <w:r w:rsidR="009729CF" w:rsidRPr="00954EC3">
        <w:rPr>
          <w:b/>
        </w:rPr>
        <w:t xml:space="preserve"> </w:t>
      </w:r>
      <w:r w:rsidR="009729CF" w:rsidRPr="00FF6A59">
        <w:t>и т.н.</w:t>
      </w:r>
    </w:p>
    <w:p w14:paraId="13C08CA3" w14:textId="77777777" w:rsidR="00F777B6" w:rsidRPr="00F777B6" w:rsidRDefault="00F777B6" w:rsidP="00AE1F0D">
      <w:pPr>
        <w:pStyle w:val="ListParagraph"/>
        <w:spacing w:after="120"/>
        <w:ind w:left="0" w:firstLine="780"/>
        <w:rPr>
          <w:color w:val="000000"/>
          <w:sz w:val="32"/>
          <w:szCs w:val="24"/>
        </w:rPr>
      </w:pPr>
      <w:r w:rsidRPr="00FF6A59">
        <w:t xml:space="preserve">Раздел </w:t>
      </w:r>
      <w:r w:rsidRPr="00F777B6">
        <w:rPr>
          <w:b/>
        </w:rPr>
        <w:t>„Технически отчет“</w:t>
      </w:r>
      <w:r w:rsidRPr="00FF6A59">
        <w:t xml:space="preserve"> се попълва съгласно Глава 7</w:t>
      </w:r>
      <w:r>
        <w:t xml:space="preserve"> Изпълнение и координация</w:t>
      </w:r>
      <w:r w:rsidRPr="00FF6A59">
        <w:t>, т</w:t>
      </w:r>
      <w:r>
        <w:t xml:space="preserve">очка </w:t>
      </w:r>
      <w:r w:rsidRPr="00842ECC">
        <w:t>28</w:t>
      </w:r>
      <w:r w:rsidRPr="00FF6A59">
        <w:t>.1.2</w:t>
      </w:r>
      <w:r>
        <w:t>.</w:t>
      </w:r>
    </w:p>
    <w:p w14:paraId="5CE0181D" w14:textId="77777777" w:rsidR="000444CE" w:rsidRPr="001B0EA3" w:rsidRDefault="000444CE" w:rsidP="0054623A">
      <w:pPr>
        <w:pStyle w:val="ListParagraph"/>
        <w:numPr>
          <w:ilvl w:val="0"/>
          <w:numId w:val="265"/>
        </w:numPr>
        <w:ind w:left="0" w:firstLine="426"/>
        <w:rPr>
          <w:b/>
        </w:rPr>
      </w:pPr>
      <w:r w:rsidRPr="001B0EA3">
        <w:rPr>
          <w:b/>
        </w:rPr>
        <w:t>Раздел „Финансов отчет“ към пакета на съответното искане за плащане от бенефициенти по ОПТТИ</w:t>
      </w:r>
    </w:p>
    <w:p w14:paraId="1C09F4A4" w14:textId="77777777" w:rsidR="000444CE" w:rsidRPr="001B0EA3" w:rsidRDefault="000444CE" w:rsidP="00CC313F">
      <w:pPr>
        <w:pStyle w:val="ListParagraph"/>
        <w:ind w:left="0"/>
        <w:rPr>
          <w:b/>
        </w:rPr>
      </w:pPr>
    </w:p>
    <w:p w14:paraId="44FB04D4" w14:textId="77777777" w:rsidR="000444CE" w:rsidRPr="001B0EA3" w:rsidRDefault="000444CE" w:rsidP="0054623A">
      <w:pPr>
        <w:pStyle w:val="ListParagraph"/>
        <w:numPr>
          <w:ilvl w:val="0"/>
          <w:numId w:val="266"/>
        </w:numPr>
        <w:ind w:left="0" w:firstLine="426"/>
        <w:rPr>
          <w:b/>
          <w:color w:val="000000"/>
          <w:spacing w:val="10"/>
          <w:sz w:val="28"/>
          <w:szCs w:val="22"/>
          <w:lang w:eastAsia="bg-BG"/>
        </w:rPr>
      </w:pPr>
      <w:r w:rsidRPr="001B0EA3">
        <w:rPr>
          <w:szCs w:val="24"/>
        </w:rPr>
        <w:t>При въвеждане на разходи по категории по Договор БФП /Споразумение, регистриран в ИСУН 2020, за които бенефициентът</w:t>
      </w:r>
      <w:r w:rsidRPr="001B0EA3">
        <w:rPr>
          <w:b/>
          <w:szCs w:val="24"/>
        </w:rPr>
        <w:t xml:space="preserve"> има сключени договори за изпълнение </w:t>
      </w:r>
      <w:r w:rsidRPr="001B0EA3">
        <w:rPr>
          <w:szCs w:val="24"/>
        </w:rPr>
        <w:t xml:space="preserve">в системата се качват най-малко следните </w:t>
      </w:r>
      <w:r w:rsidR="00613164" w:rsidRPr="001B0EA3">
        <w:rPr>
          <w:szCs w:val="24"/>
        </w:rPr>
        <w:t>документи</w:t>
      </w:r>
      <w:r w:rsidRPr="001B0EA3">
        <w:rPr>
          <w:szCs w:val="24"/>
        </w:rPr>
        <w:t xml:space="preserve"> в посочения вид:</w:t>
      </w:r>
    </w:p>
    <w:p w14:paraId="6CF51D44" w14:textId="77777777" w:rsidR="000444CE" w:rsidRPr="001B0EA3" w:rsidRDefault="000444CE" w:rsidP="000444CE">
      <w:pPr>
        <w:pStyle w:val="ListParagraph"/>
        <w:ind w:left="0"/>
        <w:rPr>
          <w:b/>
        </w:rPr>
      </w:pPr>
      <w:r w:rsidRPr="001B0EA3">
        <w:rPr>
          <w:i/>
          <w:u w:val="single"/>
        </w:rPr>
        <w:t>пример</w:t>
      </w:r>
      <w:r w:rsidRPr="001B0EA3">
        <w:rPr>
          <w:u w:val="single"/>
        </w:rPr>
        <w:t>:</w:t>
      </w:r>
      <w:r w:rsidRPr="001B0EA3">
        <w:t xml:space="preserve"> </w:t>
      </w:r>
      <w:r w:rsidRPr="001B0EA3">
        <w:rPr>
          <w:b/>
        </w:rPr>
        <w:t>Д-1_25.05.2016_Фактура №1.pdf – съдържащ съответната фактура и относимите:</w:t>
      </w:r>
      <w:r w:rsidRPr="001B0EA3">
        <w:t xml:space="preserve"> платежни документи (платежни нареждания, вносни бележки, квитанции и др.), банкови извлечения, контролен лист за извършени проверки от </w:t>
      </w:r>
      <w:r w:rsidR="00613164" w:rsidRPr="001B0EA3">
        <w:t>бенефициента</w:t>
      </w:r>
      <w:r w:rsidRPr="001B0EA3">
        <w:t>, документи доказващи изпълнените работи/дейности по проекта (протоколи, актове, сертификати), документи, доказващи извършените от бенефициента проверки на място (доклад, констативен протокол и други) и други относими документи</w:t>
      </w:r>
      <w:r w:rsidRPr="001B0EA3">
        <w:rPr>
          <w:b/>
        </w:rPr>
        <w:t xml:space="preserve">; Д-1_25.05.2016_Фактура №2.pdf; Д-2_20.12.2017_Фактура №1.pdf и т.н. </w:t>
      </w:r>
    </w:p>
    <w:p w14:paraId="1270BB42" w14:textId="77777777" w:rsidR="000444CE" w:rsidRPr="001B0EA3" w:rsidRDefault="000444CE" w:rsidP="000444CE">
      <w:pPr>
        <w:pStyle w:val="ListParagraph"/>
        <w:ind w:left="851" w:hanging="425"/>
      </w:pPr>
    </w:p>
    <w:p w14:paraId="09CC88B4" w14:textId="77777777" w:rsidR="000444CE" w:rsidRPr="001B0EA3" w:rsidRDefault="000444CE" w:rsidP="0054623A">
      <w:pPr>
        <w:pStyle w:val="ListParagraph"/>
        <w:numPr>
          <w:ilvl w:val="0"/>
          <w:numId w:val="266"/>
        </w:numPr>
        <w:ind w:left="0" w:firstLine="426"/>
        <w:rPr>
          <w:rFonts w:eastAsia="Calibri"/>
          <w:szCs w:val="24"/>
          <w:lang w:eastAsia="en-US"/>
        </w:rPr>
      </w:pPr>
      <w:r w:rsidRPr="001B0EA3">
        <w:rPr>
          <w:szCs w:val="24"/>
        </w:rPr>
        <w:t>При въвеждане на разходи по категории по Договор БФП /Споразумение, регистриран в ИСУН 2020, за които бенефициентът няма сключени договори за изпълнение:</w:t>
      </w:r>
    </w:p>
    <w:p w14:paraId="06A51DF0" w14:textId="77777777" w:rsidR="000444CE" w:rsidRPr="001B0EA3" w:rsidRDefault="000444CE" w:rsidP="0054623A">
      <w:pPr>
        <w:pStyle w:val="ListParagraph"/>
        <w:numPr>
          <w:ilvl w:val="1"/>
          <w:numId w:val="266"/>
        </w:numPr>
        <w:ind w:left="0" w:firstLine="851"/>
        <w:rPr>
          <w:szCs w:val="24"/>
        </w:rPr>
      </w:pPr>
      <w:r w:rsidRPr="001B0EA3">
        <w:rPr>
          <w:szCs w:val="24"/>
        </w:rPr>
        <w:t xml:space="preserve">Разходите за </w:t>
      </w:r>
      <w:r w:rsidRPr="001B0EA3">
        <w:rPr>
          <w:b/>
          <w:szCs w:val="24"/>
        </w:rPr>
        <w:t>възнаграждения</w:t>
      </w:r>
      <w:r w:rsidRPr="001B0EA3">
        <w:rPr>
          <w:szCs w:val="24"/>
        </w:rPr>
        <w:t xml:space="preserve"> се въвеждат общо на месечна база, прилагат се най-малко следните документи и се качват в ИСУН 2020 по описания начин:</w:t>
      </w:r>
    </w:p>
    <w:p w14:paraId="077A2AAD" w14:textId="77777777" w:rsidR="000444CE" w:rsidRPr="001B0EA3" w:rsidRDefault="000444CE" w:rsidP="000444CE">
      <w:pPr>
        <w:pStyle w:val="ListParagraph"/>
        <w:ind w:left="1276"/>
        <w:rPr>
          <w:szCs w:val="24"/>
        </w:rPr>
      </w:pPr>
    </w:p>
    <w:p w14:paraId="74C3E1F2" w14:textId="77777777" w:rsidR="000444CE" w:rsidRPr="001B0EA3" w:rsidRDefault="000444CE" w:rsidP="000444CE">
      <w:pPr>
        <w:pStyle w:val="ListParagraph"/>
        <w:ind w:left="0"/>
        <w:rPr>
          <w:b/>
        </w:rPr>
      </w:pPr>
      <w:r w:rsidRPr="001B0EA3">
        <w:rPr>
          <w:i/>
          <w:u w:val="single"/>
        </w:rPr>
        <w:t>пример</w:t>
      </w:r>
      <w:r w:rsidRPr="001B0EA3">
        <w:rPr>
          <w:u w:val="single"/>
        </w:rPr>
        <w:t>:</w:t>
      </w:r>
      <w:r w:rsidRPr="001B0EA3">
        <w:t xml:space="preserve"> </w:t>
      </w:r>
      <w:r w:rsidRPr="001B0EA3">
        <w:rPr>
          <w:b/>
        </w:rPr>
        <w:t xml:space="preserve">08.2015.zip – </w:t>
      </w:r>
      <w:r w:rsidR="00613164" w:rsidRPr="001B0EA3">
        <w:t>съдържащ</w:t>
      </w:r>
      <w:r w:rsidRPr="001B0EA3">
        <w:t xml:space="preserve"> приложимите за съответния месец изискуеми документи за отчитане на възнагражденията (Месечни отчети на екипа, рекапитулации, ведомости, 08.2016.pdf; Справки 08.2016.pdf; Фишове на екипа 08.2016.pdf; Платежни за осигуровки и възнаграждения.pdf; Банкови извлечения 08.2016.pdf; Доказателства 08.2016 (подпапка) и други</w:t>
      </w:r>
      <w:r w:rsidRPr="001B0EA3">
        <w:rPr>
          <w:b/>
        </w:rPr>
        <w:t>; 09.2015.zip; 10.2015.zip и т.н.</w:t>
      </w:r>
    </w:p>
    <w:p w14:paraId="19BFFC79" w14:textId="77777777" w:rsidR="000444CE" w:rsidRPr="001B0EA3" w:rsidRDefault="000444CE" w:rsidP="000444CE">
      <w:pPr>
        <w:pStyle w:val="ListParagraph"/>
        <w:ind w:left="1276"/>
        <w:rPr>
          <w:szCs w:val="24"/>
        </w:rPr>
      </w:pPr>
    </w:p>
    <w:p w14:paraId="754575A9" w14:textId="77777777" w:rsidR="000444CE" w:rsidRPr="001B0EA3" w:rsidRDefault="000444CE" w:rsidP="0054623A">
      <w:pPr>
        <w:pStyle w:val="ListParagraph"/>
        <w:numPr>
          <w:ilvl w:val="1"/>
          <w:numId w:val="266"/>
        </w:numPr>
        <w:ind w:left="0" w:firstLine="851"/>
        <w:rPr>
          <w:szCs w:val="24"/>
        </w:rPr>
      </w:pPr>
      <w:r w:rsidRPr="001B0EA3">
        <w:rPr>
          <w:szCs w:val="24"/>
        </w:rPr>
        <w:t xml:space="preserve">Разходите за </w:t>
      </w:r>
      <w:r w:rsidRPr="001B0EA3">
        <w:rPr>
          <w:b/>
          <w:szCs w:val="24"/>
        </w:rPr>
        <w:t>командировки</w:t>
      </w:r>
      <w:r w:rsidRPr="001B0EA3">
        <w:rPr>
          <w:szCs w:val="24"/>
        </w:rPr>
        <w:t xml:space="preserve"> се въвеждат за всеки отделен командирован, като се прилагат следните относими документи, които се качват в ИСУН 2020 по описания начин:</w:t>
      </w:r>
    </w:p>
    <w:p w14:paraId="04BFCE15" w14:textId="77777777" w:rsidR="000444CE" w:rsidRPr="001B0EA3" w:rsidRDefault="000444CE" w:rsidP="000444CE">
      <w:pPr>
        <w:pStyle w:val="ListParagraph"/>
        <w:ind w:left="1276"/>
        <w:rPr>
          <w:i/>
        </w:rPr>
      </w:pPr>
    </w:p>
    <w:p w14:paraId="4D51AE81" w14:textId="77777777" w:rsidR="000444CE" w:rsidRPr="001B0EA3" w:rsidRDefault="000444CE" w:rsidP="000444CE">
      <w:pPr>
        <w:pStyle w:val="ListParagraph"/>
        <w:ind w:left="0" w:firstLine="1276"/>
      </w:pPr>
      <w:r w:rsidRPr="001B0EA3">
        <w:rPr>
          <w:i/>
          <w:u w:val="single"/>
        </w:rPr>
        <w:t>пример:</w:t>
      </w:r>
      <w:r w:rsidRPr="001B0EA3">
        <w:rPr>
          <w:i/>
        </w:rPr>
        <w:t xml:space="preserve"> </w:t>
      </w:r>
      <w:r w:rsidRPr="001B0EA3">
        <w:rPr>
          <w:b/>
        </w:rPr>
        <w:t xml:space="preserve">Заповед №1_Петър Петров.pdf - </w:t>
      </w:r>
      <w:r w:rsidR="00613164" w:rsidRPr="001B0EA3">
        <w:t>съдържащ</w:t>
      </w:r>
      <w:r w:rsidRPr="001B0EA3">
        <w:t xml:space="preserve"> изискуемите документи (заповед за командировка, разходен касов ордер (РКО), приходен касов ордер (ПКО), авансов отчет (АО), документи за нощувка (фактура, касов бон и др.), отчетен доклад, разходооправдателни документи за транспорт, вкл.</w:t>
      </w:r>
      <w:r w:rsidR="00613164" w:rsidRPr="001B0EA3">
        <w:t xml:space="preserve"> </w:t>
      </w:r>
      <w:r w:rsidRPr="001B0EA3">
        <w:t xml:space="preserve">протоколи за самолетни билети, бордови карти, вътрешен транспорт, градски транспорт, разходооправдателни документи за платени обучения, сертификати и други.); </w:t>
      </w:r>
      <w:r w:rsidRPr="001B0EA3">
        <w:rPr>
          <w:b/>
        </w:rPr>
        <w:t>Заповед №1_Иван Иванов.pdf; Заповед №2_Стамат Драганов.pdf и т.н.</w:t>
      </w:r>
    </w:p>
    <w:p w14:paraId="51A07184" w14:textId="77777777" w:rsidR="000444CE" w:rsidRPr="001B0EA3" w:rsidRDefault="000444CE" w:rsidP="000444CE">
      <w:pPr>
        <w:pStyle w:val="ListParagraph"/>
        <w:ind w:left="0"/>
        <w:rPr>
          <w:szCs w:val="24"/>
          <w:u w:val="single"/>
        </w:rPr>
      </w:pPr>
      <w:r w:rsidRPr="001B0EA3">
        <w:rPr>
          <w:i/>
        </w:rPr>
        <w:t>Забележка:</w:t>
      </w:r>
      <w:r w:rsidRPr="001B0EA3">
        <w:rPr>
          <w:szCs w:val="24"/>
        </w:rPr>
        <w:t xml:space="preserve"> </w:t>
      </w:r>
      <w:r w:rsidRPr="001B0EA3">
        <w:rPr>
          <w:i/>
          <w:szCs w:val="24"/>
          <w:u w:val="single"/>
        </w:rPr>
        <w:t xml:space="preserve">При </w:t>
      </w:r>
      <w:r w:rsidR="00615A14" w:rsidRPr="001B0EA3">
        <w:rPr>
          <w:i/>
          <w:szCs w:val="24"/>
          <w:u w:val="single"/>
        </w:rPr>
        <w:t>отчитане</w:t>
      </w:r>
      <w:r w:rsidRPr="001B0EA3">
        <w:rPr>
          <w:i/>
          <w:szCs w:val="24"/>
          <w:u w:val="single"/>
        </w:rPr>
        <w:t xml:space="preserve"> на обучения в чужбина файловете и документите се организират на база авансовия отчет, прикачения файл в ИСУН 2020 се именува: </w:t>
      </w:r>
      <w:r w:rsidRPr="001B0EA3">
        <w:rPr>
          <w:b/>
          <w:i/>
          <w:szCs w:val="24"/>
          <w:u w:val="single"/>
        </w:rPr>
        <w:t xml:space="preserve">Авансов отчет №…_Петър Петров.pdf и т.н., </w:t>
      </w:r>
      <w:r w:rsidRPr="001B0EA3">
        <w:rPr>
          <w:i/>
          <w:szCs w:val="24"/>
          <w:u w:val="single"/>
        </w:rPr>
        <w:t>и съдържа всички документи за командировката</w:t>
      </w:r>
      <w:r w:rsidRPr="001B0EA3">
        <w:rPr>
          <w:b/>
          <w:i/>
          <w:szCs w:val="24"/>
          <w:u w:val="single"/>
        </w:rPr>
        <w:t>.</w:t>
      </w:r>
    </w:p>
    <w:p w14:paraId="132FA8F3" w14:textId="77777777" w:rsidR="000444CE" w:rsidRPr="001B0EA3" w:rsidRDefault="000444CE" w:rsidP="00CC313F">
      <w:pPr>
        <w:pStyle w:val="ListParagraph"/>
        <w:ind w:left="0"/>
        <w:rPr>
          <w:szCs w:val="24"/>
        </w:rPr>
      </w:pPr>
    </w:p>
    <w:p w14:paraId="26713D82" w14:textId="77777777" w:rsidR="000444CE" w:rsidRPr="001B0EA3" w:rsidRDefault="000444CE" w:rsidP="0054623A">
      <w:pPr>
        <w:pStyle w:val="ListParagraph"/>
        <w:numPr>
          <w:ilvl w:val="1"/>
          <w:numId w:val="266"/>
        </w:numPr>
        <w:ind w:left="0" w:firstLine="851"/>
        <w:rPr>
          <w:szCs w:val="24"/>
        </w:rPr>
      </w:pPr>
      <w:r w:rsidRPr="001B0EA3">
        <w:rPr>
          <w:szCs w:val="24"/>
        </w:rPr>
        <w:t xml:space="preserve">Разходите за </w:t>
      </w:r>
      <w:r w:rsidRPr="001B0EA3">
        <w:rPr>
          <w:b/>
          <w:szCs w:val="24"/>
        </w:rPr>
        <w:t>отчуждения</w:t>
      </w:r>
      <w:r w:rsidRPr="001B0EA3">
        <w:rPr>
          <w:szCs w:val="24"/>
        </w:rPr>
        <w:t xml:space="preserve"> се въвеждат за всеки отделен имот и се качват в ИСУН 2020 по описания начин:</w:t>
      </w:r>
    </w:p>
    <w:p w14:paraId="615165CA" w14:textId="77777777" w:rsidR="000444CE" w:rsidRPr="001B0EA3" w:rsidRDefault="000444CE" w:rsidP="00CC313F">
      <w:pPr>
        <w:pStyle w:val="ListParagraph"/>
        <w:ind w:left="0"/>
        <w:rPr>
          <w:szCs w:val="24"/>
        </w:rPr>
      </w:pPr>
    </w:p>
    <w:p w14:paraId="0ABACDC1" w14:textId="77777777" w:rsidR="000444CE" w:rsidRPr="001B0EA3" w:rsidRDefault="000444CE" w:rsidP="000444CE">
      <w:pPr>
        <w:pStyle w:val="ListParagraph"/>
        <w:ind w:left="0" w:firstLine="1276"/>
        <w:rPr>
          <w:b/>
        </w:rPr>
      </w:pPr>
      <w:r w:rsidRPr="001B0EA3">
        <w:rPr>
          <w:i/>
          <w:u w:val="single"/>
        </w:rPr>
        <w:t>пример:</w:t>
      </w:r>
      <w:r w:rsidRPr="001B0EA3">
        <w:rPr>
          <w:i/>
        </w:rPr>
        <w:t xml:space="preserve"> </w:t>
      </w:r>
      <w:r w:rsidRPr="001B0EA3">
        <w:rPr>
          <w:b/>
        </w:rPr>
        <w:t xml:space="preserve">Имот №1_РМС № 25_Петър Петров.pdf - </w:t>
      </w:r>
      <w:r w:rsidR="00615A14" w:rsidRPr="001B0EA3">
        <w:t>съдържащ</w:t>
      </w:r>
      <w:r w:rsidRPr="001B0EA3">
        <w:t xml:space="preserve"> всички документи доказващи собствеността и плащането;</w:t>
      </w:r>
      <w:r w:rsidRPr="001B0EA3">
        <w:rPr>
          <w:b/>
        </w:rPr>
        <w:t xml:space="preserve"> Имот №40_РМС № 120_Иван Иванов.pdf и т.н.</w:t>
      </w:r>
    </w:p>
    <w:p w14:paraId="3B7410A6" w14:textId="77777777" w:rsidR="000444CE" w:rsidRPr="001B0EA3" w:rsidRDefault="000444CE" w:rsidP="000444CE">
      <w:pPr>
        <w:pStyle w:val="ListParagraph"/>
        <w:ind w:left="0"/>
        <w:rPr>
          <w:b/>
          <w:i/>
          <w:szCs w:val="24"/>
          <w:u w:val="single"/>
        </w:rPr>
      </w:pPr>
      <w:r w:rsidRPr="001B0EA3">
        <w:rPr>
          <w:i/>
        </w:rPr>
        <w:t>Забележка:</w:t>
      </w:r>
      <w:r w:rsidRPr="001B0EA3">
        <w:rPr>
          <w:szCs w:val="24"/>
        </w:rPr>
        <w:t xml:space="preserve"> </w:t>
      </w:r>
      <w:r w:rsidRPr="001B0EA3">
        <w:rPr>
          <w:i/>
          <w:szCs w:val="24"/>
          <w:u w:val="single"/>
        </w:rPr>
        <w:t xml:space="preserve">При масово плащане, напр. към Областните администрации името на файла, който се прикачва в ИСУН 2020 следва задължително да включва № на имотите и РМС №, и да съдържа всички относими документи: </w:t>
      </w:r>
      <w:r w:rsidRPr="001B0EA3">
        <w:rPr>
          <w:b/>
          <w:i/>
        </w:rPr>
        <w:t>Имот №7: №8: №…_РМС № 28.pdf</w:t>
      </w:r>
      <w:r w:rsidRPr="001B0EA3">
        <w:rPr>
          <w:b/>
        </w:rPr>
        <w:t xml:space="preserve"> </w:t>
      </w:r>
      <w:r w:rsidRPr="001B0EA3">
        <w:rPr>
          <w:b/>
          <w:i/>
          <w:szCs w:val="24"/>
          <w:u w:val="single"/>
        </w:rPr>
        <w:t>и т.н.</w:t>
      </w:r>
    </w:p>
    <w:p w14:paraId="6EAF783C" w14:textId="77777777" w:rsidR="000444CE" w:rsidRPr="001B0EA3" w:rsidRDefault="000444CE" w:rsidP="000444CE">
      <w:pPr>
        <w:pStyle w:val="ListParagraph"/>
        <w:ind w:left="1276"/>
        <w:rPr>
          <w:szCs w:val="24"/>
          <w:u w:val="single"/>
        </w:rPr>
      </w:pPr>
    </w:p>
    <w:p w14:paraId="5CA47E05" w14:textId="77777777" w:rsidR="000444CE" w:rsidRPr="001B0EA3" w:rsidRDefault="000444CE" w:rsidP="0054623A">
      <w:pPr>
        <w:pStyle w:val="ListParagraph"/>
        <w:numPr>
          <w:ilvl w:val="1"/>
          <w:numId w:val="266"/>
        </w:numPr>
        <w:ind w:left="0" w:firstLine="851"/>
        <w:rPr>
          <w:szCs w:val="24"/>
        </w:rPr>
      </w:pPr>
      <w:r w:rsidRPr="001B0EA3">
        <w:rPr>
          <w:szCs w:val="24"/>
        </w:rPr>
        <w:t xml:space="preserve">Разходите за </w:t>
      </w:r>
      <w:r w:rsidRPr="001B0EA3">
        <w:rPr>
          <w:b/>
          <w:szCs w:val="24"/>
        </w:rPr>
        <w:t>такси и други</w:t>
      </w:r>
      <w:r w:rsidRPr="001B0EA3">
        <w:rPr>
          <w:szCs w:val="24"/>
        </w:rPr>
        <w:t xml:space="preserve"> се въвеждат за всеки отделен разход, като задължително в името на прикачения файл следва да се съдържа № на заявление, фактура или друг регистрационен номер или отличителен елемент, с оглед идентифициране и проверка на разхода. В прикачения файл трябва да бъдат включени всички относими и съпътстващи разхода документи.</w:t>
      </w:r>
    </w:p>
    <w:p w14:paraId="2D837922" w14:textId="77777777" w:rsidR="000444CE" w:rsidRPr="001B0EA3" w:rsidRDefault="000444CE" w:rsidP="000444CE">
      <w:pPr>
        <w:pStyle w:val="ListParagraph"/>
        <w:ind w:left="1440"/>
        <w:rPr>
          <w:rStyle w:val="filled-value"/>
          <w:b/>
          <w:color w:val="000000"/>
          <w:spacing w:val="10"/>
          <w:sz w:val="28"/>
          <w:szCs w:val="22"/>
          <w:lang w:eastAsia="bg-BG"/>
        </w:rPr>
      </w:pPr>
    </w:p>
    <w:p w14:paraId="27CAD5BC" w14:textId="77777777" w:rsidR="000444CE" w:rsidRPr="001B0EA3" w:rsidRDefault="000444CE" w:rsidP="00D26A1C">
      <w:pPr>
        <w:pStyle w:val="ListParagraph"/>
        <w:numPr>
          <w:ilvl w:val="0"/>
          <w:numId w:val="265"/>
        </w:numPr>
        <w:ind w:left="0" w:firstLine="0"/>
        <w:rPr>
          <w:b/>
        </w:rPr>
      </w:pPr>
      <w:r w:rsidRPr="001B0EA3">
        <w:rPr>
          <w:b/>
        </w:rPr>
        <w:t>Раздел „Искане за плащане“ към пакета на съответното искане за плащане от бенефициенти по ОПТТИ</w:t>
      </w:r>
    </w:p>
    <w:p w14:paraId="2B76529B" w14:textId="77777777" w:rsidR="000444CE" w:rsidRPr="001B0EA3" w:rsidRDefault="000444CE" w:rsidP="000444CE"/>
    <w:p w14:paraId="754BDED2" w14:textId="77777777" w:rsidR="000444CE" w:rsidRPr="001B0EA3" w:rsidRDefault="000444CE" w:rsidP="000444CE">
      <w:pPr>
        <w:rPr>
          <w:b/>
        </w:rPr>
      </w:pPr>
      <w:r w:rsidRPr="001B0EA3">
        <w:rPr>
          <w:b/>
        </w:rPr>
        <w:t xml:space="preserve">Файл, качен в ИСУН 2020 </w:t>
      </w:r>
    </w:p>
    <w:p w14:paraId="7AB0084F" w14:textId="77777777" w:rsidR="00FF043C" w:rsidRPr="001B0EA3" w:rsidRDefault="00FF043C" w:rsidP="00FF043C">
      <w:pPr>
        <w:pStyle w:val="ListParagraph"/>
        <w:numPr>
          <w:ilvl w:val="0"/>
          <w:numId w:val="267"/>
        </w:numPr>
        <w:ind w:left="0" w:firstLine="426"/>
        <w:rPr>
          <w:szCs w:val="24"/>
        </w:rPr>
      </w:pPr>
      <w:r w:rsidRPr="001B0EA3">
        <w:rPr>
          <w:szCs w:val="24"/>
        </w:rPr>
        <w:t>Копие от акта за регистрация по ЗДДС на Бенефициента, заверено вярно с оригинала. (pdf файл) – само при подаване на първото искане за плащане или при промяна</w:t>
      </w:r>
    </w:p>
    <w:p w14:paraId="4E3BBFCD" w14:textId="77777777" w:rsidR="00FF043C" w:rsidRPr="001B0EA3" w:rsidRDefault="00FF043C" w:rsidP="00FF043C">
      <w:pPr>
        <w:tabs>
          <w:tab w:val="left" w:pos="1560"/>
        </w:tabs>
        <w:ind w:left="851"/>
        <w:rPr>
          <w:b/>
        </w:rPr>
      </w:pPr>
      <w:r w:rsidRPr="001B0EA3">
        <w:rPr>
          <w:i/>
          <w:u w:val="single"/>
        </w:rPr>
        <w:t>пример</w:t>
      </w:r>
      <w:r w:rsidRPr="001B0EA3">
        <w:rPr>
          <w:u w:val="single"/>
        </w:rPr>
        <w:t xml:space="preserve">: </w:t>
      </w:r>
      <w:r w:rsidRPr="001B0EA3">
        <w:rPr>
          <w:b/>
        </w:rPr>
        <w:t>Регистрация по ЗДДС.pdf</w:t>
      </w:r>
    </w:p>
    <w:p w14:paraId="6539F41C" w14:textId="77777777" w:rsidR="00FF043C" w:rsidRPr="001B0EA3" w:rsidRDefault="00FF043C" w:rsidP="00FF043C">
      <w:pPr>
        <w:tabs>
          <w:tab w:val="left" w:pos="1560"/>
        </w:tabs>
        <w:ind w:left="851"/>
        <w:rPr>
          <w:b/>
        </w:rPr>
      </w:pPr>
    </w:p>
    <w:p w14:paraId="7B56D1CD" w14:textId="77777777" w:rsidR="00FF043C" w:rsidRPr="001B0EA3" w:rsidRDefault="00FF043C" w:rsidP="00FF043C">
      <w:pPr>
        <w:pStyle w:val="ListParagraph"/>
        <w:numPr>
          <w:ilvl w:val="0"/>
          <w:numId w:val="267"/>
        </w:numPr>
        <w:ind w:left="0" w:firstLine="426"/>
        <w:rPr>
          <w:rFonts w:eastAsia="Calibri"/>
          <w:szCs w:val="24"/>
          <w:lang w:eastAsia="en-US"/>
        </w:rPr>
      </w:pPr>
      <w:r w:rsidRPr="001B0EA3">
        <w:rPr>
          <w:szCs w:val="24"/>
        </w:rPr>
        <w:t>Общи документи относими към възнагражденията на персонала – само при подаване на първото искане за плащане  по тази категория или при промяна:</w:t>
      </w:r>
    </w:p>
    <w:p w14:paraId="4CBB9A6F" w14:textId="77777777" w:rsidR="00FF043C" w:rsidRPr="001B0EA3" w:rsidRDefault="00FF043C" w:rsidP="00FF043C">
      <w:pPr>
        <w:pStyle w:val="ListParagraph"/>
        <w:ind w:left="0"/>
        <w:rPr>
          <w:rFonts w:eastAsia="Calibri"/>
          <w:szCs w:val="24"/>
          <w:lang w:eastAsia="en-US"/>
        </w:rPr>
      </w:pPr>
      <w:r w:rsidRPr="001B0EA3">
        <w:rPr>
          <w:i/>
          <w:u w:val="single"/>
        </w:rPr>
        <w:lastRenderedPageBreak/>
        <w:t>пример</w:t>
      </w:r>
      <w:r w:rsidRPr="001B0EA3">
        <w:rPr>
          <w:u w:val="single"/>
        </w:rPr>
        <w:t>:</w:t>
      </w:r>
      <w:r w:rsidRPr="001B0EA3">
        <w:t xml:space="preserve"> </w:t>
      </w:r>
      <w:r w:rsidRPr="001B0EA3">
        <w:rPr>
          <w:b/>
        </w:rPr>
        <w:t>Методика.pdf; Одобрение на методиката от УО.pdf; Заповед за сформиране на екипа.pdf; и т.н.</w:t>
      </w:r>
    </w:p>
    <w:p w14:paraId="542082FE" w14:textId="77777777" w:rsidR="00FF043C" w:rsidRPr="001B0EA3" w:rsidRDefault="00FF043C" w:rsidP="00FF043C">
      <w:pPr>
        <w:pStyle w:val="ListParagraph"/>
        <w:ind w:left="851"/>
        <w:rPr>
          <w:rFonts w:eastAsia="Calibri"/>
          <w:szCs w:val="24"/>
          <w:lang w:eastAsia="en-US"/>
        </w:rPr>
      </w:pPr>
    </w:p>
    <w:p w14:paraId="7E4E2EF9" w14:textId="77777777" w:rsidR="00FF043C" w:rsidRPr="001B0EA3" w:rsidRDefault="00FF043C" w:rsidP="00FF043C">
      <w:pPr>
        <w:pStyle w:val="ListParagraph"/>
        <w:numPr>
          <w:ilvl w:val="0"/>
          <w:numId w:val="267"/>
        </w:numPr>
        <w:ind w:left="0" w:firstLine="426"/>
        <w:rPr>
          <w:szCs w:val="24"/>
        </w:rPr>
      </w:pPr>
      <w:r w:rsidRPr="001B0EA3">
        <w:rPr>
          <w:szCs w:val="24"/>
        </w:rPr>
        <w:t>Членове на екипа (подпапка) - само при подаване на първото искане за плащане по тази дейност или при промяна</w:t>
      </w:r>
    </w:p>
    <w:p w14:paraId="186D0B75" w14:textId="77777777" w:rsidR="00FF043C" w:rsidRPr="001B0EA3" w:rsidRDefault="00FF043C" w:rsidP="00FF043C">
      <w:pPr>
        <w:pStyle w:val="ListParagraph"/>
        <w:ind w:left="0"/>
      </w:pPr>
      <w:r w:rsidRPr="001B0EA3">
        <w:rPr>
          <w:i/>
          <w:u w:val="single"/>
        </w:rPr>
        <w:t>пример</w:t>
      </w:r>
      <w:r w:rsidRPr="001B0EA3">
        <w:rPr>
          <w:b/>
          <w:i/>
          <w:u w:val="single"/>
        </w:rPr>
        <w:t>:</w:t>
      </w:r>
      <w:r w:rsidRPr="001B0EA3">
        <w:rPr>
          <w:b/>
          <w:i/>
        </w:rPr>
        <w:t xml:space="preserve"> </w:t>
      </w:r>
      <w:r w:rsidRPr="001B0EA3">
        <w:rPr>
          <w:b/>
        </w:rPr>
        <w:t>Петър Петров.pdf; Иван Иванов.pdf; и т.н.</w:t>
      </w:r>
      <w:r w:rsidRPr="001B0EA3">
        <w:t xml:space="preserve"> – всеки файл следва да съдържа цялата информация касаеща съответния член на екипа (договор, длъжностна характеристика, декларации, справки, други относими документи и т.н.)</w:t>
      </w:r>
    </w:p>
    <w:p w14:paraId="2A5D4ADE" w14:textId="77777777" w:rsidR="00FF043C" w:rsidRPr="001B0EA3" w:rsidRDefault="00FF043C" w:rsidP="00FF043C">
      <w:pPr>
        <w:pStyle w:val="ListParagraph"/>
        <w:ind w:left="851"/>
      </w:pPr>
    </w:p>
    <w:p w14:paraId="580DE570" w14:textId="77777777" w:rsidR="00FF043C" w:rsidRPr="001B0EA3" w:rsidRDefault="00FF043C" w:rsidP="00FF043C">
      <w:pPr>
        <w:pStyle w:val="ListParagraph"/>
        <w:numPr>
          <w:ilvl w:val="0"/>
          <w:numId w:val="267"/>
        </w:numPr>
        <w:ind w:left="851" w:hanging="425"/>
        <w:rPr>
          <w:szCs w:val="24"/>
        </w:rPr>
      </w:pPr>
      <w:r w:rsidRPr="001B0EA3">
        <w:rPr>
          <w:szCs w:val="24"/>
        </w:rPr>
        <w:t>Обобщен списък на разходите за командировки (</w:t>
      </w:r>
      <w:r w:rsidRPr="001B0EA3">
        <w:rPr>
          <w:i/>
          <w:szCs w:val="24"/>
        </w:rPr>
        <w:t>excel файл</w:t>
      </w:r>
      <w:r w:rsidRPr="001B0EA3">
        <w:rPr>
          <w:szCs w:val="24"/>
        </w:rPr>
        <w:t>)</w:t>
      </w:r>
    </w:p>
    <w:p w14:paraId="2827DBC5" w14:textId="77777777" w:rsidR="00FF043C" w:rsidRPr="001B0EA3" w:rsidRDefault="00FF043C" w:rsidP="00FF043C">
      <w:pPr>
        <w:pStyle w:val="ListParagraph"/>
        <w:ind w:left="851"/>
        <w:rPr>
          <w:szCs w:val="24"/>
        </w:rPr>
      </w:pPr>
    </w:p>
    <w:p w14:paraId="1C26E57E" w14:textId="77777777" w:rsidR="00FF043C" w:rsidRPr="001B0EA3" w:rsidRDefault="00FF043C" w:rsidP="00FF043C">
      <w:pPr>
        <w:pStyle w:val="ListParagraph"/>
        <w:numPr>
          <w:ilvl w:val="0"/>
          <w:numId w:val="267"/>
        </w:numPr>
        <w:ind w:left="851" w:hanging="425"/>
        <w:rPr>
          <w:szCs w:val="24"/>
        </w:rPr>
      </w:pPr>
      <w:r w:rsidRPr="001B0EA3">
        <w:rPr>
          <w:szCs w:val="24"/>
        </w:rPr>
        <w:t>Обобщен списък на разходите за отчуждения (</w:t>
      </w:r>
      <w:r w:rsidRPr="001B0EA3">
        <w:rPr>
          <w:i/>
          <w:szCs w:val="24"/>
        </w:rPr>
        <w:t>excel файл</w:t>
      </w:r>
      <w:r w:rsidRPr="001B0EA3">
        <w:rPr>
          <w:szCs w:val="24"/>
        </w:rPr>
        <w:t>)</w:t>
      </w:r>
    </w:p>
    <w:p w14:paraId="1B3ECCD8" w14:textId="77777777" w:rsidR="00FF043C" w:rsidRPr="001B0EA3" w:rsidRDefault="00FF043C" w:rsidP="00FF043C">
      <w:pPr>
        <w:pStyle w:val="ListParagraph"/>
        <w:rPr>
          <w:szCs w:val="24"/>
        </w:rPr>
      </w:pPr>
    </w:p>
    <w:p w14:paraId="53454B8A" w14:textId="77777777" w:rsidR="00FF043C" w:rsidRPr="001B0EA3" w:rsidRDefault="00FF043C" w:rsidP="00FF043C">
      <w:pPr>
        <w:pStyle w:val="ListParagraph"/>
        <w:numPr>
          <w:ilvl w:val="0"/>
          <w:numId w:val="267"/>
        </w:numPr>
        <w:ind w:left="851" w:hanging="425"/>
        <w:rPr>
          <w:szCs w:val="24"/>
        </w:rPr>
      </w:pPr>
      <w:r w:rsidRPr="001B0EA3">
        <w:rPr>
          <w:szCs w:val="24"/>
        </w:rPr>
        <w:t>Обобщен списък на разходите за такси и др. (</w:t>
      </w:r>
      <w:r w:rsidRPr="001B0EA3">
        <w:rPr>
          <w:i/>
          <w:szCs w:val="24"/>
        </w:rPr>
        <w:t>excel файл</w:t>
      </w:r>
      <w:r w:rsidRPr="001B0EA3">
        <w:rPr>
          <w:szCs w:val="24"/>
        </w:rPr>
        <w:t>)</w:t>
      </w:r>
    </w:p>
    <w:p w14:paraId="246FDB81" w14:textId="77777777" w:rsidR="00FF043C" w:rsidRPr="001B0EA3" w:rsidRDefault="00FF043C" w:rsidP="00FF043C">
      <w:pPr>
        <w:pStyle w:val="ListParagraph"/>
        <w:ind w:left="851"/>
        <w:rPr>
          <w:szCs w:val="24"/>
        </w:rPr>
      </w:pPr>
    </w:p>
    <w:p w14:paraId="7244ACB1" w14:textId="77777777" w:rsidR="00FF043C" w:rsidRPr="001B0EA3" w:rsidRDefault="00FF043C" w:rsidP="00FF043C">
      <w:pPr>
        <w:pStyle w:val="ListParagraph"/>
        <w:numPr>
          <w:ilvl w:val="0"/>
          <w:numId w:val="267"/>
        </w:numPr>
        <w:ind w:left="0" w:firstLine="426"/>
        <w:rPr>
          <w:szCs w:val="24"/>
        </w:rPr>
      </w:pPr>
      <w:r w:rsidRPr="001B0EA3">
        <w:rPr>
          <w:szCs w:val="24"/>
        </w:rPr>
        <w:t xml:space="preserve">Справки и извлечения от счетоводната система на бенефициента </w:t>
      </w:r>
      <w:r w:rsidRPr="001B0EA3">
        <w:rPr>
          <w:i/>
          <w:szCs w:val="24"/>
        </w:rPr>
        <w:t>(подпапка),</w:t>
      </w:r>
      <w:r w:rsidRPr="001B0EA3">
        <w:rPr>
          <w:szCs w:val="24"/>
        </w:rPr>
        <w:t xml:space="preserve"> касаещи осчетоводяванията на разходите по проекта</w:t>
      </w:r>
    </w:p>
    <w:p w14:paraId="4FA1F16B" w14:textId="77777777" w:rsidR="00FF043C" w:rsidRDefault="00FF043C" w:rsidP="00FF043C">
      <w:pPr>
        <w:pStyle w:val="ListParagraph"/>
        <w:ind w:left="0"/>
        <w:rPr>
          <w:b/>
        </w:rPr>
      </w:pPr>
      <w:r w:rsidRPr="001B0EA3">
        <w:rPr>
          <w:i/>
        </w:rPr>
        <w:t xml:space="preserve">пример: </w:t>
      </w:r>
      <w:r w:rsidRPr="001B0EA3">
        <w:rPr>
          <w:b/>
        </w:rPr>
        <w:t>Аналитични оборотни ведомости за осчетоводени разходи, БФП, лимити, трансфери, финансови корекции и т.н. към датата на извършване на разходите и към датата на докладването им в Искането.</w:t>
      </w:r>
    </w:p>
    <w:p w14:paraId="12B77E19" w14:textId="77777777" w:rsidR="00FF043C" w:rsidRDefault="00FF043C" w:rsidP="00FF043C">
      <w:pPr>
        <w:pStyle w:val="ListParagraph"/>
        <w:ind w:left="0"/>
        <w:rPr>
          <w:b/>
        </w:rPr>
      </w:pPr>
    </w:p>
    <w:p w14:paraId="246D51F6" w14:textId="77777777" w:rsidR="00FF043C" w:rsidRDefault="00FF043C" w:rsidP="00FF043C">
      <w:pPr>
        <w:pStyle w:val="ListParagraph"/>
        <w:numPr>
          <w:ilvl w:val="0"/>
          <w:numId w:val="267"/>
        </w:numPr>
        <w:tabs>
          <w:tab w:val="left" w:pos="1560"/>
        </w:tabs>
        <w:rPr>
          <w:b/>
        </w:rPr>
      </w:pPr>
      <w:r w:rsidRPr="00DA2AB8">
        <w:rPr>
          <w:szCs w:val="24"/>
        </w:rPr>
        <w:t>Информация за сключени от бенефициента договор</w:t>
      </w:r>
      <w:r>
        <w:rPr>
          <w:szCs w:val="24"/>
        </w:rPr>
        <w:t>и със същия или сходен предмет</w:t>
      </w:r>
      <w:r w:rsidRPr="00DA2AB8">
        <w:rPr>
          <w:b/>
        </w:rPr>
        <w:t>.pdf</w:t>
      </w:r>
    </w:p>
    <w:p w14:paraId="10EE0BC8" w14:textId="77777777" w:rsidR="00FF043C" w:rsidRDefault="00FF043C" w:rsidP="00FF043C">
      <w:pPr>
        <w:pStyle w:val="ListParagraph"/>
        <w:tabs>
          <w:tab w:val="left" w:pos="1560"/>
        </w:tabs>
        <w:ind w:left="644" w:firstLine="0"/>
        <w:rPr>
          <w:b/>
        </w:rPr>
      </w:pPr>
    </w:p>
    <w:p w14:paraId="1746C117" w14:textId="77777777" w:rsidR="00FF043C" w:rsidRDefault="00FF043C" w:rsidP="00FF043C">
      <w:pPr>
        <w:pStyle w:val="ListParagraph"/>
        <w:numPr>
          <w:ilvl w:val="0"/>
          <w:numId w:val="267"/>
        </w:numPr>
        <w:tabs>
          <w:tab w:val="left" w:pos="1560"/>
        </w:tabs>
        <w:rPr>
          <w:b/>
        </w:rPr>
      </w:pPr>
      <w:r>
        <w:rPr>
          <w:b/>
        </w:rPr>
        <w:t>Декларация за потвърждаване на изпълнени обстоятелства.</w:t>
      </w:r>
      <w:r w:rsidRPr="00DA2AB8">
        <w:rPr>
          <w:b/>
        </w:rPr>
        <w:t>pdf</w:t>
      </w:r>
    </w:p>
    <w:p w14:paraId="106A4322" w14:textId="77777777" w:rsidR="00FF043C" w:rsidRPr="00587A16" w:rsidRDefault="00FF043C" w:rsidP="00FF043C">
      <w:pPr>
        <w:tabs>
          <w:tab w:val="left" w:pos="1560"/>
        </w:tabs>
        <w:ind w:firstLine="0"/>
        <w:rPr>
          <w:b/>
        </w:rPr>
      </w:pPr>
    </w:p>
    <w:p w14:paraId="579E3688" w14:textId="77777777" w:rsidR="00FF043C" w:rsidRDefault="00FF043C" w:rsidP="00FF043C">
      <w:pPr>
        <w:pStyle w:val="ListParagraph"/>
        <w:numPr>
          <w:ilvl w:val="0"/>
          <w:numId w:val="267"/>
        </w:numPr>
        <w:tabs>
          <w:tab w:val="left" w:pos="1560"/>
        </w:tabs>
        <w:rPr>
          <w:b/>
        </w:rPr>
      </w:pPr>
      <w:r w:rsidRPr="00F13272">
        <w:rPr>
          <w:b/>
        </w:rPr>
        <w:t>Информация за извършени проверки на място от бенефициента, свързани с докладваните разходи</w:t>
      </w:r>
      <w:r>
        <w:rPr>
          <w:b/>
        </w:rPr>
        <w:t>.</w:t>
      </w:r>
      <w:r w:rsidRPr="00DA2AB8">
        <w:rPr>
          <w:b/>
        </w:rPr>
        <w:t>pdf</w:t>
      </w:r>
    </w:p>
    <w:p w14:paraId="6B9EEEAC" w14:textId="77777777" w:rsidR="00FF043C" w:rsidRPr="00587A16" w:rsidRDefault="00FF043C" w:rsidP="00FF043C">
      <w:pPr>
        <w:tabs>
          <w:tab w:val="left" w:pos="1560"/>
        </w:tabs>
        <w:ind w:firstLine="0"/>
        <w:rPr>
          <w:b/>
        </w:rPr>
      </w:pPr>
    </w:p>
    <w:p w14:paraId="4B373292" w14:textId="77777777" w:rsidR="00FF043C" w:rsidRDefault="00FF043C" w:rsidP="00FF043C">
      <w:pPr>
        <w:pStyle w:val="ListParagraph"/>
        <w:numPr>
          <w:ilvl w:val="0"/>
          <w:numId w:val="267"/>
        </w:numPr>
        <w:tabs>
          <w:tab w:val="left" w:pos="1560"/>
        </w:tabs>
        <w:rPr>
          <w:b/>
        </w:rPr>
      </w:pPr>
      <w:r>
        <w:rPr>
          <w:b/>
        </w:rPr>
        <w:t xml:space="preserve">Декларация </w:t>
      </w:r>
      <w:r w:rsidRPr="00F13272">
        <w:rPr>
          <w:b/>
        </w:rPr>
        <w:t>за идентичност на документи и местонахождението им при бенефициента</w:t>
      </w:r>
      <w:r>
        <w:rPr>
          <w:b/>
        </w:rPr>
        <w:t>.</w:t>
      </w:r>
      <w:r w:rsidRPr="00DA2AB8">
        <w:rPr>
          <w:b/>
        </w:rPr>
        <w:t>pdf</w:t>
      </w:r>
    </w:p>
    <w:p w14:paraId="1F9BEF12" w14:textId="77777777" w:rsidR="00FF043C" w:rsidRDefault="00FF043C" w:rsidP="00FF043C">
      <w:pPr>
        <w:tabs>
          <w:tab w:val="left" w:pos="1560"/>
        </w:tabs>
        <w:rPr>
          <w:b/>
        </w:rPr>
      </w:pPr>
    </w:p>
    <w:p w14:paraId="3C2F4BD3" w14:textId="77777777" w:rsidR="00FF043C" w:rsidRPr="00842ECC" w:rsidRDefault="00FF043C" w:rsidP="00FF043C">
      <w:pPr>
        <w:tabs>
          <w:tab w:val="left" w:pos="1560"/>
        </w:tabs>
        <w:rPr>
          <w:b/>
        </w:rPr>
      </w:pPr>
      <w:r>
        <w:rPr>
          <w:b/>
        </w:rPr>
        <w:t>Информацията от т. 8 до т. 11 е систематизирана в Приложение № 5.01.2</w:t>
      </w:r>
    </w:p>
    <w:p w14:paraId="7D7C9FA9" w14:textId="77777777" w:rsidR="000444CE" w:rsidRPr="001B0EA3" w:rsidRDefault="000444CE" w:rsidP="000444CE">
      <w:pPr>
        <w:pStyle w:val="ListParagraph"/>
        <w:ind w:left="851"/>
        <w:rPr>
          <w:b/>
        </w:rPr>
      </w:pPr>
    </w:p>
    <w:p w14:paraId="31061792" w14:textId="77777777" w:rsidR="000444CE" w:rsidRPr="001B0EA3" w:rsidRDefault="000444CE" w:rsidP="000444CE">
      <w:pPr>
        <w:tabs>
          <w:tab w:val="left" w:pos="1134"/>
        </w:tabs>
        <w:spacing w:after="120"/>
        <w:rPr>
          <w:szCs w:val="24"/>
        </w:rPr>
      </w:pPr>
      <w:r w:rsidRPr="001B0EA3">
        <w:rPr>
          <w:b/>
          <w:szCs w:val="24"/>
        </w:rPr>
        <w:t xml:space="preserve">Срокът за процедиране на искания за авансово плащане е </w:t>
      </w:r>
      <w:r w:rsidR="00363266">
        <w:rPr>
          <w:b/>
          <w:szCs w:val="24"/>
        </w:rPr>
        <w:t>5</w:t>
      </w:r>
      <w:r w:rsidR="00363266" w:rsidRPr="001B0EA3">
        <w:rPr>
          <w:b/>
          <w:szCs w:val="24"/>
        </w:rPr>
        <w:t xml:space="preserve"> </w:t>
      </w:r>
      <w:r w:rsidRPr="001B0EA3">
        <w:rPr>
          <w:b/>
          <w:szCs w:val="24"/>
        </w:rPr>
        <w:t>работни дни</w:t>
      </w:r>
      <w:r w:rsidR="00363266">
        <w:rPr>
          <w:b/>
          <w:szCs w:val="24"/>
        </w:rPr>
        <w:t>. И</w:t>
      </w:r>
      <w:r w:rsidRPr="001B0EA3">
        <w:rPr>
          <w:szCs w:val="24"/>
        </w:rPr>
        <w:t xml:space="preserve">скания за </w:t>
      </w:r>
      <w:r w:rsidRPr="001B0EA3">
        <w:rPr>
          <w:b/>
          <w:szCs w:val="24"/>
        </w:rPr>
        <w:t>междинн</w:t>
      </w:r>
      <w:r w:rsidR="00363266">
        <w:rPr>
          <w:b/>
          <w:szCs w:val="24"/>
        </w:rPr>
        <w:t>о</w:t>
      </w:r>
      <w:r w:rsidRPr="001B0EA3">
        <w:rPr>
          <w:b/>
          <w:szCs w:val="24"/>
        </w:rPr>
        <w:t xml:space="preserve"> плащане</w:t>
      </w:r>
      <w:r w:rsidRPr="001B0EA3">
        <w:rPr>
          <w:szCs w:val="24"/>
        </w:rPr>
        <w:t xml:space="preserve"> се процедират</w:t>
      </w:r>
      <w:r w:rsidR="00F979CA">
        <w:rPr>
          <w:szCs w:val="24"/>
        </w:rPr>
        <w:t xml:space="preserve"> </w:t>
      </w:r>
      <w:r w:rsidRPr="001B0EA3">
        <w:rPr>
          <w:szCs w:val="24"/>
        </w:rPr>
        <w:t xml:space="preserve">в рамките на  </w:t>
      </w:r>
      <w:r w:rsidR="00363266">
        <w:rPr>
          <w:b/>
          <w:szCs w:val="24"/>
        </w:rPr>
        <w:t>54</w:t>
      </w:r>
      <w:r w:rsidR="00363266" w:rsidRPr="001B0EA3">
        <w:rPr>
          <w:b/>
          <w:szCs w:val="24"/>
        </w:rPr>
        <w:t xml:space="preserve"> </w:t>
      </w:r>
      <w:r w:rsidRPr="001B0EA3">
        <w:rPr>
          <w:b/>
          <w:szCs w:val="24"/>
        </w:rPr>
        <w:t>работни дни</w:t>
      </w:r>
      <w:r w:rsidR="00363266" w:rsidRPr="00363266">
        <w:rPr>
          <w:b/>
          <w:szCs w:val="24"/>
        </w:rPr>
        <w:t>, а искания за окончателно плащане се процедират в рамките на 61 работни дни</w:t>
      </w:r>
      <w:r w:rsidRPr="001B0EA3">
        <w:rPr>
          <w:szCs w:val="24"/>
        </w:rPr>
        <w:t xml:space="preserve"> от датата на получаването им.</w:t>
      </w:r>
    </w:p>
    <w:p w14:paraId="51C31B92" w14:textId="77777777" w:rsidR="0075633A" w:rsidRDefault="0075633A" w:rsidP="000444CE">
      <w:pPr>
        <w:tabs>
          <w:tab w:val="left" w:pos="1134"/>
        </w:tabs>
        <w:spacing w:after="120"/>
        <w:rPr>
          <w:szCs w:val="24"/>
        </w:rPr>
      </w:pPr>
      <w:r w:rsidRPr="0075633A">
        <w:rPr>
          <w:szCs w:val="24"/>
        </w:rPr>
        <w:t>Сроковете за процедиране и плащане на Исканията, във връзка с чл. 61, ал. 1 и чл. 62, ал. 1 от ЗУСЕСИФ започват да текат от изпращането на съответния пакет документи от бенефициента в ИСУН 2020 („дата на представяне“). В случаи на връщане на пакет документи или на част от пакета, сроковете се прекъсват и започват да текат от въвеждането на следваща версия на документа от „дата на представяне“ в ИСУН 2020. В този случай бенефициентът уведомява УО чрез модул „Договори“, „Кореспонденция“ за подаването на следваща версия на документ от пакета в ИСУН 2020.</w:t>
      </w:r>
      <w:r w:rsidR="009729CF">
        <w:rPr>
          <w:szCs w:val="24"/>
        </w:rPr>
        <w:t xml:space="preserve"> </w:t>
      </w:r>
      <w:r w:rsidR="009729CF" w:rsidRPr="009729CF">
        <w:rPr>
          <w:szCs w:val="24"/>
        </w:rPr>
        <w:t>Потребителите от УО получават нотификации в потребителския си профил в системата (ИСУН 2020) след съответните настройки.</w:t>
      </w:r>
    </w:p>
    <w:p w14:paraId="4505A095" w14:textId="77777777" w:rsidR="000444CE" w:rsidRPr="00842ECC" w:rsidRDefault="000444CE" w:rsidP="00223233">
      <w:pPr>
        <w:pStyle w:val="Style4"/>
        <w:rPr>
          <w:lang w:val="bg-BG"/>
        </w:rPr>
      </w:pPr>
      <w:r w:rsidRPr="00842ECC">
        <w:rPr>
          <w:lang w:val="bg-BG"/>
        </w:rPr>
        <w:t xml:space="preserve"> </w:t>
      </w:r>
      <w:bookmarkStart w:id="1137" w:name="_Toc479775709"/>
      <w:r w:rsidRPr="00842ECC">
        <w:rPr>
          <w:lang w:val="bg-BG"/>
        </w:rPr>
        <w:t xml:space="preserve">Потвърждаване на разходите от външни </w:t>
      </w:r>
      <w:r w:rsidR="00106746" w:rsidRPr="00842ECC">
        <w:rPr>
          <w:lang w:val="bg-BG"/>
        </w:rPr>
        <w:t>бенефициенти</w:t>
      </w:r>
      <w:r w:rsidRPr="00842ECC">
        <w:rPr>
          <w:lang w:val="bg-BG"/>
        </w:rPr>
        <w:t xml:space="preserve"> по ОПТТИ</w:t>
      </w:r>
      <w:bookmarkEnd w:id="1137"/>
    </w:p>
    <w:p w14:paraId="03EE473A" w14:textId="77777777" w:rsidR="0075633A" w:rsidRPr="0075633A" w:rsidRDefault="0075633A" w:rsidP="0075633A">
      <w:pPr>
        <w:rPr>
          <w:color w:val="000000"/>
          <w:szCs w:val="24"/>
        </w:rPr>
      </w:pPr>
      <w:r w:rsidRPr="0075633A">
        <w:rPr>
          <w:color w:val="000000"/>
          <w:szCs w:val="24"/>
        </w:rPr>
        <w:t xml:space="preserve">Външните бенефиценти следва да имат добре разписани и одобрени контролни процедури, с оглед спазване на принципи на добро финансово управление. Следва стриктно да прилагат изискванията, заложени в  административните договори за предоставяне на БФП, респективно одобрените формуляри за кандидатстване към тях. Бенефициентът е отговорен за </w:t>
      </w:r>
      <w:r w:rsidRPr="0075633A">
        <w:rPr>
          <w:color w:val="000000"/>
          <w:szCs w:val="24"/>
        </w:rPr>
        <w:lastRenderedPageBreak/>
        <w:t>изпълнение на одобрения проект, за потвърждаване и осчетоводяване на разходите по проекта въз основа на фактури и/или разходооправдателни документи с еквивалентна доказателствена стойност съглсно приложимото законодателство.</w:t>
      </w:r>
    </w:p>
    <w:p w14:paraId="672F4067" w14:textId="77777777" w:rsidR="0075633A" w:rsidRPr="0075633A" w:rsidRDefault="0075633A" w:rsidP="0075633A">
      <w:pPr>
        <w:rPr>
          <w:color w:val="000000"/>
          <w:szCs w:val="24"/>
        </w:rPr>
      </w:pPr>
      <w:r w:rsidRPr="0075633A">
        <w:rPr>
          <w:color w:val="000000"/>
          <w:szCs w:val="24"/>
        </w:rPr>
        <w:t xml:space="preserve">При сключени договори с изпълнители за строителство, доставка на стоки или услуги, изпълнителят издава фактури на бенефициента, разходите по които се проверяват от бенефициента за съответствие с техническите спецификации, тръжната документация и техническите параметри, извършва се проверка на представения разходооправдателен документ за установяване наличието на всички изискуеми по Закона за счетоводството реквизити и коректното попълване на информацията съдържаща се в него. Приемането на работата и одобрението на разхода се потвърждават от бенефициента чрез изготвяне и попълване на съответните контролни листове, протоколи, доклади и други документи в съответствие с изискванията на договорите за изпълнение и в съответствие с контролните процедури на бенефициента. </w:t>
      </w:r>
    </w:p>
    <w:p w14:paraId="1AC6A26F" w14:textId="77777777" w:rsidR="0075633A" w:rsidRDefault="0075633A" w:rsidP="0075633A">
      <w:pPr>
        <w:rPr>
          <w:color w:val="000000"/>
          <w:szCs w:val="24"/>
        </w:rPr>
      </w:pPr>
      <w:r w:rsidRPr="0075633A">
        <w:rPr>
          <w:color w:val="000000"/>
          <w:szCs w:val="24"/>
        </w:rPr>
        <w:t xml:space="preserve">В случаите, в които извършените разходи по проекта </w:t>
      </w:r>
      <w:r w:rsidRPr="00251D03">
        <w:rPr>
          <w:b/>
          <w:color w:val="000000"/>
          <w:szCs w:val="24"/>
        </w:rPr>
        <w:t>не</w:t>
      </w:r>
      <w:r w:rsidRPr="0075633A">
        <w:rPr>
          <w:color w:val="000000"/>
          <w:szCs w:val="24"/>
        </w:rPr>
        <w:t xml:space="preserve"> са по сключени договори с изпълнители, бенефициентът изготвя документи, съобразно контролните си процедури.  </w:t>
      </w:r>
    </w:p>
    <w:p w14:paraId="51524F32" w14:textId="77777777" w:rsidR="000444CE" w:rsidRPr="00842ECC" w:rsidRDefault="000444CE" w:rsidP="00223233">
      <w:pPr>
        <w:pStyle w:val="Style4"/>
        <w:rPr>
          <w:lang w:val="bg-BG"/>
        </w:rPr>
      </w:pPr>
      <w:bookmarkStart w:id="1138" w:name="_Toc479775710"/>
      <w:r w:rsidRPr="00842ECC">
        <w:rPr>
          <w:lang w:val="bg-BG"/>
        </w:rPr>
        <w:t>Потвърждаване на разходите от Звено за изпълнение на проект, в случаите когато УО е бенефициент по ОПТТИ</w:t>
      </w:r>
      <w:bookmarkEnd w:id="1138"/>
    </w:p>
    <w:p w14:paraId="5DB506F5" w14:textId="77777777" w:rsidR="000444CE" w:rsidRPr="001B0EA3" w:rsidRDefault="000444CE" w:rsidP="00F068A3">
      <w:pPr>
        <w:rPr>
          <w:color w:val="000000"/>
          <w:szCs w:val="24"/>
        </w:rPr>
      </w:pPr>
      <w:r w:rsidRPr="001B0EA3">
        <w:rPr>
          <w:color w:val="000000"/>
          <w:szCs w:val="24"/>
        </w:rPr>
        <w:t xml:space="preserve">По част от проектите, включени за финансиране по приоритетна ос „Техническа помощ” на ОПТТИ бенефициент е УО или отделна структурна единица в УО. </w:t>
      </w:r>
    </w:p>
    <w:p w14:paraId="04D8BE06" w14:textId="77777777" w:rsidR="000444CE" w:rsidRPr="001B0EA3" w:rsidRDefault="000444CE" w:rsidP="00F068A3">
      <w:pPr>
        <w:rPr>
          <w:color w:val="000000"/>
          <w:szCs w:val="24"/>
        </w:rPr>
      </w:pPr>
      <w:r w:rsidRPr="001B0EA3">
        <w:rPr>
          <w:color w:val="000000"/>
          <w:szCs w:val="24"/>
        </w:rPr>
        <w:t>Функциите за управление на тези проекти се възлагат на звено за изпълнение на проект (ЗИП), сформирано със заповед на Министъра на транспорта и съобщенията.</w:t>
      </w:r>
    </w:p>
    <w:p w14:paraId="09FE9791" w14:textId="77777777" w:rsidR="000444CE" w:rsidRPr="001B0EA3" w:rsidRDefault="000444CE" w:rsidP="00F068A3">
      <w:pPr>
        <w:spacing w:before="120"/>
        <w:rPr>
          <w:b/>
          <w:i/>
          <w:szCs w:val="24"/>
        </w:rPr>
      </w:pPr>
      <w:r w:rsidRPr="001B0EA3">
        <w:rPr>
          <w:b/>
          <w:i/>
          <w:szCs w:val="24"/>
        </w:rPr>
        <w:t>Потвърждаване на разходи по авансово плащане</w:t>
      </w:r>
      <w:r w:rsidRPr="001B0EA3">
        <w:rPr>
          <w:b/>
          <w:szCs w:val="24"/>
        </w:rPr>
        <w:t xml:space="preserve"> </w:t>
      </w:r>
      <w:r w:rsidRPr="001B0EA3">
        <w:rPr>
          <w:b/>
          <w:i/>
          <w:szCs w:val="24"/>
        </w:rPr>
        <w:t>по сключени договори с изпълнители</w:t>
      </w:r>
      <w:r w:rsidRPr="001B0EA3">
        <w:rPr>
          <w:szCs w:val="24"/>
        </w:rPr>
        <w:t xml:space="preserve"> - След сключване на договор с изпълнител и при включена клауза в него за авансово плащане и представяне на фактура за авансово плащане по договора, ЗИП  извършва пълна проверка за установяване на наличието на всички необходими условия за извършване на авансовото плащане към изпълнителя. Тази проверка включва проверка на предоставения разходооправдателен документ</w:t>
      </w:r>
      <w:r w:rsidRPr="001B0EA3" w:rsidDel="00544E49">
        <w:rPr>
          <w:szCs w:val="24"/>
        </w:rPr>
        <w:t xml:space="preserve"> </w:t>
      </w:r>
      <w:r w:rsidRPr="001B0EA3">
        <w:rPr>
          <w:szCs w:val="24"/>
        </w:rPr>
        <w:t xml:space="preserve">за установяване наличието на всички изискуеми по Закона за счетоводството реквизити и коректното попълване на информацията съдържаща се в него. ЗИП  прави проверка за наличието на пълния набор от документи, необходими за извършване на авансово плащане съгласно изискванията на договора. За документиране на извършените дейности в процеса на потвърждаване на разхода се попълва контролен лист за потвърждаване на разходите - </w:t>
      </w:r>
      <w:r w:rsidRPr="001B0EA3">
        <w:rPr>
          <w:b/>
          <w:i/>
          <w:szCs w:val="24"/>
        </w:rPr>
        <w:t>(</w:t>
      </w:r>
      <w:hyperlink r:id="rId178" w:tooltip="Контролен лист за верифициране на разходите при изпълнение на проекти/бюджетни линии по приоритетна ос " w:history="1">
        <w:r w:rsidR="000F3221" w:rsidRPr="00251D03">
          <w:rPr>
            <w:i/>
            <w:iCs/>
            <w:color w:val="0000FF"/>
            <w:szCs w:val="24"/>
            <w:u w:val="single"/>
            <w:lang w:eastAsia="bg-BG"/>
          </w:rPr>
          <w:t>Приложение № 5.05</w:t>
        </w:r>
      </w:hyperlink>
      <w:r w:rsidRPr="001B0EA3">
        <w:rPr>
          <w:b/>
          <w:i/>
          <w:szCs w:val="24"/>
        </w:rPr>
        <w:t>).</w:t>
      </w:r>
    </w:p>
    <w:p w14:paraId="07094FAD" w14:textId="77777777" w:rsidR="000444CE" w:rsidRPr="001B0EA3" w:rsidRDefault="000444CE" w:rsidP="00F068A3">
      <w:pPr>
        <w:spacing w:before="120"/>
        <w:rPr>
          <w:szCs w:val="24"/>
        </w:rPr>
      </w:pPr>
      <w:r w:rsidRPr="001B0EA3">
        <w:rPr>
          <w:b/>
          <w:i/>
          <w:szCs w:val="24"/>
        </w:rPr>
        <w:t>Потвърждаване на разходи по междинни и окончателни плащания</w:t>
      </w:r>
      <w:r w:rsidRPr="001B0EA3">
        <w:rPr>
          <w:b/>
          <w:szCs w:val="24"/>
        </w:rPr>
        <w:t xml:space="preserve"> </w:t>
      </w:r>
      <w:r w:rsidRPr="001B0EA3">
        <w:rPr>
          <w:b/>
          <w:i/>
          <w:szCs w:val="24"/>
        </w:rPr>
        <w:t>по сключени договори с изпълнители</w:t>
      </w:r>
      <w:r w:rsidRPr="001B0EA3">
        <w:rPr>
          <w:szCs w:val="24"/>
        </w:rPr>
        <w:t xml:space="preserve"> - При доставка на стоки или услуги, изпълнителят предоставя услугите или стоките и издава фактури на </w:t>
      </w:r>
      <w:r w:rsidR="00BB6BF6">
        <w:rPr>
          <w:szCs w:val="24"/>
        </w:rPr>
        <w:t>МТС</w:t>
      </w:r>
      <w:r w:rsidRPr="001B0EA3">
        <w:rPr>
          <w:szCs w:val="24"/>
        </w:rPr>
        <w:t>, които се изпращат от ЗИП за извършване на плащане в дирекция „Финанси”, придружени с копие на контролен лист (</w:t>
      </w:r>
      <w:hyperlink r:id="rId179" w:tooltip="Контролен лист за верифициране на разходите при изпълнение на проекти/бюджетни линии по приоритетна ос " w:history="1">
        <w:r w:rsidR="000F3221" w:rsidRPr="00251D03">
          <w:rPr>
            <w:i/>
            <w:iCs/>
            <w:color w:val="0000FF"/>
            <w:szCs w:val="24"/>
            <w:u w:val="single"/>
            <w:lang w:eastAsia="bg-BG"/>
          </w:rPr>
          <w:t>Приложение № 5.05</w:t>
        </w:r>
      </w:hyperlink>
      <w:r w:rsidRPr="001B0EA3">
        <w:rPr>
          <w:szCs w:val="24"/>
        </w:rPr>
        <w:t>). Преди представянето на документите за извършване на плащане, ЗИП  извършва проверка на фактурираните разходи в съответствие с техническите спецификации, тръжната документация и техническите параметри. Извършва проверка на документите, доклади за работата, приемо-предавателни протоколи, документи за одобрение на работата по проектите</w:t>
      </w:r>
      <w:r w:rsidR="00106746" w:rsidRPr="001B0EA3">
        <w:rPr>
          <w:szCs w:val="24"/>
        </w:rPr>
        <w:t xml:space="preserve"> </w:t>
      </w:r>
      <w:r w:rsidRPr="001B0EA3">
        <w:rPr>
          <w:szCs w:val="24"/>
        </w:rPr>
        <w:t>и др. За документиране на извършените дейности в процеса на потвърждаване на разхода се попълва контролен лист за потвърждаване на разходите по проекти за техническа помощ с бенефициент УО (</w:t>
      </w:r>
      <w:hyperlink r:id="rId180" w:tooltip="Контролен лист за верифициране на разходите при изпълнение на проекти/бюджетни линии по приоритетна ос " w:history="1">
        <w:r w:rsidR="000F3221" w:rsidRPr="00251D03">
          <w:rPr>
            <w:i/>
            <w:iCs/>
            <w:color w:val="0000FF"/>
            <w:szCs w:val="24"/>
            <w:u w:val="single"/>
            <w:lang w:eastAsia="bg-BG"/>
          </w:rPr>
          <w:t>Приложение № 5.05</w:t>
        </w:r>
      </w:hyperlink>
      <w:r w:rsidRPr="001B0EA3">
        <w:rPr>
          <w:szCs w:val="24"/>
        </w:rPr>
        <w:t>). ЗИП извършва проверка на представения разходооправдателен документ за установяване наличието на всички изискуеми по Закона за счетоводството реквизити и коректното попълване на информацията съдържаща се в него.</w:t>
      </w:r>
    </w:p>
    <w:p w14:paraId="0B424398" w14:textId="77777777" w:rsidR="000444CE" w:rsidRPr="001B0EA3" w:rsidRDefault="000444CE" w:rsidP="00F068A3">
      <w:pPr>
        <w:rPr>
          <w:color w:val="000000"/>
          <w:szCs w:val="24"/>
        </w:rPr>
      </w:pPr>
      <w:r w:rsidRPr="001B0EA3">
        <w:rPr>
          <w:szCs w:val="24"/>
        </w:rPr>
        <w:t>В случаите, в които извършените разходи по проекта</w:t>
      </w:r>
      <w:r w:rsidR="00106746" w:rsidRPr="001B0EA3">
        <w:rPr>
          <w:szCs w:val="24"/>
        </w:rPr>
        <w:t xml:space="preserve"> </w:t>
      </w:r>
      <w:r w:rsidRPr="001B0EA3">
        <w:rPr>
          <w:szCs w:val="24"/>
        </w:rPr>
        <w:t xml:space="preserve">не са по сключени договори с изпълнители, поради спецификата на проекта, с бенефициент УО, </w:t>
      </w:r>
      <w:hyperlink r:id="rId181" w:tooltip="Контролен лист за верифициране на разходите при изпълнение на проекти/бюджетни линии по приоритетна ос " w:history="1">
        <w:r w:rsidR="000F3221" w:rsidRPr="00251D03">
          <w:rPr>
            <w:i/>
            <w:iCs/>
            <w:color w:val="0000FF"/>
            <w:szCs w:val="24"/>
            <w:u w:val="single"/>
            <w:lang w:eastAsia="bg-BG"/>
          </w:rPr>
          <w:t>Приложение № 5.05</w:t>
        </w:r>
      </w:hyperlink>
      <w:r w:rsidR="000F3221">
        <w:rPr>
          <w:szCs w:val="24"/>
        </w:rPr>
        <w:t xml:space="preserve"> </w:t>
      </w:r>
      <w:r w:rsidRPr="001B0EA3">
        <w:rPr>
          <w:szCs w:val="24"/>
        </w:rPr>
        <w:t xml:space="preserve">не се попълва. Преди одобрение на разходите и извършване на плащанията, финансовият контрольор извършва съответните проверки, които се формализират с попълването на контролен лист. </w:t>
      </w:r>
    </w:p>
    <w:p w14:paraId="0827C3FD" w14:textId="77777777" w:rsidR="000444CE" w:rsidRDefault="000444CE" w:rsidP="00F068A3">
      <w:pPr>
        <w:rPr>
          <w:b/>
          <w:szCs w:val="24"/>
        </w:rPr>
      </w:pPr>
      <w:r w:rsidRPr="001B0EA3">
        <w:rPr>
          <w:b/>
          <w:szCs w:val="24"/>
        </w:rPr>
        <w:lastRenderedPageBreak/>
        <w:t xml:space="preserve">С цел избягване на двойното финансиране, изпълнителят или доставчикът записва в полето извън </w:t>
      </w:r>
      <w:r w:rsidR="00106746" w:rsidRPr="001B0EA3">
        <w:rPr>
          <w:b/>
          <w:szCs w:val="24"/>
        </w:rPr>
        <w:t>задължителните</w:t>
      </w:r>
      <w:r w:rsidRPr="001B0EA3">
        <w:rPr>
          <w:b/>
          <w:szCs w:val="24"/>
        </w:rPr>
        <w:t xml:space="preserve"> реквизити на разходооправдателния документ името и номера на проекта.</w:t>
      </w:r>
    </w:p>
    <w:p w14:paraId="78966300" w14:textId="77777777" w:rsidR="00F96DD5" w:rsidRPr="003A7316" w:rsidRDefault="00F96DD5" w:rsidP="00F96DD5">
      <w:pPr>
        <w:tabs>
          <w:tab w:val="left" w:pos="1560"/>
        </w:tabs>
        <w:ind w:firstLine="0"/>
        <w:rPr>
          <w:szCs w:val="24"/>
        </w:rPr>
      </w:pPr>
      <w:r w:rsidRPr="0075633A">
        <w:t xml:space="preserve">При подготовката на искане за междинно/окончателно плащане плащане, в което ЗИП възнамерява да включи за верификация разходи по договор на стойност под праговете за възлагане на ЗОП, финансов експерт в ЗИП изготвя и изпраща </w:t>
      </w:r>
      <w:r w:rsidRPr="003A7316">
        <w:rPr>
          <w:szCs w:val="24"/>
        </w:rPr>
        <w:t>Информация за сключени от бенефициента договори със същия или сходен предмет</w:t>
      </w:r>
      <w:r w:rsidRPr="003A7316">
        <w:rPr>
          <w:b/>
        </w:rPr>
        <w:t>.pdf</w:t>
      </w:r>
      <w:r w:rsidRPr="0075633A">
        <w:t xml:space="preserve"> за становище за евентуално  неправомерно разделяне на поръчката до отдел „КОП“. </w:t>
      </w:r>
    </w:p>
    <w:p w14:paraId="3C60E9A4" w14:textId="77777777" w:rsidR="00F96DD5" w:rsidRPr="0075633A" w:rsidRDefault="00F96DD5" w:rsidP="00F96DD5">
      <w:r w:rsidRPr="0075633A">
        <w:t>В срок от 3 дни началникът на отдел „КОП“ уведомява по електронна поща Ръководителя на ЗИП за договорите за изпълнение, подлежащи на проверка, както и за необходимостта същите да бъдат изискани от бенефициента (в случая от ЗИП). Отдел „КОП“ изисква от ЗИП необходимите документи за проверка, съгласно т. 22 от настоящата глава. В срок от 15 работни дни от получаване на изисканите документи отдел „КОП“ следва да излезе със ста</w:t>
      </w:r>
      <w:r>
        <w:t>новище от извършената проверка.</w:t>
      </w:r>
    </w:p>
    <w:p w14:paraId="6CF00F1E" w14:textId="77777777" w:rsidR="0075633A" w:rsidRPr="001B0EA3" w:rsidRDefault="0075633A" w:rsidP="00121760">
      <w:r w:rsidRPr="0075633A">
        <w:t>Началникът на отдел „КОП“ уведомява по електронна поща Ръководителя на ЗИП за резултатите от извършената проверка.</w:t>
      </w:r>
    </w:p>
    <w:p w14:paraId="5080EA3C" w14:textId="77777777" w:rsidR="000444CE" w:rsidRPr="001B0EA3" w:rsidRDefault="000444CE" w:rsidP="00F068A3">
      <w:pPr>
        <w:rPr>
          <w:color w:val="000000"/>
          <w:szCs w:val="24"/>
        </w:rPr>
      </w:pPr>
    </w:p>
    <w:p w14:paraId="7CA6CED8" w14:textId="77777777" w:rsidR="000444CE" w:rsidRPr="00842ECC" w:rsidRDefault="000444CE" w:rsidP="00223233">
      <w:pPr>
        <w:pStyle w:val="Style4"/>
        <w:rPr>
          <w:lang w:val="bg-BG"/>
        </w:rPr>
      </w:pPr>
      <w:bookmarkStart w:id="1139" w:name="_Toc479775711"/>
      <w:r w:rsidRPr="00842ECC">
        <w:rPr>
          <w:lang w:val="bg-BG"/>
        </w:rPr>
        <w:t>Верифициране на разходите от УО по ОПТТИ</w:t>
      </w:r>
      <w:bookmarkEnd w:id="1139"/>
    </w:p>
    <w:p w14:paraId="265A2683" w14:textId="77777777" w:rsidR="0075633A" w:rsidRPr="0075633A" w:rsidRDefault="0075633A" w:rsidP="0075633A">
      <w:pPr>
        <w:rPr>
          <w:szCs w:val="24"/>
        </w:rPr>
      </w:pPr>
      <w:r w:rsidRPr="0075633A">
        <w:rPr>
          <w:szCs w:val="24"/>
        </w:rPr>
        <w:t>Верифицирането на разходите от УО е цялостен процес на наблюдение и контрол върху физическия и финансовия напредък на проектите, финансирани по ОПТТИ, с цел потвърждаване допустимостта на извършените разходи и е задължително условие за сертифициране на разходите от СО.</w:t>
      </w:r>
    </w:p>
    <w:p w14:paraId="6B8434BF" w14:textId="77777777" w:rsidR="0075633A" w:rsidRDefault="0075633A" w:rsidP="0075633A">
      <w:pPr>
        <w:rPr>
          <w:szCs w:val="24"/>
        </w:rPr>
      </w:pPr>
      <w:r w:rsidRPr="0075633A">
        <w:rPr>
          <w:szCs w:val="24"/>
        </w:rPr>
        <w:t>Процесът на верифициране на разходите стартира след потвърждение на разходите от бенефициента. УО отговаря за верифициране на разходите, извършени от бенефициента. Процесът на верификация се основава на получен от бенефициента пакет документи в ИСУН 2020, включващ искания за междинни/окончателно плащане и придружаващите го документи, включително и документи за извършени управленски проверки.</w:t>
      </w:r>
    </w:p>
    <w:p w14:paraId="49E87654" w14:textId="77777777" w:rsidR="000444CE" w:rsidRPr="001B0EA3" w:rsidRDefault="000444CE" w:rsidP="00F068A3">
      <w:pPr>
        <w:rPr>
          <w:color w:val="000000"/>
          <w:szCs w:val="24"/>
        </w:rPr>
      </w:pPr>
    </w:p>
    <w:p w14:paraId="76104091" w14:textId="77777777" w:rsidR="000444CE" w:rsidRPr="001B0EA3" w:rsidRDefault="000444CE" w:rsidP="00F068A3">
      <w:pPr>
        <w:rPr>
          <w:color w:val="000000"/>
          <w:szCs w:val="24"/>
          <w:u w:val="single"/>
        </w:rPr>
      </w:pPr>
      <w:r w:rsidRPr="001B0EA3">
        <w:rPr>
          <w:b/>
          <w:color w:val="000000"/>
          <w:szCs w:val="24"/>
          <w:u w:val="single"/>
        </w:rPr>
        <w:t>Участници и техните задължения, в процеса на верификация на разходите от УО</w:t>
      </w:r>
    </w:p>
    <w:p w14:paraId="6889E286" w14:textId="77777777" w:rsidR="0075633A" w:rsidRPr="005B04E5" w:rsidRDefault="0075633A" w:rsidP="0075633A">
      <w:pPr>
        <w:spacing w:after="120"/>
        <w:rPr>
          <w:szCs w:val="24"/>
        </w:rPr>
      </w:pPr>
      <w:r w:rsidRPr="005B04E5">
        <w:rPr>
          <w:szCs w:val="24"/>
        </w:rPr>
        <w:t>УО на ОПТТИ извършва верификация на разходи, докладвани в искания за междинни/окончателно плащане</w:t>
      </w:r>
      <w:r>
        <w:rPr>
          <w:szCs w:val="24"/>
        </w:rPr>
        <w:t>,</w:t>
      </w:r>
      <w:r w:rsidRPr="005B04E5">
        <w:rPr>
          <w:szCs w:val="24"/>
        </w:rPr>
        <w:t xml:space="preserve"> </w:t>
      </w:r>
      <w:r>
        <w:rPr>
          <w:szCs w:val="24"/>
        </w:rPr>
        <w:t>включени в подадени пакети документи в ИСУН 2020, модул „Мониторинг и финансов контрол“, подмодул „Мониторинг на пакети отчетни документи“ от</w:t>
      </w:r>
      <w:r w:rsidRPr="005B04E5">
        <w:rPr>
          <w:szCs w:val="24"/>
        </w:rPr>
        <w:t xml:space="preserve"> външни бенефициенти по програмата.</w:t>
      </w:r>
    </w:p>
    <w:p w14:paraId="0CC42598" w14:textId="77777777" w:rsidR="0075633A" w:rsidRPr="005B04E5" w:rsidRDefault="0075633A" w:rsidP="0075633A">
      <w:pPr>
        <w:spacing w:after="120"/>
        <w:rPr>
          <w:szCs w:val="24"/>
        </w:rPr>
      </w:pPr>
      <w:r w:rsidRPr="005B04E5">
        <w:rPr>
          <w:szCs w:val="24"/>
        </w:rPr>
        <w:t>Управленските проверки</w:t>
      </w:r>
      <w:r>
        <w:rPr>
          <w:szCs w:val="24"/>
        </w:rPr>
        <w:t xml:space="preserve">, извършвани от УО </w:t>
      </w:r>
      <w:r w:rsidRPr="005B04E5">
        <w:rPr>
          <w:szCs w:val="24"/>
        </w:rPr>
        <w:t xml:space="preserve">за верифициране на разходите </w:t>
      </w:r>
      <w:r>
        <w:rPr>
          <w:szCs w:val="24"/>
        </w:rPr>
        <w:t xml:space="preserve">са в съответствие с разпоредбите на </w:t>
      </w:r>
      <w:r w:rsidRPr="00842F29">
        <w:rPr>
          <w:szCs w:val="24"/>
        </w:rPr>
        <w:t>чл</w:t>
      </w:r>
      <w:r w:rsidRPr="004F5E73">
        <w:rPr>
          <w:szCs w:val="24"/>
        </w:rPr>
        <w:t>. 62</w:t>
      </w:r>
      <w:r w:rsidRPr="006B2A94">
        <w:rPr>
          <w:szCs w:val="24"/>
        </w:rPr>
        <w:t xml:space="preserve"> </w:t>
      </w:r>
      <w:r w:rsidRPr="00565C6F">
        <w:rPr>
          <w:szCs w:val="24"/>
        </w:rPr>
        <w:t xml:space="preserve">от ЗУСЕСИФ и  чл. </w:t>
      </w:r>
      <w:r>
        <w:rPr>
          <w:szCs w:val="24"/>
        </w:rPr>
        <w:t>19</w:t>
      </w:r>
      <w:r w:rsidRPr="00565C6F">
        <w:rPr>
          <w:szCs w:val="24"/>
        </w:rPr>
        <w:t xml:space="preserve"> от</w:t>
      </w:r>
      <w:r>
        <w:rPr>
          <w:szCs w:val="24"/>
        </w:rPr>
        <w:t xml:space="preserve"> Наредба № Н-3/22.05.2018 г.  и </w:t>
      </w:r>
      <w:r w:rsidRPr="005B04E5">
        <w:rPr>
          <w:szCs w:val="24"/>
        </w:rPr>
        <w:t>включват документална проверка на всяко искане</w:t>
      </w:r>
      <w:r>
        <w:rPr>
          <w:szCs w:val="24"/>
        </w:rPr>
        <w:t xml:space="preserve"> за плащане и на придружаващите </w:t>
      </w:r>
      <w:r w:rsidRPr="005B04E5">
        <w:rPr>
          <w:szCs w:val="24"/>
        </w:rPr>
        <w:t>го документи и проверк</w:t>
      </w:r>
      <w:r>
        <w:rPr>
          <w:szCs w:val="24"/>
        </w:rPr>
        <w:t>и</w:t>
      </w:r>
      <w:r w:rsidRPr="005B04E5">
        <w:rPr>
          <w:szCs w:val="24"/>
        </w:rPr>
        <w:t xml:space="preserve"> на място</w:t>
      </w:r>
      <w:r>
        <w:rPr>
          <w:szCs w:val="24"/>
        </w:rPr>
        <w:t>, съгласно правилата и процедурите, описани в раздел „Наблюдение на програмата на ниво проекти“ от настоящия Процедурен наръчник</w:t>
      </w:r>
      <w:r w:rsidRPr="005B04E5">
        <w:rPr>
          <w:szCs w:val="24"/>
        </w:rPr>
        <w:t>.</w:t>
      </w:r>
    </w:p>
    <w:p w14:paraId="5BE2F5CF" w14:textId="77777777" w:rsidR="0075633A" w:rsidRPr="005B04E5" w:rsidRDefault="0075633A" w:rsidP="0075633A">
      <w:pPr>
        <w:spacing w:after="120"/>
        <w:rPr>
          <w:szCs w:val="24"/>
        </w:rPr>
      </w:pPr>
      <w:r w:rsidRPr="005B04E5">
        <w:rPr>
          <w:szCs w:val="24"/>
        </w:rPr>
        <w:t xml:space="preserve">В процеса на управленските проверки за верифициране на разходите, докладвани в искане за междинно/окончателно плащане: </w:t>
      </w:r>
    </w:p>
    <w:p w14:paraId="2CFCEBE1" w14:textId="77777777" w:rsidR="0075633A" w:rsidRPr="005B04E5" w:rsidRDefault="0075633A" w:rsidP="0075633A">
      <w:pPr>
        <w:numPr>
          <w:ilvl w:val="0"/>
          <w:numId w:val="134"/>
        </w:numPr>
        <w:tabs>
          <w:tab w:val="left" w:pos="1134"/>
        </w:tabs>
        <w:spacing w:after="120"/>
        <w:ind w:left="0" w:firstLine="851"/>
        <w:rPr>
          <w:color w:val="000000"/>
          <w:szCs w:val="24"/>
        </w:rPr>
      </w:pPr>
      <w:r w:rsidRPr="005B04E5">
        <w:rPr>
          <w:color w:val="000000"/>
          <w:szCs w:val="24"/>
        </w:rPr>
        <w:t>отдел „Финансово управление”</w:t>
      </w:r>
      <w:r w:rsidRPr="005B04E5" w:rsidDel="007813AB">
        <w:rPr>
          <w:color w:val="000000"/>
          <w:szCs w:val="24"/>
        </w:rPr>
        <w:t xml:space="preserve"> </w:t>
      </w:r>
      <w:r w:rsidRPr="005B04E5">
        <w:rPr>
          <w:color w:val="000000"/>
          <w:szCs w:val="24"/>
        </w:rPr>
        <w:t xml:space="preserve">извършва документална проверка на искането за плащане, на представените разходооправдателни документи (фактури/други разходооправдателни документи с еквивалентна доказателствена стойност и на реферираните в тях документи, доказващи основателността за извършване на разхода), документи за извършване на плащания и документи от счетоводната система на бенефициента. </w:t>
      </w:r>
    </w:p>
    <w:p w14:paraId="7DF1DCDE" w14:textId="77777777" w:rsidR="0075633A" w:rsidRPr="005B04E5" w:rsidRDefault="0075633A" w:rsidP="0075633A">
      <w:pPr>
        <w:numPr>
          <w:ilvl w:val="0"/>
          <w:numId w:val="134"/>
        </w:numPr>
        <w:tabs>
          <w:tab w:val="left" w:pos="1134"/>
        </w:tabs>
        <w:spacing w:after="120"/>
        <w:ind w:left="0" w:firstLine="851"/>
        <w:rPr>
          <w:szCs w:val="24"/>
        </w:rPr>
      </w:pPr>
      <w:r>
        <w:rPr>
          <w:color w:val="000000"/>
          <w:szCs w:val="24"/>
          <w:lang w:eastAsia="fr-FR"/>
        </w:rPr>
        <w:t xml:space="preserve">отдел „Изпълнение и координация“ извършва </w:t>
      </w:r>
      <w:r w:rsidRPr="005B04E5">
        <w:rPr>
          <w:szCs w:val="24"/>
        </w:rPr>
        <w:t xml:space="preserve">документална проверка на представените към искане за плащане документи, доказващи изпълнените работи/дейности по проекта и тяхната съотносимост към докладваните за верификация разходи в искането за </w:t>
      </w:r>
      <w:r w:rsidRPr="005B04E5">
        <w:rPr>
          <w:szCs w:val="24"/>
        </w:rPr>
        <w:lastRenderedPageBreak/>
        <w:t>плащане</w:t>
      </w:r>
      <w:r w:rsidRPr="00842ECC">
        <w:rPr>
          <w:szCs w:val="24"/>
        </w:rPr>
        <w:t xml:space="preserve">: </w:t>
      </w:r>
      <w:r>
        <w:rPr>
          <w:color w:val="000000"/>
          <w:szCs w:val="24"/>
          <w:lang w:eastAsia="fr-FR"/>
        </w:rPr>
        <w:t xml:space="preserve">верификацията на отчетените от бенефициента индикатори за текущото изпълнение на проекта. </w:t>
      </w:r>
    </w:p>
    <w:p w14:paraId="42B33173" w14:textId="77777777" w:rsidR="0075633A" w:rsidRPr="005B04E5" w:rsidRDefault="0075633A" w:rsidP="0075633A">
      <w:pPr>
        <w:tabs>
          <w:tab w:val="left" w:pos="540"/>
        </w:tabs>
        <w:spacing w:before="120"/>
        <w:rPr>
          <w:color w:val="000000"/>
          <w:szCs w:val="24"/>
          <w:lang w:eastAsia="fr-FR"/>
        </w:rPr>
      </w:pPr>
      <w:r w:rsidRPr="005B04E5">
        <w:rPr>
          <w:color w:val="000000"/>
          <w:szCs w:val="24"/>
          <w:lang w:eastAsia="fr-FR"/>
        </w:rPr>
        <w:t xml:space="preserve">При получаване на искане за междинно/окончателно плащане, експерт от </w:t>
      </w:r>
      <w:r w:rsidRPr="005B04E5">
        <w:rPr>
          <w:szCs w:val="24"/>
        </w:rPr>
        <w:t>отдел „Финансово управление”</w:t>
      </w:r>
      <w:r w:rsidRPr="00842ECC">
        <w:rPr>
          <w:szCs w:val="24"/>
        </w:rPr>
        <w:t xml:space="preserve"> </w:t>
      </w:r>
      <w:r w:rsidRPr="005B04E5">
        <w:rPr>
          <w:color w:val="000000"/>
          <w:szCs w:val="24"/>
          <w:lang w:eastAsia="fr-FR"/>
        </w:rPr>
        <w:t>извършва следните управленски проверки:</w:t>
      </w:r>
    </w:p>
    <w:p w14:paraId="6F7CEBE8" w14:textId="77777777" w:rsidR="0075633A" w:rsidRDefault="0075633A" w:rsidP="0075633A">
      <w:pPr>
        <w:numPr>
          <w:ilvl w:val="0"/>
          <w:numId w:val="134"/>
        </w:numPr>
        <w:tabs>
          <w:tab w:val="left" w:pos="1134"/>
        </w:tabs>
        <w:ind w:left="0" w:firstLine="851"/>
        <w:rPr>
          <w:szCs w:val="24"/>
        </w:rPr>
      </w:pPr>
      <w:r>
        <w:rPr>
          <w:szCs w:val="24"/>
        </w:rPr>
        <w:t>проверка на въведените от бенефициентите данни в ИСУН 2020, модул „Мониторинг и финансов контрол“, подмодул „Мониторинг на пакети отчетни документи“:</w:t>
      </w:r>
    </w:p>
    <w:p w14:paraId="26730909" w14:textId="77777777" w:rsidR="0075633A" w:rsidRPr="00776CAF" w:rsidRDefault="0075633A" w:rsidP="0075633A">
      <w:pPr>
        <w:pStyle w:val="ListParagraph"/>
        <w:numPr>
          <w:ilvl w:val="0"/>
          <w:numId w:val="438"/>
        </w:numPr>
        <w:tabs>
          <w:tab w:val="left" w:pos="1134"/>
        </w:tabs>
        <w:rPr>
          <w:szCs w:val="24"/>
        </w:rPr>
      </w:pPr>
      <w:r w:rsidRPr="00776CAF">
        <w:rPr>
          <w:szCs w:val="24"/>
        </w:rPr>
        <w:t>меню „Верифицирани РОД“ – проверка на всеки ра</w:t>
      </w:r>
      <w:r>
        <w:rPr>
          <w:szCs w:val="24"/>
        </w:rPr>
        <w:t>зходооправдателен документ (</w:t>
      </w:r>
      <w:r w:rsidRPr="00776CAF">
        <w:rPr>
          <w:szCs w:val="24"/>
        </w:rPr>
        <w:t>№ и дата на документа, изпълнител, дата на плащане, всички приложени разходооправдателни и други документи</w:t>
      </w:r>
      <w:r>
        <w:rPr>
          <w:szCs w:val="24"/>
        </w:rPr>
        <w:t xml:space="preserve"> и тяхната </w:t>
      </w:r>
      <w:r w:rsidRPr="00776CAF">
        <w:rPr>
          <w:szCs w:val="24"/>
        </w:rPr>
        <w:t xml:space="preserve">обвързаност с докладваните разходи  </w:t>
      </w:r>
      <w:r>
        <w:rPr>
          <w:szCs w:val="24"/>
        </w:rPr>
        <w:t xml:space="preserve">и </w:t>
      </w:r>
      <w:r w:rsidRPr="00776CAF">
        <w:rPr>
          <w:szCs w:val="24"/>
        </w:rPr>
        <w:t>със съответения бюджетен ред</w:t>
      </w:r>
      <w:r w:rsidRPr="00842ECC">
        <w:rPr>
          <w:szCs w:val="24"/>
        </w:rPr>
        <w:t>)</w:t>
      </w:r>
      <w:r w:rsidRPr="00776CAF">
        <w:rPr>
          <w:szCs w:val="24"/>
        </w:rPr>
        <w:t xml:space="preserve">. </w:t>
      </w:r>
    </w:p>
    <w:p w14:paraId="262E6B86" w14:textId="77777777" w:rsidR="0075633A" w:rsidRPr="00CC5C85" w:rsidRDefault="0075633A" w:rsidP="0075633A">
      <w:pPr>
        <w:pStyle w:val="ListParagraph"/>
        <w:numPr>
          <w:ilvl w:val="0"/>
          <w:numId w:val="438"/>
        </w:numPr>
        <w:tabs>
          <w:tab w:val="left" w:pos="1134"/>
        </w:tabs>
        <w:rPr>
          <w:szCs w:val="24"/>
        </w:rPr>
      </w:pPr>
      <w:r w:rsidRPr="00776CAF">
        <w:rPr>
          <w:szCs w:val="24"/>
        </w:rPr>
        <w:t>„</w:t>
      </w:r>
      <w:r w:rsidRPr="00CC5C85">
        <w:rPr>
          <w:szCs w:val="24"/>
        </w:rPr>
        <w:t>Финансов отчет“</w:t>
      </w:r>
      <w:r w:rsidRPr="00776CAF">
        <w:rPr>
          <w:szCs w:val="24"/>
        </w:rPr>
        <w:t xml:space="preserve"> </w:t>
      </w:r>
    </w:p>
    <w:p w14:paraId="5DDFB192" w14:textId="77777777" w:rsidR="0075633A" w:rsidRPr="008C1290" w:rsidRDefault="0075633A" w:rsidP="0075633A">
      <w:pPr>
        <w:pStyle w:val="ListParagraph"/>
        <w:numPr>
          <w:ilvl w:val="0"/>
          <w:numId w:val="439"/>
        </w:numPr>
        <w:tabs>
          <w:tab w:val="left" w:pos="1134"/>
        </w:tabs>
        <w:ind w:firstLine="414"/>
        <w:rPr>
          <w:szCs w:val="24"/>
        </w:rPr>
      </w:pPr>
      <w:r w:rsidRPr="008B036D">
        <w:rPr>
          <w:szCs w:val="24"/>
        </w:rPr>
        <w:t>проверка за съответствие на общо докладваните разходи за всеки бюджетен ред</w:t>
      </w:r>
      <w:r w:rsidRPr="00EB339E">
        <w:rPr>
          <w:szCs w:val="24"/>
        </w:rPr>
        <w:t xml:space="preserve"> и </w:t>
      </w:r>
      <w:r w:rsidRPr="006638E2">
        <w:rPr>
          <w:szCs w:val="24"/>
        </w:rPr>
        <w:t>дейност, дали не</w:t>
      </w:r>
      <w:r w:rsidRPr="00F92FA3">
        <w:rPr>
          <w:szCs w:val="24"/>
        </w:rPr>
        <w:t xml:space="preserve"> превишават заложената одобрена сума за съответния бюджетен ред, както и съответствие на данните от ФО по бюджетни редове и дейности </w:t>
      </w:r>
    </w:p>
    <w:p w14:paraId="69AC0939" w14:textId="77777777" w:rsidR="0075633A" w:rsidRPr="00CC5C85" w:rsidRDefault="0075633A" w:rsidP="0075633A">
      <w:pPr>
        <w:pStyle w:val="ListParagraph"/>
        <w:numPr>
          <w:ilvl w:val="0"/>
          <w:numId w:val="439"/>
        </w:numPr>
        <w:tabs>
          <w:tab w:val="left" w:pos="1134"/>
        </w:tabs>
        <w:ind w:firstLine="414"/>
        <w:rPr>
          <w:szCs w:val="24"/>
        </w:rPr>
      </w:pPr>
      <w:r w:rsidRPr="00776CAF">
        <w:rPr>
          <w:szCs w:val="24"/>
        </w:rPr>
        <w:t xml:space="preserve">Проверява се и общо докладваните разходи във ФО дали съответстват на тези отчетени в меню „Искане за плащане“. </w:t>
      </w:r>
    </w:p>
    <w:p w14:paraId="07EAD216" w14:textId="77777777" w:rsidR="00F05068" w:rsidRPr="0075633A" w:rsidRDefault="0075633A" w:rsidP="00F05068">
      <w:pPr>
        <w:pStyle w:val="ListParagraph"/>
        <w:numPr>
          <w:ilvl w:val="0"/>
          <w:numId w:val="440"/>
        </w:numPr>
        <w:tabs>
          <w:tab w:val="left" w:pos="1134"/>
        </w:tabs>
        <w:rPr>
          <w:szCs w:val="24"/>
        </w:rPr>
      </w:pPr>
      <w:r w:rsidRPr="00F05068">
        <w:rPr>
          <w:szCs w:val="24"/>
        </w:rPr>
        <w:t xml:space="preserve"> </w:t>
      </w:r>
      <w:r w:rsidR="00F05068" w:rsidRPr="00776CAF">
        <w:rPr>
          <w:szCs w:val="24"/>
        </w:rPr>
        <w:t xml:space="preserve"> </w:t>
      </w:r>
      <w:r w:rsidR="00F05068" w:rsidRPr="0075633A">
        <w:rPr>
          <w:szCs w:val="24"/>
        </w:rPr>
        <w:t xml:space="preserve">„Искане за плащане“ – прави се проверка на общите данни за искането, както и прикачените документи. В този подмодул се </w:t>
      </w:r>
      <w:r w:rsidR="00F05068">
        <w:rPr>
          <w:szCs w:val="24"/>
        </w:rPr>
        <w:t xml:space="preserve">прикачват </w:t>
      </w:r>
      <w:r w:rsidR="00F05068" w:rsidRPr="00D82A8E">
        <w:rPr>
          <w:szCs w:val="24"/>
        </w:rPr>
        <w:t xml:space="preserve"> всички документи, извън тези прикачени към всеки РОД. Всички документи при</w:t>
      </w:r>
      <w:r w:rsidR="00F05068" w:rsidRPr="00D82A8E">
        <w:rPr>
          <w:color w:val="000000"/>
          <w:szCs w:val="24"/>
        </w:rPr>
        <w:t xml:space="preserve">качени в </w:t>
      </w:r>
      <w:r w:rsidR="00F05068" w:rsidRPr="00D82A8E">
        <w:rPr>
          <w:color w:val="000000"/>
          <w:szCs w:val="24"/>
          <w:lang w:val="en-US"/>
        </w:rPr>
        <w:t>pdf</w:t>
      </w:r>
      <w:r w:rsidR="00F05068" w:rsidRPr="00842ECC">
        <w:rPr>
          <w:color w:val="000000"/>
          <w:szCs w:val="24"/>
        </w:rPr>
        <w:t xml:space="preserve"> </w:t>
      </w:r>
      <w:r w:rsidR="00F05068" w:rsidRPr="00251D03">
        <w:rPr>
          <w:color w:val="000000"/>
          <w:szCs w:val="24"/>
        </w:rPr>
        <w:t>формат в компресиран (</w:t>
      </w:r>
      <w:r w:rsidR="00F05068" w:rsidRPr="00251D03">
        <w:rPr>
          <w:color w:val="000000"/>
          <w:szCs w:val="24"/>
          <w:lang w:val="en-US"/>
        </w:rPr>
        <w:t>zip</w:t>
      </w:r>
      <w:r w:rsidR="00F05068" w:rsidRPr="00842ECC">
        <w:rPr>
          <w:color w:val="000000"/>
          <w:szCs w:val="24"/>
        </w:rPr>
        <w:t xml:space="preserve"> </w:t>
      </w:r>
      <w:r w:rsidR="00F05068" w:rsidRPr="00251D03">
        <w:rPr>
          <w:color w:val="000000"/>
          <w:szCs w:val="24"/>
        </w:rPr>
        <w:t xml:space="preserve">или подобен) файл в ИСУН 2020 </w:t>
      </w:r>
      <w:r w:rsidR="00F05068" w:rsidRPr="00251D03">
        <w:rPr>
          <w:szCs w:val="24"/>
        </w:rPr>
        <w:t>следват</w:t>
      </w:r>
      <w:r w:rsidR="00F05068" w:rsidRPr="00251D03">
        <w:rPr>
          <w:color w:val="000000"/>
          <w:szCs w:val="24"/>
        </w:rPr>
        <w:t xml:space="preserve"> подредба и вид на документите, описан в т. 25.3.4.</w:t>
      </w:r>
      <w:r w:rsidR="00F05068" w:rsidRPr="00842ECC">
        <w:rPr>
          <w:color w:val="000000"/>
          <w:szCs w:val="24"/>
        </w:rPr>
        <w:t xml:space="preserve">    </w:t>
      </w:r>
    </w:p>
    <w:p w14:paraId="568A4B91" w14:textId="77777777" w:rsidR="0075633A" w:rsidRPr="00F05068" w:rsidRDefault="0075633A" w:rsidP="00AE1F0D">
      <w:pPr>
        <w:pStyle w:val="ListParagraph"/>
        <w:tabs>
          <w:tab w:val="left" w:pos="540"/>
          <w:tab w:val="left" w:pos="1134"/>
        </w:tabs>
        <w:spacing w:before="120"/>
        <w:ind w:left="648" w:firstLine="0"/>
        <w:rPr>
          <w:color w:val="000000"/>
          <w:szCs w:val="24"/>
          <w:lang w:eastAsia="fr-FR"/>
        </w:rPr>
      </w:pPr>
      <w:r w:rsidRPr="00F05068">
        <w:rPr>
          <w:color w:val="000000"/>
          <w:szCs w:val="24"/>
          <w:lang w:eastAsia="fr-FR"/>
        </w:rPr>
        <w:t>След регистриране  на пакет отчетни документи – Искане за междинно/окончателно плащане започва паралелна проверка от отдел „Финансово управление“ и отдел “Изпълнение и координация“. Проверката е на две нива:</w:t>
      </w:r>
    </w:p>
    <w:p w14:paraId="1281CEA6" w14:textId="77777777" w:rsidR="0075633A" w:rsidRDefault="0075633A" w:rsidP="0075633A">
      <w:pPr>
        <w:tabs>
          <w:tab w:val="left" w:pos="540"/>
        </w:tabs>
        <w:spacing w:before="120"/>
        <w:rPr>
          <w:color w:val="000000"/>
          <w:szCs w:val="24"/>
          <w:lang w:eastAsia="fr-FR"/>
        </w:rPr>
      </w:pPr>
      <w:r>
        <w:rPr>
          <w:color w:val="000000"/>
          <w:szCs w:val="24"/>
          <w:lang w:eastAsia="fr-FR"/>
        </w:rPr>
        <w:t xml:space="preserve"> –  първо ниво – експерт от съответния отдел,  и </w:t>
      </w:r>
    </w:p>
    <w:p w14:paraId="18E16909" w14:textId="77777777" w:rsidR="0075633A" w:rsidRDefault="0075633A" w:rsidP="00121760">
      <w:pPr>
        <w:pStyle w:val="ListParagraph"/>
        <w:tabs>
          <w:tab w:val="left" w:pos="540"/>
          <w:tab w:val="left" w:pos="993"/>
        </w:tabs>
        <w:spacing w:before="120"/>
        <w:ind w:left="851" w:firstLine="0"/>
        <w:rPr>
          <w:color w:val="000000"/>
          <w:szCs w:val="24"/>
          <w:lang w:eastAsia="fr-FR"/>
        </w:rPr>
      </w:pPr>
      <w:r>
        <w:rPr>
          <w:color w:val="000000"/>
          <w:szCs w:val="24"/>
          <w:lang w:eastAsia="fr-FR"/>
        </w:rPr>
        <w:t xml:space="preserve"> –  </w:t>
      </w:r>
      <w:r w:rsidRPr="00CC5C85">
        <w:rPr>
          <w:color w:val="000000"/>
          <w:szCs w:val="24"/>
          <w:lang w:eastAsia="fr-FR"/>
        </w:rPr>
        <w:t>второ ниво – началник на съответния отдел.</w:t>
      </w:r>
    </w:p>
    <w:p w14:paraId="1A8730A0" w14:textId="77777777" w:rsidR="0075633A" w:rsidRPr="00CC5C85" w:rsidRDefault="0075633A" w:rsidP="0075633A">
      <w:pPr>
        <w:pStyle w:val="ListParagraph"/>
        <w:tabs>
          <w:tab w:val="left" w:pos="540"/>
          <w:tab w:val="left" w:pos="993"/>
        </w:tabs>
        <w:spacing w:before="120"/>
        <w:ind w:left="851"/>
        <w:rPr>
          <w:color w:val="000000"/>
          <w:szCs w:val="24"/>
          <w:lang w:eastAsia="fr-FR"/>
        </w:rPr>
      </w:pPr>
    </w:p>
    <w:p w14:paraId="4F611FFF" w14:textId="77777777" w:rsidR="0026515B" w:rsidRPr="00587A16" w:rsidRDefault="0026515B" w:rsidP="0026515B">
      <w:pPr>
        <w:tabs>
          <w:tab w:val="left" w:pos="851"/>
        </w:tabs>
        <w:ind w:firstLine="0"/>
        <w:rPr>
          <w:b/>
        </w:rPr>
      </w:pPr>
      <w:r>
        <w:rPr>
          <w:lang w:eastAsia="fr-FR"/>
        </w:rPr>
        <w:tab/>
        <w:t xml:space="preserve">В процеса на процедиране на искането, финансов експерт проверява за наличие на Решения или сигнали за налагане на финансови корекции, относими към докладваните разходи. </w:t>
      </w:r>
      <w:r w:rsidRPr="008C1290">
        <w:t xml:space="preserve">При получаване в УО на искане за междинно плащане, в което са докладвани за верификация разходи по договор на стойност под праговете за възлагане на ЗОП и с </w:t>
      </w:r>
      <w:r>
        <w:t xml:space="preserve">попълнена </w:t>
      </w:r>
      <w:r w:rsidRPr="00327FFE">
        <w:rPr>
          <w:szCs w:val="24"/>
        </w:rPr>
        <w:t xml:space="preserve"> Информация за сключени от бенефициента договори със същия или сходен предмет</w:t>
      </w:r>
      <w:r w:rsidRPr="00327FFE">
        <w:rPr>
          <w:b/>
        </w:rPr>
        <w:t>.pdf</w:t>
      </w:r>
      <w:r w:rsidRPr="008C1290">
        <w:t xml:space="preserve">, експерт от отдел „Финансово управление“ препраща </w:t>
      </w:r>
      <w:r>
        <w:t>информацията</w:t>
      </w:r>
      <w:r w:rsidRPr="008C1290">
        <w:t xml:space="preserve"> за становище за евентуално  неправомерно разделяне на поръчката до отдел „КОП“. </w:t>
      </w:r>
    </w:p>
    <w:p w14:paraId="5C156A7A" w14:textId="77777777" w:rsidR="0026515B" w:rsidRPr="008C1290" w:rsidRDefault="0026515B" w:rsidP="0026515B">
      <w:r w:rsidRPr="008C1290">
        <w:t xml:space="preserve">В срок от 3 дни началникът на отдел „КОП“ уведомява по електронна поща началника на отдел „Финансово управление“ </w:t>
      </w:r>
      <w:r w:rsidRPr="00922567">
        <w:t xml:space="preserve">(с копие до началника на отдел „Изпълнение и координация“) </w:t>
      </w:r>
      <w:r w:rsidRPr="008C1290">
        <w:t>за договорите за изпълнение, подлежащи на проверка, както и за необходимостта същите да бъдат изискани от бенефициента. Отдел „КОП“ изисква от бенефициента необходимите документи за проверка, съгласно т. 22 от настоящата глава. В срок от 15 работни дни от получаване на изисканите документи отдел „КОП“ следва да излезе със становище от извършената проверка..</w:t>
      </w:r>
    </w:p>
    <w:p w14:paraId="3CA2B94A" w14:textId="77777777" w:rsidR="0026515B" w:rsidRPr="00776CAF" w:rsidRDefault="0026515B" w:rsidP="0026515B">
      <w:r w:rsidRPr="008C1290">
        <w:t>Началникът на отдел „КОП“ уведомява по електронна поща началника на отдел „Финансово управление“ (с копие до началника на отдел „Изпълнение и координация“) за резултатите от извършената проверка.</w:t>
      </w:r>
      <w:r w:rsidRPr="00776CAF">
        <w:t xml:space="preserve"> </w:t>
      </w:r>
    </w:p>
    <w:p w14:paraId="49AB2619" w14:textId="77777777" w:rsidR="0026515B" w:rsidRDefault="0026515B" w:rsidP="0026515B">
      <w:r w:rsidRPr="00776CAF">
        <w:rPr>
          <w:lang w:eastAsia="fr-FR"/>
        </w:rPr>
        <w:t xml:space="preserve">При </w:t>
      </w:r>
      <w:r>
        <w:rPr>
          <w:lang w:eastAsia="fr-FR"/>
        </w:rPr>
        <w:t>докладване на</w:t>
      </w:r>
      <w:r w:rsidRPr="00776CAF">
        <w:rPr>
          <w:lang w:eastAsia="fr-FR"/>
        </w:rPr>
        <w:t xml:space="preserve"> разходи по договори</w:t>
      </w:r>
      <w:r>
        <w:rPr>
          <w:lang w:eastAsia="fr-FR"/>
        </w:rPr>
        <w:t xml:space="preserve"> за изпълнение, сключени чрез открита процедура по ЗОП, както и анексите към тях, </w:t>
      </w:r>
      <w:r w:rsidRPr="00776CAF">
        <w:rPr>
          <w:lang w:eastAsia="fr-FR"/>
        </w:rPr>
        <w:t xml:space="preserve">които не </w:t>
      </w:r>
      <w:r>
        <w:rPr>
          <w:lang w:eastAsia="fr-FR"/>
        </w:rPr>
        <w:t xml:space="preserve">са предоставени за извършване на последващ контрол в УО по реда на </w:t>
      </w:r>
      <w:r w:rsidRPr="00247C9F">
        <w:t xml:space="preserve">Глава 4 „Обществени </w:t>
      </w:r>
      <w:r w:rsidRPr="00776CAF">
        <w:t>поръчки“</w:t>
      </w:r>
      <w:r>
        <w:rPr>
          <w:lang w:eastAsia="fr-FR"/>
        </w:rPr>
        <w:t xml:space="preserve">, </w:t>
      </w:r>
      <w:r w:rsidRPr="00776CAF">
        <w:rPr>
          <w:lang w:eastAsia="fr-FR"/>
        </w:rPr>
        <w:t>същите не се в</w:t>
      </w:r>
      <w:r w:rsidRPr="00CC5C85">
        <w:rPr>
          <w:lang w:eastAsia="fr-FR"/>
        </w:rPr>
        <w:t xml:space="preserve">ерифицират </w:t>
      </w:r>
      <w:r>
        <w:rPr>
          <w:lang w:eastAsia="fr-FR"/>
        </w:rPr>
        <w:t>в</w:t>
      </w:r>
      <w:r w:rsidRPr="00CC5C85">
        <w:rPr>
          <w:lang w:eastAsia="fr-FR"/>
        </w:rPr>
        <w:t xml:space="preserve"> искане</w:t>
      </w:r>
      <w:r>
        <w:rPr>
          <w:lang w:eastAsia="fr-FR"/>
        </w:rPr>
        <w:t xml:space="preserve">то за плащане. На бенефициента </w:t>
      </w:r>
      <w:r w:rsidRPr="00CC5C85">
        <w:rPr>
          <w:lang w:eastAsia="fr-FR"/>
        </w:rPr>
        <w:t xml:space="preserve">се дава възможност за повторно докладване на </w:t>
      </w:r>
      <w:r>
        <w:rPr>
          <w:lang w:eastAsia="fr-FR"/>
        </w:rPr>
        <w:t>тези разходи</w:t>
      </w:r>
      <w:r w:rsidRPr="00CC5C85">
        <w:rPr>
          <w:lang w:eastAsia="fr-FR"/>
        </w:rPr>
        <w:t xml:space="preserve"> след </w:t>
      </w:r>
      <w:r>
        <w:rPr>
          <w:lang w:eastAsia="fr-FR"/>
        </w:rPr>
        <w:t xml:space="preserve">приключване на проверките по реда на </w:t>
      </w:r>
      <w:r w:rsidRPr="00247C9F">
        <w:t xml:space="preserve">Глава 4 „Обществени </w:t>
      </w:r>
      <w:r w:rsidRPr="00776CAF">
        <w:t xml:space="preserve">поръчки“.  </w:t>
      </w:r>
    </w:p>
    <w:p w14:paraId="45E15B3B" w14:textId="77777777" w:rsidR="0075633A" w:rsidRDefault="0075633A" w:rsidP="00251D03">
      <w:r w:rsidRPr="00776CAF">
        <w:t xml:space="preserve"> </w:t>
      </w:r>
    </w:p>
    <w:p w14:paraId="7175D194" w14:textId="77777777" w:rsidR="0075633A" w:rsidRPr="00CC5C85" w:rsidRDefault="0075633A" w:rsidP="00251D03">
      <w:r>
        <w:lastRenderedPageBreak/>
        <w:t>УО може да отхвърля подадени и</w:t>
      </w:r>
      <w:r w:rsidRPr="00CC5C85">
        <w:t xml:space="preserve">скания за плащане </w:t>
      </w:r>
      <w:r>
        <w:t>поради:</w:t>
      </w:r>
    </w:p>
    <w:p w14:paraId="4FF6113A" w14:textId="77777777" w:rsidR="0075633A" w:rsidRPr="00CC5C85" w:rsidRDefault="0075633A" w:rsidP="00121760">
      <w:pPr>
        <w:pStyle w:val="ListParagraph"/>
        <w:numPr>
          <w:ilvl w:val="0"/>
          <w:numId w:val="437"/>
        </w:numPr>
        <w:spacing w:after="160" w:line="259" w:lineRule="auto"/>
        <w:ind w:left="1134" w:hanging="283"/>
        <w:rPr>
          <w:szCs w:val="24"/>
        </w:rPr>
      </w:pPr>
      <w:r>
        <w:rPr>
          <w:szCs w:val="24"/>
        </w:rPr>
        <w:t>Н</w:t>
      </w:r>
      <w:r w:rsidRPr="00CC5C85">
        <w:rPr>
          <w:szCs w:val="24"/>
        </w:rPr>
        <w:t>еобходимост от промени на Формуляра за кандидатстване, касаещи бюджета на проекта с пряко влияние върху докладванит</w:t>
      </w:r>
      <w:r w:rsidRPr="00CC5C85">
        <w:rPr>
          <w:szCs w:val="24"/>
          <w:lang w:val="en-US"/>
        </w:rPr>
        <w:t>e</w:t>
      </w:r>
      <w:r>
        <w:rPr>
          <w:szCs w:val="24"/>
        </w:rPr>
        <w:t xml:space="preserve"> разходи в конкретното и</w:t>
      </w:r>
      <w:r w:rsidRPr="00CC5C85">
        <w:rPr>
          <w:szCs w:val="24"/>
        </w:rPr>
        <w:t>скане за плащане.</w:t>
      </w:r>
    </w:p>
    <w:p w14:paraId="2DFFBEA8" w14:textId="77777777" w:rsidR="0075633A" w:rsidRPr="008C1290" w:rsidRDefault="0075633A" w:rsidP="00121760">
      <w:pPr>
        <w:pStyle w:val="ListParagraph"/>
        <w:numPr>
          <w:ilvl w:val="0"/>
          <w:numId w:val="437"/>
        </w:numPr>
        <w:spacing w:after="160" w:line="259" w:lineRule="auto"/>
        <w:ind w:left="1134" w:hanging="283"/>
        <w:rPr>
          <w:szCs w:val="24"/>
        </w:rPr>
      </w:pPr>
      <w:r>
        <w:rPr>
          <w:szCs w:val="24"/>
        </w:rPr>
        <w:t>Н</w:t>
      </w:r>
      <w:r w:rsidRPr="00431876">
        <w:rPr>
          <w:szCs w:val="24"/>
        </w:rPr>
        <w:t>еспазване на описания</w:t>
      </w:r>
      <w:r w:rsidRPr="008C1290">
        <w:rPr>
          <w:szCs w:val="24"/>
        </w:rPr>
        <w:t xml:space="preserve"> в ПНУИОПТТИ формат на подредба и начин на въвеждане на документите в ИСУН 2020 </w:t>
      </w:r>
    </w:p>
    <w:p w14:paraId="4741EBAD" w14:textId="77777777" w:rsidR="0075633A" w:rsidRPr="00CC5C85" w:rsidRDefault="0075633A" w:rsidP="00121760">
      <w:pPr>
        <w:pStyle w:val="ListParagraph"/>
        <w:numPr>
          <w:ilvl w:val="0"/>
          <w:numId w:val="437"/>
        </w:numPr>
        <w:spacing w:after="160" w:line="259" w:lineRule="auto"/>
        <w:ind w:left="1134" w:hanging="283"/>
        <w:rPr>
          <w:szCs w:val="24"/>
        </w:rPr>
      </w:pPr>
      <w:r>
        <w:rPr>
          <w:szCs w:val="24"/>
        </w:rPr>
        <w:t>Н</w:t>
      </w:r>
      <w:r w:rsidRPr="00CC5C85">
        <w:rPr>
          <w:szCs w:val="24"/>
        </w:rPr>
        <w:t xml:space="preserve">еотразяване на коментари на </w:t>
      </w:r>
      <w:r>
        <w:rPr>
          <w:szCs w:val="24"/>
        </w:rPr>
        <w:t>УО след връщане в ИСУН 2020 на искане за плащане, финансов отчет, т</w:t>
      </w:r>
      <w:r w:rsidRPr="00CC5C85">
        <w:rPr>
          <w:szCs w:val="24"/>
        </w:rPr>
        <w:t xml:space="preserve">ехнически отчет. </w:t>
      </w:r>
    </w:p>
    <w:p w14:paraId="46FB31FA" w14:textId="77777777" w:rsidR="0075633A" w:rsidRPr="00CC5C85" w:rsidRDefault="0075633A" w:rsidP="00251D03">
      <w:r w:rsidRPr="00CC5C85">
        <w:t>Пакетът документи се отхвърля в ИСУН</w:t>
      </w:r>
      <w:r>
        <w:t xml:space="preserve"> </w:t>
      </w:r>
      <w:r w:rsidRPr="00CC5C85">
        <w:t>2020 в Модул „Мониторинг на пакети отчетни документи“ „Основни данни“ с бутон „Отхвъ</w:t>
      </w:r>
      <w:r>
        <w:t xml:space="preserve">рлен“, като експерт от отдел „Финансово управление“ </w:t>
      </w:r>
      <w:r w:rsidRPr="00CC5C85">
        <w:t>описва причин</w:t>
      </w:r>
      <w:r>
        <w:t>ите за отхвърлянето</w:t>
      </w:r>
      <w:r w:rsidRPr="00CC5C85">
        <w:t>. След отхвърляне</w:t>
      </w:r>
      <w:r>
        <w:t xml:space="preserve"> на пакета документи, б</w:t>
      </w:r>
      <w:r w:rsidRPr="00CC5C85">
        <w:t>енефициентът може да подаде нов пакет</w:t>
      </w:r>
      <w:r>
        <w:t xml:space="preserve"> </w:t>
      </w:r>
      <w:r w:rsidRPr="00CC5C85">
        <w:t>в ИСУН 2020, който ще бъде с нов номер.</w:t>
      </w:r>
    </w:p>
    <w:p w14:paraId="2DB90D67" w14:textId="77777777" w:rsidR="0075633A" w:rsidRDefault="0075633A" w:rsidP="0075633A">
      <w:pPr>
        <w:tabs>
          <w:tab w:val="left" w:pos="540"/>
        </w:tabs>
        <w:spacing w:before="120"/>
        <w:rPr>
          <w:color w:val="000000"/>
          <w:szCs w:val="24"/>
          <w:lang w:eastAsia="fr-FR"/>
        </w:rPr>
      </w:pPr>
    </w:p>
    <w:p w14:paraId="2F43EA22" w14:textId="77777777" w:rsidR="0075633A" w:rsidRPr="00256D6C" w:rsidRDefault="000E614F" w:rsidP="00251D03">
      <w:pPr>
        <w:rPr>
          <w:lang w:eastAsia="fr-FR"/>
        </w:rPr>
      </w:pPr>
      <w:r w:rsidRPr="005B04E5">
        <w:rPr>
          <w:lang w:eastAsia="fr-FR"/>
        </w:rPr>
        <w:t xml:space="preserve">Ако в процеса на </w:t>
      </w:r>
      <w:r>
        <w:rPr>
          <w:lang w:eastAsia="fr-FR"/>
        </w:rPr>
        <w:t xml:space="preserve"> </w:t>
      </w:r>
      <w:r w:rsidRPr="005B04E5">
        <w:rPr>
          <w:lang w:eastAsia="fr-FR"/>
        </w:rPr>
        <w:t xml:space="preserve">проверка на искането за плащане и придружаващите го документи са установени пропуски, в </w:t>
      </w:r>
      <w:r w:rsidRPr="00D738A5">
        <w:rPr>
          <w:lang w:eastAsia="fr-FR"/>
        </w:rPr>
        <w:t xml:space="preserve">рамките на </w:t>
      </w:r>
      <w:r>
        <w:rPr>
          <w:b/>
          <w:lang w:eastAsia="fr-FR"/>
        </w:rPr>
        <w:t>26</w:t>
      </w:r>
      <w:r w:rsidRPr="00CE5CFE">
        <w:rPr>
          <w:lang w:eastAsia="fr-FR"/>
        </w:rPr>
        <w:t xml:space="preserve"> работни</w:t>
      </w:r>
      <w:r w:rsidRPr="005B04E5">
        <w:rPr>
          <w:lang w:eastAsia="fr-FR"/>
        </w:rPr>
        <w:t xml:space="preserve"> дни </w:t>
      </w:r>
      <w:r w:rsidRPr="00842ECC">
        <w:rPr>
          <w:lang w:eastAsia="fr-FR"/>
        </w:rPr>
        <w:t>(</w:t>
      </w:r>
      <w:r>
        <w:rPr>
          <w:lang w:eastAsia="fr-FR"/>
        </w:rPr>
        <w:t>за искане за междинно плащане</w:t>
      </w:r>
      <w:r w:rsidRPr="00842ECC">
        <w:rPr>
          <w:lang w:eastAsia="fr-FR"/>
        </w:rPr>
        <w:t>)</w:t>
      </w:r>
      <w:r>
        <w:rPr>
          <w:lang w:eastAsia="fr-FR"/>
        </w:rPr>
        <w:t xml:space="preserve"> и 30 работни дни </w:t>
      </w:r>
      <w:r w:rsidR="0075633A" w:rsidRPr="00842ECC">
        <w:rPr>
          <w:lang w:eastAsia="fr-FR"/>
        </w:rPr>
        <w:t>(</w:t>
      </w:r>
      <w:r w:rsidR="0075633A">
        <w:rPr>
          <w:lang w:eastAsia="fr-FR"/>
        </w:rPr>
        <w:t>за искане за окончателно плащане</w:t>
      </w:r>
      <w:r w:rsidR="0075633A" w:rsidRPr="00842ECC">
        <w:rPr>
          <w:lang w:eastAsia="fr-FR"/>
        </w:rPr>
        <w:t>)</w:t>
      </w:r>
      <w:r w:rsidR="0075633A">
        <w:rPr>
          <w:lang w:eastAsia="fr-FR"/>
        </w:rPr>
        <w:t xml:space="preserve"> </w:t>
      </w:r>
      <w:r w:rsidR="0075633A" w:rsidRPr="005B04E5">
        <w:rPr>
          <w:lang w:eastAsia="fr-FR"/>
        </w:rPr>
        <w:t xml:space="preserve">експерт от отдел „Финансово управление”, координирано с експерт от отдел „Изпълнение и координация” изискват от бенефициента </w:t>
      </w:r>
      <w:r w:rsidR="0075633A" w:rsidRPr="00B0775F">
        <w:rPr>
          <w:lang w:eastAsia="fr-FR"/>
        </w:rPr>
        <w:t xml:space="preserve">посредством модул </w:t>
      </w:r>
      <w:r w:rsidR="0075633A">
        <w:rPr>
          <w:lang w:eastAsia="fr-FR"/>
        </w:rPr>
        <w:t>„Договори“, подмодул „</w:t>
      </w:r>
      <w:r w:rsidR="0075633A" w:rsidRPr="00B0775F">
        <w:rPr>
          <w:lang w:eastAsia="fr-FR"/>
        </w:rPr>
        <w:t>Ко</w:t>
      </w:r>
      <w:r w:rsidR="0075633A">
        <w:rPr>
          <w:lang w:eastAsia="fr-FR"/>
        </w:rPr>
        <w:t>респонденция“</w:t>
      </w:r>
      <w:r w:rsidR="0075633A" w:rsidRPr="00B0775F">
        <w:rPr>
          <w:lang w:eastAsia="fr-FR"/>
        </w:rPr>
        <w:t xml:space="preserve"> в ИСУН</w:t>
      </w:r>
      <w:r w:rsidR="0075633A">
        <w:rPr>
          <w:lang w:eastAsia="fr-FR"/>
        </w:rPr>
        <w:t xml:space="preserve"> </w:t>
      </w:r>
      <w:r w:rsidR="0075633A" w:rsidRPr="00B0775F">
        <w:rPr>
          <w:lang w:eastAsia="fr-FR"/>
        </w:rPr>
        <w:t>2020</w:t>
      </w:r>
      <w:r w:rsidR="0075633A" w:rsidRPr="005B04E5">
        <w:rPr>
          <w:lang w:eastAsia="fr-FR"/>
        </w:rPr>
        <w:t xml:space="preserve"> представянето на допълнителни документи, информация или разяснения.</w:t>
      </w:r>
    </w:p>
    <w:p w14:paraId="5B79D94A" w14:textId="77777777" w:rsidR="00A576EE" w:rsidRDefault="00A576EE" w:rsidP="00A576EE">
      <w:pPr>
        <w:tabs>
          <w:tab w:val="left" w:pos="540"/>
        </w:tabs>
        <w:spacing w:before="120"/>
        <w:rPr>
          <w:color w:val="000000"/>
          <w:szCs w:val="24"/>
          <w:u w:val="single"/>
          <w:lang w:eastAsia="fr-FR"/>
        </w:rPr>
      </w:pPr>
      <w:r w:rsidRPr="005B04E5">
        <w:rPr>
          <w:color w:val="000000"/>
          <w:szCs w:val="24"/>
          <w:lang w:eastAsia="fr-FR"/>
        </w:rPr>
        <w:t xml:space="preserve">Срокът за изпращане на документите/допълнителната информация </w:t>
      </w:r>
      <w:r>
        <w:rPr>
          <w:color w:val="000000"/>
          <w:szCs w:val="24"/>
          <w:lang w:eastAsia="fr-FR"/>
        </w:rPr>
        <w:t xml:space="preserve">и разяснения от бенефициента е 5 работни дни. </w:t>
      </w:r>
      <w:r w:rsidRPr="005B04E5">
        <w:rPr>
          <w:color w:val="000000"/>
          <w:szCs w:val="24"/>
          <w:lang w:eastAsia="fr-FR"/>
        </w:rPr>
        <w:t xml:space="preserve">До получаване на отговор/изпращането на документи </w:t>
      </w:r>
      <w:r>
        <w:rPr>
          <w:color w:val="000000"/>
          <w:szCs w:val="24"/>
          <w:lang w:eastAsia="fr-FR"/>
        </w:rPr>
        <w:t xml:space="preserve">и разяснения </w:t>
      </w:r>
      <w:r w:rsidRPr="005B04E5">
        <w:rPr>
          <w:color w:val="000000"/>
          <w:szCs w:val="24"/>
          <w:lang w:eastAsia="fr-FR"/>
        </w:rPr>
        <w:t>от страна на бенефициента</w:t>
      </w:r>
      <w:r>
        <w:rPr>
          <w:color w:val="000000"/>
          <w:szCs w:val="24"/>
          <w:lang w:eastAsia="fr-FR"/>
        </w:rPr>
        <w:t xml:space="preserve"> </w:t>
      </w:r>
      <w:r w:rsidRPr="00CC5C85">
        <w:rPr>
          <w:color w:val="000000"/>
          <w:szCs w:val="24"/>
          <w:u w:val="single"/>
          <w:lang w:eastAsia="fr-FR"/>
        </w:rPr>
        <w:t xml:space="preserve">се </w:t>
      </w:r>
      <w:r>
        <w:rPr>
          <w:color w:val="000000"/>
          <w:szCs w:val="24"/>
          <w:u w:val="single"/>
          <w:lang w:eastAsia="fr-FR"/>
        </w:rPr>
        <w:t xml:space="preserve">прекъсва срокът </w:t>
      </w:r>
      <w:r w:rsidRPr="00CC5C85">
        <w:rPr>
          <w:color w:val="000000"/>
          <w:szCs w:val="24"/>
          <w:u w:val="single"/>
          <w:lang w:eastAsia="fr-FR"/>
        </w:rPr>
        <w:t>за процедиране на искането за плащане</w:t>
      </w:r>
      <w:r>
        <w:rPr>
          <w:color w:val="000000"/>
          <w:szCs w:val="24"/>
          <w:u w:val="single"/>
          <w:lang w:eastAsia="fr-FR"/>
        </w:rPr>
        <w:t xml:space="preserve"> в УО</w:t>
      </w:r>
      <w:r w:rsidRPr="00CC5C85">
        <w:rPr>
          <w:color w:val="000000"/>
          <w:szCs w:val="24"/>
          <w:u w:val="single"/>
          <w:lang w:eastAsia="fr-FR"/>
        </w:rPr>
        <w:t>, но за не повече от 1 месец.</w:t>
      </w:r>
      <w:r w:rsidRPr="00247C9F">
        <w:rPr>
          <w:color w:val="000000"/>
          <w:szCs w:val="24"/>
          <w:u w:val="single"/>
          <w:lang w:eastAsia="fr-FR"/>
        </w:rPr>
        <w:t xml:space="preserve"> Бенефициентът въвежда допълнителните документи в нова версия на съответния документ в ИСУН</w:t>
      </w:r>
      <w:r>
        <w:rPr>
          <w:color w:val="000000"/>
          <w:szCs w:val="24"/>
          <w:u w:val="single"/>
          <w:lang w:eastAsia="fr-FR"/>
        </w:rPr>
        <w:t xml:space="preserve"> 2020  – финансов отчет, искане за плащане, т</w:t>
      </w:r>
      <w:r w:rsidRPr="00CC5C85">
        <w:rPr>
          <w:color w:val="000000"/>
          <w:szCs w:val="24"/>
          <w:u w:val="single"/>
          <w:lang w:eastAsia="fr-FR"/>
        </w:rPr>
        <w:t>ехнически отчет</w:t>
      </w:r>
      <w:r w:rsidRPr="00247C9F">
        <w:rPr>
          <w:color w:val="000000"/>
          <w:szCs w:val="24"/>
          <w:u w:val="single"/>
          <w:lang w:eastAsia="fr-FR"/>
        </w:rPr>
        <w:t>.</w:t>
      </w:r>
      <w:r>
        <w:rPr>
          <w:color w:val="000000"/>
          <w:szCs w:val="24"/>
          <w:u w:val="single"/>
          <w:lang w:eastAsia="fr-FR"/>
        </w:rPr>
        <w:t xml:space="preserve"> </w:t>
      </w:r>
    </w:p>
    <w:p w14:paraId="6C91DBE6" w14:textId="77777777" w:rsidR="005C0989" w:rsidRDefault="005C0989" w:rsidP="005C0989">
      <w:pPr>
        <w:rPr>
          <w:szCs w:val="24"/>
          <w:lang w:eastAsia="en-US"/>
        </w:rPr>
      </w:pPr>
      <w:r>
        <w:rPr>
          <w:szCs w:val="24"/>
        </w:rPr>
        <w:t xml:space="preserve">При подаване на нова версия на Искане за плащане и/или Финансов отчет към Пакет отчетни документи в ИСУН 2020, </w:t>
      </w:r>
      <w:r>
        <w:rPr>
          <w:b/>
          <w:bCs/>
          <w:szCs w:val="24"/>
        </w:rPr>
        <w:t>новата версия на Искане за плащане и/или Финансов отчет следва да съдържа</w:t>
      </w:r>
      <w:r>
        <w:rPr>
          <w:szCs w:val="24"/>
        </w:rPr>
        <w:t xml:space="preserve"> цялата необходима за верификацията коректна документация </w:t>
      </w:r>
      <w:r w:rsidRPr="00842ECC">
        <w:rPr>
          <w:szCs w:val="24"/>
        </w:rPr>
        <w:t>(</w:t>
      </w:r>
      <w:r>
        <w:rPr>
          <w:szCs w:val="24"/>
        </w:rPr>
        <w:t>данни и прикачени документи</w:t>
      </w:r>
      <w:r w:rsidRPr="00842ECC">
        <w:rPr>
          <w:szCs w:val="24"/>
        </w:rPr>
        <w:t>)</w:t>
      </w:r>
      <w:r>
        <w:rPr>
          <w:szCs w:val="24"/>
        </w:rPr>
        <w:t>, като некоректните документи, станали причина за връщане се коригират и добавят в</w:t>
      </w:r>
      <w:r w:rsidR="00CA5B92" w:rsidRPr="00842ECC">
        <w:rPr>
          <w:szCs w:val="24"/>
        </w:rPr>
        <w:t xml:space="preserve"> </w:t>
      </w:r>
      <w:r>
        <w:rPr>
          <w:szCs w:val="24"/>
        </w:rPr>
        <w:t xml:space="preserve">новата версия В случай, че се налага корекция  на част от документите в един файл </w:t>
      </w:r>
      <w:r w:rsidRPr="00842ECC">
        <w:rPr>
          <w:szCs w:val="24"/>
        </w:rPr>
        <w:t>(</w:t>
      </w:r>
      <w:r>
        <w:rPr>
          <w:szCs w:val="24"/>
        </w:rPr>
        <w:t>например добавяне, промяна на документ, нечетливо копие и др.</w:t>
      </w:r>
      <w:r w:rsidRPr="00842ECC">
        <w:rPr>
          <w:szCs w:val="24"/>
        </w:rPr>
        <w:t>)</w:t>
      </w:r>
      <w:r>
        <w:rPr>
          <w:szCs w:val="24"/>
        </w:rPr>
        <w:t xml:space="preserve"> на предишна версия, то в новата версия се въвежда изцяло нов коригиран сканиран файл.</w:t>
      </w:r>
    </w:p>
    <w:p w14:paraId="32ADF599" w14:textId="77777777" w:rsidR="0075633A" w:rsidRPr="005B04E5" w:rsidRDefault="0075633A" w:rsidP="0075633A">
      <w:pPr>
        <w:tabs>
          <w:tab w:val="left" w:pos="540"/>
        </w:tabs>
        <w:spacing w:before="120"/>
        <w:rPr>
          <w:color w:val="000000"/>
          <w:szCs w:val="24"/>
          <w:lang w:eastAsia="fr-FR"/>
        </w:rPr>
      </w:pPr>
      <w:r>
        <w:rPr>
          <w:color w:val="000000"/>
          <w:szCs w:val="24"/>
          <w:lang w:eastAsia="fr-FR"/>
        </w:rPr>
        <w:t xml:space="preserve"> </w:t>
      </w:r>
      <w:r w:rsidRPr="005B04E5">
        <w:rPr>
          <w:color w:val="000000"/>
          <w:szCs w:val="24"/>
          <w:lang w:eastAsia="fr-FR"/>
        </w:rPr>
        <w:t xml:space="preserve">В рамките на </w:t>
      </w:r>
      <w:r>
        <w:rPr>
          <w:color w:val="000000"/>
          <w:szCs w:val="24"/>
          <w:lang w:eastAsia="fr-FR"/>
        </w:rPr>
        <w:t>5</w:t>
      </w:r>
      <w:r w:rsidRPr="005B04E5">
        <w:rPr>
          <w:color w:val="000000"/>
          <w:szCs w:val="24"/>
          <w:lang w:eastAsia="fr-FR"/>
        </w:rPr>
        <w:t xml:space="preserve"> работни дни</w:t>
      </w:r>
      <w:r>
        <w:rPr>
          <w:color w:val="000000"/>
          <w:szCs w:val="24"/>
          <w:lang w:eastAsia="fr-FR"/>
        </w:rPr>
        <w:t>, след получаване на допълнителните документи и разяснения,</w:t>
      </w:r>
      <w:r w:rsidRPr="005B04E5">
        <w:rPr>
          <w:color w:val="000000"/>
          <w:szCs w:val="24"/>
          <w:lang w:eastAsia="fr-FR"/>
        </w:rPr>
        <w:t xml:space="preserve"> експерт от отдел „Изпълнение и координац</w:t>
      </w:r>
      <w:r>
        <w:rPr>
          <w:color w:val="000000"/>
          <w:szCs w:val="24"/>
          <w:lang w:eastAsia="fr-FR"/>
        </w:rPr>
        <w:t xml:space="preserve">ия“ изпраща по електронна поща </w:t>
      </w:r>
      <w:r w:rsidRPr="005B04E5">
        <w:rPr>
          <w:color w:val="000000"/>
          <w:szCs w:val="24"/>
          <w:lang w:eastAsia="fr-FR"/>
        </w:rPr>
        <w:t>на експерт от отдел „Финансово управление“ с копие до началниците на отдели „Изпълнение и координация“ и „Финансово управление“  предварително становище по</w:t>
      </w:r>
      <w:r>
        <w:rPr>
          <w:color w:val="000000"/>
          <w:szCs w:val="24"/>
          <w:lang w:eastAsia="fr-FR"/>
        </w:rPr>
        <w:t xml:space="preserve"> достатъчността на информацията </w:t>
      </w:r>
      <w:r w:rsidRPr="005B04E5">
        <w:rPr>
          <w:color w:val="000000"/>
          <w:szCs w:val="24"/>
          <w:lang w:eastAsia="fr-FR"/>
        </w:rPr>
        <w:t xml:space="preserve">относно работите/дейностите свързани с докладваните разходи в искането за плащане с оглед потвърждаване на тяхната достоверност и допустимост и за резултатите от извършените проверки относно докладваните за верификация разходи в искането за </w:t>
      </w:r>
      <w:r w:rsidRPr="00D738A5">
        <w:rPr>
          <w:color w:val="000000"/>
          <w:szCs w:val="24"/>
          <w:lang w:eastAsia="fr-FR"/>
        </w:rPr>
        <w:t xml:space="preserve">плащане. В срок </w:t>
      </w:r>
      <w:r w:rsidRPr="008C1290">
        <w:rPr>
          <w:color w:val="000000"/>
          <w:szCs w:val="24"/>
          <w:lang w:eastAsia="fr-FR"/>
        </w:rPr>
        <w:t xml:space="preserve">от </w:t>
      </w:r>
      <w:r w:rsidRPr="00842ECC">
        <w:rPr>
          <w:color w:val="000000"/>
          <w:szCs w:val="24"/>
          <w:lang w:eastAsia="fr-FR"/>
        </w:rPr>
        <w:t xml:space="preserve">3 </w:t>
      </w:r>
      <w:r w:rsidRPr="00D738A5">
        <w:rPr>
          <w:color w:val="000000"/>
          <w:szCs w:val="24"/>
          <w:lang w:eastAsia="fr-FR"/>
        </w:rPr>
        <w:t xml:space="preserve">работни дни след получаване </w:t>
      </w:r>
      <w:r w:rsidRPr="008C1290">
        <w:rPr>
          <w:color w:val="000000"/>
          <w:szCs w:val="24"/>
          <w:lang w:eastAsia="fr-FR"/>
        </w:rPr>
        <w:t>на предварителното становище</w:t>
      </w:r>
      <w:r w:rsidRPr="00D738A5">
        <w:rPr>
          <w:color w:val="000000"/>
          <w:szCs w:val="24"/>
          <w:lang w:eastAsia="fr-FR"/>
        </w:rPr>
        <w:t xml:space="preserve"> на експерта от отдел „Финансово управление“ се представя окончателното становище на отдел „Изпълнение и координ</w:t>
      </w:r>
      <w:r>
        <w:rPr>
          <w:color w:val="000000"/>
          <w:szCs w:val="24"/>
          <w:lang w:eastAsia="fr-FR"/>
        </w:rPr>
        <w:t>ация“, съгласувано от началника</w:t>
      </w:r>
      <w:r w:rsidRPr="00D738A5">
        <w:rPr>
          <w:color w:val="000000"/>
          <w:szCs w:val="24"/>
          <w:lang w:eastAsia="fr-FR"/>
        </w:rPr>
        <w:t xml:space="preserve"> на отдела.</w:t>
      </w:r>
      <w:r>
        <w:rPr>
          <w:color w:val="000000"/>
          <w:szCs w:val="24"/>
          <w:lang w:eastAsia="fr-FR"/>
        </w:rPr>
        <w:t xml:space="preserve"> </w:t>
      </w:r>
    </w:p>
    <w:p w14:paraId="56B3CFEA" w14:textId="77777777" w:rsidR="0075633A" w:rsidRDefault="0075633A" w:rsidP="0075633A">
      <w:pPr>
        <w:spacing w:after="120"/>
        <w:rPr>
          <w:szCs w:val="24"/>
        </w:rPr>
      </w:pPr>
      <w:r>
        <w:rPr>
          <w:color w:val="000000"/>
          <w:szCs w:val="24"/>
          <w:lang w:eastAsia="fr-FR"/>
        </w:rPr>
        <w:t xml:space="preserve">На база полученото окончателно становище от отдел „Изпълнение и координация“ и становище от отдел „КОП“, в случаите в които е приложимо, и в резултат от извършените документални проверки на искането за плащане, в срок от </w:t>
      </w:r>
      <w:r w:rsidRPr="008C1290">
        <w:rPr>
          <w:szCs w:val="24"/>
        </w:rPr>
        <w:t>4</w:t>
      </w:r>
      <w:r w:rsidRPr="00D96F7C">
        <w:rPr>
          <w:szCs w:val="24"/>
        </w:rPr>
        <w:t xml:space="preserve"> работни дни</w:t>
      </w:r>
      <w:r w:rsidRPr="00A15117">
        <w:rPr>
          <w:szCs w:val="24"/>
        </w:rPr>
        <w:t xml:space="preserve"> </w:t>
      </w:r>
      <w:r w:rsidRPr="00842ECC">
        <w:rPr>
          <w:szCs w:val="24"/>
        </w:rPr>
        <w:t>(</w:t>
      </w:r>
      <w:r>
        <w:rPr>
          <w:szCs w:val="24"/>
        </w:rPr>
        <w:t>за искане за междинно плащане</w:t>
      </w:r>
      <w:r w:rsidRPr="00842ECC">
        <w:rPr>
          <w:szCs w:val="24"/>
        </w:rPr>
        <w:t>)</w:t>
      </w:r>
      <w:r>
        <w:rPr>
          <w:szCs w:val="24"/>
        </w:rPr>
        <w:t xml:space="preserve"> и 7 работни дни </w:t>
      </w:r>
      <w:r w:rsidRPr="00842ECC">
        <w:rPr>
          <w:szCs w:val="24"/>
        </w:rPr>
        <w:t>(</w:t>
      </w:r>
      <w:r>
        <w:rPr>
          <w:szCs w:val="24"/>
        </w:rPr>
        <w:t>за искане за окончателно плащане</w:t>
      </w:r>
      <w:r w:rsidRPr="00842ECC">
        <w:rPr>
          <w:szCs w:val="24"/>
        </w:rPr>
        <w:t>)</w:t>
      </w:r>
      <w:r>
        <w:rPr>
          <w:szCs w:val="24"/>
        </w:rPr>
        <w:t xml:space="preserve">, </w:t>
      </w:r>
      <w:r>
        <w:rPr>
          <w:color w:val="000000"/>
          <w:szCs w:val="24"/>
          <w:lang w:eastAsia="fr-FR"/>
        </w:rPr>
        <w:t xml:space="preserve">експертът от отдел „Финансово </w:t>
      </w:r>
      <w:r w:rsidRPr="0032640C">
        <w:rPr>
          <w:color w:val="000000"/>
          <w:szCs w:val="24"/>
          <w:lang w:eastAsia="fr-FR"/>
        </w:rPr>
        <w:t>упра</w:t>
      </w:r>
      <w:r w:rsidR="0037182C">
        <w:rPr>
          <w:color w:val="000000"/>
          <w:szCs w:val="24"/>
          <w:lang w:eastAsia="fr-FR"/>
        </w:rPr>
        <w:t>в</w:t>
      </w:r>
      <w:r w:rsidRPr="0032640C">
        <w:rPr>
          <w:color w:val="000000"/>
          <w:szCs w:val="24"/>
          <w:lang w:eastAsia="fr-FR"/>
        </w:rPr>
        <w:t>ление“</w:t>
      </w:r>
      <w:r>
        <w:rPr>
          <w:color w:val="000000"/>
          <w:szCs w:val="24"/>
          <w:lang w:eastAsia="fr-FR"/>
        </w:rPr>
        <w:t xml:space="preserve"> </w:t>
      </w:r>
      <w:r w:rsidRPr="0032640C">
        <w:rPr>
          <w:color w:val="000000"/>
          <w:szCs w:val="24"/>
          <w:lang w:eastAsia="fr-FR"/>
        </w:rPr>
        <w:t>изготвя мотивирано и детайлно становище</w:t>
      </w:r>
      <w:r>
        <w:rPr>
          <w:color w:val="000000"/>
          <w:szCs w:val="24"/>
          <w:lang w:eastAsia="fr-FR"/>
        </w:rPr>
        <w:t>.</w:t>
      </w:r>
      <w:r w:rsidRPr="0032640C">
        <w:rPr>
          <w:color w:val="000000"/>
          <w:szCs w:val="24"/>
          <w:lang w:eastAsia="fr-FR"/>
        </w:rPr>
        <w:t xml:space="preserve"> </w:t>
      </w:r>
      <w:r w:rsidRPr="009C7543">
        <w:rPr>
          <w:color w:val="000000"/>
          <w:szCs w:val="24"/>
          <w:lang w:eastAsia="fr-FR"/>
        </w:rPr>
        <w:t xml:space="preserve">Същото следва да съдържа </w:t>
      </w:r>
      <w:r w:rsidRPr="0032640C">
        <w:rPr>
          <w:color w:val="000000"/>
          <w:szCs w:val="24"/>
          <w:lang w:eastAsia="fr-FR"/>
        </w:rPr>
        <w:t xml:space="preserve">информация за осъществената проверка на допустимостта на разходите на съответното искане за плащане в ИСУН 2020, информация по отношение докладваните в </w:t>
      </w:r>
      <w:r w:rsidRPr="0032640C">
        <w:rPr>
          <w:color w:val="000000"/>
          <w:szCs w:val="24"/>
          <w:lang w:eastAsia="fr-FR"/>
        </w:rPr>
        <w:lastRenderedPageBreak/>
        <w:t>искането за плащане разходи, както и заключение</w:t>
      </w:r>
      <w:r>
        <w:rPr>
          <w:color w:val="000000"/>
          <w:szCs w:val="24"/>
          <w:lang w:eastAsia="fr-FR"/>
        </w:rPr>
        <w:t xml:space="preserve"> от извършената пълна документална проверка</w:t>
      </w:r>
      <w:r w:rsidRPr="008C500F">
        <w:rPr>
          <w:color w:val="000000"/>
          <w:szCs w:val="24"/>
          <w:lang w:eastAsia="fr-FR"/>
        </w:rPr>
        <w:t>, чийто резултат</w:t>
      </w:r>
      <w:r>
        <w:rPr>
          <w:color w:val="000000"/>
          <w:szCs w:val="24"/>
          <w:lang w:eastAsia="fr-FR"/>
        </w:rPr>
        <w:t xml:space="preserve"> следва да съдържа  </w:t>
      </w:r>
      <w:r w:rsidRPr="005B04E5">
        <w:rPr>
          <w:color w:val="000000"/>
          <w:szCs w:val="24"/>
          <w:lang w:eastAsia="fr-FR"/>
        </w:rPr>
        <w:t>предложение за размера на верифицираните разходи</w:t>
      </w:r>
      <w:r>
        <w:rPr>
          <w:color w:val="000000"/>
          <w:szCs w:val="24"/>
          <w:lang w:eastAsia="fr-FR"/>
        </w:rPr>
        <w:t xml:space="preserve">  по съответните източници, респективно неверифицирани разходи (ако има такива) по съответните източници, наложените финансови корекции</w:t>
      </w:r>
      <w:r w:rsidRPr="005B04E5">
        <w:rPr>
          <w:color w:val="000000"/>
          <w:szCs w:val="24"/>
          <w:lang w:eastAsia="fr-FR"/>
        </w:rPr>
        <w:t xml:space="preserve"> </w:t>
      </w:r>
      <w:r>
        <w:rPr>
          <w:color w:val="000000"/>
          <w:szCs w:val="24"/>
          <w:lang w:eastAsia="fr-FR"/>
        </w:rPr>
        <w:t xml:space="preserve">по договори с изпълнители, неверифицирани разходи поради други управленски проверки </w:t>
      </w:r>
      <w:r w:rsidRPr="005B04E5">
        <w:rPr>
          <w:color w:val="000000"/>
          <w:szCs w:val="24"/>
          <w:lang w:eastAsia="fr-FR"/>
        </w:rPr>
        <w:t>и одобрената</w:t>
      </w:r>
      <w:r>
        <w:rPr>
          <w:color w:val="000000"/>
          <w:szCs w:val="24"/>
          <w:lang w:eastAsia="fr-FR"/>
        </w:rPr>
        <w:t>/</w:t>
      </w:r>
      <w:r w:rsidRPr="00C5793A">
        <w:rPr>
          <w:color w:val="000000"/>
          <w:szCs w:val="24"/>
          <w:lang w:eastAsia="fr-FR"/>
        </w:rPr>
        <w:t>неодобрената БФП по провереното искане за плащане</w:t>
      </w:r>
      <w:r w:rsidRPr="005D5F6D">
        <w:rPr>
          <w:color w:val="000000"/>
          <w:szCs w:val="24"/>
          <w:lang w:eastAsia="fr-FR"/>
        </w:rPr>
        <w:t xml:space="preserve">. </w:t>
      </w:r>
      <w:r w:rsidRPr="008C1290">
        <w:rPr>
          <w:szCs w:val="24"/>
        </w:rPr>
        <w:t>Проверката на е</w:t>
      </w:r>
      <w:r w:rsidRPr="00C5793A">
        <w:rPr>
          <w:szCs w:val="24"/>
        </w:rPr>
        <w:t>ксперта от отдел „Финансово управление“ приключва</w:t>
      </w:r>
      <w:r w:rsidRPr="005D5F6D">
        <w:rPr>
          <w:szCs w:val="24"/>
        </w:rPr>
        <w:t xml:space="preserve"> в рамките на </w:t>
      </w:r>
      <w:r w:rsidR="00F373BD" w:rsidRPr="008C1290">
        <w:rPr>
          <w:b/>
          <w:szCs w:val="24"/>
        </w:rPr>
        <w:t>3</w:t>
      </w:r>
      <w:r w:rsidR="00F373BD" w:rsidRPr="00842ECC">
        <w:rPr>
          <w:b/>
          <w:szCs w:val="24"/>
        </w:rPr>
        <w:t>8</w:t>
      </w:r>
      <w:r w:rsidR="00F373BD" w:rsidRPr="00C5793A">
        <w:rPr>
          <w:szCs w:val="24"/>
        </w:rPr>
        <w:t xml:space="preserve"> работни дни</w:t>
      </w:r>
      <w:r w:rsidRPr="00C5793A">
        <w:rPr>
          <w:szCs w:val="24"/>
        </w:rPr>
        <w:t xml:space="preserve"> </w:t>
      </w:r>
      <w:r w:rsidRPr="00842ECC">
        <w:rPr>
          <w:szCs w:val="24"/>
        </w:rPr>
        <w:t>(</w:t>
      </w:r>
      <w:r w:rsidRPr="005D5F6D">
        <w:rPr>
          <w:szCs w:val="24"/>
        </w:rPr>
        <w:t>за искане за междинно плащане</w:t>
      </w:r>
      <w:r w:rsidRPr="00842ECC">
        <w:rPr>
          <w:szCs w:val="24"/>
        </w:rPr>
        <w:t>)</w:t>
      </w:r>
      <w:r w:rsidRPr="00677A59">
        <w:rPr>
          <w:szCs w:val="24"/>
        </w:rPr>
        <w:t xml:space="preserve"> и </w:t>
      </w:r>
      <w:r w:rsidR="000A0807" w:rsidRPr="008C1290">
        <w:rPr>
          <w:b/>
          <w:szCs w:val="24"/>
        </w:rPr>
        <w:t>4</w:t>
      </w:r>
      <w:r w:rsidR="000A0807" w:rsidRPr="00842ECC">
        <w:rPr>
          <w:b/>
          <w:szCs w:val="24"/>
        </w:rPr>
        <w:t>5</w:t>
      </w:r>
      <w:r w:rsidR="000A0807" w:rsidRPr="00C5793A">
        <w:rPr>
          <w:szCs w:val="24"/>
        </w:rPr>
        <w:t xml:space="preserve"> работни дни</w:t>
      </w:r>
      <w:r w:rsidRPr="00C5793A">
        <w:rPr>
          <w:szCs w:val="24"/>
        </w:rPr>
        <w:t xml:space="preserve"> </w:t>
      </w:r>
      <w:r w:rsidRPr="00842ECC">
        <w:rPr>
          <w:szCs w:val="24"/>
        </w:rPr>
        <w:t>(</w:t>
      </w:r>
      <w:r w:rsidRPr="005D5F6D">
        <w:rPr>
          <w:szCs w:val="24"/>
        </w:rPr>
        <w:t>за искане за окончателно плащане</w:t>
      </w:r>
      <w:r w:rsidRPr="00842ECC">
        <w:rPr>
          <w:szCs w:val="24"/>
        </w:rPr>
        <w:t>)</w:t>
      </w:r>
      <w:r>
        <w:rPr>
          <w:szCs w:val="24"/>
        </w:rPr>
        <w:t xml:space="preserve">. </w:t>
      </w:r>
    </w:p>
    <w:p w14:paraId="4B3C1BF9" w14:textId="77777777" w:rsidR="000444CE" w:rsidRPr="001B0EA3" w:rsidRDefault="000444CE" w:rsidP="00F068A3">
      <w:pPr>
        <w:pStyle w:val="ListParagraph"/>
        <w:tabs>
          <w:tab w:val="left" w:pos="540"/>
        </w:tabs>
        <w:spacing w:before="120"/>
        <w:ind w:left="0" w:firstLine="648"/>
        <w:rPr>
          <w:b/>
          <w:color w:val="000000"/>
          <w:szCs w:val="24"/>
          <w:lang w:eastAsia="fr-FR"/>
        </w:rPr>
      </w:pPr>
      <w:r w:rsidRPr="001B0EA3">
        <w:rPr>
          <w:b/>
          <w:i/>
          <w:color w:val="000000"/>
          <w:szCs w:val="24"/>
          <w:lang w:eastAsia="fr-FR"/>
        </w:rPr>
        <w:t>Верификация на докладвани разходи в случай на наложена с решение на Ръководителя на УО финансова корекция</w:t>
      </w:r>
      <w:r w:rsidRPr="001B0EA3">
        <w:rPr>
          <w:b/>
          <w:color w:val="000000"/>
          <w:szCs w:val="24"/>
          <w:lang w:eastAsia="fr-FR"/>
        </w:rPr>
        <w:t xml:space="preserve">: </w:t>
      </w:r>
    </w:p>
    <w:p w14:paraId="5C0A02BC" w14:textId="77777777" w:rsidR="00121760" w:rsidRDefault="00121760" w:rsidP="00251D03">
      <w:pPr>
        <w:rPr>
          <w:lang w:eastAsia="fr-FR"/>
        </w:rPr>
      </w:pPr>
      <w:r>
        <w:rPr>
          <w:lang w:eastAsia="fr-FR"/>
        </w:rPr>
        <w:t>В съответствие с чл. 71 от ЗУСЕСИФ финансова корекция може да се наложи за целия проект, за отделна дейност, за отделен договор с изпълнител или за отделен разход и се извършва на засегнатите от нарушението разходи, включени в дадено искане за плащане.</w:t>
      </w:r>
    </w:p>
    <w:p w14:paraId="0717D9FD" w14:textId="77777777" w:rsidR="00121760" w:rsidRDefault="00121760" w:rsidP="00251D03">
      <w:pPr>
        <w:rPr>
          <w:lang w:eastAsia="fr-FR"/>
        </w:rPr>
      </w:pPr>
      <w:r>
        <w:rPr>
          <w:lang w:eastAsia="fr-FR"/>
        </w:rPr>
        <w:t>В случаите на издадено Решение за налагане на финансова корекция, която засяга докладваните разходи в искане за плащане, в становището към искане за плащане, изготвено от експерт в отдел „Финансово управление“ следва да бъдат описани финансовите параметри на наложената финансова корекция и тяхната приложимост спр</w:t>
      </w:r>
      <w:r w:rsidR="00D81501">
        <w:rPr>
          <w:lang w:eastAsia="fr-FR"/>
        </w:rPr>
        <w:t>я</w:t>
      </w:r>
      <w:r>
        <w:rPr>
          <w:lang w:eastAsia="fr-FR"/>
        </w:rPr>
        <w:t xml:space="preserve">мо докладваните разходи в конкретното искане за плащане. </w:t>
      </w:r>
    </w:p>
    <w:p w14:paraId="391283C5" w14:textId="77777777" w:rsidR="00121760" w:rsidRDefault="00121760" w:rsidP="00251D03">
      <w:pPr>
        <w:rPr>
          <w:lang w:eastAsia="fr-FR"/>
        </w:rPr>
      </w:pPr>
      <w:r w:rsidRPr="008C1290">
        <w:rPr>
          <w:lang w:eastAsia="fr-FR"/>
        </w:rPr>
        <w:t xml:space="preserve">С </w:t>
      </w:r>
      <w:r w:rsidRPr="006638E2">
        <w:rPr>
          <w:lang w:eastAsia="fr-FR"/>
        </w:rPr>
        <w:t xml:space="preserve">цел осигуряване на одитна следа, </w:t>
      </w:r>
      <w:r w:rsidRPr="008C1290">
        <w:rPr>
          <w:lang w:eastAsia="fr-FR"/>
        </w:rPr>
        <w:t>неверифицираните разходи</w:t>
      </w:r>
      <w:r w:rsidRPr="006638E2">
        <w:rPr>
          <w:lang w:eastAsia="fr-FR"/>
        </w:rPr>
        <w:t xml:space="preserve"> </w:t>
      </w:r>
      <w:r w:rsidRPr="008C1290">
        <w:rPr>
          <w:lang w:eastAsia="fr-FR"/>
        </w:rPr>
        <w:t xml:space="preserve">поради наложена финансова корекция </w:t>
      </w:r>
      <w:r w:rsidRPr="006638E2">
        <w:rPr>
          <w:lang w:eastAsia="fr-FR"/>
        </w:rPr>
        <w:t xml:space="preserve">за всеки РОД </w:t>
      </w:r>
      <w:r w:rsidRPr="008C1290">
        <w:rPr>
          <w:lang w:eastAsia="fr-FR"/>
        </w:rPr>
        <w:t xml:space="preserve">се асоциират в ИСУН 2020 с въведената </w:t>
      </w:r>
      <w:r w:rsidRPr="006638E2">
        <w:rPr>
          <w:lang w:eastAsia="fr-FR"/>
        </w:rPr>
        <w:t xml:space="preserve">финансова </w:t>
      </w:r>
      <w:r w:rsidRPr="008C1290">
        <w:rPr>
          <w:lang w:eastAsia="fr-FR"/>
        </w:rPr>
        <w:t>корекция в модул „Мониторинг и финансов контрол“, подмодул „Финансови корекции“ и/или „Финансови корекции за системни пропуски</w:t>
      </w:r>
      <w:r w:rsidRPr="006638E2">
        <w:rPr>
          <w:lang w:eastAsia="fr-FR"/>
        </w:rPr>
        <w:t xml:space="preserve">“ и се отнасят към регистрираната нередност. </w:t>
      </w:r>
    </w:p>
    <w:p w14:paraId="1655F3A3" w14:textId="77777777" w:rsidR="00121760" w:rsidRPr="00121760" w:rsidRDefault="00121760" w:rsidP="00251D03">
      <w:pPr>
        <w:rPr>
          <w:lang w:eastAsia="fr-FR"/>
        </w:rPr>
      </w:pPr>
      <w:r w:rsidRPr="00121760">
        <w:rPr>
          <w:lang w:eastAsia="fr-FR"/>
        </w:rPr>
        <w:t>В случаи</w:t>
      </w:r>
      <w:r w:rsidRPr="00D82A8E">
        <w:rPr>
          <w:lang w:eastAsia="fr-FR"/>
        </w:rPr>
        <w:t>те, при които при верификацията са задържани разходи съответстващи на предложен размер на финансова корекция на база сигнал, след издаването на Решение за налагане на финансова корекция неверифицираните разходи се прехвърлят от ред „</w:t>
      </w:r>
      <w:r w:rsidRPr="00251D03">
        <w:rPr>
          <w:rFonts w:hint="eastAsia"/>
          <w:bCs/>
          <w:lang w:eastAsia="bg-BG"/>
        </w:rPr>
        <w:t>Неверифицирана</w:t>
      </w:r>
      <w:r w:rsidRPr="00251D03">
        <w:rPr>
          <w:bCs/>
          <w:lang w:eastAsia="bg-BG"/>
        </w:rPr>
        <w:t xml:space="preserve"> </w:t>
      </w:r>
      <w:r w:rsidRPr="00251D03">
        <w:rPr>
          <w:rFonts w:hint="eastAsia"/>
          <w:bCs/>
          <w:lang w:eastAsia="bg-BG"/>
        </w:rPr>
        <w:t>сума</w:t>
      </w:r>
      <w:r w:rsidRPr="00251D03">
        <w:rPr>
          <w:bCs/>
          <w:lang w:eastAsia="bg-BG"/>
        </w:rPr>
        <w:t xml:space="preserve"> </w:t>
      </w:r>
      <w:r w:rsidRPr="00251D03">
        <w:rPr>
          <w:rFonts w:hint="eastAsia"/>
          <w:bCs/>
          <w:lang w:eastAsia="bg-BG"/>
        </w:rPr>
        <w:t>на</w:t>
      </w:r>
      <w:r w:rsidRPr="00251D03">
        <w:rPr>
          <w:bCs/>
          <w:lang w:eastAsia="bg-BG"/>
        </w:rPr>
        <w:t xml:space="preserve"> </w:t>
      </w:r>
      <w:r w:rsidRPr="00251D03">
        <w:rPr>
          <w:rFonts w:hint="eastAsia"/>
          <w:bCs/>
          <w:lang w:eastAsia="bg-BG"/>
        </w:rPr>
        <w:t>разходооправдателния</w:t>
      </w:r>
      <w:r w:rsidRPr="00251D03">
        <w:rPr>
          <w:bCs/>
          <w:lang w:eastAsia="bg-BG"/>
        </w:rPr>
        <w:t xml:space="preserve"> </w:t>
      </w:r>
      <w:r w:rsidRPr="00251D03">
        <w:rPr>
          <w:rFonts w:hint="eastAsia"/>
          <w:bCs/>
          <w:lang w:eastAsia="bg-BG"/>
        </w:rPr>
        <w:t>документ</w:t>
      </w:r>
      <w:r w:rsidRPr="00251D03">
        <w:rPr>
          <w:bCs/>
          <w:lang w:eastAsia="bg-BG"/>
        </w:rPr>
        <w:t xml:space="preserve"> </w:t>
      </w:r>
      <w:r w:rsidRPr="00251D03">
        <w:rPr>
          <w:rFonts w:hint="eastAsia"/>
          <w:bCs/>
          <w:lang w:eastAsia="bg-BG"/>
        </w:rPr>
        <w:t>за</w:t>
      </w:r>
      <w:r w:rsidRPr="00251D03">
        <w:rPr>
          <w:bCs/>
          <w:lang w:eastAsia="bg-BG"/>
        </w:rPr>
        <w:t xml:space="preserve"> </w:t>
      </w:r>
      <w:r w:rsidRPr="00251D03">
        <w:rPr>
          <w:rFonts w:hint="eastAsia"/>
          <w:bCs/>
          <w:lang w:eastAsia="bg-BG"/>
        </w:rPr>
        <w:t>конкретния</w:t>
      </w:r>
      <w:r w:rsidRPr="00251D03">
        <w:rPr>
          <w:bCs/>
          <w:lang w:eastAsia="bg-BG"/>
        </w:rPr>
        <w:t xml:space="preserve"> </w:t>
      </w:r>
      <w:r w:rsidRPr="00251D03">
        <w:rPr>
          <w:rFonts w:hint="eastAsia"/>
          <w:bCs/>
          <w:lang w:eastAsia="bg-BG"/>
        </w:rPr>
        <w:t>бюджетен</w:t>
      </w:r>
      <w:r w:rsidRPr="00251D03">
        <w:rPr>
          <w:bCs/>
          <w:lang w:eastAsia="bg-BG"/>
        </w:rPr>
        <w:t xml:space="preserve"> </w:t>
      </w:r>
      <w:r w:rsidRPr="00251D03">
        <w:rPr>
          <w:rFonts w:hint="eastAsia"/>
          <w:bCs/>
          <w:lang w:eastAsia="bg-BG"/>
        </w:rPr>
        <w:t>ред</w:t>
      </w:r>
      <w:r w:rsidRPr="00251D03">
        <w:rPr>
          <w:bCs/>
          <w:lang w:eastAsia="bg-BG"/>
        </w:rPr>
        <w:t xml:space="preserve"> </w:t>
      </w:r>
      <w:r w:rsidRPr="00251D03">
        <w:rPr>
          <w:rFonts w:hint="eastAsia"/>
          <w:bCs/>
          <w:lang w:eastAsia="bg-BG"/>
        </w:rPr>
        <w:t>и</w:t>
      </w:r>
      <w:r w:rsidRPr="00251D03">
        <w:rPr>
          <w:bCs/>
          <w:lang w:eastAsia="bg-BG"/>
        </w:rPr>
        <w:t xml:space="preserve"> </w:t>
      </w:r>
      <w:r w:rsidRPr="00251D03">
        <w:rPr>
          <w:rFonts w:hint="eastAsia"/>
          <w:bCs/>
          <w:lang w:eastAsia="bg-BG"/>
        </w:rPr>
        <w:t>дейност“</w:t>
      </w:r>
      <w:r w:rsidRPr="00251D03">
        <w:rPr>
          <w:bCs/>
          <w:lang w:eastAsia="bg-BG"/>
        </w:rPr>
        <w:t xml:space="preserve"> </w:t>
      </w:r>
      <w:r w:rsidRPr="00251D03">
        <w:rPr>
          <w:rFonts w:hint="eastAsia"/>
          <w:bCs/>
          <w:lang w:eastAsia="bg-BG"/>
        </w:rPr>
        <w:t>на</w:t>
      </w:r>
      <w:r w:rsidRPr="00251D03">
        <w:rPr>
          <w:bCs/>
          <w:lang w:eastAsia="bg-BG"/>
        </w:rPr>
        <w:t xml:space="preserve"> </w:t>
      </w:r>
      <w:r w:rsidRPr="00251D03">
        <w:rPr>
          <w:rFonts w:hint="eastAsia"/>
          <w:bCs/>
          <w:lang w:eastAsia="bg-BG"/>
        </w:rPr>
        <w:t>ред</w:t>
      </w:r>
      <w:r w:rsidRPr="00251D03">
        <w:rPr>
          <w:bCs/>
          <w:lang w:eastAsia="bg-BG"/>
        </w:rPr>
        <w:t xml:space="preserve"> „</w:t>
      </w:r>
      <w:r w:rsidRPr="00251D03">
        <w:rPr>
          <w:rFonts w:hint="eastAsia"/>
          <w:bCs/>
          <w:lang w:eastAsia="bg-BG"/>
        </w:rPr>
        <w:t>Неверифицирана</w:t>
      </w:r>
      <w:r w:rsidRPr="00251D03">
        <w:rPr>
          <w:bCs/>
          <w:lang w:eastAsia="bg-BG"/>
        </w:rPr>
        <w:t xml:space="preserve"> </w:t>
      </w:r>
      <w:r w:rsidRPr="00251D03">
        <w:rPr>
          <w:rFonts w:hint="eastAsia"/>
          <w:bCs/>
          <w:lang w:eastAsia="bg-BG"/>
        </w:rPr>
        <w:t>сума</w:t>
      </w:r>
      <w:r w:rsidRPr="00251D03">
        <w:rPr>
          <w:bCs/>
          <w:lang w:eastAsia="bg-BG"/>
        </w:rPr>
        <w:t xml:space="preserve"> </w:t>
      </w:r>
      <w:r w:rsidRPr="00251D03">
        <w:rPr>
          <w:rFonts w:hint="eastAsia"/>
          <w:bCs/>
          <w:lang w:eastAsia="bg-BG"/>
        </w:rPr>
        <w:t>на</w:t>
      </w:r>
      <w:r w:rsidRPr="00251D03">
        <w:rPr>
          <w:bCs/>
          <w:lang w:eastAsia="bg-BG"/>
        </w:rPr>
        <w:t xml:space="preserve"> </w:t>
      </w:r>
      <w:r w:rsidRPr="00251D03">
        <w:rPr>
          <w:rFonts w:hint="eastAsia"/>
          <w:bCs/>
          <w:lang w:eastAsia="bg-BG"/>
        </w:rPr>
        <w:t>разходооправдателен</w:t>
      </w:r>
      <w:r w:rsidRPr="00251D03">
        <w:rPr>
          <w:bCs/>
          <w:lang w:eastAsia="bg-BG"/>
        </w:rPr>
        <w:t xml:space="preserve"> </w:t>
      </w:r>
      <w:r w:rsidRPr="00251D03">
        <w:rPr>
          <w:rFonts w:hint="eastAsia"/>
          <w:bCs/>
          <w:lang w:eastAsia="bg-BG"/>
        </w:rPr>
        <w:t>документ</w:t>
      </w:r>
      <w:r w:rsidRPr="00251D03">
        <w:rPr>
          <w:bCs/>
          <w:lang w:eastAsia="bg-BG"/>
        </w:rPr>
        <w:t xml:space="preserve"> </w:t>
      </w:r>
      <w:r w:rsidRPr="00251D03">
        <w:rPr>
          <w:rFonts w:hint="eastAsia"/>
          <w:bCs/>
          <w:lang w:eastAsia="bg-BG"/>
        </w:rPr>
        <w:t>по</w:t>
      </w:r>
      <w:r w:rsidRPr="00251D03">
        <w:rPr>
          <w:bCs/>
          <w:lang w:eastAsia="bg-BG"/>
        </w:rPr>
        <w:t xml:space="preserve"> </w:t>
      </w:r>
      <w:r w:rsidRPr="00251D03">
        <w:rPr>
          <w:rFonts w:hint="eastAsia"/>
          <w:bCs/>
          <w:lang w:eastAsia="bg-BG"/>
        </w:rPr>
        <w:t>наложена</w:t>
      </w:r>
      <w:r w:rsidRPr="00251D03">
        <w:rPr>
          <w:bCs/>
          <w:lang w:eastAsia="bg-BG"/>
        </w:rPr>
        <w:t xml:space="preserve"> </w:t>
      </w:r>
      <w:r w:rsidRPr="00251D03">
        <w:rPr>
          <w:rFonts w:hint="eastAsia"/>
          <w:bCs/>
          <w:lang w:eastAsia="bg-BG"/>
        </w:rPr>
        <w:t>финансова</w:t>
      </w:r>
      <w:r w:rsidRPr="00251D03">
        <w:rPr>
          <w:bCs/>
          <w:lang w:eastAsia="bg-BG"/>
        </w:rPr>
        <w:t xml:space="preserve"> </w:t>
      </w:r>
      <w:r w:rsidRPr="00251D03">
        <w:rPr>
          <w:rFonts w:hint="eastAsia"/>
          <w:bCs/>
          <w:lang w:eastAsia="bg-BG"/>
        </w:rPr>
        <w:t>корекция</w:t>
      </w:r>
      <w:r w:rsidRPr="00251D03">
        <w:rPr>
          <w:bCs/>
          <w:lang w:eastAsia="bg-BG"/>
        </w:rPr>
        <w:t xml:space="preserve"> </w:t>
      </w:r>
      <w:r w:rsidRPr="00251D03">
        <w:rPr>
          <w:rFonts w:hint="eastAsia"/>
          <w:bCs/>
          <w:lang w:eastAsia="bg-BG"/>
        </w:rPr>
        <w:t>за</w:t>
      </w:r>
      <w:r w:rsidRPr="00251D03">
        <w:rPr>
          <w:bCs/>
          <w:lang w:eastAsia="bg-BG"/>
        </w:rPr>
        <w:t xml:space="preserve"> </w:t>
      </w:r>
      <w:r w:rsidRPr="00251D03">
        <w:rPr>
          <w:rFonts w:hint="eastAsia"/>
          <w:bCs/>
          <w:lang w:eastAsia="bg-BG"/>
        </w:rPr>
        <w:t>конкретния</w:t>
      </w:r>
      <w:r w:rsidRPr="00251D03">
        <w:rPr>
          <w:bCs/>
          <w:lang w:eastAsia="bg-BG"/>
        </w:rPr>
        <w:t xml:space="preserve"> </w:t>
      </w:r>
      <w:r w:rsidRPr="00251D03">
        <w:rPr>
          <w:rFonts w:hint="eastAsia"/>
          <w:bCs/>
          <w:lang w:eastAsia="bg-BG"/>
        </w:rPr>
        <w:t>бюджетен</w:t>
      </w:r>
      <w:r w:rsidRPr="00251D03">
        <w:rPr>
          <w:bCs/>
          <w:lang w:eastAsia="bg-BG"/>
        </w:rPr>
        <w:t xml:space="preserve"> </w:t>
      </w:r>
      <w:r w:rsidRPr="00251D03">
        <w:rPr>
          <w:rFonts w:hint="eastAsia"/>
          <w:bCs/>
          <w:lang w:eastAsia="bg-BG"/>
        </w:rPr>
        <w:t>ред</w:t>
      </w:r>
      <w:r w:rsidRPr="00251D03">
        <w:rPr>
          <w:bCs/>
          <w:lang w:eastAsia="bg-BG"/>
        </w:rPr>
        <w:t xml:space="preserve"> </w:t>
      </w:r>
      <w:r w:rsidRPr="00251D03">
        <w:rPr>
          <w:rFonts w:hint="eastAsia"/>
          <w:bCs/>
          <w:lang w:eastAsia="bg-BG"/>
        </w:rPr>
        <w:t>и</w:t>
      </w:r>
      <w:r w:rsidRPr="00251D03">
        <w:rPr>
          <w:bCs/>
          <w:lang w:eastAsia="bg-BG"/>
        </w:rPr>
        <w:t xml:space="preserve"> </w:t>
      </w:r>
      <w:r w:rsidRPr="00251D03">
        <w:rPr>
          <w:rFonts w:hint="eastAsia"/>
          <w:bCs/>
          <w:lang w:eastAsia="bg-BG"/>
        </w:rPr>
        <w:t>дейност“</w:t>
      </w:r>
      <w:r w:rsidRPr="00251D03">
        <w:rPr>
          <w:bCs/>
          <w:lang w:eastAsia="bg-BG"/>
        </w:rPr>
        <w:t xml:space="preserve">. </w:t>
      </w:r>
      <w:r w:rsidRPr="00251D03">
        <w:rPr>
          <w:rFonts w:hint="eastAsia"/>
          <w:bCs/>
          <w:lang w:eastAsia="bg-BG"/>
        </w:rPr>
        <w:t>Корекцията</w:t>
      </w:r>
      <w:r w:rsidRPr="00251D03">
        <w:rPr>
          <w:bCs/>
          <w:lang w:eastAsia="bg-BG"/>
        </w:rPr>
        <w:t xml:space="preserve"> </w:t>
      </w:r>
      <w:r w:rsidRPr="00251D03">
        <w:rPr>
          <w:rFonts w:hint="eastAsia"/>
          <w:bCs/>
          <w:lang w:eastAsia="bg-BG"/>
        </w:rPr>
        <w:t>се</w:t>
      </w:r>
      <w:r w:rsidRPr="00251D03">
        <w:rPr>
          <w:bCs/>
          <w:lang w:eastAsia="bg-BG"/>
        </w:rPr>
        <w:t xml:space="preserve"> </w:t>
      </w:r>
      <w:r w:rsidRPr="00251D03">
        <w:rPr>
          <w:rFonts w:hint="eastAsia"/>
          <w:bCs/>
          <w:lang w:eastAsia="bg-BG"/>
        </w:rPr>
        <w:t>въвежда</w:t>
      </w:r>
      <w:r w:rsidRPr="00121760">
        <w:rPr>
          <w:lang w:eastAsia="fr-FR"/>
        </w:rPr>
        <w:t xml:space="preserve"> </w:t>
      </w:r>
      <w:r w:rsidRPr="00251D03">
        <w:rPr>
          <w:rFonts w:hint="eastAsia"/>
          <w:b/>
          <w:bCs/>
          <w:lang w:eastAsia="bg-BG"/>
        </w:rPr>
        <w:t>в</w:t>
      </w:r>
      <w:r w:rsidRPr="00251D03">
        <w:rPr>
          <w:b/>
          <w:bCs/>
          <w:lang w:eastAsia="bg-BG"/>
        </w:rPr>
        <w:t xml:space="preserve"> </w:t>
      </w:r>
      <w:r w:rsidRPr="00251D03">
        <w:rPr>
          <w:rFonts w:hint="eastAsia"/>
          <w:b/>
          <w:bCs/>
          <w:lang w:eastAsia="bg-BG"/>
        </w:rPr>
        <w:t>модул</w:t>
      </w:r>
      <w:r w:rsidRPr="00251D03">
        <w:rPr>
          <w:b/>
          <w:bCs/>
          <w:lang w:eastAsia="bg-BG"/>
        </w:rPr>
        <w:t xml:space="preserve"> </w:t>
      </w:r>
      <w:r w:rsidRPr="00121760">
        <w:rPr>
          <w:lang w:eastAsia="fr-FR"/>
        </w:rPr>
        <w:t xml:space="preserve">„Мониторинг и финансов контрол“, подмодул „Коригиране на верифицирани суми на ниво РОД“ </w:t>
      </w:r>
      <w:r w:rsidRPr="00251D03">
        <w:rPr>
          <w:bCs/>
          <w:lang w:eastAsia="bg-BG"/>
        </w:rPr>
        <w:t xml:space="preserve"> или </w:t>
      </w:r>
      <w:r w:rsidRPr="00121760">
        <w:rPr>
          <w:lang w:eastAsia="fr-FR"/>
        </w:rPr>
        <w:t>подмодул „Коригиране на верифицирани суми на други нива</w:t>
      </w:r>
      <w:r w:rsidRPr="00251D03">
        <w:rPr>
          <w:bCs/>
          <w:lang w:eastAsia="bg-BG"/>
        </w:rPr>
        <w:t>“</w:t>
      </w:r>
      <w:r w:rsidR="00337D24">
        <w:rPr>
          <w:bCs/>
          <w:lang w:eastAsia="bg-BG"/>
        </w:rPr>
        <w:t>.</w:t>
      </w:r>
    </w:p>
    <w:p w14:paraId="7A706A3C" w14:textId="77777777" w:rsidR="00121760" w:rsidRPr="008C1290" w:rsidRDefault="00121760" w:rsidP="00121760">
      <w:pPr>
        <w:spacing w:before="120"/>
        <w:rPr>
          <w:color w:val="000000"/>
          <w:szCs w:val="24"/>
          <w:lang w:eastAsia="fr-FR"/>
        </w:rPr>
      </w:pPr>
      <w:r>
        <w:rPr>
          <w:color w:val="000000"/>
          <w:szCs w:val="24"/>
          <w:lang w:eastAsia="fr-FR"/>
        </w:rPr>
        <w:tab/>
        <w:t xml:space="preserve">В </w:t>
      </w:r>
      <w:r w:rsidRPr="008C1290">
        <w:rPr>
          <w:color w:val="000000"/>
          <w:szCs w:val="24"/>
          <w:lang w:eastAsia="fr-FR"/>
        </w:rPr>
        <w:t xml:space="preserve"> случаи</w:t>
      </w:r>
      <w:r>
        <w:rPr>
          <w:color w:val="000000"/>
          <w:szCs w:val="24"/>
          <w:lang w:eastAsia="fr-FR"/>
        </w:rPr>
        <w:t>те</w:t>
      </w:r>
      <w:r w:rsidRPr="008C1290">
        <w:rPr>
          <w:color w:val="000000"/>
          <w:szCs w:val="24"/>
          <w:lang w:eastAsia="fr-FR"/>
        </w:rPr>
        <w:t xml:space="preserve">, при които решението за налагане на финансова корекция е издадено след </w:t>
      </w:r>
      <w:r>
        <w:rPr>
          <w:color w:val="000000"/>
          <w:szCs w:val="24"/>
          <w:lang w:eastAsia="fr-FR"/>
        </w:rPr>
        <w:t xml:space="preserve">приключване на процеса по верификация </w:t>
      </w:r>
      <w:r w:rsidRPr="008C1290">
        <w:rPr>
          <w:color w:val="000000"/>
          <w:szCs w:val="24"/>
          <w:lang w:eastAsia="fr-FR"/>
        </w:rPr>
        <w:t>е необходимо да се направи корекция на верифицираните разходи в ИСУН</w:t>
      </w:r>
      <w:r>
        <w:rPr>
          <w:color w:val="000000"/>
          <w:szCs w:val="24"/>
          <w:lang w:eastAsia="fr-FR"/>
        </w:rPr>
        <w:t xml:space="preserve"> 2020</w:t>
      </w:r>
      <w:r w:rsidRPr="008C1290">
        <w:rPr>
          <w:color w:val="000000"/>
          <w:szCs w:val="24"/>
          <w:lang w:eastAsia="fr-FR"/>
        </w:rPr>
        <w:t>:</w:t>
      </w:r>
    </w:p>
    <w:p w14:paraId="45A87E93" w14:textId="77777777" w:rsidR="00121760" w:rsidRDefault="00121760" w:rsidP="00121760">
      <w:pPr>
        <w:pStyle w:val="ListParagraph"/>
        <w:numPr>
          <w:ilvl w:val="0"/>
          <w:numId w:val="441"/>
        </w:numPr>
        <w:tabs>
          <w:tab w:val="left" w:pos="540"/>
        </w:tabs>
        <w:spacing w:before="120"/>
        <w:ind w:left="0" w:firstLine="1008"/>
        <w:rPr>
          <w:color w:val="000000"/>
          <w:szCs w:val="24"/>
          <w:lang w:eastAsia="fr-FR"/>
        </w:rPr>
      </w:pPr>
      <w:r>
        <w:rPr>
          <w:color w:val="000000"/>
          <w:szCs w:val="24"/>
          <w:lang w:eastAsia="fr-FR"/>
        </w:rPr>
        <w:t>в случаите, при които налагането на финансовата корекция, касае конкретен разходооправдателен документ – във всеки засегнат документ в даден пакет се коригира верифицираната сума пропорционално на наложената корекция, което се отразява в ИСУН 2020 в модул  „</w:t>
      </w:r>
      <w:r w:rsidRPr="00B71766">
        <w:rPr>
          <w:color w:val="000000"/>
          <w:szCs w:val="24"/>
          <w:lang w:eastAsia="fr-FR"/>
        </w:rPr>
        <w:t>Мониторинг и финансов контрол</w:t>
      </w:r>
      <w:r>
        <w:rPr>
          <w:color w:val="000000"/>
          <w:szCs w:val="24"/>
          <w:lang w:eastAsia="fr-FR"/>
        </w:rPr>
        <w:t>“, подмодул „Коригиране на верифицирани суми на ниво РОД“</w:t>
      </w:r>
      <w:r w:rsidRPr="001825E9">
        <w:rPr>
          <w:color w:val="000000"/>
          <w:szCs w:val="24"/>
          <w:lang w:eastAsia="fr-FR"/>
        </w:rPr>
        <w:t xml:space="preserve"> </w:t>
      </w:r>
      <w:r>
        <w:rPr>
          <w:color w:val="000000"/>
          <w:szCs w:val="24"/>
          <w:lang w:eastAsia="fr-FR"/>
        </w:rPr>
        <w:t>и се асоциира с въведената финансова корекция в ИСУН 2020.</w:t>
      </w:r>
    </w:p>
    <w:p w14:paraId="6C0CB420" w14:textId="77777777" w:rsidR="00121760" w:rsidRDefault="00121760" w:rsidP="00121760">
      <w:pPr>
        <w:pStyle w:val="ListParagraph"/>
        <w:numPr>
          <w:ilvl w:val="0"/>
          <w:numId w:val="441"/>
        </w:numPr>
        <w:tabs>
          <w:tab w:val="left" w:pos="540"/>
        </w:tabs>
        <w:spacing w:before="120"/>
        <w:ind w:left="0" w:firstLine="1008"/>
        <w:rPr>
          <w:color w:val="000000"/>
          <w:szCs w:val="24"/>
          <w:lang w:eastAsia="fr-FR"/>
        </w:rPr>
      </w:pPr>
      <w:r>
        <w:rPr>
          <w:color w:val="000000"/>
          <w:szCs w:val="24"/>
          <w:lang w:eastAsia="fr-FR"/>
        </w:rPr>
        <w:t xml:space="preserve">в случаите, при които налагането на финансовата корекция, </w:t>
      </w:r>
      <w:r w:rsidRPr="00CC5C85">
        <w:rPr>
          <w:b/>
          <w:color w:val="000000"/>
          <w:szCs w:val="24"/>
          <w:u w:val="single"/>
          <w:lang w:eastAsia="fr-FR"/>
        </w:rPr>
        <w:t>не</w:t>
      </w:r>
      <w:r>
        <w:rPr>
          <w:color w:val="000000"/>
          <w:szCs w:val="24"/>
          <w:lang w:eastAsia="fr-FR"/>
        </w:rPr>
        <w:t xml:space="preserve"> касае конкретен разходооправдателен документ – въвежда се корекция на съответния пакет в модул  „</w:t>
      </w:r>
      <w:r w:rsidRPr="00B71766">
        <w:rPr>
          <w:color w:val="000000"/>
          <w:szCs w:val="24"/>
          <w:lang w:eastAsia="fr-FR"/>
        </w:rPr>
        <w:t>Мониторинг и финансов контрол</w:t>
      </w:r>
      <w:r>
        <w:rPr>
          <w:color w:val="000000"/>
          <w:szCs w:val="24"/>
          <w:lang w:eastAsia="fr-FR"/>
        </w:rPr>
        <w:t>“, подмодул „Коригиране на верифицирани суми на други нива“</w:t>
      </w:r>
      <w:r w:rsidRPr="001825E9">
        <w:rPr>
          <w:color w:val="000000"/>
          <w:szCs w:val="24"/>
          <w:lang w:eastAsia="fr-FR"/>
        </w:rPr>
        <w:t xml:space="preserve"> </w:t>
      </w:r>
      <w:r>
        <w:rPr>
          <w:color w:val="000000"/>
          <w:szCs w:val="24"/>
          <w:lang w:eastAsia="fr-FR"/>
        </w:rPr>
        <w:t>и се асоциира с въведената финансова корекция в ИСУН 2020.</w:t>
      </w:r>
    </w:p>
    <w:p w14:paraId="3E6730F4" w14:textId="77777777" w:rsidR="00121760" w:rsidRDefault="00121760" w:rsidP="00121760">
      <w:pPr>
        <w:pStyle w:val="ListParagraph"/>
        <w:tabs>
          <w:tab w:val="left" w:pos="540"/>
        </w:tabs>
        <w:spacing w:before="120"/>
        <w:ind w:left="1008"/>
        <w:rPr>
          <w:color w:val="000000"/>
          <w:szCs w:val="24"/>
          <w:lang w:eastAsia="fr-FR"/>
        </w:rPr>
      </w:pPr>
    </w:p>
    <w:p w14:paraId="17CDC7E6" w14:textId="77777777" w:rsidR="00121760" w:rsidRPr="00842ECC" w:rsidRDefault="00121760" w:rsidP="00251D03">
      <w:pPr>
        <w:rPr>
          <w:lang w:eastAsia="fr-FR"/>
        </w:rPr>
      </w:pPr>
      <w:r w:rsidRPr="00952FCC">
        <w:rPr>
          <w:lang w:eastAsia="fr-FR"/>
        </w:rPr>
        <w:t>В  случаите, при които решението за налагане на финансова корекция е издадено след приключване на процеса по верификация, финансовият експерт предоставя на счетоводителя финансов</w:t>
      </w:r>
      <w:r>
        <w:rPr>
          <w:lang w:eastAsia="fr-FR"/>
        </w:rPr>
        <w:t>а информация, разпределена по искания за плащане</w:t>
      </w:r>
      <w:r w:rsidRPr="00952FCC">
        <w:rPr>
          <w:lang w:eastAsia="fr-FR"/>
        </w:rPr>
        <w:t>, съдържаща следните данни</w:t>
      </w:r>
      <w:r w:rsidRPr="00842ECC">
        <w:rPr>
          <w:lang w:eastAsia="fr-FR"/>
        </w:rPr>
        <w:t>:</w:t>
      </w:r>
    </w:p>
    <w:p w14:paraId="4C7A926E" w14:textId="77777777" w:rsidR="00121760" w:rsidRPr="00842ECC" w:rsidRDefault="00121760" w:rsidP="00251D03">
      <w:pPr>
        <w:pStyle w:val="ListParagraph"/>
        <w:numPr>
          <w:ilvl w:val="0"/>
          <w:numId w:val="442"/>
        </w:numPr>
        <w:tabs>
          <w:tab w:val="left" w:pos="540"/>
        </w:tabs>
        <w:spacing w:before="120" w:after="160" w:line="252" w:lineRule="auto"/>
        <w:ind w:left="1008" w:hanging="357"/>
        <w:rPr>
          <w:szCs w:val="24"/>
        </w:rPr>
      </w:pPr>
      <w:r w:rsidRPr="00842ECC">
        <w:rPr>
          <w:szCs w:val="24"/>
        </w:rPr>
        <w:t>Верифицирани/сертифицирани разходи по договора и сума на ФК на верифицираните/сертифицирани разходи</w:t>
      </w:r>
    </w:p>
    <w:p w14:paraId="15505191" w14:textId="77777777" w:rsidR="00121760" w:rsidRPr="00842ECC" w:rsidRDefault="00121760" w:rsidP="00251D03">
      <w:pPr>
        <w:pStyle w:val="ListParagraph"/>
        <w:numPr>
          <w:ilvl w:val="0"/>
          <w:numId w:val="442"/>
        </w:numPr>
        <w:tabs>
          <w:tab w:val="left" w:pos="540"/>
        </w:tabs>
        <w:spacing w:before="120" w:after="160" w:line="252" w:lineRule="auto"/>
        <w:ind w:left="1008" w:hanging="357"/>
        <w:rPr>
          <w:szCs w:val="24"/>
        </w:rPr>
      </w:pPr>
      <w:r w:rsidRPr="00842ECC">
        <w:rPr>
          <w:szCs w:val="24"/>
        </w:rPr>
        <w:t>Платени разходи/разпределени лимити в СЕБРА/ и ФК на платените разходи</w:t>
      </w:r>
    </w:p>
    <w:p w14:paraId="4555E5B7" w14:textId="77777777" w:rsidR="00121760" w:rsidRPr="00842ECC" w:rsidRDefault="00121760" w:rsidP="00251D03">
      <w:pPr>
        <w:pStyle w:val="ListParagraph"/>
        <w:numPr>
          <w:ilvl w:val="0"/>
          <w:numId w:val="442"/>
        </w:numPr>
        <w:tabs>
          <w:tab w:val="left" w:pos="540"/>
        </w:tabs>
        <w:spacing w:before="120" w:after="160" w:line="252" w:lineRule="auto"/>
        <w:ind w:left="1008" w:hanging="357"/>
        <w:rPr>
          <w:szCs w:val="24"/>
        </w:rPr>
      </w:pPr>
      <w:r w:rsidRPr="00842ECC">
        <w:rPr>
          <w:szCs w:val="24"/>
        </w:rPr>
        <w:lastRenderedPageBreak/>
        <w:t>Пореден номер на ДСДДР, в който първоначално са включени засегнатите от ФК разходи</w:t>
      </w:r>
    </w:p>
    <w:p w14:paraId="0B5A869C" w14:textId="77777777" w:rsidR="00121760" w:rsidRPr="00D82A8E" w:rsidRDefault="00121760" w:rsidP="00251D03">
      <w:pPr>
        <w:pStyle w:val="ListParagraph"/>
        <w:numPr>
          <w:ilvl w:val="0"/>
          <w:numId w:val="442"/>
        </w:numPr>
        <w:tabs>
          <w:tab w:val="left" w:pos="540"/>
        </w:tabs>
        <w:spacing w:before="120" w:after="160" w:line="252" w:lineRule="auto"/>
        <w:ind w:left="1008" w:hanging="357"/>
        <w:rPr>
          <w:color w:val="000000"/>
          <w:szCs w:val="24"/>
          <w:lang w:eastAsia="fr-FR"/>
        </w:rPr>
      </w:pPr>
      <w:r w:rsidRPr="00842ECC">
        <w:rPr>
          <w:szCs w:val="24"/>
        </w:rPr>
        <w:t xml:space="preserve">Пореден номер на ДСДДР, в който са </w:t>
      </w:r>
      <w:r w:rsidRPr="00121760">
        <w:rPr>
          <w:szCs w:val="24"/>
        </w:rPr>
        <w:t xml:space="preserve">оттеглени засегнатите от ФК разходи </w:t>
      </w:r>
      <w:r w:rsidRPr="00842ECC">
        <w:rPr>
          <w:color w:val="000000"/>
          <w:szCs w:val="24"/>
          <w:lang w:eastAsia="fr-FR"/>
        </w:rPr>
        <w:t>(</w:t>
      </w:r>
      <w:r w:rsidRPr="00D82A8E">
        <w:rPr>
          <w:color w:val="000000"/>
          <w:szCs w:val="24"/>
          <w:lang w:eastAsia="fr-FR"/>
        </w:rPr>
        <w:t>ако е приложимо</w:t>
      </w:r>
      <w:r w:rsidRPr="00842ECC">
        <w:rPr>
          <w:color w:val="000000"/>
          <w:szCs w:val="24"/>
          <w:lang w:eastAsia="fr-FR"/>
        </w:rPr>
        <w:t>)</w:t>
      </w:r>
    </w:p>
    <w:p w14:paraId="2AEABC14" w14:textId="77777777" w:rsidR="00D6684B" w:rsidRDefault="00D6684B" w:rsidP="00D6684B">
      <w:pPr>
        <w:rPr>
          <w:lang w:eastAsia="fr-FR"/>
        </w:rPr>
      </w:pPr>
      <w:r>
        <w:t>Н</w:t>
      </w:r>
      <w:r w:rsidRPr="00A15117">
        <w:t>ачалник</w:t>
      </w:r>
      <w:r>
        <w:t xml:space="preserve">ът на </w:t>
      </w:r>
      <w:r w:rsidRPr="00A15117">
        <w:t>отдел „Финансово управление“</w:t>
      </w:r>
      <w:r w:rsidRPr="00200240">
        <w:t xml:space="preserve"> съгласува становището на финансовия експерт</w:t>
      </w:r>
      <w:r>
        <w:t xml:space="preserve"> по отношение на </w:t>
      </w:r>
      <w:r w:rsidRPr="005B04E5">
        <w:rPr>
          <w:lang w:eastAsia="fr-FR"/>
        </w:rPr>
        <w:t>резу</w:t>
      </w:r>
      <w:r>
        <w:rPr>
          <w:lang w:eastAsia="fr-FR"/>
        </w:rPr>
        <w:t xml:space="preserve">лтатите от извършените проверки, с което потвърждава </w:t>
      </w:r>
      <w:r w:rsidRPr="005B04E5">
        <w:rPr>
          <w:lang w:eastAsia="fr-FR"/>
        </w:rPr>
        <w:t>предложение</w:t>
      </w:r>
      <w:r>
        <w:rPr>
          <w:lang w:eastAsia="fr-FR"/>
        </w:rPr>
        <w:t>то</w:t>
      </w:r>
      <w:r w:rsidRPr="005B04E5">
        <w:rPr>
          <w:lang w:eastAsia="fr-FR"/>
        </w:rPr>
        <w:t xml:space="preserve"> за р</w:t>
      </w:r>
      <w:r>
        <w:rPr>
          <w:lang w:eastAsia="fr-FR"/>
        </w:rPr>
        <w:t xml:space="preserve">азмера на верифицираните/неверифицираните разходи </w:t>
      </w:r>
      <w:r w:rsidRPr="005B04E5">
        <w:rPr>
          <w:lang w:eastAsia="fr-FR"/>
        </w:rPr>
        <w:t>и одобрената</w:t>
      </w:r>
      <w:r>
        <w:rPr>
          <w:lang w:eastAsia="fr-FR"/>
        </w:rPr>
        <w:t xml:space="preserve">/неодобрената </w:t>
      </w:r>
      <w:r w:rsidRPr="005B04E5">
        <w:rPr>
          <w:lang w:eastAsia="fr-FR"/>
        </w:rPr>
        <w:t xml:space="preserve"> БФП по провереното искане за плащане</w:t>
      </w:r>
      <w:r>
        <w:rPr>
          <w:lang w:eastAsia="fr-FR"/>
        </w:rPr>
        <w:t xml:space="preserve"> в рамките на </w:t>
      </w:r>
      <w:r>
        <w:rPr>
          <w:b/>
          <w:lang w:eastAsia="fr-FR"/>
        </w:rPr>
        <w:t>3</w:t>
      </w:r>
      <w:r w:rsidRPr="00CC5C85">
        <w:rPr>
          <w:b/>
          <w:lang w:eastAsia="fr-FR"/>
        </w:rPr>
        <w:t xml:space="preserve"> </w:t>
      </w:r>
      <w:r>
        <w:rPr>
          <w:lang w:eastAsia="fr-FR"/>
        </w:rPr>
        <w:t xml:space="preserve">работни дни. </w:t>
      </w:r>
      <w:r>
        <w:t xml:space="preserve">Проверките на финансовия експерт </w:t>
      </w:r>
      <w:r w:rsidRPr="00A15117">
        <w:t>се оформят като първи контрол в контролен лист</w:t>
      </w:r>
      <w:r>
        <w:t xml:space="preserve">, регистриран електронно в ИСУН 2020 </w:t>
      </w:r>
      <w:r w:rsidRPr="00842ECC">
        <w:t>(</w:t>
      </w:r>
      <w:r>
        <w:t>Приложение № 5.01.2.1, Приложение № 5.01.3.1</w:t>
      </w:r>
      <w:r w:rsidRPr="00842ECC">
        <w:t>)</w:t>
      </w:r>
      <w:r>
        <w:t>.</w:t>
      </w:r>
    </w:p>
    <w:p w14:paraId="0A3E27F5" w14:textId="77777777" w:rsidR="0029081B" w:rsidRPr="0029081B" w:rsidRDefault="0029081B" w:rsidP="0029081B">
      <w:pPr>
        <w:rPr>
          <w:lang w:eastAsia="fr-FR"/>
        </w:rPr>
      </w:pPr>
      <w:r w:rsidRPr="0029081B">
        <w:rPr>
          <w:lang w:eastAsia="fr-FR"/>
        </w:rPr>
        <w:t xml:space="preserve">Верификацията на разходите продължава с проверка на информацията от счетоводната система на бенефициента, която се извършва в рамките на </w:t>
      </w:r>
      <w:r w:rsidRPr="0029081B">
        <w:rPr>
          <w:b/>
          <w:lang w:eastAsia="fr-FR"/>
        </w:rPr>
        <w:t>3</w:t>
      </w:r>
      <w:r w:rsidRPr="0029081B">
        <w:rPr>
          <w:lang w:eastAsia="fr-FR"/>
        </w:rPr>
        <w:t xml:space="preserve"> работни дни от експерт от отдел „Финансово управление“, отговорен за тази проверка. Извършените проверки се оформят като втори контрол в контролен лист, регистриран електронно в ИСУН 2020 </w:t>
      </w:r>
      <w:r w:rsidRPr="00842ECC">
        <w:rPr>
          <w:lang w:eastAsia="fr-FR"/>
        </w:rPr>
        <w:t>(</w:t>
      </w:r>
      <w:r w:rsidRPr="0029081B">
        <w:rPr>
          <w:lang w:eastAsia="fr-FR"/>
        </w:rPr>
        <w:t>Приложение № 5.01.2.1, Приложение № 5.01.3.1</w:t>
      </w:r>
      <w:r w:rsidRPr="00842ECC">
        <w:rPr>
          <w:lang w:eastAsia="fr-FR"/>
        </w:rPr>
        <w:t>)</w:t>
      </w:r>
      <w:r w:rsidRPr="0029081B">
        <w:rPr>
          <w:lang w:eastAsia="fr-FR"/>
        </w:rPr>
        <w:t xml:space="preserve"> и контролния лист се насочва за проверка към главния счетоводител, който извършва контролите си в рамките на </w:t>
      </w:r>
      <w:r w:rsidRPr="0029081B">
        <w:rPr>
          <w:b/>
          <w:lang w:eastAsia="fr-FR"/>
        </w:rPr>
        <w:t>2</w:t>
      </w:r>
      <w:r w:rsidRPr="0029081B">
        <w:rPr>
          <w:lang w:eastAsia="fr-FR"/>
        </w:rPr>
        <w:t xml:space="preserve"> работни дни и след тяхното приключване удостоверява, че проверките са надлежно извършени, чрез попълване на контролен лист, регистриран електронно в ИСУН 2020</w:t>
      </w:r>
      <w:r w:rsidRPr="00842ECC">
        <w:rPr>
          <w:lang w:eastAsia="fr-FR"/>
        </w:rPr>
        <w:t xml:space="preserve"> (</w:t>
      </w:r>
      <w:r w:rsidRPr="0029081B">
        <w:rPr>
          <w:lang w:eastAsia="fr-FR"/>
        </w:rPr>
        <w:t>Приложение № 5.01.2.1, Приложение № 5.01.3.1</w:t>
      </w:r>
      <w:r w:rsidRPr="00842ECC">
        <w:rPr>
          <w:lang w:eastAsia="fr-FR"/>
        </w:rPr>
        <w:t>)</w:t>
      </w:r>
      <w:r w:rsidRPr="0029081B">
        <w:rPr>
          <w:lang w:eastAsia="fr-FR"/>
        </w:rPr>
        <w:t xml:space="preserve">  като трети контрол.</w:t>
      </w:r>
    </w:p>
    <w:p w14:paraId="0D8F8992" w14:textId="77777777" w:rsidR="0029081B" w:rsidRPr="0029081B" w:rsidRDefault="0029081B" w:rsidP="0029081B">
      <w:pPr>
        <w:rPr>
          <w:lang w:eastAsia="fr-FR"/>
        </w:rPr>
      </w:pPr>
      <w:r w:rsidRPr="0029081B">
        <w:rPr>
          <w:lang w:eastAsia="fr-FR"/>
        </w:rPr>
        <w:t xml:space="preserve">Верификацията продължава на ниво експерт от отдел „Изпълнение и координация”, който извършва проверки в рамките на 2 работни дни и след тяхното приключване попълва контролен лист, регистриран електронно в ИСУН 2020 </w:t>
      </w:r>
      <w:r w:rsidRPr="00842ECC">
        <w:rPr>
          <w:lang w:eastAsia="fr-FR"/>
        </w:rPr>
        <w:t>(</w:t>
      </w:r>
      <w:r w:rsidRPr="0029081B">
        <w:rPr>
          <w:lang w:eastAsia="fr-FR"/>
        </w:rPr>
        <w:t>Приложение № 5.01.2.1, Приложение № 5.01.3.1</w:t>
      </w:r>
      <w:r w:rsidRPr="00842ECC">
        <w:rPr>
          <w:lang w:eastAsia="fr-FR"/>
        </w:rPr>
        <w:t>)</w:t>
      </w:r>
      <w:r w:rsidRPr="0029081B">
        <w:rPr>
          <w:lang w:eastAsia="fr-FR"/>
        </w:rPr>
        <w:t xml:space="preserve"> и насочва  контролния лист за проверка към началника на отдел „Изпълнение и координация”. На това ниво проверките се извършват в рамките на 2 работни дни и се удостоверява, че проверките са надлежно извършени, чрез попълване на контролен лист, регистриран електронно в ИСУН 2020</w:t>
      </w:r>
      <w:r w:rsidRPr="00842ECC">
        <w:rPr>
          <w:lang w:eastAsia="fr-FR"/>
        </w:rPr>
        <w:t xml:space="preserve"> (</w:t>
      </w:r>
      <w:r w:rsidRPr="0029081B">
        <w:rPr>
          <w:lang w:eastAsia="fr-FR"/>
        </w:rPr>
        <w:t>Приложение № 5.01.2.1, Приложение № 5.01.3.1</w:t>
      </w:r>
      <w:r w:rsidRPr="00842ECC">
        <w:rPr>
          <w:lang w:eastAsia="fr-FR"/>
        </w:rPr>
        <w:t>)</w:t>
      </w:r>
      <w:r w:rsidRPr="0029081B">
        <w:rPr>
          <w:lang w:eastAsia="fr-FR"/>
        </w:rPr>
        <w:t xml:space="preserve">. Контролният лист се насочва за последваща проверка към началника на отдел „Финансово управление”. </w:t>
      </w:r>
    </w:p>
    <w:p w14:paraId="569D55EB" w14:textId="77777777" w:rsidR="001F2C05" w:rsidRPr="001F2C05" w:rsidRDefault="001F2C05" w:rsidP="001F2C05">
      <w:pPr>
        <w:rPr>
          <w:lang w:eastAsia="fr-FR"/>
        </w:rPr>
      </w:pPr>
      <w:r w:rsidRPr="001F2C05">
        <w:rPr>
          <w:lang w:eastAsia="fr-FR"/>
        </w:rPr>
        <w:t>Началникът на отдел „Финансово управление“  извършва всички проверки съгласно контролния лист, регистриран електронно в ИСУН 2020</w:t>
      </w:r>
      <w:r w:rsidRPr="00842ECC">
        <w:rPr>
          <w:lang w:eastAsia="fr-FR"/>
        </w:rPr>
        <w:t xml:space="preserve"> (</w:t>
      </w:r>
      <w:r w:rsidRPr="001F2C05">
        <w:rPr>
          <w:lang w:eastAsia="fr-FR"/>
        </w:rPr>
        <w:t>Приложение № 5.01.2.1, Приложение № 5.01.3.1</w:t>
      </w:r>
      <w:r w:rsidRPr="00842ECC">
        <w:rPr>
          <w:lang w:eastAsia="fr-FR"/>
        </w:rPr>
        <w:t>)</w:t>
      </w:r>
      <w:r w:rsidRPr="001F2C05">
        <w:rPr>
          <w:lang w:eastAsia="fr-FR"/>
        </w:rPr>
        <w:t>, чрез които проверки се счита, че потвърждава размера на предложените за верификация разходи и одобрената БФП. Контролният лист се насочва за проверка към Ръководителя на УО.</w:t>
      </w:r>
    </w:p>
    <w:p w14:paraId="6CF5F4D5" w14:textId="77777777" w:rsidR="00B06DC7" w:rsidRDefault="00E22C34" w:rsidP="00B06DC7">
      <w:pPr>
        <w:rPr>
          <w:lang w:eastAsia="fr-FR"/>
        </w:rPr>
      </w:pPr>
      <w:r w:rsidRPr="00E22C34">
        <w:rPr>
          <w:lang w:eastAsia="fr-FR"/>
        </w:rPr>
        <w:t>Ръководителят на Управляващия орган одобрява/неодобрява искането за плащане и предложения размер на верифицираните разходи и одобрената БФП в рамките на 3 работни дни чрез попълване на контролен лист, регистриран електронно в ИСУН 2020 (Приложение № 5.01.2.1, Приложение № 5.01.3.1). Ръководителят на УО въвежда и крайна проверка на искането за плащане в ИСУН 2020.</w:t>
      </w:r>
    </w:p>
    <w:p w14:paraId="32BE6EC4" w14:textId="77777777" w:rsidR="00E22C34" w:rsidRDefault="00E22C34" w:rsidP="00251D03">
      <w:pPr>
        <w:rPr>
          <w:lang w:eastAsia="fr-FR"/>
        </w:rPr>
      </w:pPr>
      <w:r>
        <w:rPr>
          <w:lang w:eastAsia="fr-FR"/>
        </w:rPr>
        <w:t>При извършване на проверките, оформени в контролен лист</w:t>
      </w:r>
      <w:r w:rsidRPr="00842ECC">
        <w:rPr>
          <w:lang w:eastAsia="fr-FR"/>
        </w:rPr>
        <w:t xml:space="preserve"> </w:t>
      </w:r>
      <w:r>
        <w:rPr>
          <w:lang w:eastAsia="fr-FR"/>
        </w:rPr>
        <w:t xml:space="preserve">се прилагат сканирани всички релевантни документи, свързани с извършените управленски проверки (становище на отдел „Финансово управление“ и приложения към него, становище на отдел „Изпълнение и координация“ и приложения към него, както и други допълнително изискани документи  в хода на проверката. </w:t>
      </w:r>
    </w:p>
    <w:p w14:paraId="4EAC1185" w14:textId="77777777" w:rsidR="00BF5BBA" w:rsidRPr="00BF5BBA" w:rsidRDefault="00BF5BBA" w:rsidP="00BF5BBA">
      <w:pPr>
        <w:rPr>
          <w:lang w:eastAsia="fr-FR"/>
        </w:rPr>
      </w:pPr>
      <w:r w:rsidRPr="00BF5BBA">
        <w:rPr>
          <w:lang w:eastAsia="fr-FR"/>
        </w:rPr>
        <w:t>Експерт в отдел „Финансово управление“ в рамките на 2  работни дни след одобрението на сумите по искането за плащане подготвя „Решение за верификация“ (</w:t>
      </w:r>
      <w:hyperlink r:id="rId182" w:tooltip="Решение за верификация на постъпило Междинно/Окончателно искане за плащане" w:history="1">
        <w:r w:rsidRPr="00BF5BBA">
          <w:rPr>
            <w:rStyle w:val="Hyperlink"/>
            <w:i/>
            <w:iCs/>
            <w:lang w:eastAsia="fr-FR"/>
          </w:rPr>
          <w:t>Приложение № 5.01.2.3</w:t>
        </w:r>
      </w:hyperlink>
      <w:r w:rsidRPr="00BF5BBA">
        <w:rPr>
          <w:lang w:eastAsia="fr-FR"/>
        </w:rPr>
        <w:t xml:space="preserve">),  което се съгласува от началника на отдел „Финансово управление“ и началника на отдел „Изпълнение и координация“ и се подписва от Ръководителя на УО. В случай на частична верификация или отказ за верификация и/или неодобрение на БФП, в решението за верификация се описват причините и установените пропуски. </w:t>
      </w:r>
    </w:p>
    <w:p w14:paraId="3A28FD9F" w14:textId="77777777" w:rsidR="00121760" w:rsidRPr="007528BE" w:rsidRDefault="00121760" w:rsidP="00251D03">
      <w:pPr>
        <w:rPr>
          <w:lang w:eastAsia="fr-FR"/>
        </w:rPr>
      </w:pPr>
      <w:r>
        <w:t xml:space="preserve"> </w:t>
      </w:r>
      <w:r w:rsidRPr="00121760">
        <w:t>Решението за</w:t>
      </w:r>
      <w:r w:rsidRPr="00121760">
        <w:rPr>
          <w:lang w:val="x-none"/>
        </w:rPr>
        <w:t xml:space="preserve"> верификация за всеки подаден пакет отчетни документи се изпраща от </w:t>
      </w:r>
      <w:r w:rsidRPr="00121760">
        <w:t>УО на</w:t>
      </w:r>
      <w:r w:rsidRPr="00121760">
        <w:rPr>
          <w:lang w:val="x-none"/>
        </w:rPr>
        <w:t xml:space="preserve">  бенефициента</w:t>
      </w:r>
      <w:r w:rsidRPr="00D82A8E">
        <w:t xml:space="preserve"> </w:t>
      </w:r>
      <w:r w:rsidRPr="00251D03">
        <w:rPr>
          <w:lang w:eastAsia="fr-FR"/>
        </w:rPr>
        <w:t xml:space="preserve">посредством модул „Договори“, подмодул „Кореспонденция“  в ИСУН </w:t>
      </w:r>
      <w:r w:rsidRPr="00251D03">
        <w:rPr>
          <w:lang w:eastAsia="fr-FR"/>
        </w:rPr>
        <w:lastRenderedPageBreak/>
        <w:t>2020</w:t>
      </w:r>
      <w:r w:rsidRPr="00121760">
        <w:t xml:space="preserve"> в рамките на 1 работен ден от датата на неговото издаване. Решението за</w:t>
      </w:r>
      <w:r w:rsidRPr="00D82A8E">
        <w:rPr>
          <w:lang w:val="x-none"/>
        </w:rPr>
        <w:t xml:space="preserve"> верификация за всеки подаден пакет отчетни документи се изпраща от </w:t>
      </w:r>
      <w:r w:rsidRPr="00D82A8E">
        <w:t xml:space="preserve">УО </w:t>
      </w:r>
      <w:r w:rsidRPr="00251D03">
        <w:t>на</w:t>
      </w:r>
      <w:r w:rsidRPr="00251D03">
        <w:rPr>
          <w:lang w:val="x-none"/>
        </w:rPr>
        <w:t xml:space="preserve"> бенефициента</w:t>
      </w:r>
      <w:r w:rsidRPr="00251D03">
        <w:t xml:space="preserve"> </w:t>
      </w:r>
      <w:r w:rsidRPr="00251D03">
        <w:rPr>
          <w:lang w:eastAsia="fr-FR"/>
        </w:rPr>
        <w:t>и на хартиен носител.</w:t>
      </w:r>
    </w:p>
    <w:p w14:paraId="5196A297" w14:textId="77777777" w:rsidR="00121760" w:rsidRDefault="00121760" w:rsidP="00251D03">
      <w:pPr>
        <w:rPr>
          <w:lang w:eastAsia="fr-FR"/>
        </w:rPr>
      </w:pPr>
      <w:r w:rsidRPr="007528BE">
        <w:rPr>
          <w:lang w:eastAsia="fr-FR"/>
        </w:rPr>
        <w:t xml:space="preserve">Поради специфичните условия на разплащане по ОПТТИ, залагането на лимит за одобрена БФП по искане за плащане по десетразрядния код в СЕБРА на съответния бенефициент се счита за извършване на плащане на БФП по </w:t>
      </w:r>
      <w:r>
        <w:rPr>
          <w:lang w:eastAsia="fr-FR"/>
        </w:rPr>
        <w:t>искане за плащане</w:t>
      </w:r>
      <w:r w:rsidRPr="007528BE">
        <w:rPr>
          <w:lang w:eastAsia="fr-FR"/>
        </w:rPr>
        <w:t xml:space="preserve"> от страна на УО. Срокът за</w:t>
      </w:r>
      <w:r w:rsidRPr="005B04E5">
        <w:rPr>
          <w:lang w:eastAsia="fr-FR"/>
        </w:rPr>
        <w:t xml:space="preserve"> разпределяне на лимит е </w:t>
      </w:r>
      <w:r>
        <w:rPr>
          <w:lang w:eastAsia="fr-FR"/>
        </w:rPr>
        <w:t>5</w:t>
      </w:r>
      <w:r w:rsidRPr="005B04E5">
        <w:rPr>
          <w:lang w:eastAsia="fr-FR"/>
        </w:rPr>
        <w:t xml:space="preserve"> работни дни.</w:t>
      </w:r>
      <w:r>
        <w:rPr>
          <w:lang w:eastAsia="fr-FR"/>
        </w:rPr>
        <w:t xml:space="preserve"> В случаите, когато УО не разполага със свободен лимит, служител от отдел „Финансово управление“  изготвя искане за средства към СО. Срокът за разпределяне на лимит започва да тече след получено писмено уведомление от НФ за одобрение и разпределение на лимит към УО.</w:t>
      </w:r>
    </w:p>
    <w:p w14:paraId="1AE84EED" w14:textId="77777777" w:rsidR="00121760" w:rsidRDefault="00121760" w:rsidP="00251D03">
      <w:r>
        <w:rPr>
          <w:lang w:eastAsia="fr-FR"/>
        </w:rPr>
        <w:t>Лимитите се разпределят от упълномощени със запо</w:t>
      </w:r>
      <w:r w:rsidR="00BC40B7">
        <w:rPr>
          <w:lang w:eastAsia="fr-FR"/>
        </w:rPr>
        <w:t xml:space="preserve">вед на министъра на транспорта </w:t>
      </w:r>
      <w:r>
        <w:rPr>
          <w:lang w:eastAsia="fr-FR"/>
        </w:rPr>
        <w:t xml:space="preserve">и съобщенията служители с право на </w:t>
      </w:r>
      <w:r w:rsidRPr="00984022">
        <w:rPr>
          <w:lang w:eastAsia="fr-FR"/>
        </w:rPr>
        <w:t xml:space="preserve"> разпореждане по код</w:t>
      </w:r>
      <w:r>
        <w:rPr>
          <w:lang w:eastAsia="fr-FR"/>
        </w:rPr>
        <w:t xml:space="preserve">ове в СЕБРА </w:t>
      </w:r>
      <w:r w:rsidRPr="00984022">
        <w:rPr>
          <w:lang w:eastAsia="fr-FR"/>
        </w:rPr>
        <w:t>в Българска народна банка (БНБ)</w:t>
      </w:r>
      <w:r>
        <w:rPr>
          <w:lang w:eastAsia="fr-FR"/>
        </w:rPr>
        <w:t>. УО уведомява бенефициентите за разпределения лимит по искане за плащане с писмо,</w:t>
      </w:r>
      <w:r w:rsidRPr="00BE3064">
        <w:rPr>
          <w:lang w:eastAsia="fr-FR"/>
        </w:rPr>
        <w:t xml:space="preserve"> </w:t>
      </w:r>
      <w:r>
        <w:rPr>
          <w:lang w:eastAsia="fr-FR"/>
        </w:rPr>
        <w:t xml:space="preserve">което се </w:t>
      </w:r>
      <w:r>
        <w:t xml:space="preserve">регистрира и изпраща до бенефициента от експерт в отдел „Финансово управление“ </w:t>
      </w:r>
      <w:r>
        <w:rPr>
          <w:lang w:val="x-none"/>
        </w:rPr>
        <w:t>в ИСУН</w:t>
      </w:r>
      <w:r>
        <w:t xml:space="preserve"> 2020</w:t>
      </w:r>
      <w:r w:rsidRPr="00726495">
        <w:rPr>
          <w:lang w:eastAsia="fr-FR"/>
        </w:rPr>
        <w:t xml:space="preserve"> </w:t>
      </w:r>
      <w:r w:rsidRPr="00B0775F">
        <w:rPr>
          <w:lang w:eastAsia="fr-FR"/>
        </w:rPr>
        <w:t xml:space="preserve">модул </w:t>
      </w:r>
      <w:r>
        <w:rPr>
          <w:lang w:eastAsia="fr-FR"/>
        </w:rPr>
        <w:t>„Договори“, подмодул „Кореспонденция“</w:t>
      </w:r>
      <w:r>
        <w:t xml:space="preserve"> в рамките на 1 работен ден от неговото издаване. </w:t>
      </w:r>
    </w:p>
    <w:p w14:paraId="5D28AC4B" w14:textId="77777777" w:rsidR="00121760" w:rsidRDefault="00121760" w:rsidP="00251D03">
      <w:r>
        <w:rPr>
          <w:lang w:val="x-none"/>
        </w:rPr>
        <w:t xml:space="preserve">В срок </w:t>
      </w:r>
      <w:r>
        <w:t xml:space="preserve">от </w:t>
      </w:r>
      <w:r>
        <w:rPr>
          <w:lang w:val="x-none"/>
        </w:rPr>
        <w:t xml:space="preserve">3 работни дни след извършване на плащане към бенефициента </w:t>
      </w:r>
      <w:r>
        <w:t>УО</w:t>
      </w:r>
      <w:r>
        <w:rPr>
          <w:lang w:val="x-none"/>
        </w:rPr>
        <w:t xml:space="preserve"> регистрира плащането в ИСУН</w:t>
      </w:r>
      <w:r>
        <w:t xml:space="preserve"> 2020. </w:t>
      </w:r>
    </w:p>
    <w:p w14:paraId="7C669D0C" w14:textId="77777777" w:rsidR="00121760" w:rsidRDefault="00121760" w:rsidP="00251D03">
      <w:r w:rsidRPr="009C2E4F">
        <w:t xml:space="preserve">Процедурата се повтаря в случай на частично предоставяне на лимит до размера на </w:t>
      </w:r>
      <w:r>
        <w:t>одобрената БФП по конкретно искане за плащане.</w:t>
      </w:r>
    </w:p>
    <w:p w14:paraId="07A3D378" w14:textId="77777777" w:rsidR="004C6D93" w:rsidRDefault="004C6D93" w:rsidP="004C6D93">
      <w:pPr>
        <w:tabs>
          <w:tab w:val="left" w:pos="540"/>
        </w:tabs>
        <w:spacing w:before="120"/>
        <w:rPr>
          <w:szCs w:val="24"/>
        </w:rPr>
      </w:pPr>
      <w:r>
        <w:rPr>
          <w:szCs w:val="24"/>
        </w:rPr>
        <w:t xml:space="preserve">Гореупоменатите срокове за процедиране на </w:t>
      </w:r>
      <w:r w:rsidRPr="00FF6A59">
        <w:rPr>
          <w:b/>
          <w:szCs w:val="24"/>
        </w:rPr>
        <w:t>искане за окончателно плащане</w:t>
      </w:r>
      <w:r>
        <w:rPr>
          <w:szCs w:val="24"/>
        </w:rPr>
        <w:t xml:space="preserve"> не включват сроковете за извършване на непланирана окончателна проверка на място от отдел „Изпълнение и координация“</w:t>
      </w:r>
      <w:r w:rsidRPr="007C0A61">
        <w:rPr>
          <w:szCs w:val="24"/>
        </w:rPr>
        <w:t xml:space="preserve"> </w:t>
      </w:r>
      <w:r>
        <w:rPr>
          <w:szCs w:val="24"/>
        </w:rPr>
        <w:t>и одобрение на доклада от извършената проверка от ръководителя на УО. Наличието на одобрен доклад от извършена окончателна проверка на място е задължително условие за верификация на разходите, докладвани в окончателно искане за плащане.</w:t>
      </w:r>
    </w:p>
    <w:p w14:paraId="32F44AAE" w14:textId="77777777" w:rsidR="000444CE" w:rsidRPr="001B0EA3" w:rsidRDefault="000444CE" w:rsidP="00F068A3">
      <w:pPr>
        <w:tabs>
          <w:tab w:val="left" w:pos="540"/>
        </w:tabs>
        <w:spacing w:before="120"/>
        <w:rPr>
          <w:b/>
          <w:color w:val="000000"/>
          <w:szCs w:val="24"/>
          <w:lang w:eastAsia="fr-FR"/>
        </w:rPr>
      </w:pPr>
      <w:r w:rsidRPr="001B0EA3">
        <w:rPr>
          <w:b/>
          <w:color w:val="000000"/>
          <w:szCs w:val="24"/>
          <w:lang w:eastAsia="fr-FR"/>
        </w:rPr>
        <w:t xml:space="preserve">Общият срок за процедиране и плащане на искания за междинни и окончателни плащания е </w:t>
      </w:r>
      <w:r w:rsidR="00B7670E">
        <w:rPr>
          <w:b/>
          <w:color w:val="000000"/>
          <w:szCs w:val="24"/>
          <w:lang w:eastAsia="fr-FR"/>
        </w:rPr>
        <w:t xml:space="preserve">до </w:t>
      </w:r>
      <w:r w:rsidRPr="001B0EA3">
        <w:rPr>
          <w:b/>
          <w:color w:val="000000"/>
          <w:szCs w:val="24"/>
          <w:lang w:eastAsia="fr-FR"/>
        </w:rPr>
        <w:t>90 календарни дни.</w:t>
      </w:r>
    </w:p>
    <w:p w14:paraId="60E1D5DE" w14:textId="77777777" w:rsidR="000444CE" w:rsidRPr="001B0EA3" w:rsidRDefault="00B7670E" w:rsidP="00F068A3">
      <w:pPr>
        <w:tabs>
          <w:tab w:val="left" w:pos="540"/>
        </w:tabs>
        <w:spacing w:before="120"/>
        <w:rPr>
          <w:color w:val="000000"/>
          <w:szCs w:val="24"/>
          <w:lang w:eastAsia="fr-FR"/>
        </w:rPr>
      </w:pPr>
      <w:r>
        <w:rPr>
          <w:color w:val="000000"/>
          <w:szCs w:val="24"/>
          <w:lang w:eastAsia="fr-FR"/>
        </w:rPr>
        <w:t>Р</w:t>
      </w:r>
      <w:r w:rsidR="000444CE" w:rsidRPr="001B0EA3">
        <w:rPr>
          <w:color w:val="000000"/>
          <w:szCs w:val="24"/>
          <w:lang w:eastAsia="fr-FR"/>
        </w:rPr>
        <w:t xml:space="preserve">азпечатка от ИСУН 2020 (Данни за SAP) за верифицираните разходи и одобрената БФП по искането за плащане, се предоставят на счетоводител от отдел „Финансово управление”. </w:t>
      </w:r>
    </w:p>
    <w:p w14:paraId="52D68BA0" w14:textId="77777777" w:rsidR="000444CE" w:rsidRPr="001B0EA3" w:rsidRDefault="000444CE" w:rsidP="00F068A3">
      <w:pPr>
        <w:tabs>
          <w:tab w:val="left" w:pos="540"/>
        </w:tabs>
        <w:spacing w:before="120"/>
        <w:rPr>
          <w:color w:val="000000"/>
          <w:szCs w:val="24"/>
          <w:lang w:eastAsia="fr-FR"/>
        </w:rPr>
      </w:pPr>
      <w:r w:rsidRPr="001B0EA3">
        <w:rPr>
          <w:color w:val="000000"/>
          <w:szCs w:val="24"/>
          <w:lang w:eastAsia="fr-FR"/>
        </w:rPr>
        <w:t xml:space="preserve">В случай, че УО на ОПТТИ е верифицирал и разпределил лимит по извършено окончателно плащане  по договор с изпълнител по даден проект </w:t>
      </w:r>
      <w:r w:rsidRPr="001B0EA3">
        <w:rPr>
          <w:color w:val="000000"/>
          <w:szCs w:val="24"/>
        </w:rPr>
        <w:t>и при</w:t>
      </w:r>
      <w:r w:rsidRPr="001B0EA3">
        <w:rPr>
          <w:color w:val="000000"/>
          <w:szCs w:val="24"/>
          <w:lang w:eastAsia="fr-FR"/>
        </w:rPr>
        <w:t xml:space="preserve"> </w:t>
      </w:r>
      <w:r w:rsidR="00B7670E" w:rsidRPr="00B7670E">
        <w:rPr>
          <w:color w:val="000000"/>
          <w:szCs w:val="24"/>
          <w:lang w:eastAsia="fr-FR"/>
        </w:rPr>
        <w:t>регистрирана нередност</w:t>
      </w:r>
      <w:r w:rsidRPr="001B0EA3">
        <w:rPr>
          <w:color w:val="000000"/>
          <w:szCs w:val="24"/>
          <w:lang w:eastAsia="fr-FR"/>
        </w:rPr>
        <w:t xml:space="preserve"> по същия договор, началник</w:t>
      </w:r>
      <w:r w:rsidR="00B7670E">
        <w:rPr>
          <w:color w:val="000000"/>
          <w:szCs w:val="24"/>
          <w:lang w:eastAsia="fr-FR"/>
        </w:rPr>
        <w:t>ът на</w:t>
      </w:r>
      <w:r w:rsidRPr="001B0EA3">
        <w:rPr>
          <w:color w:val="000000"/>
          <w:szCs w:val="24"/>
          <w:lang w:eastAsia="fr-FR"/>
        </w:rPr>
        <w:t xml:space="preserve"> отдел „Финансово управление“ изпраща на отдел „УРПАН“, с копие до главен счетоводител  </w:t>
      </w:r>
      <w:r w:rsidRPr="001B0EA3">
        <w:rPr>
          <w:szCs w:val="24"/>
        </w:rPr>
        <w:t>актуална информация относно:</w:t>
      </w:r>
    </w:p>
    <w:p w14:paraId="0BB75B22" w14:textId="77777777" w:rsidR="000444CE" w:rsidRPr="001B0EA3" w:rsidRDefault="000444CE" w:rsidP="00F068A3">
      <w:pPr>
        <w:shd w:val="clear" w:color="auto" w:fill="FEFEFE"/>
        <w:ind w:firstLine="709"/>
        <w:rPr>
          <w:szCs w:val="24"/>
        </w:rPr>
      </w:pPr>
      <w:r w:rsidRPr="001B0EA3">
        <w:rPr>
          <w:szCs w:val="24"/>
        </w:rPr>
        <w:t>1. Размера на нередността/ите по договора (ако е приложимо);</w:t>
      </w:r>
    </w:p>
    <w:p w14:paraId="142FF14F" w14:textId="77777777" w:rsidR="000444CE" w:rsidRPr="001B0EA3" w:rsidRDefault="000444CE" w:rsidP="00F068A3">
      <w:pPr>
        <w:shd w:val="clear" w:color="auto" w:fill="FEFEFE"/>
        <w:ind w:firstLine="709"/>
        <w:rPr>
          <w:szCs w:val="24"/>
        </w:rPr>
      </w:pPr>
      <w:r w:rsidRPr="001B0EA3">
        <w:rPr>
          <w:szCs w:val="24"/>
        </w:rPr>
        <w:t xml:space="preserve">2.Размера на наложената финансова корекция и на възстановените/прихванатите средства по нея. </w:t>
      </w:r>
    </w:p>
    <w:p w14:paraId="0E4921E5" w14:textId="77777777" w:rsidR="000444CE" w:rsidRPr="001B0EA3" w:rsidRDefault="000444CE" w:rsidP="00F068A3">
      <w:pPr>
        <w:shd w:val="clear" w:color="auto" w:fill="FEFEFE"/>
        <w:ind w:firstLine="709"/>
        <w:rPr>
          <w:szCs w:val="24"/>
        </w:rPr>
      </w:pPr>
    </w:p>
    <w:p w14:paraId="26A5F887" w14:textId="36E395C4" w:rsidR="000444CE" w:rsidRPr="001B0EA3" w:rsidRDefault="000444CE" w:rsidP="00F068A3">
      <w:pPr>
        <w:rPr>
          <w:color w:val="000000"/>
          <w:szCs w:val="24"/>
        </w:rPr>
      </w:pPr>
      <w:r w:rsidRPr="001B0EA3">
        <w:rPr>
          <w:szCs w:val="24"/>
        </w:rPr>
        <w:t xml:space="preserve">В 5-дневен срок  </w:t>
      </w:r>
      <w:r w:rsidRPr="001B0EA3">
        <w:rPr>
          <w:color w:val="000000"/>
          <w:szCs w:val="24"/>
        </w:rPr>
        <w:t>след получаване на уведомление от СО относно размера на сертифицираните разходи, е</w:t>
      </w:r>
      <w:r w:rsidR="00514FB4">
        <w:rPr>
          <w:color w:val="000000"/>
          <w:szCs w:val="24"/>
        </w:rPr>
        <w:t>ксперт ФУ изпраща на отдел УР</w:t>
      </w:r>
      <w:r w:rsidR="00514FB4" w:rsidRPr="00514FB4" w:rsidDel="008C1156">
        <w:rPr>
          <w:color w:val="000000"/>
          <w:szCs w:val="24"/>
        </w:rPr>
        <w:t xml:space="preserve"> </w:t>
      </w:r>
      <w:r w:rsidRPr="001B0EA3">
        <w:rPr>
          <w:color w:val="000000"/>
          <w:szCs w:val="24"/>
        </w:rPr>
        <w:t>по електронната поща информация за десертифицираните разходи във връзка с наложени финансови корекции по договори включени в ДСДДР.</w:t>
      </w:r>
    </w:p>
    <w:p w14:paraId="483C1E92" w14:textId="77777777" w:rsidR="000444CE" w:rsidRPr="001B0EA3" w:rsidRDefault="000444CE" w:rsidP="00F068A3">
      <w:pPr>
        <w:shd w:val="clear" w:color="auto" w:fill="FEFEFE"/>
        <w:ind w:firstLine="709"/>
        <w:rPr>
          <w:szCs w:val="24"/>
        </w:rPr>
      </w:pPr>
    </w:p>
    <w:p w14:paraId="456DA47A" w14:textId="77777777" w:rsidR="000444CE" w:rsidRPr="001B0EA3" w:rsidRDefault="000444CE" w:rsidP="00F068A3">
      <w:pPr>
        <w:tabs>
          <w:tab w:val="left" w:pos="540"/>
        </w:tabs>
        <w:spacing w:before="120"/>
        <w:rPr>
          <w:color w:val="000000"/>
          <w:szCs w:val="24"/>
          <w:lang w:eastAsia="fr-FR"/>
        </w:rPr>
      </w:pPr>
      <w:r w:rsidRPr="001B0EA3">
        <w:rPr>
          <w:color w:val="000000"/>
          <w:szCs w:val="24"/>
          <w:lang w:eastAsia="fr-FR"/>
        </w:rPr>
        <w:t xml:space="preserve">УО, по своя преценка, може да не извършва управленски проверки за верифициране на разходи за заплати, дължими осигуровки и командировки, потвърдени и отчетени от бенефициентите по смисъла на параграф 1, т. 6 от ДР на ПМС № 107/2014 в искания за плащане, в случай, че такъв разход вече е бил проверен от УО и по него не са установени пропуски. </w:t>
      </w:r>
    </w:p>
    <w:p w14:paraId="1A4BA335" w14:textId="77777777" w:rsidR="00B7670E" w:rsidRDefault="00B7670E" w:rsidP="00F068A3">
      <w:pPr>
        <w:tabs>
          <w:tab w:val="left" w:pos="540"/>
        </w:tabs>
        <w:spacing w:before="120"/>
        <w:rPr>
          <w:color w:val="000000"/>
          <w:szCs w:val="24"/>
          <w:lang w:eastAsia="fr-FR"/>
        </w:rPr>
      </w:pPr>
      <w:r w:rsidRPr="00B7670E">
        <w:rPr>
          <w:color w:val="000000"/>
          <w:szCs w:val="24"/>
          <w:lang w:eastAsia="fr-FR"/>
        </w:rPr>
        <w:lastRenderedPageBreak/>
        <w:t>След извършване на окончателното плащане по даден проект, в срок до 5 работни дни от плащането, началникът на отдел „Финансово управление” уведомява с писмо началника на отдел „Програмиране” (с копие до началника на отдел Изпълнение и координация“) за пълния размер на верифицираните и изплатени средства по проекта.</w:t>
      </w:r>
    </w:p>
    <w:p w14:paraId="62C0D549" w14:textId="77777777" w:rsidR="000444CE" w:rsidRPr="001B0EA3" w:rsidRDefault="000444CE" w:rsidP="00F068A3">
      <w:pPr>
        <w:tabs>
          <w:tab w:val="left" w:pos="540"/>
        </w:tabs>
        <w:spacing w:before="120"/>
        <w:rPr>
          <w:szCs w:val="24"/>
        </w:rPr>
      </w:pPr>
      <w:r w:rsidRPr="001B0EA3">
        <w:rPr>
          <w:szCs w:val="24"/>
        </w:rPr>
        <w:t xml:space="preserve"> </w:t>
      </w:r>
    </w:p>
    <w:p w14:paraId="1AC331BB" w14:textId="77777777" w:rsidR="000444CE" w:rsidRPr="00842ECC" w:rsidRDefault="000444CE" w:rsidP="00223233">
      <w:pPr>
        <w:pStyle w:val="Style4"/>
        <w:rPr>
          <w:lang w:val="bg-BG"/>
        </w:rPr>
      </w:pPr>
      <w:r w:rsidRPr="00842ECC">
        <w:rPr>
          <w:lang w:val="bg-BG"/>
        </w:rPr>
        <w:t xml:space="preserve"> </w:t>
      </w:r>
      <w:bookmarkStart w:id="1140" w:name="_Toc479775712"/>
      <w:r w:rsidRPr="00842ECC">
        <w:rPr>
          <w:lang w:val="bg-BG"/>
        </w:rPr>
        <w:t>Верифициране на разходи по проекти с бенефициент УО по ОПТТИ</w:t>
      </w:r>
      <w:bookmarkEnd w:id="1140"/>
    </w:p>
    <w:p w14:paraId="4D578F1A" w14:textId="77777777" w:rsidR="00B7670E" w:rsidRDefault="000444CE" w:rsidP="00F068A3">
      <w:pPr>
        <w:tabs>
          <w:tab w:val="left" w:pos="540"/>
        </w:tabs>
        <w:spacing w:before="120"/>
        <w:rPr>
          <w:color w:val="000000"/>
          <w:szCs w:val="24"/>
          <w:lang w:eastAsia="fr-FR"/>
        </w:rPr>
      </w:pPr>
      <w:r w:rsidRPr="001B0EA3">
        <w:rPr>
          <w:color w:val="000000"/>
          <w:szCs w:val="24"/>
          <w:lang w:eastAsia="fr-FR"/>
        </w:rPr>
        <w:t xml:space="preserve">За проекти по които УО е бенефициент </w:t>
      </w:r>
      <w:r w:rsidR="00B7670E" w:rsidRPr="00B7670E">
        <w:rPr>
          <w:color w:val="000000"/>
          <w:szCs w:val="24"/>
          <w:lang w:eastAsia="fr-FR"/>
        </w:rPr>
        <w:t>експертите в ЗИП въвеждат в ИСУН 2020 финансов отчет, искане за плащане и техничеки отчет като се прикачват сканирани копия на всички разходооправдателни и други документи, доказващи докладваните разходи, контролни листове и други релевантни документи. Прикачените документи следват структурата за въвеждане съгласно т. 25.3.4.</w:t>
      </w:r>
      <w:r w:rsidRPr="001B0EA3">
        <w:rPr>
          <w:color w:val="000000"/>
          <w:szCs w:val="24"/>
          <w:lang w:eastAsia="fr-FR"/>
        </w:rPr>
        <w:t xml:space="preserve"> </w:t>
      </w:r>
    </w:p>
    <w:p w14:paraId="3319ACD1" w14:textId="77777777" w:rsidR="000444CE" w:rsidRPr="001B0EA3" w:rsidRDefault="000444CE" w:rsidP="00F068A3">
      <w:pPr>
        <w:tabs>
          <w:tab w:val="left" w:pos="540"/>
        </w:tabs>
        <w:spacing w:before="120"/>
        <w:rPr>
          <w:color w:val="000000"/>
          <w:szCs w:val="24"/>
          <w:lang w:eastAsia="fr-FR"/>
        </w:rPr>
      </w:pPr>
      <w:r w:rsidRPr="001B0EA3">
        <w:rPr>
          <w:color w:val="000000"/>
          <w:szCs w:val="24"/>
          <w:lang w:eastAsia="fr-FR"/>
        </w:rPr>
        <w:t>Верификацията на разходите по тези проекти</w:t>
      </w:r>
      <w:r w:rsidR="00106746" w:rsidRPr="001B0EA3">
        <w:rPr>
          <w:color w:val="000000"/>
          <w:szCs w:val="24"/>
          <w:lang w:eastAsia="fr-FR"/>
        </w:rPr>
        <w:t xml:space="preserve"> </w:t>
      </w:r>
      <w:r w:rsidRPr="001B0EA3">
        <w:rPr>
          <w:color w:val="000000"/>
          <w:szCs w:val="24"/>
          <w:lang w:eastAsia="fr-FR"/>
        </w:rPr>
        <w:t xml:space="preserve">се извършва от външен верификатор - специализирано одиторско предприятие/предприятие на регистрирани одитори или регистриран одитор по Закона за независим финансов одит (ЗНФО). С цел гарантиране на разделението на отговорностите и спазване на достатъчно и надеждно ниво на контрол, функциите на разплащане и счетоводния процес на бенефициента са организирани като част от </w:t>
      </w:r>
      <w:r w:rsidR="00BB6BF6">
        <w:rPr>
          <w:color w:val="000000"/>
          <w:szCs w:val="24"/>
          <w:lang w:eastAsia="fr-FR"/>
        </w:rPr>
        <w:t>Министерство на транспорта и съобщенията</w:t>
      </w:r>
      <w:r w:rsidRPr="001B0EA3">
        <w:rPr>
          <w:color w:val="000000"/>
          <w:szCs w:val="24"/>
          <w:lang w:eastAsia="fr-FR"/>
        </w:rPr>
        <w:t>, в което се намира УО.</w:t>
      </w:r>
    </w:p>
    <w:p w14:paraId="7B0795A1" w14:textId="77777777" w:rsidR="000444CE" w:rsidRPr="001B0EA3" w:rsidRDefault="000444CE" w:rsidP="00F068A3">
      <w:pPr>
        <w:tabs>
          <w:tab w:val="left" w:pos="540"/>
        </w:tabs>
        <w:spacing w:before="120"/>
        <w:rPr>
          <w:color w:val="000000"/>
          <w:szCs w:val="24"/>
          <w:lang w:eastAsia="fr-FR"/>
        </w:rPr>
      </w:pPr>
      <w:r w:rsidRPr="001B0EA3">
        <w:rPr>
          <w:color w:val="000000"/>
          <w:szCs w:val="24"/>
          <w:lang w:eastAsia="fr-FR"/>
        </w:rPr>
        <w:t>Процесът на верификация на разходите по проекти с бенефициент</w:t>
      </w:r>
      <w:r w:rsidRPr="001B0EA3" w:rsidDel="00AD51C8">
        <w:rPr>
          <w:color w:val="000000"/>
          <w:szCs w:val="24"/>
          <w:lang w:eastAsia="fr-FR"/>
        </w:rPr>
        <w:t xml:space="preserve"> </w:t>
      </w:r>
      <w:r w:rsidRPr="001B0EA3">
        <w:rPr>
          <w:color w:val="000000"/>
          <w:szCs w:val="24"/>
          <w:lang w:eastAsia="fr-FR"/>
        </w:rPr>
        <w:t>УО на ОПТТИ се осъществява по следната схема:</w:t>
      </w:r>
    </w:p>
    <w:p w14:paraId="6D043B2B" w14:textId="77777777" w:rsidR="000444CE" w:rsidRPr="001B0EA3" w:rsidRDefault="000444CE" w:rsidP="00D82A8E">
      <w:pPr>
        <w:pStyle w:val="ListParagraph"/>
        <w:numPr>
          <w:ilvl w:val="0"/>
          <w:numId w:val="262"/>
        </w:numPr>
        <w:tabs>
          <w:tab w:val="left" w:pos="993"/>
        </w:tabs>
        <w:ind w:left="0" w:firstLine="648"/>
        <w:rPr>
          <w:szCs w:val="24"/>
        </w:rPr>
      </w:pPr>
      <w:r w:rsidRPr="001B0EA3">
        <w:rPr>
          <w:color w:val="000000"/>
          <w:szCs w:val="24"/>
        </w:rPr>
        <w:t>ЗИП потвърждава разходите по проекта</w:t>
      </w:r>
      <w:r w:rsidR="0025413D" w:rsidRPr="001B0EA3">
        <w:rPr>
          <w:color w:val="000000"/>
          <w:szCs w:val="24"/>
        </w:rPr>
        <w:t xml:space="preserve"> </w:t>
      </w:r>
      <w:r w:rsidRPr="001B0EA3">
        <w:rPr>
          <w:color w:val="000000"/>
          <w:szCs w:val="24"/>
        </w:rPr>
        <w:t xml:space="preserve">и </w:t>
      </w:r>
      <w:r w:rsidRPr="001B0EA3">
        <w:rPr>
          <w:szCs w:val="24"/>
        </w:rPr>
        <w:t xml:space="preserve">попълва контролен лист за потвърждаване на разходите по проекти за техническа помощ с бенефициент УО </w:t>
      </w:r>
      <w:r w:rsidRPr="001B0EA3">
        <w:rPr>
          <w:b/>
          <w:szCs w:val="24"/>
        </w:rPr>
        <w:t>(</w:t>
      </w:r>
      <w:hyperlink r:id="rId183" w:tooltip="Контролен лист за верифициране на разходите при изпълнение на проекти/бюджетни линии по приоритетна ос " w:history="1">
        <w:r w:rsidR="000F3221" w:rsidRPr="00251D03">
          <w:rPr>
            <w:i/>
            <w:iCs/>
            <w:color w:val="0000FF"/>
            <w:szCs w:val="24"/>
            <w:u w:val="single"/>
            <w:lang w:eastAsia="bg-BG"/>
          </w:rPr>
          <w:t>Приложение № 5.05</w:t>
        </w:r>
      </w:hyperlink>
      <w:r w:rsidRPr="001B0EA3">
        <w:rPr>
          <w:b/>
          <w:szCs w:val="24"/>
        </w:rPr>
        <w:t>),</w:t>
      </w:r>
      <w:r w:rsidRPr="001B0EA3">
        <w:rPr>
          <w:szCs w:val="24"/>
        </w:rPr>
        <w:t xml:space="preserve"> когато за проектите има сключени договори за изпълнение. В останалите случаи, поради спецификата на някои проекти, с бенефициент УО, </w:t>
      </w:r>
      <w:hyperlink r:id="rId184" w:tooltip="Контролен лист за верифициране на разходите при изпълнение на проекти/бюджетни линии по приоритетна ос " w:history="1">
        <w:r w:rsidR="000F3221" w:rsidRPr="00251D03">
          <w:rPr>
            <w:i/>
            <w:iCs/>
            <w:color w:val="0000FF"/>
            <w:szCs w:val="24"/>
            <w:u w:val="single"/>
            <w:lang w:eastAsia="bg-BG"/>
          </w:rPr>
          <w:t>Приложение № 5.05</w:t>
        </w:r>
      </w:hyperlink>
      <w:r w:rsidRPr="001B0EA3">
        <w:rPr>
          <w:szCs w:val="24"/>
        </w:rPr>
        <w:t xml:space="preserve"> не се попълва. Преди одобрение на разходите, финансовия контрольор извършва съответните проверки, съгласно контролен лист по </w:t>
      </w:r>
      <w:r w:rsidRPr="001B0EA3">
        <w:rPr>
          <w:color w:val="000000"/>
          <w:szCs w:val="24"/>
          <w:lang w:eastAsia="fr-FR"/>
        </w:rPr>
        <w:t>стандартен</w:t>
      </w:r>
      <w:r w:rsidRPr="001B0EA3">
        <w:rPr>
          <w:szCs w:val="24"/>
        </w:rPr>
        <w:t xml:space="preserve"> формат (прилаган съгласно вътрешните правила на министерството). </w:t>
      </w:r>
    </w:p>
    <w:p w14:paraId="565EE039" w14:textId="77777777" w:rsidR="000444CE" w:rsidRPr="001B0EA3" w:rsidRDefault="00B7670E" w:rsidP="00251D03">
      <w:pPr>
        <w:pStyle w:val="ListParagraph"/>
        <w:numPr>
          <w:ilvl w:val="0"/>
          <w:numId w:val="262"/>
        </w:numPr>
        <w:tabs>
          <w:tab w:val="left" w:pos="993"/>
        </w:tabs>
        <w:ind w:left="0" w:firstLine="648"/>
        <w:rPr>
          <w:color w:val="000000"/>
          <w:szCs w:val="24"/>
        </w:rPr>
      </w:pPr>
      <w:r>
        <w:rPr>
          <w:color w:val="000000"/>
          <w:szCs w:val="24"/>
        </w:rPr>
        <w:t>Ф</w:t>
      </w:r>
      <w:r w:rsidR="000444CE" w:rsidRPr="001B0EA3">
        <w:rPr>
          <w:color w:val="000000"/>
          <w:szCs w:val="24"/>
        </w:rPr>
        <w:t xml:space="preserve">инансов експерт от ЗИП </w:t>
      </w:r>
      <w:r w:rsidRPr="00B7670E">
        <w:rPr>
          <w:color w:val="000000"/>
          <w:szCs w:val="24"/>
        </w:rPr>
        <w:t xml:space="preserve">изготвя и въвежда в ИСУН 2020 финансов отчет и </w:t>
      </w:r>
      <w:r w:rsidR="000444CE" w:rsidRPr="001B0EA3">
        <w:rPr>
          <w:color w:val="000000"/>
          <w:szCs w:val="24"/>
        </w:rPr>
        <w:t xml:space="preserve">искане за плащане. </w:t>
      </w:r>
    </w:p>
    <w:p w14:paraId="10CCD170" w14:textId="77777777" w:rsidR="00D82A8E" w:rsidRDefault="0025413D" w:rsidP="00251D03">
      <w:pPr>
        <w:pStyle w:val="ListParagraph"/>
        <w:numPr>
          <w:ilvl w:val="0"/>
          <w:numId w:val="262"/>
        </w:numPr>
        <w:tabs>
          <w:tab w:val="left" w:pos="993"/>
        </w:tabs>
        <w:ind w:left="0" w:firstLine="648"/>
        <w:rPr>
          <w:color w:val="000000"/>
          <w:szCs w:val="24"/>
        </w:rPr>
      </w:pPr>
      <w:r w:rsidRPr="001B0EA3">
        <w:rPr>
          <w:color w:val="000000"/>
          <w:szCs w:val="24"/>
        </w:rPr>
        <w:t>Технически</w:t>
      </w:r>
      <w:r w:rsidR="000444CE" w:rsidRPr="001B0EA3">
        <w:rPr>
          <w:color w:val="000000"/>
          <w:szCs w:val="24"/>
        </w:rPr>
        <w:t xml:space="preserve"> експерт </w:t>
      </w:r>
      <w:r w:rsidR="00D82A8E">
        <w:rPr>
          <w:color w:val="000000"/>
          <w:szCs w:val="24"/>
        </w:rPr>
        <w:t>от</w:t>
      </w:r>
      <w:r w:rsidR="00D82A8E" w:rsidRPr="001B0EA3">
        <w:rPr>
          <w:color w:val="000000"/>
          <w:szCs w:val="24"/>
        </w:rPr>
        <w:t xml:space="preserve"> </w:t>
      </w:r>
      <w:r w:rsidR="000444CE" w:rsidRPr="001B0EA3">
        <w:rPr>
          <w:color w:val="000000"/>
          <w:szCs w:val="24"/>
        </w:rPr>
        <w:t xml:space="preserve">ЗИП </w:t>
      </w:r>
      <w:r w:rsidR="00D82A8E" w:rsidRPr="00D82A8E">
        <w:rPr>
          <w:color w:val="000000"/>
          <w:szCs w:val="24"/>
        </w:rPr>
        <w:t>изготвя и във</w:t>
      </w:r>
      <w:r w:rsidR="00D82A8E">
        <w:rPr>
          <w:color w:val="000000"/>
          <w:szCs w:val="24"/>
        </w:rPr>
        <w:t>е</w:t>
      </w:r>
      <w:r w:rsidR="00D82A8E" w:rsidRPr="00D82A8E">
        <w:rPr>
          <w:color w:val="000000"/>
          <w:szCs w:val="24"/>
        </w:rPr>
        <w:t>жда в ИСУН 2020 технически отчет</w:t>
      </w:r>
      <w:r w:rsidR="00D82A8E">
        <w:rPr>
          <w:color w:val="000000"/>
          <w:szCs w:val="24"/>
        </w:rPr>
        <w:t>.</w:t>
      </w:r>
      <w:r w:rsidR="00D82A8E" w:rsidRPr="00D82A8E" w:rsidDel="00D82A8E">
        <w:rPr>
          <w:color w:val="000000"/>
          <w:szCs w:val="24"/>
        </w:rPr>
        <w:t xml:space="preserve"> </w:t>
      </w:r>
    </w:p>
    <w:p w14:paraId="1C8B6A4A" w14:textId="77777777" w:rsidR="002D5B62" w:rsidRDefault="002D5B62" w:rsidP="00251D03">
      <w:pPr>
        <w:tabs>
          <w:tab w:val="left" w:pos="709"/>
        </w:tabs>
        <w:rPr>
          <w:color w:val="000000"/>
          <w:szCs w:val="24"/>
        </w:rPr>
      </w:pPr>
    </w:p>
    <w:p w14:paraId="2B795FFE" w14:textId="77777777" w:rsidR="000444CE" w:rsidRPr="001B0EA3" w:rsidRDefault="000444CE" w:rsidP="00251D03">
      <w:pPr>
        <w:tabs>
          <w:tab w:val="left" w:pos="709"/>
        </w:tabs>
        <w:rPr>
          <w:color w:val="000000"/>
          <w:szCs w:val="24"/>
        </w:rPr>
      </w:pPr>
      <w:r w:rsidRPr="001B0EA3">
        <w:rPr>
          <w:szCs w:val="24"/>
        </w:rPr>
        <w:t xml:space="preserve">За подадено се счита искане, което е </w:t>
      </w:r>
      <w:r w:rsidRPr="001B0EA3">
        <w:rPr>
          <w:color w:val="000000"/>
          <w:szCs w:val="24"/>
        </w:rPr>
        <w:t>регистрирано</w:t>
      </w:r>
      <w:r w:rsidR="0050698B" w:rsidRPr="0050698B">
        <w:rPr>
          <w:color w:val="000000"/>
          <w:szCs w:val="24"/>
        </w:rPr>
        <w:t xml:space="preserve"> (изпратено)</w:t>
      </w:r>
      <w:r w:rsidRPr="001B0EA3">
        <w:rPr>
          <w:color w:val="000000"/>
          <w:szCs w:val="24"/>
        </w:rPr>
        <w:t xml:space="preserve"> в ИСУН 2020, </w:t>
      </w:r>
      <w:r w:rsidRPr="001B0EA3">
        <w:rPr>
          <w:szCs w:val="24"/>
        </w:rPr>
        <w:t xml:space="preserve">модул „Мониторинг и финансов контрол“, подмодул „Мониторинг на пакет отчетни документи“. </w:t>
      </w:r>
    </w:p>
    <w:p w14:paraId="6A645535" w14:textId="77777777" w:rsidR="000444CE" w:rsidRPr="001B0EA3" w:rsidRDefault="000444CE" w:rsidP="00251D03">
      <w:pPr>
        <w:pStyle w:val="ListParagraph"/>
        <w:numPr>
          <w:ilvl w:val="0"/>
          <w:numId w:val="262"/>
        </w:numPr>
        <w:tabs>
          <w:tab w:val="left" w:pos="993"/>
        </w:tabs>
        <w:ind w:left="0" w:firstLine="648"/>
        <w:rPr>
          <w:color w:val="000000"/>
          <w:szCs w:val="24"/>
        </w:rPr>
      </w:pPr>
      <w:r w:rsidRPr="001B0EA3">
        <w:rPr>
          <w:color w:val="000000"/>
          <w:szCs w:val="24"/>
        </w:rPr>
        <w:t xml:space="preserve">верификацията на разходите се извършва от външен верификатор, който </w:t>
      </w:r>
      <w:r w:rsidRPr="001B0EA3" w:rsidDel="007813AB">
        <w:rPr>
          <w:color w:val="000000"/>
          <w:szCs w:val="24"/>
        </w:rPr>
        <w:t xml:space="preserve"> </w:t>
      </w:r>
    </w:p>
    <w:p w14:paraId="2625CC77" w14:textId="77777777" w:rsidR="000444CE" w:rsidRPr="001B0EA3" w:rsidRDefault="000444CE" w:rsidP="0054623A">
      <w:pPr>
        <w:pStyle w:val="ListParagraph"/>
        <w:numPr>
          <w:ilvl w:val="0"/>
          <w:numId w:val="261"/>
        </w:numPr>
        <w:spacing w:after="120"/>
        <w:ind w:left="0" w:firstLine="1211"/>
        <w:rPr>
          <w:color w:val="000000"/>
          <w:szCs w:val="24"/>
        </w:rPr>
      </w:pPr>
      <w:r w:rsidRPr="001B0EA3">
        <w:rPr>
          <w:color w:val="000000"/>
          <w:szCs w:val="24"/>
        </w:rPr>
        <w:t xml:space="preserve">извършва документална проверка на искането за плащане, на представените разходооправдателни документи (фактури/други разходооправдателни документи с еквивалентна доказателствена стойност и на реферираните в тях документи, доказващи основателността за извършване на разхода), документи за извършване на плащания и документи от счетоводната система на бенефициента. </w:t>
      </w:r>
    </w:p>
    <w:p w14:paraId="1321AE86" w14:textId="77777777" w:rsidR="000444CE" w:rsidRPr="00251D03" w:rsidRDefault="000444CE" w:rsidP="00251D03">
      <w:pPr>
        <w:pStyle w:val="ListParagraph"/>
        <w:numPr>
          <w:ilvl w:val="0"/>
          <w:numId w:val="261"/>
        </w:numPr>
        <w:spacing w:after="120"/>
        <w:ind w:left="0" w:firstLine="1211"/>
        <w:rPr>
          <w:color w:val="000000"/>
          <w:szCs w:val="24"/>
        </w:rPr>
      </w:pPr>
      <w:r w:rsidRPr="00251D03">
        <w:rPr>
          <w:color w:val="000000"/>
          <w:szCs w:val="24"/>
        </w:rPr>
        <w:t xml:space="preserve">извършва документална проверка на представените към искане за плащане документи, доказващи изпълнените работи/дейности по проекта и тяхната съотносимост към докладваните за верификация разходи в искането за плащане. </w:t>
      </w:r>
    </w:p>
    <w:p w14:paraId="0E31147D" w14:textId="77777777" w:rsidR="000444CE" w:rsidRPr="001B0EA3" w:rsidRDefault="000444CE" w:rsidP="00251D03">
      <w:pPr>
        <w:pStyle w:val="ListParagraph"/>
        <w:numPr>
          <w:ilvl w:val="0"/>
          <w:numId w:val="261"/>
        </w:numPr>
        <w:spacing w:after="120"/>
        <w:ind w:left="0" w:firstLine="1211"/>
        <w:rPr>
          <w:color w:val="000000"/>
          <w:szCs w:val="24"/>
        </w:rPr>
      </w:pPr>
      <w:r w:rsidRPr="00251D03">
        <w:rPr>
          <w:color w:val="000000"/>
          <w:szCs w:val="24"/>
        </w:rPr>
        <w:t xml:space="preserve">проверка за допустимост на докладваните разходи, и дали същите са одобрени за финансиране по проекта. </w:t>
      </w:r>
    </w:p>
    <w:p w14:paraId="0BEBAFAB" w14:textId="77777777" w:rsidR="00D82A8E" w:rsidRPr="00D82A8E" w:rsidRDefault="00D82A8E" w:rsidP="00251D03">
      <w:pPr>
        <w:pStyle w:val="ListParagraph"/>
        <w:numPr>
          <w:ilvl w:val="0"/>
          <w:numId w:val="261"/>
        </w:numPr>
        <w:spacing w:after="120"/>
        <w:ind w:left="0" w:firstLine="1211"/>
        <w:rPr>
          <w:color w:val="000000"/>
          <w:szCs w:val="24"/>
        </w:rPr>
      </w:pPr>
      <w:r w:rsidRPr="00D82A8E">
        <w:rPr>
          <w:color w:val="000000"/>
          <w:szCs w:val="24"/>
        </w:rPr>
        <w:t>проверява техническите отчети по проекта и верифицира докладваните индикатори за изпълнение и резултати;</w:t>
      </w:r>
    </w:p>
    <w:p w14:paraId="6BBEE5B2" w14:textId="77777777" w:rsidR="000444CE" w:rsidRPr="001B0EA3" w:rsidRDefault="000444CE" w:rsidP="00251D03">
      <w:pPr>
        <w:pStyle w:val="ListParagraph"/>
        <w:numPr>
          <w:ilvl w:val="0"/>
          <w:numId w:val="261"/>
        </w:numPr>
        <w:spacing w:after="120"/>
        <w:ind w:left="0" w:firstLine="1211"/>
        <w:rPr>
          <w:color w:val="000000"/>
          <w:szCs w:val="24"/>
        </w:rPr>
      </w:pPr>
      <w:r w:rsidRPr="001B0EA3">
        <w:rPr>
          <w:color w:val="000000"/>
          <w:szCs w:val="24"/>
        </w:rPr>
        <w:t xml:space="preserve">верификаторът може да извършва проверка на място по време на изпълнението на проекта и в процеса на проверката на документите по проекта. Целта на тази проверка на място е да се установи степента на съответствие между декларираното от бенефициента в исканията за плащане и докладите за напредъка и реалното изпълнение на дейностите по </w:t>
      </w:r>
      <w:r w:rsidRPr="001B0EA3">
        <w:rPr>
          <w:color w:val="000000"/>
          <w:szCs w:val="24"/>
        </w:rPr>
        <w:lastRenderedPageBreak/>
        <w:t>проекта. При подадено искане за окончателно плащане, външният верификатор задължително извършва проверка на място.</w:t>
      </w:r>
    </w:p>
    <w:p w14:paraId="157ECECF" w14:textId="77777777" w:rsidR="000444CE" w:rsidRPr="001B0EA3" w:rsidRDefault="000444CE" w:rsidP="00F068A3">
      <w:pPr>
        <w:tabs>
          <w:tab w:val="left" w:pos="540"/>
        </w:tabs>
        <w:spacing w:before="120"/>
        <w:rPr>
          <w:color w:val="000000"/>
          <w:szCs w:val="24"/>
          <w:lang w:eastAsia="fr-FR"/>
        </w:rPr>
      </w:pPr>
      <w:r w:rsidRPr="001B0EA3">
        <w:rPr>
          <w:color w:val="000000"/>
          <w:szCs w:val="24"/>
          <w:lang w:eastAsia="fr-FR"/>
        </w:rPr>
        <w:t>С цел избягване на конфликт на интереси в случаите, в които се касае за изпълнението на гореописаните дейности по проект, по който се финансират разходите на самото специализираното одиторско предприятие/предприятие на регистрирани одитори или регистрирания одитор, дейностите на верификатора се изпълняват от служители, определени със заповед на ръководителя на УО.</w:t>
      </w:r>
    </w:p>
    <w:p w14:paraId="3CD09977" w14:textId="77777777" w:rsidR="003D37CC" w:rsidRPr="001B0EA3" w:rsidRDefault="003D37CC" w:rsidP="003D37CC">
      <w:pPr>
        <w:tabs>
          <w:tab w:val="left" w:pos="540"/>
        </w:tabs>
        <w:spacing w:before="120"/>
        <w:rPr>
          <w:color w:val="000000"/>
          <w:szCs w:val="24"/>
          <w:lang w:eastAsia="fr-FR"/>
        </w:rPr>
      </w:pPr>
      <w:r w:rsidRPr="001B0EA3">
        <w:rPr>
          <w:color w:val="000000"/>
          <w:szCs w:val="24"/>
          <w:lang w:eastAsia="fr-FR"/>
        </w:rPr>
        <w:t>Ако при проверка на документацията по проекта верификаторът установи пропуски или необходимост от допълнителни документи и/или информация, в рамките на 3 работни дни писмено уведомява ЗИП по ел</w:t>
      </w:r>
      <w:r>
        <w:rPr>
          <w:color w:val="000000"/>
          <w:szCs w:val="24"/>
          <w:lang w:eastAsia="fr-FR"/>
        </w:rPr>
        <w:t>ектронна</w:t>
      </w:r>
      <w:r w:rsidRPr="001B0EA3">
        <w:rPr>
          <w:color w:val="000000"/>
          <w:szCs w:val="24"/>
          <w:lang w:eastAsia="fr-FR"/>
        </w:rPr>
        <w:t xml:space="preserve"> поща. В тези случаи срокът за верификация /одобрение на исканията за плащане се прекъсва до представяне на изисканата информация и/или документи, но за не повече от 1 месец.</w:t>
      </w:r>
    </w:p>
    <w:p w14:paraId="299C41E6" w14:textId="77777777" w:rsidR="004D7424" w:rsidRDefault="003D37CC" w:rsidP="004D7424">
      <w:pPr>
        <w:tabs>
          <w:tab w:val="left" w:pos="1560"/>
        </w:tabs>
        <w:ind w:firstLine="0"/>
        <w:rPr>
          <w:b/>
        </w:rPr>
      </w:pPr>
      <w:r>
        <w:t xml:space="preserve">               </w:t>
      </w:r>
      <w:r w:rsidR="004D7424">
        <w:t xml:space="preserve">Проверките на външния верификатор </w:t>
      </w:r>
      <w:r w:rsidR="004D7424" w:rsidRPr="00A15117">
        <w:t>се оформят като първи контрол в контролен лист</w:t>
      </w:r>
      <w:r w:rsidR="004D7424">
        <w:t>, регистриран електронно в ИСУН 2020</w:t>
      </w:r>
      <w:r w:rsidR="004D7424" w:rsidRPr="00842ECC">
        <w:t xml:space="preserve"> (</w:t>
      </w:r>
      <w:r w:rsidR="004D7424" w:rsidRPr="00AE1F0D">
        <w:t>Приложение № 5.01.2.</w:t>
      </w:r>
      <w:r w:rsidR="004D7424" w:rsidRPr="00842ECC">
        <w:t>2</w:t>
      </w:r>
      <w:r w:rsidR="004D7424" w:rsidRPr="00AE1F0D">
        <w:t>, Приложение № 5.01.3.</w:t>
      </w:r>
      <w:r w:rsidR="004D7424" w:rsidRPr="00842ECC">
        <w:t>2)</w:t>
      </w:r>
      <w:r w:rsidR="004D7424" w:rsidRPr="00AE1F0D">
        <w:t>.</w:t>
      </w:r>
      <w:r w:rsidR="004D7424">
        <w:t xml:space="preserve"> Към контролния лист задължително са прилага и </w:t>
      </w:r>
      <w:r w:rsidR="004D7424">
        <w:rPr>
          <w:color w:val="000000"/>
          <w:szCs w:val="24"/>
          <w:lang w:eastAsia="fr-FR"/>
        </w:rPr>
        <w:t>д</w:t>
      </w:r>
      <w:r w:rsidR="004D7424" w:rsidRPr="003F0B27">
        <w:rPr>
          <w:color w:val="000000"/>
          <w:szCs w:val="24"/>
          <w:lang w:eastAsia="fr-FR"/>
        </w:rPr>
        <w:t>оклад за фактическите констатации от извършена верификация на разходите</w:t>
      </w:r>
      <w:r w:rsidR="004D7424" w:rsidRPr="003F0B27">
        <w:rPr>
          <w:b/>
        </w:rPr>
        <w:t>.pdf</w:t>
      </w:r>
      <w:r w:rsidR="004D7424">
        <w:rPr>
          <w:b/>
        </w:rPr>
        <w:t>.</w:t>
      </w:r>
    </w:p>
    <w:p w14:paraId="6A98DBF6" w14:textId="77777777" w:rsidR="003D37CC" w:rsidRPr="001B0EA3" w:rsidRDefault="00017127" w:rsidP="004D7424">
      <w:pPr>
        <w:tabs>
          <w:tab w:val="left" w:pos="1560"/>
        </w:tabs>
        <w:ind w:firstLine="0"/>
        <w:rPr>
          <w:color w:val="000000"/>
          <w:szCs w:val="24"/>
          <w:lang w:eastAsia="fr-FR"/>
        </w:rPr>
      </w:pPr>
      <w:r>
        <w:rPr>
          <w:b/>
        </w:rPr>
        <w:tab/>
      </w:r>
      <w:r w:rsidR="003D37CC">
        <w:rPr>
          <w:color w:val="000000"/>
          <w:szCs w:val="24"/>
          <w:lang w:eastAsia="fr-FR"/>
        </w:rPr>
        <w:t xml:space="preserve">След приключване на проверките, верификаторът насочва контролния лист за проверка към </w:t>
      </w:r>
      <w:r w:rsidR="003D37CC" w:rsidRPr="001B0EA3">
        <w:rPr>
          <w:color w:val="000000"/>
          <w:szCs w:val="24"/>
          <w:lang w:eastAsia="fr-FR"/>
        </w:rPr>
        <w:t>началника на отдел „Финансово управление”. След това пакета документи се представя за за одобрение от  Ръководителя на УО</w:t>
      </w:r>
      <w:r w:rsidR="003D37CC">
        <w:rPr>
          <w:color w:val="000000"/>
          <w:szCs w:val="24"/>
          <w:lang w:eastAsia="fr-FR"/>
        </w:rPr>
        <w:t>.</w:t>
      </w:r>
    </w:p>
    <w:p w14:paraId="053B4A2E" w14:textId="77777777" w:rsidR="004E6091" w:rsidRPr="00842ECC" w:rsidRDefault="004E6091" w:rsidP="004E6091">
      <w:pPr>
        <w:tabs>
          <w:tab w:val="left" w:pos="540"/>
        </w:tabs>
        <w:spacing w:before="120"/>
        <w:rPr>
          <w:color w:val="000000"/>
          <w:szCs w:val="24"/>
        </w:rPr>
      </w:pPr>
      <w:r>
        <w:rPr>
          <w:color w:val="000000"/>
          <w:szCs w:val="24"/>
          <w:lang w:eastAsia="fr-FR"/>
        </w:rPr>
        <w:t>Проверката</w:t>
      </w:r>
      <w:r w:rsidRPr="001B0EA3">
        <w:rPr>
          <w:szCs w:val="24"/>
        </w:rPr>
        <w:t xml:space="preserve"> на индикаторите </w:t>
      </w:r>
      <w:r w:rsidRPr="002D5B62">
        <w:rPr>
          <w:szCs w:val="24"/>
        </w:rPr>
        <w:t xml:space="preserve">по проекта се въвежда </w:t>
      </w:r>
      <w:r>
        <w:rPr>
          <w:szCs w:val="24"/>
        </w:rPr>
        <w:t xml:space="preserve">от външния верификатор </w:t>
      </w:r>
      <w:r w:rsidRPr="001B0EA3">
        <w:rPr>
          <w:szCs w:val="24"/>
        </w:rPr>
        <w:t>в ИСУН</w:t>
      </w:r>
      <w:r>
        <w:rPr>
          <w:szCs w:val="24"/>
        </w:rPr>
        <w:t xml:space="preserve"> </w:t>
      </w:r>
      <w:r w:rsidRPr="001B0EA3">
        <w:rPr>
          <w:szCs w:val="24"/>
        </w:rPr>
        <w:t>2020 (</w:t>
      </w:r>
      <w:r w:rsidRPr="001B0EA3">
        <w:rPr>
          <w:color w:val="000000"/>
          <w:szCs w:val="24"/>
          <w:lang w:eastAsia="fr-FR"/>
        </w:rPr>
        <w:t>модул „Мониторинг и финансов контрол“, подмодул „Мониторинг на пакети отчетни документи“, „Верифицирани индикатори“</w:t>
      </w:r>
      <w:r w:rsidRPr="001B0EA3">
        <w:rPr>
          <w:szCs w:val="24"/>
        </w:rPr>
        <w:t>)</w:t>
      </w:r>
      <w:r w:rsidRPr="001B0EA3">
        <w:rPr>
          <w:color w:val="000000"/>
          <w:szCs w:val="24"/>
          <w:lang w:eastAsia="fr-FR"/>
        </w:rPr>
        <w:t>. Сроковете за извършване на проверки</w:t>
      </w:r>
      <w:r w:rsidRPr="002D5B62">
        <w:t xml:space="preserve"> </w:t>
      </w:r>
      <w:r w:rsidRPr="002D5B62">
        <w:rPr>
          <w:color w:val="000000"/>
          <w:szCs w:val="24"/>
          <w:lang w:eastAsia="fr-FR"/>
        </w:rPr>
        <w:t>на всички нива в УО</w:t>
      </w:r>
      <w:r w:rsidRPr="001B0EA3">
        <w:rPr>
          <w:color w:val="000000"/>
          <w:szCs w:val="24"/>
          <w:lang w:eastAsia="fr-FR"/>
        </w:rPr>
        <w:t xml:space="preserve"> са в съответствие със заложените в точка 25.3.4.3.).</w:t>
      </w:r>
    </w:p>
    <w:p w14:paraId="4E998A12" w14:textId="77777777" w:rsidR="000444CE" w:rsidRPr="001B0EA3" w:rsidRDefault="000444CE" w:rsidP="00F068A3">
      <w:pPr>
        <w:tabs>
          <w:tab w:val="left" w:pos="540"/>
        </w:tabs>
        <w:spacing w:before="120"/>
        <w:rPr>
          <w:color w:val="000000"/>
          <w:szCs w:val="24"/>
          <w:lang w:eastAsia="fr-FR"/>
        </w:rPr>
      </w:pPr>
      <w:r w:rsidRPr="001B0EA3">
        <w:rPr>
          <w:color w:val="000000"/>
          <w:szCs w:val="24"/>
          <w:lang w:eastAsia="fr-FR"/>
        </w:rPr>
        <w:t>Експерт в отдел „Финансово управление“ в рамките на 2 работни дни след одобрението на сумите по искането за плащане подготвя „Решение за верификация (</w:t>
      </w:r>
      <w:hyperlink r:id="rId185" w:tooltip="Решение за верификация на постъпило Междинно/Окончателно искане за плащане" w:history="1">
        <w:r w:rsidR="000F3221" w:rsidRPr="00251D03">
          <w:rPr>
            <w:i/>
            <w:iCs/>
            <w:color w:val="0000FF"/>
            <w:szCs w:val="24"/>
            <w:u w:val="single"/>
            <w:lang w:eastAsia="bg-BG"/>
          </w:rPr>
          <w:t>Приложение № 5.01.2.3</w:t>
        </w:r>
      </w:hyperlink>
      <w:r w:rsidRPr="001B0EA3">
        <w:rPr>
          <w:color w:val="000000"/>
          <w:szCs w:val="24"/>
          <w:lang w:eastAsia="fr-FR"/>
        </w:rPr>
        <w:t>), което се</w:t>
      </w:r>
      <w:r w:rsidRPr="001B0EA3">
        <w:rPr>
          <w:szCs w:val="24"/>
        </w:rPr>
        <w:t xml:space="preserve"> изпраща на </w:t>
      </w:r>
      <w:r w:rsidRPr="001B0EA3">
        <w:rPr>
          <w:color w:val="000000"/>
          <w:szCs w:val="24"/>
          <w:lang w:eastAsia="fr-FR"/>
        </w:rPr>
        <w:t>ръководителя на</w:t>
      </w:r>
      <w:r w:rsidRPr="001B0EA3">
        <w:rPr>
          <w:szCs w:val="24"/>
        </w:rPr>
        <w:t xml:space="preserve">  </w:t>
      </w:r>
      <w:r w:rsidRPr="001B0EA3">
        <w:rPr>
          <w:color w:val="000000"/>
          <w:szCs w:val="24"/>
          <w:lang w:eastAsia="fr-FR"/>
        </w:rPr>
        <w:t xml:space="preserve">ЗИП, посредством модул „Договори“, подмодул „Комуникация“ в ИСУН 2020. Заедно с Решението се изпраща и копие от доклада за фактическите констатации от извършената верификация на разходите. </w:t>
      </w:r>
    </w:p>
    <w:p w14:paraId="7352B9B0" w14:textId="77777777" w:rsidR="00F54FEE" w:rsidRPr="00F54FEE" w:rsidRDefault="00F54FEE" w:rsidP="00F54FEE">
      <w:pPr>
        <w:tabs>
          <w:tab w:val="left" w:pos="540"/>
        </w:tabs>
        <w:spacing w:before="120"/>
        <w:rPr>
          <w:color w:val="000000"/>
          <w:szCs w:val="24"/>
          <w:lang w:eastAsia="fr-FR"/>
        </w:rPr>
      </w:pPr>
      <w:r w:rsidRPr="00F54FEE">
        <w:rPr>
          <w:color w:val="000000"/>
          <w:szCs w:val="24"/>
          <w:lang w:eastAsia="fr-FR"/>
        </w:rPr>
        <w:t>Срокът за разпределяне на лимит е 5 работни дни. В случаите, когато УО не разполага със свободен лимит, служител от отдел „Финансово управление“  изготвя искане за средства към СО. Срокът за разпределяне на лимит започва да тече след получено писмено уведомление от НФ за одобрение и разпределение на лимит към УО.</w:t>
      </w:r>
    </w:p>
    <w:p w14:paraId="47AA9D62" w14:textId="77777777" w:rsidR="00F54FEE" w:rsidRPr="00F54FEE" w:rsidRDefault="00F54FEE" w:rsidP="00F54FEE">
      <w:pPr>
        <w:tabs>
          <w:tab w:val="left" w:pos="540"/>
        </w:tabs>
        <w:spacing w:before="120"/>
        <w:rPr>
          <w:color w:val="000000"/>
          <w:szCs w:val="24"/>
          <w:lang w:eastAsia="fr-FR"/>
        </w:rPr>
      </w:pPr>
      <w:r w:rsidRPr="00F54FEE">
        <w:rPr>
          <w:color w:val="000000"/>
          <w:szCs w:val="24"/>
          <w:lang w:eastAsia="fr-FR"/>
        </w:rPr>
        <w:t xml:space="preserve">Лимитите се разпределят от упълномощени със заповед на министъра на транспорта и съобщенията служители с право на  разпореждане по кодове в СЕБРА в Българска народна банка (БНБ). УО уведомява бенефициентите за разпределения лимит по искане за плащане с писмо, което се регистрира и изпраща до бенефициента от експерт в отдел „Финансово управление“  в ИСУН 2020 модул „Договори“, подмодул „Кореспонденция“ в рамките на 1 работен ден от неговото издаване. </w:t>
      </w:r>
    </w:p>
    <w:p w14:paraId="77648999" w14:textId="77777777" w:rsidR="00F54FEE" w:rsidRPr="00F54FEE" w:rsidRDefault="00F54FEE" w:rsidP="00F54FEE">
      <w:pPr>
        <w:tabs>
          <w:tab w:val="left" w:pos="540"/>
        </w:tabs>
        <w:spacing w:before="120"/>
        <w:rPr>
          <w:color w:val="000000"/>
          <w:szCs w:val="24"/>
          <w:lang w:eastAsia="fr-FR"/>
        </w:rPr>
      </w:pPr>
      <w:r w:rsidRPr="00F54FEE">
        <w:rPr>
          <w:color w:val="000000"/>
          <w:szCs w:val="24"/>
          <w:lang w:eastAsia="fr-FR"/>
        </w:rPr>
        <w:t xml:space="preserve">В срок от 3 работни дни след извършване на плащане към бенефициента УО регистрира плащането в ИСУН 2020. </w:t>
      </w:r>
    </w:p>
    <w:p w14:paraId="66FF99FB" w14:textId="77777777" w:rsidR="00F54FEE" w:rsidRDefault="00F54FEE" w:rsidP="00F54FEE">
      <w:pPr>
        <w:tabs>
          <w:tab w:val="left" w:pos="540"/>
        </w:tabs>
        <w:spacing w:before="120"/>
        <w:rPr>
          <w:color w:val="000000"/>
          <w:szCs w:val="24"/>
          <w:lang w:eastAsia="fr-FR"/>
        </w:rPr>
      </w:pPr>
      <w:r w:rsidRPr="00F54FEE">
        <w:rPr>
          <w:color w:val="000000"/>
          <w:szCs w:val="24"/>
          <w:lang w:eastAsia="fr-FR"/>
        </w:rPr>
        <w:t>Процедурата се повтаря в случай на частично предоставяне на лимит до размера на одобрената БФП по конкретно искане за плащане.</w:t>
      </w:r>
    </w:p>
    <w:p w14:paraId="76C3257F" w14:textId="77777777" w:rsidR="000444CE" w:rsidRPr="001B0EA3" w:rsidRDefault="000444CE" w:rsidP="00F068A3">
      <w:pPr>
        <w:tabs>
          <w:tab w:val="left" w:pos="540"/>
        </w:tabs>
        <w:spacing w:before="120"/>
        <w:rPr>
          <w:color w:val="000000"/>
          <w:szCs w:val="24"/>
          <w:lang w:eastAsia="fr-FR"/>
        </w:rPr>
      </w:pPr>
    </w:p>
    <w:p w14:paraId="378267E2" w14:textId="77777777" w:rsidR="000444CE" w:rsidRPr="00842ECC" w:rsidRDefault="000444CE" w:rsidP="00C8533C">
      <w:pPr>
        <w:pStyle w:val="Style3"/>
        <w:rPr>
          <w:lang w:val="bg-BG"/>
        </w:rPr>
      </w:pPr>
      <w:bookmarkStart w:id="1141" w:name="_Toc479775713"/>
      <w:r w:rsidRPr="00842ECC">
        <w:rPr>
          <w:lang w:val="bg-BG"/>
        </w:rPr>
        <w:t>Процес на сертификация на разходи по ОПТТИ</w:t>
      </w:r>
      <w:bookmarkEnd w:id="1141"/>
      <w:r w:rsidRPr="00842ECC">
        <w:rPr>
          <w:lang w:val="bg-BG"/>
        </w:rPr>
        <w:t xml:space="preserve"> </w:t>
      </w:r>
    </w:p>
    <w:p w14:paraId="20D80E90" w14:textId="77777777" w:rsidR="008F59C8" w:rsidRDefault="008F59C8" w:rsidP="000444CE">
      <w:pPr>
        <w:tabs>
          <w:tab w:val="left" w:pos="540"/>
        </w:tabs>
        <w:spacing w:before="120"/>
        <w:rPr>
          <w:color w:val="000000"/>
          <w:szCs w:val="24"/>
        </w:rPr>
      </w:pPr>
      <w:r w:rsidRPr="008F59C8">
        <w:rPr>
          <w:color w:val="000000"/>
          <w:szCs w:val="24"/>
        </w:rPr>
        <w:t>С РМС № 792/17.12.2013 г</w:t>
      </w:r>
      <w:r>
        <w:rPr>
          <w:color w:val="000000"/>
          <w:szCs w:val="24"/>
        </w:rPr>
        <w:t>.</w:t>
      </w:r>
      <w:r w:rsidRPr="008F59C8">
        <w:rPr>
          <w:color w:val="000000"/>
          <w:szCs w:val="24"/>
        </w:rPr>
        <w:t xml:space="preserve"> </w:t>
      </w:r>
      <w:r w:rsidR="000444CE" w:rsidRPr="001B0EA3">
        <w:rPr>
          <w:color w:val="000000"/>
          <w:szCs w:val="24"/>
        </w:rPr>
        <w:t xml:space="preserve">Дирекция „Национален фонд” към Министерство на финансите е определена за СО, отговорен за сертифициране пред ЕК на разходите, верифицирани от УО и за получаване на средства от Структурните фондове и Кохезионния </w:t>
      </w:r>
      <w:r w:rsidR="000444CE" w:rsidRPr="001B0EA3">
        <w:rPr>
          <w:color w:val="000000"/>
          <w:szCs w:val="24"/>
        </w:rPr>
        <w:lastRenderedPageBreak/>
        <w:t>фонд на ЕС за периода 2014 г. – 2020 г.</w:t>
      </w:r>
      <w:r w:rsidRPr="008F59C8">
        <w:rPr>
          <w:color w:val="000000"/>
          <w:szCs w:val="24"/>
        </w:rPr>
        <w:t>, а с РМС 18/15.01.2016 г. е определена за СО по ОПТТИ 2014-2020 г. СО отговаря за изготвяне и изпращане до ЕК на заявленията за плащане за разходите, верифицирани от УО и сертифицирани от СО. Във връзка със сертификацията, СО извършва:</w:t>
      </w:r>
      <w:r w:rsidR="000444CE" w:rsidRPr="001B0EA3">
        <w:rPr>
          <w:color w:val="000000"/>
          <w:szCs w:val="24"/>
        </w:rPr>
        <w:t xml:space="preserve"> </w:t>
      </w:r>
    </w:p>
    <w:p w14:paraId="1BB36C67" w14:textId="77777777" w:rsidR="008F59C8" w:rsidRDefault="000444CE" w:rsidP="00251D03">
      <w:pPr>
        <w:pStyle w:val="ListParagraph"/>
        <w:numPr>
          <w:ilvl w:val="0"/>
          <w:numId w:val="443"/>
        </w:numPr>
        <w:tabs>
          <w:tab w:val="left" w:pos="1134"/>
        </w:tabs>
        <w:spacing w:before="120"/>
        <w:ind w:left="0" w:firstLine="851"/>
        <w:rPr>
          <w:color w:val="000000"/>
          <w:szCs w:val="24"/>
        </w:rPr>
      </w:pPr>
      <w:r w:rsidRPr="00251D03">
        <w:rPr>
          <w:color w:val="000000"/>
          <w:szCs w:val="24"/>
        </w:rPr>
        <w:t>документална проверка на всеки ДСДДР</w:t>
      </w:r>
      <w:r w:rsidR="008F59C8" w:rsidRPr="00251D03">
        <w:rPr>
          <w:color w:val="000000"/>
          <w:szCs w:val="24"/>
        </w:rPr>
        <w:t>;</w:t>
      </w:r>
    </w:p>
    <w:p w14:paraId="4D5266D6" w14:textId="77777777" w:rsidR="008F59C8" w:rsidRPr="008F59C8" w:rsidRDefault="008F59C8" w:rsidP="00251D03">
      <w:pPr>
        <w:pStyle w:val="ListParagraph"/>
        <w:numPr>
          <w:ilvl w:val="0"/>
          <w:numId w:val="443"/>
        </w:numPr>
        <w:tabs>
          <w:tab w:val="left" w:pos="1134"/>
        </w:tabs>
        <w:spacing w:before="120"/>
        <w:ind w:left="0" w:firstLine="851"/>
        <w:rPr>
          <w:color w:val="000000"/>
          <w:szCs w:val="24"/>
        </w:rPr>
      </w:pPr>
      <w:r w:rsidRPr="008F59C8">
        <w:rPr>
          <w:color w:val="000000"/>
          <w:szCs w:val="24"/>
        </w:rPr>
        <w:t>проверка за спазването на процедурите и контролните дейности на УО за верификация на разходите</w:t>
      </w:r>
      <w:r>
        <w:rPr>
          <w:color w:val="000000"/>
          <w:szCs w:val="24"/>
        </w:rPr>
        <w:t>;</w:t>
      </w:r>
      <w:r w:rsidRPr="008F59C8">
        <w:rPr>
          <w:color w:val="000000"/>
          <w:szCs w:val="24"/>
        </w:rPr>
        <w:t xml:space="preserve"> </w:t>
      </w:r>
    </w:p>
    <w:p w14:paraId="6D3FFB27" w14:textId="77777777" w:rsidR="008F59C8" w:rsidRPr="00251D03" w:rsidRDefault="008F59C8" w:rsidP="00251D03">
      <w:pPr>
        <w:pStyle w:val="ListParagraph"/>
        <w:numPr>
          <w:ilvl w:val="0"/>
          <w:numId w:val="443"/>
        </w:numPr>
        <w:tabs>
          <w:tab w:val="left" w:pos="1134"/>
        </w:tabs>
        <w:spacing w:before="120"/>
        <w:ind w:left="0" w:firstLine="851"/>
        <w:rPr>
          <w:color w:val="000000"/>
          <w:szCs w:val="24"/>
        </w:rPr>
      </w:pPr>
      <w:r w:rsidRPr="008F59C8">
        <w:rPr>
          <w:color w:val="000000"/>
          <w:szCs w:val="24"/>
        </w:rPr>
        <w:t>проверки на място на бенефициента, включително на мястото на изпълнение на проекта</w:t>
      </w:r>
      <w:r>
        <w:rPr>
          <w:color w:val="000000"/>
          <w:szCs w:val="24"/>
        </w:rPr>
        <w:t>.</w:t>
      </w:r>
    </w:p>
    <w:p w14:paraId="4A92F816" w14:textId="77777777" w:rsidR="004703FF" w:rsidRDefault="004703FF" w:rsidP="000444CE">
      <w:pPr>
        <w:tabs>
          <w:tab w:val="left" w:pos="540"/>
        </w:tabs>
        <w:spacing w:before="120"/>
        <w:rPr>
          <w:color w:val="000000"/>
          <w:szCs w:val="24"/>
        </w:rPr>
      </w:pPr>
      <w:r w:rsidRPr="004703FF">
        <w:rPr>
          <w:color w:val="000000"/>
          <w:szCs w:val="24"/>
        </w:rPr>
        <w:t>При сертификация на разходите се отчитат резултатите от доклади на национални и европейски контролни и одитни органи</w:t>
      </w:r>
      <w:r>
        <w:rPr>
          <w:color w:val="000000"/>
          <w:szCs w:val="24"/>
        </w:rPr>
        <w:t>.</w:t>
      </w:r>
    </w:p>
    <w:p w14:paraId="034433A5" w14:textId="77777777" w:rsidR="004703FF" w:rsidRDefault="000444CE" w:rsidP="000444CE">
      <w:pPr>
        <w:tabs>
          <w:tab w:val="left" w:pos="540"/>
        </w:tabs>
        <w:spacing w:before="120"/>
        <w:rPr>
          <w:color w:val="000000"/>
          <w:szCs w:val="24"/>
        </w:rPr>
      </w:pPr>
      <w:r w:rsidRPr="001B0EA3">
        <w:rPr>
          <w:color w:val="000000"/>
          <w:szCs w:val="24"/>
        </w:rPr>
        <w:t xml:space="preserve">За верифицираните разходи по искания за междинни и окончателни плащания, УО изготвя </w:t>
      </w:r>
      <w:r w:rsidR="004703FF">
        <w:rPr>
          <w:color w:val="000000"/>
          <w:szCs w:val="24"/>
        </w:rPr>
        <w:t xml:space="preserve">и </w:t>
      </w:r>
      <w:r w:rsidR="004703FF" w:rsidRPr="004703FF">
        <w:rPr>
          <w:color w:val="000000"/>
          <w:szCs w:val="24"/>
        </w:rPr>
        <w:t>изпраща до СО в ИСУН 2020 доклад по сертификация и декларация за допустимите разходи</w:t>
      </w:r>
      <w:r w:rsidR="004703FF">
        <w:rPr>
          <w:color w:val="000000"/>
          <w:szCs w:val="24"/>
        </w:rPr>
        <w:t xml:space="preserve"> (ДСДДР).</w:t>
      </w:r>
      <w:r w:rsidR="004703FF" w:rsidRPr="004703FF" w:rsidDel="004703FF">
        <w:rPr>
          <w:color w:val="000000"/>
          <w:szCs w:val="24"/>
        </w:rPr>
        <w:t xml:space="preserve"> </w:t>
      </w:r>
    </w:p>
    <w:p w14:paraId="6A7DF7A3" w14:textId="77777777" w:rsidR="000444CE" w:rsidRPr="001B0EA3" w:rsidRDefault="000444CE" w:rsidP="000444CE">
      <w:pPr>
        <w:tabs>
          <w:tab w:val="left" w:pos="540"/>
        </w:tabs>
        <w:spacing w:before="120"/>
        <w:rPr>
          <w:color w:val="000000"/>
          <w:szCs w:val="24"/>
        </w:rPr>
      </w:pPr>
      <w:r w:rsidRPr="001B0EA3">
        <w:rPr>
          <w:color w:val="000000"/>
          <w:szCs w:val="24"/>
        </w:rPr>
        <w:t>При установени несъответствия и/или пропуски в ДСДДР, СО изисква от УО тяхната корекция и/или допълнителна информация.</w:t>
      </w:r>
    </w:p>
    <w:p w14:paraId="7D9218FB" w14:textId="77777777" w:rsidR="000444CE" w:rsidRPr="001B0EA3" w:rsidRDefault="000444CE" w:rsidP="000444CE">
      <w:pPr>
        <w:tabs>
          <w:tab w:val="left" w:pos="540"/>
        </w:tabs>
        <w:spacing w:before="120"/>
        <w:rPr>
          <w:color w:val="000000"/>
          <w:szCs w:val="24"/>
        </w:rPr>
      </w:pPr>
      <w:r w:rsidRPr="001B0EA3">
        <w:rPr>
          <w:color w:val="000000"/>
          <w:szCs w:val="24"/>
        </w:rPr>
        <w:t xml:space="preserve">За целите на сертифициране на разходите УО представя на СО информация за текущи разследвания на Европейската служба за борба с измамите (OLAF) във връзка със ОПТТИ в срок от 5 работни дни от нейното получаване в УО. </w:t>
      </w:r>
    </w:p>
    <w:p w14:paraId="68D5542F" w14:textId="77777777" w:rsidR="000444CE" w:rsidRPr="001B0EA3" w:rsidRDefault="000444CE" w:rsidP="000444CE">
      <w:pPr>
        <w:tabs>
          <w:tab w:val="left" w:pos="540"/>
        </w:tabs>
        <w:spacing w:before="120"/>
        <w:rPr>
          <w:color w:val="000000"/>
          <w:szCs w:val="24"/>
        </w:rPr>
      </w:pPr>
      <w:r w:rsidRPr="001B0EA3">
        <w:rPr>
          <w:color w:val="000000"/>
          <w:szCs w:val="24"/>
        </w:rPr>
        <w:t xml:space="preserve">За целите на сертифициране на разходите УО предоставя на СО предварителни </w:t>
      </w:r>
      <w:r w:rsidR="004703FF" w:rsidRPr="004703FF">
        <w:rPr>
          <w:color w:val="000000"/>
          <w:szCs w:val="24"/>
        </w:rPr>
        <w:t xml:space="preserve">и окончателни </w:t>
      </w:r>
      <w:r w:rsidRPr="001B0EA3">
        <w:rPr>
          <w:color w:val="000000"/>
          <w:szCs w:val="24"/>
        </w:rPr>
        <w:t>доклади от службите на Европейската комисия, Европейската сметна палата и Сметната палата на Република България в срок от 5 работни дни от тяхното получаване в УО</w:t>
      </w:r>
      <w:r w:rsidR="004703FF">
        <w:rPr>
          <w:color w:val="000000"/>
          <w:szCs w:val="24"/>
        </w:rPr>
        <w:t>, в случаите когато СО и ОО не са адресати</w:t>
      </w:r>
      <w:r w:rsidRPr="001B0EA3">
        <w:rPr>
          <w:color w:val="000000"/>
          <w:szCs w:val="24"/>
        </w:rPr>
        <w:t>.</w:t>
      </w:r>
    </w:p>
    <w:p w14:paraId="5B0B8AC8" w14:textId="77777777" w:rsidR="000444CE" w:rsidRPr="001B0EA3" w:rsidRDefault="000444CE" w:rsidP="000444CE">
      <w:pPr>
        <w:tabs>
          <w:tab w:val="left" w:pos="540"/>
        </w:tabs>
        <w:spacing w:before="120"/>
        <w:rPr>
          <w:color w:val="000000"/>
          <w:szCs w:val="24"/>
        </w:rPr>
      </w:pPr>
      <w:r w:rsidRPr="001B0EA3">
        <w:rPr>
          <w:color w:val="000000"/>
          <w:szCs w:val="24"/>
        </w:rPr>
        <w:t>Всички окончателни доклади на контролни и одитни органи във връзка с ОПТТИ се въвеждат в ИСУН 2020 в срок от 5 работни дни след тяхното официално връчване/получаване.</w:t>
      </w:r>
    </w:p>
    <w:p w14:paraId="64D7F039" w14:textId="77777777" w:rsidR="000444CE" w:rsidRPr="001B0EA3" w:rsidRDefault="000444CE" w:rsidP="000444CE">
      <w:pPr>
        <w:tabs>
          <w:tab w:val="left" w:pos="540"/>
        </w:tabs>
        <w:spacing w:before="120"/>
        <w:rPr>
          <w:color w:val="000000"/>
          <w:szCs w:val="24"/>
        </w:rPr>
      </w:pPr>
      <w:r w:rsidRPr="001B0EA3">
        <w:rPr>
          <w:color w:val="000000"/>
          <w:szCs w:val="24"/>
        </w:rPr>
        <w:t>За целите на сертификацията, в случай на констатирани недостатъци от страна на национални и европейски контролни и одитни органи във връзка с функциониране на системата за управление и контрол, УО предприема следните действия:</w:t>
      </w:r>
    </w:p>
    <w:p w14:paraId="4B27A52E" w14:textId="77777777" w:rsidR="000444CE" w:rsidRPr="001B0EA3" w:rsidRDefault="004703FF" w:rsidP="004703FF">
      <w:pPr>
        <w:numPr>
          <w:ilvl w:val="0"/>
          <w:numId w:val="131"/>
        </w:numPr>
        <w:tabs>
          <w:tab w:val="clear" w:pos="720"/>
          <w:tab w:val="num" w:pos="1276"/>
        </w:tabs>
        <w:autoSpaceDE w:val="0"/>
        <w:autoSpaceDN w:val="0"/>
        <w:adjustRightInd w:val="0"/>
        <w:spacing w:before="120"/>
        <w:ind w:left="0" w:firstLine="851"/>
        <w:rPr>
          <w:color w:val="000000"/>
          <w:szCs w:val="24"/>
        </w:rPr>
      </w:pPr>
      <w:r w:rsidRPr="004703FF">
        <w:rPr>
          <w:color w:val="000000"/>
          <w:szCs w:val="24"/>
        </w:rPr>
        <w:t>Анализира обхвата на констатираните недостатъци в системата за управление и контрол и предприема действия за тяхното отстраняване съгласно препоръките на националните и европейските контролни органи чрез прилагане на подобрени контролни механизми</w:t>
      </w:r>
      <w:r w:rsidR="000444CE" w:rsidRPr="001B0EA3">
        <w:rPr>
          <w:color w:val="000000"/>
          <w:szCs w:val="24"/>
        </w:rPr>
        <w:t>;</w:t>
      </w:r>
    </w:p>
    <w:p w14:paraId="4AF8B3D2" w14:textId="77777777" w:rsidR="000444CE" w:rsidRPr="001B0EA3" w:rsidRDefault="000444CE" w:rsidP="0054623A">
      <w:pPr>
        <w:numPr>
          <w:ilvl w:val="0"/>
          <w:numId w:val="131"/>
        </w:numPr>
        <w:tabs>
          <w:tab w:val="clear" w:pos="720"/>
          <w:tab w:val="num" w:pos="1134"/>
        </w:tabs>
        <w:autoSpaceDE w:val="0"/>
        <w:autoSpaceDN w:val="0"/>
        <w:adjustRightInd w:val="0"/>
        <w:spacing w:before="120"/>
        <w:ind w:left="0" w:firstLine="851"/>
        <w:rPr>
          <w:color w:val="000000"/>
          <w:szCs w:val="24"/>
        </w:rPr>
      </w:pPr>
      <w:r w:rsidRPr="001B0EA3">
        <w:rPr>
          <w:color w:val="000000"/>
          <w:szCs w:val="24"/>
        </w:rPr>
        <w:t>Извършва повторна проверка на всички верифицирани разходи, които са засегнати от констатираните недостатъци, чрез прилагане на подобрени контролни механизми;</w:t>
      </w:r>
    </w:p>
    <w:p w14:paraId="42175E86" w14:textId="77777777" w:rsidR="000444CE" w:rsidRPr="001B0EA3" w:rsidRDefault="000444CE" w:rsidP="00251D03">
      <w:pPr>
        <w:numPr>
          <w:ilvl w:val="0"/>
          <w:numId w:val="131"/>
        </w:numPr>
        <w:tabs>
          <w:tab w:val="clear" w:pos="720"/>
          <w:tab w:val="num" w:pos="1134"/>
        </w:tabs>
        <w:autoSpaceDE w:val="0"/>
        <w:autoSpaceDN w:val="0"/>
        <w:adjustRightInd w:val="0"/>
        <w:spacing w:before="120"/>
        <w:ind w:left="0" w:firstLine="851"/>
        <w:rPr>
          <w:color w:val="000000"/>
          <w:szCs w:val="24"/>
        </w:rPr>
      </w:pPr>
      <w:r w:rsidRPr="001B0EA3">
        <w:rPr>
          <w:color w:val="000000"/>
          <w:szCs w:val="24"/>
        </w:rPr>
        <w:t xml:space="preserve">Уведомява СО за </w:t>
      </w:r>
      <w:r w:rsidR="004703FF" w:rsidRPr="004703FF">
        <w:rPr>
          <w:color w:val="000000"/>
          <w:szCs w:val="24"/>
        </w:rPr>
        <w:t>корекция на верифицираните разходи, които са включени в предходни ДСДДР.</w:t>
      </w:r>
      <w:r w:rsidRPr="001B0EA3">
        <w:rPr>
          <w:color w:val="000000"/>
          <w:szCs w:val="24"/>
        </w:rPr>
        <w:t xml:space="preserve"> </w:t>
      </w:r>
    </w:p>
    <w:p w14:paraId="15920F5A" w14:textId="77777777" w:rsidR="000444CE" w:rsidRPr="001B0EA3" w:rsidRDefault="000444CE" w:rsidP="000444CE">
      <w:pPr>
        <w:autoSpaceDE w:val="0"/>
        <w:autoSpaceDN w:val="0"/>
        <w:adjustRightInd w:val="0"/>
        <w:spacing w:before="120"/>
        <w:rPr>
          <w:color w:val="000000"/>
          <w:szCs w:val="24"/>
        </w:rPr>
      </w:pPr>
      <w:r w:rsidRPr="001B0EA3">
        <w:rPr>
          <w:color w:val="000000"/>
          <w:szCs w:val="24"/>
        </w:rPr>
        <w:t xml:space="preserve">СО преустановява сертификацията или задържа от сертификация конкретни разходи, верифицирани от УО и включени в ДСДДР, в случаите, когато са установени пропуски в системите за управление и контрол на УО или в случаите, когато верифицираните разходи не отговарят на условията за допустимост. </w:t>
      </w:r>
    </w:p>
    <w:p w14:paraId="1F63ACEA" w14:textId="77777777" w:rsidR="000444CE" w:rsidRPr="001B0EA3" w:rsidRDefault="000444CE" w:rsidP="000444CE">
      <w:pPr>
        <w:tabs>
          <w:tab w:val="left" w:pos="540"/>
        </w:tabs>
        <w:spacing w:before="120"/>
        <w:rPr>
          <w:color w:val="000000"/>
          <w:szCs w:val="24"/>
        </w:rPr>
      </w:pPr>
      <w:r w:rsidRPr="001B0EA3">
        <w:rPr>
          <w:color w:val="000000"/>
          <w:szCs w:val="24"/>
        </w:rPr>
        <w:t xml:space="preserve">За целите на сертифициране на разходите Ръководителят на УО предоставя на СО по електронен път на адрес: </w:t>
      </w:r>
      <w:hyperlink r:id="rId186" w:history="1">
        <w:r w:rsidRPr="001B0EA3">
          <w:rPr>
            <w:color w:val="000000"/>
            <w:szCs w:val="24"/>
          </w:rPr>
          <w:t>natfund@minfin.bg</w:t>
        </w:r>
      </w:hyperlink>
      <w:r w:rsidRPr="001B0EA3">
        <w:rPr>
          <w:color w:val="000000"/>
          <w:szCs w:val="24"/>
        </w:rPr>
        <w:t>. и подписана с електронен подпис:</w:t>
      </w:r>
    </w:p>
    <w:p w14:paraId="4DED4FD8" w14:textId="77777777" w:rsidR="001B75C2" w:rsidRPr="00DA4394" w:rsidRDefault="001B75C2" w:rsidP="00251D03">
      <w:pPr>
        <w:pStyle w:val="ListParagraph"/>
        <w:numPr>
          <w:ilvl w:val="0"/>
          <w:numId w:val="213"/>
        </w:numPr>
        <w:tabs>
          <w:tab w:val="clear" w:pos="720"/>
          <w:tab w:val="num" w:pos="1134"/>
        </w:tabs>
        <w:spacing w:after="120"/>
        <w:ind w:left="0" w:firstLine="851"/>
        <w:rPr>
          <w:color w:val="000000"/>
          <w:szCs w:val="24"/>
        </w:rPr>
      </w:pPr>
      <w:r>
        <w:rPr>
          <w:color w:val="000000"/>
          <w:szCs w:val="24"/>
        </w:rPr>
        <w:t>И</w:t>
      </w:r>
      <w:r w:rsidRPr="000B793F">
        <w:rPr>
          <w:color w:val="000000"/>
          <w:szCs w:val="24"/>
        </w:rPr>
        <w:t>нформац</w:t>
      </w:r>
      <w:r>
        <w:rPr>
          <w:color w:val="000000"/>
          <w:szCs w:val="24"/>
        </w:rPr>
        <w:t xml:space="preserve">ия за напредъка по изпълнението и резултатите от извършените управленски </w:t>
      </w:r>
      <w:r w:rsidRPr="00DA4394">
        <w:rPr>
          <w:color w:val="000000"/>
          <w:szCs w:val="24"/>
        </w:rPr>
        <w:t xml:space="preserve">проверки съгласно </w:t>
      </w:r>
      <w:hyperlink r:id="rId187" w:tooltip="Доклад за напредъка по изпълнението и резултатите от извършените управленски проверки на Управляващия орган на Оперативна програма " w:history="1">
        <w:r w:rsidR="000F3221" w:rsidRPr="00251D03">
          <w:rPr>
            <w:i/>
            <w:iCs/>
            <w:color w:val="0000FF"/>
            <w:szCs w:val="24"/>
            <w:u w:val="single"/>
            <w:lang w:eastAsia="bg-BG"/>
          </w:rPr>
          <w:t>Приложение № 5.02.3</w:t>
        </w:r>
      </w:hyperlink>
      <w:r w:rsidRPr="00DA4394">
        <w:rPr>
          <w:color w:val="000000"/>
          <w:szCs w:val="24"/>
        </w:rPr>
        <w:t xml:space="preserve"> – два пъти годишно:</w:t>
      </w:r>
    </w:p>
    <w:p w14:paraId="241CEC35" w14:textId="77777777" w:rsidR="001B75C2" w:rsidRDefault="001B75C2" w:rsidP="001B75C2">
      <w:pPr>
        <w:pStyle w:val="ListParagraph"/>
        <w:numPr>
          <w:ilvl w:val="0"/>
          <w:numId w:val="437"/>
        </w:numPr>
        <w:spacing w:after="120"/>
        <w:ind w:left="1134" w:hanging="283"/>
        <w:rPr>
          <w:color w:val="000000"/>
          <w:szCs w:val="24"/>
        </w:rPr>
      </w:pPr>
      <w:r w:rsidRPr="00DA4394">
        <w:rPr>
          <w:color w:val="000000"/>
          <w:szCs w:val="24"/>
        </w:rPr>
        <w:t xml:space="preserve">в крок до 31 юли - за проверки, извършени в периода 1 януари – 30 юни; </w:t>
      </w:r>
    </w:p>
    <w:p w14:paraId="049E85D3" w14:textId="77777777" w:rsidR="001B75C2" w:rsidRPr="00FD4D6A" w:rsidRDefault="001B75C2" w:rsidP="001B75C2">
      <w:pPr>
        <w:pStyle w:val="ListParagraph"/>
        <w:numPr>
          <w:ilvl w:val="0"/>
          <w:numId w:val="437"/>
        </w:numPr>
        <w:spacing w:after="120"/>
        <w:ind w:left="1134" w:hanging="283"/>
        <w:rPr>
          <w:color w:val="000000"/>
          <w:szCs w:val="24"/>
        </w:rPr>
      </w:pPr>
      <w:r w:rsidRPr="00DA4394">
        <w:rPr>
          <w:color w:val="000000"/>
          <w:szCs w:val="24"/>
        </w:rPr>
        <w:lastRenderedPageBreak/>
        <w:t>в срок до 31 януари  - за проверки, извършени в периода 1 юли – 31 декември на предходната финансова година;</w:t>
      </w:r>
    </w:p>
    <w:p w14:paraId="50809797" w14:textId="77777777" w:rsidR="001B75C2" w:rsidRPr="005B04E5" w:rsidRDefault="001B75C2" w:rsidP="00251D03">
      <w:r w:rsidRPr="005B04E5">
        <w:t xml:space="preserve">За изготвянето на </w:t>
      </w:r>
      <w:r>
        <w:t>информацията</w:t>
      </w:r>
      <w:r w:rsidRPr="005B04E5">
        <w:t xml:space="preserve">, всеки отдел подготвя частта от своята компетентност, след което изпраща информацията до експерт от отдел „Финансово управление“ с копие до началника на отдела, за обобщение и изпращане до СО. </w:t>
      </w:r>
    </w:p>
    <w:p w14:paraId="70444E93" w14:textId="77777777" w:rsidR="000444CE" w:rsidRPr="001B0EA3" w:rsidRDefault="000444CE" w:rsidP="0054623A">
      <w:pPr>
        <w:pStyle w:val="ListParagraph"/>
        <w:numPr>
          <w:ilvl w:val="0"/>
          <w:numId w:val="213"/>
        </w:numPr>
        <w:tabs>
          <w:tab w:val="clear" w:pos="720"/>
          <w:tab w:val="num" w:pos="1134"/>
        </w:tabs>
        <w:spacing w:after="120"/>
        <w:ind w:left="0" w:firstLine="851"/>
        <w:rPr>
          <w:color w:val="000000"/>
          <w:szCs w:val="24"/>
        </w:rPr>
      </w:pPr>
      <w:r w:rsidRPr="001B0EA3">
        <w:rPr>
          <w:color w:val="000000"/>
          <w:szCs w:val="24"/>
        </w:rPr>
        <w:t>Процедурен наръчник, както и всички последващи изменения – в срок от 5 работни дни от след одобрението му/им от Ръководителя на УО;</w:t>
      </w:r>
    </w:p>
    <w:p w14:paraId="07874BA0" w14:textId="77777777" w:rsidR="000444CE" w:rsidRPr="001B0EA3" w:rsidRDefault="000444CE" w:rsidP="000444CE">
      <w:pPr>
        <w:tabs>
          <w:tab w:val="left" w:pos="540"/>
        </w:tabs>
        <w:spacing w:before="120"/>
        <w:rPr>
          <w:color w:val="000000"/>
          <w:szCs w:val="24"/>
        </w:rPr>
      </w:pPr>
      <w:r w:rsidRPr="001B0EA3">
        <w:rPr>
          <w:color w:val="000000"/>
          <w:szCs w:val="24"/>
        </w:rPr>
        <w:t xml:space="preserve">След извършването на контролните дейности, СО изготвя Заявление за плащане по ОПТТИ само за допустимите разходи, съгласно изискванията на чл. 131 от Регламент (ЕС) № 1303/2013 и чл. 41 от Регламент (ЕС) № 223/2014. </w:t>
      </w:r>
    </w:p>
    <w:p w14:paraId="6C6CF417" w14:textId="77777777" w:rsidR="000444CE" w:rsidRPr="001B0EA3" w:rsidRDefault="001B75C2" w:rsidP="000444CE">
      <w:pPr>
        <w:tabs>
          <w:tab w:val="left" w:pos="540"/>
        </w:tabs>
        <w:spacing w:before="120"/>
        <w:rPr>
          <w:color w:val="000000"/>
          <w:szCs w:val="24"/>
        </w:rPr>
      </w:pPr>
      <w:r w:rsidRPr="001B75C2">
        <w:rPr>
          <w:color w:val="000000"/>
          <w:szCs w:val="24"/>
        </w:rPr>
        <w:t>В едномесечен срок след изпращането на заявлението за плащане, СО уведомява чрез ИСУН 2020 УО относно размера на включените за възстановяване разходи от ЕК. В уведомлението се посочват и несертифицираните разходи, както и причините за това.</w:t>
      </w:r>
    </w:p>
    <w:p w14:paraId="2ADD14B0" w14:textId="77777777" w:rsidR="000444CE" w:rsidRPr="001B0EA3" w:rsidRDefault="000444CE" w:rsidP="000444CE">
      <w:pPr>
        <w:tabs>
          <w:tab w:val="left" w:pos="540"/>
        </w:tabs>
        <w:spacing w:before="120"/>
        <w:rPr>
          <w:color w:val="000000"/>
          <w:szCs w:val="24"/>
        </w:rPr>
      </w:pPr>
      <w:r w:rsidRPr="001B0EA3">
        <w:rPr>
          <w:color w:val="000000"/>
          <w:szCs w:val="24"/>
        </w:rPr>
        <w:t>След извършване на съответни</w:t>
      </w:r>
      <w:r w:rsidR="001B75C2" w:rsidRPr="00842ECC">
        <w:rPr>
          <w:color w:val="000000"/>
          <w:szCs w:val="24"/>
        </w:rPr>
        <w:t>те</w:t>
      </w:r>
      <w:r w:rsidRPr="001B0EA3">
        <w:rPr>
          <w:color w:val="000000"/>
          <w:szCs w:val="24"/>
        </w:rPr>
        <w:t xml:space="preserve"> управленски проверки </w:t>
      </w:r>
      <w:r w:rsidR="001B75C2" w:rsidRPr="001B75C2">
        <w:rPr>
          <w:color w:val="000000"/>
          <w:szCs w:val="24"/>
        </w:rPr>
        <w:t xml:space="preserve">и в резултат на промяна на обстоятелствата за допустимостта на разходите, </w:t>
      </w:r>
      <w:r w:rsidRPr="001B0EA3">
        <w:rPr>
          <w:color w:val="000000"/>
          <w:szCs w:val="24"/>
        </w:rPr>
        <w:t xml:space="preserve">УО може да включи </w:t>
      </w:r>
      <w:r w:rsidR="001B75C2" w:rsidRPr="001B75C2">
        <w:rPr>
          <w:color w:val="000000"/>
          <w:szCs w:val="24"/>
        </w:rPr>
        <w:t xml:space="preserve">повторно </w:t>
      </w:r>
      <w:r w:rsidRPr="001B0EA3">
        <w:rPr>
          <w:color w:val="000000"/>
          <w:szCs w:val="24"/>
        </w:rPr>
        <w:t>неодобрените от СО разходи в следващи ДСДДР.</w:t>
      </w:r>
    </w:p>
    <w:p w14:paraId="7E6F6100" w14:textId="77777777" w:rsidR="000444CE" w:rsidRPr="00842ECC" w:rsidRDefault="000444CE" w:rsidP="00C8533C">
      <w:pPr>
        <w:pStyle w:val="Style3"/>
        <w:rPr>
          <w:lang w:val="bg-BG"/>
        </w:rPr>
      </w:pPr>
      <w:bookmarkStart w:id="1142" w:name="_Toc479775715"/>
      <w:r w:rsidRPr="00842ECC">
        <w:rPr>
          <w:lang w:val="bg-BG" w:eastAsia="bg-BG"/>
        </w:rPr>
        <w:t>Приключване на счетоводната година от българските власти</w:t>
      </w:r>
      <w:bookmarkEnd w:id="1142"/>
    </w:p>
    <w:p w14:paraId="11E93EA1" w14:textId="77777777" w:rsidR="000444CE" w:rsidRPr="001B0EA3" w:rsidRDefault="008237FB" w:rsidP="000444CE">
      <w:pPr>
        <w:autoSpaceDE w:val="0"/>
        <w:autoSpaceDN w:val="0"/>
        <w:adjustRightInd w:val="0"/>
        <w:spacing w:after="120"/>
        <w:rPr>
          <w:color w:val="000000"/>
          <w:szCs w:val="24"/>
        </w:rPr>
      </w:pPr>
      <w:r w:rsidRPr="008237FB">
        <w:rPr>
          <w:color w:val="000000"/>
          <w:szCs w:val="24"/>
        </w:rPr>
        <w:t>Отговорни за приключване на счетоводната година са управляващият орган, сертифициращият орган и одитния орган. Отговорностите и р</w:t>
      </w:r>
      <w:r w:rsidR="000444CE" w:rsidRPr="001B0EA3">
        <w:rPr>
          <w:color w:val="000000"/>
          <w:szCs w:val="24"/>
        </w:rPr>
        <w:t xml:space="preserve">едът за приключване на счетоводната година </w:t>
      </w:r>
      <w:r>
        <w:rPr>
          <w:color w:val="000000"/>
          <w:szCs w:val="24"/>
        </w:rPr>
        <w:t>са</w:t>
      </w:r>
      <w:r w:rsidR="000444CE" w:rsidRPr="001B0EA3">
        <w:rPr>
          <w:color w:val="000000"/>
          <w:szCs w:val="24"/>
        </w:rPr>
        <w:t xml:space="preserve"> посочен</w:t>
      </w:r>
      <w:r>
        <w:rPr>
          <w:color w:val="000000"/>
          <w:szCs w:val="24"/>
        </w:rPr>
        <w:t>и</w:t>
      </w:r>
      <w:r w:rsidR="000444CE" w:rsidRPr="001B0EA3">
        <w:rPr>
          <w:color w:val="000000"/>
          <w:szCs w:val="24"/>
        </w:rPr>
        <w:t xml:space="preserve"> в Глава шеста на Наредба № Н-3</w:t>
      </w:r>
      <w:r w:rsidR="002A0478">
        <w:rPr>
          <w:color w:val="000000"/>
          <w:szCs w:val="24"/>
        </w:rPr>
        <w:t>/</w:t>
      </w:r>
      <w:r w:rsidRPr="008237FB">
        <w:rPr>
          <w:color w:val="000000"/>
          <w:szCs w:val="24"/>
        </w:rPr>
        <w:t>22.05.2018 г.</w:t>
      </w:r>
    </w:p>
    <w:p w14:paraId="3C146341" w14:textId="77777777" w:rsidR="000444CE" w:rsidRPr="001B0EA3" w:rsidRDefault="000444CE" w:rsidP="000444CE">
      <w:pPr>
        <w:autoSpaceDE w:val="0"/>
        <w:autoSpaceDN w:val="0"/>
        <w:adjustRightInd w:val="0"/>
        <w:spacing w:after="120"/>
        <w:rPr>
          <w:color w:val="000000"/>
          <w:szCs w:val="24"/>
        </w:rPr>
      </w:pPr>
    </w:p>
    <w:p w14:paraId="75309A5D" w14:textId="77777777" w:rsidR="000444CE" w:rsidRPr="00842ECC" w:rsidRDefault="000444CE" w:rsidP="00B502C7">
      <w:pPr>
        <w:pStyle w:val="Style2"/>
        <w:rPr>
          <w:lang w:val="bg-BG" w:eastAsia="bg-BG"/>
        </w:rPr>
      </w:pPr>
      <w:bookmarkStart w:id="1143" w:name="_Toc479775716"/>
      <w:bookmarkStart w:id="1144" w:name="_Toc140150251"/>
      <w:r w:rsidRPr="00842ECC">
        <w:rPr>
          <w:lang w:val="bg-BG" w:eastAsia="bg-BG"/>
        </w:rPr>
        <w:t>Общо описание на процеса, по изплащане на БФП</w:t>
      </w:r>
      <w:bookmarkEnd w:id="1143"/>
      <w:bookmarkEnd w:id="1144"/>
    </w:p>
    <w:p w14:paraId="649ED53F" w14:textId="77777777" w:rsidR="000444CE" w:rsidRPr="001B0EA3" w:rsidRDefault="000444CE" w:rsidP="00C8533C">
      <w:pPr>
        <w:pStyle w:val="Style3"/>
        <w:rPr>
          <w:lang w:eastAsia="bg-BG"/>
        </w:rPr>
      </w:pPr>
      <w:bookmarkStart w:id="1145" w:name="_Toc479775717"/>
      <w:r w:rsidRPr="001B0EA3">
        <w:rPr>
          <w:lang w:eastAsia="bg-BG"/>
        </w:rPr>
        <w:t>Организация на банкови сметки</w:t>
      </w:r>
      <w:bookmarkEnd w:id="1145"/>
    </w:p>
    <w:p w14:paraId="3C67CEA5" w14:textId="77777777" w:rsidR="000444CE" w:rsidRPr="001B0EA3" w:rsidRDefault="000444CE" w:rsidP="00F068A3">
      <w:pPr>
        <w:widowControl w:val="0"/>
        <w:shd w:val="clear" w:color="auto" w:fill="FFFFFF"/>
        <w:tabs>
          <w:tab w:val="left" w:pos="1440"/>
        </w:tabs>
        <w:spacing w:before="120"/>
        <w:rPr>
          <w:color w:val="000000"/>
          <w:szCs w:val="24"/>
          <w:lang w:eastAsia="en-GB"/>
        </w:rPr>
      </w:pPr>
      <w:r w:rsidRPr="001B0EA3">
        <w:rPr>
          <w:color w:val="000000"/>
          <w:szCs w:val="24"/>
        </w:rPr>
        <w:t xml:space="preserve">Всички плащания на БФП по ОПТТИ се извършват в български лева чрез системата за електронни бюджетни разплащания (СЕБРА) и системата за електронно банкиране на БНБ. </w:t>
      </w:r>
      <w:r w:rsidR="0025413D" w:rsidRPr="001B0EA3">
        <w:rPr>
          <w:color w:val="000000"/>
          <w:szCs w:val="24"/>
        </w:rPr>
        <w:t>Автоматизираната</w:t>
      </w:r>
      <w:r w:rsidRPr="001B0EA3">
        <w:rPr>
          <w:color w:val="000000"/>
          <w:szCs w:val="24"/>
        </w:rPr>
        <w:t xml:space="preserve"> система на БНБ за електронно банкиране СЕБРА е система за наблюдение на плащанията, инициирани от включените в системата разпоредители, които се идентифицират с уникален десетразряден код, определен от МФ и за управление и контрол на плащанията в рамките на предварително заложени лимити. УО се идентифицира в СЕБРА с уникален десетразряден код, определен от Министерството на финансите. </w:t>
      </w:r>
    </w:p>
    <w:p w14:paraId="756F53F9" w14:textId="77777777" w:rsidR="000444CE" w:rsidRPr="001B0EA3" w:rsidRDefault="000444CE" w:rsidP="00F068A3">
      <w:pPr>
        <w:widowControl w:val="0"/>
        <w:shd w:val="clear" w:color="auto" w:fill="FFFFFF"/>
        <w:tabs>
          <w:tab w:val="left" w:pos="1440"/>
        </w:tabs>
        <w:spacing w:before="120"/>
        <w:rPr>
          <w:color w:val="000000"/>
          <w:szCs w:val="24"/>
        </w:rPr>
      </w:pPr>
      <w:r w:rsidRPr="001B0EA3">
        <w:rPr>
          <w:color w:val="000000"/>
          <w:szCs w:val="24"/>
        </w:rPr>
        <w:t>Схемата на паричните потоци на средствата  от ЕФРР и КФ на ЕС и кореспондиращ</w:t>
      </w:r>
      <w:r w:rsidR="00E0189C" w:rsidRPr="001B0EA3">
        <w:rPr>
          <w:color w:val="000000"/>
          <w:szCs w:val="24"/>
        </w:rPr>
        <w:t>ото национално съфинансиране е следната:</w:t>
      </w:r>
    </w:p>
    <w:p w14:paraId="4AF574F6" w14:textId="77777777" w:rsidR="00E0189C" w:rsidRPr="001B0EA3" w:rsidRDefault="00EC7CD8" w:rsidP="00EC7CD8">
      <w:pPr>
        <w:widowControl w:val="0"/>
        <w:shd w:val="clear" w:color="auto" w:fill="FFFFFF"/>
        <w:tabs>
          <w:tab w:val="left" w:pos="1440"/>
        </w:tabs>
        <w:spacing w:before="120"/>
        <w:ind w:left="-851"/>
        <w:rPr>
          <w:color w:val="000000"/>
          <w:szCs w:val="24"/>
        </w:rPr>
      </w:pPr>
      <w:r>
        <w:rPr>
          <w:noProof/>
          <w:color w:val="000000"/>
          <w:szCs w:val="24"/>
          <w:lang w:eastAsia="bg-BG"/>
        </w:rPr>
        <w:lastRenderedPageBreak/>
        <w:drawing>
          <wp:inline distT="0" distB="0" distL="0" distR="0" wp14:anchorId="7EAB78E0" wp14:editId="1349332C">
            <wp:extent cx="6115050" cy="6090285"/>
            <wp:effectExtent l="0" t="0" r="0" b="5715"/>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115050" cy="6090285"/>
                    </a:xfrm>
                    <a:prstGeom prst="rect">
                      <a:avLst/>
                    </a:prstGeom>
                    <a:noFill/>
                  </pic:spPr>
                </pic:pic>
              </a:graphicData>
            </a:graphic>
          </wp:inline>
        </w:drawing>
      </w:r>
    </w:p>
    <w:p w14:paraId="4594E4CC" w14:textId="77777777" w:rsidR="000444CE" w:rsidRPr="001B0EA3" w:rsidRDefault="000444CE" w:rsidP="00864A2F">
      <w:pPr>
        <w:pStyle w:val="ListParagraph"/>
        <w:ind w:left="0" w:firstLine="0"/>
        <w:jc w:val="center"/>
      </w:pPr>
    </w:p>
    <w:p w14:paraId="7C1A415E" w14:textId="77777777" w:rsidR="00E0189C" w:rsidRPr="001B0EA3" w:rsidRDefault="00E0189C" w:rsidP="00E0189C">
      <w:pPr>
        <w:pStyle w:val="ListParagraph"/>
        <w:ind w:left="0"/>
        <w:jc w:val="left"/>
      </w:pPr>
    </w:p>
    <w:p w14:paraId="164ABC7F" w14:textId="77777777" w:rsidR="00E0189C" w:rsidRPr="001B0EA3" w:rsidRDefault="00E0189C" w:rsidP="00E0189C">
      <w:pPr>
        <w:pStyle w:val="ListParagraph"/>
        <w:ind w:left="0"/>
        <w:jc w:val="left"/>
      </w:pPr>
    </w:p>
    <w:p w14:paraId="4C2E05AA" w14:textId="77777777" w:rsidR="00E0189C" w:rsidRPr="001B0EA3" w:rsidRDefault="00E0189C" w:rsidP="00E0189C">
      <w:pPr>
        <w:pStyle w:val="ListParagraph"/>
        <w:ind w:left="0"/>
        <w:jc w:val="left"/>
      </w:pPr>
    </w:p>
    <w:p w14:paraId="1C9C2712" w14:textId="77777777" w:rsidR="000444CE" w:rsidRPr="001B0EA3" w:rsidRDefault="000444CE" w:rsidP="00C8533C">
      <w:pPr>
        <w:pStyle w:val="Style3"/>
        <w:rPr>
          <w:lang w:eastAsia="bg-BG"/>
        </w:rPr>
      </w:pPr>
      <w:bookmarkStart w:id="1146" w:name="_Toc479775718"/>
      <w:r w:rsidRPr="001B0EA3">
        <w:rPr>
          <w:lang w:eastAsia="bg-BG"/>
        </w:rPr>
        <w:t>Система на електронно банкиране</w:t>
      </w:r>
      <w:bookmarkEnd w:id="1146"/>
      <w:r w:rsidRPr="001B0EA3">
        <w:rPr>
          <w:lang w:eastAsia="bg-BG"/>
        </w:rPr>
        <w:t xml:space="preserve"> </w:t>
      </w:r>
    </w:p>
    <w:p w14:paraId="2D93AEFD" w14:textId="77777777" w:rsidR="000444CE" w:rsidRPr="001B0EA3" w:rsidRDefault="000444CE" w:rsidP="00F068A3">
      <w:pPr>
        <w:widowControl w:val="0"/>
        <w:shd w:val="clear" w:color="auto" w:fill="FFFFFF"/>
        <w:tabs>
          <w:tab w:val="left" w:pos="1440"/>
        </w:tabs>
        <w:spacing w:before="120"/>
        <w:rPr>
          <w:color w:val="000000"/>
          <w:szCs w:val="24"/>
        </w:rPr>
      </w:pPr>
      <w:r w:rsidRPr="001B0EA3">
        <w:rPr>
          <w:color w:val="000000"/>
          <w:szCs w:val="24"/>
        </w:rPr>
        <w:t xml:space="preserve">Достъпът в СЕБРА и в системата за електронно банкиране на БНБ  на потребителите, оторизирани да работят със съответните системи, се осъществява чрез универсален електронен подпис съгласно Закона за електронния документ и електронния подпис. Издаването на универсален електронен подпис на упълномощените за целта лица е задължение на администрацията на </w:t>
      </w:r>
      <w:r w:rsidR="00BB6BF6">
        <w:rPr>
          <w:color w:val="000000"/>
          <w:szCs w:val="24"/>
        </w:rPr>
        <w:t>МТС</w:t>
      </w:r>
      <w:r w:rsidRPr="001B0EA3">
        <w:rPr>
          <w:color w:val="000000"/>
          <w:szCs w:val="24"/>
        </w:rPr>
        <w:t>. Със заповед на министъра на транспорта и съобщенията се определят служители с право на разпореждане със средствата по ОПТТИ</w:t>
      </w:r>
      <w:r w:rsidR="00EC7CD8" w:rsidRPr="00EC7CD8">
        <w:t xml:space="preserve"> </w:t>
      </w:r>
      <w:r w:rsidR="00EC7CD8" w:rsidRPr="00EC7CD8">
        <w:rPr>
          <w:color w:val="000000"/>
          <w:szCs w:val="24"/>
        </w:rPr>
        <w:t>в системата за електронно банкиране на БНБ и</w:t>
      </w:r>
      <w:r w:rsidRPr="001B0EA3">
        <w:rPr>
          <w:color w:val="000000"/>
          <w:szCs w:val="24"/>
        </w:rPr>
        <w:t xml:space="preserve">  за разпределение на лимити и потвърждаване на плащания по десетразрядните кодове на УО</w:t>
      </w:r>
      <w:r w:rsidR="00EC7CD8" w:rsidRPr="00EC7CD8">
        <w:t xml:space="preserve"> </w:t>
      </w:r>
      <w:r w:rsidR="00EC7CD8" w:rsidRPr="00EC7CD8">
        <w:rPr>
          <w:color w:val="000000"/>
          <w:szCs w:val="24"/>
        </w:rPr>
        <w:t>в СЕБРА</w:t>
      </w:r>
      <w:r w:rsidRPr="001B0EA3">
        <w:rPr>
          <w:color w:val="000000"/>
          <w:szCs w:val="24"/>
        </w:rPr>
        <w:t xml:space="preserve">. УО предоставя по електронен път информация на дирекция „Национален фонд” за лицата,  определени да работят в СЕБРА, не по-късно от 5 работни  дни от датата на издаване/изменение на заповедта за определяне на лицата. </w:t>
      </w:r>
    </w:p>
    <w:p w14:paraId="15ACE466" w14:textId="77777777" w:rsidR="000444CE" w:rsidRPr="001B0EA3" w:rsidRDefault="000444CE" w:rsidP="00F068A3">
      <w:pPr>
        <w:widowControl w:val="0"/>
        <w:shd w:val="clear" w:color="auto" w:fill="FFFFFF"/>
        <w:tabs>
          <w:tab w:val="left" w:pos="1440"/>
        </w:tabs>
        <w:spacing w:before="120"/>
        <w:rPr>
          <w:color w:val="000000"/>
          <w:szCs w:val="24"/>
        </w:rPr>
      </w:pPr>
      <w:r w:rsidRPr="001B0EA3">
        <w:rPr>
          <w:color w:val="000000"/>
          <w:szCs w:val="24"/>
        </w:rPr>
        <w:lastRenderedPageBreak/>
        <w:t xml:space="preserve">За разплащанията в СЕБРА, както и за възстановяването на средства от бенефициентите към УО, последният прилага ред и начин на получаване, предоставяне и отчитане на средствата, регламентиран с Наредба </w:t>
      </w:r>
      <w:r w:rsidR="00EC7CD8">
        <w:rPr>
          <w:color w:val="000000"/>
          <w:szCs w:val="24"/>
        </w:rPr>
        <w:t xml:space="preserve">№ </w:t>
      </w:r>
      <w:r w:rsidRPr="001B0EA3">
        <w:rPr>
          <w:color w:val="000000"/>
          <w:szCs w:val="24"/>
        </w:rPr>
        <w:t>Н-3/</w:t>
      </w:r>
      <w:r w:rsidR="00EC7CD8" w:rsidRPr="00EC7CD8">
        <w:rPr>
          <w:color w:val="000000"/>
          <w:szCs w:val="24"/>
        </w:rPr>
        <w:t>22.05.2018</w:t>
      </w:r>
      <w:r w:rsidRPr="001B0EA3">
        <w:rPr>
          <w:color w:val="000000"/>
          <w:szCs w:val="24"/>
        </w:rPr>
        <w:t xml:space="preserve"> г.  и при спазване на правилата и процедурите за управление на средствата от ЕСИФ .</w:t>
      </w:r>
    </w:p>
    <w:p w14:paraId="24C2D148" w14:textId="77777777" w:rsidR="000444CE" w:rsidRPr="001B0EA3" w:rsidRDefault="000444CE" w:rsidP="00F068A3">
      <w:pPr>
        <w:widowControl w:val="0"/>
        <w:shd w:val="clear" w:color="auto" w:fill="FFFFFF"/>
        <w:tabs>
          <w:tab w:val="left" w:pos="1440"/>
        </w:tabs>
        <w:spacing w:before="120"/>
        <w:rPr>
          <w:color w:val="000000"/>
          <w:szCs w:val="24"/>
        </w:rPr>
      </w:pPr>
      <w:r w:rsidRPr="001B0EA3">
        <w:rPr>
          <w:color w:val="000000"/>
          <w:szCs w:val="24"/>
        </w:rPr>
        <w:t>УО извършва предвидените в СЕБРА функции на второстепенни оторизирани разпоредители за залагане на лимити на подчинени десетразрядни кодове при спазване на правилата и процедурите за управление на средства от ЕСИФ.</w:t>
      </w:r>
    </w:p>
    <w:p w14:paraId="60E381C8" w14:textId="77777777" w:rsidR="000444CE" w:rsidRPr="001B0EA3" w:rsidRDefault="000444CE" w:rsidP="00C8533C">
      <w:pPr>
        <w:pStyle w:val="Style3"/>
      </w:pPr>
      <w:r w:rsidRPr="00842ECC">
        <w:rPr>
          <w:lang w:val="bg-BG"/>
        </w:rPr>
        <w:t xml:space="preserve"> </w:t>
      </w:r>
      <w:bookmarkStart w:id="1147" w:name="_Toc479775719"/>
      <w:r w:rsidRPr="001B0EA3">
        <w:t>Система на двоен подпис</w:t>
      </w:r>
      <w:bookmarkEnd w:id="1147"/>
    </w:p>
    <w:p w14:paraId="12F6D291" w14:textId="77777777" w:rsidR="000444CE" w:rsidRPr="001B0EA3" w:rsidRDefault="000444CE" w:rsidP="00F068A3">
      <w:pPr>
        <w:widowControl w:val="0"/>
        <w:shd w:val="clear" w:color="auto" w:fill="FFFFFF"/>
        <w:tabs>
          <w:tab w:val="left" w:pos="1440"/>
        </w:tabs>
        <w:spacing w:before="120"/>
        <w:rPr>
          <w:color w:val="000000"/>
          <w:szCs w:val="24"/>
        </w:rPr>
      </w:pPr>
      <w:r w:rsidRPr="001B0EA3">
        <w:rPr>
          <w:color w:val="000000"/>
          <w:szCs w:val="24"/>
        </w:rPr>
        <w:t>Управлението на средствата по сметките на УО по ОПТТИ се извършва чрез прилагане на системата за двоен подпис, изискваща подпис на Ръководителя на УО и подпис на служител на ръководна длъжност, отговорен за финансовата отчетност,</w:t>
      </w:r>
      <w:r w:rsidR="0025413D" w:rsidRPr="001B0EA3">
        <w:rPr>
          <w:color w:val="000000"/>
          <w:szCs w:val="24"/>
        </w:rPr>
        <w:t xml:space="preserve"> </w:t>
      </w:r>
      <w:r w:rsidRPr="001B0EA3">
        <w:rPr>
          <w:color w:val="000000"/>
          <w:szCs w:val="24"/>
        </w:rPr>
        <w:t>който няма права и отговорности, свързани с въвеждането на счетоводна информация. Оторизацията или промяната на лицата с право на подпис се извършва чрез з</w:t>
      </w:r>
      <w:r w:rsidR="00BC40B7">
        <w:rPr>
          <w:color w:val="000000"/>
          <w:szCs w:val="24"/>
        </w:rPr>
        <w:t>аповед на министъра транспорта</w:t>
      </w:r>
      <w:r w:rsidRPr="001B0EA3">
        <w:rPr>
          <w:color w:val="000000"/>
          <w:szCs w:val="24"/>
        </w:rPr>
        <w:t xml:space="preserve"> и съобщенията.</w:t>
      </w:r>
    </w:p>
    <w:p w14:paraId="21F8B049" w14:textId="77777777" w:rsidR="000444CE" w:rsidRPr="001B0EA3" w:rsidRDefault="000444CE" w:rsidP="00C8533C">
      <w:pPr>
        <w:pStyle w:val="Style3"/>
      </w:pPr>
      <w:r w:rsidRPr="00842ECC">
        <w:rPr>
          <w:lang w:val="bg-BG"/>
        </w:rPr>
        <w:t xml:space="preserve"> </w:t>
      </w:r>
      <w:bookmarkStart w:id="1148" w:name="_Toc479775720"/>
      <w:r w:rsidRPr="001B0EA3">
        <w:t>Изплащане на БФП</w:t>
      </w:r>
      <w:bookmarkEnd w:id="1148"/>
    </w:p>
    <w:p w14:paraId="5C8FAF6B" w14:textId="77777777" w:rsidR="00EC7CD8" w:rsidRDefault="000444CE" w:rsidP="00F068A3">
      <w:pPr>
        <w:widowControl w:val="0"/>
        <w:shd w:val="clear" w:color="auto" w:fill="FFFFFF"/>
        <w:tabs>
          <w:tab w:val="left" w:pos="1440"/>
        </w:tabs>
        <w:spacing w:before="120"/>
        <w:rPr>
          <w:color w:val="000000"/>
          <w:szCs w:val="24"/>
        </w:rPr>
      </w:pPr>
      <w:r w:rsidRPr="001B0EA3">
        <w:rPr>
          <w:color w:val="000000"/>
          <w:szCs w:val="24"/>
        </w:rPr>
        <w:t xml:space="preserve">Управляващият орган по ОПТТИ гарантира, че бенефициентите получават общата сума на финансовата подкрепа по програмата в сроковете, установени със ЗУСЕСИФ, в пълнота и в съответствие </w:t>
      </w:r>
      <w:r w:rsidR="00EC7CD8" w:rsidRPr="00EC7CD8">
        <w:rPr>
          <w:color w:val="000000"/>
          <w:szCs w:val="24"/>
        </w:rPr>
        <w:t>с чл.60, ал. 4 от ЗУСЕСИФ</w:t>
      </w:r>
      <w:r w:rsidRPr="001B0EA3">
        <w:rPr>
          <w:color w:val="000000"/>
          <w:szCs w:val="24"/>
        </w:rPr>
        <w:t>.</w:t>
      </w:r>
    </w:p>
    <w:p w14:paraId="0F497FFB" w14:textId="77777777" w:rsidR="000444CE" w:rsidRPr="001B0EA3" w:rsidRDefault="000444CE" w:rsidP="00F068A3">
      <w:pPr>
        <w:widowControl w:val="0"/>
        <w:shd w:val="clear" w:color="auto" w:fill="FFFFFF"/>
        <w:tabs>
          <w:tab w:val="left" w:pos="1440"/>
        </w:tabs>
        <w:spacing w:before="120"/>
        <w:rPr>
          <w:color w:val="000000"/>
          <w:szCs w:val="24"/>
        </w:rPr>
      </w:pPr>
      <w:r w:rsidRPr="001B0EA3">
        <w:rPr>
          <w:color w:val="000000"/>
          <w:szCs w:val="24"/>
        </w:rPr>
        <w:t xml:space="preserve">Управляващият орган по ОПТТИ </w:t>
      </w:r>
      <w:r w:rsidR="00EC7CD8" w:rsidRPr="00EC7CD8">
        <w:rPr>
          <w:color w:val="000000"/>
          <w:szCs w:val="24"/>
        </w:rPr>
        <w:t>изплащана на</w:t>
      </w:r>
      <w:r w:rsidRPr="001B0EA3">
        <w:rPr>
          <w:color w:val="000000"/>
          <w:szCs w:val="24"/>
        </w:rPr>
        <w:t xml:space="preserve">бенефициентите </w:t>
      </w:r>
      <w:r w:rsidR="00EC7CD8" w:rsidRPr="00EC7CD8">
        <w:rPr>
          <w:color w:val="000000"/>
          <w:szCs w:val="24"/>
        </w:rPr>
        <w:t xml:space="preserve">одобрената финансова подкрепа </w:t>
      </w:r>
      <w:r w:rsidRPr="001B0EA3">
        <w:rPr>
          <w:color w:val="000000"/>
          <w:szCs w:val="24"/>
        </w:rPr>
        <w:t>в български лева</w:t>
      </w:r>
      <w:r w:rsidR="00AC1E41" w:rsidRPr="00AC1E41">
        <w:t xml:space="preserve"> </w:t>
      </w:r>
      <w:r w:rsidR="00AC1E41" w:rsidRPr="00AC1E41">
        <w:rPr>
          <w:color w:val="000000"/>
          <w:szCs w:val="24"/>
        </w:rPr>
        <w:t>чрез СЕБРА</w:t>
      </w:r>
      <w:r w:rsidRPr="001B0EA3">
        <w:rPr>
          <w:color w:val="000000"/>
          <w:szCs w:val="24"/>
        </w:rPr>
        <w:t xml:space="preserve">, след иницииране от бенефициентите на бюджетно платежно нареждане. </w:t>
      </w:r>
    </w:p>
    <w:p w14:paraId="11BF6713" w14:textId="77777777" w:rsidR="000444CE" w:rsidRPr="001B0EA3" w:rsidRDefault="000444CE" w:rsidP="00F068A3">
      <w:pPr>
        <w:widowControl w:val="0"/>
        <w:shd w:val="clear" w:color="auto" w:fill="FFFFFF"/>
        <w:tabs>
          <w:tab w:val="left" w:pos="1440"/>
        </w:tabs>
        <w:spacing w:before="120"/>
        <w:rPr>
          <w:color w:val="000000"/>
          <w:szCs w:val="24"/>
        </w:rPr>
      </w:pPr>
      <w:r w:rsidRPr="001B0EA3">
        <w:rPr>
          <w:color w:val="000000"/>
          <w:szCs w:val="24"/>
        </w:rPr>
        <w:t>Йерархичната организация на сметките е, както следва:</w:t>
      </w:r>
    </w:p>
    <w:p w14:paraId="76E201CA" w14:textId="77777777" w:rsidR="000444CE" w:rsidRPr="001B0EA3" w:rsidRDefault="000444CE" w:rsidP="0054623A">
      <w:pPr>
        <w:numPr>
          <w:ilvl w:val="0"/>
          <w:numId w:val="138"/>
        </w:numPr>
        <w:tabs>
          <w:tab w:val="clear" w:pos="720"/>
          <w:tab w:val="num" w:pos="851"/>
          <w:tab w:val="left" w:pos="1440"/>
        </w:tabs>
        <w:overflowPunct w:val="0"/>
        <w:autoSpaceDE w:val="0"/>
        <w:autoSpaceDN w:val="0"/>
        <w:adjustRightInd w:val="0"/>
        <w:spacing w:after="120"/>
        <w:ind w:left="1276" w:hanging="425"/>
        <w:jc w:val="left"/>
        <w:textAlignment w:val="baseline"/>
        <w:rPr>
          <w:color w:val="000000"/>
          <w:szCs w:val="24"/>
        </w:rPr>
      </w:pPr>
      <w:r w:rsidRPr="001B0EA3">
        <w:rPr>
          <w:color w:val="000000"/>
          <w:szCs w:val="24"/>
        </w:rPr>
        <w:t>Първостепенни разпоредители с бюджетни кредити – СО на ниво Оперативна програма</w:t>
      </w:r>
    </w:p>
    <w:p w14:paraId="576BA3EF" w14:textId="77777777" w:rsidR="000444CE" w:rsidRPr="001B0EA3" w:rsidRDefault="000444CE" w:rsidP="0054623A">
      <w:pPr>
        <w:numPr>
          <w:ilvl w:val="0"/>
          <w:numId w:val="138"/>
        </w:numPr>
        <w:tabs>
          <w:tab w:val="clear" w:pos="720"/>
          <w:tab w:val="num" w:pos="851"/>
          <w:tab w:val="left" w:pos="1440"/>
        </w:tabs>
        <w:overflowPunct w:val="0"/>
        <w:autoSpaceDE w:val="0"/>
        <w:autoSpaceDN w:val="0"/>
        <w:adjustRightInd w:val="0"/>
        <w:spacing w:after="120"/>
        <w:ind w:left="1276" w:hanging="425"/>
        <w:textAlignment w:val="baseline"/>
        <w:rPr>
          <w:color w:val="000000"/>
        </w:rPr>
      </w:pPr>
      <w:r w:rsidRPr="001B0EA3">
        <w:rPr>
          <w:color w:val="000000"/>
          <w:szCs w:val="24"/>
        </w:rPr>
        <w:t>Второстепенни разпоредители с бюджетни кредити- УО по ОПТТИ</w:t>
      </w:r>
    </w:p>
    <w:p w14:paraId="577CE3E9" w14:textId="77777777" w:rsidR="000444CE" w:rsidRPr="001B0EA3" w:rsidRDefault="000444CE" w:rsidP="00C8533C">
      <w:pPr>
        <w:pStyle w:val="Style3"/>
      </w:pPr>
      <w:r w:rsidRPr="00842ECC">
        <w:rPr>
          <w:lang w:val="bg-BG"/>
        </w:rPr>
        <w:t xml:space="preserve"> </w:t>
      </w:r>
      <w:bookmarkStart w:id="1149" w:name="_Toc479775721"/>
      <w:r w:rsidRPr="001B0EA3">
        <w:t>Лимити</w:t>
      </w:r>
      <w:bookmarkEnd w:id="1149"/>
    </w:p>
    <w:p w14:paraId="6D40448C" w14:textId="77777777" w:rsidR="000444CE" w:rsidRPr="001B0EA3" w:rsidRDefault="000444CE" w:rsidP="00F068A3">
      <w:pPr>
        <w:widowControl w:val="0"/>
        <w:shd w:val="clear" w:color="auto" w:fill="FFFFFF"/>
        <w:tabs>
          <w:tab w:val="left" w:pos="1440"/>
        </w:tabs>
        <w:spacing w:before="120"/>
        <w:rPr>
          <w:color w:val="000000"/>
          <w:szCs w:val="24"/>
        </w:rPr>
      </w:pPr>
      <w:r w:rsidRPr="001B0EA3">
        <w:rPr>
          <w:color w:val="000000"/>
          <w:szCs w:val="24"/>
        </w:rPr>
        <w:t>За извършване на плащания по ОПТТИ дирекция „</w:t>
      </w:r>
      <w:r w:rsidR="00B43060" w:rsidRPr="001B0EA3">
        <w:rPr>
          <w:color w:val="000000"/>
          <w:szCs w:val="24"/>
        </w:rPr>
        <w:t>Национален</w:t>
      </w:r>
      <w:r w:rsidRPr="001B0EA3">
        <w:rPr>
          <w:color w:val="000000"/>
          <w:szCs w:val="24"/>
        </w:rPr>
        <w:t xml:space="preserve"> фонд“ залага следните лимити по десетразрядните кодове </w:t>
      </w:r>
      <w:r w:rsidR="00AC1E41" w:rsidRPr="00AC1E41">
        <w:rPr>
          <w:color w:val="000000"/>
          <w:szCs w:val="24"/>
        </w:rPr>
        <w:t xml:space="preserve">в СЕБРА </w:t>
      </w:r>
      <w:r w:rsidRPr="001B0EA3">
        <w:rPr>
          <w:color w:val="000000"/>
          <w:szCs w:val="24"/>
        </w:rPr>
        <w:t>на УО:</w:t>
      </w:r>
    </w:p>
    <w:p w14:paraId="5592A612" w14:textId="77777777" w:rsidR="000444CE" w:rsidRPr="001B0EA3" w:rsidRDefault="000444CE" w:rsidP="00AC1E41">
      <w:pPr>
        <w:numPr>
          <w:ilvl w:val="2"/>
          <w:numId w:val="137"/>
        </w:numPr>
        <w:tabs>
          <w:tab w:val="clear" w:pos="2160"/>
          <w:tab w:val="num" w:pos="1134"/>
        </w:tabs>
        <w:ind w:left="0" w:firstLine="851"/>
        <w:rPr>
          <w:color w:val="000000"/>
          <w:szCs w:val="24"/>
        </w:rPr>
      </w:pPr>
      <w:r w:rsidRPr="001B0EA3">
        <w:rPr>
          <w:color w:val="000000"/>
          <w:szCs w:val="24"/>
        </w:rPr>
        <w:t xml:space="preserve">Лимит в размер на авансово получените средства от ЕК и </w:t>
      </w:r>
      <w:r w:rsidR="00AC1E41" w:rsidRPr="00AC1E41">
        <w:rPr>
          <w:color w:val="000000"/>
          <w:szCs w:val="24"/>
        </w:rPr>
        <w:t>съответното</w:t>
      </w:r>
      <w:r w:rsidR="00AC1E41" w:rsidRPr="00AC1E41" w:rsidDel="00AC1E41">
        <w:rPr>
          <w:color w:val="000000"/>
          <w:szCs w:val="24"/>
        </w:rPr>
        <w:t xml:space="preserve"> </w:t>
      </w:r>
      <w:r w:rsidRPr="001B0EA3">
        <w:rPr>
          <w:color w:val="000000"/>
          <w:szCs w:val="24"/>
        </w:rPr>
        <w:t>национално съфинансиране;</w:t>
      </w:r>
    </w:p>
    <w:p w14:paraId="75F9DA13" w14:textId="77777777" w:rsidR="000444CE" w:rsidRPr="001B0EA3" w:rsidRDefault="000444CE" w:rsidP="0054623A">
      <w:pPr>
        <w:numPr>
          <w:ilvl w:val="2"/>
          <w:numId w:val="137"/>
        </w:numPr>
        <w:tabs>
          <w:tab w:val="clear" w:pos="2160"/>
          <w:tab w:val="num" w:pos="0"/>
          <w:tab w:val="num" w:pos="1276"/>
        </w:tabs>
        <w:ind w:left="0" w:firstLine="851"/>
        <w:rPr>
          <w:color w:val="000000"/>
          <w:szCs w:val="24"/>
        </w:rPr>
      </w:pPr>
      <w:r w:rsidRPr="001B0EA3">
        <w:rPr>
          <w:color w:val="000000"/>
          <w:szCs w:val="24"/>
        </w:rPr>
        <w:t xml:space="preserve">Лимит в размер на възстановените от ЕК разходи и </w:t>
      </w:r>
      <w:r w:rsidR="00AC1E41" w:rsidRPr="00AC1E41">
        <w:rPr>
          <w:color w:val="000000"/>
          <w:szCs w:val="24"/>
        </w:rPr>
        <w:t>съответното</w:t>
      </w:r>
      <w:r w:rsidR="00AC1E41" w:rsidRPr="00AC1E41" w:rsidDel="00AC1E41">
        <w:rPr>
          <w:color w:val="000000"/>
          <w:szCs w:val="24"/>
        </w:rPr>
        <w:t xml:space="preserve"> </w:t>
      </w:r>
      <w:r w:rsidRPr="001B0EA3">
        <w:rPr>
          <w:color w:val="000000"/>
          <w:szCs w:val="24"/>
        </w:rPr>
        <w:t>национално съфинансиране;</w:t>
      </w:r>
    </w:p>
    <w:p w14:paraId="0D300D6E" w14:textId="77777777" w:rsidR="000444CE" w:rsidRPr="001B0EA3" w:rsidRDefault="000444CE" w:rsidP="00251D03">
      <w:pPr>
        <w:numPr>
          <w:ilvl w:val="2"/>
          <w:numId w:val="137"/>
        </w:numPr>
        <w:tabs>
          <w:tab w:val="clear" w:pos="2160"/>
          <w:tab w:val="num" w:pos="0"/>
          <w:tab w:val="num" w:pos="1276"/>
        </w:tabs>
        <w:ind w:left="0" w:firstLine="851"/>
        <w:rPr>
          <w:color w:val="000000"/>
          <w:szCs w:val="24"/>
        </w:rPr>
      </w:pPr>
      <w:r w:rsidRPr="001B0EA3">
        <w:rPr>
          <w:color w:val="000000"/>
          <w:szCs w:val="24"/>
        </w:rPr>
        <w:t xml:space="preserve">Лимит в размер на възстановените от бенефициентите разходи както и на възстановени лихви за </w:t>
      </w:r>
      <w:r w:rsidR="00AC1E41" w:rsidRPr="00AC1E41">
        <w:rPr>
          <w:color w:val="000000"/>
          <w:szCs w:val="24"/>
        </w:rPr>
        <w:t>забава по</w:t>
      </w:r>
      <w:r w:rsidR="00AC1E41">
        <w:rPr>
          <w:color w:val="000000"/>
          <w:szCs w:val="24"/>
        </w:rPr>
        <w:t xml:space="preserve"> </w:t>
      </w:r>
      <w:r w:rsidRPr="001B0EA3">
        <w:rPr>
          <w:color w:val="000000"/>
          <w:szCs w:val="24"/>
        </w:rPr>
        <w:t>разходи</w:t>
      </w:r>
      <w:r w:rsidR="00AC1E41" w:rsidRPr="00AC1E41">
        <w:rPr>
          <w:color w:val="000000"/>
          <w:szCs w:val="24"/>
        </w:rPr>
        <w:t>, заявени за възстановяване от ЕК, след тяхното приспадане от заявление за плащане към ЕК или годишен счетоводен отчет (ГСО)</w:t>
      </w:r>
      <w:r w:rsidRPr="001B0EA3">
        <w:rPr>
          <w:color w:val="000000"/>
          <w:szCs w:val="24"/>
        </w:rPr>
        <w:t>.</w:t>
      </w:r>
    </w:p>
    <w:p w14:paraId="077FF8A0" w14:textId="77777777" w:rsidR="000444CE" w:rsidRPr="001B0EA3" w:rsidRDefault="000444CE" w:rsidP="00F068A3">
      <w:pPr>
        <w:widowControl w:val="0"/>
        <w:shd w:val="clear" w:color="auto" w:fill="FFFFFF"/>
        <w:tabs>
          <w:tab w:val="left" w:pos="1440"/>
        </w:tabs>
        <w:spacing w:before="120"/>
        <w:rPr>
          <w:color w:val="000000"/>
          <w:szCs w:val="24"/>
        </w:rPr>
      </w:pPr>
      <w:r w:rsidRPr="001B0EA3">
        <w:rPr>
          <w:color w:val="000000"/>
          <w:szCs w:val="24"/>
        </w:rPr>
        <w:t>Лимитите по т. 1. и 2. се залагат от СО в срок до 10 работни дни след получаването на транш от ЕК, като в същия срок СО уведомява УО.</w:t>
      </w:r>
    </w:p>
    <w:p w14:paraId="5371C66D" w14:textId="77777777" w:rsidR="000444CE" w:rsidRPr="001B0EA3" w:rsidRDefault="000444CE" w:rsidP="00F068A3">
      <w:pPr>
        <w:widowControl w:val="0"/>
        <w:shd w:val="clear" w:color="auto" w:fill="FFFFFF"/>
        <w:tabs>
          <w:tab w:val="left" w:pos="1440"/>
        </w:tabs>
        <w:spacing w:before="120"/>
        <w:rPr>
          <w:color w:val="000000"/>
          <w:szCs w:val="24"/>
        </w:rPr>
      </w:pPr>
      <w:r w:rsidRPr="001B0EA3">
        <w:rPr>
          <w:color w:val="000000"/>
          <w:szCs w:val="24"/>
        </w:rPr>
        <w:t xml:space="preserve">Лимитите по т.3. </w:t>
      </w:r>
      <w:r w:rsidR="00AC1E41" w:rsidRPr="00AC1E41">
        <w:rPr>
          <w:color w:val="000000"/>
          <w:szCs w:val="24"/>
        </w:rPr>
        <w:t>подлежат на залагане единствено в случаите, когато превишават предоставеното финансиране по реда на чл. 17, ал. 4 от З</w:t>
      </w:r>
      <w:r w:rsidR="00AC1E41">
        <w:rPr>
          <w:color w:val="000000"/>
          <w:szCs w:val="24"/>
        </w:rPr>
        <w:t xml:space="preserve">акона за публичните финанси. </w:t>
      </w:r>
      <w:r w:rsidR="00AC1E41" w:rsidRPr="00AC1E41">
        <w:rPr>
          <w:color w:val="000000"/>
          <w:szCs w:val="24"/>
        </w:rPr>
        <w:t>З</w:t>
      </w:r>
      <w:r w:rsidRPr="001B0EA3">
        <w:rPr>
          <w:color w:val="000000"/>
          <w:szCs w:val="24"/>
        </w:rPr>
        <w:t xml:space="preserve">алагат </w:t>
      </w:r>
      <w:r w:rsidR="002A0478">
        <w:rPr>
          <w:color w:val="000000"/>
          <w:szCs w:val="24"/>
        </w:rPr>
        <w:t xml:space="preserve">се </w:t>
      </w:r>
      <w:r w:rsidRPr="001B0EA3">
        <w:rPr>
          <w:color w:val="000000"/>
          <w:szCs w:val="24"/>
        </w:rPr>
        <w:t xml:space="preserve">след 15-то число на месеца, следващ месеца на възстановяването на разходите от бенефициентите, а за възстановените лихви за </w:t>
      </w:r>
      <w:r w:rsidR="00AC1E41" w:rsidRPr="00AC1E41">
        <w:rPr>
          <w:color w:val="000000"/>
          <w:szCs w:val="24"/>
        </w:rPr>
        <w:t xml:space="preserve">забава </w:t>
      </w:r>
      <w:r w:rsidRPr="001B0EA3">
        <w:rPr>
          <w:color w:val="000000"/>
          <w:szCs w:val="24"/>
        </w:rPr>
        <w:t>– на месеца, следващ месеца на</w:t>
      </w:r>
      <w:r w:rsidRPr="001B0EA3" w:rsidDel="00512DE5">
        <w:rPr>
          <w:color w:val="000000"/>
          <w:szCs w:val="24"/>
        </w:rPr>
        <w:t xml:space="preserve"> </w:t>
      </w:r>
      <w:r w:rsidRPr="001B0EA3">
        <w:rPr>
          <w:color w:val="000000"/>
          <w:szCs w:val="24"/>
        </w:rPr>
        <w:t>приспадането им от заявление за плащане към ЕК</w:t>
      </w:r>
      <w:r w:rsidR="00AC1E41">
        <w:rPr>
          <w:color w:val="000000"/>
          <w:szCs w:val="24"/>
        </w:rPr>
        <w:t xml:space="preserve"> или ГСО</w:t>
      </w:r>
      <w:r w:rsidRPr="001B0EA3">
        <w:rPr>
          <w:color w:val="000000"/>
          <w:szCs w:val="24"/>
        </w:rPr>
        <w:t>.</w:t>
      </w:r>
    </w:p>
    <w:p w14:paraId="4ED61532" w14:textId="77777777" w:rsidR="000444CE" w:rsidRPr="001B0EA3" w:rsidRDefault="000444CE" w:rsidP="00F068A3">
      <w:pPr>
        <w:widowControl w:val="0"/>
        <w:shd w:val="clear" w:color="auto" w:fill="FFFFFF"/>
        <w:tabs>
          <w:tab w:val="left" w:pos="1440"/>
        </w:tabs>
        <w:spacing w:before="120"/>
        <w:rPr>
          <w:color w:val="000000"/>
          <w:szCs w:val="24"/>
        </w:rPr>
      </w:pPr>
      <w:r w:rsidRPr="001B0EA3">
        <w:rPr>
          <w:color w:val="000000"/>
          <w:szCs w:val="24"/>
        </w:rPr>
        <w:t>Лимитите остават заложени до тяхното пълно усвояване или до тяхното отнемане.</w:t>
      </w:r>
    </w:p>
    <w:p w14:paraId="05F7F197" w14:textId="77777777" w:rsidR="000444CE" w:rsidRPr="001B0EA3" w:rsidRDefault="000444CE" w:rsidP="00F068A3">
      <w:pPr>
        <w:widowControl w:val="0"/>
        <w:shd w:val="clear" w:color="auto" w:fill="FFFFFF"/>
        <w:tabs>
          <w:tab w:val="left" w:pos="1440"/>
        </w:tabs>
        <w:spacing w:before="120"/>
        <w:rPr>
          <w:color w:val="000000"/>
          <w:szCs w:val="24"/>
        </w:rPr>
      </w:pPr>
      <w:r w:rsidRPr="001B0EA3">
        <w:rPr>
          <w:color w:val="000000"/>
          <w:szCs w:val="24"/>
        </w:rPr>
        <w:t>СО може да отнеме изцяло или частично вече заложените лимити, при установяване на нарушение на принципа за добро финансово управление по смисъла на чл.3</w:t>
      </w:r>
      <w:r w:rsidR="005C3C18">
        <w:rPr>
          <w:color w:val="000000"/>
          <w:szCs w:val="24"/>
        </w:rPr>
        <w:t>3</w:t>
      </w:r>
      <w:r w:rsidRPr="001B0EA3">
        <w:rPr>
          <w:color w:val="000000"/>
          <w:szCs w:val="24"/>
        </w:rPr>
        <w:t xml:space="preserve"> от Регламент (ЕС,</w:t>
      </w:r>
      <w:r w:rsidR="00B43060" w:rsidRPr="001B0EA3">
        <w:rPr>
          <w:color w:val="000000"/>
          <w:szCs w:val="24"/>
        </w:rPr>
        <w:t xml:space="preserve"> </w:t>
      </w:r>
      <w:r w:rsidRPr="001B0EA3">
        <w:rPr>
          <w:color w:val="000000"/>
          <w:szCs w:val="24"/>
        </w:rPr>
        <w:t xml:space="preserve">Евратом) № </w:t>
      </w:r>
      <w:r w:rsidR="005C3C18">
        <w:rPr>
          <w:color w:val="000000"/>
          <w:szCs w:val="24"/>
        </w:rPr>
        <w:t>1046</w:t>
      </w:r>
      <w:r w:rsidRPr="001B0EA3">
        <w:rPr>
          <w:color w:val="000000"/>
          <w:szCs w:val="24"/>
        </w:rPr>
        <w:t>/</w:t>
      </w:r>
      <w:r w:rsidR="005C3C18" w:rsidRPr="001B0EA3">
        <w:rPr>
          <w:color w:val="000000"/>
          <w:szCs w:val="24"/>
        </w:rPr>
        <w:t>201</w:t>
      </w:r>
      <w:r w:rsidR="005C3C18">
        <w:rPr>
          <w:color w:val="000000"/>
          <w:szCs w:val="24"/>
        </w:rPr>
        <w:t>8</w:t>
      </w:r>
      <w:r w:rsidRPr="001B0EA3">
        <w:rPr>
          <w:color w:val="000000"/>
          <w:szCs w:val="24"/>
        </w:rPr>
        <w:t>.</w:t>
      </w:r>
    </w:p>
    <w:p w14:paraId="13FBD9D7" w14:textId="77777777" w:rsidR="000444CE" w:rsidRPr="001B0EA3" w:rsidRDefault="000444CE" w:rsidP="00F068A3">
      <w:pPr>
        <w:widowControl w:val="0"/>
        <w:shd w:val="clear" w:color="auto" w:fill="FFFFFF"/>
        <w:tabs>
          <w:tab w:val="left" w:pos="1440"/>
        </w:tabs>
        <w:spacing w:before="120"/>
        <w:rPr>
          <w:color w:val="000000"/>
          <w:szCs w:val="24"/>
        </w:rPr>
      </w:pPr>
      <w:r w:rsidRPr="001B0EA3">
        <w:rPr>
          <w:color w:val="000000"/>
          <w:szCs w:val="24"/>
        </w:rPr>
        <w:lastRenderedPageBreak/>
        <w:t>В</w:t>
      </w:r>
      <w:r w:rsidR="00B43060" w:rsidRPr="001B0EA3">
        <w:rPr>
          <w:color w:val="000000"/>
          <w:szCs w:val="24"/>
        </w:rPr>
        <w:t xml:space="preserve"> </w:t>
      </w:r>
      <w:r w:rsidRPr="001B0EA3">
        <w:rPr>
          <w:color w:val="000000"/>
          <w:szCs w:val="24"/>
        </w:rPr>
        <w:t>рамките на заложените лимити от СО</w:t>
      </w:r>
      <w:r w:rsidR="00AC1E41">
        <w:rPr>
          <w:color w:val="000000"/>
          <w:szCs w:val="24"/>
        </w:rPr>
        <w:t>,</w:t>
      </w:r>
      <w:r w:rsidRPr="001B0EA3">
        <w:rPr>
          <w:color w:val="000000"/>
          <w:szCs w:val="24"/>
        </w:rPr>
        <w:t xml:space="preserve"> </w:t>
      </w:r>
      <w:r w:rsidR="00AC1E41">
        <w:rPr>
          <w:color w:val="000000"/>
          <w:szCs w:val="24"/>
        </w:rPr>
        <w:t>УО</w:t>
      </w:r>
      <w:r w:rsidR="002A0478">
        <w:rPr>
          <w:color w:val="000000"/>
          <w:szCs w:val="24"/>
        </w:rPr>
        <w:t xml:space="preserve"> </w:t>
      </w:r>
      <w:r w:rsidRPr="001B0EA3">
        <w:rPr>
          <w:color w:val="000000"/>
          <w:szCs w:val="24"/>
        </w:rPr>
        <w:t xml:space="preserve">залага лимити по десетразрядните кодове в СЕБРА на бенефициентите по програмата, спазвайки следния ред: </w:t>
      </w:r>
    </w:p>
    <w:p w14:paraId="3FE0D87C" w14:textId="77777777" w:rsidR="000444CE" w:rsidRPr="001B0EA3" w:rsidRDefault="000444CE" w:rsidP="00046D61">
      <w:pPr>
        <w:spacing w:before="120"/>
        <w:rPr>
          <w:color w:val="000000"/>
          <w:szCs w:val="24"/>
        </w:rPr>
      </w:pPr>
      <w:r w:rsidRPr="001B0EA3">
        <w:rPr>
          <w:color w:val="000000"/>
          <w:szCs w:val="24"/>
        </w:rPr>
        <w:t xml:space="preserve">Началникът на отдел „Финансово управление” </w:t>
      </w:r>
      <w:r w:rsidR="00AC1E41">
        <w:rPr>
          <w:color w:val="000000"/>
          <w:szCs w:val="24"/>
        </w:rPr>
        <w:t xml:space="preserve">изпраща </w:t>
      </w:r>
      <w:r w:rsidRPr="001B0EA3">
        <w:rPr>
          <w:color w:val="000000"/>
          <w:szCs w:val="24"/>
        </w:rPr>
        <w:t xml:space="preserve">на Главния счетоводител полученото </w:t>
      </w:r>
      <w:r w:rsidR="00C45484" w:rsidRPr="00C45484">
        <w:rPr>
          <w:color w:val="000000"/>
          <w:szCs w:val="24"/>
        </w:rPr>
        <w:t>уведомление</w:t>
      </w:r>
      <w:r w:rsidR="002A0478">
        <w:rPr>
          <w:color w:val="000000"/>
          <w:szCs w:val="24"/>
        </w:rPr>
        <w:t xml:space="preserve"> </w:t>
      </w:r>
      <w:r w:rsidRPr="001B0EA3">
        <w:rPr>
          <w:color w:val="000000"/>
          <w:szCs w:val="24"/>
        </w:rPr>
        <w:t xml:space="preserve">от СО за размера и датата на заложените лимити в СЕБРА. Счетоводителят осчетоводява заложените лимити по фонд, оперативна програма, приоритетна ос и  източник на финансиране – аналитичен фонд. </w:t>
      </w:r>
    </w:p>
    <w:p w14:paraId="2FDDDC8C" w14:textId="77777777" w:rsidR="000444CE" w:rsidRPr="001B0EA3" w:rsidRDefault="000444CE" w:rsidP="00046D61">
      <w:pPr>
        <w:spacing w:before="120"/>
        <w:rPr>
          <w:color w:val="000000"/>
          <w:szCs w:val="24"/>
        </w:rPr>
      </w:pPr>
      <w:r w:rsidRPr="001B0EA3">
        <w:rPr>
          <w:color w:val="000000"/>
          <w:szCs w:val="24"/>
        </w:rPr>
        <w:t>За разпределени лимити по десетразряден код на бенефициентите в СЕБРА от страна на УО, счетоводител извършва ежедневна проверка в СЕБРА, където има права за наблюдение</w:t>
      </w:r>
      <w:r w:rsidRPr="001B0EA3">
        <w:rPr>
          <w:color w:val="000000"/>
          <w:szCs w:val="24"/>
          <w:lang w:eastAsia="ko-KR"/>
        </w:rPr>
        <w:t>. В рамките на работния ден на изпращане на уведомително писмо до бенефициента за размера на разпределени лимити по всяко конкретно искане за плащане на ниво проект, служител от отдел „Финансово управление” предоставя копие от писмото на счетоводителя, който осчетоводява разпределените лимити в СЕБРА на съответното аналитично ниво</w:t>
      </w:r>
      <w:r w:rsidRPr="001B0EA3">
        <w:rPr>
          <w:color w:val="000000"/>
          <w:szCs w:val="24"/>
        </w:rPr>
        <w:t xml:space="preserve">. Счетоводителят осчетоводява разпределянето на лимита по фонд, оперативна програма, приоритетна ос и  източник на финансиране – аналитичен фонд. </w:t>
      </w:r>
    </w:p>
    <w:p w14:paraId="6D62B5FB" w14:textId="77777777" w:rsidR="000444CE" w:rsidRPr="001B0EA3" w:rsidRDefault="000444CE" w:rsidP="00F068A3">
      <w:pPr>
        <w:widowControl w:val="0"/>
        <w:shd w:val="clear" w:color="auto" w:fill="FFFFFF"/>
        <w:tabs>
          <w:tab w:val="left" w:pos="1440"/>
        </w:tabs>
        <w:spacing w:before="120"/>
        <w:rPr>
          <w:color w:val="000000"/>
          <w:szCs w:val="24"/>
        </w:rPr>
      </w:pPr>
    </w:p>
    <w:p w14:paraId="7EEC5730" w14:textId="77777777" w:rsidR="00C45484" w:rsidRDefault="000444CE" w:rsidP="00F068A3">
      <w:pPr>
        <w:widowControl w:val="0"/>
        <w:shd w:val="clear" w:color="auto" w:fill="FFFFFF"/>
        <w:tabs>
          <w:tab w:val="left" w:pos="1440"/>
        </w:tabs>
        <w:spacing w:before="120"/>
        <w:rPr>
          <w:color w:val="000000"/>
          <w:szCs w:val="24"/>
        </w:rPr>
      </w:pPr>
      <w:r w:rsidRPr="001B0EA3">
        <w:rPr>
          <w:color w:val="000000"/>
          <w:szCs w:val="24"/>
        </w:rPr>
        <w:t xml:space="preserve">Разпределен лимит от УО по десеторазрядния код на бенефициента не може да бъде отнеман, с изключение на случаите, в които се извършва </w:t>
      </w:r>
      <w:r w:rsidR="00C45484" w:rsidRPr="00C45484">
        <w:rPr>
          <w:color w:val="000000"/>
          <w:szCs w:val="24"/>
        </w:rPr>
        <w:t xml:space="preserve">възстановяване </w:t>
      </w:r>
      <w:r w:rsidRPr="001B0EA3">
        <w:rPr>
          <w:color w:val="000000"/>
          <w:szCs w:val="24"/>
        </w:rPr>
        <w:t>на</w:t>
      </w:r>
      <w:r w:rsidR="00C45484">
        <w:rPr>
          <w:color w:val="000000"/>
          <w:szCs w:val="24"/>
        </w:rPr>
        <w:t>:</w:t>
      </w:r>
    </w:p>
    <w:p w14:paraId="4BD9DA20" w14:textId="77777777" w:rsidR="000444CE" w:rsidRDefault="000444CE" w:rsidP="00251D03">
      <w:pPr>
        <w:pStyle w:val="ListParagraph"/>
        <w:widowControl w:val="0"/>
        <w:numPr>
          <w:ilvl w:val="0"/>
          <w:numId w:val="444"/>
        </w:numPr>
        <w:shd w:val="clear" w:color="auto" w:fill="FFFFFF"/>
        <w:tabs>
          <w:tab w:val="left" w:pos="1134"/>
        </w:tabs>
        <w:spacing w:before="120"/>
        <w:ind w:left="0" w:firstLine="851"/>
        <w:rPr>
          <w:color w:val="000000"/>
          <w:szCs w:val="24"/>
        </w:rPr>
      </w:pPr>
      <w:r w:rsidRPr="00251D03">
        <w:rPr>
          <w:color w:val="000000"/>
          <w:szCs w:val="24"/>
        </w:rPr>
        <w:t>вземане от бенефициент</w:t>
      </w:r>
      <w:r w:rsidR="00C45484" w:rsidRPr="00251D03">
        <w:rPr>
          <w:color w:val="000000"/>
          <w:szCs w:val="24"/>
        </w:rPr>
        <w:t>, регистрирано поради наложена финансова корекция;</w:t>
      </w:r>
    </w:p>
    <w:p w14:paraId="7F91EA0B" w14:textId="77777777" w:rsidR="00C45484" w:rsidRPr="00251D03" w:rsidRDefault="00C45484" w:rsidP="00251D03">
      <w:pPr>
        <w:pStyle w:val="ListParagraph"/>
        <w:widowControl w:val="0"/>
        <w:numPr>
          <w:ilvl w:val="0"/>
          <w:numId w:val="444"/>
        </w:numPr>
        <w:shd w:val="clear" w:color="auto" w:fill="FFFFFF"/>
        <w:tabs>
          <w:tab w:val="left" w:pos="1134"/>
        </w:tabs>
        <w:spacing w:before="120"/>
        <w:ind w:left="0" w:firstLine="851"/>
        <w:rPr>
          <w:color w:val="000000"/>
          <w:szCs w:val="24"/>
        </w:rPr>
      </w:pPr>
      <w:r w:rsidRPr="00C45484">
        <w:rPr>
          <w:color w:val="000000"/>
          <w:szCs w:val="24"/>
        </w:rPr>
        <w:t>вземане от бенефицциента, регистрирано за надплатен аванс по проекта</w:t>
      </w:r>
      <w:r>
        <w:rPr>
          <w:color w:val="000000"/>
          <w:szCs w:val="24"/>
        </w:rPr>
        <w:t>.</w:t>
      </w:r>
    </w:p>
    <w:p w14:paraId="1BCCA1D5" w14:textId="77777777" w:rsidR="00C45484" w:rsidRDefault="00C45484" w:rsidP="00F068A3">
      <w:pPr>
        <w:widowControl w:val="0"/>
        <w:shd w:val="clear" w:color="auto" w:fill="FFFFFF"/>
        <w:tabs>
          <w:tab w:val="left" w:pos="1440"/>
        </w:tabs>
        <w:spacing w:before="120"/>
        <w:rPr>
          <w:color w:val="000000"/>
          <w:szCs w:val="24"/>
        </w:rPr>
      </w:pPr>
      <w:r w:rsidRPr="00C45484">
        <w:rPr>
          <w:color w:val="000000"/>
          <w:szCs w:val="24"/>
        </w:rPr>
        <w:t>Разпределен лимит от УО по десеторазрядния код на бенефициента може да бъде отнеман поради погрешно разпределен лимит в СЕБРА по десетразряден код на бенефициент поради допусната техническа грешка при залагането на лимит или при прекратяване на акта за финансова подкрепа.</w:t>
      </w:r>
    </w:p>
    <w:p w14:paraId="14692958" w14:textId="77777777" w:rsidR="000444CE" w:rsidRPr="001B0EA3" w:rsidRDefault="000444CE" w:rsidP="00F068A3">
      <w:pPr>
        <w:widowControl w:val="0"/>
        <w:shd w:val="clear" w:color="auto" w:fill="FFFFFF"/>
        <w:tabs>
          <w:tab w:val="left" w:pos="1440"/>
        </w:tabs>
        <w:spacing w:before="120"/>
        <w:rPr>
          <w:color w:val="000000"/>
          <w:szCs w:val="24"/>
        </w:rPr>
      </w:pPr>
      <w:r w:rsidRPr="001B0EA3">
        <w:rPr>
          <w:color w:val="000000"/>
          <w:szCs w:val="24"/>
        </w:rPr>
        <w:t xml:space="preserve">В рамките на заложения лимит УО може да одобрява плащания към бенефициентите по ОПТТИ. </w:t>
      </w:r>
    </w:p>
    <w:p w14:paraId="2163DAF4" w14:textId="77777777" w:rsidR="000444CE" w:rsidRPr="001B0EA3" w:rsidRDefault="000444CE" w:rsidP="00F068A3">
      <w:pPr>
        <w:widowControl w:val="0"/>
        <w:shd w:val="clear" w:color="auto" w:fill="FFFFFF"/>
        <w:tabs>
          <w:tab w:val="left" w:pos="1440"/>
        </w:tabs>
        <w:spacing w:before="120"/>
        <w:rPr>
          <w:color w:val="000000"/>
          <w:szCs w:val="24"/>
        </w:rPr>
      </w:pPr>
      <w:r w:rsidRPr="001B0EA3">
        <w:rPr>
          <w:color w:val="000000"/>
          <w:szCs w:val="24"/>
        </w:rPr>
        <w:t xml:space="preserve">Разпределен лимит по десетразряден код на бенефициент в СЕБРА за целите на верификацията и сертификацията се </w:t>
      </w:r>
      <w:r w:rsidR="00C45484" w:rsidRPr="00C45484">
        <w:rPr>
          <w:color w:val="000000"/>
          <w:szCs w:val="24"/>
        </w:rPr>
        <w:t>счита за</w:t>
      </w:r>
      <w:r w:rsidRPr="001B0EA3">
        <w:rPr>
          <w:color w:val="000000"/>
          <w:szCs w:val="24"/>
        </w:rPr>
        <w:t xml:space="preserve"> извършено плащане</w:t>
      </w:r>
      <w:r w:rsidR="00C45484">
        <w:rPr>
          <w:color w:val="000000"/>
          <w:szCs w:val="24"/>
        </w:rPr>
        <w:t>.</w:t>
      </w:r>
    </w:p>
    <w:p w14:paraId="0ED38F25" w14:textId="77777777" w:rsidR="000444CE" w:rsidRPr="001B0EA3" w:rsidRDefault="000444CE" w:rsidP="00F068A3">
      <w:pPr>
        <w:widowControl w:val="0"/>
        <w:shd w:val="clear" w:color="auto" w:fill="FFFFFF"/>
        <w:tabs>
          <w:tab w:val="left" w:pos="1440"/>
        </w:tabs>
        <w:spacing w:before="120"/>
        <w:rPr>
          <w:color w:val="000000"/>
          <w:szCs w:val="24"/>
        </w:rPr>
      </w:pPr>
    </w:p>
    <w:p w14:paraId="65274360" w14:textId="77777777" w:rsidR="000444CE" w:rsidRPr="001B0EA3" w:rsidRDefault="00C45484" w:rsidP="00C8533C">
      <w:pPr>
        <w:pStyle w:val="Style3"/>
      </w:pPr>
      <w:bookmarkStart w:id="1150" w:name="_Toc479775722"/>
      <w:r>
        <w:rPr>
          <w:lang w:val="bg-BG"/>
        </w:rPr>
        <w:t>В</w:t>
      </w:r>
      <w:r w:rsidR="000444CE" w:rsidRPr="001B0EA3">
        <w:t>алутен курс</w:t>
      </w:r>
      <w:bookmarkEnd w:id="1150"/>
    </w:p>
    <w:p w14:paraId="2E5097E9" w14:textId="77777777" w:rsidR="000444CE" w:rsidRPr="001B0EA3" w:rsidRDefault="000444CE" w:rsidP="00F068A3">
      <w:pPr>
        <w:widowControl w:val="0"/>
        <w:shd w:val="clear" w:color="auto" w:fill="FFFFFF"/>
        <w:tabs>
          <w:tab w:val="left" w:pos="1440"/>
        </w:tabs>
        <w:spacing w:before="120"/>
        <w:rPr>
          <w:color w:val="000000"/>
          <w:szCs w:val="24"/>
        </w:rPr>
      </w:pPr>
      <w:r w:rsidRPr="001B0EA3">
        <w:rPr>
          <w:color w:val="000000"/>
          <w:szCs w:val="24"/>
        </w:rPr>
        <w:t xml:space="preserve">Валутният курс, който се използва за изчисляване на левовата равностойност на изплатените от ЕК аванси или на възстановените разходи по заявления за плащане е месечният счетоводен обменен курс на ЕК, валиден за месеца, през който сумите са били осчетоводени в сметките на СО. </w:t>
      </w:r>
    </w:p>
    <w:p w14:paraId="64E09DE8" w14:textId="77777777" w:rsidR="000444CE" w:rsidRDefault="000444CE" w:rsidP="00F068A3">
      <w:pPr>
        <w:widowControl w:val="0"/>
        <w:shd w:val="clear" w:color="auto" w:fill="FFFFFF"/>
        <w:tabs>
          <w:tab w:val="left" w:pos="1440"/>
        </w:tabs>
        <w:spacing w:before="120"/>
        <w:rPr>
          <w:color w:val="000000"/>
          <w:szCs w:val="24"/>
        </w:rPr>
      </w:pPr>
      <w:r w:rsidRPr="001B0EA3">
        <w:rPr>
          <w:color w:val="000000"/>
          <w:szCs w:val="24"/>
        </w:rPr>
        <w:t>Курсовите разлики, които възникват между месечния счетоводен обменен курс</w:t>
      </w:r>
      <w:r w:rsidR="00B43060" w:rsidRPr="001B0EA3">
        <w:rPr>
          <w:color w:val="000000"/>
          <w:szCs w:val="24"/>
        </w:rPr>
        <w:t xml:space="preserve"> </w:t>
      </w:r>
      <w:r w:rsidRPr="001B0EA3">
        <w:rPr>
          <w:color w:val="000000"/>
          <w:szCs w:val="24"/>
        </w:rPr>
        <w:t>на ЕК и обменният курс на БНБ, остават в сметките на Национален фонд и се считат за ресурс под формата на национално съфинансиране</w:t>
      </w:r>
    </w:p>
    <w:p w14:paraId="1816CC70" w14:textId="77777777" w:rsidR="006D5D8A" w:rsidRPr="00842ECC" w:rsidRDefault="006D5D8A" w:rsidP="00251D03">
      <w:pPr>
        <w:pStyle w:val="Style3"/>
        <w:ind w:left="709" w:firstLine="11"/>
        <w:rPr>
          <w:lang w:val="bg-BG"/>
        </w:rPr>
      </w:pPr>
      <w:r w:rsidRPr="00842ECC">
        <w:rPr>
          <w:lang w:val="bg-BG"/>
        </w:rPr>
        <w:t>Прогнози за плащанията и финансови данни по смисъла на чл. 112 от Регламент (ЕС) № 1303/2013</w:t>
      </w:r>
    </w:p>
    <w:p w14:paraId="3DADA188" w14:textId="77777777" w:rsidR="006D5D8A" w:rsidRDefault="006D5D8A" w:rsidP="00251D03">
      <w:r>
        <w:t>Редът за представяне на прогнози за плащанията</w:t>
      </w:r>
      <w:r w:rsidRPr="00842ECC">
        <w:t xml:space="preserve"> </w:t>
      </w:r>
      <w:r>
        <w:t>от УО към СО</w:t>
      </w:r>
      <w:r w:rsidRPr="00842ECC">
        <w:t xml:space="preserve"> </w:t>
      </w:r>
      <w:r>
        <w:t xml:space="preserve">е посочен в чл. 14, 15, 16 от Наредба Н-3/22.05.2018 г. </w:t>
      </w:r>
    </w:p>
    <w:p w14:paraId="491AA4C4" w14:textId="77777777" w:rsidR="006D5D8A" w:rsidRDefault="006D5D8A" w:rsidP="00251D03">
      <w:r>
        <w:t xml:space="preserve"> В рамките на отговорностите си, </w:t>
      </w:r>
      <w:r w:rsidRPr="005B04E5">
        <w:t>УО предоставя на СО по електронен път</w:t>
      </w:r>
      <w:r>
        <w:t>:</w:t>
      </w:r>
    </w:p>
    <w:p w14:paraId="1E2FBC30" w14:textId="77777777" w:rsidR="006D5D8A" w:rsidRDefault="006D5D8A" w:rsidP="006D5D8A">
      <w:pPr>
        <w:pStyle w:val="ListParagraph"/>
        <w:widowControl w:val="0"/>
        <w:numPr>
          <w:ilvl w:val="0"/>
          <w:numId w:val="446"/>
        </w:numPr>
        <w:shd w:val="clear" w:color="auto" w:fill="FFFFFF"/>
        <w:tabs>
          <w:tab w:val="left" w:pos="1134"/>
        </w:tabs>
        <w:spacing w:before="120"/>
        <w:ind w:left="1134" w:hanging="283"/>
      </w:pPr>
      <w:r>
        <w:rPr>
          <w:color w:val="000000"/>
          <w:szCs w:val="24"/>
        </w:rPr>
        <w:t>П</w:t>
      </w:r>
      <w:r w:rsidRPr="00DE45C9">
        <w:rPr>
          <w:rFonts w:hint="eastAsia"/>
          <w:color w:val="000000"/>
          <w:szCs w:val="24"/>
        </w:rPr>
        <w:t>рогноза</w:t>
      </w:r>
      <w:r w:rsidRPr="00DE45C9">
        <w:rPr>
          <w:color w:val="000000"/>
          <w:szCs w:val="24"/>
        </w:rPr>
        <w:t xml:space="preserve"> </w:t>
      </w:r>
      <w:r>
        <w:rPr>
          <w:color w:val="000000"/>
          <w:szCs w:val="24"/>
        </w:rPr>
        <w:t>за плащанията за години „</w:t>
      </w:r>
      <w:r>
        <w:rPr>
          <w:color w:val="000000"/>
          <w:szCs w:val="24"/>
          <w:lang w:val="en-US"/>
        </w:rPr>
        <w:t>n</w:t>
      </w:r>
      <w:r>
        <w:rPr>
          <w:color w:val="000000"/>
          <w:szCs w:val="24"/>
        </w:rPr>
        <w:t>“</w:t>
      </w:r>
      <w:r w:rsidRPr="00DE45C9">
        <w:rPr>
          <w:color w:val="000000"/>
          <w:szCs w:val="24"/>
        </w:rPr>
        <w:t xml:space="preserve"> </w:t>
      </w:r>
      <w:r>
        <w:rPr>
          <w:color w:val="000000"/>
          <w:szCs w:val="24"/>
        </w:rPr>
        <w:t>и „</w:t>
      </w:r>
      <w:r>
        <w:rPr>
          <w:color w:val="000000"/>
          <w:szCs w:val="24"/>
          <w:lang w:val="en-US"/>
        </w:rPr>
        <w:t>n</w:t>
      </w:r>
      <w:r>
        <w:rPr>
          <w:color w:val="000000"/>
          <w:szCs w:val="24"/>
        </w:rPr>
        <w:t>+1“ в срок до 10 януари  на годината „</w:t>
      </w:r>
      <w:r>
        <w:rPr>
          <w:color w:val="000000"/>
          <w:szCs w:val="24"/>
          <w:lang w:val="en-US"/>
        </w:rPr>
        <w:t>n</w:t>
      </w:r>
      <w:r>
        <w:rPr>
          <w:color w:val="000000"/>
          <w:szCs w:val="24"/>
        </w:rPr>
        <w:t>“;</w:t>
      </w:r>
    </w:p>
    <w:p w14:paraId="28532DC5" w14:textId="77777777" w:rsidR="006D5D8A" w:rsidRDefault="006D5D8A" w:rsidP="006D5D8A">
      <w:pPr>
        <w:pStyle w:val="ListParagraph"/>
        <w:widowControl w:val="0"/>
        <w:numPr>
          <w:ilvl w:val="0"/>
          <w:numId w:val="446"/>
        </w:numPr>
        <w:shd w:val="clear" w:color="auto" w:fill="FFFFFF"/>
        <w:tabs>
          <w:tab w:val="left" w:pos="1134"/>
        </w:tabs>
        <w:spacing w:before="120"/>
        <w:ind w:left="1134" w:hanging="283"/>
      </w:pPr>
      <w:r>
        <w:rPr>
          <w:color w:val="000000"/>
          <w:szCs w:val="24"/>
        </w:rPr>
        <w:t>Актуализация на прогнозата за плащанията се извършва от УО всяка година  и се представя на СО по електронен път в срок до 10 юли;</w:t>
      </w:r>
    </w:p>
    <w:p w14:paraId="1A0F981D" w14:textId="77777777" w:rsidR="006D5D8A" w:rsidRDefault="006D5D8A" w:rsidP="006D5D8A">
      <w:pPr>
        <w:widowControl w:val="0"/>
        <w:shd w:val="clear" w:color="auto" w:fill="FFFFFF"/>
        <w:tabs>
          <w:tab w:val="left" w:pos="1440"/>
        </w:tabs>
        <w:spacing w:before="120"/>
      </w:pPr>
      <w:r>
        <w:rPr>
          <w:color w:val="000000"/>
          <w:szCs w:val="24"/>
        </w:rPr>
        <w:t xml:space="preserve">УО въвежда в ИСУН 2020 всеки месец до 10-то число прогноза за плащанията за </w:t>
      </w:r>
      <w:r>
        <w:rPr>
          <w:color w:val="000000"/>
          <w:szCs w:val="24"/>
        </w:rPr>
        <w:lastRenderedPageBreak/>
        <w:t>текущия и следващия месец.</w:t>
      </w:r>
    </w:p>
    <w:p w14:paraId="634B5731" w14:textId="77777777" w:rsidR="006D5D8A" w:rsidRPr="001B0EA3" w:rsidRDefault="006D5D8A" w:rsidP="006D5D8A">
      <w:pPr>
        <w:widowControl w:val="0"/>
        <w:shd w:val="clear" w:color="auto" w:fill="FFFFFF"/>
        <w:tabs>
          <w:tab w:val="left" w:pos="1440"/>
        </w:tabs>
        <w:spacing w:before="120"/>
        <w:rPr>
          <w:color w:val="000000"/>
          <w:szCs w:val="24"/>
        </w:rPr>
      </w:pPr>
      <w:r>
        <w:rPr>
          <w:color w:val="000000"/>
          <w:szCs w:val="24"/>
        </w:rPr>
        <w:t xml:space="preserve">Съглано чл. 17 от Наредба Н-3/22.05.2018 г. УО представя на СО по електронен път финансови данни по смисъла на чл. </w:t>
      </w:r>
      <w:r w:rsidRPr="00431F40">
        <w:rPr>
          <w:color w:val="000000"/>
          <w:szCs w:val="24"/>
        </w:rPr>
        <w:t>112 от Регламент (ЕС) № 1303/2013</w:t>
      </w:r>
      <w:r w:rsidRPr="00842ECC">
        <w:rPr>
          <w:color w:val="000000"/>
          <w:szCs w:val="24"/>
        </w:rPr>
        <w:t xml:space="preserve">. </w:t>
      </w:r>
      <w:r>
        <w:rPr>
          <w:color w:val="000000"/>
          <w:szCs w:val="24"/>
        </w:rPr>
        <w:t>До края на календарния месец, предхождащ месеца на представяне на финансовите данни, УО изисква от бенефициентите детайлна прогноза за финнасовото изпълнение на одобрените за финансиране проекти, както и за проекти, предстоящи за одобрение от УО., На тази база, експерт от отдел „Финансово управление“ изготвя до 5 янури, 5 юли и 5 отктомври на всяка финансова година прогноза за финансовите данни</w:t>
      </w:r>
      <w:r w:rsidRPr="00C4048C">
        <w:rPr>
          <w:color w:val="000000"/>
          <w:szCs w:val="24"/>
        </w:rPr>
        <w:t xml:space="preserve"> </w:t>
      </w:r>
      <w:r>
        <w:rPr>
          <w:color w:val="000000"/>
          <w:szCs w:val="24"/>
        </w:rPr>
        <w:t xml:space="preserve">по смисъла на чл. </w:t>
      </w:r>
      <w:r w:rsidRPr="00431F40">
        <w:rPr>
          <w:color w:val="000000"/>
          <w:szCs w:val="24"/>
        </w:rPr>
        <w:t>112 от Регламент (ЕС) № 1303/2013</w:t>
      </w:r>
      <w:r>
        <w:rPr>
          <w:color w:val="000000"/>
          <w:szCs w:val="24"/>
        </w:rPr>
        <w:t>, които следва да бъдат представени на СО. Прогнозата се проверява и съгласува от началник на отдел „Финансово управление“, след което се представя за одобрение и изпращане от Ръководителя на УО до 10 янури, 10 юли и 10 отктомври на всяка финансова година.</w:t>
      </w:r>
    </w:p>
    <w:p w14:paraId="5C5CD7A7" w14:textId="77777777" w:rsidR="000444CE" w:rsidRPr="001B0EA3" w:rsidRDefault="000444CE" w:rsidP="00F068A3">
      <w:pPr>
        <w:widowControl w:val="0"/>
        <w:shd w:val="clear" w:color="auto" w:fill="FFFFFF"/>
        <w:tabs>
          <w:tab w:val="left" w:pos="1440"/>
        </w:tabs>
        <w:spacing w:before="120"/>
        <w:rPr>
          <w:color w:val="000000"/>
          <w:szCs w:val="24"/>
        </w:rPr>
      </w:pPr>
    </w:p>
    <w:p w14:paraId="70CA0E3D" w14:textId="77777777" w:rsidR="000444CE" w:rsidRPr="00842ECC" w:rsidRDefault="000444CE" w:rsidP="00B502C7">
      <w:pPr>
        <w:pStyle w:val="Style2"/>
        <w:rPr>
          <w:lang w:val="bg-BG" w:eastAsia="bg-BG"/>
        </w:rPr>
      </w:pPr>
      <w:bookmarkStart w:id="1151" w:name="_Toc479775723"/>
      <w:bookmarkStart w:id="1152" w:name="_Toc140150252"/>
      <w:r w:rsidRPr="00842ECC">
        <w:rPr>
          <w:lang w:val="bg-BG" w:eastAsia="bg-BG"/>
        </w:rPr>
        <w:t>Общи условия при изготвяне на искания за плащане от бенефициенти по ОПТТИ</w:t>
      </w:r>
      <w:bookmarkEnd w:id="1151"/>
      <w:bookmarkEnd w:id="1152"/>
    </w:p>
    <w:p w14:paraId="12911B92" w14:textId="77777777" w:rsidR="000444CE" w:rsidRPr="00842ECC" w:rsidRDefault="000444CE" w:rsidP="00C8533C">
      <w:pPr>
        <w:pStyle w:val="Style3"/>
        <w:rPr>
          <w:lang w:val="bg-BG" w:eastAsia="bg-BG"/>
        </w:rPr>
      </w:pPr>
      <w:bookmarkStart w:id="1153" w:name="_Toc479775724"/>
      <w:r w:rsidRPr="00842ECC">
        <w:rPr>
          <w:lang w:val="bg-BG" w:eastAsia="bg-BG"/>
        </w:rPr>
        <w:t>Искания за плащане от външни Бенефициенти по ОПТТИ</w:t>
      </w:r>
      <w:bookmarkEnd w:id="1153"/>
    </w:p>
    <w:p w14:paraId="63DB689C" w14:textId="77777777" w:rsidR="000444CE" w:rsidRPr="001B0EA3" w:rsidRDefault="000444CE" w:rsidP="000444CE">
      <w:pPr>
        <w:widowControl w:val="0"/>
        <w:shd w:val="clear" w:color="auto" w:fill="FFFFFF"/>
        <w:tabs>
          <w:tab w:val="left" w:pos="1440"/>
        </w:tabs>
        <w:spacing w:before="120"/>
        <w:rPr>
          <w:color w:val="000000"/>
          <w:szCs w:val="24"/>
        </w:rPr>
      </w:pPr>
      <w:r w:rsidRPr="001B0EA3">
        <w:rPr>
          <w:color w:val="000000"/>
          <w:szCs w:val="24"/>
        </w:rPr>
        <w:t>Верифицирането на разходи по ОПТТИ и предоставянето на БФП се осъществява чрез представяне на искания за плащане от бенефициентите в УО.</w:t>
      </w:r>
    </w:p>
    <w:p w14:paraId="734907D4" w14:textId="77777777" w:rsidR="000444CE" w:rsidRPr="001B0EA3" w:rsidRDefault="000444CE" w:rsidP="000444CE">
      <w:pPr>
        <w:widowControl w:val="0"/>
        <w:shd w:val="clear" w:color="auto" w:fill="FFFFFF"/>
        <w:tabs>
          <w:tab w:val="left" w:pos="1440"/>
        </w:tabs>
        <w:spacing w:before="120"/>
        <w:rPr>
          <w:color w:val="000000"/>
          <w:szCs w:val="24"/>
        </w:rPr>
      </w:pPr>
      <w:r w:rsidRPr="001B0EA3">
        <w:rPr>
          <w:color w:val="000000"/>
          <w:szCs w:val="24"/>
        </w:rPr>
        <w:t>Бенефициентът е задължен в срок от 10 дни от издаване на акта за оторизиране да уведоми УО за лицата, оторизирани да подписват искания за плащане и друга финансова информация по ОПТТИ. При промяна на лицата оторизирани с право на подпис, бенефициентът е длъжен да уведоми УО  в срок от 5 дни от настъпването на промяната.</w:t>
      </w:r>
    </w:p>
    <w:p w14:paraId="53BE4414" w14:textId="77777777" w:rsidR="000444CE" w:rsidRPr="001B0EA3" w:rsidRDefault="000444CE" w:rsidP="000444CE">
      <w:pPr>
        <w:widowControl w:val="0"/>
        <w:shd w:val="clear" w:color="auto" w:fill="FFFFFF"/>
        <w:tabs>
          <w:tab w:val="left" w:pos="1440"/>
        </w:tabs>
        <w:spacing w:before="120"/>
        <w:rPr>
          <w:color w:val="000000"/>
          <w:szCs w:val="24"/>
        </w:rPr>
      </w:pPr>
      <w:r w:rsidRPr="001B0EA3">
        <w:rPr>
          <w:color w:val="000000"/>
          <w:szCs w:val="24"/>
        </w:rPr>
        <w:t>Исканията за плащане на  БФП могат да бъдат за :</w:t>
      </w:r>
    </w:p>
    <w:p w14:paraId="45469B0B" w14:textId="77777777" w:rsidR="000444CE" w:rsidRPr="001B0EA3" w:rsidRDefault="000444CE" w:rsidP="0054623A">
      <w:pPr>
        <w:numPr>
          <w:ilvl w:val="1"/>
          <w:numId w:val="135"/>
        </w:numPr>
        <w:spacing w:before="120" w:after="120"/>
        <w:ind w:left="1800"/>
        <w:rPr>
          <w:szCs w:val="24"/>
          <w:lang w:eastAsia="fr-FR"/>
        </w:rPr>
      </w:pPr>
      <w:r w:rsidRPr="001B0EA3">
        <w:rPr>
          <w:szCs w:val="24"/>
        </w:rPr>
        <w:t>Авансово плащане</w:t>
      </w:r>
    </w:p>
    <w:p w14:paraId="40B6BE6D" w14:textId="77777777" w:rsidR="000444CE" w:rsidRPr="001B0EA3" w:rsidRDefault="000444CE" w:rsidP="0054623A">
      <w:pPr>
        <w:numPr>
          <w:ilvl w:val="1"/>
          <w:numId w:val="135"/>
        </w:numPr>
        <w:spacing w:before="120" w:after="120"/>
        <w:ind w:left="1800"/>
        <w:rPr>
          <w:szCs w:val="24"/>
          <w:lang w:eastAsia="fr-FR"/>
        </w:rPr>
      </w:pPr>
      <w:r w:rsidRPr="001B0EA3">
        <w:rPr>
          <w:szCs w:val="24"/>
        </w:rPr>
        <w:t>Междинни плащания</w:t>
      </w:r>
    </w:p>
    <w:p w14:paraId="3DB435BD" w14:textId="77777777" w:rsidR="000444CE" w:rsidRPr="001B0EA3" w:rsidRDefault="000444CE" w:rsidP="0054623A">
      <w:pPr>
        <w:numPr>
          <w:ilvl w:val="1"/>
          <w:numId w:val="135"/>
        </w:numPr>
        <w:spacing w:before="120" w:after="120"/>
        <w:ind w:left="1800"/>
        <w:rPr>
          <w:szCs w:val="24"/>
          <w:lang w:eastAsia="fr-FR"/>
        </w:rPr>
      </w:pPr>
      <w:r w:rsidRPr="001B0EA3">
        <w:rPr>
          <w:szCs w:val="24"/>
        </w:rPr>
        <w:t>Окончателно плащане</w:t>
      </w:r>
    </w:p>
    <w:p w14:paraId="457E5AD8" w14:textId="77777777" w:rsidR="000444CE" w:rsidRPr="001B0EA3" w:rsidRDefault="000444CE" w:rsidP="000444CE">
      <w:pPr>
        <w:rPr>
          <w:szCs w:val="24"/>
        </w:rPr>
      </w:pPr>
      <w:r w:rsidRPr="001B0EA3">
        <w:rPr>
          <w:b/>
          <w:i/>
          <w:color w:val="000000"/>
          <w:sz w:val="28"/>
          <w:szCs w:val="28"/>
          <w:u w:val="single"/>
        </w:rPr>
        <w:t>Искане за Авансово плащане</w:t>
      </w:r>
      <w:r w:rsidRPr="001B0EA3">
        <w:rPr>
          <w:b/>
          <w:i/>
          <w:color w:val="000000"/>
          <w:szCs w:val="24"/>
        </w:rPr>
        <w:t xml:space="preserve"> – </w:t>
      </w:r>
      <w:r w:rsidRPr="001B0EA3">
        <w:rPr>
          <w:color w:val="000000"/>
          <w:szCs w:val="24"/>
        </w:rPr>
        <w:t xml:space="preserve"> В съответствие с разпоредбите на чл. 7, ал. </w:t>
      </w:r>
      <w:r w:rsidR="004F23CC">
        <w:rPr>
          <w:color w:val="000000"/>
          <w:szCs w:val="24"/>
        </w:rPr>
        <w:t>1, т.2</w:t>
      </w:r>
      <w:r w:rsidRPr="001B0EA3">
        <w:rPr>
          <w:color w:val="000000"/>
          <w:szCs w:val="24"/>
        </w:rPr>
        <w:t xml:space="preserve"> от Наредба №Н-3</w:t>
      </w:r>
      <w:r w:rsidR="004F23CC">
        <w:rPr>
          <w:color w:val="000000"/>
          <w:szCs w:val="24"/>
        </w:rPr>
        <w:t>/</w:t>
      </w:r>
      <w:r w:rsidR="004F23CC" w:rsidRPr="004F23CC">
        <w:rPr>
          <w:color w:val="000000"/>
          <w:szCs w:val="24"/>
        </w:rPr>
        <w:t>22.05.2018</w:t>
      </w:r>
      <w:r w:rsidRPr="001B0EA3">
        <w:rPr>
          <w:color w:val="000000"/>
          <w:szCs w:val="24"/>
        </w:rPr>
        <w:t xml:space="preserve"> г.  за проекти</w:t>
      </w:r>
      <w:r w:rsidR="00B43060" w:rsidRPr="001B0EA3">
        <w:rPr>
          <w:color w:val="000000"/>
          <w:szCs w:val="24"/>
        </w:rPr>
        <w:t xml:space="preserve"> </w:t>
      </w:r>
      <w:r w:rsidRPr="001B0EA3">
        <w:rPr>
          <w:color w:val="000000"/>
          <w:szCs w:val="24"/>
        </w:rPr>
        <w:t xml:space="preserve">по ОПТТИ авансовите плащания се отпускат в размер до 35% от стойността на одобрената БФП. За всеки конкретен проект размерът на аванса се определя в административен договор/заповед  за предоставяне на БФП с включена клауза за авансово плащане и се изплаща в </w:t>
      </w:r>
      <w:r w:rsidRPr="001B0EA3">
        <w:rPr>
          <w:b/>
          <w:color w:val="000000"/>
          <w:szCs w:val="24"/>
        </w:rPr>
        <w:t>двуседмичен</w:t>
      </w:r>
      <w:r w:rsidRPr="001B0EA3">
        <w:rPr>
          <w:color w:val="000000"/>
          <w:szCs w:val="24"/>
        </w:rPr>
        <w:t xml:space="preserve"> срок от </w:t>
      </w:r>
      <w:r w:rsidR="00290E95" w:rsidRPr="00290E95">
        <w:rPr>
          <w:color w:val="000000"/>
          <w:szCs w:val="24"/>
        </w:rPr>
        <w:t xml:space="preserve">датата на </w:t>
      </w:r>
      <w:r w:rsidRPr="001B0EA3">
        <w:rPr>
          <w:color w:val="000000"/>
          <w:szCs w:val="24"/>
        </w:rPr>
        <w:t xml:space="preserve">постъпване  на искането за авансово плащане в УО. Авансовите плащания към бенефициентите може да се извършват частично в зависимост от стойността на проекта, спецификата на планираните дейности и готовността за тяхното изпълнение. За инфраструктурни проекти над </w:t>
      </w:r>
      <w:r w:rsidR="00290E95">
        <w:rPr>
          <w:color w:val="000000"/>
          <w:szCs w:val="24"/>
        </w:rPr>
        <w:t>10</w:t>
      </w:r>
      <w:r w:rsidRPr="001B0EA3">
        <w:rPr>
          <w:color w:val="000000"/>
          <w:szCs w:val="24"/>
        </w:rPr>
        <w:t xml:space="preserve"> млн. лв.</w:t>
      </w:r>
      <w:r w:rsidR="00290E95" w:rsidRPr="00290E95">
        <w:t xml:space="preserve"> </w:t>
      </w:r>
      <w:r w:rsidR="00290E95" w:rsidRPr="00290E95">
        <w:rPr>
          <w:color w:val="000000"/>
          <w:szCs w:val="24"/>
        </w:rPr>
        <w:t>и с повече от 50 на сто от общата стойност по проекта за строително-монтажни работи</w:t>
      </w:r>
      <w:r w:rsidR="00290E95">
        <w:rPr>
          <w:color w:val="000000"/>
          <w:szCs w:val="24"/>
        </w:rPr>
        <w:t>,</w:t>
      </w:r>
      <w:r w:rsidRPr="001B0EA3">
        <w:rPr>
          <w:color w:val="000000"/>
          <w:szCs w:val="24"/>
        </w:rPr>
        <w:t xml:space="preserve"> авансовото плащане е в размер на 1% от стойността на предоставената БФП след издаването на административен договор/</w:t>
      </w:r>
      <w:r w:rsidRPr="001B0EA3">
        <w:rPr>
          <w:szCs w:val="24"/>
        </w:rPr>
        <w:t>заповед за предоставяне на финансова подкрепа, като остатъкът до одобрения от УО размер за авансово плащане се изплаща при сключване на първия  договор за строителство.</w:t>
      </w:r>
    </w:p>
    <w:p w14:paraId="1B6FD960" w14:textId="77777777" w:rsidR="00E566F5" w:rsidRPr="001B0EA3" w:rsidRDefault="00E566F5" w:rsidP="00E566F5">
      <w:pPr>
        <w:tabs>
          <w:tab w:val="left" w:pos="540"/>
        </w:tabs>
        <w:rPr>
          <w:color w:val="000000"/>
          <w:szCs w:val="24"/>
        </w:rPr>
      </w:pPr>
      <w:r w:rsidRPr="0050698B">
        <w:rPr>
          <w:szCs w:val="24"/>
        </w:rPr>
        <w:t>З</w:t>
      </w:r>
      <w:r w:rsidRPr="001B0EA3">
        <w:rPr>
          <w:szCs w:val="24"/>
        </w:rPr>
        <w:t>а подадено</w:t>
      </w:r>
      <w:r w:rsidRPr="001B0EA3">
        <w:rPr>
          <w:b/>
          <w:szCs w:val="24"/>
        </w:rPr>
        <w:t xml:space="preserve"> </w:t>
      </w:r>
      <w:r w:rsidRPr="001B0EA3">
        <w:rPr>
          <w:szCs w:val="24"/>
        </w:rPr>
        <w:t>искане за  плащане се счита искане за авансово плащане което е регистрирано</w:t>
      </w:r>
      <w:r w:rsidRPr="0050698B">
        <w:rPr>
          <w:szCs w:val="24"/>
        </w:rPr>
        <w:t xml:space="preserve"> (изпратено)</w:t>
      </w:r>
      <w:r w:rsidRPr="001B0EA3">
        <w:rPr>
          <w:szCs w:val="24"/>
        </w:rPr>
        <w:t xml:space="preserve"> в ИСУН 2020, модул „Мониторинг и финансов контрол“, подмодул „Мониторинг на пакет отчетни документи“. Извършените проверки на искането за авансово плащане се </w:t>
      </w:r>
      <w:r>
        <w:rPr>
          <w:szCs w:val="24"/>
        </w:rPr>
        <w:t>удостоверяват</w:t>
      </w:r>
      <w:r w:rsidRPr="001B0EA3">
        <w:rPr>
          <w:szCs w:val="24"/>
        </w:rPr>
        <w:t xml:space="preserve"> от УО чрез попълване на контролен лист за искане за авансово плащане от бенефициенти по ОПТТИ</w:t>
      </w:r>
      <w:r>
        <w:rPr>
          <w:szCs w:val="24"/>
        </w:rPr>
        <w:t>, регистриран електронно в ИСУН 2020</w:t>
      </w:r>
      <w:r w:rsidRPr="00842ECC">
        <w:rPr>
          <w:szCs w:val="24"/>
        </w:rPr>
        <w:t xml:space="preserve"> </w:t>
      </w:r>
      <w:r w:rsidRPr="00842ECC">
        <w:t>(</w:t>
      </w:r>
      <w:r>
        <w:t>Приложение № 5.01.1.1</w:t>
      </w:r>
      <w:r w:rsidRPr="00842ECC">
        <w:t>)</w:t>
      </w:r>
      <w:r>
        <w:rPr>
          <w:szCs w:val="24"/>
        </w:rPr>
        <w:t>.</w:t>
      </w:r>
      <w:r w:rsidRPr="00842ECC">
        <w:rPr>
          <w:szCs w:val="24"/>
        </w:rPr>
        <w:t xml:space="preserve"> </w:t>
      </w:r>
      <w:r w:rsidRPr="001B0EA3">
        <w:rPr>
          <w:szCs w:val="24"/>
        </w:rPr>
        <w:t xml:space="preserve">Първи контрол се извършва от финансов експерт, който в рамките на </w:t>
      </w:r>
      <w:r>
        <w:rPr>
          <w:szCs w:val="24"/>
        </w:rPr>
        <w:t>2</w:t>
      </w:r>
      <w:r w:rsidRPr="001B0EA3">
        <w:rPr>
          <w:szCs w:val="24"/>
        </w:rPr>
        <w:t xml:space="preserve"> работни дни проверява подаденото и</w:t>
      </w:r>
      <w:r w:rsidRPr="001B0EA3">
        <w:rPr>
          <w:color w:val="000000"/>
          <w:szCs w:val="24"/>
        </w:rPr>
        <w:t xml:space="preserve">скане и изготвя становище с предложение за размера на одобрения аванс по представеното искане. Искането се </w:t>
      </w:r>
      <w:r>
        <w:rPr>
          <w:color w:val="000000"/>
          <w:szCs w:val="24"/>
        </w:rPr>
        <w:t xml:space="preserve">насочва </w:t>
      </w:r>
      <w:r w:rsidRPr="001B0EA3">
        <w:rPr>
          <w:color w:val="000000"/>
          <w:szCs w:val="24"/>
        </w:rPr>
        <w:t xml:space="preserve">за втори контрол </w:t>
      </w:r>
      <w:r>
        <w:rPr>
          <w:color w:val="000000"/>
          <w:szCs w:val="24"/>
        </w:rPr>
        <w:t>към</w:t>
      </w:r>
      <w:r w:rsidRPr="001B0EA3">
        <w:rPr>
          <w:color w:val="000000"/>
          <w:szCs w:val="24"/>
        </w:rPr>
        <w:t xml:space="preserve"> </w:t>
      </w:r>
      <w:r>
        <w:rPr>
          <w:color w:val="000000"/>
          <w:szCs w:val="24"/>
        </w:rPr>
        <w:t>н</w:t>
      </w:r>
      <w:r w:rsidRPr="001B0EA3">
        <w:rPr>
          <w:color w:val="000000"/>
          <w:szCs w:val="24"/>
        </w:rPr>
        <w:t xml:space="preserve">ачалника на отдел „Финансово управление“, който в рамките на 1 работен ден съгласува становището и въвежда </w:t>
      </w:r>
      <w:r w:rsidRPr="001B0EA3">
        <w:rPr>
          <w:color w:val="000000"/>
          <w:szCs w:val="24"/>
        </w:rPr>
        <w:lastRenderedPageBreak/>
        <w:t xml:space="preserve">контроли в контролния лист. </w:t>
      </w:r>
      <w:r>
        <w:rPr>
          <w:color w:val="000000"/>
          <w:szCs w:val="24"/>
        </w:rPr>
        <w:t xml:space="preserve">Контролният лист се насочва към Ръководителя на УО, който </w:t>
      </w:r>
      <w:r w:rsidRPr="001B0EA3">
        <w:rPr>
          <w:color w:val="000000"/>
          <w:szCs w:val="24"/>
          <w:lang w:eastAsia="fr-FR"/>
        </w:rPr>
        <w:t>одобрява/неодобрява сумите на БФП по всяко искане</w:t>
      </w:r>
      <w:r w:rsidRPr="00290E95">
        <w:t xml:space="preserve"> </w:t>
      </w:r>
      <w:r w:rsidRPr="00290E95">
        <w:rPr>
          <w:color w:val="000000"/>
          <w:szCs w:val="24"/>
          <w:lang w:eastAsia="fr-FR"/>
        </w:rPr>
        <w:t xml:space="preserve">за авансово плащане </w:t>
      </w:r>
      <w:r w:rsidRPr="001B0EA3">
        <w:rPr>
          <w:color w:val="000000"/>
          <w:szCs w:val="24"/>
          <w:lang w:eastAsia="fr-FR"/>
        </w:rPr>
        <w:t>в рамките на 1 работен ден в приложения контролен лист и въвежда и крайна проверка на искането в ИСУН 2020</w:t>
      </w:r>
      <w:r>
        <w:rPr>
          <w:color w:val="000000"/>
          <w:szCs w:val="24"/>
        </w:rPr>
        <w:t xml:space="preserve"> </w:t>
      </w:r>
      <w:r w:rsidRPr="001B0EA3">
        <w:rPr>
          <w:color w:val="000000"/>
          <w:szCs w:val="24"/>
          <w:lang w:eastAsia="fr-FR"/>
        </w:rPr>
        <w:t>(модул „Мониторинг и финансов контрол“, подмодул „Мониторинг на пакети отчетни документи“, и „Верифицирано ИП“)</w:t>
      </w:r>
      <w:r w:rsidRPr="001B0EA3">
        <w:rPr>
          <w:color w:val="000000"/>
          <w:szCs w:val="24"/>
        </w:rPr>
        <w:t xml:space="preserve">. </w:t>
      </w:r>
    </w:p>
    <w:p w14:paraId="2CF3079A" w14:textId="77777777" w:rsidR="00EE3A4D" w:rsidRPr="001B0EA3" w:rsidRDefault="00EE3A4D" w:rsidP="00EE3A4D">
      <w:pPr>
        <w:spacing w:before="120"/>
        <w:rPr>
          <w:color w:val="000000"/>
          <w:szCs w:val="24"/>
          <w:lang w:eastAsia="fr-FR"/>
        </w:rPr>
      </w:pPr>
      <w:r w:rsidRPr="001B0EA3">
        <w:rPr>
          <w:color w:val="000000"/>
          <w:szCs w:val="24"/>
          <w:lang w:eastAsia="fr-FR"/>
        </w:rPr>
        <w:t xml:space="preserve">Срокът за въвеждане на крайната проверка от </w:t>
      </w:r>
      <w:r>
        <w:rPr>
          <w:color w:val="000000"/>
          <w:szCs w:val="24"/>
          <w:lang w:eastAsia="fr-FR"/>
        </w:rPr>
        <w:t>Р</w:t>
      </w:r>
      <w:r w:rsidRPr="001B0EA3">
        <w:rPr>
          <w:color w:val="000000"/>
          <w:szCs w:val="24"/>
          <w:lang w:eastAsia="fr-FR"/>
        </w:rPr>
        <w:t>ъководителя на УО на ОПТТИ е 3  работни дни от датата на верификация на искането за плащане.</w:t>
      </w:r>
    </w:p>
    <w:p w14:paraId="02775C9E" w14:textId="77777777" w:rsidR="000444CE" w:rsidRPr="001B0EA3" w:rsidRDefault="00290E95" w:rsidP="000444CE">
      <w:pPr>
        <w:tabs>
          <w:tab w:val="left" w:pos="540"/>
        </w:tabs>
        <w:rPr>
          <w:color w:val="000000"/>
          <w:szCs w:val="24"/>
        </w:rPr>
      </w:pPr>
      <w:r>
        <w:rPr>
          <w:color w:val="000000"/>
          <w:szCs w:val="24"/>
        </w:rPr>
        <w:t>В</w:t>
      </w:r>
      <w:r w:rsidR="000444CE" w:rsidRPr="001B0EA3">
        <w:rPr>
          <w:color w:val="000000"/>
          <w:szCs w:val="24"/>
          <w:lang w:eastAsia="fr-FR"/>
        </w:rPr>
        <w:t xml:space="preserve"> рамките на 2  работни дни след одобрението на сумите по </w:t>
      </w:r>
      <w:r w:rsidR="000444CE" w:rsidRPr="001B0EA3">
        <w:rPr>
          <w:szCs w:val="24"/>
          <w:lang w:eastAsia="fr-FR"/>
        </w:rPr>
        <w:t xml:space="preserve">искането </w:t>
      </w:r>
      <w:r w:rsidRPr="00290E95">
        <w:rPr>
          <w:szCs w:val="24"/>
          <w:lang w:eastAsia="fr-FR"/>
        </w:rPr>
        <w:t xml:space="preserve">за авансово плащане експерт в отдел „Финансово управление“ </w:t>
      </w:r>
      <w:r w:rsidR="000444CE" w:rsidRPr="001B0EA3">
        <w:rPr>
          <w:szCs w:val="24"/>
          <w:lang w:eastAsia="fr-FR"/>
        </w:rPr>
        <w:t xml:space="preserve">подготвя Уведомително писмо за одобрен аванс по проекта </w:t>
      </w:r>
      <w:r w:rsidR="000444CE" w:rsidRPr="001B0EA3">
        <w:rPr>
          <w:b/>
          <w:i/>
          <w:szCs w:val="24"/>
        </w:rPr>
        <w:t>(</w:t>
      </w:r>
      <w:hyperlink r:id="rId189" w:tooltip="Уведомително писмо за одобрен аванс" w:history="1">
        <w:r w:rsidR="000F3221" w:rsidRPr="00251D03">
          <w:rPr>
            <w:i/>
            <w:iCs/>
            <w:color w:val="0000FF"/>
            <w:szCs w:val="24"/>
            <w:u w:val="single"/>
            <w:lang w:eastAsia="bg-BG"/>
          </w:rPr>
          <w:t>Приложение № 5.01.1.3</w:t>
        </w:r>
      </w:hyperlink>
      <w:r w:rsidR="000444CE" w:rsidRPr="001B0EA3">
        <w:rPr>
          <w:b/>
          <w:i/>
          <w:szCs w:val="24"/>
        </w:rPr>
        <w:t>)</w:t>
      </w:r>
      <w:r w:rsidR="000444CE" w:rsidRPr="001B0EA3">
        <w:rPr>
          <w:szCs w:val="24"/>
          <w:lang w:eastAsia="fr-FR"/>
        </w:rPr>
        <w:t xml:space="preserve">, което се подписва от </w:t>
      </w:r>
      <w:r>
        <w:rPr>
          <w:szCs w:val="24"/>
          <w:lang w:eastAsia="fr-FR"/>
        </w:rPr>
        <w:t>р</w:t>
      </w:r>
      <w:r w:rsidR="000444CE" w:rsidRPr="001B0EA3">
        <w:rPr>
          <w:szCs w:val="24"/>
          <w:lang w:eastAsia="fr-FR"/>
        </w:rPr>
        <w:t>ъководителя на УО</w:t>
      </w:r>
      <w:r w:rsidR="000444CE" w:rsidRPr="001B0EA3">
        <w:rPr>
          <w:szCs w:val="24"/>
        </w:rPr>
        <w:t xml:space="preserve">. </w:t>
      </w:r>
      <w:r w:rsidRPr="00290E95">
        <w:rPr>
          <w:szCs w:val="24"/>
        </w:rPr>
        <w:t xml:space="preserve">За размера на одобрения аванс по проекта УО уведомява бенефициента в ИСУН 2020 модул „Договори“, подмодул „Кореспонденция“. </w:t>
      </w:r>
      <w:r w:rsidR="000444CE" w:rsidRPr="001B0EA3">
        <w:rPr>
          <w:szCs w:val="24"/>
        </w:rPr>
        <w:t xml:space="preserve">При частично одобрение или неодобрение </w:t>
      </w:r>
      <w:r w:rsidR="000444CE" w:rsidRPr="001B0EA3">
        <w:rPr>
          <w:color w:val="000000"/>
          <w:szCs w:val="24"/>
        </w:rPr>
        <w:t>на аванс, УО уведомява бенефициента за констатираните пропуски и причините, довели до отказ.</w:t>
      </w:r>
      <w:r w:rsidR="000444CE" w:rsidRPr="001B0EA3">
        <w:rPr>
          <w:color w:val="000000"/>
          <w:szCs w:val="24"/>
          <w:lang w:eastAsia="fr-FR"/>
        </w:rPr>
        <w:t xml:space="preserve">  </w:t>
      </w:r>
    </w:p>
    <w:p w14:paraId="3828B952" w14:textId="77777777" w:rsidR="000444CE" w:rsidRPr="001B0EA3" w:rsidRDefault="000444CE" w:rsidP="000444CE">
      <w:pPr>
        <w:spacing w:before="120"/>
        <w:rPr>
          <w:color w:val="000000"/>
          <w:szCs w:val="24"/>
        </w:rPr>
      </w:pPr>
      <w:r w:rsidRPr="001B0EA3">
        <w:rPr>
          <w:b/>
          <w:i/>
          <w:color w:val="000000"/>
          <w:sz w:val="28"/>
          <w:szCs w:val="28"/>
          <w:u w:val="single"/>
        </w:rPr>
        <w:t>Искане за Междинно плащане</w:t>
      </w:r>
      <w:r w:rsidRPr="001B0EA3">
        <w:rPr>
          <w:b/>
          <w:i/>
          <w:color w:val="000000"/>
          <w:szCs w:val="24"/>
        </w:rPr>
        <w:t xml:space="preserve"> –</w:t>
      </w:r>
      <w:r w:rsidRPr="001B0EA3">
        <w:rPr>
          <w:color w:val="000000"/>
          <w:szCs w:val="24"/>
        </w:rPr>
        <w:t xml:space="preserve"> В </w:t>
      </w:r>
      <w:r w:rsidR="00B43060" w:rsidRPr="001B0EA3">
        <w:rPr>
          <w:color w:val="000000"/>
          <w:szCs w:val="24"/>
        </w:rPr>
        <w:t>съответствие</w:t>
      </w:r>
      <w:r w:rsidRPr="001B0EA3">
        <w:rPr>
          <w:color w:val="000000"/>
          <w:szCs w:val="24"/>
        </w:rPr>
        <w:t xml:space="preserve"> с чл. 10 от Наредба №</w:t>
      </w:r>
      <w:r w:rsidR="008231D0">
        <w:rPr>
          <w:color w:val="000000"/>
          <w:szCs w:val="24"/>
        </w:rPr>
        <w:t xml:space="preserve"> </w:t>
      </w:r>
      <w:r w:rsidRPr="001B0EA3">
        <w:rPr>
          <w:color w:val="000000"/>
          <w:szCs w:val="24"/>
        </w:rPr>
        <w:t>Н-3/</w:t>
      </w:r>
      <w:r w:rsidR="008231D0" w:rsidRPr="008231D0">
        <w:rPr>
          <w:color w:val="000000"/>
          <w:szCs w:val="24"/>
        </w:rPr>
        <w:t>22.05.2018</w:t>
      </w:r>
      <w:r w:rsidR="008231D0">
        <w:rPr>
          <w:color w:val="000000"/>
          <w:szCs w:val="24"/>
        </w:rPr>
        <w:t xml:space="preserve"> </w:t>
      </w:r>
      <w:r w:rsidRPr="001B0EA3">
        <w:rPr>
          <w:color w:val="000000"/>
          <w:szCs w:val="24"/>
        </w:rPr>
        <w:t>г. подаваните искания за междинни плащания следва да бъдат съобразени с периода за верифициране на разходите от УО по предходни искания за плащания и без ограничения за общата им стойност, отчитайки ограниченията по чл. 9 от  Наредба №</w:t>
      </w:r>
      <w:r w:rsidR="008231D0">
        <w:rPr>
          <w:color w:val="000000"/>
          <w:szCs w:val="24"/>
        </w:rPr>
        <w:t xml:space="preserve"> </w:t>
      </w:r>
      <w:r w:rsidRPr="001B0EA3">
        <w:rPr>
          <w:color w:val="000000"/>
          <w:szCs w:val="24"/>
        </w:rPr>
        <w:t>Н-3/</w:t>
      </w:r>
      <w:r w:rsidR="008231D0" w:rsidRPr="008231D0">
        <w:rPr>
          <w:color w:val="000000"/>
          <w:szCs w:val="24"/>
        </w:rPr>
        <w:t>22.05.2018</w:t>
      </w:r>
      <w:r w:rsidR="008231D0">
        <w:rPr>
          <w:color w:val="000000"/>
          <w:szCs w:val="24"/>
        </w:rPr>
        <w:t xml:space="preserve"> </w:t>
      </w:r>
      <w:r w:rsidRPr="001B0EA3">
        <w:rPr>
          <w:color w:val="000000"/>
          <w:szCs w:val="24"/>
        </w:rPr>
        <w:t xml:space="preserve">г. </w:t>
      </w:r>
    </w:p>
    <w:p w14:paraId="0D5A40CF" w14:textId="77777777" w:rsidR="008231D0" w:rsidRDefault="000444CE" w:rsidP="000444CE">
      <w:pPr>
        <w:spacing w:before="120" w:after="120"/>
        <w:rPr>
          <w:szCs w:val="24"/>
        </w:rPr>
      </w:pPr>
      <w:r w:rsidRPr="001B0EA3">
        <w:rPr>
          <w:szCs w:val="24"/>
        </w:rPr>
        <w:t>Общият размер на извършените от УО авансови и междинни плащания по един проект не може да надхвърля</w:t>
      </w:r>
      <w:r w:rsidR="008231D0">
        <w:rPr>
          <w:szCs w:val="24"/>
        </w:rPr>
        <w:t>:</w:t>
      </w:r>
    </w:p>
    <w:p w14:paraId="5A74EA4A" w14:textId="77777777" w:rsidR="00A548F4" w:rsidRPr="00A548F4" w:rsidRDefault="000444CE" w:rsidP="00251D03">
      <w:pPr>
        <w:pStyle w:val="ListParagraph"/>
        <w:numPr>
          <w:ilvl w:val="0"/>
          <w:numId w:val="448"/>
        </w:numPr>
        <w:spacing w:before="120" w:after="120"/>
        <w:rPr>
          <w:szCs w:val="24"/>
        </w:rPr>
      </w:pPr>
      <w:r w:rsidRPr="00A548F4">
        <w:rPr>
          <w:szCs w:val="24"/>
        </w:rPr>
        <w:t xml:space="preserve">90% от стойността на </w:t>
      </w:r>
      <w:r w:rsidR="00A548F4" w:rsidRPr="00A548F4">
        <w:rPr>
          <w:szCs w:val="24"/>
        </w:rPr>
        <w:t>одобрената БФП</w:t>
      </w:r>
      <w:r w:rsidRPr="00A548F4">
        <w:rPr>
          <w:szCs w:val="24"/>
        </w:rPr>
        <w:t xml:space="preserve"> за инфраструктурни проекти на стойност над </w:t>
      </w:r>
      <w:r w:rsidR="00A548F4" w:rsidRPr="00A548F4">
        <w:rPr>
          <w:szCs w:val="24"/>
        </w:rPr>
        <w:t>10 млн. лв. и с повече от 50 % от общата стойност по проекта за строително-монтажни работи</w:t>
      </w:r>
      <w:r w:rsidR="00A548F4">
        <w:rPr>
          <w:szCs w:val="24"/>
        </w:rPr>
        <w:t>;</w:t>
      </w:r>
      <w:r w:rsidRPr="00A548F4">
        <w:rPr>
          <w:szCs w:val="24"/>
        </w:rPr>
        <w:t xml:space="preserve">  </w:t>
      </w:r>
    </w:p>
    <w:p w14:paraId="524CEF59" w14:textId="77777777" w:rsidR="000444CE" w:rsidRPr="00A548F4" w:rsidRDefault="000444CE" w:rsidP="00251D03">
      <w:pPr>
        <w:pStyle w:val="ListParagraph"/>
        <w:numPr>
          <w:ilvl w:val="0"/>
          <w:numId w:val="448"/>
        </w:numPr>
        <w:spacing w:before="120" w:after="120"/>
        <w:rPr>
          <w:color w:val="000000"/>
          <w:szCs w:val="24"/>
          <w:u w:val="single"/>
        </w:rPr>
      </w:pPr>
      <w:r w:rsidRPr="00A548F4">
        <w:rPr>
          <w:szCs w:val="24"/>
        </w:rPr>
        <w:t xml:space="preserve">80% </w:t>
      </w:r>
      <w:r w:rsidR="00A548F4" w:rsidRPr="00A548F4">
        <w:rPr>
          <w:szCs w:val="24"/>
        </w:rPr>
        <w:t xml:space="preserve">от стойността на одобрената БФП </w:t>
      </w:r>
      <w:r w:rsidRPr="00A548F4">
        <w:rPr>
          <w:szCs w:val="24"/>
        </w:rPr>
        <w:t>за всички останали проекти</w:t>
      </w:r>
      <w:r w:rsidR="00A548F4">
        <w:rPr>
          <w:szCs w:val="24"/>
        </w:rPr>
        <w:t>.</w:t>
      </w:r>
      <w:r w:rsidRPr="00A548F4">
        <w:rPr>
          <w:szCs w:val="24"/>
        </w:rPr>
        <w:t xml:space="preserve"> </w:t>
      </w:r>
    </w:p>
    <w:p w14:paraId="6C871AB2" w14:textId="77777777" w:rsidR="000444CE" w:rsidRPr="001B0EA3" w:rsidRDefault="000444CE" w:rsidP="000444CE">
      <w:pPr>
        <w:spacing w:before="120" w:after="120"/>
        <w:rPr>
          <w:b/>
          <w:i/>
          <w:szCs w:val="24"/>
        </w:rPr>
      </w:pPr>
      <w:r w:rsidRPr="001B0EA3">
        <w:rPr>
          <w:color w:val="000000"/>
          <w:szCs w:val="24"/>
        </w:rPr>
        <w:t xml:space="preserve">В случаите, при които авансовите плащания към бенефициентите са обезпечени с гаранция, издадена от банка или друга финансова институция, регистрирана в РБ, общият размер  на авансовите и междинни плащания по един проект не може да надхвърля 95% от </w:t>
      </w:r>
      <w:r w:rsidRPr="001B0EA3">
        <w:rPr>
          <w:szCs w:val="24"/>
        </w:rPr>
        <w:t xml:space="preserve">стойността на </w:t>
      </w:r>
      <w:r w:rsidR="00A548F4" w:rsidRPr="00A548F4">
        <w:rPr>
          <w:szCs w:val="24"/>
        </w:rPr>
        <w:t>одобрената БФП</w:t>
      </w:r>
      <w:r w:rsidRPr="001B0EA3">
        <w:rPr>
          <w:color w:val="000000"/>
          <w:szCs w:val="24"/>
        </w:rPr>
        <w:t xml:space="preserve">. За бенефициентите </w:t>
      </w:r>
      <w:r w:rsidR="00A548F4">
        <w:rPr>
          <w:color w:val="000000"/>
          <w:szCs w:val="24"/>
        </w:rPr>
        <w:t>от</w:t>
      </w:r>
      <w:r w:rsidRPr="001B0EA3">
        <w:rPr>
          <w:color w:val="000000"/>
          <w:szCs w:val="24"/>
        </w:rPr>
        <w:t xml:space="preserve"> централната администрация</w:t>
      </w:r>
      <w:r w:rsidR="00A548F4">
        <w:rPr>
          <w:color w:val="000000"/>
          <w:szCs w:val="24"/>
        </w:rPr>
        <w:t xml:space="preserve"> </w:t>
      </w:r>
      <w:r w:rsidR="00A548F4" w:rsidRPr="00A548F4">
        <w:rPr>
          <w:color w:val="000000"/>
          <w:szCs w:val="24"/>
        </w:rPr>
        <w:t>на изпълнителната власт</w:t>
      </w:r>
      <w:r w:rsidRPr="001B0EA3">
        <w:rPr>
          <w:color w:val="000000"/>
          <w:szCs w:val="24"/>
        </w:rPr>
        <w:t>, УО може да определи размер на авансовите и междинни плащания до 95% от</w:t>
      </w:r>
      <w:r w:rsidRPr="001B0EA3">
        <w:rPr>
          <w:szCs w:val="24"/>
        </w:rPr>
        <w:t xml:space="preserve"> стойността на </w:t>
      </w:r>
      <w:r w:rsidR="00A548F4" w:rsidRPr="00A548F4">
        <w:rPr>
          <w:szCs w:val="24"/>
        </w:rPr>
        <w:t>одобрената БФП</w:t>
      </w:r>
      <w:r w:rsidRPr="001B0EA3">
        <w:rPr>
          <w:color w:val="000000"/>
          <w:szCs w:val="24"/>
        </w:rPr>
        <w:t xml:space="preserve">, в случай, че утвърдените разходи по бюджета на първостепенния разпоредител, в чиято структура е съответния бенефициент, са по-високи от размера на отпуснатите авансови плащания. </w:t>
      </w:r>
    </w:p>
    <w:p w14:paraId="1618180D" w14:textId="77777777" w:rsidR="000444CE" w:rsidRPr="001B0EA3" w:rsidRDefault="000444CE" w:rsidP="000444CE">
      <w:pPr>
        <w:rPr>
          <w:color w:val="000000"/>
          <w:szCs w:val="24"/>
        </w:rPr>
      </w:pPr>
      <w:r w:rsidRPr="0050698B">
        <w:rPr>
          <w:szCs w:val="24"/>
        </w:rPr>
        <w:t>З</w:t>
      </w:r>
      <w:r w:rsidRPr="001B0EA3">
        <w:rPr>
          <w:szCs w:val="24"/>
        </w:rPr>
        <w:t>а подадено</w:t>
      </w:r>
      <w:r w:rsidRPr="001B0EA3">
        <w:rPr>
          <w:b/>
          <w:szCs w:val="24"/>
        </w:rPr>
        <w:t xml:space="preserve"> </w:t>
      </w:r>
      <w:r w:rsidRPr="001B0EA3">
        <w:rPr>
          <w:szCs w:val="24"/>
        </w:rPr>
        <w:t>искане за междинно плащане се счита искане за плащане, което е регистрирано</w:t>
      </w:r>
      <w:r w:rsidR="0050698B" w:rsidRPr="0050698B">
        <w:rPr>
          <w:szCs w:val="24"/>
        </w:rPr>
        <w:t xml:space="preserve"> (изпратено)</w:t>
      </w:r>
      <w:r w:rsidRPr="001B0EA3">
        <w:rPr>
          <w:szCs w:val="24"/>
        </w:rPr>
        <w:t xml:space="preserve"> в ИСУН 2020, модул „Мониторинг и финансов контрол“, подмодул „Мониторинг на пакет отчетни документи“. </w:t>
      </w:r>
      <w:r w:rsidRPr="001B0EA3">
        <w:rPr>
          <w:color w:val="000000"/>
          <w:szCs w:val="24"/>
        </w:rPr>
        <w:t>Искането за междинно плащане следва да бъде придружено минимум със следните документи:</w:t>
      </w:r>
    </w:p>
    <w:p w14:paraId="355F6817" w14:textId="77777777"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 xml:space="preserve">заверени копия на фактури и/или </w:t>
      </w:r>
      <w:r w:rsidRPr="001B0EA3">
        <w:rPr>
          <w:szCs w:val="24"/>
        </w:rPr>
        <w:t>други документи с еквивалентна доказателствена стойност</w:t>
      </w:r>
    </w:p>
    <w:p w14:paraId="28290B21" w14:textId="77777777"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заверени копия от платежни и банкови документи за извършени плащания</w:t>
      </w:r>
    </w:p>
    <w:p w14:paraId="499CC37C" w14:textId="77777777"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заверени копия от документи, доказващи изпълнението на дейности, свързани с извършените разходи, както и документи за тяхното приемане от страна на бенефициента</w:t>
      </w:r>
    </w:p>
    <w:p w14:paraId="1E04455D" w14:textId="77777777" w:rsidR="006A723D" w:rsidRPr="001B0EA3" w:rsidRDefault="006A723D" w:rsidP="006A723D">
      <w:pPr>
        <w:numPr>
          <w:ilvl w:val="0"/>
          <w:numId w:val="136"/>
        </w:numPr>
        <w:tabs>
          <w:tab w:val="clear" w:pos="720"/>
          <w:tab w:val="num" w:pos="1134"/>
        </w:tabs>
        <w:ind w:left="0" w:firstLine="851"/>
        <w:rPr>
          <w:color w:val="000000"/>
          <w:szCs w:val="24"/>
        </w:rPr>
      </w:pPr>
      <w:r w:rsidRPr="001B0EA3">
        <w:rPr>
          <w:color w:val="000000"/>
          <w:szCs w:val="24"/>
        </w:rPr>
        <w:t>обобщена информация (опис) относно включени в искане за плащане командировъчни заповеди, административни такси, отчуждения, ведомости/фишове за заплати  и други подобни, като същата следва да кореспондира с информацията в регистрираното в ИСУН</w:t>
      </w:r>
      <w:r>
        <w:rPr>
          <w:color w:val="000000"/>
          <w:szCs w:val="24"/>
        </w:rPr>
        <w:t xml:space="preserve"> </w:t>
      </w:r>
      <w:r w:rsidRPr="001B0EA3">
        <w:rPr>
          <w:color w:val="000000"/>
          <w:szCs w:val="24"/>
        </w:rPr>
        <w:t>2020 искане за плащане</w:t>
      </w:r>
    </w:p>
    <w:p w14:paraId="24E5C80B" w14:textId="77777777"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заверени копия от банкови гаранции по договори с изпълнители</w:t>
      </w:r>
    </w:p>
    <w:p w14:paraId="1E381DDF" w14:textId="77777777"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заверени копия от документи, удостоверяващи извършени от бенефициента проверки на място</w:t>
      </w:r>
    </w:p>
    <w:p w14:paraId="69DEBF9D" w14:textId="77777777"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заверени копия от документи за извършени контролни процедури от бенефициента</w:t>
      </w:r>
    </w:p>
    <w:p w14:paraId="2169CE71" w14:textId="77777777" w:rsidR="000444CE" w:rsidRPr="001B0EA3" w:rsidRDefault="000444CE" w:rsidP="0054623A">
      <w:pPr>
        <w:numPr>
          <w:ilvl w:val="0"/>
          <w:numId w:val="136"/>
        </w:numPr>
        <w:tabs>
          <w:tab w:val="clear" w:pos="720"/>
          <w:tab w:val="num" w:pos="1134"/>
        </w:tabs>
        <w:ind w:left="0" w:firstLine="851"/>
        <w:rPr>
          <w:szCs w:val="24"/>
        </w:rPr>
      </w:pPr>
      <w:r w:rsidRPr="001B0EA3">
        <w:rPr>
          <w:szCs w:val="24"/>
        </w:rPr>
        <w:lastRenderedPageBreak/>
        <w:t>заверено копие от акта за регистрация по ЗДДС, заверено “вярно с оригинала” (</w:t>
      </w:r>
      <w:r w:rsidRPr="001B0EA3">
        <w:rPr>
          <w:i/>
          <w:szCs w:val="24"/>
        </w:rPr>
        <w:t>ако е приложимо</w:t>
      </w:r>
      <w:r w:rsidRPr="001B0EA3">
        <w:rPr>
          <w:szCs w:val="24"/>
        </w:rPr>
        <w:t xml:space="preserve">) </w:t>
      </w:r>
    </w:p>
    <w:p w14:paraId="732187CF" w14:textId="77777777" w:rsidR="00115849" w:rsidRDefault="000444CE" w:rsidP="0054623A">
      <w:pPr>
        <w:numPr>
          <w:ilvl w:val="0"/>
          <w:numId w:val="136"/>
        </w:numPr>
        <w:tabs>
          <w:tab w:val="clear" w:pos="720"/>
          <w:tab w:val="num" w:pos="1134"/>
        </w:tabs>
        <w:ind w:left="0" w:firstLine="851"/>
        <w:rPr>
          <w:color w:val="000000"/>
          <w:szCs w:val="24"/>
        </w:rPr>
      </w:pPr>
      <w:r w:rsidRPr="001B0EA3">
        <w:rPr>
          <w:color w:val="000000"/>
          <w:szCs w:val="24"/>
        </w:rPr>
        <w:t>разпечатки от счетоводната система на бенефициента по съответните аналитичности, доказващи счетоводното отразяване и равнение на данните от искането за плащане</w:t>
      </w:r>
    </w:p>
    <w:p w14:paraId="68640A55" w14:textId="77777777" w:rsidR="000444CE" w:rsidRPr="00115849" w:rsidRDefault="00115849" w:rsidP="00AE1F0D">
      <w:pPr>
        <w:numPr>
          <w:ilvl w:val="0"/>
          <w:numId w:val="136"/>
        </w:numPr>
        <w:tabs>
          <w:tab w:val="clear" w:pos="720"/>
          <w:tab w:val="num" w:pos="1134"/>
        </w:tabs>
        <w:ind w:left="0" w:firstLine="851"/>
        <w:rPr>
          <w:color w:val="000000"/>
          <w:szCs w:val="24"/>
        </w:rPr>
      </w:pPr>
      <w:r>
        <w:rPr>
          <w:color w:val="000000"/>
          <w:szCs w:val="24"/>
        </w:rPr>
        <w:t>д</w:t>
      </w:r>
      <w:r w:rsidRPr="001B0EA3">
        <w:rPr>
          <w:color w:val="000000"/>
          <w:szCs w:val="24"/>
        </w:rPr>
        <w:t>окументи доказващи приключването на договор по проекта (доклади, приемо-предавателни протоколи, окончателни доклади и др.), документи за приемане на работата, въвеждане в експлоатация (при договори за строително-монтажни работи)</w:t>
      </w:r>
      <w:r>
        <w:rPr>
          <w:color w:val="000000"/>
          <w:szCs w:val="24"/>
        </w:rPr>
        <w:t>.</w:t>
      </w:r>
    </w:p>
    <w:p w14:paraId="60ED3BB7" w14:textId="77777777" w:rsidR="00F915C5" w:rsidRPr="001B0EA3" w:rsidRDefault="000444CE" w:rsidP="00F915C5">
      <w:pPr>
        <w:autoSpaceDE w:val="0"/>
        <w:autoSpaceDN w:val="0"/>
        <w:adjustRightInd w:val="0"/>
        <w:spacing w:before="120" w:after="120"/>
        <w:rPr>
          <w:i/>
          <w:szCs w:val="24"/>
          <w:lang w:eastAsia="en-US"/>
        </w:rPr>
      </w:pPr>
      <w:r w:rsidRPr="001B0EA3">
        <w:rPr>
          <w:color w:val="000000"/>
          <w:szCs w:val="24"/>
          <w:lang w:eastAsia="en-US"/>
        </w:rPr>
        <w:t xml:space="preserve">Извършените проверки на искането за междинно плащане се формализират от УО чрез попълване на контролен лист за искане за междинно плащане от бенефициенти по ОПТТИ </w:t>
      </w:r>
      <w:r w:rsidRPr="001B0EA3">
        <w:rPr>
          <w:i/>
          <w:color w:val="000000"/>
          <w:szCs w:val="24"/>
          <w:lang w:eastAsia="en-US"/>
        </w:rPr>
        <w:t>(</w:t>
      </w:r>
      <w:hyperlink r:id="rId190" w:tooltip="Контролен лист: Искане за междинно плащане от Бенефициенти по ОП &quot;Транспорт и транспортна инфраструктура" w:history="1">
        <w:r w:rsidR="00342742" w:rsidRPr="00251D03">
          <w:rPr>
            <w:i/>
            <w:iCs/>
            <w:color w:val="0000FF"/>
            <w:szCs w:val="24"/>
            <w:u w:val="single"/>
            <w:lang w:eastAsia="bg-BG"/>
          </w:rPr>
          <w:t>Приложение № 5.01.2.1</w:t>
        </w:r>
      </w:hyperlink>
      <w:r w:rsidRPr="001B0EA3">
        <w:rPr>
          <w:i/>
          <w:szCs w:val="24"/>
          <w:lang w:eastAsia="en-US"/>
        </w:rPr>
        <w:t>)</w:t>
      </w:r>
      <w:r w:rsidR="00F915C5" w:rsidRPr="00F915C5">
        <w:rPr>
          <w:i/>
          <w:szCs w:val="24"/>
          <w:lang w:eastAsia="en-US"/>
        </w:rPr>
        <w:t xml:space="preserve"> </w:t>
      </w:r>
      <w:r w:rsidR="00F915C5">
        <w:rPr>
          <w:i/>
          <w:szCs w:val="24"/>
          <w:lang w:eastAsia="en-US"/>
        </w:rPr>
        <w:t>, регистриран електронно в ИСУН 2020</w:t>
      </w:r>
      <w:r w:rsidR="00F915C5" w:rsidRPr="001B0EA3">
        <w:rPr>
          <w:i/>
          <w:szCs w:val="24"/>
          <w:lang w:eastAsia="en-US"/>
        </w:rPr>
        <w:t>.</w:t>
      </w:r>
    </w:p>
    <w:p w14:paraId="0818B759" w14:textId="77777777" w:rsidR="000444CE" w:rsidRPr="001B0EA3" w:rsidRDefault="000444CE" w:rsidP="00F915C5">
      <w:pPr>
        <w:autoSpaceDE w:val="0"/>
        <w:autoSpaceDN w:val="0"/>
        <w:adjustRightInd w:val="0"/>
        <w:spacing w:before="120" w:after="120"/>
        <w:rPr>
          <w:color w:val="000000"/>
          <w:szCs w:val="24"/>
        </w:rPr>
      </w:pPr>
      <w:r w:rsidRPr="001B0EA3">
        <w:rPr>
          <w:b/>
          <w:i/>
          <w:color w:val="000000"/>
          <w:sz w:val="28"/>
          <w:szCs w:val="28"/>
          <w:u w:val="single"/>
        </w:rPr>
        <w:t>Искане за Окончателно плащане</w:t>
      </w:r>
      <w:r w:rsidRPr="001B0EA3">
        <w:rPr>
          <w:color w:val="000000"/>
          <w:sz w:val="28"/>
          <w:szCs w:val="28"/>
          <w:u w:val="single"/>
        </w:rPr>
        <w:t xml:space="preserve"> </w:t>
      </w:r>
      <w:r w:rsidR="00A548F4">
        <w:rPr>
          <w:color w:val="000000"/>
          <w:szCs w:val="24"/>
          <w:u w:val="single"/>
        </w:rPr>
        <w:t xml:space="preserve"> </w:t>
      </w:r>
      <w:r w:rsidR="00A548F4" w:rsidRPr="00A548F4">
        <w:rPr>
          <w:color w:val="000000"/>
          <w:szCs w:val="24"/>
          <w:u w:val="single"/>
        </w:rPr>
        <w:t>–</w:t>
      </w:r>
      <w:r w:rsidR="00A548F4">
        <w:rPr>
          <w:color w:val="000000"/>
          <w:szCs w:val="24"/>
          <w:u w:val="single"/>
        </w:rPr>
        <w:t xml:space="preserve"> </w:t>
      </w:r>
      <w:r w:rsidRPr="001B0EA3">
        <w:rPr>
          <w:color w:val="000000"/>
          <w:szCs w:val="24"/>
        </w:rPr>
        <w:t xml:space="preserve">В съответствие с чл. 9, ал. 2 от  Наредба </w:t>
      </w:r>
      <w:r w:rsidR="00A548F4">
        <w:rPr>
          <w:color w:val="000000"/>
          <w:szCs w:val="24"/>
        </w:rPr>
        <w:t xml:space="preserve">№ </w:t>
      </w:r>
      <w:r w:rsidRPr="001B0EA3">
        <w:rPr>
          <w:color w:val="000000"/>
          <w:szCs w:val="24"/>
        </w:rPr>
        <w:t>Н-3/</w:t>
      </w:r>
      <w:r w:rsidR="00A548F4">
        <w:rPr>
          <w:color w:val="000000"/>
          <w:szCs w:val="24"/>
        </w:rPr>
        <w:t>22.05.2018 г.</w:t>
      </w:r>
      <w:r w:rsidRPr="001B0EA3">
        <w:rPr>
          <w:color w:val="000000"/>
          <w:szCs w:val="24"/>
        </w:rPr>
        <w:t xml:space="preserve"> размерът на окончателното плащане се изчислява, като от общо верифицираните допустими разходи, финансирани с </w:t>
      </w:r>
      <w:r w:rsidR="00A548F4">
        <w:rPr>
          <w:color w:val="000000"/>
          <w:szCs w:val="24"/>
        </w:rPr>
        <w:t>БФП</w:t>
      </w:r>
      <w:r w:rsidRPr="001B0EA3">
        <w:rPr>
          <w:color w:val="000000"/>
          <w:szCs w:val="24"/>
        </w:rPr>
        <w:t xml:space="preserve"> по даден проект, се приспаднат извършените авансов</w:t>
      </w:r>
      <w:r w:rsidR="00A548F4">
        <w:rPr>
          <w:color w:val="000000"/>
          <w:szCs w:val="24"/>
        </w:rPr>
        <w:t>и</w:t>
      </w:r>
      <w:r w:rsidRPr="001B0EA3">
        <w:rPr>
          <w:color w:val="000000"/>
          <w:szCs w:val="24"/>
        </w:rPr>
        <w:t xml:space="preserve"> и междинни плащания.</w:t>
      </w:r>
    </w:p>
    <w:p w14:paraId="373E78F8" w14:textId="77777777" w:rsidR="000444CE" w:rsidRPr="001B0EA3" w:rsidRDefault="000444CE" w:rsidP="000444CE">
      <w:pPr>
        <w:rPr>
          <w:b/>
          <w:i/>
          <w:color w:val="000000"/>
          <w:szCs w:val="24"/>
        </w:rPr>
      </w:pPr>
      <w:r w:rsidRPr="001B0EA3">
        <w:rPr>
          <w:color w:val="000000"/>
          <w:szCs w:val="24"/>
        </w:rPr>
        <w:t xml:space="preserve">Искане за окончателно плащане се представя от бенефициента в УО на ОПТТИ за окончателно докладване на всички </w:t>
      </w:r>
      <w:r w:rsidR="00A548F4" w:rsidRPr="00A548F4">
        <w:rPr>
          <w:color w:val="000000"/>
          <w:szCs w:val="24"/>
        </w:rPr>
        <w:t xml:space="preserve">неверифицирани </w:t>
      </w:r>
      <w:r w:rsidRPr="001B0EA3">
        <w:rPr>
          <w:color w:val="000000"/>
          <w:szCs w:val="24"/>
        </w:rPr>
        <w:t xml:space="preserve">допустими разходи </w:t>
      </w:r>
      <w:r w:rsidR="00A548F4" w:rsidRPr="00A548F4">
        <w:rPr>
          <w:color w:val="000000"/>
          <w:szCs w:val="24"/>
        </w:rPr>
        <w:t>по проекта</w:t>
      </w:r>
      <w:r w:rsidRPr="001B0EA3">
        <w:rPr>
          <w:color w:val="000000"/>
          <w:szCs w:val="24"/>
        </w:rPr>
        <w:t xml:space="preserve"> и за приключване на всеки конкретен проект. С искането за окончателно плащане се докладва и окончателния размер на БФП, която следва да бъде одобрена от УО за финансиране на допустимите разходи по всеки проект.</w:t>
      </w:r>
    </w:p>
    <w:p w14:paraId="72B39F4D" w14:textId="77777777" w:rsidR="000444CE" w:rsidRPr="001B0EA3" w:rsidRDefault="000444CE" w:rsidP="000444CE">
      <w:pPr>
        <w:autoSpaceDE w:val="0"/>
        <w:autoSpaceDN w:val="0"/>
        <w:adjustRightInd w:val="0"/>
        <w:spacing w:before="120" w:after="120"/>
        <w:rPr>
          <w:color w:val="000000"/>
          <w:szCs w:val="24"/>
          <w:lang w:eastAsia="en-US"/>
        </w:rPr>
      </w:pPr>
      <w:r w:rsidRPr="001B0EA3">
        <w:rPr>
          <w:color w:val="000000"/>
          <w:szCs w:val="24"/>
          <w:lang w:eastAsia="en-US"/>
        </w:rPr>
        <w:t xml:space="preserve">Всяко искане за окончателно плащане трябва да бъде представено с попълнена информация относно наличието на отпуснати държавни помощи, в случай на предоставени такива по проекта. Помощта следва да се отчете като се попълни информация относно мярката, размера и вида. </w:t>
      </w:r>
    </w:p>
    <w:p w14:paraId="6FF34BAC" w14:textId="77777777" w:rsidR="000444CE" w:rsidRPr="001B0EA3" w:rsidRDefault="000444CE" w:rsidP="000444CE">
      <w:pPr>
        <w:autoSpaceDE w:val="0"/>
        <w:autoSpaceDN w:val="0"/>
        <w:adjustRightInd w:val="0"/>
        <w:spacing w:before="120" w:after="120"/>
        <w:rPr>
          <w:color w:val="000000"/>
          <w:szCs w:val="24"/>
          <w:lang w:eastAsia="en-US"/>
        </w:rPr>
      </w:pPr>
      <w:r w:rsidRPr="001B0EA3">
        <w:rPr>
          <w:color w:val="000000"/>
          <w:szCs w:val="24"/>
          <w:lang w:eastAsia="en-US"/>
        </w:rPr>
        <w:t>За подадено искане за окончателно плащане се счита искане за плащане, което е регистрирано</w:t>
      </w:r>
      <w:r w:rsidR="0050698B" w:rsidRPr="0050698B">
        <w:rPr>
          <w:color w:val="000000"/>
          <w:szCs w:val="24"/>
          <w:lang w:eastAsia="en-US"/>
        </w:rPr>
        <w:t xml:space="preserve"> (изпратено)</w:t>
      </w:r>
      <w:r w:rsidRPr="001B0EA3">
        <w:rPr>
          <w:color w:val="000000"/>
          <w:szCs w:val="24"/>
          <w:lang w:eastAsia="en-US"/>
        </w:rPr>
        <w:t xml:space="preserve"> в ИСУН 2020, модул „Мониторинг и финансов контрол“, подмодул „Мониторинг на пакет отчетни документи“</w:t>
      </w:r>
      <w:r w:rsidRPr="001B0EA3">
        <w:rPr>
          <w:szCs w:val="24"/>
        </w:rPr>
        <w:t xml:space="preserve">. </w:t>
      </w:r>
      <w:r w:rsidRPr="001B0EA3">
        <w:rPr>
          <w:color w:val="000000"/>
          <w:szCs w:val="24"/>
        </w:rPr>
        <w:t xml:space="preserve">Искането за окончателно плащане </w:t>
      </w:r>
      <w:r w:rsidRPr="001B0EA3">
        <w:rPr>
          <w:color w:val="000000"/>
          <w:szCs w:val="24"/>
          <w:lang w:eastAsia="en-US"/>
        </w:rPr>
        <w:t xml:space="preserve"> трябва да бъде придружено минимум със следните документи:</w:t>
      </w:r>
    </w:p>
    <w:p w14:paraId="63AB0BAE" w14:textId="77777777"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заверени копия на фактури и/или други документи с еквивалентна доказателствена стойност</w:t>
      </w:r>
    </w:p>
    <w:p w14:paraId="33EBF857" w14:textId="77777777"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заверени копия от платежни и банкови документи за извършени плащания</w:t>
      </w:r>
    </w:p>
    <w:p w14:paraId="7EA2EB2E" w14:textId="77777777"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заверени копия от документи, доказващи изпълнението на дейности, свързани с извършените разходи, както и документи за тяхното приемане от страна на бенефициента</w:t>
      </w:r>
    </w:p>
    <w:p w14:paraId="4B255226" w14:textId="77777777" w:rsidR="004915E8" w:rsidRPr="001B0EA3" w:rsidRDefault="004915E8" w:rsidP="004915E8">
      <w:pPr>
        <w:numPr>
          <w:ilvl w:val="0"/>
          <w:numId w:val="136"/>
        </w:numPr>
        <w:tabs>
          <w:tab w:val="clear" w:pos="720"/>
          <w:tab w:val="num" w:pos="1134"/>
        </w:tabs>
        <w:ind w:left="0" w:firstLine="851"/>
        <w:rPr>
          <w:color w:val="000000"/>
          <w:szCs w:val="24"/>
        </w:rPr>
      </w:pPr>
      <w:r w:rsidRPr="001B0EA3">
        <w:rPr>
          <w:color w:val="000000"/>
          <w:szCs w:val="24"/>
        </w:rPr>
        <w:t>обобщена информация (опис) относно включени в искане за плащане командировъчни заповеди, административни такси, отчуждения, ведомости/фишове за заплати  и други подобни, като същата следва да кореспондира с информацията в регистрираното в ИСУН</w:t>
      </w:r>
      <w:r>
        <w:rPr>
          <w:color w:val="000000"/>
          <w:szCs w:val="24"/>
        </w:rPr>
        <w:t xml:space="preserve"> </w:t>
      </w:r>
      <w:r w:rsidRPr="001B0EA3">
        <w:rPr>
          <w:color w:val="000000"/>
          <w:szCs w:val="24"/>
        </w:rPr>
        <w:t>2020 искане за плащане</w:t>
      </w:r>
    </w:p>
    <w:p w14:paraId="71CD612E" w14:textId="77777777"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заверени копия от банкови гаранции по договори с изпълнители заверени копия от документи, удостоверяващи извършени от бенефициента проверки на място</w:t>
      </w:r>
    </w:p>
    <w:p w14:paraId="6F1618B2" w14:textId="77777777"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заверени копия от документи за извършени контролни процедури от бенефициента</w:t>
      </w:r>
    </w:p>
    <w:p w14:paraId="3DBE4F96" w14:textId="77777777"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разпечатки от счетоводната система на бенефициента по съответните аналитичности, доказващи счетоводното отразяване и равнение на данните от искането за плащане</w:t>
      </w:r>
    </w:p>
    <w:p w14:paraId="49000F20" w14:textId="77777777" w:rsidR="00157EF4" w:rsidRPr="001B0EA3" w:rsidRDefault="00157EF4" w:rsidP="00157EF4">
      <w:pPr>
        <w:numPr>
          <w:ilvl w:val="0"/>
          <w:numId w:val="136"/>
        </w:numPr>
        <w:tabs>
          <w:tab w:val="clear" w:pos="720"/>
          <w:tab w:val="num" w:pos="1134"/>
        </w:tabs>
        <w:ind w:left="0" w:firstLine="851"/>
        <w:rPr>
          <w:color w:val="000000"/>
          <w:szCs w:val="24"/>
        </w:rPr>
      </w:pPr>
      <w:r>
        <w:rPr>
          <w:color w:val="000000"/>
          <w:szCs w:val="24"/>
        </w:rPr>
        <w:t>д</w:t>
      </w:r>
      <w:r w:rsidRPr="001B0EA3">
        <w:rPr>
          <w:color w:val="000000"/>
          <w:szCs w:val="24"/>
        </w:rPr>
        <w:t>окументи доказващи приключването на договор по проекта (доклади, приемо-предавателни протоколи, окончателни доклади и др.), документи за приемане на работата, въвеждане в експлоатация (при договори за строително-монтажни работи)</w:t>
      </w:r>
    </w:p>
    <w:p w14:paraId="22510C1A" w14:textId="77777777" w:rsidR="000444CE" w:rsidRPr="001B0EA3" w:rsidRDefault="00031586" w:rsidP="0054623A">
      <w:pPr>
        <w:numPr>
          <w:ilvl w:val="0"/>
          <w:numId w:val="136"/>
        </w:numPr>
        <w:tabs>
          <w:tab w:val="clear" w:pos="720"/>
          <w:tab w:val="num" w:pos="1134"/>
        </w:tabs>
        <w:ind w:left="0" w:firstLine="851"/>
        <w:rPr>
          <w:color w:val="000000"/>
          <w:szCs w:val="24"/>
        </w:rPr>
      </w:pPr>
      <w:r>
        <w:rPr>
          <w:color w:val="000000"/>
          <w:szCs w:val="24"/>
        </w:rPr>
        <w:t>б</w:t>
      </w:r>
      <w:r w:rsidR="000444CE" w:rsidRPr="001B0EA3">
        <w:rPr>
          <w:color w:val="000000"/>
          <w:szCs w:val="24"/>
        </w:rPr>
        <w:t>анкови гаранции по договори за изпълнение, придружени с документи за тяхното възстановяване от страна на възложителя, придружени от подробен списък</w:t>
      </w:r>
    </w:p>
    <w:p w14:paraId="1A4A143E" w14:textId="77777777" w:rsidR="000444CE" w:rsidRPr="001B0EA3" w:rsidRDefault="000444CE" w:rsidP="000444CE">
      <w:pPr>
        <w:rPr>
          <w:rFonts w:eastAsia="Arial Unicode MS"/>
          <w:i/>
          <w:color w:val="000000"/>
          <w:szCs w:val="24"/>
          <w:u w:val="single"/>
          <w:lang w:eastAsia="fr-FR"/>
        </w:rPr>
      </w:pPr>
      <w:r w:rsidRPr="001B0EA3">
        <w:rPr>
          <w:rFonts w:eastAsia="Arial Unicode MS"/>
          <w:color w:val="000000"/>
          <w:szCs w:val="24"/>
          <w:u w:val="single"/>
        </w:rPr>
        <w:lastRenderedPageBreak/>
        <w:t>Всички разходооправдателни документи по проекта</w:t>
      </w:r>
      <w:r w:rsidR="00B43060" w:rsidRPr="001B0EA3">
        <w:rPr>
          <w:rFonts w:eastAsia="Arial Unicode MS"/>
          <w:color w:val="000000"/>
          <w:szCs w:val="24"/>
          <w:u w:val="single"/>
        </w:rPr>
        <w:t xml:space="preserve"> </w:t>
      </w:r>
      <w:r w:rsidRPr="001B0EA3">
        <w:rPr>
          <w:rFonts w:eastAsia="Arial Unicode MS"/>
          <w:color w:val="000000"/>
          <w:szCs w:val="24"/>
          <w:u w:val="single"/>
        </w:rPr>
        <w:t>трябва да са ясни и точни и да съдържат всички реквизити, съгласно българското законодателство</w:t>
      </w:r>
      <w:r w:rsidR="00031586">
        <w:rPr>
          <w:rFonts w:eastAsia="Arial Unicode MS"/>
          <w:color w:val="000000"/>
          <w:szCs w:val="24"/>
          <w:u w:val="single"/>
        </w:rPr>
        <w:t xml:space="preserve">. </w:t>
      </w:r>
      <w:r w:rsidR="00031586" w:rsidRPr="00031586">
        <w:rPr>
          <w:rFonts w:eastAsia="Arial Unicode MS"/>
          <w:color w:val="000000"/>
          <w:szCs w:val="24"/>
          <w:u w:val="single"/>
        </w:rPr>
        <w:t>Всички копия на документи и сканираните такива следва да бъдат напълно ясни и четливи.</w:t>
      </w:r>
      <w:r w:rsidRPr="001B0EA3">
        <w:rPr>
          <w:rFonts w:eastAsia="Arial Unicode MS"/>
          <w:i/>
          <w:color w:val="000000"/>
          <w:szCs w:val="24"/>
          <w:u w:val="single"/>
          <w:lang w:eastAsia="fr-FR"/>
        </w:rPr>
        <w:t xml:space="preserve"> </w:t>
      </w:r>
    </w:p>
    <w:p w14:paraId="26F75D5A" w14:textId="77777777" w:rsidR="000444CE" w:rsidRPr="001B0EA3" w:rsidRDefault="000444CE" w:rsidP="000444CE">
      <w:pPr>
        <w:tabs>
          <w:tab w:val="left" w:pos="240"/>
          <w:tab w:val="left" w:pos="360"/>
        </w:tabs>
        <w:spacing w:before="120"/>
        <w:rPr>
          <w:rFonts w:eastAsia="Arial Unicode MS"/>
          <w:b/>
          <w:color w:val="000000"/>
          <w:szCs w:val="24"/>
          <w:lang w:eastAsia="fr-FR"/>
        </w:rPr>
      </w:pPr>
      <w:r w:rsidRPr="001B0EA3">
        <w:rPr>
          <w:rFonts w:eastAsia="Arial Unicode MS"/>
          <w:b/>
          <w:color w:val="000000"/>
          <w:szCs w:val="24"/>
          <w:lang w:eastAsia="fr-FR"/>
        </w:rPr>
        <w:t>С цел избягване на двойно финансиране е задължително в реквизитите на разходооправдателните документи по всеки проект да бъде изписано наименованието на ОП и номера на проекта, по който се финансира разхода.</w:t>
      </w:r>
    </w:p>
    <w:p w14:paraId="7AC4FC77" w14:textId="77777777" w:rsidR="000444CE" w:rsidRPr="001B0EA3" w:rsidRDefault="000444CE" w:rsidP="000444CE">
      <w:pPr>
        <w:tabs>
          <w:tab w:val="left" w:pos="240"/>
          <w:tab w:val="left" w:pos="360"/>
        </w:tabs>
        <w:spacing w:before="120"/>
        <w:rPr>
          <w:szCs w:val="24"/>
        </w:rPr>
      </w:pPr>
    </w:p>
    <w:p w14:paraId="721658F7" w14:textId="77777777" w:rsidR="00AF4D05" w:rsidRPr="001B0EA3" w:rsidRDefault="00F26AFB" w:rsidP="00AF4D05">
      <w:pPr>
        <w:tabs>
          <w:tab w:val="left" w:pos="240"/>
          <w:tab w:val="left" w:pos="360"/>
        </w:tabs>
        <w:rPr>
          <w:szCs w:val="24"/>
        </w:rPr>
      </w:pPr>
      <w:r w:rsidRPr="00F26AFB">
        <w:rPr>
          <w:color w:val="000000"/>
          <w:szCs w:val="24"/>
          <w:lang w:eastAsia="en-US"/>
        </w:rPr>
        <w:t xml:space="preserve">Извършените управленски проверки на искането за окончателно плащане се формализират от УО чрез попълване на контролен лист за искане за окончателно плащане (Приложение № 5.01.3.1), регистриран електронно в ИСУН 2020.  </w:t>
      </w:r>
      <w:r w:rsidR="00AF4D05">
        <w:rPr>
          <w:color w:val="000000"/>
          <w:szCs w:val="24"/>
          <w:lang w:eastAsia="en-US"/>
        </w:rPr>
        <w:t xml:space="preserve"> </w:t>
      </w:r>
      <w:r w:rsidR="00AF4D05" w:rsidRPr="001B0EA3">
        <w:rPr>
          <w:color w:val="000000"/>
          <w:szCs w:val="24"/>
          <w:lang w:eastAsia="en-US"/>
        </w:rPr>
        <w:t xml:space="preserve"> </w:t>
      </w:r>
    </w:p>
    <w:p w14:paraId="5E5FDFC2" w14:textId="77777777" w:rsidR="000444CE" w:rsidRPr="001B0EA3" w:rsidRDefault="000444CE" w:rsidP="000444CE">
      <w:pPr>
        <w:tabs>
          <w:tab w:val="left" w:pos="240"/>
          <w:tab w:val="left" w:pos="360"/>
        </w:tabs>
        <w:spacing w:before="120"/>
        <w:rPr>
          <w:rFonts w:eastAsia="Arial Unicode MS"/>
          <w:b/>
          <w:color w:val="000000"/>
          <w:szCs w:val="24"/>
          <w:lang w:eastAsia="fr-FR"/>
        </w:rPr>
      </w:pPr>
      <w:r w:rsidRPr="001B0EA3">
        <w:rPr>
          <w:rFonts w:eastAsia="Arial Unicode MS"/>
          <w:b/>
          <w:color w:val="000000"/>
          <w:szCs w:val="24"/>
          <w:lang w:eastAsia="fr-FR"/>
        </w:rPr>
        <w:t>Одобрението и изплащането на БФП по всеки проект се извършва след задължително верифициране на разходите (с изключение на авансовите плащания) и следва съотношението по източници на финансиране, определено в административния договор/заповедта за предоставяне на БФП.</w:t>
      </w:r>
    </w:p>
    <w:p w14:paraId="1F180233" w14:textId="77777777" w:rsidR="000444CE" w:rsidRPr="00842ECC" w:rsidRDefault="000444CE" w:rsidP="00C8533C">
      <w:pPr>
        <w:pStyle w:val="Style3"/>
        <w:rPr>
          <w:lang w:val="bg-BG"/>
        </w:rPr>
      </w:pPr>
      <w:bookmarkStart w:id="1154" w:name="_Toc479775725"/>
      <w:r w:rsidRPr="00842ECC">
        <w:rPr>
          <w:lang w:val="bg-BG"/>
        </w:rPr>
        <w:t>Искания за плащане по проекти с бенефициент УО</w:t>
      </w:r>
      <w:bookmarkEnd w:id="1154"/>
      <w:r w:rsidRPr="00842ECC">
        <w:rPr>
          <w:lang w:val="bg-BG"/>
        </w:rPr>
        <w:t xml:space="preserve"> </w:t>
      </w:r>
    </w:p>
    <w:p w14:paraId="77192781" w14:textId="77777777" w:rsidR="000444CE" w:rsidRPr="00842ECC" w:rsidRDefault="000444CE" w:rsidP="000444CE">
      <w:pPr>
        <w:rPr>
          <w:szCs w:val="24"/>
        </w:rPr>
      </w:pPr>
      <w:r w:rsidRPr="001B0EA3">
        <w:rPr>
          <w:szCs w:val="24"/>
        </w:rPr>
        <w:t xml:space="preserve">За искания за плащане по проекти с бенефициент УО се прилагат изцяло правилата, разписани в  </w:t>
      </w:r>
      <w:r w:rsidRPr="001B0EA3">
        <w:rPr>
          <w:b/>
          <w:szCs w:val="24"/>
        </w:rPr>
        <w:t xml:space="preserve">точка  </w:t>
      </w:r>
      <w:r w:rsidR="00F76908" w:rsidRPr="00842ECC">
        <w:rPr>
          <w:b/>
          <w:szCs w:val="24"/>
        </w:rPr>
        <w:t>25.5.1.</w:t>
      </w:r>
    </w:p>
    <w:p w14:paraId="1B0D7CEC" w14:textId="77777777" w:rsidR="000444CE" w:rsidRPr="001B0EA3" w:rsidRDefault="000444CE" w:rsidP="000444CE">
      <w:pPr>
        <w:rPr>
          <w:szCs w:val="24"/>
        </w:rPr>
      </w:pPr>
      <w:r w:rsidRPr="001B0EA3">
        <w:rPr>
          <w:szCs w:val="24"/>
        </w:rPr>
        <w:t>Искания за плащане по тези проекти се изготвят от експерт в ЗИП, отговорен за финансовото изпълнение на проекта и се проверяват и одобряват от ръководителя на ЗИП.</w:t>
      </w:r>
    </w:p>
    <w:p w14:paraId="6F7E235A" w14:textId="77777777" w:rsidR="000444CE" w:rsidRPr="001B0EA3" w:rsidRDefault="000444CE" w:rsidP="000444CE">
      <w:pPr>
        <w:rPr>
          <w:szCs w:val="24"/>
        </w:rPr>
      </w:pPr>
      <w:r w:rsidRPr="001B0EA3">
        <w:rPr>
          <w:szCs w:val="24"/>
        </w:rPr>
        <w:t>За подготовката на искане за междинно/окончателно плащане ръководителят на ЗИП изпраща писмо до дирекция ”Финанси” за предоставяне на следната информация:</w:t>
      </w:r>
    </w:p>
    <w:p w14:paraId="551F27AF" w14:textId="77777777"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информация за извършените разходи по проекта за отчетния период,</w:t>
      </w:r>
    </w:p>
    <w:p w14:paraId="2742454F" w14:textId="77777777"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заверени копия на фактури и/или други документи с еквивалентна доказателствена стойност</w:t>
      </w:r>
    </w:p>
    <w:p w14:paraId="3469AE48" w14:textId="77777777"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заверени копия от банкови документи за извършени плащания</w:t>
      </w:r>
    </w:p>
    <w:p w14:paraId="554FDE0A" w14:textId="77777777"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 xml:space="preserve">заверено копие от акта за регистрация по ЗДДС, заверено “вярно с оригинала” (ако е приложимо) </w:t>
      </w:r>
    </w:p>
    <w:p w14:paraId="74061652" w14:textId="77777777"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разпечатки от счетоводната система на бенефициента по съответните аналитичности, доказващи счетоводното отразяване и равнение на данните от искането за плащане</w:t>
      </w:r>
    </w:p>
    <w:p w14:paraId="28934F30" w14:textId="77777777" w:rsidR="000444CE" w:rsidRPr="001B0EA3" w:rsidRDefault="000444CE" w:rsidP="000444CE">
      <w:pPr>
        <w:rPr>
          <w:color w:val="000000"/>
          <w:szCs w:val="24"/>
        </w:rPr>
      </w:pPr>
      <w:r w:rsidRPr="001B0EA3">
        <w:rPr>
          <w:color w:val="000000"/>
          <w:szCs w:val="24"/>
        </w:rPr>
        <w:t xml:space="preserve">С цел гарантиране на разделението на отговорностите и спазване на достатъчно и надеждно ниво на контрол, функциите на разплащане и счетоводния процес по тези проекти са организирани като част от </w:t>
      </w:r>
      <w:r w:rsidR="00BB6BF6">
        <w:rPr>
          <w:color w:val="000000"/>
          <w:szCs w:val="24"/>
        </w:rPr>
        <w:t>МТС</w:t>
      </w:r>
      <w:r w:rsidRPr="001B0EA3">
        <w:rPr>
          <w:color w:val="000000"/>
          <w:szCs w:val="24"/>
        </w:rPr>
        <w:t>, в което са намира УО.</w:t>
      </w:r>
    </w:p>
    <w:p w14:paraId="3651A09B" w14:textId="77777777" w:rsidR="000444CE" w:rsidRPr="001B0EA3" w:rsidRDefault="000444CE" w:rsidP="000444CE">
      <w:pPr>
        <w:rPr>
          <w:b/>
          <w:bCs/>
          <w:szCs w:val="24"/>
        </w:rPr>
      </w:pPr>
    </w:p>
    <w:p w14:paraId="748B2EAD" w14:textId="77777777" w:rsidR="000444CE" w:rsidRPr="001B0EA3" w:rsidRDefault="000444CE" w:rsidP="000444CE">
      <w:pPr>
        <w:rPr>
          <w:b/>
          <w:bCs/>
          <w:szCs w:val="24"/>
        </w:rPr>
      </w:pPr>
    </w:p>
    <w:p w14:paraId="1A8A90EC" w14:textId="77777777" w:rsidR="000444CE" w:rsidRPr="00842ECC" w:rsidRDefault="000444CE" w:rsidP="00A40DBA">
      <w:pPr>
        <w:pStyle w:val="Style2"/>
        <w:tabs>
          <w:tab w:val="left" w:pos="993"/>
        </w:tabs>
        <w:rPr>
          <w:lang w:val="bg-BG" w:eastAsia="bg-BG"/>
        </w:rPr>
      </w:pPr>
      <w:bookmarkStart w:id="1155" w:name="_Toc479775726"/>
      <w:bookmarkStart w:id="1156" w:name="_Toc140150253"/>
      <w:r w:rsidRPr="00842ECC">
        <w:rPr>
          <w:lang w:val="bg-BG" w:eastAsia="bg-BG"/>
        </w:rPr>
        <w:t>Доклади по сертификация и Декларации за допустимите разходи на УО към СО</w:t>
      </w:r>
      <w:bookmarkEnd w:id="1155"/>
      <w:bookmarkEnd w:id="1156"/>
    </w:p>
    <w:p w14:paraId="50E65AC4" w14:textId="77777777" w:rsidR="000444CE" w:rsidRPr="001B0EA3" w:rsidRDefault="000444CE" w:rsidP="000444CE">
      <w:pPr>
        <w:rPr>
          <w:color w:val="000000"/>
          <w:szCs w:val="24"/>
        </w:rPr>
      </w:pPr>
      <w:r w:rsidRPr="001B0EA3">
        <w:rPr>
          <w:color w:val="000000"/>
          <w:szCs w:val="24"/>
        </w:rPr>
        <w:t>Въз основа на извършените управленски проверки, УО изготвя ДСДДР до СО, както следва:</w:t>
      </w:r>
    </w:p>
    <w:p w14:paraId="3034F16A" w14:textId="77777777" w:rsidR="000444CE" w:rsidRPr="001B0EA3" w:rsidRDefault="000444CE" w:rsidP="00031586">
      <w:pPr>
        <w:pStyle w:val="ListParagraph"/>
        <w:numPr>
          <w:ilvl w:val="0"/>
          <w:numId w:val="259"/>
        </w:numPr>
        <w:autoSpaceDE w:val="0"/>
        <w:autoSpaceDN w:val="0"/>
        <w:adjustRightInd w:val="0"/>
        <w:spacing w:before="120"/>
        <w:ind w:left="0" w:firstLine="851"/>
        <w:rPr>
          <w:color w:val="000000"/>
          <w:szCs w:val="24"/>
        </w:rPr>
      </w:pPr>
      <w:r w:rsidRPr="001B0EA3">
        <w:rPr>
          <w:color w:val="000000"/>
          <w:szCs w:val="24"/>
        </w:rPr>
        <w:t xml:space="preserve">Съгласно чл. </w:t>
      </w:r>
      <w:r w:rsidR="00031586">
        <w:rPr>
          <w:color w:val="000000"/>
          <w:szCs w:val="24"/>
        </w:rPr>
        <w:t>24</w:t>
      </w:r>
      <w:r w:rsidRPr="001B0EA3">
        <w:rPr>
          <w:color w:val="000000"/>
          <w:szCs w:val="24"/>
        </w:rPr>
        <w:t xml:space="preserve">, ал. 1 от Наредба </w:t>
      </w:r>
      <w:r w:rsidR="00031586">
        <w:rPr>
          <w:color w:val="000000"/>
          <w:szCs w:val="24"/>
        </w:rPr>
        <w:t xml:space="preserve">№ </w:t>
      </w:r>
      <w:r w:rsidRPr="001B0EA3">
        <w:rPr>
          <w:color w:val="000000"/>
          <w:szCs w:val="24"/>
        </w:rPr>
        <w:t>Н-3/</w:t>
      </w:r>
      <w:r w:rsidR="00031586">
        <w:rPr>
          <w:color w:val="000000"/>
          <w:szCs w:val="24"/>
        </w:rPr>
        <w:t>22.05.2018</w:t>
      </w:r>
      <w:r w:rsidRPr="001B0EA3">
        <w:rPr>
          <w:color w:val="000000"/>
          <w:szCs w:val="24"/>
        </w:rPr>
        <w:t xml:space="preserve"> г., в рамките на счетоводната година УО изготвя и представя на СО чрез ИСУН </w:t>
      </w:r>
      <w:r w:rsidR="00031586">
        <w:rPr>
          <w:color w:val="000000"/>
          <w:szCs w:val="24"/>
        </w:rPr>
        <w:t xml:space="preserve">2020 </w:t>
      </w:r>
      <w:r w:rsidRPr="001B0EA3">
        <w:rPr>
          <w:color w:val="000000"/>
          <w:szCs w:val="24"/>
        </w:rPr>
        <w:t xml:space="preserve">регулярно, но не по-рядко от всеки втори месец междинни </w:t>
      </w:r>
      <w:r w:rsidR="00031586">
        <w:rPr>
          <w:color w:val="000000"/>
          <w:szCs w:val="24"/>
        </w:rPr>
        <w:t>ДСДДР</w:t>
      </w:r>
      <w:r w:rsidRPr="001B0EA3">
        <w:rPr>
          <w:color w:val="000000"/>
          <w:szCs w:val="24"/>
        </w:rPr>
        <w:t xml:space="preserve"> с включени разходи в съответствие с чл. 65, ал. 2 ЗУСЕСИФ </w:t>
      </w:r>
      <w:r w:rsidRPr="001B0EA3">
        <w:rPr>
          <w:b/>
          <w:i/>
          <w:color w:val="000000"/>
          <w:szCs w:val="24"/>
        </w:rPr>
        <w:t>(</w:t>
      </w:r>
      <w:hyperlink r:id="rId191" w:tooltip="Междинен Доклад по сертификация  от Управляващ орган по ОП " w:history="1">
        <w:r w:rsidR="00342742" w:rsidRPr="00251D03">
          <w:rPr>
            <w:i/>
            <w:iCs/>
            <w:color w:val="0000FF"/>
            <w:szCs w:val="24"/>
            <w:u w:val="single"/>
            <w:lang w:eastAsia="bg-BG"/>
          </w:rPr>
          <w:t>Приложение № 5.02.1</w:t>
        </w:r>
      </w:hyperlink>
      <w:r w:rsidRPr="001B0EA3">
        <w:rPr>
          <w:b/>
          <w:i/>
          <w:color w:val="000000"/>
          <w:szCs w:val="24"/>
        </w:rPr>
        <w:t>)</w:t>
      </w:r>
      <w:r w:rsidRPr="001B0EA3">
        <w:rPr>
          <w:color w:val="000000"/>
          <w:szCs w:val="24"/>
        </w:rPr>
        <w:t xml:space="preserve">. </w:t>
      </w:r>
      <w:r w:rsidR="00031586">
        <w:rPr>
          <w:color w:val="000000"/>
          <w:szCs w:val="24"/>
        </w:rPr>
        <w:t>УО</w:t>
      </w:r>
      <w:r w:rsidRPr="001B0EA3">
        <w:rPr>
          <w:color w:val="000000"/>
          <w:szCs w:val="24"/>
        </w:rPr>
        <w:t xml:space="preserve"> въвежда </w:t>
      </w:r>
      <w:r w:rsidR="00031586" w:rsidRPr="00031586">
        <w:rPr>
          <w:color w:val="000000"/>
          <w:szCs w:val="24"/>
        </w:rPr>
        <w:t>ДСДДР със статус „приключен“</w:t>
      </w:r>
      <w:r w:rsidR="00031586">
        <w:rPr>
          <w:color w:val="000000"/>
          <w:szCs w:val="24"/>
        </w:rPr>
        <w:t xml:space="preserve"> </w:t>
      </w:r>
      <w:r w:rsidRPr="001B0EA3">
        <w:rPr>
          <w:color w:val="000000"/>
          <w:szCs w:val="24"/>
        </w:rPr>
        <w:t xml:space="preserve">в ИСУН </w:t>
      </w:r>
      <w:r w:rsidR="00031586">
        <w:rPr>
          <w:color w:val="000000"/>
          <w:szCs w:val="24"/>
        </w:rPr>
        <w:t>2020</w:t>
      </w:r>
      <w:r w:rsidRPr="001B0EA3">
        <w:rPr>
          <w:color w:val="000000"/>
          <w:szCs w:val="24"/>
        </w:rPr>
        <w:t xml:space="preserve"> до 10</w:t>
      </w:r>
      <w:r w:rsidR="00031586">
        <w:rPr>
          <w:color w:val="000000"/>
          <w:szCs w:val="24"/>
        </w:rPr>
        <w:t>-то число</w:t>
      </w:r>
      <w:r w:rsidRPr="001B0EA3">
        <w:rPr>
          <w:color w:val="000000"/>
          <w:szCs w:val="24"/>
        </w:rPr>
        <w:t xml:space="preserve"> на месеца. Към всеки ДСДДР се предоставя информация съгласно Приложение </w:t>
      </w:r>
      <w:r w:rsidR="00031586">
        <w:rPr>
          <w:color w:val="000000"/>
          <w:szCs w:val="24"/>
        </w:rPr>
        <w:t xml:space="preserve">№ </w:t>
      </w:r>
      <w:r w:rsidRPr="001B0EA3">
        <w:rPr>
          <w:color w:val="000000"/>
          <w:szCs w:val="24"/>
        </w:rPr>
        <w:t xml:space="preserve">4А към чл. </w:t>
      </w:r>
      <w:r w:rsidR="00031586">
        <w:rPr>
          <w:color w:val="000000"/>
          <w:szCs w:val="24"/>
        </w:rPr>
        <w:t>24</w:t>
      </w:r>
      <w:r w:rsidRPr="001B0EA3">
        <w:rPr>
          <w:color w:val="000000"/>
          <w:szCs w:val="24"/>
        </w:rPr>
        <w:t xml:space="preserve">, ал. </w:t>
      </w:r>
      <w:r w:rsidR="00031586">
        <w:rPr>
          <w:color w:val="000000"/>
          <w:szCs w:val="24"/>
        </w:rPr>
        <w:t>5</w:t>
      </w:r>
      <w:r w:rsidRPr="001B0EA3">
        <w:rPr>
          <w:color w:val="000000"/>
          <w:szCs w:val="24"/>
        </w:rPr>
        <w:t xml:space="preserve"> от Наредба </w:t>
      </w:r>
      <w:r w:rsidR="00031586">
        <w:rPr>
          <w:color w:val="000000"/>
          <w:szCs w:val="24"/>
        </w:rPr>
        <w:t xml:space="preserve">№ </w:t>
      </w:r>
      <w:r w:rsidRPr="001B0EA3">
        <w:rPr>
          <w:color w:val="000000"/>
          <w:szCs w:val="24"/>
        </w:rPr>
        <w:t>Н-3/</w:t>
      </w:r>
      <w:r w:rsidR="00031586">
        <w:rPr>
          <w:color w:val="000000"/>
          <w:szCs w:val="24"/>
        </w:rPr>
        <w:t>22.05.2018</w:t>
      </w:r>
      <w:r w:rsidRPr="001B0EA3">
        <w:rPr>
          <w:color w:val="000000"/>
          <w:szCs w:val="24"/>
        </w:rPr>
        <w:t xml:space="preserve"> г. </w:t>
      </w:r>
      <w:r w:rsidRPr="001B0EA3">
        <w:rPr>
          <w:b/>
          <w:i/>
          <w:color w:val="000000"/>
          <w:sz w:val="32"/>
          <w:szCs w:val="24"/>
        </w:rPr>
        <w:t>(</w:t>
      </w:r>
      <w:hyperlink r:id="rId192" w:tooltip="Приложение 4А към чл. 24, ал. 5 от Наредба Н-3/22.05.2018 г. " w:history="1">
        <w:r w:rsidR="00342742" w:rsidRPr="00251D03">
          <w:rPr>
            <w:i/>
            <w:iCs/>
            <w:color w:val="0000FF"/>
            <w:szCs w:val="24"/>
            <w:u w:val="single"/>
            <w:lang w:eastAsia="bg-BG"/>
          </w:rPr>
          <w:t>Приложение № 5.02.1.2</w:t>
        </w:r>
      </w:hyperlink>
      <w:r w:rsidRPr="001B0EA3">
        <w:rPr>
          <w:b/>
          <w:i/>
          <w:color w:val="000000"/>
        </w:rPr>
        <w:t>).</w:t>
      </w:r>
    </w:p>
    <w:p w14:paraId="7A1E2BAC" w14:textId="77777777" w:rsidR="000444CE" w:rsidRPr="001B0EA3" w:rsidRDefault="00031586" w:rsidP="00606629">
      <w:pPr>
        <w:numPr>
          <w:ilvl w:val="0"/>
          <w:numId w:val="136"/>
        </w:numPr>
        <w:tabs>
          <w:tab w:val="clear" w:pos="720"/>
          <w:tab w:val="num" w:pos="1276"/>
        </w:tabs>
        <w:ind w:left="0" w:firstLine="851"/>
        <w:rPr>
          <w:color w:val="000000"/>
          <w:szCs w:val="24"/>
        </w:rPr>
      </w:pPr>
      <w:r w:rsidRPr="00031586">
        <w:rPr>
          <w:color w:val="000000"/>
          <w:szCs w:val="24"/>
        </w:rPr>
        <w:t>До 10 юни за всяка счетоводна година</w:t>
      </w:r>
      <w:r w:rsidR="000444CE" w:rsidRPr="001B0EA3">
        <w:rPr>
          <w:color w:val="000000"/>
          <w:szCs w:val="24"/>
        </w:rPr>
        <w:t xml:space="preserve"> УО въвежда в ИСУН </w:t>
      </w:r>
      <w:r w:rsidR="00606629">
        <w:rPr>
          <w:color w:val="000000"/>
          <w:szCs w:val="24"/>
        </w:rPr>
        <w:t>2020</w:t>
      </w:r>
      <w:r w:rsidR="000444CE" w:rsidRPr="001B0EA3">
        <w:rPr>
          <w:color w:val="000000"/>
          <w:szCs w:val="24"/>
        </w:rPr>
        <w:t xml:space="preserve"> </w:t>
      </w:r>
      <w:r w:rsidR="000444CE" w:rsidRPr="001B0EA3">
        <w:rPr>
          <w:color w:val="000000"/>
          <w:szCs w:val="24"/>
          <w:u w:val="single"/>
        </w:rPr>
        <w:t>финален междинен ДСДДР</w:t>
      </w:r>
      <w:r w:rsidR="000444CE" w:rsidRPr="001B0EA3">
        <w:rPr>
          <w:color w:val="000000"/>
          <w:szCs w:val="24"/>
        </w:rPr>
        <w:t xml:space="preserve"> за </w:t>
      </w:r>
      <w:r w:rsidR="00606629" w:rsidRPr="00606629">
        <w:rPr>
          <w:color w:val="000000"/>
          <w:szCs w:val="24"/>
        </w:rPr>
        <w:t>счетоводната година допустимите разходи за счетоводната година с включени верифицирани разходи до 31 май</w:t>
      </w:r>
      <w:r w:rsidR="000444CE" w:rsidRPr="001B0EA3">
        <w:rPr>
          <w:color w:val="000000"/>
          <w:szCs w:val="24"/>
        </w:rPr>
        <w:t>.(</w:t>
      </w:r>
      <w:hyperlink r:id="rId193" w:tooltip="Междинен Доклад по сертификация  от Управляващ орган по ОП " w:history="1">
        <w:r w:rsidR="00342742" w:rsidRPr="00251D03">
          <w:rPr>
            <w:i/>
            <w:iCs/>
            <w:color w:val="0000FF"/>
            <w:szCs w:val="24"/>
            <w:u w:val="single"/>
            <w:lang w:eastAsia="bg-BG"/>
          </w:rPr>
          <w:t>Приложение № 5.02.1</w:t>
        </w:r>
      </w:hyperlink>
      <w:r w:rsidR="000444CE" w:rsidRPr="001B0EA3">
        <w:rPr>
          <w:color w:val="000000"/>
          <w:szCs w:val="24"/>
        </w:rPr>
        <w:t>).</w:t>
      </w:r>
    </w:p>
    <w:p w14:paraId="727E6037" w14:textId="77777777" w:rsidR="000444CE" w:rsidRPr="00842ECC" w:rsidRDefault="000444CE" w:rsidP="00C8533C">
      <w:pPr>
        <w:pStyle w:val="Style3"/>
        <w:rPr>
          <w:lang w:val="bg-BG" w:eastAsia="bg-BG"/>
        </w:rPr>
      </w:pPr>
      <w:bookmarkStart w:id="1157" w:name="_Toc479775727"/>
      <w:r w:rsidRPr="00842ECC">
        <w:rPr>
          <w:lang w:val="bg-BG" w:eastAsia="bg-BG"/>
        </w:rPr>
        <w:lastRenderedPageBreak/>
        <w:t>Процес на подготовка и проверка на (Финален) Междинен ДСДДР от УО</w:t>
      </w:r>
      <w:bookmarkEnd w:id="1157"/>
    </w:p>
    <w:p w14:paraId="753E0C32" w14:textId="77777777" w:rsidR="000444CE" w:rsidRPr="001B0EA3" w:rsidRDefault="000444CE" w:rsidP="000444CE">
      <w:pPr>
        <w:tabs>
          <w:tab w:val="left" w:pos="993"/>
        </w:tabs>
        <w:spacing w:before="120"/>
        <w:rPr>
          <w:color w:val="000000"/>
          <w:szCs w:val="24"/>
          <w:lang w:eastAsia="fr-FR"/>
        </w:rPr>
      </w:pPr>
      <w:r w:rsidRPr="001B0EA3">
        <w:rPr>
          <w:b/>
          <w:color w:val="000000"/>
          <w:szCs w:val="24"/>
          <w:u w:val="single"/>
          <w:lang w:eastAsia="fr-FR"/>
        </w:rPr>
        <w:t>(Финален) Междинен ДСДДР</w:t>
      </w:r>
      <w:r w:rsidRPr="001B0EA3">
        <w:rPr>
          <w:b/>
          <w:color w:val="000000"/>
          <w:szCs w:val="24"/>
          <w:lang w:eastAsia="fr-FR"/>
        </w:rPr>
        <w:t xml:space="preserve"> -</w:t>
      </w:r>
      <w:r w:rsidRPr="001B0EA3">
        <w:rPr>
          <w:color w:val="000000"/>
          <w:szCs w:val="24"/>
          <w:lang w:eastAsia="fr-FR"/>
        </w:rPr>
        <w:t xml:space="preserve"> </w:t>
      </w:r>
    </w:p>
    <w:p w14:paraId="6866E1DB" w14:textId="77777777" w:rsidR="000444CE" w:rsidRPr="001B0EA3" w:rsidRDefault="000444CE" w:rsidP="000444CE">
      <w:pPr>
        <w:tabs>
          <w:tab w:val="left" w:pos="993"/>
        </w:tabs>
        <w:spacing w:before="120"/>
        <w:rPr>
          <w:color w:val="000000"/>
          <w:szCs w:val="24"/>
        </w:rPr>
      </w:pPr>
      <w:r w:rsidRPr="001B0EA3">
        <w:rPr>
          <w:color w:val="000000"/>
          <w:szCs w:val="24"/>
          <w:lang w:eastAsia="fr-FR"/>
        </w:rPr>
        <w:t xml:space="preserve">Началникът на отдел „Финансово управление” определя </w:t>
      </w:r>
      <w:r w:rsidR="00B43060" w:rsidRPr="001B0EA3">
        <w:rPr>
          <w:color w:val="000000"/>
          <w:szCs w:val="24"/>
          <w:lang w:eastAsia="fr-FR"/>
        </w:rPr>
        <w:t>служители</w:t>
      </w:r>
      <w:r w:rsidRPr="001B0EA3">
        <w:rPr>
          <w:color w:val="000000"/>
          <w:szCs w:val="24"/>
          <w:lang w:eastAsia="fr-FR"/>
        </w:rPr>
        <w:t xml:space="preserve"> отговорни за изготвяне на (Финален) Междинен </w:t>
      </w:r>
      <w:r w:rsidRPr="001B0EA3">
        <w:rPr>
          <w:color w:val="000000"/>
          <w:szCs w:val="24"/>
        </w:rPr>
        <w:t xml:space="preserve">ДСДДР, които спазват реда и сроковете съгласно Наредба </w:t>
      </w:r>
      <w:r w:rsidR="003D2DDB">
        <w:rPr>
          <w:color w:val="000000"/>
          <w:szCs w:val="24"/>
        </w:rPr>
        <w:t>№</w:t>
      </w:r>
      <w:r w:rsidR="003D2DDB" w:rsidRPr="00842ECC">
        <w:rPr>
          <w:color w:val="000000"/>
          <w:szCs w:val="24"/>
        </w:rPr>
        <w:t xml:space="preserve"> </w:t>
      </w:r>
      <w:r w:rsidRPr="001B0EA3">
        <w:rPr>
          <w:color w:val="000000"/>
          <w:szCs w:val="24"/>
        </w:rPr>
        <w:t>Н-3/</w:t>
      </w:r>
      <w:r w:rsidR="003D2DDB" w:rsidRPr="00842ECC">
        <w:rPr>
          <w:color w:val="000000"/>
          <w:szCs w:val="24"/>
        </w:rPr>
        <w:t>22.05.2018</w:t>
      </w:r>
      <w:r w:rsidRPr="001B0EA3">
        <w:rPr>
          <w:color w:val="000000"/>
          <w:szCs w:val="24"/>
        </w:rPr>
        <w:t xml:space="preserve"> г.</w:t>
      </w:r>
    </w:p>
    <w:p w14:paraId="4DF38CF6" w14:textId="77777777" w:rsidR="000444CE" w:rsidRPr="001B0EA3" w:rsidRDefault="000444CE" w:rsidP="000444CE">
      <w:pPr>
        <w:tabs>
          <w:tab w:val="left" w:pos="993"/>
        </w:tabs>
        <w:spacing w:before="120"/>
        <w:rPr>
          <w:szCs w:val="24"/>
        </w:rPr>
      </w:pPr>
      <w:r w:rsidRPr="001B0EA3">
        <w:rPr>
          <w:szCs w:val="24"/>
        </w:rPr>
        <w:t xml:space="preserve">УО включва в ДСДДР само верифицирани </w:t>
      </w:r>
      <w:r w:rsidRPr="001B0EA3">
        <w:rPr>
          <w:color w:val="000000"/>
          <w:szCs w:val="24"/>
        </w:rPr>
        <w:t xml:space="preserve">разходи, за които </w:t>
      </w:r>
      <w:r w:rsidR="003D2DDB" w:rsidRPr="003D2DDB">
        <w:rPr>
          <w:color w:val="000000"/>
          <w:szCs w:val="24"/>
        </w:rPr>
        <w:t xml:space="preserve">до въвеждане на статус „приключен“ на доклада в ИСУН 2020 </w:t>
      </w:r>
      <w:r w:rsidRPr="001B0EA3">
        <w:rPr>
          <w:color w:val="000000"/>
          <w:szCs w:val="24"/>
        </w:rPr>
        <w:t xml:space="preserve">е одобрил и разпределил лимити на подчинените десетразрядни кодове </w:t>
      </w:r>
      <w:r w:rsidR="003D2DDB" w:rsidRPr="003D2DDB">
        <w:rPr>
          <w:color w:val="000000"/>
          <w:szCs w:val="24"/>
        </w:rPr>
        <w:t xml:space="preserve">на бенефициентите </w:t>
      </w:r>
      <w:r w:rsidRPr="001B0EA3">
        <w:rPr>
          <w:color w:val="000000"/>
          <w:szCs w:val="24"/>
        </w:rPr>
        <w:t xml:space="preserve">в СЕБРА. </w:t>
      </w:r>
      <w:r w:rsidRPr="001B0EA3">
        <w:rPr>
          <w:szCs w:val="24"/>
        </w:rPr>
        <w:t xml:space="preserve">По изключение, когато докладът се подава през месец декември на съответната финансова година, УО може да включи и верифицирани </w:t>
      </w:r>
      <w:r w:rsidR="008B27E6" w:rsidRPr="008B27E6">
        <w:rPr>
          <w:szCs w:val="24"/>
        </w:rPr>
        <w:t xml:space="preserve">допустими </w:t>
      </w:r>
      <w:r w:rsidRPr="001B0EA3">
        <w:rPr>
          <w:szCs w:val="24"/>
        </w:rPr>
        <w:t>разходи, без те да са изплатени на бенефициента.</w:t>
      </w:r>
    </w:p>
    <w:p w14:paraId="1373A39E" w14:textId="77777777" w:rsidR="000444CE" w:rsidRPr="001B0EA3" w:rsidRDefault="000444CE" w:rsidP="000444CE">
      <w:pPr>
        <w:tabs>
          <w:tab w:val="left" w:pos="540"/>
        </w:tabs>
        <w:spacing w:before="120"/>
        <w:rPr>
          <w:color w:val="000000"/>
          <w:szCs w:val="24"/>
        </w:rPr>
      </w:pPr>
      <w:r w:rsidRPr="001B0EA3">
        <w:rPr>
          <w:color w:val="000000"/>
          <w:szCs w:val="24"/>
        </w:rPr>
        <w:t>УО верифицира и включва в ДСДДР изплатени от бенефициентите аванси към изпълнители по договори при наличие на сключен договор с клауза за авансово плащане и предоставена от изпълнителя фактура или друг счетоводен документ с еквивалентна доказателствена стойност за извършения разход.</w:t>
      </w:r>
    </w:p>
    <w:p w14:paraId="5658AD9A" w14:textId="77777777" w:rsidR="000444CE" w:rsidRPr="001B0EA3" w:rsidRDefault="007F0DBF" w:rsidP="000444CE">
      <w:pPr>
        <w:tabs>
          <w:tab w:val="left" w:pos="993"/>
        </w:tabs>
        <w:spacing w:before="120"/>
        <w:rPr>
          <w:szCs w:val="24"/>
        </w:rPr>
      </w:pPr>
      <w:r w:rsidRPr="007F0DBF">
        <w:rPr>
          <w:color w:val="000000"/>
          <w:szCs w:val="24"/>
        </w:rPr>
        <w:t>Съгласно чл. 102, ал. 6 от Регламент (ЕС) № 1303/2013, УО може да включи в ДСДДР изплатените към бенефициента верифицирани по голям проект по смисъла на чл. 100, ал. 6 от Регламент (ЕС) № 1303/2013, след като е изпратено уведомление до ЕК за избран голям проект. Когато ЕК не одобри големия проект, избран от УО ДСДДР се коригира след приемане на решението от страна на</w:t>
      </w:r>
      <w:r w:rsidRPr="00842ECC">
        <w:rPr>
          <w:color w:val="000000"/>
          <w:szCs w:val="24"/>
        </w:rPr>
        <w:t xml:space="preserve"> </w:t>
      </w:r>
      <w:r w:rsidRPr="007F0DBF">
        <w:rPr>
          <w:color w:val="000000"/>
          <w:szCs w:val="24"/>
        </w:rPr>
        <w:t>ЕК.</w:t>
      </w:r>
    </w:p>
    <w:p w14:paraId="2308D88B" w14:textId="77777777" w:rsidR="000444CE" w:rsidRPr="001B0EA3" w:rsidRDefault="007F0DBF" w:rsidP="000444CE">
      <w:pPr>
        <w:tabs>
          <w:tab w:val="left" w:pos="993"/>
        </w:tabs>
        <w:spacing w:before="120"/>
        <w:rPr>
          <w:color w:val="000000"/>
          <w:szCs w:val="24"/>
        </w:rPr>
      </w:pPr>
      <w:r w:rsidRPr="007F0DBF">
        <w:rPr>
          <w:color w:val="000000"/>
          <w:szCs w:val="24"/>
          <w:u w:val="single"/>
        </w:rPr>
        <w:t>УО намалява вземанията по определена индивидуална финансова корекция включени в заявление за плащане към ЕК през счетоводната година, които все още не са сертифицирани с ГСО от първия следващ ДСДДР, включително и относимия собствен принос. В случай, че до изпращане на ДСДДР на СО вземанията са възстановени от бенефициента същите се отразяват като възстановени суми, заедно с лихвите за забава.</w:t>
      </w:r>
      <w:r w:rsidR="000444CE" w:rsidRPr="001B0EA3">
        <w:rPr>
          <w:color w:val="000000"/>
          <w:szCs w:val="24"/>
        </w:rPr>
        <w:t xml:space="preserve"> </w:t>
      </w:r>
    </w:p>
    <w:p w14:paraId="2568200B" w14:textId="77777777" w:rsidR="000444CE" w:rsidRPr="001B0EA3" w:rsidRDefault="000444CE" w:rsidP="000444CE">
      <w:pPr>
        <w:tabs>
          <w:tab w:val="left" w:pos="993"/>
        </w:tabs>
        <w:spacing w:before="120"/>
        <w:rPr>
          <w:color w:val="000000"/>
          <w:szCs w:val="24"/>
          <w:u w:val="single"/>
        </w:rPr>
      </w:pPr>
      <w:r w:rsidRPr="001B0EA3">
        <w:rPr>
          <w:color w:val="000000"/>
          <w:szCs w:val="24"/>
          <w:u w:val="single"/>
        </w:rPr>
        <w:t xml:space="preserve">В случай че </w:t>
      </w:r>
      <w:r w:rsidR="007F0DBF">
        <w:rPr>
          <w:color w:val="000000"/>
          <w:szCs w:val="24"/>
          <w:u w:val="single"/>
        </w:rPr>
        <w:t xml:space="preserve">за </w:t>
      </w:r>
      <w:r w:rsidRPr="001B0EA3">
        <w:rPr>
          <w:color w:val="000000"/>
          <w:szCs w:val="24"/>
          <w:u w:val="single"/>
        </w:rPr>
        <w:t>разходи</w:t>
      </w:r>
      <w:r w:rsidR="007F0DBF">
        <w:rPr>
          <w:color w:val="000000"/>
          <w:szCs w:val="24"/>
          <w:u w:val="single"/>
        </w:rPr>
        <w:t>, които</w:t>
      </w:r>
      <w:r w:rsidRPr="001B0EA3">
        <w:rPr>
          <w:color w:val="000000"/>
          <w:szCs w:val="24"/>
          <w:u w:val="single"/>
        </w:rPr>
        <w:t xml:space="preserve"> са сертифицирани с </w:t>
      </w:r>
      <w:r w:rsidR="007F0DBF">
        <w:rPr>
          <w:color w:val="000000"/>
          <w:szCs w:val="24"/>
          <w:u w:val="single"/>
        </w:rPr>
        <w:t>ГСО</w:t>
      </w:r>
      <w:r w:rsidRPr="001B0EA3">
        <w:rPr>
          <w:color w:val="000000"/>
          <w:szCs w:val="24"/>
          <w:u w:val="single"/>
        </w:rPr>
        <w:t xml:space="preserve">, </w:t>
      </w:r>
      <w:r w:rsidR="007F0DBF">
        <w:rPr>
          <w:color w:val="000000"/>
          <w:szCs w:val="24"/>
          <w:u w:val="single"/>
        </w:rPr>
        <w:t>са регистрирани</w:t>
      </w:r>
      <w:r w:rsidRPr="001B0EA3">
        <w:rPr>
          <w:color w:val="000000"/>
          <w:szCs w:val="24"/>
          <w:u w:val="single"/>
        </w:rPr>
        <w:t xml:space="preserve"> вземанията по индивидуални финансови корекции</w:t>
      </w:r>
      <w:r w:rsidR="007F0DBF">
        <w:rPr>
          <w:color w:val="000000"/>
          <w:szCs w:val="24"/>
          <w:u w:val="single"/>
        </w:rPr>
        <w:t xml:space="preserve">, </w:t>
      </w:r>
      <w:r w:rsidR="007F0DBF" w:rsidRPr="007F0DBF">
        <w:rPr>
          <w:color w:val="000000"/>
          <w:szCs w:val="24"/>
          <w:u w:val="single"/>
        </w:rPr>
        <w:t>то тези разходи</w:t>
      </w:r>
      <w:r w:rsidRPr="001B0EA3">
        <w:rPr>
          <w:color w:val="000000"/>
          <w:szCs w:val="24"/>
          <w:u w:val="single"/>
        </w:rPr>
        <w:t xml:space="preserve"> се приспадат от първия следващ междинен ДСДДР след възстановяване на вземанията от бенефициента заедно с възстановената към тях лихва за забава </w:t>
      </w:r>
    </w:p>
    <w:p w14:paraId="26A20DC7" w14:textId="77777777" w:rsidR="000444CE" w:rsidRPr="001B0EA3" w:rsidRDefault="007F0DBF" w:rsidP="000444CE">
      <w:pPr>
        <w:tabs>
          <w:tab w:val="left" w:pos="993"/>
        </w:tabs>
        <w:spacing w:before="120"/>
        <w:rPr>
          <w:color w:val="000000"/>
          <w:szCs w:val="24"/>
        </w:rPr>
      </w:pPr>
      <w:r w:rsidRPr="007F0DBF">
        <w:rPr>
          <w:color w:val="000000"/>
          <w:szCs w:val="24"/>
          <w:u w:val="single"/>
        </w:rPr>
        <w:t>В случай, ч</w:t>
      </w:r>
      <w:r w:rsidR="001F54CE">
        <w:rPr>
          <w:color w:val="000000"/>
          <w:szCs w:val="24"/>
          <w:u w:val="single"/>
        </w:rPr>
        <w:t>е</w:t>
      </w:r>
      <w:r w:rsidRPr="007F0DBF">
        <w:rPr>
          <w:color w:val="000000"/>
          <w:szCs w:val="24"/>
          <w:u w:val="single"/>
        </w:rPr>
        <w:t xml:space="preserve"> за разходи, които са сертифицирани в ЕК са р</w:t>
      </w:r>
      <w:r w:rsidR="000444CE" w:rsidRPr="001B0EA3">
        <w:rPr>
          <w:color w:val="000000"/>
          <w:szCs w:val="24"/>
          <w:u w:val="single"/>
        </w:rPr>
        <w:t>егистрирани вземания по финансови корекции за системн</w:t>
      </w:r>
      <w:r w:rsidR="00A416EF">
        <w:rPr>
          <w:color w:val="000000"/>
          <w:szCs w:val="24"/>
          <w:u w:val="single"/>
        </w:rPr>
        <w:t>и</w:t>
      </w:r>
      <w:r w:rsidR="000444CE" w:rsidRPr="001B0EA3">
        <w:rPr>
          <w:color w:val="000000"/>
          <w:szCs w:val="24"/>
          <w:u w:val="single"/>
        </w:rPr>
        <w:t xml:space="preserve"> пропуск</w:t>
      </w:r>
      <w:r w:rsidR="00A416EF">
        <w:rPr>
          <w:color w:val="000000"/>
          <w:szCs w:val="24"/>
          <w:u w:val="single"/>
        </w:rPr>
        <w:t>и,то тези разходи</w:t>
      </w:r>
      <w:r w:rsidR="000444CE" w:rsidRPr="001B0EA3">
        <w:rPr>
          <w:color w:val="000000"/>
          <w:szCs w:val="24"/>
          <w:u w:val="single"/>
        </w:rPr>
        <w:t xml:space="preserve"> се отписват чрез оттегляне от първия следващ междинен ДСДДР. </w:t>
      </w:r>
    </w:p>
    <w:p w14:paraId="31F76595" w14:textId="77777777" w:rsidR="000444CE" w:rsidRPr="001B0EA3" w:rsidRDefault="00A416EF" w:rsidP="000444CE">
      <w:pPr>
        <w:tabs>
          <w:tab w:val="left" w:pos="993"/>
        </w:tabs>
        <w:spacing w:before="120"/>
        <w:rPr>
          <w:color w:val="000000"/>
          <w:szCs w:val="24"/>
        </w:rPr>
      </w:pPr>
      <w:r w:rsidRPr="00A416EF">
        <w:rPr>
          <w:color w:val="000000"/>
          <w:szCs w:val="24"/>
        </w:rPr>
        <w:t>В сучай, че първия следващ ДСДДР се изготвя след края на текущата счетоводна година, намаленията по вземания по индивидуална финансова корекция и корекция за системен пропуск се извършва от СО при изготвяне на ГСО.</w:t>
      </w:r>
    </w:p>
    <w:p w14:paraId="7B00DA3F" w14:textId="77777777" w:rsidR="00B071E3" w:rsidRPr="001B0EA3" w:rsidRDefault="00B071E3" w:rsidP="00B071E3">
      <w:pPr>
        <w:tabs>
          <w:tab w:val="left" w:pos="993"/>
        </w:tabs>
        <w:spacing w:before="120"/>
        <w:rPr>
          <w:color w:val="000000"/>
          <w:szCs w:val="24"/>
        </w:rPr>
      </w:pPr>
      <w:r w:rsidRPr="001B0EA3">
        <w:rPr>
          <w:color w:val="000000"/>
          <w:szCs w:val="24"/>
        </w:rPr>
        <w:t xml:space="preserve">Експерт от </w:t>
      </w:r>
      <w:r w:rsidRPr="001B0EA3">
        <w:rPr>
          <w:color w:val="000000"/>
          <w:szCs w:val="24"/>
          <w:lang w:eastAsia="fr-FR"/>
        </w:rPr>
        <w:t xml:space="preserve">отдел „Финансово управление” изготвя </w:t>
      </w:r>
      <w:r w:rsidRPr="001B0EA3">
        <w:rPr>
          <w:color w:val="000000"/>
          <w:szCs w:val="24"/>
        </w:rPr>
        <w:t>междин</w:t>
      </w:r>
      <w:r>
        <w:rPr>
          <w:color w:val="000000"/>
          <w:szCs w:val="24"/>
        </w:rPr>
        <w:t>ни</w:t>
      </w:r>
      <w:r w:rsidRPr="001B0EA3">
        <w:rPr>
          <w:color w:val="000000"/>
          <w:szCs w:val="24"/>
        </w:rPr>
        <w:t xml:space="preserve"> ДСДДР и удостоверява тяхната коректност, чрез извършване на първи</w:t>
      </w:r>
      <w:r>
        <w:rPr>
          <w:color w:val="000000"/>
          <w:szCs w:val="24"/>
        </w:rPr>
        <w:t xml:space="preserve"> </w:t>
      </w:r>
      <w:r w:rsidRPr="001B0EA3">
        <w:rPr>
          <w:color w:val="000000"/>
          <w:szCs w:val="24"/>
        </w:rPr>
        <w:t xml:space="preserve">контрол в </w:t>
      </w:r>
      <w:r w:rsidRPr="001B0EA3">
        <w:rPr>
          <w:szCs w:val="24"/>
        </w:rPr>
        <w:t>контролен лист за (Финален) Междинен ДСДДР от УО към СО</w:t>
      </w:r>
      <w:r>
        <w:rPr>
          <w:szCs w:val="24"/>
        </w:rPr>
        <w:t xml:space="preserve"> </w:t>
      </w:r>
      <w:r w:rsidRPr="00842ECC">
        <w:t>(</w:t>
      </w:r>
      <w:r>
        <w:t>Приложение № 5.02.1.1</w:t>
      </w:r>
      <w:r w:rsidRPr="00842ECC">
        <w:t>)</w:t>
      </w:r>
      <w:r>
        <w:rPr>
          <w:szCs w:val="24"/>
        </w:rPr>
        <w:t>, регистриран електронно в ИСУН 2020</w:t>
      </w:r>
      <w:r w:rsidRPr="001B0EA3">
        <w:rPr>
          <w:color w:val="000000"/>
          <w:szCs w:val="24"/>
        </w:rPr>
        <w:t xml:space="preserve">, регистрира ДСДДР в ИСУН 2020 и </w:t>
      </w:r>
      <w:r>
        <w:rPr>
          <w:color w:val="000000"/>
          <w:szCs w:val="24"/>
        </w:rPr>
        <w:t>насочва контролния лист към</w:t>
      </w:r>
      <w:r w:rsidRPr="001B0EA3">
        <w:rPr>
          <w:color w:val="000000"/>
          <w:szCs w:val="24"/>
        </w:rPr>
        <w:t xml:space="preserve"> ДСДДР за проверка от счетоводител. </w:t>
      </w:r>
    </w:p>
    <w:p w14:paraId="6AC189E9" w14:textId="77777777" w:rsidR="000444CE" w:rsidRPr="001B0EA3" w:rsidRDefault="000444CE" w:rsidP="000444CE">
      <w:pPr>
        <w:tabs>
          <w:tab w:val="left" w:pos="993"/>
        </w:tabs>
        <w:spacing w:before="120"/>
        <w:rPr>
          <w:szCs w:val="24"/>
          <w:lang w:eastAsia="fr-FR"/>
        </w:rPr>
      </w:pPr>
      <w:r w:rsidRPr="001B0EA3">
        <w:rPr>
          <w:szCs w:val="24"/>
          <w:lang w:eastAsia="fr-FR"/>
        </w:rPr>
        <w:t xml:space="preserve">Срокът за изготвяне, окомплектоване и извършване на проверките от експертите в </w:t>
      </w:r>
      <w:r w:rsidRPr="001B0EA3">
        <w:rPr>
          <w:color w:val="000000"/>
          <w:szCs w:val="24"/>
          <w:lang w:eastAsia="fr-FR"/>
        </w:rPr>
        <w:t xml:space="preserve">отдел „Финансово управление” </w:t>
      </w:r>
      <w:r w:rsidRPr="001B0EA3">
        <w:rPr>
          <w:szCs w:val="24"/>
          <w:lang w:eastAsia="fr-FR"/>
        </w:rPr>
        <w:t xml:space="preserve">е </w:t>
      </w:r>
      <w:r w:rsidR="001132D8">
        <w:rPr>
          <w:szCs w:val="24"/>
          <w:lang w:eastAsia="fr-FR"/>
        </w:rPr>
        <w:t>2</w:t>
      </w:r>
      <w:r w:rsidR="001132D8" w:rsidRPr="001B0EA3">
        <w:rPr>
          <w:szCs w:val="24"/>
          <w:lang w:eastAsia="fr-FR"/>
        </w:rPr>
        <w:t xml:space="preserve"> </w:t>
      </w:r>
      <w:r w:rsidRPr="001B0EA3">
        <w:rPr>
          <w:szCs w:val="24"/>
          <w:lang w:eastAsia="fr-FR"/>
        </w:rPr>
        <w:t xml:space="preserve">работни дни, считано от крайната дата на ДСДДР. </w:t>
      </w:r>
    </w:p>
    <w:p w14:paraId="1DD4A68F" w14:textId="77777777" w:rsidR="00D31F26" w:rsidRPr="001B0EA3" w:rsidRDefault="00D31F26" w:rsidP="00D31F26">
      <w:pPr>
        <w:tabs>
          <w:tab w:val="left" w:pos="993"/>
        </w:tabs>
        <w:spacing w:before="120"/>
        <w:rPr>
          <w:color w:val="000000"/>
          <w:szCs w:val="24"/>
        </w:rPr>
      </w:pPr>
      <w:r w:rsidRPr="001B0EA3">
        <w:rPr>
          <w:color w:val="000000"/>
          <w:szCs w:val="24"/>
        </w:rPr>
        <w:t xml:space="preserve">Счетоводителят от отдел „Финансово управление” проверява съответствието на информацията в ДСДДР с информацията от счетоводната система на УО, удостоверява </w:t>
      </w:r>
      <w:r>
        <w:rPr>
          <w:color w:val="000000"/>
          <w:szCs w:val="24"/>
        </w:rPr>
        <w:t>извършените проверки, чрез</w:t>
      </w:r>
      <w:r w:rsidRPr="001B0EA3">
        <w:rPr>
          <w:color w:val="000000"/>
          <w:szCs w:val="24"/>
        </w:rPr>
        <w:t xml:space="preserve"> </w:t>
      </w:r>
      <w:r>
        <w:rPr>
          <w:color w:val="000000"/>
          <w:szCs w:val="24"/>
        </w:rPr>
        <w:t xml:space="preserve">попълване на </w:t>
      </w:r>
      <w:r w:rsidRPr="001B0EA3">
        <w:rPr>
          <w:color w:val="000000"/>
          <w:szCs w:val="24"/>
        </w:rPr>
        <w:t xml:space="preserve">контролен лист </w:t>
      </w:r>
      <w:r>
        <w:rPr>
          <w:color w:val="000000"/>
          <w:szCs w:val="24"/>
        </w:rPr>
        <w:t xml:space="preserve">към ДСДДР </w:t>
      </w:r>
      <w:r w:rsidRPr="001B0EA3">
        <w:rPr>
          <w:color w:val="000000"/>
          <w:szCs w:val="24"/>
        </w:rPr>
        <w:t>и предава документите за проверка на Главния счетоводител.</w:t>
      </w:r>
    </w:p>
    <w:p w14:paraId="0206798B" w14:textId="77777777" w:rsidR="00BC320D" w:rsidRPr="001B0EA3" w:rsidRDefault="00BC320D" w:rsidP="00BC320D">
      <w:pPr>
        <w:tabs>
          <w:tab w:val="left" w:pos="993"/>
        </w:tabs>
        <w:spacing w:before="120"/>
        <w:rPr>
          <w:color w:val="000000"/>
          <w:szCs w:val="24"/>
          <w:lang w:eastAsia="fr-FR"/>
        </w:rPr>
      </w:pPr>
      <w:r w:rsidRPr="001B0EA3">
        <w:rPr>
          <w:color w:val="000000"/>
          <w:szCs w:val="24"/>
        </w:rPr>
        <w:lastRenderedPageBreak/>
        <w:t xml:space="preserve">Главният счетоводител от своя страна проверява ДСДДР. След приключването на </w:t>
      </w:r>
      <w:r>
        <w:rPr>
          <w:color w:val="000000"/>
          <w:szCs w:val="24"/>
        </w:rPr>
        <w:t xml:space="preserve">проверките </w:t>
      </w:r>
      <w:r w:rsidRPr="001B0EA3">
        <w:rPr>
          <w:color w:val="000000"/>
          <w:szCs w:val="24"/>
        </w:rPr>
        <w:t>в контролен лист</w:t>
      </w:r>
      <w:r>
        <w:rPr>
          <w:color w:val="000000"/>
          <w:szCs w:val="24"/>
        </w:rPr>
        <w:t xml:space="preserve"> към ДСДДР, регистриран електронно в ИСУН 2020 </w:t>
      </w:r>
      <w:r w:rsidRPr="00842ECC">
        <w:t>(</w:t>
      </w:r>
      <w:r>
        <w:t>Приложение № 5.02.1.1</w:t>
      </w:r>
      <w:r w:rsidRPr="00842ECC">
        <w:t>)</w:t>
      </w:r>
      <w:r>
        <w:rPr>
          <w:color w:val="000000"/>
          <w:szCs w:val="24"/>
        </w:rPr>
        <w:t xml:space="preserve">, той </w:t>
      </w:r>
      <w:r w:rsidRPr="001B0EA3">
        <w:rPr>
          <w:color w:val="000000"/>
          <w:szCs w:val="24"/>
        </w:rPr>
        <w:t xml:space="preserve"> </w:t>
      </w:r>
      <w:r>
        <w:rPr>
          <w:color w:val="000000"/>
          <w:szCs w:val="24"/>
        </w:rPr>
        <w:t>насочва</w:t>
      </w:r>
      <w:r w:rsidRPr="001B0EA3">
        <w:rPr>
          <w:color w:val="000000"/>
          <w:szCs w:val="24"/>
        </w:rPr>
        <w:t xml:space="preserve"> документите за следваща проверка на началника на отдел „Финансово управление“.</w:t>
      </w:r>
    </w:p>
    <w:p w14:paraId="4D7188CF" w14:textId="77777777" w:rsidR="000444CE" w:rsidRPr="001B0EA3" w:rsidRDefault="000444CE" w:rsidP="000444CE">
      <w:pPr>
        <w:tabs>
          <w:tab w:val="left" w:pos="993"/>
        </w:tabs>
        <w:spacing w:before="120"/>
        <w:rPr>
          <w:szCs w:val="24"/>
          <w:lang w:eastAsia="fr-FR"/>
        </w:rPr>
      </w:pPr>
      <w:r w:rsidRPr="001B0EA3">
        <w:rPr>
          <w:szCs w:val="24"/>
          <w:lang w:eastAsia="fr-FR"/>
        </w:rPr>
        <w:t xml:space="preserve">Срокът за извършване на счетоводните проверки е 1 работен ден след получаване на ДСДДР. </w:t>
      </w:r>
    </w:p>
    <w:p w14:paraId="179A59B3" w14:textId="77777777" w:rsidR="00467682" w:rsidRPr="001B0EA3" w:rsidRDefault="00467682" w:rsidP="00467682">
      <w:pPr>
        <w:tabs>
          <w:tab w:val="left" w:pos="993"/>
        </w:tabs>
        <w:spacing w:before="120"/>
        <w:ind w:firstLine="0"/>
        <w:rPr>
          <w:color w:val="000000"/>
          <w:szCs w:val="24"/>
        </w:rPr>
      </w:pPr>
      <w:r w:rsidRPr="001B0EA3">
        <w:rPr>
          <w:color w:val="000000"/>
          <w:szCs w:val="24"/>
        </w:rPr>
        <w:t xml:space="preserve">Началникът на отдел „Финансово управление” в рамките на </w:t>
      </w:r>
      <w:r>
        <w:rPr>
          <w:color w:val="000000"/>
          <w:szCs w:val="24"/>
        </w:rPr>
        <w:t>1</w:t>
      </w:r>
      <w:r w:rsidRPr="001B0EA3">
        <w:rPr>
          <w:color w:val="000000"/>
          <w:szCs w:val="24"/>
        </w:rPr>
        <w:t xml:space="preserve"> работ</w:t>
      </w:r>
      <w:r>
        <w:rPr>
          <w:color w:val="000000"/>
          <w:szCs w:val="24"/>
        </w:rPr>
        <w:t>е</w:t>
      </w:r>
      <w:r w:rsidRPr="001B0EA3">
        <w:rPr>
          <w:color w:val="000000"/>
          <w:szCs w:val="24"/>
        </w:rPr>
        <w:t>н д</w:t>
      </w:r>
      <w:r>
        <w:rPr>
          <w:color w:val="000000"/>
          <w:szCs w:val="24"/>
        </w:rPr>
        <w:t>е</w:t>
      </w:r>
      <w:r w:rsidRPr="001B0EA3">
        <w:rPr>
          <w:color w:val="000000"/>
          <w:szCs w:val="24"/>
        </w:rPr>
        <w:t xml:space="preserve">н потвърждава в контролен лист извършените от него проверки и предава ДСДДР за </w:t>
      </w:r>
      <w:r>
        <w:rPr>
          <w:color w:val="000000"/>
          <w:szCs w:val="24"/>
        </w:rPr>
        <w:t xml:space="preserve">одобрение на Ръководителя на УО. </w:t>
      </w:r>
      <w:r w:rsidRPr="001B0EA3">
        <w:rPr>
          <w:color w:val="000000"/>
          <w:szCs w:val="24"/>
        </w:rPr>
        <w:t xml:space="preserve">Ръководителят на УО одобрява ДСДДР в рамките на 1 работен ден и потвърждава, че </w:t>
      </w:r>
      <w:r w:rsidRPr="00E03C86">
        <w:rPr>
          <w:color w:val="000000"/>
          <w:szCs w:val="24"/>
        </w:rPr>
        <w:t xml:space="preserve">ДСДДР </w:t>
      </w:r>
      <w:r w:rsidRPr="001B0EA3">
        <w:rPr>
          <w:color w:val="000000"/>
          <w:szCs w:val="24"/>
        </w:rPr>
        <w:t xml:space="preserve">може да бъде изпратен на СО, което се удостоверява </w:t>
      </w:r>
      <w:r>
        <w:rPr>
          <w:color w:val="000000"/>
          <w:szCs w:val="24"/>
        </w:rPr>
        <w:t xml:space="preserve">в </w:t>
      </w:r>
      <w:r w:rsidRPr="001B0EA3">
        <w:rPr>
          <w:color w:val="000000"/>
          <w:szCs w:val="24"/>
        </w:rPr>
        <w:t>контролния лист</w:t>
      </w:r>
      <w:r>
        <w:rPr>
          <w:color w:val="000000"/>
          <w:szCs w:val="24"/>
        </w:rPr>
        <w:t xml:space="preserve"> към ДСДДР </w:t>
      </w:r>
      <w:r w:rsidRPr="00842ECC">
        <w:t>(</w:t>
      </w:r>
      <w:r>
        <w:t>Приложение № 5.02.1.1</w:t>
      </w:r>
      <w:r w:rsidRPr="00842ECC">
        <w:t>)</w:t>
      </w:r>
      <w:r>
        <w:rPr>
          <w:color w:val="000000"/>
          <w:szCs w:val="24"/>
        </w:rPr>
        <w:t>, регистриран електронно в ИСУН 2020</w:t>
      </w:r>
      <w:r w:rsidRPr="001B0EA3">
        <w:rPr>
          <w:color w:val="000000"/>
          <w:szCs w:val="24"/>
        </w:rPr>
        <w:t>.</w:t>
      </w:r>
    </w:p>
    <w:p w14:paraId="176FF31C" w14:textId="77777777" w:rsidR="00BF1A08" w:rsidRPr="001B0EA3" w:rsidRDefault="00BF1A08" w:rsidP="00BF1A08">
      <w:pPr>
        <w:tabs>
          <w:tab w:val="left" w:pos="993"/>
        </w:tabs>
        <w:spacing w:before="120"/>
        <w:rPr>
          <w:color w:val="000000"/>
          <w:szCs w:val="24"/>
        </w:rPr>
      </w:pPr>
      <w:r w:rsidRPr="001B0EA3">
        <w:rPr>
          <w:color w:val="000000"/>
          <w:szCs w:val="24"/>
        </w:rPr>
        <w:t xml:space="preserve">Експертът от </w:t>
      </w:r>
      <w:r w:rsidRPr="001B0EA3">
        <w:rPr>
          <w:color w:val="000000"/>
          <w:szCs w:val="24"/>
          <w:lang w:eastAsia="fr-FR"/>
        </w:rPr>
        <w:t>отдел „Финансово управление”</w:t>
      </w:r>
      <w:r w:rsidRPr="001B0EA3">
        <w:rPr>
          <w:color w:val="000000"/>
          <w:szCs w:val="24"/>
        </w:rPr>
        <w:t xml:space="preserve"> </w:t>
      </w:r>
      <w:r w:rsidRPr="001B0EA3">
        <w:rPr>
          <w:color w:val="000000"/>
          <w:szCs w:val="24"/>
          <w:lang w:eastAsia="fr-FR"/>
        </w:rPr>
        <w:t xml:space="preserve">отговорен за изготвяне на </w:t>
      </w:r>
      <w:r w:rsidRPr="001B0EA3">
        <w:rPr>
          <w:color w:val="000000"/>
          <w:szCs w:val="24"/>
        </w:rPr>
        <w:t xml:space="preserve">ДСДДР, генерира </w:t>
      </w:r>
      <w:r w:rsidRPr="00E03C86">
        <w:rPr>
          <w:color w:val="000000"/>
          <w:szCs w:val="24"/>
        </w:rPr>
        <w:t xml:space="preserve">и регистрира ДСДДР и приложенията към него </w:t>
      </w:r>
      <w:r w:rsidRPr="001B0EA3">
        <w:rPr>
          <w:color w:val="000000"/>
          <w:szCs w:val="24"/>
        </w:rPr>
        <w:t xml:space="preserve">в ИСУН 2020, </w:t>
      </w:r>
      <w:r w:rsidRPr="00E03C86">
        <w:rPr>
          <w:color w:val="000000"/>
          <w:szCs w:val="24"/>
        </w:rPr>
        <w:t xml:space="preserve">към който прилага </w:t>
      </w:r>
      <w:r w:rsidRPr="001B0EA3">
        <w:rPr>
          <w:color w:val="000000"/>
          <w:szCs w:val="24"/>
        </w:rPr>
        <w:t>сканира</w:t>
      </w:r>
      <w:r>
        <w:rPr>
          <w:color w:val="000000"/>
          <w:szCs w:val="24"/>
        </w:rPr>
        <w:t>н</w:t>
      </w:r>
      <w:r w:rsidRPr="001B0EA3">
        <w:rPr>
          <w:color w:val="000000"/>
          <w:szCs w:val="24"/>
        </w:rPr>
        <w:t xml:space="preserve"> </w:t>
      </w:r>
      <w:r w:rsidRPr="00E03C86">
        <w:rPr>
          <w:color w:val="000000"/>
          <w:szCs w:val="24"/>
        </w:rPr>
        <w:t>подписан ДСДДР</w:t>
      </w:r>
      <w:r>
        <w:rPr>
          <w:color w:val="000000"/>
          <w:szCs w:val="24"/>
        </w:rPr>
        <w:t xml:space="preserve"> и</w:t>
      </w:r>
      <w:r w:rsidRPr="001B0EA3">
        <w:rPr>
          <w:color w:val="000000"/>
          <w:szCs w:val="24"/>
        </w:rPr>
        <w:t xml:space="preserve"> писма за отпуснат</w:t>
      </w:r>
      <w:r>
        <w:rPr>
          <w:color w:val="000000"/>
          <w:szCs w:val="24"/>
        </w:rPr>
        <w:t>и</w:t>
      </w:r>
      <w:r w:rsidRPr="001B0EA3">
        <w:rPr>
          <w:color w:val="000000"/>
          <w:szCs w:val="24"/>
        </w:rPr>
        <w:t xml:space="preserve"> лимит</w:t>
      </w:r>
      <w:r>
        <w:rPr>
          <w:color w:val="000000"/>
          <w:szCs w:val="24"/>
        </w:rPr>
        <w:t>и</w:t>
      </w:r>
      <w:r w:rsidRPr="001B0EA3">
        <w:rPr>
          <w:color w:val="000000"/>
          <w:szCs w:val="24"/>
        </w:rPr>
        <w:t xml:space="preserve"> по </w:t>
      </w:r>
      <w:r w:rsidRPr="00E03C86">
        <w:rPr>
          <w:color w:val="000000"/>
          <w:szCs w:val="24"/>
        </w:rPr>
        <w:t xml:space="preserve">искания за плащане, разходите по които са </w:t>
      </w:r>
      <w:r w:rsidRPr="001B0EA3">
        <w:rPr>
          <w:color w:val="000000"/>
          <w:szCs w:val="24"/>
        </w:rPr>
        <w:t>включените в ДСДДР.</w:t>
      </w:r>
    </w:p>
    <w:p w14:paraId="3CCE2CCC" w14:textId="77777777" w:rsidR="000444CE" w:rsidRPr="001B0EA3" w:rsidRDefault="000444CE" w:rsidP="000444CE">
      <w:pPr>
        <w:tabs>
          <w:tab w:val="left" w:pos="993"/>
        </w:tabs>
        <w:spacing w:before="120"/>
        <w:rPr>
          <w:color w:val="000000"/>
          <w:szCs w:val="24"/>
        </w:rPr>
      </w:pPr>
      <w:r w:rsidRPr="001B0EA3">
        <w:rPr>
          <w:color w:val="000000"/>
          <w:szCs w:val="24"/>
        </w:rPr>
        <w:t>Процесът приключва с класиране на ДСДДР, от страна на експерт в отдел „Финансово управление”.</w:t>
      </w:r>
    </w:p>
    <w:p w14:paraId="4C996DB8" w14:textId="77777777" w:rsidR="000444CE" w:rsidRPr="001B0EA3" w:rsidRDefault="000444CE" w:rsidP="000444CE">
      <w:pPr>
        <w:tabs>
          <w:tab w:val="left" w:pos="993"/>
        </w:tabs>
        <w:spacing w:before="120"/>
        <w:rPr>
          <w:color w:val="000000"/>
          <w:szCs w:val="24"/>
        </w:rPr>
      </w:pPr>
      <w:r w:rsidRPr="001B0EA3">
        <w:rPr>
          <w:color w:val="000000"/>
          <w:szCs w:val="24"/>
        </w:rPr>
        <w:t>При установяване на несъответствия и/или пропуски в ДСДДР, СО изисква тяхната корекция и/или допълнителна информация.</w:t>
      </w:r>
    </w:p>
    <w:p w14:paraId="3512FCFE" w14:textId="77777777" w:rsidR="000444CE" w:rsidRPr="001B0EA3" w:rsidRDefault="00864B14" w:rsidP="000444CE">
      <w:pPr>
        <w:tabs>
          <w:tab w:val="left" w:pos="993"/>
        </w:tabs>
        <w:spacing w:before="120"/>
        <w:rPr>
          <w:color w:val="000000"/>
          <w:szCs w:val="24"/>
        </w:rPr>
      </w:pPr>
      <w:r>
        <w:rPr>
          <w:color w:val="000000"/>
          <w:szCs w:val="24"/>
        </w:rPr>
        <w:t>Ф</w:t>
      </w:r>
      <w:r w:rsidR="000444CE" w:rsidRPr="001B0EA3">
        <w:rPr>
          <w:color w:val="000000"/>
          <w:szCs w:val="24"/>
          <w:u w:val="single"/>
        </w:rPr>
        <w:t xml:space="preserve">иналния </w:t>
      </w:r>
      <w:r w:rsidR="00D777FA" w:rsidRPr="001B0EA3">
        <w:rPr>
          <w:color w:val="000000"/>
          <w:szCs w:val="24"/>
        </w:rPr>
        <w:t>ДСДДР</w:t>
      </w:r>
      <w:r w:rsidR="00D777FA" w:rsidRPr="001B0EA3">
        <w:rPr>
          <w:color w:val="000000"/>
          <w:szCs w:val="24"/>
          <w:u w:val="single"/>
        </w:rPr>
        <w:t xml:space="preserve"> </w:t>
      </w:r>
      <w:r w:rsidR="000444CE" w:rsidRPr="001B0EA3">
        <w:rPr>
          <w:color w:val="000000"/>
          <w:szCs w:val="24"/>
        </w:rPr>
        <w:t xml:space="preserve">за счетоводната година, се изготвя и въвежда в ИСУН </w:t>
      </w:r>
      <w:r w:rsidR="00D777FA">
        <w:rPr>
          <w:color w:val="000000"/>
          <w:szCs w:val="24"/>
        </w:rPr>
        <w:t>2020</w:t>
      </w:r>
      <w:r w:rsidR="000444CE" w:rsidRPr="001B0EA3">
        <w:rPr>
          <w:color w:val="000000"/>
          <w:szCs w:val="24"/>
        </w:rPr>
        <w:t xml:space="preserve">, като се спазват процедурите </w:t>
      </w:r>
      <w:r w:rsidR="00D777FA">
        <w:rPr>
          <w:color w:val="000000"/>
          <w:szCs w:val="24"/>
        </w:rPr>
        <w:t>за</w:t>
      </w:r>
      <w:r w:rsidR="00D777FA" w:rsidRPr="001B0EA3">
        <w:rPr>
          <w:color w:val="000000"/>
          <w:szCs w:val="24"/>
        </w:rPr>
        <w:t xml:space="preserve"> </w:t>
      </w:r>
      <w:r w:rsidR="000444CE" w:rsidRPr="001B0EA3">
        <w:rPr>
          <w:color w:val="000000"/>
          <w:szCs w:val="24"/>
        </w:rPr>
        <w:t xml:space="preserve">изготвяне на междинния </w:t>
      </w:r>
      <w:r w:rsidR="00D777FA" w:rsidRPr="001B0EA3">
        <w:rPr>
          <w:color w:val="000000"/>
          <w:szCs w:val="24"/>
        </w:rPr>
        <w:t>ДСДДР</w:t>
      </w:r>
      <w:r w:rsidR="000444CE" w:rsidRPr="001B0EA3">
        <w:rPr>
          <w:color w:val="000000"/>
          <w:szCs w:val="24"/>
        </w:rPr>
        <w:t>.</w:t>
      </w:r>
    </w:p>
    <w:p w14:paraId="34806B40" w14:textId="77777777" w:rsidR="000444CE" w:rsidRPr="001B0EA3" w:rsidRDefault="000444CE" w:rsidP="00046D61">
      <w:pPr>
        <w:tabs>
          <w:tab w:val="left" w:pos="993"/>
        </w:tabs>
        <w:spacing w:before="120"/>
        <w:rPr>
          <w:color w:val="000000"/>
          <w:szCs w:val="24"/>
        </w:rPr>
      </w:pPr>
    </w:p>
    <w:p w14:paraId="3D9F3AF6" w14:textId="77777777" w:rsidR="000444CE" w:rsidRPr="00842ECC" w:rsidRDefault="000444CE" w:rsidP="00B502C7">
      <w:pPr>
        <w:pStyle w:val="Style2"/>
        <w:rPr>
          <w:lang w:val="bg-BG" w:eastAsia="bg-BG"/>
        </w:rPr>
      </w:pPr>
      <w:bookmarkStart w:id="1158" w:name="_Toc479775728"/>
      <w:bookmarkStart w:id="1159" w:name="_Toc140150254"/>
      <w:r w:rsidRPr="00842ECC">
        <w:rPr>
          <w:lang w:val="bg-BG" w:eastAsia="bg-BG"/>
        </w:rPr>
        <w:t>Финансови корекции от страна на българските власти</w:t>
      </w:r>
      <w:bookmarkEnd w:id="1158"/>
      <w:bookmarkEnd w:id="1159"/>
    </w:p>
    <w:p w14:paraId="20A5B880" w14:textId="77777777" w:rsidR="000444CE" w:rsidRPr="001B0EA3" w:rsidRDefault="000444CE" w:rsidP="000444CE">
      <w:pPr>
        <w:rPr>
          <w:color w:val="000000"/>
          <w:szCs w:val="24"/>
        </w:rPr>
      </w:pPr>
      <w:r w:rsidRPr="001B0EA3">
        <w:rPr>
          <w:color w:val="000000"/>
          <w:szCs w:val="24"/>
        </w:rPr>
        <w:t>Финансови корекции се определят и извършват съгласно разпоредбите на Глава пета, Раздел III „</w:t>
      </w:r>
      <w:r w:rsidR="00FE1F9A" w:rsidRPr="00FE1F9A">
        <w:rPr>
          <w:color w:val="000000"/>
          <w:szCs w:val="24"/>
        </w:rPr>
        <w:t>Администриране на н</w:t>
      </w:r>
      <w:r w:rsidRPr="001B0EA3">
        <w:rPr>
          <w:color w:val="000000"/>
          <w:szCs w:val="24"/>
        </w:rPr>
        <w:t xml:space="preserve">ередности и </w:t>
      </w:r>
      <w:r w:rsidR="008F394D" w:rsidRPr="008F394D">
        <w:rPr>
          <w:color w:val="000000"/>
          <w:szCs w:val="24"/>
        </w:rPr>
        <w:t xml:space="preserve">извършване на </w:t>
      </w:r>
      <w:r w:rsidRPr="001B0EA3">
        <w:rPr>
          <w:color w:val="000000"/>
          <w:szCs w:val="24"/>
        </w:rPr>
        <w:t xml:space="preserve">финансови корекции“ на ЗУСЕСИФ.  </w:t>
      </w:r>
    </w:p>
    <w:p w14:paraId="10A3C4C5" w14:textId="77777777" w:rsidR="000444CE" w:rsidRPr="001B0EA3" w:rsidRDefault="000444CE" w:rsidP="000444CE">
      <w:pPr>
        <w:rPr>
          <w:color w:val="000000"/>
          <w:szCs w:val="24"/>
        </w:rPr>
      </w:pPr>
      <w:r w:rsidRPr="001B0EA3">
        <w:rPr>
          <w:color w:val="000000"/>
          <w:szCs w:val="24"/>
        </w:rPr>
        <w:t xml:space="preserve">Правила на УО за налагане на финансови корекции са подробно описани в глава 6 „Администриране на нередности и извършване на финансови корекции“. </w:t>
      </w:r>
    </w:p>
    <w:p w14:paraId="75C06ADE" w14:textId="77777777" w:rsidR="000444CE" w:rsidRPr="001B0EA3" w:rsidRDefault="000444CE" w:rsidP="000444CE">
      <w:pPr>
        <w:tabs>
          <w:tab w:val="left" w:pos="993"/>
        </w:tabs>
        <w:spacing w:before="120"/>
        <w:rPr>
          <w:color w:val="000000"/>
          <w:szCs w:val="24"/>
        </w:rPr>
      </w:pPr>
      <w:r w:rsidRPr="001B0EA3">
        <w:rPr>
          <w:color w:val="000000"/>
          <w:szCs w:val="24"/>
        </w:rPr>
        <w:t xml:space="preserve">След </w:t>
      </w:r>
      <w:r w:rsidR="008F394D" w:rsidRPr="008F394D">
        <w:rPr>
          <w:color w:val="000000"/>
          <w:szCs w:val="24"/>
        </w:rPr>
        <w:t>издаване на р</w:t>
      </w:r>
      <w:r w:rsidRPr="001B0EA3">
        <w:rPr>
          <w:color w:val="000000"/>
          <w:szCs w:val="24"/>
        </w:rPr>
        <w:t xml:space="preserve">ешението за финансова корекция по чл. 73, ал. 1 от ЗУСЕСИФ, експерт от отдел </w:t>
      </w:r>
      <w:r w:rsidR="008F394D" w:rsidRPr="008F394D">
        <w:rPr>
          <w:color w:val="000000"/>
          <w:szCs w:val="24"/>
        </w:rPr>
        <w:t>„Финансово управление“</w:t>
      </w:r>
      <w:r w:rsidRPr="001B0EA3">
        <w:rPr>
          <w:color w:val="000000"/>
          <w:szCs w:val="24"/>
        </w:rPr>
        <w:t>в 3 дневен срок въвежда информация за всяка финансова корекция в</w:t>
      </w:r>
      <w:r w:rsidR="008F394D">
        <w:rPr>
          <w:color w:val="000000"/>
          <w:szCs w:val="24"/>
        </w:rPr>
        <w:t xml:space="preserve"> ИСУН 2020 в</w:t>
      </w:r>
      <w:r w:rsidRPr="001B0EA3">
        <w:rPr>
          <w:color w:val="000000"/>
          <w:szCs w:val="24"/>
        </w:rPr>
        <w:t xml:space="preserve"> модул Мониторинг и финансов контрол/</w:t>
      </w:r>
      <w:hyperlink r:id="rId194" w:anchor="/financialCorrections" w:history="1">
        <w:r w:rsidRPr="001B0EA3">
          <w:rPr>
            <w:color w:val="000000"/>
            <w:szCs w:val="24"/>
          </w:rPr>
          <w:t xml:space="preserve">Финансови корекции </w:t>
        </w:r>
      </w:hyperlink>
      <w:r w:rsidRPr="001B0EA3">
        <w:rPr>
          <w:color w:val="000000"/>
          <w:szCs w:val="24"/>
        </w:rPr>
        <w:t xml:space="preserve">и/или </w:t>
      </w:r>
      <w:hyperlink r:id="rId195" w:anchor="/flatFinancialCorrections" w:history="1">
        <w:r w:rsidRPr="001B0EA3">
          <w:rPr>
            <w:color w:val="000000"/>
            <w:szCs w:val="24"/>
          </w:rPr>
          <w:t>Финансови корекции за системни пропуски</w:t>
        </w:r>
      </w:hyperlink>
      <w:r w:rsidRPr="001B0EA3">
        <w:rPr>
          <w:color w:val="000000"/>
          <w:szCs w:val="24"/>
        </w:rPr>
        <w:t xml:space="preserve"> и прикачва копие на решението за налагане на финансова корекция.</w:t>
      </w:r>
    </w:p>
    <w:p w14:paraId="71D0B46A" w14:textId="77777777" w:rsidR="000444CE" w:rsidRPr="001B0EA3" w:rsidRDefault="000444CE" w:rsidP="000444CE">
      <w:pPr>
        <w:tabs>
          <w:tab w:val="left" w:pos="993"/>
        </w:tabs>
        <w:spacing w:before="120"/>
        <w:rPr>
          <w:color w:val="000000"/>
          <w:szCs w:val="24"/>
        </w:rPr>
      </w:pPr>
      <w:r w:rsidRPr="001B0EA3">
        <w:rPr>
          <w:color w:val="000000"/>
          <w:szCs w:val="24"/>
        </w:rPr>
        <w:t>С оглед поддържане на пълна информация и адекватна одитна пътека, при верификация на ниво разходооправдателен документ в ИСУН 2020, следва неверифицирането на разходи поради наложена финансова корекция, да бъдат асоциирани със съответната финансова корекция.</w:t>
      </w:r>
    </w:p>
    <w:p w14:paraId="6EA64AC1" w14:textId="77777777" w:rsidR="000444CE" w:rsidRPr="001B0EA3" w:rsidRDefault="000444CE" w:rsidP="000444CE">
      <w:pPr>
        <w:tabs>
          <w:tab w:val="left" w:pos="993"/>
        </w:tabs>
        <w:spacing w:before="120"/>
        <w:rPr>
          <w:color w:val="000000"/>
          <w:szCs w:val="24"/>
        </w:rPr>
      </w:pPr>
      <w:r w:rsidRPr="001B0EA3">
        <w:rPr>
          <w:color w:val="000000"/>
          <w:szCs w:val="24"/>
        </w:rPr>
        <w:t>Отдел „Финансово управление“ поддържа електрон</w:t>
      </w:r>
      <w:r w:rsidR="005903F3">
        <w:rPr>
          <w:color w:val="000000"/>
          <w:szCs w:val="24"/>
        </w:rPr>
        <w:t xml:space="preserve">на </w:t>
      </w:r>
      <w:r w:rsidRPr="001B0EA3">
        <w:rPr>
          <w:color w:val="000000"/>
          <w:szCs w:val="24"/>
        </w:rPr>
        <w:t>база данни на финансовите корекции - „Регистър на финансови корекции“ (</w:t>
      </w:r>
      <w:hyperlink r:id="rId196" w:tooltip="Регистър финансови корекции" w:history="1">
        <w:r w:rsidR="00342742" w:rsidRPr="00251D03">
          <w:rPr>
            <w:i/>
            <w:iCs/>
            <w:color w:val="0000FF"/>
            <w:szCs w:val="24"/>
            <w:u w:val="single"/>
            <w:lang w:eastAsia="bg-BG"/>
          </w:rPr>
          <w:t>Приложение № 5.02.2</w:t>
        </w:r>
      </w:hyperlink>
      <w:r w:rsidRPr="00342742">
        <w:rPr>
          <w:i/>
          <w:szCs w:val="24"/>
        </w:rPr>
        <w:t>)</w:t>
      </w:r>
      <w:r w:rsidRPr="00342742">
        <w:rPr>
          <w:szCs w:val="24"/>
        </w:rPr>
        <w:t>.</w:t>
      </w:r>
      <w:r w:rsidRPr="001B0EA3">
        <w:rPr>
          <w:color w:val="0070C0"/>
          <w:szCs w:val="24"/>
        </w:rPr>
        <w:t xml:space="preserve"> </w:t>
      </w:r>
      <w:r w:rsidRPr="001B0EA3">
        <w:rPr>
          <w:color w:val="000000"/>
          <w:szCs w:val="24"/>
        </w:rPr>
        <w:t xml:space="preserve">Тя включва всички финансови корекции на ниво оперативна програма, като съдържа детайлна информация за проверката,  в резултат на която са направени, органа издал препоръката за налагане на ФК, финансовото им изражение, ДСДДР, в който/които е включена/приспадната съответната ФК и всички останали реквизити, необходими за проследяване на ФК. Данните се въвеждат в Регистъра от </w:t>
      </w:r>
      <w:r w:rsidR="00304E1C" w:rsidRPr="00304E1C">
        <w:rPr>
          <w:color w:val="000000"/>
          <w:szCs w:val="24"/>
        </w:rPr>
        <w:t>екперт от отдел „Финансово управление“</w:t>
      </w:r>
      <w:r w:rsidRPr="001B0EA3">
        <w:rPr>
          <w:color w:val="000000"/>
          <w:szCs w:val="24"/>
        </w:rPr>
        <w:t xml:space="preserve"> на когото е разпределен проекта</w:t>
      </w:r>
      <w:r w:rsidR="00304E1C" w:rsidRPr="00304E1C">
        <w:t xml:space="preserve"> </w:t>
      </w:r>
      <w:r w:rsidR="00304E1C" w:rsidRPr="00304E1C">
        <w:rPr>
          <w:color w:val="000000"/>
          <w:szCs w:val="24"/>
        </w:rPr>
        <w:t>в обхвата на който се финансира съответния разход, върху който има наложена финансова корекция.</w:t>
      </w:r>
    </w:p>
    <w:p w14:paraId="7C8EBEE1" w14:textId="77777777" w:rsidR="000444CE" w:rsidRPr="001B0EA3" w:rsidRDefault="000444CE" w:rsidP="000444CE">
      <w:pPr>
        <w:tabs>
          <w:tab w:val="left" w:pos="993"/>
        </w:tabs>
        <w:spacing w:before="120"/>
        <w:rPr>
          <w:color w:val="000000"/>
          <w:szCs w:val="24"/>
        </w:rPr>
      </w:pPr>
      <w:r w:rsidRPr="001B0EA3">
        <w:rPr>
          <w:color w:val="000000"/>
          <w:szCs w:val="24"/>
        </w:rPr>
        <w:lastRenderedPageBreak/>
        <w:t xml:space="preserve">В срок от 3 дни след верификация на всяко искане за плащане, в </w:t>
      </w:r>
      <w:r w:rsidR="002533EE" w:rsidRPr="002533EE">
        <w:rPr>
          <w:color w:val="000000"/>
          <w:szCs w:val="24"/>
        </w:rPr>
        <w:t>което не е верифициран</w:t>
      </w:r>
      <w:r w:rsidR="001F54CE">
        <w:rPr>
          <w:color w:val="000000"/>
          <w:szCs w:val="24"/>
        </w:rPr>
        <w:t xml:space="preserve"> </w:t>
      </w:r>
      <w:r w:rsidRPr="001B0EA3">
        <w:rPr>
          <w:color w:val="000000"/>
          <w:szCs w:val="24"/>
        </w:rPr>
        <w:t>разход</w:t>
      </w:r>
      <w:r w:rsidR="002533EE">
        <w:rPr>
          <w:color w:val="000000"/>
          <w:szCs w:val="24"/>
        </w:rPr>
        <w:t xml:space="preserve"> </w:t>
      </w:r>
      <w:r w:rsidR="002533EE" w:rsidRPr="002533EE">
        <w:rPr>
          <w:color w:val="000000"/>
          <w:szCs w:val="24"/>
        </w:rPr>
        <w:t>поради наложена финансова корекция</w:t>
      </w:r>
      <w:r w:rsidRPr="001B0EA3">
        <w:rPr>
          <w:color w:val="000000"/>
          <w:szCs w:val="24"/>
        </w:rPr>
        <w:t xml:space="preserve">, съответния служител на отдел </w:t>
      </w:r>
      <w:r w:rsidR="002533EE" w:rsidRPr="002533EE">
        <w:rPr>
          <w:color w:val="000000"/>
          <w:szCs w:val="24"/>
        </w:rPr>
        <w:t>„Финансово управление“</w:t>
      </w:r>
      <w:r w:rsidRPr="001B0EA3">
        <w:rPr>
          <w:color w:val="000000"/>
          <w:szCs w:val="24"/>
        </w:rPr>
        <w:t xml:space="preserve">, на когото е разпределен проекта въвежда данните за финансовото изражение на </w:t>
      </w:r>
      <w:r w:rsidR="002533EE" w:rsidRPr="002533EE">
        <w:rPr>
          <w:color w:val="000000"/>
          <w:szCs w:val="24"/>
        </w:rPr>
        <w:t>финансовата корекция</w:t>
      </w:r>
      <w:r w:rsidR="002533EE" w:rsidRPr="002533EE" w:rsidDel="002533EE">
        <w:rPr>
          <w:color w:val="000000"/>
          <w:szCs w:val="24"/>
        </w:rPr>
        <w:t xml:space="preserve"> </w:t>
      </w:r>
      <w:r w:rsidRPr="001B0EA3">
        <w:rPr>
          <w:color w:val="000000"/>
          <w:szCs w:val="24"/>
        </w:rPr>
        <w:t xml:space="preserve">и другата съпътстваща информация в Регистъра. В случай че бъде наложена финансова корекция </w:t>
      </w:r>
      <w:r w:rsidR="002533EE" w:rsidRPr="002533EE">
        <w:rPr>
          <w:color w:val="000000"/>
          <w:szCs w:val="24"/>
        </w:rPr>
        <w:t>на вече верифицирани разходи</w:t>
      </w:r>
      <w:r w:rsidRPr="001B0EA3">
        <w:rPr>
          <w:color w:val="000000"/>
          <w:szCs w:val="24"/>
        </w:rPr>
        <w:t xml:space="preserve">, в Регистъра се въвежда информация за размера на верифицираните разходи, които се приспадат от всяко засегнато искане, като данните се попълват на отделен ред. При необходимост, информацията се допълва/актуализира в процеса на изготвяне на ДСДДР. </w:t>
      </w:r>
    </w:p>
    <w:p w14:paraId="0B3DA5D1" w14:textId="77777777" w:rsidR="000444CE" w:rsidRPr="001B0EA3" w:rsidRDefault="000444CE" w:rsidP="000444CE">
      <w:pPr>
        <w:tabs>
          <w:tab w:val="left" w:pos="993"/>
        </w:tabs>
        <w:spacing w:before="120"/>
        <w:rPr>
          <w:color w:val="000000"/>
          <w:szCs w:val="24"/>
        </w:rPr>
      </w:pPr>
      <w:r w:rsidRPr="001B0EA3">
        <w:rPr>
          <w:color w:val="000000"/>
          <w:szCs w:val="24"/>
        </w:rPr>
        <w:t xml:space="preserve">Регистърът е достъпен в публичната папка „OPTransport Documents“ на дирекция КПП. До него имат достъп </w:t>
      </w:r>
      <w:r w:rsidR="002533EE">
        <w:rPr>
          <w:color w:val="000000"/>
          <w:szCs w:val="24"/>
        </w:rPr>
        <w:t xml:space="preserve">всички </w:t>
      </w:r>
      <w:r w:rsidRPr="001B0EA3">
        <w:rPr>
          <w:color w:val="000000"/>
          <w:szCs w:val="24"/>
        </w:rPr>
        <w:t xml:space="preserve">служители на </w:t>
      </w:r>
      <w:r w:rsidR="002533EE">
        <w:rPr>
          <w:color w:val="000000"/>
          <w:szCs w:val="24"/>
        </w:rPr>
        <w:t>УО. С</w:t>
      </w:r>
      <w:r w:rsidRPr="001B0EA3">
        <w:rPr>
          <w:color w:val="000000"/>
          <w:szCs w:val="24"/>
        </w:rPr>
        <w:t xml:space="preserve">лужителите от отдел </w:t>
      </w:r>
      <w:r w:rsidR="002533EE" w:rsidRPr="002533EE">
        <w:rPr>
          <w:color w:val="000000"/>
          <w:szCs w:val="24"/>
        </w:rPr>
        <w:t>„Финансово управление“</w:t>
      </w:r>
      <w:r w:rsidRPr="001B0EA3">
        <w:rPr>
          <w:color w:val="000000"/>
          <w:szCs w:val="24"/>
        </w:rPr>
        <w:t xml:space="preserve">имат правомощия за въвеждане на данни, а останалите </w:t>
      </w:r>
      <w:r w:rsidR="0046597F" w:rsidRPr="0046597F">
        <w:rPr>
          <w:color w:val="000000"/>
          <w:szCs w:val="24"/>
        </w:rPr>
        <w:t xml:space="preserve">служители на УО са с </w:t>
      </w:r>
      <w:r w:rsidRPr="001B0EA3">
        <w:rPr>
          <w:color w:val="000000"/>
          <w:szCs w:val="24"/>
        </w:rPr>
        <w:t>достъп за четене на наличната информация.</w:t>
      </w:r>
    </w:p>
    <w:p w14:paraId="570F01F0" w14:textId="77777777" w:rsidR="000444CE" w:rsidRPr="001B0EA3" w:rsidRDefault="000444CE" w:rsidP="000444CE">
      <w:pPr>
        <w:rPr>
          <w:color w:val="000000"/>
          <w:szCs w:val="24"/>
        </w:rPr>
      </w:pPr>
    </w:p>
    <w:p w14:paraId="75CA4B2C" w14:textId="77777777" w:rsidR="000444CE" w:rsidRPr="00842ECC" w:rsidRDefault="00C03214" w:rsidP="00B502C7">
      <w:pPr>
        <w:pStyle w:val="Style2"/>
        <w:rPr>
          <w:lang w:val="bg-BG" w:eastAsia="bg-BG"/>
        </w:rPr>
      </w:pPr>
      <w:bookmarkStart w:id="1160" w:name="_Toc479775729"/>
      <w:bookmarkStart w:id="1161" w:name="_Toc140150255"/>
      <w:r>
        <w:rPr>
          <w:lang w:val="bg-BG" w:eastAsia="bg-BG"/>
        </w:rPr>
        <w:t>В</w:t>
      </w:r>
      <w:r w:rsidR="000444CE" w:rsidRPr="00842ECC">
        <w:rPr>
          <w:lang w:val="bg-BG" w:eastAsia="bg-BG"/>
        </w:rPr>
        <w:t xml:space="preserve">ъзстановяване </w:t>
      </w:r>
      <w:r w:rsidRPr="00842ECC">
        <w:rPr>
          <w:lang w:val="bg-BG" w:eastAsia="bg-BG"/>
        </w:rPr>
        <w:t>и отписване на неправомерни разходи</w:t>
      </w:r>
      <w:r w:rsidR="00D312ED">
        <w:rPr>
          <w:lang w:val="bg-BG" w:eastAsia="bg-BG"/>
        </w:rPr>
        <w:t>.</w:t>
      </w:r>
      <w:bookmarkEnd w:id="1160"/>
      <w:bookmarkEnd w:id="1161"/>
    </w:p>
    <w:p w14:paraId="6CB2C1E8" w14:textId="77777777" w:rsidR="000444CE" w:rsidRPr="001B0EA3" w:rsidRDefault="000444CE" w:rsidP="000444CE">
      <w:pPr>
        <w:spacing w:before="120"/>
        <w:rPr>
          <w:color w:val="000000"/>
          <w:szCs w:val="24"/>
        </w:rPr>
      </w:pPr>
      <w:r w:rsidRPr="001B0EA3">
        <w:rPr>
          <w:color w:val="000000"/>
          <w:szCs w:val="24"/>
        </w:rPr>
        <w:t>Предмет на възстановява</w:t>
      </w:r>
      <w:r w:rsidR="00D312ED" w:rsidRPr="00D312ED">
        <w:rPr>
          <w:color w:val="000000"/>
          <w:szCs w:val="24"/>
        </w:rPr>
        <w:t>не е предоставена на бенефицинтите БФП, когато е определена индивидуална финансова корекция или на бенефициента е недължимо платена без правно основание или при отпаднало основание БФП.</w:t>
      </w:r>
    </w:p>
    <w:p w14:paraId="20C5C2EA" w14:textId="77777777" w:rsidR="000444CE" w:rsidRPr="001B0EA3" w:rsidRDefault="000444CE" w:rsidP="000444CE">
      <w:pPr>
        <w:spacing w:before="120"/>
        <w:rPr>
          <w:color w:val="000000"/>
          <w:szCs w:val="24"/>
        </w:rPr>
      </w:pPr>
      <w:r w:rsidRPr="001B0EA3">
        <w:rPr>
          <w:color w:val="000000"/>
          <w:szCs w:val="24"/>
        </w:rPr>
        <w:t xml:space="preserve">Редът за възстановяване </w:t>
      </w:r>
      <w:r w:rsidR="00D312ED" w:rsidRPr="00D312ED">
        <w:rPr>
          <w:color w:val="000000"/>
          <w:szCs w:val="24"/>
        </w:rPr>
        <w:t xml:space="preserve">и отписване на неправомерни разходи или на недължимо платена на бенефициента БФП </w:t>
      </w:r>
      <w:r w:rsidRPr="001B0EA3">
        <w:rPr>
          <w:color w:val="000000"/>
          <w:szCs w:val="24"/>
        </w:rPr>
        <w:t xml:space="preserve">е посочен в </w:t>
      </w:r>
      <w:r w:rsidR="00D312ED" w:rsidRPr="00D312ED">
        <w:rPr>
          <w:color w:val="000000"/>
          <w:szCs w:val="24"/>
        </w:rPr>
        <w:t xml:space="preserve">глава V </w:t>
      </w:r>
      <w:r w:rsidRPr="001B0EA3">
        <w:rPr>
          <w:color w:val="000000"/>
          <w:szCs w:val="24"/>
        </w:rPr>
        <w:t xml:space="preserve">на </w:t>
      </w:r>
      <w:r w:rsidRPr="00251D03">
        <w:rPr>
          <w:color w:val="000000"/>
          <w:szCs w:val="24"/>
        </w:rPr>
        <w:t>Наредба № Н-3</w:t>
      </w:r>
      <w:r w:rsidR="00D312ED" w:rsidRPr="00251D03">
        <w:rPr>
          <w:color w:val="000000"/>
          <w:szCs w:val="24"/>
        </w:rPr>
        <w:t>/22.05.2018</w:t>
      </w:r>
      <w:r w:rsidRPr="00251D03">
        <w:rPr>
          <w:color w:val="000000"/>
          <w:szCs w:val="24"/>
        </w:rPr>
        <w:t xml:space="preserve"> г.</w:t>
      </w:r>
      <w:r w:rsidRPr="001B0EA3">
        <w:rPr>
          <w:color w:val="000000"/>
          <w:szCs w:val="24"/>
        </w:rPr>
        <w:t xml:space="preserve"> за определяне на правилата за плащания, за верификация и сертификация на разходите, за възстановяване и отписване на неправомерни разходи  и за осчетоводяване, както и сроковете и правилата за   приключване на счетоводната година по оперативните програми и програмите за европейско териториално сътрудничество.</w:t>
      </w:r>
    </w:p>
    <w:p w14:paraId="5DD3588F" w14:textId="77777777" w:rsidR="000444CE" w:rsidRPr="001B0EA3" w:rsidRDefault="00D312ED" w:rsidP="000444CE">
      <w:pPr>
        <w:spacing w:before="120"/>
        <w:rPr>
          <w:color w:val="000000"/>
          <w:szCs w:val="24"/>
        </w:rPr>
      </w:pPr>
      <w:r w:rsidRPr="00D312ED">
        <w:rPr>
          <w:color w:val="000000"/>
          <w:szCs w:val="24"/>
        </w:rPr>
        <w:t>Правилата</w:t>
      </w:r>
      <w:r w:rsidR="000444CE" w:rsidRPr="001B0EA3">
        <w:rPr>
          <w:color w:val="000000"/>
          <w:szCs w:val="24"/>
        </w:rPr>
        <w:t xml:space="preserve"> на УО за възстановяване на недължимо платени и надплатени суми, както и на неправомерно получени и неправомерно усвоени средства по регистрирани нередности и наложени финансови корекции са подробно описани в Глава 6 „Администриране на нередности и извършване на финансови корекции“. </w:t>
      </w:r>
    </w:p>
    <w:p w14:paraId="0FF93FB7" w14:textId="77777777" w:rsidR="000444CE" w:rsidRPr="001B0EA3" w:rsidRDefault="000444CE" w:rsidP="000444CE">
      <w:pPr>
        <w:spacing w:before="120"/>
        <w:rPr>
          <w:color w:val="000000"/>
          <w:szCs w:val="24"/>
        </w:rPr>
      </w:pPr>
    </w:p>
    <w:p w14:paraId="680E1A2F" w14:textId="77777777" w:rsidR="000444CE" w:rsidRPr="001B0EA3" w:rsidRDefault="000444CE" w:rsidP="000444CE">
      <w:pPr>
        <w:spacing w:before="120"/>
        <w:rPr>
          <w:color w:val="000000"/>
          <w:szCs w:val="24"/>
        </w:rPr>
      </w:pPr>
    </w:p>
    <w:p w14:paraId="000F5A97" w14:textId="77777777" w:rsidR="000444CE" w:rsidRPr="001B0EA3" w:rsidRDefault="000444CE" w:rsidP="00B502C7">
      <w:pPr>
        <w:pStyle w:val="Style2"/>
        <w:rPr>
          <w:lang w:eastAsia="bg-BG"/>
        </w:rPr>
      </w:pPr>
      <w:bookmarkStart w:id="1162" w:name="_Toc479775730"/>
      <w:bookmarkStart w:id="1163" w:name="_Toc140150256"/>
      <w:r w:rsidRPr="001B0EA3">
        <w:rPr>
          <w:lang w:eastAsia="bg-BG"/>
        </w:rPr>
        <w:t>Плащания</w:t>
      </w:r>
      <w:bookmarkEnd w:id="1162"/>
      <w:bookmarkEnd w:id="1163"/>
      <w:r w:rsidRPr="001B0EA3">
        <w:rPr>
          <w:lang w:eastAsia="bg-BG"/>
        </w:rPr>
        <w:t xml:space="preserve"> </w:t>
      </w:r>
    </w:p>
    <w:p w14:paraId="6812FA57" w14:textId="77777777" w:rsidR="000444CE" w:rsidRPr="001B0EA3" w:rsidRDefault="000444CE" w:rsidP="00656CB4">
      <w:pPr>
        <w:pStyle w:val="Style3"/>
        <w:rPr>
          <w:lang w:eastAsia="bg-BG"/>
        </w:rPr>
      </w:pPr>
      <w:bookmarkStart w:id="1164" w:name="_Toc479775731"/>
      <w:r w:rsidRPr="001B0EA3">
        <w:rPr>
          <w:lang w:eastAsia="bg-BG"/>
        </w:rPr>
        <w:t>Общо описание на процеса на плащания на Бенефициенти</w:t>
      </w:r>
      <w:bookmarkEnd w:id="1164"/>
    </w:p>
    <w:p w14:paraId="3B1AD13F" w14:textId="77777777" w:rsidR="000444CE" w:rsidRPr="001B0EA3" w:rsidRDefault="000444CE" w:rsidP="00F068A3">
      <w:pPr>
        <w:rPr>
          <w:color w:val="000000"/>
          <w:szCs w:val="24"/>
          <w:lang w:eastAsia="fr-FR"/>
        </w:rPr>
      </w:pPr>
      <w:r w:rsidRPr="001B0EA3">
        <w:rPr>
          <w:color w:val="000000"/>
          <w:szCs w:val="24"/>
          <w:lang w:eastAsia="fr-FR"/>
        </w:rPr>
        <w:t xml:space="preserve">Плащанията към </w:t>
      </w:r>
      <w:r w:rsidRPr="001B0EA3">
        <w:rPr>
          <w:color w:val="000000"/>
          <w:szCs w:val="24"/>
        </w:rPr>
        <w:t>бенефициентите</w:t>
      </w:r>
      <w:r w:rsidRPr="001B0EA3">
        <w:rPr>
          <w:color w:val="000000"/>
          <w:szCs w:val="24"/>
          <w:lang w:eastAsia="fr-FR"/>
        </w:rPr>
        <w:t xml:space="preserve"> по ОПТТИ се осъществяват </w:t>
      </w:r>
      <w:r w:rsidRPr="001B0EA3">
        <w:rPr>
          <w:color w:val="000000"/>
          <w:szCs w:val="24"/>
          <w:lang w:eastAsia="bg-BG"/>
        </w:rPr>
        <w:t xml:space="preserve"> чрез откриване в структурата от кодовете в СЕБРА на </w:t>
      </w:r>
      <w:r w:rsidRPr="001B0EA3">
        <w:rPr>
          <w:bCs/>
          <w:color w:val="000000"/>
          <w:szCs w:val="24"/>
          <w:lang w:eastAsia="bg-BG"/>
        </w:rPr>
        <w:t>отделен десетразряден код на всеки бенефициент. През този код бенефициентът инициира бюджетни платежни нареждания за плащане на БФП.</w:t>
      </w:r>
    </w:p>
    <w:p w14:paraId="0EDA25BF" w14:textId="77777777" w:rsidR="000444CE" w:rsidRPr="001B0EA3" w:rsidRDefault="000444CE" w:rsidP="00F068A3">
      <w:pPr>
        <w:rPr>
          <w:color w:val="000000"/>
          <w:szCs w:val="24"/>
        </w:rPr>
      </w:pPr>
      <w:r w:rsidRPr="001B0EA3">
        <w:rPr>
          <w:color w:val="000000"/>
          <w:szCs w:val="24"/>
          <w:lang w:eastAsia="fr-FR"/>
        </w:rPr>
        <w:t>След</w:t>
      </w:r>
      <w:r w:rsidRPr="001B0EA3">
        <w:rPr>
          <w:color w:val="000000"/>
          <w:szCs w:val="24"/>
          <w:lang w:eastAsia="bg-BG"/>
        </w:rPr>
        <w:t xml:space="preserve"> получаване на искане за плащане, УО извършва верификация на</w:t>
      </w:r>
      <w:r w:rsidRPr="001B0EA3">
        <w:rPr>
          <w:color w:val="000000"/>
          <w:szCs w:val="24"/>
        </w:rPr>
        <w:t xml:space="preserve"> докладваните разходи и одобрява съответния размер на БФП. УО извършва плащания към бенефициентите след задължително верифициране на разходите с изключение на авансовите плащания.</w:t>
      </w:r>
    </w:p>
    <w:p w14:paraId="61E6CB47" w14:textId="77777777" w:rsidR="000444CE" w:rsidRPr="001B0EA3" w:rsidRDefault="000444CE" w:rsidP="00F068A3">
      <w:pPr>
        <w:rPr>
          <w:color w:val="000000"/>
          <w:szCs w:val="24"/>
        </w:rPr>
      </w:pPr>
      <w:r w:rsidRPr="001B0EA3">
        <w:rPr>
          <w:color w:val="000000"/>
          <w:szCs w:val="24"/>
        </w:rPr>
        <w:t xml:space="preserve">За одобрената БФП по искания за плащане, УО залага лимит в СЕБРА по десетразряден код на бенефициента, в рамките на който </w:t>
      </w:r>
      <w:r w:rsidR="002A736C" w:rsidRPr="002A736C">
        <w:rPr>
          <w:color w:val="000000"/>
          <w:szCs w:val="24"/>
        </w:rPr>
        <w:t xml:space="preserve">бенефициентите </w:t>
      </w:r>
      <w:r w:rsidRPr="001B0EA3">
        <w:rPr>
          <w:color w:val="000000"/>
          <w:szCs w:val="24"/>
        </w:rPr>
        <w:t xml:space="preserve">могат да </w:t>
      </w:r>
      <w:r w:rsidR="002A736C" w:rsidRPr="002A736C">
        <w:rPr>
          <w:color w:val="000000"/>
          <w:szCs w:val="24"/>
        </w:rPr>
        <w:t>инициират плащания към изпълнители по договори, сключени за целите на изпълнение на проектите или за други разходи по всеки прое</w:t>
      </w:r>
      <w:r w:rsidR="00AA778F">
        <w:rPr>
          <w:color w:val="000000"/>
          <w:szCs w:val="24"/>
        </w:rPr>
        <w:t>к</w:t>
      </w:r>
      <w:r w:rsidR="002A736C" w:rsidRPr="002A736C">
        <w:rPr>
          <w:color w:val="000000"/>
          <w:szCs w:val="24"/>
        </w:rPr>
        <w:t>т</w:t>
      </w:r>
      <w:r w:rsidR="00AA778F">
        <w:rPr>
          <w:color w:val="000000"/>
          <w:szCs w:val="24"/>
        </w:rPr>
        <w:t xml:space="preserve"> </w:t>
      </w:r>
      <w:r w:rsidRPr="001B0EA3">
        <w:rPr>
          <w:bCs/>
          <w:color w:val="000000"/>
          <w:szCs w:val="24"/>
          <w:lang w:eastAsia="bg-BG"/>
        </w:rPr>
        <w:t>и/или да бъдат възстановени предварително изразходвани средства по проекта от собствения бюджет на бенефициента.</w:t>
      </w:r>
    </w:p>
    <w:p w14:paraId="6E115A27" w14:textId="77777777" w:rsidR="000444CE" w:rsidRPr="00842ECC" w:rsidRDefault="000444CE" w:rsidP="00656CB4">
      <w:pPr>
        <w:pStyle w:val="Style3"/>
        <w:rPr>
          <w:lang w:val="bg-BG" w:eastAsia="bg-BG"/>
        </w:rPr>
      </w:pPr>
      <w:bookmarkStart w:id="1165" w:name="_Toc479775732"/>
      <w:r w:rsidRPr="00842ECC">
        <w:rPr>
          <w:lang w:val="bg-BG" w:eastAsia="bg-BG"/>
        </w:rPr>
        <w:t>Възстановяване на извършени разходи от бюджета на бенефициента</w:t>
      </w:r>
      <w:bookmarkEnd w:id="1165"/>
    </w:p>
    <w:p w14:paraId="2ABC7192" w14:textId="77777777" w:rsidR="000444CE" w:rsidRPr="001B0EA3" w:rsidRDefault="000444CE" w:rsidP="00F068A3">
      <w:pPr>
        <w:rPr>
          <w:color w:val="000000"/>
          <w:szCs w:val="24"/>
        </w:rPr>
      </w:pPr>
      <w:r w:rsidRPr="001B0EA3">
        <w:rPr>
          <w:color w:val="000000"/>
          <w:szCs w:val="24"/>
        </w:rPr>
        <w:t xml:space="preserve">За възстановяване на разходи, извършени предварително от собствени средства, бенефициентите инициират платежни нареждания в системата за интернет банкиране на БНБ. </w:t>
      </w:r>
    </w:p>
    <w:p w14:paraId="1A5DBAFE" w14:textId="77777777" w:rsidR="000444CE" w:rsidRPr="001B0EA3" w:rsidRDefault="000444CE" w:rsidP="00F068A3">
      <w:pPr>
        <w:rPr>
          <w:color w:val="000000"/>
          <w:szCs w:val="24"/>
        </w:rPr>
      </w:pPr>
      <w:r w:rsidRPr="001B0EA3">
        <w:rPr>
          <w:color w:val="000000"/>
          <w:szCs w:val="24"/>
        </w:rPr>
        <w:lastRenderedPageBreak/>
        <w:t xml:space="preserve">В случаите, когато УО е бенефициент,  инициирането на платежни нареждания в системата за интернет банкиране на БНБ се извършва от дирекция „Финанси” в </w:t>
      </w:r>
      <w:r w:rsidR="00BB6BF6">
        <w:rPr>
          <w:color w:val="000000"/>
          <w:szCs w:val="24"/>
        </w:rPr>
        <w:t>МТС</w:t>
      </w:r>
      <w:r w:rsidRPr="001B0EA3">
        <w:rPr>
          <w:color w:val="000000"/>
          <w:szCs w:val="24"/>
        </w:rPr>
        <w:t xml:space="preserve">. </w:t>
      </w:r>
    </w:p>
    <w:p w14:paraId="18DB6AA8" w14:textId="77777777" w:rsidR="000444CE" w:rsidRPr="001B0EA3" w:rsidRDefault="000444CE" w:rsidP="00F068A3">
      <w:pPr>
        <w:rPr>
          <w:color w:val="000000"/>
          <w:szCs w:val="24"/>
        </w:rPr>
      </w:pPr>
      <w:r w:rsidRPr="001B0EA3">
        <w:rPr>
          <w:color w:val="000000"/>
          <w:szCs w:val="24"/>
        </w:rPr>
        <w:t xml:space="preserve"> Служителят с право на одобрение на плащания в СЕБРА, ежедневно проверява за инициирани платежни нареждания за възстановяване на средства от страна на бенефициентите. В случай на регистрирано в СЕБРА платежно нареждане, служителят разпечатва информацията и предава разпечатката на началника на отдел „Финансово управление”, който възлага проверка на плащането на експерт от отдела в рамките на 2 работни дни.  </w:t>
      </w:r>
    </w:p>
    <w:p w14:paraId="34977457" w14:textId="77777777" w:rsidR="000444CE" w:rsidRPr="001B0EA3" w:rsidRDefault="000444CE" w:rsidP="00F068A3">
      <w:pPr>
        <w:rPr>
          <w:color w:val="000000"/>
          <w:szCs w:val="24"/>
        </w:rPr>
      </w:pPr>
      <w:r w:rsidRPr="001B0EA3">
        <w:rPr>
          <w:color w:val="000000"/>
          <w:szCs w:val="24"/>
        </w:rPr>
        <w:t>Проверките се формализират чрез попълването на контролен лист за възстановяване на средства в бюджета на външни Бенефициенти (</w:t>
      </w:r>
      <w:hyperlink r:id="rId197" w:tooltip="Контролен лист: Възстановяване на средства в бюджета Бенефициенти по ОП " w:history="1">
        <w:r w:rsidR="00342742" w:rsidRPr="00251D03">
          <w:rPr>
            <w:i/>
            <w:iCs/>
            <w:color w:val="0000FF"/>
            <w:szCs w:val="24"/>
            <w:u w:val="single"/>
            <w:lang w:eastAsia="bg-BG"/>
          </w:rPr>
          <w:t>Приложение № 5.03</w:t>
        </w:r>
      </w:hyperlink>
      <w:r w:rsidRPr="001B0EA3">
        <w:rPr>
          <w:color w:val="000000"/>
          <w:szCs w:val="24"/>
        </w:rPr>
        <w:t>), който заедно с документите се предава за съгласуване на плащането на началника на отдел „Финансово управление”. След съгласуване документите се предават за одобрение на плащането на директора на дирекция „КПП”. След одобрение на плащането се извършва контрол преди извършване на разход от финансов контрольор, който оформя извършените проверки в контролен лист (</w:t>
      </w:r>
      <w:hyperlink r:id="rId198" w:tooltip="Контролен лист № за контрол от финансовия контрольор преди извършване на плащане   " w:history="1">
        <w:r w:rsidR="00342742" w:rsidRPr="00251D03">
          <w:rPr>
            <w:i/>
            <w:iCs/>
            <w:color w:val="0000FF"/>
            <w:szCs w:val="24"/>
            <w:u w:val="single"/>
            <w:lang w:eastAsia="bg-BG"/>
          </w:rPr>
          <w:t>Приложение № 5.04.3</w:t>
        </w:r>
      </w:hyperlink>
      <w:r w:rsidRPr="001B0EA3">
        <w:rPr>
          <w:szCs w:val="24"/>
        </w:rPr>
        <w:t xml:space="preserve">) и предава </w:t>
      </w:r>
      <w:r w:rsidRPr="001B0EA3">
        <w:rPr>
          <w:color w:val="000000"/>
          <w:szCs w:val="24"/>
        </w:rPr>
        <w:t>целият пакет документи на оторизирания служител с право на втори подпис, който одобрява плащането в СЕБРА. На следващ работен ден след извършване на плащането служител с право на втори подпис, прави разпечатка от СЕБРА и класира всички документи в досие „Плащания от УО по ОПТТИ”</w:t>
      </w:r>
    </w:p>
    <w:p w14:paraId="3157081F" w14:textId="77777777" w:rsidR="000444CE" w:rsidRPr="001B0EA3" w:rsidRDefault="000444CE" w:rsidP="00F068A3">
      <w:pPr>
        <w:rPr>
          <w:color w:val="000000"/>
          <w:szCs w:val="24"/>
        </w:rPr>
      </w:pPr>
      <w:r w:rsidRPr="001B0EA3">
        <w:rPr>
          <w:color w:val="000000"/>
          <w:szCs w:val="24"/>
        </w:rPr>
        <w:t xml:space="preserve">УО  в рамките на 2 работни дни след възстановяване на средствата, уведомява писмено бенефициента за извършените трансфери. </w:t>
      </w:r>
    </w:p>
    <w:p w14:paraId="72DF50EB" w14:textId="77777777" w:rsidR="000444CE" w:rsidRPr="00842ECC" w:rsidRDefault="000444CE" w:rsidP="00656CB4">
      <w:pPr>
        <w:pStyle w:val="Style3"/>
        <w:rPr>
          <w:lang w:val="bg-BG" w:eastAsia="bg-BG"/>
        </w:rPr>
      </w:pPr>
      <w:bookmarkStart w:id="1166" w:name="_Toc479775733"/>
      <w:r w:rsidRPr="00842ECC">
        <w:rPr>
          <w:lang w:val="bg-BG" w:eastAsia="bg-BG"/>
        </w:rPr>
        <w:t>Директни плащания към изпълнители по проекти</w:t>
      </w:r>
      <w:bookmarkEnd w:id="1166"/>
    </w:p>
    <w:p w14:paraId="7C304865" w14:textId="77777777" w:rsidR="000444CE" w:rsidRPr="001B0EA3" w:rsidRDefault="000444CE" w:rsidP="00F068A3">
      <w:pPr>
        <w:spacing w:before="120" w:after="120"/>
        <w:rPr>
          <w:color w:val="000000"/>
          <w:szCs w:val="24"/>
        </w:rPr>
      </w:pPr>
      <w:r w:rsidRPr="001B0EA3">
        <w:rPr>
          <w:color w:val="000000"/>
          <w:szCs w:val="24"/>
        </w:rPr>
        <w:t xml:space="preserve">В съответствие с ДДС 06/04.04.2008 </w:t>
      </w:r>
      <w:r w:rsidR="001F54CE">
        <w:rPr>
          <w:color w:val="000000"/>
          <w:szCs w:val="24"/>
        </w:rPr>
        <w:t xml:space="preserve">г. </w:t>
      </w:r>
      <w:r w:rsidRPr="001B0EA3">
        <w:rPr>
          <w:color w:val="000000"/>
          <w:szCs w:val="24"/>
        </w:rPr>
        <w:t>на МФ е възможно наличните средства по лимити на бенефициента да се използват за извършване на директни плащания към негови доставчици по съответния проект.</w:t>
      </w:r>
    </w:p>
    <w:p w14:paraId="635642CD" w14:textId="77777777" w:rsidR="000444CE" w:rsidRPr="001B0EA3" w:rsidRDefault="000444CE" w:rsidP="00656CB4">
      <w:pPr>
        <w:pStyle w:val="Style4"/>
        <w:rPr>
          <w:lang w:eastAsia="fr-FR"/>
        </w:rPr>
      </w:pPr>
      <w:bookmarkStart w:id="1167" w:name="_Toc479775734"/>
      <w:r w:rsidRPr="001B0EA3">
        <w:rPr>
          <w:lang w:eastAsia="fr-FR"/>
        </w:rPr>
        <w:t>Външни бенефициенти</w:t>
      </w:r>
      <w:bookmarkEnd w:id="1167"/>
    </w:p>
    <w:p w14:paraId="7F4D92E7" w14:textId="77777777" w:rsidR="000444CE" w:rsidRPr="001B0EA3" w:rsidRDefault="000444CE" w:rsidP="000444CE">
      <w:pPr>
        <w:spacing w:before="120" w:after="120"/>
        <w:rPr>
          <w:color w:val="000000"/>
          <w:szCs w:val="24"/>
        </w:rPr>
      </w:pPr>
      <w:r w:rsidRPr="001B0EA3">
        <w:rPr>
          <w:color w:val="000000"/>
          <w:szCs w:val="24"/>
        </w:rPr>
        <w:t xml:space="preserve">За одобрение от УО на директни плащания към изпълнители по договори, бенефициентът представя официално </w:t>
      </w:r>
      <w:r w:rsidR="00AA778F" w:rsidRPr="00AA778F">
        <w:rPr>
          <w:color w:val="000000"/>
          <w:szCs w:val="24"/>
        </w:rPr>
        <w:t xml:space="preserve">по електронна поща до началника на отдел „Финансово управление“ </w:t>
      </w:r>
      <w:r w:rsidRPr="001B0EA3">
        <w:rPr>
          <w:color w:val="000000"/>
          <w:szCs w:val="24"/>
        </w:rPr>
        <w:t xml:space="preserve"> в УО пакет документи</w:t>
      </w:r>
      <w:r w:rsidR="00AA778F">
        <w:rPr>
          <w:color w:val="000000"/>
          <w:szCs w:val="24"/>
        </w:rPr>
        <w:t>,</w:t>
      </w:r>
      <w:r w:rsidRPr="001B0EA3">
        <w:rPr>
          <w:color w:val="000000"/>
          <w:szCs w:val="24"/>
        </w:rPr>
        <w:t xml:space="preserve"> </w:t>
      </w:r>
      <w:r w:rsidR="00AA778F">
        <w:rPr>
          <w:color w:val="000000"/>
          <w:szCs w:val="24"/>
        </w:rPr>
        <w:t xml:space="preserve">който </w:t>
      </w:r>
      <w:r w:rsidRPr="001B0EA3">
        <w:rPr>
          <w:color w:val="000000"/>
          <w:szCs w:val="24"/>
        </w:rPr>
        <w:t>следва да съдържа</w:t>
      </w:r>
      <w:r w:rsidR="00AA778F">
        <w:rPr>
          <w:color w:val="000000"/>
          <w:szCs w:val="24"/>
        </w:rPr>
        <w:t xml:space="preserve"> </w:t>
      </w:r>
      <w:r w:rsidR="00AA778F" w:rsidRPr="00AA778F">
        <w:rPr>
          <w:color w:val="000000"/>
          <w:szCs w:val="24"/>
        </w:rPr>
        <w:t>сканирани</w:t>
      </w:r>
      <w:r w:rsidRPr="001B0EA3">
        <w:rPr>
          <w:color w:val="000000"/>
          <w:szCs w:val="24"/>
        </w:rPr>
        <w:t xml:space="preserve"> копия </w:t>
      </w:r>
      <w:r w:rsidR="00AA778F">
        <w:rPr>
          <w:color w:val="000000"/>
          <w:szCs w:val="24"/>
        </w:rPr>
        <w:t xml:space="preserve">на </w:t>
      </w:r>
      <w:r w:rsidRPr="001B0EA3">
        <w:rPr>
          <w:color w:val="000000"/>
          <w:szCs w:val="24"/>
        </w:rPr>
        <w:t xml:space="preserve">фактури и други разходооправдателни документи с еквивалентна доказателствена стойност, бюджетни платежни нареждания от системата за интернет банкиране на БНБ, актове и сертификати за извършени и одобрени СМР, протоколи за приети дейности (услуги и доставки) и други документи доказващи извършената работа, оформени съгласно нормативните изисквания и одобрените контролни процедури на бенефициента. Разходооправдателните документи, доказващи един и същ разход, се групират заедно (напр. фактура , платежно нареждане към фактурата, сертификат, акт за извършени и одобрени СМР, протоколи за приемане на работата, контролни листове и др.) </w:t>
      </w:r>
    </w:p>
    <w:p w14:paraId="5E099F5A" w14:textId="77777777" w:rsidR="000444CE" w:rsidRPr="001B0EA3" w:rsidRDefault="000444CE" w:rsidP="000444CE">
      <w:pPr>
        <w:spacing w:before="120" w:after="120"/>
        <w:rPr>
          <w:color w:val="000000"/>
          <w:szCs w:val="24"/>
        </w:rPr>
      </w:pPr>
      <w:r w:rsidRPr="001B0EA3">
        <w:rPr>
          <w:color w:val="000000"/>
          <w:szCs w:val="24"/>
        </w:rPr>
        <w:t xml:space="preserve">Служителят с право на одобрение на плащания в СЕБРА, ежедневно проверява за инициирани платежни нареждания за извършване на директни плащания. В случай на регистрирано в СЕБРА платежно нареждане, служителят разпечатва информацията и предава разпечатката на началника на отдел „Финансово управление”, който възлага проверка на плащането на експерт от отдела. </w:t>
      </w:r>
    </w:p>
    <w:p w14:paraId="32332E37" w14:textId="77777777" w:rsidR="000444CE" w:rsidRPr="001B0EA3" w:rsidRDefault="000444CE" w:rsidP="000444CE">
      <w:pPr>
        <w:spacing w:before="120" w:after="120"/>
        <w:rPr>
          <w:color w:val="000000"/>
          <w:szCs w:val="24"/>
        </w:rPr>
      </w:pPr>
      <w:r w:rsidRPr="001B0EA3">
        <w:rPr>
          <w:color w:val="000000"/>
          <w:szCs w:val="24"/>
        </w:rPr>
        <w:t>Експертът извършва проверка на представените документи и отразява извършените от него проверки в контролен лист (</w:t>
      </w:r>
      <w:hyperlink r:id="rId199" w:tooltip="Контролен лист: Директни плащания към изпълнители по проекти/бюджетни линии за външни Бенефициенти" w:history="1">
        <w:r w:rsidR="00342742" w:rsidRPr="00251D03">
          <w:rPr>
            <w:i/>
            <w:iCs/>
            <w:color w:val="0000FF"/>
            <w:szCs w:val="24"/>
            <w:u w:val="single"/>
            <w:lang w:eastAsia="bg-BG"/>
          </w:rPr>
          <w:t>Приложение № 5.04.1</w:t>
        </w:r>
      </w:hyperlink>
      <w:r w:rsidRPr="001B0EA3">
        <w:rPr>
          <w:color w:val="000000"/>
          <w:szCs w:val="24"/>
        </w:rPr>
        <w:t xml:space="preserve">), след което предава документацията за съгласуване от </w:t>
      </w:r>
      <w:r w:rsidRPr="001B0EA3">
        <w:rPr>
          <w:szCs w:val="24"/>
        </w:rPr>
        <w:t xml:space="preserve">началника на отдел „Финансово управление”. След приключване на процедурата по съгласуване, документите се предават за </w:t>
      </w:r>
      <w:r w:rsidRPr="001B0EA3">
        <w:rPr>
          <w:color w:val="000000"/>
          <w:szCs w:val="24"/>
        </w:rPr>
        <w:t xml:space="preserve">одобрение на директора на дирекция КПП. </w:t>
      </w:r>
    </w:p>
    <w:p w14:paraId="7080CABF" w14:textId="77777777" w:rsidR="000444CE" w:rsidRPr="001B0EA3" w:rsidRDefault="000444CE" w:rsidP="000444CE">
      <w:pPr>
        <w:spacing w:before="120" w:after="120"/>
        <w:rPr>
          <w:b/>
          <w:color w:val="000000"/>
          <w:szCs w:val="24"/>
          <w:u w:val="single"/>
        </w:rPr>
      </w:pPr>
      <w:r w:rsidRPr="001B0EA3">
        <w:rPr>
          <w:b/>
          <w:color w:val="000000"/>
          <w:szCs w:val="24"/>
          <w:u w:val="single"/>
        </w:rPr>
        <w:t>УО има право да отказва одобрение на платежни нареждания в СЕБРА в случаите, в които при проверките от негова страна са установени пропуски в документацията или допуснати технически грешки в документите за плащане.</w:t>
      </w:r>
    </w:p>
    <w:p w14:paraId="17EEE844" w14:textId="77777777" w:rsidR="000444CE" w:rsidRPr="001B0EA3" w:rsidRDefault="000444CE" w:rsidP="000444CE">
      <w:pPr>
        <w:spacing w:before="120" w:after="120"/>
        <w:rPr>
          <w:color w:val="000000"/>
          <w:szCs w:val="24"/>
        </w:rPr>
      </w:pPr>
      <w:r w:rsidRPr="001B0EA3">
        <w:rPr>
          <w:color w:val="000000"/>
          <w:szCs w:val="24"/>
        </w:rPr>
        <w:lastRenderedPageBreak/>
        <w:t>След одобрение на плащането се извършва контрол преди извършване на разход от финансов контрольор, който оформя извършените проверки в контролен лист и предава целият пакет документи на оторизирания служител с право на втори подпис, който одобрява плащането и извършва финализация в СЕБРА. На следващ работен ден след извършване на плащането служител с право на втори подпис, прави разпечатка от СЕБРА и класира всички документи в досие „Плащания от УО по ОПТТИ”</w:t>
      </w:r>
    </w:p>
    <w:p w14:paraId="43513B51" w14:textId="77777777" w:rsidR="000444CE" w:rsidRPr="001B0EA3" w:rsidRDefault="000444CE" w:rsidP="000444CE">
      <w:pPr>
        <w:spacing w:before="120" w:after="120"/>
        <w:rPr>
          <w:color w:val="000000"/>
          <w:szCs w:val="24"/>
        </w:rPr>
      </w:pPr>
      <w:r w:rsidRPr="001B0EA3">
        <w:rPr>
          <w:color w:val="000000"/>
          <w:szCs w:val="24"/>
        </w:rPr>
        <w:t>В случай, че при проверката на документите за плащане експертът установи пропуски или непълно окомплектована документация той може да поиска от бенефициента допълнителни документи или информация. Ако се установят грешки в попълнените разходооправдателни документи (фактури, платежни нареждания) или недостатъчно документи, доказващи действителното извършване и приемане на работата предмет на конкретното плащане, експертът може да предложи отказване на плащането и  отразява своите забележки и коментари в контролния лист</w:t>
      </w:r>
      <w:r w:rsidRPr="001B0EA3">
        <w:rPr>
          <w:b/>
          <w:i/>
          <w:color w:val="000000"/>
          <w:szCs w:val="24"/>
        </w:rPr>
        <w:t xml:space="preserve"> (</w:t>
      </w:r>
      <w:hyperlink r:id="rId200" w:tooltip="Контролен лист: Директни плащания към изпълнители по проекти/бюджетни линии за външни Бенефициенти" w:history="1">
        <w:r w:rsidR="00342742" w:rsidRPr="00251D03">
          <w:rPr>
            <w:i/>
            <w:iCs/>
            <w:color w:val="0000FF"/>
            <w:szCs w:val="24"/>
            <w:u w:val="single"/>
            <w:lang w:eastAsia="bg-BG"/>
          </w:rPr>
          <w:t>Приложение № 5.04.1</w:t>
        </w:r>
      </w:hyperlink>
      <w:r w:rsidRPr="001B0EA3">
        <w:rPr>
          <w:b/>
          <w:i/>
          <w:color w:val="000000"/>
          <w:szCs w:val="24"/>
        </w:rPr>
        <w:t>).</w:t>
      </w:r>
      <w:r w:rsidRPr="001B0EA3">
        <w:rPr>
          <w:color w:val="000000"/>
          <w:szCs w:val="24"/>
        </w:rPr>
        <w:t xml:space="preserve"> Ако в процеса на последващи проверки и съгласуване предложението на финансовия експерт бъде прието, то документацията се предава на служителя оторизиран да одобрява плащания в СЕБРА, който извършва отказ за извършване на плащане.</w:t>
      </w:r>
    </w:p>
    <w:p w14:paraId="1E5D5843" w14:textId="77777777" w:rsidR="000444CE" w:rsidRPr="001B0EA3" w:rsidRDefault="000444CE" w:rsidP="000444CE">
      <w:pPr>
        <w:spacing w:before="120" w:after="120"/>
        <w:rPr>
          <w:color w:val="000000"/>
          <w:szCs w:val="24"/>
        </w:rPr>
      </w:pPr>
      <w:r w:rsidRPr="001B0EA3">
        <w:rPr>
          <w:color w:val="000000"/>
          <w:szCs w:val="24"/>
        </w:rPr>
        <w:t xml:space="preserve">На </w:t>
      </w:r>
      <w:r w:rsidR="00B43060" w:rsidRPr="001B0EA3">
        <w:rPr>
          <w:color w:val="000000"/>
          <w:szCs w:val="24"/>
        </w:rPr>
        <w:t>следващия</w:t>
      </w:r>
      <w:r w:rsidRPr="001B0EA3">
        <w:rPr>
          <w:color w:val="000000"/>
          <w:szCs w:val="24"/>
        </w:rPr>
        <w:t xml:space="preserve"> работен ден, служителя оторизиран да одобрява плащания в СЕБРА прави разпечатка от СЕБРА на отказани плащания и извършва класиране на всички документи с контролен лист </w:t>
      </w:r>
      <w:r w:rsidRPr="001B0EA3">
        <w:rPr>
          <w:b/>
          <w:i/>
          <w:color w:val="000000"/>
          <w:szCs w:val="24"/>
        </w:rPr>
        <w:t>(</w:t>
      </w:r>
      <w:hyperlink r:id="rId201" w:tooltip="Контролен лист: Директни плащания към изпълнители по проекти/бюджетни линии за външни Бенефициенти" w:history="1">
        <w:r w:rsidR="00342742" w:rsidRPr="00251D03">
          <w:rPr>
            <w:i/>
            <w:iCs/>
            <w:color w:val="0000FF"/>
            <w:szCs w:val="24"/>
            <w:u w:val="single"/>
            <w:lang w:eastAsia="bg-BG"/>
          </w:rPr>
          <w:t>Приложение № 5.04.1</w:t>
        </w:r>
      </w:hyperlink>
      <w:r w:rsidRPr="001B0EA3">
        <w:rPr>
          <w:b/>
          <w:i/>
          <w:color w:val="000000"/>
          <w:szCs w:val="24"/>
        </w:rPr>
        <w:t>)</w:t>
      </w:r>
      <w:r w:rsidRPr="001B0EA3">
        <w:rPr>
          <w:color w:val="000000"/>
          <w:szCs w:val="24"/>
        </w:rPr>
        <w:t xml:space="preserve">  в досие „Плащания от УО по ОПТТИ”</w:t>
      </w:r>
    </w:p>
    <w:p w14:paraId="7E0FC0E7" w14:textId="77777777" w:rsidR="000444CE" w:rsidRPr="001B0EA3" w:rsidRDefault="000444CE" w:rsidP="000444CE">
      <w:pPr>
        <w:spacing w:before="120" w:after="120"/>
        <w:rPr>
          <w:color w:val="000000"/>
          <w:szCs w:val="24"/>
        </w:rPr>
      </w:pPr>
      <w:r w:rsidRPr="001B0EA3">
        <w:rPr>
          <w:color w:val="000000"/>
          <w:szCs w:val="24"/>
        </w:rPr>
        <w:t xml:space="preserve"> УО в рамките на 2 работни дни след извършване на плащането уведомява писмено бенефициента за извършените трансфери. </w:t>
      </w:r>
    </w:p>
    <w:p w14:paraId="3D685175" w14:textId="77777777" w:rsidR="000444CE" w:rsidRPr="001B0EA3" w:rsidRDefault="000444CE" w:rsidP="00656CB4">
      <w:pPr>
        <w:pStyle w:val="Style4"/>
        <w:rPr>
          <w:lang w:eastAsia="fr-FR"/>
        </w:rPr>
      </w:pPr>
      <w:bookmarkStart w:id="1168" w:name="_Toc479775735"/>
      <w:r w:rsidRPr="001B0EA3">
        <w:rPr>
          <w:lang w:eastAsia="fr-FR"/>
        </w:rPr>
        <w:t>Бенефициент УО по ОПТТИ</w:t>
      </w:r>
      <w:bookmarkEnd w:id="1168"/>
      <w:r w:rsidRPr="001B0EA3">
        <w:rPr>
          <w:lang w:eastAsia="fr-FR"/>
        </w:rPr>
        <w:t xml:space="preserve"> </w:t>
      </w:r>
    </w:p>
    <w:p w14:paraId="6609D2F0" w14:textId="77777777" w:rsidR="000444CE" w:rsidRPr="001B0EA3" w:rsidRDefault="000444CE" w:rsidP="000444CE">
      <w:pPr>
        <w:spacing w:before="120" w:after="120"/>
        <w:rPr>
          <w:b/>
          <w:i/>
          <w:color w:val="000000"/>
          <w:szCs w:val="24"/>
        </w:rPr>
      </w:pPr>
      <w:r w:rsidRPr="001B0EA3">
        <w:rPr>
          <w:szCs w:val="24"/>
        </w:rPr>
        <w:t xml:space="preserve">За проекти по приоритетна ос „Техническа помощ” с бенефициент УО бюджетните платежни нареждания се изготвят в дирекция „Финанси” на </w:t>
      </w:r>
      <w:r w:rsidR="00BB6BF6">
        <w:rPr>
          <w:szCs w:val="24"/>
        </w:rPr>
        <w:t>МТС</w:t>
      </w:r>
      <w:r w:rsidRPr="001B0EA3">
        <w:rPr>
          <w:szCs w:val="24"/>
        </w:rPr>
        <w:t xml:space="preserve">. При </w:t>
      </w:r>
      <w:r w:rsidRPr="001B0EA3">
        <w:rPr>
          <w:color w:val="000000"/>
          <w:szCs w:val="24"/>
        </w:rPr>
        <w:t>иницииране</w:t>
      </w:r>
      <w:r w:rsidRPr="001B0EA3">
        <w:rPr>
          <w:szCs w:val="24"/>
        </w:rPr>
        <w:t xml:space="preserve"> на директни плащания през СЕБРА към изпълнители по  проекти с бенефициент УО, задължение на всяко ЗИП е да предаде в отдел „Финансово управление”, копие на всички разходооправдателни и отчетни придружаващи документи за конкретното плащане с цел окомплектоване на пакет с документи за процедирането му и попълва контролен лист (</w:t>
      </w:r>
      <w:hyperlink r:id="rId202" w:tooltip="Контролен лист за верифициране на разходите при изпълнение на проекти/бюджетни линии по приоритетна ос " w:history="1">
        <w:r w:rsidR="00342742" w:rsidRPr="00251D03">
          <w:rPr>
            <w:i/>
            <w:iCs/>
            <w:color w:val="0000FF"/>
            <w:szCs w:val="24"/>
            <w:u w:val="single"/>
            <w:lang w:eastAsia="bg-BG"/>
          </w:rPr>
          <w:t>Приложение № 5.05</w:t>
        </w:r>
      </w:hyperlink>
      <w:r w:rsidRPr="001B0EA3">
        <w:rPr>
          <w:szCs w:val="24"/>
        </w:rPr>
        <w:t>).</w:t>
      </w:r>
      <w:r w:rsidRPr="001B0EA3">
        <w:t xml:space="preserve"> </w:t>
      </w:r>
      <w:r w:rsidRPr="001B0EA3">
        <w:rPr>
          <w:szCs w:val="24"/>
        </w:rPr>
        <w:t xml:space="preserve">За одобрение на плащания се прилагат процедурите по т. </w:t>
      </w:r>
      <w:r w:rsidRPr="001B0EA3">
        <w:rPr>
          <w:b/>
          <w:szCs w:val="24"/>
        </w:rPr>
        <w:t>25.9.3.1.</w:t>
      </w:r>
      <w:r w:rsidRPr="001B0EA3">
        <w:rPr>
          <w:szCs w:val="24"/>
        </w:rPr>
        <w:t xml:space="preserve"> </w:t>
      </w:r>
      <w:r w:rsidRPr="001B0EA3">
        <w:rPr>
          <w:color w:val="000000"/>
          <w:szCs w:val="24"/>
        </w:rPr>
        <w:t xml:space="preserve">Всички проверки се отразяват в контролен лист </w:t>
      </w:r>
      <w:r w:rsidRPr="001B0EA3">
        <w:rPr>
          <w:b/>
          <w:i/>
          <w:color w:val="000000"/>
          <w:szCs w:val="24"/>
        </w:rPr>
        <w:t>(</w:t>
      </w:r>
      <w:hyperlink r:id="rId203" w:tooltip="Контролен лист: Директни плащания към изпълнители по проекти/бюджетна линия с Бенефициент УО" w:history="1">
        <w:r w:rsidR="00342742" w:rsidRPr="00251D03">
          <w:rPr>
            <w:i/>
            <w:iCs/>
            <w:color w:val="0000FF"/>
            <w:szCs w:val="24"/>
            <w:u w:val="single"/>
            <w:lang w:eastAsia="bg-BG"/>
          </w:rPr>
          <w:t>Приложение № 5.04.2</w:t>
        </w:r>
      </w:hyperlink>
      <w:r w:rsidRPr="001B0EA3">
        <w:rPr>
          <w:b/>
          <w:i/>
          <w:color w:val="000000"/>
          <w:szCs w:val="24"/>
        </w:rPr>
        <w:t>).</w:t>
      </w:r>
    </w:p>
    <w:p w14:paraId="21EE2E6F" w14:textId="77777777" w:rsidR="000444CE" w:rsidRPr="001B0EA3" w:rsidRDefault="00937754" w:rsidP="00046D61">
      <w:pPr>
        <w:spacing w:before="120"/>
        <w:ind w:firstLine="0"/>
        <w:jc w:val="center"/>
        <w:rPr>
          <w:color w:val="000000"/>
          <w:szCs w:val="24"/>
        </w:rPr>
      </w:pPr>
      <w:r w:rsidRPr="001B0EA3">
        <w:rPr>
          <w:noProof/>
          <w:lang w:eastAsia="bg-BG"/>
        </w:rPr>
        <w:lastRenderedPageBreak/>
        <mc:AlternateContent>
          <mc:Choice Requires="wpg">
            <w:drawing>
              <wp:inline distT="0" distB="0" distL="0" distR="0" wp14:anchorId="7A3CD3F5" wp14:editId="0A9C47F5">
                <wp:extent cx="5048250" cy="4192905"/>
                <wp:effectExtent l="5080" t="7620" r="13970" b="9525"/>
                <wp:docPr id="166" name="Group 1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0" cy="4192905"/>
                          <a:chOff x="0" y="0"/>
                          <a:chExt cx="5048250" cy="4192905"/>
                        </a:xfrm>
                      </wpg:grpSpPr>
                      <wps:wsp>
                        <wps:cNvPr id="167" name="Line 111"/>
                        <wps:cNvCnPr>
                          <a:cxnSpLocks noChangeShapeType="1"/>
                        </wps:cNvCnPr>
                        <wps:spPr bwMode="auto">
                          <a:xfrm flipH="1">
                            <a:off x="2165350" y="2520950"/>
                            <a:ext cx="438150"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68" name="Line 97"/>
                        <wps:cNvCnPr>
                          <a:cxnSpLocks noChangeShapeType="1"/>
                        </wps:cNvCnPr>
                        <wps:spPr bwMode="auto">
                          <a:xfrm rot="10800000" flipV="1">
                            <a:off x="3962400" y="3670300"/>
                            <a:ext cx="0" cy="15240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71" name="Line 98"/>
                        <wps:cNvCnPr>
                          <a:cxnSpLocks noChangeShapeType="1"/>
                        </wps:cNvCnPr>
                        <wps:spPr bwMode="auto">
                          <a:xfrm rot="10800000">
                            <a:off x="3397250" y="367030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Line 106"/>
                        <wps:cNvCnPr>
                          <a:cxnSpLocks noChangeShapeType="1"/>
                        </wps:cNvCnPr>
                        <wps:spPr bwMode="auto">
                          <a:xfrm>
                            <a:off x="565150" y="1790700"/>
                            <a:ext cx="0" cy="508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Line 110"/>
                        <wps:cNvCnPr>
                          <a:cxnSpLocks noChangeShapeType="1"/>
                        </wps:cNvCnPr>
                        <wps:spPr bwMode="auto">
                          <a:xfrm>
                            <a:off x="3816350" y="1797050"/>
                            <a:ext cx="1225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122"/>
                        <wps:cNvCnPr>
                          <a:cxnSpLocks noChangeShapeType="1"/>
                        </wps:cNvCnPr>
                        <wps:spPr bwMode="auto">
                          <a:xfrm>
                            <a:off x="5041900" y="1797050"/>
                            <a:ext cx="0" cy="2209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97"/>
                        <wps:cNvCnPr>
                          <a:cxnSpLocks noChangeShapeType="1"/>
                        </wps:cNvCnPr>
                        <wps:spPr bwMode="auto">
                          <a:xfrm rot="10800000" flipV="1">
                            <a:off x="3962400" y="2990850"/>
                            <a:ext cx="1270" cy="257175"/>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79" name="AutoShape 95" descr="Европейска комисия"/>
                        <wps:cNvSpPr>
                          <a:spLocks noChangeArrowheads="1"/>
                        </wps:cNvSpPr>
                        <wps:spPr bwMode="auto">
                          <a:xfrm>
                            <a:off x="908050" y="317500"/>
                            <a:ext cx="2906426" cy="457201"/>
                          </a:xfrm>
                          <a:prstGeom prst="flowChartProcess">
                            <a:avLst/>
                          </a:prstGeom>
                          <a:solidFill>
                            <a:srgbClr val="CCFFFF"/>
                          </a:solidFill>
                          <a:ln w="9525">
                            <a:solidFill>
                              <a:srgbClr val="000000"/>
                            </a:solidFill>
                            <a:miter lim="800000"/>
                            <a:headEnd/>
                            <a:tailEnd/>
                          </a:ln>
                        </wps:spPr>
                        <wps:txbx>
                          <w:txbxContent>
                            <w:p w14:paraId="52A394F2" w14:textId="77777777" w:rsidR="004E3164" w:rsidRPr="00BB74BA" w:rsidRDefault="004E3164" w:rsidP="00864A2F">
                              <w:pPr>
                                <w:ind w:firstLine="0"/>
                                <w:jc w:val="center"/>
                                <w:rPr>
                                  <w:b/>
                                  <w:szCs w:val="24"/>
                                </w:rPr>
                              </w:pPr>
                              <w:r w:rsidRPr="00BB74BA">
                                <w:rPr>
                                  <w:b/>
                                  <w:szCs w:val="24"/>
                                </w:rPr>
                                <w:t>Европейска комисия</w:t>
                              </w:r>
                            </w:p>
                          </w:txbxContent>
                        </wps:txbx>
                        <wps:bodyPr rot="0" vert="horz" wrap="square" lIns="100776" tIns="50388" rIns="100776" bIns="50388" anchor="t" anchorCtr="0" upright="1">
                          <a:noAutofit/>
                        </wps:bodyPr>
                      </wps:wsp>
                      <wps:wsp>
                        <wps:cNvPr id="181" name="AutoShape 96" descr="Европейска комисия"/>
                        <wps:cNvSpPr>
                          <a:spLocks noChangeArrowheads="1"/>
                        </wps:cNvSpPr>
                        <wps:spPr bwMode="auto">
                          <a:xfrm>
                            <a:off x="908050" y="1028700"/>
                            <a:ext cx="2906426" cy="282601"/>
                          </a:xfrm>
                          <a:prstGeom prst="flowChartProcess">
                            <a:avLst/>
                          </a:prstGeom>
                          <a:solidFill>
                            <a:srgbClr val="CCFFFF"/>
                          </a:solidFill>
                          <a:ln w="9525">
                            <a:solidFill>
                              <a:srgbClr val="000000"/>
                            </a:solidFill>
                            <a:miter lim="800000"/>
                            <a:headEnd/>
                            <a:tailEnd/>
                          </a:ln>
                        </wps:spPr>
                        <wps:txbx>
                          <w:txbxContent>
                            <w:p w14:paraId="5C18F738" w14:textId="77777777" w:rsidR="004E3164" w:rsidRPr="00BB74BA" w:rsidRDefault="004E3164" w:rsidP="00864A2F">
                              <w:pPr>
                                <w:ind w:firstLine="0"/>
                                <w:jc w:val="center"/>
                                <w:rPr>
                                  <w:b/>
                                  <w:szCs w:val="24"/>
                                </w:rPr>
                              </w:pPr>
                              <w:r w:rsidRPr="00BB74BA">
                                <w:rPr>
                                  <w:b/>
                                  <w:szCs w:val="24"/>
                                </w:rPr>
                                <w:t>Сертифицир</w:t>
                              </w:r>
                              <w:r>
                                <w:rPr>
                                  <w:b/>
                                  <w:szCs w:val="24"/>
                                </w:rPr>
                                <w:t>а</w:t>
                              </w:r>
                              <w:r w:rsidRPr="00BB74BA">
                                <w:rPr>
                                  <w:b/>
                                  <w:szCs w:val="24"/>
                                </w:rPr>
                                <w:t>щ орган</w:t>
                              </w:r>
                            </w:p>
                          </w:txbxContent>
                        </wps:txbx>
                        <wps:bodyPr rot="0" vert="horz" wrap="square" lIns="100776" tIns="50388" rIns="100776" bIns="50388" anchor="t" anchorCtr="0" upright="1">
                          <a:noAutofit/>
                        </wps:bodyPr>
                      </wps:wsp>
                      <wps:wsp>
                        <wps:cNvPr id="182" name="Line 97"/>
                        <wps:cNvCnPr>
                          <a:cxnSpLocks noChangeShapeType="1"/>
                        </wps:cNvCnPr>
                        <wps:spPr bwMode="auto">
                          <a:xfrm>
                            <a:off x="2082800" y="774700"/>
                            <a:ext cx="1270" cy="257175"/>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83" name="Line 98"/>
                        <wps:cNvCnPr>
                          <a:cxnSpLocks noChangeShapeType="1"/>
                        </wps:cNvCnPr>
                        <wps:spPr bwMode="auto">
                          <a:xfrm flipV="1">
                            <a:off x="2647950" y="774700"/>
                            <a:ext cx="635" cy="255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AutoShape 99" descr="Европейска комисия"/>
                        <wps:cNvSpPr>
                          <a:spLocks noChangeArrowheads="1"/>
                        </wps:cNvSpPr>
                        <wps:spPr bwMode="auto">
                          <a:xfrm>
                            <a:off x="908050" y="1568450"/>
                            <a:ext cx="2906426" cy="451901"/>
                          </a:xfrm>
                          <a:prstGeom prst="flowChartProcess">
                            <a:avLst/>
                          </a:prstGeom>
                          <a:solidFill>
                            <a:srgbClr val="CCFFFF"/>
                          </a:solidFill>
                          <a:ln w="9525">
                            <a:solidFill>
                              <a:srgbClr val="000000"/>
                            </a:solidFill>
                            <a:miter lim="800000"/>
                            <a:headEnd/>
                            <a:tailEnd/>
                          </a:ln>
                        </wps:spPr>
                        <wps:txbx>
                          <w:txbxContent>
                            <w:p w14:paraId="22869422" w14:textId="77777777" w:rsidR="004E3164" w:rsidRPr="00BB74BA" w:rsidRDefault="004E3164" w:rsidP="00864A2F">
                              <w:pPr>
                                <w:ind w:firstLine="0"/>
                                <w:jc w:val="center"/>
                                <w:rPr>
                                  <w:b/>
                                  <w:szCs w:val="24"/>
                                </w:rPr>
                              </w:pPr>
                              <w:r w:rsidRPr="00BB74BA">
                                <w:rPr>
                                  <w:b/>
                                  <w:szCs w:val="24"/>
                                </w:rPr>
                                <w:t>Управляващ орган по ОПТ</w:t>
                              </w:r>
                              <w:r>
                                <w:rPr>
                                  <w:b/>
                                  <w:szCs w:val="24"/>
                                </w:rPr>
                                <w:t>ТИ</w:t>
                              </w:r>
                            </w:p>
                          </w:txbxContent>
                        </wps:txbx>
                        <wps:bodyPr rot="0" vert="horz" wrap="square" lIns="100776" tIns="50388" rIns="100776" bIns="50388" anchor="t" anchorCtr="0" upright="1">
                          <a:noAutofit/>
                        </wps:bodyPr>
                      </wps:wsp>
                      <wps:wsp>
                        <wps:cNvPr id="188" name="Rectangle 102"/>
                        <wps:cNvSpPr>
                          <a:spLocks noChangeArrowheads="1"/>
                        </wps:cNvSpPr>
                        <wps:spPr bwMode="auto">
                          <a:xfrm>
                            <a:off x="0" y="2311400"/>
                            <a:ext cx="2159635" cy="685165"/>
                          </a:xfrm>
                          <a:prstGeom prst="rect">
                            <a:avLst/>
                          </a:prstGeom>
                          <a:solidFill>
                            <a:srgbClr val="CCFFFF"/>
                          </a:solidFill>
                          <a:ln w="9525">
                            <a:solidFill>
                              <a:srgbClr val="000000"/>
                            </a:solidFill>
                            <a:miter lim="800000"/>
                            <a:headEnd/>
                            <a:tailEnd/>
                          </a:ln>
                        </wps:spPr>
                        <wps:txbx>
                          <w:txbxContent>
                            <w:p w14:paraId="79EF8FF3" w14:textId="77777777" w:rsidR="004E3164" w:rsidRPr="00BB74BA" w:rsidRDefault="004E3164" w:rsidP="00864A2F">
                              <w:pPr>
                                <w:ind w:firstLine="0"/>
                                <w:jc w:val="center"/>
                                <w:rPr>
                                  <w:b/>
                                  <w:szCs w:val="24"/>
                                </w:rPr>
                              </w:pPr>
                              <w:r w:rsidRPr="00BB74BA">
                                <w:rPr>
                                  <w:b/>
                                  <w:szCs w:val="24"/>
                                </w:rPr>
                                <w:t>Отдел „</w:t>
                              </w:r>
                              <w:r>
                                <w:rPr>
                                  <w:b/>
                                  <w:szCs w:val="24"/>
                                </w:rPr>
                                <w:t>Изпълнение и координация”</w:t>
                              </w:r>
                            </w:p>
                          </w:txbxContent>
                        </wps:txbx>
                        <wps:bodyPr rot="0" vert="horz" wrap="square" lIns="91440" tIns="45720" rIns="91440" bIns="45720" anchor="t" anchorCtr="0" upright="1">
                          <a:noAutofit/>
                        </wps:bodyPr>
                      </wps:wsp>
                      <wps:wsp>
                        <wps:cNvPr id="189" name="Rectangle 103"/>
                        <wps:cNvSpPr>
                          <a:spLocks noChangeArrowheads="1"/>
                        </wps:cNvSpPr>
                        <wps:spPr bwMode="auto">
                          <a:xfrm>
                            <a:off x="2603500" y="2311400"/>
                            <a:ext cx="2159635" cy="685165"/>
                          </a:xfrm>
                          <a:prstGeom prst="rect">
                            <a:avLst/>
                          </a:prstGeom>
                          <a:solidFill>
                            <a:srgbClr val="CCFFFF"/>
                          </a:solidFill>
                          <a:ln w="9525">
                            <a:solidFill>
                              <a:srgbClr val="000000"/>
                            </a:solidFill>
                            <a:miter lim="800000"/>
                            <a:headEnd/>
                            <a:tailEnd/>
                          </a:ln>
                        </wps:spPr>
                        <wps:txbx>
                          <w:txbxContent>
                            <w:p w14:paraId="1A3D0318" w14:textId="77777777" w:rsidR="004E3164" w:rsidRPr="00BB74BA" w:rsidRDefault="004E3164" w:rsidP="00864A2F">
                              <w:pPr>
                                <w:ind w:firstLine="0"/>
                                <w:jc w:val="center"/>
                                <w:rPr>
                                  <w:b/>
                                  <w:szCs w:val="24"/>
                                </w:rPr>
                              </w:pPr>
                              <w:r w:rsidRPr="00BB74BA">
                                <w:rPr>
                                  <w:b/>
                                  <w:szCs w:val="24"/>
                                </w:rPr>
                                <w:t>Отдел „</w:t>
                              </w:r>
                              <w:r w:rsidRPr="00C15162">
                                <w:rPr>
                                  <w:b/>
                                  <w:color w:val="000000"/>
                                  <w:szCs w:val="24"/>
                                </w:rPr>
                                <w:t>Финансово управление</w:t>
                              </w:r>
                              <w:r w:rsidRPr="00BB74BA">
                                <w:rPr>
                                  <w:b/>
                                  <w:szCs w:val="24"/>
                                </w:rPr>
                                <w:t>”</w:t>
                              </w:r>
                            </w:p>
                          </w:txbxContent>
                        </wps:txbx>
                        <wps:bodyPr rot="0" vert="horz" wrap="square" lIns="91440" tIns="45720" rIns="91440" bIns="45720" anchor="t" anchorCtr="0" upright="1">
                          <a:noAutofit/>
                        </wps:bodyPr>
                      </wps:wsp>
                      <wps:wsp>
                        <wps:cNvPr id="1632" name="AutoShape 104" descr="Европейска комисия"/>
                        <wps:cNvSpPr>
                          <a:spLocks noChangeArrowheads="1"/>
                        </wps:cNvSpPr>
                        <wps:spPr bwMode="auto">
                          <a:xfrm>
                            <a:off x="2482850" y="3238500"/>
                            <a:ext cx="2280421" cy="430901"/>
                          </a:xfrm>
                          <a:prstGeom prst="flowChartProcess">
                            <a:avLst/>
                          </a:prstGeom>
                          <a:solidFill>
                            <a:srgbClr val="CCFFFF"/>
                          </a:solidFill>
                          <a:ln w="9525">
                            <a:solidFill>
                              <a:srgbClr val="000000"/>
                            </a:solidFill>
                            <a:miter lim="800000"/>
                            <a:headEnd/>
                            <a:tailEnd/>
                          </a:ln>
                        </wps:spPr>
                        <wps:txbx>
                          <w:txbxContent>
                            <w:p w14:paraId="3F82AE86" w14:textId="77777777" w:rsidR="004E3164" w:rsidRPr="004B3942" w:rsidRDefault="004E3164" w:rsidP="00864A2F">
                              <w:pPr>
                                <w:ind w:firstLine="0"/>
                                <w:jc w:val="center"/>
                                <w:rPr>
                                  <w:b/>
                                  <w:szCs w:val="24"/>
                                </w:rPr>
                              </w:pPr>
                              <w:r w:rsidRPr="004B3942">
                                <w:rPr>
                                  <w:b/>
                                  <w:szCs w:val="24"/>
                                </w:rPr>
                                <w:t>Бенефициент по ОПТ</w:t>
                              </w:r>
                              <w:r>
                                <w:rPr>
                                  <w:b/>
                                  <w:szCs w:val="24"/>
                                </w:rPr>
                                <w:t>ТИ</w:t>
                              </w:r>
                            </w:p>
                          </w:txbxContent>
                        </wps:txbx>
                        <wps:bodyPr rot="0" vert="horz" wrap="square" lIns="100776" tIns="50388" rIns="100776" bIns="50388" anchor="t" anchorCtr="0" upright="1">
                          <a:noAutofit/>
                        </wps:bodyPr>
                      </wps:wsp>
                      <wps:wsp>
                        <wps:cNvPr id="1633" name="AutoShape 105" descr="Европейска комисия"/>
                        <wps:cNvSpPr>
                          <a:spLocks noChangeArrowheads="1"/>
                        </wps:cNvSpPr>
                        <wps:spPr bwMode="auto">
                          <a:xfrm>
                            <a:off x="2482850" y="3822700"/>
                            <a:ext cx="2280285" cy="370205"/>
                          </a:xfrm>
                          <a:prstGeom prst="flowChartProcess">
                            <a:avLst/>
                          </a:prstGeom>
                          <a:solidFill>
                            <a:srgbClr val="CCFFFF"/>
                          </a:solidFill>
                          <a:ln w="9525">
                            <a:solidFill>
                              <a:srgbClr val="000000"/>
                            </a:solidFill>
                            <a:miter lim="800000"/>
                            <a:headEnd/>
                            <a:tailEnd/>
                          </a:ln>
                        </wps:spPr>
                        <wps:txbx>
                          <w:txbxContent>
                            <w:p w14:paraId="024B21B3" w14:textId="77777777" w:rsidR="004E3164" w:rsidRPr="004B3942" w:rsidRDefault="004E3164" w:rsidP="00864A2F">
                              <w:pPr>
                                <w:ind w:firstLine="0"/>
                                <w:jc w:val="center"/>
                                <w:rPr>
                                  <w:b/>
                                  <w:szCs w:val="24"/>
                                </w:rPr>
                              </w:pPr>
                              <w:r w:rsidRPr="004B3942">
                                <w:rPr>
                                  <w:b/>
                                  <w:szCs w:val="24"/>
                                </w:rPr>
                                <w:t xml:space="preserve">Изпълнител </w:t>
                              </w:r>
                            </w:p>
                          </w:txbxContent>
                        </wps:txbx>
                        <wps:bodyPr rot="0" vert="horz" wrap="square" lIns="100776" tIns="50388" rIns="100776" bIns="50388" anchor="t" anchorCtr="0" upright="1">
                          <a:noAutofit/>
                        </wps:bodyPr>
                      </wps:wsp>
                      <wps:wsp>
                        <wps:cNvPr id="1634" name="Line 108"/>
                        <wps:cNvCnPr>
                          <a:cxnSpLocks noChangeShapeType="1"/>
                        </wps:cNvCnPr>
                        <wps:spPr bwMode="auto">
                          <a:xfrm flipH="1">
                            <a:off x="565150" y="179705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5" name="Line 112"/>
                        <wps:cNvCnPr>
                          <a:cxnSpLocks noChangeShapeType="1"/>
                        </wps:cNvCnPr>
                        <wps:spPr bwMode="auto">
                          <a:xfrm flipV="1">
                            <a:off x="2152650" y="2768600"/>
                            <a:ext cx="450850"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6" name="Line 115"/>
                        <wps:cNvCnPr>
                          <a:cxnSpLocks noChangeShapeType="1"/>
                        </wps:cNvCnPr>
                        <wps:spPr bwMode="auto">
                          <a:xfrm flipH="1" flipV="1">
                            <a:off x="850900" y="3003550"/>
                            <a:ext cx="1638300" cy="952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7" name="Line 117"/>
                        <wps:cNvCnPr>
                          <a:cxnSpLocks noChangeShapeType="1"/>
                        </wps:cNvCnPr>
                        <wps:spPr bwMode="auto">
                          <a:xfrm flipH="1" flipV="1">
                            <a:off x="1727200" y="3003550"/>
                            <a:ext cx="749300" cy="393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8" name="Text Box 1586"/>
                        <wps:cNvSpPr txBox="1">
                          <a:spLocks noChangeArrowheads="1"/>
                        </wps:cNvSpPr>
                        <wps:spPr bwMode="auto">
                          <a:xfrm>
                            <a:off x="908050" y="0"/>
                            <a:ext cx="2905200" cy="255182"/>
                          </a:xfrm>
                          <a:prstGeom prst="rect">
                            <a:avLst/>
                          </a:prstGeom>
                          <a:solidFill>
                            <a:srgbClr val="FFFFFF"/>
                          </a:solidFill>
                          <a:ln w="6350">
                            <a:solidFill>
                              <a:srgbClr val="000000"/>
                            </a:solidFill>
                            <a:miter lim="800000"/>
                            <a:headEnd/>
                            <a:tailEnd/>
                          </a:ln>
                        </wps:spPr>
                        <wps:txbx>
                          <w:txbxContent>
                            <w:p w14:paraId="3BE1A4B5" w14:textId="77777777" w:rsidR="004E3164" w:rsidRPr="00FA0B06" w:rsidRDefault="004E3164" w:rsidP="00864A2F">
                              <w:pPr>
                                <w:ind w:firstLine="0"/>
                                <w:jc w:val="center"/>
                                <w:rPr>
                                  <w:szCs w:val="24"/>
                                </w:rPr>
                              </w:pPr>
                              <w:r w:rsidRPr="00FA0B06">
                                <w:rPr>
                                  <w:szCs w:val="24"/>
                                </w:rPr>
                                <w:t>Потоци на плащанията (схема)</w:t>
                              </w:r>
                            </w:p>
                          </w:txbxContent>
                        </wps:txbx>
                        <wps:bodyPr rot="0" vert="horz" wrap="square" lIns="91440" tIns="45720" rIns="91440" bIns="45720" anchor="t" anchorCtr="0" upright="1">
                          <a:noAutofit/>
                        </wps:bodyPr>
                      </wps:wsp>
                      <wps:wsp>
                        <wps:cNvPr id="1639" name="Line 118"/>
                        <wps:cNvCnPr>
                          <a:cxnSpLocks noChangeShapeType="1"/>
                        </wps:cNvCnPr>
                        <wps:spPr bwMode="auto">
                          <a:xfrm>
                            <a:off x="1435100" y="3003550"/>
                            <a:ext cx="1054100" cy="54610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640" name="Line 119"/>
                        <wps:cNvCnPr>
                          <a:cxnSpLocks noChangeShapeType="1"/>
                        </wps:cNvCnPr>
                        <wps:spPr bwMode="auto">
                          <a:xfrm>
                            <a:off x="596900" y="3003550"/>
                            <a:ext cx="1892300" cy="107950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641" name="Line 123"/>
                        <wps:cNvCnPr>
                          <a:cxnSpLocks noChangeShapeType="1"/>
                        </wps:cNvCnPr>
                        <wps:spPr bwMode="auto">
                          <a:xfrm flipH="1">
                            <a:off x="4762500" y="4006850"/>
                            <a:ext cx="285750"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2" name="Line 97"/>
                        <wps:cNvCnPr>
                          <a:cxnSpLocks noChangeShapeType="1"/>
                        </wps:cNvCnPr>
                        <wps:spPr bwMode="auto">
                          <a:xfrm rot="10800000">
                            <a:off x="2647950" y="1314450"/>
                            <a:ext cx="1270" cy="257175"/>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643" name="Line 98"/>
                        <wps:cNvCnPr>
                          <a:cxnSpLocks noChangeShapeType="1"/>
                        </wps:cNvCnPr>
                        <wps:spPr bwMode="auto">
                          <a:xfrm rot="10800000" flipV="1">
                            <a:off x="2082800" y="1314450"/>
                            <a:ext cx="635" cy="255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4" name="Line 98"/>
                        <wps:cNvCnPr>
                          <a:cxnSpLocks noChangeShapeType="1"/>
                        </wps:cNvCnPr>
                        <wps:spPr bwMode="auto">
                          <a:xfrm rot="10800000">
                            <a:off x="3397250" y="2990850"/>
                            <a:ext cx="636"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5" name="Line 106"/>
                        <wps:cNvCnPr>
                          <a:cxnSpLocks noChangeShapeType="1"/>
                        </wps:cNvCnPr>
                        <wps:spPr bwMode="auto">
                          <a:xfrm>
                            <a:off x="4324350" y="1790700"/>
                            <a:ext cx="0" cy="508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A3CD3F5" id="Group 1647" o:spid="_x0000_s1675" style="width:397.5pt;height:330.15pt;mso-position-horizontal-relative:char;mso-position-vertical-relative:line" coordsize="50482,41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">
                <v:line id="Line 111" o:spid="_x0000_s1676" style="position:absolute;flip:x;visibility:visible;mso-wrap-style:square" from="21653,25209" to="26035,25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">
                  <v:stroke dashstyle="1 1" endarrow="block" endcap="round"/>
                </v:line>
                <v:line id="Line 97" o:spid="_x0000_s1677" style="position:absolute;rotation:180;flip:y;visibility:visible;mso-wrap-style:square" from="39624,36703" to="39624,3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">
                  <v:stroke dashstyle="1 1" endarrow="block" endcap="round"/>
                </v:line>
                <v:line id="Line 98" o:spid="_x0000_s1678" style="position:absolute;rotation:180;visibility:visible;mso-wrap-style:square" from="33972,36703" to="33972,3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">
                  <v:stroke endarrow="block"/>
                </v:line>
                <v:line id="Line 106" o:spid="_x0000_s1679" style="position:absolute;visibility:visible;mso-wrap-style:square" from="5651,17907" to="5651,2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">
                  <v:stroke endarrow="block"/>
                </v:line>
                <v:line id="Line 110" o:spid="_x0000_s1680" style="position:absolute;visibility:visible;mso-wrap-style:square" from="38163,17970" to="50419,1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line id="Line 122" o:spid="_x0000_s1681" style="position:absolute;visibility:visible;mso-wrap-style:square" from="50419,17970" to="50419,40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line id="Line 97" o:spid="_x0000_s1682" style="position:absolute;rotation:180;flip:y;visibility:visible;mso-wrap-style:square" from="39624,29908" to="39636,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">
                  <v:stroke dashstyle="1 1" endarrow="block" endcap="round"/>
                </v:line>
                <v:shape id="AutoShape 95" o:spid="_x0000_s1683" type="#_x0000_t109" alt="Европейска комисия" style="position:absolute;left:9080;top:3175;width:2906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" fillcolor="#cff">
                  <v:textbox inset="2.79933mm,1.39967mm,2.79933mm,1.39967mm">
                    <w:txbxContent>
                      <w:p w14:paraId="52A394F2" w14:textId="77777777" w:rsidR="004E3164" w:rsidRPr="00BB74BA" w:rsidRDefault="004E3164" w:rsidP="00864A2F">
                        <w:pPr>
                          <w:ind w:firstLine="0"/>
                          <w:jc w:val="center"/>
                          <w:rPr>
                            <w:b/>
                            <w:szCs w:val="24"/>
                          </w:rPr>
                        </w:pPr>
                        <w:r w:rsidRPr="00BB74BA">
                          <w:rPr>
                            <w:b/>
                            <w:szCs w:val="24"/>
                          </w:rPr>
                          <w:t>Европейска комисия</w:t>
                        </w:r>
                      </w:p>
                    </w:txbxContent>
                  </v:textbox>
                </v:shape>
                <v:shape id="AutoShape 96" o:spid="_x0000_s1684" type="#_x0000_t109" alt="Европейска комисия" style="position:absolute;left:9080;top:10287;width:29064;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" fillcolor="#cff">
                  <v:textbox inset="2.79933mm,1.39967mm,2.79933mm,1.39967mm">
                    <w:txbxContent>
                      <w:p w14:paraId="5C18F738" w14:textId="77777777" w:rsidR="004E3164" w:rsidRPr="00BB74BA" w:rsidRDefault="004E3164" w:rsidP="00864A2F">
                        <w:pPr>
                          <w:ind w:firstLine="0"/>
                          <w:jc w:val="center"/>
                          <w:rPr>
                            <w:b/>
                            <w:szCs w:val="24"/>
                          </w:rPr>
                        </w:pPr>
                        <w:r w:rsidRPr="00BB74BA">
                          <w:rPr>
                            <w:b/>
                            <w:szCs w:val="24"/>
                          </w:rPr>
                          <w:t>Сертифицир</w:t>
                        </w:r>
                        <w:r>
                          <w:rPr>
                            <w:b/>
                            <w:szCs w:val="24"/>
                          </w:rPr>
                          <w:t>а</w:t>
                        </w:r>
                        <w:r w:rsidRPr="00BB74BA">
                          <w:rPr>
                            <w:b/>
                            <w:szCs w:val="24"/>
                          </w:rPr>
                          <w:t>щ орган</w:t>
                        </w:r>
                      </w:p>
                    </w:txbxContent>
                  </v:textbox>
                </v:shape>
                <v:line id="Line 97" o:spid="_x0000_s1685" style="position:absolute;visibility:visible;mso-wrap-style:square" from="20828,7747" to="20840,10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">
                  <v:stroke dashstyle="1 1" endarrow="block" endcap="round"/>
                </v:line>
                <v:line id="Line 98" o:spid="_x0000_s1686" style="position:absolute;flip:y;visibility:visible;mso-wrap-style:square" from="26479,7747" to="26485,10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">
                  <v:stroke endarrow="block"/>
                </v:line>
                <v:shape id="AutoShape 99" o:spid="_x0000_s1687" type="#_x0000_t109" alt="Европейска комисия" style="position:absolute;left:9080;top:15684;width:29064;height:4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" fillcolor="#cff">
                  <v:textbox inset="2.79933mm,1.39967mm,2.79933mm,1.39967mm">
                    <w:txbxContent>
                      <w:p w14:paraId="22869422" w14:textId="77777777" w:rsidR="004E3164" w:rsidRPr="00BB74BA" w:rsidRDefault="004E3164" w:rsidP="00864A2F">
                        <w:pPr>
                          <w:ind w:firstLine="0"/>
                          <w:jc w:val="center"/>
                          <w:rPr>
                            <w:b/>
                            <w:szCs w:val="24"/>
                          </w:rPr>
                        </w:pPr>
                        <w:r w:rsidRPr="00BB74BA">
                          <w:rPr>
                            <w:b/>
                            <w:szCs w:val="24"/>
                          </w:rPr>
                          <w:t>Управляващ орган по ОПТ</w:t>
                        </w:r>
                        <w:r>
                          <w:rPr>
                            <w:b/>
                            <w:szCs w:val="24"/>
                          </w:rPr>
                          <w:t>ТИ</w:t>
                        </w:r>
                      </w:p>
                    </w:txbxContent>
                  </v:textbox>
                </v:shape>
                <v:rect id="Rectangle 102" o:spid="_x0000_s1688" style="position:absolute;top:23114;width:21596;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" fillcolor="#cff">
                  <v:textbox>
                    <w:txbxContent>
                      <w:p w14:paraId="79EF8FF3" w14:textId="77777777" w:rsidR="004E3164" w:rsidRPr="00BB74BA" w:rsidRDefault="004E3164" w:rsidP="00864A2F">
                        <w:pPr>
                          <w:ind w:firstLine="0"/>
                          <w:jc w:val="center"/>
                          <w:rPr>
                            <w:b/>
                            <w:szCs w:val="24"/>
                          </w:rPr>
                        </w:pPr>
                        <w:r w:rsidRPr="00BB74BA">
                          <w:rPr>
                            <w:b/>
                            <w:szCs w:val="24"/>
                          </w:rPr>
                          <w:t>Отдел „</w:t>
                        </w:r>
                        <w:r>
                          <w:rPr>
                            <w:b/>
                            <w:szCs w:val="24"/>
                          </w:rPr>
                          <w:t>Изпълнение и координация”</w:t>
                        </w:r>
                      </w:p>
                    </w:txbxContent>
                  </v:textbox>
                </v:rect>
                <v:rect id="Rectangle 103" o:spid="_x0000_s1689" style="position:absolute;left:26035;top:23114;width:21596;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" fillcolor="#cff">
                  <v:textbox>
                    <w:txbxContent>
                      <w:p w14:paraId="1A3D0318" w14:textId="77777777" w:rsidR="004E3164" w:rsidRPr="00BB74BA" w:rsidRDefault="004E3164" w:rsidP="00864A2F">
                        <w:pPr>
                          <w:ind w:firstLine="0"/>
                          <w:jc w:val="center"/>
                          <w:rPr>
                            <w:b/>
                            <w:szCs w:val="24"/>
                          </w:rPr>
                        </w:pPr>
                        <w:r w:rsidRPr="00BB74BA">
                          <w:rPr>
                            <w:b/>
                            <w:szCs w:val="24"/>
                          </w:rPr>
                          <w:t>Отдел „</w:t>
                        </w:r>
                        <w:r w:rsidRPr="00C15162">
                          <w:rPr>
                            <w:b/>
                            <w:color w:val="000000"/>
                            <w:szCs w:val="24"/>
                          </w:rPr>
                          <w:t>Финансово управление</w:t>
                        </w:r>
                        <w:r w:rsidRPr="00BB74BA">
                          <w:rPr>
                            <w:b/>
                            <w:szCs w:val="24"/>
                          </w:rPr>
                          <w:t>”</w:t>
                        </w:r>
                      </w:p>
                    </w:txbxContent>
                  </v:textbox>
                </v:rect>
                <v:shape id="AutoShape 104" o:spid="_x0000_s1690" type="#_x0000_t109" alt="Европейска комисия" style="position:absolute;left:24828;top:32385;width:22804;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" fillcolor="#cff">
                  <v:textbox inset="2.79933mm,1.39967mm,2.79933mm,1.39967mm">
                    <w:txbxContent>
                      <w:p w14:paraId="3F82AE86" w14:textId="77777777" w:rsidR="004E3164" w:rsidRPr="004B3942" w:rsidRDefault="004E3164" w:rsidP="00864A2F">
                        <w:pPr>
                          <w:ind w:firstLine="0"/>
                          <w:jc w:val="center"/>
                          <w:rPr>
                            <w:b/>
                            <w:szCs w:val="24"/>
                          </w:rPr>
                        </w:pPr>
                        <w:r w:rsidRPr="004B3942">
                          <w:rPr>
                            <w:b/>
                            <w:szCs w:val="24"/>
                          </w:rPr>
                          <w:t>Бенефициент по ОПТ</w:t>
                        </w:r>
                        <w:r>
                          <w:rPr>
                            <w:b/>
                            <w:szCs w:val="24"/>
                          </w:rPr>
                          <w:t>ТИ</w:t>
                        </w:r>
                      </w:p>
                    </w:txbxContent>
                  </v:textbox>
                </v:shape>
                <v:shape id="AutoShape 105" o:spid="_x0000_s1691" type="#_x0000_t109" alt="Европейска комисия" style="position:absolute;left:24828;top:38227;width:2280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" fillcolor="#cff">
                  <v:textbox inset="2.79933mm,1.39967mm,2.79933mm,1.39967mm">
                    <w:txbxContent>
                      <w:p w14:paraId="024B21B3" w14:textId="77777777" w:rsidR="004E3164" w:rsidRPr="004B3942" w:rsidRDefault="004E3164" w:rsidP="00864A2F">
                        <w:pPr>
                          <w:ind w:firstLine="0"/>
                          <w:jc w:val="center"/>
                          <w:rPr>
                            <w:b/>
                            <w:szCs w:val="24"/>
                          </w:rPr>
                        </w:pPr>
                        <w:r w:rsidRPr="004B3942">
                          <w:rPr>
                            <w:b/>
                            <w:szCs w:val="24"/>
                          </w:rPr>
                          <w:t xml:space="preserve">Изпълнител </w:t>
                        </w:r>
                      </w:p>
                    </w:txbxContent>
                  </v:textbox>
                </v:shape>
                <v:line id="Line 108" o:spid="_x0000_s1692" style="position:absolute;flip:x;visibility:visible;mso-wrap-style:square" from="5651,17970" to="9080,17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"/>
                <v:line id="Line 112" o:spid="_x0000_s1693" style="position:absolute;flip:y;visibility:visible;mso-wrap-style:square" from="21526,27686" to="26035,27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">
                  <v:stroke endarrow="block"/>
                </v:line>
                <v:line id="Line 115" o:spid="_x0000_s1694" style="position:absolute;flip:x y;visibility:visible;mso-wrap-style:square" from="8509,30035" to="24892,3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">
                  <v:stroke endarrow="block"/>
                </v:line>
                <v:line id="Line 117" o:spid="_x0000_s1695" style="position:absolute;flip:x y;visibility:visible;mso-wrap-style:square" from="17272,30035" to="24765,3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">
                  <v:stroke endarrow="block"/>
                </v:line>
                <v:shape id="Text Box 1586" o:spid="_x0000_s1696" type="#_x0000_t202" style="position:absolute;left:9080;width:29052;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" strokeweight=".5pt">
                  <v:textbox>
                    <w:txbxContent>
                      <w:p w14:paraId="3BE1A4B5" w14:textId="77777777" w:rsidR="004E3164" w:rsidRPr="00FA0B06" w:rsidRDefault="004E3164" w:rsidP="00864A2F">
                        <w:pPr>
                          <w:ind w:firstLine="0"/>
                          <w:jc w:val="center"/>
                          <w:rPr>
                            <w:szCs w:val="24"/>
                          </w:rPr>
                        </w:pPr>
                        <w:r w:rsidRPr="00FA0B06">
                          <w:rPr>
                            <w:szCs w:val="24"/>
                          </w:rPr>
                          <w:t>Потоци на плащанията (схема)</w:t>
                        </w:r>
                      </w:p>
                    </w:txbxContent>
                  </v:textbox>
                </v:shape>
                <v:line id="Line 118" o:spid="_x0000_s1697" style="position:absolute;visibility:visible;mso-wrap-style:square" from="14351,30035" to="24892,3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">
                  <v:stroke dashstyle="1 1" endarrow="block" endcap="round"/>
                </v:line>
                <v:line id="Line 119" o:spid="_x0000_s1698" style="position:absolute;visibility:visible;mso-wrap-style:square" from="5969,30035" to="24892,40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">
                  <v:stroke dashstyle="1 1" endarrow="block" endcap="round"/>
                </v:line>
                <v:line id="Line 123" o:spid="_x0000_s1699" style="position:absolute;flip:x;visibility:visible;mso-wrap-style:square" from="47625,40068" to="50482,40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">
                  <v:stroke endarrow="block"/>
                </v:line>
                <v:line id="Line 97" o:spid="_x0000_s1700" style="position:absolute;rotation:180;visibility:visible;mso-wrap-style:square" from="26479,13144" to="26492,1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">
                  <v:stroke dashstyle="1 1" endarrow="block" endcap="round"/>
                </v:line>
                <v:line id="Line 98" o:spid="_x0000_s1701" style="position:absolute;rotation:180;flip:y;visibility:visible;mso-wrap-style:square" from="20828,13144" to="20834,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">
                  <v:stroke endarrow="block"/>
                </v:line>
                <v:line id="Line 98" o:spid="_x0000_s1702" style="position:absolute;rotation:180;visibility:visible;mso-wrap-style:square" from="33972,29908" to="33978,3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">
                  <v:stroke endarrow="block"/>
                </v:line>
                <v:line id="Line 106" o:spid="_x0000_s1703" style="position:absolute;visibility:visible;mso-wrap-style:square" from="43243,17907" to="43243,2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">
                  <v:stroke endarrow="block"/>
                </v:line>
                <w10:anchorlock/>
              </v:group>
            </w:pict>
          </mc:Fallback>
        </mc:AlternateContent>
      </w:r>
    </w:p>
    <w:p w14:paraId="49782BB8" w14:textId="77777777" w:rsidR="000444CE" w:rsidRPr="001B0EA3" w:rsidRDefault="000444CE" w:rsidP="00046D61">
      <w:pPr>
        <w:spacing w:before="120"/>
        <w:rPr>
          <w:color w:val="000000"/>
          <w:szCs w:val="24"/>
        </w:rPr>
      </w:pPr>
      <w:r w:rsidRPr="001B0EA3">
        <w:rPr>
          <w:color w:val="000000"/>
          <w:szCs w:val="24"/>
        </w:rPr>
        <w:t xml:space="preserve">За целите на отчетността отдел  „ФУ“ поддържа регистър на директните плащания </w:t>
      </w:r>
      <w:hyperlink r:id="rId204" w:tooltip="Регистър на директните плащания по ОП " w:history="1">
        <w:r w:rsidR="00342742" w:rsidRPr="00251D03">
          <w:rPr>
            <w:i/>
            <w:iCs/>
            <w:color w:val="0000FF"/>
            <w:szCs w:val="24"/>
            <w:u w:val="single"/>
            <w:lang w:eastAsia="bg-BG"/>
          </w:rPr>
          <w:t>Приложение № 5.02.6</w:t>
        </w:r>
      </w:hyperlink>
      <w:r w:rsidRPr="001B0EA3">
        <w:rPr>
          <w:color w:val="000000"/>
          <w:szCs w:val="24"/>
        </w:rPr>
        <w:t xml:space="preserve"> на адрес:</w:t>
      </w:r>
      <w:r w:rsidRPr="001B0EA3">
        <w:t xml:space="preserve"> </w:t>
      </w:r>
      <w:r w:rsidRPr="001B0EA3">
        <w:rPr>
          <w:color w:val="000000"/>
          <w:szCs w:val="24"/>
        </w:rPr>
        <w:t>\\MTITC-FP03\OPTransport\groups\Financial Management</w:t>
      </w:r>
    </w:p>
    <w:p w14:paraId="2232120E" w14:textId="77777777" w:rsidR="000444CE" w:rsidRPr="001B0EA3" w:rsidRDefault="000444CE" w:rsidP="00046D61">
      <w:pPr>
        <w:tabs>
          <w:tab w:val="num" w:pos="284"/>
        </w:tabs>
        <w:spacing w:before="120"/>
        <w:rPr>
          <w:b/>
          <w:color w:val="000000"/>
          <w:szCs w:val="24"/>
        </w:rPr>
      </w:pPr>
      <w:r w:rsidRPr="001B0EA3">
        <w:rPr>
          <w:b/>
          <w:color w:val="000000"/>
          <w:szCs w:val="24"/>
        </w:rPr>
        <w:t>Указания за попълване на контролни листове</w:t>
      </w:r>
    </w:p>
    <w:p w14:paraId="75EB5F40" w14:textId="77777777" w:rsidR="000444CE" w:rsidRPr="001B0EA3" w:rsidRDefault="000444CE" w:rsidP="000444CE">
      <w:pPr>
        <w:spacing w:before="120" w:after="120"/>
        <w:rPr>
          <w:szCs w:val="24"/>
        </w:rPr>
      </w:pPr>
      <w:r w:rsidRPr="001B0EA3">
        <w:rPr>
          <w:szCs w:val="24"/>
        </w:rPr>
        <w:t>Всички контролни листа в раздел 25 „Финансово управление” на Процедурният наръчник задължително се попълват на ръка, със син химикал и контролите се маркират с „Х”, „√” или „</w:t>
      </w:r>
      <w:r w:rsidRPr="001B0EA3">
        <w:rPr>
          <w:caps/>
          <w:szCs w:val="24"/>
        </w:rPr>
        <w:t>не</w:t>
      </w:r>
      <w:r w:rsidRPr="001B0EA3">
        <w:rPr>
          <w:szCs w:val="24"/>
        </w:rPr>
        <w:t>”. Задължително в контролните листа се вписват дата на извършена проверка, името и подписа на експерта извършил контролите.</w:t>
      </w:r>
    </w:p>
    <w:p w14:paraId="61B214FB" w14:textId="77777777" w:rsidR="00E0189C" w:rsidRPr="001B0EA3" w:rsidRDefault="00E0189C" w:rsidP="000444CE">
      <w:pPr>
        <w:spacing w:before="120" w:after="120"/>
        <w:rPr>
          <w:szCs w:val="24"/>
        </w:rPr>
      </w:pPr>
    </w:p>
    <w:p w14:paraId="07DBCF68" w14:textId="77777777" w:rsidR="000444CE" w:rsidRPr="001B0EA3" w:rsidRDefault="000444CE" w:rsidP="00B502C7">
      <w:pPr>
        <w:pStyle w:val="Style2"/>
      </w:pPr>
      <w:bookmarkStart w:id="1169" w:name="_Toc479775736"/>
      <w:bookmarkStart w:id="1170" w:name="_Toc140150257"/>
      <w:r w:rsidRPr="001B0EA3">
        <w:t>Счетоводство</w:t>
      </w:r>
      <w:bookmarkEnd w:id="1169"/>
      <w:bookmarkEnd w:id="1170"/>
    </w:p>
    <w:p w14:paraId="16B083AE" w14:textId="77777777" w:rsidR="000444CE" w:rsidRPr="001B0EA3" w:rsidRDefault="000444CE" w:rsidP="000444CE">
      <w:pPr>
        <w:spacing w:before="120" w:after="120"/>
        <w:rPr>
          <w:color w:val="000000"/>
          <w:szCs w:val="24"/>
        </w:rPr>
      </w:pPr>
      <w:r w:rsidRPr="001B0EA3">
        <w:rPr>
          <w:szCs w:val="24"/>
        </w:rPr>
        <w:t>Счетоводното</w:t>
      </w:r>
      <w:r w:rsidRPr="001B0EA3">
        <w:rPr>
          <w:color w:val="000000"/>
          <w:szCs w:val="24"/>
        </w:rPr>
        <w:t xml:space="preserve"> отчитане на транзакции, свързани с усвояването на средства от ЕСИФ по ОПТТИ се основава на аналитична счетоводна система с двустранно счетоводно записване (SAP).</w:t>
      </w:r>
    </w:p>
    <w:p w14:paraId="0CB854D9" w14:textId="77777777" w:rsidR="000444CE" w:rsidRPr="001B0EA3" w:rsidRDefault="000444CE" w:rsidP="000444CE">
      <w:pPr>
        <w:spacing w:before="120" w:after="120"/>
        <w:rPr>
          <w:color w:val="000000"/>
          <w:szCs w:val="24"/>
        </w:rPr>
      </w:pPr>
      <w:r w:rsidRPr="001B0EA3">
        <w:rPr>
          <w:szCs w:val="24"/>
        </w:rPr>
        <w:t>Счетоводната</w:t>
      </w:r>
      <w:r w:rsidRPr="001B0EA3">
        <w:rPr>
          <w:color w:val="000000"/>
          <w:szCs w:val="24"/>
        </w:rPr>
        <w:t xml:space="preserve"> система:</w:t>
      </w:r>
    </w:p>
    <w:p w14:paraId="169BC9DF" w14:textId="77777777" w:rsidR="000444CE" w:rsidRPr="001B0EA3" w:rsidRDefault="000444CE" w:rsidP="0054623A">
      <w:pPr>
        <w:numPr>
          <w:ilvl w:val="0"/>
          <w:numId w:val="126"/>
        </w:numPr>
        <w:tabs>
          <w:tab w:val="clear" w:pos="720"/>
          <w:tab w:val="left" w:pos="1134"/>
          <w:tab w:val="num" w:pos="1560"/>
        </w:tabs>
        <w:ind w:left="0" w:firstLine="851"/>
        <w:rPr>
          <w:color w:val="000000"/>
          <w:szCs w:val="24"/>
        </w:rPr>
      </w:pPr>
      <w:r w:rsidRPr="001B0EA3">
        <w:rPr>
          <w:color w:val="000000"/>
          <w:szCs w:val="24"/>
        </w:rPr>
        <w:t>позволява въвеждането, класификацията и записването на данни и извеждане на справки, които дават истинна и справедлива представа за активите, пасивите и финансовото състояние</w:t>
      </w:r>
    </w:p>
    <w:p w14:paraId="719C3CF6" w14:textId="77777777" w:rsidR="000444CE" w:rsidRPr="001B0EA3" w:rsidRDefault="000444CE" w:rsidP="0054623A">
      <w:pPr>
        <w:numPr>
          <w:ilvl w:val="0"/>
          <w:numId w:val="126"/>
        </w:numPr>
        <w:tabs>
          <w:tab w:val="clear" w:pos="720"/>
          <w:tab w:val="left" w:pos="1134"/>
          <w:tab w:val="num" w:pos="1560"/>
        </w:tabs>
        <w:ind w:left="0" w:firstLine="851"/>
        <w:rPr>
          <w:color w:val="000000"/>
          <w:szCs w:val="24"/>
        </w:rPr>
      </w:pPr>
      <w:r w:rsidRPr="001B0EA3">
        <w:rPr>
          <w:color w:val="000000"/>
          <w:szCs w:val="24"/>
        </w:rPr>
        <w:t>гарантира пълно, доказуемо и коректно документиране на всички счетоводни операции</w:t>
      </w:r>
    </w:p>
    <w:p w14:paraId="11DB981D" w14:textId="77777777" w:rsidR="000444CE" w:rsidRPr="001B0EA3" w:rsidRDefault="000444CE" w:rsidP="0054623A">
      <w:pPr>
        <w:numPr>
          <w:ilvl w:val="0"/>
          <w:numId w:val="126"/>
        </w:numPr>
        <w:tabs>
          <w:tab w:val="clear" w:pos="720"/>
          <w:tab w:val="left" w:pos="1134"/>
          <w:tab w:val="num" w:pos="1560"/>
        </w:tabs>
        <w:ind w:left="0" w:firstLine="851"/>
        <w:rPr>
          <w:color w:val="000000"/>
          <w:szCs w:val="24"/>
        </w:rPr>
      </w:pPr>
      <w:r w:rsidRPr="001B0EA3">
        <w:rPr>
          <w:color w:val="000000"/>
          <w:szCs w:val="24"/>
        </w:rPr>
        <w:t>гарантира простота и метод на трайност на счетоводните записи.</w:t>
      </w:r>
    </w:p>
    <w:p w14:paraId="306755FF" w14:textId="77777777" w:rsidR="000444CE" w:rsidRPr="001B0EA3" w:rsidRDefault="000444CE" w:rsidP="000444CE">
      <w:pPr>
        <w:spacing w:before="120" w:after="120"/>
        <w:rPr>
          <w:color w:val="000000"/>
          <w:szCs w:val="24"/>
        </w:rPr>
      </w:pPr>
      <w:r w:rsidRPr="001B0EA3">
        <w:rPr>
          <w:color w:val="000000"/>
          <w:szCs w:val="24"/>
        </w:rPr>
        <w:t xml:space="preserve">Счетоводната система на УО оперира в български лева, контролните документи се изготвят и съхраняват на български език. В счетоводната система се отчитат всички счетоводни събития по ОПТТИ и кореспондиращото национално съфинансиране, като се организира отчетност на касова и начислена основа. Докладването към ЕС е подкрепено от счетоводния софтуер SAP. Осчетоводяването на транзакциите в УО, при разходването на </w:t>
      </w:r>
      <w:r w:rsidRPr="001B0EA3">
        <w:rPr>
          <w:color w:val="000000"/>
          <w:szCs w:val="24"/>
        </w:rPr>
        <w:lastRenderedPageBreak/>
        <w:t>средствата от ЕСИФ и кореспондиращото национално съфинансиране са базирани на двустранното счетоводство и аналитичното счетоводно записване. Осчетоводяването е структурирано по начин, който осигурява самостоятелна отчетност на средствата от ЕСИФ и на средствата от националното съфинансиране.</w:t>
      </w:r>
    </w:p>
    <w:p w14:paraId="075AD9BA" w14:textId="77777777" w:rsidR="000444CE" w:rsidRPr="001B0EA3" w:rsidRDefault="000444CE" w:rsidP="000444CE">
      <w:pPr>
        <w:spacing w:before="120" w:after="120"/>
        <w:rPr>
          <w:color w:val="000000"/>
          <w:szCs w:val="24"/>
        </w:rPr>
      </w:pPr>
      <w:r w:rsidRPr="001B0EA3">
        <w:rPr>
          <w:color w:val="000000"/>
          <w:szCs w:val="24"/>
        </w:rPr>
        <w:t>Финансовата година започва на 1-ви януари и приключва на 31-ви декември. Счетоводната година започва на 1-ви юли на година n и приключва на 30-ти юни на година n+1.</w:t>
      </w:r>
    </w:p>
    <w:p w14:paraId="435F6FFD" w14:textId="77777777" w:rsidR="000444CE" w:rsidRPr="001B0EA3" w:rsidRDefault="000444CE" w:rsidP="000444CE">
      <w:pPr>
        <w:spacing w:before="120" w:after="120"/>
        <w:rPr>
          <w:color w:val="000000"/>
          <w:szCs w:val="24"/>
        </w:rPr>
      </w:pPr>
      <w:r w:rsidRPr="001B0EA3">
        <w:rPr>
          <w:color w:val="000000"/>
          <w:szCs w:val="24"/>
        </w:rPr>
        <w:t xml:space="preserve">По проекти по приоритетна ос „Техническа помощ” с бенефициент УО, счетоводният процес се организира в дирекция „Финанси” като част от отчетността на </w:t>
      </w:r>
      <w:r w:rsidR="00D34044">
        <w:rPr>
          <w:color w:val="000000"/>
          <w:szCs w:val="24"/>
        </w:rPr>
        <w:t>Министерството на транспорта и съобщенията</w:t>
      </w:r>
      <w:r w:rsidRPr="001B0EA3">
        <w:rPr>
          <w:color w:val="000000"/>
          <w:szCs w:val="24"/>
        </w:rPr>
        <w:t>.</w:t>
      </w:r>
    </w:p>
    <w:p w14:paraId="3F581853" w14:textId="77777777" w:rsidR="000444CE" w:rsidRPr="001B0EA3" w:rsidRDefault="000444CE" w:rsidP="00656CB4">
      <w:pPr>
        <w:pStyle w:val="Style3"/>
      </w:pPr>
      <w:bookmarkStart w:id="1171" w:name="_Toc479775737"/>
      <w:r w:rsidRPr="001B0EA3">
        <w:t>Счетоводна политика</w:t>
      </w:r>
      <w:bookmarkEnd w:id="1171"/>
    </w:p>
    <w:p w14:paraId="31A9F2B5" w14:textId="77777777" w:rsidR="000444CE" w:rsidRPr="001B0EA3" w:rsidRDefault="000444CE" w:rsidP="00F068A3">
      <w:pPr>
        <w:spacing w:before="120" w:after="120"/>
        <w:rPr>
          <w:color w:val="000000"/>
          <w:szCs w:val="24"/>
        </w:rPr>
      </w:pPr>
      <w:r w:rsidRPr="001B0EA3">
        <w:rPr>
          <w:color w:val="000000"/>
          <w:szCs w:val="24"/>
        </w:rPr>
        <w:t>Счетоводната политика на УО на ОПТТИ е част от общата счетоводна политика на България във връзка с изразходване на средства от ЕСИФ и се осъществява под методическото ръководство СО, който е отговорен за правилното и достоверно отчитане на получените средства от ЕС. УО е отговорен за изготвяне/актуализиране и одобрение на счетоводната си политика, която следва да бъде в съответствие с приложимото национално законодателство. УО е отговорен за разработването на специфичните особености в прилаганата от него счетоводна политика, произтичащи от целите и приоритетите на ОПТТИ. УО представя изготвената/актуализираната счетоводна политика за съгласуване от дирекция „Национален фонд“ по електронен път, преди да бъде предложена за одобрение на Ръководителя на УО.</w:t>
      </w:r>
    </w:p>
    <w:p w14:paraId="5FD0D953" w14:textId="77777777" w:rsidR="000444CE" w:rsidRPr="001B0EA3" w:rsidRDefault="000444CE" w:rsidP="00F068A3">
      <w:pPr>
        <w:spacing w:before="120" w:after="120"/>
        <w:rPr>
          <w:color w:val="000000"/>
          <w:szCs w:val="24"/>
        </w:rPr>
      </w:pPr>
      <w:r w:rsidRPr="001B0EA3">
        <w:rPr>
          <w:color w:val="000000"/>
          <w:szCs w:val="24"/>
        </w:rPr>
        <w:t xml:space="preserve">Счетоводната политика на УО на ОПТТИ </w:t>
      </w:r>
      <w:r w:rsidRPr="001B0EA3">
        <w:rPr>
          <w:b/>
          <w:i/>
          <w:color w:val="000000"/>
          <w:szCs w:val="24"/>
        </w:rPr>
        <w:t>(</w:t>
      </w:r>
      <w:hyperlink r:id="rId205" w:tooltip="Счетоводната политика на дирекция " w:history="1">
        <w:r w:rsidR="00342742" w:rsidRPr="00251D03">
          <w:rPr>
            <w:i/>
            <w:iCs/>
            <w:color w:val="0000FF"/>
            <w:szCs w:val="24"/>
            <w:u w:val="single"/>
            <w:lang w:eastAsia="bg-BG"/>
          </w:rPr>
          <w:t>Приложение № 5.06</w:t>
        </w:r>
      </w:hyperlink>
      <w:r w:rsidRPr="001B0EA3">
        <w:rPr>
          <w:b/>
          <w:i/>
          <w:color w:val="000000"/>
          <w:szCs w:val="24"/>
        </w:rPr>
        <w:t>)</w:t>
      </w:r>
      <w:r w:rsidRPr="001B0EA3">
        <w:rPr>
          <w:color w:val="000000"/>
          <w:szCs w:val="24"/>
        </w:rPr>
        <w:t xml:space="preserve"> представлява съвкупност от принципи, изходни положения, концепции, правила и процедури, възприети от УО за отчитане на дейността му, както и за представяне на информация в счетоводния процес.</w:t>
      </w:r>
    </w:p>
    <w:p w14:paraId="6A2E419B" w14:textId="77777777" w:rsidR="000444CE" w:rsidRPr="001B0EA3" w:rsidRDefault="000444CE" w:rsidP="00F068A3">
      <w:pPr>
        <w:spacing w:before="120" w:after="120"/>
        <w:rPr>
          <w:color w:val="000000"/>
          <w:szCs w:val="24"/>
        </w:rPr>
      </w:pPr>
      <w:r w:rsidRPr="001B0EA3">
        <w:rPr>
          <w:color w:val="000000"/>
          <w:szCs w:val="24"/>
        </w:rPr>
        <w:t>Основните цели на счетоводната</w:t>
      </w:r>
      <w:r w:rsidRPr="001B0EA3">
        <w:rPr>
          <w:bCs/>
          <w:color w:val="000000"/>
          <w:szCs w:val="24"/>
        </w:rPr>
        <w:t xml:space="preserve"> политика, разработена от</w:t>
      </w:r>
      <w:r w:rsidRPr="001B0EA3">
        <w:rPr>
          <w:color w:val="000000"/>
          <w:szCs w:val="24"/>
        </w:rPr>
        <w:t xml:space="preserve"> УО на ОПТТИ са:</w:t>
      </w:r>
    </w:p>
    <w:p w14:paraId="0B97CC33" w14:textId="77777777" w:rsidR="000444CE" w:rsidRPr="001B0EA3" w:rsidRDefault="000444CE" w:rsidP="0054623A">
      <w:pPr>
        <w:numPr>
          <w:ilvl w:val="0"/>
          <w:numId w:val="126"/>
        </w:numPr>
        <w:tabs>
          <w:tab w:val="clear" w:pos="720"/>
          <w:tab w:val="left" w:pos="1134"/>
          <w:tab w:val="num" w:pos="1560"/>
        </w:tabs>
        <w:ind w:left="0" w:firstLine="851"/>
        <w:rPr>
          <w:color w:val="000000"/>
          <w:szCs w:val="24"/>
        </w:rPr>
      </w:pPr>
      <w:r w:rsidRPr="001B0EA3">
        <w:rPr>
          <w:color w:val="000000"/>
          <w:szCs w:val="24"/>
        </w:rPr>
        <w:t>Да предоставя финансова информация за процесите в УО по ОПТТИ</w:t>
      </w:r>
    </w:p>
    <w:p w14:paraId="598181CA" w14:textId="77777777" w:rsidR="000444CE" w:rsidRPr="001B0EA3" w:rsidRDefault="000444CE" w:rsidP="0054623A">
      <w:pPr>
        <w:numPr>
          <w:ilvl w:val="0"/>
          <w:numId w:val="126"/>
        </w:numPr>
        <w:tabs>
          <w:tab w:val="clear" w:pos="720"/>
          <w:tab w:val="left" w:pos="1134"/>
          <w:tab w:val="num" w:pos="1560"/>
        </w:tabs>
        <w:ind w:left="0" w:firstLine="851"/>
        <w:rPr>
          <w:color w:val="000000"/>
          <w:szCs w:val="24"/>
        </w:rPr>
      </w:pPr>
      <w:r w:rsidRPr="001B0EA3">
        <w:rPr>
          <w:color w:val="000000"/>
          <w:szCs w:val="24"/>
        </w:rPr>
        <w:t xml:space="preserve">Да подпомага процеса на вземане на управленски решения при разпределението и изразходването на предоставената безвъзмездна финансова помощ със средства от Структурните фондове и </w:t>
      </w:r>
      <w:r w:rsidR="00B43060" w:rsidRPr="001B0EA3">
        <w:rPr>
          <w:color w:val="000000"/>
          <w:szCs w:val="24"/>
        </w:rPr>
        <w:t>Кохезионния</w:t>
      </w:r>
      <w:r w:rsidRPr="001B0EA3">
        <w:rPr>
          <w:color w:val="000000"/>
          <w:szCs w:val="24"/>
        </w:rPr>
        <w:t xml:space="preserve"> фонд на ЕС и кореспондиращото национално съфинансиране</w:t>
      </w:r>
    </w:p>
    <w:p w14:paraId="585D043D" w14:textId="77777777" w:rsidR="000444CE" w:rsidRPr="001B0EA3" w:rsidRDefault="000444CE" w:rsidP="0054623A">
      <w:pPr>
        <w:numPr>
          <w:ilvl w:val="0"/>
          <w:numId w:val="126"/>
        </w:numPr>
        <w:tabs>
          <w:tab w:val="clear" w:pos="720"/>
          <w:tab w:val="left" w:pos="1134"/>
          <w:tab w:val="num" w:pos="1560"/>
        </w:tabs>
        <w:ind w:left="0" w:firstLine="851"/>
        <w:rPr>
          <w:color w:val="000000"/>
          <w:szCs w:val="24"/>
        </w:rPr>
      </w:pPr>
      <w:r w:rsidRPr="001B0EA3">
        <w:rPr>
          <w:color w:val="000000"/>
          <w:szCs w:val="24"/>
        </w:rPr>
        <w:t>Да представя достоверна информация за изпълнението на бюджета на ОПТТИ.</w:t>
      </w:r>
    </w:p>
    <w:p w14:paraId="03787A8C" w14:textId="77777777" w:rsidR="000444CE" w:rsidRPr="001B0EA3" w:rsidRDefault="000444CE" w:rsidP="00F068A3">
      <w:pPr>
        <w:spacing w:before="120" w:after="120"/>
        <w:rPr>
          <w:color w:val="000000"/>
          <w:szCs w:val="24"/>
        </w:rPr>
      </w:pPr>
      <w:r w:rsidRPr="001B0EA3">
        <w:rPr>
          <w:color w:val="000000"/>
          <w:szCs w:val="24"/>
        </w:rPr>
        <w:t>Счетоводната политика е изготвена/актуализирана от УО, в съответствие с съгласно приложимото национално законодателство и съдържа следните основни елементи:</w:t>
      </w:r>
    </w:p>
    <w:p w14:paraId="4001ECEE" w14:textId="77777777" w:rsidR="000444CE" w:rsidRPr="001B0EA3" w:rsidRDefault="000444CE" w:rsidP="0054623A">
      <w:pPr>
        <w:numPr>
          <w:ilvl w:val="0"/>
          <w:numId w:val="126"/>
        </w:numPr>
        <w:tabs>
          <w:tab w:val="clear" w:pos="720"/>
          <w:tab w:val="left" w:pos="1134"/>
          <w:tab w:val="num" w:pos="1560"/>
        </w:tabs>
        <w:ind w:left="0" w:firstLine="851"/>
        <w:rPr>
          <w:color w:val="000000"/>
          <w:szCs w:val="24"/>
        </w:rPr>
      </w:pPr>
      <w:r w:rsidRPr="001B0EA3">
        <w:rPr>
          <w:color w:val="000000"/>
          <w:szCs w:val="24"/>
        </w:rPr>
        <w:t>Общи положения и основни принципи;</w:t>
      </w:r>
    </w:p>
    <w:p w14:paraId="24EB3669" w14:textId="77777777" w:rsidR="000444CE" w:rsidRPr="001B0EA3" w:rsidRDefault="000444CE" w:rsidP="0054623A">
      <w:pPr>
        <w:numPr>
          <w:ilvl w:val="0"/>
          <w:numId w:val="126"/>
        </w:numPr>
        <w:tabs>
          <w:tab w:val="clear" w:pos="720"/>
          <w:tab w:val="left" w:pos="1134"/>
          <w:tab w:val="num" w:pos="1560"/>
        </w:tabs>
        <w:ind w:left="0" w:firstLine="851"/>
        <w:rPr>
          <w:color w:val="000000"/>
          <w:szCs w:val="24"/>
        </w:rPr>
      </w:pPr>
      <w:r w:rsidRPr="001B0EA3">
        <w:rPr>
          <w:color w:val="000000"/>
          <w:szCs w:val="24"/>
        </w:rPr>
        <w:t xml:space="preserve">Сравнителни данни и промени в  счетоводната политика спрямо предходния отчетен период </w:t>
      </w:r>
    </w:p>
    <w:p w14:paraId="6E932CB7" w14:textId="77777777" w:rsidR="000444CE" w:rsidRPr="001B0EA3" w:rsidRDefault="000444CE" w:rsidP="0054623A">
      <w:pPr>
        <w:numPr>
          <w:ilvl w:val="0"/>
          <w:numId w:val="126"/>
        </w:numPr>
        <w:tabs>
          <w:tab w:val="clear" w:pos="720"/>
          <w:tab w:val="left" w:pos="1134"/>
          <w:tab w:val="num" w:pos="1560"/>
        </w:tabs>
        <w:ind w:left="0" w:firstLine="851"/>
        <w:rPr>
          <w:color w:val="000000"/>
          <w:szCs w:val="24"/>
        </w:rPr>
      </w:pPr>
      <w:r w:rsidRPr="001B0EA3">
        <w:rPr>
          <w:color w:val="000000"/>
          <w:szCs w:val="24"/>
        </w:rPr>
        <w:t xml:space="preserve"> Прилаган принцип за оценка на валутните активи и пасиви;</w:t>
      </w:r>
    </w:p>
    <w:p w14:paraId="1F2748C4" w14:textId="77777777" w:rsidR="000444CE" w:rsidRPr="001B0EA3" w:rsidRDefault="000444CE" w:rsidP="0054623A">
      <w:pPr>
        <w:numPr>
          <w:ilvl w:val="0"/>
          <w:numId w:val="126"/>
        </w:numPr>
        <w:tabs>
          <w:tab w:val="clear" w:pos="720"/>
          <w:tab w:val="left" w:pos="1134"/>
          <w:tab w:val="num" w:pos="1560"/>
        </w:tabs>
        <w:ind w:left="0" w:firstLine="851"/>
        <w:rPr>
          <w:color w:val="000000"/>
          <w:szCs w:val="24"/>
        </w:rPr>
      </w:pPr>
      <w:r w:rsidRPr="001B0EA3">
        <w:rPr>
          <w:color w:val="000000"/>
          <w:szCs w:val="24"/>
        </w:rPr>
        <w:t>Отчетност на вземанията и задълженията от/към бенефициентите.</w:t>
      </w:r>
    </w:p>
    <w:p w14:paraId="411F4A6A" w14:textId="77777777" w:rsidR="000444CE" w:rsidRPr="001B0EA3" w:rsidRDefault="000444CE" w:rsidP="00656CB4">
      <w:pPr>
        <w:pStyle w:val="Style3"/>
      </w:pPr>
      <w:bookmarkStart w:id="1172" w:name="_Toc479775738"/>
      <w:r w:rsidRPr="001B0EA3">
        <w:t>Счетоводни принципи</w:t>
      </w:r>
      <w:bookmarkEnd w:id="1172"/>
    </w:p>
    <w:p w14:paraId="68769BB9" w14:textId="77777777" w:rsidR="000444CE" w:rsidRPr="001B0EA3" w:rsidRDefault="000444CE" w:rsidP="00F068A3">
      <w:pPr>
        <w:spacing w:before="120" w:after="120"/>
        <w:rPr>
          <w:color w:val="000000"/>
          <w:szCs w:val="24"/>
        </w:rPr>
      </w:pPr>
      <w:r w:rsidRPr="001B0EA3">
        <w:rPr>
          <w:color w:val="000000"/>
          <w:szCs w:val="24"/>
        </w:rPr>
        <w:t>Счетоводната отчетност се осъществява при спазване на основните принципи, определени от Закона за счетоводството,  както следва:</w:t>
      </w:r>
    </w:p>
    <w:p w14:paraId="2940F288"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b/>
          <w:color w:val="000000"/>
          <w:szCs w:val="24"/>
          <w:lang w:eastAsia="bg-BG"/>
        </w:rPr>
        <w:t>Теку</w:t>
      </w:r>
      <w:r w:rsidRPr="001B0EA3">
        <w:rPr>
          <w:b/>
          <w:color w:val="000000"/>
          <w:szCs w:val="24"/>
          <w:lang w:eastAsia="ko-KR"/>
        </w:rPr>
        <w:t>що начисляване</w:t>
      </w:r>
      <w:r w:rsidRPr="001B0EA3">
        <w:rPr>
          <w:color w:val="000000"/>
          <w:szCs w:val="24"/>
          <w:lang w:eastAsia="ko-KR"/>
        </w:rPr>
        <w:t xml:space="preserve"> - приходите и разходите се начисляват към момента на тяхното възникване, независимо от момента на получаване или извършване на плащането на паричните средства и се включват във финансовите отчети за периода, за  който се отнасят;</w:t>
      </w:r>
    </w:p>
    <w:p w14:paraId="3BA51B95"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b/>
          <w:color w:val="000000"/>
          <w:szCs w:val="24"/>
          <w:lang w:eastAsia="ko-KR"/>
        </w:rPr>
        <w:t>Предпазливост</w:t>
      </w:r>
      <w:r w:rsidRPr="001B0EA3">
        <w:rPr>
          <w:color w:val="000000"/>
          <w:szCs w:val="24"/>
          <w:lang w:eastAsia="ko-KR"/>
        </w:rPr>
        <w:t xml:space="preserve"> – оценяване и отчитане на предполагаемите рискове и очакваните евентуални загуби при счетоводното третиране на стопанските операции с цел получаването на действителен финансов резултат;</w:t>
      </w:r>
    </w:p>
    <w:p w14:paraId="481FE43E"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b/>
          <w:color w:val="000000"/>
          <w:szCs w:val="24"/>
          <w:lang w:eastAsia="ko-KR"/>
        </w:rPr>
        <w:lastRenderedPageBreak/>
        <w:t>Предимство на съдържанието пред формата</w:t>
      </w:r>
      <w:r w:rsidRPr="001B0EA3">
        <w:rPr>
          <w:color w:val="000000"/>
          <w:szCs w:val="24"/>
          <w:lang w:eastAsia="ko-KR"/>
        </w:rPr>
        <w:t xml:space="preserve"> – събитията се отразяват счетоводно съобразно тяхното икономическото съдържание, същност и финансова реалност, а не формално според правната им форма</w:t>
      </w:r>
    </w:p>
    <w:p w14:paraId="0A83F272"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b/>
          <w:color w:val="000000"/>
          <w:szCs w:val="24"/>
          <w:lang w:eastAsia="ko-KR"/>
        </w:rPr>
        <w:t>Документална обоснованост</w:t>
      </w:r>
      <w:r w:rsidRPr="001B0EA3">
        <w:rPr>
          <w:color w:val="000000"/>
          <w:szCs w:val="24"/>
          <w:lang w:eastAsia="ko-KR"/>
        </w:rPr>
        <w:t xml:space="preserve"> на стопанските операции и факти като се спазват изискванията за съставянето на документите, съгласно действащото законодателство;</w:t>
      </w:r>
    </w:p>
    <w:p w14:paraId="02F8C3AE"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bg-BG"/>
        </w:rPr>
      </w:pPr>
      <w:r w:rsidRPr="001B0EA3">
        <w:rPr>
          <w:b/>
          <w:color w:val="000000"/>
          <w:szCs w:val="24"/>
          <w:lang w:eastAsia="ko-KR"/>
        </w:rPr>
        <w:t>Запа</w:t>
      </w:r>
      <w:r w:rsidRPr="001B0EA3">
        <w:rPr>
          <w:b/>
          <w:color w:val="000000"/>
          <w:szCs w:val="24"/>
          <w:lang w:eastAsia="bg-BG"/>
        </w:rPr>
        <w:t xml:space="preserve">зване при възможност на счетоводната политика от предходния отчетен период </w:t>
      </w:r>
      <w:r w:rsidRPr="001B0EA3">
        <w:rPr>
          <w:color w:val="000000"/>
          <w:szCs w:val="24"/>
          <w:lang w:eastAsia="bg-BG"/>
        </w:rPr>
        <w:t>- постигане съпоставимост на счетоводните данни и показатели през различните отчетни периоди.</w:t>
      </w:r>
    </w:p>
    <w:p w14:paraId="1C778989" w14:textId="77777777" w:rsidR="000444CE" w:rsidRPr="001B0EA3" w:rsidRDefault="000444CE" w:rsidP="00656CB4">
      <w:pPr>
        <w:pStyle w:val="Style3"/>
      </w:pPr>
      <w:r w:rsidRPr="00842ECC">
        <w:rPr>
          <w:lang w:val="bg-BG"/>
        </w:rPr>
        <w:t xml:space="preserve"> </w:t>
      </w:r>
      <w:bookmarkStart w:id="1173" w:name="_Toc479775739"/>
      <w:r w:rsidRPr="001B0EA3">
        <w:t>Отговорности</w:t>
      </w:r>
      <w:bookmarkEnd w:id="1173"/>
    </w:p>
    <w:p w14:paraId="30E3FD67" w14:textId="77777777" w:rsidR="000444CE" w:rsidRPr="001B0EA3" w:rsidRDefault="000444CE" w:rsidP="00F068A3">
      <w:pPr>
        <w:spacing w:before="120" w:after="120"/>
        <w:rPr>
          <w:b/>
          <w:color w:val="000000"/>
          <w:szCs w:val="24"/>
        </w:rPr>
      </w:pPr>
      <w:r w:rsidRPr="001B0EA3">
        <w:rPr>
          <w:b/>
          <w:color w:val="000000"/>
          <w:szCs w:val="24"/>
        </w:rPr>
        <w:t>Обхват</w:t>
      </w:r>
    </w:p>
    <w:p w14:paraId="357D1E7A" w14:textId="77777777" w:rsidR="000444CE" w:rsidRPr="001B0EA3" w:rsidRDefault="000444CE" w:rsidP="00F068A3">
      <w:pPr>
        <w:spacing w:before="120" w:after="120"/>
        <w:rPr>
          <w:color w:val="000000"/>
          <w:szCs w:val="24"/>
        </w:rPr>
      </w:pPr>
      <w:r w:rsidRPr="001B0EA3">
        <w:rPr>
          <w:color w:val="000000"/>
          <w:szCs w:val="24"/>
        </w:rPr>
        <w:t>УО осигурява аналитична счетоводна информация за проектите чрез стандартни счетоводни записвания за:</w:t>
      </w:r>
    </w:p>
    <w:p w14:paraId="1C0701CB"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договорената безвъзмездна финансова помощ;</w:t>
      </w:r>
    </w:p>
    <w:p w14:paraId="53DC898F"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вземания от бенефициентите;</w:t>
      </w:r>
    </w:p>
    <w:p w14:paraId="4E96115C"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задължения към бенефициентите;</w:t>
      </w:r>
    </w:p>
    <w:p w14:paraId="6E24CB2A"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извършени авансови плащания и възстановяването на допустими разходи;</w:t>
      </w:r>
    </w:p>
    <w:p w14:paraId="1492F4CF"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верифицирани разходи по проектите;</w:t>
      </w:r>
    </w:p>
    <w:p w14:paraId="64C66810" w14:textId="77777777" w:rsidR="000444CE" w:rsidRPr="001B0EA3" w:rsidRDefault="000444CE" w:rsidP="00F068A3">
      <w:pPr>
        <w:spacing w:before="120" w:after="120"/>
        <w:rPr>
          <w:b/>
          <w:color w:val="000000"/>
          <w:szCs w:val="24"/>
        </w:rPr>
      </w:pPr>
      <w:r w:rsidRPr="001B0EA3">
        <w:rPr>
          <w:b/>
          <w:color w:val="000000"/>
          <w:szCs w:val="24"/>
        </w:rPr>
        <w:t>Длъжност и отговорности</w:t>
      </w:r>
    </w:p>
    <w:p w14:paraId="2A9316DD" w14:textId="77777777" w:rsidR="000444CE" w:rsidRPr="001B0EA3" w:rsidRDefault="000444CE" w:rsidP="00F068A3">
      <w:pPr>
        <w:spacing w:before="120" w:after="120"/>
        <w:rPr>
          <w:bCs/>
          <w:color w:val="000000"/>
          <w:szCs w:val="24"/>
        </w:rPr>
      </w:pPr>
      <w:r w:rsidRPr="001B0EA3">
        <w:rPr>
          <w:color w:val="000000"/>
          <w:szCs w:val="24"/>
        </w:rPr>
        <w:t xml:space="preserve">Счетоводните операции се извършват от служители, на които са възложени функции по осчетоводяване (счетоводители), които имат задължение да регистрират текущо всички счетоводни събития, произтичащи от финансовото управление на ОПТТИ в съответствие с приложимото законодателство и по реда, описан в настоящия Процедурен наръчник. Задълженията и отговорностите на служителите, които участват в процеса на осчетоводяване се определят в съответните длъжностни характеристики. </w:t>
      </w:r>
      <w:r w:rsidRPr="001B0EA3">
        <w:rPr>
          <w:bCs/>
          <w:color w:val="000000"/>
          <w:szCs w:val="24"/>
        </w:rPr>
        <w:t>На счетоводителите е осигурена независимост на функцията по осчетоводяване.</w:t>
      </w:r>
    </w:p>
    <w:p w14:paraId="67E0E916" w14:textId="77777777" w:rsidR="000444CE" w:rsidRPr="001B0EA3" w:rsidRDefault="000444CE" w:rsidP="00F068A3">
      <w:pPr>
        <w:spacing w:before="120" w:after="120"/>
        <w:rPr>
          <w:color w:val="000000"/>
          <w:szCs w:val="24"/>
        </w:rPr>
      </w:pPr>
      <w:r w:rsidRPr="001B0EA3">
        <w:rPr>
          <w:color w:val="000000"/>
          <w:szCs w:val="24"/>
        </w:rPr>
        <w:t xml:space="preserve">Регистрацията на счетоводните операции в SAP и тяхната правилност се контролират от Главния счетоводител в отдел „Финансово управление”. Той одобрява счетоводните операции и равнения по сметки и има достъп до счетоводната система само за четене и наблюдение. </w:t>
      </w:r>
      <w:r w:rsidR="00BA3630" w:rsidRPr="00BA3630">
        <w:rPr>
          <w:color w:val="000000"/>
          <w:szCs w:val="24"/>
        </w:rPr>
        <w:t>Главният счетоводител подписва периодичните касови отчети по ЕБК и сборните оборотни ведомости на УО.</w:t>
      </w:r>
    </w:p>
    <w:p w14:paraId="3A5AD1CD" w14:textId="77777777" w:rsidR="000444CE" w:rsidRPr="001B0EA3" w:rsidRDefault="000444CE" w:rsidP="00656CB4">
      <w:pPr>
        <w:pStyle w:val="Style3"/>
      </w:pPr>
      <w:bookmarkStart w:id="1174" w:name="_Toc479775740"/>
      <w:r w:rsidRPr="001B0EA3">
        <w:t>Счетоводен процес</w:t>
      </w:r>
      <w:bookmarkEnd w:id="1174"/>
    </w:p>
    <w:p w14:paraId="492F7306" w14:textId="77777777" w:rsidR="000444CE" w:rsidRPr="001B0EA3" w:rsidRDefault="000444CE" w:rsidP="00F068A3">
      <w:pPr>
        <w:spacing w:before="120" w:after="120"/>
        <w:rPr>
          <w:color w:val="000000"/>
          <w:szCs w:val="24"/>
        </w:rPr>
      </w:pPr>
      <w:r w:rsidRPr="001B0EA3">
        <w:rPr>
          <w:color w:val="000000"/>
          <w:szCs w:val="24"/>
        </w:rPr>
        <w:t xml:space="preserve">Счетоводният процес е изграден в съответствие с принципа на прилагане на двойна проверка при осчетоводяването и обобщаването на стопанските операции и осигурява проследима и даваща възможност за последващи проверки одитна пътека. </w:t>
      </w:r>
    </w:p>
    <w:p w14:paraId="3C5C86F2" w14:textId="77777777" w:rsidR="000444CE" w:rsidRPr="001B0EA3" w:rsidRDefault="000444CE" w:rsidP="00F068A3">
      <w:pPr>
        <w:spacing w:before="120" w:after="120"/>
        <w:rPr>
          <w:color w:val="000000"/>
          <w:szCs w:val="24"/>
        </w:rPr>
      </w:pPr>
      <w:r w:rsidRPr="001B0EA3">
        <w:rPr>
          <w:color w:val="000000"/>
          <w:szCs w:val="24"/>
        </w:rPr>
        <w:t>Счетоводният процес обхваща следните процедури:</w:t>
      </w:r>
    </w:p>
    <w:p w14:paraId="44B1BC9E"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 xml:space="preserve">Предоставяне на първичните и/или документи с еквивалентна доказателствена стойност на служител, отговорен за счетоводния процес; </w:t>
      </w:r>
    </w:p>
    <w:p w14:paraId="719DD6E8"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Документите, които се осчетоводяват в счетоводната система се придружават от документ, доказващ документалното основание /първичен документ/ за взимане на съответната операция;</w:t>
      </w:r>
    </w:p>
    <w:p w14:paraId="4F4A767F"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Счетоводителят обозначава всеки документ, осчетоводен в счетоводната система с последователен идентификационен номер;</w:t>
      </w:r>
    </w:p>
    <w:p w14:paraId="76B0B57C"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Счетоводителят контира всеки документ, като контировката следва да съдържа:</w:t>
      </w:r>
    </w:p>
    <w:p w14:paraId="742F3D98" w14:textId="77777777" w:rsidR="000444CE" w:rsidRPr="001B0EA3" w:rsidRDefault="000444CE" w:rsidP="00046D61">
      <w:pPr>
        <w:widowControl w:val="0"/>
        <w:numPr>
          <w:ilvl w:val="1"/>
          <w:numId w:val="66"/>
        </w:numPr>
        <w:tabs>
          <w:tab w:val="left" w:pos="1134"/>
        </w:tabs>
        <w:autoSpaceDE w:val="0"/>
        <w:autoSpaceDN w:val="0"/>
        <w:adjustRightInd w:val="0"/>
        <w:rPr>
          <w:color w:val="000000"/>
          <w:szCs w:val="24"/>
          <w:lang w:eastAsia="ko-KR"/>
        </w:rPr>
      </w:pPr>
      <w:r w:rsidRPr="001B0EA3">
        <w:rPr>
          <w:color w:val="000000"/>
          <w:szCs w:val="24"/>
          <w:lang w:eastAsia="ko-KR"/>
        </w:rPr>
        <w:t>Код на сметка, която се дебитира, сума в лева (на аналитично ниво, където е приложимо)</w:t>
      </w:r>
    </w:p>
    <w:p w14:paraId="535AF19E" w14:textId="77777777" w:rsidR="000444CE" w:rsidRPr="001B0EA3" w:rsidRDefault="000444CE" w:rsidP="00046D61">
      <w:pPr>
        <w:widowControl w:val="0"/>
        <w:numPr>
          <w:ilvl w:val="1"/>
          <w:numId w:val="66"/>
        </w:numPr>
        <w:tabs>
          <w:tab w:val="left" w:pos="1134"/>
        </w:tabs>
        <w:autoSpaceDE w:val="0"/>
        <w:autoSpaceDN w:val="0"/>
        <w:adjustRightInd w:val="0"/>
        <w:rPr>
          <w:color w:val="000000"/>
          <w:szCs w:val="24"/>
          <w:lang w:eastAsia="ko-KR"/>
        </w:rPr>
      </w:pPr>
      <w:r w:rsidRPr="001B0EA3">
        <w:rPr>
          <w:color w:val="000000"/>
          <w:szCs w:val="24"/>
          <w:lang w:eastAsia="ko-KR"/>
        </w:rPr>
        <w:t xml:space="preserve">Код на сметка, която се кредитира, сума в лева (на аналитично ниво, където е </w:t>
      </w:r>
      <w:r w:rsidRPr="001B0EA3">
        <w:rPr>
          <w:color w:val="000000"/>
          <w:szCs w:val="24"/>
          <w:lang w:eastAsia="ko-KR"/>
        </w:rPr>
        <w:lastRenderedPageBreak/>
        <w:t>приложимо)</w:t>
      </w:r>
    </w:p>
    <w:p w14:paraId="62F42EE9"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Съхранението на документите се извършва в съответствие с изискванията на Закона за счетоводство и чл.140 от Регламент (ЕС) № 1303/2013 или чл.51 от Регламент (ЕС) № 223/2014, в зависимост от това кой от двата срока е по-дълъг.</w:t>
      </w:r>
    </w:p>
    <w:p w14:paraId="4CB88BCB" w14:textId="77777777" w:rsidR="000444CE" w:rsidRPr="001B0EA3" w:rsidRDefault="00BA3630" w:rsidP="00F068A3">
      <w:pPr>
        <w:spacing w:before="120" w:after="120"/>
        <w:rPr>
          <w:color w:val="000000"/>
          <w:szCs w:val="24"/>
        </w:rPr>
      </w:pPr>
      <w:r w:rsidRPr="00BA3630">
        <w:rPr>
          <w:color w:val="000000"/>
          <w:szCs w:val="24"/>
        </w:rPr>
        <w:t>УО отчита всички счетоводни събития, прилагайки стандартни счетоводните записвания (</w:t>
      </w:r>
      <w:hyperlink r:id="rId206" w:tooltip="Стандартни счетоводни записвания по ОПТТИ" w:history="1">
        <w:r w:rsidR="00342742" w:rsidRPr="00251D03">
          <w:rPr>
            <w:i/>
            <w:iCs/>
            <w:color w:val="0000FF"/>
            <w:szCs w:val="24"/>
            <w:u w:val="single"/>
            <w:lang w:eastAsia="bg-BG"/>
          </w:rPr>
          <w:t>Приложение № 5.07</w:t>
        </w:r>
      </w:hyperlink>
      <w:r w:rsidRPr="00BA3630">
        <w:rPr>
          <w:color w:val="000000"/>
          <w:szCs w:val="24"/>
        </w:rPr>
        <w:t>), разработени от Министерство на финансите, съгласно чл.33, ал. 2 от Наредба № Н-3/22.05.2018 г. Типичните счетоводни записвания, произтичат от финансовото управление на опертивните програми и са в съответствие с утвърдения по чл.164 от Закона за публичните финанси сметкоплан на бюджетните организации. Стандартните счетоводни записвания са задължителни за прилагане от УО на ОПТТИ. При необходимост и в случаи на възникнали специфични дейности и операции, различни от посочените в (</w:t>
      </w:r>
      <w:hyperlink r:id="rId207" w:tooltip="Стандартни счетоводни записвания по ОПТТИ" w:history="1">
        <w:r w:rsidR="00342742" w:rsidRPr="00251D03">
          <w:rPr>
            <w:i/>
            <w:iCs/>
            <w:color w:val="0000FF"/>
            <w:szCs w:val="24"/>
            <w:u w:val="single"/>
            <w:lang w:eastAsia="bg-BG"/>
          </w:rPr>
          <w:t>Приложение № 5.07</w:t>
        </w:r>
      </w:hyperlink>
      <w:r w:rsidRPr="00BA3630">
        <w:rPr>
          <w:color w:val="000000"/>
          <w:szCs w:val="24"/>
        </w:rPr>
        <w:t>), УО може да поиска методическа помощ от дирекция „Национален фонд“ и да изпрати предложение/запитване за начина на отчитане на счетоводното събитие. Главният счетоводител контролира изпълнените счетоводни операции и изготвените отчети и оформя контрола чрез Контролен лист (</w:t>
      </w:r>
      <w:hyperlink r:id="rId208" w:tooltip="Контролен лист за проверка - месечен контрол на счетоводните операции" w:history="1">
        <w:r w:rsidR="00342742" w:rsidRPr="00251D03">
          <w:rPr>
            <w:i/>
            <w:iCs/>
            <w:color w:val="0000FF"/>
            <w:szCs w:val="24"/>
            <w:u w:val="single"/>
            <w:lang w:eastAsia="bg-BG"/>
          </w:rPr>
          <w:t>Приложение № 5.08</w:t>
        </w:r>
      </w:hyperlink>
      <w:r w:rsidRPr="00BA3630">
        <w:rPr>
          <w:color w:val="000000"/>
          <w:szCs w:val="24"/>
        </w:rPr>
        <w:t>).</w:t>
      </w:r>
    </w:p>
    <w:p w14:paraId="5ED7BAD8" w14:textId="77777777" w:rsidR="000444CE" w:rsidRPr="001B0EA3" w:rsidRDefault="000444CE" w:rsidP="00046D61">
      <w:pPr>
        <w:spacing w:before="120"/>
        <w:rPr>
          <w:b/>
          <w:color w:val="000000"/>
          <w:szCs w:val="24"/>
        </w:rPr>
      </w:pPr>
      <w:r w:rsidRPr="001B0EA3">
        <w:rPr>
          <w:b/>
          <w:color w:val="000000"/>
          <w:szCs w:val="24"/>
        </w:rPr>
        <w:t>Организацията на счетоводния процес в УО може да бъде изразена по следния начин:</w:t>
      </w:r>
    </w:p>
    <w:p w14:paraId="1527D0FB" w14:textId="77777777" w:rsidR="000444CE" w:rsidRPr="001B0EA3" w:rsidRDefault="000444CE" w:rsidP="00046D61">
      <w:pPr>
        <w:spacing w:before="120"/>
        <w:ind w:firstLine="709"/>
        <w:rPr>
          <w:color w:val="000000"/>
          <w:szCs w:val="24"/>
        </w:rPr>
      </w:pPr>
    </w:p>
    <w:tbl>
      <w:tblPr>
        <w:tblW w:w="8616" w:type="dxa"/>
        <w:tblLook w:val="01E0" w:firstRow="1" w:lastRow="1" w:firstColumn="1" w:lastColumn="1" w:noHBand="0" w:noVBand="0"/>
      </w:tblPr>
      <w:tblGrid>
        <w:gridCol w:w="8616"/>
      </w:tblGrid>
      <w:tr w:rsidR="000444CE" w:rsidRPr="001B0EA3" w14:paraId="24DA882C" w14:textId="77777777" w:rsidTr="003C4D46">
        <w:trPr>
          <w:trHeight w:val="391"/>
        </w:trPr>
        <w:tc>
          <w:tcPr>
            <w:tcW w:w="8616" w:type="dxa"/>
          </w:tcPr>
          <w:p w14:paraId="3388DEDD" w14:textId="77777777" w:rsidR="000444CE" w:rsidRPr="001B0EA3" w:rsidRDefault="00937754" w:rsidP="00046D61">
            <w:pPr>
              <w:widowControl w:val="0"/>
              <w:tabs>
                <w:tab w:val="right" w:leader="dot" w:pos="9631"/>
              </w:tabs>
              <w:spacing w:before="60" w:after="60"/>
              <w:ind w:left="2127" w:firstLine="709"/>
              <w:rPr>
                <w:b/>
                <w:color w:val="000000"/>
                <w:szCs w:val="24"/>
              </w:rPr>
            </w:pPr>
            <w:r w:rsidRPr="001B0EA3">
              <w:rPr>
                <w:noProof/>
                <w:lang w:eastAsia="bg-BG"/>
              </w:rPr>
              <mc:AlternateContent>
                <mc:Choice Requires="wps">
                  <w:drawing>
                    <wp:anchor distT="0" distB="0" distL="114300" distR="114300" simplePos="0" relativeHeight="251706368" behindDoc="0" locked="0" layoutInCell="1" allowOverlap="1" wp14:anchorId="28812F7D" wp14:editId="7F078BB3">
                      <wp:simplePos x="0" y="0"/>
                      <wp:positionH relativeFrom="column">
                        <wp:posOffset>2312670</wp:posOffset>
                      </wp:positionH>
                      <wp:positionV relativeFrom="paragraph">
                        <wp:posOffset>9525</wp:posOffset>
                      </wp:positionV>
                      <wp:extent cx="475615" cy="242570"/>
                      <wp:effectExtent l="0" t="0" r="0" b="0"/>
                      <wp:wrapSquare wrapText="bothSides"/>
                      <wp:docPr id="636" name="Down Arrow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242570"/>
                              </a:xfrm>
                              <a:prstGeom prst="downArrow">
                                <a:avLst>
                                  <a:gd name="adj1" fmla="val 50000"/>
                                  <a:gd name="adj2" fmla="val 25000"/>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8CCC8" id="Down Arrow 636" o:spid="_x0000_s1026" type="#_x0000_t67" style="position:absolute;margin-left:182.1pt;margin-top:.75pt;width:37.45pt;height:19.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" fillcolor="#f90" stroked="f">
                      <w10:wrap type="square"/>
                    </v:shape>
                  </w:pict>
                </mc:Fallback>
              </mc:AlternateContent>
            </w:r>
          </w:p>
        </w:tc>
      </w:tr>
      <w:tr w:rsidR="000444CE" w:rsidRPr="001B0EA3" w14:paraId="0F81220A" w14:textId="77777777" w:rsidTr="003C4D46">
        <w:trPr>
          <w:trHeight w:val="678"/>
        </w:trPr>
        <w:tc>
          <w:tcPr>
            <w:tcW w:w="8616" w:type="dxa"/>
          </w:tcPr>
          <w:p w14:paraId="6EA6C930" w14:textId="77777777" w:rsidR="000444CE" w:rsidRPr="001B0EA3" w:rsidRDefault="000444CE" w:rsidP="00F70D13">
            <w:pPr>
              <w:widowControl w:val="0"/>
              <w:tabs>
                <w:tab w:val="right" w:leader="dot" w:pos="9631"/>
              </w:tabs>
              <w:spacing w:before="60" w:after="60"/>
              <w:ind w:firstLine="0"/>
              <w:rPr>
                <w:b/>
                <w:color w:val="000000"/>
                <w:szCs w:val="24"/>
              </w:rPr>
            </w:pPr>
            <w:r w:rsidRPr="001B0EA3">
              <w:rPr>
                <w:b/>
                <w:color w:val="000000"/>
                <w:szCs w:val="24"/>
              </w:rPr>
              <w:t>Счетоводителят въвежда транзакциите от получените първични счетоводни документи в счетоводната система</w:t>
            </w:r>
          </w:p>
        </w:tc>
      </w:tr>
      <w:tr w:rsidR="000444CE" w:rsidRPr="001B0EA3" w14:paraId="6A57C7B4" w14:textId="77777777" w:rsidTr="003C4D46">
        <w:trPr>
          <w:trHeight w:val="422"/>
        </w:trPr>
        <w:tc>
          <w:tcPr>
            <w:tcW w:w="8616" w:type="dxa"/>
          </w:tcPr>
          <w:p w14:paraId="680386D0" w14:textId="77777777" w:rsidR="000444CE" w:rsidRPr="001B0EA3" w:rsidRDefault="00937754" w:rsidP="00F70D13">
            <w:pPr>
              <w:widowControl w:val="0"/>
              <w:tabs>
                <w:tab w:val="right" w:leader="dot" w:pos="9631"/>
              </w:tabs>
              <w:spacing w:before="60" w:after="60"/>
              <w:ind w:firstLine="0"/>
              <w:rPr>
                <w:b/>
                <w:color w:val="000000"/>
                <w:szCs w:val="24"/>
              </w:rPr>
            </w:pPr>
            <w:r w:rsidRPr="001B0EA3">
              <w:rPr>
                <w:noProof/>
                <w:lang w:eastAsia="bg-BG"/>
              </w:rPr>
              <mc:AlternateContent>
                <mc:Choice Requires="wps">
                  <w:drawing>
                    <wp:anchor distT="0" distB="0" distL="114300" distR="114300" simplePos="0" relativeHeight="251707392" behindDoc="0" locked="0" layoutInCell="1" allowOverlap="1" wp14:anchorId="5F874232" wp14:editId="63034EDB">
                      <wp:simplePos x="0" y="0"/>
                      <wp:positionH relativeFrom="column">
                        <wp:posOffset>2296795</wp:posOffset>
                      </wp:positionH>
                      <wp:positionV relativeFrom="paragraph">
                        <wp:posOffset>25400</wp:posOffset>
                      </wp:positionV>
                      <wp:extent cx="475615" cy="241300"/>
                      <wp:effectExtent l="0" t="0" r="0" b="0"/>
                      <wp:wrapSquare wrapText="bothSides"/>
                      <wp:docPr id="637" name="Down Arrow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241300"/>
                              </a:xfrm>
                              <a:prstGeom prst="downArrow">
                                <a:avLst>
                                  <a:gd name="adj1" fmla="val 50000"/>
                                  <a:gd name="adj2" fmla="val 25000"/>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DC19B" id="Down Arrow 637" o:spid="_x0000_s1026" type="#_x0000_t67" style="position:absolute;margin-left:180.85pt;margin-top:2pt;width:37.45pt;height:1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" fillcolor="#f90" stroked="f">
                      <w10:wrap type="square"/>
                    </v:shape>
                  </w:pict>
                </mc:Fallback>
              </mc:AlternateContent>
            </w:r>
          </w:p>
        </w:tc>
      </w:tr>
      <w:tr w:rsidR="000444CE" w:rsidRPr="001B0EA3" w14:paraId="2D868C1E" w14:textId="77777777" w:rsidTr="003C4D46">
        <w:trPr>
          <w:trHeight w:val="604"/>
        </w:trPr>
        <w:tc>
          <w:tcPr>
            <w:tcW w:w="8616" w:type="dxa"/>
          </w:tcPr>
          <w:p w14:paraId="4495450B" w14:textId="77777777" w:rsidR="000444CE" w:rsidRPr="001B0EA3" w:rsidRDefault="000444CE" w:rsidP="00F70D13">
            <w:pPr>
              <w:widowControl w:val="0"/>
              <w:tabs>
                <w:tab w:val="num" w:pos="960"/>
                <w:tab w:val="right" w:leader="dot" w:pos="9631"/>
              </w:tabs>
              <w:spacing w:before="60" w:after="60"/>
              <w:ind w:firstLine="0"/>
              <w:rPr>
                <w:b/>
                <w:color w:val="000000"/>
                <w:szCs w:val="24"/>
              </w:rPr>
            </w:pPr>
            <w:r w:rsidRPr="001B0EA3">
              <w:rPr>
                <w:b/>
                <w:color w:val="000000"/>
                <w:szCs w:val="24"/>
              </w:rPr>
              <w:t>Счетоводителят изготвя контролни справки и ги проверява като формализира проверката в контролен лист</w:t>
            </w:r>
          </w:p>
        </w:tc>
      </w:tr>
      <w:tr w:rsidR="000444CE" w:rsidRPr="001B0EA3" w14:paraId="07C033CA" w14:textId="77777777" w:rsidTr="003C4D46">
        <w:trPr>
          <w:trHeight w:val="391"/>
        </w:trPr>
        <w:tc>
          <w:tcPr>
            <w:tcW w:w="8616" w:type="dxa"/>
          </w:tcPr>
          <w:p w14:paraId="1DBA1B90" w14:textId="77777777" w:rsidR="000444CE" w:rsidRPr="001B0EA3" w:rsidRDefault="00937754" w:rsidP="00F70D13">
            <w:pPr>
              <w:widowControl w:val="0"/>
              <w:tabs>
                <w:tab w:val="right" w:leader="dot" w:pos="9631"/>
              </w:tabs>
              <w:spacing w:before="60" w:after="60"/>
              <w:ind w:firstLine="0"/>
              <w:rPr>
                <w:b/>
                <w:color w:val="000000"/>
                <w:szCs w:val="24"/>
              </w:rPr>
            </w:pPr>
            <w:r w:rsidRPr="001B0EA3">
              <w:rPr>
                <w:noProof/>
                <w:lang w:eastAsia="bg-BG"/>
              </w:rPr>
              <mc:AlternateContent>
                <mc:Choice Requires="wps">
                  <w:drawing>
                    <wp:anchor distT="0" distB="0" distL="114300" distR="114300" simplePos="0" relativeHeight="251708416" behindDoc="0" locked="0" layoutInCell="1" allowOverlap="1" wp14:anchorId="10F50778" wp14:editId="232C4D41">
                      <wp:simplePos x="0" y="0"/>
                      <wp:positionH relativeFrom="column">
                        <wp:posOffset>2312670</wp:posOffset>
                      </wp:positionH>
                      <wp:positionV relativeFrom="paragraph">
                        <wp:posOffset>9525</wp:posOffset>
                      </wp:positionV>
                      <wp:extent cx="475615" cy="241300"/>
                      <wp:effectExtent l="0" t="0" r="0" b="0"/>
                      <wp:wrapSquare wrapText="bothSides"/>
                      <wp:docPr id="638" name="Down Arrow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241300"/>
                              </a:xfrm>
                              <a:prstGeom prst="downArrow">
                                <a:avLst>
                                  <a:gd name="adj1" fmla="val 50000"/>
                                  <a:gd name="adj2" fmla="val 25000"/>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B9AFD" id="Down Arrow 638" o:spid="_x0000_s1026" type="#_x0000_t67" style="position:absolute;margin-left:182.1pt;margin-top:.75pt;width:37.45pt;height:1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" fillcolor="#f90" stroked="f">
                      <w10:wrap type="square"/>
                    </v:shape>
                  </w:pict>
                </mc:Fallback>
              </mc:AlternateContent>
            </w:r>
          </w:p>
        </w:tc>
      </w:tr>
      <w:tr w:rsidR="000444CE" w:rsidRPr="001B0EA3" w14:paraId="63A1A729" w14:textId="77777777" w:rsidTr="003C4D46">
        <w:trPr>
          <w:trHeight w:val="81"/>
        </w:trPr>
        <w:tc>
          <w:tcPr>
            <w:tcW w:w="8616" w:type="dxa"/>
          </w:tcPr>
          <w:p w14:paraId="738F8301" w14:textId="77777777" w:rsidR="000444CE" w:rsidRPr="001B0EA3" w:rsidRDefault="000444CE" w:rsidP="00F70D13">
            <w:pPr>
              <w:widowControl w:val="0"/>
              <w:tabs>
                <w:tab w:val="num" w:pos="960"/>
                <w:tab w:val="right" w:leader="dot" w:pos="9631"/>
              </w:tabs>
              <w:spacing w:before="60" w:after="60"/>
              <w:ind w:firstLine="0"/>
              <w:rPr>
                <w:b/>
                <w:color w:val="000000"/>
                <w:szCs w:val="24"/>
              </w:rPr>
            </w:pPr>
            <w:r w:rsidRPr="001B0EA3">
              <w:rPr>
                <w:b/>
                <w:color w:val="000000"/>
                <w:szCs w:val="24"/>
              </w:rPr>
              <w:t>Счетоводителят предава контролните справки и попълнения и подписан контролен лист за проверка на Главния счетоводител</w:t>
            </w:r>
          </w:p>
        </w:tc>
      </w:tr>
      <w:tr w:rsidR="000444CE" w:rsidRPr="001B0EA3" w14:paraId="70B7C369" w14:textId="77777777" w:rsidTr="003C4D46">
        <w:trPr>
          <w:trHeight w:val="406"/>
        </w:trPr>
        <w:tc>
          <w:tcPr>
            <w:tcW w:w="8616" w:type="dxa"/>
          </w:tcPr>
          <w:p w14:paraId="4B96BC04" w14:textId="77777777" w:rsidR="000444CE" w:rsidRPr="001B0EA3" w:rsidRDefault="00937754" w:rsidP="00F70D13">
            <w:pPr>
              <w:widowControl w:val="0"/>
              <w:tabs>
                <w:tab w:val="right" w:leader="dot" w:pos="9631"/>
              </w:tabs>
              <w:spacing w:before="60" w:after="60"/>
              <w:ind w:firstLine="0"/>
              <w:rPr>
                <w:b/>
                <w:color w:val="000000"/>
                <w:szCs w:val="24"/>
              </w:rPr>
            </w:pPr>
            <w:r w:rsidRPr="001B0EA3">
              <w:rPr>
                <w:noProof/>
                <w:lang w:eastAsia="bg-BG"/>
              </w:rPr>
              <mc:AlternateContent>
                <mc:Choice Requires="wps">
                  <w:drawing>
                    <wp:anchor distT="0" distB="0" distL="114300" distR="114300" simplePos="0" relativeHeight="251709440" behindDoc="0" locked="0" layoutInCell="1" allowOverlap="1" wp14:anchorId="759C751A" wp14:editId="0E455305">
                      <wp:simplePos x="0" y="0"/>
                      <wp:positionH relativeFrom="column">
                        <wp:posOffset>2312670</wp:posOffset>
                      </wp:positionH>
                      <wp:positionV relativeFrom="paragraph">
                        <wp:posOffset>0</wp:posOffset>
                      </wp:positionV>
                      <wp:extent cx="475615" cy="241300"/>
                      <wp:effectExtent l="0" t="0" r="0" b="0"/>
                      <wp:wrapSquare wrapText="bothSides"/>
                      <wp:docPr id="165" name="Down Arrow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241300"/>
                              </a:xfrm>
                              <a:prstGeom prst="downArrow">
                                <a:avLst>
                                  <a:gd name="adj1" fmla="val 50000"/>
                                  <a:gd name="adj2" fmla="val 25000"/>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1DC1A" id="Down Arrow 95" o:spid="_x0000_s1026" type="#_x0000_t67" style="position:absolute;margin-left:182.1pt;margin-top:0;width:37.45pt;height:1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" fillcolor="#f90" stroked="f">
                      <w10:wrap type="square"/>
                    </v:shape>
                  </w:pict>
                </mc:Fallback>
              </mc:AlternateContent>
            </w:r>
          </w:p>
        </w:tc>
      </w:tr>
      <w:tr w:rsidR="000444CE" w:rsidRPr="001B0EA3" w14:paraId="5F69DDD2" w14:textId="77777777" w:rsidTr="003C4D46">
        <w:trPr>
          <w:trHeight w:val="933"/>
        </w:trPr>
        <w:tc>
          <w:tcPr>
            <w:tcW w:w="8616" w:type="dxa"/>
          </w:tcPr>
          <w:p w14:paraId="54D08ACE" w14:textId="77777777" w:rsidR="000444CE" w:rsidRPr="001B0EA3" w:rsidRDefault="000444CE" w:rsidP="00F70D13">
            <w:pPr>
              <w:widowControl w:val="0"/>
              <w:tabs>
                <w:tab w:val="right" w:leader="dot" w:pos="9631"/>
              </w:tabs>
              <w:spacing w:before="60" w:after="60"/>
              <w:ind w:firstLine="0"/>
              <w:rPr>
                <w:b/>
                <w:color w:val="000000"/>
                <w:szCs w:val="24"/>
              </w:rPr>
            </w:pPr>
            <w:r w:rsidRPr="001B0EA3">
              <w:rPr>
                <w:b/>
                <w:color w:val="000000"/>
                <w:szCs w:val="24"/>
              </w:rPr>
              <w:t>Главният счетоводител проверява извършените операции и формализира проверката в контролен лист. Контролният лист се предава за одобрение на Ръководителя на УО</w:t>
            </w:r>
          </w:p>
        </w:tc>
      </w:tr>
      <w:tr w:rsidR="000444CE" w:rsidRPr="001B0EA3" w14:paraId="0603571E" w14:textId="77777777" w:rsidTr="003C4D46">
        <w:trPr>
          <w:trHeight w:val="437"/>
        </w:trPr>
        <w:tc>
          <w:tcPr>
            <w:tcW w:w="8616" w:type="dxa"/>
          </w:tcPr>
          <w:p w14:paraId="7B6FAB16" w14:textId="77777777" w:rsidR="000444CE" w:rsidRPr="001B0EA3" w:rsidRDefault="00937754" w:rsidP="00F70D13">
            <w:pPr>
              <w:widowControl w:val="0"/>
              <w:tabs>
                <w:tab w:val="right" w:leader="dot" w:pos="9631"/>
              </w:tabs>
              <w:spacing w:before="60" w:after="60"/>
              <w:ind w:firstLine="0"/>
              <w:rPr>
                <w:b/>
                <w:color w:val="000000"/>
                <w:szCs w:val="24"/>
              </w:rPr>
            </w:pPr>
            <w:r w:rsidRPr="001B0EA3">
              <w:rPr>
                <w:noProof/>
                <w:lang w:eastAsia="bg-BG"/>
              </w:rPr>
              <mc:AlternateContent>
                <mc:Choice Requires="wps">
                  <w:drawing>
                    <wp:anchor distT="0" distB="0" distL="114300" distR="114300" simplePos="0" relativeHeight="251710464" behindDoc="0" locked="0" layoutInCell="1" allowOverlap="1" wp14:anchorId="148EA1F0" wp14:editId="3EE733BA">
                      <wp:simplePos x="0" y="0"/>
                      <wp:positionH relativeFrom="column">
                        <wp:posOffset>2312670</wp:posOffset>
                      </wp:positionH>
                      <wp:positionV relativeFrom="paragraph">
                        <wp:posOffset>38100</wp:posOffset>
                      </wp:positionV>
                      <wp:extent cx="475615" cy="241300"/>
                      <wp:effectExtent l="0" t="0" r="0" b="0"/>
                      <wp:wrapSquare wrapText="bothSides"/>
                      <wp:docPr id="639" name="Down Arrow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241300"/>
                              </a:xfrm>
                              <a:prstGeom prst="downArrow">
                                <a:avLst>
                                  <a:gd name="adj1" fmla="val 50000"/>
                                  <a:gd name="adj2" fmla="val 25000"/>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1078D" id="Down Arrow 639" o:spid="_x0000_s1026" type="#_x0000_t67" style="position:absolute;margin-left:182.1pt;margin-top:3pt;width:37.45pt;height:1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" fillcolor="#f90" stroked="f">
                      <w10:wrap type="square"/>
                    </v:shape>
                  </w:pict>
                </mc:Fallback>
              </mc:AlternateContent>
            </w:r>
          </w:p>
        </w:tc>
      </w:tr>
      <w:tr w:rsidR="000444CE" w:rsidRPr="001B0EA3" w14:paraId="1741A64F" w14:textId="77777777" w:rsidTr="003C4D46">
        <w:trPr>
          <w:trHeight w:val="933"/>
        </w:trPr>
        <w:tc>
          <w:tcPr>
            <w:tcW w:w="8616" w:type="dxa"/>
          </w:tcPr>
          <w:p w14:paraId="4931D192" w14:textId="77777777" w:rsidR="000444CE" w:rsidRPr="001B0EA3" w:rsidRDefault="000444CE" w:rsidP="00F70D13">
            <w:pPr>
              <w:widowControl w:val="0"/>
              <w:tabs>
                <w:tab w:val="right" w:leader="dot" w:pos="9631"/>
              </w:tabs>
              <w:spacing w:before="60" w:after="60"/>
              <w:ind w:firstLine="0"/>
              <w:rPr>
                <w:b/>
                <w:color w:val="000000"/>
                <w:szCs w:val="24"/>
              </w:rPr>
            </w:pPr>
            <w:r w:rsidRPr="001B0EA3">
              <w:rPr>
                <w:b/>
                <w:color w:val="000000"/>
                <w:szCs w:val="24"/>
              </w:rPr>
              <w:t>Ръководителят на УО одобрява контролния лист за проверка--месечен контрол на  счетоводните операции и го предава на счетоводителя</w:t>
            </w:r>
          </w:p>
        </w:tc>
      </w:tr>
      <w:tr w:rsidR="000444CE" w:rsidRPr="001B0EA3" w14:paraId="2B6AC9D5" w14:textId="77777777" w:rsidTr="003C4D46">
        <w:trPr>
          <w:trHeight w:val="437"/>
        </w:trPr>
        <w:tc>
          <w:tcPr>
            <w:tcW w:w="8616" w:type="dxa"/>
          </w:tcPr>
          <w:p w14:paraId="4C95D720" w14:textId="77777777" w:rsidR="000444CE" w:rsidRPr="001B0EA3" w:rsidRDefault="00937754" w:rsidP="00F70D13">
            <w:pPr>
              <w:widowControl w:val="0"/>
              <w:tabs>
                <w:tab w:val="right" w:leader="dot" w:pos="9631"/>
              </w:tabs>
              <w:spacing w:before="60" w:after="60"/>
              <w:ind w:firstLine="0"/>
              <w:rPr>
                <w:b/>
                <w:color w:val="000000"/>
                <w:szCs w:val="24"/>
              </w:rPr>
            </w:pPr>
            <w:r w:rsidRPr="001B0EA3">
              <w:rPr>
                <w:noProof/>
                <w:lang w:eastAsia="bg-BG"/>
              </w:rPr>
              <mc:AlternateContent>
                <mc:Choice Requires="wps">
                  <w:drawing>
                    <wp:anchor distT="0" distB="0" distL="114300" distR="114300" simplePos="0" relativeHeight="251711488" behindDoc="0" locked="0" layoutInCell="1" allowOverlap="1" wp14:anchorId="46B8419C" wp14:editId="25B9CBC0">
                      <wp:simplePos x="0" y="0"/>
                      <wp:positionH relativeFrom="column">
                        <wp:posOffset>2312670</wp:posOffset>
                      </wp:positionH>
                      <wp:positionV relativeFrom="paragraph">
                        <wp:posOffset>38100</wp:posOffset>
                      </wp:positionV>
                      <wp:extent cx="475615" cy="241300"/>
                      <wp:effectExtent l="0" t="0" r="0" b="0"/>
                      <wp:wrapSquare wrapText="bothSides"/>
                      <wp:docPr id="640" name="Down Arrow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241300"/>
                              </a:xfrm>
                              <a:prstGeom prst="downArrow">
                                <a:avLst>
                                  <a:gd name="adj1" fmla="val 50000"/>
                                  <a:gd name="adj2" fmla="val 25000"/>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976E9" id="Down Arrow 640" o:spid="_x0000_s1026" type="#_x0000_t67" style="position:absolute;margin-left:182.1pt;margin-top:3pt;width:37.45pt;height:1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" fillcolor="#f90" stroked="f">
                      <w10:wrap type="square"/>
                    </v:shape>
                  </w:pict>
                </mc:Fallback>
              </mc:AlternateContent>
            </w:r>
          </w:p>
        </w:tc>
      </w:tr>
      <w:tr w:rsidR="000444CE" w:rsidRPr="001B0EA3" w14:paraId="00E839A5" w14:textId="77777777" w:rsidTr="003C4D46">
        <w:trPr>
          <w:trHeight w:val="678"/>
        </w:trPr>
        <w:tc>
          <w:tcPr>
            <w:tcW w:w="8616" w:type="dxa"/>
          </w:tcPr>
          <w:p w14:paraId="3ACDB6BD" w14:textId="77777777" w:rsidR="000444CE" w:rsidRPr="001B0EA3" w:rsidRDefault="000444CE" w:rsidP="00F70D13">
            <w:pPr>
              <w:widowControl w:val="0"/>
              <w:tabs>
                <w:tab w:val="num" w:pos="960"/>
                <w:tab w:val="left" w:pos="2412"/>
                <w:tab w:val="right" w:leader="dot" w:pos="9631"/>
              </w:tabs>
              <w:spacing w:before="60" w:after="60"/>
              <w:ind w:firstLine="0"/>
              <w:rPr>
                <w:b/>
                <w:color w:val="000000"/>
                <w:szCs w:val="24"/>
              </w:rPr>
            </w:pPr>
            <w:r w:rsidRPr="001B0EA3">
              <w:rPr>
                <w:b/>
                <w:color w:val="000000"/>
                <w:szCs w:val="24"/>
              </w:rPr>
              <w:t>Счетоводителят файлира първичните документи и контролния лист</w:t>
            </w:r>
          </w:p>
        </w:tc>
      </w:tr>
    </w:tbl>
    <w:p w14:paraId="67F81F45" w14:textId="77777777" w:rsidR="000444CE" w:rsidRPr="001B0EA3" w:rsidRDefault="000444CE" w:rsidP="00046D61">
      <w:pPr>
        <w:spacing w:before="120"/>
        <w:rPr>
          <w:color w:val="000000"/>
          <w:szCs w:val="24"/>
        </w:rPr>
      </w:pPr>
      <w:r w:rsidRPr="001B0EA3">
        <w:rPr>
          <w:color w:val="000000"/>
          <w:szCs w:val="24"/>
        </w:rPr>
        <w:t>Сертифициращият орган, контролни органи на ЕС или упълномощени представители на ЕС могат да контролират счетоводния процес или да извършват проверки на счетоводния процес на място по всяко време.</w:t>
      </w:r>
    </w:p>
    <w:p w14:paraId="34D479FA" w14:textId="77777777" w:rsidR="000444CE" w:rsidRPr="001B0EA3" w:rsidRDefault="000444CE" w:rsidP="00046D61">
      <w:pPr>
        <w:spacing w:before="120"/>
        <w:rPr>
          <w:b/>
          <w:color w:val="000000"/>
          <w:szCs w:val="24"/>
        </w:rPr>
      </w:pPr>
      <w:r w:rsidRPr="001B0EA3">
        <w:rPr>
          <w:b/>
          <w:color w:val="000000"/>
          <w:szCs w:val="24"/>
        </w:rPr>
        <w:t>Изменения на счетоводната система</w:t>
      </w:r>
    </w:p>
    <w:p w14:paraId="56583DF1" w14:textId="77777777" w:rsidR="000444CE" w:rsidRPr="001B0EA3" w:rsidRDefault="000444CE" w:rsidP="00046D61">
      <w:pPr>
        <w:spacing w:before="120"/>
        <w:rPr>
          <w:color w:val="000000"/>
          <w:szCs w:val="24"/>
        </w:rPr>
      </w:pPr>
      <w:r w:rsidRPr="001B0EA3">
        <w:rPr>
          <w:color w:val="000000"/>
          <w:szCs w:val="24"/>
        </w:rPr>
        <w:lastRenderedPageBreak/>
        <w:t>Счетоводните правила и процедури трябва да са съпоставими в отделни счетоводни периоди. Изменението на счетоводните правила и процедури трябва да бъде обосновано. Всяка промяна на счетоводната политика и счетоводните правила и процедури се извършва в писмен вид и се одобрява от Ръководителя на УО на ОПТТИ. Съответните променени следва да бъдат отразени в Процедурния наръчник.</w:t>
      </w:r>
    </w:p>
    <w:p w14:paraId="124D2364" w14:textId="77777777" w:rsidR="000444CE" w:rsidRPr="001B0EA3" w:rsidRDefault="006035A9" w:rsidP="00046D61">
      <w:pPr>
        <w:spacing w:before="120"/>
        <w:rPr>
          <w:b/>
          <w:color w:val="000000"/>
          <w:szCs w:val="24"/>
        </w:rPr>
      </w:pPr>
      <w:hyperlink w:anchor="_Toc133123414" w:history="1">
        <w:r w:rsidR="000444CE" w:rsidRPr="001B0EA3">
          <w:rPr>
            <w:b/>
            <w:color w:val="000000"/>
            <w:szCs w:val="24"/>
          </w:rPr>
          <w:t xml:space="preserve">Компютърна система/Счетоводен софтуер </w:t>
        </w:r>
      </w:hyperlink>
    </w:p>
    <w:p w14:paraId="345368D4" w14:textId="77777777" w:rsidR="000444CE" w:rsidRPr="001B0EA3" w:rsidRDefault="000444CE" w:rsidP="00046D61">
      <w:pPr>
        <w:spacing w:before="120"/>
        <w:rPr>
          <w:color w:val="000000"/>
          <w:szCs w:val="24"/>
        </w:rPr>
      </w:pPr>
      <w:r w:rsidRPr="001B0EA3">
        <w:rPr>
          <w:color w:val="000000"/>
          <w:szCs w:val="24"/>
        </w:rPr>
        <w:t>УО поддържа надеждна счетоводна система с двустранно счетоводно записване и с необходимите аналитични нива, която обхваща всички договорни и други финансови операции, отнасящи се до ОПТТИ. Счетоводната система съдържа адекватни записи за всички операции, обозначени с кодове при спазване на зададена аналитична структура съответно за: фонд, оперативна програма, приоритетна ос, договор/заповед за предоставяне на финансова помощ, в т.ч. бюджетна линия, източник на финансиране.</w:t>
      </w:r>
    </w:p>
    <w:p w14:paraId="7EE95B03" w14:textId="77777777" w:rsidR="000444CE" w:rsidRDefault="000444CE" w:rsidP="00046D61">
      <w:pPr>
        <w:spacing w:before="120"/>
        <w:rPr>
          <w:color w:val="000000"/>
          <w:szCs w:val="24"/>
        </w:rPr>
      </w:pPr>
    </w:p>
    <w:p w14:paraId="595585AA" w14:textId="77777777" w:rsidR="00BA3630" w:rsidRPr="00BA3630" w:rsidRDefault="00BA3630" w:rsidP="00BA3630">
      <w:pPr>
        <w:spacing w:before="120"/>
        <w:rPr>
          <w:color w:val="000000"/>
          <w:szCs w:val="24"/>
        </w:rPr>
      </w:pPr>
      <w:r w:rsidRPr="00BA3630">
        <w:rPr>
          <w:color w:val="000000"/>
          <w:szCs w:val="24"/>
        </w:rPr>
        <w:t>Дирекция „Информационни системи“ в МФ осигурява поддръжката на SAP системата в сигурна информационна среда, като прилага утвърдени политики, правила и процедури, съобразени с изискванията на Закона за електронното управление и Наредбата за общите изисквания за мрежова и информационна сигурност, приета с ПМС № 279 от 2008 г. СО определя на УО  самостоятелен фирмен код в SAP, чрез който се осигурява оперативна самостоятелност и независимост на счетоводната отчетност. УО е собственик на информацията, която оторизирани от него служители /счетоводители/ създават в SAP и като такъв отговаря за въвеждането, промяната, верността и поверителността на информацията съобразно изискванията на Закона за електронното управление и Наредбата за общите изисквания за мрежова и информационна сигурност. Потребителите в SAP се създават/променят/изтриват при подаване на попълнен образец (</w:t>
      </w:r>
      <w:hyperlink r:id="rId209" w:tooltip="Искане за създаване/промяна/изтриване на потребителски профил в ИСФУ " w:history="1">
        <w:r w:rsidR="00342742" w:rsidRPr="00251D03">
          <w:rPr>
            <w:i/>
            <w:iCs/>
            <w:color w:val="0000FF"/>
            <w:szCs w:val="24"/>
            <w:u w:val="single"/>
            <w:lang w:eastAsia="bg-BG"/>
          </w:rPr>
          <w:t>Приложение № 5.09</w:t>
        </w:r>
      </w:hyperlink>
      <w:r w:rsidRPr="00BA3630">
        <w:rPr>
          <w:color w:val="000000"/>
          <w:szCs w:val="24"/>
        </w:rPr>
        <w:t xml:space="preserve">) за създаване/промяна/изтриване, изпратен от ръководителя на УО до дирекция „Информационни системи“, с копие до дирекция „Национален фонд” в МФ. </w:t>
      </w:r>
    </w:p>
    <w:p w14:paraId="40F5A319" w14:textId="77777777" w:rsidR="00BA3630" w:rsidRPr="00BA3630" w:rsidRDefault="00BA3630" w:rsidP="00BA3630">
      <w:pPr>
        <w:spacing w:before="120"/>
        <w:rPr>
          <w:color w:val="000000"/>
          <w:szCs w:val="24"/>
        </w:rPr>
      </w:pPr>
      <w:r w:rsidRPr="00BA3630">
        <w:rPr>
          <w:color w:val="000000"/>
          <w:szCs w:val="24"/>
        </w:rPr>
        <w:t>Дирекция „Национален фонд“ потвърждава искането на дирекция „Информационни системи“, която го насочва към SAP екипа за изпълнение. Достъп до системата се дефинира само на служителите с функции по осчетоводяване, като останалите потребители се дефинират с профили с права за четене. След изпълнение на искането за създаване на потребителски профил, съответния служител се уведомява по електронната поща за потребителското си име и временна парола с указания, които го задължават да достъпи системата и да смени временната парола с нова. При непопълнена електронна поща в искането – отговор не се връща. Служителите, работещи в SAP са длъжни да опазват своето потребителско име и лична парола и да не ги предоставят на други лица. Парола, станала известна на неоторизирано лице, се сменя незабавно. Отговорност за смяната на паролата носи съответният потребител. При напускане или трайно отсъствие (болест, майчинство, дългосрочна командировка и др.) на служител, притежаващ потребителски профил за достъп до SAP, ръководителят на УО  в срок от 5 работни дни след настъпването на обстоятелствата изпраща писмено искане до дирекция „Информационни системи“, с копие до дирекция „Национален фонд” в МФ, за изтриване на потребителския профил (</w:t>
      </w:r>
      <w:hyperlink r:id="rId210" w:tooltip="Искане за създаване/промяна/изтриване на потребителски профил в ИСФУ " w:history="1">
        <w:r w:rsidR="001718B3" w:rsidRPr="00251D03">
          <w:rPr>
            <w:i/>
            <w:iCs/>
            <w:color w:val="0000FF"/>
            <w:szCs w:val="24"/>
            <w:u w:val="single"/>
            <w:lang w:eastAsia="bg-BG"/>
          </w:rPr>
          <w:t>Приложение № 5.09</w:t>
        </w:r>
      </w:hyperlink>
      <w:r w:rsidRPr="00BA3630">
        <w:rPr>
          <w:color w:val="000000"/>
          <w:szCs w:val="24"/>
        </w:rPr>
        <w:t xml:space="preserve">). При неактивност на потребител със създаден потребителски профил в SAP с продължителност  6 месеца, неговият профил се изтрива от SAP екипа. </w:t>
      </w:r>
    </w:p>
    <w:p w14:paraId="2A7ED5D8" w14:textId="77777777" w:rsidR="00BA3630" w:rsidRPr="00BA3630" w:rsidRDefault="00BA3630" w:rsidP="00BA3630">
      <w:pPr>
        <w:spacing w:before="120"/>
        <w:rPr>
          <w:color w:val="000000"/>
          <w:szCs w:val="24"/>
        </w:rPr>
      </w:pPr>
      <w:r w:rsidRPr="00BA3630">
        <w:rPr>
          <w:color w:val="000000"/>
          <w:szCs w:val="24"/>
        </w:rPr>
        <w:t xml:space="preserve">Счетоводните периоди (календарните месеци) се затварят от екипа по поддръжката на SAP на 7-ия работен ден от месеца, следващ изтеклия календарен месец, с изключение на месец декември, който се затваря при подаване на електронно подписано искане на дирекция „Национален фонд“ до екипа по поддръжката. За отваряне на приключен счетоводен период, счетоводителят/главният счетоводител подава електронно подписано искане в дирекция „Национален фонд“ в МФ. След одобрение, искането се насочва от дирекция „Национален </w:t>
      </w:r>
      <w:r w:rsidRPr="00BA3630">
        <w:rPr>
          <w:color w:val="000000"/>
          <w:szCs w:val="24"/>
        </w:rPr>
        <w:lastRenderedPageBreak/>
        <w:t>фонд“ към екипа по поддръжката на SAP за отваряне на съответния период. При отказ подателят се информира своевременно.</w:t>
      </w:r>
    </w:p>
    <w:p w14:paraId="5EDE7830" w14:textId="77777777" w:rsidR="00BA3630" w:rsidRPr="00BA3630" w:rsidRDefault="00BA3630" w:rsidP="00BA3630">
      <w:pPr>
        <w:spacing w:before="120"/>
        <w:rPr>
          <w:color w:val="000000"/>
          <w:szCs w:val="24"/>
        </w:rPr>
      </w:pPr>
      <w:r w:rsidRPr="00BA3630">
        <w:rPr>
          <w:color w:val="000000"/>
          <w:szCs w:val="24"/>
        </w:rPr>
        <w:t>При постъпило искане за отваряне на вече приключен счетоводен период, екипът по поддръжка на SAP извършва необходимите действия до края на работния ден, следващ деня на постъпване на искането.</w:t>
      </w:r>
    </w:p>
    <w:p w14:paraId="17B5B689" w14:textId="77777777" w:rsidR="00BA3630" w:rsidRPr="00BA3630" w:rsidRDefault="00BA3630" w:rsidP="00BA3630">
      <w:pPr>
        <w:spacing w:before="120"/>
        <w:rPr>
          <w:color w:val="000000"/>
          <w:szCs w:val="24"/>
        </w:rPr>
      </w:pPr>
    </w:p>
    <w:p w14:paraId="31286B3B" w14:textId="77777777" w:rsidR="00BA3630" w:rsidRPr="001B0EA3" w:rsidRDefault="00BA3630" w:rsidP="00BA3630">
      <w:pPr>
        <w:spacing w:before="120"/>
        <w:rPr>
          <w:color w:val="000000"/>
          <w:szCs w:val="24"/>
        </w:rPr>
      </w:pPr>
      <w:r w:rsidRPr="00BA3630">
        <w:rPr>
          <w:color w:val="000000"/>
          <w:szCs w:val="24"/>
        </w:rPr>
        <w:t>Отворен счетоводен период се заключва от екипа по поддръжка на 7-ия работен ден на месеца или при подаване на електронно подписано искане на дирекция „Национален фонд“. При необходимост от удължаване на счетоводен период, УО подава до дирекция „Национален фонд“ електронно подписано искане до един ден преди 7-ия работен ден на месеца. Удължаването се извършва от екипа по поддръжка  след насочено одобрение от дирекция „Национален фонд“ и важи за седем работни дни от месеца. Служебните периоди в счетоводната система се отварят за  четиринайсетдневен период при подаване на електронно подписано искане на дирекция „Национален фонд“ до екипа по поддръжката. След отваряне на служебните периоди, потребителите се уведомяват своевременно с електронно подписано съобщение за предприемане на действия по приключване на счетоводните сметки.</w:t>
      </w:r>
    </w:p>
    <w:p w14:paraId="76A67884" w14:textId="77777777" w:rsidR="000444CE" w:rsidRPr="001B0EA3" w:rsidRDefault="000444CE" w:rsidP="00046D61">
      <w:pPr>
        <w:spacing w:before="120"/>
        <w:rPr>
          <w:color w:val="000000"/>
          <w:szCs w:val="24"/>
        </w:rPr>
      </w:pPr>
      <w:r w:rsidRPr="001B0EA3">
        <w:rPr>
          <w:color w:val="000000"/>
          <w:szCs w:val="24"/>
        </w:rPr>
        <w:t>След като транзакцията/операцията веднъж е записана, системата не позволява бъдещо физическо изтриване на данни. Промени могат да бъдат извършвани само в текстовите полета или чрез корекционна процедура, при която да е видна същността на извършваната корекция и причините, които я налагат.</w:t>
      </w:r>
    </w:p>
    <w:p w14:paraId="6B6A6818" w14:textId="77777777" w:rsidR="000444CE" w:rsidRPr="001B0EA3" w:rsidRDefault="000444CE" w:rsidP="00046D61">
      <w:pPr>
        <w:spacing w:before="120"/>
        <w:rPr>
          <w:color w:val="000000"/>
          <w:szCs w:val="24"/>
        </w:rPr>
      </w:pPr>
      <w:r w:rsidRPr="001B0EA3">
        <w:rPr>
          <w:color w:val="000000"/>
          <w:szCs w:val="24"/>
        </w:rPr>
        <w:t>Процедурите за защита на данни и архивирането на счетоводния софтуер включват всекидневно архивиране на счетоводната база данни.</w:t>
      </w:r>
    </w:p>
    <w:p w14:paraId="6C286291" w14:textId="77777777" w:rsidR="000444CE" w:rsidRPr="001B0EA3" w:rsidRDefault="000444CE" w:rsidP="00046D61">
      <w:pPr>
        <w:spacing w:before="120"/>
        <w:rPr>
          <w:b/>
          <w:color w:val="000000"/>
          <w:szCs w:val="24"/>
        </w:rPr>
      </w:pPr>
      <w:r w:rsidRPr="001B0EA3">
        <w:rPr>
          <w:b/>
          <w:color w:val="000000"/>
          <w:szCs w:val="24"/>
        </w:rPr>
        <w:t>Сметкоплан</w:t>
      </w:r>
    </w:p>
    <w:p w14:paraId="645A4CA2" w14:textId="77777777" w:rsidR="000444CE" w:rsidRPr="001B0EA3" w:rsidRDefault="000444CE" w:rsidP="00046D61">
      <w:pPr>
        <w:autoSpaceDE w:val="0"/>
        <w:autoSpaceDN w:val="0"/>
        <w:adjustRightInd w:val="0"/>
        <w:spacing w:before="120"/>
        <w:rPr>
          <w:color w:val="000000"/>
          <w:szCs w:val="24"/>
        </w:rPr>
      </w:pPr>
      <w:r w:rsidRPr="001B0EA3">
        <w:rPr>
          <w:color w:val="000000"/>
          <w:szCs w:val="24"/>
        </w:rPr>
        <w:t xml:space="preserve">За осчетоводяване на транзакциите, касаещи средствата от ЕСИФ и националното съфинансиране, УО използва индивидуален сметкоплан </w:t>
      </w:r>
      <w:r w:rsidRPr="001B0EA3">
        <w:rPr>
          <w:b/>
          <w:i/>
          <w:color w:val="000000"/>
          <w:szCs w:val="24"/>
        </w:rPr>
        <w:t>(</w:t>
      </w:r>
      <w:hyperlink r:id="rId211" w:tooltip="Сметкоплан по ОПТТИ" w:history="1">
        <w:r w:rsidR="001718B3" w:rsidRPr="00251D03">
          <w:rPr>
            <w:i/>
            <w:iCs/>
            <w:color w:val="0000FF"/>
            <w:szCs w:val="24"/>
            <w:u w:val="single"/>
            <w:lang w:eastAsia="bg-BG"/>
          </w:rPr>
          <w:t>Приложение № 5.10</w:t>
        </w:r>
      </w:hyperlink>
      <w:r w:rsidRPr="001B0EA3">
        <w:rPr>
          <w:b/>
          <w:i/>
          <w:color w:val="000000"/>
          <w:szCs w:val="24"/>
        </w:rPr>
        <w:t xml:space="preserve">), </w:t>
      </w:r>
      <w:r w:rsidRPr="001B0EA3">
        <w:rPr>
          <w:color w:val="000000"/>
          <w:szCs w:val="24"/>
        </w:rPr>
        <w:t xml:space="preserve">базиран на разработен от дирекция „Национален фонд“ </w:t>
      </w:r>
      <w:r w:rsidR="00ED66CF" w:rsidRPr="001B0EA3">
        <w:rPr>
          <w:color w:val="000000"/>
          <w:szCs w:val="24"/>
        </w:rPr>
        <w:t>единен</w:t>
      </w:r>
      <w:r w:rsidRPr="001B0EA3">
        <w:rPr>
          <w:color w:val="000000"/>
          <w:szCs w:val="24"/>
        </w:rPr>
        <w:t xml:space="preserve"> сметкоплан, който е </w:t>
      </w:r>
      <w:r w:rsidR="00ED66CF" w:rsidRPr="001B0EA3">
        <w:rPr>
          <w:color w:val="000000"/>
          <w:szCs w:val="24"/>
        </w:rPr>
        <w:t>задължителен</w:t>
      </w:r>
      <w:r w:rsidRPr="001B0EA3">
        <w:rPr>
          <w:color w:val="000000"/>
          <w:szCs w:val="24"/>
        </w:rPr>
        <w:t xml:space="preserve"> за прилагане от управляващите органи и е в съответствие с утвърдения по чл.164 от Закона за публичните финанси сметкоплан на бюджетните организации.</w:t>
      </w:r>
    </w:p>
    <w:p w14:paraId="773ADBB5" w14:textId="77777777" w:rsidR="000444CE" w:rsidRPr="001B0EA3" w:rsidRDefault="000444CE" w:rsidP="00046D61">
      <w:pPr>
        <w:autoSpaceDE w:val="0"/>
        <w:autoSpaceDN w:val="0"/>
        <w:adjustRightInd w:val="0"/>
        <w:spacing w:before="120"/>
        <w:rPr>
          <w:color w:val="000000"/>
          <w:szCs w:val="24"/>
        </w:rPr>
      </w:pPr>
      <w:r w:rsidRPr="001B0EA3">
        <w:rPr>
          <w:color w:val="000000"/>
          <w:szCs w:val="24"/>
        </w:rPr>
        <w:t>Сметките са разделени на основни групи. Първата цифра от шифъра указва основната група:</w:t>
      </w:r>
    </w:p>
    <w:p w14:paraId="280BAE6F" w14:textId="77777777" w:rsidR="000444CE" w:rsidRPr="001B0EA3" w:rsidRDefault="000444CE" w:rsidP="00046D61">
      <w:pPr>
        <w:spacing w:before="120"/>
        <w:rPr>
          <w:color w:val="000000"/>
          <w:szCs w:val="24"/>
        </w:rPr>
      </w:pPr>
      <w:r w:rsidRPr="001B0EA3">
        <w:rPr>
          <w:color w:val="000000"/>
          <w:szCs w:val="24"/>
        </w:rPr>
        <w:t>1-сметки за финансови резултати и собствен капитал</w:t>
      </w:r>
    </w:p>
    <w:p w14:paraId="632F9F94" w14:textId="77777777" w:rsidR="000444CE" w:rsidRPr="001B0EA3" w:rsidRDefault="000444CE" w:rsidP="00046D61">
      <w:pPr>
        <w:spacing w:before="120"/>
        <w:rPr>
          <w:color w:val="000000"/>
          <w:szCs w:val="24"/>
        </w:rPr>
      </w:pPr>
      <w:r w:rsidRPr="001B0EA3">
        <w:rPr>
          <w:color w:val="000000"/>
          <w:szCs w:val="24"/>
        </w:rPr>
        <w:t>4-сметки за разчети -вземания и задължения</w:t>
      </w:r>
    </w:p>
    <w:p w14:paraId="3509E701" w14:textId="77777777" w:rsidR="000444CE" w:rsidRPr="001B0EA3" w:rsidRDefault="000444CE" w:rsidP="00046D61">
      <w:pPr>
        <w:spacing w:before="120"/>
        <w:rPr>
          <w:color w:val="000000"/>
          <w:szCs w:val="24"/>
        </w:rPr>
      </w:pPr>
      <w:r w:rsidRPr="001B0EA3">
        <w:rPr>
          <w:color w:val="000000"/>
          <w:szCs w:val="24"/>
        </w:rPr>
        <w:t>5-сметки за финансови активи</w:t>
      </w:r>
    </w:p>
    <w:p w14:paraId="57EFDCF7" w14:textId="77777777" w:rsidR="000444CE" w:rsidRPr="001B0EA3" w:rsidRDefault="000444CE" w:rsidP="00046D61">
      <w:pPr>
        <w:spacing w:before="120"/>
        <w:rPr>
          <w:color w:val="000000"/>
          <w:szCs w:val="24"/>
        </w:rPr>
      </w:pPr>
      <w:r w:rsidRPr="001B0EA3">
        <w:rPr>
          <w:color w:val="000000"/>
          <w:szCs w:val="24"/>
        </w:rPr>
        <w:t>6-сметки за разходи</w:t>
      </w:r>
    </w:p>
    <w:p w14:paraId="27FCD423" w14:textId="77777777" w:rsidR="000444CE" w:rsidRPr="001B0EA3" w:rsidRDefault="000444CE" w:rsidP="00046D61">
      <w:pPr>
        <w:spacing w:before="120"/>
        <w:rPr>
          <w:color w:val="000000"/>
          <w:szCs w:val="24"/>
        </w:rPr>
      </w:pPr>
      <w:r w:rsidRPr="001B0EA3">
        <w:rPr>
          <w:color w:val="000000"/>
          <w:szCs w:val="24"/>
        </w:rPr>
        <w:t>7-сметки за приходи и трансфери</w:t>
      </w:r>
    </w:p>
    <w:p w14:paraId="2963057A" w14:textId="77777777" w:rsidR="000444CE" w:rsidRPr="001B0EA3" w:rsidRDefault="000444CE" w:rsidP="00046D61">
      <w:pPr>
        <w:spacing w:before="120"/>
        <w:rPr>
          <w:color w:val="000000"/>
          <w:szCs w:val="24"/>
        </w:rPr>
      </w:pPr>
      <w:r w:rsidRPr="001B0EA3">
        <w:rPr>
          <w:color w:val="000000"/>
          <w:szCs w:val="24"/>
        </w:rPr>
        <w:t>9-задбалансови сметки</w:t>
      </w:r>
    </w:p>
    <w:p w14:paraId="56D5ED17" w14:textId="77777777" w:rsidR="000444CE" w:rsidRPr="001B0EA3" w:rsidRDefault="000444CE" w:rsidP="00046D61">
      <w:pPr>
        <w:autoSpaceDE w:val="0"/>
        <w:autoSpaceDN w:val="0"/>
        <w:adjustRightInd w:val="0"/>
        <w:spacing w:before="120"/>
        <w:rPr>
          <w:color w:val="000000"/>
          <w:szCs w:val="24"/>
        </w:rPr>
      </w:pPr>
      <w:r w:rsidRPr="001B0EA3">
        <w:rPr>
          <w:color w:val="000000"/>
          <w:szCs w:val="24"/>
        </w:rPr>
        <w:t>За осчетоводяване на транзакциите по ОПТТИ на ниво приоритетни оси,  СО  разработва аналитични сметки, в които за всеки вид номер на сметка са използвани десет цифри.</w:t>
      </w:r>
    </w:p>
    <w:p w14:paraId="67F5680A" w14:textId="77777777" w:rsidR="000444CE" w:rsidRPr="001B0EA3" w:rsidRDefault="00BA3630" w:rsidP="00046D61">
      <w:pPr>
        <w:autoSpaceDE w:val="0"/>
        <w:autoSpaceDN w:val="0"/>
        <w:adjustRightInd w:val="0"/>
        <w:spacing w:before="120"/>
        <w:rPr>
          <w:color w:val="000000"/>
          <w:szCs w:val="24"/>
        </w:rPr>
      </w:pPr>
      <w:r w:rsidRPr="00BA3630">
        <w:rPr>
          <w:color w:val="000000"/>
          <w:szCs w:val="24"/>
        </w:rPr>
        <w:t>При необходимост от промени и/или допълнения в утвърдения от СО индивидуален сметкоплан, УО инициира и заявява по електронен път предложение за  допълване на сметки на адрес  natfund@minfin.bg.</w:t>
      </w:r>
    </w:p>
    <w:p w14:paraId="4CA53BEC" w14:textId="77777777" w:rsidR="000444CE" w:rsidRPr="001B0EA3" w:rsidRDefault="000444CE" w:rsidP="00046D61">
      <w:pPr>
        <w:spacing w:before="120"/>
        <w:rPr>
          <w:b/>
          <w:color w:val="000000"/>
          <w:szCs w:val="24"/>
        </w:rPr>
      </w:pPr>
      <w:r w:rsidRPr="001B0EA3">
        <w:rPr>
          <w:b/>
          <w:color w:val="000000"/>
          <w:szCs w:val="24"/>
        </w:rPr>
        <w:t>Счетоводни документи</w:t>
      </w:r>
    </w:p>
    <w:p w14:paraId="79F8A2F9" w14:textId="77777777" w:rsidR="000444CE" w:rsidRPr="001B0EA3" w:rsidRDefault="000444CE" w:rsidP="00046D61">
      <w:pPr>
        <w:autoSpaceDE w:val="0"/>
        <w:autoSpaceDN w:val="0"/>
        <w:adjustRightInd w:val="0"/>
        <w:spacing w:before="120"/>
        <w:rPr>
          <w:color w:val="000000"/>
          <w:szCs w:val="24"/>
        </w:rPr>
      </w:pPr>
      <w:r w:rsidRPr="001B0EA3">
        <w:rPr>
          <w:color w:val="000000"/>
          <w:szCs w:val="24"/>
        </w:rPr>
        <w:lastRenderedPageBreak/>
        <w:t>Счетоводните документи се дефинират като хартиени или магнитни носители на счетоводна информация за регистриране на стопанските операции. Счетоводните документи, съобразно съдържащата се в тях информация, се класифицират като първични, вторични и регистри.</w:t>
      </w:r>
    </w:p>
    <w:p w14:paraId="52912D48" w14:textId="77777777" w:rsidR="000444CE" w:rsidRPr="001B0EA3" w:rsidRDefault="000444CE" w:rsidP="00046D61">
      <w:pPr>
        <w:autoSpaceDE w:val="0"/>
        <w:autoSpaceDN w:val="0"/>
        <w:adjustRightInd w:val="0"/>
        <w:spacing w:before="120"/>
        <w:rPr>
          <w:color w:val="000000"/>
          <w:szCs w:val="24"/>
        </w:rPr>
      </w:pPr>
      <w:r w:rsidRPr="001B0EA3">
        <w:rPr>
          <w:color w:val="000000"/>
          <w:szCs w:val="24"/>
        </w:rPr>
        <w:t>Всички записи в SAP трябва да бъдат придружени и основани на правилно съставени счетоводни документи, които удостоверяват съответните видове транзакции. Първичните документи трябва да съдържат съответните реквизити и да бъдат съставени съгласно изискванията на Закона за счетоводство, за да се приемат за коректни.</w:t>
      </w:r>
    </w:p>
    <w:p w14:paraId="268302B1" w14:textId="77777777" w:rsidR="000444CE" w:rsidRPr="001B0EA3" w:rsidRDefault="000444CE" w:rsidP="00046D61">
      <w:pPr>
        <w:autoSpaceDE w:val="0"/>
        <w:autoSpaceDN w:val="0"/>
        <w:adjustRightInd w:val="0"/>
        <w:spacing w:before="120"/>
        <w:rPr>
          <w:color w:val="000000"/>
          <w:szCs w:val="24"/>
        </w:rPr>
      </w:pPr>
      <w:r w:rsidRPr="001B0EA3">
        <w:rPr>
          <w:color w:val="000000"/>
          <w:szCs w:val="24"/>
        </w:rPr>
        <w:t xml:space="preserve">Транзакциите се регистрират ежедневно в счетоводната система и се основават на първични документи. Счетоводителят записва транзакциите в съответната база данни като посочва регистрационен номер (референция) и дата на записване на документа. Датата на транзакция е датата на </w:t>
      </w:r>
      <w:r w:rsidR="00BA3630" w:rsidRPr="00BA3630">
        <w:rPr>
          <w:color w:val="000000"/>
          <w:szCs w:val="24"/>
        </w:rPr>
        <w:t>счетоводното събитие</w:t>
      </w:r>
      <w:r w:rsidRPr="001B0EA3">
        <w:rPr>
          <w:color w:val="000000"/>
          <w:szCs w:val="24"/>
        </w:rPr>
        <w:t>, ко</w:t>
      </w:r>
      <w:r w:rsidR="00BA3630">
        <w:rPr>
          <w:color w:val="000000"/>
          <w:szCs w:val="24"/>
        </w:rPr>
        <w:t>я</w:t>
      </w:r>
      <w:r w:rsidRPr="001B0EA3">
        <w:rPr>
          <w:color w:val="000000"/>
          <w:szCs w:val="24"/>
        </w:rPr>
        <w:t xml:space="preserve">то </w:t>
      </w:r>
      <w:r w:rsidR="00BA3630">
        <w:rPr>
          <w:color w:val="000000"/>
          <w:szCs w:val="24"/>
        </w:rPr>
        <w:t>е</w:t>
      </w:r>
      <w:r w:rsidRPr="001B0EA3">
        <w:rPr>
          <w:color w:val="000000"/>
          <w:szCs w:val="24"/>
        </w:rPr>
        <w:t xml:space="preserve"> видн</w:t>
      </w:r>
      <w:r w:rsidR="00BA3630">
        <w:rPr>
          <w:color w:val="000000"/>
          <w:szCs w:val="24"/>
        </w:rPr>
        <w:t>а</w:t>
      </w:r>
      <w:r w:rsidRPr="001B0EA3">
        <w:rPr>
          <w:color w:val="000000"/>
          <w:szCs w:val="24"/>
        </w:rPr>
        <w:t xml:space="preserve"> от първични</w:t>
      </w:r>
      <w:r w:rsidR="00BA3630">
        <w:rPr>
          <w:color w:val="000000"/>
          <w:szCs w:val="24"/>
        </w:rPr>
        <w:t>те</w:t>
      </w:r>
      <w:r w:rsidRPr="001B0EA3">
        <w:rPr>
          <w:color w:val="000000"/>
          <w:szCs w:val="24"/>
        </w:rPr>
        <w:t xml:space="preserve"> счетоводни документи. </w:t>
      </w:r>
    </w:p>
    <w:p w14:paraId="0B0B0A7C" w14:textId="77777777" w:rsidR="000444CE" w:rsidRPr="001B0EA3" w:rsidRDefault="000444CE" w:rsidP="00046D61">
      <w:pPr>
        <w:autoSpaceDE w:val="0"/>
        <w:autoSpaceDN w:val="0"/>
        <w:adjustRightInd w:val="0"/>
        <w:spacing w:before="120"/>
        <w:rPr>
          <w:color w:val="000000"/>
          <w:szCs w:val="24"/>
        </w:rPr>
      </w:pPr>
      <w:r w:rsidRPr="001B0EA3">
        <w:rPr>
          <w:color w:val="000000"/>
          <w:szCs w:val="24"/>
        </w:rPr>
        <w:t xml:space="preserve">Счетоводителят, съставил и подписал документите е отговорен за истинността на данните в тях, както и за правилното им съставяне. </w:t>
      </w:r>
    </w:p>
    <w:p w14:paraId="419DE3C8" w14:textId="77777777" w:rsidR="000444CE" w:rsidRPr="001B0EA3" w:rsidRDefault="000444CE" w:rsidP="00046D61">
      <w:pPr>
        <w:autoSpaceDE w:val="0"/>
        <w:autoSpaceDN w:val="0"/>
        <w:adjustRightInd w:val="0"/>
        <w:spacing w:before="120"/>
        <w:rPr>
          <w:color w:val="000000"/>
          <w:szCs w:val="24"/>
        </w:rPr>
      </w:pPr>
      <w:r w:rsidRPr="001B0EA3">
        <w:rPr>
          <w:color w:val="000000"/>
          <w:szCs w:val="24"/>
        </w:rPr>
        <w:t>След приключване на обработката счетоводителят файлира и съхранява първичните счетоводни документи.</w:t>
      </w:r>
    </w:p>
    <w:p w14:paraId="613833FD" w14:textId="77777777" w:rsidR="000444CE" w:rsidRPr="001B0EA3" w:rsidRDefault="000444CE" w:rsidP="00046D61">
      <w:pPr>
        <w:spacing w:before="120"/>
        <w:rPr>
          <w:b/>
          <w:color w:val="000000"/>
          <w:szCs w:val="24"/>
        </w:rPr>
      </w:pPr>
      <w:r w:rsidRPr="001B0EA3">
        <w:rPr>
          <w:b/>
          <w:color w:val="000000"/>
          <w:szCs w:val="24"/>
        </w:rPr>
        <w:t>Първични счетоводни документи</w:t>
      </w:r>
    </w:p>
    <w:p w14:paraId="442F63ED" w14:textId="77777777" w:rsidR="000444CE" w:rsidRPr="001B0EA3" w:rsidRDefault="000444CE" w:rsidP="00046D61">
      <w:pPr>
        <w:autoSpaceDE w:val="0"/>
        <w:autoSpaceDN w:val="0"/>
        <w:adjustRightInd w:val="0"/>
        <w:spacing w:before="120"/>
        <w:rPr>
          <w:bCs/>
          <w:color w:val="000000"/>
          <w:szCs w:val="24"/>
        </w:rPr>
      </w:pPr>
      <w:r w:rsidRPr="001B0EA3">
        <w:rPr>
          <w:bCs/>
          <w:color w:val="000000"/>
          <w:szCs w:val="24"/>
        </w:rPr>
        <w:t xml:space="preserve">Първичният счетоводен документ е носител на информация за регистрирана за първи </w:t>
      </w:r>
      <w:r w:rsidRPr="001B0EA3">
        <w:rPr>
          <w:color w:val="000000"/>
          <w:szCs w:val="24"/>
        </w:rPr>
        <w:t>път</w:t>
      </w:r>
      <w:r w:rsidRPr="001B0EA3">
        <w:rPr>
          <w:bCs/>
          <w:color w:val="000000"/>
          <w:szCs w:val="24"/>
        </w:rPr>
        <w:t xml:space="preserve"> стопанска операция, и съгласно Закона за счетоводство съдържа следната информация:</w:t>
      </w:r>
    </w:p>
    <w:p w14:paraId="69194DF7"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Наименование и номер</w:t>
      </w:r>
    </w:p>
    <w:p w14:paraId="0AD0F8E4"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Дата на издаване</w:t>
      </w:r>
    </w:p>
    <w:p w14:paraId="0DE8F57C"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Наименование, адрес и единен идентификационен код (код по БУЛСТАТ) на издателя на документа</w:t>
      </w:r>
    </w:p>
    <w:p w14:paraId="3D1E416E"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Предмет и стойностно изражение</w:t>
      </w:r>
    </w:p>
    <w:p w14:paraId="4CC0F951"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Съдържание и основание на транзакцията (наименование и номер на документ)</w:t>
      </w:r>
    </w:p>
    <w:p w14:paraId="222988E5"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Име, подпис и печат на съставителя.</w:t>
      </w:r>
    </w:p>
    <w:p w14:paraId="2E758552"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 xml:space="preserve">В счетоводството се използват следните първични счетоводни документи: </w:t>
      </w:r>
    </w:p>
    <w:p w14:paraId="6D88633E"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Административен договор/заповед за предоставяне на безвъзмездна финансова помощ;</w:t>
      </w:r>
    </w:p>
    <w:p w14:paraId="2454342A"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Искания за плащане от бенефициентите до УО;</w:t>
      </w:r>
    </w:p>
    <w:p w14:paraId="4D6205CD"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Уведомления от СО до УО за размера на сертифицираните и несертифицираните  разходи и одобрени лимити на УО;</w:t>
      </w:r>
    </w:p>
    <w:p w14:paraId="44855B72"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Платежни нареждания ;</w:t>
      </w:r>
    </w:p>
    <w:p w14:paraId="4B11F350"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Банкови извлечения;</w:t>
      </w:r>
    </w:p>
    <w:p w14:paraId="0AB0282C"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Вътрешни счетоводни документи;</w:t>
      </w:r>
    </w:p>
    <w:p w14:paraId="2301C6E0"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Други документи (справки, отчети и др.).</w:t>
      </w:r>
    </w:p>
    <w:p w14:paraId="16373D45" w14:textId="77777777" w:rsidR="000444CE" w:rsidRPr="001B0EA3" w:rsidRDefault="000444CE" w:rsidP="00046D61">
      <w:pPr>
        <w:spacing w:before="120"/>
        <w:rPr>
          <w:b/>
          <w:color w:val="000000"/>
          <w:szCs w:val="24"/>
        </w:rPr>
      </w:pPr>
      <w:r w:rsidRPr="001B0EA3">
        <w:rPr>
          <w:b/>
          <w:color w:val="000000"/>
          <w:szCs w:val="24"/>
        </w:rPr>
        <w:t>Вторични счетоводни документи</w:t>
      </w:r>
    </w:p>
    <w:p w14:paraId="603634E4" w14:textId="77777777" w:rsidR="000444CE" w:rsidRPr="001B0EA3" w:rsidRDefault="000444CE" w:rsidP="00046D61">
      <w:pPr>
        <w:spacing w:before="120"/>
        <w:rPr>
          <w:color w:val="000000"/>
          <w:szCs w:val="24"/>
        </w:rPr>
      </w:pPr>
      <w:r w:rsidRPr="001B0EA3">
        <w:rPr>
          <w:iCs/>
          <w:color w:val="000000"/>
          <w:szCs w:val="24"/>
        </w:rPr>
        <w:t>Вторичният счетоводен документ е носител на преобразувана (обобщена или диференцирана) информация, получена от първичните счетоводни документи.</w:t>
      </w:r>
      <w:r w:rsidR="00ED66CF" w:rsidRPr="001B0EA3">
        <w:rPr>
          <w:iCs/>
          <w:color w:val="000000"/>
          <w:szCs w:val="24"/>
        </w:rPr>
        <w:t xml:space="preserve"> </w:t>
      </w:r>
      <w:r w:rsidRPr="001B0EA3">
        <w:rPr>
          <w:color w:val="000000"/>
          <w:szCs w:val="24"/>
        </w:rPr>
        <w:t xml:space="preserve">Вторичният документ включва хронологичен регистрационен номер на отделния документ, дата на транзакция, дебитирани и кредитирани сметки и суми. </w:t>
      </w:r>
    </w:p>
    <w:p w14:paraId="1A97EAD8" w14:textId="77777777" w:rsidR="000444CE" w:rsidRPr="001B0EA3" w:rsidRDefault="000444CE" w:rsidP="00046D61">
      <w:pPr>
        <w:spacing w:before="120"/>
        <w:rPr>
          <w:b/>
          <w:color w:val="000000"/>
          <w:szCs w:val="24"/>
        </w:rPr>
      </w:pPr>
      <w:r w:rsidRPr="001B0EA3">
        <w:rPr>
          <w:b/>
          <w:color w:val="000000"/>
          <w:szCs w:val="24"/>
        </w:rPr>
        <w:t>Регистри</w:t>
      </w:r>
    </w:p>
    <w:p w14:paraId="5119160B" w14:textId="77777777" w:rsidR="000444CE" w:rsidRPr="001B0EA3" w:rsidRDefault="000444CE" w:rsidP="00046D61">
      <w:pPr>
        <w:spacing w:before="120"/>
        <w:rPr>
          <w:color w:val="000000"/>
          <w:szCs w:val="24"/>
        </w:rPr>
      </w:pPr>
      <w:r w:rsidRPr="001B0EA3">
        <w:rPr>
          <w:color w:val="000000"/>
          <w:szCs w:val="24"/>
        </w:rPr>
        <w:t>Регистърът е носител на хронологично систематизирана информация за стопански операции от първични и/или вторични счетоводни документи.</w:t>
      </w:r>
    </w:p>
    <w:p w14:paraId="4A6F78F7" w14:textId="77777777" w:rsidR="000444CE" w:rsidRPr="001B0EA3" w:rsidRDefault="000444CE" w:rsidP="00046D61">
      <w:pPr>
        <w:spacing w:before="120"/>
        <w:rPr>
          <w:b/>
          <w:color w:val="000000"/>
          <w:szCs w:val="24"/>
        </w:rPr>
      </w:pPr>
      <w:r w:rsidRPr="001B0EA3">
        <w:rPr>
          <w:b/>
          <w:color w:val="000000"/>
          <w:szCs w:val="24"/>
        </w:rPr>
        <w:t>Контролни документи</w:t>
      </w:r>
    </w:p>
    <w:p w14:paraId="318074D2" w14:textId="77777777" w:rsidR="000444CE" w:rsidRPr="001B0EA3" w:rsidRDefault="000444CE" w:rsidP="00046D61">
      <w:pPr>
        <w:spacing w:before="120"/>
        <w:rPr>
          <w:color w:val="000000"/>
          <w:szCs w:val="24"/>
        </w:rPr>
      </w:pPr>
      <w:r w:rsidRPr="001B0EA3">
        <w:rPr>
          <w:color w:val="000000"/>
          <w:szCs w:val="24"/>
        </w:rPr>
        <w:lastRenderedPageBreak/>
        <w:t xml:space="preserve">Контролните документи се изготвят от счетоводителя и се одобряват от Главния счетоводител.  </w:t>
      </w:r>
    </w:p>
    <w:p w14:paraId="280E7502" w14:textId="77777777" w:rsidR="000444CE" w:rsidRPr="001B0EA3" w:rsidRDefault="000444CE" w:rsidP="00046D61">
      <w:pPr>
        <w:tabs>
          <w:tab w:val="num" w:pos="0"/>
        </w:tabs>
        <w:spacing w:before="120"/>
        <w:ind w:firstLine="709"/>
        <w:rPr>
          <w:color w:val="000000"/>
          <w:szCs w:val="24"/>
        </w:rPr>
      </w:pPr>
      <w:r w:rsidRPr="001B0EA3">
        <w:rPr>
          <w:color w:val="000000"/>
          <w:szCs w:val="24"/>
        </w:rPr>
        <w:t xml:space="preserve">От счетоводния софтуер се генерират следните контролни справки: </w:t>
      </w:r>
    </w:p>
    <w:p w14:paraId="4DAB8399"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 xml:space="preserve">Журнал движение по сметка </w:t>
      </w:r>
    </w:p>
    <w:p w14:paraId="47E4756D"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Оборотна ведомост</w:t>
      </w:r>
    </w:p>
    <w:p w14:paraId="22799F35"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Главна книга по сметки</w:t>
      </w:r>
    </w:p>
    <w:p w14:paraId="2EDD681B"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Финансови отчети.</w:t>
      </w:r>
    </w:p>
    <w:p w14:paraId="7EEFA1F5" w14:textId="77777777" w:rsidR="000444CE" w:rsidRPr="001B0EA3" w:rsidRDefault="000444CE" w:rsidP="00046D61">
      <w:pPr>
        <w:spacing w:before="120"/>
        <w:rPr>
          <w:b/>
          <w:color w:val="000000"/>
          <w:szCs w:val="24"/>
        </w:rPr>
      </w:pPr>
      <w:r w:rsidRPr="001B0EA3">
        <w:rPr>
          <w:b/>
          <w:color w:val="000000"/>
          <w:szCs w:val="24"/>
        </w:rPr>
        <w:t xml:space="preserve">Контролни форми </w:t>
      </w:r>
    </w:p>
    <w:p w14:paraId="4A251F27" w14:textId="77777777" w:rsidR="000444CE" w:rsidRPr="001B0EA3" w:rsidRDefault="000444CE" w:rsidP="00046D61">
      <w:pPr>
        <w:spacing w:before="120"/>
        <w:rPr>
          <w:bCs/>
          <w:color w:val="000000"/>
          <w:szCs w:val="24"/>
        </w:rPr>
      </w:pPr>
      <w:r w:rsidRPr="001B0EA3">
        <w:rPr>
          <w:bCs/>
          <w:color w:val="000000"/>
          <w:szCs w:val="24"/>
        </w:rPr>
        <w:t xml:space="preserve">Контролните форми са предварително утвърдени образци на документи за контрол и допълнително онагледяване на счетоводния процес. Контролните форми съдържат задължителни за попълване реквизити, осигуряващи детайлна и/или допълнителна информация за настъпили промени в </w:t>
      </w:r>
      <w:r w:rsidRPr="001B0EA3">
        <w:rPr>
          <w:iCs/>
          <w:color w:val="000000"/>
          <w:szCs w:val="24"/>
        </w:rPr>
        <w:t>счетоводни</w:t>
      </w:r>
      <w:r w:rsidRPr="001B0EA3">
        <w:rPr>
          <w:bCs/>
          <w:color w:val="000000"/>
          <w:szCs w:val="24"/>
        </w:rPr>
        <w:t xml:space="preserve"> записи, извършени равнения на обороти и салда по сметки, обобщаващи и/или допълнителни изчисления въз основа на информация от други счетоводни документи.  </w:t>
      </w:r>
    </w:p>
    <w:p w14:paraId="0D28EB6B" w14:textId="77777777" w:rsidR="000444CE" w:rsidRPr="001B0EA3" w:rsidRDefault="000444CE" w:rsidP="00046D61">
      <w:pPr>
        <w:spacing w:before="120"/>
        <w:rPr>
          <w:b/>
          <w:color w:val="000000"/>
          <w:szCs w:val="24"/>
        </w:rPr>
      </w:pPr>
      <w:r w:rsidRPr="001B0EA3">
        <w:rPr>
          <w:b/>
          <w:color w:val="000000"/>
          <w:szCs w:val="24"/>
        </w:rPr>
        <w:t>Документиране на стопанските операции</w:t>
      </w:r>
    </w:p>
    <w:p w14:paraId="75DC2FF3" w14:textId="77777777" w:rsidR="000444CE" w:rsidRPr="001B0EA3" w:rsidRDefault="000444CE" w:rsidP="00046D61">
      <w:pPr>
        <w:spacing w:before="120"/>
        <w:rPr>
          <w:color w:val="000000"/>
          <w:szCs w:val="24"/>
        </w:rPr>
      </w:pPr>
      <w:r w:rsidRPr="001B0EA3">
        <w:rPr>
          <w:color w:val="000000"/>
          <w:szCs w:val="24"/>
        </w:rPr>
        <w:t xml:space="preserve">Всяка стопанска операция се </w:t>
      </w:r>
      <w:r w:rsidRPr="001B0EA3">
        <w:rPr>
          <w:iCs/>
          <w:color w:val="000000"/>
          <w:szCs w:val="24"/>
        </w:rPr>
        <w:t>документира</w:t>
      </w:r>
      <w:r w:rsidRPr="001B0EA3">
        <w:rPr>
          <w:color w:val="000000"/>
          <w:szCs w:val="24"/>
        </w:rPr>
        <w:t xml:space="preserve"> в мемориален ордер на базата на първичен и/или документ с еквивалентна доказателствена стойност. Всеки мемориален ордер следва да съдържа следната информация: </w:t>
      </w:r>
    </w:p>
    <w:p w14:paraId="1B287371"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Дата на изпълнение на записването</w:t>
      </w:r>
    </w:p>
    <w:p w14:paraId="79E17AC2"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 xml:space="preserve">Референция към приложените документи </w:t>
      </w:r>
    </w:p>
    <w:p w14:paraId="5A2F53F8"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Код на сметката, която се дебитира (включително аналитично ниво) и сума в лева</w:t>
      </w:r>
    </w:p>
    <w:p w14:paraId="64B535B8"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Код на сметката, която се кредитира (включително аналитично ниво) и сума в лева</w:t>
      </w:r>
    </w:p>
    <w:p w14:paraId="16DAD1E0"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Подпис на счетоводителят, отговорен за записванията</w:t>
      </w:r>
    </w:p>
    <w:p w14:paraId="63B245C8"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Подпис на Главния счетоводител, отговорен за одобряването на операциите</w:t>
      </w:r>
    </w:p>
    <w:p w14:paraId="492BE777"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Последователен идентификационен номер (генериран от счетоводния софтуер).</w:t>
      </w:r>
    </w:p>
    <w:p w14:paraId="345BA9F5" w14:textId="77777777" w:rsidR="000444CE" w:rsidRPr="001B0EA3" w:rsidRDefault="000444CE" w:rsidP="00046D61">
      <w:pPr>
        <w:spacing w:before="120"/>
        <w:rPr>
          <w:b/>
          <w:color w:val="000000"/>
          <w:szCs w:val="24"/>
        </w:rPr>
      </w:pPr>
      <w:r w:rsidRPr="001B0EA3">
        <w:rPr>
          <w:b/>
          <w:color w:val="000000"/>
          <w:szCs w:val="24"/>
        </w:rPr>
        <w:t xml:space="preserve">Документи за корекции </w:t>
      </w:r>
    </w:p>
    <w:p w14:paraId="3B93DACB" w14:textId="77777777" w:rsidR="000444CE" w:rsidRPr="001B0EA3" w:rsidRDefault="000444CE" w:rsidP="00046D61">
      <w:pPr>
        <w:spacing w:before="120"/>
        <w:rPr>
          <w:color w:val="000000"/>
          <w:szCs w:val="24"/>
        </w:rPr>
      </w:pPr>
      <w:r w:rsidRPr="001B0EA3">
        <w:rPr>
          <w:color w:val="000000"/>
          <w:szCs w:val="24"/>
        </w:rPr>
        <w:t xml:space="preserve">При извършване на коригиращи счетоводни операции УО документира извършените корекции и прилага корекционна процедура, при която е видна същността на извършената корекция и причините, които я налагат. За извършване на корекция се съставя Форма за корекции на счетоводни записвания </w:t>
      </w:r>
      <w:r w:rsidRPr="001B0EA3">
        <w:rPr>
          <w:b/>
          <w:i/>
          <w:color w:val="000000"/>
          <w:szCs w:val="24"/>
        </w:rPr>
        <w:t>(</w:t>
      </w:r>
      <w:hyperlink r:id="rId212" w:tooltip="Форма за корекции на счетоводни записвания" w:history="1">
        <w:r w:rsidR="001718B3" w:rsidRPr="00251D03">
          <w:rPr>
            <w:i/>
            <w:iCs/>
            <w:color w:val="0000FF"/>
            <w:szCs w:val="24"/>
            <w:u w:val="single"/>
            <w:lang w:eastAsia="bg-BG"/>
          </w:rPr>
          <w:t>Приложение № 5.11</w:t>
        </w:r>
      </w:hyperlink>
      <w:r w:rsidRPr="001B0EA3">
        <w:rPr>
          <w:color w:val="000000"/>
          <w:szCs w:val="24"/>
        </w:rPr>
        <w:t xml:space="preserve"> от ПНУИОПТТИ), която съдържа следната информация:</w:t>
      </w:r>
    </w:p>
    <w:p w14:paraId="323D7FD4"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Дата, на която се е състояла „сторно” операцията</w:t>
      </w:r>
    </w:p>
    <w:p w14:paraId="7C5DB8EF"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Референция към приложените документи</w:t>
      </w:r>
    </w:p>
    <w:p w14:paraId="328CAF9F"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Документа, който ще се сторнира</w:t>
      </w:r>
    </w:p>
    <w:p w14:paraId="5A3A37E8"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Причината за „сторно” операцията</w:t>
      </w:r>
    </w:p>
    <w:p w14:paraId="067FB49F"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Коригиращата операция</w:t>
      </w:r>
    </w:p>
    <w:p w14:paraId="6C40FC78"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Подпис на счетоводителя, отговорен за записванията</w:t>
      </w:r>
    </w:p>
    <w:p w14:paraId="14227717"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Подпис на главния счетоводител, отговорен за одобряването на операциите</w:t>
      </w:r>
    </w:p>
    <w:p w14:paraId="093F6BA0"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 xml:space="preserve">Последователен идентификационен номер (генериран от счетоводния софтуер) </w:t>
      </w:r>
    </w:p>
    <w:p w14:paraId="61108A6D" w14:textId="77777777" w:rsidR="00BA3630" w:rsidRDefault="00BA3630" w:rsidP="00046D61">
      <w:pPr>
        <w:spacing w:before="120"/>
        <w:rPr>
          <w:color w:val="000000"/>
          <w:szCs w:val="24"/>
        </w:rPr>
      </w:pPr>
      <w:r w:rsidRPr="00BA3630">
        <w:rPr>
          <w:color w:val="000000"/>
          <w:szCs w:val="24"/>
        </w:rPr>
        <w:t>Формата се одобрява от началник на отдел „Финансово управление“.</w:t>
      </w:r>
    </w:p>
    <w:p w14:paraId="529B655E" w14:textId="77777777" w:rsidR="000444CE" w:rsidRPr="001B0EA3" w:rsidRDefault="000444CE" w:rsidP="00046D61">
      <w:pPr>
        <w:spacing w:before="120"/>
        <w:rPr>
          <w:color w:val="000000"/>
          <w:szCs w:val="24"/>
        </w:rPr>
      </w:pPr>
      <w:r w:rsidRPr="001B0EA3">
        <w:rPr>
          <w:color w:val="000000"/>
          <w:szCs w:val="24"/>
        </w:rPr>
        <w:t xml:space="preserve">Към Формата за корекции се прилага разпечатка от счетоводната система на първоначалния запис на документа и се съставя мемориален ордер, който се проверява и подписва от Главния счетоводител. </w:t>
      </w:r>
    </w:p>
    <w:p w14:paraId="2E8CA4F6" w14:textId="77777777" w:rsidR="000444CE" w:rsidRPr="001B0EA3" w:rsidRDefault="000444CE" w:rsidP="00046D61">
      <w:pPr>
        <w:tabs>
          <w:tab w:val="num" w:pos="0"/>
        </w:tabs>
        <w:spacing w:before="120"/>
        <w:rPr>
          <w:b/>
          <w:i/>
          <w:color w:val="000000"/>
          <w:szCs w:val="24"/>
        </w:rPr>
      </w:pPr>
      <w:r w:rsidRPr="001B0EA3">
        <w:rPr>
          <w:b/>
          <w:i/>
          <w:color w:val="000000"/>
          <w:szCs w:val="24"/>
        </w:rPr>
        <w:t xml:space="preserve">Систематизация на счетоводната информация и съставяне на вторични документи и регистри </w:t>
      </w:r>
    </w:p>
    <w:p w14:paraId="64A134BA" w14:textId="77777777" w:rsidR="000444CE" w:rsidRPr="001B0EA3" w:rsidRDefault="000444CE" w:rsidP="00046D61">
      <w:pPr>
        <w:spacing w:before="120"/>
        <w:rPr>
          <w:color w:val="000000"/>
          <w:szCs w:val="24"/>
        </w:rPr>
      </w:pPr>
      <w:r w:rsidRPr="001B0EA3">
        <w:rPr>
          <w:color w:val="000000"/>
          <w:szCs w:val="24"/>
        </w:rPr>
        <w:lastRenderedPageBreak/>
        <w:t>Счетоводните документи след обработка се класират по папки за Мемориални ордери (МО), както следва:</w:t>
      </w:r>
    </w:p>
    <w:p w14:paraId="1770A8BA" w14:textId="77777777" w:rsidR="000444CE" w:rsidRPr="001B0EA3" w:rsidRDefault="000444CE" w:rsidP="00046D61">
      <w:pPr>
        <w:spacing w:before="120"/>
        <w:ind w:firstLine="709"/>
        <w:rPr>
          <w:color w:val="000000"/>
          <w:szCs w:val="24"/>
        </w:rPr>
      </w:pPr>
    </w:p>
    <w:tbl>
      <w:tblPr>
        <w:tblW w:w="0" w:type="auto"/>
        <w:jc w:val="center"/>
        <w:tblBorders>
          <w:top w:val="single" w:sz="12" w:space="0" w:color="333399"/>
          <w:bottom w:val="single" w:sz="12" w:space="0" w:color="333399"/>
          <w:insideH w:val="single" w:sz="4" w:space="0" w:color="333399"/>
        </w:tblBorders>
        <w:tblLayout w:type="fixed"/>
        <w:tblLook w:val="0000" w:firstRow="0" w:lastRow="0" w:firstColumn="0" w:lastColumn="0" w:noHBand="0" w:noVBand="0"/>
      </w:tblPr>
      <w:tblGrid>
        <w:gridCol w:w="1206"/>
        <w:gridCol w:w="4680"/>
      </w:tblGrid>
      <w:tr w:rsidR="000444CE" w:rsidRPr="001B0EA3" w14:paraId="61E8A544" w14:textId="77777777" w:rsidTr="003C4D46">
        <w:trPr>
          <w:jc w:val="center"/>
        </w:trPr>
        <w:tc>
          <w:tcPr>
            <w:tcW w:w="1206" w:type="dxa"/>
            <w:tcBorders>
              <w:top w:val="single" w:sz="12" w:space="0" w:color="333399"/>
            </w:tcBorders>
          </w:tcPr>
          <w:p w14:paraId="5805A349" w14:textId="77777777" w:rsidR="000444CE" w:rsidRPr="001B0EA3" w:rsidRDefault="000444CE" w:rsidP="00F70D13">
            <w:pPr>
              <w:widowControl w:val="0"/>
              <w:shd w:val="clear" w:color="auto" w:fill="FFFFFF"/>
              <w:spacing w:before="120"/>
              <w:ind w:firstLine="0"/>
              <w:rPr>
                <w:color w:val="000000"/>
                <w:szCs w:val="24"/>
              </w:rPr>
            </w:pPr>
            <w:r w:rsidRPr="001B0EA3">
              <w:rPr>
                <w:color w:val="000000"/>
                <w:szCs w:val="24"/>
              </w:rPr>
              <w:t>МО 1</w:t>
            </w:r>
          </w:p>
        </w:tc>
        <w:tc>
          <w:tcPr>
            <w:tcW w:w="4680" w:type="dxa"/>
            <w:tcBorders>
              <w:top w:val="single" w:sz="12" w:space="0" w:color="333399"/>
            </w:tcBorders>
          </w:tcPr>
          <w:p w14:paraId="6B561ECE" w14:textId="77777777" w:rsidR="000444CE" w:rsidRPr="001B0EA3" w:rsidRDefault="000444CE" w:rsidP="00F70D13">
            <w:pPr>
              <w:widowControl w:val="0"/>
              <w:tabs>
                <w:tab w:val="left" w:pos="1134"/>
              </w:tabs>
              <w:autoSpaceDE w:val="0"/>
              <w:autoSpaceDN w:val="0"/>
              <w:adjustRightInd w:val="0"/>
              <w:ind w:firstLine="0"/>
              <w:rPr>
                <w:color w:val="000000"/>
                <w:szCs w:val="24"/>
                <w:lang w:eastAsia="ko-KR"/>
              </w:rPr>
            </w:pPr>
            <w:r w:rsidRPr="001B0EA3">
              <w:rPr>
                <w:color w:val="000000"/>
                <w:szCs w:val="24"/>
                <w:lang w:eastAsia="ko-KR"/>
              </w:rPr>
              <w:t>Административен договор/заповед за предоставяне на безвъзмездна финансова помощ</w:t>
            </w:r>
          </w:p>
        </w:tc>
      </w:tr>
      <w:tr w:rsidR="000444CE" w:rsidRPr="001B0EA3" w14:paraId="70C878B6" w14:textId="77777777" w:rsidTr="003C4D46">
        <w:trPr>
          <w:jc w:val="center"/>
        </w:trPr>
        <w:tc>
          <w:tcPr>
            <w:tcW w:w="1206" w:type="dxa"/>
          </w:tcPr>
          <w:p w14:paraId="35191937" w14:textId="77777777" w:rsidR="000444CE" w:rsidRPr="001B0EA3" w:rsidRDefault="000444CE" w:rsidP="00F70D13">
            <w:pPr>
              <w:widowControl w:val="0"/>
              <w:shd w:val="clear" w:color="auto" w:fill="FFFFFF"/>
              <w:spacing w:before="120"/>
              <w:ind w:firstLine="0"/>
              <w:rPr>
                <w:color w:val="000000"/>
                <w:szCs w:val="24"/>
              </w:rPr>
            </w:pPr>
            <w:r w:rsidRPr="001B0EA3">
              <w:rPr>
                <w:color w:val="000000"/>
                <w:szCs w:val="24"/>
              </w:rPr>
              <w:t>МО 2</w:t>
            </w:r>
          </w:p>
        </w:tc>
        <w:tc>
          <w:tcPr>
            <w:tcW w:w="4680" w:type="dxa"/>
          </w:tcPr>
          <w:p w14:paraId="1EE921F5" w14:textId="77777777" w:rsidR="000444CE" w:rsidRPr="001B0EA3" w:rsidRDefault="000444CE" w:rsidP="00F70D13">
            <w:pPr>
              <w:widowControl w:val="0"/>
              <w:shd w:val="clear" w:color="auto" w:fill="FFFFFF"/>
              <w:spacing w:before="120"/>
              <w:ind w:firstLine="0"/>
              <w:rPr>
                <w:color w:val="000000"/>
                <w:szCs w:val="24"/>
              </w:rPr>
            </w:pPr>
            <w:r w:rsidRPr="001B0EA3">
              <w:rPr>
                <w:color w:val="000000"/>
                <w:szCs w:val="24"/>
              </w:rPr>
              <w:t>Одобрени лимити</w:t>
            </w:r>
          </w:p>
        </w:tc>
      </w:tr>
      <w:tr w:rsidR="000444CE" w:rsidRPr="001B0EA3" w14:paraId="1FE067A4" w14:textId="77777777" w:rsidTr="003C4D46">
        <w:trPr>
          <w:jc w:val="center"/>
        </w:trPr>
        <w:tc>
          <w:tcPr>
            <w:tcW w:w="1206" w:type="dxa"/>
          </w:tcPr>
          <w:p w14:paraId="55CBCD9C" w14:textId="77777777" w:rsidR="000444CE" w:rsidRPr="001B0EA3" w:rsidRDefault="000444CE" w:rsidP="00F70D13">
            <w:pPr>
              <w:widowControl w:val="0"/>
              <w:shd w:val="clear" w:color="auto" w:fill="FFFFFF"/>
              <w:spacing w:before="120"/>
              <w:ind w:firstLine="0"/>
              <w:rPr>
                <w:color w:val="000000"/>
                <w:szCs w:val="24"/>
              </w:rPr>
            </w:pPr>
            <w:r w:rsidRPr="001B0EA3">
              <w:rPr>
                <w:color w:val="000000"/>
                <w:szCs w:val="24"/>
              </w:rPr>
              <w:t>МО 3</w:t>
            </w:r>
          </w:p>
        </w:tc>
        <w:tc>
          <w:tcPr>
            <w:tcW w:w="4680" w:type="dxa"/>
          </w:tcPr>
          <w:p w14:paraId="069BBE4E" w14:textId="77777777" w:rsidR="000444CE" w:rsidRPr="001B0EA3" w:rsidRDefault="000444CE" w:rsidP="00F70D13">
            <w:pPr>
              <w:widowControl w:val="0"/>
              <w:shd w:val="clear" w:color="auto" w:fill="FFFFFF"/>
              <w:spacing w:before="120"/>
              <w:ind w:firstLine="0"/>
              <w:rPr>
                <w:color w:val="000000"/>
                <w:szCs w:val="24"/>
              </w:rPr>
            </w:pPr>
            <w:r w:rsidRPr="001B0EA3">
              <w:rPr>
                <w:color w:val="000000"/>
                <w:szCs w:val="24"/>
              </w:rPr>
              <w:t>Възстановени суми от бенефициенти</w:t>
            </w:r>
          </w:p>
        </w:tc>
      </w:tr>
      <w:tr w:rsidR="000444CE" w:rsidRPr="001B0EA3" w14:paraId="5F04B6C8" w14:textId="77777777" w:rsidTr="003C4D46">
        <w:trPr>
          <w:jc w:val="center"/>
        </w:trPr>
        <w:tc>
          <w:tcPr>
            <w:tcW w:w="1206" w:type="dxa"/>
          </w:tcPr>
          <w:p w14:paraId="7EF4C5FB" w14:textId="77777777" w:rsidR="000444CE" w:rsidRPr="001B0EA3" w:rsidRDefault="000444CE" w:rsidP="00F70D13">
            <w:pPr>
              <w:widowControl w:val="0"/>
              <w:shd w:val="clear" w:color="auto" w:fill="FFFFFF"/>
              <w:spacing w:before="120"/>
              <w:ind w:firstLine="0"/>
              <w:rPr>
                <w:color w:val="000000"/>
                <w:szCs w:val="24"/>
              </w:rPr>
            </w:pPr>
            <w:r w:rsidRPr="001B0EA3">
              <w:rPr>
                <w:color w:val="000000"/>
                <w:szCs w:val="24"/>
              </w:rPr>
              <w:t>МО 4</w:t>
            </w:r>
          </w:p>
        </w:tc>
        <w:tc>
          <w:tcPr>
            <w:tcW w:w="4680" w:type="dxa"/>
          </w:tcPr>
          <w:p w14:paraId="0F5C325C" w14:textId="77777777" w:rsidR="000444CE" w:rsidRPr="001B0EA3" w:rsidRDefault="000444CE" w:rsidP="00F70D13">
            <w:pPr>
              <w:widowControl w:val="0"/>
              <w:shd w:val="clear" w:color="auto" w:fill="FFFFFF"/>
              <w:spacing w:before="120"/>
              <w:ind w:firstLine="0"/>
              <w:rPr>
                <w:color w:val="000000"/>
                <w:szCs w:val="24"/>
              </w:rPr>
            </w:pPr>
            <w:r w:rsidRPr="001B0EA3">
              <w:rPr>
                <w:color w:val="000000"/>
                <w:szCs w:val="24"/>
              </w:rPr>
              <w:t xml:space="preserve">Плащания  към бенефициенти </w:t>
            </w:r>
          </w:p>
        </w:tc>
      </w:tr>
      <w:tr w:rsidR="000444CE" w:rsidRPr="001B0EA3" w14:paraId="666C9914" w14:textId="77777777" w:rsidTr="003C4D46">
        <w:trPr>
          <w:jc w:val="center"/>
        </w:trPr>
        <w:tc>
          <w:tcPr>
            <w:tcW w:w="1206" w:type="dxa"/>
          </w:tcPr>
          <w:p w14:paraId="52E4FBCF" w14:textId="77777777" w:rsidR="000444CE" w:rsidRPr="001B0EA3" w:rsidRDefault="000444CE" w:rsidP="00F70D13">
            <w:pPr>
              <w:widowControl w:val="0"/>
              <w:shd w:val="clear" w:color="auto" w:fill="FFFFFF"/>
              <w:spacing w:before="120"/>
              <w:ind w:firstLine="0"/>
              <w:rPr>
                <w:color w:val="000000"/>
                <w:szCs w:val="24"/>
              </w:rPr>
            </w:pPr>
            <w:r w:rsidRPr="001B0EA3">
              <w:rPr>
                <w:color w:val="000000"/>
                <w:szCs w:val="24"/>
              </w:rPr>
              <w:t>МО 5</w:t>
            </w:r>
          </w:p>
        </w:tc>
        <w:tc>
          <w:tcPr>
            <w:tcW w:w="4680" w:type="dxa"/>
          </w:tcPr>
          <w:p w14:paraId="359D1648" w14:textId="77777777" w:rsidR="000444CE" w:rsidRPr="001B0EA3" w:rsidRDefault="000444CE" w:rsidP="00F70D13">
            <w:pPr>
              <w:widowControl w:val="0"/>
              <w:shd w:val="clear" w:color="auto" w:fill="FFFFFF"/>
              <w:spacing w:before="120"/>
              <w:ind w:firstLine="0"/>
              <w:rPr>
                <w:color w:val="000000"/>
                <w:szCs w:val="24"/>
              </w:rPr>
            </w:pPr>
            <w:r w:rsidRPr="001B0EA3">
              <w:rPr>
                <w:color w:val="000000"/>
                <w:szCs w:val="24"/>
              </w:rPr>
              <w:t>Задължения към бенефициенти /искания за плащане/</w:t>
            </w:r>
          </w:p>
        </w:tc>
      </w:tr>
      <w:tr w:rsidR="000444CE" w:rsidRPr="001B0EA3" w14:paraId="258F559A" w14:textId="77777777" w:rsidTr="003C4D46">
        <w:trPr>
          <w:jc w:val="center"/>
        </w:trPr>
        <w:tc>
          <w:tcPr>
            <w:tcW w:w="1206" w:type="dxa"/>
          </w:tcPr>
          <w:p w14:paraId="6F3974B2" w14:textId="77777777" w:rsidR="000444CE" w:rsidRPr="001B0EA3" w:rsidRDefault="000444CE" w:rsidP="00F70D13">
            <w:pPr>
              <w:widowControl w:val="0"/>
              <w:shd w:val="clear" w:color="auto" w:fill="FFFFFF"/>
              <w:spacing w:before="120"/>
              <w:ind w:firstLine="0"/>
              <w:rPr>
                <w:color w:val="000000"/>
                <w:szCs w:val="24"/>
              </w:rPr>
            </w:pPr>
            <w:r w:rsidRPr="001B0EA3">
              <w:rPr>
                <w:color w:val="000000"/>
                <w:szCs w:val="24"/>
              </w:rPr>
              <w:t>МО 6</w:t>
            </w:r>
          </w:p>
        </w:tc>
        <w:tc>
          <w:tcPr>
            <w:tcW w:w="4680" w:type="dxa"/>
          </w:tcPr>
          <w:p w14:paraId="0A3EC81A" w14:textId="77777777" w:rsidR="000444CE" w:rsidRPr="001B0EA3" w:rsidRDefault="000444CE" w:rsidP="00F70D13">
            <w:pPr>
              <w:widowControl w:val="0"/>
              <w:shd w:val="clear" w:color="auto" w:fill="FFFFFF"/>
              <w:spacing w:before="120"/>
              <w:ind w:firstLine="0"/>
              <w:rPr>
                <w:color w:val="000000"/>
                <w:szCs w:val="24"/>
              </w:rPr>
            </w:pPr>
            <w:r w:rsidRPr="001B0EA3">
              <w:rPr>
                <w:color w:val="000000"/>
                <w:szCs w:val="24"/>
              </w:rPr>
              <w:t xml:space="preserve">Вземания от бенефициенти </w:t>
            </w:r>
          </w:p>
        </w:tc>
      </w:tr>
      <w:tr w:rsidR="000444CE" w:rsidRPr="001B0EA3" w14:paraId="1D7C582D" w14:textId="77777777" w:rsidTr="003C4D46">
        <w:trPr>
          <w:jc w:val="center"/>
        </w:trPr>
        <w:tc>
          <w:tcPr>
            <w:tcW w:w="1206" w:type="dxa"/>
          </w:tcPr>
          <w:p w14:paraId="06D3CBB7" w14:textId="77777777" w:rsidR="000444CE" w:rsidRPr="001B0EA3" w:rsidRDefault="000444CE" w:rsidP="00F70D13">
            <w:pPr>
              <w:widowControl w:val="0"/>
              <w:shd w:val="clear" w:color="auto" w:fill="FFFFFF"/>
              <w:spacing w:before="120"/>
              <w:ind w:firstLine="0"/>
              <w:rPr>
                <w:color w:val="000000"/>
                <w:szCs w:val="24"/>
              </w:rPr>
            </w:pPr>
            <w:r w:rsidRPr="001B0EA3">
              <w:rPr>
                <w:color w:val="000000"/>
                <w:szCs w:val="24"/>
              </w:rPr>
              <w:t>МО 7</w:t>
            </w:r>
          </w:p>
        </w:tc>
        <w:tc>
          <w:tcPr>
            <w:tcW w:w="4680" w:type="dxa"/>
          </w:tcPr>
          <w:p w14:paraId="063AEBFF" w14:textId="77777777" w:rsidR="000444CE" w:rsidRPr="001B0EA3" w:rsidRDefault="000444CE" w:rsidP="00F70D13">
            <w:pPr>
              <w:widowControl w:val="0"/>
              <w:shd w:val="clear" w:color="auto" w:fill="FFFFFF"/>
              <w:spacing w:before="120"/>
              <w:ind w:firstLine="0"/>
              <w:rPr>
                <w:color w:val="000000"/>
                <w:szCs w:val="24"/>
              </w:rPr>
            </w:pPr>
            <w:r w:rsidRPr="001B0EA3">
              <w:rPr>
                <w:color w:val="000000"/>
                <w:szCs w:val="24"/>
              </w:rPr>
              <w:t>Верифицирани разходи</w:t>
            </w:r>
          </w:p>
        </w:tc>
      </w:tr>
      <w:tr w:rsidR="000444CE" w:rsidRPr="001B0EA3" w14:paraId="388B49EC" w14:textId="77777777" w:rsidTr="003C4D46">
        <w:trPr>
          <w:jc w:val="center"/>
        </w:trPr>
        <w:tc>
          <w:tcPr>
            <w:tcW w:w="1206" w:type="dxa"/>
          </w:tcPr>
          <w:p w14:paraId="464F7536" w14:textId="77777777" w:rsidR="000444CE" w:rsidRPr="001B0EA3" w:rsidRDefault="000444CE" w:rsidP="00F70D13">
            <w:pPr>
              <w:widowControl w:val="0"/>
              <w:shd w:val="clear" w:color="auto" w:fill="FFFFFF"/>
              <w:spacing w:before="120"/>
              <w:ind w:firstLine="0"/>
              <w:rPr>
                <w:color w:val="000000"/>
                <w:szCs w:val="24"/>
              </w:rPr>
            </w:pPr>
            <w:r w:rsidRPr="001B0EA3">
              <w:rPr>
                <w:color w:val="000000"/>
                <w:szCs w:val="24"/>
              </w:rPr>
              <w:t>МО 8</w:t>
            </w:r>
          </w:p>
        </w:tc>
        <w:tc>
          <w:tcPr>
            <w:tcW w:w="4680" w:type="dxa"/>
          </w:tcPr>
          <w:p w14:paraId="715081AA" w14:textId="77777777" w:rsidR="000444CE" w:rsidRPr="001B0EA3" w:rsidDel="0052062D" w:rsidRDefault="000444CE" w:rsidP="00F70D13">
            <w:pPr>
              <w:widowControl w:val="0"/>
              <w:shd w:val="clear" w:color="auto" w:fill="FFFFFF"/>
              <w:spacing w:before="120"/>
              <w:ind w:firstLine="0"/>
              <w:rPr>
                <w:color w:val="000000"/>
                <w:szCs w:val="24"/>
              </w:rPr>
            </w:pPr>
            <w:r w:rsidRPr="001B0EA3">
              <w:rPr>
                <w:color w:val="000000"/>
                <w:szCs w:val="24"/>
              </w:rPr>
              <w:t>Корекционни записи</w:t>
            </w:r>
          </w:p>
        </w:tc>
      </w:tr>
      <w:tr w:rsidR="000444CE" w:rsidRPr="001B0EA3" w14:paraId="32000504" w14:textId="77777777" w:rsidTr="003C4D46">
        <w:trPr>
          <w:jc w:val="center"/>
        </w:trPr>
        <w:tc>
          <w:tcPr>
            <w:tcW w:w="1206" w:type="dxa"/>
            <w:tcBorders>
              <w:bottom w:val="single" w:sz="12" w:space="0" w:color="333399"/>
            </w:tcBorders>
          </w:tcPr>
          <w:p w14:paraId="529FC39E" w14:textId="77777777" w:rsidR="000444CE" w:rsidRPr="001B0EA3" w:rsidRDefault="000444CE" w:rsidP="00F70D13">
            <w:pPr>
              <w:widowControl w:val="0"/>
              <w:shd w:val="clear" w:color="auto" w:fill="FFFFFF"/>
              <w:spacing w:before="120"/>
              <w:ind w:firstLine="0"/>
              <w:rPr>
                <w:color w:val="000000"/>
                <w:szCs w:val="24"/>
              </w:rPr>
            </w:pPr>
            <w:r w:rsidRPr="001B0EA3">
              <w:rPr>
                <w:color w:val="000000"/>
                <w:szCs w:val="24"/>
              </w:rPr>
              <w:t>МО 9</w:t>
            </w:r>
          </w:p>
        </w:tc>
        <w:tc>
          <w:tcPr>
            <w:tcW w:w="4680" w:type="dxa"/>
            <w:tcBorders>
              <w:bottom w:val="single" w:sz="12" w:space="0" w:color="333399"/>
            </w:tcBorders>
          </w:tcPr>
          <w:p w14:paraId="562058EB" w14:textId="77777777" w:rsidR="000444CE" w:rsidRPr="001B0EA3" w:rsidRDefault="000444CE" w:rsidP="00F70D13">
            <w:pPr>
              <w:widowControl w:val="0"/>
              <w:shd w:val="clear" w:color="auto" w:fill="FFFFFF"/>
              <w:spacing w:before="120"/>
              <w:ind w:firstLine="0"/>
              <w:rPr>
                <w:color w:val="000000"/>
                <w:szCs w:val="24"/>
              </w:rPr>
            </w:pPr>
            <w:r w:rsidRPr="001B0EA3">
              <w:rPr>
                <w:color w:val="000000"/>
                <w:szCs w:val="24"/>
              </w:rPr>
              <w:t>Нередности, финансови корекции и отписани дългове</w:t>
            </w:r>
          </w:p>
        </w:tc>
      </w:tr>
    </w:tbl>
    <w:p w14:paraId="45CD3588" w14:textId="77777777" w:rsidR="000444CE" w:rsidRPr="001B0EA3" w:rsidRDefault="000444CE" w:rsidP="00046D61">
      <w:pPr>
        <w:spacing w:before="120"/>
        <w:rPr>
          <w:b/>
          <w:color w:val="000000"/>
          <w:szCs w:val="24"/>
        </w:rPr>
      </w:pPr>
    </w:p>
    <w:p w14:paraId="6C8B7C65" w14:textId="77777777" w:rsidR="000444CE" w:rsidRPr="001B0EA3" w:rsidRDefault="000444CE" w:rsidP="00046D61">
      <w:pPr>
        <w:spacing w:before="120"/>
        <w:ind w:firstLine="709"/>
        <w:rPr>
          <w:b/>
          <w:color w:val="000000"/>
          <w:szCs w:val="24"/>
        </w:rPr>
      </w:pPr>
      <w:r w:rsidRPr="001B0EA3">
        <w:rPr>
          <w:b/>
          <w:color w:val="000000"/>
          <w:szCs w:val="24"/>
        </w:rPr>
        <w:t>Счетоводни записи</w:t>
      </w:r>
    </w:p>
    <w:p w14:paraId="3E300E4D" w14:textId="77777777" w:rsidR="000444CE" w:rsidRPr="001B0EA3" w:rsidRDefault="009A060C" w:rsidP="00046D61">
      <w:pPr>
        <w:widowControl w:val="0"/>
        <w:suppressAutoHyphens/>
        <w:spacing w:before="120" w:after="120"/>
        <w:ind w:firstLine="708"/>
        <w:rPr>
          <w:szCs w:val="24"/>
        </w:rPr>
      </w:pPr>
      <w:r w:rsidRPr="009A060C">
        <w:rPr>
          <w:szCs w:val="24"/>
        </w:rPr>
        <w:t>Дирекция „Национален фонд“ към МФ ежемесечно и на тримесечие консолидира и обобщава отчетната информация, предоставена от управляващите органи във формати и в рамките на сроковете, утвърдени с указания на министъра на финансите, издадени въз основа на Закона за публичните финанси.</w:t>
      </w:r>
      <w:r w:rsidR="000444CE" w:rsidRPr="001B0EA3">
        <w:rPr>
          <w:szCs w:val="24"/>
        </w:rPr>
        <w:t xml:space="preserve"> </w:t>
      </w:r>
    </w:p>
    <w:p w14:paraId="54A1711E" w14:textId="77777777" w:rsidR="000444CE" w:rsidRPr="001B0EA3" w:rsidRDefault="000444CE" w:rsidP="00046D61">
      <w:pPr>
        <w:widowControl w:val="0"/>
        <w:suppressAutoHyphens/>
        <w:spacing w:before="120" w:after="120"/>
        <w:ind w:firstLine="708"/>
        <w:rPr>
          <w:szCs w:val="24"/>
          <w:lang w:eastAsia="ar-SA"/>
        </w:rPr>
      </w:pPr>
      <w:r w:rsidRPr="001B0EA3">
        <w:rPr>
          <w:szCs w:val="24"/>
          <w:lang w:eastAsia="ar-SA"/>
        </w:rPr>
        <w:t>УО организира отчитането на всички счетоводни събития, произтичащи от финансовото управление на ОПТТИ. УО гарантира, че:</w:t>
      </w:r>
    </w:p>
    <w:p w14:paraId="507D813C" w14:textId="77777777" w:rsidR="000444CE" w:rsidRPr="001B0EA3" w:rsidRDefault="000444CE" w:rsidP="00046D61">
      <w:pPr>
        <w:tabs>
          <w:tab w:val="left" w:pos="709"/>
          <w:tab w:val="left" w:pos="1418"/>
        </w:tabs>
        <w:suppressAutoHyphens/>
        <w:spacing w:after="60"/>
        <w:rPr>
          <w:szCs w:val="24"/>
          <w:lang w:eastAsia="ar-SA"/>
        </w:rPr>
      </w:pPr>
      <w:r w:rsidRPr="001B0EA3">
        <w:rPr>
          <w:szCs w:val="24"/>
          <w:lang w:eastAsia="ar-SA"/>
        </w:rPr>
        <w:tab/>
        <w:t>- счетоводните записвания са своевременно, вярно и точно отразени в счетоводната система и са документално обосновани (налични са първични документи за отчитане на счетоводните операции);</w:t>
      </w:r>
    </w:p>
    <w:p w14:paraId="79D3C5DE" w14:textId="77777777" w:rsidR="000444CE" w:rsidRPr="001B0EA3" w:rsidRDefault="000444CE" w:rsidP="00046D61">
      <w:pPr>
        <w:tabs>
          <w:tab w:val="left" w:pos="709"/>
          <w:tab w:val="left" w:pos="1418"/>
        </w:tabs>
        <w:suppressAutoHyphens/>
        <w:spacing w:after="60"/>
        <w:rPr>
          <w:szCs w:val="24"/>
          <w:lang w:eastAsia="ar-SA"/>
        </w:rPr>
      </w:pPr>
      <w:r w:rsidRPr="001B0EA3">
        <w:rPr>
          <w:szCs w:val="24"/>
          <w:lang w:eastAsia="ar-SA"/>
        </w:rPr>
        <w:tab/>
        <w:t xml:space="preserve">- информацията в счетоводната система е въведена в пълнота и е в съответствие с финансовите параметри по ОПТТИ при спазване на зададената аналитична структура, определена със стандартните счетоводни записвания от </w:t>
      </w:r>
      <w:r w:rsidR="009A060C">
        <w:rPr>
          <w:szCs w:val="24"/>
          <w:lang w:eastAsia="ar-SA"/>
        </w:rPr>
        <w:t>СО</w:t>
      </w:r>
      <w:r w:rsidRPr="001B0EA3">
        <w:rPr>
          <w:szCs w:val="24"/>
          <w:lang w:eastAsia="ar-SA"/>
        </w:rPr>
        <w:t>.</w:t>
      </w:r>
    </w:p>
    <w:p w14:paraId="4C5AC524" w14:textId="77777777" w:rsidR="009A060C" w:rsidRPr="009A060C" w:rsidRDefault="000444CE" w:rsidP="009A060C">
      <w:pPr>
        <w:tabs>
          <w:tab w:val="left" w:pos="709"/>
          <w:tab w:val="left" w:pos="1418"/>
        </w:tabs>
        <w:suppressAutoHyphens/>
        <w:spacing w:after="60"/>
        <w:rPr>
          <w:szCs w:val="24"/>
          <w:lang w:eastAsia="ar-SA"/>
        </w:rPr>
      </w:pPr>
      <w:r w:rsidRPr="001B0EA3">
        <w:rPr>
          <w:szCs w:val="24"/>
          <w:lang w:eastAsia="ar-SA"/>
        </w:rPr>
        <w:tab/>
      </w:r>
    </w:p>
    <w:p w14:paraId="5149DAB5" w14:textId="77777777" w:rsidR="009A060C" w:rsidRPr="009A060C" w:rsidRDefault="009A060C" w:rsidP="00251D03">
      <w:pPr>
        <w:rPr>
          <w:lang w:eastAsia="ar-SA"/>
        </w:rPr>
      </w:pPr>
      <w:r w:rsidRPr="009A060C">
        <w:rPr>
          <w:lang w:eastAsia="ar-SA"/>
        </w:rPr>
        <w:t>УО организира счетоводния процес така, че  счетоводната информация да бъде въведена:</w:t>
      </w:r>
    </w:p>
    <w:p w14:paraId="1958296C" w14:textId="77777777" w:rsidR="009A060C" w:rsidRPr="009A060C" w:rsidRDefault="009A060C" w:rsidP="00251D03">
      <w:pPr>
        <w:tabs>
          <w:tab w:val="left" w:pos="1134"/>
          <w:tab w:val="left" w:pos="1418"/>
        </w:tabs>
        <w:suppressAutoHyphens/>
        <w:spacing w:after="60"/>
        <w:rPr>
          <w:szCs w:val="24"/>
          <w:lang w:eastAsia="ar-SA"/>
        </w:rPr>
      </w:pPr>
      <w:r w:rsidRPr="009A060C">
        <w:rPr>
          <w:szCs w:val="24"/>
          <w:lang w:eastAsia="ar-SA"/>
        </w:rPr>
        <w:t>•</w:t>
      </w:r>
      <w:r w:rsidRPr="009A060C">
        <w:rPr>
          <w:szCs w:val="24"/>
          <w:lang w:eastAsia="ar-SA"/>
        </w:rPr>
        <w:tab/>
        <w:t>най-късно до третия работен ден на месеца, следващ отчетния период, информацията за извършените разходи, получените приходии предоставените/получени трансфери, както и за получените/усвоените лимити по ОПТТИ;</w:t>
      </w:r>
    </w:p>
    <w:p w14:paraId="6639DBA4" w14:textId="77777777" w:rsidR="009A060C" w:rsidRPr="009A060C" w:rsidRDefault="009A060C" w:rsidP="00251D03">
      <w:pPr>
        <w:tabs>
          <w:tab w:val="left" w:pos="1134"/>
          <w:tab w:val="left" w:pos="1418"/>
        </w:tabs>
        <w:suppressAutoHyphens/>
        <w:spacing w:after="60"/>
        <w:rPr>
          <w:szCs w:val="24"/>
          <w:lang w:eastAsia="ar-SA"/>
        </w:rPr>
      </w:pPr>
      <w:r w:rsidRPr="009A060C">
        <w:rPr>
          <w:szCs w:val="24"/>
          <w:lang w:eastAsia="ar-SA"/>
        </w:rPr>
        <w:t>•</w:t>
      </w:r>
      <w:r w:rsidRPr="009A060C">
        <w:rPr>
          <w:szCs w:val="24"/>
          <w:lang w:eastAsia="ar-SA"/>
        </w:rPr>
        <w:tab/>
        <w:t>най-късно до седмия работен ден на месеца, следващ отчетния период, информацията за всички възникнали счетоводни събития през отчетния период;</w:t>
      </w:r>
    </w:p>
    <w:p w14:paraId="54AC0063" w14:textId="77777777" w:rsidR="009A060C" w:rsidRPr="009A060C" w:rsidRDefault="009A060C" w:rsidP="009A060C">
      <w:pPr>
        <w:tabs>
          <w:tab w:val="left" w:pos="709"/>
          <w:tab w:val="left" w:pos="1418"/>
        </w:tabs>
        <w:suppressAutoHyphens/>
        <w:spacing w:after="60"/>
        <w:rPr>
          <w:szCs w:val="24"/>
          <w:lang w:eastAsia="ar-SA"/>
        </w:rPr>
      </w:pPr>
      <w:r w:rsidRPr="009A060C">
        <w:rPr>
          <w:szCs w:val="24"/>
          <w:lang w:eastAsia="ar-SA"/>
        </w:rPr>
        <w:t>За тази цел първичните и/или документите с еквивалентна доказателствена стойност се предоставят на служителя, отговорен за счетоводния процес до 5 работни дни след датата на тяхното съставяне/издаване.</w:t>
      </w:r>
    </w:p>
    <w:p w14:paraId="6597BFB0" w14:textId="77777777" w:rsidR="000444CE" w:rsidRPr="001B0EA3" w:rsidRDefault="009A060C" w:rsidP="009A060C">
      <w:pPr>
        <w:tabs>
          <w:tab w:val="left" w:pos="709"/>
          <w:tab w:val="left" w:pos="1418"/>
        </w:tabs>
        <w:suppressAutoHyphens/>
        <w:spacing w:after="60"/>
        <w:rPr>
          <w:szCs w:val="24"/>
          <w:lang w:eastAsia="ar-SA"/>
        </w:rPr>
      </w:pPr>
      <w:r w:rsidRPr="009A060C">
        <w:rPr>
          <w:szCs w:val="24"/>
          <w:lang w:eastAsia="ar-SA"/>
        </w:rPr>
        <w:t>УО документира процеса на съставяне на периодичните касови отчети по ЕБК, оборотните ведомости и балансите, като реферира към относимата счетоводна информация.</w:t>
      </w:r>
    </w:p>
    <w:p w14:paraId="09A1A818" w14:textId="77777777" w:rsidR="000444CE" w:rsidRPr="001B0EA3" w:rsidRDefault="000444CE" w:rsidP="00046D61">
      <w:pPr>
        <w:spacing w:before="120"/>
        <w:rPr>
          <w:color w:val="000000"/>
          <w:szCs w:val="24"/>
        </w:rPr>
      </w:pPr>
      <w:r w:rsidRPr="001B0EA3">
        <w:rPr>
          <w:color w:val="000000"/>
          <w:szCs w:val="24"/>
        </w:rPr>
        <w:lastRenderedPageBreak/>
        <w:t xml:space="preserve">Проверките на счетоводните записи се оформят в Контролен лист </w:t>
      </w:r>
      <w:r w:rsidRPr="001B0EA3">
        <w:rPr>
          <w:b/>
          <w:i/>
          <w:color w:val="000000"/>
          <w:szCs w:val="24"/>
        </w:rPr>
        <w:t>(</w:t>
      </w:r>
      <w:hyperlink r:id="rId213" w:tooltip="Контролен лист за проверка - месечен контрол на счетоводните операции" w:history="1">
        <w:r w:rsidR="001718B3" w:rsidRPr="00251D03">
          <w:rPr>
            <w:i/>
            <w:iCs/>
            <w:color w:val="0000FF"/>
            <w:szCs w:val="24"/>
            <w:u w:val="single"/>
            <w:lang w:eastAsia="bg-BG"/>
          </w:rPr>
          <w:t>Приложение № 5.08</w:t>
        </w:r>
      </w:hyperlink>
      <w:r w:rsidRPr="001B0EA3">
        <w:rPr>
          <w:b/>
          <w:i/>
          <w:color w:val="000000"/>
          <w:szCs w:val="24"/>
        </w:rPr>
        <w:t>),</w:t>
      </w:r>
      <w:r w:rsidRPr="001B0EA3">
        <w:rPr>
          <w:color w:val="000000"/>
          <w:szCs w:val="24"/>
        </w:rPr>
        <w:t xml:space="preserve"> в който счетоводителят и Главният счетоводител формализират извършените от тях проверки.</w:t>
      </w:r>
    </w:p>
    <w:p w14:paraId="19BA5C70" w14:textId="77777777" w:rsidR="000444CE" w:rsidRPr="001B0EA3" w:rsidRDefault="000444CE" w:rsidP="00046D61">
      <w:pPr>
        <w:spacing w:before="120"/>
        <w:ind w:firstLine="709"/>
        <w:rPr>
          <w:color w:val="000000"/>
          <w:szCs w:val="24"/>
        </w:rPr>
      </w:pPr>
      <w:r w:rsidRPr="001B0EA3">
        <w:rPr>
          <w:color w:val="000000"/>
          <w:szCs w:val="24"/>
        </w:rPr>
        <w:t>Типични счетоводни записвания, извършвани в счетоводната система на УО са:</w:t>
      </w:r>
    </w:p>
    <w:p w14:paraId="1D79059D"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Осчетоводяване на поети ангажименти към бенефициентите на основание на административен договор/заповед за предоставяне на БФП;</w:t>
      </w:r>
    </w:p>
    <w:p w14:paraId="46D9121B"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Осчетоводяване на задължения към бенефициентите в размер на одобрената за плащане БФП по искания за плащане;</w:t>
      </w:r>
    </w:p>
    <w:p w14:paraId="109866E2"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Осчетоводяване на верифицирани разходи, включени в ДСДДР;</w:t>
      </w:r>
    </w:p>
    <w:p w14:paraId="41AFB41C"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Осчетоводяване на несертифицирани разходи;</w:t>
      </w:r>
    </w:p>
    <w:p w14:paraId="0C9D5F01"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Осчетоводяване на одобрени лимити за плащане от СО и разпределени лимити от УО за плащане към бенефициентите;</w:t>
      </w:r>
    </w:p>
    <w:p w14:paraId="0C52721F"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Осчетоводяване на плащания към бенефициентите;</w:t>
      </w:r>
    </w:p>
    <w:p w14:paraId="51F0D10C"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Осчетоводяване на вземания от бенефициентите;</w:t>
      </w:r>
    </w:p>
    <w:p w14:paraId="1E90A5A2"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Осчетоводяване на възстановени суми, оттеглени от ДСДДР и отписване на невъзстановими дългове</w:t>
      </w:r>
    </w:p>
    <w:p w14:paraId="2E2EFD63"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Осчетоводяване на възстановени от бенефициентите суми;</w:t>
      </w:r>
    </w:p>
    <w:p w14:paraId="5BBB8805" w14:textId="77777777"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Осчетоводяване на приходи от лихви, глоби, санкции и неустойки.</w:t>
      </w:r>
    </w:p>
    <w:p w14:paraId="445E057A" w14:textId="77777777" w:rsidR="000444CE" w:rsidRPr="001B0EA3" w:rsidRDefault="000444CE" w:rsidP="00656CB4">
      <w:pPr>
        <w:pStyle w:val="Style3"/>
      </w:pPr>
      <w:bookmarkStart w:id="1175" w:name="_Toc479775741"/>
      <w:r w:rsidRPr="001B0EA3">
        <w:t>Процедури по осчетоводяване</w:t>
      </w:r>
      <w:bookmarkEnd w:id="1175"/>
    </w:p>
    <w:p w14:paraId="6604F51B" w14:textId="77777777" w:rsidR="000444CE" w:rsidRPr="001B0EA3" w:rsidRDefault="000444CE" w:rsidP="00046D61">
      <w:pPr>
        <w:spacing w:before="120"/>
        <w:rPr>
          <w:color w:val="000000"/>
          <w:szCs w:val="24"/>
        </w:rPr>
      </w:pPr>
      <w:r w:rsidRPr="001B0EA3">
        <w:rPr>
          <w:b/>
          <w:i/>
          <w:color w:val="000000"/>
          <w:szCs w:val="24"/>
        </w:rPr>
        <w:t>Осчетоводяване на поети ангажименти към бенефициенти  на основание сключен договор/издадена заповед за отпускане на БФП</w:t>
      </w:r>
    </w:p>
    <w:p w14:paraId="673BFA34" w14:textId="77777777" w:rsidR="000444CE" w:rsidRPr="001B0EA3" w:rsidRDefault="000444CE" w:rsidP="00046D61">
      <w:pPr>
        <w:spacing w:before="120"/>
        <w:rPr>
          <w:color w:val="000000"/>
          <w:szCs w:val="24"/>
        </w:rPr>
      </w:pPr>
      <w:r w:rsidRPr="001B0EA3">
        <w:rPr>
          <w:color w:val="000000"/>
          <w:szCs w:val="24"/>
        </w:rPr>
        <w:t xml:space="preserve">Началникът на отдел „Финансово управление” предава на Главния счетоводител  копие от сключен </w:t>
      </w:r>
      <w:r w:rsidRPr="001B0EA3">
        <w:rPr>
          <w:color w:val="000000"/>
          <w:szCs w:val="24"/>
          <w:lang w:eastAsia="ko-KR"/>
        </w:rPr>
        <w:t>административен договор/заповед за предоставяне на БФП</w:t>
      </w:r>
      <w:r w:rsidRPr="001B0EA3">
        <w:rPr>
          <w:color w:val="000000"/>
          <w:szCs w:val="24"/>
        </w:rPr>
        <w:t>. Счетоводителят извършва процедура по осчетоводяване на поетия ангажимент.</w:t>
      </w:r>
    </w:p>
    <w:p w14:paraId="02FA7E3A" w14:textId="77777777" w:rsidR="000444CE" w:rsidRPr="001B0EA3" w:rsidRDefault="000444CE" w:rsidP="00046D61">
      <w:pPr>
        <w:spacing w:before="120"/>
        <w:rPr>
          <w:color w:val="000000"/>
          <w:szCs w:val="24"/>
        </w:rPr>
      </w:pPr>
      <w:r w:rsidRPr="001B0EA3">
        <w:rPr>
          <w:color w:val="000000"/>
          <w:szCs w:val="24"/>
        </w:rPr>
        <w:t xml:space="preserve">Процедурата е валидна и при изменение или  прекратяване на </w:t>
      </w:r>
      <w:r w:rsidRPr="001B0EA3">
        <w:rPr>
          <w:color w:val="000000"/>
          <w:szCs w:val="24"/>
          <w:lang w:eastAsia="ko-KR"/>
        </w:rPr>
        <w:t>административен договор/заповед за предоставяне на БФП</w:t>
      </w:r>
      <w:r w:rsidRPr="001B0EA3">
        <w:rPr>
          <w:color w:val="000000"/>
          <w:szCs w:val="24"/>
        </w:rPr>
        <w:t>. Счетоводителят осчетоводява съответното изменение на ангажиментите или отписва задълженията на УО към бенефициента.</w:t>
      </w:r>
    </w:p>
    <w:p w14:paraId="5EC928AC" w14:textId="77777777" w:rsidR="000444CE" w:rsidRPr="001B0EA3" w:rsidRDefault="009A060C" w:rsidP="00046D61">
      <w:pPr>
        <w:spacing w:before="120"/>
        <w:rPr>
          <w:color w:val="000000"/>
          <w:szCs w:val="24"/>
        </w:rPr>
      </w:pPr>
      <w:r w:rsidRPr="009A060C">
        <w:rPr>
          <w:color w:val="000000"/>
          <w:szCs w:val="24"/>
        </w:rPr>
        <w:t>При налагане на финансова корекция преди изплащане на БФП на бенефициента, началникът на отдел „Финансово управление” уведомява с резолюция Главния счетоводител за издадено решение от ръководителя на УО за налагане на финансова корекция, за осчетоводяване на намаление на поетия ангажимент към бенефициента по сключен административен договор за предоставяне на БФП.</w:t>
      </w:r>
    </w:p>
    <w:p w14:paraId="662A31C4" w14:textId="77777777" w:rsidR="000444CE" w:rsidRPr="001B0EA3" w:rsidRDefault="000444CE" w:rsidP="00046D61">
      <w:pPr>
        <w:spacing w:before="120"/>
        <w:rPr>
          <w:color w:val="000000"/>
          <w:szCs w:val="24"/>
        </w:rPr>
      </w:pPr>
      <w:r w:rsidRPr="001B0EA3">
        <w:rPr>
          <w:color w:val="000000"/>
          <w:szCs w:val="24"/>
        </w:rPr>
        <w:t>Извършените транзакции се удостоверяват от счетоводителя в мемориален ордер. Главният счетоводител извършва проверка на направените счетоводни записвания, която удостоверява с подпис върху мемориалния ордер.</w:t>
      </w:r>
    </w:p>
    <w:p w14:paraId="7BC41087" w14:textId="77777777" w:rsidR="000444CE" w:rsidRPr="001B0EA3" w:rsidRDefault="000444CE" w:rsidP="00046D61">
      <w:pPr>
        <w:widowControl w:val="0"/>
        <w:autoSpaceDE w:val="0"/>
        <w:autoSpaceDN w:val="0"/>
        <w:adjustRightInd w:val="0"/>
        <w:spacing w:before="120"/>
        <w:rPr>
          <w:b/>
          <w:i/>
          <w:color w:val="000000"/>
          <w:szCs w:val="24"/>
          <w:lang w:eastAsia="bg-BG"/>
        </w:rPr>
      </w:pPr>
      <w:r w:rsidRPr="001B0EA3">
        <w:rPr>
          <w:b/>
          <w:i/>
          <w:color w:val="000000"/>
          <w:szCs w:val="24"/>
          <w:lang w:eastAsia="bg-BG"/>
        </w:rPr>
        <w:t>Осчетоводяване на задължения към бенефициентите в размер на одобрената за плащане БФП по искания за плащане, подадени от бенефициентите към УО</w:t>
      </w:r>
    </w:p>
    <w:p w14:paraId="2BBB1390" w14:textId="77777777" w:rsidR="000444CE" w:rsidRPr="001B0EA3" w:rsidRDefault="000444CE" w:rsidP="00046D61">
      <w:pPr>
        <w:spacing w:before="120"/>
        <w:rPr>
          <w:color w:val="000000"/>
          <w:szCs w:val="24"/>
        </w:rPr>
      </w:pPr>
      <w:r w:rsidRPr="001B0EA3">
        <w:rPr>
          <w:color w:val="000000"/>
          <w:szCs w:val="24"/>
        </w:rPr>
        <w:t>Служител от  отдел „Финансов управление” предава на счетоводителя разпечатка, генерирана от ИСУН 2020 за размера на одобрената за плащане БФП по всяко искане за плащане в рамките на работния ден след неговото одобрение. Счетоводителят удостоверява извършените транзакции в мемориален ордер. Главният счетоводител извършва проверка на направените счетоводни записвания, която удостоверява с подпис върху мемориалния ордер.</w:t>
      </w:r>
    </w:p>
    <w:p w14:paraId="42EA535A" w14:textId="77777777" w:rsidR="000444CE" w:rsidRDefault="000444CE" w:rsidP="00046D61">
      <w:pPr>
        <w:widowControl w:val="0"/>
        <w:suppressAutoHyphens/>
        <w:spacing w:before="120"/>
        <w:rPr>
          <w:b/>
          <w:i/>
          <w:color w:val="000000"/>
          <w:szCs w:val="24"/>
        </w:rPr>
      </w:pPr>
      <w:r w:rsidRPr="001B0EA3">
        <w:rPr>
          <w:b/>
          <w:i/>
          <w:color w:val="000000"/>
          <w:szCs w:val="24"/>
        </w:rPr>
        <w:t xml:space="preserve">Осчетоводяване на верифицирани, несертифицирани, недопустими, оттеглени и препотвърдени  разходи в  ДСДДР </w:t>
      </w:r>
    </w:p>
    <w:p w14:paraId="328C8DF2" w14:textId="77777777" w:rsidR="009A060C" w:rsidRDefault="009A060C" w:rsidP="009A060C">
      <w:pPr>
        <w:widowControl w:val="0"/>
        <w:numPr>
          <w:ilvl w:val="0"/>
          <w:numId w:val="66"/>
        </w:numPr>
        <w:tabs>
          <w:tab w:val="left" w:pos="1134"/>
        </w:tabs>
        <w:autoSpaceDE w:val="0"/>
        <w:autoSpaceDN w:val="0"/>
        <w:adjustRightInd w:val="0"/>
        <w:ind w:left="0" w:right="142" w:firstLine="851"/>
        <w:rPr>
          <w:color w:val="000000"/>
          <w:szCs w:val="24"/>
          <w:lang w:eastAsia="ko-KR"/>
        </w:rPr>
      </w:pPr>
      <w:r w:rsidRPr="005B04E5">
        <w:rPr>
          <w:color w:val="000000"/>
          <w:szCs w:val="24"/>
          <w:lang w:eastAsia="ko-KR"/>
        </w:rPr>
        <w:t xml:space="preserve">Осчетоводяване на верифицирани разходи - в рамките на един работен ден след изпращане на </w:t>
      </w:r>
      <w:r>
        <w:rPr>
          <w:color w:val="000000"/>
          <w:szCs w:val="24"/>
          <w:lang w:eastAsia="ko-KR"/>
        </w:rPr>
        <w:t>Решението за верификация на постъпило искане за междинно/окончателно плащане</w:t>
      </w:r>
      <w:r w:rsidRPr="005B04E5">
        <w:rPr>
          <w:color w:val="000000"/>
          <w:szCs w:val="24"/>
          <w:lang w:eastAsia="ko-KR"/>
        </w:rPr>
        <w:t xml:space="preserve"> до бенефициента за размера на верифицираните разходи по всяко конкретно искане </w:t>
      </w:r>
      <w:r w:rsidRPr="005B04E5">
        <w:rPr>
          <w:color w:val="000000"/>
          <w:szCs w:val="24"/>
          <w:lang w:eastAsia="ko-KR"/>
        </w:rPr>
        <w:lastRenderedPageBreak/>
        <w:t>за плащане на ниво проект, служител от отдел „Финансов</w:t>
      </w:r>
      <w:r>
        <w:rPr>
          <w:color w:val="000000"/>
          <w:szCs w:val="24"/>
          <w:lang w:eastAsia="ko-KR"/>
        </w:rPr>
        <w:t>о</w:t>
      </w:r>
      <w:r w:rsidRPr="005B04E5">
        <w:rPr>
          <w:color w:val="000000"/>
          <w:szCs w:val="24"/>
          <w:lang w:eastAsia="ko-KR"/>
        </w:rPr>
        <w:t xml:space="preserve"> управление” предоставя копие от писмото на счетоводителя, който осчетоводява верифицираните разходи на съответното аналитично ниво.</w:t>
      </w:r>
      <w:r>
        <w:rPr>
          <w:color w:val="000000"/>
          <w:szCs w:val="24"/>
          <w:lang w:eastAsia="ko-KR"/>
        </w:rPr>
        <w:t xml:space="preserve"> </w:t>
      </w:r>
    </w:p>
    <w:p w14:paraId="552E461E" w14:textId="77777777" w:rsidR="009A060C" w:rsidRDefault="009A060C" w:rsidP="009A060C">
      <w:pPr>
        <w:widowControl w:val="0"/>
        <w:numPr>
          <w:ilvl w:val="0"/>
          <w:numId w:val="66"/>
        </w:numPr>
        <w:tabs>
          <w:tab w:val="left" w:pos="1134"/>
        </w:tabs>
        <w:autoSpaceDE w:val="0"/>
        <w:autoSpaceDN w:val="0"/>
        <w:adjustRightInd w:val="0"/>
        <w:ind w:left="0" w:right="142" w:firstLine="851"/>
        <w:rPr>
          <w:color w:val="000000"/>
          <w:szCs w:val="24"/>
          <w:lang w:eastAsia="ko-KR"/>
        </w:rPr>
      </w:pPr>
      <w:r w:rsidRPr="005B04E5">
        <w:rPr>
          <w:color w:val="000000"/>
          <w:szCs w:val="24"/>
          <w:lang w:eastAsia="ko-KR"/>
        </w:rPr>
        <w:t>Осчетоводяване на верифицирани разх</w:t>
      </w:r>
      <w:r>
        <w:rPr>
          <w:color w:val="000000"/>
          <w:szCs w:val="24"/>
          <w:lang w:eastAsia="ko-KR"/>
        </w:rPr>
        <w:t xml:space="preserve">оди, невключени в предишен ДСДДР, поради неизплатени средства по конкретно искане за плащане - в рамките на работния ден след разпределяне на лимит в СЕБРА, счетоводителят </w:t>
      </w:r>
      <w:r w:rsidRPr="005B04E5">
        <w:rPr>
          <w:color w:val="000000"/>
          <w:szCs w:val="24"/>
          <w:lang w:eastAsia="ko-KR"/>
        </w:rPr>
        <w:t>осчетоводява верифицираните разходи на съответното аналитично ниво.</w:t>
      </w:r>
      <w:r>
        <w:rPr>
          <w:color w:val="000000"/>
          <w:szCs w:val="24"/>
          <w:lang w:eastAsia="ko-KR"/>
        </w:rPr>
        <w:t xml:space="preserve"> </w:t>
      </w:r>
    </w:p>
    <w:p w14:paraId="6B44D87E" w14:textId="77777777" w:rsidR="009A060C" w:rsidRPr="005B04E5" w:rsidRDefault="009A060C" w:rsidP="009A060C">
      <w:pPr>
        <w:widowControl w:val="0"/>
        <w:numPr>
          <w:ilvl w:val="0"/>
          <w:numId w:val="66"/>
        </w:numPr>
        <w:tabs>
          <w:tab w:val="left" w:pos="1134"/>
        </w:tabs>
        <w:autoSpaceDE w:val="0"/>
        <w:autoSpaceDN w:val="0"/>
        <w:adjustRightInd w:val="0"/>
        <w:ind w:left="0" w:right="142" w:firstLine="851"/>
        <w:rPr>
          <w:color w:val="000000"/>
          <w:szCs w:val="24"/>
          <w:lang w:eastAsia="ko-KR"/>
        </w:rPr>
      </w:pPr>
      <w:r w:rsidRPr="005B04E5">
        <w:rPr>
          <w:color w:val="000000"/>
          <w:szCs w:val="24"/>
          <w:lang w:eastAsia="ko-KR"/>
        </w:rPr>
        <w:t xml:space="preserve">Осчетоводяване на несертифицирани разходи – при получаване на </w:t>
      </w:r>
      <w:r>
        <w:rPr>
          <w:color w:val="000000"/>
          <w:szCs w:val="24"/>
          <w:lang w:eastAsia="ko-KR"/>
        </w:rPr>
        <w:t xml:space="preserve">електронно </w:t>
      </w:r>
      <w:r w:rsidRPr="005B04E5">
        <w:rPr>
          <w:color w:val="000000"/>
          <w:szCs w:val="24"/>
          <w:lang w:eastAsia="ko-KR"/>
        </w:rPr>
        <w:t xml:space="preserve">уведомление от СО за размера на заявените за възстановяване от ЕК разходи, както и за разходите, които не са сертифицирани от СО, началникът на отдел „Финансово управление” уведомява </w:t>
      </w:r>
      <w:r>
        <w:rPr>
          <w:color w:val="000000"/>
          <w:szCs w:val="24"/>
          <w:lang w:eastAsia="ko-KR"/>
        </w:rPr>
        <w:t xml:space="preserve">по електронна поща </w:t>
      </w:r>
      <w:r w:rsidRPr="005B04E5">
        <w:rPr>
          <w:color w:val="000000"/>
          <w:szCs w:val="24"/>
          <w:lang w:eastAsia="ko-KR"/>
        </w:rPr>
        <w:t>счетоводителя за отразяване на несертифицираните разходи в счетоводната система на съответното аналитично ниво.</w:t>
      </w:r>
    </w:p>
    <w:p w14:paraId="4B3253AE" w14:textId="77777777" w:rsidR="009A060C" w:rsidRPr="005B04E5" w:rsidRDefault="009A060C" w:rsidP="009A060C">
      <w:pPr>
        <w:widowControl w:val="0"/>
        <w:numPr>
          <w:ilvl w:val="0"/>
          <w:numId w:val="66"/>
        </w:numPr>
        <w:tabs>
          <w:tab w:val="left" w:pos="1134"/>
        </w:tabs>
        <w:autoSpaceDE w:val="0"/>
        <w:autoSpaceDN w:val="0"/>
        <w:adjustRightInd w:val="0"/>
        <w:ind w:left="0" w:right="142" w:firstLine="851"/>
        <w:rPr>
          <w:color w:val="000000"/>
          <w:szCs w:val="24"/>
          <w:lang w:eastAsia="ko-KR"/>
        </w:rPr>
      </w:pPr>
      <w:r w:rsidRPr="005B04E5">
        <w:rPr>
          <w:color w:val="000000"/>
          <w:szCs w:val="24"/>
          <w:lang w:eastAsia="ko-KR"/>
        </w:rPr>
        <w:t>Осчетоводяване на недопустими разходи –</w:t>
      </w:r>
      <w:r>
        <w:rPr>
          <w:color w:val="000000"/>
          <w:szCs w:val="24"/>
          <w:lang w:eastAsia="ko-KR"/>
        </w:rPr>
        <w:t xml:space="preserve"> </w:t>
      </w:r>
      <w:r w:rsidRPr="005B04E5">
        <w:rPr>
          <w:color w:val="000000"/>
          <w:szCs w:val="24"/>
          <w:lang w:eastAsia="ko-KR"/>
        </w:rPr>
        <w:t xml:space="preserve">началникът на отдел „Финансово управление” уведомява с резолюция Главния счетоводител за издадено решение от ръководителя </w:t>
      </w:r>
      <w:r w:rsidRPr="00B445F2">
        <w:rPr>
          <w:color w:val="000000"/>
          <w:szCs w:val="24"/>
          <w:lang w:eastAsia="ko-KR"/>
        </w:rPr>
        <w:t>на УО за налагане на финансова корекция. Счетоводителят осчетоводява в намаление на</w:t>
      </w:r>
      <w:r w:rsidRPr="005B04E5">
        <w:rPr>
          <w:color w:val="000000"/>
          <w:szCs w:val="24"/>
          <w:lang w:eastAsia="ko-KR"/>
        </w:rPr>
        <w:t xml:space="preserve"> верифицираните разходи сумата по регистрираната нередност/наложената финансова корекция. Сумата на регистрираната нередност/наложената финансова корекция се осчетоводява като недопустими разходи на съответното аналитично ниво.</w:t>
      </w:r>
    </w:p>
    <w:p w14:paraId="64C1286E" w14:textId="77777777" w:rsidR="009A060C" w:rsidRPr="005B04E5" w:rsidRDefault="009A060C" w:rsidP="009A060C">
      <w:pPr>
        <w:widowControl w:val="0"/>
        <w:numPr>
          <w:ilvl w:val="0"/>
          <w:numId w:val="66"/>
        </w:numPr>
        <w:tabs>
          <w:tab w:val="left" w:pos="1134"/>
        </w:tabs>
        <w:autoSpaceDE w:val="0"/>
        <w:autoSpaceDN w:val="0"/>
        <w:adjustRightInd w:val="0"/>
        <w:ind w:left="0" w:right="142" w:firstLine="851"/>
        <w:rPr>
          <w:color w:val="000000"/>
          <w:szCs w:val="24"/>
          <w:lang w:eastAsia="ko-KR"/>
        </w:rPr>
      </w:pPr>
      <w:r w:rsidRPr="005B04E5">
        <w:rPr>
          <w:color w:val="000000"/>
          <w:szCs w:val="24"/>
          <w:lang w:eastAsia="ko-KR"/>
        </w:rPr>
        <w:t>Служител от отдел „Финансово управление”, отговорен за изготвянето на ДСДДР, уведомява на по електронна поща Главния счетоводител/счетоводителя за:</w:t>
      </w:r>
    </w:p>
    <w:p w14:paraId="6138E537" w14:textId="77777777" w:rsidR="009A060C" w:rsidRPr="005B04E5" w:rsidRDefault="009A060C" w:rsidP="009A060C">
      <w:pPr>
        <w:numPr>
          <w:ilvl w:val="0"/>
          <w:numId w:val="65"/>
        </w:numPr>
        <w:tabs>
          <w:tab w:val="clear" w:pos="1800"/>
          <w:tab w:val="num" w:pos="0"/>
        </w:tabs>
        <w:spacing w:before="120"/>
        <w:ind w:left="0" w:right="142" w:firstLine="1134"/>
        <w:rPr>
          <w:color w:val="000000"/>
          <w:szCs w:val="24"/>
        </w:rPr>
      </w:pPr>
      <w:r w:rsidRPr="005B04E5">
        <w:rPr>
          <w:color w:val="000000"/>
          <w:szCs w:val="24"/>
        </w:rPr>
        <w:t>размера на верифицираните допустими разходи, които няма да бъдат включени в настоящия ДСДДР;</w:t>
      </w:r>
    </w:p>
    <w:p w14:paraId="5EBE6657" w14:textId="77777777" w:rsidR="009A060C" w:rsidRPr="005B04E5" w:rsidRDefault="009A060C" w:rsidP="009A060C">
      <w:pPr>
        <w:numPr>
          <w:ilvl w:val="0"/>
          <w:numId w:val="65"/>
        </w:numPr>
        <w:tabs>
          <w:tab w:val="clear" w:pos="1800"/>
          <w:tab w:val="num" w:pos="0"/>
        </w:tabs>
        <w:spacing w:before="120"/>
        <w:ind w:left="0" w:right="142" w:firstLine="1134"/>
        <w:rPr>
          <w:color w:val="000000"/>
          <w:szCs w:val="24"/>
        </w:rPr>
      </w:pPr>
      <w:r w:rsidRPr="005B04E5">
        <w:rPr>
          <w:color w:val="000000"/>
          <w:szCs w:val="24"/>
        </w:rPr>
        <w:t xml:space="preserve">размера на несертифицираните </w:t>
      </w:r>
      <w:r>
        <w:rPr>
          <w:color w:val="000000"/>
          <w:szCs w:val="24"/>
        </w:rPr>
        <w:t xml:space="preserve">в предишни доклади по сертификация </w:t>
      </w:r>
      <w:r w:rsidRPr="005B04E5">
        <w:rPr>
          <w:color w:val="000000"/>
          <w:szCs w:val="24"/>
        </w:rPr>
        <w:t>разходи, които ще бъдат препотвърдени и повторно включени в настоящия ДСДДР;</w:t>
      </w:r>
    </w:p>
    <w:p w14:paraId="4968FF02" w14:textId="77777777" w:rsidR="009A060C" w:rsidRPr="005B04E5" w:rsidRDefault="009A060C" w:rsidP="009A060C">
      <w:pPr>
        <w:numPr>
          <w:ilvl w:val="0"/>
          <w:numId w:val="65"/>
        </w:numPr>
        <w:tabs>
          <w:tab w:val="clear" w:pos="1800"/>
          <w:tab w:val="num" w:pos="0"/>
        </w:tabs>
        <w:spacing w:before="120"/>
        <w:ind w:left="0" w:right="142" w:firstLine="1134"/>
        <w:rPr>
          <w:color w:val="000000"/>
          <w:szCs w:val="24"/>
        </w:rPr>
      </w:pPr>
      <w:r w:rsidRPr="005B04E5">
        <w:rPr>
          <w:color w:val="000000"/>
          <w:szCs w:val="24"/>
        </w:rPr>
        <w:t>размера на оттеглените от УО верифицирани разходи в настоящия ДСДДР</w:t>
      </w:r>
      <w:r>
        <w:rPr>
          <w:color w:val="000000"/>
          <w:szCs w:val="24"/>
        </w:rPr>
        <w:t xml:space="preserve"> </w:t>
      </w:r>
      <w:r w:rsidRPr="005B04E5">
        <w:rPr>
          <w:color w:val="000000"/>
          <w:szCs w:val="24"/>
        </w:rPr>
        <w:t xml:space="preserve">- недопустими верифицирани разходи по наложени финансови корекции/регистрирани нередности, в т.ч. главници и лихви за просрочие. </w:t>
      </w:r>
    </w:p>
    <w:p w14:paraId="5C0BBCAD" w14:textId="77777777" w:rsidR="009A060C" w:rsidRPr="005B04E5" w:rsidRDefault="009A060C" w:rsidP="009A060C">
      <w:pPr>
        <w:suppressAutoHyphens/>
        <w:spacing w:before="120"/>
        <w:ind w:right="142"/>
        <w:rPr>
          <w:szCs w:val="24"/>
        </w:rPr>
      </w:pPr>
      <w:r w:rsidRPr="005B04E5">
        <w:rPr>
          <w:szCs w:val="24"/>
        </w:rPr>
        <w:t>Предоставената информация съдържа минимум следните параметри: фонд/приоритетна ос/№ на проект/</w:t>
      </w:r>
      <w:r>
        <w:rPr>
          <w:szCs w:val="24"/>
        </w:rPr>
        <w:t xml:space="preserve">административен </w:t>
      </w:r>
      <w:r w:rsidRPr="005B04E5">
        <w:rPr>
          <w:szCs w:val="24"/>
        </w:rPr>
        <w:t>договор/заповед за предоставяне на БФП, в т.ч. бюджетна линия/сума в лева по източници на финансиране.</w:t>
      </w:r>
    </w:p>
    <w:p w14:paraId="49522797" w14:textId="77777777" w:rsidR="009A060C" w:rsidRPr="005B04E5" w:rsidRDefault="009A060C" w:rsidP="009A060C">
      <w:pPr>
        <w:suppressAutoHyphens/>
        <w:spacing w:before="120"/>
        <w:ind w:right="142"/>
        <w:rPr>
          <w:color w:val="000000"/>
          <w:szCs w:val="24"/>
        </w:rPr>
      </w:pPr>
      <w:r w:rsidRPr="005B04E5">
        <w:rPr>
          <w:color w:val="000000"/>
          <w:szCs w:val="24"/>
        </w:rPr>
        <w:t xml:space="preserve">Извършените транзакции се удостоверяват от счетоводителя в мемориален ордер. Главният счетоводител извършва проверка на направените счетоводни </w:t>
      </w:r>
      <w:r w:rsidRPr="005B04E5">
        <w:rPr>
          <w:szCs w:val="24"/>
        </w:rPr>
        <w:t>записвания</w:t>
      </w:r>
      <w:r w:rsidRPr="005B04E5">
        <w:rPr>
          <w:color w:val="000000"/>
          <w:szCs w:val="24"/>
        </w:rPr>
        <w:t>, която удостоверява с подпис върху мемориалния ордер.</w:t>
      </w:r>
    </w:p>
    <w:p w14:paraId="6FC5B786" w14:textId="77777777" w:rsidR="000444CE" w:rsidRPr="001B0EA3" w:rsidRDefault="000444CE" w:rsidP="00046D61">
      <w:pPr>
        <w:suppressAutoHyphens/>
        <w:spacing w:before="120"/>
        <w:rPr>
          <w:color w:val="000000"/>
          <w:szCs w:val="24"/>
        </w:rPr>
      </w:pPr>
    </w:p>
    <w:p w14:paraId="0F1E908F" w14:textId="77777777" w:rsidR="000444CE" w:rsidRPr="001B0EA3" w:rsidRDefault="000444CE" w:rsidP="00046D61">
      <w:pPr>
        <w:spacing w:before="120"/>
        <w:rPr>
          <w:b/>
          <w:i/>
          <w:color w:val="000000"/>
          <w:szCs w:val="24"/>
        </w:rPr>
      </w:pPr>
      <w:r w:rsidRPr="001B0EA3">
        <w:rPr>
          <w:b/>
          <w:i/>
          <w:color w:val="000000"/>
          <w:szCs w:val="24"/>
        </w:rPr>
        <w:t xml:space="preserve">Осчетоводяване на одобрени лимити за плащане от СО </w:t>
      </w:r>
    </w:p>
    <w:p w14:paraId="229C819D" w14:textId="77777777" w:rsidR="009A060C" w:rsidRPr="009A060C" w:rsidRDefault="009A060C" w:rsidP="009A060C">
      <w:pPr>
        <w:spacing w:before="120"/>
        <w:rPr>
          <w:color w:val="000000"/>
          <w:szCs w:val="24"/>
        </w:rPr>
      </w:pPr>
      <w:r w:rsidRPr="009A060C">
        <w:rPr>
          <w:color w:val="000000"/>
          <w:szCs w:val="24"/>
        </w:rPr>
        <w:t xml:space="preserve">Началникът на отдел „Финансово управление” предава с резолюция на Главния счетоводител полученото електронно уведомление от СО за размера и датата на заложените лимити в СЕБРА. Счетоводителят осчетоводява заложените лимити по фонд, оперативна програма, приоритетна ос, проект, източник на финансиране и аналитичен фонд. </w:t>
      </w:r>
    </w:p>
    <w:p w14:paraId="69251855" w14:textId="77777777" w:rsidR="000444CE" w:rsidRPr="001B0EA3" w:rsidRDefault="009A060C" w:rsidP="00046D61">
      <w:pPr>
        <w:spacing w:before="120"/>
        <w:rPr>
          <w:color w:val="000000"/>
          <w:szCs w:val="24"/>
        </w:rPr>
      </w:pPr>
      <w:r w:rsidRPr="009A060C">
        <w:rPr>
          <w:color w:val="000000"/>
          <w:szCs w:val="24"/>
        </w:rPr>
        <w:t xml:space="preserve">За разпределени лимити по десетразряден код на бенефициентите в СЕБРА от страна на УО, счетоводителят/главният счетоводител извършва ежедневна проверка в СЕБРА, където има права за наблюдение. В рамките на работния ден на изпращане на уведомително писмо до бенефициента за размера на разпределени лимити по всяко конкретно искане за плащане на ниво проект, служител от отдел „Финансов управление” предоставя копие от писмото на счетоводителя, който осчетоводява разпределените лимити в СЕБРА на съответното аналитично ниво. Първичен документ за осчетоводяване на извършените плащания по смисъла на т. 6.1 на издадените указания на Дирекция „Национален фонд“, разписани в ДНФ </w:t>
      </w:r>
      <w:r w:rsidRPr="009A060C">
        <w:rPr>
          <w:color w:val="000000"/>
          <w:szCs w:val="24"/>
        </w:rPr>
        <w:lastRenderedPageBreak/>
        <w:t>№ 2/01.08.2017 г., е документ от СЕБРА, разпечатан на хартиен носител, на който е видна датата, на която УО е извършел разпределяне/увеличение на лимит по проекта.</w:t>
      </w:r>
      <w:r w:rsidR="000444CE" w:rsidRPr="001B0EA3">
        <w:rPr>
          <w:color w:val="000000"/>
          <w:szCs w:val="24"/>
        </w:rPr>
        <w:t xml:space="preserve"> </w:t>
      </w:r>
    </w:p>
    <w:p w14:paraId="4F236CD7" w14:textId="77777777" w:rsidR="009A060C" w:rsidRDefault="009A060C" w:rsidP="00046D61">
      <w:pPr>
        <w:spacing w:before="120"/>
        <w:rPr>
          <w:color w:val="000000"/>
          <w:szCs w:val="24"/>
        </w:rPr>
      </w:pPr>
      <w:r w:rsidRPr="009A060C">
        <w:rPr>
          <w:color w:val="000000"/>
          <w:szCs w:val="24"/>
        </w:rPr>
        <w:t>Счетоводителят осчетоводява разпределянето на лимита по фонд, оперативна програма, приоритетна ос, проект и източник на финансиране – аналитичен фонд. Извършените транзакции се удостоверяват от счетоводителя в мемориален ордер. Главният счетоводител извършва проверка на направените счетоводни записвания, която удостоверява с подпис върху мемориалния ордер.</w:t>
      </w:r>
    </w:p>
    <w:p w14:paraId="1D134687" w14:textId="77777777" w:rsidR="000444CE" w:rsidRPr="001B0EA3" w:rsidRDefault="000444CE" w:rsidP="00046D61">
      <w:pPr>
        <w:spacing w:before="120"/>
        <w:rPr>
          <w:color w:val="000000"/>
          <w:szCs w:val="24"/>
        </w:rPr>
      </w:pPr>
      <w:r w:rsidRPr="001B0EA3">
        <w:rPr>
          <w:color w:val="000000"/>
          <w:szCs w:val="24"/>
        </w:rPr>
        <w:t xml:space="preserve">След извършване на всяко плащане </w:t>
      </w:r>
      <w:r w:rsidR="009A060C" w:rsidRPr="009A060C">
        <w:rPr>
          <w:color w:val="000000"/>
          <w:szCs w:val="24"/>
        </w:rPr>
        <w:t xml:space="preserve">в СЕБРА </w:t>
      </w:r>
      <w:r w:rsidRPr="001B0EA3">
        <w:rPr>
          <w:color w:val="000000"/>
          <w:szCs w:val="24"/>
        </w:rPr>
        <w:t>от УО към бенефициентите се осчетоводява намаление на заложения лимит в резултат на извършеното плащане.</w:t>
      </w:r>
    </w:p>
    <w:p w14:paraId="07857B65" w14:textId="77777777" w:rsidR="000444CE" w:rsidRDefault="000444CE" w:rsidP="00046D61">
      <w:pPr>
        <w:spacing w:before="120"/>
        <w:rPr>
          <w:color w:val="000000"/>
          <w:szCs w:val="24"/>
        </w:rPr>
      </w:pPr>
      <w:r w:rsidRPr="001B0EA3">
        <w:rPr>
          <w:color w:val="000000"/>
          <w:szCs w:val="24"/>
        </w:rPr>
        <w:t>Извършените транзакции се удостоверяват от счетоводителя в мемориален ордер. Главният счетоводител извършва проверка на направените счетоводни записвания, която удостоверява с подпис върху мемориалния ордер.</w:t>
      </w:r>
    </w:p>
    <w:p w14:paraId="26DB76B5" w14:textId="77777777" w:rsidR="009A060C" w:rsidRPr="001B0EA3" w:rsidRDefault="009A060C" w:rsidP="00046D61">
      <w:pPr>
        <w:spacing w:before="120"/>
        <w:rPr>
          <w:color w:val="000000"/>
          <w:szCs w:val="24"/>
        </w:rPr>
      </w:pPr>
      <w:r w:rsidRPr="009A060C">
        <w:rPr>
          <w:color w:val="000000"/>
          <w:szCs w:val="24"/>
        </w:rPr>
        <w:t>Разпределеният лимит по десетразряден код в СЕБРА се счита за извършено плащане, съгласно т. 6.1 от ДНФ № 2/01.08.2017 г. Счетоводителят/главният счетоводител въвежда в модул „Мониторинг и финансов контрол“ на ИСУН 2020 информацията за извършените плащания към бенефициенти по всеки проект с датата, на която УО  разпределя лимит по проекта по десетразрядния код на бенефициента.</w:t>
      </w:r>
    </w:p>
    <w:p w14:paraId="4C65CD41" w14:textId="77777777" w:rsidR="000444CE" w:rsidRPr="001B0EA3" w:rsidRDefault="000444CE" w:rsidP="00046D61">
      <w:pPr>
        <w:spacing w:before="120"/>
        <w:rPr>
          <w:b/>
          <w:i/>
          <w:color w:val="000000"/>
          <w:szCs w:val="24"/>
        </w:rPr>
      </w:pPr>
      <w:r w:rsidRPr="001B0EA3">
        <w:rPr>
          <w:b/>
          <w:i/>
          <w:color w:val="000000"/>
          <w:szCs w:val="24"/>
        </w:rPr>
        <w:t>Осчетоводяване на плащания към бенефициента.</w:t>
      </w:r>
    </w:p>
    <w:p w14:paraId="788005BC" w14:textId="77777777" w:rsidR="000444CE" w:rsidRPr="001B0EA3" w:rsidRDefault="000444CE" w:rsidP="00046D61">
      <w:pPr>
        <w:spacing w:before="120"/>
        <w:rPr>
          <w:color w:val="000000"/>
          <w:szCs w:val="24"/>
        </w:rPr>
      </w:pPr>
      <w:r w:rsidRPr="001B0EA3">
        <w:rPr>
          <w:color w:val="000000"/>
          <w:szCs w:val="24"/>
        </w:rPr>
        <w:t>За извършените директни плащания от десетразряден код на бенефициентите в СЕБРА от страна на УО, счетоводител извършва ежедневна проверка в СЕБРА, където има права за наблюдение</w:t>
      </w:r>
      <w:r w:rsidRPr="001B0EA3">
        <w:rPr>
          <w:color w:val="000000"/>
          <w:szCs w:val="24"/>
          <w:lang w:eastAsia="ko-KR"/>
        </w:rPr>
        <w:t>.</w:t>
      </w:r>
      <w:r w:rsidRPr="001B0EA3">
        <w:rPr>
          <w:color w:val="000000"/>
          <w:szCs w:val="24"/>
        </w:rPr>
        <w:t xml:space="preserve"> Счетоводителят осчетоводява предоставения трансфер по фонд, оперативна програма, приоритетна ос, договор/заповед, източници на финансиране и вид на плащане. Счетоводителят осчетоводява и намаление на ангажимента към бенефициента по съответния проект. </w:t>
      </w:r>
    </w:p>
    <w:p w14:paraId="6268F64E" w14:textId="77777777" w:rsidR="000444CE" w:rsidRPr="001B0EA3" w:rsidRDefault="000444CE" w:rsidP="00046D61">
      <w:pPr>
        <w:widowControl w:val="0"/>
        <w:suppressAutoHyphens/>
        <w:spacing w:before="120"/>
        <w:rPr>
          <w:color w:val="000000"/>
          <w:szCs w:val="24"/>
        </w:rPr>
      </w:pPr>
      <w:r w:rsidRPr="001B0EA3">
        <w:rPr>
          <w:color w:val="000000"/>
          <w:szCs w:val="24"/>
        </w:rPr>
        <w:t>При възстановяване чрез прихващане на дължими от бенефициента суми от последващи плащания на които бенефициента има право, счетоводителят осчетоводява отделно вземането от бенефициента/задължението към бенефициента, като двата процеса трябва да бъдат проследими в счетоводната система.</w:t>
      </w:r>
    </w:p>
    <w:p w14:paraId="6FBDF5A9" w14:textId="77777777" w:rsidR="000444CE" w:rsidRPr="001B0EA3" w:rsidRDefault="000444CE" w:rsidP="00046D61">
      <w:pPr>
        <w:spacing w:before="120"/>
        <w:rPr>
          <w:color w:val="000000"/>
          <w:szCs w:val="24"/>
        </w:rPr>
      </w:pPr>
      <w:r w:rsidRPr="001B0EA3">
        <w:rPr>
          <w:color w:val="000000"/>
          <w:szCs w:val="24"/>
        </w:rPr>
        <w:t>Извършените транзакции се удостоверяват от счетоводителя в мемориален ордер. Главният счетоводител извършва проверка на направените счетоводни записвания, която удостоверява с подпис върху мемориалния ордер.</w:t>
      </w:r>
    </w:p>
    <w:p w14:paraId="658640BD" w14:textId="77777777" w:rsidR="000444CE" w:rsidRPr="001B0EA3" w:rsidRDefault="000444CE" w:rsidP="00046D61">
      <w:pPr>
        <w:spacing w:before="120"/>
        <w:rPr>
          <w:b/>
          <w:i/>
          <w:color w:val="000000"/>
          <w:szCs w:val="24"/>
        </w:rPr>
      </w:pPr>
      <w:r w:rsidRPr="001B0EA3">
        <w:rPr>
          <w:b/>
          <w:i/>
          <w:color w:val="000000"/>
          <w:szCs w:val="24"/>
        </w:rPr>
        <w:t>Осчетоводяване на вземания от бенефициентите</w:t>
      </w:r>
    </w:p>
    <w:p w14:paraId="6A6E85AC" w14:textId="77777777" w:rsidR="000444CE" w:rsidRPr="001B0EA3" w:rsidRDefault="009A060C" w:rsidP="00046D61">
      <w:pPr>
        <w:widowControl w:val="0"/>
        <w:suppressAutoHyphens/>
        <w:spacing w:before="120" w:after="120"/>
        <w:rPr>
          <w:szCs w:val="24"/>
        </w:rPr>
      </w:pPr>
      <w:r w:rsidRPr="009A060C">
        <w:rPr>
          <w:szCs w:val="24"/>
        </w:rPr>
        <w:t>Всички първични документи и/или документи с еквивалентна доказателствена стойност, на основание на които се извършва отчитането на подлежащите на възстановяване вземания от бенефициентите следва да бъдат предоставени на счетоводителя до 5 работни дни от тяхното съставяне/издаване. Информацията следва да съдържа минимум следните параметри: фонд, оперативна програма, приоритетна ос, административен договор или заповед за предоставяне на БФП, в т.ч. бюджетна линия, сума в лева, източник на финансиране, дата на установяване на вземането, дата на оттегляне от ДС и ДДР. УО осчетоводява всички вземания от бенефициентите, в т.ч. и лихви да просрочие, като информацията следва да съдържа минимум следните параметри: фонд, оперативна програма, приоритетна ос, договор или заповед за предоставяне на БФП, в т.ч. бюджетна линия, източник на финансиране, информация за сертифициран/ оттеглен от ДС и ДДР разход.</w:t>
      </w:r>
    </w:p>
    <w:p w14:paraId="2D0B10B8" w14:textId="77777777" w:rsidR="009A060C" w:rsidRPr="005B04E5" w:rsidRDefault="009A060C" w:rsidP="009A060C">
      <w:pPr>
        <w:widowControl w:val="0"/>
        <w:numPr>
          <w:ilvl w:val="0"/>
          <w:numId w:val="64"/>
        </w:numPr>
        <w:tabs>
          <w:tab w:val="left" w:pos="100"/>
          <w:tab w:val="num" w:pos="500"/>
          <w:tab w:val="left" w:pos="1134"/>
        </w:tabs>
        <w:suppressAutoHyphens/>
        <w:spacing w:before="120"/>
        <w:ind w:left="0" w:right="141" w:firstLine="851"/>
        <w:rPr>
          <w:szCs w:val="24"/>
        </w:rPr>
      </w:pPr>
      <w:r w:rsidRPr="005B04E5">
        <w:rPr>
          <w:color w:val="000000"/>
          <w:szCs w:val="24"/>
        </w:rPr>
        <w:t xml:space="preserve">В случаите на вземания по финансови корекции, които не се дължат на пропуск на  бенефициента и не подлежат на възстановяване от него, началникът на отдел „Финансово управление” изпраща информацията с резолюция до Главния счетоводител. Главният счетоводител предоставя получената информация за наложена плоска финансова корекция </w:t>
      </w:r>
      <w:r w:rsidRPr="005B04E5">
        <w:rPr>
          <w:color w:val="000000"/>
          <w:szCs w:val="24"/>
        </w:rPr>
        <w:lastRenderedPageBreak/>
        <w:t xml:space="preserve">по ОПТТИ на счетоводителя, който осчетоводява сумата на наложената корекция </w:t>
      </w:r>
      <w:r w:rsidRPr="005B04E5">
        <w:rPr>
          <w:szCs w:val="24"/>
        </w:rPr>
        <w:t>на ниво фонд, оперативна програма, приоритетна ос, проект, процедура за предоставяне на БФП</w:t>
      </w:r>
      <w:r>
        <w:rPr>
          <w:szCs w:val="24"/>
        </w:rPr>
        <w:t xml:space="preserve"> в срок до 5 работни дни</w:t>
      </w:r>
      <w:r w:rsidRPr="005B04E5">
        <w:rPr>
          <w:szCs w:val="24"/>
        </w:rPr>
        <w:t>.</w:t>
      </w:r>
      <w:r>
        <w:rPr>
          <w:szCs w:val="24"/>
        </w:rPr>
        <w:t xml:space="preserve">  </w:t>
      </w:r>
    </w:p>
    <w:p w14:paraId="1C8D38A4" w14:textId="77777777" w:rsidR="009A060C" w:rsidRPr="005B04E5" w:rsidRDefault="009A060C" w:rsidP="009A060C">
      <w:pPr>
        <w:widowControl w:val="0"/>
        <w:suppressAutoHyphens/>
        <w:spacing w:before="120" w:after="120"/>
        <w:ind w:right="141"/>
        <w:rPr>
          <w:szCs w:val="24"/>
        </w:rPr>
      </w:pPr>
      <w:r w:rsidRPr="005B04E5">
        <w:rPr>
          <w:szCs w:val="24"/>
        </w:rPr>
        <w:t xml:space="preserve"> След осчетоводяване, счетоводителят завежда сумата на финансовата корекция в Книга на длъжниците за плоски финансови корекции </w:t>
      </w:r>
      <w:r w:rsidRPr="005B04E5">
        <w:rPr>
          <w:b/>
          <w:i/>
          <w:szCs w:val="24"/>
        </w:rPr>
        <w:t>(</w:t>
      </w:r>
      <w:hyperlink r:id="rId214" w:tooltip="Книга на длъжниците за наложени плоски финансови корекции" w:history="1">
        <w:r w:rsidR="001718B3" w:rsidRPr="00251D03">
          <w:rPr>
            <w:i/>
            <w:iCs/>
            <w:color w:val="0000FF"/>
            <w:szCs w:val="24"/>
            <w:u w:val="single"/>
            <w:lang w:eastAsia="bg-BG"/>
          </w:rPr>
          <w:t>Приложение № 5.16.2</w:t>
        </w:r>
      </w:hyperlink>
      <w:r w:rsidRPr="005B04E5">
        <w:rPr>
          <w:b/>
          <w:i/>
          <w:szCs w:val="24"/>
        </w:rPr>
        <w:t>).</w:t>
      </w:r>
    </w:p>
    <w:p w14:paraId="70C29E3A" w14:textId="77777777" w:rsidR="009A060C" w:rsidRPr="005B04E5" w:rsidRDefault="009A060C" w:rsidP="009A060C">
      <w:pPr>
        <w:numPr>
          <w:ilvl w:val="0"/>
          <w:numId w:val="64"/>
        </w:numPr>
        <w:tabs>
          <w:tab w:val="left" w:pos="100"/>
          <w:tab w:val="num" w:pos="500"/>
          <w:tab w:val="left" w:pos="1134"/>
        </w:tabs>
        <w:suppressAutoHyphens/>
        <w:spacing w:before="120"/>
        <w:ind w:left="0" w:right="142" w:firstLine="851"/>
        <w:rPr>
          <w:color w:val="000000"/>
          <w:szCs w:val="24"/>
        </w:rPr>
      </w:pPr>
      <w:r w:rsidRPr="005B04E5">
        <w:rPr>
          <w:szCs w:val="24"/>
        </w:rPr>
        <w:t xml:space="preserve">В случаите на </w:t>
      </w:r>
      <w:r w:rsidRPr="005B04E5">
        <w:rPr>
          <w:color w:val="000000"/>
          <w:szCs w:val="24"/>
        </w:rPr>
        <w:t>недължимо платен</w:t>
      </w:r>
      <w:r>
        <w:rPr>
          <w:color w:val="000000"/>
          <w:szCs w:val="24"/>
        </w:rPr>
        <w:t>а финансова подкрепа без правно основание или при отпаднало основание</w:t>
      </w:r>
      <w:r w:rsidRPr="005B04E5">
        <w:rPr>
          <w:szCs w:val="24"/>
        </w:rPr>
        <w:t xml:space="preserve">, началникът на отдел „Финансово управление” предоставя на Главния счетоводител копие от изпратената до бенефициента покана за доброволно възстановяване на дължимите суми. </w:t>
      </w:r>
      <w:r w:rsidRPr="005B04E5">
        <w:rPr>
          <w:color w:val="000000"/>
          <w:szCs w:val="24"/>
        </w:rPr>
        <w:t>Главният счетоводител предоставя получената информация</w:t>
      </w:r>
      <w:r>
        <w:rPr>
          <w:color w:val="000000"/>
          <w:szCs w:val="24"/>
        </w:rPr>
        <w:t xml:space="preserve"> на счет</w:t>
      </w:r>
      <w:r w:rsidRPr="005B04E5">
        <w:rPr>
          <w:color w:val="000000"/>
          <w:szCs w:val="24"/>
        </w:rPr>
        <w:t xml:space="preserve">оводителя, който осчетоводява сумата на наложената корекция </w:t>
      </w:r>
      <w:r w:rsidRPr="005B04E5">
        <w:rPr>
          <w:szCs w:val="24"/>
        </w:rPr>
        <w:t>при спазването на минимум следните аналитични нива: фонд, оперативна програма, приоритетна ос, договор или заповед за предоставяне на БФП, в т.ч. бюджетна линия, източници на финансиране</w:t>
      </w:r>
      <w:r>
        <w:rPr>
          <w:szCs w:val="24"/>
        </w:rPr>
        <w:t>.</w:t>
      </w:r>
    </w:p>
    <w:p w14:paraId="753D0F2D" w14:textId="77777777" w:rsidR="009A060C" w:rsidRPr="005B04E5" w:rsidRDefault="009A060C" w:rsidP="009A060C">
      <w:pPr>
        <w:widowControl w:val="0"/>
        <w:suppressAutoHyphens/>
        <w:spacing w:before="120"/>
        <w:ind w:right="141"/>
        <w:rPr>
          <w:b/>
          <w:i/>
          <w:szCs w:val="24"/>
        </w:rPr>
      </w:pPr>
      <w:r w:rsidRPr="005B04E5">
        <w:rPr>
          <w:szCs w:val="24"/>
        </w:rPr>
        <w:t xml:space="preserve">След осчетоводяване, счетоводителят завежда дължимата сума по </w:t>
      </w:r>
      <w:r w:rsidRPr="005B04E5">
        <w:rPr>
          <w:color w:val="000000"/>
          <w:szCs w:val="24"/>
        </w:rPr>
        <w:t>недължимо платен</w:t>
      </w:r>
      <w:r>
        <w:rPr>
          <w:color w:val="000000"/>
          <w:szCs w:val="24"/>
        </w:rPr>
        <w:t xml:space="preserve">а финансова подкрепа </w:t>
      </w:r>
      <w:r w:rsidRPr="005B04E5">
        <w:rPr>
          <w:szCs w:val="24"/>
        </w:rPr>
        <w:t xml:space="preserve">в Книга на длъжниците </w:t>
      </w:r>
      <w:r w:rsidRPr="005B04E5">
        <w:rPr>
          <w:b/>
          <w:i/>
          <w:szCs w:val="24"/>
        </w:rPr>
        <w:t>(</w:t>
      </w:r>
      <w:hyperlink r:id="rId215" w:tooltip="Книга на длъжниците" w:history="1">
        <w:r w:rsidR="001718B3" w:rsidRPr="00251D03">
          <w:rPr>
            <w:i/>
            <w:iCs/>
            <w:color w:val="0000FF"/>
            <w:szCs w:val="24"/>
            <w:u w:val="single"/>
            <w:lang w:eastAsia="bg-BG"/>
          </w:rPr>
          <w:t>Приложение № 5.16.1</w:t>
        </w:r>
      </w:hyperlink>
      <w:r w:rsidRPr="005B04E5">
        <w:rPr>
          <w:b/>
          <w:i/>
          <w:szCs w:val="24"/>
        </w:rPr>
        <w:t>).</w:t>
      </w:r>
    </w:p>
    <w:p w14:paraId="427C3825" w14:textId="77777777" w:rsidR="009A060C" w:rsidRPr="004261A0" w:rsidRDefault="009A060C" w:rsidP="009A060C">
      <w:pPr>
        <w:numPr>
          <w:ilvl w:val="0"/>
          <w:numId w:val="64"/>
        </w:numPr>
        <w:tabs>
          <w:tab w:val="left" w:pos="100"/>
          <w:tab w:val="num" w:pos="500"/>
          <w:tab w:val="left" w:pos="1134"/>
        </w:tabs>
        <w:suppressAutoHyphens/>
        <w:spacing w:before="120"/>
        <w:ind w:left="0" w:right="142" w:firstLine="851"/>
        <w:rPr>
          <w:color w:val="000000"/>
          <w:szCs w:val="24"/>
        </w:rPr>
      </w:pPr>
      <w:r w:rsidRPr="005B04E5">
        <w:rPr>
          <w:szCs w:val="24"/>
        </w:rPr>
        <w:t xml:space="preserve">В случаите на </w:t>
      </w:r>
      <w:r>
        <w:rPr>
          <w:szCs w:val="24"/>
        </w:rPr>
        <w:t>издадено решение за налагане на индивидуална финансова корекция на ръководителя на УО или на влязло в сила съдебно решение за отмяна или изменение на финансовата корекция</w:t>
      </w:r>
      <w:r w:rsidRPr="005B04E5">
        <w:rPr>
          <w:szCs w:val="24"/>
        </w:rPr>
        <w:t xml:space="preserve">, началникът на отдел „Финансово управление” </w:t>
      </w:r>
      <w:r>
        <w:rPr>
          <w:szCs w:val="24"/>
        </w:rPr>
        <w:t xml:space="preserve">го </w:t>
      </w:r>
      <w:r w:rsidRPr="005B04E5">
        <w:rPr>
          <w:szCs w:val="24"/>
        </w:rPr>
        <w:t>изпраща на Главния счетоводител</w:t>
      </w:r>
      <w:r>
        <w:rPr>
          <w:szCs w:val="24"/>
        </w:rPr>
        <w:t xml:space="preserve"> в срок от 5 работни дни след датата на тяхното издаване. </w:t>
      </w:r>
      <w:r w:rsidRPr="005B04E5">
        <w:rPr>
          <w:szCs w:val="24"/>
        </w:rPr>
        <w:t>Счетоводителят осчетоводява регистрираната</w:t>
      </w:r>
      <w:r>
        <w:rPr>
          <w:szCs w:val="24"/>
        </w:rPr>
        <w:t xml:space="preserve">/изменена/отменена </w:t>
      </w:r>
      <w:r w:rsidRPr="005B04E5">
        <w:rPr>
          <w:szCs w:val="24"/>
        </w:rPr>
        <w:t>нередност при спазването на минимум следните аналитични нива: фонд, оперативна програма, приоритетна ос, договор или заповед за предоставяне на БФП, в т.ч. бюджетна линия, източници на финансиране</w:t>
      </w:r>
      <w:r>
        <w:rPr>
          <w:szCs w:val="24"/>
        </w:rPr>
        <w:t xml:space="preserve"> в срок до 5 работни дни след издаване на решението или на влязлото в сила съдебно решение</w:t>
      </w:r>
      <w:r w:rsidRPr="005B04E5">
        <w:rPr>
          <w:szCs w:val="24"/>
        </w:rPr>
        <w:t>.</w:t>
      </w:r>
    </w:p>
    <w:p w14:paraId="3282B497" w14:textId="77777777" w:rsidR="009A060C" w:rsidRDefault="009A060C" w:rsidP="009A060C">
      <w:pPr>
        <w:ind w:right="141" w:firstLine="709"/>
        <w:rPr>
          <w:b/>
          <w:i/>
          <w:szCs w:val="24"/>
        </w:rPr>
      </w:pPr>
      <w:r w:rsidRPr="005B04E5">
        <w:rPr>
          <w:szCs w:val="24"/>
        </w:rPr>
        <w:t xml:space="preserve">След осчетоводяване, счетоводителят завежда дължимата сума по регистрираната </w:t>
      </w:r>
      <w:r>
        <w:rPr>
          <w:szCs w:val="24"/>
        </w:rPr>
        <w:t xml:space="preserve">финансова корекция </w:t>
      </w:r>
      <w:r w:rsidRPr="005B04E5">
        <w:rPr>
          <w:szCs w:val="24"/>
        </w:rPr>
        <w:t xml:space="preserve">в Книга на длъжниците </w:t>
      </w:r>
      <w:r w:rsidRPr="005B04E5">
        <w:rPr>
          <w:b/>
          <w:i/>
          <w:szCs w:val="24"/>
        </w:rPr>
        <w:t>(</w:t>
      </w:r>
      <w:hyperlink r:id="rId216" w:tooltip="Книга на длъжниците" w:history="1">
        <w:r w:rsidR="001718B3" w:rsidRPr="00251D03">
          <w:rPr>
            <w:i/>
            <w:iCs/>
            <w:color w:val="0000FF"/>
            <w:szCs w:val="24"/>
            <w:u w:val="single"/>
            <w:lang w:eastAsia="bg-BG"/>
          </w:rPr>
          <w:t>Приложение № 5.16.1</w:t>
        </w:r>
      </w:hyperlink>
      <w:r w:rsidRPr="005B04E5">
        <w:rPr>
          <w:b/>
          <w:i/>
          <w:szCs w:val="24"/>
        </w:rPr>
        <w:t xml:space="preserve">). </w:t>
      </w:r>
    </w:p>
    <w:p w14:paraId="5B56D3D4" w14:textId="77777777" w:rsidR="009A060C" w:rsidRPr="004261A0" w:rsidRDefault="009A060C" w:rsidP="009A060C">
      <w:pPr>
        <w:ind w:right="141" w:firstLine="709"/>
      </w:pPr>
      <w:r>
        <w:rPr>
          <w:szCs w:val="24"/>
        </w:rPr>
        <w:t xml:space="preserve">Счетоводителят изготвя </w:t>
      </w:r>
      <w:r w:rsidRPr="004261A0">
        <w:rPr>
          <w:szCs w:val="24"/>
        </w:rPr>
        <w:t xml:space="preserve"> </w:t>
      </w:r>
      <w:r>
        <w:rPr>
          <w:szCs w:val="24"/>
        </w:rPr>
        <w:t>„Уведомително писмо за осчетоводени вземания“</w:t>
      </w:r>
      <w:r w:rsidRPr="004261A0">
        <w:rPr>
          <w:szCs w:val="24"/>
        </w:rPr>
        <w:t xml:space="preserve">, в срок до 5 работни дни след датата на въвеждане в счетоводната система, с което </w:t>
      </w:r>
      <w:r>
        <w:rPr>
          <w:szCs w:val="24"/>
        </w:rPr>
        <w:t>УО</w:t>
      </w:r>
      <w:r w:rsidRPr="00763FF2">
        <w:rPr>
          <w:szCs w:val="24"/>
        </w:rPr>
        <w:t xml:space="preserve"> информира </w:t>
      </w:r>
      <w:r>
        <w:rPr>
          <w:szCs w:val="24"/>
        </w:rPr>
        <w:t>СО</w:t>
      </w:r>
      <w:r w:rsidRPr="00763FF2">
        <w:rPr>
          <w:szCs w:val="24"/>
        </w:rPr>
        <w:t xml:space="preserve"> за извършено осчетоводяване вземане</w:t>
      </w:r>
      <w:r>
        <w:rPr>
          <w:szCs w:val="24"/>
        </w:rPr>
        <w:t>то.</w:t>
      </w:r>
    </w:p>
    <w:p w14:paraId="2D095717" w14:textId="77777777" w:rsidR="009A060C" w:rsidRDefault="009A060C" w:rsidP="009A060C">
      <w:pPr>
        <w:widowControl w:val="0"/>
        <w:numPr>
          <w:ilvl w:val="0"/>
          <w:numId w:val="64"/>
        </w:numPr>
        <w:tabs>
          <w:tab w:val="left" w:pos="100"/>
          <w:tab w:val="num" w:pos="500"/>
          <w:tab w:val="left" w:pos="1134"/>
        </w:tabs>
        <w:suppressAutoHyphens/>
        <w:spacing w:before="120"/>
        <w:ind w:left="0" w:firstLine="851"/>
        <w:rPr>
          <w:szCs w:val="24"/>
        </w:rPr>
      </w:pPr>
      <w:r w:rsidRPr="005B04E5">
        <w:rPr>
          <w:szCs w:val="24"/>
        </w:rPr>
        <w:t xml:space="preserve"> Уведомяването се извършва с електронно подписано </w:t>
      </w:r>
      <w:hyperlink r:id="rId217" w:tooltip="Уведомително писмо за осчетоводени вземания" w:history="1">
        <w:r w:rsidR="001718B3" w:rsidRPr="00251D03">
          <w:rPr>
            <w:i/>
            <w:iCs/>
            <w:color w:val="0000FF"/>
            <w:szCs w:val="24"/>
            <w:u w:val="single"/>
            <w:lang w:eastAsia="bg-BG"/>
          </w:rPr>
          <w:t>Приложение № 5.12</w:t>
        </w:r>
      </w:hyperlink>
      <w:r w:rsidRPr="005B04E5">
        <w:rPr>
          <w:szCs w:val="24"/>
        </w:rPr>
        <w:t xml:space="preserve"> на адрес </w:t>
      </w:r>
      <w:hyperlink r:id="rId218" w:history="1">
        <w:r w:rsidRPr="005B04E5">
          <w:rPr>
            <w:b/>
            <w:szCs w:val="24"/>
            <w:u w:val="single"/>
          </w:rPr>
          <w:t>natfund@minfin.bg</w:t>
        </w:r>
      </w:hyperlink>
      <w:r w:rsidRPr="005B04E5">
        <w:rPr>
          <w:szCs w:val="24"/>
        </w:rPr>
        <w:t>.</w:t>
      </w:r>
    </w:p>
    <w:p w14:paraId="5A5ED67C" w14:textId="77777777" w:rsidR="000444CE" w:rsidRPr="001B0EA3" w:rsidRDefault="000444CE" w:rsidP="00046D61">
      <w:pPr>
        <w:tabs>
          <w:tab w:val="left" w:pos="1080"/>
          <w:tab w:val="left" w:pos="1418"/>
          <w:tab w:val="num" w:pos="3763"/>
        </w:tabs>
        <w:suppressAutoHyphens/>
        <w:spacing w:after="60"/>
        <w:rPr>
          <w:szCs w:val="24"/>
        </w:rPr>
      </w:pPr>
    </w:p>
    <w:p w14:paraId="035737AE" w14:textId="77777777" w:rsidR="008A668D" w:rsidRDefault="008A668D" w:rsidP="008A668D">
      <w:pPr>
        <w:tabs>
          <w:tab w:val="left" w:pos="1080"/>
          <w:tab w:val="left" w:pos="1418"/>
          <w:tab w:val="num" w:pos="3763"/>
        </w:tabs>
        <w:suppressAutoHyphens/>
        <w:spacing w:after="60"/>
        <w:ind w:right="141"/>
        <w:rPr>
          <w:szCs w:val="24"/>
        </w:rPr>
      </w:pPr>
      <w:r w:rsidRPr="005B04E5">
        <w:rPr>
          <w:szCs w:val="24"/>
        </w:rPr>
        <w:t xml:space="preserve">В случаите в които промяната/отмяната на задължение за възстановяване на дължими суми е за регистрирани вземания по нередности, за регистрирани финансови корекции по сертифицирани разходи, Главният счетоводител/счетоводителят информира СО до 5 работни дни след осчетоводяването им с електронно подписано </w:t>
      </w:r>
      <w:hyperlink r:id="rId219" w:tooltip="Уведомително писмо за осчетоводени вземания" w:history="1">
        <w:r w:rsidR="001718B3" w:rsidRPr="00251D03">
          <w:rPr>
            <w:i/>
            <w:iCs/>
            <w:color w:val="0000FF"/>
            <w:szCs w:val="24"/>
            <w:u w:val="single"/>
            <w:lang w:eastAsia="bg-BG"/>
          </w:rPr>
          <w:t>Приложение № 5.12</w:t>
        </w:r>
      </w:hyperlink>
      <w:r w:rsidRPr="005B04E5">
        <w:rPr>
          <w:szCs w:val="24"/>
        </w:rPr>
        <w:t xml:space="preserve"> на адрес </w:t>
      </w:r>
      <w:hyperlink r:id="rId220" w:history="1">
        <w:r w:rsidRPr="005B04E5">
          <w:rPr>
            <w:b/>
            <w:szCs w:val="24"/>
            <w:u w:val="single"/>
          </w:rPr>
          <w:t>natfund@minfin.bg</w:t>
        </w:r>
      </w:hyperlink>
      <w:r w:rsidRPr="005B04E5">
        <w:rPr>
          <w:szCs w:val="24"/>
        </w:rPr>
        <w:t>.</w:t>
      </w:r>
    </w:p>
    <w:p w14:paraId="43FFBF84" w14:textId="77777777" w:rsidR="008A668D" w:rsidRDefault="008A668D" w:rsidP="008A668D">
      <w:pPr>
        <w:tabs>
          <w:tab w:val="left" w:pos="1080"/>
          <w:tab w:val="left" w:pos="1418"/>
          <w:tab w:val="num" w:pos="3763"/>
        </w:tabs>
        <w:suppressAutoHyphens/>
        <w:spacing w:after="60"/>
        <w:ind w:right="141"/>
        <w:rPr>
          <w:szCs w:val="24"/>
        </w:rPr>
      </w:pPr>
      <w:r>
        <w:rPr>
          <w:szCs w:val="24"/>
        </w:rPr>
        <w:t xml:space="preserve">Всички вземания подлежат на възстановяване към сметката за средствата от Европейския съюз на Национален фонд. </w:t>
      </w:r>
    </w:p>
    <w:p w14:paraId="4562F25C" w14:textId="77777777" w:rsidR="008A668D" w:rsidRPr="00842ECC" w:rsidRDefault="008A668D" w:rsidP="008A668D">
      <w:pPr>
        <w:tabs>
          <w:tab w:val="left" w:pos="1080"/>
          <w:tab w:val="left" w:pos="1418"/>
          <w:tab w:val="num" w:pos="3763"/>
        </w:tabs>
        <w:suppressAutoHyphens/>
        <w:spacing w:after="60"/>
        <w:ind w:right="141"/>
        <w:rPr>
          <w:szCs w:val="24"/>
        </w:rPr>
      </w:pPr>
      <w:r>
        <w:rPr>
          <w:szCs w:val="24"/>
        </w:rPr>
        <w:t>Бенефициентът възстановява доброволно вземанията  за наложената от Управляващия орган индивидуална финансова корекция в 14-дневен срок от</w:t>
      </w:r>
      <w:r w:rsidRPr="00842ECC">
        <w:rPr>
          <w:szCs w:val="24"/>
        </w:rPr>
        <w:t>:</w:t>
      </w:r>
    </w:p>
    <w:p w14:paraId="7FF8913B" w14:textId="77777777" w:rsidR="008A668D" w:rsidRPr="00842ECC" w:rsidRDefault="008A668D" w:rsidP="008A668D">
      <w:pPr>
        <w:pStyle w:val="ListParagraph"/>
        <w:numPr>
          <w:ilvl w:val="1"/>
          <w:numId w:val="64"/>
        </w:numPr>
        <w:tabs>
          <w:tab w:val="left" w:pos="1418"/>
        </w:tabs>
        <w:suppressAutoHyphens/>
        <w:spacing w:after="60"/>
        <w:ind w:right="141"/>
        <w:rPr>
          <w:szCs w:val="24"/>
        </w:rPr>
      </w:pPr>
      <w:r w:rsidRPr="00842ECC">
        <w:rPr>
          <w:szCs w:val="24"/>
        </w:rPr>
        <w:t>датата, на която е информиран чрез ИСУН</w:t>
      </w:r>
      <w:r>
        <w:rPr>
          <w:szCs w:val="24"/>
        </w:rPr>
        <w:t xml:space="preserve"> 2020</w:t>
      </w:r>
      <w:r w:rsidRPr="00842ECC">
        <w:rPr>
          <w:szCs w:val="24"/>
        </w:rPr>
        <w:t xml:space="preserve"> за дължимата сума;</w:t>
      </w:r>
    </w:p>
    <w:p w14:paraId="7DE86E27" w14:textId="77777777" w:rsidR="008A668D" w:rsidRPr="00842ECC" w:rsidRDefault="008A668D" w:rsidP="008A668D">
      <w:pPr>
        <w:pStyle w:val="ListParagraph"/>
        <w:numPr>
          <w:ilvl w:val="1"/>
          <w:numId w:val="64"/>
        </w:numPr>
        <w:tabs>
          <w:tab w:val="left" w:pos="1418"/>
        </w:tabs>
        <w:suppressAutoHyphens/>
        <w:spacing w:after="60"/>
        <w:ind w:right="141"/>
        <w:rPr>
          <w:szCs w:val="24"/>
        </w:rPr>
      </w:pPr>
      <w:r>
        <w:rPr>
          <w:szCs w:val="24"/>
        </w:rPr>
        <w:t>влизането в сила на акта, с който е установено вземането.</w:t>
      </w:r>
    </w:p>
    <w:p w14:paraId="58D6D9C2" w14:textId="77777777" w:rsidR="008A668D" w:rsidRDefault="008A668D" w:rsidP="008A668D">
      <w:pPr>
        <w:tabs>
          <w:tab w:val="left" w:pos="1080"/>
          <w:tab w:val="left" w:pos="1418"/>
          <w:tab w:val="num" w:pos="3763"/>
        </w:tabs>
        <w:suppressAutoHyphens/>
        <w:spacing w:after="60"/>
        <w:rPr>
          <w:szCs w:val="24"/>
        </w:rPr>
      </w:pPr>
      <w:r>
        <w:rPr>
          <w:szCs w:val="24"/>
        </w:rPr>
        <w:t>При възстановяване на задължението преди крайния срок за доброволно възстановяване не се дължи лихва за забава.</w:t>
      </w:r>
    </w:p>
    <w:p w14:paraId="456CD09A" w14:textId="77777777" w:rsidR="000444CE" w:rsidRPr="001B0EA3" w:rsidRDefault="000444CE" w:rsidP="00046D61">
      <w:pPr>
        <w:tabs>
          <w:tab w:val="left" w:pos="1080"/>
          <w:tab w:val="left" w:pos="1418"/>
          <w:tab w:val="num" w:pos="3763"/>
        </w:tabs>
        <w:suppressAutoHyphens/>
        <w:spacing w:after="60"/>
        <w:rPr>
          <w:szCs w:val="24"/>
        </w:rPr>
      </w:pPr>
    </w:p>
    <w:p w14:paraId="7A8B77B6" w14:textId="77777777" w:rsidR="008A668D" w:rsidRDefault="008A668D" w:rsidP="00046D61">
      <w:pPr>
        <w:widowControl w:val="0"/>
        <w:suppressAutoHyphens/>
        <w:spacing w:before="120" w:after="120"/>
        <w:rPr>
          <w:szCs w:val="24"/>
        </w:rPr>
      </w:pPr>
      <w:r w:rsidRPr="008A668D">
        <w:rPr>
          <w:szCs w:val="24"/>
        </w:rPr>
        <w:t xml:space="preserve">За невъзстановените вземания в срок, към края на всеки месец счетоводителят начислява и осчетоводява лихви за просрочие. За целта УО използва единен лихвен калкулатор на НАП. Лихвите за просрочие се изчисляват съгласно ПМС № 100 от 29.05.2012 </w:t>
      </w:r>
      <w:r w:rsidRPr="008A668D">
        <w:rPr>
          <w:szCs w:val="24"/>
        </w:rPr>
        <w:lastRenderedPageBreak/>
        <w:t>г. за определяне размера на законната лихва по просрочени задължения в левове и във валута (обн. ДВ, бр.42 от 05.06.2012 г., в сила от 01.07.2012 г.).</w:t>
      </w:r>
    </w:p>
    <w:p w14:paraId="537C842A" w14:textId="77777777" w:rsidR="000444CE" w:rsidRPr="001B0EA3" w:rsidRDefault="000444CE" w:rsidP="00046D61">
      <w:pPr>
        <w:widowControl w:val="0"/>
        <w:suppressAutoHyphens/>
        <w:spacing w:before="120" w:after="120"/>
        <w:rPr>
          <w:szCs w:val="24"/>
        </w:rPr>
      </w:pPr>
      <w:r w:rsidRPr="001B0EA3">
        <w:rPr>
          <w:szCs w:val="24"/>
        </w:rPr>
        <w:t xml:space="preserve">Лихва за просрочие = главница*((основен лихвен % на БНБ + 10 пункта)/100)/360*броя на дните за съответния период </w:t>
      </w:r>
    </w:p>
    <w:p w14:paraId="6AE7339F" w14:textId="77777777" w:rsidR="000444CE" w:rsidRPr="001B0EA3" w:rsidRDefault="000444CE" w:rsidP="00046D61">
      <w:pPr>
        <w:suppressAutoHyphens/>
        <w:spacing w:before="120"/>
        <w:rPr>
          <w:szCs w:val="24"/>
        </w:rPr>
      </w:pPr>
      <w:r w:rsidRPr="001B0EA3">
        <w:rPr>
          <w:szCs w:val="24"/>
        </w:rPr>
        <w:t xml:space="preserve">За целите на изчисляване на месечната законна лихва за просрочие е прието, че всеки един от 12 периода в годината е равен на 30 дни. </w:t>
      </w:r>
    </w:p>
    <w:p w14:paraId="42B437F9" w14:textId="77777777" w:rsidR="000444CE" w:rsidRPr="001B0EA3" w:rsidRDefault="000444CE" w:rsidP="00046D61">
      <w:pPr>
        <w:suppressAutoHyphens/>
        <w:spacing w:after="120"/>
        <w:rPr>
          <w:szCs w:val="24"/>
        </w:rPr>
      </w:pPr>
      <w:r w:rsidRPr="001B0EA3">
        <w:rPr>
          <w:szCs w:val="24"/>
        </w:rPr>
        <w:t xml:space="preserve">При възстановяване на дължими суми, които се събират от Националната агенция по приходите, УО следва, ако е необходимо, да коригира (намали или </w:t>
      </w:r>
      <w:r w:rsidR="00ED66CF" w:rsidRPr="001B0EA3">
        <w:rPr>
          <w:szCs w:val="24"/>
        </w:rPr>
        <w:t>до начисли</w:t>
      </w:r>
      <w:r w:rsidRPr="001B0EA3">
        <w:rPr>
          <w:szCs w:val="24"/>
        </w:rPr>
        <w:t>) стойността на дължимата лихва съобразно събраната и преведена лихва от НАП. При частично възстановяване на дължими суми от бенефициенти, събирани от НАП, разликата между начислената от УО лихва и лихвата, преведена от Националната агенция по приходите се коригира съобразно размера на събраната, като корекцията се извършва след пълното възстановяване на средствата или при приключване на процедурата по събиране.</w:t>
      </w:r>
    </w:p>
    <w:p w14:paraId="16D423CD" w14:textId="77777777" w:rsidR="008A668D" w:rsidRPr="008A668D" w:rsidRDefault="008A668D" w:rsidP="008A668D">
      <w:pPr>
        <w:suppressAutoHyphens/>
        <w:spacing w:after="120"/>
        <w:rPr>
          <w:szCs w:val="24"/>
        </w:rPr>
      </w:pPr>
      <w:r w:rsidRPr="008A668D">
        <w:rPr>
          <w:szCs w:val="24"/>
        </w:rPr>
        <w:t>За дългове по финансови корекции, които не се дължат на пропуск на бенефициента и не подлежат на възстановяване от него, УО не  начислява лихви за просрочие.</w:t>
      </w:r>
    </w:p>
    <w:p w14:paraId="636E28DE" w14:textId="77777777" w:rsidR="008A668D" w:rsidRPr="008A668D" w:rsidRDefault="008A668D" w:rsidP="008A668D">
      <w:pPr>
        <w:suppressAutoHyphens/>
        <w:spacing w:after="120"/>
        <w:rPr>
          <w:szCs w:val="24"/>
        </w:rPr>
      </w:pPr>
      <w:r w:rsidRPr="008A668D">
        <w:rPr>
          <w:szCs w:val="24"/>
        </w:rPr>
        <w:t>За наложените финансови корекции преди изплащане на финансова подкрепа, в резултат на пропуски при провеждането на процедурите за възлагане на обществени поръчки, счетоводителят изготвя „Уведомително писмо за наложени финансови корекции/нередности преди изплащане на ФП на бенефициента“, с което  УО информира СО до 5-то число след края на отчетния период (</w:t>
      </w:r>
      <w:hyperlink r:id="rId221" w:tooltip="Уведомително писмо за наложени финансови корекции преди изплащане на ФП на бенефициента" w:history="1">
        <w:r w:rsidR="001718B3" w:rsidRPr="00251D03">
          <w:rPr>
            <w:i/>
            <w:iCs/>
            <w:color w:val="0000FF"/>
            <w:szCs w:val="24"/>
            <w:u w:val="single"/>
            <w:lang w:eastAsia="bg-BG"/>
          </w:rPr>
          <w:t>Приложение № 5.15</w:t>
        </w:r>
      </w:hyperlink>
      <w:r w:rsidRPr="008A668D">
        <w:rPr>
          <w:szCs w:val="24"/>
        </w:rPr>
        <w:t>)</w:t>
      </w:r>
    </w:p>
    <w:p w14:paraId="1422ABBC" w14:textId="77777777" w:rsidR="008A668D" w:rsidRDefault="008A668D" w:rsidP="008A668D">
      <w:pPr>
        <w:suppressAutoHyphens/>
        <w:spacing w:after="120"/>
        <w:rPr>
          <w:szCs w:val="24"/>
        </w:rPr>
      </w:pPr>
      <w:r w:rsidRPr="008A668D">
        <w:rPr>
          <w:szCs w:val="24"/>
        </w:rPr>
        <w:t xml:space="preserve">Приложениeто се изпраща по електронен път, с електронен подпис на адрес: </w:t>
      </w:r>
      <w:hyperlink r:id="rId222" w:history="1">
        <w:r w:rsidRPr="00FD100E">
          <w:rPr>
            <w:rStyle w:val="Hyperlink"/>
            <w:szCs w:val="24"/>
          </w:rPr>
          <w:t>natfund@minfin.bg</w:t>
        </w:r>
      </w:hyperlink>
      <w:r w:rsidRPr="008A668D">
        <w:rPr>
          <w:szCs w:val="24"/>
        </w:rPr>
        <w:t>.</w:t>
      </w:r>
    </w:p>
    <w:p w14:paraId="11231208" w14:textId="77777777" w:rsidR="000444CE" w:rsidRPr="001B0EA3" w:rsidRDefault="000444CE" w:rsidP="00046D61">
      <w:pPr>
        <w:suppressAutoHyphens/>
        <w:spacing w:after="120"/>
        <w:rPr>
          <w:b/>
          <w:i/>
          <w:color w:val="000000"/>
          <w:szCs w:val="24"/>
        </w:rPr>
      </w:pPr>
    </w:p>
    <w:p w14:paraId="0977825E" w14:textId="77777777" w:rsidR="000444CE" w:rsidRPr="001B0EA3" w:rsidRDefault="000444CE" w:rsidP="00046D61">
      <w:pPr>
        <w:suppressAutoHyphens/>
        <w:spacing w:after="120"/>
        <w:rPr>
          <w:szCs w:val="24"/>
        </w:rPr>
      </w:pPr>
    </w:p>
    <w:p w14:paraId="48D1123C" w14:textId="77777777" w:rsidR="000444CE" w:rsidRPr="001B0EA3" w:rsidRDefault="000444CE" w:rsidP="00046D61">
      <w:pPr>
        <w:spacing w:before="120"/>
        <w:rPr>
          <w:b/>
          <w:i/>
          <w:color w:val="000000"/>
          <w:szCs w:val="24"/>
        </w:rPr>
      </w:pPr>
      <w:r w:rsidRPr="001B0EA3">
        <w:rPr>
          <w:b/>
          <w:i/>
          <w:color w:val="000000"/>
          <w:szCs w:val="24"/>
        </w:rPr>
        <w:t xml:space="preserve">Осчетоводяване на възстановени от бенефициентите суми. </w:t>
      </w:r>
    </w:p>
    <w:p w14:paraId="17B56995" w14:textId="77777777" w:rsidR="008A668D" w:rsidRPr="003F14BF" w:rsidRDefault="008A668D" w:rsidP="00251D03">
      <w:pPr>
        <w:pStyle w:val="ListParagraph"/>
        <w:numPr>
          <w:ilvl w:val="0"/>
          <w:numId w:val="449"/>
        </w:numPr>
        <w:tabs>
          <w:tab w:val="left" w:pos="1134"/>
        </w:tabs>
        <w:ind w:left="0" w:firstLine="851"/>
        <w:rPr>
          <w:szCs w:val="24"/>
        </w:rPr>
      </w:pPr>
      <w:r w:rsidRPr="003F14BF">
        <w:rPr>
          <w:szCs w:val="24"/>
        </w:rPr>
        <w:t>Доброволно възстановяване от бенефициента на дължими суми.</w:t>
      </w:r>
    </w:p>
    <w:p w14:paraId="25A02E2E" w14:textId="77777777" w:rsidR="008A668D" w:rsidRPr="008A668D" w:rsidRDefault="008A668D" w:rsidP="00251D03">
      <w:pPr>
        <w:rPr>
          <w:szCs w:val="24"/>
        </w:rPr>
      </w:pPr>
      <w:r w:rsidRPr="008A668D">
        <w:rPr>
          <w:szCs w:val="24"/>
        </w:rPr>
        <w:t xml:space="preserve">При получаване на банково извлечение на сметка на управляващия орган, счетоводителят извършва осчетоводяване на постъпилите средства и извършения трансфер към дирекция „Национален фонд“. </w:t>
      </w:r>
    </w:p>
    <w:p w14:paraId="0D186545" w14:textId="77777777" w:rsidR="008A668D" w:rsidRDefault="008A668D" w:rsidP="00251D03">
      <w:pPr>
        <w:rPr>
          <w:szCs w:val="24"/>
        </w:rPr>
      </w:pPr>
    </w:p>
    <w:p w14:paraId="7BF1B146" w14:textId="77777777" w:rsidR="008A668D" w:rsidRPr="003F14BF" w:rsidRDefault="008A668D" w:rsidP="00251D03">
      <w:pPr>
        <w:pStyle w:val="ListParagraph"/>
        <w:numPr>
          <w:ilvl w:val="0"/>
          <w:numId w:val="449"/>
        </w:numPr>
        <w:tabs>
          <w:tab w:val="left" w:pos="1134"/>
        </w:tabs>
        <w:ind w:left="0" w:firstLine="851"/>
        <w:rPr>
          <w:szCs w:val="24"/>
        </w:rPr>
      </w:pPr>
      <w:r w:rsidRPr="004261A0">
        <w:rPr>
          <w:szCs w:val="24"/>
        </w:rPr>
        <w:t>Възстановяване на дължими суми чрез отнемане на разпределен и неусвоен лимит в СЕБРА.</w:t>
      </w:r>
    </w:p>
    <w:p w14:paraId="022AC6E4" w14:textId="77777777" w:rsidR="008A668D" w:rsidRDefault="008A668D" w:rsidP="008A668D">
      <w:pPr>
        <w:ind w:firstLine="709"/>
        <w:rPr>
          <w:szCs w:val="24"/>
        </w:rPr>
      </w:pPr>
      <w:r>
        <w:rPr>
          <w:szCs w:val="24"/>
        </w:rPr>
        <w:t>При получаване на информация от финансов експерт за намален лимит в СЕБРА счетоводителят разпечатва на хартиен носител документ от СЕБРА, в който е видна датата, на която е отнет лимита по проекта.</w:t>
      </w:r>
    </w:p>
    <w:p w14:paraId="3E1CC111" w14:textId="77777777" w:rsidR="008A668D" w:rsidRDefault="008A668D" w:rsidP="008A668D">
      <w:pPr>
        <w:ind w:firstLine="709"/>
        <w:rPr>
          <w:szCs w:val="24"/>
        </w:rPr>
      </w:pPr>
      <w:r w:rsidRPr="00EC1D45">
        <w:rPr>
          <w:szCs w:val="24"/>
        </w:rPr>
        <w:t>В случаите, в които във възстановените средства са включени и лихви за забава, осчетоводяването се извършва отделно за главницата и за лихвите. Извършените транзакции се удостоверяват от счетоводителя в мемориален ордер. Главният счетоводител извършва проверка на направените счетоводни записвания, която удостоверява с подпис върху мемориалния ордер.</w:t>
      </w:r>
    </w:p>
    <w:p w14:paraId="70277168" w14:textId="77777777" w:rsidR="008A668D" w:rsidRPr="003F14BF" w:rsidRDefault="008A668D" w:rsidP="008A668D">
      <w:pPr>
        <w:rPr>
          <w:szCs w:val="24"/>
          <w:u w:val="single"/>
        </w:rPr>
      </w:pPr>
      <w:r w:rsidRPr="003F14BF">
        <w:rPr>
          <w:szCs w:val="24"/>
        </w:rPr>
        <w:t>В случаите, в които е взето решение от ръководителя на УО за възстановяване на дължимите суми по регистрирана нередност, включително и дължимата върху тях лихва чрез прихващане от последващи плащания, на които бенефициентът има право, сумата на задължението се прихваща за сметка на плащането.</w:t>
      </w:r>
    </w:p>
    <w:p w14:paraId="34369785" w14:textId="77777777" w:rsidR="008A668D" w:rsidRDefault="008A668D" w:rsidP="00046D61">
      <w:pPr>
        <w:spacing w:before="120"/>
        <w:rPr>
          <w:szCs w:val="24"/>
        </w:rPr>
      </w:pPr>
      <w:r w:rsidRPr="008A668D">
        <w:rPr>
          <w:szCs w:val="24"/>
        </w:rPr>
        <w:t xml:space="preserve">УО предоставя информация на СО до 5 работни дни след датата на въвеждане на възстановяването, за осчетоводените възстановени вземания, както и за лихвите за просрочие (ако е приложимо) с електронно подписано </w:t>
      </w:r>
      <w:hyperlink r:id="rId223" w:tooltip="Уведомително писмо за осчетоводени оттеглени отписани или възстановени (прихванати) суми" w:history="1">
        <w:r w:rsidR="001718B3" w:rsidRPr="00251D03">
          <w:rPr>
            <w:i/>
            <w:iCs/>
            <w:color w:val="0000FF"/>
            <w:szCs w:val="24"/>
            <w:u w:val="single"/>
            <w:lang w:eastAsia="bg-BG"/>
          </w:rPr>
          <w:t>Приложение № 5.13</w:t>
        </w:r>
      </w:hyperlink>
      <w:r w:rsidRPr="008A668D">
        <w:rPr>
          <w:szCs w:val="24"/>
        </w:rPr>
        <w:t xml:space="preserve"> на адрес natfund@minfin.bg, което съдържа минимум следните параметри: фонд, оперативна програма, приоритетна ос, </w:t>
      </w:r>
      <w:r w:rsidRPr="008A668D">
        <w:rPr>
          <w:szCs w:val="24"/>
        </w:rPr>
        <w:lastRenderedPageBreak/>
        <w:t>процедура за предоставяне на БФП, административен договор или заповед за предоставяне на БФП, в т.ч. бюджетна линия, сума в лева, източници на финансиране, дата на постъпване на сумата по транзитната сметка на УО, дата на прихващане от последващо плащане към бенефициента.</w:t>
      </w:r>
    </w:p>
    <w:p w14:paraId="2D5FA328" w14:textId="04F6DBE8" w:rsidR="008A668D" w:rsidRDefault="008A668D" w:rsidP="00046D61">
      <w:pPr>
        <w:spacing w:before="120"/>
        <w:rPr>
          <w:szCs w:val="24"/>
        </w:rPr>
      </w:pPr>
      <w:r w:rsidRPr="008A668D">
        <w:rPr>
          <w:szCs w:val="24"/>
        </w:rPr>
        <w:t>При възстановяване на задължение по регистрирана нередност, началникът на отдел „Финансово управление” информира началника</w:t>
      </w:r>
      <w:r w:rsidR="00F011F7">
        <w:rPr>
          <w:szCs w:val="24"/>
        </w:rPr>
        <w:t xml:space="preserve"> на отдел „</w:t>
      </w:r>
      <w:r w:rsidR="002F32BB">
        <w:rPr>
          <w:szCs w:val="24"/>
        </w:rPr>
        <w:t>Управление на риска</w:t>
      </w:r>
      <w:r w:rsidRPr="008A668D">
        <w:rPr>
          <w:szCs w:val="24"/>
        </w:rPr>
        <w:t>“ за размера на възстановената сума с изпращането на “Уведомително писмо за възстановени (прихванати) суми по регистрирани нередности” (</w:t>
      </w:r>
      <w:hyperlink r:id="rId224" w:tooltip="Уведомително писмо за възстановени (прихванати) суми по регистрирани нередности" w:history="1">
        <w:r w:rsidR="001718B3" w:rsidRPr="00251D03">
          <w:rPr>
            <w:i/>
            <w:iCs/>
            <w:color w:val="0000FF"/>
            <w:szCs w:val="24"/>
            <w:u w:val="single"/>
            <w:lang w:eastAsia="bg-BG"/>
          </w:rPr>
          <w:t>Приложение № 5.14</w:t>
        </w:r>
      </w:hyperlink>
      <w:r w:rsidRPr="008A668D">
        <w:rPr>
          <w:szCs w:val="24"/>
        </w:rPr>
        <w:t>).</w:t>
      </w:r>
    </w:p>
    <w:p w14:paraId="49030734" w14:textId="77777777" w:rsidR="000444CE" w:rsidRPr="001B0EA3" w:rsidRDefault="000444CE" w:rsidP="00046D61">
      <w:pPr>
        <w:spacing w:before="120"/>
        <w:rPr>
          <w:color w:val="000000"/>
          <w:szCs w:val="24"/>
        </w:rPr>
      </w:pPr>
      <w:r w:rsidRPr="001B0EA3">
        <w:rPr>
          <w:szCs w:val="24"/>
        </w:rPr>
        <w:t>За осигуряване на информация за дължимите и възстановени суми (главница и</w:t>
      </w:r>
      <w:r w:rsidRPr="001B0EA3">
        <w:rPr>
          <w:color w:val="000000"/>
          <w:szCs w:val="24"/>
        </w:rPr>
        <w:t xml:space="preserve"> лихва) по ОПТТИ, както и тяхното счетоводно отразяване, УО поддържа в ИСУН 2020:</w:t>
      </w:r>
    </w:p>
    <w:p w14:paraId="14382F48" w14:textId="77777777" w:rsidR="000444CE" w:rsidRPr="001B0EA3" w:rsidRDefault="000444CE" w:rsidP="00046D61">
      <w:pPr>
        <w:numPr>
          <w:ilvl w:val="0"/>
          <w:numId w:val="63"/>
        </w:numPr>
        <w:ind w:left="714" w:hanging="357"/>
        <w:rPr>
          <w:b/>
          <w:i/>
          <w:szCs w:val="24"/>
        </w:rPr>
      </w:pPr>
      <w:r w:rsidRPr="001B0EA3">
        <w:rPr>
          <w:color w:val="000000"/>
          <w:szCs w:val="24"/>
        </w:rPr>
        <w:t xml:space="preserve">Книга на длъжниците (КД) </w:t>
      </w:r>
      <w:r w:rsidRPr="001B0EA3">
        <w:rPr>
          <w:b/>
          <w:i/>
          <w:szCs w:val="24"/>
        </w:rPr>
        <w:t>(</w:t>
      </w:r>
      <w:hyperlink r:id="rId225" w:tooltip="Книга на длъжниците" w:history="1">
        <w:r w:rsidR="001718B3" w:rsidRPr="00251D03">
          <w:rPr>
            <w:i/>
            <w:iCs/>
            <w:color w:val="0000FF"/>
            <w:szCs w:val="24"/>
            <w:u w:val="single"/>
            <w:lang w:eastAsia="bg-BG"/>
          </w:rPr>
          <w:t>Приложение № 5.16.1</w:t>
        </w:r>
      </w:hyperlink>
      <w:r w:rsidRPr="001B0EA3">
        <w:rPr>
          <w:b/>
          <w:i/>
          <w:szCs w:val="24"/>
        </w:rPr>
        <w:t>)</w:t>
      </w:r>
    </w:p>
    <w:p w14:paraId="4A7AAB62" w14:textId="77777777" w:rsidR="000444CE" w:rsidRPr="001B0EA3" w:rsidRDefault="000444CE" w:rsidP="00046D61">
      <w:pPr>
        <w:numPr>
          <w:ilvl w:val="0"/>
          <w:numId w:val="63"/>
        </w:numPr>
        <w:ind w:left="714" w:hanging="357"/>
        <w:rPr>
          <w:b/>
          <w:i/>
          <w:szCs w:val="24"/>
        </w:rPr>
      </w:pPr>
      <w:r w:rsidRPr="001B0EA3">
        <w:rPr>
          <w:color w:val="000000"/>
          <w:szCs w:val="24"/>
        </w:rPr>
        <w:t xml:space="preserve">Книга на длъжниците (КД) за системни пропуски  </w:t>
      </w:r>
      <w:r w:rsidRPr="001B0EA3">
        <w:rPr>
          <w:b/>
          <w:i/>
          <w:szCs w:val="24"/>
        </w:rPr>
        <w:t>(</w:t>
      </w:r>
      <w:hyperlink r:id="rId226" w:tooltip="Книга на длъжниците за наложени плоски финансови корекции" w:history="1">
        <w:r w:rsidR="001718B3" w:rsidRPr="00251D03">
          <w:rPr>
            <w:i/>
            <w:iCs/>
            <w:color w:val="0000FF"/>
            <w:szCs w:val="24"/>
            <w:u w:val="single"/>
            <w:lang w:eastAsia="bg-BG"/>
          </w:rPr>
          <w:t>Приложение № 5.16.2</w:t>
        </w:r>
      </w:hyperlink>
      <w:r w:rsidRPr="001B0EA3">
        <w:rPr>
          <w:b/>
          <w:i/>
          <w:szCs w:val="24"/>
        </w:rPr>
        <w:t>)</w:t>
      </w:r>
    </w:p>
    <w:p w14:paraId="5F0D9A5A" w14:textId="77777777" w:rsidR="000444CE" w:rsidRPr="001B0EA3" w:rsidRDefault="000444CE" w:rsidP="00046D61">
      <w:pPr>
        <w:spacing w:before="120"/>
        <w:rPr>
          <w:color w:val="000000"/>
          <w:szCs w:val="24"/>
        </w:rPr>
      </w:pPr>
      <w:r w:rsidRPr="001B0EA3">
        <w:rPr>
          <w:color w:val="000000"/>
          <w:szCs w:val="24"/>
        </w:rPr>
        <w:t>КД се водят в стандартни формати, разработени в ИСУН 2020 и включват всички дългове, възникнали при изпълнението на ОПТТИ.</w:t>
      </w:r>
    </w:p>
    <w:p w14:paraId="27E7610A" w14:textId="77777777" w:rsidR="000444CE" w:rsidRPr="001B0EA3" w:rsidRDefault="000444CE" w:rsidP="00046D61">
      <w:pPr>
        <w:spacing w:before="120"/>
        <w:rPr>
          <w:color w:val="000000"/>
          <w:szCs w:val="24"/>
        </w:rPr>
      </w:pPr>
      <w:r w:rsidRPr="001B0EA3">
        <w:rPr>
          <w:color w:val="000000"/>
          <w:szCs w:val="24"/>
        </w:rPr>
        <w:t>Счетоводителят попълва/актуализира текущо с информация за дълговете КД и КД за системни пропуски в ИСУН 2020. Новорегистрираните дългове се въвеждат текущо в КД в ИСУН 2020 и в счетоводната система, като датата на регистриране на дълг в КД или в КД за системни пропуски е датата, на която дългът се въвежда и в счетоводната система на УО.</w:t>
      </w:r>
    </w:p>
    <w:p w14:paraId="72827726" w14:textId="77777777" w:rsidR="000444CE" w:rsidRPr="001B0EA3" w:rsidRDefault="000444CE" w:rsidP="00046D61">
      <w:pPr>
        <w:spacing w:before="120"/>
        <w:rPr>
          <w:color w:val="000000"/>
          <w:szCs w:val="24"/>
        </w:rPr>
      </w:pPr>
      <w:r w:rsidRPr="001B0EA3">
        <w:rPr>
          <w:color w:val="000000"/>
          <w:szCs w:val="24"/>
        </w:rPr>
        <w:t>Възстановените суми по всеки един дълг, включително възстановените суми чрез прихващане от последващи дължими плащания към бенефициента, се въвеждат текущо в КД или КД за системни пропуски в ИСУН 2020 и в счетоводната система, като датата на възстановяване на дълга в КД или КД за системни пропуски в ИСУН 2020 е датата, на която дългът се отчита като възстановен и в счетоводната система на УО. Възстановената сума се разпределя на “главница” и “лихва” (ако е приложимо), включително се разпределя и по източници на финансиране. Информацията за дължимите лихви за просрочие по невъзстановени дългове се актуализира/доначислява на месечна база от УО. УО вписва в КД в ИСУН 2020 калкулираната лихва за просрочие за текущия месец, като при частично възстановяване на средства, лихвата следва да се преизчисли съобразно намаления размер на главницата и оставащото време до края на текущия месец.</w:t>
      </w:r>
    </w:p>
    <w:p w14:paraId="1221E7B1" w14:textId="77777777" w:rsidR="000444CE" w:rsidRPr="001B0EA3" w:rsidRDefault="000444CE" w:rsidP="00046D61">
      <w:pPr>
        <w:spacing w:before="120"/>
        <w:rPr>
          <w:b/>
          <w:i/>
          <w:color w:val="000000"/>
          <w:szCs w:val="24"/>
        </w:rPr>
      </w:pPr>
      <w:r w:rsidRPr="001B0EA3">
        <w:rPr>
          <w:color w:val="000000"/>
          <w:szCs w:val="24"/>
        </w:rPr>
        <w:t xml:space="preserve">След края на всеки месец при приключване на актуализацията на КД и КД за системни пропуски в ИСУН 2020 за нововъзникналите дългове, възстановените суми, включително и за възстановените лихви за просрочие, се извършва равнение на информацията, въведена в КД и КД за системни пропуски със съответстващата ú в счетоводната система чрез процедура по равнение на информацията, която се оформя в Контролен лист за проверка – месечен контрол на счетоводните операции </w:t>
      </w:r>
      <w:r w:rsidRPr="001B0EA3">
        <w:rPr>
          <w:b/>
          <w:i/>
          <w:color w:val="000000"/>
          <w:szCs w:val="24"/>
        </w:rPr>
        <w:t>(</w:t>
      </w:r>
      <w:hyperlink r:id="rId227" w:tooltip="Контролен лист за проверка - месечен контрол на счетоводните операции" w:history="1">
        <w:r w:rsidR="001718B3" w:rsidRPr="00251D03">
          <w:rPr>
            <w:i/>
            <w:iCs/>
            <w:color w:val="0000FF"/>
            <w:szCs w:val="24"/>
            <w:u w:val="single"/>
            <w:lang w:eastAsia="bg-BG"/>
          </w:rPr>
          <w:t>Приложение № 5.08</w:t>
        </w:r>
      </w:hyperlink>
      <w:r w:rsidRPr="001B0EA3">
        <w:rPr>
          <w:b/>
          <w:i/>
          <w:color w:val="000000"/>
          <w:szCs w:val="24"/>
        </w:rPr>
        <w:t>).</w:t>
      </w:r>
    </w:p>
    <w:p w14:paraId="39C22095" w14:textId="77777777" w:rsidR="000444CE" w:rsidRPr="001B0EA3" w:rsidRDefault="000444CE" w:rsidP="00046D61">
      <w:pPr>
        <w:spacing w:before="120"/>
        <w:rPr>
          <w:color w:val="000000"/>
          <w:szCs w:val="24"/>
        </w:rPr>
      </w:pPr>
      <w:r w:rsidRPr="001B0EA3">
        <w:rPr>
          <w:color w:val="000000"/>
          <w:szCs w:val="24"/>
        </w:rPr>
        <w:t xml:space="preserve">Информацията към края на всеки месец се пренася като начална информация за следващия месец. </w:t>
      </w:r>
    </w:p>
    <w:p w14:paraId="6768BF34" w14:textId="77777777" w:rsidR="000444CE" w:rsidRPr="001B0EA3" w:rsidRDefault="000444CE" w:rsidP="00046D61">
      <w:pPr>
        <w:spacing w:before="120"/>
        <w:rPr>
          <w:color w:val="000000"/>
          <w:szCs w:val="24"/>
        </w:rPr>
      </w:pPr>
      <w:r w:rsidRPr="001B0EA3">
        <w:rPr>
          <w:color w:val="000000"/>
          <w:szCs w:val="24"/>
        </w:rPr>
        <w:t xml:space="preserve">В КД в ИСУН 2020 за всеки дълг се вписва информация за ДСДДР, в който за първи път е бил включен, съответно за ДСДДР от който дължимата сума, включително начислените лихви (ако е приложимо), е приспадната от УО. </w:t>
      </w:r>
    </w:p>
    <w:p w14:paraId="387C2E3E" w14:textId="77777777" w:rsidR="000444CE" w:rsidRPr="001B0EA3" w:rsidRDefault="000444CE" w:rsidP="00046D61">
      <w:pPr>
        <w:spacing w:before="120"/>
        <w:rPr>
          <w:szCs w:val="24"/>
        </w:rPr>
      </w:pPr>
      <w:r w:rsidRPr="001B0EA3">
        <w:rPr>
          <w:color w:val="000000"/>
          <w:szCs w:val="24"/>
        </w:rPr>
        <w:t>Форматът на КД и КД за системни пропуски</w:t>
      </w:r>
      <w:r w:rsidRPr="001B0EA3">
        <w:rPr>
          <w:szCs w:val="24"/>
        </w:rPr>
        <w:t xml:space="preserve"> не подлежи на изменение. При необходимост от включване на пояснителна информация, УО разписва коментар.</w:t>
      </w:r>
    </w:p>
    <w:p w14:paraId="0F06E023" w14:textId="77777777" w:rsidR="000444CE" w:rsidRPr="001B0EA3" w:rsidRDefault="000444CE" w:rsidP="00046D61">
      <w:pPr>
        <w:spacing w:before="120"/>
        <w:rPr>
          <w:b/>
          <w:i/>
          <w:color w:val="000000"/>
          <w:szCs w:val="24"/>
        </w:rPr>
      </w:pPr>
      <w:r w:rsidRPr="001B0EA3">
        <w:rPr>
          <w:b/>
          <w:i/>
          <w:color w:val="000000"/>
          <w:szCs w:val="24"/>
        </w:rPr>
        <w:t>Осчетоводяване на приходи от лихви, глоби, санкции и неустойки.</w:t>
      </w:r>
    </w:p>
    <w:p w14:paraId="15D14980" w14:textId="77777777" w:rsidR="000444CE" w:rsidRPr="001B0EA3" w:rsidRDefault="000444CE" w:rsidP="00046D61">
      <w:pPr>
        <w:widowControl w:val="0"/>
        <w:tabs>
          <w:tab w:val="num" w:pos="2340"/>
        </w:tabs>
        <w:autoSpaceDE w:val="0"/>
        <w:autoSpaceDN w:val="0"/>
        <w:adjustRightInd w:val="0"/>
        <w:spacing w:before="120"/>
        <w:rPr>
          <w:color w:val="000000"/>
          <w:szCs w:val="24"/>
          <w:lang w:eastAsia="bg-BG"/>
        </w:rPr>
      </w:pPr>
      <w:r w:rsidRPr="001B0EA3">
        <w:rPr>
          <w:color w:val="000000"/>
          <w:szCs w:val="24"/>
          <w:lang w:eastAsia="bg-BG"/>
        </w:rPr>
        <w:t>При постъпване на суми от глоби, санкции, неустойки и активирани банкови гаранции по сметка на УО, Главният счетоводител предава на счетоводителя полученото банково извлечение. Счетоводителят отразява съответните счетоводни транзакции за получените средства и извършения трансфер към НФ.</w:t>
      </w:r>
    </w:p>
    <w:p w14:paraId="18FD827A" w14:textId="77777777" w:rsidR="000444CE" w:rsidRPr="001B0EA3" w:rsidRDefault="000444CE" w:rsidP="00046D61">
      <w:pPr>
        <w:spacing w:before="120"/>
        <w:rPr>
          <w:color w:val="000000"/>
          <w:szCs w:val="24"/>
        </w:rPr>
      </w:pPr>
      <w:r w:rsidRPr="001B0EA3">
        <w:rPr>
          <w:color w:val="000000"/>
          <w:szCs w:val="24"/>
        </w:rPr>
        <w:lastRenderedPageBreak/>
        <w:t>Извършените транзакции се удостоверяват от счетоводителя в мемориален ордер. Главният счетоводител извършва проверка на направените счетоводни записвания, която удостоверява с подпис върху мемориалния ордер.</w:t>
      </w:r>
    </w:p>
    <w:p w14:paraId="50834707" w14:textId="77777777" w:rsidR="001718B3" w:rsidRPr="001B0EA3" w:rsidRDefault="000444CE" w:rsidP="001718B3">
      <w:pPr>
        <w:tabs>
          <w:tab w:val="num" w:pos="0"/>
        </w:tabs>
        <w:spacing w:before="120"/>
        <w:rPr>
          <w:szCs w:val="24"/>
          <w:lang w:eastAsia="bg-BG"/>
        </w:rPr>
      </w:pPr>
      <w:r w:rsidRPr="001B0EA3">
        <w:rPr>
          <w:szCs w:val="24"/>
        </w:rPr>
        <w:t xml:space="preserve">В случаите, когато по сметките на Сертифициращия орган се възстановяват средства, УO предоставя информация за вида на възстановените средства до 5 работни дни след датата на постъпването им по транзитната сметка на Управляващия орган на адрес </w:t>
      </w:r>
      <w:hyperlink r:id="rId228" w:history="1">
        <w:r w:rsidRPr="001B0EA3">
          <w:rPr>
            <w:b/>
            <w:szCs w:val="24"/>
            <w:u w:val="single"/>
          </w:rPr>
          <w:t>natfund@minfin.bg</w:t>
        </w:r>
      </w:hyperlink>
      <w:r w:rsidRPr="001B0EA3">
        <w:rPr>
          <w:szCs w:val="24"/>
        </w:rPr>
        <w:t xml:space="preserve"> с електронно подписано </w:t>
      </w:r>
      <w:hyperlink r:id="rId229" w:tooltip="Уведомително писмо за осчетоводени оттеглени отписани или възстановени (прихванати) суми" w:history="1">
        <w:r w:rsidR="001718B3" w:rsidRPr="00251D03">
          <w:rPr>
            <w:i/>
            <w:iCs/>
            <w:color w:val="0000FF"/>
            <w:szCs w:val="24"/>
            <w:u w:val="single"/>
            <w:lang w:eastAsia="bg-BG"/>
          </w:rPr>
          <w:t>Приложение № 5.13</w:t>
        </w:r>
      </w:hyperlink>
      <w:r w:rsidR="001718B3" w:rsidRPr="001B0EA3">
        <w:rPr>
          <w:szCs w:val="24"/>
          <w:lang w:eastAsia="bg-BG"/>
        </w:rPr>
        <w:t>.</w:t>
      </w:r>
    </w:p>
    <w:p w14:paraId="5748C709" w14:textId="77777777" w:rsidR="000444CE" w:rsidRPr="00AE381A" w:rsidRDefault="000444CE" w:rsidP="00046D61">
      <w:pPr>
        <w:suppressAutoHyphens/>
        <w:spacing w:after="120"/>
        <w:rPr>
          <w:b/>
          <w:i/>
          <w:szCs w:val="24"/>
        </w:rPr>
      </w:pPr>
    </w:p>
    <w:p w14:paraId="1E0888E7" w14:textId="77777777" w:rsidR="000444CE" w:rsidRPr="001B0EA3" w:rsidRDefault="000444CE" w:rsidP="00046D61">
      <w:pPr>
        <w:spacing w:before="120"/>
        <w:rPr>
          <w:b/>
          <w:i/>
          <w:color w:val="000000"/>
          <w:szCs w:val="24"/>
        </w:rPr>
      </w:pPr>
      <w:r w:rsidRPr="001B0EA3">
        <w:rPr>
          <w:b/>
          <w:i/>
          <w:color w:val="000000"/>
          <w:szCs w:val="24"/>
        </w:rPr>
        <w:t>Отписване на невъзстановими дългове.</w:t>
      </w:r>
    </w:p>
    <w:p w14:paraId="4878B738" w14:textId="77777777" w:rsidR="000444CE" w:rsidRPr="001B0EA3" w:rsidRDefault="000444CE" w:rsidP="00046D61">
      <w:pPr>
        <w:tabs>
          <w:tab w:val="num" w:pos="0"/>
        </w:tabs>
        <w:spacing w:before="120"/>
        <w:rPr>
          <w:szCs w:val="24"/>
          <w:lang w:eastAsia="bg-BG"/>
        </w:rPr>
      </w:pPr>
      <w:r w:rsidRPr="001B0EA3">
        <w:rPr>
          <w:szCs w:val="24"/>
          <w:lang w:eastAsia="bg-BG"/>
        </w:rPr>
        <w:t>Отписването на невъзстановен дълг се извършва с решение на ръководителя на УО, което определя невъзстановения дълг като невъзстановим и определя начина на разпределяне на загубата. Началникът на отдел „Финансово управление” предава копие на решението на Главния счетоводител. Счетоводителят отписва дължимите суми от счетоводната система на УО.</w:t>
      </w:r>
    </w:p>
    <w:p w14:paraId="5A19CD1D" w14:textId="77777777" w:rsidR="000444CE" w:rsidRPr="001B0EA3" w:rsidRDefault="000444CE" w:rsidP="00046D61">
      <w:pPr>
        <w:widowControl w:val="0"/>
        <w:tabs>
          <w:tab w:val="num" w:pos="800"/>
        </w:tabs>
        <w:autoSpaceDE w:val="0"/>
        <w:autoSpaceDN w:val="0"/>
        <w:adjustRightInd w:val="0"/>
        <w:spacing w:before="120"/>
        <w:rPr>
          <w:b/>
          <w:i/>
          <w:color w:val="000000"/>
          <w:szCs w:val="24"/>
          <w:lang w:eastAsia="bg-BG"/>
        </w:rPr>
      </w:pPr>
    </w:p>
    <w:p w14:paraId="2ADEAF59" w14:textId="77777777" w:rsidR="000444CE" w:rsidRPr="001B0EA3" w:rsidRDefault="000444CE" w:rsidP="00656CB4">
      <w:pPr>
        <w:pStyle w:val="Style3"/>
      </w:pPr>
      <w:bookmarkStart w:id="1176" w:name="_Toc479775742"/>
      <w:r w:rsidRPr="001B0EA3">
        <w:t>Приключвателна процедура</w:t>
      </w:r>
      <w:bookmarkEnd w:id="1176"/>
    </w:p>
    <w:p w14:paraId="3BF9ACB1" w14:textId="77777777" w:rsidR="000444CE" w:rsidRPr="001B0EA3" w:rsidRDefault="000444CE" w:rsidP="00046D61">
      <w:pPr>
        <w:tabs>
          <w:tab w:val="num" w:pos="0"/>
        </w:tabs>
        <w:spacing w:before="120"/>
        <w:rPr>
          <w:szCs w:val="24"/>
          <w:lang w:eastAsia="bg-BG"/>
        </w:rPr>
      </w:pPr>
      <w:r w:rsidRPr="001B0EA3">
        <w:rPr>
          <w:szCs w:val="24"/>
          <w:lang w:eastAsia="bg-BG"/>
        </w:rPr>
        <w:t>Приключването на финансовата година и изготвянето на годишния финансов отчет се извършва при спазване указанията на Министъра на финансите за годишното приключване в бюджетните организации.</w:t>
      </w:r>
    </w:p>
    <w:p w14:paraId="7462E773" w14:textId="77777777" w:rsidR="000444CE" w:rsidRPr="001B0EA3" w:rsidRDefault="000444CE" w:rsidP="00046D61">
      <w:pPr>
        <w:tabs>
          <w:tab w:val="num" w:pos="0"/>
        </w:tabs>
        <w:spacing w:before="120"/>
        <w:rPr>
          <w:szCs w:val="24"/>
          <w:lang w:eastAsia="bg-BG"/>
        </w:rPr>
      </w:pPr>
      <w:r w:rsidRPr="001B0EA3">
        <w:rPr>
          <w:szCs w:val="24"/>
          <w:lang w:eastAsia="bg-BG"/>
        </w:rPr>
        <w:t>Счетоводителят събира необходимата информация през цялата година и своевременно я обработва при спазване на утвърдените процедури и принципи. Текущо през годината не се извършват процедури по приключване на приходните и разходните сметки, както и на задбалансовите сметки за отчитане на потоци. Приключването им се осъществява само към края на финансовата година след изготвяне на оборотните ведомости и друга отчетна информация за дирекция "Национален фонд".</w:t>
      </w:r>
    </w:p>
    <w:p w14:paraId="11562F3A" w14:textId="77777777" w:rsidR="000444CE" w:rsidRPr="001B0EA3" w:rsidRDefault="000444CE" w:rsidP="00046D61">
      <w:pPr>
        <w:tabs>
          <w:tab w:val="num" w:pos="0"/>
        </w:tabs>
        <w:spacing w:before="120"/>
        <w:rPr>
          <w:szCs w:val="24"/>
          <w:lang w:eastAsia="bg-BG"/>
        </w:rPr>
      </w:pPr>
      <w:r w:rsidRPr="001B0EA3">
        <w:rPr>
          <w:szCs w:val="24"/>
          <w:lang w:eastAsia="bg-BG"/>
        </w:rPr>
        <w:t>Счетоводителят изготвя оборотна ведомост с данни за състоянието по сметките преди операциите по приключването им, като преди това извършва следните действия:</w:t>
      </w:r>
    </w:p>
    <w:p w14:paraId="325E6EB5" w14:textId="77777777" w:rsidR="000444CE" w:rsidRPr="001B0EA3" w:rsidRDefault="000444CE" w:rsidP="00046D61">
      <w:pPr>
        <w:widowControl w:val="0"/>
        <w:numPr>
          <w:ilvl w:val="0"/>
          <w:numId w:val="67"/>
        </w:numPr>
        <w:tabs>
          <w:tab w:val="left" w:pos="1134"/>
        </w:tabs>
        <w:autoSpaceDE w:val="0"/>
        <w:autoSpaceDN w:val="0"/>
        <w:adjustRightInd w:val="0"/>
        <w:ind w:left="0" w:firstLine="851"/>
        <w:rPr>
          <w:color w:val="000000"/>
          <w:szCs w:val="24"/>
          <w:lang w:eastAsia="bg-BG"/>
        </w:rPr>
      </w:pPr>
      <w:r w:rsidRPr="001B0EA3">
        <w:rPr>
          <w:color w:val="000000"/>
          <w:szCs w:val="24"/>
          <w:lang w:eastAsia="bg-BG"/>
        </w:rPr>
        <w:t>преглеждане на първичните счетоводни документи и привеждането им във вид, съобразен с изискванията на Закона за счетоводството</w:t>
      </w:r>
    </w:p>
    <w:p w14:paraId="6BC9D6CA" w14:textId="77777777" w:rsidR="000444CE" w:rsidRPr="001B0EA3" w:rsidRDefault="000444CE" w:rsidP="00046D61">
      <w:pPr>
        <w:widowControl w:val="0"/>
        <w:numPr>
          <w:ilvl w:val="0"/>
          <w:numId w:val="67"/>
        </w:numPr>
        <w:tabs>
          <w:tab w:val="left" w:pos="1134"/>
        </w:tabs>
        <w:autoSpaceDE w:val="0"/>
        <w:autoSpaceDN w:val="0"/>
        <w:adjustRightInd w:val="0"/>
        <w:ind w:left="0" w:firstLine="851"/>
        <w:rPr>
          <w:color w:val="000000"/>
          <w:szCs w:val="24"/>
          <w:lang w:eastAsia="bg-BG"/>
        </w:rPr>
      </w:pPr>
      <w:r w:rsidRPr="001B0EA3">
        <w:rPr>
          <w:color w:val="000000"/>
          <w:szCs w:val="24"/>
          <w:lang w:eastAsia="bg-BG"/>
        </w:rPr>
        <w:t>издирване и привеждане в известност на документи, свързани с взаимоотношенията с бенефициентите и СО, издадени след 31 декември на текущата година, ако те се отнасят за операции от текущата година</w:t>
      </w:r>
    </w:p>
    <w:p w14:paraId="3941F6B3" w14:textId="77777777" w:rsidR="000444CE" w:rsidRPr="001B0EA3" w:rsidRDefault="000444CE" w:rsidP="00046D61">
      <w:pPr>
        <w:widowControl w:val="0"/>
        <w:numPr>
          <w:ilvl w:val="0"/>
          <w:numId w:val="67"/>
        </w:numPr>
        <w:tabs>
          <w:tab w:val="left" w:pos="1134"/>
        </w:tabs>
        <w:autoSpaceDE w:val="0"/>
        <w:autoSpaceDN w:val="0"/>
        <w:adjustRightInd w:val="0"/>
        <w:ind w:left="0" w:firstLine="851"/>
        <w:rPr>
          <w:color w:val="000000"/>
          <w:szCs w:val="24"/>
          <w:lang w:eastAsia="bg-BG"/>
        </w:rPr>
      </w:pPr>
      <w:r w:rsidRPr="001B0EA3">
        <w:rPr>
          <w:color w:val="000000"/>
          <w:szCs w:val="24"/>
          <w:lang w:eastAsia="bg-BG"/>
        </w:rPr>
        <w:t>счетоводно отразяване на цялата документация, съставена на основата на извършената дейност</w:t>
      </w:r>
    </w:p>
    <w:p w14:paraId="32A1F97C" w14:textId="77777777" w:rsidR="000444CE" w:rsidRPr="001B0EA3" w:rsidRDefault="000444CE" w:rsidP="00046D61">
      <w:pPr>
        <w:widowControl w:val="0"/>
        <w:numPr>
          <w:ilvl w:val="0"/>
          <w:numId w:val="67"/>
        </w:numPr>
        <w:tabs>
          <w:tab w:val="left" w:pos="1134"/>
        </w:tabs>
        <w:autoSpaceDE w:val="0"/>
        <w:autoSpaceDN w:val="0"/>
        <w:adjustRightInd w:val="0"/>
        <w:ind w:left="0" w:firstLine="851"/>
        <w:rPr>
          <w:color w:val="000000"/>
          <w:szCs w:val="24"/>
          <w:lang w:eastAsia="bg-BG"/>
        </w:rPr>
      </w:pPr>
      <w:r w:rsidRPr="001B0EA3">
        <w:rPr>
          <w:color w:val="000000"/>
          <w:szCs w:val="24"/>
          <w:lang w:eastAsia="bg-BG"/>
        </w:rPr>
        <w:t>проверка на правилността на счетоводните записвания при отразяване на приходите.</w:t>
      </w:r>
    </w:p>
    <w:p w14:paraId="0AECD654" w14:textId="77777777" w:rsidR="000444CE" w:rsidRPr="001B0EA3" w:rsidRDefault="000444CE" w:rsidP="00046D61">
      <w:pPr>
        <w:tabs>
          <w:tab w:val="num" w:pos="0"/>
        </w:tabs>
        <w:spacing w:before="120"/>
        <w:rPr>
          <w:szCs w:val="24"/>
          <w:lang w:eastAsia="bg-BG"/>
        </w:rPr>
      </w:pPr>
      <w:r w:rsidRPr="001B0EA3">
        <w:rPr>
          <w:color w:val="000000"/>
          <w:szCs w:val="24"/>
        </w:rPr>
        <w:t xml:space="preserve">Счетоводителят предава оборотната ведомост за проверка на Главния </w:t>
      </w:r>
      <w:r w:rsidRPr="001B0EA3">
        <w:rPr>
          <w:szCs w:val="24"/>
          <w:lang w:eastAsia="bg-BG"/>
        </w:rPr>
        <w:t xml:space="preserve">счетоводител, началника на отдел „Финансово управление” и на ръководителя на УО. След извършване на проверката оборотната ведомост се изпраща на дирекция "Национален фонд". </w:t>
      </w:r>
    </w:p>
    <w:p w14:paraId="3AE7048C" w14:textId="77777777" w:rsidR="000444CE" w:rsidRPr="001B0EA3" w:rsidRDefault="000444CE" w:rsidP="00046D61">
      <w:pPr>
        <w:tabs>
          <w:tab w:val="num" w:pos="0"/>
        </w:tabs>
        <w:spacing w:before="120"/>
        <w:rPr>
          <w:szCs w:val="24"/>
          <w:lang w:eastAsia="bg-BG"/>
        </w:rPr>
      </w:pPr>
      <w:r w:rsidRPr="001B0EA3">
        <w:rPr>
          <w:szCs w:val="24"/>
          <w:lang w:eastAsia="bg-BG"/>
        </w:rPr>
        <w:t>Годишният финансов отчет отразява всички факти, явления и процеси, настъпили и протекли в УО на ОПТТИ през отчетния период. Същият представя вярно и точно имущественото и финансовото състояние и промените в паричните потоци. За годишния финансов отчет се прилага формата и съдържанието, определени в Указания на Дирекция „Държавно съкровище” на МФ.</w:t>
      </w:r>
    </w:p>
    <w:p w14:paraId="4BA632E5" w14:textId="77777777" w:rsidR="000444CE" w:rsidRPr="001B0EA3" w:rsidRDefault="000444CE" w:rsidP="00046D61">
      <w:pPr>
        <w:tabs>
          <w:tab w:val="num" w:pos="0"/>
        </w:tabs>
        <w:spacing w:before="120"/>
        <w:rPr>
          <w:szCs w:val="24"/>
          <w:lang w:eastAsia="bg-BG"/>
        </w:rPr>
      </w:pPr>
      <w:r w:rsidRPr="001B0EA3">
        <w:rPr>
          <w:szCs w:val="24"/>
          <w:lang w:eastAsia="bg-BG"/>
        </w:rPr>
        <w:t xml:space="preserve">Годишния финансов отчет се проверява от Главния счетоводител и от началника на отдел „Финансово управление” и се одобрява от ръководителя на УО на ОПТТИ. </w:t>
      </w:r>
    </w:p>
    <w:p w14:paraId="41FB5255" w14:textId="77777777" w:rsidR="000444CE" w:rsidRPr="001B0EA3" w:rsidRDefault="000444CE" w:rsidP="00046D61">
      <w:pPr>
        <w:tabs>
          <w:tab w:val="num" w:pos="0"/>
        </w:tabs>
        <w:spacing w:before="120"/>
        <w:rPr>
          <w:b/>
          <w:i/>
          <w:szCs w:val="24"/>
          <w:lang w:eastAsia="bg-BG"/>
        </w:rPr>
      </w:pPr>
      <w:r w:rsidRPr="001B0EA3">
        <w:rPr>
          <w:szCs w:val="24"/>
          <w:lang w:eastAsia="bg-BG"/>
        </w:rPr>
        <w:lastRenderedPageBreak/>
        <w:t xml:space="preserve">Проверката на Годишния финансов отчет се удостоверява с попълването на контролен лист за Годишен финансов отчет </w:t>
      </w:r>
      <w:r w:rsidRPr="001B0EA3">
        <w:rPr>
          <w:b/>
          <w:i/>
          <w:szCs w:val="24"/>
          <w:lang w:eastAsia="bg-BG"/>
        </w:rPr>
        <w:t>(</w:t>
      </w:r>
      <w:hyperlink r:id="rId230" w:tooltip="Контролен лист за проверка на годишен финансов отчет" w:history="1">
        <w:r w:rsidR="001718B3" w:rsidRPr="00251D03">
          <w:rPr>
            <w:i/>
            <w:iCs/>
            <w:color w:val="0000FF"/>
            <w:szCs w:val="24"/>
            <w:u w:val="single"/>
            <w:lang w:eastAsia="bg-BG"/>
          </w:rPr>
          <w:t>Приложение № 5.20</w:t>
        </w:r>
      </w:hyperlink>
      <w:r w:rsidRPr="001B0EA3">
        <w:rPr>
          <w:b/>
          <w:i/>
          <w:szCs w:val="24"/>
          <w:lang w:eastAsia="bg-BG"/>
        </w:rPr>
        <w:t>).</w:t>
      </w:r>
    </w:p>
    <w:p w14:paraId="61926A3B" w14:textId="77777777" w:rsidR="000444CE" w:rsidRPr="001B0EA3" w:rsidRDefault="000444CE" w:rsidP="00046D61">
      <w:pPr>
        <w:tabs>
          <w:tab w:val="num" w:pos="0"/>
        </w:tabs>
        <w:spacing w:before="120"/>
        <w:rPr>
          <w:szCs w:val="24"/>
          <w:lang w:eastAsia="bg-BG"/>
        </w:rPr>
      </w:pPr>
      <w:r w:rsidRPr="001B0EA3">
        <w:rPr>
          <w:szCs w:val="24"/>
          <w:lang w:eastAsia="bg-BG"/>
        </w:rPr>
        <w:t>Годишния финансов отчет се подписва от Главния счетоводител и от Ръководителя на УО.</w:t>
      </w:r>
    </w:p>
    <w:p w14:paraId="49025417" w14:textId="77777777" w:rsidR="000444CE" w:rsidRPr="001B0EA3" w:rsidRDefault="000444CE" w:rsidP="00046D61">
      <w:pPr>
        <w:rPr>
          <w:b/>
          <w:color w:val="000000"/>
          <w:szCs w:val="24"/>
        </w:rPr>
      </w:pPr>
    </w:p>
    <w:p w14:paraId="7960DD74" w14:textId="77777777" w:rsidR="000444CE" w:rsidRPr="001B0EA3" w:rsidRDefault="000444CE" w:rsidP="00656CB4">
      <w:pPr>
        <w:pStyle w:val="Style3"/>
      </w:pPr>
      <w:r w:rsidRPr="00842ECC">
        <w:rPr>
          <w:lang w:val="bg-BG"/>
        </w:rPr>
        <w:t xml:space="preserve"> </w:t>
      </w:r>
      <w:bookmarkStart w:id="1177" w:name="_Toc479775743"/>
      <w:r w:rsidRPr="001B0EA3">
        <w:t>Контролни процедури</w:t>
      </w:r>
      <w:bookmarkEnd w:id="1177"/>
    </w:p>
    <w:p w14:paraId="141CA8F3" w14:textId="77777777" w:rsidR="000444CE" w:rsidRPr="001B0EA3" w:rsidRDefault="000444CE" w:rsidP="00046D61">
      <w:pPr>
        <w:spacing w:before="120"/>
        <w:rPr>
          <w:b/>
          <w:color w:val="000000"/>
          <w:szCs w:val="24"/>
        </w:rPr>
      </w:pPr>
    </w:p>
    <w:p w14:paraId="2A8A24DB" w14:textId="77777777" w:rsidR="000444CE" w:rsidRPr="001B0EA3" w:rsidRDefault="000444CE" w:rsidP="00046D61">
      <w:pPr>
        <w:tabs>
          <w:tab w:val="left" w:pos="1080"/>
          <w:tab w:val="left" w:pos="1418"/>
          <w:tab w:val="num" w:pos="3763"/>
        </w:tabs>
        <w:suppressAutoHyphens/>
        <w:spacing w:after="60"/>
        <w:rPr>
          <w:szCs w:val="24"/>
        </w:rPr>
      </w:pPr>
      <w:r w:rsidRPr="001B0EA3">
        <w:rPr>
          <w:szCs w:val="24"/>
        </w:rPr>
        <w:t xml:space="preserve">Ръководителят УО на ОПТТИ уведомява дирекция „Национален фонд“ за оторизирани лица (Главен счетоводител – титуляр и счетоводител - заместник), отговорни за изпращане на отчетната документация на УО на адрес </w:t>
      </w:r>
      <w:hyperlink r:id="rId231" w:history="1">
        <w:r w:rsidRPr="001B0EA3">
          <w:rPr>
            <w:b/>
            <w:szCs w:val="24"/>
            <w:u w:val="single"/>
          </w:rPr>
          <w:t>natfund@minfin.bg</w:t>
        </w:r>
      </w:hyperlink>
      <w:r w:rsidRPr="001B0EA3">
        <w:rPr>
          <w:szCs w:val="24"/>
        </w:rPr>
        <w:t>.Уведомлението се извършва с електронно подписано съобщение. При извършване на промяна на оторизираните лица Ръководителят номинира нови, за които уведомява своевременно дирекция „Национален фонд“. Електронно подписана информация се приемана за валидна само подадена от оторизирано лице.</w:t>
      </w:r>
    </w:p>
    <w:p w14:paraId="10B4B057" w14:textId="77777777" w:rsidR="000444CE" w:rsidRPr="001B0EA3" w:rsidRDefault="000444CE" w:rsidP="00046D61">
      <w:pPr>
        <w:spacing w:before="120"/>
        <w:rPr>
          <w:b/>
          <w:i/>
          <w:color w:val="000000"/>
          <w:szCs w:val="24"/>
        </w:rPr>
      </w:pPr>
      <w:r w:rsidRPr="001B0EA3">
        <w:rPr>
          <w:b/>
          <w:i/>
          <w:color w:val="000000"/>
          <w:szCs w:val="24"/>
        </w:rPr>
        <w:t xml:space="preserve">Засичане на счетоводните записи на УО с транзакциите по десетразрядни кодове в СЕБРА </w:t>
      </w:r>
    </w:p>
    <w:p w14:paraId="7EDDB7B8" w14:textId="77777777" w:rsidR="000444CE" w:rsidRPr="001B0EA3" w:rsidRDefault="000444CE" w:rsidP="00046D61">
      <w:pPr>
        <w:spacing w:before="120"/>
        <w:rPr>
          <w:color w:val="000000"/>
          <w:szCs w:val="24"/>
        </w:rPr>
      </w:pPr>
      <w:r w:rsidRPr="001B0EA3">
        <w:rPr>
          <w:color w:val="000000"/>
          <w:szCs w:val="24"/>
        </w:rPr>
        <w:t>Засичането на счетоводните записи на УО с транзакциите по десетразрядните кодове в СЕБРА е процес на равнение  между транзакциите по тези кодове и записите в счетоводната система. Резултатите от засичането се показват посредством Форма за засичане на десетразрядни кодове в СЕБРА. Засичането на информацията служи за:</w:t>
      </w:r>
    </w:p>
    <w:p w14:paraId="1ADDFDF0" w14:textId="77777777" w:rsidR="000444CE" w:rsidRPr="001B0EA3" w:rsidRDefault="000444CE" w:rsidP="00046D61">
      <w:pPr>
        <w:widowControl w:val="0"/>
        <w:numPr>
          <w:ilvl w:val="0"/>
          <w:numId w:val="67"/>
        </w:numPr>
        <w:tabs>
          <w:tab w:val="left" w:pos="1134"/>
        </w:tabs>
        <w:autoSpaceDE w:val="0"/>
        <w:autoSpaceDN w:val="0"/>
        <w:adjustRightInd w:val="0"/>
        <w:ind w:left="0" w:firstLine="851"/>
        <w:rPr>
          <w:color w:val="000000"/>
          <w:szCs w:val="24"/>
          <w:lang w:eastAsia="bg-BG"/>
        </w:rPr>
      </w:pPr>
      <w:r w:rsidRPr="001B0EA3">
        <w:rPr>
          <w:color w:val="000000"/>
          <w:szCs w:val="24"/>
          <w:lang w:eastAsia="bg-BG"/>
        </w:rPr>
        <w:t>потвърждаване на получените трансфери по десетразрядните кодове в СЕБРА и тяхното счетоводно отразяване</w:t>
      </w:r>
    </w:p>
    <w:p w14:paraId="5163AFD6" w14:textId="77777777" w:rsidR="000444CE" w:rsidRPr="001B0EA3" w:rsidRDefault="000444CE" w:rsidP="00046D61">
      <w:pPr>
        <w:widowControl w:val="0"/>
        <w:numPr>
          <w:ilvl w:val="0"/>
          <w:numId w:val="67"/>
        </w:numPr>
        <w:tabs>
          <w:tab w:val="left" w:pos="1134"/>
        </w:tabs>
        <w:autoSpaceDE w:val="0"/>
        <w:autoSpaceDN w:val="0"/>
        <w:adjustRightInd w:val="0"/>
        <w:ind w:left="0" w:firstLine="851"/>
        <w:rPr>
          <w:color w:val="000000"/>
          <w:szCs w:val="24"/>
          <w:lang w:eastAsia="bg-BG"/>
        </w:rPr>
      </w:pPr>
      <w:r w:rsidRPr="001B0EA3">
        <w:rPr>
          <w:color w:val="000000"/>
          <w:szCs w:val="24"/>
          <w:lang w:eastAsia="bg-BG"/>
        </w:rPr>
        <w:t xml:space="preserve">потвърждаване на всички плащания, направени от десетразрядните кодове в СЕБРА и тяхното счетоводно отразяване </w:t>
      </w:r>
    </w:p>
    <w:p w14:paraId="785D81CD" w14:textId="77777777" w:rsidR="000444CE" w:rsidRPr="001B0EA3" w:rsidRDefault="000444CE" w:rsidP="00046D61">
      <w:pPr>
        <w:widowControl w:val="0"/>
        <w:numPr>
          <w:ilvl w:val="0"/>
          <w:numId w:val="67"/>
        </w:numPr>
        <w:tabs>
          <w:tab w:val="left" w:pos="1134"/>
        </w:tabs>
        <w:autoSpaceDE w:val="0"/>
        <w:autoSpaceDN w:val="0"/>
        <w:adjustRightInd w:val="0"/>
        <w:ind w:left="0" w:firstLine="851"/>
        <w:rPr>
          <w:color w:val="000000"/>
          <w:szCs w:val="24"/>
          <w:lang w:eastAsia="bg-BG"/>
        </w:rPr>
      </w:pPr>
      <w:r w:rsidRPr="001B0EA3">
        <w:rPr>
          <w:color w:val="000000"/>
          <w:szCs w:val="24"/>
          <w:lang w:eastAsia="bg-BG"/>
        </w:rPr>
        <w:t>проследяване и последващо коригиране на грешки и пропуски в счетоводните записвания.</w:t>
      </w:r>
    </w:p>
    <w:p w14:paraId="3649863E" w14:textId="77777777" w:rsidR="000444CE" w:rsidRPr="001B0EA3" w:rsidRDefault="000444CE" w:rsidP="00046D61">
      <w:pPr>
        <w:spacing w:before="120"/>
        <w:rPr>
          <w:b/>
          <w:i/>
          <w:color w:val="000000"/>
          <w:szCs w:val="24"/>
        </w:rPr>
      </w:pPr>
      <w:r w:rsidRPr="001B0EA3">
        <w:rPr>
          <w:color w:val="000000"/>
          <w:szCs w:val="24"/>
        </w:rPr>
        <w:t>Резултатите от засичането се показват посредством Форма за засичане на десетразрядни кодове в СЕБРА (</w:t>
      </w:r>
      <w:hyperlink r:id="rId232" w:tooltip="Форма за равнение на десетразрядни кодове в СЕБРА" w:history="1">
        <w:r w:rsidR="001718B3" w:rsidRPr="00251D03">
          <w:rPr>
            <w:i/>
            <w:iCs/>
            <w:color w:val="0000FF"/>
            <w:szCs w:val="24"/>
            <w:u w:val="single"/>
            <w:lang w:eastAsia="bg-BG"/>
          </w:rPr>
          <w:t>Приложение № 5.17</w:t>
        </w:r>
      </w:hyperlink>
      <w:r w:rsidRPr="001B0EA3">
        <w:rPr>
          <w:color w:val="000000"/>
          <w:szCs w:val="24"/>
        </w:rPr>
        <w:t xml:space="preserve">),  която се изготвя към края на всеки месец и която гарантира коректното отразяване в счетоводната система на УО на получените и изразходвани трансфери по десетразрядните кодове в СЕБРА. Всички различия трябва да бъдат проследени и изяснени. Счетоводителят изготвя формата и прилага към нея прилага разпечатки от СЕБРА и от SAP за засичане на информацията. Формата се проверява от Главния счетоводител, който при констатирани разлики в данните дава необходимите инструкции за тяхното коригиране. След извършване на необходимите корективни действия, счетоводителят изготвя коректната форма и удостоверява чрез подписа си извършеното засичане. Формата за засичане се предава за втори контрол на Главния счетоводител след което се одобрява от Ръководителя на УО. Процедурите по проверка се удостоверяват в контролен лист към Форма за засичане на десетразрядни кодове в СЕБРА </w:t>
      </w:r>
      <w:r w:rsidRPr="001B0EA3">
        <w:rPr>
          <w:b/>
          <w:i/>
          <w:color w:val="000000"/>
          <w:szCs w:val="24"/>
        </w:rPr>
        <w:t>(</w:t>
      </w:r>
      <w:hyperlink r:id="rId233" w:tooltip="Контролен лист към Форма за равнение на десетразрядни кодове в СЕБРА " w:history="1">
        <w:r w:rsidR="001718B3" w:rsidRPr="00251D03">
          <w:rPr>
            <w:i/>
            <w:iCs/>
            <w:color w:val="0000FF"/>
            <w:szCs w:val="24"/>
            <w:u w:val="single"/>
            <w:lang w:eastAsia="bg-BG"/>
          </w:rPr>
          <w:t>Приложение № 5.17.1</w:t>
        </w:r>
      </w:hyperlink>
      <w:r w:rsidRPr="001B0EA3">
        <w:rPr>
          <w:b/>
          <w:i/>
          <w:color w:val="000000"/>
          <w:szCs w:val="24"/>
        </w:rPr>
        <w:t>).</w:t>
      </w:r>
    </w:p>
    <w:p w14:paraId="3DAFBA3C" w14:textId="77777777" w:rsidR="000444CE" w:rsidRPr="001B0EA3" w:rsidRDefault="000444CE" w:rsidP="00046D61">
      <w:pPr>
        <w:spacing w:before="120"/>
        <w:rPr>
          <w:color w:val="000000"/>
          <w:szCs w:val="24"/>
        </w:rPr>
      </w:pPr>
      <w:r w:rsidRPr="001B0EA3">
        <w:rPr>
          <w:color w:val="000000"/>
          <w:szCs w:val="24"/>
        </w:rPr>
        <w:t>Контролните документи се съхраняват в счетоводството на УО на ОПТТИ.</w:t>
      </w:r>
    </w:p>
    <w:p w14:paraId="1988751A" w14:textId="77777777" w:rsidR="000444CE" w:rsidRPr="001B0EA3" w:rsidRDefault="000444CE" w:rsidP="00046D61">
      <w:pPr>
        <w:spacing w:before="120"/>
        <w:rPr>
          <w:b/>
          <w:i/>
          <w:color w:val="000000"/>
          <w:szCs w:val="24"/>
        </w:rPr>
      </w:pPr>
      <w:r w:rsidRPr="001B0EA3">
        <w:rPr>
          <w:b/>
          <w:i/>
          <w:color w:val="000000"/>
          <w:szCs w:val="24"/>
        </w:rPr>
        <w:t xml:space="preserve">Месечни засичания на информацията в СЕБРА и в счетоводната система за остатъци по одобрени лимити за плащане в СЕБРА </w:t>
      </w:r>
    </w:p>
    <w:p w14:paraId="2301301A" w14:textId="77777777" w:rsidR="000444CE" w:rsidRPr="001B0EA3" w:rsidRDefault="000444CE" w:rsidP="00046D61">
      <w:pPr>
        <w:spacing w:before="120"/>
        <w:rPr>
          <w:color w:val="000000"/>
          <w:szCs w:val="24"/>
        </w:rPr>
      </w:pPr>
      <w:r w:rsidRPr="001B0EA3">
        <w:rPr>
          <w:color w:val="000000"/>
          <w:szCs w:val="24"/>
        </w:rPr>
        <w:t>Засичането на остатъците по одобрени лимити за плащане в СЕБРА е процес на равнение между неусвоения лимит по десетразрядни кодове в СЕБРА и салда по сметка 9289 в счетоводната система. Засичането на лимитите в СЕБРА служи за:</w:t>
      </w:r>
    </w:p>
    <w:p w14:paraId="7F9F1E1F" w14:textId="77777777" w:rsidR="000444CE" w:rsidRPr="001B0EA3" w:rsidRDefault="000444CE" w:rsidP="00046D61">
      <w:pPr>
        <w:widowControl w:val="0"/>
        <w:numPr>
          <w:ilvl w:val="0"/>
          <w:numId w:val="67"/>
        </w:numPr>
        <w:tabs>
          <w:tab w:val="left" w:pos="1134"/>
        </w:tabs>
        <w:autoSpaceDE w:val="0"/>
        <w:autoSpaceDN w:val="0"/>
        <w:adjustRightInd w:val="0"/>
        <w:ind w:left="0" w:firstLine="851"/>
        <w:rPr>
          <w:color w:val="000000"/>
          <w:szCs w:val="24"/>
          <w:lang w:eastAsia="bg-BG"/>
        </w:rPr>
      </w:pPr>
      <w:r w:rsidRPr="001B0EA3">
        <w:rPr>
          <w:color w:val="000000"/>
          <w:szCs w:val="24"/>
          <w:lang w:eastAsia="bg-BG"/>
        </w:rPr>
        <w:t>потвърждаване на получаването на лимита в СЕБРА и тяхното счетоводно отразяване</w:t>
      </w:r>
    </w:p>
    <w:p w14:paraId="165392CF" w14:textId="77777777" w:rsidR="000444CE" w:rsidRPr="001B0EA3" w:rsidRDefault="000444CE" w:rsidP="00046D61">
      <w:pPr>
        <w:widowControl w:val="0"/>
        <w:numPr>
          <w:ilvl w:val="0"/>
          <w:numId w:val="67"/>
        </w:numPr>
        <w:tabs>
          <w:tab w:val="left" w:pos="1134"/>
        </w:tabs>
        <w:autoSpaceDE w:val="0"/>
        <w:autoSpaceDN w:val="0"/>
        <w:adjustRightInd w:val="0"/>
        <w:ind w:left="0" w:firstLine="851"/>
        <w:rPr>
          <w:color w:val="000000"/>
          <w:szCs w:val="24"/>
          <w:lang w:eastAsia="bg-BG"/>
        </w:rPr>
      </w:pPr>
      <w:r w:rsidRPr="001B0EA3">
        <w:rPr>
          <w:color w:val="000000"/>
          <w:szCs w:val="24"/>
          <w:lang w:eastAsia="bg-BG"/>
        </w:rPr>
        <w:t xml:space="preserve">потвърждаване на всички одобрени плащания към бенефициентите, направени от </w:t>
      </w:r>
      <w:r w:rsidRPr="001B0EA3">
        <w:rPr>
          <w:color w:val="000000"/>
          <w:szCs w:val="24"/>
          <w:lang w:eastAsia="bg-BG"/>
        </w:rPr>
        <w:lastRenderedPageBreak/>
        <w:t>десетразрядните им кодове в СЕБРА</w:t>
      </w:r>
    </w:p>
    <w:p w14:paraId="1F33D94E" w14:textId="77777777" w:rsidR="000444CE" w:rsidRPr="001B0EA3" w:rsidRDefault="000444CE" w:rsidP="00046D61">
      <w:pPr>
        <w:widowControl w:val="0"/>
        <w:numPr>
          <w:ilvl w:val="0"/>
          <w:numId w:val="67"/>
        </w:numPr>
        <w:tabs>
          <w:tab w:val="left" w:pos="1134"/>
        </w:tabs>
        <w:autoSpaceDE w:val="0"/>
        <w:autoSpaceDN w:val="0"/>
        <w:adjustRightInd w:val="0"/>
        <w:ind w:left="0" w:firstLine="851"/>
        <w:rPr>
          <w:color w:val="000000"/>
          <w:szCs w:val="24"/>
          <w:lang w:eastAsia="bg-BG"/>
        </w:rPr>
      </w:pPr>
      <w:r w:rsidRPr="001B0EA3">
        <w:rPr>
          <w:color w:val="000000"/>
          <w:szCs w:val="24"/>
          <w:lang w:eastAsia="bg-BG"/>
        </w:rPr>
        <w:t>проследяване и последващо коригиране на грешки и пропуски в счетоводните записвания.</w:t>
      </w:r>
    </w:p>
    <w:p w14:paraId="23245177" w14:textId="77777777" w:rsidR="000444CE" w:rsidRDefault="000444CE" w:rsidP="00046D61">
      <w:pPr>
        <w:spacing w:before="120"/>
        <w:rPr>
          <w:b/>
          <w:i/>
          <w:color w:val="000000"/>
          <w:szCs w:val="24"/>
        </w:rPr>
      </w:pPr>
      <w:r w:rsidRPr="001B0EA3">
        <w:rPr>
          <w:color w:val="000000"/>
          <w:szCs w:val="24"/>
        </w:rPr>
        <w:t xml:space="preserve">Резултатите от засичането се показват посредством Форма за равнение на лимити </w:t>
      </w:r>
      <w:r w:rsidRPr="001B0EA3">
        <w:rPr>
          <w:b/>
          <w:i/>
          <w:color w:val="000000"/>
          <w:szCs w:val="24"/>
        </w:rPr>
        <w:t>(</w:t>
      </w:r>
      <w:hyperlink r:id="rId234" w:tooltip="Форма за равнение – Лимити" w:history="1">
        <w:r w:rsidR="001718B3" w:rsidRPr="00251D03">
          <w:rPr>
            <w:i/>
            <w:iCs/>
            <w:color w:val="0000FF"/>
            <w:szCs w:val="24"/>
            <w:u w:val="single"/>
            <w:lang w:eastAsia="bg-BG"/>
          </w:rPr>
          <w:t>Приложение № 5.18</w:t>
        </w:r>
      </w:hyperlink>
      <w:r w:rsidRPr="001B0EA3">
        <w:rPr>
          <w:b/>
          <w:i/>
          <w:color w:val="000000"/>
          <w:szCs w:val="24"/>
        </w:rPr>
        <w:t>),</w:t>
      </w:r>
      <w:r w:rsidRPr="001B0EA3">
        <w:rPr>
          <w:color w:val="000000"/>
          <w:szCs w:val="24"/>
        </w:rPr>
        <w:t xml:space="preserve"> която се изготвя за остатъците по одобрени лимити в СЕБРА към края на всеки месец и която гарантира коректното отразяване в счетоводната система на УО на заложените и усвоени лимити в СЕБРА. Всички различия трябва да бъдат проследени и изяснени. Счетоводителят изготвя формата и прилага към нея разпечатки от СЕБРА и от SAP за засичане на информацията. Формата се проверява от Главния счетоводител, който при констатирани разлики в данните дава необходимите инструкции за тяхното коригиране. След извършване на необходимите корективни действия, счетоводителят изготвя коректната форма за равнение на лимити и удостоверява чрез подписа си извършеното засичане. Формата за равнение на лимити се предава за втори контрол на Главния счетоводител, след което се одобрява от Ръководителя на УО. Процедурите по проверка на Формата за равнение на лимити се удостоверяват чрез попълване на контролен лист към Форма за равнение на лимити </w:t>
      </w:r>
      <w:r w:rsidRPr="001B0EA3">
        <w:rPr>
          <w:b/>
          <w:i/>
          <w:color w:val="000000"/>
          <w:szCs w:val="24"/>
        </w:rPr>
        <w:t>(</w:t>
      </w:r>
      <w:hyperlink r:id="rId235" w:tooltip="Форма за равнение – Лимити" w:history="1">
        <w:r w:rsidR="001718B3" w:rsidRPr="00251D03">
          <w:rPr>
            <w:i/>
            <w:iCs/>
            <w:color w:val="0000FF"/>
            <w:szCs w:val="24"/>
            <w:u w:val="single"/>
            <w:lang w:eastAsia="bg-BG"/>
          </w:rPr>
          <w:t>Приложение № 5.18</w:t>
        </w:r>
      </w:hyperlink>
      <w:r w:rsidRPr="001B0EA3">
        <w:rPr>
          <w:b/>
          <w:i/>
          <w:color w:val="000000"/>
          <w:szCs w:val="24"/>
        </w:rPr>
        <w:t>).</w:t>
      </w:r>
    </w:p>
    <w:p w14:paraId="43560AB0" w14:textId="77777777" w:rsidR="008A668D" w:rsidRPr="001B0EA3" w:rsidRDefault="008A668D" w:rsidP="00046D61">
      <w:pPr>
        <w:spacing w:before="120"/>
        <w:rPr>
          <w:color w:val="000000"/>
          <w:szCs w:val="24"/>
        </w:rPr>
      </w:pPr>
      <w:r w:rsidRPr="008A668D">
        <w:rPr>
          <w:color w:val="000000"/>
          <w:szCs w:val="24"/>
        </w:rPr>
        <w:t>Текущото засичане на счетоводните записи с информацията в банковите извлечения и на информацията за остатъци по одобрени лимити за плащане, в счетоводната система и в СЕБРА са извършва до третия работен ден на месеца, следващ отчетния период.</w:t>
      </w:r>
    </w:p>
    <w:p w14:paraId="56E4CE37" w14:textId="77777777" w:rsidR="000444CE" w:rsidRPr="001B0EA3" w:rsidRDefault="000444CE" w:rsidP="00046D61">
      <w:pPr>
        <w:spacing w:before="120"/>
        <w:rPr>
          <w:color w:val="000000"/>
          <w:szCs w:val="24"/>
        </w:rPr>
      </w:pPr>
      <w:r w:rsidRPr="001B0EA3">
        <w:rPr>
          <w:color w:val="000000"/>
          <w:szCs w:val="24"/>
        </w:rPr>
        <w:t>Контролните документи се съхраняват в счетоводството на УО на ОПТТИ.</w:t>
      </w:r>
    </w:p>
    <w:p w14:paraId="22C7EA60" w14:textId="77777777" w:rsidR="000444CE" w:rsidRPr="001B0EA3" w:rsidRDefault="000444CE" w:rsidP="00046D61">
      <w:pPr>
        <w:tabs>
          <w:tab w:val="left" w:pos="1080"/>
          <w:tab w:val="left" w:pos="1418"/>
          <w:tab w:val="num" w:pos="3763"/>
        </w:tabs>
        <w:suppressAutoHyphens/>
        <w:spacing w:after="60"/>
        <w:rPr>
          <w:szCs w:val="24"/>
        </w:rPr>
      </w:pPr>
    </w:p>
    <w:p w14:paraId="6A7728E8" w14:textId="77777777" w:rsidR="000444CE" w:rsidRPr="001B0EA3" w:rsidRDefault="000444CE" w:rsidP="00046D61">
      <w:pPr>
        <w:spacing w:before="120"/>
        <w:rPr>
          <w:b/>
          <w:i/>
          <w:color w:val="000000"/>
          <w:szCs w:val="24"/>
        </w:rPr>
      </w:pPr>
      <w:r w:rsidRPr="001B0EA3">
        <w:rPr>
          <w:b/>
          <w:i/>
          <w:color w:val="000000"/>
          <w:szCs w:val="24"/>
        </w:rPr>
        <w:t>Засичане на отчети за касово изпълнение със счетоводните записи</w:t>
      </w:r>
    </w:p>
    <w:p w14:paraId="786949C8" w14:textId="77777777" w:rsidR="000444CE" w:rsidRPr="001B0EA3" w:rsidRDefault="000444CE" w:rsidP="00046D61">
      <w:pPr>
        <w:spacing w:before="120"/>
        <w:rPr>
          <w:color w:val="000000"/>
          <w:szCs w:val="24"/>
        </w:rPr>
      </w:pPr>
      <w:r w:rsidRPr="001B0EA3">
        <w:rPr>
          <w:color w:val="000000"/>
          <w:szCs w:val="24"/>
        </w:rPr>
        <w:t xml:space="preserve">Като част от процеса на изготвяне на финансови отчети, данните от отчета за касово изпълнение по Единната бюджетна класификация трябва да бъдат засечени с информацията, регистрирана в счетоводната система. При изготвяне на отчета, счетоводителят отразява проверката между данните в отчета и счетоводната система в контролен лист за проверка на отчета за касово изпълнение </w:t>
      </w:r>
      <w:r w:rsidRPr="001B0EA3">
        <w:rPr>
          <w:b/>
          <w:i/>
          <w:color w:val="000000"/>
          <w:szCs w:val="24"/>
        </w:rPr>
        <w:t>(</w:t>
      </w:r>
      <w:hyperlink r:id="rId236" w:tooltip="Контролен лист на Отчет по ЕБК на УО НА ОПТТИ" w:history="1">
        <w:r w:rsidR="001718B3" w:rsidRPr="00251D03">
          <w:rPr>
            <w:i/>
            <w:iCs/>
            <w:color w:val="0000FF"/>
            <w:szCs w:val="24"/>
            <w:u w:val="single"/>
            <w:lang w:eastAsia="bg-BG"/>
          </w:rPr>
          <w:t>Приложение № 5.19</w:t>
        </w:r>
      </w:hyperlink>
      <w:r w:rsidRPr="001B0EA3">
        <w:rPr>
          <w:b/>
          <w:i/>
          <w:color w:val="000000"/>
          <w:szCs w:val="24"/>
        </w:rPr>
        <w:t>).</w:t>
      </w:r>
      <w:r w:rsidRPr="001B0EA3">
        <w:rPr>
          <w:color w:val="000000"/>
          <w:szCs w:val="24"/>
        </w:rPr>
        <w:t xml:space="preserve"> Отчетът и контролният лист се предават за проверка на Главния счетоводител, на началника на отдел „Финансово управление” и за одобрение на Ръководителя на УО.</w:t>
      </w:r>
    </w:p>
    <w:p w14:paraId="7A40875F" w14:textId="77777777" w:rsidR="000444CE" w:rsidRPr="001B0EA3" w:rsidRDefault="000444CE" w:rsidP="00046D61">
      <w:pPr>
        <w:spacing w:before="120"/>
        <w:rPr>
          <w:b/>
          <w:i/>
          <w:color w:val="000000"/>
          <w:szCs w:val="24"/>
        </w:rPr>
      </w:pPr>
      <w:r w:rsidRPr="001B0EA3">
        <w:rPr>
          <w:b/>
          <w:i/>
          <w:color w:val="000000"/>
          <w:szCs w:val="24"/>
        </w:rPr>
        <w:t>Месечен контрол на счетоводните операции</w:t>
      </w:r>
    </w:p>
    <w:p w14:paraId="18964252" w14:textId="77777777" w:rsidR="000444CE" w:rsidRPr="001B0EA3" w:rsidRDefault="000444CE" w:rsidP="00046D61">
      <w:pPr>
        <w:tabs>
          <w:tab w:val="left" w:pos="1080"/>
          <w:tab w:val="left" w:pos="1418"/>
          <w:tab w:val="num" w:pos="3763"/>
        </w:tabs>
        <w:suppressAutoHyphens/>
        <w:spacing w:before="120"/>
        <w:rPr>
          <w:szCs w:val="24"/>
        </w:rPr>
      </w:pPr>
      <w:r w:rsidRPr="001B0EA3">
        <w:rPr>
          <w:szCs w:val="24"/>
        </w:rPr>
        <w:t>УО на ОПТТИ организира счетоводния процес така, че до седмия работен ден на месеца, следващ отчетния период, информацията за възникналите счетоводни събития да бъде въведена в пълнота в счетоводната система, както и да бъде проверена и одобрена. За тази цел първичните и/или документите с еквивалентна доказателствена стойност се предоставят на счетоводителя до 5 работни дни след датата на тяхното съставяне/издаване.</w:t>
      </w:r>
    </w:p>
    <w:p w14:paraId="577B128A" w14:textId="77777777" w:rsidR="000444CE" w:rsidRPr="001B0EA3" w:rsidRDefault="000444CE" w:rsidP="00046D61">
      <w:pPr>
        <w:tabs>
          <w:tab w:val="left" w:pos="1080"/>
          <w:tab w:val="left" w:pos="1418"/>
          <w:tab w:val="num" w:pos="3763"/>
        </w:tabs>
        <w:suppressAutoHyphens/>
        <w:spacing w:before="120"/>
        <w:rPr>
          <w:color w:val="000000"/>
          <w:szCs w:val="24"/>
        </w:rPr>
      </w:pPr>
      <w:r w:rsidRPr="001B0EA3">
        <w:rPr>
          <w:color w:val="000000"/>
          <w:szCs w:val="24"/>
        </w:rPr>
        <w:t xml:space="preserve">Най-късно до </w:t>
      </w:r>
      <w:r w:rsidRPr="001B0EA3">
        <w:rPr>
          <w:szCs w:val="24"/>
        </w:rPr>
        <w:t>седмия</w:t>
      </w:r>
      <w:r w:rsidRPr="001B0EA3">
        <w:rPr>
          <w:color w:val="000000"/>
          <w:szCs w:val="24"/>
        </w:rPr>
        <w:t xml:space="preserve"> работен ден след края на отчетния период счетоводителят изготвя  месечен контролен лист на счетоводните операции </w:t>
      </w:r>
      <w:r w:rsidRPr="001B0EA3">
        <w:rPr>
          <w:b/>
          <w:i/>
          <w:color w:val="000000"/>
          <w:szCs w:val="24"/>
        </w:rPr>
        <w:t>(</w:t>
      </w:r>
      <w:hyperlink r:id="rId237" w:tooltip="Контролен лист за проверка - месечен контрол на счетоводните операции" w:history="1">
        <w:r w:rsidR="001718B3" w:rsidRPr="00251D03">
          <w:rPr>
            <w:i/>
            <w:iCs/>
            <w:color w:val="0000FF"/>
            <w:szCs w:val="24"/>
            <w:u w:val="single"/>
            <w:lang w:eastAsia="bg-BG"/>
          </w:rPr>
          <w:t>Приложение № 5.08</w:t>
        </w:r>
      </w:hyperlink>
      <w:r w:rsidRPr="001B0EA3">
        <w:rPr>
          <w:b/>
          <w:i/>
          <w:color w:val="000000"/>
          <w:szCs w:val="24"/>
        </w:rPr>
        <w:t>)</w:t>
      </w:r>
      <w:r w:rsidRPr="001B0EA3">
        <w:rPr>
          <w:color w:val="000000"/>
          <w:szCs w:val="24"/>
        </w:rPr>
        <w:t>, който включва следните проверки и равнения:</w:t>
      </w:r>
    </w:p>
    <w:p w14:paraId="27830E4D" w14:textId="77777777" w:rsidR="000444CE" w:rsidRPr="001B0EA3" w:rsidRDefault="000444CE" w:rsidP="00046D61">
      <w:pPr>
        <w:widowControl w:val="0"/>
        <w:numPr>
          <w:ilvl w:val="0"/>
          <w:numId w:val="67"/>
        </w:numPr>
        <w:tabs>
          <w:tab w:val="left" w:pos="1134"/>
        </w:tabs>
        <w:autoSpaceDE w:val="0"/>
        <w:autoSpaceDN w:val="0"/>
        <w:adjustRightInd w:val="0"/>
        <w:ind w:left="0" w:firstLine="851"/>
        <w:rPr>
          <w:color w:val="000000"/>
          <w:szCs w:val="24"/>
          <w:lang w:eastAsia="bg-BG"/>
        </w:rPr>
      </w:pPr>
      <w:r w:rsidRPr="001B0EA3">
        <w:rPr>
          <w:color w:val="000000"/>
          <w:szCs w:val="24"/>
          <w:lang w:eastAsia="bg-BG"/>
        </w:rPr>
        <w:t>Проверка на верността на счетоводните операции, отразени в  мемориалните ордери и осчетоводени в SAP през отчетния период</w:t>
      </w:r>
    </w:p>
    <w:p w14:paraId="69C87577" w14:textId="77777777" w:rsidR="008A668D" w:rsidRPr="008A668D" w:rsidRDefault="008A668D" w:rsidP="00251D03">
      <w:pPr>
        <w:widowControl w:val="0"/>
        <w:numPr>
          <w:ilvl w:val="0"/>
          <w:numId w:val="67"/>
        </w:numPr>
        <w:tabs>
          <w:tab w:val="left" w:pos="1134"/>
        </w:tabs>
        <w:autoSpaceDE w:val="0"/>
        <w:autoSpaceDN w:val="0"/>
        <w:adjustRightInd w:val="0"/>
        <w:ind w:left="0" w:firstLine="851"/>
        <w:rPr>
          <w:color w:val="000000"/>
          <w:szCs w:val="24"/>
          <w:lang w:eastAsia="bg-BG"/>
        </w:rPr>
      </w:pPr>
      <w:r w:rsidRPr="008A668D">
        <w:rPr>
          <w:color w:val="000000"/>
          <w:szCs w:val="24"/>
          <w:lang w:eastAsia="bg-BG"/>
        </w:rPr>
        <w:t xml:space="preserve">Проверка на Главна книга и Оборотна ведомост.  В индивидуалния сметкоплан на УО към синтетичните сметки за задължения, вземания и касови потоци са създадени аналитични сметки за всяка приоритетна ос. </w:t>
      </w:r>
    </w:p>
    <w:p w14:paraId="4A4F39BC" w14:textId="77777777" w:rsidR="000444CE" w:rsidRPr="001B0EA3" w:rsidRDefault="000444CE" w:rsidP="00046D61">
      <w:pPr>
        <w:widowControl w:val="0"/>
        <w:numPr>
          <w:ilvl w:val="0"/>
          <w:numId w:val="67"/>
        </w:numPr>
        <w:tabs>
          <w:tab w:val="left" w:pos="1134"/>
        </w:tabs>
        <w:autoSpaceDE w:val="0"/>
        <w:autoSpaceDN w:val="0"/>
        <w:adjustRightInd w:val="0"/>
        <w:ind w:left="0" w:firstLine="851"/>
        <w:rPr>
          <w:color w:val="000000"/>
          <w:szCs w:val="24"/>
          <w:lang w:eastAsia="bg-BG"/>
        </w:rPr>
      </w:pPr>
      <w:r w:rsidRPr="001B0EA3">
        <w:rPr>
          <w:color w:val="000000"/>
          <w:szCs w:val="24"/>
          <w:lang w:eastAsia="bg-BG"/>
        </w:rPr>
        <w:t>Проверка  и равнение на осчетоводената информация в SAP  и въведените финансови данни в ИСУН 2020.</w:t>
      </w:r>
    </w:p>
    <w:p w14:paraId="5C66C387" w14:textId="77777777" w:rsidR="000444CE" w:rsidRPr="001B0EA3" w:rsidRDefault="000444CE" w:rsidP="00046D61">
      <w:pPr>
        <w:spacing w:before="120"/>
        <w:rPr>
          <w:color w:val="000000"/>
          <w:szCs w:val="24"/>
        </w:rPr>
      </w:pPr>
      <w:r w:rsidRPr="001B0EA3">
        <w:rPr>
          <w:color w:val="000000"/>
          <w:szCs w:val="24"/>
        </w:rPr>
        <w:t xml:space="preserve"> Отчетът и контролният лист се предават за проверка на Главния счетоводител и за одобрение на Ръководителя на УО.</w:t>
      </w:r>
    </w:p>
    <w:p w14:paraId="6D67F0E6" w14:textId="77777777" w:rsidR="000444CE" w:rsidRPr="001B0EA3" w:rsidRDefault="000444CE" w:rsidP="00656CB4">
      <w:pPr>
        <w:pStyle w:val="Style3"/>
      </w:pPr>
      <w:bookmarkStart w:id="1178" w:name="_Toc479775744"/>
      <w:r w:rsidRPr="001B0EA3">
        <w:lastRenderedPageBreak/>
        <w:t>Съхранение на счетоводни документи</w:t>
      </w:r>
      <w:bookmarkEnd w:id="1178"/>
    </w:p>
    <w:p w14:paraId="4791A61C" w14:textId="77777777" w:rsidR="000444CE" w:rsidRPr="001B0EA3" w:rsidRDefault="000444CE" w:rsidP="00046D61">
      <w:pPr>
        <w:spacing w:before="120"/>
        <w:rPr>
          <w:color w:val="000000"/>
          <w:szCs w:val="24"/>
        </w:rPr>
      </w:pPr>
      <w:r w:rsidRPr="001B0EA3">
        <w:rPr>
          <w:color w:val="000000"/>
          <w:szCs w:val="24"/>
        </w:rPr>
        <w:t>Файлирането и съхранението на документите се извършва в съответствие с изискванията на Закона за счетоводство и чл. 140 от Регламент (ЕС) №1303/2013, в зависимост от това кой от двата срока е по-дълъг.</w:t>
      </w:r>
    </w:p>
    <w:p w14:paraId="399E5212" w14:textId="77777777" w:rsidR="000444CE" w:rsidRPr="001B0EA3" w:rsidRDefault="000444CE" w:rsidP="00046D61">
      <w:pPr>
        <w:spacing w:before="120"/>
        <w:rPr>
          <w:color w:val="000000"/>
          <w:szCs w:val="24"/>
        </w:rPr>
      </w:pPr>
      <w:r w:rsidRPr="001B0EA3">
        <w:rPr>
          <w:color w:val="000000"/>
          <w:szCs w:val="24"/>
        </w:rPr>
        <w:t xml:space="preserve">Всички разходооправдателни документи, за които сумата на допустимите разходи не надвишава 1 000 000 EUR, се съхраняват за период от три години, считано от 31 декември след предаването на годишните счетоводни отчети към Европейската комисия , в които са включени разходите по проекта, а за останалите проекти - за период от две години, считано от 31 декември след представянето на годишните счетоводни отчети, в които са включени окончателните разходи по приключените проекти. </w:t>
      </w:r>
    </w:p>
    <w:p w14:paraId="09BF4479" w14:textId="77777777" w:rsidR="00A24F4A" w:rsidRPr="005B04E5" w:rsidRDefault="00A24F4A" w:rsidP="00A24F4A">
      <w:pPr>
        <w:spacing w:before="120"/>
        <w:ind w:right="141"/>
        <w:rPr>
          <w:color w:val="000000"/>
          <w:szCs w:val="24"/>
        </w:rPr>
      </w:pPr>
      <w:r w:rsidRPr="005B04E5">
        <w:rPr>
          <w:color w:val="000000"/>
          <w:szCs w:val="24"/>
        </w:rPr>
        <w:t>Съгласно Закона за счетоводството, счетоводната информация се съхранява в рамките на следните срокове:</w:t>
      </w:r>
    </w:p>
    <w:p w14:paraId="09B297D3" w14:textId="77777777" w:rsidR="00A24F4A" w:rsidRPr="005B04E5" w:rsidRDefault="00A24F4A" w:rsidP="00A24F4A">
      <w:pPr>
        <w:widowControl w:val="0"/>
        <w:numPr>
          <w:ilvl w:val="0"/>
          <w:numId w:val="67"/>
        </w:numPr>
        <w:tabs>
          <w:tab w:val="left" w:pos="1134"/>
        </w:tabs>
        <w:autoSpaceDE w:val="0"/>
        <w:autoSpaceDN w:val="0"/>
        <w:adjustRightInd w:val="0"/>
        <w:ind w:left="0" w:right="142" w:firstLine="851"/>
        <w:rPr>
          <w:color w:val="000000"/>
          <w:szCs w:val="24"/>
        </w:rPr>
      </w:pPr>
      <w:r w:rsidRPr="005B04E5">
        <w:rPr>
          <w:color w:val="000000"/>
          <w:szCs w:val="24"/>
          <w:lang w:eastAsia="bg-BG"/>
        </w:rPr>
        <w:t>счетоводни регистри и финансови отчети – 10 години</w:t>
      </w:r>
      <w:r>
        <w:rPr>
          <w:color w:val="000000"/>
          <w:szCs w:val="24"/>
          <w:lang w:eastAsia="bg-BG"/>
        </w:rPr>
        <w:t>,</w:t>
      </w:r>
      <w:r w:rsidRPr="009C2353">
        <w:rPr>
          <w:color w:val="000000"/>
          <w:szCs w:val="24"/>
        </w:rPr>
        <w:t xml:space="preserve"> </w:t>
      </w:r>
      <w:r w:rsidRPr="005F3BBD">
        <w:rPr>
          <w:color w:val="000000"/>
          <w:szCs w:val="24"/>
        </w:rPr>
        <w:t>считано от 1 януари на отчетния период, следващ отчетния период, за който се отнасят</w:t>
      </w:r>
      <w:r w:rsidRPr="005B04E5">
        <w:rPr>
          <w:color w:val="000000"/>
          <w:szCs w:val="24"/>
        </w:rPr>
        <w:t>.</w:t>
      </w:r>
    </w:p>
    <w:p w14:paraId="2377202B" w14:textId="77777777" w:rsidR="00A24F4A" w:rsidRPr="005B04E5" w:rsidRDefault="00A24F4A" w:rsidP="00A24F4A">
      <w:pPr>
        <w:widowControl w:val="0"/>
        <w:numPr>
          <w:ilvl w:val="0"/>
          <w:numId w:val="67"/>
        </w:numPr>
        <w:tabs>
          <w:tab w:val="left" w:pos="1134"/>
        </w:tabs>
        <w:autoSpaceDE w:val="0"/>
        <w:autoSpaceDN w:val="0"/>
        <w:adjustRightInd w:val="0"/>
        <w:ind w:left="0" w:right="142" w:firstLine="851"/>
        <w:rPr>
          <w:color w:val="000000"/>
          <w:szCs w:val="24"/>
        </w:rPr>
      </w:pPr>
      <w:r w:rsidRPr="005B04E5">
        <w:rPr>
          <w:color w:val="000000"/>
          <w:szCs w:val="24"/>
          <w:lang w:eastAsia="bg-BG"/>
        </w:rPr>
        <w:t xml:space="preserve">всички други носители - </w:t>
      </w:r>
      <w:r>
        <w:rPr>
          <w:rFonts w:ascii="Helvetica" w:hAnsi="Helvetica"/>
          <w:color w:val="000000"/>
          <w:shd w:val="clear" w:color="auto" w:fill="FFFFFF"/>
        </w:rPr>
        <w:t xml:space="preserve">3 години, </w:t>
      </w:r>
      <w:r w:rsidRPr="004261A0">
        <w:rPr>
          <w:rFonts w:hint="eastAsia"/>
          <w:color w:val="000000"/>
          <w:szCs w:val="24"/>
        </w:rPr>
        <w:t>считано</w:t>
      </w:r>
      <w:r w:rsidRPr="004261A0">
        <w:rPr>
          <w:color w:val="000000"/>
          <w:szCs w:val="24"/>
        </w:rPr>
        <w:t xml:space="preserve"> </w:t>
      </w:r>
      <w:r w:rsidRPr="004261A0">
        <w:rPr>
          <w:rFonts w:hint="eastAsia"/>
          <w:color w:val="000000"/>
          <w:szCs w:val="24"/>
        </w:rPr>
        <w:t>от</w:t>
      </w:r>
      <w:r w:rsidRPr="004261A0">
        <w:rPr>
          <w:color w:val="000000"/>
          <w:szCs w:val="24"/>
        </w:rPr>
        <w:t xml:space="preserve"> 1 </w:t>
      </w:r>
      <w:r w:rsidRPr="004261A0">
        <w:rPr>
          <w:rFonts w:hint="eastAsia"/>
          <w:color w:val="000000"/>
          <w:szCs w:val="24"/>
        </w:rPr>
        <w:t>януари</w:t>
      </w:r>
      <w:r w:rsidRPr="004261A0">
        <w:rPr>
          <w:color w:val="000000"/>
          <w:szCs w:val="24"/>
        </w:rPr>
        <w:t xml:space="preserve"> </w:t>
      </w:r>
      <w:r w:rsidRPr="004261A0">
        <w:rPr>
          <w:rFonts w:hint="eastAsia"/>
          <w:color w:val="000000"/>
          <w:szCs w:val="24"/>
        </w:rPr>
        <w:t>на</w:t>
      </w:r>
      <w:r w:rsidRPr="004261A0">
        <w:rPr>
          <w:color w:val="000000"/>
          <w:szCs w:val="24"/>
        </w:rPr>
        <w:t xml:space="preserve"> </w:t>
      </w:r>
      <w:r w:rsidRPr="004261A0">
        <w:rPr>
          <w:rFonts w:hint="eastAsia"/>
          <w:color w:val="000000"/>
          <w:szCs w:val="24"/>
        </w:rPr>
        <w:t>отчетния</w:t>
      </w:r>
      <w:r w:rsidRPr="004261A0">
        <w:rPr>
          <w:color w:val="000000"/>
          <w:szCs w:val="24"/>
        </w:rPr>
        <w:t xml:space="preserve"> </w:t>
      </w:r>
      <w:r w:rsidRPr="004261A0">
        <w:rPr>
          <w:rFonts w:hint="eastAsia"/>
          <w:color w:val="000000"/>
          <w:szCs w:val="24"/>
        </w:rPr>
        <w:t>период</w:t>
      </w:r>
      <w:r w:rsidRPr="004261A0">
        <w:rPr>
          <w:color w:val="000000"/>
          <w:szCs w:val="24"/>
        </w:rPr>
        <w:t xml:space="preserve">, </w:t>
      </w:r>
      <w:r w:rsidRPr="004261A0">
        <w:rPr>
          <w:rFonts w:hint="eastAsia"/>
          <w:color w:val="000000"/>
          <w:szCs w:val="24"/>
        </w:rPr>
        <w:t>следващ</w:t>
      </w:r>
      <w:r w:rsidRPr="004261A0">
        <w:rPr>
          <w:color w:val="000000"/>
          <w:szCs w:val="24"/>
        </w:rPr>
        <w:t xml:space="preserve"> </w:t>
      </w:r>
      <w:r w:rsidRPr="004261A0">
        <w:rPr>
          <w:rFonts w:hint="eastAsia"/>
          <w:color w:val="000000"/>
          <w:szCs w:val="24"/>
        </w:rPr>
        <w:t>отчетния</w:t>
      </w:r>
      <w:r w:rsidRPr="004261A0">
        <w:rPr>
          <w:color w:val="000000"/>
          <w:szCs w:val="24"/>
        </w:rPr>
        <w:t xml:space="preserve"> </w:t>
      </w:r>
      <w:r w:rsidRPr="004261A0">
        <w:rPr>
          <w:rFonts w:hint="eastAsia"/>
          <w:color w:val="000000"/>
          <w:szCs w:val="24"/>
        </w:rPr>
        <w:t>период</w:t>
      </w:r>
      <w:r w:rsidRPr="004261A0">
        <w:rPr>
          <w:color w:val="000000"/>
          <w:szCs w:val="24"/>
        </w:rPr>
        <w:t xml:space="preserve">, </w:t>
      </w:r>
      <w:r w:rsidRPr="004261A0">
        <w:rPr>
          <w:rFonts w:hint="eastAsia"/>
          <w:color w:val="000000"/>
          <w:szCs w:val="24"/>
        </w:rPr>
        <w:t>за</w:t>
      </w:r>
      <w:r w:rsidRPr="004261A0">
        <w:rPr>
          <w:color w:val="000000"/>
          <w:szCs w:val="24"/>
        </w:rPr>
        <w:t xml:space="preserve"> </w:t>
      </w:r>
      <w:r w:rsidRPr="004261A0">
        <w:rPr>
          <w:rFonts w:hint="eastAsia"/>
          <w:color w:val="000000"/>
          <w:szCs w:val="24"/>
        </w:rPr>
        <w:t>който</w:t>
      </w:r>
      <w:r w:rsidRPr="004261A0">
        <w:rPr>
          <w:color w:val="000000"/>
          <w:szCs w:val="24"/>
        </w:rPr>
        <w:t xml:space="preserve"> </w:t>
      </w:r>
      <w:r w:rsidRPr="004261A0">
        <w:rPr>
          <w:rFonts w:hint="eastAsia"/>
          <w:color w:val="000000"/>
          <w:szCs w:val="24"/>
        </w:rPr>
        <w:t>се</w:t>
      </w:r>
      <w:r w:rsidRPr="004261A0">
        <w:rPr>
          <w:color w:val="000000"/>
          <w:szCs w:val="24"/>
        </w:rPr>
        <w:t xml:space="preserve"> </w:t>
      </w:r>
      <w:r w:rsidRPr="004261A0">
        <w:rPr>
          <w:rFonts w:hint="eastAsia"/>
          <w:color w:val="000000"/>
          <w:szCs w:val="24"/>
        </w:rPr>
        <w:t>отнасят</w:t>
      </w:r>
      <w:r w:rsidRPr="005B04E5">
        <w:rPr>
          <w:color w:val="000000"/>
          <w:szCs w:val="24"/>
        </w:rPr>
        <w:t>.</w:t>
      </w:r>
    </w:p>
    <w:p w14:paraId="2C19D309" w14:textId="77777777" w:rsidR="00A24F4A" w:rsidRPr="005B04E5" w:rsidRDefault="00A24F4A" w:rsidP="00A24F4A">
      <w:pPr>
        <w:widowControl w:val="0"/>
        <w:numPr>
          <w:ilvl w:val="0"/>
          <w:numId w:val="67"/>
        </w:numPr>
        <w:tabs>
          <w:tab w:val="left" w:pos="1134"/>
        </w:tabs>
        <w:autoSpaceDE w:val="0"/>
        <w:autoSpaceDN w:val="0"/>
        <w:adjustRightInd w:val="0"/>
        <w:ind w:left="0" w:right="142" w:firstLine="851"/>
        <w:rPr>
          <w:color w:val="000000"/>
          <w:szCs w:val="24"/>
          <w:lang w:eastAsia="bg-BG"/>
        </w:rPr>
      </w:pPr>
      <w:r w:rsidRPr="005B04E5">
        <w:rPr>
          <w:color w:val="000000"/>
          <w:szCs w:val="24"/>
          <w:lang w:eastAsia="bg-BG"/>
        </w:rPr>
        <w:t>За осигуряване на одитна пътека, УО съхранява минимум следните счетоводни документи:</w:t>
      </w:r>
    </w:p>
    <w:p w14:paraId="75C1C9B2" w14:textId="77777777" w:rsidR="00A24F4A" w:rsidRPr="005B04E5" w:rsidRDefault="00A24F4A" w:rsidP="00A24F4A">
      <w:pPr>
        <w:widowControl w:val="0"/>
        <w:numPr>
          <w:ilvl w:val="0"/>
          <w:numId w:val="67"/>
        </w:numPr>
        <w:tabs>
          <w:tab w:val="left" w:pos="1134"/>
        </w:tabs>
        <w:autoSpaceDE w:val="0"/>
        <w:autoSpaceDN w:val="0"/>
        <w:adjustRightInd w:val="0"/>
        <w:ind w:left="0" w:right="142" w:firstLine="851"/>
        <w:rPr>
          <w:color w:val="000000"/>
          <w:szCs w:val="24"/>
          <w:lang w:eastAsia="bg-BG"/>
        </w:rPr>
      </w:pPr>
      <w:r w:rsidRPr="005B04E5">
        <w:rPr>
          <w:color w:val="000000"/>
          <w:szCs w:val="24"/>
          <w:lang w:eastAsia="bg-BG"/>
        </w:rPr>
        <w:t>извлечения от транзитни сметки и десетразрядни кодове в СЕБРА;</w:t>
      </w:r>
    </w:p>
    <w:p w14:paraId="2663B22B" w14:textId="77777777" w:rsidR="00A24F4A" w:rsidRPr="005B04E5" w:rsidRDefault="00A24F4A" w:rsidP="00A24F4A">
      <w:pPr>
        <w:widowControl w:val="0"/>
        <w:numPr>
          <w:ilvl w:val="0"/>
          <w:numId w:val="67"/>
        </w:numPr>
        <w:tabs>
          <w:tab w:val="left" w:pos="1134"/>
        </w:tabs>
        <w:autoSpaceDE w:val="0"/>
        <w:autoSpaceDN w:val="0"/>
        <w:adjustRightInd w:val="0"/>
        <w:ind w:left="0" w:right="142" w:firstLine="851"/>
        <w:rPr>
          <w:color w:val="000000"/>
          <w:szCs w:val="24"/>
          <w:lang w:eastAsia="bg-BG"/>
        </w:rPr>
      </w:pPr>
      <w:r w:rsidRPr="005B04E5">
        <w:rPr>
          <w:color w:val="000000"/>
          <w:szCs w:val="24"/>
          <w:lang w:eastAsia="bg-BG"/>
        </w:rPr>
        <w:t>писма за одобрение на лимити;</w:t>
      </w:r>
    </w:p>
    <w:p w14:paraId="59B6E2E0" w14:textId="77777777" w:rsidR="00A24F4A" w:rsidRPr="005B04E5" w:rsidRDefault="00A24F4A" w:rsidP="00A24F4A">
      <w:pPr>
        <w:widowControl w:val="0"/>
        <w:numPr>
          <w:ilvl w:val="0"/>
          <w:numId w:val="67"/>
        </w:numPr>
        <w:tabs>
          <w:tab w:val="left" w:pos="1134"/>
        </w:tabs>
        <w:autoSpaceDE w:val="0"/>
        <w:autoSpaceDN w:val="0"/>
        <w:adjustRightInd w:val="0"/>
        <w:ind w:left="0" w:right="142" w:firstLine="851"/>
        <w:rPr>
          <w:color w:val="000000"/>
          <w:szCs w:val="24"/>
          <w:lang w:eastAsia="bg-BG"/>
        </w:rPr>
      </w:pPr>
      <w:r w:rsidRPr="005B04E5">
        <w:rPr>
          <w:color w:val="000000"/>
          <w:szCs w:val="24"/>
          <w:lang w:eastAsia="bg-BG"/>
        </w:rPr>
        <w:t>документи за верифицирани разходи и одобрена БФП по искания за плащане;</w:t>
      </w:r>
    </w:p>
    <w:p w14:paraId="582AA19C" w14:textId="77777777" w:rsidR="00A24F4A" w:rsidRPr="005B04E5" w:rsidRDefault="00A24F4A" w:rsidP="00A24F4A">
      <w:pPr>
        <w:widowControl w:val="0"/>
        <w:numPr>
          <w:ilvl w:val="0"/>
          <w:numId w:val="67"/>
        </w:numPr>
        <w:tabs>
          <w:tab w:val="left" w:pos="1134"/>
        </w:tabs>
        <w:autoSpaceDE w:val="0"/>
        <w:autoSpaceDN w:val="0"/>
        <w:adjustRightInd w:val="0"/>
        <w:ind w:left="0" w:right="142" w:firstLine="851"/>
        <w:rPr>
          <w:color w:val="000000"/>
          <w:szCs w:val="24"/>
          <w:lang w:eastAsia="bg-BG"/>
        </w:rPr>
      </w:pPr>
      <w:r w:rsidRPr="005B04E5">
        <w:rPr>
          <w:color w:val="000000"/>
          <w:szCs w:val="24"/>
          <w:lang w:eastAsia="bg-BG"/>
        </w:rPr>
        <w:t>корекционни форми;</w:t>
      </w:r>
    </w:p>
    <w:p w14:paraId="7686CFA3" w14:textId="77777777" w:rsidR="00A24F4A" w:rsidRDefault="00A24F4A" w:rsidP="00251D03">
      <w:pPr>
        <w:widowControl w:val="0"/>
        <w:numPr>
          <w:ilvl w:val="0"/>
          <w:numId w:val="67"/>
        </w:numPr>
        <w:tabs>
          <w:tab w:val="left" w:pos="1134"/>
        </w:tabs>
        <w:autoSpaceDE w:val="0"/>
        <w:autoSpaceDN w:val="0"/>
        <w:adjustRightInd w:val="0"/>
        <w:ind w:left="0" w:right="142" w:firstLine="851"/>
        <w:rPr>
          <w:color w:val="000000"/>
          <w:szCs w:val="24"/>
          <w:lang w:eastAsia="bg-BG"/>
        </w:rPr>
      </w:pPr>
      <w:r w:rsidRPr="005B04E5">
        <w:rPr>
          <w:color w:val="000000"/>
          <w:szCs w:val="24"/>
          <w:lang w:eastAsia="bg-BG"/>
        </w:rPr>
        <w:t>контролни документи, съдържащи принтирани данни от счетоводният софтуер</w:t>
      </w:r>
    </w:p>
    <w:p w14:paraId="2CD8849F" w14:textId="77777777" w:rsidR="000444CE" w:rsidRPr="001B0EA3" w:rsidRDefault="000444CE" w:rsidP="00046D61">
      <w:pPr>
        <w:rPr>
          <w:b/>
          <w:color w:val="000000"/>
          <w:szCs w:val="24"/>
        </w:rPr>
      </w:pPr>
    </w:p>
    <w:p w14:paraId="09648A87" w14:textId="77777777" w:rsidR="000444CE" w:rsidRPr="001B0EA3" w:rsidRDefault="000444CE" w:rsidP="00B502C7">
      <w:pPr>
        <w:pStyle w:val="Style2"/>
      </w:pPr>
      <w:bookmarkStart w:id="1179" w:name="_Toc479775745"/>
      <w:bookmarkStart w:id="1180" w:name="_Toc140150258"/>
      <w:r w:rsidRPr="001B0EA3">
        <w:t>Счетоводна отчетност</w:t>
      </w:r>
      <w:bookmarkEnd w:id="1179"/>
      <w:bookmarkEnd w:id="1180"/>
    </w:p>
    <w:p w14:paraId="71230A72" w14:textId="77777777" w:rsidR="000444CE" w:rsidRPr="001B0EA3" w:rsidRDefault="000444CE" w:rsidP="00046D61">
      <w:pPr>
        <w:rPr>
          <w:color w:val="000000"/>
          <w:szCs w:val="24"/>
        </w:rPr>
      </w:pPr>
      <w:r w:rsidRPr="001B0EA3">
        <w:rPr>
          <w:color w:val="000000"/>
          <w:szCs w:val="24"/>
        </w:rPr>
        <w:t xml:space="preserve">В съответствие със Закона за финансовото управление и контрол в публичния сектор и приложимото европейско </w:t>
      </w:r>
      <w:r w:rsidR="00ED66CF" w:rsidRPr="001B0EA3">
        <w:rPr>
          <w:color w:val="000000"/>
          <w:szCs w:val="24"/>
        </w:rPr>
        <w:t>законодателство</w:t>
      </w:r>
      <w:r w:rsidRPr="001B0EA3">
        <w:rPr>
          <w:color w:val="000000"/>
          <w:szCs w:val="24"/>
        </w:rPr>
        <w:t>, УО организира събирането на данни и документирането на осъществяваните от него функции по финансовото управление на ОПТТИ. УО поддържа надеждна техническа и финансова отчетна система на оперативно ниво.</w:t>
      </w:r>
    </w:p>
    <w:p w14:paraId="6854BA76" w14:textId="77777777" w:rsidR="000444CE" w:rsidRPr="001B0EA3" w:rsidRDefault="000444CE" w:rsidP="00046D61">
      <w:pPr>
        <w:rPr>
          <w:color w:val="000000"/>
          <w:szCs w:val="24"/>
        </w:rPr>
      </w:pPr>
      <w:r w:rsidRPr="001B0EA3">
        <w:rPr>
          <w:color w:val="000000"/>
          <w:szCs w:val="24"/>
        </w:rPr>
        <w:t>УО по ОПТТИ прилага сметкоплан на бюджетните предприятия, утвърден от министъра на финансите и единен подход при отчитането на стопанските операции, активи и пасиви на бюджетните предприятия, в съответствие с методическите указания, утвърдени от министъра на финансите.</w:t>
      </w:r>
    </w:p>
    <w:p w14:paraId="1582353C" w14:textId="77777777" w:rsidR="000444CE" w:rsidRPr="001B0EA3" w:rsidRDefault="000444CE" w:rsidP="00046D61">
      <w:pPr>
        <w:rPr>
          <w:color w:val="000000"/>
          <w:szCs w:val="24"/>
        </w:rPr>
      </w:pPr>
      <w:r w:rsidRPr="001B0EA3">
        <w:rPr>
          <w:color w:val="000000"/>
          <w:szCs w:val="24"/>
        </w:rPr>
        <w:t>УО по ОПТ</w:t>
      </w:r>
      <w:r w:rsidR="00A24F4A">
        <w:rPr>
          <w:color w:val="000000"/>
          <w:szCs w:val="24"/>
        </w:rPr>
        <w:t>ТИ</w:t>
      </w:r>
      <w:r w:rsidRPr="001B0EA3">
        <w:rPr>
          <w:color w:val="000000"/>
          <w:szCs w:val="24"/>
        </w:rPr>
        <w:t xml:space="preserve">  изготвя следните отчети:</w:t>
      </w:r>
    </w:p>
    <w:p w14:paraId="3F40F5A5" w14:textId="77777777" w:rsidR="000444CE" w:rsidRPr="001B0EA3" w:rsidRDefault="000444CE" w:rsidP="00046D61">
      <w:pPr>
        <w:widowControl w:val="0"/>
        <w:numPr>
          <w:ilvl w:val="0"/>
          <w:numId w:val="67"/>
        </w:numPr>
        <w:tabs>
          <w:tab w:val="left" w:pos="1134"/>
        </w:tabs>
        <w:autoSpaceDE w:val="0"/>
        <w:autoSpaceDN w:val="0"/>
        <w:adjustRightInd w:val="0"/>
        <w:ind w:left="0" w:firstLine="851"/>
        <w:rPr>
          <w:color w:val="000000"/>
          <w:szCs w:val="24"/>
          <w:lang w:eastAsia="bg-BG"/>
        </w:rPr>
      </w:pPr>
      <w:r w:rsidRPr="001B0EA3">
        <w:rPr>
          <w:color w:val="000000"/>
          <w:szCs w:val="24"/>
          <w:lang w:eastAsia="bg-BG"/>
        </w:rPr>
        <w:t xml:space="preserve">месечни и тримесечни отчети за касовото изпълнение по </w:t>
      </w:r>
      <w:r w:rsidR="00ED66CF" w:rsidRPr="001B0EA3">
        <w:rPr>
          <w:color w:val="000000"/>
          <w:szCs w:val="24"/>
          <w:lang w:eastAsia="bg-BG"/>
        </w:rPr>
        <w:t>Единна</w:t>
      </w:r>
      <w:r w:rsidRPr="001B0EA3">
        <w:rPr>
          <w:color w:val="000000"/>
          <w:szCs w:val="24"/>
          <w:lang w:eastAsia="bg-BG"/>
        </w:rPr>
        <w:t xml:space="preserve"> бюджетна класификация.</w:t>
      </w:r>
    </w:p>
    <w:p w14:paraId="3A1C9348" w14:textId="77777777" w:rsidR="000444CE" w:rsidRPr="001B0EA3" w:rsidRDefault="000444CE" w:rsidP="00D26A1C">
      <w:pPr>
        <w:tabs>
          <w:tab w:val="left" w:pos="1080"/>
          <w:tab w:val="left" w:pos="1418"/>
        </w:tabs>
        <w:suppressAutoHyphens/>
        <w:spacing w:after="60"/>
        <w:ind w:firstLine="0"/>
        <w:rPr>
          <w:color w:val="000000"/>
          <w:szCs w:val="24"/>
          <w:lang w:eastAsia="bg-BG"/>
        </w:rPr>
      </w:pPr>
      <w:r w:rsidRPr="001B0EA3">
        <w:rPr>
          <w:szCs w:val="24"/>
        </w:rPr>
        <w:t xml:space="preserve">Електронно подписания файл с отчета за касово изпълнение по Единната бюджетна класификация се подава от оторизирано лице от УО на адрес </w:t>
      </w:r>
      <w:hyperlink r:id="rId238" w:history="1">
        <w:r w:rsidRPr="001B0EA3">
          <w:rPr>
            <w:b/>
            <w:szCs w:val="24"/>
            <w:u w:val="single"/>
          </w:rPr>
          <w:t>natfund@minfin.bg</w:t>
        </w:r>
      </w:hyperlink>
      <w:r w:rsidRPr="001B0EA3">
        <w:rPr>
          <w:szCs w:val="24"/>
          <w:u w:val="single"/>
        </w:rPr>
        <w:t>както следва</w:t>
      </w:r>
      <w:r w:rsidRPr="001B0EA3">
        <w:rPr>
          <w:szCs w:val="24"/>
        </w:rPr>
        <w:t xml:space="preserve">: месечния отчет до 3-тия работен ден след края на отчетния период и </w:t>
      </w:r>
      <w:r w:rsidR="00ED66CF" w:rsidRPr="001B0EA3">
        <w:rPr>
          <w:szCs w:val="24"/>
        </w:rPr>
        <w:t>тримесечния</w:t>
      </w:r>
      <w:r w:rsidRPr="001B0EA3">
        <w:rPr>
          <w:szCs w:val="24"/>
        </w:rPr>
        <w:t xml:space="preserve"> отчет до 15-тия работен ден след края на </w:t>
      </w:r>
      <w:r w:rsidRPr="001B0EA3">
        <w:rPr>
          <w:color w:val="000000"/>
          <w:szCs w:val="24"/>
          <w:lang w:eastAsia="bg-BG"/>
        </w:rPr>
        <w:t>отчетния период.</w:t>
      </w:r>
    </w:p>
    <w:p w14:paraId="754B10E9" w14:textId="77777777" w:rsidR="000444CE" w:rsidRPr="001B0EA3" w:rsidRDefault="000444CE" w:rsidP="00046D61">
      <w:pPr>
        <w:numPr>
          <w:ilvl w:val="0"/>
          <w:numId w:val="62"/>
        </w:numPr>
        <w:tabs>
          <w:tab w:val="clear" w:pos="720"/>
          <w:tab w:val="num" w:pos="1134"/>
        </w:tabs>
        <w:spacing w:after="200"/>
        <w:ind w:firstLine="131"/>
        <w:rPr>
          <w:color w:val="000000"/>
          <w:szCs w:val="24"/>
          <w:lang w:eastAsia="bg-BG"/>
        </w:rPr>
      </w:pPr>
      <w:r w:rsidRPr="001B0EA3">
        <w:rPr>
          <w:color w:val="000000"/>
          <w:szCs w:val="24"/>
          <w:lang w:eastAsia="bg-BG"/>
        </w:rPr>
        <w:t>периодични оборотни ведомости</w:t>
      </w:r>
    </w:p>
    <w:p w14:paraId="5BD4C017" w14:textId="77777777" w:rsidR="000444CE" w:rsidRPr="001B0EA3" w:rsidRDefault="000444CE" w:rsidP="00046D61">
      <w:pPr>
        <w:spacing w:before="120"/>
        <w:rPr>
          <w:szCs w:val="24"/>
        </w:rPr>
      </w:pPr>
      <w:r w:rsidRPr="001B0EA3">
        <w:rPr>
          <w:szCs w:val="24"/>
        </w:rPr>
        <w:t xml:space="preserve">Електронно подписаните файлове с периодичните оборотни ведомости се подават от оторизирано лице от УО на адрес </w:t>
      </w:r>
      <w:hyperlink r:id="rId239" w:history="1">
        <w:r w:rsidRPr="001B0EA3">
          <w:rPr>
            <w:b/>
            <w:szCs w:val="24"/>
            <w:u w:val="single"/>
          </w:rPr>
          <w:t>natfund@minfin.bg</w:t>
        </w:r>
      </w:hyperlink>
      <w:r w:rsidRPr="001B0EA3">
        <w:rPr>
          <w:szCs w:val="24"/>
        </w:rPr>
        <w:t xml:space="preserve"> до 15-тия работен ден след края на тримесечния отчетен период, с изключение на годишния счетоводен отчет, чийто срок за подаване е 31 януари след изтичане на финансовата година.</w:t>
      </w:r>
    </w:p>
    <w:p w14:paraId="0BDA1F88" w14:textId="77777777" w:rsidR="000444CE" w:rsidRPr="001B0EA3" w:rsidRDefault="000444CE" w:rsidP="00046D61">
      <w:pPr>
        <w:tabs>
          <w:tab w:val="left" w:pos="1080"/>
          <w:tab w:val="left" w:pos="1418"/>
          <w:tab w:val="num" w:pos="3763"/>
        </w:tabs>
        <w:suppressAutoHyphens/>
        <w:spacing w:before="120"/>
        <w:rPr>
          <w:szCs w:val="24"/>
        </w:rPr>
      </w:pPr>
      <w:r w:rsidRPr="001B0EA3">
        <w:rPr>
          <w:szCs w:val="24"/>
        </w:rPr>
        <w:lastRenderedPageBreak/>
        <w:t>Месечните и тримесечните отчети за касово изпълнение по Единна бюджетна класификация и периодичните оборотни ведомости на начислена основа се изготвят съобразно приложимите указания за попълването им и утвърдените формати от Министерство на финансите.</w:t>
      </w:r>
    </w:p>
    <w:p w14:paraId="49F84A78" w14:textId="77777777" w:rsidR="000444CE" w:rsidRPr="001B0EA3" w:rsidRDefault="000444CE" w:rsidP="00046D61">
      <w:pPr>
        <w:spacing w:before="120"/>
        <w:rPr>
          <w:szCs w:val="24"/>
        </w:rPr>
      </w:pPr>
    </w:p>
    <w:p w14:paraId="554DC1EC" w14:textId="77777777" w:rsidR="000444CE" w:rsidRPr="001B0EA3" w:rsidRDefault="000444CE" w:rsidP="00046D61">
      <w:pPr>
        <w:spacing w:before="120"/>
        <w:rPr>
          <w:color w:val="000000"/>
          <w:szCs w:val="24"/>
        </w:rPr>
      </w:pPr>
      <w:r w:rsidRPr="001B0EA3">
        <w:rPr>
          <w:color w:val="000000"/>
          <w:szCs w:val="24"/>
        </w:rPr>
        <w:t xml:space="preserve">При </w:t>
      </w:r>
      <w:r w:rsidRPr="001B0EA3">
        <w:rPr>
          <w:szCs w:val="24"/>
        </w:rPr>
        <w:t>поискване</w:t>
      </w:r>
      <w:r w:rsidRPr="001B0EA3">
        <w:rPr>
          <w:color w:val="000000"/>
          <w:szCs w:val="24"/>
        </w:rPr>
        <w:t xml:space="preserve">  на допълнителна, техническа и административна информация и други документи от дирекция „Национален фонд" (СО), Управляващият орган  ги представя  срок от 5 работни дни от поискването.</w:t>
      </w:r>
    </w:p>
    <w:p w14:paraId="23155CE4" w14:textId="77777777" w:rsidR="000444CE" w:rsidRPr="001B0EA3" w:rsidRDefault="000444CE" w:rsidP="00046D61">
      <w:pPr>
        <w:rPr>
          <w:color w:val="000000"/>
          <w:szCs w:val="24"/>
        </w:rPr>
      </w:pPr>
    </w:p>
    <w:p w14:paraId="05996EB9" w14:textId="77777777" w:rsidR="000444CE" w:rsidRPr="00842ECC" w:rsidRDefault="000444CE" w:rsidP="00B502C7">
      <w:pPr>
        <w:pStyle w:val="Style2"/>
        <w:rPr>
          <w:lang w:val="bg-BG"/>
        </w:rPr>
      </w:pPr>
      <w:bookmarkStart w:id="1181" w:name="_Toc479775746"/>
      <w:bookmarkStart w:id="1182" w:name="_Toc140150259"/>
      <w:r w:rsidRPr="00842ECC">
        <w:rPr>
          <w:lang w:val="bg-BG"/>
        </w:rPr>
        <w:t xml:space="preserve">Интерфейс между </w:t>
      </w:r>
      <w:r w:rsidRPr="001B0EA3">
        <w:t>SAP</w:t>
      </w:r>
      <w:r w:rsidRPr="00842ECC">
        <w:rPr>
          <w:lang w:val="bg-BG"/>
        </w:rPr>
        <w:t xml:space="preserve"> и ИСУН 2020</w:t>
      </w:r>
      <w:bookmarkEnd w:id="1181"/>
      <w:bookmarkEnd w:id="1182"/>
    </w:p>
    <w:p w14:paraId="6A396527" w14:textId="77777777" w:rsidR="00A24F4A" w:rsidRPr="00A24F4A" w:rsidRDefault="00A24F4A" w:rsidP="00A24F4A">
      <w:pPr>
        <w:spacing w:before="120"/>
        <w:rPr>
          <w:color w:val="000000"/>
          <w:szCs w:val="24"/>
        </w:rPr>
      </w:pPr>
      <w:r w:rsidRPr="00A24F4A">
        <w:rPr>
          <w:color w:val="000000"/>
          <w:szCs w:val="24"/>
        </w:rPr>
        <w:t xml:space="preserve">Интерфейсът между SAP и ИСУН 2020 осъществява обмен на информационни потоци между SAP и ИСУН 2020. Потокът на информация от SAP към ИСУН 2020 се осъществява посредством on-line връзка. </w:t>
      </w:r>
    </w:p>
    <w:p w14:paraId="36EA80FB" w14:textId="77777777" w:rsidR="00A24F4A" w:rsidRDefault="00A24F4A" w:rsidP="00A24F4A">
      <w:pPr>
        <w:spacing w:before="120"/>
        <w:rPr>
          <w:color w:val="000000"/>
          <w:szCs w:val="24"/>
        </w:rPr>
      </w:pPr>
      <w:r w:rsidRPr="00A24F4A">
        <w:rPr>
          <w:color w:val="000000"/>
          <w:szCs w:val="24"/>
        </w:rPr>
        <w:t>При извършени плащания по проекти,  счетоводителят генерира файл от SAP за реално изплатените суми на ниво проект. Файлът съдържа информация за платени суми без натрупване по проекти, за които към избрана дата има разпределен лимит. Този файл се импортира в ИСУН 2020. Счетоводителят извършва ежемесечно проверка на коректността на данните импортирани в ИСУН 2020, която удостоверява чрез попълването на Контролен лист за месечен контрол на счетоводните операции (</w:t>
      </w:r>
      <w:hyperlink r:id="rId240" w:tooltip="Контролен лист за проверка - месечен контрол на счетоводните операции" w:history="1">
        <w:r w:rsidR="001718B3" w:rsidRPr="00251D03">
          <w:rPr>
            <w:i/>
            <w:iCs/>
            <w:color w:val="0000FF"/>
            <w:szCs w:val="24"/>
            <w:u w:val="single"/>
            <w:lang w:eastAsia="bg-BG"/>
          </w:rPr>
          <w:t>Приложение № 5.08</w:t>
        </w:r>
      </w:hyperlink>
      <w:r w:rsidRPr="00A24F4A">
        <w:rPr>
          <w:color w:val="000000"/>
          <w:szCs w:val="24"/>
        </w:rPr>
        <w:t>).</w:t>
      </w:r>
    </w:p>
    <w:p w14:paraId="5D62E1AB" w14:textId="77777777" w:rsidR="000444CE" w:rsidRPr="001B0EA3" w:rsidRDefault="000444CE" w:rsidP="00A24F4A">
      <w:pPr>
        <w:spacing w:before="120"/>
        <w:rPr>
          <w:b/>
          <w:i/>
          <w:color w:val="000000"/>
          <w:szCs w:val="24"/>
        </w:rPr>
      </w:pPr>
    </w:p>
    <w:p w14:paraId="357837B6" w14:textId="77777777" w:rsidR="000444CE" w:rsidRDefault="000444CE" w:rsidP="00046D61">
      <w:pPr>
        <w:rPr>
          <w:color w:val="000000"/>
          <w:szCs w:val="24"/>
        </w:rPr>
      </w:pPr>
    </w:p>
    <w:p w14:paraId="5FFE0BBF" w14:textId="77777777" w:rsidR="00456A51" w:rsidRDefault="00456A51" w:rsidP="00046D61">
      <w:pPr>
        <w:rPr>
          <w:color w:val="000000"/>
          <w:szCs w:val="24"/>
        </w:rPr>
      </w:pPr>
    </w:p>
    <w:p w14:paraId="301574EE" w14:textId="77777777" w:rsidR="00456A51" w:rsidRPr="00842ECC" w:rsidRDefault="00456A51" w:rsidP="00251D03">
      <w:pPr>
        <w:pStyle w:val="Style2"/>
        <w:rPr>
          <w:lang w:val="bg-BG"/>
        </w:rPr>
      </w:pPr>
      <w:bookmarkStart w:id="1183" w:name="_Toc140150260"/>
      <w:r w:rsidRPr="00842ECC">
        <w:rPr>
          <w:lang w:val="bg-BG"/>
        </w:rPr>
        <w:t>Процедура за предоставяне на авансово финансиране по реда на  ДДС№06/03.09.2011 г.,/ ДДС 04/30.06.2016 г.</w:t>
      </w:r>
      <w:bookmarkEnd w:id="1183"/>
      <w:r w:rsidRPr="00842ECC">
        <w:rPr>
          <w:lang w:val="bg-BG"/>
        </w:rPr>
        <w:t xml:space="preserve"> </w:t>
      </w:r>
    </w:p>
    <w:p w14:paraId="4233A06F" w14:textId="77777777" w:rsidR="00456A51" w:rsidRPr="00456A51" w:rsidRDefault="00456A51" w:rsidP="00456A51">
      <w:pPr>
        <w:rPr>
          <w:color w:val="000000"/>
          <w:szCs w:val="24"/>
        </w:rPr>
      </w:pPr>
    </w:p>
    <w:p w14:paraId="519E9139" w14:textId="77777777" w:rsidR="00456A51" w:rsidRPr="00251D03" w:rsidRDefault="00456A51" w:rsidP="00251D03">
      <w:pPr>
        <w:pStyle w:val="Style3"/>
      </w:pPr>
      <w:r w:rsidRPr="00251D03">
        <w:t>Общи положения</w:t>
      </w:r>
    </w:p>
    <w:p w14:paraId="4B361BD0" w14:textId="77777777" w:rsidR="00456A51" w:rsidRPr="00456A51" w:rsidRDefault="00456A51" w:rsidP="00456A51">
      <w:pPr>
        <w:rPr>
          <w:color w:val="000000"/>
          <w:szCs w:val="24"/>
        </w:rPr>
      </w:pPr>
      <w:r w:rsidRPr="00456A51">
        <w:rPr>
          <w:color w:val="000000"/>
          <w:szCs w:val="24"/>
        </w:rPr>
        <w:t xml:space="preserve">Настоящата процедура описва предоставянето на авансово финансиране по проекти, финансирани по ОПТТИ в съответствие с ДДС № 06/2011г. и  ДДС 04/30.06.2016г. </w:t>
      </w:r>
    </w:p>
    <w:p w14:paraId="75D5C7D0" w14:textId="77777777" w:rsidR="00456A51" w:rsidRPr="00456A51" w:rsidRDefault="00456A51" w:rsidP="00456A51">
      <w:pPr>
        <w:rPr>
          <w:color w:val="000000"/>
          <w:szCs w:val="24"/>
        </w:rPr>
      </w:pPr>
      <w:r w:rsidRPr="00456A51">
        <w:rPr>
          <w:color w:val="000000"/>
          <w:szCs w:val="24"/>
        </w:rPr>
        <w:t xml:space="preserve">Авансовото финансиране се предоставя от УО на съответния бенефициент под формата на временни безлихвени заеми със срок на погасяване.. </w:t>
      </w:r>
    </w:p>
    <w:p w14:paraId="255F5AD2" w14:textId="77777777" w:rsidR="00456A51" w:rsidRPr="00456A51" w:rsidRDefault="00456A51" w:rsidP="00456A51">
      <w:pPr>
        <w:rPr>
          <w:color w:val="000000"/>
          <w:szCs w:val="24"/>
        </w:rPr>
      </w:pPr>
      <w:r w:rsidRPr="00456A51">
        <w:rPr>
          <w:color w:val="000000"/>
          <w:szCs w:val="24"/>
        </w:rPr>
        <w:t xml:space="preserve">Авансово финансиране по реда на ДДС № 06/2011г. се извършва до размера на междинното/окончателното плащане, което УО следва да предостави на съответния бенефициент. </w:t>
      </w:r>
    </w:p>
    <w:p w14:paraId="562BDF43" w14:textId="77777777" w:rsidR="00456A51" w:rsidRPr="00456A51" w:rsidRDefault="00456A51" w:rsidP="00456A51">
      <w:pPr>
        <w:rPr>
          <w:color w:val="000000"/>
          <w:szCs w:val="24"/>
        </w:rPr>
      </w:pPr>
      <w:r w:rsidRPr="00456A51">
        <w:rPr>
          <w:color w:val="000000"/>
          <w:szCs w:val="24"/>
        </w:rPr>
        <w:t>Въз основа на получените от бенефициентите искания за авансово финансиране, УО извършва преглед на съответните проекти, отчитайки получените прогнози и разчети и въз основа на наличната информация, взема решение индивидуално за всеки проект - за одобрение (в пълен или частичен размер) или за отхвърляне на исканата сума за авансово финансиране. В общия случай, максималната стойност, която УО може да одобри за авансово финансиране по даден проект, се изчислява като от сумата на реално сключените договори с изпълнители и други допустими разходи по проекта, които се финансират от БФП, се приспадат всички недопустими разходи, икономии, реално извършените към бенефициента плащания, верифицираните, но все още неизплатени на бенефициента разходи, както и подадените и в процес на верификация разходи.</w:t>
      </w:r>
    </w:p>
    <w:p w14:paraId="6C20F749" w14:textId="77777777" w:rsidR="00456A51" w:rsidRPr="00456A51" w:rsidRDefault="00456A51" w:rsidP="00456A51">
      <w:pPr>
        <w:rPr>
          <w:color w:val="000000"/>
          <w:szCs w:val="24"/>
        </w:rPr>
      </w:pPr>
      <w:r w:rsidRPr="00456A51">
        <w:rPr>
          <w:color w:val="000000"/>
          <w:szCs w:val="24"/>
        </w:rPr>
        <w:t xml:space="preserve">УО проверява и декларира пред Дирекция „Национален фонд“, че в искането за авансово финансиране на съответния бенефициент, посочената сума на авансовото финансиране </w:t>
      </w:r>
      <w:r w:rsidRPr="00251D03">
        <w:rPr>
          <w:color w:val="000000"/>
          <w:szCs w:val="24"/>
          <w:u w:val="single"/>
        </w:rPr>
        <w:t>не включва недопустими разходи и икономии по проекта</w:t>
      </w:r>
      <w:r w:rsidRPr="00456A51">
        <w:rPr>
          <w:color w:val="000000"/>
          <w:szCs w:val="24"/>
        </w:rPr>
        <w:t>.</w:t>
      </w:r>
    </w:p>
    <w:p w14:paraId="47BBA594" w14:textId="77777777" w:rsidR="00456A51" w:rsidRPr="00456A51" w:rsidRDefault="00456A51" w:rsidP="00456A51">
      <w:pPr>
        <w:rPr>
          <w:color w:val="000000"/>
          <w:szCs w:val="24"/>
        </w:rPr>
      </w:pPr>
      <w:r w:rsidRPr="00456A51">
        <w:rPr>
          <w:color w:val="000000"/>
          <w:szCs w:val="24"/>
        </w:rPr>
        <w:lastRenderedPageBreak/>
        <w:t>Съгласно ДДС 04/30.06.2016г.  за календарната година могат да се подават общо до дванадесет искания за авансово финансиране.</w:t>
      </w:r>
    </w:p>
    <w:p w14:paraId="04CBF490" w14:textId="77777777" w:rsidR="00456A51" w:rsidRPr="00456A51" w:rsidRDefault="00456A51" w:rsidP="00456A51">
      <w:pPr>
        <w:rPr>
          <w:color w:val="000000"/>
          <w:szCs w:val="24"/>
        </w:rPr>
      </w:pPr>
    </w:p>
    <w:p w14:paraId="1F71EAF7" w14:textId="77777777" w:rsidR="00456A51" w:rsidRPr="00456A51" w:rsidRDefault="00456A51" w:rsidP="00456A51">
      <w:pPr>
        <w:rPr>
          <w:color w:val="000000"/>
          <w:szCs w:val="24"/>
        </w:rPr>
      </w:pPr>
    </w:p>
    <w:p w14:paraId="704FD77A" w14:textId="77777777" w:rsidR="00456A51" w:rsidRPr="00842ECC" w:rsidRDefault="00456A51" w:rsidP="00251D03">
      <w:pPr>
        <w:pStyle w:val="Style3"/>
        <w:rPr>
          <w:lang w:val="bg-BG"/>
        </w:rPr>
      </w:pPr>
      <w:r w:rsidRPr="00842ECC">
        <w:rPr>
          <w:lang w:val="bg-BG"/>
        </w:rPr>
        <w:t>Процедура за предоставяне и погасяване на авансовото финансиране</w:t>
      </w:r>
    </w:p>
    <w:p w14:paraId="420A43AE" w14:textId="77777777" w:rsidR="00456A51" w:rsidRPr="00456A51" w:rsidRDefault="00456A51" w:rsidP="00456A51">
      <w:pPr>
        <w:rPr>
          <w:color w:val="000000"/>
          <w:szCs w:val="24"/>
        </w:rPr>
      </w:pPr>
    </w:p>
    <w:p w14:paraId="1ED33478" w14:textId="77777777" w:rsidR="00456A51" w:rsidRPr="00456A51" w:rsidRDefault="00456A51" w:rsidP="00456A51">
      <w:pPr>
        <w:rPr>
          <w:color w:val="000000"/>
          <w:szCs w:val="24"/>
        </w:rPr>
      </w:pPr>
      <w:r w:rsidRPr="00456A51">
        <w:rPr>
          <w:color w:val="000000"/>
          <w:szCs w:val="24"/>
        </w:rPr>
        <w:t xml:space="preserve">Авансово финансиране се предоставя въз основа на отправено от бенефициентите писмено искане (Приложение 1 – Искане за авансово финансиране) до УО. Искането се изпраща по електронната поща на адрес: </w:t>
      </w:r>
      <w:hyperlink r:id="rId241" w:history="1">
        <w:r w:rsidRPr="00036CBE">
          <w:rPr>
            <w:rStyle w:val="Hyperlink"/>
            <w:szCs w:val="24"/>
          </w:rPr>
          <w:t>optransport@mtitc.governmen.bg</w:t>
        </w:r>
      </w:hyperlink>
      <w:r w:rsidRPr="00456A51">
        <w:rPr>
          <w:color w:val="000000"/>
          <w:szCs w:val="24"/>
        </w:rPr>
        <w:t xml:space="preserve">. </w:t>
      </w:r>
    </w:p>
    <w:p w14:paraId="2790934C" w14:textId="77777777" w:rsidR="00456A51" w:rsidRPr="00456A51" w:rsidRDefault="00456A51" w:rsidP="00456A51">
      <w:pPr>
        <w:rPr>
          <w:color w:val="000000"/>
          <w:szCs w:val="24"/>
        </w:rPr>
      </w:pPr>
      <w:r w:rsidRPr="00456A51">
        <w:rPr>
          <w:color w:val="000000"/>
          <w:szCs w:val="24"/>
        </w:rPr>
        <w:t xml:space="preserve">Актуализираните формуляри-образци (Приложение № 1 - Искане за авансово финансиране и Приложение № 2 - Уведомление) съгласно </w:t>
      </w:r>
      <w:r w:rsidRPr="00251D03">
        <w:rPr>
          <w:b/>
          <w:i/>
          <w:color w:val="000000"/>
          <w:szCs w:val="24"/>
        </w:rPr>
        <w:t>ДДС № 06/2011 г.</w:t>
      </w:r>
      <w:r w:rsidRPr="00456A51">
        <w:rPr>
          <w:color w:val="000000"/>
          <w:szCs w:val="24"/>
        </w:rPr>
        <w:t xml:space="preserve"> са публикувани на интернет страницата на МФ: </w:t>
      </w:r>
      <w:r w:rsidRPr="00251D03">
        <w:rPr>
          <w:b/>
          <w:color w:val="000000"/>
          <w:szCs w:val="24"/>
        </w:rPr>
        <w:t>http://www.minfin.bg (Бюджет&gt;Методология&gt;Методология на отчетността&gt;Указания/Макети - нови формуляри-образци към ДДС№ 06/2011 г.)</w:t>
      </w:r>
      <w:r w:rsidRPr="00456A51">
        <w:rPr>
          <w:color w:val="000000"/>
          <w:szCs w:val="24"/>
        </w:rPr>
        <w:t>.</w:t>
      </w:r>
    </w:p>
    <w:p w14:paraId="706F8AD2" w14:textId="77777777" w:rsidR="00456A51" w:rsidRPr="00456A51" w:rsidRDefault="00456A51" w:rsidP="00456A51">
      <w:pPr>
        <w:rPr>
          <w:color w:val="000000"/>
          <w:szCs w:val="24"/>
        </w:rPr>
      </w:pPr>
      <w:r w:rsidRPr="00456A51">
        <w:rPr>
          <w:color w:val="000000"/>
          <w:szCs w:val="24"/>
        </w:rPr>
        <w:t>Експерт от отдел „Финансово управление” извършва проверка в срок от 5 работни дни от датата на получаване на  искането за авансово финансиране за необходимите реквизити, както и всички придружаващите го документи. След извършената проверка експертът попълва уведомление за авансово финансиране  (Приложение 2  от ДДС № 06/2011г.), изготвя становище за одобрение /частично или в пълен размер/ или отхвърляне на искането за авансово финансиране по реда на ДДС № 06/2011г. (</w:t>
      </w:r>
      <w:hyperlink r:id="rId242" w:tooltip="Становище за одобрение или отхвърляне на искане за авансово финансиране по реда на ДДС № 06/2011 г." w:history="1">
        <w:r w:rsidR="00271960" w:rsidRPr="00251D03">
          <w:rPr>
            <w:i/>
            <w:iCs/>
            <w:color w:val="0000FF"/>
            <w:szCs w:val="24"/>
            <w:u w:val="single"/>
            <w:lang w:eastAsia="bg-BG"/>
          </w:rPr>
          <w:t>Приложение № 5.21</w:t>
        </w:r>
      </w:hyperlink>
      <w:r w:rsidRPr="00456A51">
        <w:rPr>
          <w:color w:val="000000"/>
          <w:szCs w:val="24"/>
        </w:rPr>
        <w:t>) и попълва контролен лист за проверка на искане за авансово финансиране по реда на ДДС № 06/2011г. (</w:t>
      </w:r>
      <w:hyperlink r:id="rId243" w:tooltip="Контролен лист за проверка на искане за авансово финансиране по реда на ДДС № 06/2011 г." w:history="1">
        <w:r w:rsidR="00271960" w:rsidRPr="00251D03">
          <w:rPr>
            <w:i/>
            <w:iCs/>
            <w:color w:val="0000FF"/>
            <w:szCs w:val="24"/>
            <w:u w:val="single"/>
            <w:lang w:eastAsia="bg-BG"/>
          </w:rPr>
          <w:t>Приложение № 5.22</w:t>
        </w:r>
      </w:hyperlink>
      <w:r w:rsidRPr="00456A51">
        <w:rPr>
          <w:color w:val="000000"/>
          <w:szCs w:val="24"/>
        </w:rPr>
        <w:t>). След извършване на проверката искането за авансово финансиране се предава за проверка на началника на отдел „Финансово управление”, който го процедира за съгласуване на Директора на дирекция „КПП” и Ръководител на УО.</w:t>
      </w:r>
      <w:r w:rsidRPr="00456A51">
        <w:rPr>
          <w:color w:val="000000"/>
          <w:szCs w:val="24"/>
        </w:rPr>
        <w:tab/>
      </w:r>
    </w:p>
    <w:p w14:paraId="022D8DAF" w14:textId="77777777" w:rsidR="00456A51" w:rsidRPr="00456A51" w:rsidRDefault="00456A51" w:rsidP="00456A51">
      <w:pPr>
        <w:rPr>
          <w:color w:val="000000"/>
          <w:szCs w:val="24"/>
        </w:rPr>
      </w:pPr>
      <w:r w:rsidRPr="00456A51">
        <w:rPr>
          <w:color w:val="000000"/>
          <w:szCs w:val="24"/>
        </w:rPr>
        <w:t xml:space="preserve">При началникът на отдел „Финансово управление“ може да се изиска становище от отдел „Изпълнение и координация” за възникнали проблеми в процеса на изпълнение на проекта, за които е поискано авансово финансиране. Началникът на отдел „Изпълнение и координация” в срок до 2 работни дни представя на отдел „Финансово управление” изисканото становище. </w:t>
      </w:r>
    </w:p>
    <w:p w14:paraId="28A11B90" w14:textId="77777777" w:rsidR="00456A51" w:rsidRPr="00456A51" w:rsidRDefault="00456A51" w:rsidP="00456A51">
      <w:pPr>
        <w:rPr>
          <w:color w:val="000000"/>
          <w:szCs w:val="24"/>
        </w:rPr>
      </w:pPr>
      <w:r w:rsidRPr="00456A51">
        <w:rPr>
          <w:color w:val="000000"/>
          <w:szCs w:val="24"/>
        </w:rPr>
        <w:t>Ръководителят на УО взема решение в рамките на 2 работни дни за одобрение /частично или в пълен размер/ или отхвърляне на искането, за което попълва в контролен лист за проверка на искане за авансово финансиране по реда на ДДС № 06/2011г. (</w:t>
      </w:r>
      <w:hyperlink r:id="rId244" w:tooltip="Контролен лист за проверка на искане за авансово финансиране по реда на ДДС № 06/2011 г." w:history="1">
        <w:r w:rsidR="00271960" w:rsidRPr="00251D03">
          <w:rPr>
            <w:i/>
            <w:iCs/>
            <w:color w:val="0000FF"/>
            <w:szCs w:val="24"/>
            <w:u w:val="single"/>
            <w:lang w:eastAsia="bg-BG"/>
          </w:rPr>
          <w:t>Приложение № 5.22</w:t>
        </w:r>
      </w:hyperlink>
      <w:r w:rsidRPr="00456A51">
        <w:rPr>
          <w:color w:val="000000"/>
          <w:szCs w:val="24"/>
        </w:rPr>
        <w:t>). В същия срок, ръководителят на УО изпраща до дирекция „Национален фонд“ в електронен формат и подписани с електронен подпис одобрено искане за авансово финансиране (Приложение 1),  попълнено уведомление от УО (Приложение 2), и декларация, относно обстоятелствата по т. 43.4 от ДДС 04/30.06.2016 г. (</w:t>
      </w:r>
      <w:hyperlink r:id="rId245" w:tooltip="Декларация в изпълнение на т. 43.4 от ДДС № 4/2016" w:history="1">
        <w:r w:rsidR="00271960" w:rsidRPr="00251D03">
          <w:rPr>
            <w:i/>
            <w:iCs/>
            <w:color w:val="0000FF"/>
            <w:szCs w:val="24"/>
            <w:u w:val="single"/>
            <w:lang w:eastAsia="bg-BG"/>
          </w:rPr>
          <w:t>Приложение № 5.23</w:t>
        </w:r>
      </w:hyperlink>
      <w:r w:rsidRPr="00456A51">
        <w:rPr>
          <w:color w:val="000000"/>
          <w:szCs w:val="24"/>
        </w:rPr>
        <w:t>), както и други документи, подкрепящи искането за авансово финансиране.</w:t>
      </w:r>
    </w:p>
    <w:p w14:paraId="47AB2481" w14:textId="77777777" w:rsidR="00456A51" w:rsidRDefault="00456A51" w:rsidP="00456A51">
      <w:pPr>
        <w:rPr>
          <w:color w:val="000000"/>
          <w:szCs w:val="24"/>
        </w:rPr>
      </w:pPr>
      <w:r w:rsidRPr="00456A51">
        <w:rPr>
          <w:color w:val="000000"/>
          <w:szCs w:val="24"/>
        </w:rPr>
        <w:t xml:space="preserve">В уведомлението за авансово финансиране (Приложение 2), УО посочва и номера на десетразрядния код в СЕБРА, от който ще се преведе авансовото финансиране. В случай на получен по-малко лимит  от дирекция „Национален фонд, УО коригира съответните одобрени суми по искането за авансово финансиране и уведомява бенефициента за извършените корекции. </w:t>
      </w:r>
    </w:p>
    <w:p w14:paraId="0BA43465" w14:textId="77777777" w:rsidR="00036CBE" w:rsidRPr="00456A51" w:rsidRDefault="00036CBE" w:rsidP="00456A51">
      <w:pPr>
        <w:rPr>
          <w:color w:val="000000"/>
          <w:szCs w:val="24"/>
        </w:rPr>
      </w:pPr>
    </w:p>
    <w:p w14:paraId="357ABDC4" w14:textId="77777777" w:rsidR="00456A51" w:rsidRPr="00251D03" w:rsidRDefault="00456A51" w:rsidP="00456A51">
      <w:pPr>
        <w:rPr>
          <w:color w:val="000000"/>
          <w:szCs w:val="24"/>
          <w:u w:val="single"/>
        </w:rPr>
      </w:pPr>
      <w:r w:rsidRPr="00251D03">
        <w:rPr>
          <w:color w:val="000000"/>
          <w:szCs w:val="24"/>
          <w:u w:val="single"/>
        </w:rPr>
        <w:t>УО може да не одобри искане за авансово финансиране, ако бенефициента има просрочена непогасена сума за авансово финансиране. При неодобрение на авансово финансиране, ръководителят на УО изпраща до бенефициента по електронната поща уведомление за отказ.</w:t>
      </w:r>
    </w:p>
    <w:p w14:paraId="40CECF16" w14:textId="77777777" w:rsidR="00456A51" w:rsidRPr="00456A51" w:rsidRDefault="00456A51" w:rsidP="00456A51">
      <w:pPr>
        <w:rPr>
          <w:color w:val="000000"/>
          <w:szCs w:val="24"/>
        </w:rPr>
      </w:pPr>
      <w:r w:rsidRPr="00251D03">
        <w:rPr>
          <w:color w:val="000000"/>
          <w:szCs w:val="24"/>
          <w:u w:val="single"/>
        </w:rPr>
        <w:t>Дирекция „Национален фонд“ може да намали или не отпусне лимит за авансово финансиране за даден първостепенен разпоредител и/или бенефициент, като уведоми за това УО чрез електронно подписано съобщение.</w:t>
      </w:r>
      <w:r w:rsidRPr="00456A51">
        <w:rPr>
          <w:color w:val="000000"/>
          <w:szCs w:val="24"/>
        </w:rPr>
        <w:t xml:space="preserve"> </w:t>
      </w:r>
    </w:p>
    <w:p w14:paraId="58EB5263" w14:textId="77777777" w:rsidR="00456A51" w:rsidRPr="00456A51" w:rsidRDefault="00456A51" w:rsidP="00456A51">
      <w:pPr>
        <w:rPr>
          <w:color w:val="000000"/>
          <w:szCs w:val="24"/>
        </w:rPr>
      </w:pPr>
    </w:p>
    <w:p w14:paraId="56C4802C" w14:textId="77777777" w:rsidR="00456A51" w:rsidRPr="00842ECC" w:rsidRDefault="00456A51" w:rsidP="00251D03">
      <w:pPr>
        <w:pStyle w:val="Style3"/>
        <w:rPr>
          <w:lang w:val="bg-BG"/>
        </w:rPr>
      </w:pPr>
      <w:r w:rsidRPr="00842ECC">
        <w:rPr>
          <w:lang w:val="bg-BG"/>
        </w:rPr>
        <w:lastRenderedPageBreak/>
        <w:t>Извършване на плащане от УО по искането за авансово финансиране</w:t>
      </w:r>
    </w:p>
    <w:p w14:paraId="4B75FA84" w14:textId="77777777" w:rsidR="00456A51" w:rsidRPr="00456A51" w:rsidRDefault="00456A51" w:rsidP="00456A51">
      <w:pPr>
        <w:rPr>
          <w:color w:val="000000"/>
          <w:szCs w:val="24"/>
        </w:rPr>
      </w:pPr>
      <w:r w:rsidRPr="00456A51">
        <w:rPr>
          <w:color w:val="000000"/>
          <w:szCs w:val="24"/>
        </w:rPr>
        <w:t>След получаване на лимит от Дирекция „Национален фонд“ за одобреното авансово финансиране, УО еднократно превежда цялата сума по конкретно искане за авансово финансиране по сметка, посочена предварително в Искането за авансово финансиране (Приложение 1 образец от ДДС № 06/2011г.), независимо от броя на включените в искането за авансово финансиране проекти. След отпускане на лимита на УО в рамките на 1 работен ден оторизиран експерт от отдел «Финансово управление» изготвя бюджетно платежно нареждане в системата за интернет банкиране на БНБ, попълва и подписва контролен лист за проверка на плащане по авансово финансиране (</w:t>
      </w:r>
      <w:hyperlink r:id="rId246" w:tooltip="Контролен лист за проверка на плащане по авансово финансиране по реда на ДДС № 06/2011 г." w:history="1">
        <w:r w:rsidR="00271960" w:rsidRPr="00251D03">
          <w:rPr>
            <w:i/>
            <w:iCs/>
            <w:color w:val="0000FF"/>
            <w:szCs w:val="24"/>
            <w:u w:val="single"/>
            <w:lang w:eastAsia="bg-BG"/>
          </w:rPr>
          <w:t>Приложение № 5.24</w:t>
        </w:r>
      </w:hyperlink>
      <w:r w:rsidRPr="00456A51">
        <w:rPr>
          <w:color w:val="000000"/>
          <w:szCs w:val="24"/>
        </w:rPr>
        <w:t xml:space="preserve">) и го предава с придружаващите го документи на експерт, оправомощен да подписва платежни документи. </w:t>
      </w:r>
    </w:p>
    <w:p w14:paraId="08186E53" w14:textId="77777777" w:rsidR="00456A51" w:rsidRPr="00456A51" w:rsidRDefault="00456A51" w:rsidP="00456A51">
      <w:pPr>
        <w:rPr>
          <w:color w:val="000000"/>
          <w:szCs w:val="24"/>
        </w:rPr>
      </w:pPr>
      <w:r w:rsidRPr="00456A51">
        <w:rPr>
          <w:color w:val="000000"/>
          <w:szCs w:val="24"/>
        </w:rPr>
        <w:t>В рамките на 1 работен ден, упълномощен служител с право на втори подпис извършва проверка на платежното нареждане за наличие на всички необходими реквизити, както и за съответствие с искането за авансово финансиране и придружаващите го документи. При открити несъответствия платежните документи се връщат на експерта, който ги е изготвил за тяхното отстраняване. След извършване на проверката, служителят с право на втори подпис подписва платежното нареждане в системата за интернет банкиране на БНБ и попълва и подписва контролен лист за проверка на плащане по авансово финансиране (</w:t>
      </w:r>
      <w:hyperlink r:id="rId247" w:tooltip="Контролен лист за проверка на плащане по авансово финансиране по реда на ДДС № 06/2011 г." w:history="1">
        <w:r w:rsidR="00271960" w:rsidRPr="00251D03">
          <w:rPr>
            <w:i/>
            <w:iCs/>
            <w:color w:val="0000FF"/>
            <w:szCs w:val="24"/>
            <w:u w:val="single"/>
            <w:lang w:eastAsia="bg-BG"/>
          </w:rPr>
          <w:t>Приложение № 5.24</w:t>
        </w:r>
      </w:hyperlink>
      <w:r w:rsidRPr="00456A51">
        <w:rPr>
          <w:color w:val="000000"/>
          <w:szCs w:val="24"/>
        </w:rPr>
        <w:t>), след което предава платежните документи на лицето, упълномощено да подписва с първи подпис. В рамките на 1 работен ден, служителят с право на първи подпис оформя своите проверки в Контролен лист за проверка на плащане по авансово финансиране (</w:t>
      </w:r>
      <w:hyperlink r:id="rId248" w:tooltip="Контролен лист за проверка на плащане по авансово финансиране по реда на ДДС № 06/2011 г." w:history="1">
        <w:r w:rsidR="00271960" w:rsidRPr="00251D03">
          <w:rPr>
            <w:i/>
            <w:iCs/>
            <w:color w:val="0000FF"/>
            <w:szCs w:val="24"/>
            <w:u w:val="single"/>
            <w:lang w:eastAsia="bg-BG"/>
          </w:rPr>
          <w:t>Приложение № 5.24</w:t>
        </w:r>
      </w:hyperlink>
      <w:r w:rsidRPr="00456A51">
        <w:rPr>
          <w:color w:val="000000"/>
          <w:szCs w:val="24"/>
        </w:rPr>
        <w:t xml:space="preserve">), подписва и изпраща платежното нареждане в системата за интернет банкиране на БНБ. </w:t>
      </w:r>
    </w:p>
    <w:p w14:paraId="2C4D2DDC" w14:textId="77777777" w:rsidR="00456A51" w:rsidRPr="00456A51" w:rsidRDefault="00456A51" w:rsidP="00456A51">
      <w:pPr>
        <w:rPr>
          <w:color w:val="000000"/>
          <w:szCs w:val="24"/>
        </w:rPr>
      </w:pPr>
      <w:r w:rsidRPr="00456A51">
        <w:rPr>
          <w:color w:val="000000"/>
          <w:szCs w:val="24"/>
        </w:rPr>
        <w:t>Проверките на плащанията за авансово финансиране се извършват от упълномощен служител за финализиране на плащания в СЕБРА в рамките на 1 работен ден след регистриране на плащането в СЕБРА. Извършените контроли се съгласуват от началника на отдел „Финансово управление“ в рамките на 1 работен ден. Проверките се отразяват в контролен лист за потвърждаване на плащания в СЕБРА по реда на ДДС 06/2011 (</w:t>
      </w:r>
      <w:hyperlink r:id="rId249" w:tooltip="Контролен лист за потвърждаване на плащанията в СЕБРА по реда на ДДС № 06/2011" w:history="1">
        <w:r w:rsidR="00271960" w:rsidRPr="00251D03">
          <w:rPr>
            <w:i/>
            <w:iCs/>
            <w:color w:val="0000FF"/>
            <w:szCs w:val="24"/>
            <w:u w:val="single"/>
            <w:lang w:eastAsia="bg-BG"/>
          </w:rPr>
          <w:t>Приложение № 5.25</w:t>
        </w:r>
      </w:hyperlink>
      <w:r w:rsidRPr="00456A51">
        <w:rPr>
          <w:color w:val="000000"/>
          <w:szCs w:val="24"/>
        </w:rPr>
        <w:t>).</w:t>
      </w:r>
    </w:p>
    <w:p w14:paraId="27E5243E" w14:textId="77777777" w:rsidR="00456A51" w:rsidRPr="00456A51" w:rsidRDefault="00456A51" w:rsidP="00456A51">
      <w:pPr>
        <w:rPr>
          <w:color w:val="000000"/>
          <w:szCs w:val="24"/>
        </w:rPr>
      </w:pPr>
      <w:r w:rsidRPr="00456A51">
        <w:rPr>
          <w:color w:val="000000"/>
          <w:szCs w:val="24"/>
        </w:rPr>
        <w:t>В случаите в които, одобрената сума за авансово финансиране се превежда от УО по сметка на първостепенен разпоредител с бюджетни средства, същият е длъжен да преведе сумите/осигури лимит в СЕБРА на бенефициентите - негови подведомствени разпоредители, така както са преведени от УО. Тези средства не могат да се отклоняват и използват за други цели.</w:t>
      </w:r>
    </w:p>
    <w:p w14:paraId="1CAC37C4" w14:textId="77777777" w:rsidR="00456A51" w:rsidRPr="00456A51" w:rsidRDefault="00456A51" w:rsidP="00456A51">
      <w:pPr>
        <w:rPr>
          <w:color w:val="000000"/>
          <w:szCs w:val="24"/>
        </w:rPr>
      </w:pPr>
      <w:r w:rsidRPr="00456A51">
        <w:rPr>
          <w:color w:val="000000"/>
          <w:szCs w:val="24"/>
        </w:rPr>
        <w:t>За бенефициенти бюджетни предприятия, които не са в системата на първостепенен разпоредител с бюджетни средства, УО превежда одобреното авансово финансиране по сметка на бенефициента, посочена предварително в Искането за авансово финансиране (Приложение 1 образец от ДДС № 06/2011г.)</w:t>
      </w:r>
    </w:p>
    <w:p w14:paraId="15E41A7F" w14:textId="77777777" w:rsidR="00456A51" w:rsidRPr="00456A51" w:rsidRDefault="00456A51" w:rsidP="00456A51">
      <w:pPr>
        <w:rPr>
          <w:color w:val="000000"/>
          <w:szCs w:val="24"/>
        </w:rPr>
      </w:pPr>
    </w:p>
    <w:p w14:paraId="6AD927C4" w14:textId="77777777" w:rsidR="00456A51" w:rsidRPr="00456A51" w:rsidRDefault="00456A51" w:rsidP="00251D03">
      <w:pPr>
        <w:pStyle w:val="Style3"/>
      </w:pPr>
      <w:r w:rsidRPr="00456A51">
        <w:t>Погасяване на предоставено авансово финансиране</w:t>
      </w:r>
    </w:p>
    <w:p w14:paraId="27D77BCC" w14:textId="77777777" w:rsidR="00456A51" w:rsidRPr="00456A51" w:rsidRDefault="00456A51" w:rsidP="00456A51">
      <w:pPr>
        <w:rPr>
          <w:color w:val="000000"/>
          <w:szCs w:val="24"/>
        </w:rPr>
      </w:pPr>
    </w:p>
    <w:p w14:paraId="10B502AD" w14:textId="77777777" w:rsidR="00456A51" w:rsidRPr="00251D03" w:rsidRDefault="00456A51" w:rsidP="00456A51">
      <w:pPr>
        <w:rPr>
          <w:color w:val="000000"/>
          <w:szCs w:val="24"/>
          <w:u w:val="single"/>
        </w:rPr>
      </w:pPr>
      <w:r w:rsidRPr="00251D03">
        <w:rPr>
          <w:color w:val="000000"/>
          <w:szCs w:val="24"/>
          <w:u w:val="single"/>
        </w:rPr>
        <w:t>Авансово финансиране, отпуснато чрез сметки и кодове в СЕБРА на дирекция „Национален фонд“ под формата на временен безлихвен заем между извънбюджетни сметки, представлява задължение на съответния бенефициент по този заем и подлежи на погасяване от него.</w:t>
      </w:r>
    </w:p>
    <w:p w14:paraId="0B3457DB" w14:textId="77777777" w:rsidR="00456A51" w:rsidRPr="00842ECC" w:rsidRDefault="00456A51" w:rsidP="00251D03">
      <w:pPr>
        <w:pStyle w:val="Style4"/>
        <w:rPr>
          <w:lang w:val="bg-BG"/>
        </w:rPr>
      </w:pPr>
      <w:r w:rsidRPr="00842ECC">
        <w:rPr>
          <w:lang w:val="bg-BG"/>
        </w:rPr>
        <w:t xml:space="preserve">Процедура за погасяване на авансово финансиране за бенефициенти в структурата/системата на първостепенни разпоредители с бюджетни средства. </w:t>
      </w:r>
    </w:p>
    <w:p w14:paraId="721B1817" w14:textId="77777777" w:rsidR="00456A51" w:rsidRPr="00456A51" w:rsidRDefault="00456A51" w:rsidP="00456A51">
      <w:pPr>
        <w:rPr>
          <w:color w:val="000000"/>
          <w:szCs w:val="24"/>
        </w:rPr>
      </w:pPr>
      <w:r w:rsidRPr="00456A51">
        <w:rPr>
          <w:color w:val="000000"/>
          <w:szCs w:val="24"/>
        </w:rPr>
        <w:t xml:space="preserve">Погасяването на авансовото финансиране предоставено на такива бенефициенти, се извършва от УО до размера на верифицираните разходи в искания за междинни/окончателни плащания, за които е отпуснато авансово финансиране по реда на ДДС 06/2011.   </w:t>
      </w:r>
    </w:p>
    <w:p w14:paraId="147818A7" w14:textId="77777777" w:rsidR="00456A51" w:rsidRPr="00456A51" w:rsidRDefault="00456A51" w:rsidP="00456A51">
      <w:pPr>
        <w:rPr>
          <w:color w:val="000000"/>
          <w:szCs w:val="24"/>
        </w:rPr>
      </w:pPr>
      <w:r w:rsidRPr="00456A51">
        <w:rPr>
          <w:color w:val="000000"/>
          <w:szCs w:val="24"/>
        </w:rPr>
        <w:lastRenderedPageBreak/>
        <w:t>Временният безлихвен заем се счита за погасен на датата на превеждане от УО на сумата на разходите, финансирани по реда на ДДС 06/2011 и верифицирани в искания междинни/окончателни плащания от съответната сметка 6301 на ЦБ, на която титуляр е УО, по съответната негова транзитна сметка.</w:t>
      </w:r>
    </w:p>
    <w:p w14:paraId="5E568087" w14:textId="77777777" w:rsidR="00456A51" w:rsidRPr="00456A51" w:rsidRDefault="00456A51" w:rsidP="00456A51">
      <w:pPr>
        <w:rPr>
          <w:color w:val="000000"/>
          <w:szCs w:val="24"/>
        </w:rPr>
      </w:pPr>
      <w:r w:rsidRPr="00456A51">
        <w:rPr>
          <w:color w:val="000000"/>
          <w:szCs w:val="24"/>
        </w:rPr>
        <w:t xml:space="preserve">В тридневен срок от извършването на </w:t>
      </w:r>
      <w:r w:rsidRPr="00251D03">
        <w:rPr>
          <w:i/>
          <w:color w:val="000000"/>
          <w:szCs w:val="24"/>
        </w:rPr>
        <w:t>последното</w:t>
      </w:r>
      <w:r w:rsidRPr="00456A51">
        <w:rPr>
          <w:color w:val="000000"/>
          <w:szCs w:val="24"/>
        </w:rPr>
        <w:t xml:space="preserve"> погасяване на временния безлихвен заем, УО уведомява първостепенния разпоредител за остатъка по временния безлихвен заем, ако е налице такъв в случаите на неверифицирани разходи, за които е отпуснато авансово финансиране по реда на ДДС 06/2011. За този остатък погасяването се извършва в рамките на 15 работни дни от получаване на уведомлението от УО чрез превод от съответния първостепенен разпоредител по съответната транзитна сметка на УО. </w:t>
      </w:r>
    </w:p>
    <w:p w14:paraId="378DAE49" w14:textId="77777777" w:rsidR="00456A51" w:rsidRPr="00456A51" w:rsidRDefault="00456A51" w:rsidP="00456A51">
      <w:pPr>
        <w:rPr>
          <w:color w:val="000000"/>
          <w:szCs w:val="24"/>
        </w:rPr>
      </w:pPr>
    </w:p>
    <w:p w14:paraId="5163E7EE" w14:textId="77777777" w:rsidR="00456A51" w:rsidRPr="00842ECC" w:rsidRDefault="00456A51" w:rsidP="00251D03">
      <w:pPr>
        <w:pStyle w:val="Style4"/>
        <w:rPr>
          <w:lang w:val="bg-BG"/>
        </w:rPr>
      </w:pPr>
      <w:r w:rsidRPr="00842ECC">
        <w:rPr>
          <w:lang w:val="bg-BG"/>
        </w:rPr>
        <w:t>Процедура за погасяване на авансово финансиране за бенефициенти – бюджетни предприятия.</w:t>
      </w:r>
    </w:p>
    <w:p w14:paraId="00C58542" w14:textId="77777777" w:rsidR="00456A51" w:rsidRPr="00456A51" w:rsidRDefault="00456A51" w:rsidP="00456A51">
      <w:pPr>
        <w:rPr>
          <w:color w:val="000000"/>
          <w:szCs w:val="24"/>
        </w:rPr>
      </w:pPr>
      <w:r w:rsidRPr="00456A51">
        <w:rPr>
          <w:color w:val="000000"/>
          <w:szCs w:val="24"/>
        </w:rPr>
        <w:t>Погасяването авансово финансиране, предоставено на бенефициенти-бюджетни предприятия, коит</w:t>
      </w:r>
      <w:r w:rsidR="00036CBE">
        <w:rPr>
          <w:color w:val="000000"/>
          <w:szCs w:val="24"/>
        </w:rPr>
        <w:t>о</w:t>
      </w:r>
      <w:r w:rsidRPr="00456A51">
        <w:rPr>
          <w:color w:val="000000"/>
          <w:szCs w:val="24"/>
        </w:rPr>
        <w:t xml:space="preserve"> не са </w:t>
      </w:r>
      <w:r w:rsidRPr="00251D03">
        <w:rPr>
          <w:i/>
          <w:color w:val="000000"/>
          <w:szCs w:val="24"/>
        </w:rPr>
        <w:t>в структурата/системата на първостепенни разпоредители с бюджетни средства и</w:t>
      </w:r>
      <w:r w:rsidRPr="00456A51">
        <w:rPr>
          <w:color w:val="000000"/>
          <w:szCs w:val="24"/>
        </w:rPr>
        <w:t xml:space="preserve"> за които се прилага отделен десетразряден код в СЕБРА,  се извършва след разпределянето от УО на лимит за верифицирани разходи, финансирани по реда на ДДС № 06/2011 в искания за междинни/окончателни плащания. В уведомлението до бенефициента за разпределен лимит, УО посочва срока за възстановяване на отпуснатото авансово финансиране и банковите детайли за транзитната сметка на УО. Бенефициентът изготвя бюджетно платежно нареждане за възстановяване от разполагаемия лимит в СЕБРА  в собствена бюджетна сметка на сума, съответстваща на верифицираните разходи, финансирани чрез ДДС № 06/2011. . Бенефициентът е длъжен в посочения от УО срок да възстанови сумата на отпуснатото авансово финансиране по транзитна банкова сметка на УО. </w:t>
      </w:r>
    </w:p>
    <w:p w14:paraId="3495E8C1" w14:textId="77777777" w:rsidR="00456A51" w:rsidRPr="00456A51" w:rsidRDefault="00456A51" w:rsidP="00456A51">
      <w:pPr>
        <w:rPr>
          <w:color w:val="000000"/>
          <w:szCs w:val="24"/>
        </w:rPr>
      </w:pPr>
      <w:r w:rsidRPr="00456A51">
        <w:rPr>
          <w:color w:val="000000"/>
          <w:szCs w:val="24"/>
        </w:rPr>
        <w:t>За неверифицираните разходи, финансирани чрез ДДС № 06/2011, бенефициентът е длъжен да извърши възстановяване от собствени средства на временния безлихвен заем по транзитна сметка на УО.</w:t>
      </w:r>
    </w:p>
    <w:p w14:paraId="760EFB4B" w14:textId="77777777" w:rsidR="00456A51" w:rsidRPr="00456A51" w:rsidRDefault="00456A51" w:rsidP="00456A51">
      <w:pPr>
        <w:rPr>
          <w:color w:val="000000"/>
          <w:szCs w:val="24"/>
        </w:rPr>
      </w:pPr>
      <w:r w:rsidRPr="00456A51">
        <w:rPr>
          <w:color w:val="000000"/>
          <w:szCs w:val="24"/>
        </w:rPr>
        <w:t xml:space="preserve">УО е длъжен да уведоми дирекция „Национален фонд“ в рамките на 5 работни дни от датата на получаване на средства по негова транзитна сметка за размера на погасеното авансово финансиране, бенефициента и проекта за който се отнася. </w:t>
      </w:r>
    </w:p>
    <w:p w14:paraId="37CB6704" w14:textId="77777777" w:rsidR="00456A51" w:rsidRPr="00456A51" w:rsidRDefault="00456A51" w:rsidP="00456A51">
      <w:pPr>
        <w:rPr>
          <w:color w:val="000000"/>
          <w:szCs w:val="24"/>
        </w:rPr>
      </w:pPr>
      <w:r w:rsidRPr="00456A51">
        <w:rPr>
          <w:color w:val="000000"/>
          <w:szCs w:val="24"/>
        </w:rPr>
        <w:t>При непогасяване на авансово финансиране в срок, МФ може да предприеме мерки за неговото погасяване чрез прихващане с подлежащите за получаване трансфери/субсидии или за сметка на намаляването на разходите за съответния бюджет, в рамките на допустимите за това възможности, съгласно бюджетното законодателство.</w:t>
      </w:r>
    </w:p>
    <w:p w14:paraId="113BE2F1" w14:textId="77777777" w:rsidR="00456A51" w:rsidRPr="00456A51" w:rsidRDefault="00456A51" w:rsidP="00456A51">
      <w:pPr>
        <w:rPr>
          <w:color w:val="000000"/>
          <w:szCs w:val="24"/>
        </w:rPr>
      </w:pPr>
      <w:r w:rsidRPr="00456A51">
        <w:rPr>
          <w:color w:val="000000"/>
          <w:szCs w:val="24"/>
        </w:rPr>
        <w:t xml:space="preserve">Доколкото е допустимо и не противоречи на съответните изисквания на Европейския съюз за управление на средствата от ЕСИФ, </w:t>
      </w:r>
      <w:r w:rsidRPr="00251D03">
        <w:rPr>
          <w:b/>
          <w:color w:val="000000"/>
          <w:szCs w:val="24"/>
        </w:rPr>
        <w:t>МФ може да определи погасяването на авансовото финансиране да се извърши чрез превеждане на сумата от УО по негова транзитна сметка, вместо по сметката на бенефициента</w:t>
      </w:r>
      <w:r w:rsidR="00036CBE">
        <w:rPr>
          <w:color w:val="000000"/>
          <w:szCs w:val="24"/>
        </w:rPr>
        <w:t>.</w:t>
      </w:r>
    </w:p>
    <w:p w14:paraId="417DECE6" w14:textId="77777777" w:rsidR="000444CE" w:rsidRPr="001B0EA3" w:rsidRDefault="000444CE" w:rsidP="000444CE">
      <w:pPr>
        <w:jc w:val="left"/>
        <w:rPr>
          <w:b/>
          <w:bCs/>
          <w:kern w:val="28"/>
          <w:szCs w:val="24"/>
          <w:lang w:eastAsia="bg-BG"/>
        </w:rPr>
      </w:pPr>
      <w:r w:rsidRPr="001B0EA3">
        <w:rPr>
          <w:szCs w:val="24"/>
          <w:lang w:eastAsia="bg-BG"/>
        </w:rPr>
        <w:br w:type="page"/>
      </w:r>
    </w:p>
    <w:p w14:paraId="16F619FC" w14:textId="77777777" w:rsidR="00D603F5" w:rsidRPr="001B0EA3" w:rsidRDefault="00D075BF" w:rsidP="00046D61">
      <w:pPr>
        <w:pStyle w:val="Title"/>
        <w:spacing w:after="240"/>
        <w:ind w:firstLine="0"/>
        <w:jc w:val="center"/>
        <w:rPr>
          <w:rFonts w:ascii="Times New Roman" w:hAnsi="Times New Roman"/>
          <w:sz w:val="24"/>
          <w:szCs w:val="24"/>
          <w:lang w:eastAsia="bg-BG"/>
        </w:rPr>
      </w:pPr>
      <w:bookmarkStart w:id="1184" w:name="_Toc479775747"/>
      <w:bookmarkStart w:id="1185" w:name="_Toc140150261"/>
      <w:r>
        <w:rPr>
          <w:rFonts w:ascii="Times New Roman" w:hAnsi="Times New Roman"/>
          <w:sz w:val="24"/>
          <w:szCs w:val="24"/>
          <w:lang w:eastAsia="bg-BG"/>
        </w:rPr>
        <w:lastRenderedPageBreak/>
        <w:t>ГЛАВА 6</w:t>
      </w:r>
      <w:r w:rsidR="00D603F5" w:rsidRPr="001B0EA3">
        <w:rPr>
          <w:rFonts w:ascii="Times New Roman" w:hAnsi="Times New Roman"/>
          <w:sz w:val="24"/>
          <w:szCs w:val="24"/>
          <w:lang w:eastAsia="bg-BG"/>
        </w:rPr>
        <w:br/>
      </w:r>
      <w:r w:rsidR="001173D2" w:rsidRPr="001B0EA3">
        <w:rPr>
          <w:rFonts w:ascii="Times New Roman" w:hAnsi="Times New Roman"/>
          <w:sz w:val="24"/>
          <w:szCs w:val="24"/>
          <w:lang w:eastAsia="bg-BG"/>
        </w:rPr>
        <w:t>АДМИНИСТРИРАНЕ НА НЕРЕДНОСТИ И ИЗВЪРШВАНЕ НА ФИНАНСОВИ КОРЕКЦИИ</w:t>
      </w:r>
      <w:bookmarkEnd w:id="1184"/>
      <w:bookmarkEnd w:id="1185"/>
      <w:r w:rsidR="001173D2" w:rsidRPr="001B0EA3">
        <w:rPr>
          <w:rFonts w:ascii="Times New Roman" w:hAnsi="Times New Roman"/>
          <w:sz w:val="24"/>
          <w:szCs w:val="24"/>
          <w:lang w:eastAsia="bg-BG"/>
        </w:rPr>
        <w:t xml:space="preserve"> </w:t>
      </w:r>
    </w:p>
    <w:p w14:paraId="7A4F97A2" w14:textId="77777777" w:rsidR="00EB1EB7" w:rsidRPr="001B0EA3" w:rsidRDefault="00EB1EB7" w:rsidP="00D10028">
      <w:pPr>
        <w:rPr>
          <w:highlight w:val="yellow"/>
          <w:lang w:eastAsia="bg-BG"/>
        </w:rPr>
      </w:pPr>
    </w:p>
    <w:p w14:paraId="5A791FCE" w14:textId="77777777" w:rsidR="004C7066" w:rsidRPr="001B0EA3" w:rsidRDefault="00F526A2" w:rsidP="00F526A2">
      <w:pPr>
        <w:shd w:val="clear" w:color="auto" w:fill="FEFEFE"/>
        <w:ind w:firstLine="426"/>
        <w:rPr>
          <w:color w:val="000000"/>
          <w:szCs w:val="24"/>
          <w:lang w:eastAsia="en-US"/>
        </w:rPr>
      </w:pPr>
      <w:r w:rsidRPr="001B0EA3">
        <w:rPr>
          <w:color w:val="000000"/>
          <w:szCs w:val="24"/>
          <w:lang w:eastAsia="en-US"/>
        </w:rPr>
        <w:t xml:space="preserve">Настоящата глава съдържа </w:t>
      </w:r>
      <w:r w:rsidR="004C7066" w:rsidRPr="001B0EA3">
        <w:rPr>
          <w:color w:val="000000"/>
          <w:szCs w:val="24"/>
          <w:lang w:eastAsia="en-US"/>
        </w:rPr>
        <w:t>:</w:t>
      </w:r>
    </w:p>
    <w:p w14:paraId="73C608B6" w14:textId="77777777" w:rsidR="00312D2A" w:rsidRPr="001B0EA3" w:rsidRDefault="00F526A2" w:rsidP="0054623A">
      <w:pPr>
        <w:pStyle w:val="ListParagraph"/>
        <w:numPr>
          <w:ilvl w:val="0"/>
          <w:numId w:val="224"/>
        </w:numPr>
        <w:shd w:val="clear" w:color="auto" w:fill="FEFEFE"/>
        <w:rPr>
          <w:color w:val="000000"/>
          <w:szCs w:val="24"/>
          <w:lang w:eastAsia="en-US"/>
        </w:rPr>
      </w:pPr>
      <w:r w:rsidRPr="001B0EA3">
        <w:rPr>
          <w:color w:val="000000"/>
          <w:szCs w:val="24"/>
          <w:lang w:eastAsia="en-US"/>
        </w:rPr>
        <w:t>Вътрешните п</w:t>
      </w:r>
      <w:r w:rsidR="00F37511" w:rsidRPr="001B0EA3">
        <w:rPr>
          <w:color w:val="000000"/>
          <w:szCs w:val="24"/>
          <w:lang w:eastAsia="en-US"/>
        </w:rPr>
        <w:t xml:space="preserve">равила </w:t>
      </w:r>
      <w:r w:rsidRPr="001B0EA3">
        <w:rPr>
          <w:color w:val="000000"/>
          <w:szCs w:val="24"/>
          <w:lang w:eastAsia="en-US"/>
        </w:rPr>
        <w:t>за администриране на нередности на УО на ОПТТИ</w:t>
      </w:r>
      <w:r w:rsidR="00267BF4" w:rsidRPr="001B0EA3">
        <w:rPr>
          <w:color w:val="000000"/>
          <w:szCs w:val="24"/>
          <w:lang w:eastAsia="en-US"/>
        </w:rPr>
        <w:t xml:space="preserve"> – т. </w:t>
      </w:r>
      <w:r w:rsidR="002251DA" w:rsidRPr="001B0EA3">
        <w:rPr>
          <w:color w:val="000000"/>
          <w:szCs w:val="24"/>
          <w:lang w:eastAsia="en-US"/>
        </w:rPr>
        <w:t>26</w:t>
      </w:r>
    </w:p>
    <w:p w14:paraId="0F491705" w14:textId="77777777" w:rsidR="004C7066" w:rsidRPr="001B0EA3" w:rsidRDefault="004C7066" w:rsidP="0054623A">
      <w:pPr>
        <w:pStyle w:val="ListParagraph"/>
        <w:numPr>
          <w:ilvl w:val="0"/>
          <w:numId w:val="224"/>
        </w:numPr>
        <w:shd w:val="clear" w:color="auto" w:fill="FEFEFE"/>
        <w:rPr>
          <w:color w:val="000000"/>
          <w:szCs w:val="24"/>
          <w:lang w:eastAsia="en-US"/>
        </w:rPr>
      </w:pPr>
      <w:r w:rsidRPr="001B0EA3">
        <w:rPr>
          <w:color w:val="000000"/>
          <w:szCs w:val="24"/>
          <w:lang w:eastAsia="en-US"/>
        </w:rPr>
        <w:t xml:space="preserve">Изисквания към служителите на УО на ОПТТИ  за избягване на конфликт на интереси – т. </w:t>
      </w:r>
      <w:r w:rsidR="002251DA" w:rsidRPr="001B0EA3">
        <w:rPr>
          <w:color w:val="000000"/>
          <w:szCs w:val="24"/>
          <w:lang w:eastAsia="en-US"/>
        </w:rPr>
        <w:t>2</w:t>
      </w:r>
      <w:r w:rsidR="0028593E" w:rsidRPr="001B0EA3">
        <w:rPr>
          <w:color w:val="000000"/>
          <w:szCs w:val="24"/>
          <w:lang w:eastAsia="en-US"/>
        </w:rPr>
        <w:t>7</w:t>
      </w:r>
    </w:p>
    <w:p w14:paraId="0204D9AF" w14:textId="77777777" w:rsidR="004C7066" w:rsidRPr="001B0EA3" w:rsidRDefault="004C7066" w:rsidP="00CC313F">
      <w:pPr>
        <w:pStyle w:val="ListParagraph"/>
        <w:shd w:val="clear" w:color="auto" w:fill="FEFEFE"/>
        <w:ind w:left="0"/>
        <w:rPr>
          <w:color w:val="000000"/>
          <w:szCs w:val="24"/>
          <w:lang w:eastAsia="en-US"/>
        </w:rPr>
      </w:pPr>
    </w:p>
    <w:p w14:paraId="0F1FD144" w14:textId="77777777" w:rsidR="004C7066" w:rsidRPr="001B0EA3" w:rsidRDefault="004C7066" w:rsidP="00F526A2">
      <w:pPr>
        <w:shd w:val="clear" w:color="auto" w:fill="FEFEFE"/>
        <w:rPr>
          <w:color w:val="000000"/>
          <w:szCs w:val="24"/>
          <w:lang w:eastAsia="en-US"/>
        </w:rPr>
      </w:pPr>
    </w:p>
    <w:p w14:paraId="52ABC425" w14:textId="77777777" w:rsidR="006E2B09" w:rsidRPr="00A110A4" w:rsidRDefault="004C7066" w:rsidP="00F058E0">
      <w:pPr>
        <w:pStyle w:val="Style1"/>
      </w:pPr>
      <w:bookmarkStart w:id="1186" w:name="_Toc479775748"/>
      <w:bookmarkStart w:id="1187" w:name="_Toc140150262"/>
      <w:r w:rsidRPr="00A110A4">
        <w:t>В</w:t>
      </w:r>
      <w:r w:rsidR="006E2B09" w:rsidRPr="00A110A4">
        <w:t>ътрешни правила за администриране на нередности на УО на ОПТТИ</w:t>
      </w:r>
      <w:bookmarkEnd w:id="1186"/>
      <w:bookmarkEnd w:id="1187"/>
    </w:p>
    <w:p w14:paraId="229090E4" w14:textId="77777777" w:rsidR="006E2B09" w:rsidRPr="001B0EA3" w:rsidRDefault="006E2B09" w:rsidP="00CC313F">
      <w:pPr>
        <w:pStyle w:val="ListParagraph"/>
        <w:autoSpaceDE w:val="0"/>
        <w:autoSpaceDN w:val="0"/>
        <w:adjustRightInd w:val="0"/>
        <w:spacing w:before="120"/>
        <w:ind w:left="0"/>
        <w:jc w:val="left"/>
        <w:rPr>
          <w:b/>
          <w:color w:val="000000"/>
          <w:szCs w:val="24"/>
          <w:lang w:eastAsia="en-US"/>
        </w:rPr>
      </w:pPr>
    </w:p>
    <w:p w14:paraId="1F133F51" w14:textId="77777777" w:rsidR="00267BF4" w:rsidRPr="001B0EA3" w:rsidRDefault="00267BF4" w:rsidP="00D82097">
      <w:pPr>
        <w:pStyle w:val="Style2"/>
        <w:rPr>
          <w:lang w:eastAsia="en-US"/>
        </w:rPr>
      </w:pPr>
      <w:bookmarkStart w:id="1188" w:name="_Toc140150263"/>
      <w:r w:rsidRPr="001B0EA3">
        <w:rPr>
          <w:lang w:eastAsia="en-US"/>
        </w:rPr>
        <w:t>Общи сведения</w:t>
      </w:r>
      <w:bookmarkEnd w:id="1188"/>
      <w:r w:rsidRPr="001B0EA3">
        <w:rPr>
          <w:lang w:eastAsia="en-US"/>
        </w:rPr>
        <w:t xml:space="preserve"> </w:t>
      </w:r>
    </w:p>
    <w:p w14:paraId="4070BAA7" w14:textId="77777777" w:rsidR="00312D2A" w:rsidRPr="001B0EA3" w:rsidRDefault="00312D2A" w:rsidP="00312D2A">
      <w:pPr>
        <w:shd w:val="clear" w:color="auto" w:fill="FEFEFE"/>
        <w:ind w:firstLine="426"/>
        <w:rPr>
          <w:color w:val="000000"/>
          <w:szCs w:val="24"/>
          <w:lang w:eastAsia="en-US"/>
        </w:rPr>
      </w:pPr>
      <w:r w:rsidRPr="001B0EA3">
        <w:rPr>
          <w:color w:val="000000"/>
          <w:szCs w:val="24"/>
          <w:lang w:eastAsia="en-US"/>
        </w:rPr>
        <w:t xml:space="preserve">Настоящите правила са приети на основание чл. 13, ал. 2 от Наредбата за </w:t>
      </w:r>
      <w:r w:rsidR="00ED66CF" w:rsidRPr="001B0EA3">
        <w:rPr>
          <w:color w:val="000000"/>
          <w:szCs w:val="24"/>
          <w:lang w:eastAsia="en-US"/>
        </w:rPr>
        <w:t>администриране</w:t>
      </w:r>
      <w:r w:rsidRPr="001B0EA3">
        <w:rPr>
          <w:color w:val="000000"/>
          <w:szCs w:val="24"/>
          <w:lang w:eastAsia="en-US"/>
        </w:rPr>
        <w:t xml:space="preserve"> на нередности по Европейските структурни и инвестиционни фондове (Наредбата), във връзка с чл. 69, ал. 6 от ЗУСЕСИФ</w:t>
      </w:r>
      <w:r w:rsidR="001D335E" w:rsidRPr="001B0EA3">
        <w:rPr>
          <w:color w:val="000000"/>
          <w:szCs w:val="24"/>
          <w:lang w:eastAsia="en-US"/>
        </w:rPr>
        <w:t>.</w:t>
      </w:r>
    </w:p>
    <w:p w14:paraId="3FB5634C" w14:textId="77777777" w:rsidR="00312D2A" w:rsidRPr="001B0EA3" w:rsidRDefault="00312D2A" w:rsidP="00312D2A">
      <w:pPr>
        <w:shd w:val="clear" w:color="auto" w:fill="FEFEFE"/>
        <w:ind w:firstLine="426"/>
        <w:rPr>
          <w:color w:val="000000"/>
          <w:szCs w:val="24"/>
          <w:lang w:eastAsia="en-US"/>
        </w:rPr>
      </w:pPr>
      <w:r w:rsidRPr="001B0EA3">
        <w:rPr>
          <w:color w:val="000000"/>
          <w:szCs w:val="24"/>
          <w:lang w:eastAsia="en-US"/>
        </w:rPr>
        <w:t xml:space="preserve">Съгласно чл. 3 на </w:t>
      </w:r>
      <w:r w:rsidR="001D335E" w:rsidRPr="001B0EA3">
        <w:rPr>
          <w:color w:val="000000"/>
          <w:szCs w:val="24"/>
          <w:lang w:eastAsia="en-US"/>
        </w:rPr>
        <w:t>Наредбата</w:t>
      </w:r>
      <w:r w:rsidRPr="001B0EA3">
        <w:rPr>
          <w:color w:val="000000"/>
          <w:szCs w:val="24"/>
          <w:lang w:eastAsia="en-US"/>
        </w:rPr>
        <w:t>, процедурите за администриране на нередности включват:</w:t>
      </w:r>
    </w:p>
    <w:p w14:paraId="2CAF3127" w14:textId="77777777" w:rsidR="00312D2A" w:rsidRPr="001B0EA3" w:rsidRDefault="00312D2A" w:rsidP="00312D2A">
      <w:pPr>
        <w:shd w:val="clear" w:color="auto" w:fill="FEFEFE"/>
        <w:rPr>
          <w:color w:val="000000"/>
          <w:szCs w:val="24"/>
          <w:lang w:eastAsia="en-US"/>
        </w:rPr>
      </w:pPr>
      <w:r w:rsidRPr="001B0EA3">
        <w:rPr>
          <w:color w:val="000000"/>
          <w:szCs w:val="24"/>
          <w:lang w:eastAsia="en-US"/>
        </w:rPr>
        <w:t>1. регистриране на сигнал за нередност;</w:t>
      </w:r>
    </w:p>
    <w:p w14:paraId="57FD7723" w14:textId="77777777" w:rsidR="00312D2A" w:rsidRPr="001B0EA3" w:rsidRDefault="00312D2A" w:rsidP="00312D2A">
      <w:pPr>
        <w:shd w:val="clear" w:color="auto" w:fill="FEFEFE"/>
        <w:rPr>
          <w:color w:val="000000"/>
          <w:szCs w:val="24"/>
          <w:lang w:eastAsia="en-US"/>
        </w:rPr>
      </w:pPr>
      <w:r w:rsidRPr="001B0EA3">
        <w:rPr>
          <w:color w:val="000000"/>
          <w:szCs w:val="24"/>
          <w:lang w:eastAsia="en-US"/>
        </w:rPr>
        <w:t>2. проверка за установяване на нередност или липса на нередност;</w:t>
      </w:r>
    </w:p>
    <w:p w14:paraId="31D06EFB" w14:textId="77777777" w:rsidR="00312D2A" w:rsidRPr="001B0EA3" w:rsidRDefault="00312D2A" w:rsidP="00312D2A">
      <w:pPr>
        <w:shd w:val="clear" w:color="auto" w:fill="FEFEFE"/>
        <w:rPr>
          <w:color w:val="000000"/>
          <w:szCs w:val="24"/>
          <w:lang w:eastAsia="en-US"/>
        </w:rPr>
      </w:pPr>
      <w:r w:rsidRPr="001B0EA3">
        <w:rPr>
          <w:color w:val="000000"/>
          <w:szCs w:val="24"/>
          <w:lang w:eastAsia="en-US"/>
        </w:rPr>
        <w:t>3. издаване на първа писмена оценка за установяване на нередност или липса на нередност;</w:t>
      </w:r>
    </w:p>
    <w:p w14:paraId="243E50ED" w14:textId="77777777" w:rsidR="00312D2A" w:rsidRPr="001B0EA3" w:rsidRDefault="00312D2A" w:rsidP="00312D2A">
      <w:pPr>
        <w:shd w:val="clear" w:color="auto" w:fill="FEFEFE"/>
        <w:rPr>
          <w:color w:val="000000"/>
          <w:szCs w:val="24"/>
          <w:lang w:eastAsia="en-US"/>
        </w:rPr>
      </w:pPr>
      <w:r w:rsidRPr="001B0EA3">
        <w:rPr>
          <w:color w:val="000000"/>
          <w:szCs w:val="24"/>
          <w:lang w:eastAsia="en-US"/>
        </w:rPr>
        <w:t>4. регистриране на нередност;</w:t>
      </w:r>
    </w:p>
    <w:p w14:paraId="05B3615A" w14:textId="77777777" w:rsidR="00312D2A" w:rsidRPr="001B0EA3" w:rsidRDefault="00312D2A" w:rsidP="00312D2A">
      <w:pPr>
        <w:shd w:val="clear" w:color="auto" w:fill="FEFEFE"/>
        <w:rPr>
          <w:color w:val="000000"/>
          <w:szCs w:val="24"/>
          <w:lang w:eastAsia="en-US"/>
        </w:rPr>
      </w:pPr>
      <w:r w:rsidRPr="001B0EA3">
        <w:rPr>
          <w:color w:val="000000"/>
          <w:szCs w:val="24"/>
          <w:lang w:eastAsia="en-US"/>
        </w:rPr>
        <w:t>5. докладване на нередност;</w:t>
      </w:r>
    </w:p>
    <w:p w14:paraId="4DAA7796" w14:textId="77777777" w:rsidR="00312D2A" w:rsidRPr="001B0EA3" w:rsidRDefault="00312D2A" w:rsidP="00312D2A">
      <w:pPr>
        <w:shd w:val="clear" w:color="auto" w:fill="FEFEFE"/>
        <w:rPr>
          <w:color w:val="000000"/>
          <w:szCs w:val="24"/>
          <w:lang w:eastAsia="en-US"/>
        </w:rPr>
      </w:pPr>
      <w:r w:rsidRPr="001B0EA3">
        <w:rPr>
          <w:color w:val="000000"/>
          <w:szCs w:val="24"/>
          <w:lang w:eastAsia="en-US"/>
        </w:rPr>
        <w:t>6. корективни действия и последващото им проследяване;</w:t>
      </w:r>
    </w:p>
    <w:p w14:paraId="1FBA90AF" w14:textId="77777777" w:rsidR="00312D2A" w:rsidRPr="001B0EA3" w:rsidRDefault="00312D2A" w:rsidP="00312D2A">
      <w:pPr>
        <w:shd w:val="clear" w:color="auto" w:fill="FEFEFE"/>
        <w:rPr>
          <w:color w:val="000000"/>
          <w:szCs w:val="24"/>
          <w:lang w:eastAsia="en-US"/>
        </w:rPr>
      </w:pPr>
      <w:r w:rsidRPr="001B0EA3">
        <w:rPr>
          <w:color w:val="000000"/>
          <w:szCs w:val="24"/>
          <w:lang w:eastAsia="en-US"/>
        </w:rPr>
        <w:t>7. приключване на процедурата по администриране на нередност;</w:t>
      </w:r>
    </w:p>
    <w:p w14:paraId="534D3F39" w14:textId="77777777" w:rsidR="00312D2A" w:rsidRPr="001B0EA3" w:rsidRDefault="00312D2A" w:rsidP="00312D2A">
      <w:pPr>
        <w:shd w:val="clear" w:color="auto" w:fill="FEFEFE"/>
        <w:rPr>
          <w:color w:val="000000"/>
          <w:szCs w:val="24"/>
          <w:lang w:eastAsia="en-US"/>
        </w:rPr>
      </w:pPr>
      <w:r w:rsidRPr="001B0EA3">
        <w:rPr>
          <w:color w:val="000000"/>
          <w:szCs w:val="24"/>
          <w:lang w:eastAsia="en-US"/>
        </w:rPr>
        <w:t>8. други действия, изпълнението на които е от значение за правилното администриране на нередността.</w:t>
      </w:r>
    </w:p>
    <w:p w14:paraId="557F49A5" w14:textId="77777777" w:rsidR="00F37511" w:rsidRPr="001B0EA3" w:rsidRDefault="00F37511" w:rsidP="00046D61">
      <w:pPr>
        <w:autoSpaceDE w:val="0"/>
        <w:autoSpaceDN w:val="0"/>
        <w:adjustRightInd w:val="0"/>
        <w:spacing w:before="120"/>
        <w:rPr>
          <w:color w:val="000000"/>
          <w:szCs w:val="24"/>
          <w:highlight w:val="yellow"/>
          <w:lang w:eastAsia="en-US"/>
        </w:rPr>
      </w:pPr>
    </w:p>
    <w:p w14:paraId="0F3913EA" w14:textId="77777777" w:rsidR="005E1B90" w:rsidRPr="001B0EA3" w:rsidRDefault="00F37511" w:rsidP="00D82097">
      <w:pPr>
        <w:pStyle w:val="Style2"/>
        <w:rPr>
          <w:lang w:eastAsia="en-US"/>
        </w:rPr>
      </w:pPr>
      <w:bookmarkStart w:id="1189" w:name="_Toc479775749"/>
      <w:bookmarkStart w:id="1190" w:name="_Toc140150264"/>
      <w:r w:rsidRPr="001B0EA3">
        <w:rPr>
          <w:lang w:eastAsia="en-US"/>
        </w:rPr>
        <w:t>Регистриране на сигнал за нередност</w:t>
      </w:r>
      <w:bookmarkEnd w:id="1189"/>
      <w:bookmarkEnd w:id="1190"/>
      <w:r w:rsidRPr="001B0EA3">
        <w:rPr>
          <w:lang w:eastAsia="en-US"/>
        </w:rPr>
        <w:t xml:space="preserve"> </w:t>
      </w:r>
    </w:p>
    <w:p w14:paraId="1BBDAABD" w14:textId="77777777" w:rsidR="00F37511" w:rsidRPr="001B0EA3" w:rsidRDefault="00F37511" w:rsidP="00585CD7">
      <w:pPr>
        <w:autoSpaceDE w:val="0"/>
        <w:autoSpaceDN w:val="0"/>
        <w:adjustRightInd w:val="0"/>
        <w:ind w:firstLine="420"/>
        <w:rPr>
          <w:bCs/>
          <w:color w:val="000000"/>
          <w:szCs w:val="24"/>
          <w:lang w:eastAsia="en-US"/>
        </w:rPr>
      </w:pPr>
    </w:p>
    <w:p w14:paraId="564BC703" w14:textId="0B269FA7" w:rsidR="0082298E" w:rsidRPr="001B0EA3" w:rsidRDefault="0082298E" w:rsidP="008054F5">
      <w:pPr>
        <w:shd w:val="clear" w:color="auto" w:fill="FEFEFE"/>
        <w:ind w:firstLine="709"/>
        <w:rPr>
          <w:bCs/>
          <w:color w:val="000000"/>
          <w:szCs w:val="24"/>
          <w:lang w:eastAsia="en-US"/>
        </w:rPr>
      </w:pPr>
      <w:r w:rsidRPr="001B0EA3">
        <w:rPr>
          <w:bCs/>
          <w:color w:val="000000"/>
          <w:szCs w:val="24"/>
          <w:lang w:eastAsia="en-US"/>
        </w:rPr>
        <w:t>Процедурата по администриране на нередности започва по инициатива на Управляващия орган или по сигнал. Всяко лице може да подаде сигнал за нередност във връзка с изпълнението на програми и проекти, съфинансирани от ЕСИФ. При наличие на достатъчно данни за извършена нередност</w:t>
      </w:r>
      <w:r w:rsidR="00C15B24" w:rsidRPr="001B0EA3">
        <w:rPr>
          <w:bCs/>
          <w:color w:val="000000"/>
          <w:szCs w:val="24"/>
          <w:lang w:eastAsia="en-US"/>
        </w:rPr>
        <w:t>,</w:t>
      </w:r>
      <w:r w:rsidRPr="001B0EA3">
        <w:rPr>
          <w:bCs/>
          <w:color w:val="000000"/>
          <w:szCs w:val="24"/>
          <w:lang w:eastAsia="en-US"/>
        </w:rPr>
        <w:t xml:space="preserve"> служителите на Управляващия орган са задължени да подават сигнали за нередности до ръководителя на Управляващия орган и/или до отдел „Управл</w:t>
      </w:r>
      <w:r w:rsidR="00D06FC0">
        <w:rPr>
          <w:bCs/>
          <w:color w:val="000000"/>
          <w:szCs w:val="24"/>
          <w:lang w:eastAsia="en-US"/>
        </w:rPr>
        <w:t>ение на риска</w:t>
      </w:r>
      <w:r w:rsidRPr="001B0EA3">
        <w:rPr>
          <w:bCs/>
          <w:color w:val="000000"/>
          <w:szCs w:val="24"/>
          <w:lang w:eastAsia="en-US"/>
        </w:rPr>
        <w:t>“. Сигнали за нередности могат да бъдат подавани и в раздел „</w:t>
      </w:r>
      <w:r w:rsidR="00BE74F9" w:rsidRPr="001B0EA3">
        <w:rPr>
          <w:bCs/>
          <w:color w:val="000000"/>
          <w:szCs w:val="24"/>
          <w:lang w:eastAsia="en-US"/>
        </w:rPr>
        <w:t>Сигнали за н</w:t>
      </w:r>
      <w:r w:rsidRPr="001B0EA3">
        <w:rPr>
          <w:bCs/>
          <w:color w:val="000000"/>
          <w:szCs w:val="24"/>
          <w:lang w:eastAsia="en-US"/>
        </w:rPr>
        <w:t xml:space="preserve">ередности“ на официалната интернет страница на УО на ОПТТИ на адрес </w:t>
      </w:r>
      <w:hyperlink r:id="rId250" w:history="1">
        <w:r w:rsidR="004A14D0" w:rsidRPr="00BD0F60">
          <w:rPr>
            <w:rStyle w:val="Hyperlink"/>
            <w:lang w:eastAsia="bg-BG"/>
          </w:rPr>
          <w:t>http://</w:t>
        </w:r>
        <w:r w:rsidR="009D6A2A">
          <w:rPr>
            <w:rStyle w:val="Hyperlink"/>
            <w:lang w:eastAsia="bg-BG"/>
          </w:rPr>
          <w:t>www.eufunds.bg/optti</w:t>
        </w:r>
        <w:r w:rsidR="004A14D0" w:rsidRPr="00BD0F60">
          <w:rPr>
            <w:rStyle w:val="Hyperlink"/>
            <w:lang w:eastAsia="bg-BG"/>
          </w:rPr>
          <w:t>/</w:t>
        </w:r>
      </w:hyperlink>
      <w:r w:rsidR="004A14D0" w:rsidRPr="001B0EA3">
        <w:rPr>
          <w:bCs/>
          <w:color w:val="000000"/>
          <w:szCs w:val="24"/>
          <w:lang w:eastAsia="en-US"/>
        </w:rPr>
        <w:t xml:space="preserve">. </w:t>
      </w:r>
    </w:p>
    <w:p w14:paraId="341E9A54" w14:textId="77777777" w:rsidR="00F37511" w:rsidRPr="001B0EA3" w:rsidRDefault="00B653A0" w:rsidP="008054F5">
      <w:pPr>
        <w:shd w:val="clear" w:color="auto" w:fill="FEFEFE"/>
        <w:ind w:firstLine="709"/>
        <w:rPr>
          <w:bCs/>
          <w:color w:val="000000"/>
          <w:szCs w:val="24"/>
          <w:lang w:eastAsia="en-US"/>
        </w:rPr>
      </w:pPr>
      <w:r w:rsidRPr="001B0EA3">
        <w:rPr>
          <w:bCs/>
          <w:color w:val="000000"/>
          <w:szCs w:val="24"/>
          <w:lang w:eastAsia="en-US"/>
        </w:rPr>
        <w:t xml:space="preserve">Постъпилите сигнали се регистрират </w:t>
      </w:r>
      <w:r w:rsidR="00F37511" w:rsidRPr="001B0EA3">
        <w:rPr>
          <w:bCs/>
          <w:color w:val="000000"/>
          <w:szCs w:val="24"/>
          <w:lang w:eastAsia="en-US"/>
        </w:rPr>
        <w:t xml:space="preserve">в деловодната система </w:t>
      </w:r>
      <w:r w:rsidR="007A4426" w:rsidRPr="001B0EA3">
        <w:rPr>
          <w:bCs/>
          <w:color w:val="000000"/>
          <w:szCs w:val="24"/>
          <w:lang w:eastAsia="en-US"/>
        </w:rPr>
        <w:t xml:space="preserve">на </w:t>
      </w:r>
      <w:r w:rsidR="00D34044">
        <w:rPr>
          <w:bCs/>
          <w:color w:val="000000"/>
          <w:szCs w:val="24"/>
          <w:lang w:eastAsia="en-US"/>
        </w:rPr>
        <w:t>Министерството на транспорта и съобщенията</w:t>
      </w:r>
      <w:r w:rsidRPr="001B0EA3">
        <w:rPr>
          <w:bCs/>
          <w:color w:val="000000"/>
          <w:szCs w:val="24"/>
          <w:lang w:eastAsia="en-US"/>
        </w:rPr>
        <w:t xml:space="preserve">. </w:t>
      </w:r>
    </w:p>
    <w:p w14:paraId="151352FF" w14:textId="77777777" w:rsidR="00B653A0" w:rsidRPr="001B0EA3" w:rsidRDefault="00B653A0" w:rsidP="008054F5">
      <w:pPr>
        <w:shd w:val="clear" w:color="auto" w:fill="FEFEFE"/>
        <w:ind w:firstLine="709"/>
        <w:rPr>
          <w:bCs/>
          <w:color w:val="000000"/>
          <w:szCs w:val="24"/>
          <w:lang w:eastAsia="en-US"/>
        </w:rPr>
      </w:pPr>
      <w:r w:rsidRPr="001B0EA3">
        <w:rPr>
          <w:bCs/>
          <w:color w:val="000000"/>
          <w:szCs w:val="24"/>
          <w:lang w:eastAsia="en-US"/>
        </w:rPr>
        <w:t xml:space="preserve">При наличие или съмнение за конфликт на интереси по смисъла на чл. </w:t>
      </w:r>
      <w:r w:rsidR="005C3C18">
        <w:rPr>
          <w:bCs/>
          <w:color w:val="000000"/>
          <w:szCs w:val="24"/>
          <w:lang w:eastAsia="en-US"/>
        </w:rPr>
        <w:t>61</w:t>
      </w:r>
      <w:r w:rsidR="005C3C18" w:rsidRPr="001B0EA3">
        <w:rPr>
          <w:bCs/>
          <w:color w:val="000000"/>
          <w:szCs w:val="24"/>
          <w:lang w:eastAsia="en-US"/>
        </w:rPr>
        <w:t xml:space="preserve"> </w:t>
      </w:r>
      <w:r w:rsidRPr="001B0EA3">
        <w:rPr>
          <w:bCs/>
          <w:color w:val="000000"/>
          <w:szCs w:val="24"/>
          <w:lang w:eastAsia="en-US"/>
        </w:rPr>
        <w:t xml:space="preserve">от Регламент (ЕС, ЕВРАТОМ) № </w:t>
      </w:r>
      <w:r w:rsidR="005C3C18">
        <w:rPr>
          <w:bCs/>
          <w:color w:val="000000"/>
          <w:szCs w:val="24"/>
          <w:lang w:eastAsia="en-US"/>
        </w:rPr>
        <w:t>1046</w:t>
      </w:r>
      <w:r w:rsidRPr="001B0EA3">
        <w:rPr>
          <w:bCs/>
          <w:color w:val="000000"/>
          <w:szCs w:val="24"/>
          <w:lang w:eastAsia="en-US"/>
        </w:rPr>
        <w:t>/201</w:t>
      </w:r>
      <w:r w:rsidR="005C3C18">
        <w:rPr>
          <w:bCs/>
          <w:color w:val="000000"/>
          <w:szCs w:val="24"/>
          <w:lang w:eastAsia="en-US"/>
        </w:rPr>
        <w:t>8</w:t>
      </w:r>
      <w:r w:rsidRPr="001B0EA3">
        <w:rPr>
          <w:bCs/>
          <w:color w:val="000000"/>
          <w:szCs w:val="24"/>
          <w:lang w:eastAsia="en-US"/>
        </w:rPr>
        <w:t xml:space="preserve"> на Европейския парламент и на Съвета от </w:t>
      </w:r>
      <w:r w:rsidR="005C3C18">
        <w:rPr>
          <w:bCs/>
          <w:color w:val="000000"/>
          <w:szCs w:val="24"/>
          <w:lang w:eastAsia="en-US"/>
        </w:rPr>
        <w:t>18 юли 2018</w:t>
      </w:r>
      <w:r w:rsidRPr="001B0EA3">
        <w:rPr>
          <w:bCs/>
          <w:color w:val="000000"/>
          <w:szCs w:val="24"/>
          <w:lang w:eastAsia="en-US"/>
        </w:rPr>
        <w:t xml:space="preserve"> на служителите по нередности, отговорни за проверката на получения сигнал, или на други служители, на които е възложено извършването на проверката по сигнала, с лице, за което се отнася сигналът за нередност, информацията се подава от </w:t>
      </w:r>
      <w:r w:rsidR="006F1A09" w:rsidRPr="001B0EA3">
        <w:rPr>
          <w:bCs/>
          <w:color w:val="000000"/>
          <w:szCs w:val="24"/>
          <w:lang w:eastAsia="en-US"/>
        </w:rPr>
        <w:t xml:space="preserve">Ръководителя </w:t>
      </w:r>
      <w:r w:rsidRPr="001B0EA3">
        <w:rPr>
          <w:bCs/>
          <w:color w:val="000000"/>
          <w:szCs w:val="24"/>
          <w:lang w:eastAsia="en-US"/>
        </w:rPr>
        <w:t>на Управляващия орган до директора на дирекция "АФКОС" или до Европейската служба за борба с измамите (ОЛАФ) към Европейската комисия.</w:t>
      </w:r>
    </w:p>
    <w:p w14:paraId="2163C93F" w14:textId="77777777" w:rsidR="003A4037" w:rsidRPr="001B0EA3" w:rsidRDefault="00A5708F" w:rsidP="00B71A59">
      <w:pPr>
        <w:shd w:val="clear" w:color="auto" w:fill="FEFEFE"/>
        <w:rPr>
          <w:bCs/>
          <w:color w:val="000000"/>
          <w:szCs w:val="24"/>
          <w:lang w:eastAsia="en-US"/>
        </w:rPr>
      </w:pPr>
      <w:r w:rsidRPr="001B0EA3">
        <w:rPr>
          <w:rFonts w:ascii="Verdana" w:hAnsi="Verdana"/>
          <w:color w:val="000000"/>
          <w:sz w:val="18"/>
          <w:szCs w:val="18"/>
          <w:lang w:eastAsia="en-US"/>
        </w:rPr>
        <w:lastRenderedPageBreak/>
        <w:t xml:space="preserve"> </w:t>
      </w:r>
      <w:r w:rsidR="00F37511" w:rsidRPr="001B0EA3">
        <w:rPr>
          <w:bCs/>
          <w:color w:val="000000"/>
          <w:szCs w:val="24"/>
          <w:lang w:eastAsia="en-US"/>
        </w:rPr>
        <w:t xml:space="preserve">След регистриране в деловодната система </w:t>
      </w:r>
      <w:r w:rsidR="008054F5" w:rsidRPr="001B0EA3">
        <w:rPr>
          <w:bCs/>
          <w:color w:val="000000"/>
          <w:szCs w:val="24"/>
          <w:lang w:eastAsia="en-US"/>
        </w:rPr>
        <w:t>на министерството</w:t>
      </w:r>
      <w:r w:rsidR="007A4426" w:rsidRPr="001B0EA3">
        <w:rPr>
          <w:bCs/>
          <w:color w:val="000000"/>
          <w:szCs w:val="24"/>
          <w:lang w:eastAsia="en-US"/>
        </w:rPr>
        <w:t>,</w:t>
      </w:r>
      <w:r w:rsidR="00F37511" w:rsidRPr="001B0EA3">
        <w:rPr>
          <w:bCs/>
          <w:color w:val="000000"/>
          <w:szCs w:val="24"/>
          <w:lang w:eastAsia="en-US"/>
        </w:rPr>
        <w:t xml:space="preserve"> постъпилите сигнали се предоставят незабавно на </w:t>
      </w:r>
      <w:r w:rsidR="008F39A6" w:rsidRPr="001B0EA3">
        <w:rPr>
          <w:bCs/>
          <w:color w:val="000000"/>
          <w:szCs w:val="24"/>
          <w:lang w:eastAsia="en-US"/>
        </w:rPr>
        <w:t>директора на дирекция „Координация на програми и проекти“</w:t>
      </w:r>
      <w:r w:rsidR="00F37511" w:rsidRPr="001B0EA3">
        <w:rPr>
          <w:bCs/>
          <w:color w:val="000000"/>
          <w:szCs w:val="24"/>
          <w:lang w:eastAsia="en-US"/>
        </w:rPr>
        <w:t>.</w:t>
      </w:r>
      <w:r w:rsidR="00B653A0" w:rsidRPr="001B0EA3">
        <w:rPr>
          <w:bCs/>
          <w:color w:val="000000"/>
          <w:szCs w:val="24"/>
          <w:lang w:eastAsia="en-US"/>
        </w:rPr>
        <w:t xml:space="preserve"> </w:t>
      </w:r>
      <w:r w:rsidR="008F39A6" w:rsidRPr="001B0EA3">
        <w:rPr>
          <w:bCs/>
          <w:color w:val="000000"/>
          <w:szCs w:val="24"/>
          <w:lang w:eastAsia="en-US"/>
        </w:rPr>
        <w:t xml:space="preserve">Директорът на дирекцията </w:t>
      </w:r>
      <w:r w:rsidR="00B653A0" w:rsidRPr="001B0EA3">
        <w:rPr>
          <w:bCs/>
          <w:color w:val="000000"/>
          <w:szCs w:val="24"/>
          <w:lang w:eastAsia="en-US"/>
        </w:rPr>
        <w:t xml:space="preserve"> </w:t>
      </w:r>
      <w:r w:rsidR="00B71A59" w:rsidRPr="001B0EA3">
        <w:rPr>
          <w:bCs/>
          <w:color w:val="000000"/>
          <w:szCs w:val="24"/>
          <w:lang w:eastAsia="en-US"/>
        </w:rPr>
        <w:t xml:space="preserve">определя и </w:t>
      </w:r>
      <w:r w:rsidR="00B653A0" w:rsidRPr="001B0EA3">
        <w:rPr>
          <w:bCs/>
          <w:color w:val="000000"/>
          <w:szCs w:val="24"/>
          <w:lang w:eastAsia="en-US"/>
        </w:rPr>
        <w:t xml:space="preserve">възлага на </w:t>
      </w:r>
      <w:r w:rsidR="008F39A6" w:rsidRPr="001B0EA3">
        <w:rPr>
          <w:bCs/>
          <w:color w:val="000000"/>
          <w:szCs w:val="24"/>
          <w:lang w:eastAsia="en-US"/>
        </w:rPr>
        <w:t xml:space="preserve">съответния компетентен </w:t>
      </w:r>
      <w:r w:rsidR="003A4037" w:rsidRPr="001B0EA3">
        <w:rPr>
          <w:bCs/>
          <w:color w:val="000000"/>
          <w:szCs w:val="24"/>
          <w:lang w:eastAsia="en-US"/>
        </w:rPr>
        <w:t xml:space="preserve">отдел </w:t>
      </w:r>
      <w:r w:rsidR="00B653A0" w:rsidRPr="001B0EA3">
        <w:rPr>
          <w:bCs/>
          <w:color w:val="000000"/>
          <w:szCs w:val="24"/>
          <w:lang w:eastAsia="en-US"/>
        </w:rPr>
        <w:t>да извърши проверка по постъпилия сигнал</w:t>
      </w:r>
      <w:r w:rsidR="003A4037" w:rsidRPr="001B0EA3">
        <w:rPr>
          <w:bCs/>
          <w:color w:val="000000"/>
          <w:szCs w:val="24"/>
          <w:lang w:eastAsia="en-US"/>
        </w:rPr>
        <w:t xml:space="preserve">, </w:t>
      </w:r>
      <w:r w:rsidR="00FD492E" w:rsidRPr="001B0EA3">
        <w:rPr>
          <w:bCs/>
          <w:color w:val="000000"/>
          <w:szCs w:val="24"/>
          <w:lang w:eastAsia="en-US"/>
        </w:rPr>
        <w:t xml:space="preserve">като </w:t>
      </w:r>
      <w:r w:rsidR="003A4037" w:rsidRPr="001B0EA3">
        <w:rPr>
          <w:bCs/>
          <w:color w:val="000000"/>
          <w:szCs w:val="24"/>
          <w:lang w:eastAsia="en-US"/>
        </w:rPr>
        <w:t xml:space="preserve">началникът на </w:t>
      </w:r>
      <w:r w:rsidR="006464E2" w:rsidRPr="001B0EA3">
        <w:rPr>
          <w:bCs/>
          <w:color w:val="000000"/>
          <w:szCs w:val="24"/>
          <w:lang w:eastAsia="en-US"/>
        </w:rPr>
        <w:t xml:space="preserve">отдела </w:t>
      </w:r>
      <w:r w:rsidR="003A4037" w:rsidRPr="001B0EA3">
        <w:rPr>
          <w:bCs/>
          <w:color w:val="000000"/>
          <w:szCs w:val="24"/>
          <w:lang w:eastAsia="en-US"/>
        </w:rPr>
        <w:t>определя служителят/ите които да извършат проверката.</w:t>
      </w:r>
    </w:p>
    <w:p w14:paraId="0C2C29BE" w14:textId="76FA1BEC" w:rsidR="003A4037" w:rsidRPr="001B0EA3" w:rsidRDefault="003A4037" w:rsidP="003A4037">
      <w:pPr>
        <w:shd w:val="clear" w:color="auto" w:fill="FEFEFE"/>
        <w:ind w:firstLine="709"/>
        <w:rPr>
          <w:bCs/>
          <w:color w:val="000000"/>
          <w:szCs w:val="24"/>
          <w:lang w:eastAsia="en-US"/>
        </w:rPr>
      </w:pPr>
      <w:r w:rsidRPr="001B0EA3">
        <w:rPr>
          <w:bCs/>
          <w:color w:val="000000"/>
          <w:szCs w:val="24"/>
          <w:lang w:eastAsia="en-US"/>
        </w:rPr>
        <w:t xml:space="preserve">Копие от сигнала се предоставя на началника на </w:t>
      </w:r>
      <w:r w:rsidR="00FD492E" w:rsidRPr="001B0EA3">
        <w:rPr>
          <w:bCs/>
          <w:color w:val="000000"/>
          <w:szCs w:val="24"/>
          <w:lang w:eastAsia="en-US"/>
        </w:rPr>
        <w:t>отдел „Управление на риск</w:t>
      </w:r>
      <w:r w:rsidR="000961A0">
        <w:rPr>
          <w:bCs/>
          <w:color w:val="000000"/>
          <w:szCs w:val="24"/>
          <w:lang w:eastAsia="en-US"/>
        </w:rPr>
        <w:t>а</w:t>
      </w:r>
      <w:r w:rsidR="00FD492E" w:rsidRPr="001B0EA3">
        <w:rPr>
          <w:bCs/>
          <w:color w:val="000000"/>
          <w:szCs w:val="24"/>
          <w:lang w:eastAsia="en-US"/>
        </w:rPr>
        <w:t>“</w:t>
      </w:r>
      <w:r w:rsidRPr="001B0EA3">
        <w:rPr>
          <w:bCs/>
          <w:color w:val="000000"/>
          <w:szCs w:val="24"/>
          <w:lang w:eastAsia="en-US"/>
        </w:rPr>
        <w:t xml:space="preserve">. </w:t>
      </w:r>
      <w:r w:rsidR="00704251">
        <w:rPr>
          <w:bCs/>
          <w:color w:val="000000"/>
          <w:szCs w:val="24"/>
          <w:lang w:eastAsia="en-US"/>
        </w:rPr>
        <w:t>Отдел „</w:t>
      </w:r>
      <w:r w:rsidR="006A63F4">
        <w:rPr>
          <w:szCs w:val="24"/>
        </w:rPr>
        <w:t>Управление на риска</w:t>
      </w:r>
      <w:r w:rsidR="001A50B5" w:rsidRPr="001A50B5">
        <w:rPr>
          <w:bCs/>
          <w:color w:val="000000"/>
          <w:szCs w:val="24"/>
          <w:lang w:eastAsia="en-US"/>
        </w:rPr>
        <w:t>“ поддържа регистър на всички получени в УО на ОПТТИ сигнали за нередности по програмата в електронната система ИСУН 2020.</w:t>
      </w:r>
      <w:r w:rsidR="001A50B5">
        <w:rPr>
          <w:bCs/>
          <w:color w:val="000000"/>
          <w:szCs w:val="24"/>
          <w:lang w:eastAsia="en-US"/>
        </w:rPr>
        <w:t xml:space="preserve"> </w:t>
      </w:r>
      <w:r w:rsidR="00FD492E" w:rsidRPr="001B0EA3">
        <w:rPr>
          <w:bCs/>
          <w:color w:val="000000"/>
          <w:szCs w:val="24"/>
          <w:lang w:eastAsia="en-US"/>
        </w:rPr>
        <w:t xml:space="preserve">Началникът на отдела определя служител по нередностите, който </w:t>
      </w:r>
      <w:r w:rsidR="00D12231" w:rsidRPr="001B0EA3">
        <w:rPr>
          <w:bCs/>
          <w:color w:val="000000"/>
          <w:szCs w:val="24"/>
          <w:lang w:eastAsia="en-US"/>
        </w:rPr>
        <w:t xml:space="preserve">в срок от три работни дни </w:t>
      </w:r>
      <w:r w:rsidR="00FD492E" w:rsidRPr="001B0EA3">
        <w:rPr>
          <w:bCs/>
          <w:color w:val="000000"/>
          <w:szCs w:val="24"/>
          <w:lang w:eastAsia="en-US"/>
        </w:rPr>
        <w:t>въвежда  обстоятелс</w:t>
      </w:r>
      <w:r w:rsidRPr="001B0EA3">
        <w:rPr>
          <w:bCs/>
          <w:color w:val="000000"/>
          <w:szCs w:val="24"/>
          <w:lang w:eastAsia="en-US"/>
        </w:rPr>
        <w:t>т</w:t>
      </w:r>
      <w:r w:rsidR="00FD492E" w:rsidRPr="001B0EA3">
        <w:rPr>
          <w:bCs/>
          <w:color w:val="000000"/>
          <w:szCs w:val="24"/>
          <w:lang w:eastAsia="en-US"/>
        </w:rPr>
        <w:t>вата, подлежащи на вписване в електронната система ИСУН 2020.</w:t>
      </w:r>
      <w:r w:rsidRPr="001B0EA3">
        <w:rPr>
          <w:bCs/>
          <w:color w:val="000000"/>
          <w:szCs w:val="24"/>
          <w:lang w:eastAsia="en-US"/>
        </w:rPr>
        <w:t xml:space="preserve"> </w:t>
      </w:r>
    </w:p>
    <w:p w14:paraId="154A05D0" w14:textId="740E14E2" w:rsidR="003A4037" w:rsidRPr="001B0EA3" w:rsidRDefault="00316372" w:rsidP="003A4037">
      <w:pPr>
        <w:shd w:val="clear" w:color="auto" w:fill="FEFEFE"/>
        <w:ind w:firstLine="709"/>
        <w:rPr>
          <w:bCs/>
          <w:color w:val="000000"/>
          <w:szCs w:val="24"/>
          <w:lang w:eastAsia="en-US"/>
        </w:rPr>
      </w:pPr>
      <w:r w:rsidRPr="001B0EA3">
        <w:rPr>
          <w:bCs/>
          <w:color w:val="000000"/>
          <w:szCs w:val="24"/>
          <w:lang w:eastAsia="en-US"/>
        </w:rPr>
        <w:t xml:space="preserve">Обстоятелства, открити на по-късен етап и подлежащи на вписване, се въвеждат в срок до три работни дни от откриването им. За целта </w:t>
      </w:r>
      <w:r w:rsidR="00B71A59" w:rsidRPr="001B0EA3">
        <w:rPr>
          <w:bCs/>
          <w:color w:val="000000"/>
          <w:szCs w:val="24"/>
          <w:lang w:eastAsia="en-US"/>
        </w:rPr>
        <w:t xml:space="preserve">началникът на отдела на който е </w:t>
      </w:r>
      <w:r w:rsidRPr="001B0EA3">
        <w:rPr>
          <w:bCs/>
          <w:color w:val="000000"/>
          <w:szCs w:val="24"/>
          <w:lang w:eastAsia="en-US"/>
        </w:rPr>
        <w:t xml:space="preserve"> възложена проверката </w:t>
      </w:r>
      <w:r w:rsidR="00B71A59" w:rsidRPr="001B0EA3">
        <w:rPr>
          <w:bCs/>
          <w:color w:val="000000"/>
          <w:szCs w:val="24"/>
          <w:lang w:eastAsia="en-US"/>
        </w:rPr>
        <w:t xml:space="preserve">незабавно </w:t>
      </w:r>
      <w:r w:rsidR="006464E2" w:rsidRPr="001B0EA3">
        <w:rPr>
          <w:bCs/>
          <w:color w:val="000000"/>
          <w:szCs w:val="24"/>
          <w:lang w:eastAsia="en-US"/>
        </w:rPr>
        <w:t>уведомява</w:t>
      </w:r>
      <w:r w:rsidRPr="001B0EA3">
        <w:rPr>
          <w:bCs/>
          <w:color w:val="000000"/>
          <w:szCs w:val="24"/>
          <w:lang w:eastAsia="en-US"/>
        </w:rPr>
        <w:t xml:space="preserve"> </w:t>
      </w:r>
      <w:r w:rsidR="006464E2" w:rsidRPr="001B0EA3">
        <w:rPr>
          <w:bCs/>
          <w:color w:val="000000"/>
          <w:szCs w:val="24"/>
          <w:lang w:eastAsia="en-US"/>
        </w:rPr>
        <w:t>за всички нови обстоятелства</w:t>
      </w:r>
      <w:r w:rsidR="007A4426" w:rsidRPr="001B0EA3">
        <w:rPr>
          <w:bCs/>
          <w:color w:val="000000"/>
          <w:szCs w:val="24"/>
          <w:lang w:eastAsia="en-US"/>
        </w:rPr>
        <w:t>,</w:t>
      </w:r>
      <w:r w:rsidR="006464E2" w:rsidRPr="001B0EA3">
        <w:rPr>
          <w:bCs/>
          <w:color w:val="000000"/>
          <w:szCs w:val="24"/>
          <w:lang w:eastAsia="en-US"/>
        </w:rPr>
        <w:t xml:space="preserve"> свързани с проверката</w:t>
      </w:r>
      <w:r w:rsidR="007A4426" w:rsidRPr="001B0EA3">
        <w:rPr>
          <w:bCs/>
          <w:color w:val="000000"/>
          <w:szCs w:val="24"/>
          <w:lang w:eastAsia="en-US"/>
        </w:rPr>
        <w:t>,</w:t>
      </w:r>
      <w:r w:rsidRPr="001B0EA3">
        <w:rPr>
          <w:bCs/>
          <w:color w:val="000000"/>
          <w:szCs w:val="24"/>
          <w:lang w:eastAsia="en-US"/>
        </w:rPr>
        <w:t xml:space="preserve"> началника</w:t>
      </w:r>
      <w:r w:rsidR="005E3F69">
        <w:rPr>
          <w:bCs/>
          <w:color w:val="000000"/>
          <w:szCs w:val="24"/>
          <w:lang w:eastAsia="en-US"/>
        </w:rPr>
        <w:t xml:space="preserve"> на отдел „Управление на риска</w:t>
      </w:r>
      <w:r w:rsidRPr="001B0EA3">
        <w:rPr>
          <w:bCs/>
          <w:color w:val="000000"/>
          <w:szCs w:val="24"/>
          <w:lang w:eastAsia="en-US"/>
        </w:rPr>
        <w:t>“</w:t>
      </w:r>
      <w:r w:rsidR="00B71A59" w:rsidRPr="001B0EA3">
        <w:rPr>
          <w:bCs/>
          <w:color w:val="000000"/>
          <w:szCs w:val="24"/>
          <w:lang w:eastAsia="en-US"/>
        </w:rPr>
        <w:t xml:space="preserve">. </w:t>
      </w:r>
      <w:r w:rsidRPr="001B0EA3">
        <w:rPr>
          <w:bCs/>
          <w:color w:val="000000"/>
          <w:szCs w:val="24"/>
          <w:lang w:eastAsia="en-US"/>
        </w:rPr>
        <w:t xml:space="preserve">Определеният </w:t>
      </w:r>
      <w:r w:rsidR="00AB7E88" w:rsidRPr="001B0EA3">
        <w:rPr>
          <w:bCs/>
          <w:color w:val="000000"/>
          <w:szCs w:val="24"/>
          <w:lang w:eastAsia="en-US"/>
        </w:rPr>
        <w:t xml:space="preserve">в </w:t>
      </w:r>
      <w:r w:rsidRPr="001B0EA3">
        <w:rPr>
          <w:bCs/>
          <w:color w:val="000000"/>
          <w:szCs w:val="24"/>
          <w:lang w:eastAsia="en-US"/>
        </w:rPr>
        <w:t xml:space="preserve">по-горния параграф служител по нередностите ги въвежда в същия срок в ИСУН 2020. </w:t>
      </w:r>
    </w:p>
    <w:p w14:paraId="53CDC159" w14:textId="77777777" w:rsidR="003A4037" w:rsidRPr="001B0EA3" w:rsidRDefault="008F39A6" w:rsidP="003A4037">
      <w:pPr>
        <w:shd w:val="clear" w:color="auto" w:fill="FEFEFE"/>
        <w:ind w:firstLine="709"/>
        <w:rPr>
          <w:bCs/>
          <w:color w:val="000000"/>
          <w:szCs w:val="24"/>
          <w:lang w:eastAsia="en-US"/>
        </w:rPr>
      </w:pPr>
      <w:r w:rsidRPr="001B0EA3">
        <w:rPr>
          <w:bCs/>
          <w:color w:val="000000"/>
          <w:szCs w:val="24"/>
          <w:lang w:eastAsia="en-US"/>
        </w:rPr>
        <w:t>Регистърът</w:t>
      </w:r>
      <w:r w:rsidR="00E10DB1" w:rsidRPr="001B0EA3">
        <w:rPr>
          <w:bCs/>
          <w:color w:val="000000"/>
          <w:szCs w:val="24"/>
          <w:lang w:eastAsia="en-US"/>
        </w:rPr>
        <w:t xml:space="preserve"> на сигналите</w:t>
      </w:r>
      <w:r w:rsidRPr="001B0EA3">
        <w:rPr>
          <w:bCs/>
          <w:color w:val="000000"/>
          <w:szCs w:val="24"/>
          <w:lang w:eastAsia="en-US"/>
        </w:rPr>
        <w:t xml:space="preserve"> се генерира автоматично чрез справка от </w:t>
      </w:r>
      <w:r w:rsidR="003A4037" w:rsidRPr="001B0EA3">
        <w:rPr>
          <w:bCs/>
          <w:color w:val="000000"/>
          <w:szCs w:val="24"/>
          <w:lang w:eastAsia="en-US"/>
        </w:rPr>
        <w:t>е</w:t>
      </w:r>
      <w:r w:rsidRPr="001B0EA3">
        <w:rPr>
          <w:bCs/>
          <w:color w:val="000000"/>
          <w:szCs w:val="24"/>
          <w:lang w:eastAsia="en-US"/>
        </w:rPr>
        <w:t>лектронната система и предоставя информацията за сигналите като съдържание и форма съгласно приложение № 1</w:t>
      </w:r>
      <w:r w:rsidR="00E10DB1" w:rsidRPr="001B0EA3">
        <w:rPr>
          <w:bCs/>
          <w:color w:val="000000"/>
          <w:szCs w:val="24"/>
          <w:lang w:eastAsia="en-US"/>
        </w:rPr>
        <w:t xml:space="preserve"> към Наредбата</w:t>
      </w:r>
      <w:r w:rsidRPr="001B0EA3">
        <w:rPr>
          <w:bCs/>
          <w:color w:val="000000"/>
          <w:szCs w:val="24"/>
          <w:lang w:eastAsia="en-US"/>
        </w:rPr>
        <w:t>.</w:t>
      </w:r>
      <w:r w:rsidR="003A4037" w:rsidRPr="001B0EA3">
        <w:rPr>
          <w:bCs/>
          <w:color w:val="000000"/>
          <w:szCs w:val="24"/>
          <w:lang w:eastAsia="en-US"/>
        </w:rPr>
        <w:t xml:space="preserve"> </w:t>
      </w:r>
    </w:p>
    <w:p w14:paraId="177F436F" w14:textId="5B440E85" w:rsidR="00307501" w:rsidRPr="001B0EA3" w:rsidRDefault="008F39A6" w:rsidP="003A4037">
      <w:pPr>
        <w:shd w:val="clear" w:color="auto" w:fill="FEFEFE"/>
        <w:ind w:firstLine="709"/>
        <w:rPr>
          <w:bCs/>
          <w:color w:val="000000"/>
          <w:szCs w:val="24"/>
          <w:lang w:eastAsia="en-US"/>
        </w:rPr>
      </w:pPr>
      <w:r w:rsidRPr="001B0EA3">
        <w:rPr>
          <w:bCs/>
          <w:color w:val="000000"/>
          <w:szCs w:val="24"/>
          <w:lang w:eastAsia="en-US"/>
        </w:rPr>
        <w:t>Ръководител</w:t>
      </w:r>
      <w:r w:rsidR="00E10DB1" w:rsidRPr="001B0EA3">
        <w:rPr>
          <w:bCs/>
          <w:color w:val="000000"/>
          <w:szCs w:val="24"/>
          <w:lang w:eastAsia="en-US"/>
        </w:rPr>
        <w:t xml:space="preserve">ят на УО следи за </w:t>
      </w:r>
      <w:r w:rsidRPr="001B0EA3">
        <w:rPr>
          <w:bCs/>
          <w:color w:val="000000"/>
          <w:szCs w:val="24"/>
          <w:lang w:eastAsia="en-US"/>
        </w:rPr>
        <w:t>своевременното актуализиране и попълване на информацията за сигналите за нередност.</w:t>
      </w:r>
      <w:r w:rsidR="003A4037" w:rsidRPr="001B0EA3">
        <w:rPr>
          <w:bCs/>
          <w:color w:val="000000"/>
          <w:szCs w:val="24"/>
          <w:lang w:eastAsia="en-US"/>
        </w:rPr>
        <w:t xml:space="preserve"> </w:t>
      </w:r>
      <w:r w:rsidR="00316372" w:rsidRPr="001B0EA3">
        <w:rPr>
          <w:bCs/>
          <w:color w:val="000000"/>
          <w:szCs w:val="24"/>
          <w:lang w:eastAsia="en-US"/>
        </w:rPr>
        <w:t>Текущ контрол по изпълнението на това задължение на УО упражнява директора на дирекцията, подпомаган от началника на отдел „Управление на риска“</w:t>
      </w:r>
      <w:r w:rsidR="003A4037" w:rsidRPr="001B0EA3">
        <w:rPr>
          <w:bCs/>
          <w:color w:val="000000"/>
          <w:szCs w:val="24"/>
          <w:lang w:eastAsia="en-US"/>
        </w:rPr>
        <w:t>,</w:t>
      </w:r>
      <w:r w:rsidR="00316372" w:rsidRPr="001B0EA3">
        <w:rPr>
          <w:bCs/>
          <w:color w:val="000000"/>
          <w:szCs w:val="24"/>
          <w:lang w:eastAsia="en-US"/>
        </w:rPr>
        <w:t xml:space="preserve"> който го уведомява своевременно в случаите когато не се изпълняват задължения по този раздел. </w:t>
      </w:r>
    </w:p>
    <w:p w14:paraId="084AB379" w14:textId="7AEFE92A" w:rsidR="00307501" w:rsidRPr="001B0EA3" w:rsidRDefault="00C93AC6" w:rsidP="003A4037">
      <w:pPr>
        <w:shd w:val="clear" w:color="auto" w:fill="FEFEFE"/>
        <w:rPr>
          <w:bCs/>
          <w:color w:val="000000"/>
          <w:szCs w:val="24"/>
          <w:lang w:eastAsia="en-US"/>
        </w:rPr>
      </w:pPr>
      <w:r w:rsidRPr="001B0EA3">
        <w:rPr>
          <w:bCs/>
          <w:color w:val="000000"/>
          <w:szCs w:val="24"/>
          <w:lang w:eastAsia="en-US"/>
        </w:rPr>
        <w:t xml:space="preserve">Сигнали, които съдържат информация за </w:t>
      </w:r>
      <w:r w:rsidR="00A5708F" w:rsidRPr="001B0EA3">
        <w:rPr>
          <w:bCs/>
          <w:color w:val="000000"/>
          <w:szCs w:val="24"/>
          <w:lang w:eastAsia="en-US"/>
        </w:rPr>
        <w:t>съмнение за</w:t>
      </w:r>
      <w:r w:rsidRPr="001B0EA3">
        <w:rPr>
          <w:bCs/>
          <w:color w:val="000000"/>
          <w:szCs w:val="24"/>
          <w:lang w:eastAsia="en-US"/>
        </w:rPr>
        <w:t xml:space="preserve"> измама </w:t>
      </w:r>
      <w:r w:rsidR="00C5586B" w:rsidRPr="001B0EA3">
        <w:rPr>
          <w:bCs/>
          <w:color w:val="000000"/>
          <w:szCs w:val="24"/>
          <w:lang w:eastAsia="en-US"/>
        </w:rPr>
        <w:t xml:space="preserve">се докладват на </w:t>
      </w:r>
      <w:r w:rsidR="00A5708F" w:rsidRPr="001B0EA3">
        <w:rPr>
          <w:bCs/>
          <w:color w:val="000000"/>
          <w:szCs w:val="24"/>
          <w:lang w:eastAsia="en-US"/>
        </w:rPr>
        <w:t xml:space="preserve">Ръководителя </w:t>
      </w:r>
      <w:r w:rsidR="00ED66CF" w:rsidRPr="001B0EA3">
        <w:rPr>
          <w:bCs/>
          <w:color w:val="000000"/>
          <w:szCs w:val="24"/>
          <w:lang w:eastAsia="en-US"/>
        </w:rPr>
        <w:t>на</w:t>
      </w:r>
      <w:r w:rsidR="00A5708F" w:rsidRPr="001B0EA3">
        <w:rPr>
          <w:bCs/>
          <w:color w:val="000000"/>
          <w:szCs w:val="24"/>
          <w:lang w:eastAsia="en-US"/>
        </w:rPr>
        <w:t xml:space="preserve"> УО</w:t>
      </w:r>
      <w:r w:rsidR="003A4037" w:rsidRPr="001B0EA3">
        <w:rPr>
          <w:bCs/>
          <w:color w:val="000000"/>
          <w:szCs w:val="24"/>
          <w:lang w:eastAsia="en-US"/>
        </w:rPr>
        <w:t>, като се уведомява и началника на отдел „</w:t>
      </w:r>
      <w:r w:rsidR="00E14CB8">
        <w:rPr>
          <w:szCs w:val="24"/>
        </w:rPr>
        <w:t>Управление на риска</w:t>
      </w:r>
      <w:r w:rsidR="003A4037" w:rsidRPr="001B0EA3">
        <w:rPr>
          <w:bCs/>
          <w:color w:val="000000"/>
          <w:szCs w:val="24"/>
          <w:lang w:eastAsia="en-US"/>
        </w:rPr>
        <w:t>“</w:t>
      </w:r>
      <w:r w:rsidR="00C5586B" w:rsidRPr="001B0EA3">
        <w:rPr>
          <w:bCs/>
          <w:color w:val="000000"/>
          <w:szCs w:val="24"/>
          <w:lang w:eastAsia="en-US"/>
        </w:rPr>
        <w:t xml:space="preserve"> и </w:t>
      </w:r>
      <w:r w:rsidRPr="001B0EA3">
        <w:rPr>
          <w:bCs/>
          <w:color w:val="000000"/>
          <w:szCs w:val="24"/>
          <w:lang w:eastAsia="en-US"/>
        </w:rPr>
        <w:t xml:space="preserve">се изпращат на компетентните органи за извършване на проверка. </w:t>
      </w:r>
      <w:r w:rsidR="00C5586B" w:rsidRPr="001B0EA3">
        <w:rPr>
          <w:bCs/>
          <w:color w:val="000000"/>
          <w:szCs w:val="24"/>
          <w:lang w:eastAsia="en-US"/>
        </w:rPr>
        <w:t xml:space="preserve"> </w:t>
      </w:r>
      <w:r w:rsidR="003A4037" w:rsidRPr="001B0EA3">
        <w:rPr>
          <w:bCs/>
          <w:color w:val="000000"/>
          <w:szCs w:val="24"/>
          <w:lang w:eastAsia="en-US"/>
        </w:rPr>
        <w:t xml:space="preserve">Определеният от началника на отдела служител по нередностите въвежда обстоятелствата, подлежащи на вписване в тези случаи в ИСУН 2020 в сроковете описани по-горе. </w:t>
      </w:r>
    </w:p>
    <w:p w14:paraId="34D3DAA3" w14:textId="77777777" w:rsidR="00A5708F" w:rsidRPr="001B0EA3" w:rsidRDefault="00A5708F" w:rsidP="003A4037">
      <w:pPr>
        <w:shd w:val="clear" w:color="auto" w:fill="FEFEFE"/>
        <w:ind w:firstLine="504"/>
        <w:rPr>
          <w:bCs/>
          <w:color w:val="000000"/>
          <w:szCs w:val="24"/>
          <w:lang w:eastAsia="en-US"/>
        </w:rPr>
      </w:pPr>
      <w:r w:rsidRPr="001B0EA3">
        <w:rPr>
          <w:bCs/>
          <w:color w:val="000000"/>
          <w:szCs w:val="24"/>
          <w:lang w:eastAsia="en-US"/>
        </w:rPr>
        <w:t xml:space="preserve">В случаите, в които сигналите за нередност съдържат информация за съмнение за измама, в която участва Ръководителя на УО, сигналът се подава на съответните правоохранителни органи, с копие до директора на дирекция "АФКОС". </w:t>
      </w:r>
    </w:p>
    <w:p w14:paraId="3E77631A" w14:textId="77777777" w:rsidR="00307501" w:rsidRPr="001B0EA3" w:rsidRDefault="00307501" w:rsidP="008F39A6">
      <w:pPr>
        <w:shd w:val="clear" w:color="auto" w:fill="FEFEFE"/>
        <w:jc w:val="left"/>
        <w:rPr>
          <w:bCs/>
          <w:color w:val="000000"/>
          <w:szCs w:val="24"/>
          <w:lang w:eastAsia="en-US"/>
        </w:rPr>
      </w:pPr>
    </w:p>
    <w:p w14:paraId="0521A5A7" w14:textId="77777777" w:rsidR="00F37511" w:rsidRPr="001B0EA3" w:rsidRDefault="00F37511" w:rsidP="00ED6EC3">
      <w:pPr>
        <w:autoSpaceDE w:val="0"/>
        <w:autoSpaceDN w:val="0"/>
        <w:adjustRightInd w:val="0"/>
        <w:ind w:firstLine="420"/>
        <w:rPr>
          <w:bCs/>
          <w:color w:val="000000"/>
          <w:szCs w:val="24"/>
          <w:lang w:eastAsia="en-US"/>
        </w:rPr>
      </w:pPr>
    </w:p>
    <w:p w14:paraId="76DCBCE6" w14:textId="77777777" w:rsidR="00E10DB1" w:rsidRPr="00842ECC" w:rsidRDefault="00E10DB1" w:rsidP="00D82097">
      <w:pPr>
        <w:pStyle w:val="Style2"/>
        <w:rPr>
          <w:lang w:val="bg-BG" w:eastAsia="en-US"/>
        </w:rPr>
      </w:pPr>
      <w:bookmarkStart w:id="1191" w:name="_Toc479775750"/>
      <w:bookmarkStart w:id="1192" w:name="_Toc140150265"/>
      <w:r w:rsidRPr="00842ECC">
        <w:rPr>
          <w:lang w:val="bg-BG" w:eastAsia="en-US"/>
        </w:rPr>
        <w:t>Проверка за установяване на нередност или липса на нередност</w:t>
      </w:r>
      <w:r w:rsidR="003B24D0" w:rsidRPr="00842ECC">
        <w:rPr>
          <w:lang w:val="bg-BG" w:eastAsia="en-US"/>
        </w:rPr>
        <w:t xml:space="preserve"> и издаване на първа писмена оценка за установяване на нередност или липса на нередност</w:t>
      </w:r>
      <w:bookmarkEnd w:id="1191"/>
      <w:bookmarkEnd w:id="1192"/>
    </w:p>
    <w:p w14:paraId="0D47BD77" w14:textId="77777777" w:rsidR="00EB3086" w:rsidRPr="001B0EA3" w:rsidRDefault="00EB3086" w:rsidP="004E674A">
      <w:pPr>
        <w:shd w:val="clear" w:color="auto" w:fill="FEFEFE"/>
        <w:ind w:firstLine="504"/>
        <w:jc w:val="left"/>
        <w:rPr>
          <w:rFonts w:ascii="Verdana" w:hAnsi="Verdana"/>
          <w:color w:val="000000"/>
          <w:sz w:val="18"/>
          <w:szCs w:val="18"/>
          <w:lang w:eastAsia="en-US"/>
        </w:rPr>
      </w:pPr>
    </w:p>
    <w:p w14:paraId="143C4617" w14:textId="77777777" w:rsidR="00EB3086" w:rsidRPr="001B0EA3" w:rsidRDefault="00EB3086" w:rsidP="004E674A">
      <w:pPr>
        <w:shd w:val="clear" w:color="auto" w:fill="FEFEFE"/>
        <w:ind w:firstLine="504"/>
        <w:jc w:val="left"/>
        <w:rPr>
          <w:rFonts w:ascii="Verdana" w:hAnsi="Verdana"/>
          <w:color w:val="000000"/>
          <w:sz w:val="18"/>
          <w:szCs w:val="18"/>
          <w:lang w:eastAsia="en-US"/>
        </w:rPr>
      </w:pPr>
    </w:p>
    <w:p w14:paraId="67599B3F" w14:textId="77777777" w:rsidR="005F7D50" w:rsidRPr="001B0EA3" w:rsidRDefault="005F7D50" w:rsidP="00585CD7">
      <w:pPr>
        <w:shd w:val="clear" w:color="auto" w:fill="FEFEFE"/>
        <w:ind w:firstLine="504"/>
        <w:rPr>
          <w:szCs w:val="24"/>
        </w:rPr>
      </w:pPr>
      <w:r w:rsidRPr="001B0EA3">
        <w:rPr>
          <w:szCs w:val="24"/>
        </w:rPr>
        <w:t xml:space="preserve">След регистрирането на сигнал за нередност лицето, на което е възложена проверката по сигнала, извършва всички необходими действия за установяване на изложените в него обстоятелства. Проверката по сигнал за нередност приключва в срок до 3 месеца от датата на получаването на сигнала с първата писмена оценка по чл. 14 на Наредбата. При правна и фактическа сложност Ръководителят на УО може еднократно да удължи срока на проверката с до </w:t>
      </w:r>
      <w:r w:rsidR="001A50B5">
        <w:rPr>
          <w:szCs w:val="24"/>
        </w:rPr>
        <w:t>45 дни</w:t>
      </w:r>
      <w:r w:rsidRPr="001B0EA3">
        <w:rPr>
          <w:szCs w:val="24"/>
        </w:rPr>
        <w:t xml:space="preserve">. Удължаването на срока се прави след мотивирано писмено искане на лицето, на което е възложена проверката, в което се излагат причините, обуславящи фактическата и правната сложност на случая. </w:t>
      </w:r>
    </w:p>
    <w:p w14:paraId="73A5B73F" w14:textId="77777777" w:rsidR="00EB3086" w:rsidRPr="001B0EA3" w:rsidRDefault="005F7D50" w:rsidP="009E126C">
      <w:pPr>
        <w:shd w:val="clear" w:color="auto" w:fill="FEFEFE"/>
        <w:ind w:firstLine="504"/>
        <w:rPr>
          <w:szCs w:val="24"/>
        </w:rPr>
      </w:pPr>
      <w:r w:rsidRPr="001B0EA3">
        <w:rPr>
          <w:szCs w:val="24"/>
        </w:rPr>
        <w:t xml:space="preserve">УО образува преписка на електронен или хартиен носител по всеки сигнал. </w:t>
      </w:r>
      <w:r w:rsidR="00316372" w:rsidRPr="001B0EA3">
        <w:rPr>
          <w:szCs w:val="24"/>
        </w:rPr>
        <w:t>Когато преписката се поддържа на хартиен носител, относимите документи се подреждат в хронологичен ред.</w:t>
      </w:r>
      <w:r w:rsidR="00C93AC6" w:rsidRPr="001B0EA3">
        <w:rPr>
          <w:szCs w:val="24"/>
        </w:rPr>
        <w:t xml:space="preserve"> </w:t>
      </w:r>
    </w:p>
    <w:p w14:paraId="3773D34A" w14:textId="46DFDC11" w:rsidR="005F7D50" w:rsidRPr="001B0EA3" w:rsidRDefault="00EB3086" w:rsidP="009E126C">
      <w:pPr>
        <w:autoSpaceDE w:val="0"/>
        <w:autoSpaceDN w:val="0"/>
        <w:adjustRightInd w:val="0"/>
        <w:ind w:firstLine="504"/>
        <w:rPr>
          <w:szCs w:val="24"/>
        </w:rPr>
      </w:pPr>
      <w:r w:rsidRPr="001B0EA3">
        <w:rPr>
          <w:szCs w:val="24"/>
        </w:rPr>
        <w:t xml:space="preserve">В рамките на УО преписката по всеки сигнал се поддържа от </w:t>
      </w:r>
      <w:r w:rsidR="00316372" w:rsidRPr="001B0EA3">
        <w:rPr>
          <w:szCs w:val="24"/>
        </w:rPr>
        <w:t>служителя</w:t>
      </w:r>
      <w:r w:rsidR="000D656F" w:rsidRPr="001B0EA3">
        <w:rPr>
          <w:szCs w:val="24"/>
        </w:rPr>
        <w:t xml:space="preserve"> от отдела,</w:t>
      </w:r>
      <w:r w:rsidR="00316372" w:rsidRPr="001B0EA3">
        <w:rPr>
          <w:szCs w:val="24"/>
        </w:rPr>
        <w:t xml:space="preserve"> </w:t>
      </w:r>
      <w:r w:rsidRPr="001B0EA3">
        <w:rPr>
          <w:szCs w:val="24"/>
        </w:rPr>
        <w:t>натоварен</w:t>
      </w:r>
      <w:r w:rsidR="00316372" w:rsidRPr="001B0EA3">
        <w:rPr>
          <w:szCs w:val="24"/>
        </w:rPr>
        <w:t xml:space="preserve"> с </w:t>
      </w:r>
      <w:r w:rsidRPr="001B0EA3">
        <w:rPr>
          <w:szCs w:val="24"/>
        </w:rPr>
        <w:t xml:space="preserve">проверката </w:t>
      </w:r>
      <w:r w:rsidR="00316372" w:rsidRPr="001B0EA3">
        <w:rPr>
          <w:szCs w:val="24"/>
        </w:rPr>
        <w:t xml:space="preserve">на сигнала. </w:t>
      </w:r>
      <w:r w:rsidR="00585CD7" w:rsidRPr="001B0EA3">
        <w:rPr>
          <w:szCs w:val="24"/>
        </w:rPr>
        <w:t xml:space="preserve">Началникът на отдела на който е </w:t>
      </w:r>
      <w:r w:rsidR="005F7D50" w:rsidRPr="001B0EA3">
        <w:rPr>
          <w:szCs w:val="24"/>
        </w:rPr>
        <w:t xml:space="preserve"> възложена проверката по сигнала предоставя на началник</w:t>
      </w:r>
      <w:r w:rsidR="00CF2C0B">
        <w:rPr>
          <w:szCs w:val="24"/>
        </w:rPr>
        <w:t>а на отдел „</w:t>
      </w:r>
      <w:r w:rsidR="00687DF1">
        <w:rPr>
          <w:szCs w:val="24"/>
        </w:rPr>
        <w:t>Управление на риска</w:t>
      </w:r>
      <w:r w:rsidR="005F7D50" w:rsidRPr="001B0EA3">
        <w:rPr>
          <w:szCs w:val="24"/>
        </w:rPr>
        <w:t xml:space="preserve">“ </w:t>
      </w:r>
      <w:r w:rsidR="00316372" w:rsidRPr="001B0EA3">
        <w:rPr>
          <w:szCs w:val="24"/>
        </w:rPr>
        <w:t xml:space="preserve">в сроковете посочени в </w:t>
      </w:r>
      <w:r w:rsidR="00316372" w:rsidRPr="001B0EA3">
        <w:rPr>
          <w:szCs w:val="24"/>
        </w:rPr>
        <w:lastRenderedPageBreak/>
        <w:t xml:space="preserve">т. </w:t>
      </w:r>
      <w:r w:rsidR="006464E2" w:rsidRPr="001B0EA3">
        <w:rPr>
          <w:szCs w:val="24"/>
        </w:rPr>
        <w:t>27.1</w:t>
      </w:r>
      <w:r w:rsidR="00316372" w:rsidRPr="001B0EA3">
        <w:rPr>
          <w:szCs w:val="24"/>
        </w:rPr>
        <w:t xml:space="preserve"> </w:t>
      </w:r>
      <w:r w:rsidR="005F7D50" w:rsidRPr="001B0EA3">
        <w:rPr>
          <w:szCs w:val="24"/>
        </w:rPr>
        <w:t xml:space="preserve">копие /достъп в деловодната система на </w:t>
      </w:r>
      <w:r w:rsidR="00BB6BF6">
        <w:rPr>
          <w:szCs w:val="24"/>
        </w:rPr>
        <w:t>МТС</w:t>
      </w:r>
      <w:r w:rsidR="005F7D50" w:rsidRPr="001B0EA3">
        <w:rPr>
          <w:szCs w:val="24"/>
        </w:rPr>
        <w:t xml:space="preserve"> до всеки съставен от УО/получен документ във връзка с проверката по сигнала. </w:t>
      </w:r>
      <w:r w:rsidR="00316372" w:rsidRPr="001B0EA3">
        <w:rPr>
          <w:szCs w:val="24"/>
        </w:rPr>
        <w:t>Определеният служител по нередностите във</w:t>
      </w:r>
      <w:r w:rsidR="00C93AC6" w:rsidRPr="001B0EA3">
        <w:rPr>
          <w:szCs w:val="24"/>
        </w:rPr>
        <w:t>е</w:t>
      </w:r>
      <w:r w:rsidR="00316372" w:rsidRPr="001B0EA3">
        <w:rPr>
          <w:szCs w:val="24"/>
        </w:rPr>
        <w:t xml:space="preserve">жда обстоятелствата, подлежащи на вписване в ИСУН 2020 в сроковете определени в същата точка.  </w:t>
      </w:r>
    </w:p>
    <w:p w14:paraId="717D8AD5" w14:textId="77777777" w:rsidR="005F7D50" w:rsidRPr="001B0EA3" w:rsidRDefault="005F7D50" w:rsidP="004E674A">
      <w:pPr>
        <w:shd w:val="clear" w:color="auto" w:fill="FEFEFE"/>
        <w:jc w:val="left"/>
        <w:rPr>
          <w:rFonts w:ascii="Verdana" w:hAnsi="Verdana"/>
          <w:color w:val="000000"/>
          <w:sz w:val="18"/>
          <w:szCs w:val="18"/>
          <w:lang w:eastAsia="en-US"/>
        </w:rPr>
      </w:pPr>
    </w:p>
    <w:p w14:paraId="7843FC1F" w14:textId="77777777" w:rsidR="005F7D50" w:rsidRPr="001B0EA3" w:rsidRDefault="005F7D50" w:rsidP="009E126C">
      <w:pPr>
        <w:shd w:val="clear" w:color="auto" w:fill="FEFEFE"/>
        <w:ind w:firstLine="504"/>
        <w:rPr>
          <w:szCs w:val="24"/>
        </w:rPr>
      </w:pPr>
      <w:r w:rsidRPr="001B0EA3">
        <w:rPr>
          <w:szCs w:val="24"/>
        </w:rPr>
        <w:t>Всеки сигнал за нередност, който не се отнася до дейността на административната структура, в която е получен, се препраща до тази, за чиято дейност се отнася, като се уведомява подателят на сигнала, ако е посочен адрес.</w:t>
      </w:r>
      <w:r w:rsidR="00C93AC6" w:rsidRPr="001B0EA3">
        <w:rPr>
          <w:szCs w:val="24"/>
        </w:rPr>
        <w:t xml:space="preserve"> За целта лицето натоварено да извърши проверката подготвя писмо от името на Ръководителя на УО до съответната административна структура. </w:t>
      </w:r>
    </w:p>
    <w:p w14:paraId="632C1D15" w14:textId="77777777" w:rsidR="00FB7B6C" w:rsidRPr="001B0EA3" w:rsidRDefault="00FB7B6C" w:rsidP="000D656F">
      <w:pPr>
        <w:shd w:val="clear" w:color="auto" w:fill="FEFEFE"/>
        <w:rPr>
          <w:szCs w:val="24"/>
        </w:rPr>
      </w:pPr>
    </w:p>
    <w:p w14:paraId="2E649728" w14:textId="77777777" w:rsidR="002D0B1A" w:rsidRPr="001B0EA3" w:rsidRDefault="002D0B1A" w:rsidP="004E674A">
      <w:pPr>
        <w:shd w:val="clear" w:color="auto" w:fill="FEFEFE"/>
        <w:jc w:val="left"/>
        <w:rPr>
          <w:rFonts w:ascii="Verdana" w:hAnsi="Verdana"/>
          <w:b/>
          <w:bCs/>
          <w:color w:val="000000"/>
          <w:sz w:val="18"/>
          <w:szCs w:val="18"/>
          <w:lang w:eastAsia="en-US"/>
        </w:rPr>
      </w:pPr>
    </w:p>
    <w:p w14:paraId="64079BEA" w14:textId="77777777" w:rsidR="00C93AC6" w:rsidRPr="001B0EA3" w:rsidRDefault="00C93AC6" w:rsidP="009E126C">
      <w:pPr>
        <w:shd w:val="clear" w:color="auto" w:fill="FEFEFE"/>
        <w:ind w:firstLine="360"/>
        <w:rPr>
          <w:szCs w:val="24"/>
        </w:rPr>
      </w:pPr>
      <w:r w:rsidRPr="001B0EA3">
        <w:rPr>
          <w:szCs w:val="24"/>
        </w:rPr>
        <w:t>Компетентни органи по установяване на наличието или липсата на нередност са:</w:t>
      </w:r>
    </w:p>
    <w:p w14:paraId="12F55DAA" w14:textId="77777777" w:rsidR="00C93AC6" w:rsidRPr="001B0EA3" w:rsidRDefault="00C93AC6" w:rsidP="002251DA">
      <w:pPr>
        <w:shd w:val="clear" w:color="auto" w:fill="FEFEFE"/>
        <w:rPr>
          <w:szCs w:val="24"/>
        </w:rPr>
      </w:pPr>
      <w:r w:rsidRPr="001B0EA3">
        <w:rPr>
          <w:szCs w:val="24"/>
        </w:rPr>
        <w:t>1. ръководителят на УО на ОПТТИ</w:t>
      </w:r>
    </w:p>
    <w:p w14:paraId="6A170DAF" w14:textId="77777777" w:rsidR="00C93AC6" w:rsidRPr="001B0EA3" w:rsidRDefault="00C93AC6" w:rsidP="002251DA">
      <w:pPr>
        <w:shd w:val="clear" w:color="auto" w:fill="FEFEFE"/>
        <w:rPr>
          <w:szCs w:val="24"/>
        </w:rPr>
      </w:pPr>
      <w:r w:rsidRPr="001B0EA3">
        <w:rPr>
          <w:szCs w:val="24"/>
        </w:rPr>
        <w:t>2. съдът.</w:t>
      </w:r>
    </w:p>
    <w:p w14:paraId="1174E4FE" w14:textId="77777777" w:rsidR="00EB3086" w:rsidRPr="001B0EA3" w:rsidRDefault="00EB3086" w:rsidP="009E126C">
      <w:pPr>
        <w:shd w:val="clear" w:color="auto" w:fill="FEFEFE"/>
        <w:ind w:firstLine="360"/>
        <w:rPr>
          <w:szCs w:val="24"/>
        </w:rPr>
      </w:pPr>
      <w:r w:rsidRPr="001B0EA3">
        <w:rPr>
          <w:szCs w:val="24"/>
        </w:rPr>
        <w:t xml:space="preserve">Установяването на наличие или липса на нередност се обективира в първа писмена оценка на Ръководителя на УО на ОПТТИ или в съдебен акт. Първата писмена оценка съдържа мотивирано заключение въз основа на конкретни факти, че е извършена или не е извършена нередност, без да се засяга възможността това заключение впоследствие да бъде преразгледано или отменено в хода на административната или съдебната процедура. </w:t>
      </w:r>
    </w:p>
    <w:p w14:paraId="4C81A5C3" w14:textId="77777777" w:rsidR="00EB3086" w:rsidRPr="001B0EA3" w:rsidRDefault="00EB3086" w:rsidP="009E126C">
      <w:pPr>
        <w:shd w:val="clear" w:color="auto" w:fill="FEFEFE"/>
        <w:ind w:firstLine="360"/>
        <w:rPr>
          <w:szCs w:val="24"/>
        </w:rPr>
      </w:pPr>
    </w:p>
    <w:p w14:paraId="24C0FA3D" w14:textId="77777777" w:rsidR="005F7D50" w:rsidRPr="001B0EA3" w:rsidRDefault="005F7D50" w:rsidP="009E126C">
      <w:pPr>
        <w:shd w:val="clear" w:color="auto" w:fill="FEFEFE"/>
        <w:ind w:firstLine="360"/>
        <w:rPr>
          <w:szCs w:val="24"/>
        </w:rPr>
      </w:pPr>
      <w:r w:rsidRPr="001B0EA3">
        <w:rPr>
          <w:szCs w:val="24"/>
        </w:rPr>
        <w:t xml:space="preserve">Когато първа писмена оценка се издава от </w:t>
      </w:r>
      <w:r w:rsidR="00FB7B6C" w:rsidRPr="001B0EA3">
        <w:rPr>
          <w:szCs w:val="24"/>
        </w:rPr>
        <w:t>Ръководителя на УО на ОПТТИ</w:t>
      </w:r>
      <w:r w:rsidRPr="001B0EA3">
        <w:rPr>
          <w:szCs w:val="24"/>
        </w:rPr>
        <w:t xml:space="preserve"> тя съдържа:</w:t>
      </w:r>
    </w:p>
    <w:p w14:paraId="1A4CCC2E" w14:textId="77777777" w:rsidR="005F7D50" w:rsidRPr="001B0EA3" w:rsidRDefault="005F7D50" w:rsidP="009E126C">
      <w:pPr>
        <w:shd w:val="clear" w:color="auto" w:fill="FEFEFE"/>
        <w:rPr>
          <w:szCs w:val="24"/>
        </w:rPr>
      </w:pPr>
      <w:r w:rsidRPr="001B0EA3">
        <w:rPr>
          <w:szCs w:val="24"/>
        </w:rPr>
        <w:t>1. наименованието на органа, който я издава;</w:t>
      </w:r>
    </w:p>
    <w:p w14:paraId="0F41C845" w14:textId="77777777" w:rsidR="005F7D50" w:rsidRPr="001B0EA3" w:rsidRDefault="005F7D50" w:rsidP="009E126C">
      <w:pPr>
        <w:shd w:val="clear" w:color="auto" w:fill="FEFEFE"/>
        <w:rPr>
          <w:szCs w:val="24"/>
        </w:rPr>
      </w:pPr>
      <w:r w:rsidRPr="001B0EA3">
        <w:rPr>
          <w:szCs w:val="24"/>
        </w:rPr>
        <w:t>2. наименование на документа с отбелязване на правното основание за издаването му;</w:t>
      </w:r>
    </w:p>
    <w:p w14:paraId="69ACC473" w14:textId="77777777" w:rsidR="005F7D50" w:rsidRPr="001B0EA3" w:rsidRDefault="005F7D50" w:rsidP="009E126C">
      <w:pPr>
        <w:shd w:val="clear" w:color="auto" w:fill="FEFEFE"/>
        <w:rPr>
          <w:szCs w:val="24"/>
        </w:rPr>
      </w:pPr>
      <w:r w:rsidRPr="001B0EA3">
        <w:rPr>
          <w:szCs w:val="24"/>
        </w:rPr>
        <w:t>3. описание на извършените действия и посочване на нарушената правна норма;</w:t>
      </w:r>
    </w:p>
    <w:p w14:paraId="23F95143" w14:textId="77777777" w:rsidR="005F7D50" w:rsidRPr="001B0EA3" w:rsidRDefault="005F7D50" w:rsidP="009E126C">
      <w:pPr>
        <w:shd w:val="clear" w:color="auto" w:fill="FEFEFE"/>
        <w:rPr>
          <w:szCs w:val="24"/>
        </w:rPr>
      </w:pPr>
      <w:r w:rsidRPr="001B0EA3">
        <w:rPr>
          <w:szCs w:val="24"/>
        </w:rPr>
        <w:t>4. финансовото изражение на нередността;</w:t>
      </w:r>
    </w:p>
    <w:p w14:paraId="2EAF36E1" w14:textId="77777777" w:rsidR="00FB7B6C" w:rsidRPr="001B0EA3" w:rsidRDefault="005F7D50" w:rsidP="009E126C">
      <w:pPr>
        <w:shd w:val="clear" w:color="auto" w:fill="FEFEFE"/>
        <w:rPr>
          <w:szCs w:val="24"/>
        </w:rPr>
      </w:pPr>
      <w:r w:rsidRPr="001B0EA3">
        <w:rPr>
          <w:szCs w:val="24"/>
        </w:rPr>
        <w:t>5. дата на издаване и подпис на лицето, издало първата писмена оценка, с посочване на длъжността му.</w:t>
      </w:r>
    </w:p>
    <w:p w14:paraId="12D930C7" w14:textId="77777777" w:rsidR="00FB7B6C" w:rsidRPr="001B0EA3" w:rsidRDefault="00FB7B6C" w:rsidP="004E674A">
      <w:pPr>
        <w:shd w:val="clear" w:color="auto" w:fill="FEFEFE"/>
        <w:jc w:val="left"/>
        <w:rPr>
          <w:szCs w:val="24"/>
        </w:rPr>
      </w:pPr>
    </w:p>
    <w:p w14:paraId="3131105F" w14:textId="77777777" w:rsidR="00BB210E" w:rsidRPr="00AE381A" w:rsidRDefault="005F7D50" w:rsidP="00BB210E">
      <w:pPr>
        <w:shd w:val="clear" w:color="auto" w:fill="FEFEFE"/>
        <w:ind w:firstLine="360"/>
        <w:rPr>
          <w:b/>
          <w:i/>
          <w:szCs w:val="24"/>
        </w:rPr>
      </w:pPr>
      <w:r w:rsidRPr="001B0EA3">
        <w:rPr>
          <w:szCs w:val="24"/>
        </w:rPr>
        <w:t xml:space="preserve">За първа писмена оценка по ал. 1 се счита и решението за определяне на финансова корекция по чл. 73, ал. 1 ЗУСЕСИФ, когато същото съдържа всички реквизити, посочени </w:t>
      </w:r>
      <w:r w:rsidR="00FB7B6C" w:rsidRPr="001B0EA3">
        <w:rPr>
          <w:szCs w:val="24"/>
        </w:rPr>
        <w:t xml:space="preserve">по-горе. Решението за определяне на финансова корекция по чл. 73, ал. 1 от ЗУСЕСИФ се попълва съгласно образеца – </w:t>
      </w:r>
      <w:hyperlink r:id="rId251" w:tooltip="Решение за определяне на финансова корекция¦за прекратяване на производството по определяне на финансова корекция" w:history="1">
        <w:r w:rsidR="00AE381A" w:rsidRPr="00251D03">
          <w:rPr>
            <w:rStyle w:val="Hyperlink"/>
            <w:i/>
            <w:szCs w:val="24"/>
          </w:rPr>
          <w:t>Приложение № 6.03</w:t>
        </w:r>
      </w:hyperlink>
    </w:p>
    <w:p w14:paraId="424DCA54" w14:textId="77777777" w:rsidR="00BB210E" w:rsidRPr="001B0EA3" w:rsidRDefault="00BB210E" w:rsidP="00BB210E">
      <w:pPr>
        <w:shd w:val="clear" w:color="auto" w:fill="FEFEFE"/>
        <w:ind w:firstLine="360"/>
        <w:rPr>
          <w:iCs/>
          <w:szCs w:val="24"/>
        </w:rPr>
      </w:pPr>
      <w:r w:rsidRPr="001B0EA3">
        <w:rPr>
          <w:iCs/>
          <w:szCs w:val="24"/>
        </w:rPr>
        <w:t>Решенията на Ръководителя на Управляващия орган на програмата за определяне на финансови корекции се съгласуват от служители от дирекция „Координация на програми и проекти“ с юридическа правоспособност, както следва :</w:t>
      </w:r>
    </w:p>
    <w:p w14:paraId="3D57CCBC" w14:textId="77777777" w:rsidR="00BB210E" w:rsidRPr="001B0EA3" w:rsidRDefault="00BB210E" w:rsidP="00BB210E">
      <w:pPr>
        <w:shd w:val="clear" w:color="auto" w:fill="FEFEFE"/>
        <w:ind w:firstLine="360"/>
        <w:rPr>
          <w:iCs/>
          <w:szCs w:val="24"/>
        </w:rPr>
      </w:pPr>
      <w:r w:rsidRPr="001B0EA3">
        <w:rPr>
          <w:iCs/>
          <w:szCs w:val="24"/>
        </w:rPr>
        <w:t>- Решения за определяне на финансови корекции, свързани с констатирани нарушения при провеждането на обществени поръчки, от служители с юридическа правоспособност от отдел „Контрол по обществени поръчки“</w:t>
      </w:r>
    </w:p>
    <w:p w14:paraId="6C56286D" w14:textId="150A5C22" w:rsidR="00BB210E" w:rsidRPr="001B0EA3" w:rsidRDefault="00BB210E" w:rsidP="00BB210E">
      <w:pPr>
        <w:shd w:val="clear" w:color="auto" w:fill="FEFEFE"/>
        <w:ind w:firstLine="360"/>
        <w:rPr>
          <w:iCs/>
          <w:szCs w:val="24"/>
        </w:rPr>
      </w:pPr>
      <w:r w:rsidRPr="001B0EA3">
        <w:rPr>
          <w:iCs/>
          <w:szCs w:val="24"/>
        </w:rPr>
        <w:t>- Други решения за определяне на финансови корекции, извън тези по предходното изречение, от служители с юридическа правоспособност от отдел „Управление на риска</w:t>
      </w:r>
      <w:r w:rsidR="00E41AF1">
        <w:rPr>
          <w:iCs/>
          <w:szCs w:val="24"/>
        </w:rPr>
        <w:t>“.</w:t>
      </w:r>
    </w:p>
    <w:p w14:paraId="4059DF86" w14:textId="77777777" w:rsidR="00BB210E" w:rsidRPr="001B0EA3" w:rsidRDefault="00BB210E" w:rsidP="00BB210E">
      <w:pPr>
        <w:shd w:val="clear" w:color="auto" w:fill="FEFEFE"/>
        <w:ind w:firstLine="360"/>
        <w:rPr>
          <w:szCs w:val="24"/>
        </w:rPr>
      </w:pPr>
    </w:p>
    <w:p w14:paraId="52E0F052" w14:textId="77777777" w:rsidR="005F7D50" w:rsidRPr="001B0EA3" w:rsidRDefault="005F7D50" w:rsidP="000D656F">
      <w:pPr>
        <w:shd w:val="clear" w:color="auto" w:fill="FEFEFE"/>
        <w:ind w:firstLine="360"/>
        <w:rPr>
          <w:szCs w:val="24"/>
        </w:rPr>
      </w:pPr>
    </w:p>
    <w:p w14:paraId="1A704F0F" w14:textId="77777777" w:rsidR="00C40FBC" w:rsidRPr="001B0EA3" w:rsidRDefault="00C40FBC" w:rsidP="000D656F">
      <w:pPr>
        <w:shd w:val="clear" w:color="auto" w:fill="FEFEFE"/>
        <w:ind w:firstLine="360"/>
        <w:rPr>
          <w:szCs w:val="24"/>
        </w:rPr>
      </w:pPr>
      <w:r w:rsidRPr="001B0EA3">
        <w:rPr>
          <w:szCs w:val="24"/>
        </w:rPr>
        <w:t>Финансови корекции по оперативната програма се извършват на основанията по чл. 70, ал. 1 ЗУСЕСИФ. Финансовите корекции по оперативната програма се определят за индивидуални или системни пропуски.</w:t>
      </w:r>
    </w:p>
    <w:p w14:paraId="6195C10C" w14:textId="77777777" w:rsidR="005F7D50" w:rsidRPr="001B0EA3" w:rsidRDefault="00FB7B6C" w:rsidP="000D656F">
      <w:pPr>
        <w:shd w:val="clear" w:color="auto" w:fill="FEFEFE"/>
        <w:ind w:firstLine="360"/>
        <w:rPr>
          <w:szCs w:val="24"/>
        </w:rPr>
      </w:pPr>
      <w:r w:rsidRPr="001B0EA3">
        <w:rPr>
          <w:szCs w:val="24"/>
        </w:rPr>
        <w:t xml:space="preserve">Препис от първата писмена оценка издадена от Ръководителя на УО на ОПТТИ се предоставя на засегнатите лица </w:t>
      </w:r>
      <w:r w:rsidR="005F7D50" w:rsidRPr="001B0EA3">
        <w:rPr>
          <w:szCs w:val="24"/>
        </w:rPr>
        <w:t>в тридневен срок от издаването й.</w:t>
      </w:r>
    </w:p>
    <w:p w14:paraId="491BD7F4" w14:textId="77777777" w:rsidR="00C93AC6" w:rsidRPr="001B0EA3" w:rsidRDefault="00C93AC6" w:rsidP="000D656F">
      <w:pPr>
        <w:shd w:val="clear" w:color="auto" w:fill="FEFEFE"/>
        <w:ind w:firstLine="360"/>
        <w:rPr>
          <w:szCs w:val="24"/>
        </w:rPr>
      </w:pPr>
      <w:r w:rsidRPr="001B0EA3">
        <w:rPr>
          <w:szCs w:val="24"/>
        </w:rPr>
        <w:t>В зависимост от това дали процедурата по администриране на нередности е започнала по инициатива на Управляващия орган или по сигнал, проверката протича по следния начин :</w:t>
      </w:r>
    </w:p>
    <w:p w14:paraId="4C388960" w14:textId="77777777" w:rsidR="00C93AC6" w:rsidRPr="001B0EA3" w:rsidRDefault="00C93AC6" w:rsidP="004E674A">
      <w:pPr>
        <w:shd w:val="clear" w:color="auto" w:fill="FEFEFE"/>
        <w:ind w:firstLine="360"/>
        <w:jc w:val="left"/>
        <w:rPr>
          <w:rFonts w:ascii="Verdana" w:hAnsi="Verdana"/>
          <w:color w:val="000000"/>
          <w:sz w:val="18"/>
          <w:szCs w:val="18"/>
          <w:lang w:eastAsia="en-US"/>
        </w:rPr>
      </w:pPr>
    </w:p>
    <w:p w14:paraId="2FFB0AA2" w14:textId="77777777" w:rsidR="00C93AC6" w:rsidRPr="001B0EA3" w:rsidRDefault="00E1113B" w:rsidP="00046D61">
      <w:pPr>
        <w:rPr>
          <w:b/>
          <w:szCs w:val="24"/>
        </w:rPr>
      </w:pPr>
      <w:r w:rsidRPr="001B0EA3">
        <w:rPr>
          <w:b/>
          <w:szCs w:val="24"/>
        </w:rPr>
        <w:lastRenderedPageBreak/>
        <w:t xml:space="preserve">а) </w:t>
      </w:r>
      <w:r w:rsidR="00C93AC6" w:rsidRPr="001B0EA3">
        <w:rPr>
          <w:b/>
          <w:szCs w:val="24"/>
        </w:rPr>
        <w:t xml:space="preserve">Проверка и </w:t>
      </w:r>
      <w:r w:rsidR="00E21A11" w:rsidRPr="001B0EA3">
        <w:rPr>
          <w:b/>
          <w:szCs w:val="24"/>
        </w:rPr>
        <w:t xml:space="preserve">установяване на нередност или липса на нередност </w:t>
      </w:r>
      <w:r w:rsidR="00C93AC6" w:rsidRPr="001B0EA3">
        <w:rPr>
          <w:b/>
          <w:szCs w:val="24"/>
        </w:rPr>
        <w:t xml:space="preserve">по инициатива на Управляващия орган на ОПТТИ </w:t>
      </w:r>
    </w:p>
    <w:p w14:paraId="4CD3ABC3" w14:textId="77777777" w:rsidR="005E6188" w:rsidRPr="001B0EA3" w:rsidRDefault="00C93AC6" w:rsidP="00046D61">
      <w:pPr>
        <w:tabs>
          <w:tab w:val="left" w:pos="8550"/>
        </w:tabs>
        <w:ind w:firstLine="567"/>
        <w:rPr>
          <w:szCs w:val="24"/>
        </w:rPr>
      </w:pPr>
      <w:r w:rsidRPr="001B0EA3">
        <w:rPr>
          <w:szCs w:val="24"/>
        </w:rPr>
        <w:t>Процедурата започва по инициатива на УО на ОПТТИ</w:t>
      </w:r>
      <w:r w:rsidR="00B71A59" w:rsidRPr="001B0EA3">
        <w:rPr>
          <w:szCs w:val="24"/>
        </w:rPr>
        <w:t>,</w:t>
      </w:r>
      <w:r w:rsidRPr="001B0EA3">
        <w:rPr>
          <w:szCs w:val="24"/>
        </w:rPr>
        <w:t xml:space="preserve"> когато в резултат на прилаганите от различните отдели контролни дейности</w:t>
      </w:r>
      <w:r w:rsidR="006464E2" w:rsidRPr="001B0EA3">
        <w:rPr>
          <w:szCs w:val="24"/>
        </w:rPr>
        <w:t xml:space="preserve"> възникне съмнение за </w:t>
      </w:r>
      <w:r w:rsidR="008818F6" w:rsidRPr="001B0EA3">
        <w:rPr>
          <w:szCs w:val="24"/>
        </w:rPr>
        <w:t xml:space="preserve"> нередност, отнасяща се до съответните разходи, </w:t>
      </w:r>
      <w:r w:rsidR="00F448DF" w:rsidRPr="001B0EA3">
        <w:rPr>
          <w:szCs w:val="24"/>
        </w:rPr>
        <w:t xml:space="preserve">т.е. </w:t>
      </w:r>
      <w:r w:rsidRPr="001B0EA3">
        <w:rPr>
          <w:szCs w:val="24"/>
        </w:rPr>
        <w:t xml:space="preserve">някоя от хипотезите по чл.70, ал.1 на ЗУСЕСИФ. Така, ако вследствие на изпълнението на заложените в контролната среда проверки от негова компетентност, </w:t>
      </w:r>
      <w:r w:rsidR="00F448DF" w:rsidRPr="001B0EA3">
        <w:rPr>
          <w:szCs w:val="24"/>
        </w:rPr>
        <w:t xml:space="preserve">у </w:t>
      </w:r>
      <w:r w:rsidRPr="001B0EA3">
        <w:rPr>
          <w:szCs w:val="24"/>
        </w:rPr>
        <w:t xml:space="preserve">експерт от съответния отдел на УО </w:t>
      </w:r>
      <w:r w:rsidR="00F448DF" w:rsidRPr="001B0EA3">
        <w:rPr>
          <w:szCs w:val="24"/>
        </w:rPr>
        <w:t xml:space="preserve">възникне съмнение за </w:t>
      </w:r>
      <w:r w:rsidR="008818F6" w:rsidRPr="001B0EA3">
        <w:rPr>
          <w:szCs w:val="24"/>
        </w:rPr>
        <w:t>нередност</w:t>
      </w:r>
      <w:r w:rsidRPr="001B0EA3">
        <w:rPr>
          <w:szCs w:val="24"/>
        </w:rPr>
        <w:t xml:space="preserve">, той изготвя проекта на писмо чл. 73, ал. 2 на ЗУСЕИСФ от името на Ръководителя на УО до бенефициента, който се съгласува от началника на отдела и директора на дирекция „Координация на програми и проекти“. </w:t>
      </w:r>
    </w:p>
    <w:p w14:paraId="6F71398B" w14:textId="77777777" w:rsidR="00C93AC6" w:rsidRPr="001B0EA3" w:rsidRDefault="00C93AC6" w:rsidP="00046D61">
      <w:pPr>
        <w:tabs>
          <w:tab w:val="left" w:pos="8550"/>
        </w:tabs>
        <w:ind w:firstLine="567"/>
        <w:rPr>
          <w:szCs w:val="24"/>
        </w:rPr>
      </w:pPr>
      <w:r w:rsidRPr="001B0EA3">
        <w:rPr>
          <w:szCs w:val="24"/>
        </w:rPr>
        <w:t xml:space="preserve">С писмото, УО уведомява бенефициента за съществуващо съмнение за </w:t>
      </w:r>
      <w:r w:rsidR="00C414C4" w:rsidRPr="001B0EA3">
        <w:rPr>
          <w:szCs w:val="24"/>
        </w:rPr>
        <w:t>нередност</w:t>
      </w:r>
      <w:r w:rsidRPr="001B0EA3">
        <w:rPr>
          <w:szCs w:val="24"/>
        </w:rPr>
        <w:t xml:space="preserve">, за което предстои да бъде наложена финансова корекция, като посочва категорията нарушение, нормативните разпоредби, които са нарушени, и мотивира избрания метод за определяне на корекцията, както и нейния размер и дава срок на бенефициента от </w:t>
      </w:r>
      <w:r w:rsidR="00ED66CF" w:rsidRPr="001B0EA3">
        <w:rPr>
          <w:szCs w:val="24"/>
        </w:rPr>
        <w:t>минимум</w:t>
      </w:r>
      <w:r w:rsidRPr="001B0EA3">
        <w:rPr>
          <w:szCs w:val="24"/>
        </w:rPr>
        <w:t xml:space="preserve"> 14 дни за представяне на коментари, бележки и/или допълнителни документи, с които да мотивира искане да не се налага финансова корекция или да се намали нейният размер.</w:t>
      </w:r>
    </w:p>
    <w:p w14:paraId="65B9844D" w14:textId="55FE410D" w:rsidR="00C93AC6" w:rsidRPr="001B0EA3" w:rsidRDefault="00C93AC6" w:rsidP="00046D61">
      <w:pPr>
        <w:tabs>
          <w:tab w:val="left" w:pos="8550"/>
        </w:tabs>
        <w:ind w:firstLine="567"/>
        <w:rPr>
          <w:szCs w:val="24"/>
        </w:rPr>
      </w:pPr>
      <w:r w:rsidRPr="001B0EA3">
        <w:rPr>
          <w:szCs w:val="24"/>
        </w:rPr>
        <w:t>Копие на писмото</w:t>
      </w:r>
      <w:r w:rsidR="00B97F4A" w:rsidRPr="001B0EA3">
        <w:rPr>
          <w:szCs w:val="24"/>
        </w:rPr>
        <w:t>,</w:t>
      </w:r>
      <w:r w:rsidRPr="001B0EA3">
        <w:rPr>
          <w:szCs w:val="24"/>
        </w:rPr>
        <w:t xml:space="preserve"> документиращо извършените проверки и направените констатации се предостав</w:t>
      </w:r>
      <w:r w:rsidR="00360FA4">
        <w:rPr>
          <w:szCs w:val="24"/>
        </w:rPr>
        <w:t>я на отдел „</w:t>
      </w:r>
      <w:r w:rsidR="000D3E14" w:rsidRPr="001B0EA3" w:rsidDel="008C1156">
        <w:rPr>
          <w:szCs w:val="24"/>
        </w:rPr>
        <w:t xml:space="preserve"> </w:t>
      </w:r>
      <w:r w:rsidR="000D3E14">
        <w:rPr>
          <w:szCs w:val="24"/>
        </w:rPr>
        <w:t>Управление на риска</w:t>
      </w:r>
      <w:r w:rsidRPr="001B0EA3">
        <w:rPr>
          <w:szCs w:val="24"/>
        </w:rPr>
        <w:t>“</w:t>
      </w:r>
      <w:r w:rsidR="00D12231" w:rsidRPr="001B0EA3">
        <w:rPr>
          <w:szCs w:val="24"/>
        </w:rPr>
        <w:t xml:space="preserve"> в деня на изпращането му до бенефициента</w:t>
      </w:r>
      <w:r w:rsidRPr="001B0EA3">
        <w:rPr>
          <w:szCs w:val="24"/>
        </w:rPr>
        <w:t>, където определеният от началника на отдела служител по нередностите завежда постъпилата информация като сигнал за нередност в</w:t>
      </w:r>
      <w:r w:rsidRPr="001B0EA3">
        <w:t xml:space="preserve"> </w:t>
      </w:r>
      <w:r w:rsidRPr="001B0EA3">
        <w:rPr>
          <w:szCs w:val="24"/>
        </w:rPr>
        <w:t xml:space="preserve">модул „Нередности“ на ИСУН 2020. </w:t>
      </w:r>
    </w:p>
    <w:p w14:paraId="19157317" w14:textId="77777777" w:rsidR="00F448DF" w:rsidRPr="001B0EA3" w:rsidRDefault="003D3B60" w:rsidP="00046D61">
      <w:pPr>
        <w:ind w:firstLine="567"/>
        <w:rPr>
          <w:szCs w:val="24"/>
        </w:rPr>
      </w:pPr>
      <w:r>
        <w:rPr>
          <w:szCs w:val="24"/>
        </w:rPr>
        <w:t>С</w:t>
      </w:r>
      <w:r w:rsidR="00C93AC6" w:rsidRPr="001B0EA3">
        <w:rPr>
          <w:szCs w:val="24"/>
        </w:rPr>
        <w:t xml:space="preserve">лед получаване на отговора на бенефициента по чл. 73, ал. 2 на ЗУСЕСИФ </w:t>
      </w:r>
      <w:r w:rsidR="00F448DF" w:rsidRPr="001B0EA3">
        <w:rPr>
          <w:szCs w:val="24"/>
        </w:rPr>
        <w:t>:</w:t>
      </w:r>
    </w:p>
    <w:p w14:paraId="66ECE928" w14:textId="77777777" w:rsidR="00F448DF" w:rsidRPr="001B0EA3" w:rsidRDefault="00F448DF" w:rsidP="00046D61">
      <w:pPr>
        <w:pStyle w:val="ListParagraph"/>
        <w:numPr>
          <w:ilvl w:val="1"/>
          <w:numId w:val="163"/>
        </w:numPr>
        <w:rPr>
          <w:b/>
          <w:bCs/>
          <w:i/>
          <w:iCs/>
          <w:szCs w:val="24"/>
        </w:rPr>
      </w:pPr>
      <w:r w:rsidRPr="001B0EA3">
        <w:rPr>
          <w:szCs w:val="24"/>
        </w:rPr>
        <w:t xml:space="preserve">в случай, че в резултат на направената проверка се потвърди наличието на нередност отделът по чиято инициатива е започнала процедурата за </w:t>
      </w:r>
      <w:r w:rsidR="00486738" w:rsidRPr="001B0EA3">
        <w:rPr>
          <w:szCs w:val="24"/>
        </w:rPr>
        <w:t>установяване/липса</w:t>
      </w:r>
      <w:r w:rsidRPr="001B0EA3">
        <w:rPr>
          <w:szCs w:val="24"/>
        </w:rPr>
        <w:t xml:space="preserve"> на нередност, съвместно с отдел „Финансово управление“</w:t>
      </w:r>
      <w:r w:rsidR="005E6188" w:rsidRPr="001B0EA3">
        <w:rPr>
          <w:szCs w:val="24"/>
        </w:rPr>
        <w:t>,</w:t>
      </w:r>
      <w:r w:rsidRPr="001B0EA3">
        <w:rPr>
          <w:szCs w:val="24"/>
        </w:rPr>
        <w:t xml:space="preserve"> попълват образец на решение за </w:t>
      </w:r>
      <w:r w:rsidR="00DC2853" w:rsidRPr="001B0EA3">
        <w:rPr>
          <w:szCs w:val="24"/>
        </w:rPr>
        <w:t>определяне</w:t>
      </w:r>
      <w:r w:rsidRPr="001B0EA3">
        <w:rPr>
          <w:szCs w:val="24"/>
        </w:rPr>
        <w:t xml:space="preserve"> на финансова корекция съгласно образеца от </w:t>
      </w:r>
      <w:hyperlink r:id="rId252" w:tooltip="Решение за определяне на финансова корекция¦за прекратяване на производството по определяне на финансова корекция" w:history="1">
        <w:r w:rsidR="00AE381A" w:rsidRPr="00251D03">
          <w:rPr>
            <w:rStyle w:val="Hyperlink"/>
            <w:bCs/>
            <w:i/>
            <w:iCs/>
            <w:szCs w:val="24"/>
          </w:rPr>
          <w:t>Приложение № 6.03</w:t>
        </w:r>
      </w:hyperlink>
    </w:p>
    <w:p w14:paraId="29B99F64" w14:textId="77777777" w:rsidR="00F448DF" w:rsidRPr="001B0EA3" w:rsidRDefault="00F448DF" w:rsidP="00046D61">
      <w:pPr>
        <w:pStyle w:val="ListParagraph"/>
        <w:numPr>
          <w:ilvl w:val="1"/>
          <w:numId w:val="163"/>
        </w:numPr>
        <w:rPr>
          <w:szCs w:val="24"/>
        </w:rPr>
      </w:pPr>
      <w:r w:rsidRPr="001B0EA3">
        <w:rPr>
          <w:szCs w:val="24"/>
        </w:rPr>
        <w:t>в случай, че в резултат на направената проверка се установи липса на нередност</w:t>
      </w:r>
      <w:r w:rsidR="008E44CD" w:rsidRPr="001B0EA3">
        <w:rPr>
          <w:szCs w:val="24"/>
        </w:rPr>
        <w:t xml:space="preserve">, същото се описва в </w:t>
      </w:r>
      <w:r w:rsidRPr="001B0EA3">
        <w:rPr>
          <w:szCs w:val="24"/>
        </w:rPr>
        <w:t xml:space="preserve"> образеца на решение </w:t>
      </w:r>
      <w:r w:rsidR="002251DA" w:rsidRPr="001B0EA3">
        <w:rPr>
          <w:szCs w:val="24"/>
        </w:rPr>
        <w:t>по т. 1</w:t>
      </w:r>
    </w:p>
    <w:p w14:paraId="51247C78" w14:textId="77777777" w:rsidR="00F448DF" w:rsidRPr="001B0EA3" w:rsidRDefault="00F448DF" w:rsidP="00046D61">
      <w:pPr>
        <w:ind w:firstLine="567"/>
        <w:rPr>
          <w:szCs w:val="24"/>
          <w:highlight w:val="yellow"/>
        </w:rPr>
      </w:pPr>
    </w:p>
    <w:p w14:paraId="7FC7E9D2" w14:textId="7E5C5459" w:rsidR="00EE3811" w:rsidRPr="001B0EA3" w:rsidRDefault="00EE3811" w:rsidP="00046D61">
      <w:pPr>
        <w:ind w:firstLine="709"/>
        <w:rPr>
          <w:szCs w:val="24"/>
        </w:rPr>
      </w:pPr>
      <w:r w:rsidRPr="001B0EA3">
        <w:rPr>
          <w:szCs w:val="24"/>
        </w:rPr>
        <w:t xml:space="preserve">Началникът на отдела, </w:t>
      </w:r>
      <w:r w:rsidR="00ED66CF" w:rsidRPr="001B0EA3">
        <w:rPr>
          <w:szCs w:val="24"/>
        </w:rPr>
        <w:t>инициирал</w:t>
      </w:r>
      <w:r w:rsidR="00486738" w:rsidRPr="001B0EA3">
        <w:rPr>
          <w:szCs w:val="24"/>
        </w:rPr>
        <w:t xml:space="preserve"> проверката за</w:t>
      </w:r>
      <w:r w:rsidRPr="001B0EA3">
        <w:rPr>
          <w:szCs w:val="24"/>
        </w:rPr>
        <w:t xml:space="preserve"> </w:t>
      </w:r>
      <w:r w:rsidR="00486738" w:rsidRPr="001B0EA3">
        <w:rPr>
          <w:szCs w:val="24"/>
        </w:rPr>
        <w:t>установяването/липсата</w:t>
      </w:r>
      <w:r w:rsidRPr="001B0EA3">
        <w:rPr>
          <w:szCs w:val="24"/>
        </w:rPr>
        <w:t xml:space="preserve"> на нередност, предоставя по електронен път проекта на документ по т. 1 и 2 на отдел „Управление на риска“. Определени</w:t>
      </w:r>
      <w:r w:rsidR="00494230" w:rsidRPr="001B0EA3">
        <w:rPr>
          <w:szCs w:val="24"/>
        </w:rPr>
        <w:t>ят/и</w:t>
      </w:r>
      <w:r w:rsidRPr="001B0EA3">
        <w:rPr>
          <w:szCs w:val="24"/>
        </w:rPr>
        <w:t xml:space="preserve">те от началника на отдела служител/и по нередностите </w:t>
      </w:r>
      <w:r w:rsidR="00C414C4" w:rsidRPr="001B0EA3">
        <w:rPr>
          <w:szCs w:val="24"/>
        </w:rPr>
        <w:t>проверява</w:t>
      </w:r>
      <w:r w:rsidR="005B359E" w:rsidRPr="001B0EA3">
        <w:rPr>
          <w:szCs w:val="24"/>
        </w:rPr>
        <w:t>/</w:t>
      </w:r>
      <w:r w:rsidR="00C414C4" w:rsidRPr="001B0EA3">
        <w:rPr>
          <w:szCs w:val="24"/>
        </w:rPr>
        <w:t>т</w:t>
      </w:r>
      <w:r w:rsidRPr="001B0EA3">
        <w:rPr>
          <w:szCs w:val="24"/>
        </w:rPr>
        <w:t xml:space="preserve"> документа </w:t>
      </w:r>
      <w:r w:rsidR="005B359E" w:rsidRPr="001B0EA3">
        <w:rPr>
          <w:szCs w:val="24"/>
        </w:rPr>
        <w:t>за съответствие с изискванията на чл. 14, ал. 2 от Наредбата</w:t>
      </w:r>
      <w:r w:rsidR="006F2556" w:rsidRPr="001B0EA3">
        <w:rPr>
          <w:szCs w:val="24"/>
        </w:rPr>
        <w:t xml:space="preserve">, като попълват </w:t>
      </w:r>
      <w:r w:rsidR="00BF573A" w:rsidRPr="001B0EA3">
        <w:rPr>
          <w:szCs w:val="24"/>
        </w:rPr>
        <w:t xml:space="preserve">контролен лист </w:t>
      </w:r>
      <w:hyperlink r:id="rId253" w:tooltip="Контролен лист - Проверка за съответствие на Решение на Ръководителя на УО за определяне на финансова корекция по чл. 73 на ЗУСЕСИФ с изискванията на чл. 14 ал. 2 от НАНЕСИФ" w:history="1">
        <w:r w:rsidR="00AE381A" w:rsidRPr="00251D03">
          <w:rPr>
            <w:rStyle w:val="Hyperlink"/>
            <w:bCs/>
            <w:i/>
            <w:iCs/>
            <w:szCs w:val="24"/>
          </w:rPr>
          <w:t>Приложение № 6.04</w:t>
        </w:r>
      </w:hyperlink>
      <w:r w:rsidR="005B359E" w:rsidRPr="001B0EA3">
        <w:rPr>
          <w:szCs w:val="24"/>
        </w:rPr>
        <w:t xml:space="preserve"> и </w:t>
      </w:r>
      <w:r w:rsidR="00494230" w:rsidRPr="001B0EA3">
        <w:rPr>
          <w:szCs w:val="24"/>
        </w:rPr>
        <w:t>в 2</w:t>
      </w:r>
      <w:r w:rsidR="00BF573A" w:rsidRPr="001B0EA3">
        <w:rPr>
          <w:szCs w:val="24"/>
        </w:rPr>
        <w:t>-</w:t>
      </w:r>
      <w:r w:rsidR="00494230" w:rsidRPr="001B0EA3">
        <w:rPr>
          <w:szCs w:val="24"/>
        </w:rPr>
        <w:t>дневен срок от получаването му информират по електронна поща началника на отдел „</w:t>
      </w:r>
      <w:r w:rsidR="004F0F2E">
        <w:rPr>
          <w:szCs w:val="24"/>
        </w:rPr>
        <w:t>Управление на риска</w:t>
      </w:r>
      <w:r w:rsidR="00494230" w:rsidRPr="001B0EA3">
        <w:rPr>
          <w:szCs w:val="24"/>
        </w:rPr>
        <w:t>“ за резултатите от проверката, който препраща</w:t>
      </w:r>
      <w:r w:rsidR="00E1113B" w:rsidRPr="001B0EA3">
        <w:rPr>
          <w:szCs w:val="24"/>
        </w:rPr>
        <w:t xml:space="preserve"> най-късно на следващия ден</w:t>
      </w:r>
      <w:r w:rsidR="00494230" w:rsidRPr="001B0EA3">
        <w:rPr>
          <w:szCs w:val="24"/>
        </w:rPr>
        <w:t xml:space="preserve"> тази информация на началника на отдела, </w:t>
      </w:r>
      <w:r w:rsidR="00ED66CF" w:rsidRPr="001B0EA3">
        <w:rPr>
          <w:szCs w:val="24"/>
        </w:rPr>
        <w:t>инициирал</w:t>
      </w:r>
      <w:r w:rsidR="00494230" w:rsidRPr="001B0EA3">
        <w:rPr>
          <w:szCs w:val="24"/>
        </w:rPr>
        <w:t xml:space="preserve"> </w:t>
      </w:r>
      <w:r w:rsidR="00486738" w:rsidRPr="001B0EA3">
        <w:rPr>
          <w:szCs w:val="24"/>
        </w:rPr>
        <w:t>проверката за</w:t>
      </w:r>
      <w:r w:rsidR="00494230" w:rsidRPr="001B0EA3">
        <w:rPr>
          <w:szCs w:val="24"/>
        </w:rPr>
        <w:t xml:space="preserve"> нередност. </w:t>
      </w:r>
    </w:p>
    <w:p w14:paraId="33622283" w14:textId="77777777" w:rsidR="00EE3811" w:rsidRPr="001B0EA3" w:rsidRDefault="00EE3811" w:rsidP="00046D61">
      <w:pPr>
        <w:ind w:firstLine="426"/>
        <w:rPr>
          <w:szCs w:val="24"/>
          <w:highlight w:val="yellow"/>
        </w:rPr>
      </w:pPr>
    </w:p>
    <w:p w14:paraId="56D2D3EE" w14:textId="77777777" w:rsidR="007D2013" w:rsidRDefault="00E91792" w:rsidP="00046D61">
      <w:pPr>
        <w:ind w:firstLine="426"/>
        <w:rPr>
          <w:szCs w:val="24"/>
        </w:rPr>
      </w:pPr>
      <w:r w:rsidRPr="001B0EA3">
        <w:rPr>
          <w:szCs w:val="24"/>
        </w:rPr>
        <w:t xml:space="preserve">Окончателният проект на решение се съгласува </w:t>
      </w:r>
      <w:r w:rsidR="005B359E" w:rsidRPr="001B0EA3">
        <w:rPr>
          <w:szCs w:val="24"/>
        </w:rPr>
        <w:t xml:space="preserve">от експертите </w:t>
      </w:r>
      <w:r w:rsidR="00486738" w:rsidRPr="001B0EA3">
        <w:rPr>
          <w:szCs w:val="24"/>
        </w:rPr>
        <w:t xml:space="preserve">участвали в изготвянето и проверката му, техните началници на отдели и </w:t>
      </w:r>
      <w:r w:rsidR="00494230" w:rsidRPr="001B0EA3">
        <w:rPr>
          <w:szCs w:val="24"/>
        </w:rPr>
        <w:t xml:space="preserve">директора на дирекция „Координация на програми и проекти“. </w:t>
      </w:r>
      <w:r w:rsidR="00C93AC6" w:rsidRPr="001B0EA3">
        <w:rPr>
          <w:szCs w:val="24"/>
        </w:rPr>
        <w:t xml:space="preserve">Максималният срок за издаването на решението на Ръководителя на УО по т. 2 е един месец от получаване на отговора на бенефициента по </w:t>
      </w:r>
      <w:r w:rsidR="00C93AC6" w:rsidRPr="001B0EA3">
        <w:rPr>
          <w:color w:val="000000"/>
          <w:szCs w:val="24"/>
        </w:rPr>
        <w:t xml:space="preserve">чл. 73, ал. </w:t>
      </w:r>
      <w:r w:rsidR="00C93AC6" w:rsidRPr="001B0EA3">
        <w:rPr>
          <w:szCs w:val="24"/>
        </w:rPr>
        <w:t>2 на ЗУСЕСИФ.</w:t>
      </w:r>
    </w:p>
    <w:p w14:paraId="71193137" w14:textId="77777777" w:rsidR="007D2013" w:rsidRPr="001B0EA3" w:rsidRDefault="007D2013" w:rsidP="007D2013">
      <w:pPr>
        <w:ind w:firstLine="426"/>
        <w:rPr>
          <w:szCs w:val="24"/>
        </w:rPr>
      </w:pPr>
      <w:r>
        <w:rPr>
          <w:szCs w:val="24"/>
        </w:rPr>
        <w:t>Решението за финансова корекция се предоставя на Ръководителя на УО за подпис не по-късно от 2 дни преди изтичане на регламентирания в гл.73 от ЗУСЕСИФ срок.</w:t>
      </w:r>
    </w:p>
    <w:p w14:paraId="6E82106D" w14:textId="77777777" w:rsidR="007D2013" w:rsidRDefault="007D2013" w:rsidP="00046D61">
      <w:pPr>
        <w:ind w:firstLine="426"/>
        <w:rPr>
          <w:szCs w:val="24"/>
        </w:rPr>
      </w:pPr>
    </w:p>
    <w:p w14:paraId="0EBD12C6" w14:textId="77777777" w:rsidR="00C93AC6" w:rsidRDefault="00C93AC6" w:rsidP="00046D61">
      <w:pPr>
        <w:ind w:firstLine="426"/>
        <w:rPr>
          <w:szCs w:val="24"/>
        </w:rPr>
      </w:pPr>
      <w:r w:rsidRPr="001B0EA3">
        <w:rPr>
          <w:szCs w:val="24"/>
        </w:rPr>
        <w:t xml:space="preserve"> Решението се изготвя в </w:t>
      </w:r>
      <w:r w:rsidR="00355B72">
        <w:rPr>
          <w:szCs w:val="24"/>
        </w:rPr>
        <w:t xml:space="preserve">два </w:t>
      </w:r>
      <w:r w:rsidRPr="001B0EA3">
        <w:rPr>
          <w:szCs w:val="24"/>
        </w:rPr>
        <w:t xml:space="preserve">оригинални екземпляра, като единия остава в деловодството, </w:t>
      </w:r>
      <w:r w:rsidR="00355B72">
        <w:rPr>
          <w:szCs w:val="24"/>
        </w:rPr>
        <w:t xml:space="preserve">а </w:t>
      </w:r>
      <w:r w:rsidRPr="001B0EA3">
        <w:rPr>
          <w:szCs w:val="24"/>
        </w:rPr>
        <w:t xml:space="preserve">вторият се изпраща на бенефициента. </w:t>
      </w:r>
      <w:r w:rsidR="005B359E" w:rsidRPr="001B0EA3">
        <w:rPr>
          <w:szCs w:val="24"/>
        </w:rPr>
        <w:t xml:space="preserve">Експертът </w:t>
      </w:r>
      <w:r w:rsidR="00AF2093" w:rsidRPr="001B0EA3">
        <w:rPr>
          <w:szCs w:val="24"/>
        </w:rPr>
        <w:t xml:space="preserve">изготвил </w:t>
      </w:r>
      <w:r w:rsidR="006F53DA" w:rsidRPr="001B0EA3">
        <w:rPr>
          <w:szCs w:val="24"/>
        </w:rPr>
        <w:t>документа</w:t>
      </w:r>
      <w:r w:rsidR="005B359E" w:rsidRPr="001B0EA3">
        <w:rPr>
          <w:szCs w:val="24"/>
        </w:rPr>
        <w:t xml:space="preserve"> предоставя к</w:t>
      </w:r>
      <w:r w:rsidRPr="001B0EA3">
        <w:rPr>
          <w:szCs w:val="24"/>
        </w:rPr>
        <w:t>опие от подписаното решение за сведение по електронен път на в</w:t>
      </w:r>
      <w:r w:rsidR="00E91792" w:rsidRPr="001B0EA3">
        <w:rPr>
          <w:szCs w:val="24"/>
        </w:rPr>
        <w:t>сички началници на отдели на УО</w:t>
      </w:r>
      <w:r w:rsidR="00F553BA" w:rsidRPr="001B0EA3">
        <w:rPr>
          <w:szCs w:val="24"/>
        </w:rPr>
        <w:t xml:space="preserve"> в деня на издаването му</w:t>
      </w:r>
      <w:r w:rsidR="00E91792" w:rsidRPr="001B0EA3">
        <w:rPr>
          <w:szCs w:val="24"/>
        </w:rPr>
        <w:t xml:space="preserve">. </w:t>
      </w:r>
    </w:p>
    <w:p w14:paraId="0685DC12" w14:textId="77777777" w:rsidR="00C93AC6" w:rsidRPr="001B0EA3" w:rsidRDefault="00C93AC6" w:rsidP="00046D61">
      <w:pPr>
        <w:rPr>
          <w:szCs w:val="24"/>
        </w:rPr>
      </w:pPr>
    </w:p>
    <w:p w14:paraId="58586379" w14:textId="77777777" w:rsidR="00C93AC6" w:rsidRPr="001B0EA3" w:rsidRDefault="00C93AC6" w:rsidP="00046D61">
      <w:pPr>
        <w:ind w:firstLine="426"/>
        <w:rPr>
          <w:szCs w:val="24"/>
          <w:highlight w:val="yellow"/>
        </w:rPr>
      </w:pPr>
    </w:p>
    <w:p w14:paraId="59BAF4EC" w14:textId="1D1B2FB2" w:rsidR="00BB210E" w:rsidRPr="001B0EA3" w:rsidRDefault="00E1113B" w:rsidP="006A6D08">
      <w:pPr>
        <w:pStyle w:val="ListParagraph"/>
        <w:autoSpaceDE w:val="0"/>
        <w:autoSpaceDN w:val="0"/>
        <w:adjustRightInd w:val="0"/>
        <w:ind w:left="0" w:firstLine="0"/>
      </w:pPr>
      <w:r w:rsidRPr="001B0EA3">
        <w:rPr>
          <w:b/>
          <w:bCs/>
          <w:color w:val="000000"/>
          <w:szCs w:val="24"/>
          <w:lang w:eastAsia="en-US"/>
        </w:rPr>
        <w:lastRenderedPageBreak/>
        <w:t xml:space="preserve">б) </w:t>
      </w:r>
      <w:r w:rsidR="00822A62" w:rsidRPr="001B0EA3">
        <w:rPr>
          <w:b/>
          <w:bCs/>
          <w:color w:val="000000"/>
          <w:szCs w:val="24"/>
          <w:lang w:eastAsia="en-US"/>
        </w:rPr>
        <w:t>Проверка и установяване  на нередност или ли</w:t>
      </w:r>
      <w:r w:rsidR="00822A62">
        <w:rPr>
          <w:b/>
          <w:bCs/>
          <w:color w:val="000000"/>
          <w:szCs w:val="24"/>
          <w:lang w:eastAsia="en-US"/>
        </w:rPr>
        <w:t>п</w:t>
      </w:r>
      <w:r w:rsidR="00822A62" w:rsidRPr="001B0EA3">
        <w:rPr>
          <w:b/>
          <w:bCs/>
          <w:color w:val="000000"/>
          <w:szCs w:val="24"/>
          <w:lang w:eastAsia="en-US"/>
        </w:rPr>
        <w:t>са на нередност по  сигнали</w:t>
      </w:r>
      <w:r w:rsidR="00822A62" w:rsidRPr="001B0EA3">
        <w:rPr>
          <w:szCs w:val="24"/>
          <w:lang w:eastAsia="bg-BG"/>
        </w:rPr>
        <w:t xml:space="preserve"> </w:t>
      </w:r>
      <w:r w:rsidR="00822A62" w:rsidRPr="001B0EA3">
        <w:rPr>
          <w:b/>
          <w:szCs w:val="24"/>
          <w:lang w:eastAsia="bg-BG"/>
        </w:rPr>
        <w:t>от национални и европейски контролни и/или одитни органи</w:t>
      </w:r>
    </w:p>
    <w:p w14:paraId="7452E4F0" w14:textId="77777777" w:rsidR="00C51990" w:rsidRPr="001B0EA3" w:rsidRDefault="00C51990" w:rsidP="00C51990">
      <w:pPr>
        <w:ind w:firstLine="567"/>
        <w:rPr>
          <w:szCs w:val="24"/>
          <w:highlight w:val="yellow"/>
        </w:rPr>
      </w:pPr>
    </w:p>
    <w:p w14:paraId="610D2EB3" w14:textId="482CF47D" w:rsidR="00BB210E" w:rsidRPr="001B0EA3" w:rsidRDefault="00C51990" w:rsidP="00C51990">
      <w:pPr>
        <w:ind w:firstLine="567"/>
        <w:rPr>
          <w:szCs w:val="24"/>
        </w:rPr>
      </w:pPr>
      <w:r>
        <w:rPr>
          <w:szCs w:val="24"/>
        </w:rPr>
        <w:t xml:space="preserve">Управление на риска </w:t>
      </w:r>
      <w:r w:rsidRPr="001B0EA3" w:rsidDel="004D265E">
        <w:rPr>
          <w:szCs w:val="24"/>
        </w:rPr>
        <w:t xml:space="preserve"> </w:t>
      </w:r>
      <w:r w:rsidR="00BB210E" w:rsidRPr="001B0EA3">
        <w:rPr>
          <w:szCs w:val="24"/>
        </w:rPr>
        <w:t xml:space="preserve">Когато предварителен или окончателен доклад е изпратен до директора на дирекция КПП, то същият се резолира до отдел </w:t>
      </w:r>
      <w:r w:rsidR="00DC1A6B">
        <w:rPr>
          <w:szCs w:val="24"/>
        </w:rPr>
        <w:t>УР</w:t>
      </w:r>
      <w:r w:rsidR="00BB210E" w:rsidRPr="001B0EA3">
        <w:rPr>
          <w:szCs w:val="24"/>
        </w:rPr>
        <w:t xml:space="preserve"> и останалите компетентни отдели след регистриране в деловодството.     </w:t>
      </w:r>
    </w:p>
    <w:p w14:paraId="51C566B0" w14:textId="177E5F9F" w:rsidR="00C93AC6" w:rsidRPr="001B0EA3" w:rsidRDefault="00C93AC6" w:rsidP="00046D61">
      <w:pPr>
        <w:ind w:firstLine="567"/>
        <w:rPr>
          <w:szCs w:val="24"/>
          <w:highlight w:val="yellow"/>
        </w:rPr>
      </w:pPr>
      <w:r w:rsidRPr="001B0EA3">
        <w:rPr>
          <w:szCs w:val="24"/>
        </w:rPr>
        <w:t>В случаите, когато окончателния доклад на външния контролен орган (в т.ч. Сертифициращ орган, Одитиращ орган, Сметна палата и др.) съдържа достатъчно данни за извършена нередност, определеният от началника</w:t>
      </w:r>
      <w:r w:rsidR="00C51990">
        <w:rPr>
          <w:szCs w:val="24"/>
        </w:rPr>
        <w:t xml:space="preserve"> на отдел „</w:t>
      </w:r>
      <w:r w:rsidR="00AE4B1A">
        <w:rPr>
          <w:szCs w:val="24"/>
        </w:rPr>
        <w:t>Управление на риска</w:t>
      </w:r>
      <w:r w:rsidRPr="001B0EA3">
        <w:rPr>
          <w:szCs w:val="24"/>
        </w:rPr>
        <w:t xml:space="preserve">“ да </w:t>
      </w:r>
      <w:r w:rsidR="00ED66CF" w:rsidRPr="001B0EA3">
        <w:rPr>
          <w:szCs w:val="24"/>
        </w:rPr>
        <w:t>администрира</w:t>
      </w:r>
      <w:r w:rsidRPr="001B0EA3">
        <w:rPr>
          <w:szCs w:val="24"/>
        </w:rPr>
        <w:t xml:space="preserve"> сигнала служител по нередностите въвежда информацията </w:t>
      </w:r>
      <w:r w:rsidR="001F59B4" w:rsidRPr="001B0EA3">
        <w:rPr>
          <w:szCs w:val="24"/>
        </w:rPr>
        <w:t xml:space="preserve">като сигнал за нередност </w:t>
      </w:r>
      <w:r w:rsidRPr="001B0EA3">
        <w:rPr>
          <w:szCs w:val="24"/>
        </w:rPr>
        <w:t>в модул „Нередности“ на ИСУН 2020</w:t>
      </w:r>
      <w:r w:rsidR="00E1113B" w:rsidRPr="001B0EA3">
        <w:rPr>
          <w:szCs w:val="24"/>
        </w:rPr>
        <w:t xml:space="preserve"> в срок</w:t>
      </w:r>
      <w:r w:rsidR="00EF2497" w:rsidRPr="001B0EA3">
        <w:rPr>
          <w:szCs w:val="24"/>
        </w:rPr>
        <w:t xml:space="preserve"> до три работни дни</w:t>
      </w:r>
      <w:r w:rsidR="00E1113B" w:rsidRPr="001B0EA3">
        <w:rPr>
          <w:szCs w:val="24"/>
        </w:rPr>
        <w:t xml:space="preserve"> от получаването и</w:t>
      </w:r>
      <w:r w:rsidRPr="001B0EA3">
        <w:rPr>
          <w:szCs w:val="24"/>
        </w:rPr>
        <w:t xml:space="preserve">. </w:t>
      </w:r>
    </w:p>
    <w:p w14:paraId="1D0149BA" w14:textId="0972DFAD" w:rsidR="00C93AC6" w:rsidRPr="001B0EA3" w:rsidRDefault="00C93AC6" w:rsidP="00046D61">
      <w:pPr>
        <w:ind w:firstLine="567"/>
        <w:rPr>
          <w:szCs w:val="24"/>
        </w:rPr>
      </w:pPr>
      <w:r w:rsidRPr="001B0EA3">
        <w:rPr>
          <w:szCs w:val="24"/>
        </w:rPr>
        <w:t>Отдел „</w:t>
      </w:r>
      <w:r w:rsidR="00054037">
        <w:rPr>
          <w:szCs w:val="24"/>
        </w:rPr>
        <w:t>Управление на риска</w:t>
      </w:r>
      <w:r w:rsidRPr="001B0EA3">
        <w:rPr>
          <w:szCs w:val="24"/>
        </w:rPr>
        <w:t xml:space="preserve">“ </w:t>
      </w:r>
      <w:r w:rsidR="00054037">
        <w:rPr>
          <w:szCs w:val="24"/>
        </w:rPr>
        <w:t>разполага с</w:t>
      </w:r>
      <w:r w:rsidRPr="001B0EA3">
        <w:rPr>
          <w:szCs w:val="24"/>
        </w:rPr>
        <w:t xml:space="preserve"> цялата писмена кореспонденция, проведена между УО на ОПТТИ и бенефициентите по програмата, в т.ч. документи и становища на УО и бенефициентите, които в последствие са изпратени  на контролните органи. Определеният да администрира сигнала служител по нередностите въвежда информацията в модул  „Нередности“ на ИСУН 2020</w:t>
      </w:r>
      <w:r w:rsidR="00E1113B" w:rsidRPr="001B0EA3">
        <w:rPr>
          <w:szCs w:val="24"/>
        </w:rPr>
        <w:t xml:space="preserve"> в три дневен срок от получаването и</w:t>
      </w:r>
      <w:r w:rsidRPr="001B0EA3">
        <w:rPr>
          <w:szCs w:val="24"/>
        </w:rPr>
        <w:t xml:space="preserve">. </w:t>
      </w:r>
    </w:p>
    <w:p w14:paraId="55762B9A" w14:textId="77777777" w:rsidR="005E6188" w:rsidRPr="001B0EA3" w:rsidRDefault="005E6188" w:rsidP="00046D61">
      <w:pPr>
        <w:ind w:firstLine="540"/>
        <w:rPr>
          <w:szCs w:val="24"/>
        </w:rPr>
      </w:pPr>
      <w:r w:rsidRPr="001B0EA3">
        <w:rPr>
          <w:szCs w:val="24"/>
        </w:rPr>
        <w:t>Въз основа на информацията от окончателния одитен доклад/доклад от проверка</w:t>
      </w:r>
      <w:r w:rsidR="00C5586B" w:rsidRPr="001B0EA3">
        <w:rPr>
          <w:szCs w:val="24"/>
        </w:rPr>
        <w:t>,</w:t>
      </w:r>
      <w:r w:rsidRPr="001B0EA3">
        <w:rPr>
          <w:szCs w:val="24"/>
        </w:rPr>
        <w:t xml:space="preserve"> </w:t>
      </w:r>
      <w:r w:rsidR="00C5586B" w:rsidRPr="001B0EA3">
        <w:rPr>
          <w:szCs w:val="24"/>
        </w:rPr>
        <w:t xml:space="preserve">служител </w:t>
      </w:r>
      <w:r w:rsidRPr="001B0EA3">
        <w:rPr>
          <w:szCs w:val="24"/>
        </w:rPr>
        <w:t xml:space="preserve">от </w:t>
      </w:r>
      <w:r w:rsidR="00C5586B" w:rsidRPr="001B0EA3">
        <w:rPr>
          <w:szCs w:val="24"/>
        </w:rPr>
        <w:t xml:space="preserve">определения от </w:t>
      </w:r>
      <w:r w:rsidRPr="001B0EA3">
        <w:rPr>
          <w:szCs w:val="24"/>
        </w:rPr>
        <w:t xml:space="preserve">директора на дирекцията компетентен </w:t>
      </w:r>
      <w:r w:rsidR="00C5586B" w:rsidRPr="001B0EA3">
        <w:rPr>
          <w:szCs w:val="24"/>
        </w:rPr>
        <w:t xml:space="preserve">отдел </w:t>
      </w:r>
      <w:r w:rsidRPr="001B0EA3">
        <w:rPr>
          <w:szCs w:val="24"/>
        </w:rPr>
        <w:t xml:space="preserve">изготвя проекта на писмо </w:t>
      </w:r>
      <w:r w:rsidR="0031697D" w:rsidRPr="001B0EA3">
        <w:rPr>
          <w:szCs w:val="24"/>
        </w:rPr>
        <w:t xml:space="preserve">по </w:t>
      </w:r>
      <w:r w:rsidRPr="001B0EA3">
        <w:rPr>
          <w:szCs w:val="24"/>
        </w:rPr>
        <w:t>чл. 73, ал. 2 на ЗУСЕИСФ от името на Ръководителя на УО до бенефициента</w:t>
      </w:r>
      <w:r w:rsidR="00D12231" w:rsidRPr="001B0EA3">
        <w:rPr>
          <w:szCs w:val="24"/>
        </w:rPr>
        <w:t xml:space="preserve"> </w:t>
      </w:r>
      <w:r w:rsidRPr="001B0EA3">
        <w:rPr>
          <w:szCs w:val="24"/>
        </w:rPr>
        <w:t>който се съгласува от началника на отдела и директора на дирекция „Координация на програми и проекти“.</w:t>
      </w:r>
      <w:r w:rsidR="004D37A4" w:rsidRPr="001B0EA3">
        <w:rPr>
          <w:szCs w:val="24"/>
        </w:rPr>
        <w:t xml:space="preserve"> </w:t>
      </w:r>
    </w:p>
    <w:p w14:paraId="31739447" w14:textId="77777777" w:rsidR="005E6188" w:rsidRPr="001B0EA3" w:rsidRDefault="005E6188" w:rsidP="00046D61">
      <w:pPr>
        <w:tabs>
          <w:tab w:val="left" w:pos="8550"/>
        </w:tabs>
        <w:ind w:firstLine="567"/>
        <w:rPr>
          <w:szCs w:val="24"/>
        </w:rPr>
      </w:pPr>
      <w:r w:rsidRPr="001B0EA3">
        <w:rPr>
          <w:szCs w:val="24"/>
        </w:rPr>
        <w:t xml:space="preserve">С писмото, УО уведомява бенефициента за съществуващо съмнение за </w:t>
      </w:r>
      <w:r w:rsidR="00C414C4" w:rsidRPr="001B0EA3">
        <w:rPr>
          <w:szCs w:val="24"/>
        </w:rPr>
        <w:t>нередност</w:t>
      </w:r>
      <w:r w:rsidRPr="001B0EA3">
        <w:rPr>
          <w:szCs w:val="24"/>
        </w:rPr>
        <w:t xml:space="preserve">, за което предстои да бъде наложена финансова корекция, като посочва категорията нарушение, нормативните разпоредби, </w:t>
      </w:r>
      <w:r w:rsidR="00312D2A" w:rsidRPr="001B0EA3">
        <w:rPr>
          <w:szCs w:val="24"/>
        </w:rPr>
        <w:t xml:space="preserve">включително тези на правото на </w:t>
      </w:r>
      <w:r w:rsidR="004D37A4" w:rsidRPr="001B0EA3">
        <w:rPr>
          <w:szCs w:val="24"/>
        </w:rPr>
        <w:t>Европейския съюз</w:t>
      </w:r>
      <w:r w:rsidR="00E1113B" w:rsidRPr="001B0EA3">
        <w:rPr>
          <w:szCs w:val="24"/>
        </w:rPr>
        <w:t xml:space="preserve"> когато е приложимо</w:t>
      </w:r>
      <w:r w:rsidR="00312D2A" w:rsidRPr="001B0EA3">
        <w:rPr>
          <w:szCs w:val="24"/>
        </w:rPr>
        <w:t xml:space="preserve">, </w:t>
      </w:r>
      <w:r w:rsidRPr="001B0EA3">
        <w:rPr>
          <w:szCs w:val="24"/>
        </w:rPr>
        <w:t xml:space="preserve">които са нарушени, и мотивира избрания метод за определяне на корекцията, както и нейния размер и дава срок на бенефициента от </w:t>
      </w:r>
      <w:r w:rsidR="00ED66CF" w:rsidRPr="001B0EA3">
        <w:rPr>
          <w:szCs w:val="24"/>
        </w:rPr>
        <w:t>минимум</w:t>
      </w:r>
      <w:r w:rsidRPr="001B0EA3">
        <w:rPr>
          <w:szCs w:val="24"/>
        </w:rPr>
        <w:t xml:space="preserve"> 14 дни за представяне на коментари, бележки и/или допълнителни документи, с които да мотивира искане да не се налага финансова корекция или да се намали нейният размер.</w:t>
      </w:r>
    </w:p>
    <w:p w14:paraId="3A0C3FC2" w14:textId="51561A90" w:rsidR="005E6188" w:rsidRPr="001B0EA3" w:rsidRDefault="005E6188" w:rsidP="00046D61">
      <w:pPr>
        <w:tabs>
          <w:tab w:val="left" w:pos="8550"/>
        </w:tabs>
        <w:ind w:firstLine="567"/>
        <w:rPr>
          <w:szCs w:val="24"/>
        </w:rPr>
      </w:pPr>
      <w:r w:rsidRPr="001B0EA3">
        <w:rPr>
          <w:szCs w:val="24"/>
        </w:rPr>
        <w:t>Копие на писмото документиращо извършените проверки и направените констатации се предоставя на отдел „</w:t>
      </w:r>
      <w:r w:rsidR="006D2B19">
        <w:rPr>
          <w:szCs w:val="24"/>
        </w:rPr>
        <w:t>Управление на риска</w:t>
      </w:r>
      <w:r w:rsidRPr="001B0EA3">
        <w:rPr>
          <w:szCs w:val="24"/>
        </w:rPr>
        <w:t>“, където определеният от началника на отдела служител по нередностите завежда постъпилата информация в</w:t>
      </w:r>
      <w:r w:rsidRPr="001B0EA3">
        <w:t xml:space="preserve"> </w:t>
      </w:r>
      <w:r w:rsidRPr="001B0EA3">
        <w:rPr>
          <w:szCs w:val="24"/>
        </w:rPr>
        <w:t>модул „Нередности“ на ИСУН 2020</w:t>
      </w:r>
      <w:r w:rsidR="00E1113B" w:rsidRPr="001B0EA3">
        <w:rPr>
          <w:szCs w:val="24"/>
        </w:rPr>
        <w:t xml:space="preserve"> в три дневен срок от получаването му</w:t>
      </w:r>
      <w:r w:rsidRPr="001B0EA3">
        <w:rPr>
          <w:szCs w:val="24"/>
        </w:rPr>
        <w:t xml:space="preserve">. </w:t>
      </w:r>
    </w:p>
    <w:p w14:paraId="02F6D8C3" w14:textId="77777777" w:rsidR="005E6188" w:rsidRPr="001B0EA3" w:rsidRDefault="005E6188" w:rsidP="00046D61">
      <w:pPr>
        <w:ind w:firstLine="567"/>
        <w:rPr>
          <w:szCs w:val="24"/>
        </w:rPr>
      </w:pPr>
      <w:r w:rsidRPr="001B0EA3">
        <w:rPr>
          <w:szCs w:val="24"/>
        </w:rPr>
        <w:t xml:space="preserve">В срок до </w:t>
      </w:r>
      <w:r w:rsidR="00D12231" w:rsidRPr="001B0EA3">
        <w:rPr>
          <w:szCs w:val="24"/>
        </w:rPr>
        <w:t xml:space="preserve">14 </w:t>
      </w:r>
      <w:r w:rsidRPr="001B0EA3">
        <w:rPr>
          <w:szCs w:val="24"/>
        </w:rPr>
        <w:t>дни след получаване на отговора на бенефициента по чл. 73, ал. 2 на ЗУСЕСИФ :</w:t>
      </w:r>
    </w:p>
    <w:p w14:paraId="52E657CD" w14:textId="77777777" w:rsidR="005E6188" w:rsidRPr="001B0EA3" w:rsidRDefault="005E6188" w:rsidP="00046D61">
      <w:pPr>
        <w:pStyle w:val="ListParagraph"/>
        <w:numPr>
          <w:ilvl w:val="1"/>
          <w:numId w:val="162"/>
        </w:numPr>
        <w:rPr>
          <w:szCs w:val="24"/>
        </w:rPr>
      </w:pPr>
      <w:r w:rsidRPr="001B0EA3">
        <w:rPr>
          <w:szCs w:val="24"/>
        </w:rPr>
        <w:t xml:space="preserve">в случай, че в резултат на направената проверка се потвърди наличието на нередност, отделът на който е възложена проверката по сигнала за нередност, съвместно с отдел „Финансово управление“, попълват образец на решение за налагане на финансова корекция съгласно образеца от </w:t>
      </w:r>
      <w:hyperlink r:id="rId254" w:tooltip="Решение за определяне на финансова корекция¦за прекратяване на производството по определяне на финансова корекция" w:history="1">
        <w:r w:rsidR="00AE381A" w:rsidRPr="00251D03">
          <w:rPr>
            <w:rStyle w:val="Hyperlink"/>
            <w:bCs/>
            <w:i/>
            <w:iCs/>
            <w:szCs w:val="24"/>
          </w:rPr>
          <w:t>Приложение № 6.03</w:t>
        </w:r>
      </w:hyperlink>
    </w:p>
    <w:p w14:paraId="69C33EB2" w14:textId="77777777" w:rsidR="004D37A4" w:rsidRPr="001B0EA3" w:rsidRDefault="004D37A4" w:rsidP="00046D61">
      <w:pPr>
        <w:pStyle w:val="ListParagraph"/>
        <w:numPr>
          <w:ilvl w:val="1"/>
          <w:numId w:val="162"/>
        </w:numPr>
        <w:rPr>
          <w:szCs w:val="24"/>
        </w:rPr>
      </w:pPr>
      <w:r w:rsidRPr="001B0EA3">
        <w:rPr>
          <w:szCs w:val="24"/>
        </w:rPr>
        <w:t>в случай, че в резултат на направената проверка се установи липса на нередност, същото се описва в  образеца на решение по т. 1</w:t>
      </w:r>
    </w:p>
    <w:p w14:paraId="024920BD" w14:textId="77777777" w:rsidR="005E6188" w:rsidRPr="001B0EA3" w:rsidRDefault="005E6188" w:rsidP="00046D61">
      <w:pPr>
        <w:ind w:firstLine="567"/>
        <w:rPr>
          <w:szCs w:val="24"/>
        </w:rPr>
      </w:pPr>
    </w:p>
    <w:p w14:paraId="4A799F9E" w14:textId="332C04B2" w:rsidR="00E1113B" w:rsidRPr="001B0EA3" w:rsidRDefault="005B359E" w:rsidP="00046D61">
      <w:pPr>
        <w:ind w:firstLine="709"/>
        <w:rPr>
          <w:szCs w:val="24"/>
        </w:rPr>
      </w:pPr>
      <w:r w:rsidRPr="001B0EA3">
        <w:rPr>
          <w:szCs w:val="24"/>
        </w:rPr>
        <w:t>Началникът на отдела, на който е възложена проверката по сигнала предоставя по електронен път проекта на документ по т. 1 и 2 на отдел „</w:t>
      </w:r>
      <w:r w:rsidR="00A265CB">
        <w:rPr>
          <w:szCs w:val="24"/>
        </w:rPr>
        <w:t>Управление на риска</w:t>
      </w:r>
      <w:r w:rsidRPr="001B0EA3">
        <w:rPr>
          <w:szCs w:val="24"/>
        </w:rPr>
        <w:t xml:space="preserve">“. </w:t>
      </w:r>
      <w:r w:rsidR="00E1113B" w:rsidRPr="001B0EA3">
        <w:rPr>
          <w:szCs w:val="24"/>
        </w:rPr>
        <w:t>Определеният/ите от началника на отдела служител/и по нередностите проверява/т документа за съответствие с изискванията на чл. 14, ал. 2 от Наредбата</w:t>
      </w:r>
      <w:r w:rsidR="00BF573A" w:rsidRPr="001B0EA3">
        <w:rPr>
          <w:szCs w:val="24"/>
        </w:rPr>
        <w:t>,</w:t>
      </w:r>
      <w:r w:rsidR="00BF573A" w:rsidRPr="001B0EA3">
        <w:t xml:space="preserve"> </w:t>
      </w:r>
      <w:r w:rsidR="00BF573A" w:rsidRPr="001B0EA3">
        <w:rPr>
          <w:szCs w:val="24"/>
        </w:rPr>
        <w:t xml:space="preserve">като попълват контролен лист </w:t>
      </w:r>
      <w:hyperlink r:id="rId255" w:tooltip="Контролен лист - Проверка за съответствие на Решение на Ръководителя на УО за определяне на финансова корекция по чл. 73 на ЗУСЕСИФ с изискванията на чл. 14 ал. 2 от НАНЕСИФ" w:history="1">
        <w:r w:rsidR="00AE381A" w:rsidRPr="00251D03">
          <w:rPr>
            <w:rStyle w:val="Hyperlink"/>
            <w:bCs/>
            <w:i/>
            <w:iCs/>
            <w:szCs w:val="24"/>
          </w:rPr>
          <w:t>Приложение № 6.04</w:t>
        </w:r>
      </w:hyperlink>
      <w:r w:rsidR="00BF573A" w:rsidRPr="001B0EA3">
        <w:rPr>
          <w:szCs w:val="24"/>
        </w:rPr>
        <w:t xml:space="preserve"> </w:t>
      </w:r>
      <w:r w:rsidR="00E1113B" w:rsidRPr="001B0EA3">
        <w:rPr>
          <w:szCs w:val="24"/>
        </w:rPr>
        <w:t>и в 2 дневен срок от получаването му информират по електронна поща началника на отдел „</w:t>
      </w:r>
      <w:r w:rsidR="00AE76B5">
        <w:rPr>
          <w:szCs w:val="24"/>
        </w:rPr>
        <w:t>Управление на риска</w:t>
      </w:r>
      <w:r w:rsidR="00E1113B" w:rsidRPr="001B0EA3">
        <w:rPr>
          <w:szCs w:val="24"/>
        </w:rPr>
        <w:t xml:space="preserve">“ за резултатите от проверката, който препраща най-късно на следващия ден тази информация на началника на отдела, </w:t>
      </w:r>
      <w:r w:rsidR="00ED66CF" w:rsidRPr="001B0EA3">
        <w:rPr>
          <w:szCs w:val="24"/>
        </w:rPr>
        <w:t>инициирал</w:t>
      </w:r>
      <w:r w:rsidR="00E1113B" w:rsidRPr="001B0EA3">
        <w:rPr>
          <w:szCs w:val="24"/>
        </w:rPr>
        <w:t xml:space="preserve"> проверката за нередност. </w:t>
      </w:r>
    </w:p>
    <w:p w14:paraId="36ED49A4" w14:textId="77777777" w:rsidR="004D37A4" w:rsidRPr="001B0EA3" w:rsidRDefault="005B359E" w:rsidP="00046D61">
      <w:pPr>
        <w:ind w:firstLine="426"/>
        <w:rPr>
          <w:szCs w:val="24"/>
        </w:rPr>
      </w:pPr>
      <w:r w:rsidRPr="001B0EA3">
        <w:rPr>
          <w:szCs w:val="24"/>
        </w:rPr>
        <w:t xml:space="preserve"> </w:t>
      </w:r>
      <w:r w:rsidR="00E1113B" w:rsidRPr="001B0EA3">
        <w:rPr>
          <w:szCs w:val="24"/>
        </w:rPr>
        <w:t xml:space="preserve">Окончателният проект на решение се съгласува от експертите участвали в изготвянето и проверката му, техните началници на отдели и директора на дирекция „Координация на програми и проекти“. </w:t>
      </w:r>
    </w:p>
    <w:p w14:paraId="482EEFDF" w14:textId="77777777" w:rsidR="00E1113B" w:rsidRPr="001B0EA3" w:rsidRDefault="00E1113B" w:rsidP="00046D61">
      <w:pPr>
        <w:ind w:firstLine="426"/>
        <w:rPr>
          <w:szCs w:val="24"/>
        </w:rPr>
      </w:pPr>
      <w:r w:rsidRPr="001B0EA3">
        <w:rPr>
          <w:szCs w:val="24"/>
        </w:rPr>
        <w:lastRenderedPageBreak/>
        <w:t xml:space="preserve">Максималният срок за издаването на решението на Ръководителя на УО по т. 2 е един месец от получаване на отговора на бенефициента по </w:t>
      </w:r>
      <w:r w:rsidRPr="001B0EA3">
        <w:rPr>
          <w:color w:val="000000"/>
          <w:szCs w:val="24"/>
        </w:rPr>
        <w:t xml:space="preserve">чл. 73, ал. </w:t>
      </w:r>
      <w:r w:rsidRPr="001B0EA3">
        <w:rPr>
          <w:szCs w:val="24"/>
        </w:rPr>
        <w:t>2 на ЗУСЕСИФ. Решението се изготвя в три оригинални екземпляра, като единия остава в деловодството, вторият  се съхранява от отдел „Финансово управление“,  а третият се изпраща на бенефициента</w:t>
      </w:r>
      <w:r w:rsidRPr="001B0EA3">
        <w:t xml:space="preserve"> </w:t>
      </w:r>
      <w:r w:rsidRPr="001B0EA3">
        <w:rPr>
          <w:szCs w:val="24"/>
        </w:rPr>
        <w:t xml:space="preserve">в тридневен срок. </w:t>
      </w:r>
      <w:r w:rsidR="00E85DFF" w:rsidRPr="001B0EA3">
        <w:rPr>
          <w:szCs w:val="24"/>
        </w:rPr>
        <w:t xml:space="preserve">Експертът изготвил документа предоставя копие от подписаното решение за сведение по електронен път на всички началници на отдели на УО в деня на издаването му. </w:t>
      </w:r>
    </w:p>
    <w:p w14:paraId="4BB508F1" w14:textId="77777777" w:rsidR="00C93AC6" w:rsidRPr="001B0EA3" w:rsidRDefault="00C93AC6" w:rsidP="00E1113B">
      <w:pPr>
        <w:ind w:firstLine="426"/>
        <w:rPr>
          <w:szCs w:val="24"/>
        </w:rPr>
      </w:pPr>
    </w:p>
    <w:p w14:paraId="7B24D19A" w14:textId="77777777" w:rsidR="00661847" w:rsidRPr="001B0EA3" w:rsidRDefault="00E1113B" w:rsidP="004D37A4">
      <w:pPr>
        <w:autoSpaceDE w:val="0"/>
        <w:autoSpaceDN w:val="0"/>
        <w:adjustRightInd w:val="0"/>
        <w:rPr>
          <w:b/>
          <w:szCs w:val="24"/>
          <w:highlight w:val="yellow"/>
          <w:lang w:eastAsia="bg-BG"/>
        </w:rPr>
      </w:pPr>
      <w:r w:rsidRPr="001B0EA3">
        <w:rPr>
          <w:b/>
          <w:bCs/>
          <w:color w:val="000000"/>
          <w:szCs w:val="24"/>
          <w:lang w:eastAsia="en-US"/>
        </w:rPr>
        <w:t xml:space="preserve">в) </w:t>
      </w:r>
      <w:r w:rsidR="00C93AC6" w:rsidRPr="001B0EA3">
        <w:rPr>
          <w:b/>
          <w:bCs/>
          <w:color w:val="000000"/>
          <w:szCs w:val="24"/>
          <w:lang w:eastAsia="en-US"/>
        </w:rPr>
        <w:t xml:space="preserve">Проверка и </w:t>
      </w:r>
      <w:r w:rsidR="00E21A11" w:rsidRPr="001B0EA3">
        <w:rPr>
          <w:b/>
          <w:bCs/>
          <w:color w:val="000000"/>
          <w:szCs w:val="24"/>
          <w:lang w:eastAsia="en-US"/>
        </w:rPr>
        <w:t xml:space="preserve">установяване на нередност или липса на нередност по </w:t>
      </w:r>
      <w:r w:rsidR="00C93AC6" w:rsidRPr="001B0EA3">
        <w:rPr>
          <w:b/>
          <w:bCs/>
          <w:color w:val="000000"/>
          <w:szCs w:val="24"/>
          <w:lang w:eastAsia="en-US"/>
        </w:rPr>
        <w:t xml:space="preserve"> сигнали</w:t>
      </w:r>
      <w:r w:rsidR="00C93AC6" w:rsidRPr="001B0EA3">
        <w:rPr>
          <w:szCs w:val="24"/>
          <w:lang w:eastAsia="bg-BG"/>
        </w:rPr>
        <w:t xml:space="preserve"> </w:t>
      </w:r>
      <w:r w:rsidR="00C93AC6" w:rsidRPr="001B0EA3">
        <w:rPr>
          <w:b/>
          <w:szCs w:val="24"/>
          <w:lang w:eastAsia="bg-BG"/>
        </w:rPr>
        <w:t>от други източници</w:t>
      </w:r>
    </w:p>
    <w:p w14:paraId="4E89E8CC" w14:textId="77777777" w:rsidR="00C93AC6" w:rsidRPr="001B0EA3" w:rsidRDefault="00C93AC6" w:rsidP="00046D61">
      <w:pPr>
        <w:ind w:firstLine="567"/>
        <w:rPr>
          <w:szCs w:val="24"/>
          <w:highlight w:val="yellow"/>
        </w:rPr>
      </w:pPr>
    </w:p>
    <w:p w14:paraId="1BB4AAA9" w14:textId="7B67E09F" w:rsidR="008039D7" w:rsidRDefault="00C93AC6" w:rsidP="00C93AC6">
      <w:pPr>
        <w:shd w:val="clear" w:color="auto" w:fill="FFFFFF"/>
        <w:ind w:firstLine="709"/>
        <w:rPr>
          <w:szCs w:val="24"/>
        </w:rPr>
      </w:pPr>
      <w:r w:rsidRPr="001B0EA3">
        <w:rPr>
          <w:szCs w:val="24"/>
        </w:rPr>
        <w:t xml:space="preserve">Когато в УО постъпи сигнал с източник, различен от гореизброените, ако не е заведен се завежда в деловодството на министерството и се предоставя на </w:t>
      </w:r>
      <w:r w:rsidR="0031697D" w:rsidRPr="001B0EA3">
        <w:rPr>
          <w:szCs w:val="24"/>
        </w:rPr>
        <w:t xml:space="preserve">директора на дирекцията, който </w:t>
      </w:r>
      <w:r w:rsidR="00E853B3" w:rsidRPr="001B0EA3">
        <w:rPr>
          <w:szCs w:val="24"/>
        </w:rPr>
        <w:t xml:space="preserve">го </w:t>
      </w:r>
      <w:r w:rsidR="005B359E" w:rsidRPr="001B0EA3">
        <w:rPr>
          <w:szCs w:val="24"/>
        </w:rPr>
        <w:t xml:space="preserve">предава </w:t>
      </w:r>
      <w:r w:rsidR="00E853B3" w:rsidRPr="001B0EA3">
        <w:rPr>
          <w:szCs w:val="24"/>
        </w:rPr>
        <w:t>на началника на отдел „</w:t>
      </w:r>
      <w:r w:rsidR="00C76581">
        <w:rPr>
          <w:szCs w:val="24"/>
        </w:rPr>
        <w:t>Управление на риска</w:t>
      </w:r>
      <w:r w:rsidR="00E853B3" w:rsidRPr="001B0EA3">
        <w:rPr>
          <w:szCs w:val="24"/>
        </w:rPr>
        <w:t xml:space="preserve">“. </w:t>
      </w:r>
    </w:p>
    <w:p w14:paraId="7D03D2FB" w14:textId="77777777" w:rsidR="008039D7" w:rsidRPr="00504EA4" w:rsidRDefault="008039D7" w:rsidP="00504EA4">
      <w:pPr>
        <w:shd w:val="clear" w:color="auto" w:fill="FFFFFF"/>
        <w:ind w:firstLine="709"/>
        <w:rPr>
          <w:szCs w:val="24"/>
        </w:rPr>
      </w:pPr>
      <w:r w:rsidRPr="00504EA4">
        <w:rPr>
          <w:szCs w:val="24"/>
        </w:rPr>
        <w:t xml:space="preserve">Сигналите за нередности могат да бъдат писмени или устни. За подаване на устни сигнали на страницата на ОП ТТИ е посочен телефонен номер, на който могат да бъдат подавани сигналите. След подаване на устен сигнал, съответният служител, който го е получил, </w:t>
      </w:r>
      <w:r>
        <w:rPr>
          <w:szCs w:val="24"/>
        </w:rPr>
        <w:t xml:space="preserve">попълва приложение </w:t>
      </w:r>
      <w:r w:rsidR="00305D38" w:rsidRPr="00504EA4">
        <w:rPr>
          <w:szCs w:val="24"/>
          <w:highlight w:val="yellow"/>
        </w:rPr>
        <w:t>№</w:t>
      </w:r>
      <w:r w:rsidR="00305D38">
        <w:rPr>
          <w:szCs w:val="24"/>
          <w:highlight w:val="yellow"/>
        </w:rPr>
        <w:t>6. 10</w:t>
      </w:r>
      <w:r w:rsidR="00305D38" w:rsidRPr="00504EA4">
        <w:rPr>
          <w:szCs w:val="24"/>
          <w:highlight w:val="yellow"/>
        </w:rPr>
        <w:t xml:space="preserve"> ….</w:t>
      </w:r>
      <w:r>
        <w:rPr>
          <w:szCs w:val="24"/>
        </w:rPr>
        <w:t>към ПН</w:t>
      </w:r>
      <w:r w:rsidRPr="00504EA4">
        <w:rPr>
          <w:szCs w:val="24"/>
        </w:rPr>
        <w:t xml:space="preserve">, </w:t>
      </w:r>
      <w:r>
        <w:rPr>
          <w:szCs w:val="24"/>
        </w:rPr>
        <w:t xml:space="preserve">което </w:t>
      </w:r>
      <w:r w:rsidRPr="00504EA4">
        <w:rPr>
          <w:szCs w:val="24"/>
        </w:rPr>
        <w:t xml:space="preserve">съдържаинформация за твърденията в сигнала и данни за подателя, освен в случаите когато подателят е пожелал да остане анонимен. След изготвяне на текста, същият се регистрира в деловодната система на </w:t>
      </w:r>
      <w:r w:rsidR="00BB6BF6">
        <w:rPr>
          <w:szCs w:val="24"/>
        </w:rPr>
        <w:t>МТС</w:t>
      </w:r>
      <w:r w:rsidRPr="00504EA4">
        <w:rPr>
          <w:szCs w:val="24"/>
        </w:rPr>
        <w:t xml:space="preserve"> и се разглежда съгласно правилата за разглеждане на сигнали.</w:t>
      </w:r>
      <w:r>
        <w:rPr>
          <w:szCs w:val="24"/>
        </w:rPr>
        <w:t xml:space="preserve"> </w:t>
      </w:r>
      <w:r w:rsidRPr="00504EA4">
        <w:rPr>
          <w:szCs w:val="24"/>
        </w:rPr>
        <w:t>Устни сигнали могат да се подават и на място в Управляващия орган, като се спазват правилата, за регистриране на устен сигнал, подаден по телефона, записани по-горе.</w:t>
      </w:r>
    </w:p>
    <w:p w14:paraId="16C1F33A" w14:textId="77777777" w:rsidR="00C93AC6" w:rsidRPr="001B0EA3" w:rsidRDefault="00E853B3" w:rsidP="00C93AC6">
      <w:pPr>
        <w:shd w:val="clear" w:color="auto" w:fill="FFFFFF"/>
        <w:ind w:firstLine="709"/>
        <w:rPr>
          <w:szCs w:val="24"/>
        </w:rPr>
      </w:pPr>
      <w:r w:rsidRPr="001B0EA3">
        <w:rPr>
          <w:szCs w:val="24"/>
        </w:rPr>
        <w:t xml:space="preserve">Определеният от началника на отдела служител по нередностите проверява дали </w:t>
      </w:r>
      <w:r w:rsidR="00C93AC6" w:rsidRPr="001B0EA3">
        <w:rPr>
          <w:szCs w:val="24"/>
        </w:rPr>
        <w:t>сигналът се отнася до дейността на УО</w:t>
      </w:r>
      <w:r w:rsidRPr="001B0EA3">
        <w:rPr>
          <w:szCs w:val="24"/>
        </w:rPr>
        <w:t>. Ако не се отнася,</w:t>
      </w:r>
      <w:r w:rsidR="00C93AC6" w:rsidRPr="001B0EA3">
        <w:rPr>
          <w:szCs w:val="24"/>
        </w:rPr>
        <w:t xml:space="preserve"> същият се препраща на компетентната структура или организация, </w:t>
      </w:r>
      <w:r w:rsidRPr="001B0EA3">
        <w:rPr>
          <w:szCs w:val="24"/>
        </w:rPr>
        <w:t>като се уведомява подателя на сигнала</w:t>
      </w:r>
      <w:r w:rsidR="004D37A4" w:rsidRPr="001B0EA3">
        <w:rPr>
          <w:szCs w:val="24"/>
        </w:rPr>
        <w:t>,</w:t>
      </w:r>
      <w:r w:rsidRPr="001B0EA3">
        <w:rPr>
          <w:szCs w:val="24"/>
        </w:rPr>
        <w:t xml:space="preserve"> ако е посочил адрес. </w:t>
      </w:r>
    </w:p>
    <w:p w14:paraId="299CBE48" w14:textId="77777777" w:rsidR="00C93AC6" w:rsidRPr="001B0EA3" w:rsidRDefault="00C93AC6" w:rsidP="00C93AC6">
      <w:pPr>
        <w:shd w:val="clear" w:color="auto" w:fill="FFFFFF"/>
        <w:ind w:firstLine="709"/>
        <w:rPr>
          <w:szCs w:val="24"/>
        </w:rPr>
      </w:pPr>
      <w:r w:rsidRPr="001B0EA3">
        <w:rPr>
          <w:szCs w:val="24"/>
        </w:rPr>
        <w:t xml:space="preserve">Ако сигналът се отнася до дейността на УО, служителят по нередности, проверява дали същия съдържа минимално изискуемата информация </w:t>
      </w:r>
      <w:r w:rsidR="00346E88" w:rsidRPr="001B0EA3">
        <w:rPr>
          <w:szCs w:val="24"/>
        </w:rPr>
        <w:t xml:space="preserve">за сигнал за нередност, </w:t>
      </w:r>
      <w:r w:rsidRPr="001B0EA3">
        <w:rPr>
          <w:szCs w:val="24"/>
        </w:rPr>
        <w:t xml:space="preserve">съгласно Наредбата. </w:t>
      </w:r>
    </w:p>
    <w:p w14:paraId="7D3C8B32" w14:textId="77777777" w:rsidR="001D335E" w:rsidRPr="001B0EA3" w:rsidRDefault="00C93AC6" w:rsidP="00795F83">
      <w:pPr>
        <w:shd w:val="clear" w:color="auto" w:fill="FFFFFF"/>
        <w:ind w:firstLine="709"/>
        <w:rPr>
          <w:szCs w:val="24"/>
        </w:rPr>
      </w:pPr>
      <w:r w:rsidRPr="001B0EA3">
        <w:rPr>
          <w:szCs w:val="24"/>
        </w:rPr>
        <w:t xml:space="preserve">Ако тази информация не се съдържа в сигнала,  служителят по нередностите изготвя доклад, който се одобрява от </w:t>
      </w:r>
      <w:r w:rsidR="00E853B3" w:rsidRPr="001B0EA3">
        <w:rPr>
          <w:szCs w:val="24"/>
        </w:rPr>
        <w:t xml:space="preserve">Ръководителя на Управляващия орган </w:t>
      </w:r>
      <w:r w:rsidRPr="001B0EA3">
        <w:rPr>
          <w:szCs w:val="24"/>
        </w:rPr>
        <w:t>за нерегистриране на получения сигнал в регистъра за сигнали за нередности по оперативната програма. В тези случаи се уведомява подателя на сигнала за становището на УО по сигнала или сигналът се препраща на компетентната структура или организация, с указание за  уведомяване на  подателя на сигнала за становището  по него.</w:t>
      </w:r>
      <w:r w:rsidR="00CD28D4" w:rsidRPr="001B0EA3">
        <w:rPr>
          <w:szCs w:val="24"/>
        </w:rPr>
        <w:t xml:space="preserve"> </w:t>
      </w:r>
    </w:p>
    <w:p w14:paraId="16B50277" w14:textId="257CC957" w:rsidR="00795F83" w:rsidRPr="001B0EA3" w:rsidRDefault="00CD28D4" w:rsidP="00795F83">
      <w:pPr>
        <w:shd w:val="clear" w:color="auto" w:fill="FFFFFF"/>
        <w:ind w:firstLine="709"/>
        <w:rPr>
          <w:szCs w:val="24"/>
        </w:rPr>
      </w:pPr>
      <w:r w:rsidRPr="001B0EA3">
        <w:rPr>
          <w:szCs w:val="24"/>
        </w:rPr>
        <w:t xml:space="preserve">За сигналите, които не съдържат референция към конкретен проект, служителят по нередности извършва </w:t>
      </w:r>
      <w:r w:rsidR="00795F83" w:rsidRPr="001B0EA3">
        <w:rPr>
          <w:szCs w:val="24"/>
        </w:rPr>
        <w:t xml:space="preserve">необходимата проверка с цел идентифициране на </w:t>
      </w:r>
      <w:r w:rsidR="00ED66CF" w:rsidRPr="001B0EA3">
        <w:rPr>
          <w:szCs w:val="24"/>
        </w:rPr>
        <w:t>релевантния</w:t>
      </w:r>
      <w:r w:rsidR="00795F83" w:rsidRPr="001B0EA3">
        <w:rPr>
          <w:szCs w:val="24"/>
        </w:rPr>
        <w:t xml:space="preserve"> съществуващ или бъдещ проект чрез проверка в ИСУН 2020 и/или въз основа информация от останалите отдели в УО .</w:t>
      </w:r>
      <w:r w:rsidRPr="001B0EA3">
        <w:rPr>
          <w:szCs w:val="24"/>
        </w:rPr>
        <w:t xml:space="preserve"> </w:t>
      </w:r>
      <w:r w:rsidR="00795F83" w:rsidRPr="001B0EA3">
        <w:rPr>
          <w:szCs w:val="24"/>
        </w:rPr>
        <w:t>Когато сигналът за нередност касае проект, който ще бъде финансиран по ОПТТИ, но все още не е представен за одобрение от УО и съответно не е регистриран в ИСУН 2020, служителят по нередности, на когото е разпределен сигналът, събира информация/изискани становища по сигнала от замесените лица и уведомява за сигнала отдел „Програмиране“. След регистрирането в ИСУН 2020 на про</w:t>
      </w:r>
      <w:r w:rsidR="001D335E" w:rsidRPr="001B0EA3">
        <w:rPr>
          <w:szCs w:val="24"/>
        </w:rPr>
        <w:t>е</w:t>
      </w:r>
      <w:r w:rsidR="00795F83" w:rsidRPr="001B0EA3">
        <w:rPr>
          <w:szCs w:val="24"/>
        </w:rPr>
        <w:t>кта, по който е получен сигнал за нередност, отдел  „Програмиране“ уведомяв</w:t>
      </w:r>
      <w:r w:rsidR="008640DF">
        <w:rPr>
          <w:szCs w:val="24"/>
        </w:rPr>
        <w:t xml:space="preserve">а за това отдел </w:t>
      </w:r>
      <w:r w:rsidR="00E662A2">
        <w:rPr>
          <w:szCs w:val="24"/>
        </w:rPr>
        <w:t>УР</w:t>
      </w:r>
      <w:r w:rsidR="008640DF" w:rsidRPr="008640DF" w:rsidDel="008C1156">
        <w:rPr>
          <w:szCs w:val="24"/>
        </w:rPr>
        <w:t xml:space="preserve"> </w:t>
      </w:r>
      <w:r w:rsidR="00795F83" w:rsidRPr="001B0EA3">
        <w:rPr>
          <w:szCs w:val="24"/>
        </w:rPr>
        <w:t xml:space="preserve"> най-късно на следващия ден след регистрацията. Служителят по нередности, на когото е разпределен сигналът, го завежда в ИСУН 2020 в срок до три работни дни от уведомлението за регистрацията на проекта в ИСУН 2020.</w:t>
      </w:r>
    </w:p>
    <w:p w14:paraId="392C481A" w14:textId="77777777" w:rsidR="00C93AC6" w:rsidRPr="001B0EA3" w:rsidRDefault="00C93AC6" w:rsidP="00046D61">
      <w:pPr>
        <w:ind w:firstLine="709"/>
        <w:rPr>
          <w:szCs w:val="24"/>
        </w:rPr>
      </w:pPr>
      <w:r w:rsidRPr="001B0EA3">
        <w:rPr>
          <w:szCs w:val="24"/>
        </w:rPr>
        <w:t xml:space="preserve">Ако сигналът съдържа минимално изискуемата информация съгласно Наредбата, служителят по нередности, </w:t>
      </w:r>
      <w:r w:rsidR="00346E88" w:rsidRPr="001B0EA3">
        <w:rPr>
          <w:szCs w:val="24"/>
        </w:rPr>
        <w:t>на когото е разпределен сигналът</w:t>
      </w:r>
      <w:r w:rsidRPr="001B0EA3">
        <w:rPr>
          <w:szCs w:val="24"/>
        </w:rPr>
        <w:t>, го завежда</w:t>
      </w:r>
      <w:r w:rsidR="00346E88" w:rsidRPr="001B0EA3">
        <w:rPr>
          <w:szCs w:val="24"/>
        </w:rPr>
        <w:t xml:space="preserve"> в ИСУН 2020</w:t>
      </w:r>
      <w:r w:rsidR="00620332" w:rsidRPr="001B0EA3">
        <w:rPr>
          <w:szCs w:val="24"/>
        </w:rPr>
        <w:t xml:space="preserve"> в срок до три работни дни</w:t>
      </w:r>
      <w:r w:rsidR="005B359E" w:rsidRPr="001B0EA3">
        <w:rPr>
          <w:szCs w:val="24"/>
        </w:rPr>
        <w:t>, а началникът на отдела уведомява за това директора на дирекция „Координация на програми и проекти“</w:t>
      </w:r>
      <w:r w:rsidR="005E6188" w:rsidRPr="001B0EA3">
        <w:rPr>
          <w:szCs w:val="24"/>
        </w:rPr>
        <w:t>.</w:t>
      </w:r>
      <w:r w:rsidR="00DA390C" w:rsidRPr="001B0EA3">
        <w:rPr>
          <w:szCs w:val="24"/>
        </w:rPr>
        <w:t xml:space="preserve"> Директорът на дирекцията възлага проверката на </w:t>
      </w:r>
      <w:r w:rsidR="00DA390C" w:rsidRPr="001B0EA3">
        <w:rPr>
          <w:szCs w:val="24"/>
        </w:rPr>
        <w:lastRenderedPageBreak/>
        <w:t xml:space="preserve">сигнала на </w:t>
      </w:r>
      <w:r w:rsidR="00E214E2" w:rsidRPr="001B0EA3">
        <w:rPr>
          <w:szCs w:val="24"/>
        </w:rPr>
        <w:t>определен</w:t>
      </w:r>
      <w:r w:rsidR="004D37A4" w:rsidRPr="001B0EA3">
        <w:rPr>
          <w:szCs w:val="24"/>
        </w:rPr>
        <w:t>/и от него</w:t>
      </w:r>
      <w:r w:rsidR="00E214E2" w:rsidRPr="001B0EA3">
        <w:rPr>
          <w:szCs w:val="24"/>
        </w:rPr>
        <w:t xml:space="preserve"> отдел/и на УО</w:t>
      </w:r>
      <w:r w:rsidR="005B2EA4" w:rsidRPr="001B0EA3">
        <w:rPr>
          <w:szCs w:val="24"/>
        </w:rPr>
        <w:t xml:space="preserve">. Когато сигналът е разпределен до няколко </w:t>
      </w:r>
      <w:r w:rsidR="00E214E2" w:rsidRPr="001B0EA3">
        <w:rPr>
          <w:szCs w:val="24"/>
        </w:rPr>
        <w:t>отдела</w:t>
      </w:r>
      <w:r w:rsidR="005B2EA4" w:rsidRPr="001B0EA3">
        <w:rPr>
          <w:szCs w:val="24"/>
        </w:rPr>
        <w:t xml:space="preserve">, водещ и отговорен за извършване на проверката е първият по резолюция. </w:t>
      </w:r>
    </w:p>
    <w:p w14:paraId="72D6E21D" w14:textId="77777777" w:rsidR="00D4701E" w:rsidRPr="001B0EA3" w:rsidRDefault="00D4701E" w:rsidP="00046D61">
      <w:pPr>
        <w:ind w:firstLine="709"/>
        <w:rPr>
          <w:szCs w:val="24"/>
        </w:rPr>
      </w:pPr>
    </w:p>
    <w:p w14:paraId="38AD561E" w14:textId="77777777" w:rsidR="00C82BE1" w:rsidRPr="001B0EA3" w:rsidRDefault="00C82BE1" w:rsidP="00046D61">
      <w:pPr>
        <w:ind w:firstLine="709"/>
        <w:rPr>
          <w:szCs w:val="24"/>
        </w:rPr>
      </w:pPr>
      <w:r w:rsidRPr="001B0EA3">
        <w:rPr>
          <w:szCs w:val="24"/>
        </w:rPr>
        <w:t>При разглеждането на сигнала са възможни следните хипотези :</w:t>
      </w:r>
    </w:p>
    <w:p w14:paraId="6CCD7FCF" w14:textId="77777777" w:rsidR="00C43618" w:rsidRPr="001B0EA3" w:rsidRDefault="00C43618" w:rsidP="00C43618">
      <w:pPr>
        <w:shd w:val="clear" w:color="auto" w:fill="FEFEFE"/>
        <w:jc w:val="left"/>
        <w:rPr>
          <w:szCs w:val="24"/>
        </w:rPr>
      </w:pPr>
    </w:p>
    <w:p w14:paraId="22AD09E8" w14:textId="77777777" w:rsidR="00C43618" w:rsidRPr="001B0EA3" w:rsidRDefault="00C82BE1" w:rsidP="0054623A">
      <w:pPr>
        <w:pStyle w:val="ListParagraph"/>
        <w:numPr>
          <w:ilvl w:val="0"/>
          <w:numId w:val="235"/>
        </w:numPr>
        <w:shd w:val="clear" w:color="auto" w:fill="FEFEFE"/>
        <w:ind w:left="720" w:hanging="270"/>
        <w:jc w:val="left"/>
        <w:rPr>
          <w:b/>
          <w:szCs w:val="24"/>
        </w:rPr>
      </w:pPr>
      <w:r w:rsidRPr="001B0EA3">
        <w:rPr>
          <w:b/>
          <w:szCs w:val="24"/>
        </w:rPr>
        <w:t>Сигналът съдържа достатъчно данни за извършена нередност</w:t>
      </w:r>
    </w:p>
    <w:p w14:paraId="6361DDB9" w14:textId="77777777" w:rsidR="005E6188" w:rsidRPr="001B0EA3" w:rsidRDefault="00DA390C" w:rsidP="00046D61">
      <w:pPr>
        <w:tabs>
          <w:tab w:val="left" w:pos="8550"/>
        </w:tabs>
        <w:ind w:firstLine="567"/>
        <w:rPr>
          <w:szCs w:val="24"/>
        </w:rPr>
      </w:pPr>
      <w:r w:rsidRPr="001B0EA3">
        <w:rPr>
          <w:szCs w:val="24"/>
        </w:rPr>
        <w:t>А</w:t>
      </w:r>
      <w:r w:rsidR="005E6188" w:rsidRPr="001B0EA3">
        <w:rPr>
          <w:szCs w:val="24"/>
        </w:rPr>
        <w:t>ко вследствие на изпълнението на заложените в контролната среда проверки от негова компетентност, у експерт от съответния отдел на УО</w:t>
      </w:r>
      <w:r w:rsidR="00346E88" w:rsidRPr="001B0EA3">
        <w:rPr>
          <w:szCs w:val="24"/>
        </w:rPr>
        <w:t>, на когото е възложена проверката по сигнала,</w:t>
      </w:r>
      <w:r w:rsidR="005E6188" w:rsidRPr="001B0EA3">
        <w:rPr>
          <w:szCs w:val="24"/>
        </w:rPr>
        <w:t xml:space="preserve"> възникне съмнение </w:t>
      </w:r>
      <w:r w:rsidR="008C789B" w:rsidRPr="001B0EA3">
        <w:rPr>
          <w:szCs w:val="24"/>
        </w:rPr>
        <w:t xml:space="preserve">за </w:t>
      </w:r>
      <w:r w:rsidR="005B2EA4" w:rsidRPr="001B0EA3">
        <w:rPr>
          <w:szCs w:val="24"/>
        </w:rPr>
        <w:t>нередност</w:t>
      </w:r>
      <w:r w:rsidR="005E6188" w:rsidRPr="001B0EA3">
        <w:rPr>
          <w:szCs w:val="24"/>
        </w:rPr>
        <w:t xml:space="preserve">, той изготвя проекта на писмо чл. 73, ал. 2 на ЗУСЕИСФ от името на Ръководителя на УО до бенефициента, който се съгласува от началника на отдела и директора на дирекция „Координация на програми и проекти“. </w:t>
      </w:r>
    </w:p>
    <w:p w14:paraId="3C83F73F" w14:textId="77777777" w:rsidR="005E6188" w:rsidRPr="001B0EA3" w:rsidRDefault="005E6188" w:rsidP="00046D61">
      <w:pPr>
        <w:tabs>
          <w:tab w:val="left" w:pos="8550"/>
        </w:tabs>
        <w:ind w:firstLine="567"/>
        <w:rPr>
          <w:szCs w:val="24"/>
        </w:rPr>
      </w:pPr>
      <w:r w:rsidRPr="001B0EA3">
        <w:rPr>
          <w:szCs w:val="24"/>
        </w:rPr>
        <w:t xml:space="preserve">С писмото, УО уведомява бенефициента за съществуващо съмнение за </w:t>
      </w:r>
      <w:r w:rsidR="005B2EA4" w:rsidRPr="001B0EA3">
        <w:rPr>
          <w:szCs w:val="24"/>
        </w:rPr>
        <w:t>нередност</w:t>
      </w:r>
      <w:r w:rsidRPr="001B0EA3">
        <w:rPr>
          <w:szCs w:val="24"/>
        </w:rPr>
        <w:t xml:space="preserve">, за което предстои да бъде наложена финансова корекция, като посочва категорията нарушение, нормативните разпоредби, </w:t>
      </w:r>
      <w:r w:rsidR="00312D2A" w:rsidRPr="001B0EA3">
        <w:rPr>
          <w:szCs w:val="24"/>
        </w:rPr>
        <w:t xml:space="preserve">включително тези на правото на </w:t>
      </w:r>
      <w:r w:rsidR="004D37A4" w:rsidRPr="001B0EA3">
        <w:rPr>
          <w:szCs w:val="24"/>
        </w:rPr>
        <w:t>Европейския съюз/</w:t>
      </w:r>
      <w:r w:rsidR="00312D2A" w:rsidRPr="001B0EA3">
        <w:rPr>
          <w:szCs w:val="24"/>
        </w:rPr>
        <w:t>Общността</w:t>
      </w:r>
      <w:r w:rsidR="003D0F0D" w:rsidRPr="001B0EA3">
        <w:rPr>
          <w:szCs w:val="24"/>
        </w:rPr>
        <w:t xml:space="preserve"> когато е приложимо</w:t>
      </w:r>
      <w:r w:rsidR="00312D2A" w:rsidRPr="001B0EA3">
        <w:rPr>
          <w:szCs w:val="24"/>
        </w:rPr>
        <w:t xml:space="preserve">, </w:t>
      </w:r>
      <w:r w:rsidRPr="001B0EA3">
        <w:rPr>
          <w:szCs w:val="24"/>
        </w:rPr>
        <w:t>които са нарушени,</w:t>
      </w:r>
      <w:r w:rsidR="00681390" w:rsidRPr="001B0EA3">
        <w:rPr>
          <w:szCs w:val="24"/>
        </w:rPr>
        <w:t xml:space="preserve"> </w:t>
      </w:r>
      <w:r w:rsidRPr="001B0EA3">
        <w:rPr>
          <w:szCs w:val="24"/>
        </w:rPr>
        <w:t xml:space="preserve">и мотивира избрания метод за определяне на корекцията, както и нейния размер и дава срок на бенефициента от </w:t>
      </w:r>
      <w:r w:rsidR="00ED66CF" w:rsidRPr="001B0EA3">
        <w:rPr>
          <w:szCs w:val="24"/>
        </w:rPr>
        <w:t>минимум</w:t>
      </w:r>
      <w:r w:rsidRPr="001B0EA3">
        <w:rPr>
          <w:szCs w:val="24"/>
        </w:rPr>
        <w:t xml:space="preserve"> 14 дни за представяне на коментари, бележки и/или допълнителни документи, с които да мотивира искане да не се налага финансова корекция или да се намали нейният размер.</w:t>
      </w:r>
    </w:p>
    <w:p w14:paraId="2DB0FB16" w14:textId="3F44CC7F" w:rsidR="005E6188" w:rsidRPr="001B0EA3" w:rsidRDefault="005E6188" w:rsidP="00046D61">
      <w:pPr>
        <w:tabs>
          <w:tab w:val="left" w:pos="8550"/>
        </w:tabs>
        <w:ind w:firstLine="567"/>
        <w:rPr>
          <w:szCs w:val="24"/>
        </w:rPr>
      </w:pPr>
      <w:r w:rsidRPr="001B0EA3">
        <w:rPr>
          <w:szCs w:val="24"/>
        </w:rPr>
        <w:t>Копие на писмото документиращо извършените проверки и направените констатации се предоставя на отдел „Управление на риска“, където определеният от началника на отдела служител по нередностите завежда постъпилата информация в</w:t>
      </w:r>
      <w:r w:rsidRPr="001B0EA3">
        <w:t xml:space="preserve"> </w:t>
      </w:r>
      <w:r w:rsidRPr="001B0EA3">
        <w:rPr>
          <w:szCs w:val="24"/>
        </w:rPr>
        <w:t>модул „Нередности“ на ИСУН 2020</w:t>
      </w:r>
      <w:r w:rsidR="003D0F0D" w:rsidRPr="001B0EA3">
        <w:rPr>
          <w:szCs w:val="24"/>
        </w:rPr>
        <w:t xml:space="preserve"> в срок</w:t>
      </w:r>
      <w:r w:rsidR="00254876" w:rsidRPr="001B0EA3">
        <w:rPr>
          <w:szCs w:val="24"/>
        </w:rPr>
        <w:t xml:space="preserve"> до три работни дни</w:t>
      </w:r>
      <w:r w:rsidRPr="001B0EA3">
        <w:rPr>
          <w:szCs w:val="24"/>
        </w:rPr>
        <w:t xml:space="preserve">. </w:t>
      </w:r>
    </w:p>
    <w:p w14:paraId="799D549A" w14:textId="77777777" w:rsidR="005E6188" w:rsidRPr="001B0EA3" w:rsidRDefault="005E6188" w:rsidP="00046D61">
      <w:pPr>
        <w:ind w:firstLine="567"/>
        <w:rPr>
          <w:szCs w:val="24"/>
        </w:rPr>
      </w:pPr>
      <w:r w:rsidRPr="001B0EA3">
        <w:rPr>
          <w:szCs w:val="24"/>
        </w:rPr>
        <w:t xml:space="preserve">В срок до </w:t>
      </w:r>
      <w:r w:rsidR="00E85DFF" w:rsidRPr="001B0EA3">
        <w:rPr>
          <w:szCs w:val="24"/>
        </w:rPr>
        <w:t xml:space="preserve">14 </w:t>
      </w:r>
      <w:r w:rsidRPr="001B0EA3">
        <w:rPr>
          <w:szCs w:val="24"/>
        </w:rPr>
        <w:t>дни след получаване на отговора на бенефициента по чл. 73, ал. 2 на ЗУСЕСИФ :</w:t>
      </w:r>
    </w:p>
    <w:p w14:paraId="23C3A171" w14:textId="77777777" w:rsidR="005E6188" w:rsidRPr="001B0EA3" w:rsidRDefault="005E6188" w:rsidP="00046D61">
      <w:pPr>
        <w:pStyle w:val="ListParagraph"/>
        <w:numPr>
          <w:ilvl w:val="0"/>
          <w:numId w:val="230"/>
        </w:numPr>
        <w:rPr>
          <w:szCs w:val="24"/>
        </w:rPr>
      </w:pPr>
      <w:r w:rsidRPr="001B0EA3">
        <w:rPr>
          <w:szCs w:val="24"/>
        </w:rPr>
        <w:t>в случай, че в резултат на направената проверка се потвърди наличието на нередност</w:t>
      </w:r>
      <w:r w:rsidR="001D335E" w:rsidRPr="001B0EA3">
        <w:rPr>
          <w:szCs w:val="24"/>
        </w:rPr>
        <w:t>,</w:t>
      </w:r>
      <w:r w:rsidRPr="001B0EA3">
        <w:rPr>
          <w:szCs w:val="24"/>
        </w:rPr>
        <w:t xml:space="preserve"> отделът по чиято инициатива е започнала процедурата за администриране на нередност, съвместно с отдел „Финансово управление“, попълват образец на решение за налагане на финансова корекция съгласно образеца от</w:t>
      </w:r>
      <w:r w:rsidRPr="001B0EA3">
        <w:rPr>
          <w:b/>
          <w:bCs/>
          <w:szCs w:val="24"/>
        </w:rPr>
        <w:t xml:space="preserve"> </w:t>
      </w:r>
      <w:hyperlink r:id="rId256" w:tooltip="Решение за определяне на финансова корекция¦за прекратяване на производството по определяне на финансова корекция" w:history="1">
        <w:r w:rsidR="00AE381A" w:rsidRPr="00251D03">
          <w:rPr>
            <w:rStyle w:val="Hyperlink"/>
            <w:bCs/>
            <w:i/>
            <w:iCs/>
            <w:szCs w:val="24"/>
          </w:rPr>
          <w:t>Приложение № 6.03</w:t>
        </w:r>
      </w:hyperlink>
    </w:p>
    <w:p w14:paraId="23152B84" w14:textId="77777777" w:rsidR="005E6188" w:rsidRPr="001B0EA3" w:rsidRDefault="005E6188" w:rsidP="00046D61">
      <w:pPr>
        <w:pStyle w:val="ListParagraph"/>
        <w:numPr>
          <w:ilvl w:val="0"/>
          <w:numId w:val="230"/>
        </w:numPr>
        <w:rPr>
          <w:szCs w:val="24"/>
        </w:rPr>
      </w:pPr>
      <w:r w:rsidRPr="001B0EA3">
        <w:rPr>
          <w:szCs w:val="24"/>
        </w:rPr>
        <w:t xml:space="preserve">в случай, че в резултат на направената проверка се установи липса на нередност се попълва образеца на решение </w:t>
      </w:r>
      <w:r w:rsidR="004D37A4" w:rsidRPr="001B0EA3">
        <w:rPr>
          <w:szCs w:val="24"/>
        </w:rPr>
        <w:t>по т. 1</w:t>
      </w:r>
    </w:p>
    <w:p w14:paraId="7E333B05" w14:textId="50022522" w:rsidR="003D0F0D" w:rsidRPr="001B0EA3" w:rsidRDefault="003D0F0D" w:rsidP="00046D61">
      <w:pPr>
        <w:ind w:firstLine="709"/>
        <w:rPr>
          <w:szCs w:val="24"/>
        </w:rPr>
      </w:pPr>
      <w:r w:rsidRPr="001B0EA3">
        <w:rPr>
          <w:szCs w:val="24"/>
        </w:rPr>
        <w:t>Началникът на отдела, на който е възложена проверката по сигнала предоставя по електронен път проекта на документ по т. 1 и 2 на отдел „</w:t>
      </w:r>
      <w:r w:rsidR="00DF2F6D">
        <w:rPr>
          <w:szCs w:val="24"/>
        </w:rPr>
        <w:t>Управление на риска</w:t>
      </w:r>
      <w:r w:rsidRPr="001B0EA3">
        <w:rPr>
          <w:szCs w:val="24"/>
        </w:rPr>
        <w:t>“. Определеният/ите от началника на отдела служител/и по нередностите проверява/т документа за съответствие с изискванията на чл. 14, ал. 2 от Наредбата</w:t>
      </w:r>
      <w:r w:rsidR="00BF573A" w:rsidRPr="001B0EA3">
        <w:rPr>
          <w:szCs w:val="24"/>
        </w:rPr>
        <w:t>,</w:t>
      </w:r>
      <w:r w:rsidR="00BF573A" w:rsidRPr="001B0EA3">
        <w:t xml:space="preserve"> </w:t>
      </w:r>
      <w:r w:rsidR="00BF573A" w:rsidRPr="001B0EA3">
        <w:rPr>
          <w:szCs w:val="24"/>
        </w:rPr>
        <w:t xml:space="preserve">като попълват контролен лист </w:t>
      </w:r>
      <w:hyperlink r:id="rId257" w:tooltip="Контролен лист - Проверка за съответствие на Решение на Ръководителя на УО за определяне на финансова корекция по чл. 73 на ЗУСЕСИФ с изискванията на чл. 14 ал. 2 от НАНЕСИФ" w:history="1">
        <w:r w:rsidR="00AE381A" w:rsidRPr="00251D03">
          <w:rPr>
            <w:rStyle w:val="Hyperlink"/>
            <w:bCs/>
            <w:i/>
            <w:iCs/>
            <w:szCs w:val="24"/>
          </w:rPr>
          <w:t>Приложение № 6.04</w:t>
        </w:r>
      </w:hyperlink>
      <w:r w:rsidRPr="001B0EA3">
        <w:rPr>
          <w:szCs w:val="24"/>
        </w:rPr>
        <w:t xml:space="preserve"> и в 2</w:t>
      </w:r>
      <w:r w:rsidR="00BF573A" w:rsidRPr="001B0EA3">
        <w:rPr>
          <w:szCs w:val="24"/>
        </w:rPr>
        <w:t>-</w:t>
      </w:r>
      <w:r w:rsidRPr="001B0EA3">
        <w:rPr>
          <w:szCs w:val="24"/>
        </w:rPr>
        <w:t>дневен срок от получаването му информират по електронна поща началник</w:t>
      </w:r>
      <w:r w:rsidR="00A32316">
        <w:rPr>
          <w:szCs w:val="24"/>
        </w:rPr>
        <w:t>а на отдел „</w:t>
      </w:r>
      <w:r w:rsidR="00AF6250">
        <w:rPr>
          <w:szCs w:val="24"/>
        </w:rPr>
        <w:t xml:space="preserve">Управление на риска“ </w:t>
      </w:r>
      <w:r w:rsidRPr="001B0EA3">
        <w:rPr>
          <w:szCs w:val="24"/>
        </w:rPr>
        <w:t xml:space="preserve"> за резултатите от проверката, който препраща най-късно на следващия ден тази информация на началника на отдела, </w:t>
      </w:r>
      <w:r w:rsidR="00ED66CF" w:rsidRPr="001B0EA3">
        <w:rPr>
          <w:szCs w:val="24"/>
        </w:rPr>
        <w:t>инициирал</w:t>
      </w:r>
      <w:r w:rsidRPr="001B0EA3">
        <w:rPr>
          <w:szCs w:val="24"/>
        </w:rPr>
        <w:t xml:space="preserve"> проверката за нередност. </w:t>
      </w:r>
    </w:p>
    <w:p w14:paraId="0E6C2761" w14:textId="77777777" w:rsidR="006005C6" w:rsidRPr="001B0EA3" w:rsidRDefault="003D0F0D" w:rsidP="00046D61">
      <w:pPr>
        <w:ind w:firstLine="426"/>
        <w:rPr>
          <w:szCs w:val="24"/>
        </w:rPr>
      </w:pPr>
      <w:r w:rsidRPr="001B0EA3">
        <w:rPr>
          <w:szCs w:val="24"/>
        </w:rPr>
        <w:t xml:space="preserve">Окончателният проект на решение се съгласува от експертите участвали в изготвянето и проверката му, техните началници на отдели и директора на дирекция „Координация на програми и проекти“. </w:t>
      </w:r>
    </w:p>
    <w:p w14:paraId="662F71C1" w14:textId="77777777" w:rsidR="006005C6" w:rsidRPr="001B0EA3" w:rsidRDefault="003D0F0D" w:rsidP="00046D61">
      <w:pPr>
        <w:ind w:firstLine="426"/>
        <w:rPr>
          <w:szCs w:val="24"/>
        </w:rPr>
      </w:pPr>
      <w:r w:rsidRPr="001B0EA3">
        <w:rPr>
          <w:szCs w:val="24"/>
        </w:rPr>
        <w:t xml:space="preserve">Максималният срок за издаването на решението на Ръководителя на УО по т. 2 е един месец от получаване на отговора на бенефициента по </w:t>
      </w:r>
      <w:r w:rsidRPr="001B0EA3">
        <w:rPr>
          <w:color w:val="000000"/>
          <w:szCs w:val="24"/>
        </w:rPr>
        <w:t xml:space="preserve">чл. 73, ал. </w:t>
      </w:r>
      <w:r w:rsidRPr="001B0EA3">
        <w:rPr>
          <w:szCs w:val="24"/>
        </w:rPr>
        <w:t xml:space="preserve">2 на ЗУСЕСИФ. </w:t>
      </w:r>
    </w:p>
    <w:p w14:paraId="452BD7D3" w14:textId="77777777" w:rsidR="006E2B09" w:rsidRPr="001B0EA3" w:rsidRDefault="003D0F0D" w:rsidP="00046D61">
      <w:pPr>
        <w:ind w:firstLine="426"/>
        <w:rPr>
          <w:szCs w:val="24"/>
        </w:rPr>
      </w:pPr>
      <w:r w:rsidRPr="001B0EA3">
        <w:rPr>
          <w:szCs w:val="24"/>
        </w:rPr>
        <w:t>Решението се изготвя в три оригинални екземпляра, като единия остава в деловодството, вторият  се съхранява от отдел „Финансово управление“,  а третият се изпраща на бенефициента</w:t>
      </w:r>
      <w:r w:rsidRPr="001B0EA3">
        <w:t xml:space="preserve"> </w:t>
      </w:r>
      <w:r w:rsidRPr="001B0EA3">
        <w:rPr>
          <w:szCs w:val="24"/>
        </w:rPr>
        <w:t xml:space="preserve">в тридневен срок. </w:t>
      </w:r>
      <w:r w:rsidR="00E85DFF" w:rsidRPr="001B0EA3">
        <w:rPr>
          <w:szCs w:val="24"/>
        </w:rPr>
        <w:t>Експертът изготвил документа предоставя копие от подписаното решение за сведение по електронен път на всички началници на отдели на УО в деня на издаването му.</w:t>
      </w:r>
    </w:p>
    <w:p w14:paraId="3E0383E8" w14:textId="77777777" w:rsidR="0002785D" w:rsidRPr="001B0EA3" w:rsidRDefault="0002785D" w:rsidP="0054623A">
      <w:pPr>
        <w:pStyle w:val="ListParagraph"/>
        <w:numPr>
          <w:ilvl w:val="0"/>
          <w:numId w:val="62"/>
        </w:numPr>
        <w:shd w:val="clear" w:color="auto" w:fill="FEFEFE"/>
        <w:jc w:val="left"/>
        <w:rPr>
          <w:b/>
          <w:szCs w:val="24"/>
        </w:rPr>
      </w:pPr>
      <w:r w:rsidRPr="001B0EA3">
        <w:rPr>
          <w:b/>
          <w:szCs w:val="24"/>
        </w:rPr>
        <w:t>Сигналът не съдържа достатъчно данни за извършена нередност</w:t>
      </w:r>
    </w:p>
    <w:p w14:paraId="27E83559" w14:textId="77777777" w:rsidR="0002785D" w:rsidRPr="001B0EA3" w:rsidRDefault="0002785D" w:rsidP="00046D61">
      <w:pPr>
        <w:ind w:firstLine="426"/>
        <w:rPr>
          <w:szCs w:val="24"/>
        </w:rPr>
      </w:pPr>
      <w:r w:rsidRPr="001B0EA3">
        <w:rPr>
          <w:szCs w:val="24"/>
        </w:rPr>
        <w:t xml:space="preserve">Ако в хода на извършената </w:t>
      </w:r>
      <w:r w:rsidR="00ED66CF" w:rsidRPr="001B0EA3">
        <w:rPr>
          <w:szCs w:val="24"/>
        </w:rPr>
        <w:t>проверка</w:t>
      </w:r>
      <w:r w:rsidRPr="001B0EA3">
        <w:rPr>
          <w:szCs w:val="24"/>
        </w:rPr>
        <w:t xml:space="preserve"> не се установят</w:t>
      </w:r>
      <w:r w:rsidRPr="001B0EA3">
        <w:t xml:space="preserve"> </w:t>
      </w:r>
      <w:r w:rsidRPr="001B0EA3">
        <w:rPr>
          <w:szCs w:val="24"/>
        </w:rPr>
        <w:t xml:space="preserve">конкретни факти за извършена нередност, определеният за проверка на сигнала служител от първият по резолюция отдел </w:t>
      </w:r>
      <w:r w:rsidRPr="001B0EA3">
        <w:rPr>
          <w:szCs w:val="24"/>
        </w:rPr>
        <w:lastRenderedPageBreak/>
        <w:t>изготвя проект на решение на Ръководителя на УО (</w:t>
      </w:r>
      <w:hyperlink r:id="rId258" w:history="1">
        <w:r w:rsidRPr="00035D7F">
          <w:rPr>
            <w:rStyle w:val="Hyperlink"/>
            <w:b/>
            <w:bCs/>
            <w:i/>
            <w:iCs/>
            <w:szCs w:val="24"/>
          </w:rPr>
          <w:t>Приложение 6.0</w:t>
        </w:r>
        <w:r w:rsidR="00456A51" w:rsidRPr="00842ECC">
          <w:rPr>
            <w:rStyle w:val="Hyperlink"/>
            <w:b/>
            <w:bCs/>
            <w:i/>
            <w:iCs/>
            <w:szCs w:val="24"/>
          </w:rPr>
          <w:t>8</w:t>
        </w:r>
        <w:r w:rsidRPr="00035D7F">
          <w:rPr>
            <w:rStyle w:val="Hyperlink"/>
            <w:szCs w:val="24"/>
          </w:rPr>
          <w:t>.</w:t>
        </w:r>
      </w:hyperlink>
      <w:r w:rsidRPr="001B0EA3">
        <w:rPr>
          <w:szCs w:val="24"/>
        </w:rPr>
        <w:t>) с което се установява липсата на извършена нередност. Решението се съгласува от всички служители и началници на отдели, натоварени с проверката на сигнала и от директора на дирекцията и се подписва от Ръководителя на УО. Препис от решението се предоставя на засегнатите лица в тридневен срок от издаването му с придружително писмо от Ръководителя на УО, подготвено</w:t>
      </w:r>
      <w:r w:rsidRPr="001B0EA3">
        <w:t xml:space="preserve"> </w:t>
      </w:r>
      <w:r w:rsidRPr="001B0EA3">
        <w:rPr>
          <w:szCs w:val="24"/>
        </w:rPr>
        <w:t>от първият по резолюция отдел.</w:t>
      </w:r>
    </w:p>
    <w:p w14:paraId="1253578C" w14:textId="77777777" w:rsidR="00E85DFF" w:rsidRPr="001B0EA3" w:rsidRDefault="0002785D" w:rsidP="00046D61">
      <w:pPr>
        <w:ind w:firstLine="426"/>
        <w:rPr>
          <w:szCs w:val="24"/>
        </w:rPr>
      </w:pPr>
      <w:r w:rsidRPr="001B0EA3" w:rsidDel="0002785D">
        <w:rPr>
          <w:szCs w:val="24"/>
        </w:rPr>
        <w:t xml:space="preserve"> </w:t>
      </w:r>
    </w:p>
    <w:p w14:paraId="225262E3" w14:textId="77777777" w:rsidR="005B359E" w:rsidRPr="001B0EA3" w:rsidRDefault="00DD07E6" w:rsidP="00046D61">
      <w:pPr>
        <w:ind w:firstLine="426"/>
        <w:rPr>
          <w:b/>
          <w:szCs w:val="24"/>
        </w:rPr>
      </w:pPr>
      <w:r w:rsidRPr="001B0EA3">
        <w:rPr>
          <w:b/>
          <w:szCs w:val="24"/>
        </w:rPr>
        <w:t>г) Комисия за проверка на сигнала и установяване наличието или липсата на нередност</w:t>
      </w:r>
    </w:p>
    <w:p w14:paraId="4DA86DD0" w14:textId="77777777" w:rsidR="00DD07E6" w:rsidRPr="001B0EA3" w:rsidRDefault="00DD07E6" w:rsidP="00046D61">
      <w:pPr>
        <w:tabs>
          <w:tab w:val="left" w:pos="8550"/>
        </w:tabs>
        <w:ind w:firstLine="567"/>
        <w:rPr>
          <w:szCs w:val="24"/>
        </w:rPr>
      </w:pPr>
      <w:r w:rsidRPr="001B0EA3">
        <w:rPr>
          <w:szCs w:val="24"/>
        </w:rPr>
        <w:t xml:space="preserve">Началникът на отдела, определен да извърши проверката на сигналите по т. а) до в) по-горе,  може да предложи обосновано с доклад на Ръководителя на УО да се назначи комисия, която </w:t>
      </w:r>
      <w:r w:rsidR="006B6FCD" w:rsidRPr="001B0EA3">
        <w:rPr>
          <w:szCs w:val="24"/>
        </w:rPr>
        <w:t>да провери</w:t>
      </w:r>
      <w:r w:rsidRPr="001B0EA3">
        <w:rPr>
          <w:szCs w:val="24"/>
        </w:rPr>
        <w:t xml:space="preserve"> сигнала</w:t>
      </w:r>
      <w:r w:rsidR="006B6FCD" w:rsidRPr="001B0EA3">
        <w:rPr>
          <w:szCs w:val="24"/>
        </w:rPr>
        <w:t xml:space="preserve"> и да установи наличието или липсата на нередност</w:t>
      </w:r>
      <w:r w:rsidRPr="001B0EA3">
        <w:rPr>
          <w:szCs w:val="24"/>
        </w:rPr>
        <w:t xml:space="preserve">. Докладът се съгласува от директора на дирекцията и от първоначално определените да извършат проверката на сигнала лица. </w:t>
      </w:r>
    </w:p>
    <w:p w14:paraId="5189AC1D" w14:textId="77777777" w:rsidR="00DD07E6" w:rsidRPr="001B0EA3" w:rsidRDefault="006B6FCD" w:rsidP="00046D61">
      <w:pPr>
        <w:tabs>
          <w:tab w:val="left" w:pos="8550"/>
        </w:tabs>
        <w:ind w:firstLine="567"/>
        <w:rPr>
          <w:szCs w:val="24"/>
        </w:rPr>
      </w:pPr>
      <w:r w:rsidRPr="001B0EA3">
        <w:rPr>
          <w:szCs w:val="24"/>
        </w:rPr>
        <w:t xml:space="preserve">За проверката на сигнала </w:t>
      </w:r>
      <w:r w:rsidR="00DD07E6" w:rsidRPr="001B0EA3">
        <w:rPr>
          <w:szCs w:val="24"/>
        </w:rPr>
        <w:t xml:space="preserve">комисията </w:t>
      </w:r>
      <w:r w:rsidRPr="001B0EA3">
        <w:rPr>
          <w:szCs w:val="24"/>
        </w:rPr>
        <w:t>следва съответната описана по т. а) до в) по-горе процедура, като изпълнява дейностите, вменени като отговорност на определения компетентен отдел/отдели.</w:t>
      </w:r>
    </w:p>
    <w:p w14:paraId="299CAF6D" w14:textId="77777777" w:rsidR="008039D7" w:rsidRDefault="008039D7" w:rsidP="008039D7">
      <w:pPr>
        <w:spacing w:after="160" w:line="259" w:lineRule="auto"/>
        <w:ind w:firstLine="720"/>
        <w:contextualSpacing/>
        <w:rPr>
          <w:b/>
          <w:bCs/>
          <w:szCs w:val="24"/>
          <w:lang w:eastAsia="en-US"/>
        </w:rPr>
      </w:pPr>
      <w:r>
        <w:rPr>
          <w:b/>
          <w:bCs/>
          <w:szCs w:val="24"/>
          <w:highlight w:val="yellow"/>
          <w:lang w:eastAsia="en-US"/>
        </w:rPr>
        <w:t>д</w:t>
      </w:r>
      <w:r w:rsidRPr="00842ECC">
        <w:rPr>
          <w:b/>
          <w:bCs/>
          <w:szCs w:val="24"/>
          <w:highlight w:val="yellow"/>
          <w:lang w:eastAsia="en-US"/>
        </w:rPr>
        <w:t>)</w:t>
      </w:r>
      <w:r>
        <w:rPr>
          <w:b/>
          <w:bCs/>
          <w:szCs w:val="24"/>
          <w:lang w:eastAsia="en-US"/>
        </w:rPr>
        <w:t xml:space="preserve"> Докладване на информация за изнесени в публичното пространство данни за извършени нередности и измами със средства по програмата и последващи действия</w:t>
      </w:r>
    </w:p>
    <w:p w14:paraId="7B02A8BC" w14:textId="77777777" w:rsidR="00F37511" w:rsidRPr="00842ECC" w:rsidRDefault="008039D7" w:rsidP="00504EA4">
      <w:pPr>
        <w:spacing w:after="160" w:line="259" w:lineRule="auto"/>
        <w:ind w:firstLine="720"/>
        <w:contextualSpacing/>
        <w:rPr>
          <w:b/>
          <w:bCs/>
          <w:szCs w:val="24"/>
          <w:highlight w:val="yellow"/>
          <w:lang w:eastAsia="en-US"/>
        </w:rPr>
      </w:pPr>
      <w:r>
        <w:rPr>
          <w:szCs w:val="24"/>
        </w:rPr>
        <w:t>Служители по нередностите следят за</w:t>
      </w:r>
      <w:r w:rsidRPr="008039D7">
        <w:rPr>
          <w:rFonts w:asciiTheme="minorHAnsi" w:eastAsiaTheme="minorHAnsi" w:hAnsiTheme="minorHAnsi" w:cstheme="minorBidi"/>
          <w:bCs/>
          <w:sz w:val="20"/>
          <w:lang w:eastAsia="en-US"/>
        </w:rPr>
        <w:t xml:space="preserve"> </w:t>
      </w:r>
      <w:r w:rsidRPr="0005557B">
        <w:rPr>
          <w:szCs w:val="24"/>
        </w:rPr>
        <w:t>изнесени в публичното пространство данни за извършени нередности и измами с европейски средства</w:t>
      </w:r>
      <w:r>
        <w:rPr>
          <w:szCs w:val="24"/>
        </w:rPr>
        <w:t xml:space="preserve">, като в срок от 3 дни от установяването на такива данни ги предоставят с електронно съобщение до служителите на УО, които по компетентност ги вземат предвид при извършваните от тях дейности. </w:t>
      </w:r>
    </w:p>
    <w:p w14:paraId="301020B8" w14:textId="77777777" w:rsidR="00DD07E6" w:rsidRPr="001B0EA3" w:rsidRDefault="00DD07E6" w:rsidP="00ED6EC3">
      <w:pPr>
        <w:autoSpaceDE w:val="0"/>
        <w:autoSpaceDN w:val="0"/>
        <w:adjustRightInd w:val="0"/>
        <w:ind w:firstLine="420"/>
        <w:rPr>
          <w:b/>
          <w:bCs/>
          <w:szCs w:val="24"/>
          <w:highlight w:val="yellow"/>
          <w:lang w:eastAsia="en-US"/>
        </w:rPr>
      </w:pPr>
    </w:p>
    <w:p w14:paraId="75C40663" w14:textId="77777777" w:rsidR="00EB3086" w:rsidRPr="001B0EA3" w:rsidRDefault="00EB3086" w:rsidP="00D82097">
      <w:pPr>
        <w:pStyle w:val="Style2"/>
        <w:rPr>
          <w:lang w:eastAsia="en-US"/>
        </w:rPr>
      </w:pPr>
      <w:bookmarkStart w:id="1193" w:name="_Toc479775751"/>
      <w:bookmarkStart w:id="1194" w:name="_Toc140150266"/>
      <w:r w:rsidRPr="00056F4A">
        <w:rPr>
          <w:lang w:eastAsia="en-US"/>
        </w:rPr>
        <w:t>Регистриране на нередност</w:t>
      </w:r>
      <w:bookmarkEnd w:id="1193"/>
      <w:bookmarkEnd w:id="1194"/>
    </w:p>
    <w:p w14:paraId="7C35F21B" w14:textId="77777777" w:rsidR="00EB3086" w:rsidRPr="001B0EA3" w:rsidRDefault="00EB3086" w:rsidP="00661847">
      <w:pPr>
        <w:autoSpaceDE w:val="0"/>
        <w:autoSpaceDN w:val="0"/>
        <w:adjustRightInd w:val="0"/>
        <w:rPr>
          <w:bCs/>
          <w:szCs w:val="24"/>
          <w:highlight w:val="yellow"/>
          <w:lang w:eastAsia="en-US"/>
        </w:rPr>
      </w:pPr>
    </w:p>
    <w:p w14:paraId="3C95F69C" w14:textId="6B7B7870" w:rsidR="00EB3086" w:rsidRPr="001B0EA3" w:rsidRDefault="00EB3086" w:rsidP="00472120">
      <w:pPr>
        <w:shd w:val="clear" w:color="auto" w:fill="FEFEFE"/>
        <w:ind w:firstLine="709"/>
        <w:rPr>
          <w:szCs w:val="24"/>
        </w:rPr>
      </w:pPr>
      <w:r w:rsidRPr="001B0EA3">
        <w:rPr>
          <w:szCs w:val="24"/>
        </w:rPr>
        <w:t xml:space="preserve">Информацията за установените по реда на чл. 14 от Наредбата </w:t>
      </w:r>
      <w:r w:rsidR="00D10028" w:rsidRPr="001B0EA3">
        <w:rPr>
          <w:szCs w:val="24"/>
        </w:rPr>
        <w:t xml:space="preserve">за администриране на нередности по Европейските структурни и инвестиционни фондове (Наредбата) </w:t>
      </w:r>
      <w:r w:rsidRPr="001B0EA3">
        <w:rPr>
          <w:szCs w:val="24"/>
        </w:rPr>
        <w:t xml:space="preserve"> се въвежда в срок до три работни дни от датата на издаване на акта по чл. 14, ал. 1 или чл. 14, ал. 3 в електронната система ИСУН 2020. Отговорен за въвеждането на информацията е определеният от началника на отдел „</w:t>
      </w:r>
      <w:r w:rsidR="001567BE">
        <w:rPr>
          <w:szCs w:val="24"/>
        </w:rPr>
        <w:t xml:space="preserve">Управление на риска“ </w:t>
      </w:r>
      <w:r w:rsidR="001567BE" w:rsidRPr="001B0EA3">
        <w:rPr>
          <w:szCs w:val="24"/>
        </w:rPr>
        <w:t xml:space="preserve">служител </w:t>
      </w:r>
      <w:r w:rsidRPr="001B0EA3">
        <w:rPr>
          <w:szCs w:val="24"/>
        </w:rPr>
        <w:t>по нередностите. Регистърът се генерира автоматично чрез справка от електронната система и предоставя информацията за нередностите като съдържание и форма съгласно приложение № 1 към Наредбата</w:t>
      </w:r>
      <w:r w:rsidR="00D10028" w:rsidRPr="001B0EA3">
        <w:rPr>
          <w:szCs w:val="24"/>
        </w:rPr>
        <w:t xml:space="preserve">. </w:t>
      </w:r>
    </w:p>
    <w:p w14:paraId="6022A1CD" w14:textId="77777777" w:rsidR="00EB3086" w:rsidRPr="001B0EA3" w:rsidRDefault="00EB3086" w:rsidP="00C70165">
      <w:pPr>
        <w:shd w:val="clear" w:color="auto" w:fill="FEFEFE"/>
        <w:ind w:firstLine="709"/>
        <w:rPr>
          <w:szCs w:val="24"/>
        </w:rPr>
      </w:pPr>
      <w:r w:rsidRPr="001B0EA3">
        <w:rPr>
          <w:szCs w:val="24"/>
        </w:rPr>
        <w:t>Ръководителят на УО на ОПТТИ следи за своевременното актуализиране и попълване на информацията за нередностите</w:t>
      </w:r>
      <w:r w:rsidR="003D0F0D" w:rsidRPr="001B0EA3">
        <w:rPr>
          <w:szCs w:val="24"/>
        </w:rPr>
        <w:t>, като текущият контрол се осъществява от директора на дирекция „Координация на програми и проекти“</w:t>
      </w:r>
      <w:r w:rsidRPr="001B0EA3">
        <w:rPr>
          <w:szCs w:val="24"/>
        </w:rPr>
        <w:t>.</w:t>
      </w:r>
    </w:p>
    <w:p w14:paraId="2BA61B3A" w14:textId="77777777" w:rsidR="00593B40" w:rsidRPr="001B0EA3" w:rsidRDefault="00593B40" w:rsidP="009E126C">
      <w:pPr>
        <w:shd w:val="clear" w:color="auto" w:fill="FEFEFE"/>
        <w:spacing w:after="75"/>
        <w:ind w:firstLine="709"/>
        <w:rPr>
          <w:szCs w:val="24"/>
        </w:rPr>
      </w:pPr>
      <w:r w:rsidRPr="001B0EA3">
        <w:rPr>
          <w:szCs w:val="24"/>
        </w:rPr>
        <w:t xml:space="preserve">УО на ОПТТИ </w:t>
      </w:r>
      <w:r w:rsidR="00EB3086" w:rsidRPr="001B0EA3">
        <w:rPr>
          <w:szCs w:val="24"/>
        </w:rPr>
        <w:t xml:space="preserve">поддържа досие за всяка установена нередност на електронен </w:t>
      </w:r>
      <w:r w:rsidR="00EF6AA3" w:rsidRPr="001B0EA3">
        <w:rPr>
          <w:szCs w:val="24"/>
        </w:rPr>
        <w:t>носител в ИСУН 2020</w:t>
      </w:r>
      <w:r w:rsidR="005B359E" w:rsidRPr="001B0EA3">
        <w:rPr>
          <w:szCs w:val="24"/>
        </w:rPr>
        <w:t xml:space="preserve"> </w:t>
      </w:r>
      <w:r w:rsidR="00EB3086" w:rsidRPr="001B0EA3">
        <w:rPr>
          <w:szCs w:val="24"/>
        </w:rPr>
        <w:t>или хартиен носител. Когато досието се поддържа на хартиен носител, относимите документи се подреждат в хронологичен ред.</w:t>
      </w:r>
      <w:r w:rsidRPr="001B0EA3">
        <w:rPr>
          <w:szCs w:val="24"/>
        </w:rPr>
        <w:t xml:space="preserve"> </w:t>
      </w:r>
      <w:r w:rsidR="00EF6AA3" w:rsidRPr="001B0EA3">
        <w:rPr>
          <w:szCs w:val="24"/>
        </w:rPr>
        <w:t xml:space="preserve"> </w:t>
      </w:r>
      <w:r w:rsidRPr="001B0EA3">
        <w:rPr>
          <w:szCs w:val="24"/>
        </w:rPr>
        <w:t>Отговорен за поддъ</w:t>
      </w:r>
      <w:r w:rsidR="0058138C" w:rsidRPr="001B0EA3">
        <w:rPr>
          <w:szCs w:val="24"/>
        </w:rPr>
        <w:t>р</w:t>
      </w:r>
      <w:r w:rsidRPr="001B0EA3">
        <w:rPr>
          <w:szCs w:val="24"/>
        </w:rPr>
        <w:t xml:space="preserve">жането на досието е определеният служител по нередностите, първоначално въвел информацията за нередността в регистъра. Останалите служители на УО са длъжни да предоставят </w:t>
      </w:r>
      <w:r w:rsidR="00415539" w:rsidRPr="001B0EA3">
        <w:rPr>
          <w:szCs w:val="24"/>
        </w:rPr>
        <w:t>незабавно след</w:t>
      </w:r>
      <w:r w:rsidRPr="001B0EA3">
        <w:rPr>
          <w:szCs w:val="24"/>
        </w:rPr>
        <w:t xml:space="preserve"> съставян</w:t>
      </w:r>
      <w:r w:rsidR="00661847" w:rsidRPr="001B0EA3">
        <w:rPr>
          <w:szCs w:val="24"/>
        </w:rPr>
        <w:t>е</w:t>
      </w:r>
      <w:r w:rsidRPr="001B0EA3">
        <w:rPr>
          <w:szCs w:val="24"/>
        </w:rPr>
        <w:t xml:space="preserve">то/получаването му копие /достъп в деловодната система на </w:t>
      </w:r>
      <w:r w:rsidR="00BB6BF6">
        <w:rPr>
          <w:szCs w:val="24"/>
        </w:rPr>
        <w:t>МТС</w:t>
      </w:r>
      <w:r w:rsidRPr="001B0EA3">
        <w:rPr>
          <w:szCs w:val="24"/>
        </w:rPr>
        <w:t xml:space="preserve"> до всеки съставен от УО/получен документ във връзка с регистрираната нередност, включително изброените тук по-долу документи. </w:t>
      </w:r>
    </w:p>
    <w:p w14:paraId="1E6F4D2D" w14:textId="77777777" w:rsidR="00EB3086" w:rsidRPr="001B0EA3" w:rsidRDefault="00EB3086" w:rsidP="009E126C">
      <w:pPr>
        <w:shd w:val="clear" w:color="auto" w:fill="FEFEFE"/>
        <w:ind w:firstLine="709"/>
        <w:rPr>
          <w:szCs w:val="24"/>
        </w:rPr>
      </w:pPr>
      <w:r w:rsidRPr="001B0EA3">
        <w:rPr>
          <w:szCs w:val="24"/>
        </w:rPr>
        <w:t>Досието на нередността съдържа цялата относима документация, събрана във връзка със съответната нередност, и задължително включва:</w:t>
      </w:r>
    </w:p>
    <w:p w14:paraId="2EF0674E" w14:textId="77777777" w:rsidR="00EB3086" w:rsidRPr="001B0EA3" w:rsidRDefault="00EB3086" w:rsidP="009E126C">
      <w:pPr>
        <w:shd w:val="clear" w:color="auto" w:fill="FEFEFE"/>
        <w:rPr>
          <w:szCs w:val="24"/>
        </w:rPr>
      </w:pPr>
      <w:r w:rsidRPr="001B0EA3">
        <w:rPr>
          <w:szCs w:val="24"/>
        </w:rPr>
        <w:t>1. преписката по сигнала за нередност съгласно чл. 11</w:t>
      </w:r>
      <w:r w:rsidR="00593B40" w:rsidRPr="001B0EA3">
        <w:rPr>
          <w:szCs w:val="24"/>
        </w:rPr>
        <w:t xml:space="preserve"> от Наредбата</w:t>
      </w:r>
      <w:r w:rsidRPr="001B0EA3">
        <w:rPr>
          <w:szCs w:val="24"/>
        </w:rPr>
        <w:t>;</w:t>
      </w:r>
    </w:p>
    <w:p w14:paraId="57B7D867" w14:textId="77777777" w:rsidR="00EB3086" w:rsidRPr="001B0EA3" w:rsidRDefault="00EB3086" w:rsidP="009E126C">
      <w:pPr>
        <w:shd w:val="clear" w:color="auto" w:fill="FEFEFE"/>
        <w:rPr>
          <w:szCs w:val="24"/>
        </w:rPr>
      </w:pPr>
      <w:r w:rsidRPr="001B0EA3">
        <w:rPr>
          <w:szCs w:val="24"/>
        </w:rPr>
        <w:t>2. документацията по извършената проверка, в т. ч. всички писмени доказателства по случая;</w:t>
      </w:r>
    </w:p>
    <w:p w14:paraId="42F5C2AE" w14:textId="77777777" w:rsidR="00EB3086" w:rsidRPr="001B0EA3" w:rsidRDefault="00EB3086" w:rsidP="009E126C">
      <w:pPr>
        <w:shd w:val="clear" w:color="auto" w:fill="FEFEFE"/>
        <w:rPr>
          <w:szCs w:val="24"/>
        </w:rPr>
      </w:pPr>
      <w:r w:rsidRPr="001B0EA3">
        <w:rPr>
          <w:szCs w:val="24"/>
        </w:rPr>
        <w:lastRenderedPageBreak/>
        <w:t>3. първата писмена оценка за установяване на нередността съгласно </w:t>
      </w:r>
      <w:r w:rsidR="00593B40" w:rsidRPr="001B0EA3">
        <w:rPr>
          <w:szCs w:val="24"/>
        </w:rPr>
        <w:t>чл. 14 на Наредбата</w:t>
      </w:r>
      <w:r w:rsidRPr="001B0EA3">
        <w:rPr>
          <w:szCs w:val="24"/>
        </w:rPr>
        <w:t>;</w:t>
      </w:r>
    </w:p>
    <w:p w14:paraId="693A7030" w14:textId="77777777" w:rsidR="00EB3086" w:rsidRPr="001B0EA3" w:rsidRDefault="00EB3086" w:rsidP="009E126C">
      <w:pPr>
        <w:shd w:val="clear" w:color="auto" w:fill="FEFEFE"/>
        <w:rPr>
          <w:szCs w:val="24"/>
        </w:rPr>
      </w:pPr>
      <w:r w:rsidRPr="001B0EA3">
        <w:rPr>
          <w:szCs w:val="24"/>
        </w:rPr>
        <w:t>4. извадки от одиторски доклади, когато е приложимо;</w:t>
      </w:r>
    </w:p>
    <w:p w14:paraId="01EEDF9F" w14:textId="77777777" w:rsidR="00EB3086" w:rsidRPr="001B0EA3" w:rsidRDefault="00EB3086" w:rsidP="009E126C">
      <w:pPr>
        <w:shd w:val="clear" w:color="auto" w:fill="FEFEFE"/>
        <w:rPr>
          <w:szCs w:val="24"/>
        </w:rPr>
      </w:pPr>
      <w:r w:rsidRPr="001B0EA3">
        <w:rPr>
          <w:szCs w:val="24"/>
        </w:rPr>
        <w:t>5. всякакъв вид кореспонденция, свързана с нередността, включително относимата кореспонденция с бенефициентите;</w:t>
      </w:r>
    </w:p>
    <w:p w14:paraId="440585BE" w14:textId="77777777" w:rsidR="00EB3086" w:rsidRPr="001B0EA3" w:rsidRDefault="00EB3086" w:rsidP="009E126C">
      <w:pPr>
        <w:shd w:val="clear" w:color="auto" w:fill="FEFEFE"/>
        <w:rPr>
          <w:szCs w:val="24"/>
        </w:rPr>
      </w:pPr>
      <w:r w:rsidRPr="001B0EA3">
        <w:rPr>
          <w:szCs w:val="24"/>
        </w:rPr>
        <w:t>6. информация, свързана със съдебни дела и действия на правоохранителните органи, когато е приложимо;</w:t>
      </w:r>
    </w:p>
    <w:p w14:paraId="22E89F99" w14:textId="77777777" w:rsidR="00EB3086" w:rsidRPr="001B0EA3" w:rsidRDefault="00EB3086" w:rsidP="009E126C">
      <w:pPr>
        <w:shd w:val="clear" w:color="auto" w:fill="FEFEFE"/>
        <w:rPr>
          <w:szCs w:val="24"/>
        </w:rPr>
      </w:pPr>
      <w:r w:rsidRPr="001B0EA3">
        <w:rPr>
          <w:szCs w:val="24"/>
        </w:rPr>
        <w:t>7. финансова информация за нередността, включително за възстановяването на дължимите суми;</w:t>
      </w:r>
    </w:p>
    <w:p w14:paraId="513F6555" w14:textId="77777777" w:rsidR="00EB3086" w:rsidRPr="001B0EA3" w:rsidRDefault="00EB3086" w:rsidP="009E126C">
      <w:pPr>
        <w:shd w:val="clear" w:color="auto" w:fill="FEFEFE"/>
        <w:rPr>
          <w:szCs w:val="24"/>
        </w:rPr>
      </w:pPr>
      <w:r w:rsidRPr="001B0EA3">
        <w:rPr>
          <w:szCs w:val="24"/>
        </w:rPr>
        <w:t>8. друга относима информация.</w:t>
      </w:r>
    </w:p>
    <w:p w14:paraId="081F42ED" w14:textId="77777777" w:rsidR="00EB3086" w:rsidRPr="001B0EA3" w:rsidRDefault="00EB3086" w:rsidP="00BB210E">
      <w:pPr>
        <w:shd w:val="clear" w:color="auto" w:fill="FEFEFE"/>
        <w:ind w:firstLine="567"/>
        <w:rPr>
          <w:szCs w:val="24"/>
        </w:rPr>
      </w:pPr>
      <w:r w:rsidRPr="001B0EA3">
        <w:rPr>
          <w:szCs w:val="24"/>
        </w:rPr>
        <w:t>Досието по нередността носи националния идентификационен номер, под който е регистрирана съответната нередност.</w:t>
      </w:r>
    </w:p>
    <w:p w14:paraId="325737CB" w14:textId="77777777" w:rsidR="00EB3086" w:rsidRPr="001B0EA3" w:rsidRDefault="00EB3086" w:rsidP="00BB210E">
      <w:pPr>
        <w:shd w:val="clear" w:color="auto" w:fill="FEFEFE"/>
        <w:ind w:firstLine="567"/>
        <w:rPr>
          <w:szCs w:val="24"/>
        </w:rPr>
      </w:pPr>
      <w:r w:rsidRPr="001B0EA3">
        <w:rPr>
          <w:szCs w:val="24"/>
        </w:rPr>
        <w:t xml:space="preserve">За всяка нова нередност по </w:t>
      </w:r>
      <w:r w:rsidR="00593B40" w:rsidRPr="001B0EA3">
        <w:rPr>
          <w:szCs w:val="24"/>
        </w:rPr>
        <w:t xml:space="preserve">ОПТТИ </w:t>
      </w:r>
      <w:r w:rsidRPr="001B0EA3">
        <w:rPr>
          <w:szCs w:val="24"/>
        </w:rPr>
        <w:t>ИСУН 2020 генерира пореден национален идентификационен номер. Националният идентификационен номер се съставя по правилата, разписани в § 3, т. 1 от допълнителните разпоредби</w:t>
      </w:r>
      <w:r w:rsidR="00593B40" w:rsidRPr="001B0EA3">
        <w:rPr>
          <w:szCs w:val="24"/>
        </w:rPr>
        <w:t xml:space="preserve"> на Наредбата</w:t>
      </w:r>
      <w:r w:rsidRPr="001B0EA3">
        <w:rPr>
          <w:szCs w:val="24"/>
        </w:rPr>
        <w:t>.</w:t>
      </w:r>
    </w:p>
    <w:p w14:paraId="57043B57" w14:textId="1C6FE81F" w:rsidR="00BB210E" w:rsidRPr="001B0EA3" w:rsidRDefault="00BB210E" w:rsidP="00BB210E">
      <w:pPr>
        <w:shd w:val="clear" w:color="auto" w:fill="FEFEFE"/>
        <w:tabs>
          <w:tab w:val="left" w:pos="993"/>
        </w:tabs>
        <w:ind w:firstLine="567"/>
        <w:rPr>
          <w:szCs w:val="24"/>
        </w:rPr>
      </w:pPr>
      <w:r w:rsidRPr="001B0EA3">
        <w:rPr>
          <w:szCs w:val="24"/>
        </w:rPr>
        <w:t>В 10-дневен срок след приключването на договор с изпълнител и извършване на окончателното плащане по същия, отдел „Финансово управление“ изпраща на отдел „</w:t>
      </w:r>
      <w:r w:rsidR="005672D6">
        <w:rPr>
          <w:szCs w:val="24"/>
        </w:rPr>
        <w:t xml:space="preserve">Управление на риска“ </w:t>
      </w:r>
      <w:r w:rsidR="005672D6" w:rsidRPr="001B0EA3">
        <w:rPr>
          <w:szCs w:val="24"/>
        </w:rPr>
        <w:t xml:space="preserve">актуална </w:t>
      </w:r>
      <w:r w:rsidRPr="001B0EA3">
        <w:rPr>
          <w:szCs w:val="24"/>
        </w:rPr>
        <w:t xml:space="preserve">информация относно размера на определените, както и на извършените финансови корекции (възстановените/прихванатите средства), във връзка с регистрираните нередности. </w:t>
      </w:r>
    </w:p>
    <w:p w14:paraId="58655537" w14:textId="117C985D" w:rsidR="00BB210E" w:rsidRPr="001B0EA3" w:rsidRDefault="004A4557" w:rsidP="00BB210E">
      <w:pPr>
        <w:shd w:val="clear" w:color="auto" w:fill="FEFEFE"/>
        <w:tabs>
          <w:tab w:val="left" w:pos="993"/>
        </w:tabs>
        <w:ind w:firstLine="709"/>
        <w:rPr>
          <w:szCs w:val="24"/>
        </w:rPr>
      </w:pPr>
      <w:r w:rsidRPr="001B0EA3">
        <w:rPr>
          <w:szCs w:val="24"/>
        </w:rPr>
        <w:t>В 5-дневен срок  след получаване на уведомление от СО относно размера на сертифицираните разходи, експерт от</w:t>
      </w:r>
      <w:r w:rsidR="00173B63">
        <w:rPr>
          <w:szCs w:val="24"/>
        </w:rPr>
        <w:t xml:space="preserve"> отдел ФУ изпраща на отдел </w:t>
      </w:r>
      <w:r w:rsidR="005672D6">
        <w:rPr>
          <w:szCs w:val="24"/>
        </w:rPr>
        <w:t>УР</w:t>
      </w:r>
      <w:r w:rsidRPr="001B0EA3">
        <w:rPr>
          <w:szCs w:val="24"/>
        </w:rPr>
        <w:t xml:space="preserve"> по електронната поща информация за десертифицираните разходи във връзка с наложени финансови корекции по договори, включени в ДСДДР</w:t>
      </w:r>
      <w:r w:rsidR="00BB210E" w:rsidRPr="001B0EA3">
        <w:rPr>
          <w:szCs w:val="24"/>
        </w:rPr>
        <w:t xml:space="preserve">. </w:t>
      </w:r>
    </w:p>
    <w:p w14:paraId="42830C4D" w14:textId="77777777" w:rsidR="00CC5A56" w:rsidRPr="001B0EA3" w:rsidRDefault="00CC5A56" w:rsidP="004E674A">
      <w:pPr>
        <w:shd w:val="clear" w:color="auto" w:fill="FEFEFE"/>
        <w:ind w:firstLine="709"/>
        <w:jc w:val="left"/>
        <w:rPr>
          <w:rFonts w:ascii="Verdana" w:hAnsi="Verdana"/>
          <w:color w:val="000000"/>
          <w:sz w:val="18"/>
          <w:szCs w:val="18"/>
          <w:lang w:eastAsia="en-US"/>
        </w:rPr>
      </w:pPr>
    </w:p>
    <w:p w14:paraId="387BC056" w14:textId="77777777" w:rsidR="00EB3086" w:rsidRPr="001B0EA3" w:rsidRDefault="00593B40" w:rsidP="00D82097">
      <w:pPr>
        <w:pStyle w:val="Style2"/>
        <w:rPr>
          <w:lang w:eastAsia="en-US"/>
        </w:rPr>
      </w:pPr>
      <w:bookmarkStart w:id="1195" w:name="_Toc479775752"/>
      <w:bookmarkStart w:id="1196" w:name="_Toc140150267"/>
      <w:r w:rsidRPr="00056F4A">
        <w:rPr>
          <w:lang w:eastAsia="en-US"/>
        </w:rPr>
        <w:t>Докладване на нередност</w:t>
      </w:r>
      <w:bookmarkEnd w:id="1195"/>
      <w:bookmarkEnd w:id="1196"/>
      <w:r w:rsidRPr="00056F4A">
        <w:rPr>
          <w:lang w:eastAsia="en-US"/>
        </w:rPr>
        <w:t xml:space="preserve"> </w:t>
      </w:r>
    </w:p>
    <w:p w14:paraId="7E8E7F53" w14:textId="77777777" w:rsidR="00434DA9" w:rsidRPr="001B0EA3" w:rsidRDefault="00434DA9">
      <w:pPr>
        <w:shd w:val="clear" w:color="auto" w:fill="FEFEFE"/>
        <w:jc w:val="left"/>
        <w:rPr>
          <w:b/>
          <w:color w:val="000000"/>
          <w:szCs w:val="24"/>
          <w:highlight w:val="yellow"/>
          <w:lang w:eastAsia="en-US"/>
        </w:rPr>
      </w:pPr>
    </w:p>
    <w:p w14:paraId="3BB79C6C" w14:textId="77777777" w:rsidR="00434DA9" w:rsidRPr="00842ECC" w:rsidRDefault="00434DA9" w:rsidP="00656CB4">
      <w:pPr>
        <w:pStyle w:val="Style3"/>
        <w:rPr>
          <w:snapToGrid w:val="0"/>
          <w:lang w:val="bg-BG"/>
        </w:rPr>
      </w:pPr>
      <w:bookmarkStart w:id="1197" w:name="_Toc479775753"/>
      <w:r w:rsidRPr="00842ECC">
        <w:rPr>
          <w:snapToGrid w:val="0"/>
          <w:lang w:val="bg-BG"/>
        </w:rPr>
        <w:t>Тримесечно докладване на нередности от страна на Управляващия орган</w:t>
      </w:r>
      <w:bookmarkEnd w:id="1197"/>
    </w:p>
    <w:p w14:paraId="0DF8AC16" w14:textId="77777777" w:rsidR="00237611" w:rsidRPr="001B0EA3" w:rsidRDefault="00593B40" w:rsidP="00C70165">
      <w:pPr>
        <w:shd w:val="clear" w:color="auto" w:fill="FEFEFE"/>
        <w:rPr>
          <w:szCs w:val="24"/>
        </w:rPr>
      </w:pPr>
      <w:r w:rsidRPr="001B0EA3">
        <w:rPr>
          <w:szCs w:val="24"/>
        </w:rPr>
        <w:tab/>
        <w:t xml:space="preserve">Докладването на нередности се извършва в съответствие с </w:t>
      </w:r>
      <w:r w:rsidR="00237611" w:rsidRPr="001B0EA3">
        <w:rPr>
          <w:szCs w:val="24"/>
        </w:rPr>
        <w:t>Наредба</w:t>
      </w:r>
      <w:r w:rsidR="00EF6AA3" w:rsidRPr="001B0EA3">
        <w:rPr>
          <w:szCs w:val="24"/>
        </w:rPr>
        <w:t>та</w:t>
      </w:r>
      <w:r w:rsidR="00237611" w:rsidRPr="001B0EA3">
        <w:rPr>
          <w:szCs w:val="24"/>
        </w:rPr>
        <w:t xml:space="preserve">  и </w:t>
      </w:r>
      <w:r w:rsidRPr="001B0EA3">
        <w:rPr>
          <w:szCs w:val="24"/>
        </w:rPr>
        <w:t>настоящите вътрешни правила</w:t>
      </w:r>
      <w:r w:rsidR="0007119C" w:rsidRPr="001B0EA3">
        <w:rPr>
          <w:szCs w:val="24"/>
        </w:rPr>
        <w:t>.</w:t>
      </w:r>
    </w:p>
    <w:p w14:paraId="17EE7B19" w14:textId="77777777" w:rsidR="00EB3086" w:rsidRPr="001B0EA3" w:rsidRDefault="00593B40" w:rsidP="006005C6">
      <w:pPr>
        <w:pStyle w:val="ListParagraph"/>
        <w:shd w:val="clear" w:color="auto" w:fill="FEFEFE"/>
        <w:ind w:left="0" w:firstLine="709"/>
        <w:rPr>
          <w:szCs w:val="24"/>
        </w:rPr>
      </w:pPr>
      <w:r w:rsidRPr="001B0EA3">
        <w:rPr>
          <w:szCs w:val="24"/>
        </w:rPr>
        <w:t xml:space="preserve">Ръководителят на УО на ОПТТИ класифицира </w:t>
      </w:r>
      <w:r w:rsidR="00EB3086" w:rsidRPr="001B0EA3">
        <w:rPr>
          <w:szCs w:val="24"/>
        </w:rPr>
        <w:t>нередностите според механизма на докладването по следните признаци:</w:t>
      </w:r>
    </w:p>
    <w:p w14:paraId="32F51CEA" w14:textId="77777777" w:rsidR="00EB3086" w:rsidRPr="001B0EA3" w:rsidRDefault="00EB3086" w:rsidP="00C70165">
      <w:pPr>
        <w:shd w:val="clear" w:color="auto" w:fill="FEFEFE"/>
        <w:rPr>
          <w:szCs w:val="24"/>
        </w:rPr>
      </w:pPr>
      <w:r w:rsidRPr="001B0EA3">
        <w:rPr>
          <w:szCs w:val="24"/>
        </w:rPr>
        <w:t>1. нередности, попадащи под прага за докладване до ОЛАФ, представляващ 10 000 евро финансово изражение на нередността принос от фондовете;</w:t>
      </w:r>
    </w:p>
    <w:p w14:paraId="006304A5" w14:textId="77777777" w:rsidR="00EB3086" w:rsidRPr="001B0EA3" w:rsidRDefault="00EB3086" w:rsidP="00C70165">
      <w:pPr>
        <w:shd w:val="clear" w:color="auto" w:fill="FEFEFE"/>
        <w:rPr>
          <w:szCs w:val="24"/>
        </w:rPr>
      </w:pPr>
      <w:r w:rsidRPr="001B0EA3">
        <w:rPr>
          <w:szCs w:val="24"/>
        </w:rPr>
        <w:t>2. нередности, попадащи в изключенията за докладване до ОЛАФ, съгласно приложимото законодателство на ЕС;</w:t>
      </w:r>
    </w:p>
    <w:p w14:paraId="71B5D3ED" w14:textId="77777777" w:rsidR="00EB3086" w:rsidRPr="001B0EA3" w:rsidRDefault="00EB3086" w:rsidP="00C70165">
      <w:pPr>
        <w:shd w:val="clear" w:color="auto" w:fill="FEFEFE"/>
        <w:rPr>
          <w:szCs w:val="24"/>
        </w:rPr>
      </w:pPr>
      <w:r w:rsidRPr="001B0EA3">
        <w:rPr>
          <w:szCs w:val="24"/>
        </w:rPr>
        <w:t>3. нередности, подлежащи на докладване до ОЛАФ.</w:t>
      </w:r>
    </w:p>
    <w:p w14:paraId="67902ED2" w14:textId="77777777" w:rsidR="00681390" w:rsidRPr="001B0EA3" w:rsidRDefault="00681390" w:rsidP="00681390">
      <w:pPr>
        <w:shd w:val="clear" w:color="auto" w:fill="FEFEFE"/>
        <w:ind w:firstLine="709"/>
        <w:rPr>
          <w:szCs w:val="24"/>
        </w:rPr>
      </w:pPr>
      <w:r w:rsidRPr="001B0EA3">
        <w:rPr>
          <w:szCs w:val="24"/>
        </w:rPr>
        <w:t>На докладване до ОЛАФ не подлежат следните случаи:</w:t>
      </w:r>
    </w:p>
    <w:p w14:paraId="216122F4" w14:textId="77777777" w:rsidR="00681390" w:rsidRPr="001B0EA3" w:rsidRDefault="00681390" w:rsidP="00681390">
      <w:pPr>
        <w:shd w:val="clear" w:color="auto" w:fill="FEFEFE"/>
        <w:rPr>
          <w:szCs w:val="24"/>
        </w:rPr>
      </w:pPr>
      <w:r w:rsidRPr="001B0EA3">
        <w:rPr>
          <w:szCs w:val="24"/>
        </w:rPr>
        <w:t>а) случаите, при които нередността се състои единствено в цялостно или частично неизпълнение на операция, която е част от съфинансираната оперативна програма, поради несъстоятелност на бенефициента;</w:t>
      </w:r>
    </w:p>
    <w:p w14:paraId="2686BD5D" w14:textId="77777777" w:rsidR="00681390" w:rsidRPr="001B0EA3" w:rsidRDefault="00681390" w:rsidP="00681390">
      <w:pPr>
        <w:shd w:val="clear" w:color="auto" w:fill="FEFEFE"/>
        <w:rPr>
          <w:szCs w:val="24"/>
        </w:rPr>
      </w:pPr>
      <w:r w:rsidRPr="001B0EA3">
        <w:rPr>
          <w:szCs w:val="24"/>
        </w:rPr>
        <w:t>б) случаи, докладвани доброволно от бенефициента на управляващия или сертифициращия орган, преди един от тези органи да е разкрил нередността, било преди или след изплащане на публичния разход;</w:t>
      </w:r>
    </w:p>
    <w:p w14:paraId="1A1B60A5" w14:textId="77777777" w:rsidR="00681390" w:rsidRPr="001B0EA3" w:rsidRDefault="00681390" w:rsidP="00681390">
      <w:pPr>
        <w:shd w:val="clear" w:color="auto" w:fill="FEFEFE"/>
        <w:rPr>
          <w:szCs w:val="24"/>
        </w:rPr>
      </w:pPr>
      <w:r w:rsidRPr="001B0EA3">
        <w:rPr>
          <w:szCs w:val="24"/>
        </w:rPr>
        <w:t>в) случаи, които са разкрити и коригирани от управляващия орган или сертифициращия орган преди включването на въпросния разход в отчет за разходите, представен на Комисията.</w:t>
      </w:r>
    </w:p>
    <w:p w14:paraId="275754D6" w14:textId="77777777" w:rsidR="00681390" w:rsidRPr="001B0EA3" w:rsidRDefault="00681390" w:rsidP="0007119C">
      <w:pPr>
        <w:shd w:val="clear" w:color="auto" w:fill="FEFEFE"/>
        <w:ind w:firstLine="709"/>
        <w:rPr>
          <w:szCs w:val="24"/>
        </w:rPr>
      </w:pPr>
      <w:r w:rsidRPr="001B0EA3">
        <w:rPr>
          <w:szCs w:val="24"/>
        </w:rPr>
        <w:t>Във всички останали случаи и по-специално тези, предшестващи несъстоятелност, както при съмнение за измама, установени нередности и свързаните с тях мерки за предотвратяване и коригиране се докладват на Комисията.</w:t>
      </w:r>
    </w:p>
    <w:p w14:paraId="5C5E66BD" w14:textId="77777777" w:rsidR="00C70165" w:rsidRPr="001B0EA3" w:rsidRDefault="00C70165" w:rsidP="00312D2A">
      <w:pPr>
        <w:shd w:val="clear" w:color="auto" w:fill="FEFEFE"/>
        <w:rPr>
          <w:szCs w:val="24"/>
        </w:rPr>
      </w:pPr>
    </w:p>
    <w:p w14:paraId="2C984810" w14:textId="77777777" w:rsidR="00EB3086" w:rsidRPr="001B0EA3" w:rsidRDefault="00AE0732" w:rsidP="006005C6">
      <w:pPr>
        <w:pStyle w:val="ListParagraph"/>
        <w:shd w:val="clear" w:color="auto" w:fill="FEFEFE"/>
        <w:tabs>
          <w:tab w:val="left" w:pos="0"/>
        </w:tabs>
        <w:ind w:left="0"/>
        <w:rPr>
          <w:szCs w:val="24"/>
        </w:rPr>
      </w:pPr>
      <w:r w:rsidRPr="001B0EA3">
        <w:rPr>
          <w:szCs w:val="24"/>
        </w:rPr>
        <w:tab/>
      </w:r>
      <w:r w:rsidR="00CC5A56" w:rsidRPr="001B0EA3">
        <w:rPr>
          <w:szCs w:val="24"/>
        </w:rPr>
        <w:t>Нередностите по т. 1 до т. 3</w:t>
      </w:r>
      <w:r w:rsidR="00EB3086" w:rsidRPr="001B0EA3">
        <w:rPr>
          <w:szCs w:val="24"/>
        </w:rPr>
        <w:t xml:space="preserve"> се докладват до дирекция "АФКОС" на тримесечна база в следните срокове:</w:t>
      </w:r>
    </w:p>
    <w:p w14:paraId="69115AC3" w14:textId="77777777" w:rsidR="00EB3086" w:rsidRPr="001B0EA3" w:rsidRDefault="00EB3086" w:rsidP="00312D2A">
      <w:pPr>
        <w:shd w:val="clear" w:color="auto" w:fill="FEFEFE"/>
        <w:rPr>
          <w:szCs w:val="24"/>
        </w:rPr>
      </w:pPr>
      <w:r w:rsidRPr="001B0EA3">
        <w:rPr>
          <w:szCs w:val="24"/>
        </w:rPr>
        <w:t>1. за първото тримесечие на текущата година - 30 април на текущата година;</w:t>
      </w:r>
    </w:p>
    <w:p w14:paraId="59D3D995" w14:textId="77777777" w:rsidR="00EB3086" w:rsidRPr="001B0EA3" w:rsidRDefault="00EB3086" w:rsidP="00312D2A">
      <w:pPr>
        <w:shd w:val="clear" w:color="auto" w:fill="FEFEFE"/>
        <w:rPr>
          <w:szCs w:val="24"/>
        </w:rPr>
      </w:pPr>
      <w:r w:rsidRPr="001B0EA3">
        <w:rPr>
          <w:szCs w:val="24"/>
        </w:rPr>
        <w:t>2. за второто тримесечие на текущата година - 31 юли на текущата година;</w:t>
      </w:r>
    </w:p>
    <w:p w14:paraId="2F4F14CD" w14:textId="77777777" w:rsidR="00EB3086" w:rsidRPr="001B0EA3" w:rsidRDefault="00EB3086" w:rsidP="00312D2A">
      <w:pPr>
        <w:shd w:val="clear" w:color="auto" w:fill="FEFEFE"/>
        <w:rPr>
          <w:szCs w:val="24"/>
        </w:rPr>
      </w:pPr>
      <w:r w:rsidRPr="001B0EA3">
        <w:rPr>
          <w:szCs w:val="24"/>
        </w:rPr>
        <w:t>3. за третото тримесечие на текущата година - 31 октомври на текущата година;</w:t>
      </w:r>
    </w:p>
    <w:p w14:paraId="07DDD6FD" w14:textId="77777777" w:rsidR="00EB3086" w:rsidRPr="001B0EA3" w:rsidRDefault="00EB3086" w:rsidP="00312D2A">
      <w:pPr>
        <w:shd w:val="clear" w:color="auto" w:fill="FEFEFE"/>
        <w:rPr>
          <w:szCs w:val="24"/>
        </w:rPr>
      </w:pPr>
      <w:r w:rsidRPr="001B0EA3">
        <w:rPr>
          <w:szCs w:val="24"/>
        </w:rPr>
        <w:t>4. за четвъртото тримесечие на текущата година - 31 януари на следващата година.</w:t>
      </w:r>
    </w:p>
    <w:p w14:paraId="648D6B92" w14:textId="77777777" w:rsidR="00EB3086" w:rsidRPr="001B0EA3" w:rsidRDefault="00EB3086" w:rsidP="00312D2A">
      <w:pPr>
        <w:shd w:val="clear" w:color="auto" w:fill="FEFEFE"/>
        <w:ind w:firstLine="709"/>
        <w:rPr>
          <w:szCs w:val="24"/>
        </w:rPr>
      </w:pPr>
      <w:r w:rsidRPr="001B0EA3">
        <w:rPr>
          <w:szCs w:val="24"/>
        </w:rPr>
        <w:t>Нередностите по т. 3 се докладват незабавно на дирекция "АФКОС", когато има основание да се счита, че те могат да имат отражение извън територията на страната.</w:t>
      </w:r>
    </w:p>
    <w:p w14:paraId="20649AB4" w14:textId="77777777" w:rsidR="00EB3086" w:rsidRPr="001B0EA3" w:rsidRDefault="00CC5A56" w:rsidP="00352CE6">
      <w:pPr>
        <w:shd w:val="clear" w:color="auto" w:fill="FEFEFE"/>
        <w:ind w:firstLine="709"/>
        <w:rPr>
          <w:szCs w:val="24"/>
        </w:rPr>
      </w:pPr>
      <w:r w:rsidRPr="001B0EA3">
        <w:rPr>
          <w:szCs w:val="24"/>
        </w:rPr>
        <w:t>Ръководителят на УО на ОПТТИ докладва</w:t>
      </w:r>
      <w:r w:rsidR="00EB3086" w:rsidRPr="001B0EA3">
        <w:rPr>
          <w:szCs w:val="24"/>
        </w:rPr>
        <w:t xml:space="preserve"> до дирекция "АФКОС" в сроковете по</w:t>
      </w:r>
      <w:r w:rsidR="00352CE6" w:rsidRPr="001B0EA3">
        <w:rPr>
          <w:szCs w:val="24"/>
        </w:rPr>
        <w:t>сочени по-горе</w:t>
      </w:r>
      <w:r w:rsidR="00EB3086" w:rsidRPr="001B0EA3">
        <w:rPr>
          <w:szCs w:val="24"/>
        </w:rPr>
        <w:t>  всички нови нередности, последващите действия и съществените промени по вече докладвани в предходни периоди нередности по чл. 19, ал. 1</w:t>
      </w:r>
      <w:r w:rsidR="00352CE6" w:rsidRPr="001B0EA3">
        <w:rPr>
          <w:szCs w:val="24"/>
        </w:rPr>
        <w:t xml:space="preserve"> от Наредбата</w:t>
      </w:r>
      <w:r w:rsidR="00EB3086" w:rsidRPr="001B0EA3">
        <w:rPr>
          <w:szCs w:val="24"/>
        </w:rPr>
        <w:t>.</w:t>
      </w:r>
      <w:r w:rsidRPr="001B0EA3">
        <w:rPr>
          <w:szCs w:val="24"/>
        </w:rPr>
        <w:t xml:space="preserve"> Тези нередности се докладват до дирекция </w:t>
      </w:r>
      <w:r w:rsidR="00EB3086" w:rsidRPr="001B0EA3">
        <w:rPr>
          <w:szCs w:val="24"/>
        </w:rPr>
        <w:t>"АФКОС" и до ръководителя на сертифициращия орган в Министерството на финансите</w:t>
      </w:r>
      <w:r w:rsidRPr="001B0EA3">
        <w:rPr>
          <w:szCs w:val="24"/>
        </w:rPr>
        <w:t xml:space="preserve">. </w:t>
      </w:r>
      <w:r w:rsidR="00EB3086" w:rsidRPr="001B0EA3">
        <w:rPr>
          <w:szCs w:val="24"/>
        </w:rPr>
        <w:t>Всички нови нередности, последващите действия и промените по вече докладвани нередности по чл. 19, ал. 1, т. 3 </w:t>
      </w:r>
      <w:r w:rsidRPr="001B0EA3">
        <w:rPr>
          <w:szCs w:val="24"/>
        </w:rPr>
        <w:t xml:space="preserve">на Наредбата </w:t>
      </w:r>
      <w:r w:rsidR="00EB3086" w:rsidRPr="001B0EA3">
        <w:rPr>
          <w:szCs w:val="24"/>
        </w:rPr>
        <w:t>се докладват по електронен път до дирекция "АФКОС" и чрез предоставения от ОЛАФ достъп до електронната система за управление на нередности (IMS) в сроковете по чл. 19, ал. 2 </w:t>
      </w:r>
      <w:r w:rsidRPr="001B0EA3">
        <w:rPr>
          <w:szCs w:val="24"/>
        </w:rPr>
        <w:t xml:space="preserve">от Наредбата </w:t>
      </w:r>
      <w:r w:rsidR="00EB3086" w:rsidRPr="001B0EA3">
        <w:rPr>
          <w:szCs w:val="24"/>
        </w:rPr>
        <w:t>съгласно приложимото законодателство на ЕС.</w:t>
      </w:r>
      <w:r w:rsidRPr="001B0EA3">
        <w:rPr>
          <w:szCs w:val="24"/>
        </w:rPr>
        <w:t xml:space="preserve"> </w:t>
      </w:r>
      <w:r w:rsidR="00EB3086" w:rsidRPr="001B0EA3">
        <w:rPr>
          <w:szCs w:val="24"/>
        </w:rPr>
        <w:t xml:space="preserve">Когато за съответния период няма установени нередности и/или регистрираните в предходни периоди нередности са приключени, </w:t>
      </w:r>
      <w:r w:rsidRPr="001B0EA3">
        <w:rPr>
          <w:szCs w:val="24"/>
        </w:rPr>
        <w:t>ръководителят на УО</w:t>
      </w:r>
      <w:r w:rsidR="00EB3086" w:rsidRPr="001B0EA3">
        <w:rPr>
          <w:szCs w:val="24"/>
        </w:rPr>
        <w:t> декларира тези обстоятелства пред дирекция "АФКОС".</w:t>
      </w:r>
      <w:r w:rsidRPr="001B0EA3">
        <w:rPr>
          <w:szCs w:val="24"/>
        </w:rPr>
        <w:t xml:space="preserve"> </w:t>
      </w:r>
      <w:r w:rsidR="00EB3086" w:rsidRPr="001B0EA3">
        <w:rPr>
          <w:szCs w:val="24"/>
        </w:rPr>
        <w:t xml:space="preserve">Когато за съответния период няма настъпила съществена промяна по вече докладвани нередности, </w:t>
      </w:r>
      <w:r w:rsidRPr="001B0EA3">
        <w:rPr>
          <w:szCs w:val="24"/>
        </w:rPr>
        <w:t>ръководителят на УО</w:t>
      </w:r>
      <w:r w:rsidR="00EB3086" w:rsidRPr="001B0EA3">
        <w:rPr>
          <w:szCs w:val="24"/>
        </w:rPr>
        <w:t> декларира това обстоятелство пред дирекция "АФКОС".</w:t>
      </w:r>
      <w:r w:rsidRPr="001B0EA3">
        <w:rPr>
          <w:szCs w:val="24"/>
        </w:rPr>
        <w:t xml:space="preserve"> Информацията се генерира чрез справка от ИСУН 2020. </w:t>
      </w:r>
    </w:p>
    <w:p w14:paraId="4E8FBCFD" w14:textId="77777777" w:rsidR="00237611" w:rsidRPr="001B0EA3" w:rsidRDefault="00EB3086" w:rsidP="004C7066">
      <w:pPr>
        <w:shd w:val="clear" w:color="auto" w:fill="FEFEFE"/>
        <w:ind w:firstLine="709"/>
        <w:rPr>
          <w:szCs w:val="24"/>
        </w:rPr>
      </w:pPr>
      <w:r w:rsidRPr="001B0EA3">
        <w:rPr>
          <w:szCs w:val="24"/>
        </w:rPr>
        <w:t>Дирекция "АФКОС" проверява получените уведомления за нередности по чл. 20, ал. 3</w:t>
      </w:r>
      <w:r w:rsidR="00237611" w:rsidRPr="001B0EA3">
        <w:rPr>
          <w:szCs w:val="24"/>
        </w:rPr>
        <w:t xml:space="preserve"> </w:t>
      </w:r>
      <w:r w:rsidR="0058138C" w:rsidRPr="001B0EA3">
        <w:rPr>
          <w:szCs w:val="24"/>
        </w:rPr>
        <w:t xml:space="preserve">от Наредбата </w:t>
      </w:r>
      <w:r w:rsidRPr="001B0EA3">
        <w:rPr>
          <w:szCs w:val="24"/>
        </w:rPr>
        <w:t>за съответствие с изискванията на ОЛАФ относно попълването на уведомленията и при необходимост ги връща за коригиране. В срок до 3 работни дни уведомленията с отразените корекции се изпращат отново на дирекция "АФКОС".</w:t>
      </w:r>
      <w:r w:rsidR="00CC5A56" w:rsidRPr="001B0EA3">
        <w:rPr>
          <w:szCs w:val="24"/>
        </w:rPr>
        <w:t xml:space="preserve"> </w:t>
      </w:r>
    </w:p>
    <w:p w14:paraId="7B520854" w14:textId="77777777" w:rsidR="00EB3086" w:rsidRPr="001B0EA3" w:rsidRDefault="00EB3086" w:rsidP="004C7066">
      <w:pPr>
        <w:shd w:val="clear" w:color="auto" w:fill="FEFEFE"/>
        <w:ind w:firstLine="709"/>
        <w:rPr>
          <w:szCs w:val="24"/>
        </w:rPr>
      </w:pPr>
      <w:r w:rsidRPr="001B0EA3">
        <w:rPr>
          <w:szCs w:val="24"/>
        </w:rPr>
        <w:t>За целите на докладването, отчитането и наблюдението на установените нередности управляващи</w:t>
      </w:r>
      <w:r w:rsidR="00CC5A56" w:rsidRPr="001B0EA3">
        <w:rPr>
          <w:szCs w:val="24"/>
        </w:rPr>
        <w:t>ят орган на ОПТТИ използва</w:t>
      </w:r>
      <w:r w:rsidRPr="001B0EA3">
        <w:rPr>
          <w:szCs w:val="24"/>
        </w:rPr>
        <w:t xml:space="preserve"> ИСУН 2020.</w:t>
      </w:r>
      <w:r w:rsidR="00CC5A56" w:rsidRPr="001B0EA3">
        <w:rPr>
          <w:szCs w:val="24"/>
        </w:rPr>
        <w:t xml:space="preserve"> </w:t>
      </w:r>
      <w:r w:rsidRPr="001B0EA3">
        <w:rPr>
          <w:szCs w:val="24"/>
        </w:rPr>
        <w:t>В ИСУН 2020 сумите се посочват в лева.</w:t>
      </w:r>
    </w:p>
    <w:p w14:paraId="1516773A" w14:textId="77777777" w:rsidR="00EB3086" w:rsidRPr="001B0EA3" w:rsidRDefault="00EB3086" w:rsidP="004C7066">
      <w:pPr>
        <w:shd w:val="clear" w:color="auto" w:fill="FEFEFE"/>
        <w:ind w:firstLine="709"/>
        <w:rPr>
          <w:szCs w:val="24"/>
        </w:rPr>
      </w:pPr>
      <w:r w:rsidRPr="001B0EA3">
        <w:rPr>
          <w:szCs w:val="24"/>
        </w:rPr>
        <w:t>За докладването на нередности до ОЛАФ се използва системата за управление на нередности IMS (Irregularity Management System).</w:t>
      </w:r>
      <w:r w:rsidR="00CC5A56" w:rsidRPr="001B0EA3">
        <w:rPr>
          <w:szCs w:val="24"/>
        </w:rPr>
        <w:t xml:space="preserve"> </w:t>
      </w:r>
      <w:r w:rsidRPr="001B0EA3">
        <w:rPr>
          <w:szCs w:val="24"/>
        </w:rPr>
        <w:t>Националните информационни системи се съвместяват със системата за управление на нередности IMS.</w:t>
      </w:r>
      <w:r w:rsidR="00CC5A56" w:rsidRPr="001B0EA3">
        <w:rPr>
          <w:szCs w:val="24"/>
        </w:rPr>
        <w:t xml:space="preserve"> </w:t>
      </w:r>
      <w:r w:rsidRPr="001B0EA3">
        <w:rPr>
          <w:szCs w:val="24"/>
        </w:rPr>
        <w:t>Ползването на системата за управление на нередности IMS се координира на национално ниво от дирекция "АФКОС" в съответствие с указанията на ОЛАФ.</w:t>
      </w:r>
      <w:r w:rsidR="00CC5A56" w:rsidRPr="001B0EA3">
        <w:rPr>
          <w:szCs w:val="24"/>
        </w:rPr>
        <w:t xml:space="preserve"> </w:t>
      </w:r>
      <w:r w:rsidRPr="001B0EA3">
        <w:rPr>
          <w:szCs w:val="24"/>
        </w:rPr>
        <w:t>В IMS сумите се посочват в евро.</w:t>
      </w:r>
    </w:p>
    <w:p w14:paraId="19E8B787" w14:textId="61E99D75" w:rsidR="00AE0732" w:rsidRPr="001B0EA3" w:rsidRDefault="00363175" w:rsidP="00AE0732">
      <w:pPr>
        <w:shd w:val="clear" w:color="auto" w:fill="FEFEFE"/>
        <w:ind w:firstLine="709"/>
        <w:rPr>
          <w:szCs w:val="24"/>
          <w:highlight w:val="yellow"/>
        </w:rPr>
      </w:pPr>
      <w:r>
        <w:rPr>
          <w:szCs w:val="24"/>
        </w:rPr>
        <w:t>Отдел „</w:t>
      </w:r>
      <w:r w:rsidR="00C85057">
        <w:rPr>
          <w:szCs w:val="24"/>
        </w:rPr>
        <w:t>Управление на риска</w:t>
      </w:r>
      <w:r w:rsidR="00CC5A56" w:rsidRPr="001B0EA3">
        <w:rPr>
          <w:szCs w:val="24"/>
        </w:rPr>
        <w:t xml:space="preserve">“ е отговорен да осигури изпълнението на задълженията на УО за докладване на нередности. Определеният от началника на отдела служител по нередностите, който е регистрирал нередността и поддържа нейното досие е отговорен и за </w:t>
      </w:r>
      <w:r w:rsidR="00681390" w:rsidRPr="001B0EA3">
        <w:rPr>
          <w:szCs w:val="24"/>
        </w:rPr>
        <w:t xml:space="preserve">въвеждането на информацията по </w:t>
      </w:r>
      <w:r w:rsidR="00CC5A56" w:rsidRPr="001B0EA3">
        <w:rPr>
          <w:szCs w:val="24"/>
        </w:rPr>
        <w:t>докладването на нередността</w:t>
      </w:r>
      <w:r w:rsidR="00681390" w:rsidRPr="001B0EA3">
        <w:rPr>
          <w:szCs w:val="24"/>
        </w:rPr>
        <w:t xml:space="preserve"> в ИСУН 2020</w:t>
      </w:r>
      <w:r w:rsidR="00CC5A56" w:rsidRPr="001B0EA3">
        <w:rPr>
          <w:szCs w:val="24"/>
        </w:rPr>
        <w:t xml:space="preserve">. </w:t>
      </w:r>
      <w:r w:rsidR="00AE0732" w:rsidRPr="001B0EA3">
        <w:rPr>
          <w:szCs w:val="24"/>
        </w:rPr>
        <w:t xml:space="preserve">За целите на докладването, най-късно 3 дни преди крайния срок за докладване за всяко тримесечие </w:t>
      </w:r>
      <w:r w:rsidR="004A4B2E" w:rsidRPr="001B0EA3">
        <w:rPr>
          <w:szCs w:val="24"/>
        </w:rPr>
        <w:t>Р</w:t>
      </w:r>
      <w:r w:rsidR="00AE0732" w:rsidRPr="001B0EA3">
        <w:rPr>
          <w:szCs w:val="24"/>
        </w:rPr>
        <w:t xml:space="preserve">ъководителят на  УО на ОПТТИ одобрява доклад /образец </w:t>
      </w:r>
      <w:hyperlink r:id="rId259" w:tooltip="Доклад до Ръководителя на УО на ОПТТИ - тримесечно докладване на нередности от страна на УО на ОПТТИ" w:history="1">
        <w:r w:rsidR="008C68A9" w:rsidRPr="00251D03">
          <w:rPr>
            <w:i/>
            <w:color w:val="0000FF"/>
            <w:szCs w:val="24"/>
            <w:u w:val="single"/>
            <w:lang w:eastAsia="bg-BG"/>
          </w:rPr>
          <w:t>Приложение № 6.05</w:t>
        </w:r>
      </w:hyperlink>
      <w:r w:rsidR="00AE0732" w:rsidRPr="001B0EA3">
        <w:rPr>
          <w:szCs w:val="24"/>
        </w:rPr>
        <w:t>/ съдържащ информацията</w:t>
      </w:r>
      <w:r w:rsidR="001D335E" w:rsidRPr="001B0EA3">
        <w:rPr>
          <w:szCs w:val="24"/>
        </w:rPr>
        <w:t xml:space="preserve"> за регистрираните нови сигнали за нередности и нередности регистрирани в ИСУН 2020 през докладваното тримесечие“. Докладът се изготвя</w:t>
      </w:r>
      <w:r w:rsidR="00AE0732" w:rsidRPr="001B0EA3">
        <w:rPr>
          <w:szCs w:val="24"/>
        </w:rPr>
        <w:t xml:space="preserve"> и съхранява от определен от началника на отдел „</w:t>
      </w:r>
      <w:r w:rsidR="00D2721B">
        <w:rPr>
          <w:szCs w:val="24"/>
        </w:rPr>
        <w:t>Управление на риска“</w:t>
      </w:r>
      <w:r w:rsidR="005A56F4" w:rsidRPr="005A56F4" w:rsidDel="008C1156">
        <w:rPr>
          <w:szCs w:val="24"/>
        </w:rPr>
        <w:t xml:space="preserve"> </w:t>
      </w:r>
      <w:r w:rsidR="00AE0732" w:rsidRPr="001B0EA3">
        <w:rPr>
          <w:szCs w:val="24"/>
        </w:rPr>
        <w:t>служител по нередности</w:t>
      </w:r>
      <w:r w:rsidR="004A4B2E" w:rsidRPr="001B0EA3">
        <w:rPr>
          <w:szCs w:val="24"/>
        </w:rPr>
        <w:t>, съгласува се от всички останали служители от отдел „УРПАН“</w:t>
      </w:r>
      <w:r w:rsidR="00AE0732" w:rsidRPr="001B0EA3">
        <w:rPr>
          <w:szCs w:val="24"/>
        </w:rPr>
        <w:t xml:space="preserve"> и се подписва от директора на дирекция „Координация на програми и проекти“. </w:t>
      </w:r>
    </w:p>
    <w:p w14:paraId="0FD56626" w14:textId="77777777" w:rsidR="00066838" w:rsidRPr="001B0EA3" w:rsidRDefault="00066838" w:rsidP="004C7066">
      <w:pPr>
        <w:shd w:val="clear" w:color="auto" w:fill="FEFEFE"/>
        <w:rPr>
          <w:szCs w:val="24"/>
        </w:rPr>
      </w:pPr>
    </w:p>
    <w:p w14:paraId="08BC8AD0" w14:textId="77777777" w:rsidR="002A1E8C" w:rsidRPr="001B0EA3" w:rsidRDefault="002A1E8C" w:rsidP="00046D61">
      <w:pPr>
        <w:rPr>
          <w:bCs/>
          <w:color w:val="000000"/>
          <w:szCs w:val="24"/>
          <w:highlight w:val="red"/>
          <w:lang w:eastAsia="en-US"/>
        </w:rPr>
      </w:pPr>
    </w:p>
    <w:p w14:paraId="4425FA38" w14:textId="77777777" w:rsidR="002A1E8C" w:rsidRPr="001B0EA3" w:rsidRDefault="00C702EF" w:rsidP="00656CB4">
      <w:pPr>
        <w:pStyle w:val="Style3"/>
        <w:rPr>
          <w:snapToGrid w:val="0"/>
        </w:rPr>
      </w:pPr>
      <w:bookmarkStart w:id="1198" w:name="_Toc479775754"/>
      <w:r w:rsidRPr="001B0EA3">
        <w:rPr>
          <w:snapToGrid w:val="0"/>
        </w:rPr>
        <w:t xml:space="preserve">Докладване </w:t>
      </w:r>
      <w:r w:rsidR="002A1E8C" w:rsidRPr="001B0EA3">
        <w:rPr>
          <w:snapToGrid w:val="0"/>
        </w:rPr>
        <w:t>от Бенефициент по ОПТТИ</w:t>
      </w:r>
      <w:bookmarkEnd w:id="1198"/>
    </w:p>
    <w:p w14:paraId="7FFD1A12" w14:textId="77777777" w:rsidR="00C702EF" w:rsidRPr="001B0EA3" w:rsidRDefault="00D55F63" w:rsidP="00046D61">
      <w:pPr>
        <w:rPr>
          <w:snapToGrid w:val="0"/>
          <w:szCs w:val="24"/>
        </w:rPr>
      </w:pPr>
      <w:r w:rsidRPr="001B0EA3">
        <w:rPr>
          <w:snapToGrid w:val="0"/>
          <w:szCs w:val="24"/>
        </w:rPr>
        <w:t>А</w:t>
      </w:r>
      <w:r w:rsidR="002A1E8C" w:rsidRPr="001B0EA3">
        <w:rPr>
          <w:snapToGrid w:val="0"/>
          <w:szCs w:val="24"/>
        </w:rPr>
        <w:t xml:space="preserve">ко бенефициент има съмнение за нередност, извършена при изпълнение на проект/договор, финансиран по ОПТТИ е длъжен да предостави на  УО писмено информация </w:t>
      </w:r>
      <w:r w:rsidR="002A1E8C" w:rsidRPr="001B0EA3">
        <w:rPr>
          <w:snapToGrid w:val="0"/>
          <w:szCs w:val="24"/>
        </w:rPr>
        <w:lastRenderedPageBreak/>
        <w:t xml:space="preserve">по случая, съдържаща най-малко данните, предвидени в регистъра на сигнали за нередности </w:t>
      </w:r>
      <w:r w:rsidR="002B7EF8" w:rsidRPr="001B0EA3">
        <w:rPr>
          <w:snapToGrid w:val="0"/>
          <w:szCs w:val="24"/>
        </w:rPr>
        <w:t>в ИСУН 2020</w:t>
      </w:r>
      <w:r w:rsidR="002A1E8C" w:rsidRPr="001B0EA3">
        <w:rPr>
          <w:b/>
          <w:snapToGrid w:val="0"/>
          <w:szCs w:val="24"/>
        </w:rPr>
        <w:t>,</w:t>
      </w:r>
      <w:r w:rsidR="002A1E8C" w:rsidRPr="001B0EA3">
        <w:rPr>
          <w:snapToGrid w:val="0"/>
          <w:szCs w:val="24"/>
        </w:rPr>
        <w:t xml:space="preserve"> както и релевантните документи по случая. </w:t>
      </w:r>
      <w:r w:rsidR="00C702EF" w:rsidRPr="001B0EA3">
        <w:rPr>
          <w:snapToGrid w:val="0"/>
          <w:szCs w:val="24"/>
        </w:rPr>
        <w:t xml:space="preserve">Бенефициентът предоставя на УО и всяка нова информация по случая в срок до 5 работни дни от узнаването и. </w:t>
      </w:r>
    </w:p>
    <w:p w14:paraId="2BDE1BAD" w14:textId="77777777" w:rsidR="002A1E8C" w:rsidRPr="001B0EA3" w:rsidRDefault="002A1E8C" w:rsidP="00046D61">
      <w:pPr>
        <w:rPr>
          <w:snapToGrid w:val="0"/>
          <w:szCs w:val="24"/>
        </w:rPr>
      </w:pPr>
      <w:r w:rsidRPr="001B0EA3">
        <w:rPr>
          <w:snapToGrid w:val="0"/>
          <w:szCs w:val="24"/>
        </w:rPr>
        <w:t xml:space="preserve">За целите на регистриране, отчитане и докладване на нередности Бенефициентите са длъжни да следят и спазват установената процедура за подаване на сигнали и докладване по сигнали за нередности и установени нередности, залегнали както в процедурния наръчник, така и в предвидените в българското и европейското законодателство процедури.    </w:t>
      </w:r>
      <w:r w:rsidR="00947EF6" w:rsidRPr="001B0EA3">
        <w:rPr>
          <w:snapToGrid w:val="0"/>
          <w:szCs w:val="24"/>
        </w:rPr>
        <w:t xml:space="preserve"> </w:t>
      </w:r>
    </w:p>
    <w:p w14:paraId="02D88E7F" w14:textId="77777777" w:rsidR="002A1E8C" w:rsidRPr="001B0EA3" w:rsidRDefault="002A1E8C" w:rsidP="00ED6EC3">
      <w:pPr>
        <w:autoSpaceDE w:val="0"/>
        <w:autoSpaceDN w:val="0"/>
        <w:adjustRightInd w:val="0"/>
        <w:ind w:firstLine="420"/>
        <w:rPr>
          <w:bCs/>
          <w:szCs w:val="24"/>
          <w:lang w:eastAsia="en-US"/>
        </w:rPr>
      </w:pPr>
    </w:p>
    <w:p w14:paraId="48DF5F06" w14:textId="77777777" w:rsidR="002A1E8C" w:rsidRPr="001B0EA3" w:rsidRDefault="002A1E8C" w:rsidP="00ED6EC3">
      <w:pPr>
        <w:autoSpaceDE w:val="0"/>
        <w:autoSpaceDN w:val="0"/>
        <w:adjustRightInd w:val="0"/>
        <w:ind w:firstLine="420"/>
        <w:rPr>
          <w:bCs/>
          <w:szCs w:val="24"/>
          <w:lang w:eastAsia="en-US"/>
        </w:rPr>
      </w:pPr>
    </w:p>
    <w:p w14:paraId="3C4D4E90" w14:textId="77777777" w:rsidR="00CC5A56" w:rsidRPr="00842ECC" w:rsidRDefault="00CC5A56" w:rsidP="00656CB4">
      <w:pPr>
        <w:pStyle w:val="Style2"/>
        <w:rPr>
          <w:lang w:val="bg-BG" w:eastAsia="en-US"/>
        </w:rPr>
      </w:pPr>
      <w:bookmarkStart w:id="1199" w:name="_Toc479775755"/>
      <w:bookmarkStart w:id="1200" w:name="_Toc140150268"/>
      <w:r w:rsidRPr="00842ECC">
        <w:rPr>
          <w:lang w:val="bg-BG" w:eastAsia="en-US"/>
        </w:rPr>
        <w:t>Корективни действия и последващото им проследяване</w:t>
      </w:r>
      <w:bookmarkEnd w:id="1199"/>
      <w:bookmarkEnd w:id="1200"/>
      <w:r w:rsidR="00F526A2" w:rsidRPr="00842ECC">
        <w:rPr>
          <w:lang w:val="bg-BG" w:eastAsia="en-US"/>
        </w:rPr>
        <w:t xml:space="preserve"> </w:t>
      </w:r>
    </w:p>
    <w:p w14:paraId="7CCBAB92" w14:textId="77777777" w:rsidR="00EB3086" w:rsidRPr="001B0EA3" w:rsidRDefault="00EB3086" w:rsidP="00ED6EC3">
      <w:pPr>
        <w:autoSpaceDE w:val="0"/>
        <w:autoSpaceDN w:val="0"/>
        <w:adjustRightInd w:val="0"/>
        <w:ind w:firstLine="420"/>
        <w:rPr>
          <w:bCs/>
          <w:szCs w:val="24"/>
          <w:lang w:eastAsia="en-US"/>
        </w:rPr>
      </w:pPr>
    </w:p>
    <w:p w14:paraId="2C820843" w14:textId="77777777" w:rsidR="00CC5A56" w:rsidRPr="001B0EA3" w:rsidRDefault="00CC5A56" w:rsidP="00663B52">
      <w:pPr>
        <w:shd w:val="clear" w:color="auto" w:fill="FEFEFE"/>
        <w:ind w:firstLine="709"/>
        <w:rPr>
          <w:bCs/>
          <w:color w:val="000000"/>
          <w:szCs w:val="24"/>
          <w:lang w:eastAsia="en-US"/>
        </w:rPr>
      </w:pPr>
      <w:r w:rsidRPr="001B0EA3">
        <w:rPr>
          <w:bCs/>
          <w:color w:val="000000"/>
          <w:szCs w:val="24"/>
          <w:lang w:eastAsia="en-US"/>
        </w:rPr>
        <w:t xml:space="preserve">При установяване на нередност </w:t>
      </w:r>
      <w:r w:rsidR="00663B52" w:rsidRPr="001B0EA3">
        <w:rPr>
          <w:bCs/>
          <w:color w:val="000000"/>
          <w:szCs w:val="24"/>
          <w:lang w:eastAsia="en-US"/>
        </w:rPr>
        <w:t xml:space="preserve">Ръководителят </w:t>
      </w:r>
      <w:r w:rsidR="007D33B1" w:rsidRPr="001B0EA3">
        <w:rPr>
          <w:bCs/>
          <w:color w:val="000000"/>
          <w:szCs w:val="24"/>
          <w:lang w:eastAsia="en-US"/>
        </w:rPr>
        <w:t xml:space="preserve">на УО, </w:t>
      </w:r>
      <w:r w:rsidR="00AE0732" w:rsidRPr="001B0EA3">
        <w:rPr>
          <w:bCs/>
          <w:color w:val="000000"/>
          <w:szCs w:val="24"/>
          <w:lang w:eastAsia="en-US"/>
        </w:rPr>
        <w:t xml:space="preserve">който е </w:t>
      </w:r>
      <w:r w:rsidRPr="001B0EA3">
        <w:rPr>
          <w:bCs/>
          <w:color w:val="000000"/>
          <w:szCs w:val="24"/>
          <w:lang w:eastAsia="en-US"/>
        </w:rPr>
        <w:t>отговор</w:t>
      </w:r>
      <w:r w:rsidR="007D33B1" w:rsidRPr="001B0EA3">
        <w:rPr>
          <w:bCs/>
          <w:color w:val="000000"/>
          <w:szCs w:val="24"/>
          <w:lang w:eastAsia="en-US"/>
        </w:rPr>
        <w:t xml:space="preserve">ен за прилагането на процедурите по администриране на нередности, е длъжен </w:t>
      </w:r>
      <w:r w:rsidRPr="001B0EA3">
        <w:rPr>
          <w:bCs/>
          <w:color w:val="000000"/>
          <w:szCs w:val="24"/>
          <w:lang w:eastAsia="en-US"/>
        </w:rPr>
        <w:t>:</w:t>
      </w:r>
    </w:p>
    <w:p w14:paraId="1383AE83" w14:textId="77777777" w:rsidR="00883614" w:rsidRPr="001B0EA3" w:rsidRDefault="00883614" w:rsidP="00663B52">
      <w:pPr>
        <w:shd w:val="clear" w:color="auto" w:fill="FEFEFE"/>
        <w:ind w:firstLine="709"/>
        <w:rPr>
          <w:bCs/>
          <w:color w:val="000000"/>
          <w:szCs w:val="24"/>
          <w:lang w:eastAsia="en-US"/>
        </w:rPr>
      </w:pPr>
    </w:p>
    <w:p w14:paraId="3DCA8599" w14:textId="77777777" w:rsidR="00EF6AA3" w:rsidRPr="001B0EA3" w:rsidRDefault="00CC5A56" w:rsidP="00D26A1C">
      <w:pPr>
        <w:pStyle w:val="ListParagraph"/>
        <w:numPr>
          <w:ilvl w:val="1"/>
          <w:numId w:val="243"/>
        </w:numPr>
        <w:shd w:val="clear" w:color="auto" w:fill="FEFEFE"/>
        <w:ind w:left="0" w:firstLine="0"/>
        <w:rPr>
          <w:b/>
          <w:bCs/>
          <w:color w:val="000000"/>
          <w:szCs w:val="24"/>
          <w:lang w:eastAsia="en-US"/>
        </w:rPr>
      </w:pPr>
      <w:r w:rsidRPr="001B0EA3">
        <w:rPr>
          <w:b/>
          <w:bCs/>
          <w:color w:val="000000"/>
          <w:szCs w:val="24"/>
          <w:lang w:eastAsia="en-US"/>
        </w:rPr>
        <w:t>да уведом</w:t>
      </w:r>
      <w:r w:rsidR="007D33B1" w:rsidRPr="001B0EA3">
        <w:rPr>
          <w:b/>
          <w:bCs/>
          <w:color w:val="000000"/>
          <w:szCs w:val="24"/>
          <w:lang w:eastAsia="en-US"/>
        </w:rPr>
        <w:t>и</w:t>
      </w:r>
      <w:r w:rsidRPr="001B0EA3">
        <w:rPr>
          <w:b/>
          <w:bCs/>
          <w:color w:val="000000"/>
          <w:szCs w:val="24"/>
          <w:lang w:eastAsia="en-US"/>
        </w:rPr>
        <w:t xml:space="preserve"> компетентните органи в случаите на подоз</w:t>
      </w:r>
      <w:r w:rsidR="00EF6AA3" w:rsidRPr="001B0EA3">
        <w:rPr>
          <w:b/>
          <w:bCs/>
          <w:color w:val="000000"/>
          <w:szCs w:val="24"/>
          <w:lang w:eastAsia="en-US"/>
        </w:rPr>
        <w:t xml:space="preserve">рение за извършено престъпление. </w:t>
      </w:r>
    </w:p>
    <w:p w14:paraId="1D74064A" w14:textId="77777777" w:rsidR="00663B52" w:rsidRPr="001B0EA3" w:rsidRDefault="00663B52" w:rsidP="00663B52">
      <w:pPr>
        <w:shd w:val="clear" w:color="auto" w:fill="FEFEFE"/>
        <w:ind w:firstLine="709"/>
        <w:rPr>
          <w:bCs/>
          <w:color w:val="000000"/>
          <w:szCs w:val="24"/>
          <w:lang w:eastAsia="en-US"/>
        </w:rPr>
      </w:pPr>
    </w:p>
    <w:p w14:paraId="07221835" w14:textId="74247F37" w:rsidR="00CC5A56" w:rsidRPr="001B0EA3" w:rsidRDefault="00EF6AA3" w:rsidP="00663B52">
      <w:pPr>
        <w:shd w:val="clear" w:color="auto" w:fill="FEFEFE"/>
        <w:ind w:firstLine="709"/>
        <w:rPr>
          <w:bCs/>
          <w:color w:val="000000"/>
          <w:szCs w:val="24"/>
          <w:lang w:eastAsia="en-US"/>
        </w:rPr>
      </w:pPr>
      <w:r w:rsidRPr="001B0EA3">
        <w:rPr>
          <w:bCs/>
          <w:color w:val="000000"/>
          <w:szCs w:val="24"/>
          <w:lang w:eastAsia="en-US"/>
        </w:rPr>
        <w:t>Уведомителното писмо се подготвя от служителя</w:t>
      </w:r>
      <w:r w:rsidR="00086BE4" w:rsidRPr="001B0EA3">
        <w:rPr>
          <w:bCs/>
          <w:color w:val="000000"/>
          <w:szCs w:val="24"/>
          <w:lang w:eastAsia="en-US"/>
        </w:rPr>
        <w:t xml:space="preserve"> от отдела</w:t>
      </w:r>
      <w:r w:rsidRPr="001B0EA3">
        <w:rPr>
          <w:bCs/>
          <w:color w:val="000000"/>
          <w:szCs w:val="24"/>
          <w:lang w:eastAsia="en-US"/>
        </w:rPr>
        <w:t xml:space="preserve">, определен от директора на дирекция „Координация на програми и проекти“ да извърши проверка по сигнала като писмото се съгласува от </w:t>
      </w:r>
      <w:r w:rsidR="00655C8A" w:rsidRPr="001B0EA3">
        <w:rPr>
          <w:bCs/>
          <w:color w:val="000000"/>
          <w:szCs w:val="24"/>
          <w:lang w:eastAsia="en-US"/>
        </w:rPr>
        <w:t xml:space="preserve">началника на отдела и </w:t>
      </w:r>
      <w:r w:rsidRPr="001B0EA3">
        <w:rPr>
          <w:bCs/>
          <w:color w:val="000000"/>
          <w:szCs w:val="24"/>
          <w:lang w:eastAsia="en-US"/>
        </w:rPr>
        <w:t>началника на отдел „Управление на риска“</w:t>
      </w:r>
      <w:r w:rsidR="00ED0EAC" w:rsidRPr="001B0EA3">
        <w:rPr>
          <w:bCs/>
          <w:color w:val="000000"/>
          <w:szCs w:val="24"/>
          <w:lang w:eastAsia="en-US"/>
        </w:rPr>
        <w:t xml:space="preserve">. </w:t>
      </w:r>
      <w:r w:rsidR="00C702EF" w:rsidRPr="001B0EA3">
        <w:rPr>
          <w:bCs/>
          <w:color w:val="000000"/>
          <w:szCs w:val="24"/>
          <w:lang w:eastAsia="en-US"/>
        </w:rPr>
        <w:t xml:space="preserve">Информацията </w:t>
      </w:r>
      <w:r w:rsidR="00ED0EAC" w:rsidRPr="001B0EA3">
        <w:rPr>
          <w:bCs/>
          <w:color w:val="000000"/>
          <w:szCs w:val="24"/>
          <w:lang w:eastAsia="en-US"/>
        </w:rPr>
        <w:t>за случая се въвежда в ИСУН 2020 от опр</w:t>
      </w:r>
      <w:r w:rsidR="00E92D21">
        <w:rPr>
          <w:bCs/>
          <w:color w:val="000000"/>
          <w:szCs w:val="24"/>
          <w:lang w:eastAsia="en-US"/>
        </w:rPr>
        <w:t xml:space="preserve">еделения от началника на отдел Управление на риска </w:t>
      </w:r>
      <w:r w:rsidR="00ED0EAC" w:rsidRPr="001B0EA3">
        <w:rPr>
          <w:bCs/>
          <w:color w:val="000000"/>
          <w:szCs w:val="24"/>
          <w:lang w:eastAsia="en-US"/>
        </w:rPr>
        <w:t xml:space="preserve">служител по нередностите. </w:t>
      </w:r>
    </w:p>
    <w:p w14:paraId="42075C21" w14:textId="77777777" w:rsidR="00EF6AA3" w:rsidRPr="001B0EA3" w:rsidRDefault="00EF6AA3" w:rsidP="004E674A">
      <w:pPr>
        <w:pStyle w:val="ListParagraph"/>
        <w:shd w:val="clear" w:color="auto" w:fill="FEFEFE"/>
        <w:ind w:left="1440"/>
        <w:jc w:val="left"/>
        <w:rPr>
          <w:bCs/>
          <w:color w:val="000000"/>
          <w:szCs w:val="24"/>
          <w:lang w:eastAsia="en-US"/>
        </w:rPr>
      </w:pPr>
    </w:p>
    <w:p w14:paraId="2F6644A4" w14:textId="77777777" w:rsidR="00086BE4" w:rsidRPr="001B0EA3" w:rsidRDefault="00CC5A56" w:rsidP="00D26A1C">
      <w:pPr>
        <w:shd w:val="clear" w:color="auto" w:fill="FEFEFE"/>
        <w:ind w:firstLine="0"/>
        <w:rPr>
          <w:bCs/>
          <w:color w:val="000000"/>
          <w:szCs w:val="24"/>
          <w:lang w:eastAsia="en-US"/>
        </w:rPr>
      </w:pPr>
      <w:r w:rsidRPr="001B0EA3">
        <w:rPr>
          <w:b/>
          <w:bCs/>
          <w:color w:val="000000"/>
          <w:szCs w:val="24"/>
          <w:lang w:eastAsia="en-US"/>
        </w:rPr>
        <w:t>2.</w:t>
      </w:r>
      <w:r w:rsidRPr="001B0EA3">
        <w:rPr>
          <w:bCs/>
          <w:color w:val="000000"/>
          <w:szCs w:val="24"/>
          <w:lang w:eastAsia="en-US"/>
        </w:rPr>
        <w:t xml:space="preserve"> </w:t>
      </w:r>
      <w:r w:rsidRPr="001B0EA3">
        <w:rPr>
          <w:b/>
          <w:bCs/>
          <w:color w:val="000000"/>
          <w:szCs w:val="24"/>
          <w:lang w:eastAsia="en-US"/>
        </w:rPr>
        <w:t>след установяване на недължимо платените и надплатените суми, както и на неправомерно получените или неправомерно усвоените средства да предприем</w:t>
      </w:r>
      <w:r w:rsidR="007D33B1" w:rsidRPr="001B0EA3">
        <w:rPr>
          <w:b/>
          <w:bCs/>
          <w:color w:val="000000"/>
          <w:szCs w:val="24"/>
          <w:lang w:eastAsia="en-US"/>
        </w:rPr>
        <w:t xml:space="preserve">е </w:t>
      </w:r>
      <w:r w:rsidRPr="001B0EA3">
        <w:rPr>
          <w:b/>
          <w:bCs/>
          <w:color w:val="000000"/>
          <w:szCs w:val="24"/>
          <w:lang w:eastAsia="en-US"/>
        </w:rPr>
        <w:t xml:space="preserve">корективни действия в сроковете, предвидени </w:t>
      </w:r>
      <w:r w:rsidR="00EF6AA3" w:rsidRPr="001B0EA3">
        <w:rPr>
          <w:b/>
          <w:bCs/>
          <w:color w:val="000000"/>
          <w:szCs w:val="24"/>
          <w:lang w:eastAsia="en-US"/>
        </w:rPr>
        <w:t xml:space="preserve">в настоящите </w:t>
      </w:r>
      <w:r w:rsidRPr="001B0EA3">
        <w:rPr>
          <w:b/>
          <w:bCs/>
          <w:color w:val="000000"/>
          <w:szCs w:val="24"/>
          <w:lang w:eastAsia="en-US"/>
        </w:rPr>
        <w:t>вътрешни правила, по доброволно и/или принудително събиране на средствата, дължими към Европейската комисия и националния бюджет</w:t>
      </w:r>
      <w:r w:rsidR="003C6563" w:rsidRPr="001B0EA3">
        <w:rPr>
          <w:b/>
          <w:bCs/>
          <w:color w:val="000000"/>
          <w:szCs w:val="24"/>
          <w:lang w:eastAsia="en-US"/>
        </w:rPr>
        <w:t>.</w:t>
      </w:r>
      <w:r w:rsidR="003C6563" w:rsidRPr="001B0EA3">
        <w:rPr>
          <w:bCs/>
          <w:color w:val="000000"/>
          <w:szCs w:val="24"/>
          <w:lang w:eastAsia="en-US"/>
        </w:rPr>
        <w:t xml:space="preserve"> </w:t>
      </w:r>
    </w:p>
    <w:p w14:paraId="01641B94" w14:textId="77777777" w:rsidR="00C40FBC" w:rsidRPr="001B0EA3" w:rsidRDefault="00D637D5" w:rsidP="009E126C">
      <w:pPr>
        <w:autoSpaceDE w:val="0"/>
        <w:autoSpaceDN w:val="0"/>
        <w:adjustRightInd w:val="0"/>
        <w:rPr>
          <w:bCs/>
          <w:color w:val="000000"/>
          <w:szCs w:val="24"/>
          <w:lang w:eastAsia="en-US"/>
        </w:rPr>
      </w:pPr>
      <w:r w:rsidRPr="001B0EA3">
        <w:rPr>
          <w:bCs/>
          <w:color w:val="000000"/>
          <w:szCs w:val="24"/>
          <w:lang w:eastAsia="en-US"/>
        </w:rPr>
        <w:t xml:space="preserve">Всички вземания по наложени финансови корекции подлежат на възстановяване към сметката за средствата от Европейския съюз на Националния фонд. Управляващият орган определя финансови корекции и информира бенефициента за сумата, подлежаща на възстановяване с решението по чл. 73, ал. 1 ЗУСЕСИФ. </w:t>
      </w:r>
    </w:p>
    <w:p w14:paraId="7882A1A1" w14:textId="77777777" w:rsidR="0034117A" w:rsidRPr="001B0EA3" w:rsidRDefault="00091C13" w:rsidP="00D637D5">
      <w:pPr>
        <w:shd w:val="clear" w:color="auto" w:fill="FEFEFE"/>
        <w:rPr>
          <w:bCs/>
          <w:color w:val="000000"/>
          <w:szCs w:val="24"/>
          <w:lang w:eastAsia="en-US"/>
        </w:rPr>
      </w:pPr>
      <w:r w:rsidRPr="001B0EA3">
        <w:rPr>
          <w:bCs/>
          <w:color w:val="000000"/>
          <w:szCs w:val="24"/>
          <w:lang w:eastAsia="en-US"/>
        </w:rPr>
        <w:t xml:space="preserve">Отделът, който е уведомил бенефициента, че дължимите средства по финансови корекции,  не подлежат на възстановяване от бенефициента, уведомява и  отговорния разпоредител с бюджет за дължимите средства по финансови корекции, които са наложени в резултат на констатирани от европейски или национални одитни органи системни пропуски и не подлежат на възстановяване от </w:t>
      </w:r>
      <w:r w:rsidR="00ED66CF" w:rsidRPr="001B0EA3">
        <w:rPr>
          <w:bCs/>
          <w:color w:val="000000"/>
          <w:szCs w:val="24"/>
          <w:lang w:eastAsia="en-US"/>
        </w:rPr>
        <w:t>бенефициента</w:t>
      </w:r>
      <w:r w:rsidRPr="001B0EA3">
        <w:rPr>
          <w:bCs/>
          <w:color w:val="000000"/>
          <w:szCs w:val="24"/>
          <w:lang w:eastAsia="en-US"/>
        </w:rPr>
        <w:t>. Средствата се възстановяват съгласно чл. 63 от Закона за публичните финанси.</w:t>
      </w:r>
    </w:p>
    <w:p w14:paraId="467F856A" w14:textId="77777777" w:rsidR="0034117A" w:rsidRPr="001B0EA3" w:rsidRDefault="0034117A" w:rsidP="0054623A">
      <w:pPr>
        <w:pStyle w:val="ListParagraph"/>
        <w:numPr>
          <w:ilvl w:val="0"/>
          <w:numId w:val="229"/>
        </w:numPr>
        <w:autoSpaceDE w:val="0"/>
        <w:autoSpaceDN w:val="0"/>
        <w:adjustRightInd w:val="0"/>
        <w:rPr>
          <w:b/>
          <w:bCs/>
          <w:color w:val="000000"/>
          <w:szCs w:val="24"/>
          <w:lang w:eastAsia="en-US"/>
        </w:rPr>
      </w:pPr>
      <w:r w:rsidRPr="001B0EA3">
        <w:rPr>
          <w:b/>
          <w:bCs/>
          <w:color w:val="000000"/>
          <w:szCs w:val="24"/>
          <w:lang w:eastAsia="en-US"/>
        </w:rPr>
        <w:t>Доброволно събиране на средствата, дължими към Европейската комисия и националния бюджет :</w:t>
      </w:r>
    </w:p>
    <w:p w14:paraId="252E167D" w14:textId="77777777" w:rsidR="0034117A" w:rsidRPr="001B0EA3" w:rsidRDefault="0034117A" w:rsidP="00D637D5">
      <w:pPr>
        <w:shd w:val="clear" w:color="auto" w:fill="FEFEFE"/>
        <w:rPr>
          <w:bCs/>
          <w:color w:val="000000"/>
          <w:szCs w:val="24"/>
          <w:lang w:eastAsia="en-US"/>
        </w:rPr>
      </w:pPr>
    </w:p>
    <w:p w14:paraId="74219139" w14:textId="77777777" w:rsidR="00267BF4" w:rsidRPr="001B0EA3" w:rsidRDefault="0034117A" w:rsidP="00ED0EAC">
      <w:pPr>
        <w:shd w:val="clear" w:color="auto" w:fill="FEFEFE"/>
        <w:ind w:firstLine="360"/>
        <w:rPr>
          <w:bCs/>
          <w:color w:val="000000"/>
          <w:szCs w:val="24"/>
          <w:lang w:eastAsia="en-US"/>
        </w:rPr>
      </w:pPr>
      <w:r w:rsidRPr="001B0EA3">
        <w:rPr>
          <w:bCs/>
          <w:color w:val="000000"/>
          <w:szCs w:val="24"/>
          <w:lang w:eastAsia="en-US"/>
        </w:rPr>
        <w:t>Бенефициентът възстановява дължимите средства в срок до 14 дни от датата на получаване на решението по чл. 73, ал. 1 ЗУСЕСИФ. При възстановяване на задължението преди крайния срок не се дължи лихва за забава.</w:t>
      </w:r>
      <w:r w:rsidR="00ED0EAC" w:rsidRPr="001B0EA3">
        <w:rPr>
          <w:bCs/>
          <w:color w:val="000000"/>
          <w:szCs w:val="24"/>
          <w:lang w:eastAsia="en-US"/>
        </w:rPr>
        <w:t xml:space="preserve"> Ръководителят на бенефициента уведомява незабавно с писмо Управляващият орган за извършеното доброволно възстановяване на средства.</w:t>
      </w:r>
    </w:p>
    <w:p w14:paraId="46CD336A" w14:textId="77777777" w:rsidR="0034117A" w:rsidRPr="001B0EA3" w:rsidRDefault="0034117A" w:rsidP="00ED0EAC">
      <w:pPr>
        <w:shd w:val="clear" w:color="auto" w:fill="FEFEFE"/>
        <w:ind w:firstLine="360"/>
        <w:rPr>
          <w:bCs/>
          <w:color w:val="000000"/>
          <w:szCs w:val="24"/>
          <w:lang w:eastAsia="en-US"/>
        </w:rPr>
      </w:pPr>
      <w:r w:rsidRPr="001B0EA3">
        <w:rPr>
          <w:bCs/>
          <w:color w:val="000000"/>
          <w:szCs w:val="24"/>
          <w:lang w:eastAsia="en-US"/>
        </w:rPr>
        <w:br/>
      </w:r>
    </w:p>
    <w:p w14:paraId="493A3F27" w14:textId="77777777" w:rsidR="0034117A" w:rsidRPr="001B0EA3" w:rsidRDefault="0034117A" w:rsidP="0054623A">
      <w:pPr>
        <w:pStyle w:val="ListParagraph"/>
        <w:numPr>
          <w:ilvl w:val="0"/>
          <w:numId w:val="229"/>
        </w:numPr>
        <w:autoSpaceDE w:val="0"/>
        <w:autoSpaceDN w:val="0"/>
        <w:adjustRightInd w:val="0"/>
        <w:rPr>
          <w:b/>
          <w:bCs/>
          <w:color w:val="000000"/>
          <w:szCs w:val="24"/>
          <w:lang w:eastAsia="en-US"/>
        </w:rPr>
      </w:pPr>
      <w:r w:rsidRPr="001B0EA3">
        <w:rPr>
          <w:b/>
          <w:bCs/>
          <w:color w:val="000000"/>
          <w:szCs w:val="24"/>
          <w:lang w:eastAsia="en-US"/>
        </w:rPr>
        <w:t>Принудително събиране на средствата на средствата, дължими към Европейската комисия и националния бюджет :</w:t>
      </w:r>
    </w:p>
    <w:p w14:paraId="5A95863F" w14:textId="77777777" w:rsidR="00CE2497" w:rsidRPr="001B0EA3" w:rsidRDefault="00CE2497" w:rsidP="009E126C">
      <w:pPr>
        <w:shd w:val="clear" w:color="auto" w:fill="FEFEFE"/>
        <w:ind w:firstLine="360"/>
        <w:rPr>
          <w:bCs/>
          <w:color w:val="000000"/>
          <w:szCs w:val="24"/>
          <w:lang w:eastAsia="en-US"/>
        </w:rPr>
      </w:pPr>
      <w:r w:rsidRPr="001B0EA3">
        <w:rPr>
          <w:bCs/>
          <w:color w:val="000000"/>
          <w:szCs w:val="24"/>
          <w:lang w:eastAsia="en-US"/>
        </w:rPr>
        <w:t xml:space="preserve">Управляващият орган извършва прихващане от последващо плащане по проекта, дължимо съгласно общите условия за предоставяне на финансова подкрепа на бенефициента, когато </w:t>
      </w:r>
      <w:r w:rsidRPr="001B0EA3">
        <w:rPr>
          <w:bCs/>
          <w:color w:val="000000"/>
          <w:szCs w:val="24"/>
          <w:lang w:eastAsia="en-US"/>
        </w:rPr>
        <w:lastRenderedPageBreak/>
        <w:t>дължимите средства не са възстановени в указания по-горе срок. Дължимите средства се прихващат в рамките на 90 дни след изтичане на срока по този срок заедно с лихва за забава, начислена от датата, следваща датата на изтичането на срока, до датата на възстановяване на средствата.</w:t>
      </w:r>
      <w:r w:rsidRPr="001B0EA3">
        <w:rPr>
          <w:bCs/>
          <w:color w:val="000000"/>
          <w:szCs w:val="24"/>
          <w:lang w:eastAsia="en-US"/>
        </w:rPr>
        <w:br/>
      </w:r>
    </w:p>
    <w:p w14:paraId="354BF8E0" w14:textId="77777777" w:rsidR="00CE2497" w:rsidRPr="001B0EA3" w:rsidRDefault="0034117A" w:rsidP="009E126C">
      <w:pPr>
        <w:shd w:val="clear" w:color="auto" w:fill="FEFEFE"/>
        <w:ind w:firstLine="360"/>
        <w:rPr>
          <w:bCs/>
          <w:color w:val="000000"/>
          <w:szCs w:val="24"/>
          <w:lang w:eastAsia="en-US"/>
        </w:rPr>
      </w:pPr>
      <w:r w:rsidRPr="001B0EA3">
        <w:rPr>
          <w:bCs/>
          <w:color w:val="000000"/>
          <w:szCs w:val="24"/>
          <w:lang w:eastAsia="en-US"/>
        </w:rPr>
        <w:t xml:space="preserve">Дължими средства по индивидуални финансови корекции, определени на бенефициенти – бюджетни организации, които не са възстановени по реда </w:t>
      </w:r>
      <w:r w:rsidR="00CE2497" w:rsidRPr="001B0EA3">
        <w:rPr>
          <w:bCs/>
          <w:color w:val="000000"/>
          <w:szCs w:val="24"/>
          <w:lang w:eastAsia="en-US"/>
        </w:rPr>
        <w:t>указан по-горе</w:t>
      </w:r>
      <w:r w:rsidRPr="001B0EA3">
        <w:rPr>
          <w:bCs/>
          <w:color w:val="000000"/>
          <w:szCs w:val="24"/>
          <w:lang w:eastAsia="en-US"/>
        </w:rPr>
        <w:t xml:space="preserve"> подлежат на възстановяване от бюджетите на първостепенните разпоредители с бюджет, разпоредителите с бюджет по чл. 11, ал. 9 от Закона за публичните финанси или от бюджетните организации по чл. 13, ал. 4 от същия закон, в чиито структури е бенефициентът.</w:t>
      </w:r>
    </w:p>
    <w:p w14:paraId="3E9788FC" w14:textId="77777777" w:rsidR="0034117A" w:rsidRPr="001B0EA3" w:rsidRDefault="00C40FBC" w:rsidP="009E126C">
      <w:pPr>
        <w:shd w:val="clear" w:color="auto" w:fill="FEFEFE"/>
        <w:ind w:firstLine="360"/>
        <w:rPr>
          <w:bCs/>
          <w:color w:val="000000"/>
          <w:szCs w:val="24"/>
          <w:lang w:eastAsia="en-US"/>
        </w:rPr>
      </w:pPr>
      <w:r w:rsidRPr="001B0EA3">
        <w:rPr>
          <w:bCs/>
          <w:color w:val="000000"/>
          <w:szCs w:val="24"/>
          <w:lang w:eastAsia="en-US"/>
        </w:rPr>
        <w:t xml:space="preserve">При невъзможност да се приложат </w:t>
      </w:r>
      <w:r w:rsidR="00CE2497" w:rsidRPr="001B0EA3">
        <w:rPr>
          <w:bCs/>
          <w:color w:val="000000"/>
          <w:szCs w:val="24"/>
          <w:lang w:eastAsia="en-US"/>
        </w:rPr>
        <w:t>изброените способи за възстановяване У</w:t>
      </w:r>
      <w:r w:rsidRPr="001B0EA3">
        <w:rPr>
          <w:bCs/>
          <w:color w:val="000000"/>
          <w:szCs w:val="24"/>
          <w:lang w:eastAsia="en-US"/>
        </w:rPr>
        <w:t>правляващият орган уведомява Националната агенция за приходите в 14-дневен срок след изчерпване на приложимите способи. Дължимите вземания се погасяват по реда на чл. 169, ал. 1 от Данъчно-осигурителния процесуален кодекс.</w:t>
      </w:r>
    </w:p>
    <w:p w14:paraId="566EFCB1" w14:textId="77777777" w:rsidR="0034117A" w:rsidRPr="001B0EA3" w:rsidRDefault="0034117A" w:rsidP="00D637D5">
      <w:pPr>
        <w:shd w:val="clear" w:color="auto" w:fill="FEFEFE"/>
        <w:rPr>
          <w:bCs/>
          <w:color w:val="000000"/>
          <w:szCs w:val="24"/>
          <w:lang w:eastAsia="en-US"/>
        </w:rPr>
      </w:pPr>
    </w:p>
    <w:p w14:paraId="7AE107A3" w14:textId="77777777" w:rsidR="00EF6AA3" w:rsidRPr="001B0EA3" w:rsidRDefault="00EF6AA3" w:rsidP="00DA390C">
      <w:pPr>
        <w:tabs>
          <w:tab w:val="left" w:pos="1134"/>
        </w:tabs>
        <w:autoSpaceDE w:val="0"/>
        <w:autoSpaceDN w:val="0"/>
        <w:adjustRightInd w:val="0"/>
        <w:rPr>
          <w:i/>
          <w:szCs w:val="24"/>
          <w:highlight w:val="yellow"/>
        </w:rPr>
      </w:pPr>
    </w:p>
    <w:p w14:paraId="25EEE34A" w14:textId="77777777" w:rsidR="00CC5A56" w:rsidRPr="001B0EA3" w:rsidRDefault="00CC5A56" w:rsidP="00883614">
      <w:pPr>
        <w:shd w:val="clear" w:color="auto" w:fill="FEFEFE"/>
        <w:rPr>
          <w:b/>
          <w:bCs/>
          <w:color w:val="000000"/>
          <w:szCs w:val="24"/>
          <w:lang w:eastAsia="en-US"/>
        </w:rPr>
      </w:pPr>
      <w:r w:rsidRPr="001B0EA3">
        <w:rPr>
          <w:b/>
          <w:bCs/>
          <w:color w:val="000000"/>
          <w:szCs w:val="24"/>
          <w:lang w:eastAsia="en-US"/>
        </w:rPr>
        <w:t>3. да осигурят проследяване на изпълнението на корективните действия - при наличието на такива, в т.ч. на възстановяването на дължимите суми и за хода на съдебни и/или други процедури;</w:t>
      </w:r>
    </w:p>
    <w:p w14:paraId="58925716" w14:textId="054AD599" w:rsidR="009E126C" w:rsidRPr="001B0EA3" w:rsidRDefault="0034117A" w:rsidP="009E126C">
      <w:pPr>
        <w:shd w:val="clear" w:color="auto" w:fill="FEFEFE"/>
        <w:ind w:firstLine="709"/>
        <w:rPr>
          <w:bCs/>
          <w:szCs w:val="24"/>
          <w:lang w:eastAsia="en-US"/>
        </w:rPr>
      </w:pPr>
      <w:r w:rsidRPr="001B0EA3">
        <w:rPr>
          <w:bCs/>
          <w:szCs w:val="24"/>
          <w:lang w:eastAsia="en-US"/>
        </w:rPr>
        <w:t xml:space="preserve">Отдел „Финансово управление“ </w:t>
      </w:r>
      <w:r w:rsidR="00ED0EAC" w:rsidRPr="001B0EA3">
        <w:rPr>
          <w:bCs/>
          <w:szCs w:val="24"/>
          <w:lang w:eastAsia="en-US"/>
        </w:rPr>
        <w:t xml:space="preserve">въвежда </w:t>
      </w:r>
      <w:r w:rsidRPr="001B0EA3">
        <w:rPr>
          <w:bCs/>
          <w:szCs w:val="24"/>
          <w:lang w:eastAsia="en-US"/>
        </w:rPr>
        <w:t xml:space="preserve">информацията за възстановените </w:t>
      </w:r>
      <w:r w:rsidR="00CE2497" w:rsidRPr="001B0EA3">
        <w:rPr>
          <w:bCs/>
          <w:szCs w:val="24"/>
          <w:lang w:eastAsia="en-US"/>
        </w:rPr>
        <w:t xml:space="preserve">и </w:t>
      </w:r>
      <w:r w:rsidRPr="001B0EA3">
        <w:rPr>
          <w:bCs/>
          <w:szCs w:val="24"/>
          <w:lang w:eastAsia="en-US"/>
        </w:rPr>
        <w:t xml:space="preserve">дължими суми по финансови корекции в ИСУН 2020 в съответствие с изискванията и сроковете на Наредба Н-3 от </w:t>
      </w:r>
      <w:r w:rsidR="00C40FBC" w:rsidRPr="001B0EA3">
        <w:rPr>
          <w:bCs/>
          <w:szCs w:val="24"/>
          <w:lang w:eastAsia="en-US"/>
        </w:rPr>
        <w:t>м. юли 2016</w:t>
      </w:r>
      <w:r w:rsidRPr="001B0EA3">
        <w:rPr>
          <w:bCs/>
          <w:szCs w:val="24"/>
          <w:lang w:eastAsia="en-US"/>
        </w:rPr>
        <w:t xml:space="preserve"> г. на Министерство на финансите</w:t>
      </w:r>
      <w:r w:rsidR="00352BB1" w:rsidRPr="001B0EA3">
        <w:rPr>
          <w:bCs/>
          <w:szCs w:val="24"/>
          <w:lang w:eastAsia="en-US"/>
        </w:rPr>
        <w:t>.</w:t>
      </w:r>
      <w:r w:rsidR="00D84A14" w:rsidRPr="001B0EA3">
        <w:rPr>
          <w:bCs/>
          <w:szCs w:val="24"/>
          <w:lang w:eastAsia="en-US"/>
        </w:rPr>
        <w:t xml:space="preserve"> Останалите отдели на УО, както и служителите на дирекция „Правна“, които подпомагат дейността на УО, предоставят незабавно на отдел „</w:t>
      </w:r>
      <w:r w:rsidR="00986E27">
        <w:rPr>
          <w:bCs/>
          <w:szCs w:val="24"/>
          <w:lang w:eastAsia="en-US"/>
        </w:rPr>
        <w:t>Управление на риска“</w:t>
      </w:r>
      <w:r w:rsidR="00986E27" w:rsidRPr="00986E27" w:rsidDel="008C1156">
        <w:rPr>
          <w:bCs/>
          <w:szCs w:val="24"/>
          <w:lang w:eastAsia="en-US"/>
        </w:rPr>
        <w:t xml:space="preserve"> </w:t>
      </w:r>
      <w:r w:rsidR="00D84A14" w:rsidRPr="001B0EA3">
        <w:rPr>
          <w:bCs/>
          <w:szCs w:val="24"/>
          <w:lang w:eastAsia="en-US"/>
        </w:rPr>
        <w:t xml:space="preserve">информация за обстоятелствата станали им известни за хода на съдебни и/или други процедури. </w:t>
      </w:r>
    </w:p>
    <w:p w14:paraId="0123D298" w14:textId="22F10548" w:rsidR="009E126C" w:rsidRPr="001B0EA3" w:rsidRDefault="003C6563" w:rsidP="009E126C">
      <w:pPr>
        <w:shd w:val="clear" w:color="auto" w:fill="FEFEFE"/>
        <w:ind w:firstLine="709"/>
        <w:rPr>
          <w:bCs/>
          <w:szCs w:val="24"/>
          <w:lang w:eastAsia="en-US"/>
        </w:rPr>
      </w:pPr>
      <w:r w:rsidRPr="001B0EA3">
        <w:rPr>
          <w:bCs/>
          <w:szCs w:val="24"/>
          <w:lang w:eastAsia="en-US"/>
        </w:rPr>
        <w:t>Отдел „Управление на риск</w:t>
      </w:r>
      <w:r w:rsidR="00EB35AB">
        <w:rPr>
          <w:bCs/>
          <w:szCs w:val="24"/>
          <w:lang w:eastAsia="en-US"/>
        </w:rPr>
        <w:t>а</w:t>
      </w:r>
      <w:r w:rsidRPr="001B0EA3">
        <w:rPr>
          <w:bCs/>
          <w:szCs w:val="24"/>
          <w:lang w:eastAsia="en-US"/>
        </w:rPr>
        <w:t xml:space="preserve">“ е отговорен да поддържа </w:t>
      </w:r>
      <w:r w:rsidR="00ED66CF" w:rsidRPr="001B0EA3">
        <w:rPr>
          <w:bCs/>
          <w:szCs w:val="24"/>
          <w:lang w:eastAsia="en-US"/>
        </w:rPr>
        <w:t>досието</w:t>
      </w:r>
      <w:r w:rsidRPr="001B0EA3">
        <w:rPr>
          <w:bCs/>
          <w:szCs w:val="24"/>
          <w:lang w:eastAsia="en-US"/>
        </w:rPr>
        <w:t xml:space="preserve"> на всяка нередност </w:t>
      </w:r>
      <w:r w:rsidR="009E126C" w:rsidRPr="001B0EA3">
        <w:rPr>
          <w:bCs/>
          <w:szCs w:val="24"/>
          <w:lang w:eastAsia="en-US"/>
        </w:rPr>
        <w:t xml:space="preserve">и да докладва </w:t>
      </w:r>
      <w:r w:rsidRPr="001B0EA3">
        <w:rPr>
          <w:bCs/>
          <w:szCs w:val="24"/>
          <w:lang w:eastAsia="en-US"/>
        </w:rPr>
        <w:t xml:space="preserve">в </w:t>
      </w:r>
      <w:r w:rsidR="00ED66CF" w:rsidRPr="001B0EA3">
        <w:rPr>
          <w:bCs/>
          <w:szCs w:val="24"/>
          <w:lang w:eastAsia="en-US"/>
        </w:rPr>
        <w:t>съответствие</w:t>
      </w:r>
      <w:r w:rsidRPr="001B0EA3">
        <w:rPr>
          <w:bCs/>
          <w:szCs w:val="24"/>
          <w:lang w:eastAsia="en-US"/>
        </w:rPr>
        <w:t xml:space="preserve"> с изискванията и в сроковете по Наредбата</w:t>
      </w:r>
      <w:r w:rsidR="00CE2497" w:rsidRPr="001B0EA3">
        <w:rPr>
          <w:bCs/>
          <w:szCs w:val="24"/>
          <w:lang w:eastAsia="en-US"/>
        </w:rPr>
        <w:t xml:space="preserve"> за администриране на нередности по Европейските структурни и инвестиционни фондове (Наредбата)</w:t>
      </w:r>
      <w:r w:rsidR="009E126C" w:rsidRPr="001B0EA3">
        <w:rPr>
          <w:bCs/>
          <w:szCs w:val="24"/>
          <w:lang w:eastAsia="en-US"/>
        </w:rPr>
        <w:t xml:space="preserve"> както в ИСУН 2020, така и в информационната система IMS на ОЛАФ. </w:t>
      </w:r>
    </w:p>
    <w:p w14:paraId="5652BE66" w14:textId="77777777" w:rsidR="003C6563" w:rsidRPr="001B0EA3" w:rsidRDefault="003C6563" w:rsidP="00CC5A56">
      <w:pPr>
        <w:shd w:val="clear" w:color="auto" w:fill="FEFEFE"/>
        <w:jc w:val="left"/>
        <w:rPr>
          <w:rFonts w:ascii="Verdana" w:hAnsi="Verdana"/>
          <w:color w:val="000000"/>
          <w:sz w:val="18"/>
          <w:szCs w:val="18"/>
          <w:lang w:eastAsia="en-US"/>
        </w:rPr>
      </w:pPr>
    </w:p>
    <w:p w14:paraId="3F5F3D33" w14:textId="77777777" w:rsidR="00CC5A56" w:rsidRPr="001B0EA3" w:rsidRDefault="00CC5A56" w:rsidP="00883614">
      <w:pPr>
        <w:shd w:val="clear" w:color="auto" w:fill="FEFEFE"/>
        <w:rPr>
          <w:b/>
          <w:bCs/>
          <w:color w:val="000000"/>
          <w:szCs w:val="24"/>
          <w:lang w:eastAsia="en-US"/>
        </w:rPr>
      </w:pPr>
      <w:r w:rsidRPr="001B0EA3">
        <w:rPr>
          <w:b/>
          <w:bCs/>
          <w:color w:val="000000"/>
          <w:szCs w:val="24"/>
          <w:lang w:eastAsia="en-US"/>
        </w:rPr>
        <w:t>4. да уведомят за нарушения на бюджетната дисциплина финансовите контролни органи, когато е приложимо.</w:t>
      </w:r>
    </w:p>
    <w:p w14:paraId="43BBB348" w14:textId="13646590" w:rsidR="00FA7517" w:rsidRPr="001B0EA3" w:rsidRDefault="00655C8A" w:rsidP="00ED6EC3">
      <w:pPr>
        <w:autoSpaceDE w:val="0"/>
        <w:autoSpaceDN w:val="0"/>
        <w:adjustRightInd w:val="0"/>
        <w:ind w:firstLine="420"/>
        <w:rPr>
          <w:bCs/>
          <w:szCs w:val="24"/>
          <w:lang w:eastAsia="en-US"/>
        </w:rPr>
      </w:pPr>
      <w:r w:rsidRPr="001B0EA3">
        <w:rPr>
          <w:bCs/>
          <w:szCs w:val="24"/>
          <w:lang w:eastAsia="en-US"/>
        </w:rPr>
        <w:t>Уведомителното писмо се подготвя от служителя</w:t>
      </w:r>
      <w:r w:rsidR="00352BB1" w:rsidRPr="001B0EA3">
        <w:rPr>
          <w:bCs/>
          <w:szCs w:val="24"/>
          <w:lang w:eastAsia="en-US"/>
        </w:rPr>
        <w:t xml:space="preserve"> от отдела</w:t>
      </w:r>
      <w:r w:rsidRPr="001B0EA3">
        <w:rPr>
          <w:bCs/>
          <w:szCs w:val="24"/>
          <w:lang w:eastAsia="en-US"/>
        </w:rPr>
        <w:t>, определен от директора на дирекция „Координация на програми и проекти“ да извърши проверка по сигнала</w:t>
      </w:r>
      <w:r w:rsidR="00352BB1" w:rsidRPr="001B0EA3">
        <w:rPr>
          <w:bCs/>
          <w:szCs w:val="24"/>
          <w:lang w:eastAsia="en-US"/>
        </w:rPr>
        <w:t>,</w:t>
      </w:r>
      <w:r w:rsidRPr="001B0EA3">
        <w:rPr>
          <w:bCs/>
          <w:szCs w:val="24"/>
          <w:lang w:eastAsia="en-US"/>
        </w:rPr>
        <w:t xml:space="preserve"> като писмото се съгласува от началника на отдела</w:t>
      </w:r>
      <w:r w:rsidR="009E126C" w:rsidRPr="001B0EA3">
        <w:rPr>
          <w:bCs/>
          <w:szCs w:val="24"/>
          <w:lang w:eastAsia="en-US"/>
        </w:rPr>
        <w:t xml:space="preserve">, </w:t>
      </w:r>
      <w:r w:rsidR="00352BB1" w:rsidRPr="001B0EA3">
        <w:rPr>
          <w:bCs/>
          <w:szCs w:val="24"/>
          <w:lang w:eastAsia="en-US"/>
        </w:rPr>
        <w:t xml:space="preserve">началника </w:t>
      </w:r>
      <w:r w:rsidR="009E126C" w:rsidRPr="001B0EA3">
        <w:rPr>
          <w:bCs/>
          <w:szCs w:val="24"/>
          <w:lang w:eastAsia="en-US"/>
        </w:rPr>
        <w:t>на отдел „Финансово управление“</w:t>
      </w:r>
      <w:r w:rsidRPr="001B0EA3">
        <w:rPr>
          <w:bCs/>
          <w:szCs w:val="24"/>
          <w:lang w:eastAsia="en-US"/>
        </w:rPr>
        <w:t xml:space="preserve"> и началника на отдел „Управление на риска“</w:t>
      </w:r>
      <w:r w:rsidR="008911AB" w:rsidRPr="001B0EA3">
        <w:rPr>
          <w:bCs/>
          <w:szCs w:val="24"/>
          <w:lang w:eastAsia="en-US"/>
        </w:rPr>
        <w:t>.</w:t>
      </w:r>
      <w:r w:rsidR="009E126C" w:rsidRPr="001B0EA3">
        <w:rPr>
          <w:bCs/>
          <w:szCs w:val="24"/>
          <w:lang w:eastAsia="en-US"/>
        </w:rPr>
        <w:t xml:space="preserve"> Копие от писмото се предоставя за сведение по електронен път на всички отдели на УО. </w:t>
      </w:r>
    </w:p>
    <w:p w14:paraId="12D99E43" w14:textId="77777777" w:rsidR="00AE261A" w:rsidRPr="001B0EA3" w:rsidRDefault="00AE261A" w:rsidP="00FA7517">
      <w:pPr>
        <w:autoSpaceDE w:val="0"/>
        <w:autoSpaceDN w:val="0"/>
        <w:adjustRightInd w:val="0"/>
        <w:rPr>
          <w:b/>
          <w:bCs/>
          <w:color w:val="000000"/>
          <w:szCs w:val="24"/>
          <w:lang w:eastAsia="en-US"/>
        </w:rPr>
      </w:pPr>
    </w:p>
    <w:p w14:paraId="4199204B" w14:textId="77777777" w:rsidR="00DA390C" w:rsidRPr="001B0EA3" w:rsidRDefault="00DA390C" w:rsidP="00ED6EC3">
      <w:pPr>
        <w:autoSpaceDE w:val="0"/>
        <w:autoSpaceDN w:val="0"/>
        <w:adjustRightInd w:val="0"/>
        <w:ind w:firstLine="420"/>
        <w:rPr>
          <w:b/>
          <w:color w:val="000000"/>
          <w:szCs w:val="24"/>
          <w:lang w:eastAsia="en-US"/>
        </w:rPr>
      </w:pPr>
    </w:p>
    <w:p w14:paraId="2A78C0AD" w14:textId="77777777" w:rsidR="007D33B1" w:rsidRPr="00842ECC" w:rsidRDefault="007D33B1" w:rsidP="00656CB4">
      <w:pPr>
        <w:pStyle w:val="Style2"/>
        <w:rPr>
          <w:snapToGrid w:val="0"/>
          <w:lang w:val="bg-BG"/>
        </w:rPr>
      </w:pPr>
      <w:bookmarkStart w:id="1201" w:name="_Toc479775756"/>
      <w:bookmarkStart w:id="1202" w:name="_Toc140150269"/>
      <w:r w:rsidRPr="00842ECC">
        <w:rPr>
          <w:snapToGrid w:val="0"/>
          <w:lang w:val="bg-BG"/>
        </w:rPr>
        <w:t>Приключване на процедурата по администриране на нередност</w:t>
      </w:r>
      <w:bookmarkEnd w:id="1201"/>
      <w:bookmarkEnd w:id="1202"/>
    </w:p>
    <w:p w14:paraId="7584881B" w14:textId="77777777" w:rsidR="007D33B1" w:rsidRDefault="007D33B1" w:rsidP="007D33B1">
      <w:pPr>
        <w:shd w:val="clear" w:color="auto" w:fill="FEFEFE"/>
        <w:jc w:val="left"/>
        <w:rPr>
          <w:b/>
          <w:color w:val="000000"/>
          <w:szCs w:val="24"/>
          <w:highlight w:val="yellow"/>
          <w:lang w:eastAsia="en-US"/>
        </w:rPr>
      </w:pPr>
    </w:p>
    <w:p w14:paraId="78667D26" w14:textId="77777777" w:rsidR="002F04B0" w:rsidRPr="001B0EA3" w:rsidRDefault="002F04B0" w:rsidP="00D82112">
      <w:pPr>
        <w:rPr>
          <w:highlight w:val="yellow"/>
          <w:lang w:eastAsia="en-US"/>
        </w:rPr>
      </w:pPr>
      <w:r w:rsidRPr="002F04B0">
        <w:rPr>
          <w:lang w:eastAsia="en-US"/>
        </w:rPr>
        <w:t>Приключване на процедура по администриране на нередност се извършва в съответствие с чл. 29 от Наредбата за администриране на нередности по Европейските структурни и инвестиционни фондове и чл. 71 ал.5 от ЗУСЕСИФ.</w:t>
      </w:r>
    </w:p>
    <w:p w14:paraId="0EDC1910" w14:textId="77777777" w:rsidR="007D33B1" w:rsidRPr="001B0EA3" w:rsidRDefault="007D33B1" w:rsidP="007D33B1">
      <w:pPr>
        <w:shd w:val="clear" w:color="auto" w:fill="FEFEFE"/>
        <w:jc w:val="left"/>
        <w:rPr>
          <w:rFonts w:ascii="Verdana" w:hAnsi="Verdana"/>
          <w:color w:val="000000"/>
          <w:sz w:val="18"/>
          <w:szCs w:val="18"/>
          <w:lang w:eastAsia="en-US"/>
        </w:rPr>
      </w:pPr>
    </w:p>
    <w:p w14:paraId="2CBA30D6" w14:textId="77777777" w:rsidR="00E21A11" w:rsidRPr="00D82112" w:rsidRDefault="00E21A11" w:rsidP="00D82112">
      <w:pPr>
        <w:rPr>
          <w:b/>
          <w:lang w:eastAsia="en-US"/>
        </w:rPr>
      </w:pPr>
      <w:r w:rsidRPr="00D82112">
        <w:rPr>
          <w:b/>
          <w:lang w:eastAsia="en-US"/>
        </w:rPr>
        <w:t>Решение за приключване на процедурата за администриране на нередност</w:t>
      </w:r>
    </w:p>
    <w:p w14:paraId="7DF05A27" w14:textId="77777777" w:rsidR="007D33B1" w:rsidRPr="001B0EA3" w:rsidRDefault="007D33B1" w:rsidP="00D82112">
      <w:pPr>
        <w:rPr>
          <w:lang w:eastAsia="en-US"/>
        </w:rPr>
      </w:pPr>
      <w:r w:rsidRPr="001B0EA3">
        <w:rPr>
          <w:lang w:eastAsia="en-US"/>
        </w:rPr>
        <w:t xml:space="preserve">Решението за приключване на процедурата по администриране на нередност се обективира в писмен акт </w:t>
      </w:r>
      <w:r w:rsidR="00DA390C" w:rsidRPr="001B0EA3">
        <w:rPr>
          <w:lang w:eastAsia="en-US"/>
        </w:rPr>
        <w:t>на Ръководителя на УО на ОПТТИ</w:t>
      </w:r>
      <w:r w:rsidR="00F1707F" w:rsidRPr="001B0EA3">
        <w:rPr>
          <w:lang w:eastAsia="en-US"/>
        </w:rPr>
        <w:t xml:space="preserve">, </w:t>
      </w:r>
      <w:r w:rsidR="002F04B0" w:rsidRPr="002F04B0">
        <w:rPr>
          <w:lang w:eastAsia="en-US"/>
        </w:rPr>
        <w:t xml:space="preserve">съгласно образец </w:t>
      </w:r>
      <w:hyperlink r:id="rId260" w:tooltip="Решение за приключване на процедурата по администриране на нередност" w:history="1">
        <w:r w:rsidR="00FF4305" w:rsidRPr="00251D03">
          <w:rPr>
            <w:rStyle w:val="Hyperlink"/>
            <w:i/>
            <w:lang w:eastAsia="en-US"/>
          </w:rPr>
          <w:t>Приложение № 6.09</w:t>
        </w:r>
      </w:hyperlink>
      <w:r w:rsidR="002F04B0" w:rsidRPr="00842ECC">
        <w:rPr>
          <w:lang w:eastAsia="en-US"/>
        </w:rPr>
        <w:t xml:space="preserve">, </w:t>
      </w:r>
      <w:r w:rsidRPr="001B0EA3">
        <w:rPr>
          <w:lang w:eastAsia="en-US"/>
        </w:rPr>
        <w:t>в случаите на:</w:t>
      </w:r>
    </w:p>
    <w:p w14:paraId="08BF9743" w14:textId="77777777" w:rsidR="00267BF4" w:rsidRPr="001B0EA3" w:rsidRDefault="00267BF4" w:rsidP="00CC313F">
      <w:pPr>
        <w:pStyle w:val="ListParagraph"/>
        <w:shd w:val="clear" w:color="auto" w:fill="FEFEFE"/>
        <w:ind w:left="0"/>
        <w:rPr>
          <w:bCs/>
          <w:color w:val="000000"/>
          <w:szCs w:val="24"/>
          <w:lang w:eastAsia="en-US"/>
        </w:rPr>
      </w:pPr>
    </w:p>
    <w:p w14:paraId="391A9A04" w14:textId="77777777" w:rsidR="007D33B1" w:rsidRPr="001B0EA3" w:rsidRDefault="007D33B1" w:rsidP="00883614">
      <w:pPr>
        <w:shd w:val="clear" w:color="auto" w:fill="FEFEFE"/>
        <w:rPr>
          <w:bCs/>
          <w:color w:val="000000"/>
          <w:szCs w:val="24"/>
          <w:lang w:eastAsia="en-US"/>
        </w:rPr>
      </w:pPr>
      <w:r w:rsidRPr="001B0EA3">
        <w:rPr>
          <w:bCs/>
          <w:color w:val="000000"/>
          <w:szCs w:val="24"/>
          <w:lang w:eastAsia="en-US"/>
        </w:rPr>
        <w:lastRenderedPageBreak/>
        <w:t>1. възстановяване от бенефициента на недължимо платените и надплатените суми, както и неправомерно получените или неправомерно усвоените средства, включително лихвите върху тях;</w:t>
      </w:r>
    </w:p>
    <w:p w14:paraId="4C935987" w14:textId="77777777" w:rsidR="007D33B1" w:rsidRPr="001B0EA3" w:rsidRDefault="007D33B1" w:rsidP="00883614">
      <w:pPr>
        <w:shd w:val="clear" w:color="auto" w:fill="FEFEFE"/>
        <w:rPr>
          <w:bCs/>
          <w:color w:val="000000"/>
          <w:szCs w:val="24"/>
          <w:lang w:eastAsia="en-US"/>
        </w:rPr>
      </w:pPr>
      <w:r w:rsidRPr="001B0EA3">
        <w:rPr>
          <w:bCs/>
          <w:color w:val="000000"/>
          <w:szCs w:val="24"/>
          <w:lang w:eastAsia="en-US"/>
        </w:rPr>
        <w:t>2. приключване на започната процедура по административноправен или съдебен ред с влязъл в сила административен или съдебен акт;</w:t>
      </w:r>
    </w:p>
    <w:p w14:paraId="4BDE7439" w14:textId="77777777" w:rsidR="007D33B1" w:rsidRPr="001B0EA3" w:rsidRDefault="007D33B1" w:rsidP="00883614">
      <w:pPr>
        <w:shd w:val="clear" w:color="auto" w:fill="FEFEFE"/>
        <w:rPr>
          <w:bCs/>
          <w:color w:val="000000"/>
          <w:szCs w:val="24"/>
          <w:lang w:eastAsia="en-US"/>
        </w:rPr>
      </w:pPr>
      <w:r w:rsidRPr="001B0EA3">
        <w:rPr>
          <w:bCs/>
          <w:color w:val="000000"/>
          <w:szCs w:val="24"/>
          <w:lang w:eastAsia="en-US"/>
        </w:rPr>
        <w:t>3. приключила административна процедура на контролен орган, без в това число да се включват органите, администриращи европейски средства - когато проверката на контролния орган или на органа, оторизиран да направи ревизия на заключението, е приключила, без да са установени нарушения;</w:t>
      </w:r>
    </w:p>
    <w:p w14:paraId="301D82ED" w14:textId="77777777" w:rsidR="007D33B1" w:rsidRPr="001B0EA3" w:rsidRDefault="007D33B1" w:rsidP="00883614">
      <w:pPr>
        <w:shd w:val="clear" w:color="auto" w:fill="FEFEFE"/>
        <w:rPr>
          <w:bCs/>
          <w:color w:val="000000"/>
          <w:szCs w:val="24"/>
          <w:lang w:eastAsia="en-US"/>
        </w:rPr>
      </w:pPr>
      <w:r w:rsidRPr="001B0EA3">
        <w:rPr>
          <w:bCs/>
          <w:color w:val="000000"/>
          <w:szCs w:val="24"/>
          <w:lang w:eastAsia="en-US"/>
        </w:rPr>
        <w:t>4. при изпълнение на задължения на бенефициента, неизпълнението на които е било основание за регистриране на нередността;</w:t>
      </w:r>
    </w:p>
    <w:p w14:paraId="77349E3A" w14:textId="77777777" w:rsidR="007D33B1" w:rsidRPr="001B0EA3" w:rsidRDefault="007D33B1" w:rsidP="00883614">
      <w:pPr>
        <w:shd w:val="clear" w:color="auto" w:fill="FEFEFE"/>
        <w:rPr>
          <w:bCs/>
          <w:color w:val="000000"/>
          <w:szCs w:val="24"/>
          <w:lang w:eastAsia="en-US"/>
        </w:rPr>
      </w:pPr>
      <w:r w:rsidRPr="001B0EA3">
        <w:rPr>
          <w:bCs/>
          <w:color w:val="000000"/>
          <w:szCs w:val="24"/>
          <w:lang w:eastAsia="en-US"/>
        </w:rPr>
        <w:t>5. заличаване на длъжника от съответния регистър, с което се отнема неговата правосубектност;</w:t>
      </w:r>
    </w:p>
    <w:p w14:paraId="38A718FF" w14:textId="77777777" w:rsidR="007D33B1" w:rsidRPr="001B0EA3" w:rsidRDefault="007D33B1" w:rsidP="00883614">
      <w:pPr>
        <w:shd w:val="clear" w:color="auto" w:fill="FEFEFE"/>
        <w:rPr>
          <w:bCs/>
          <w:color w:val="000000"/>
          <w:szCs w:val="24"/>
          <w:lang w:eastAsia="en-US"/>
        </w:rPr>
      </w:pPr>
      <w:r w:rsidRPr="001B0EA3">
        <w:rPr>
          <w:bCs/>
          <w:color w:val="000000"/>
          <w:szCs w:val="24"/>
          <w:lang w:eastAsia="en-US"/>
        </w:rPr>
        <w:t>6. когато нередността е открита преди извършване на плащания по проекта от управляващия орган или междинното звено и бенефициентът поеме финансовите последици от нередността или поиска да бъде прекратен договорът за безвъзмездна финансова помощ;</w:t>
      </w:r>
    </w:p>
    <w:p w14:paraId="7D76C746" w14:textId="77777777" w:rsidR="007D33B1" w:rsidRPr="001B0EA3" w:rsidRDefault="007D33B1" w:rsidP="00883614">
      <w:pPr>
        <w:shd w:val="clear" w:color="auto" w:fill="FEFEFE"/>
        <w:rPr>
          <w:bCs/>
          <w:color w:val="000000"/>
          <w:szCs w:val="24"/>
          <w:lang w:eastAsia="en-US"/>
        </w:rPr>
      </w:pPr>
      <w:r w:rsidRPr="001B0EA3">
        <w:rPr>
          <w:bCs/>
          <w:color w:val="000000"/>
          <w:szCs w:val="24"/>
          <w:lang w:eastAsia="en-US"/>
        </w:rPr>
        <w:t>7. установяване на факти, опровергаващи основанията за установяване на нередността - нередността се приключва чрез прекратяване;</w:t>
      </w:r>
    </w:p>
    <w:p w14:paraId="50C7C410" w14:textId="77777777" w:rsidR="007D33B1" w:rsidRPr="001B0EA3" w:rsidRDefault="007D33B1" w:rsidP="00883614">
      <w:pPr>
        <w:shd w:val="clear" w:color="auto" w:fill="FEFEFE"/>
        <w:rPr>
          <w:bCs/>
          <w:color w:val="000000"/>
          <w:szCs w:val="24"/>
          <w:lang w:eastAsia="en-US"/>
        </w:rPr>
      </w:pPr>
      <w:r w:rsidRPr="001B0EA3">
        <w:rPr>
          <w:bCs/>
          <w:color w:val="000000"/>
          <w:szCs w:val="24"/>
          <w:lang w:eastAsia="en-US"/>
        </w:rPr>
        <w:t>8. отпадане на възможността за принудително събиране на недължимо платените и надплатените суми, както и неправомерно получените или неправомерно усвоените средства, включително лихвите върху тях;</w:t>
      </w:r>
    </w:p>
    <w:p w14:paraId="1AB96891" w14:textId="77777777" w:rsidR="007D33B1" w:rsidRPr="001B0EA3" w:rsidRDefault="007D33B1" w:rsidP="00883614">
      <w:pPr>
        <w:shd w:val="clear" w:color="auto" w:fill="FEFEFE"/>
        <w:rPr>
          <w:bCs/>
          <w:color w:val="000000"/>
          <w:szCs w:val="24"/>
          <w:lang w:eastAsia="en-US"/>
        </w:rPr>
      </w:pPr>
      <w:r w:rsidRPr="001B0EA3">
        <w:rPr>
          <w:bCs/>
          <w:color w:val="000000"/>
          <w:szCs w:val="24"/>
          <w:lang w:eastAsia="en-US"/>
        </w:rPr>
        <w:t>9. извършена финансова корекция по чл. 71, ал. 5 ЗУСЕСИФ.</w:t>
      </w:r>
    </w:p>
    <w:p w14:paraId="55ED327B" w14:textId="77777777" w:rsidR="00DA390C" w:rsidRDefault="00DA390C" w:rsidP="00883614">
      <w:pPr>
        <w:shd w:val="clear" w:color="auto" w:fill="FEFEFE"/>
        <w:ind w:firstLine="709"/>
        <w:rPr>
          <w:bCs/>
          <w:color w:val="000000"/>
          <w:szCs w:val="24"/>
          <w:lang w:eastAsia="en-US"/>
        </w:rPr>
      </w:pPr>
    </w:p>
    <w:p w14:paraId="07B66E2E" w14:textId="0D9906F4" w:rsidR="002F04B0" w:rsidRPr="0050698B" w:rsidRDefault="002F04B0" w:rsidP="00D82112">
      <w:pPr>
        <w:rPr>
          <w:lang w:eastAsia="en-US"/>
        </w:rPr>
      </w:pPr>
      <w:r w:rsidRPr="0050698B">
        <w:rPr>
          <w:lang w:eastAsia="en-US"/>
        </w:rPr>
        <w:t xml:space="preserve">При извършване на горепосочената  процедурата съответният служител от отдел </w:t>
      </w:r>
      <w:r w:rsidR="001E5EBC">
        <w:rPr>
          <w:lang w:eastAsia="en-US"/>
        </w:rPr>
        <w:t>УР</w:t>
      </w:r>
      <w:r w:rsidRPr="0050698B">
        <w:rPr>
          <w:lang w:eastAsia="en-US"/>
        </w:rPr>
        <w:t xml:space="preserve"> прави следната проверка:</w:t>
      </w:r>
    </w:p>
    <w:p w14:paraId="7CAD97D9" w14:textId="77777777" w:rsidR="002F04B0" w:rsidRPr="0050698B" w:rsidRDefault="002F04B0" w:rsidP="00D82112">
      <w:pPr>
        <w:tabs>
          <w:tab w:val="left" w:pos="1134"/>
        </w:tabs>
        <w:rPr>
          <w:lang w:eastAsia="en-US"/>
        </w:rPr>
      </w:pPr>
      <w:r w:rsidRPr="0050698B">
        <w:rPr>
          <w:lang w:eastAsia="en-US"/>
        </w:rPr>
        <w:t>•</w:t>
      </w:r>
      <w:r w:rsidRPr="0050698B">
        <w:rPr>
          <w:lang w:eastAsia="en-US"/>
        </w:rPr>
        <w:tab/>
        <w:t>Наличие на обстоятелства по чл. 29 от Наредбата за администриране на нередности по ЕСИФ;</w:t>
      </w:r>
    </w:p>
    <w:p w14:paraId="2AA7686E" w14:textId="77777777" w:rsidR="002F04B0" w:rsidRPr="0050698B" w:rsidRDefault="002F04B0" w:rsidP="00D82112">
      <w:pPr>
        <w:tabs>
          <w:tab w:val="left" w:pos="1134"/>
        </w:tabs>
        <w:rPr>
          <w:lang w:eastAsia="en-US"/>
        </w:rPr>
      </w:pPr>
      <w:r w:rsidRPr="0050698B">
        <w:rPr>
          <w:lang w:eastAsia="en-US"/>
        </w:rPr>
        <w:t>•</w:t>
      </w:r>
      <w:r w:rsidRPr="0050698B">
        <w:rPr>
          <w:lang w:eastAsia="en-US"/>
        </w:rPr>
        <w:tab/>
        <w:t>Наличие на получена информация от отдел „Финансово управление“ за финансово приключване на договора;</w:t>
      </w:r>
    </w:p>
    <w:p w14:paraId="735DFC87" w14:textId="77777777" w:rsidR="002F04B0" w:rsidRDefault="002F04B0" w:rsidP="00D82112">
      <w:pPr>
        <w:tabs>
          <w:tab w:val="left" w:pos="1134"/>
        </w:tabs>
        <w:rPr>
          <w:lang w:eastAsia="en-US"/>
        </w:rPr>
      </w:pPr>
      <w:r w:rsidRPr="0050698B">
        <w:rPr>
          <w:lang w:eastAsia="en-US"/>
        </w:rPr>
        <w:t>•</w:t>
      </w:r>
      <w:r w:rsidRPr="0050698B">
        <w:rPr>
          <w:lang w:eastAsia="en-US"/>
        </w:rPr>
        <w:tab/>
        <w:t>Липсата на съдебна процедура по съответната нередност в регистър Справка съдебни дела по ОПТТИ, а ако е налице съдебна процедура, то същата е приключена с влязъл в сила съдебен акт.</w:t>
      </w:r>
    </w:p>
    <w:p w14:paraId="77ADCC90" w14:textId="77777777" w:rsidR="002F04B0" w:rsidRPr="001B0EA3" w:rsidRDefault="002F04B0" w:rsidP="00883614">
      <w:pPr>
        <w:shd w:val="clear" w:color="auto" w:fill="FEFEFE"/>
        <w:ind w:firstLine="709"/>
        <w:rPr>
          <w:bCs/>
          <w:color w:val="000000"/>
          <w:szCs w:val="24"/>
          <w:lang w:eastAsia="en-US"/>
        </w:rPr>
      </w:pPr>
    </w:p>
    <w:p w14:paraId="618DA486" w14:textId="77777777" w:rsidR="007D33B1" w:rsidRPr="001B0EA3" w:rsidRDefault="007D33B1" w:rsidP="00F1707F">
      <w:pPr>
        <w:pStyle w:val="ListParagraph"/>
        <w:shd w:val="clear" w:color="auto" w:fill="FEFEFE"/>
        <w:ind w:left="0" w:firstLine="709"/>
        <w:rPr>
          <w:bCs/>
          <w:color w:val="000000"/>
          <w:szCs w:val="24"/>
          <w:lang w:eastAsia="en-US"/>
        </w:rPr>
      </w:pPr>
      <w:r w:rsidRPr="001B0EA3">
        <w:rPr>
          <w:bCs/>
          <w:color w:val="000000"/>
          <w:szCs w:val="24"/>
          <w:lang w:eastAsia="en-US"/>
        </w:rPr>
        <w:t>Решението за приключване на процедурата по администриране на нередността съдържа:</w:t>
      </w:r>
    </w:p>
    <w:p w14:paraId="11ED9E65" w14:textId="77777777" w:rsidR="007D33B1" w:rsidRPr="001B0EA3" w:rsidRDefault="007D33B1" w:rsidP="00883614">
      <w:pPr>
        <w:shd w:val="clear" w:color="auto" w:fill="FEFEFE"/>
        <w:rPr>
          <w:bCs/>
          <w:color w:val="000000"/>
          <w:szCs w:val="24"/>
          <w:lang w:eastAsia="en-US"/>
        </w:rPr>
      </w:pPr>
      <w:r w:rsidRPr="001B0EA3">
        <w:rPr>
          <w:bCs/>
          <w:color w:val="000000"/>
          <w:szCs w:val="24"/>
          <w:lang w:eastAsia="en-US"/>
        </w:rPr>
        <w:t>1. наименованието на органа, който го издава;</w:t>
      </w:r>
    </w:p>
    <w:p w14:paraId="63E249E1" w14:textId="77777777" w:rsidR="007D33B1" w:rsidRPr="001B0EA3" w:rsidRDefault="007D33B1" w:rsidP="00883614">
      <w:pPr>
        <w:shd w:val="clear" w:color="auto" w:fill="FEFEFE"/>
        <w:rPr>
          <w:bCs/>
          <w:color w:val="000000"/>
          <w:szCs w:val="24"/>
          <w:lang w:eastAsia="en-US"/>
        </w:rPr>
      </w:pPr>
      <w:r w:rsidRPr="001B0EA3">
        <w:rPr>
          <w:bCs/>
          <w:color w:val="000000"/>
          <w:szCs w:val="24"/>
          <w:lang w:eastAsia="en-US"/>
        </w:rPr>
        <w:t>2. наименование на акта с отбелязване, че се издава на основание чл. 29, ал. 1 от наредбата;</w:t>
      </w:r>
    </w:p>
    <w:p w14:paraId="7B39179F" w14:textId="77777777" w:rsidR="007D33B1" w:rsidRPr="001B0EA3" w:rsidRDefault="007D33B1" w:rsidP="00883614">
      <w:pPr>
        <w:shd w:val="clear" w:color="auto" w:fill="FEFEFE"/>
        <w:rPr>
          <w:bCs/>
          <w:color w:val="000000"/>
          <w:szCs w:val="24"/>
          <w:lang w:eastAsia="en-US"/>
        </w:rPr>
      </w:pPr>
      <w:r w:rsidRPr="001B0EA3">
        <w:rPr>
          <w:bCs/>
          <w:color w:val="000000"/>
          <w:szCs w:val="24"/>
          <w:lang w:eastAsia="en-US"/>
        </w:rPr>
        <w:t>3. фактическите и правните основания за приключване на процедурата по администриране на нередността;</w:t>
      </w:r>
    </w:p>
    <w:p w14:paraId="584C3BA0" w14:textId="77777777" w:rsidR="007D33B1" w:rsidRPr="001B0EA3" w:rsidRDefault="007D33B1" w:rsidP="00883614">
      <w:pPr>
        <w:shd w:val="clear" w:color="auto" w:fill="FEFEFE"/>
        <w:rPr>
          <w:bCs/>
          <w:color w:val="000000"/>
          <w:szCs w:val="24"/>
          <w:lang w:eastAsia="en-US"/>
        </w:rPr>
      </w:pPr>
      <w:r w:rsidRPr="001B0EA3">
        <w:rPr>
          <w:bCs/>
          <w:color w:val="000000"/>
          <w:szCs w:val="24"/>
          <w:lang w:eastAsia="en-US"/>
        </w:rPr>
        <w:t>4. дата на издаване и подпис на лицето, издало акта, с посочване на длъжността му.</w:t>
      </w:r>
    </w:p>
    <w:p w14:paraId="7F98558B" w14:textId="77777777" w:rsidR="002F04B0" w:rsidRDefault="002F04B0" w:rsidP="002F04B0">
      <w:pPr>
        <w:shd w:val="clear" w:color="auto" w:fill="FEFEFE"/>
        <w:rPr>
          <w:bCs/>
          <w:color w:val="000000"/>
          <w:szCs w:val="24"/>
          <w:lang w:eastAsia="en-US"/>
        </w:rPr>
      </w:pPr>
    </w:p>
    <w:p w14:paraId="1216AF55" w14:textId="77777777" w:rsidR="007D33B1" w:rsidRPr="001B0EA3" w:rsidRDefault="007D33B1" w:rsidP="002F04B0">
      <w:pPr>
        <w:shd w:val="clear" w:color="auto" w:fill="FEFEFE"/>
        <w:rPr>
          <w:bCs/>
          <w:color w:val="000000"/>
          <w:szCs w:val="24"/>
          <w:lang w:eastAsia="en-US"/>
        </w:rPr>
      </w:pPr>
      <w:r w:rsidRPr="001B0EA3">
        <w:rPr>
          <w:bCs/>
          <w:color w:val="000000"/>
          <w:szCs w:val="24"/>
          <w:lang w:eastAsia="en-US"/>
        </w:rPr>
        <w:t xml:space="preserve">При възникване на нови обстоятелства разглеждането на случая може да се възобнови. Решението за възобновяване на процедурата по администриране на нередност се обективира в писмен акт на Ръководителя на УО. </w:t>
      </w:r>
    </w:p>
    <w:p w14:paraId="0B5110D8" w14:textId="77777777" w:rsidR="00883614" w:rsidRPr="001B0EA3" w:rsidRDefault="00883614" w:rsidP="00883614">
      <w:pPr>
        <w:shd w:val="clear" w:color="auto" w:fill="FEFEFE"/>
        <w:ind w:firstLine="709"/>
        <w:rPr>
          <w:bCs/>
          <w:color w:val="000000"/>
          <w:szCs w:val="24"/>
          <w:lang w:eastAsia="en-US"/>
        </w:rPr>
      </w:pPr>
    </w:p>
    <w:p w14:paraId="3FFFF474" w14:textId="77777777" w:rsidR="00E21A11" w:rsidRPr="00D82112" w:rsidRDefault="00E21A11" w:rsidP="00201595">
      <w:pPr>
        <w:rPr>
          <w:b/>
          <w:lang w:eastAsia="en-US"/>
        </w:rPr>
      </w:pPr>
      <w:r w:rsidRPr="00D82112">
        <w:rPr>
          <w:b/>
          <w:lang w:eastAsia="en-US"/>
        </w:rPr>
        <w:t>Решение за възобновяване на процедурата за администриране на нередност</w:t>
      </w:r>
    </w:p>
    <w:p w14:paraId="5951D2A4" w14:textId="77777777" w:rsidR="007D33B1" w:rsidRPr="001B0EA3" w:rsidRDefault="007D33B1" w:rsidP="00201595">
      <w:pPr>
        <w:pStyle w:val="ListParagraph"/>
        <w:shd w:val="clear" w:color="auto" w:fill="FEFEFE"/>
        <w:ind w:left="0"/>
        <w:rPr>
          <w:bCs/>
          <w:color w:val="000000"/>
          <w:szCs w:val="24"/>
          <w:lang w:eastAsia="en-US"/>
        </w:rPr>
      </w:pPr>
      <w:r w:rsidRPr="001B0EA3">
        <w:rPr>
          <w:bCs/>
          <w:color w:val="000000"/>
          <w:szCs w:val="24"/>
          <w:lang w:eastAsia="en-US"/>
        </w:rPr>
        <w:t xml:space="preserve">Решението за възобновяване на процедурата по администриране на </w:t>
      </w:r>
      <w:r w:rsidR="00201595" w:rsidRPr="00201595">
        <w:rPr>
          <w:bCs/>
          <w:color w:val="000000"/>
          <w:szCs w:val="24"/>
          <w:lang w:eastAsia="en-US"/>
        </w:rPr>
        <w:t xml:space="preserve">нередност </w:t>
      </w:r>
      <w:r w:rsidRPr="001B0EA3">
        <w:rPr>
          <w:bCs/>
          <w:color w:val="000000"/>
          <w:szCs w:val="24"/>
          <w:lang w:eastAsia="en-US"/>
        </w:rPr>
        <w:t>съдържа:</w:t>
      </w:r>
    </w:p>
    <w:p w14:paraId="330AC8E0" w14:textId="77777777" w:rsidR="00267BF4" w:rsidRPr="001B0EA3" w:rsidRDefault="00267BF4" w:rsidP="00267BF4">
      <w:pPr>
        <w:pStyle w:val="ListParagraph"/>
        <w:shd w:val="clear" w:color="auto" w:fill="FEFEFE"/>
        <w:ind w:left="0"/>
        <w:rPr>
          <w:bCs/>
          <w:color w:val="000000"/>
          <w:szCs w:val="24"/>
          <w:lang w:eastAsia="en-US"/>
        </w:rPr>
      </w:pPr>
    </w:p>
    <w:p w14:paraId="3FC91769" w14:textId="77777777" w:rsidR="007D33B1" w:rsidRPr="001B0EA3" w:rsidRDefault="007D33B1" w:rsidP="00883614">
      <w:pPr>
        <w:shd w:val="clear" w:color="auto" w:fill="FEFEFE"/>
        <w:rPr>
          <w:bCs/>
          <w:color w:val="000000"/>
          <w:szCs w:val="24"/>
          <w:lang w:eastAsia="en-US"/>
        </w:rPr>
      </w:pPr>
      <w:r w:rsidRPr="001B0EA3">
        <w:rPr>
          <w:bCs/>
          <w:color w:val="000000"/>
          <w:szCs w:val="24"/>
          <w:lang w:eastAsia="en-US"/>
        </w:rPr>
        <w:t>1. наименованието на органа, който го издава;</w:t>
      </w:r>
    </w:p>
    <w:p w14:paraId="2093EF6A" w14:textId="77777777" w:rsidR="007D33B1" w:rsidRPr="001B0EA3" w:rsidRDefault="007D33B1" w:rsidP="00883614">
      <w:pPr>
        <w:shd w:val="clear" w:color="auto" w:fill="FEFEFE"/>
        <w:rPr>
          <w:bCs/>
          <w:color w:val="000000"/>
          <w:szCs w:val="24"/>
          <w:lang w:eastAsia="en-US"/>
        </w:rPr>
      </w:pPr>
      <w:r w:rsidRPr="001B0EA3">
        <w:rPr>
          <w:bCs/>
          <w:color w:val="000000"/>
          <w:szCs w:val="24"/>
          <w:lang w:eastAsia="en-US"/>
        </w:rPr>
        <w:lastRenderedPageBreak/>
        <w:t>2. наименование на акта с отбелязване, че се издава на основание чл. 29, ал. 3 от наредбата;</w:t>
      </w:r>
    </w:p>
    <w:p w14:paraId="665467EF" w14:textId="77777777" w:rsidR="007D33B1" w:rsidRPr="001B0EA3" w:rsidRDefault="007D33B1" w:rsidP="00883614">
      <w:pPr>
        <w:shd w:val="clear" w:color="auto" w:fill="FEFEFE"/>
        <w:rPr>
          <w:bCs/>
          <w:color w:val="000000"/>
          <w:szCs w:val="24"/>
          <w:lang w:eastAsia="en-US"/>
        </w:rPr>
      </w:pPr>
      <w:r w:rsidRPr="001B0EA3">
        <w:rPr>
          <w:bCs/>
          <w:color w:val="000000"/>
          <w:szCs w:val="24"/>
          <w:lang w:eastAsia="en-US"/>
        </w:rPr>
        <w:t>3. фактическите и правните основания за възобновяване на процедурата по администриране на нередността;</w:t>
      </w:r>
    </w:p>
    <w:p w14:paraId="4F241F07" w14:textId="77777777" w:rsidR="007D33B1" w:rsidRPr="001B0EA3" w:rsidRDefault="007D33B1" w:rsidP="00883614">
      <w:pPr>
        <w:shd w:val="clear" w:color="auto" w:fill="FEFEFE"/>
        <w:rPr>
          <w:bCs/>
          <w:color w:val="000000"/>
          <w:szCs w:val="24"/>
          <w:lang w:eastAsia="en-US"/>
        </w:rPr>
      </w:pPr>
      <w:r w:rsidRPr="001B0EA3">
        <w:rPr>
          <w:bCs/>
          <w:color w:val="000000"/>
          <w:szCs w:val="24"/>
          <w:lang w:eastAsia="en-US"/>
        </w:rPr>
        <w:t>4. дата на издаване и подпис на лицето, издало акта, с посочване на длъжността му.</w:t>
      </w:r>
    </w:p>
    <w:p w14:paraId="37C73C44" w14:textId="6D4F32CF" w:rsidR="00352BB1" w:rsidRPr="001B0EA3" w:rsidRDefault="00F1707F" w:rsidP="00F1707F">
      <w:pPr>
        <w:shd w:val="clear" w:color="auto" w:fill="FEFEFE"/>
        <w:ind w:firstLine="709"/>
        <w:rPr>
          <w:bCs/>
          <w:color w:val="000000"/>
          <w:szCs w:val="24"/>
          <w:lang w:eastAsia="en-US"/>
        </w:rPr>
      </w:pPr>
      <w:r w:rsidRPr="001B0EA3">
        <w:rPr>
          <w:bCs/>
          <w:color w:val="000000"/>
          <w:szCs w:val="24"/>
          <w:lang w:eastAsia="en-US"/>
        </w:rPr>
        <w:t>Решенията за приключване и за възобновяване на процедурата по администриране на нередност се изготвя</w:t>
      </w:r>
      <w:r w:rsidR="00720FFC" w:rsidRPr="001B0EA3">
        <w:rPr>
          <w:bCs/>
          <w:color w:val="000000"/>
          <w:szCs w:val="24"/>
          <w:lang w:eastAsia="en-US"/>
        </w:rPr>
        <w:t>т</w:t>
      </w:r>
      <w:r w:rsidRPr="001B0EA3">
        <w:rPr>
          <w:bCs/>
          <w:color w:val="000000"/>
          <w:szCs w:val="24"/>
          <w:lang w:eastAsia="en-US"/>
        </w:rPr>
        <w:t xml:space="preserve"> от служителя по нередности, въвеждал информацията за администрирането на нередността в ИСУН 2020</w:t>
      </w:r>
      <w:r w:rsidR="00720FFC" w:rsidRPr="001B0EA3">
        <w:rPr>
          <w:bCs/>
          <w:color w:val="000000"/>
          <w:szCs w:val="24"/>
          <w:lang w:eastAsia="en-US"/>
        </w:rPr>
        <w:t>,</w:t>
      </w:r>
      <w:r w:rsidRPr="001B0EA3">
        <w:rPr>
          <w:bCs/>
          <w:color w:val="000000"/>
          <w:szCs w:val="24"/>
          <w:lang w:eastAsia="en-US"/>
        </w:rPr>
        <w:t xml:space="preserve"> и се съгласува</w:t>
      </w:r>
      <w:r w:rsidR="00720FFC" w:rsidRPr="001B0EA3">
        <w:rPr>
          <w:bCs/>
          <w:color w:val="000000"/>
          <w:szCs w:val="24"/>
          <w:lang w:eastAsia="en-US"/>
        </w:rPr>
        <w:t>т</w:t>
      </w:r>
      <w:r w:rsidRPr="001B0EA3">
        <w:rPr>
          <w:bCs/>
          <w:color w:val="000000"/>
          <w:szCs w:val="24"/>
          <w:lang w:eastAsia="en-US"/>
        </w:rPr>
        <w:t xml:space="preserve"> най-малко от началника на отдел „</w:t>
      </w:r>
      <w:r w:rsidR="00BF2747">
        <w:rPr>
          <w:bCs/>
          <w:color w:val="000000"/>
          <w:szCs w:val="24"/>
          <w:lang w:eastAsia="en-US"/>
        </w:rPr>
        <w:t>Управление на риска</w:t>
      </w:r>
      <w:r w:rsidRPr="001B0EA3">
        <w:rPr>
          <w:bCs/>
          <w:color w:val="000000"/>
          <w:szCs w:val="24"/>
          <w:lang w:eastAsia="en-US"/>
        </w:rPr>
        <w:t>“</w:t>
      </w:r>
      <w:r w:rsidR="00BF2747" w:rsidRPr="00BF2747" w:rsidDel="008C1156">
        <w:rPr>
          <w:bCs/>
          <w:color w:val="000000"/>
          <w:szCs w:val="24"/>
          <w:lang w:eastAsia="en-US"/>
        </w:rPr>
        <w:t xml:space="preserve"> </w:t>
      </w:r>
      <w:r w:rsidRPr="001B0EA3">
        <w:rPr>
          <w:bCs/>
          <w:color w:val="000000"/>
          <w:szCs w:val="24"/>
          <w:lang w:eastAsia="en-US"/>
        </w:rPr>
        <w:t xml:space="preserve"> и директора на дирекция „Координация на програми и проекти“. </w:t>
      </w:r>
    </w:p>
    <w:p w14:paraId="715FC5AE" w14:textId="77777777" w:rsidR="007D33B1" w:rsidRPr="001B0EA3" w:rsidRDefault="00064FA4" w:rsidP="00883614">
      <w:pPr>
        <w:shd w:val="clear" w:color="auto" w:fill="FEFEFE"/>
        <w:rPr>
          <w:b/>
          <w:bCs/>
          <w:color w:val="000000"/>
          <w:szCs w:val="24"/>
          <w:lang w:eastAsia="en-US"/>
        </w:rPr>
      </w:pPr>
      <w:r w:rsidRPr="001B0EA3">
        <w:rPr>
          <w:b/>
          <w:bCs/>
          <w:color w:val="000000"/>
          <w:szCs w:val="24"/>
          <w:lang w:eastAsia="en-US"/>
        </w:rPr>
        <w:t>26</w:t>
      </w:r>
      <w:r w:rsidR="00F526A2" w:rsidRPr="001B0EA3">
        <w:rPr>
          <w:b/>
          <w:bCs/>
          <w:color w:val="000000"/>
          <w:szCs w:val="24"/>
          <w:lang w:eastAsia="en-US"/>
        </w:rPr>
        <w:t>.</w:t>
      </w:r>
      <w:r w:rsidR="007D33B1" w:rsidRPr="001B0EA3">
        <w:rPr>
          <w:b/>
          <w:bCs/>
          <w:color w:val="000000"/>
          <w:szCs w:val="24"/>
          <w:lang w:eastAsia="en-US"/>
        </w:rPr>
        <w:t>8. Други действия, изпълнението на които е от значение за правилното администриране на нередността.</w:t>
      </w:r>
    </w:p>
    <w:p w14:paraId="022FA145" w14:textId="77777777" w:rsidR="009E126C" w:rsidRPr="001B0EA3" w:rsidRDefault="009E126C" w:rsidP="00883614">
      <w:pPr>
        <w:shd w:val="clear" w:color="auto" w:fill="FEFEFE"/>
        <w:rPr>
          <w:b/>
          <w:bCs/>
          <w:color w:val="000000"/>
          <w:szCs w:val="24"/>
          <w:lang w:eastAsia="en-US"/>
        </w:rPr>
      </w:pPr>
    </w:p>
    <w:p w14:paraId="784A8DAF" w14:textId="77777777" w:rsidR="00DA390C" w:rsidRPr="001B0EA3" w:rsidRDefault="00086BE4" w:rsidP="00883614">
      <w:pPr>
        <w:autoSpaceDE w:val="0"/>
        <w:autoSpaceDN w:val="0"/>
        <w:adjustRightInd w:val="0"/>
        <w:ind w:firstLine="709"/>
        <w:rPr>
          <w:bCs/>
          <w:color w:val="000000"/>
          <w:szCs w:val="24"/>
          <w:lang w:eastAsia="en-US"/>
        </w:rPr>
      </w:pPr>
      <w:r w:rsidRPr="001B0EA3">
        <w:rPr>
          <w:bCs/>
          <w:color w:val="000000"/>
          <w:szCs w:val="24"/>
          <w:lang w:eastAsia="en-US"/>
        </w:rPr>
        <w:t>По предложение на директора на дирекция „Координация на програми и проекти“ Ръководителят на УО може да разпореди и други действия, изпълнението на които е от значение за правилното администриране на нередността.</w:t>
      </w:r>
    </w:p>
    <w:p w14:paraId="5F2A6690" w14:textId="77777777" w:rsidR="00D603F5" w:rsidRPr="00A110A4" w:rsidRDefault="00AE6A4F" w:rsidP="00F058E0">
      <w:pPr>
        <w:pStyle w:val="Style1"/>
      </w:pPr>
      <w:bookmarkStart w:id="1203" w:name="_Toc479775757"/>
      <w:bookmarkStart w:id="1204" w:name="_Toc140150270"/>
      <w:r w:rsidRPr="00A110A4">
        <w:t xml:space="preserve">ИЗБЯГВАНЕ </w:t>
      </w:r>
      <w:r w:rsidR="004C7066" w:rsidRPr="00A110A4">
        <w:t xml:space="preserve">НА </w:t>
      </w:r>
      <w:r w:rsidR="00D603F5" w:rsidRPr="00A110A4">
        <w:t>КОНФЛИКТ НА ИНТЕРЕСИ</w:t>
      </w:r>
      <w:bookmarkEnd w:id="1203"/>
      <w:bookmarkEnd w:id="1204"/>
    </w:p>
    <w:p w14:paraId="78AD9A1F" w14:textId="77777777" w:rsidR="005C3C18" w:rsidRPr="00007D0D" w:rsidRDefault="005C3C18" w:rsidP="005C3C18">
      <w:pPr>
        <w:rPr>
          <w:snapToGrid w:val="0"/>
          <w:szCs w:val="24"/>
        </w:rPr>
      </w:pPr>
      <w:r w:rsidRPr="00007D0D">
        <w:rPr>
          <w:snapToGrid w:val="0"/>
          <w:szCs w:val="24"/>
        </w:rPr>
        <w:t>Описанието на обстоятелствата, които могат да бъдат счетени за действителен, потенциален или привиден конфликт на интереси се основава на определението, посочено в чл. 61, пар. 3 от Регламент (ЕС, Евратом) № 1046 от 2018 на Европейския парламент и на Съвета. Определението за конфликт на интереси за целите на изразходването и управлението на бюджета на ЕС е както следва:</w:t>
      </w:r>
    </w:p>
    <w:p w14:paraId="36FE821C" w14:textId="77777777" w:rsidR="005C3C18" w:rsidRPr="00007D0D" w:rsidRDefault="005C3C18" w:rsidP="005C3C18">
      <w:pPr>
        <w:shd w:val="clear" w:color="auto" w:fill="FFFFFF"/>
        <w:spacing w:before="120"/>
        <w:rPr>
          <w:rFonts w:ascii="inherit" w:hAnsi="inherit"/>
          <w:i/>
          <w:color w:val="000000"/>
          <w:szCs w:val="24"/>
          <w:lang w:eastAsia="bg-BG"/>
        </w:rPr>
      </w:pPr>
      <w:r w:rsidRPr="00007D0D">
        <w:rPr>
          <w:rFonts w:ascii="inherit" w:hAnsi="inherit"/>
          <w:i/>
          <w:color w:val="000000"/>
          <w:szCs w:val="24"/>
          <w:lang w:eastAsia="bg-BG"/>
        </w:rPr>
        <w:t>1.   Финансовите участници по смисъла на глава 4 от настоящия дял и другите лица, включително националните органи на всяко равнище, участващи в изпълнението на бюджета при условията на пряко, непряко и споделено управление, включително в подготвителните действия, в одита или в контрола, не предприемат никакви действия, които могат да поставят собствените им интереси в конфликт с тези на Съюза. Те предприемат също така подходящи мерки за предотвратяване на конфликт на интереси във функциите, за които носят отговорност, и за справяне със ситуации, които обективно могат да бъдат възприети като конфликт на интереси.</w:t>
      </w:r>
    </w:p>
    <w:p w14:paraId="5CD246E9" w14:textId="77777777" w:rsidR="005C3C18" w:rsidRPr="00007D0D" w:rsidRDefault="005C3C18" w:rsidP="005C3C18">
      <w:pPr>
        <w:shd w:val="clear" w:color="auto" w:fill="FFFFFF"/>
        <w:spacing w:before="120"/>
        <w:rPr>
          <w:rFonts w:ascii="inherit" w:hAnsi="inherit"/>
          <w:i/>
          <w:color w:val="000000"/>
          <w:szCs w:val="24"/>
          <w:lang w:eastAsia="bg-BG"/>
        </w:rPr>
      </w:pPr>
      <w:r w:rsidRPr="00007D0D">
        <w:rPr>
          <w:rFonts w:ascii="inherit" w:hAnsi="inherit"/>
          <w:i/>
          <w:color w:val="000000"/>
          <w:szCs w:val="24"/>
          <w:lang w:eastAsia="bg-BG"/>
        </w:rPr>
        <w:t>2.   Когато има риск от конфликт на интереси с участието на служител на национален орган, съответното лице отнася въпроса до своя пряк ръководител. Когато подобен риск съществува за служители, за които се прилага Правилникът за персонала, съответното лице отнася въпроса до съответния оправомощен разпоредител с бюджетни кредити. Съответният пряк ръководител или оправомощеният разпоредител с бюджетни кредити потвърждава писмено дали е установен конфликт на интереси. В случай на установяване на конфликт на интереси органът по назначаването или съответният национален орган вземат необходимите мерки съответното лице да прекрати всякаква дейност по този въпрос. Съответният оправомощен разпоредител с бюджетни кредити или съответният национален орган гарантира, че се предприемат всички допълнителни подходящи действия в съответствие с приложимото право.</w:t>
      </w:r>
    </w:p>
    <w:p w14:paraId="09F73137" w14:textId="77777777" w:rsidR="005C3C18" w:rsidRPr="00007D0D" w:rsidRDefault="005C3C18" w:rsidP="005C3C18">
      <w:pPr>
        <w:shd w:val="clear" w:color="auto" w:fill="FFFFFF"/>
        <w:spacing w:before="120"/>
        <w:rPr>
          <w:rFonts w:ascii="inherit" w:hAnsi="inherit"/>
          <w:i/>
          <w:color w:val="000000"/>
          <w:szCs w:val="24"/>
          <w:lang w:eastAsia="bg-BG"/>
        </w:rPr>
      </w:pPr>
      <w:r w:rsidRPr="00007D0D">
        <w:rPr>
          <w:rFonts w:ascii="inherit" w:hAnsi="inherit"/>
          <w:i/>
          <w:color w:val="000000"/>
          <w:szCs w:val="24"/>
          <w:lang w:eastAsia="bg-BG"/>
        </w:rPr>
        <w:t>3.   За целите на параграф 1 конфликт на интереси съществува, когато безпристрастното и обективно упражняване на функциите на финансов участник или друго лице, посочено в параграф 1, е опорочено по причини, свързани със семейния и емоционалния живот, политическа или национална принадлежност, икономически интерес или всякакъв друг пряк или косвен личен интерес.</w:t>
      </w:r>
    </w:p>
    <w:p w14:paraId="6B27B2EA" w14:textId="77777777" w:rsidR="005C3C18" w:rsidRDefault="005C3C18" w:rsidP="005C3C18">
      <w:pPr>
        <w:rPr>
          <w:snapToGrid w:val="0"/>
          <w:szCs w:val="24"/>
        </w:rPr>
      </w:pPr>
    </w:p>
    <w:p w14:paraId="6D07B417" w14:textId="77777777" w:rsidR="005C3C18" w:rsidRDefault="005C3C18" w:rsidP="005C3C18">
      <w:pPr>
        <w:rPr>
          <w:snapToGrid w:val="0"/>
          <w:szCs w:val="24"/>
        </w:rPr>
      </w:pPr>
      <w:r w:rsidRPr="00007D0D">
        <w:rPr>
          <w:snapToGrid w:val="0"/>
          <w:szCs w:val="24"/>
        </w:rPr>
        <w:t xml:space="preserve">С оглед изпълнение на задълженията на Управляващите органи на Оперативните програми, финансирани с европейски средства,  посочени в чл.125, пар. 4, буква „в“ от Регламент (ЕС) № 1303/2013 на Европейския парламент и на Съвета всички служители на УО </w:t>
      </w:r>
      <w:r w:rsidRPr="00007D0D">
        <w:rPr>
          <w:snapToGrid w:val="0"/>
          <w:szCs w:val="24"/>
        </w:rPr>
        <w:lastRenderedPageBreak/>
        <w:t>на ОПТТИ, които участват в подготовката, изпълнението и управлението на Оперативната програма е необходимо да подписват декларация за липса на конфликт на интереси по смисъла на чл. 61, пар. 3 от Регламент (ЕС, Евратом) № 1046 от 2018 на Европейския парламент и на Съвета (</w:t>
      </w:r>
      <w:hyperlink r:id="rId261" w:tooltip="Декларация от служител на УО за липса на конфликт на интереси по смисъл на чл.57 параграф 2 от Регламент № 966 от 2012" w:history="1">
        <w:r w:rsidRPr="00007D0D">
          <w:rPr>
            <w:i/>
            <w:color w:val="0000FF"/>
            <w:szCs w:val="24"/>
            <w:u w:val="single"/>
            <w:lang w:eastAsia="bg-BG"/>
          </w:rPr>
          <w:t>Приложение № 6.06</w:t>
        </w:r>
      </w:hyperlink>
      <w:r w:rsidRPr="00007D0D">
        <w:rPr>
          <w:snapToGrid w:val="0"/>
          <w:szCs w:val="24"/>
        </w:rPr>
        <w:t>).</w:t>
      </w:r>
    </w:p>
    <w:p w14:paraId="5B94C493" w14:textId="125D1DDF" w:rsidR="005C3C18" w:rsidRPr="00007D0D" w:rsidRDefault="005C3C18" w:rsidP="005C3C18">
      <w:pPr>
        <w:rPr>
          <w:snapToGrid w:val="0"/>
          <w:szCs w:val="24"/>
        </w:rPr>
      </w:pPr>
      <w:r w:rsidRPr="00007D0D">
        <w:rPr>
          <w:snapToGrid w:val="0"/>
          <w:szCs w:val="24"/>
        </w:rPr>
        <w:t xml:space="preserve">Декларация за липса на конфликт на интереси - </w:t>
      </w:r>
      <w:hyperlink r:id="rId262" w:tooltip="Декларация от член на звено¦екип за управление за липса на конфликт на интереси по смисъл на чл.57 параграф 2 от Регламент № 966 от 2012" w:history="1">
        <w:r w:rsidRPr="00007D0D">
          <w:rPr>
            <w:i/>
            <w:color w:val="0000FF"/>
            <w:szCs w:val="24"/>
            <w:u w:val="single"/>
            <w:lang w:eastAsia="bg-BG"/>
          </w:rPr>
          <w:t>Приложение № 6.07</w:t>
        </w:r>
      </w:hyperlink>
      <w:r w:rsidRPr="00842ECC">
        <w:rPr>
          <w:snapToGrid w:val="0"/>
          <w:szCs w:val="24"/>
        </w:rPr>
        <w:t xml:space="preserve"> </w:t>
      </w:r>
      <w:r w:rsidRPr="00007D0D">
        <w:rPr>
          <w:snapToGrid w:val="0"/>
          <w:szCs w:val="24"/>
        </w:rPr>
        <w:t xml:space="preserve">се подписва и от служители на министерството, определени за членове на звена за изпълнение/управление на проекти, финансирани със средства от ЕС по програмата. </w:t>
      </w:r>
      <w:r w:rsidRPr="00007D0D">
        <w:rPr>
          <w:snapToGrid w:val="0"/>
          <w:szCs w:val="24"/>
        </w:rPr>
        <w:tab/>
        <w:t>Оригиналите на подписаните декларации от служителите на</w:t>
      </w:r>
      <w:r w:rsidRPr="00007D0D">
        <w:t xml:space="preserve"> </w:t>
      </w:r>
      <w:r w:rsidRPr="00007D0D">
        <w:rPr>
          <w:snapToGrid w:val="0"/>
          <w:szCs w:val="24"/>
        </w:rPr>
        <w:t xml:space="preserve">УО на ОПТТИ и от членове на звена за изпълнение/управление на проекти се съхраняват от определен от началника на отдел </w:t>
      </w:r>
      <w:r w:rsidR="00730544">
        <w:rPr>
          <w:snapToGrid w:val="0"/>
          <w:szCs w:val="24"/>
        </w:rPr>
        <w:t>УР</w:t>
      </w:r>
      <w:r w:rsidRPr="00007D0D">
        <w:rPr>
          <w:snapToGrid w:val="0"/>
          <w:szCs w:val="24"/>
        </w:rPr>
        <w:t xml:space="preserve"> служител по нередностите по ОПТТИ. Определеният служител поддържа електронна база данни на подадените декларации, която съдържа имената </w:t>
      </w:r>
      <w:r>
        <w:rPr>
          <w:snapToGrid w:val="0"/>
          <w:szCs w:val="24"/>
        </w:rPr>
        <w:t>на</w:t>
      </w:r>
      <w:r w:rsidRPr="00007D0D">
        <w:rPr>
          <w:snapToGrid w:val="0"/>
          <w:szCs w:val="24"/>
        </w:rPr>
        <w:t xml:space="preserve"> служителите, дата и пореден номер. </w:t>
      </w:r>
    </w:p>
    <w:p w14:paraId="75461CBB" w14:textId="77777777" w:rsidR="005C3C18" w:rsidRPr="00007D0D" w:rsidRDefault="005C3C18" w:rsidP="005C3C18">
      <w:pPr>
        <w:ind w:firstLine="709"/>
        <w:rPr>
          <w:snapToGrid w:val="0"/>
          <w:szCs w:val="24"/>
        </w:rPr>
      </w:pPr>
      <w:r w:rsidRPr="00007D0D">
        <w:rPr>
          <w:snapToGrid w:val="0"/>
          <w:szCs w:val="24"/>
        </w:rPr>
        <w:t xml:space="preserve">Служителите на бенефициентите по ОПТТИ, които участват в изпълнението и управлението на проекти, финансирани по ОПТТИ, следва </w:t>
      </w:r>
      <w:r>
        <w:rPr>
          <w:snapToGrid w:val="0"/>
          <w:szCs w:val="24"/>
        </w:rPr>
        <w:t xml:space="preserve">също </w:t>
      </w:r>
      <w:r w:rsidRPr="00007D0D">
        <w:rPr>
          <w:snapToGrid w:val="0"/>
          <w:szCs w:val="24"/>
        </w:rPr>
        <w:t xml:space="preserve">да  попълнят декларации за липса на конфликт на интереси, по смисъла на чл. 61, параграф 3 от Регламент /ЕС, Евратом/ № 1046 от 2018 г. </w:t>
      </w:r>
    </w:p>
    <w:p w14:paraId="1DC93044" w14:textId="77777777" w:rsidR="005C3C18" w:rsidRPr="00007D0D" w:rsidRDefault="005C3C18" w:rsidP="005C3C18">
      <w:pPr>
        <w:ind w:firstLine="709"/>
        <w:rPr>
          <w:snapToGrid w:val="0"/>
          <w:szCs w:val="24"/>
        </w:rPr>
      </w:pPr>
      <w:r w:rsidRPr="00007D0D">
        <w:rPr>
          <w:snapToGrid w:val="0"/>
          <w:szCs w:val="24"/>
        </w:rPr>
        <w:t xml:space="preserve">В Процедурните наръчници на бенефициентите за управление и изпълнение на проекти, финансирани по Оперативна програма „Транспорт и транспортна инфраструктура“ 2014-2020 г., следва да бъде разписан ред за подаване на декларациите за липса на конфликт на интереси по смисъла на чл. 61, параграф 3 от Регламент /ЕС, Евратом/ № 1046 от 2018 г., </w:t>
      </w:r>
      <w:r w:rsidRPr="006C63FC">
        <w:rPr>
          <w:snapToGrid w:val="0"/>
          <w:szCs w:val="24"/>
        </w:rPr>
        <w:t xml:space="preserve">за </w:t>
      </w:r>
      <w:r w:rsidRPr="006123BC">
        <w:rPr>
          <w:snapToGrid w:val="0"/>
          <w:szCs w:val="24"/>
        </w:rPr>
        <w:t>създаване</w:t>
      </w:r>
      <w:r w:rsidRPr="006C63FC">
        <w:rPr>
          <w:snapToGrid w:val="0"/>
          <w:szCs w:val="24"/>
        </w:rPr>
        <w:t>то</w:t>
      </w:r>
      <w:r w:rsidRPr="006123BC">
        <w:rPr>
          <w:snapToGrid w:val="0"/>
          <w:szCs w:val="24"/>
        </w:rPr>
        <w:t xml:space="preserve"> и поддържане</w:t>
      </w:r>
      <w:r w:rsidRPr="006C63FC">
        <w:rPr>
          <w:snapToGrid w:val="0"/>
          <w:szCs w:val="24"/>
        </w:rPr>
        <w:t>то</w:t>
      </w:r>
      <w:r w:rsidRPr="006123BC">
        <w:rPr>
          <w:snapToGrid w:val="0"/>
          <w:szCs w:val="24"/>
        </w:rPr>
        <w:t xml:space="preserve"> на електронна база данни на подадените декларации, </w:t>
      </w:r>
      <w:r w:rsidRPr="006C63FC">
        <w:rPr>
          <w:snapToGrid w:val="0"/>
          <w:szCs w:val="24"/>
        </w:rPr>
        <w:t>включваща дата и</w:t>
      </w:r>
      <w:r w:rsidRPr="006123BC">
        <w:rPr>
          <w:snapToGrid w:val="0"/>
          <w:szCs w:val="24"/>
        </w:rPr>
        <w:t xml:space="preserve"> пореден номер</w:t>
      </w:r>
      <w:r w:rsidRPr="006C63FC">
        <w:rPr>
          <w:snapToGrid w:val="0"/>
          <w:szCs w:val="24"/>
        </w:rPr>
        <w:t>, реда за</w:t>
      </w:r>
      <w:r w:rsidRPr="006123BC">
        <w:rPr>
          <w:snapToGrid w:val="0"/>
          <w:szCs w:val="24"/>
        </w:rPr>
        <w:t xml:space="preserve"> съхранение на подадените декларации, както и определяне на отговорни длъжностни лица, включително и за осъществяване на контрол.</w:t>
      </w:r>
    </w:p>
    <w:p w14:paraId="4A4D5DC5" w14:textId="77777777" w:rsidR="005C3C18" w:rsidRDefault="005C3C18" w:rsidP="005C3C18">
      <w:pPr>
        <w:ind w:firstLine="709"/>
        <w:rPr>
          <w:snapToGrid w:val="0"/>
          <w:szCs w:val="24"/>
        </w:rPr>
      </w:pPr>
      <w:r w:rsidRPr="007B2AFA">
        <w:rPr>
          <w:snapToGrid w:val="0"/>
          <w:szCs w:val="24"/>
        </w:rPr>
        <w:t>Прилагането на мерките по настоящата точка се разглежда в рамките на годишната</w:t>
      </w:r>
      <w:r>
        <w:rPr>
          <w:snapToGrid w:val="0"/>
          <w:szCs w:val="24"/>
        </w:rPr>
        <w:t xml:space="preserve"> самооценка за борба с измамите, съгласно т. 30.6.4 Докладване, наблюдение и преглед, буква в</w:t>
      </w:r>
      <w:r w:rsidRPr="00842ECC">
        <w:rPr>
          <w:snapToGrid w:val="0"/>
          <w:szCs w:val="24"/>
        </w:rPr>
        <w:t xml:space="preserve">) </w:t>
      </w:r>
      <w:r>
        <w:rPr>
          <w:snapToGrid w:val="0"/>
          <w:szCs w:val="24"/>
        </w:rPr>
        <w:t>Срещи по управление на риска от Процедурния наръчник за управление и изпълнение на ОПТТИ.“</w:t>
      </w:r>
    </w:p>
    <w:p w14:paraId="151329D5" w14:textId="77777777" w:rsidR="008E4734" w:rsidRDefault="008E4734">
      <w:pPr>
        <w:jc w:val="left"/>
        <w:rPr>
          <w:snapToGrid w:val="0"/>
          <w:szCs w:val="24"/>
        </w:rPr>
      </w:pPr>
      <w:r>
        <w:rPr>
          <w:snapToGrid w:val="0"/>
          <w:szCs w:val="24"/>
        </w:rPr>
        <w:br w:type="page"/>
      </w:r>
    </w:p>
    <w:p w14:paraId="1B388D00" w14:textId="77777777" w:rsidR="000A36AF" w:rsidRPr="000A36AF" w:rsidRDefault="000A36AF" w:rsidP="000A36AF">
      <w:pPr>
        <w:tabs>
          <w:tab w:val="left" w:pos="1134"/>
        </w:tabs>
      </w:pPr>
      <w:bookmarkStart w:id="1205" w:name="_Toc479775758"/>
      <w:bookmarkStart w:id="1206" w:name="_Toc479775783"/>
    </w:p>
    <w:p w14:paraId="6385EA73" w14:textId="77777777" w:rsidR="000A36AF" w:rsidRPr="00B620AA" w:rsidRDefault="000A36AF" w:rsidP="006A6D08">
      <w:pPr>
        <w:pStyle w:val="Title"/>
        <w:spacing w:after="240"/>
        <w:ind w:firstLine="0"/>
        <w:jc w:val="center"/>
        <w:rPr>
          <w:szCs w:val="24"/>
          <w:lang w:eastAsia="bg-BG"/>
        </w:rPr>
      </w:pPr>
      <w:bookmarkStart w:id="1207" w:name="_Toc140150271"/>
      <w:r w:rsidRPr="00B620AA">
        <w:rPr>
          <w:rFonts w:ascii="Times New Roman" w:hAnsi="Times New Roman"/>
          <w:sz w:val="24"/>
          <w:szCs w:val="24"/>
          <w:lang w:eastAsia="bg-BG"/>
        </w:rPr>
        <w:t>ГЛАВА 7</w:t>
      </w:r>
      <w:r w:rsidRPr="00B620AA">
        <w:rPr>
          <w:rFonts w:ascii="Times New Roman" w:hAnsi="Times New Roman"/>
          <w:sz w:val="24"/>
          <w:szCs w:val="24"/>
          <w:lang w:eastAsia="bg-BG"/>
        </w:rPr>
        <w:br/>
        <w:t>ИЗПЪЛНЕНИЕ И КООРДИНАЦИЯ</w:t>
      </w:r>
      <w:bookmarkEnd w:id="1205"/>
      <w:bookmarkEnd w:id="1207"/>
    </w:p>
    <w:p w14:paraId="2380397C" w14:textId="77777777" w:rsidR="000A36AF" w:rsidRPr="000A36AF" w:rsidRDefault="000A36AF" w:rsidP="000A36AF">
      <w:pPr>
        <w:ind w:left="720"/>
        <w:contextualSpacing/>
        <w:rPr>
          <w:snapToGrid w:val="0"/>
        </w:rPr>
      </w:pPr>
    </w:p>
    <w:p w14:paraId="092A1F9E" w14:textId="77777777" w:rsidR="000A36AF" w:rsidRPr="000A36AF" w:rsidRDefault="000A36AF" w:rsidP="006A6D08">
      <w:pPr>
        <w:pStyle w:val="Style1"/>
      </w:pPr>
      <w:bookmarkStart w:id="1208" w:name="_Toc479775759"/>
      <w:bookmarkStart w:id="1209" w:name="_Toc140150272"/>
      <w:r w:rsidRPr="000A36AF">
        <w:t>НАБЛЮДЕНИЕ НА ПРОГРАМАТА НА НИВО ПРОЕКТИ</w:t>
      </w:r>
      <w:bookmarkEnd w:id="1208"/>
      <w:bookmarkEnd w:id="1209"/>
    </w:p>
    <w:p w14:paraId="300BB482" w14:textId="77777777" w:rsidR="000A36AF" w:rsidRPr="000A36AF" w:rsidRDefault="000A36AF" w:rsidP="006A6D08">
      <w:pPr>
        <w:pStyle w:val="Style2"/>
        <w:rPr>
          <w:snapToGrid w:val="0"/>
        </w:rPr>
      </w:pPr>
      <w:bookmarkStart w:id="1210" w:name="_Toc479775760"/>
      <w:bookmarkStart w:id="1211" w:name="_Toc140150273"/>
      <w:r w:rsidRPr="000A36AF">
        <w:rPr>
          <w:snapToGrid w:val="0"/>
        </w:rPr>
        <w:t>Докладване на напредъка на проектите</w:t>
      </w:r>
      <w:bookmarkEnd w:id="1210"/>
      <w:bookmarkEnd w:id="1211"/>
    </w:p>
    <w:p w14:paraId="4C18BD56" w14:textId="77777777" w:rsidR="000A36AF" w:rsidRPr="000A36AF" w:rsidRDefault="000A36AF" w:rsidP="000A36AF">
      <w:pPr>
        <w:rPr>
          <w:color w:val="000000"/>
          <w:szCs w:val="24"/>
        </w:rPr>
      </w:pPr>
    </w:p>
    <w:p w14:paraId="6C246B79" w14:textId="77777777" w:rsidR="000A36AF" w:rsidRPr="000A36AF" w:rsidRDefault="000A36AF" w:rsidP="000A36AF">
      <w:pPr>
        <w:numPr>
          <w:ilvl w:val="2"/>
          <w:numId w:val="273"/>
        </w:numPr>
        <w:tabs>
          <w:tab w:val="num" w:pos="360"/>
        </w:tabs>
        <w:spacing w:before="120" w:after="120"/>
        <w:ind w:left="0" w:firstLine="851"/>
        <w:contextualSpacing/>
        <w:outlineLvl w:val="3"/>
        <w:rPr>
          <w:b/>
          <w:snapToGrid w:val="0"/>
          <w:szCs w:val="24"/>
          <w:lang w:val="en-US"/>
        </w:rPr>
      </w:pPr>
      <w:r w:rsidRPr="000A36AF">
        <w:rPr>
          <w:b/>
          <w:snapToGrid w:val="0"/>
          <w:szCs w:val="24"/>
          <w:lang w:val="en-US"/>
        </w:rPr>
        <w:t>Общи положения</w:t>
      </w:r>
    </w:p>
    <w:p w14:paraId="4C3BFBFD" w14:textId="77777777" w:rsidR="000A36AF" w:rsidRPr="000A36AF" w:rsidRDefault="000A36AF" w:rsidP="000A36AF">
      <w:r w:rsidRPr="000A36AF">
        <w:t>Целта на докладването е да се осигури постъпване на актуална информация за всеки проект с цел наблюдение на напредъка при изпълнението на всеки договор за предоставяне на безвъзмездна финансова помощ по ОПTТИ. Представената информация, чрез процеса на докладване се използва в процеса на управление, контрол и вземане на решение. Процесът на наблюдение позволява своевременно да се идентифицират потенциални проблеми и да се предприемат съответните корективни действия. Докладването на напредъка се използва за осъществяване на контрол върху целесъобразността на извършените разходи по ОПТТИ и предоставя информация относно физическия напредък на проектите.</w:t>
      </w:r>
    </w:p>
    <w:p w14:paraId="343EFCA4" w14:textId="77777777" w:rsidR="000A36AF" w:rsidRPr="000A36AF" w:rsidRDefault="000A36AF" w:rsidP="000A36AF">
      <w:r w:rsidRPr="000A36AF">
        <w:t xml:space="preserve">В ИСУН 2020 се записват и съхраняват в компютризирана форма данни за всяка операция, необходими за мониторинга, оценката, финансовото управление, проверката и одита, включително данни за отделните участници в операциите. Условията, редът и механизмът за функциониране на ИСУН 2020 са регламентирани в  НАРЕДБА за определяне на условията, реда и механизма за функциониране на Информационната система за управление и наблюдение на средствата от Европейските структурни и инвестиционни фондове (ИСУН) и за провеждане на производства пред управляващите органи посредством ИСУН. </w:t>
      </w:r>
    </w:p>
    <w:p w14:paraId="6F6EF059" w14:textId="77777777" w:rsidR="000A36AF" w:rsidRPr="000A36AF" w:rsidRDefault="000A36AF" w:rsidP="000A36AF">
      <w:r w:rsidRPr="000A36AF">
        <w:t xml:space="preserve">В тази връзка за всеки одобрен от УО проект и сключен договор/издадена заповед за предоставяне на безвъзмездна финансова помощ по ОПТТИ, докладването на напредъка на проектите се извършва в структурираният документ „Технически отчет“ в ИСУН 2020, като информацията се попълва съгласно формата, разработен  в ИСУН 2020. </w:t>
      </w:r>
    </w:p>
    <w:p w14:paraId="0E077F32" w14:textId="77777777" w:rsidR="000A36AF" w:rsidRPr="000A36AF" w:rsidRDefault="000A36AF" w:rsidP="000A36AF">
      <w:r w:rsidRPr="000A36AF">
        <w:t>Структурираният документ „Технически отчет“ в ИСУН 2020  се подава заедно с всяко искане за плащане чрез пакета отчетни документи „Искане за междинно плащане, технически отчет и финансов отчет“ или в отделни случаи - в пакета отчетни документи „Технически отчет“.</w:t>
      </w:r>
    </w:p>
    <w:p w14:paraId="50A75431" w14:textId="77777777" w:rsidR="000A36AF" w:rsidRPr="000A36AF" w:rsidRDefault="000A36AF" w:rsidP="000A36AF">
      <w:pPr>
        <w:ind w:left="708"/>
        <w:rPr>
          <w:b/>
          <w:color w:val="000000"/>
          <w:szCs w:val="24"/>
        </w:rPr>
      </w:pPr>
    </w:p>
    <w:p w14:paraId="3E55AA07" w14:textId="77777777" w:rsidR="000A36AF" w:rsidRPr="00842ECC" w:rsidRDefault="000A36AF" w:rsidP="000A36AF">
      <w:pPr>
        <w:numPr>
          <w:ilvl w:val="2"/>
          <w:numId w:val="273"/>
        </w:numPr>
        <w:tabs>
          <w:tab w:val="num" w:pos="360"/>
        </w:tabs>
        <w:spacing w:before="120" w:after="120"/>
        <w:ind w:left="0" w:firstLine="851"/>
        <w:contextualSpacing/>
        <w:outlineLvl w:val="3"/>
        <w:rPr>
          <w:b/>
          <w:snapToGrid w:val="0"/>
          <w:szCs w:val="24"/>
        </w:rPr>
      </w:pPr>
      <w:bookmarkStart w:id="1212" w:name="_Toc479775761"/>
      <w:r w:rsidRPr="00842ECC">
        <w:rPr>
          <w:b/>
          <w:snapToGrid w:val="0"/>
          <w:szCs w:val="24"/>
        </w:rPr>
        <w:t>Изготвяне на Технически отчет в ИСУН 2020 от Бенефициенти по ОПТТИ</w:t>
      </w:r>
      <w:bookmarkEnd w:id="1212"/>
    </w:p>
    <w:p w14:paraId="77689A4B" w14:textId="77777777" w:rsidR="000A36AF" w:rsidRPr="000A36AF" w:rsidRDefault="000A36AF" w:rsidP="000A36AF">
      <w:pPr>
        <w:rPr>
          <w:i/>
        </w:rPr>
      </w:pPr>
      <w:r w:rsidRPr="000A36AF">
        <w:rPr>
          <w:snapToGrid w:val="0"/>
        </w:rPr>
        <w:t xml:space="preserve">Изготвянето на Техническия отчет в ИСУН 2020 се извършва като се попълват от Бенефициентите по ОПТТИ  обособените полета  </w:t>
      </w:r>
      <w:r w:rsidRPr="000A36AF">
        <w:t xml:space="preserve">на структурирания документ „Технически отчет“. Той се подава задължително смеждинно и окончателно искане за плащане, като част от пакета отчетни документи </w:t>
      </w:r>
      <w:r w:rsidRPr="000A36AF">
        <w:rPr>
          <w:i/>
        </w:rPr>
        <w:t>„Искане за междинно плащане, технически отчет и финансов отчет“.</w:t>
      </w:r>
    </w:p>
    <w:p w14:paraId="02F42197" w14:textId="77777777" w:rsidR="000A36AF" w:rsidRPr="000A36AF" w:rsidRDefault="000A36AF" w:rsidP="000A36AF">
      <w:r w:rsidRPr="000A36AF">
        <w:t xml:space="preserve">Информацията, която се въвежда в ИСУН 2020 включва информация за  изпълнението на дейностите, информация за индикаторите, процедурите за избор на изпълнител и сключените договори, проверки на място от бенефициента, информация за екипа по проекта и  одити за отчетния период и се структурира съгласно определения формат от ИСУН 2020 в отделни полета, както е показано на долната фигура: </w:t>
      </w:r>
    </w:p>
    <w:p w14:paraId="6AB95886" w14:textId="77777777" w:rsidR="000A36AF" w:rsidRPr="000A36AF" w:rsidRDefault="000A36AF" w:rsidP="000A36AF">
      <w:pPr>
        <w:shd w:val="clear" w:color="auto" w:fill="FFFFFF"/>
        <w:spacing w:before="120" w:after="120"/>
        <w:ind w:right="142" w:firstLine="709"/>
        <w:rPr>
          <w:i/>
          <w:color w:val="000000"/>
          <w:szCs w:val="24"/>
        </w:rPr>
      </w:pPr>
    </w:p>
    <w:p w14:paraId="6385EF23" w14:textId="77777777" w:rsidR="000A36AF" w:rsidRPr="000A36AF" w:rsidRDefault="000A36AF" w:rsidP="000A36AF">
      <w:pPr>
        <w:tabs>
          <w:tab w:val="left" w:pos="709"/>
        </w:tabs>
        <w:spacing w:after="240"/>
        <w:ind w:firstLine="0"/>
        <w:jc w:val="center"/>
        <w:rPr>
          <w:color w:val="000000"/>
          <w:szCs w:val="24"/>
        </w:rPr>
      </w:pPr>
      <w:r w:rsidRPr="000A36AF">
        <w:rPr>
          <w:noProof/>
          <w:sz w:val="20"/>
          <w:lang w:eastAsia="bg-BG"/>
        </w:rPr>
        <w:lastRenderedPageBreak/>
        <w:drawing>
          <wp:inline distT="0" distB="0" distL="0" distR="0" wp14:anchorId="63CA4290" wp14:editId="616888E5">
            <wp:extent cx="5775232" cy="29527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3"/>
                    <a:srcRect l="14881" t="19401" r="19146" b="20635"/>
                    <a:stretch/>
                  </pic:blipFill>
                  <pic:spPr bwMode="auto">
                    <a:xfrm>
                      <a:off x="0" y="0"/>
                      <a:ext cx="5780585" cy="2955487"/>
                    </a:xfrm>
                    <a:prstGeom prst="rect">
                      <a:avLst/>
                    </a:prstGeom>
                    <a:ln>
                      <a:noFill/>
                    </a:ln>
                    <a:extLst>
                      <a:ext uri="{53640926-AAD7-44D8-BBD7-CCE9431645EC}">
                        <a14:shadowObscured xmlns:a14="http://schemas.microsoft.com/office/drawing/2010/main"/>
                      </a:ext>
                    </a:extLst>
                  </pic:spPr>
                </pic:pic>
              </a:graphicData>
            </a:graphic>
          </wp:inline>
        </w:drawing>
      </w:r>
    </w:p>
    <w:p w14:paraId="2433F61F" w14:textId="77777777" w:rsidR="000A36AF" w:rsidRPr="000A36AF" w:rsidRDefault="000A36AF" w:rsidP="000A36AF">
      <w:r w:rsidRPr="000A36AF">
        <w:t>В полето „Общи данни“ е необходимо да се попълни периода, за който се отнася Техническия отчет, като в системата е указано къде се попълва.</w:t>
      </w:r>
    </w:p>
    <w:p w14:paraId="7875C605" w14:textId="77777777" w:rsidR="000A36AF" w:rsidRPr="000A36AF" w:rsidRDefault="000A36AF" w:rsidP="000A36AF">
      <w:r w:rsidRPr="000A36AF">
        <w:t>Периодът, за който се подава информация в Техническия отчет е в зависимост от вида на плащането и се определя, както следва:</w:t>
      </w:r>
    </w:p>
    <w:p w14:paraId="593AA7F3" w14:textId="77777777" w:rsidR="000A36AF" w:rsidRPr="000A36AF" w:rsidRDefault="000A36AF" w:rsidP="006A6D08">
      <w:pPr>
        <w:numPr>
          <w:ilvl w:val="0"/>
          <w:numId w:val="453"/>
        </w:numPr>
        <w:ind w:left="0" w:firstLine="851"/>
        <w:contextualSpacing/>
      </w:pPr>
      <w:r w:rsidRPr="000A36AF">
        <w:t>Междинно плащане  -  При подаване на първото междинно искане за плащане, Техническият отчет обхваща периода от стартирането на дейностите по проекта до момента на подаването на първото междинно искане за плащане. При всяко следващо междинно искане за плащане Техническият отчет обхваща периода между датата на предишното искане за плащане и настоящото искане за плащане;</w:t>
      </w:r>
    </w:p>
    <w:p w14:paraId="3A49F21D" w14:textId="77777777" w:rsidR="000A36AF" w:rsidRPr="000A36AF" w:rsidRDefault="000A36AF" w:rsidP="006A6D08">
      <w:pPr>
        <w:numPr>
          <w:ilvl w:val="0"/>
          <w:numId w:val="453"/>
        </w:numPr>
        <w:ind w:left="0" w:firstLine="851"/>
        <w:contextualSpacing/>
        <w:rPr>
          <w:rFonts w:eastAsiaTheme="minorHAnsi"/>
          <w:lang w:eastAsia="en-US"/>
        </w:rPr>
      </w:pPr>
      <w:r w:rsidRPr="000A36AF">
        <w:t xml:space="preserve">Окончателно плащане - Техническият отчет обхваща целия период на изпълнение на проекта/операцията, изпълнен/а съгласно договора за </w:t>
      </w:r>
      <w:r w:rsidR="00E96A05">
        <w:t xml:space="preserve">предоставяне на </w:t>
      </w:r>
      <w:r w:rsidRPr="000A36AF">
        <w:t>безвъзмездна помощ.</w:t>
      </w:r>
      <w:r w:rsidRPr="00842ECC">
        <w:t xml:space="preserve">  </w:t>
      </w:r>
      <w:r w:rsidRPr="000A36AF">
        <w:rPr>
          <w:rFonts w:eastAsiaTheme="minorHAnsi"/>
          <w:lang w:eastAsia="en-US"/>
        </w:rPr>
        <w:t xml:space="preserve">В раздел </w:t>
      </w:r>
      <w:r w:rsidRPr="000A36AF">
        <w:t>„Изпълнение по дейности“</w:t>
      </w:r>
      <w:r w:rsidRPr="000A36AF">
        <w:rPr>
          <w:rFonts w:eastAsiaTheme="minorHAnsi"/>
          <w:lang w:eastAsia="en-US"/>
        </w:rPr>
        <w:t xml:space="preserve">, когато Техническия отчет е в </w:t>
      </w:r>
      <w:r w:rsidRPr="000A36AF">
        <w:t xml:space="preserve">пакет отчетни документи </w:t>
      </w:r>
      <w:r w:rsidRPr="000A36AF">
        <w:rPr>
          <w:rFonts w:eastAsiaTheme="minorHAnsi"/>
          <w:lang w:eastAsia="en-US"/>
        </w:rPr>
        <w:t>за</w:t>
      </w:r>
      <w:r w:rsidRPr="000A36AF">
        <w:rPr>
          <w:rFonts w:eastAsiaTheme="minorHAnsi"/>
          <w:b/>
          <w:lang w:eastAsia="en-US"/>
        </w:rPr>
        <w:t xml:space="preserve"> окончателно искане за плащане,</w:t>
      </w:r>
      <w:r w:rsidRPr="000A36AF">
        <w:rPr>
          <w:rFonts w:eastAsiaTheme="minorHAnsi"/>
          <w:lang w:eastAsia="en-US"/>
        </w:rPr>
        <w:t xml:space="preserve"> освен отчитането на резултатите от изпълнението на дейностите за периода след предходния подаден технически отчет</w:t>
      </w:r>
      <w:r w:rsidRPr="00842ECC">
        <w:rPr>
          <w:rFonts w:eastAsiaTheme="minorHAnsi"/>
          <w:lang w:eastAsia="en-US"/>
        </w:rPr>
        <w:t>,</w:t>
      </w:r>
      <w:r w:rsidRPr="000A36AF">
        <w:rPr>
          <w:rFonts w:eastAsiaTheme="minorHAnsi"/>
          <w:lang w:eastAsia="en-US"/>
        </w:rPr>
        <w:t xml:space="preserve"> в поле  „</w:t>
      </w:r>
      <w:r w:rsidRPr="000A36AF">
        <w:rPr>
          <w:rFonts w:ascii="Roboto" w:hAnsi="Roboto"/>
          <w:color w:val="000000"/>
          <w:shd w:val="clear" w:color="auto" w:fill="FFFFFF"/>
        </w:rPr>
        <w:t>Постигнати резултати с натрупване“ е необходимо да се направи обобщени</w:t>
      </w:r>
      <w:r w:rsidRPr="000A36AF">
        <w:rPr>
          <w:rFonts w:ascii="Roboto" w:hAnsi="Roboto" w:hint="eastAsia"/>
          <w:color w:val="000000"/>
          <w:shd w:val="clear" w:color="auto" w:fill="FFFFFF"/>
        </w:rPr>
        <w:t>е</w:t>
      </w:r>
      <w:r w:rsidRPr="000A36AF">
        <w:rPr>
          <w:rFonts w:ascii="Roboto" w:hAnsi="Roboto"/>
          <w:color w:val="000000"/>
          <w:shd w:val="clear" w:color="auto" w:fill="FFFFFF"/>
        </w:rPr>
        <w:t xml:space="preserve"> на информацията за всяка отделна дейност за целия период на проекта. </w:t>
      </w:r>
    </w:p>
    <w:p w14:paraId="67CCFD0E" w14:textId="77777777" w:rsidR="000A36AF" w:rsidRPr="000A36AF" w:rsidRDefault="000A36AF" w:rsidP="000A36AF"/>
    <w:p w14:paraId="3E14DF4C" w14:textId="77777777" w:rsidR="000A36AF" w:rsidRPr="000A36AF" w:rsidRDefault="000A36AF" w:rsidP="000A36AF">
      <w:r w:rsidRPr="000A36AF">
        <w:t xml:space="preserve">Отделните полета в ИСУН 2020 се попълват от Бенефициента с информация за периода, указан в полето </w:t>
      </w:r>
      <w:r w:rsidRPr="000A36AF">
        <w:rPr>
          <w:rFonts w:eastAsiaTheme="minorHAnsi"/>
          <w:lang w:eastAsia="en-US"/>
        </w:rPr>
        <w:t xml:space="preserve">„Общи данни“. </w:t>
      </w:r>
      <w:r w:rsidRPr="000A36AF">
        <w:t>Бенефициентът трябва да попълни изискуемата информация в отделните полета „Изпълнение по дейности“, „Индикатори“, „Избор на изпълнителя“, „Проверки на място от бенефициента/ФП/КП“, „Одити“ и „Екип“</w:t>
      </w:r>
      <w:r w:rsidRPr="00842ECC">
        <w:t xml:space="preserve"> </w:t>
      </w:r>
      <w:r w:rsidRPr="000A36AF">
        <w:t>и да приложи необходимите доказателства в полето „Опис на документи“.</w:t>
      </w:r>
    </w:p>
    <w:p w14:paraId="41C73EF3" w14:textId="77777777" w:rsidR="000A36AF" w:rsidRPr="000A36AF" w:rsidRDefault="000A36AF" w:rsidP="000A36AF">
      <w:pPr>
        <w:rPr>
          <w:rFonts w:eastAsiaTheme="minorHAnsi"/>
          <w:lang w:eastAsia="en-US"/>
        </w:rPr>
      </w:pPr>
    </w:p>
    <w:p w14:paraId="13C6D00A" w14:textId="77777777" w:rsidR="000A36AF" w:rsidRPr="000A36AF" w:rsidRDefault="000A36AF" w:rsidP="000A36AF">
      <w:pPr>
        <w:rPr>
          <w:rFonts w:asciiTheme="minorHAnsi" w:eastAsiaTheme="minorHAnsi" w:hAnsiTheme="minorHAnsi" w:cstheme="minorBidi"/>
          <w:lang w:eastAsia="en-US"/>
        </w:rPr>
      </w:pPr>
      <w:r w:rsidRPr="000A36AF">
        <w:rPr>
          <w:rFonts w:eastAsiaTheme="minorHAnsi"/>
          <w:lang w:eastAsia="en-US"/>
        </w:rPr>
        <w:t xml:space="preserve">В полето „Опис на документите“, когато Техническия отчет е в </w:t>
      </w:r>
      <w:r w:rsidRPr="000A36AF">
        <w:t xml:space="preserve">пакет отчетни документи </w:t>
      </w:r>
      <w:r w:rsidRPr="000A36AF">
        <w:rPr>
          <w:rFonts w:eastAsiaTheme="minorHAnsi"/>
          <w:lang w:eastAsia="en-US"/>
        </w:rPr>
        <w:t>за</w:t>
      </w:r>
      <w:r w:rsidRPr="000A36AF">
        <w:rPr>
          <w:rFonts w:eastAsiaTheme="minorHAnsi"/>
          <w:b/>
          <w:lang w:eastAsia="en-US"/>
        </w:rPr>
        <w:t xml:space="preserve"> междинно искане за плащане,</w:t>
      </w:r>
      <w:r w:rsidRPr="000A36AF">
        <w:rPr>
          <w:rFonts w:eastAsiaTheme="minorHAnsi"/>
          <w:lang w:eastAsia="en-US"/>
        </w:rPr>
        <w:t xml:space="preserve"> се прилагат следните примерни документи: </w:t>
      </w:r>
    </w:p>
    <w:p w14:paraId="4D27C85A" w14:textId="77777777" w:rsidR="000A36AF" w:rsidRPr="000A36AF" w:rsidRDefault="000A36AF" w:rsidP="006A6D08">
      <w:pPr>
        <w:numPr>
          <w:ilvl w:val="0"/>
          <w:numId w:val="453"/>
        </w:numPr>
        <w:ind w:left="0" w:firstLine="851"/>
        <w:contextualSpacing/>
      </w:pPr>
      <w:r w:rsidRPr="000A36AF">
        <w:t>Доклади от проверки на място от Бенефициента (ако е приложимо);</w:t>
      </w:r>
    </w:p>
    <w:p w14:paraId="0A3E11CB" w14:textId="77777777" w:rsidR="000A36AF" w:rsidRPr="000A36AF" w:rsidRDefault="000A36AF" w:rsidP="006A6D08">
      <w:pPr>
        <w:numPr>
          <w:ilvl w:val="0"/>
          <w:numId w:val="453"/>
        </w:numPr>
        <w:ind w:left="0" w:firstLine="851"/>
        <w:contextualSpacing/>
      </w:pPr>
      <w:r w:rsidRPr="000A36AF">
        <w:t>Одитни доклади или извадки с констатации и препоръки (ако е приложимо);</w:t>
      </w:r>
    </w:p>
    <w:p w14:paraId="0A3D5E35" w14:textId="77777777" w:rsidR="000A36AF" w:rsidRPr="000A36AF" w:rsidRDefault="000A36AF" w:rsidP="006A6D08">
      <w:pPr>
        <w:numPr>
          <w:ilvl w:val="0"/>
          <w:numId w:val="453"/>
        </w:numPr>
        <w:ind w:left="0" w:firstLine="851"/>
        <w:contextualSpacing/>
      </w:pPr>
      <w:r w:rsidRPr="000A36AF">
        <w:t>Таблици с процентното изпълнение за докладвания период;</w:t>
      </w:r>
    </w:p>
    <w:p w14:paraId="6F53D957" w14:textId="77777777" w:rsidR="000A36AF" w:rsidRPr="000A36AF" w:rsidRDefault="000A36AF" w:rsidP="006A6D08">
      <w:pPr>
        <w:numPr>
          <w:ilvl w:val="0"/>
          <w:numId w:val="453"/>
        </w:numPr>
        <w:ind w:left="0" w:firstLine="851"/>
        <w:contextualSpacing/>
      </w:pPr>
      <w:r w:rsidRPr="000A36AF">
        <w:t>Документи, доказващи/онагледяващи изпълнението на индикаторите, на база на които УО да верифицира индикаторите в ИСУН 2020. Документите се прилагат като сканиран файл;</w:t>
      </w:r>
    </w:p>
    <w:p w14:paraId="7EC5C062" w14:textId="77777777" w:rsidR="000A36AF" w:rsidRPr="000A36AF" w:rsidRDefault="000A36AF" w:rsidP="006A6D08">
      <w:pPr>
        <w:numPr>
          <w:ilvl w:val="0"/>
          <w:numId w:val="453"/>
        </w:numPr>
        <w:ind w:left="0" w:firstLine="851"/>
        <w:contextualSpacing/>
      </w:pPr>
      <w:r w:rsidRPr="000A36AF">
        <w:t>Документи, доказващи изпълнението на  инфраструктурните проекти,които са приложими за конкретния случай като:</w:t>
      </w:r>
    </w:p>
    <w:p w14:paraId="03727175" w14:textId="77777777" w:rsidR="000A36AF" w:rsidRPr="000A36AF" w:rsidRDefault="000A36AF" w:rsidP="006A6D08">
      <w:pPr>
        <w:numPr>
          <w:ilvl w:val="0"/>
          <w:numId w:val="454"/>
        </w:numPr>
        <w:ind w:left="0" w:firstLine="1211"/>
        <w:contextualSpacing/>
        <w:rPr>
          <w:lang w:val="pl-PL"/>
        </w:rPr>
      </w:pPr>
      <w:r w:rsidRPr="000A36AF">
        <w:rPr>
          <w:lang w:val="pl-PL"/>
        </w:rPr>
        <w:lastRenderedPageBreak/>
        <w:t>Документи  по ЗУТ - напр.Разрешение за строеж, Акт 2а, Акт 4 –Заповедна книга, Акт 14, списъци с Акт 7 и Акт 12, издадени в отчетния период</w:t>
      </w:r>
      <w:r w:rsidRPr="00842ECC">
        <w:t>.</w:t>
      </w:r>
      <w:r w:rsidRPr="000A36AF">
        <w:rPr>
          <w:lang w:val="pl-PL"/>
        </w:rPr>
        <w:t xml:space="preserve"> Акт 15, Акт 16 и Разрешение за ползване</w:t>
      </w:r>
      <w:r w:rsidRPr="000A36AF">
        <w:t>,</w:t>
      </w:r>
      <w:r w:rsidRPr="00842ECC">
        <w:rPr>
          <w:lang w:val="pl-PL"/>
        </w:rPr>
        <w:t xml:space="preserve"> </w:t>
      </w:r>
      <w:r w:rsidRPr="000A36AF">
        <w:rPr>
          <w:lang w:val="en-US"/>
        </w:rPr>
        <w:t>ако</w:t>
      </w:r>
      <w:r w:rsidRPr="00842ECC">
        <w:rPr>
          <w:lang w:val="pl-PL"/>
        </w:rPr>
        <w:t xml:space="preserve"> </w:t>
      </w:r>
      <w:r w:rsidRPr="000A36AF">
        <w:rPr>
          <w:lang w:val="en-US"/>
        </w:rPr>
        <w:t>в</w:t>
      </w:r>
      <w:r w:rsidRPr="00842ECC">
        <w:rPr>
          <w:lang w:val="pl-PL"/>
        </w:rPr>
        <w:t xml:space="preserve"> </w:t>
      </w:r>
      <w:r w:rsidRPr="000A36AF">
        <w:rPr>
          <w:lang w:val="en-US"/>
        </w:rPr>
        <w:t>отчетния</w:t>
      </w:r>
      <w:r w:rsidRPr="00842ECC">
        <w:rPr>
          <w:lang w:val="pl-PL"/>
        </w:rPr>
        <w:t xml:space="preserve"> </w:t>
      </w:r>
      <w:r w:rsidRPr="000A36AF">
        <w:rPr>
          <w:lang w:val="en-US"/>
        </w:rPr>
        <w:t>период</w:t>
      </w:r>
      <w:r w:rsidRPr="00842ECC">
        <w:rPr>
          <w:lang w:val="pl-PL"/>
        </w:rPr>
        <w:t xml:space="preserve"> </w:t>
      </w:r>
      <w:r w:rsidRPr="000A36AF">
        <w:rPr>
          <w:lang w:val="en-US"/>
        </w:rPr>
        <w:t>има</w:t>
      </w:r>
      <w:r w:rsidRPr="00842ECC">
        <w:rPr>
          <w:lang w:val="pl-PL"/>
        </w:rPr>
        <w:t xml:space="preserve"> </w:t>
      </w:r>
      <w:r w:rsidRPr="000A36AF">
        <w:rPr>
          <w:lang w:val="pl-PL"/>
        </w:rPr>
        <w:t xml:space="preserve">завършил договор за СМР и приет строеж; </w:t>
      </w:r>
    </w:p>
    <w:p w14:paraId="587740BD" w14:textId="77777777" w:rsidR="000A36AF" w:rsidRPr="000A36AF" w:rsidRDefault="000A36AF" w:rsidP="006A6D08">
      <w:pPr>
        <w:numPr>
          <w:ilvl w:val="0"/>
          <w:numId w:val="454"/>
        </w:numPr>
        <w:ind w:left="0" w:firstLine="1211"/>
        <w:contextualSpacing/>
        <w:rPr>
          <w:lang w:val="pl-PL"/>
        </w:rPr>
      </w:pPr>
      <w:r w:rsidRPr="000A36AF">
        <w:rPr>
          <w:lang w:val="pl-PL"/>
        </w:rPr>
        <w:t>Протоколи от изпитване</w:t>
      </w:r>
      <w:r w:rsidRPr="000A36AF">
        <w:t xml:space="preserve">/ Протоколи от измервания, опис на или </w:t>
      </w:r>
      <w:r w:rsidRPr="000A36AF">
        <w:rPr>
          <w:lang w:val="pl-PL"/>
        </w:rPr>
        <w:t>Сертификати и Декларации за качествата на вложените строителни продукти за отчетния период, при необходимост. Документите се прилагат като сканиран файл;</w:t>
      </w:r>
    </w:p>
    <w:p w14:paraId="71FB6514" w14:textId="77777777" w:rsidR="000A36AF" w:rsidRPr="000A36AF" w:rsidRDefault="000A36AF" w:rsidP="006A6D08">
      <w:pPr>
        <w:numPr>
          <w:ilvl w:val="0"/>
          <w:numId w:val="454"/>
        </w:numPr>
        <w:ind w:left="0" w:firstLine="1211"/>
        <w:contextualSpacing/>
        <w:rPr>
          <w:lang w:val="pl-PL"/>
        </w:rPr>
      </w:pPr>
      <w:r w:rsidRPr="000A36AF">
        <w:rPr>
          <w:lang w:val="pl-PL"/>
        </w:rPr>
        <w:t>Приемо – предавателни протоколи за доставки на оборудване, ако са налице такива;</w:t>
      </w:r>
    </w:p>
    <w:p w14:paraId="5461A8F9" w14:textId="77777777" w:rsidR="000A36AF" w:rsidRPr="000A36AF" w:rsidRDefault="000A36AF" w:rsidP="006A6D08">
      <w:pPr>
        <w:numPr>
          <w:ilvl w:val="0"/>
          <w:numId w:val="454"/>
        </w:numPr>
        <w:ind w:left="0" w:firstLine="1211"/>
        <w:contextualSpacing/>
      </w:pPr>
      <w:r w:rsidRPr="000A36AF">
        <w:t>Снимки за напредъка включително такива доказващи публичност.</w:t>
      </w:r>
    </w:p>
    <w:p w14:paraId="419C4A46" w14:textId="77777777" w:rsidR="000A36AF" w:rsidRPr="000A36AF" w:rsidRDefault="000A36AF" w:rsidP="000A36AF"/>
    <w:p w14:paraId="23DA35E6" w14:textId="77777777" w:rsidR="000A36AF" w:rsidRPr="000A36AF" w:rsidRDefault="000A36AF" w:rsidP="006A6D08">
      <w:pPr>
        <w:numPr>
          <w:ilvl w:val="0"/>
          <w:numId w:val="453"/>
        </w:numPr>
        <w:ind w:left="0" w:firstLine="851"/>
        <w:contextualSpacing/>
      </w:pPr>
      <w:r w:rsidRPr="000A36AF">
        <w:t>Документи, доказващи изпълнението на проекти за услуги, доставки и техническа помощ:</w:t>
      </w:r>
    </w:p>
    <w:p w14:paraId="05528390" w14:textId="77777777" w:rsidR="000A36AF" w:rsidRPr="000A36AF" w:rsidRDefault="000A36AF" w:rsidP="006A6D08">
      <w:pPr>
        <w:numPr>
          <w:ilvl w:val="0"/>
          <w:numId w:val="454"/>
        </w:numPr>
        <w:ind w:left="0" w:firstLine="1211"/>
        <w:contextualSpacing/>
      </w:pPr>
      <w:r w:rsidRPr="000A36AF">
        <w:t>Приемо – предавателни протоколи за доставки на оборудване, за предаване на рекламни материали, за разработки на документи и проекти и др.</w:t>
      </w:r>
    </w:p>
    <w:p w14:paraId="498DD7F8" w14:textId="77777777" w:rsidR="000A36AF" w:rsidRPr="000A36AF" w:rsidRDefault="000A36AF" w:rsidP="006A6D08">
      <w:pPr>
        <w:numPr>
          <w:ilvl w:val="0"/>
          <w:numId w:val="454"/>
        </w:numPr>
        <w:ind w:left="0" w:firstLine="1211"/>
        <w:contextualSpacing/>
      </w:pPr>
      <w:r w:rsidRPr="000A36AF">
        <w:t>Ведомости за заплати, сертификати/присъствени списъци/доклади от проведени обучения, заповеди за командировка и други за отчетния период, когато проекта касае техническа помощ за покриване на разходи за възнаграждения и укрепване на административния капацитет на Бенифициента;</w:t>
      </w:r>
    </w:p>
    <w:p w14:paraId="61A328D2" w14:textId="77777777" w:rsidR="000A36AF" w:rsidRPr="000A36AF" w:rsidRDefault="000A36AF" w:rsidP="006A6D08">
      <w:pPr>
        <w:numPr>
          <w:ilvl w:val="0"/>
          <w:numId w:val="454"/>
        </w:numPr>
        <w:ind w:left="0" w:firstLine="1211"/>
        <w:contextualSpacing/>
      </w:pPr>
      <w:r w:rsidRPr="000A36AF">
        <w:t>Издадени разрешителни от компетентните власти, в резултат на извършената услуга (ако е приложимо);</w:t>
      </w:r>
    </w:p>
    <w:p w14:paraId="4B61F76D" w14:textId="77777777" w:rsidR="000A36AF" w:rsidRPr="000A36AF" w:rsidRDefault="000A36AF" w:rsidP="006A6D08">
      <w:pPr>
        <w:numPr>
          <w:ilvl w:val="0"/>
          <w:numId w:val="454"/>
        </w:numPr>
        <w:ind w:left="0" w:firstLine="1211"/>
        <w:contextualSpacing/>
      </w:pPr>
      <w:r w:rsidRPr="000A36AF">
        <w:t>Снимки, включително такива доказващи публичност.</w:t>
      </w:r>
    </w:p>
    <w:p w14:paraId="085DE319" w14:textId="77777777" w:rsidR="000A36AF" w:rsidRPr="000A36AF" w:rsidRDefault="000A36AF" w:rsidP="000A36AF">
      <w:pPr>
        <w:tabs>
          <w:tab w:val="left" w:pos="709"/>
        </w:tabs>
        <w:spacing w:line="259" w:lineRule="auto"/>
        <w:ind w:firstLine="0"/>
        <w:rPr>
          <w:rFonts w:asciiTheme="minorHAnsi" w:eastAsiaTheme="minorHAnsi" w:hAnsiTheme="minorHAnsi" w:cstheme="minorBidi"/>
          <w:color w:val="000000"/>
          <w:szCs w:val="24"/>
          <w:lang w:eastAsia="en-US"/>
        </w:rPr>
      </w:pPr>
    </w:p>
    <w:p w14:paraId="14DDE909" w14:textId="77777777" w:rsidR="000A36AF" w:rsidRPr="000A36AF" w:rsidRDefault="000A36AF" w:rsidP="000A36AF">
      <w:pPr>
        <w:rPr>
          <w:rFonts w:eastAsiaTheme="minorHAnsi"/>
          <w:lang w:eastAsia="en-US"/>
        </w:rPr>
      </w:pPr>
      <w:r w:rsidRPr="000A36AF">
        <w:rPr>
          <w:rFonts w:eastAsiaTheme="minorHAnsi"/>
          <w:lang w:eastAsia="en-US"/>
        </w:rPr>
        <w:t xml:space="preserve">В полето „Опис на документите“, когато Техническият отчет е в </w:t>
      </w:r>
      <w:r w:rsidRPr="000A36AF">
        <w:t xml:space="preserve">пакет отчетни документи </w:t>
      </w:r>
      <w:r w:rsidRPr="000A36AF">
        <w:rPr>
          <w:rFonts w:eastAsiaTheme="minorHAnsi"/>
          <w:lang w:eastAsia="en-US"/>
        </w:rPr>
        <w:t xml:space="preserve">за </w:t>
      </w:r>
      <w:r w:rsidRPr="000A36AF">
        <w:rPr>
          <w:rFonts w:eastAsiaTheme="minorHAnsi"/>
          <w:b/>
          <w:lang w:eastAsia="en-US"/>
        </w:rPr>
        <w:t xml:space="preserve">окончателно искане за плащане, </w:t>
      </w:r>
      <w:r w:rsidRPr="000A36AF">
        <w:rPr>
          <w:rFonts w:eastAsiaTheme="minorHAnsi"/>
          <w:lang w:eastAsia="en-US"/>
        </w:rPr>
        <w:t>се прилагат следните документи, когато е приложимо:</w:t>
      </w:r>
    </w:p>
    <w:p w14:paraId="2041C587" w14:textId="77777777" w:rsidR="000A36AF" w:rsidRPr="000A36AF" w:rsidRDefault="000A36AF" w:rsidP="006A6D08">
      <w:pPr>
        <w:numPr>
          <w:ilvl w:val="0"/>
          <w:numId w:val="453"/>
        </w:numPr>
        <w:ind w:left="0" w:firstLine="851"/>
        <w:contextualSpacing/>
      </w:pPr>
      <w:r w:rsidRPr="000A36AF">
        <w:t>Доклади от проверки на място от Бенефициента (ако е приложимо);</w:t>
      </w:r>
    </w:p>
    <w:p w14:paraId="16439BEB" w14:textId="77777777" w:rsidR="000A36AF" w:rsidRPr="000A36AF" w:rsidRDefault="000A36AF" w:rsidP="006A6D08">
      <w:pPr>
        <w:numPr>
          <w:ilvl w:val="0"/>
          <w:numId w:val="453"/>
        </w:numPr>
        <w:ind w:left="0" w:firstLine="851"/>
        <w:contextualSpacing/>
      </w:pPr>
      <w:r w:rsidRPr="000A36AF">
        <w:t>Одитни доклади или извадки с констатации и препоръки (ако е приложимо);</w:t>
      </w:r>
    </w:p>
    <w:p w14:paraId="3AC151F9" w14:textId="77777777" w:rsidR="000A36AF" w:rsidRPr="000A36AF" w:rsidRDefault="000A36AF" w:rsidP="006A6D08">
      <w:pPr>
        <w:numPr>
          <w:ilvl w:val="0"/>
          <w:numId w:val="453"/>
        </w:numPr>
        <w:ind w:left="0" w:firstLine="851"/>
        <w:contextualSpacing/>
      </w:pPr>
      <w:r w:rsidRPr="000A36AF">
        <w:t>Документи, доказващи/онагледяващи изпълнението на индикаторите, приложени като сканиран файл;</w:t>
      </w:r>
    </w:p>
    <w:p w14:paraId="2572A1DD" w14:textId="77777777" w:rsidR="000A36AF" w:rsidRPr="000A36AF" w:rsidRDefault="000A36AF" w:rsidP="006A6D08">
      <w:pPr>
        <w:numPr>
          <w:ilvl w:val="0"/>
          <w:numId w:val="453"/>
        </w:numPr>
        <w:ind w:left="0" w:firstLine="851"/>
        <w:contextualSpacing/>
      </w:pPr>
      <w:r w:rsidRPr="000A36AF">
        <w:t>Документи, доказващи изпълнението на инфраструктурните проекти,като например:</w:t>
      </w:r>
    </w:p>
    <w:p w14:paraId="39B85E0C" w14:textId="77777777" w:rsidR="000A36AF" w:rsidRPr="000A36AF" w:rsidRDefault="000A36AF" w:rsidP="006A6D08">
      <w:pPr>
        <w:numPr>
          <w:ilvl w:val="0"/>
          <w:numId w:val="454"/>
        </w:numPr>
        <w:ind w:left="0" w:firstLine="1211"/>
        <w:contextualSpacing/>
      </w:pPr>
      <w:r w:rsidRPr="000A36AF">
        <w:t xml:space="preserve">Документи  по ЗУТ - Акт 15, Акт 16 и Разрешение за ползване за всички строителни договори, сключени по проекта; </w:t>
      </w:r>
    </w:p>
    <w:p w14:paraId="2C49BCAD" w14:textId="77777777" w:rsidR="000A36AF" w:rsidRPr="000A36AF" w:rsidRDefault="000A36AF" w:rsidP="006A6D08">
      <w:pPr>
        <w:ind w:firstLine="1211"/>
        <w:contextualSpacing/>
      </w:pPr>
      <w:r w:rsidRPr="000A36AF">
        <w:t>Приемо – предавателни протоколи за доставки на оборудване, ако са направенидоставки (само за  подадените за верификация  разходи за доставки в окончателното плащане);</w:t>
      </w:r>
    </w:p>
    <w:p w14:paraId="23D806DA" w14:textId="77777777" w:rsidR="000A36AF" w:rsidRPr="000A36AF" w:rsidRDefault="000A36AF" w:rsidP="006A6D08">
      <w:pPr>
        <w:numPr>
          <w:ilvl w:val="0"/>
          <w:numId w:val="454"/>
        </w:numPr>
        <w:ind w:left="0" w:firstLine="1211"/>
        <w:contextualSpacing/>
      </w:pPr>
      <w:r w:rsidRPr="000A36AF">
        <w:t>Снимки на приключилите СМР, както и снимки, доказващи реализация на мерките по публичности други.</w:t>
      </w:r>
    </w:p>
    <w:p w14:paraId="318B900B" w14:textId="77777777" w:rsidR="000A36AF" w:rsidRPr="000A36AF" w:rsidRDefault="000A36AF" w:rsidP="000A36AF"/>
    <w:p w14:paraId="5221CE56" w14:textId="77777777" w:rsidR="000A36AF" w:rsidRPr="000A36AF" w:rsidRDefault="000A36AF" w:rsidP="006A6D08">
      <w:pPr>
        <w:numPr>
          <w:ilvl w:val="0"/>
          <w:numId w:val="453"/>
        </w:numPr>
        <w:ind w:left="0" w:firstLine="851"/>
        <w:contextualSpacing/>
      </w:pPr>
      <w:r w:rsidRPr="000A36AF">
        <w:t>Документи, доказващи изпълнението на проекти за услуги, доставки и техническа помощ, които са приложими за конкретния случай като:</w:t>
      </w:r>
    </w:p>
    <w:p w14:paraId="75F598FF" w14:textId="77777777" w:rsidR="000A36AF" w:rsidRPr="000A36AF" w:rsidRDefault="000A36AF" w:rsidP="006A6D08">
      <w:pPr>
        <w:numPr>
          <w:ilvl w:val="0"/>
          <w:numId w:val="454"/>
        </w:numPr>
        <w:ind w:left="0" w:firstLine="1211"/>
        <w:contextualSpacing/>
      </w:pPr>
      <w:r w:rsidRPr="000A36AF">
        <w:t>Приемо – предавателни протоколи за доставки на оборудване, за предаване на рекламни материали, за разработки на документи и проекти и др. (само за  подадените за верификация разходив окончателното плащане);</w:t>
      </w:r>
    </w:p>
    <w:p w14:paraId="69FB7415" w14:textId="77777777" w:rsidR="000A36AF" w:rsidRPr="000A36AF" w:rsidRDefault="000A36AF" w:rsidP="006A6D08">
      <w:pPr>
        <w:numPr>
          <w:ilvl w:val="0"/>
          <w:numId w:val="454"/>
        </w:numPr>
        <w:ind w:left="0" w:firstLine="1211"/>
        <w:contextualSpacing/>
      </w:pPr>
      <w:r w:rsidRPr="000A36AF">
        <w:t>Издадени разрешителни от компетентните власти, в резултат на извършената услуга (ако е приложимо);</w:t>
      </w:r>
    </w:p>
    <w:p w14:paraId="6EA136CC" w14:textId="77777777" w:rsidR="000A36AF" w:rsidRPr="000A36AF" w:rsidRDefault="000A36AF" w:rsidP="006A6D08">
      <w:pPr>
        <w:numPr>
          <w:ilvl w:val="0"/>
          <w:numId w:val="454"/>
        </w:numPr>
        <w:ind w:left="0" w:firstLine="1211"/>
        <w:contextualSpacing/>
      </w:pPr>
      <w:r w:rsidRPr="000A36AF">
        <w:t>Ведомости за заплати, сертификати/присъствени списъци/доклади от проведени обучения, заповеди за командировка и други, когато проектът</w:t>
      </w:r>
      <w:r w:rsidRPr="00842ECC">
        <w:t xml:space="preserve"> </w:t>
      </w:r>
      <w:r w:rsidRPr="000A36AF">
        <w:t>касае техническа помощ за покриване на разходи за възнаграждения и укрепване на административния капацитет на Бенифициента (само за  подадените за верификация  в окончателното плащане);</w:t>
      </w:r>
    </w:p>
    <w:p w14:paraId="39C022E6" w14:textId="77777777" w:rsidR="000A36AF" w:rsidRPr="000A36AF" w:rsidRDefault="000A36AF" w:rsidP="006A6D08">
      <w:pPr>
        <w:numPr>
          <w:ilvl w:val="0"/>
          <w:numId w:val="454"/>
        </w:numPr>
        <w:ind w:left="0" w:firstLine="1211"/>
        <w:contextualSpacing/>
      </w:pPr>
      <w:r w:rsidRPr="000A36AF">
        <w:t>Снимки на доставените артикули и/ или рекламни материали  както и снимки, доказващи реализация на мерките по публичност и други.</w:t>
      </w:r>
    </w:p>
    <w:p w14:paraId="1B07B5E3" w14:textId="77777777" w:rsidR="000A36AF" w:rsidRPr="000A36AF" w:rsidRDefault="000A36AF" w:rsidP="006A6D08">
      <w:pPr>
        <w:numPr>
          <w:ilvl w:val="0"/>
          <w:numId w:val="453"/>
        </w:numPr>
        <w:ind w:left="0" w:firstLine="851"/>
        <w:contextualSpacing/>
      </w:pPr>
      <w:r w:rsidRPr="000A36AF">
        <w:lastRenderedPageBreak/>
        <w:t>Прикачва се попълнен файл с изискваната информация съгласно приложения формат (</w:t>
      </w:r>
      <w:hyperlink r:id="rId264" w:tooltip="Окончателен доклад по проект" w:history="1">
        <w:r w:rsidRPr="000A36AF">
          <w:rPr>
            <w:i/>
            <w:color w:val="0000FF"/>
            <w:u w:val="single"/>
            <w:lang w:eastAsia="bg-BG"/>
          </w:rPr>
          <w:t>Приложение № 7.04</w:t>
        </w:r>
      </w:hyperlink>
      <w:r w:rsidRPr="000A36AF">
        <w:t>- Окончателен доклад) в WORD  и *.pdf  формат.</w:t>
      </w:r>
    </w:p>
    <w:p w14:paraId="11D98143" w14:textId="77777777" w:rsidR="000A36AF" w:rsidRPr="000A36AF" w:rsidRDefault="000A36AF" w:rsidP="000A36AF"/>
    <w:p w14:paraId="604098DE" w14:textId="4F71BB0E" w:rsidR="000A36AF" w:rsidRPr="000A36AF" w:rsidRDefault="000A36AF" w:rsidP="000A36AF">
      <w:r w:rsidRPr="000A36AF">
        <w:rPr>
          <w:snapToGrid w:val="0"/>
        </w:rPr>
        <w:t xml:space="preserve">Техническият отчет </w:t>
      </w:r>
      <w:r w:rsidRPr="000A36AF">
        <w:rPr>
          <w:rFonts w:eastAsiaTheme="minorHAnsi"/>
          <w:lang w:eastAsia="en-US"/>
        </w:rPr>
        <w:t xml:space="preserve">в </w:t>
      </w:r>
      <w:r w:rsidRPr="000A36AF">
        <w:t xml:space="preserve">пакет отчетни документи </w:t>
      </w:r>
      <w:r w:rsidRPr="000A36AF">
        <w:rPr>
          <w:rFonts w:eastAsiaTheme="minorHAnsi"/>
          <w:lang w:eastAsia="en-US"/>
        </w:rPr>
        <w:t xml:space="preserve">за </w:t>
      </w:r>
      <w:r w:rsidRPr="000A36AF">
        <w:rPr>
          <w:rFonts w:eastAsiaTheme="minorHAnsi"/>
          <w:b/>
          <w:lang w:eastAsia="en-US"/>
        </w:rPr>
        <w:t>окончателно искане за плащане</w:t>
      </w:r>
      <w:r w:rsidRPr="000A36AF">
        <w:rPr>
          <w:snapToGrid w:val="0"/>
        </w:rPr>
        <w:t xml:space="preserve"> и </w:t>
      </w:r>
      <w:r w:rsidRPr="000A36AF">
        <w:rPr>
          <w:b/>
          <w:snapToGrid w:val="0"/>
        </w:rPr>
        <w:t>Окончателният доклад</w:t>
      </w:r>
      <w:r w:rsidRPr="000A36AF">
        <w:rPr>
          <w:snapToGrid w:val="0"/>
        </w:rPr>
        <w:t>, приложен към него, се одобряват след извършване и одобрение на окончателна проверка на място по проекта.</w:t>
      </w:r>
    </w:p>
    <w:p w14:paraId="293558F6" w14:textId="77777777" w:rsidR="000A36AF" w:rsidRPr="000A36AF" w:rsidRDefault="000A36AF" w:rsidP="000A36AF">
      <w:pPr>
        <w:rPr>
          <w:color w:val="000000"/>
        </w:rPr>
      </w:pPr>
      <w:r w:rsidRPr="000A36AF">
        <w:rPr>
          <w:color w:val="000000"/>
        </w:rPr>
        <w:t xml:space="preserve">Съгласно разпоредбите на чл. 13 от </w:t>
      </w:r>
      <w:r w:rsidRPr="000A36AF">
        <w:rPr>
          <w:rFonts w:eastAsiaTheme="minorHAnsi"/>
          <w:i/>
        </w:rPr>
        <w:t>НАРЕДБА за определяне на условията, реда и механизма за функциониране на Информационната система за управление и наблюдение на средствата от Европейските структурни и инвестиционни фондове (ИСУН) и за провеждане на производства пред управляващите органи посредством ИСУН</w:t>
      </w:r>
      <w:r w:rsidRPr="000A36AF">
        <w:rPr>
          <w:color w:val="000000"/>
        </w:rPr>
        <w:t xml:space="preserve">, Техническият отчет, който е част от пакет отчетни документи  се счита за получен от УО на ОПТТИ, с регистрирането (изпращането) му в ИСУН. </w:t>
      </w:r>
    </w:p>
    <w:p w14:paraId="7EA2A6D0" w14:textId="77777777" w:rsidR="000A36AF" w:rsidRPr="000A36AF" w:rsidRDefault="000A36AF" w:rsidP="000A36AF">
      <w:pPr>
        <w:ind w:firstLine="708"/>
        <w:rPr>
          <w:color w:val="000000"/>
          <w:szCs w:val="24"/>
        </w:rPr>
      </w:pPr>
    </w:p>
    <w:p w14:paraId="61A6EAE2" w14:textId="6DEEF21E" w:rsidR="000A36AF" w:rsidRPr="000A36AF" w:rsidRDefault="000A36AF" w:rsidP="000A36AF">
      <w:r w:rsidRPr="000A36AF">
        <w:t>В случаите, когато експертът от отдел „Изпълнение и координация“ има забележки и препоръки</w:t>
      </w:r>
      <w:r w:rsidRPr="000A36AF">
        <w:rPr>
          <w:bCs/>
        </w:rPr>
        <w:t xml:space="preserve">, поради които Техническият отчет не може да бъде одобрен, се </w:t>
      </w:r>
      <w:r w:rsidRPr="000A36AF">
        <w:t xml:space="preserve">избира команда „Върнат“ от  раздел „Документи“ на  </w:t>
      </w:r>
      <w:r w:rsidRPr="000A36AF">
        <w:rPr>
          <w:bCs/>
        </w:rPr>
        <w:t>модул „Мониторинг на пакет отчетни документи“, под-раздел „Технически отчет“ от съответния пакет документи,</w:t>
      </w:r>
      <w:r w:rsidRPr="000A36AF">
        <w:t xml:space="preserve"> като се попълват причините за промяната на статуса в полето, което се показва в ИСУН 2020.  Уведомяването на Бенефициента в такива случаи се прави чрез модул „Договори“, подмодул „Кореспонденция“ в ИСУН и/или по </w:t>
      </w:r>
      <w:r w:rsidRPr="000A36AF">
        <w:rPr>
          <w:bCs/>
        </w:rPr>
        <w:t xml:space="preserve">имейл,  с цел да е уведомен със сигурност експерта, отговорен за проекта от страна на Бенефициента, тъй като различните Бенефициенти имат различна политика относно правата за достъп до системата ИСУН 2020. </w:t>
      </w:r>
      <w:r w:rsidRPr="000A36AF">
        <w:t xml:space="preserve">Следвайки направените от УО коментари, Бенефициентът актуализира информацията и въвежда преработената версия на Техническия отчет в ИСУН 2020 до пет работни дни или в определени случаи, в срок указан от УО, считано от  получаването на имейл със забележки и  препоръки от УО. </w:t>
      </w:r>
    </w:p>
    <w:p w14:paraId="5B8DB8AA" w14:textId="77777777" w:rsidR="000A36AF" w:rsidRPr="000A36AF" w:rsidRDefault="000A36AF" w:rsidP="000A36AF">
      <w:pPr>
        <w:rPr>
          <w:rFonts w:eastAsiaTheme="minorHAnsi"/>
          <w:lang w:eastAsia="en-US"/>
        </w:rPr>
      </w:pPr>
      <w:r w:rsidRPr="000A36AF">
        <w:rPr>
          <w:rFonts w:eastAsiaTheme="minorHAnsi"/>
          <w:lang w:eastAsia="en-US"/>
        </w:rPr>
        <w:t xml:space="preserve">При подаване на нова версия на Технически отчет към Пакет отчетни документи в ИСУН 2020, </w:t>
      </w:r>
      <w:r w:rsidRPr="000A36AF">
        <w:rPr>
          <w:rFonts w:eastAsiaTheme="minorHAnsi"/>
          <w:bCs/>
          <w:lang w:eastAsia="en-US"/>
        </w:rPr>
        <w:t xml:space="preserve">новата версия на </w:t>
      </w:r>
      <w:r w:rsidRPr="000A36AF">
        <w:rPr>
          <w:rFonts w:eastAsiaTheme="minorHAnsi"/>
          <w:lang w:eastAsia="en-US"/>
        </w:rPr>
        <w:t xml:space="preserve">Технически отчет </w:t>
      </w:r>
      <w:r w:rsidRPr="000A36AF">
        <w:rPr>
          <w:rFonts w:eastAsiaTheme="minorHAnsi"/>
          <w:bCs/>
          <w:lang w:eastAsia="en-US"/>
        </w:rPr>
        <w:t>следва да съдържа</w:t>
      </w:r>
      <w:r w:rsidRPr="000A36AF">
        <w:rPr>
          <w:rFonts w:eastAsiaTheme="minorHAnsi"/>
          <w:lang w:eastAsia="en-US"/>
        </w:rPr>
        <w:t xml:space="preserve"> цялата необходима за верификацията коректна документация </w:t>
      </w:r>
      <w:r w:rsidRPr="00842ECC">
        <w:rPr>
          <w:rFonts w:eastAsiaTheme="minorHAnsi"/>
          <w:lang w:eastAsia="en-US"/>
        </w:rPr>
        <w:t>(</w:t>
      </w:r>
      <w:r w:rsidRPr="000A36AF">
        <w:rPr>
          <w:rFonts w:eastAsiaTheme="minorHAnsi"/>
          <w:lang w:eastAsia="en-US"/>
        </w:rPr>
        <w:t>данни и прикачени документи</w:t>
      </w:r>
      <w:r w:rsidRPr="00842ECC">
        <w:rPr>
          <w:rFonts w:eastAsiaTheme="minorHAnsi"/>
          <w:lang w:eastAsia="en-US"/>
        </w:rPr>
        <w:t>)</w:t>
      </w:r>
      <w:r w:rsidRPr="000A36AF">
        <w:rPr>
          <w:rFonts w:eastAsiaTheme="minorHAnsi"/>
          <w:lang w:eastAsia="en-US"/>
        </w:rPr>
        <w:t xml:space="preserve">, като некоректните документи, станали причина за връщане се коригират и добавят към новата версия. В случай, че се налага корекция  на част от документите в един файл </w:t>
      </w:r>
      <w:r w:rsidRPr="00842ECC">
        <w:rPr>
          <w:rFonts w:eastAsiaTheme="minorHAnsi"/>
          <w:lang w:eastAsia="en-US"/>
        </w:rPr>
        <w:t>(</w:t>
      </w:r>
      <w:r w:rsidRPr="000A36AF">
        <w:rPr>
          <w:rFonts w:eastAsiaTheme="minorHAnsi"/>
          <w:lang w:eastAsia="en-US"/>
        </w:rPr>
        <w:t>например добавяне, промяна на документ, нечетливо копие и др.</w:t>
      </w:r>
      <w:r w:rsidRPr="00842ECC">
        <w:rPr>
          <w:rFonts w:eastAsiaTheme="minorHAnsi"/>
          <w:lang w:eastAsia="en-US"/>
        </w:rPr>
        <w:t>)</w:t>
      </w:r>
      <w:r w:rsidRPr="000A36AF">
        <w:rPr>
          <w:rFonts w:eastAsiaTheme="minorHAnsi"/>
          <w:lang w:eastAsia="en-US"/>
        </w:rPr>
        <w:t xml:space="preserve"> на предишна версия, то в новата версия се въвежда изцяло нов коригиран сканиран файл.</w:t>
      </w:r>
    </w:p>
    <w:p w14:paraId="66F2466B" w14:textId="77777777" w:rsidR="000A36AF" w:rsidRPr="000A36AF" w:rsidRDefault="000A36AF" w:rsidP="000A36AF">
      <w:r w:rsidRPr="000A36AF">
        <w:t>Одобряването на Техническия отчет се извършва чрез следните действия:</w:t>
      </w:r>
    </w:p>
    <w:p w14:paraId="77846FF4" w14:textId="503B5FD0" w:rsidR="000A36AF" w:rsidRPr="000A36AF" w:rsidRDefault="000A36AF" w:rsidP="006A6D08">
      <w:pPr>
        <w:numPr>
          <w:ilvl w:val="0"/>
          <w:numId w:val="453"/>
        </w:numPr>
        <w:ind w:left="0" w:firstLine="851"/>
        <w:contextualSpacing/>
      </w:pPr>
      <w:r w:rsidRPr="000A36AF">
        <w:t>Верифициране на индикаторите за изпълнение, като експертът от УО  нанася одобрените стойности на индикаторите срещу въведените от Бенефициента, съгласно функционалностите на ИСУН 2020. В случай на необходимост, например при разминаване в стойностите на бенефициента и одобрените стойности от УО, се записват коментари от страна на УО при верификацията в предвидените полета на ИСУН и/или в становището относно техническия отчет, което се прикачва в раздел „Проверки“, както е описано по-долу.</w:t>
      </w:r>
    </w:p>
    <w:p w14:paraId="2EC7D1DD" w14:textId="389E5453" w:rsidR="000A36AF" w:rsidRPr="000A36AF" w:rsidRDefault="000A36AF" w:rsidP="006A6D08">
      <w:pPr>
        <w:numPr>
          <w:ilvl w:val="0"/>
          <w:numId w:val="453"/>
        </w:numPr>
        <w:ind w:left="0" w:firstLine="851"/>
        <w:contextualSpacing/>
      </w:pPr>
      <w:r w:rsidRPr="000A36AF">
        <w:t xml:space="preserve">Прикачване на файл със становище относно одобрението, включително препоръки (ако е необходимо) в раздел „Проверки“ на модул „Мониторинг на пакет отчетни документи“, подраздел „Проверка на технически отчет“. </w:t>
      </w:r>
    </w:p>
    <w:p w14:paraId="42CAC641" w14:textId="77777777" w:rsidR="000A36AF" w:rsidRPr="000A36AF" w:rsidRDefault="000A36AF" w:rsidP="000A36AF"/>
    <w:p w14:paraId="78248393" w14:textId="2D15CD18" w:rsidR="000A36AF" w:rsidRPr="000A36AF" w:rsidRDefault="000A36AF" w:rsidP="000A36AF">
      <w:r w:rsidRPr="000A36AF">
        <w:t xml:space="preserve">Когато се извършва одобрение на </w:t>
      </w:r>
      <w:r w:rsidRPr="000A36AF">
        <w:rPr>
          <w:lang w:val="pl-PL"/>
        </w:rPr>
        <w:t>Техническия отчет</w:t>
      </w:r>
      <w:r w:rsidRPr="000A36AF">
        <w:t xml:space="preserve"> към Искане за </w:t>
      </w:r>
      <w:r w:rsidRPr="000A36AF">
        <w:rPr>
          <w:b/>
        </w:rPr>
        <w:t>окончателно плащане</w:t>
      </w:r>
      <w:r w:rsidRPr="000A36AF">
        <w:t xml:space="preserve">, след верификация на индикаторите, </w:t>
      </w:r>
      <w:r w:rsidRPr="000A36AF">
        <w:rPr>
          <w:lang w:val="pl-PL"/>
        </w:rPr>
        <w:t xml:space="preserve">в раздел „Проверки“ на  </w:t>
      </w:r>
      <w:r w:rsidRPr="000A36AF">
        <w:rPr>
          <w:bCs/>
          <w:lang w:val="pl-PL"/>
        </w:rPr>
        <w:t xml:space="preserve">модул „Мониторинг на пакет отчетни документи“, подраздел „Проверка на технически отчет“ се </w:t>
      </w:r>
      <w:r w:rsidRPr="000A36AF">
        <w:rPr>
          <w:bCs/>
        </w:rPr>
        <w:t>попълва електронният</w:t>
      </w:r>
      <w:r w:rsidRPr="000A36AF">
        <w:rPr>
          <w:bCs/>
          <w:lang w:val="pl-PL"/>
        </w:rPr>
        <w:t xml:space="preserve"> контролен лист </w:t>
      </w:r>
      <w:r w:rsidRPr="000A36AF">
        <w:rPr>
          <w:bCs/>
        </w:rPr>
        <w:t xml:space="preserve">за проверката на </w:t>
      </w:r>
      <w:r w:rsidRPr="000A36AF">
        <w:rPr>
          <w:b/>
          <w:bCs/>
        </w:rPr>
        <w:t xml:space="preserve">окончателния доклад, </w:t>
      </w:r>
      <w:r w:rsidRPr="000A36AF">
        <w:rPr>
          <w:bCs/>
          <w:lang w:val="pl-PL"/>
        </w:rPr>
        <w:t>съгласно</w:t>
      </w:r>
      <w:r w:rsidRPr="000A36AF">
        <w:rPr>
          <w:bCs/>
        </w:rPr>
        <w:t xml:space="preserve"> </w:t>
      </w:r>
      <w:hyperlink r:id="rId265" w:tooltip="Контролен лист – Окончателен доклад по проект" w:history="1">
        <w:r w:rsidRPr="000A36AF">
          <w:rPr>
            <w:i/>
            <w:color w:val="0000FF"/>
            <w:u w:val="single"/>
            <w:lang w:eastAsia="bg-BG"/>
          </w:rPr>
          <w:t>Приложение № 7.04.1</w:t>
        </w:r>
      </w:hyperlink>
      <w:r w:rsidRPr="000A36AF">
        <w:t>.</w:t>
      </w:r>
    </w:p>
    <w:p w14:paraId="2BD8A80C" w14:textId="3869DC7F" w:rsidR="000A36AF" w:rsidRPr="000A36AF" w:rsidRDefault="000A36AF" w:rsidP="000A36AF">
      <w:pPr>
        <w:ind w:firstLine="0"/>
        <w:rPr>
          <w:rFonts w:eastAsia="Calibri"/>
          <w:color w:val="000000"/>
          <w:szCs w:val="24"/>
        </w:rPr>
      </w:pPr>
      <w:r w:rsidRPr="000A36AF">
        <w:rPr>
          <w:rFonts w:eastAsia="Calibri"/>
          <w:szCs w:val="24"/>
          <w:lang w:val="pl-PL"/>
        </w:rPr>
        <w:tab/>
        <w:t>Одобр</w:t>
      </w:r>
      <w:r w:rsidRPr="000A36AF">
        <w:rPr>
          <w:rFonts w:eastAsia="Calibri"/>
          <w:szCs w:val="24"/>
        </w:rPr>
        <w:t>ението</w:t>
      </w:r>
      <w:r w:rsidRPr="000A36AF">
        <w:rPr>
          <w:rFonts w:eastAsia="Calibri"/>
          <w:szCs w:val="24"/>
          <w:lang w:val="pl-PL"/>
        </w:rPr>
        <w:t xml:space="preserve"> на Техническия отчет</w:t>
      </w:r>
      <w:r w:rsidRPr="000A36AF">
        <w:rPr>
          <w:rFonts w:eastAsia="Calibri"/>
          <w:szCs w:val="24"/>
        </w:rPr>
        <w:t xml:space="preserve"> за междинно / окончателно плащане трябва да бъде извършено преди подаването на становището от страна отдел „Изпълнение и координация“ към отдел „Финансово управление“.</w:t>
      </w:r>
    </w:p>
    <w:p w14:paraId="31B3A1C3" w14:textId="77777777" w:rsidR="000A36AF" w:rsidRPr="000A36AF" w:rsidRDefault="000A36AF" w:rsidP="000A36AF"/>
    <w:p w14:paraId="535181AB" w14:textId="77777777" w:rsidR="000A36AF" w:rsidRPr="000A36AF" w:rsidRDefault="000A36AF" w:rsidP="000A36AF">
      <w:pPr>
        <w:ind w:firstLine="708"/>
        <w:rPr>
          <w:bCs/>
          <w:color w:val="000000"/>
          <w:szCs w:val="24"/>
        </w:rPr>
      </w:pPr>
      <w:r w:rsidRPr="000A36AF">
        <w:rPr>
          <w:bCs/>
          <w:color w:val="000000"/>
          <w:szCs w:val="24"/>
        </w:rPr>
        <w:lastRenderedPageBreak/>
        <w:t xml:space="preserve"> </w:t>
      </w:r>
    </w:p>
    <w:p w14:paraId="78E85010" w14:textId="77777777" w:rsidR="000A36AF" w:rsidRPr="000A36AF" w:rsidRDefault="000A36AF" w:rsidP="000A36AF">
      <w:pPr>
        <w:rPr>
          <w:b/>
          <w:color w:val="000000"/>
          <w:szCs w:val="24"/>
        </w:rPr>
      </w:pPr>
    </w:p>
    <w:p w14:paraId="035478F1" w14:textId="77777777" w:rsidR="000A36AF" w:rsidRPr="00842ECC" w:rsidRDefault="000A36AF" w:rsidP="000A36AF">
      <w:pPr>
        <w:numPr>
          <w:ilvl w:val="2"/>
          <w:numId w:val="273"/>
        </w:numPr>
        <w:tabs>
          <w:tab w:val="num" w:pos="360"/>
        </w:tabs>
        <w:spacing w:before="120" w:after="120"/>
        <w:ind w:left="0" w:firstLine="851"/>
        <w:contextualSpacing/>
        <w:outlineLvl w:val="3"/>
        <w:rPr>
          <w:b/>
          <w:snapToGrid w:val="0"/>
          <w:szCs w:val="24"/>
        </w:rPr>
      </w:pPr>
      <w:bookmarkStart w:id="1213" w:name="_Toc479775762"/>
      <w:r w:rsidRPr="00842ECC">
        <w:rPr>
          <w:b/>
          <w:snapToGrid w:val="0"/>
          <w:szCs w:val="24"/>
        </w:rPr>
        <w:t>Годишен доклад за напредъка по проект</w:t>
      </w:r>
      <w:bookmarkEnd w:id="1213"/>
    </w:p>
    <w:p w14:paraId="5AB0643B" w14:textId="503CD89D" w:rsidR="000A36AF" w:rsidRPr="000A36AF" w:rsidRDefault="000A36AF" w:rsidP="000A36AF">
      <w:r w:rsidRPr="000A36AF">
        <w:t xml:space="preserve">Бенефициентът изготвя и представя на УО чрез модул „Договори“ и подмодул „Кореспонденция“ в ИСУН 2020 до 15 януари годишен доклад за напредъка по проекта, отчитайки дейностите за предходната година. Годишният доклад се изготвя ежегодно и се въвежда в ИСУН 2020 във формата на </w:t>
      </w:r>
      <w:hyperlink r:id="rId266" w:tooltip="Годишен доклад за напредъка по проект" w:history="1">
        <w:r w:rsidRPr="000A36AF">
          <w:rPr>
            <w:i/>
            <w:color w:val="0000FF"/>
            <w:u w:val="single"/>
            <w:lang w:eastAsia="bg-BG"/>
          </w:rPr>
          <w:t>Приложение № 7.02</w:t>
        </w:r>
      </w:hyperlink>
      <w:r w:rsidRPr="000A36AF">
        <w:rPr>
          <w:i/>
          <w:color w:val="0000FF"/>
          <w:u w:val="single"/>
          <w:lang w:eastAsia="bg-BG"/>
        </w:rPr>
        <w:t>,</w:t>
      </w:r>
      <w:r w:rsidRPr="000A36AF">
        <w:t xml:space="preserve"> като сканиран файл и като файл в Word.</w:t>
      </w:r>
    </w:p>
    <w:p w14:paraId="3C020B7F" w14:textId="77777777" w:rsidR="000A36AF" w:rsidRPr="000A36AF" w:rsidRDefault="000A36AF" w:rsidP="000A36AF">
      <w:r w:rsidRPr="000A36AF">
        <w:t>Годишният доклад за напредъка  по проект се изготвя по приложения формат (</w:t>
      </w:r>
      <w:hyperlink r:id="rId267" w:tooltip="Годишен доклад за напредъка по проект" w:history="1">
        <w:r w:rsidRPr="000A36AF">
          <w:rPr>
            <w:i/>
            <w:color w:val="0000FF"/>
            <w:u w:val="single"/>
            <w:lang w:eastAsia="bg-BG"/>
          </w:rPr>
          <w:t>Приложение № 7.02</w:t>
        </w:r>
      </w:hyperlink>
      <w:r w:rsidRPr="000A36AF">
        <w:t>) и</w:t>
      </w:r>
      <w:r w:rsidRPr="000A36AF" w:rsidDel="000F6A0D">
        <w:t xml:space="preserve"> </w:t>
      </w:r>
      <w:r w:rsidRPr="000A36AF">
        <w:t xml:space="preserve">съдържа информация за действителния напредък по проекта за предходната календарна година, изпълнените дейности в отчетния период, планираните дейности, настъпили изменения по договорите и проекта, управлението на рисковете по проекта, срещнатите проблеми, предприетите корективни действия, финансовото изпълнение на проекта, изменение на индикаторите, информация за проведени проверки на място и информация за изпълнение на дадените предписания и препоръки, данни за изпълнението на предприети действия по одитни доклади и заключения, информация за административния капацитет информация във връзка с изпълнението на мерките за информация и публичност, описание на изпълнението/спазването на хоризонталните принципи: партньорство и многостепенно управление, устойчиво развитие, насърчаване на равенството между мъжете и жените и недопускане на дискриминация, достъпност, преодоляване на демографските промени, смекчаване на последиците от изменението на климата и приспособяване към тях, съгласно информацията в одобрения формуляр за кандидатстване. </w:t>
      </w:r>
    </w:p>
    <w:p w14:paraId="357FCC5F" w14:textId="77777777" w:rsidR="000A36AF" w:rsidRPr="000A36AF" w:rsidRDefault="000A36AF" w:rsidP="000A36AF">
      <w:r w:rsidRPr="000A36AF">
        <w:t xml:space="preserve">Периодът на отчитане на напредъка (физически, финансов и т.н) е едногодишен, като отчитането за първата година обхваща периода от датата на подписването на договора/решението за безвъзмездна помощ до края на текущата календарна година. </w:t>
      </w:r>
    </w:p>
    <w:p w14:paraId="02D02C10" w14:textId="77777777" w:rsidR="000A36AF" w:rsidRPr="000A36AF" w:rsidRDefault="000A36AF" w:rsidP="000A36AF">
      <w:r w:rsidRPr="000A36AF">
        <w:t>Информацията в годишните доклади за напредъка по проектите е база за изготвяне на Годишния доклад за изпълнението на Оперативна програма „Транспорт и транспортна инфраструктура”, относно частта, която е в компетенциите на отдел „Изпълнение и координация”.</w:t>
      </w:r>
    </w:p>
    <w:p w14:paraId="0737033C" w14:textId="77777777" w:rsidR="000A36AF" w:rsidRPr="000A36AF" w:rsidRDefault="000A36AF" w:rsidP="000A36AF">
      <w:pPr>
        <w:ind w:firstLine="708"/>
        <w:rPr>
          <w:color w:val="000000"/>
          <w:szCs w:val="24"/>
        </w:rPr>
      </w:pPr>
    </w:p>
    <w:p w14:paraId="6483C8B9" w14:textId="77777777" w:rsidR="000A36AF" w:rsidRPr="000A36AF" w:rsidRDefault="000A36AF" w:rsidP="000A36AF">
      <w:pPr>
        <w:ind w:firstLine="708"/>
        <w:rPr>
          <w:color w:val="000000"/>
          <w:szCs w:val="24"/>
        </w:rPr>
      </w:pPr>
    </w:p>
    <w:p w14:paraId="2EB84D52" w14:textId="77777777" w:rsidR="000A36AF" w:rsidRPr="00842ECC" w:rsidRDefault="000A36AF" w:rsidP="000A36AF">
      <w:pPr>
        <w:numPr>
          <w:ilvl w:val="2"/>
          <w:numId w:val="273"/>
        </w:numPr>
        <w:tabs>
          <w:tab w:val="num" w:pos="360"/>
        </w:tabs>
        <w:spacing w:before="120" w:after="120"/>
        <w:ind w:left="0" w:firstLine="851"/>
        <w:contextualSpacing/>
        <w:outlineLvl w:val="3"/>
        <w:rPr>
          <w:b/>
          <w:snapToGrid w:val="0"/>
          <w:szCs w:val="24"/>
        </w:rPr>
      </w:pPr>
      <w:r w:rsidRPr="00842ECC">
        <w:rPr>
          <w:b/>
          <w:snapToGrid w:val="0"/>
          <w:szCs w:val="24"/>
        </w:rPr>
        <w:t>Окончателен доклад за напредъка  по проект</w:t>
      </w:r>
    </w:p>
    <w:p w14:paraId="6F7B1176" w14:textId="77777777" w:rsidR="000A36AF" w:rsidRPr="000A36AF" w:rsidRDefault="000A36AF" w:rsidP="000A36AF">
      <w:pPr>
        <w:ind w:firstLine="708"/>
        <w:rPr>
          <w:color w:val="000000"/>
          <w:szCs w:val="24"/>
        </w:rPr>
      </w:pPr>
    </w:p>
    <w:p w14:paraId="5F59D16E" w14:textId="77777777" w:rsidR="000A36AF" w:rsidRPr="000A36AF" w:rsidRDefault="000A36AF" w:rsidP="000A36AF">
      <w:pPr>
        <w:ind w:firstLine="708"/>
        <w:rPr>
          <w:color w:val="000000"/>
          <w:szCs w:val="24"/>
        </w:rPr>
      </w:pPr>
      <w:r w:rsidRPr="000A36AF">
        <w:rPr>
          <w:color w:val="000000"/>
          <w:szCs w:val="24"/>
        </w:rPr>
        <w:tab/>
      </w:r>
      <w:r w:rsidRPr="000A36AF">
        <w:rPr>
          <w:b/>
          <w:color w:val="000000"/>
          <w:szCs w:val="24"/>
        </w:rPr>
        <w:t>Окончателният доклад за напредъка</w:t>
      </w:r>
      <w:r w:rsidRPr="000A36AF">
        <w:rPr>
          <w:color w:val="000000"/>
          <w:szCs w:val="24"/>
        </w:rPr>
        <w:t xml:space="preserve"> по проект се изготвя по приложения формат (</w:t>
      </w:r>
      <w:hyperlink r:id="rId268" w:history="1">
        <w:r w:rsidRPr="000A36AF">
          <w:rPr>
            <w:i/>
            <w:color w:val="0000FF"/>
            <w:u w:val="single"/>
            <w:lang w:eastAsia="bg-BG"/>
          </w:rPr>
          <w:t>Приложение</w:t>
        </w:r>
      </w:hyperlink>
      <w:r w:rsidRPr="000A36AF">
        <w:rPr>
          <w:i/>
          <w:color w:val="0000FF"/>
          <w:u w:val="single"/>
          <w:lang w:eastAsia="bg-BG"/>
        </w:rPr>
        <w:t xml:space="preserve"> № 7.04</w:t>
      </w:r>
      <w:r w:rsidRPr="000A36AF">
        <w:rPr>
          <w:color w:val="000000"/>
          <w:szCs w:val="24"/>
        </w:rPr>
        <w:t>) и се прилага като прикачен файл в полето „Опис на документите“ на Техническия отчет към пакета с окончателно искане за плащане. Окончателният доклад съдържа информация за изпълнението на проекта, изпълнените дейности съгласно договора за безвъзмездна помощ, постигнатите резултати, сключените договори, срещнатите технически, финансови и правни проблеми, предприетите корективни действия, финансовото изпълнение на проекта, изпълнението на индикаторите, информация за проведени проверки на място и информация за изпълнение на дадените предписания и препоръки, данни за изпълнението на предприети действия по одитни доклади и заключения, информация за административния капацитет, информация във връзка с изпълнението на мерките за информация и публичност, описание на изпълнението/спазването на хоризонталните принципи: партньорство и многостепенно управление, устойчиво развитие, насърчаване на равенството между мъжете и жените и недопускане на дискриминация, достъпност, преодоляване на демографските промени, смекчаване на последиците от изменението на климата и приспособяване към тях и други, съгласно съгласно образеца на приложението.</w:t>
      </w:r>
    </w:p>
    <w:p w14:paraId="13C442A7" w14:textId="77777777" w:rsidR="000A36AF" w:rsidRPr="000A36AF" w:rsidRDefault="000A36AF" w:rsidP="000A36AF">
      <w:pPr>
        <w:ind w:firstLine="708"/>
        <w:rPr>
          <w:color w:val="000000"/>
          <w:szCs w:val="24"/>
        </w:rPr>
      </w:pPr>
      <w:r w:rsidRPr="000A36AF">
        <w:rPr>
          <w:color w:val="000000"/>
          <w:szCs w:val="24"/>
        </w:rPr>
        <w:t>Окончателният доклад се одобрява от ръководителя на УО, след одобряването на доклада от окончателната проверка на място.</w:t>
      </w:r>
    </w:p>
    <w:p w14:paraId="6B3DC467" w14:textId="77777777" w:rsidR="000A36AF" w:rsidRPr="000A36AF" w:rsidRDefault="000A36AF" w:rsidP="000A36AF">
      <w:pPr>
        <w:ind w:firstLine="708"/>
        <w:rPr>
          <w:color w:val="000000"/>
          <w:szCs w:val="24"/>
        </w:rPr>
      </w:pPr>
    </w:p>
    <w:p w14:paraId="3BA4850D" w14:textId="77777777" w:rsidR="000A36AF" w:rsidRPr="000A36AF" w:rsidRDefault="000A36AF" w:rsidP="000A36AF">
      <w:pPr>
        <w:ind w:firstLine="708"/>
        <w:rPr>
          <w:color w:val="000000"/>
          <w:szCs w:val="24"/>
        </w:rPr>
      </w:pPr>
    </w:p>
    <w:p w14:paraId="31911146" w14:textId="77777777" w:rsidR="000A36AF" w:rsidRPr="00842ECC" w:rsidRDefault="000A36AF" w:rsidP="000A36AF">
      <w:pPr>
        <w:numPr>
          <w:ilvl w:val="2"/>
          <w:numId w:val="273"/>
        </w:numPr>
        <w:tabs>
          <w:tab w:val="num" w:pos="360"/>
        </w:tabs>
        <w:spacing w:before="120" w:after="120"/>
        <w:ind w:left="0" w:firstLine="851"/>
        <w:contextualSpacing/>
        <w:outlineLvl w:val="3"/>
        <w:rPr>
          <w:b/>
          <w:snapToGrid w:val="0"/>
          <w:szCs w:val="24"/>
        </w:rPr>
      </w:pPr>
      <w:bookmarkStart w:id="1214" w:name="_Toc412032342"/>
      <w:bookmarkStart w:id="1215" w:name="_Toc479775763"/>
      <w:r w:rsidRPr="00842ECC">
        <w:rPr>
          <w:b/>
          <w:snapToGrid w:val="0"/>
          <w:szCs w:val="24"/>
        </w:rPr>
        <w:lastRenderedPageBreak/>
        <w:t>Годишен доклад за дълготрайност</w:t>
      </w:r>
      <w:bookmarkEnd w:id="1214"/>
      <w:r w:rsidRPr="00842ECC">
        <w:rPr>
          <w:b/>
          <w:snapToGrid w:val="0"/>
          <w:szCs w:val="24"/>
        </w:rPr>
        <w:t xml:space="preserve"> на операция</w:t>
      </w:r>
      <w:bookmarkEnd w:id="1215"/>
    </w:p>
    <w:p w14:paraId="25508432" w14:textId="77777777" w:rsidR="000A36AF" w:rsidRPr="000A36AF" w:rsidRDefault="000A36AF" w:rsidP="000A36AF">
      <w:r w:rsidRPr="000A36AF">
        <w:t>За инфраструктурните проекти, които са завършени и са в експлоатация, и по които УО е извършил верификация на окончателно искане за плащане, Бенефициентът изготвя и представя на УО до 15 декември на текущата година т.н. „Годишен доклад за дълготрайност на операция”. С него Бенефициентът докладва за състоянието на инвестицията по проекта. Докладът обхваща едногодишен период на отчитане от 1 декември на предишната година до 30 ноември на текущата година. Целта е УО да разполага с необходимата информация през м. декември на текущата година, когато се изготвя план за проверки на място за следващата година. Първият отчет по проект, който е в експлоатация, и за който е верифицирано окончателното плащане се представя на 15 декември в годината, последваща завършването на проекта и може да обхваща период, по-дълъг от една година.</w:t>
      </w:r>
    </w:p>
    <w:p w14:paraId="1CEC3CDF" w14:textId="77777777" w:rsidR="000A36AF" w:rsidRPr="000A36AF" w:rsidRDefault="000A36AF" w:rsidP="000A36AF">
      <w:r w:rsidRPr="000A36AF">
        <w:t xml:space="preserve">Годишният доклад за дълготрайност на операцията се представя чрез пакета отчетни документи „Технически отчет“  на ИСУН 2020. В структурирания документ „Технически отчет“ се попълват полетата, които са приложими. Задължително се попълват полетата „Общи данни“, където се записва периодът на отчета и „Индикатори“, където се отчитат </w:t>
      </w:r>
      <w:r w:rsidRPr="000A36AF">
        <w:rPr>
          <w:b/>
        </w:rPr>
        <w:t>индикаторите за резултат</w:t>
      </w:r>
      <w:r w:rsidRPr="000A36AF">
        <w:t xml:space="preserve">, ако е приложимо. Стойностите на </w:t>
      </w:r>
      <w:r w:rsidRPr="000A36AF">
        <w:rPr>
          <w:b/>
        </w:rPr>
        <w:t>индикаторите за изпълнение</w:t>
      </w:r>
      <w:r w:rsidRPr="000A36AF">
        <w:t>, верифицирани при окончателното плащане на проекта, трябва да останат непроменени. В Годишния доклад за дълготрайност на операцията се отчитат от бенефициента и верифицират от УО само индикаторите за резултат, ако са налични такива в съответния проект. Годишният доклад за дълготрайност на операция се изготвя съгласно приложения формат (</w:t>
      </w:r>
      <w:hyperlink r:id="rId269" w:tooltip="Годишен доклад за устойчивост (за приключил проект)" w:history="1">
        <w:r w:rsidRPr="000A36AF">
          <w:rPr>
            <w:i/>
            <w:color w:val="0000FF"/>
            <w:u w:val="single"/>
            <w:lang w:eastAsia="bg-BG"/>
          </w:rPr>
          <w:t>Приложение № 7.03</w:t>
        </w:r>
      </w:hyperlink>
      <w:r w:rsidRPr="000A36AF">
        <w:t xml:space="preserve">) и се прикачва като файл в полето „Опис на документите“ като сканиран файл и като файл в Word. </w:t>
      </w:r>
    </w:p>
    <w:p w14:paraId="2DE7EE29" w14:textId="77777777" w:rsidR="000A36AF" w:rsidRPr="000A36AF" w:rsidRDefault="000A36AF" w:rsidP="000A36AF">
      <w:pPr>
        <w:rPr>
          <w:b/>
          <w:i/>
        </w:rPr>
      </w:pPr>
      <w:r w:rsidRPr="000A36AF">
        <w:t>Годишният доклад за дълготрайност на операция (</w:t>
      </w:r>
      <w:hyperlink r:id="rId270" w:tooltip="Годишен доклад за устойчивост (за приключил проект)" w:history="1">
        <w:r w:rsidRPr="000A36AF">
          <w:rPr>
            <w:i/>
            <w:color w:val="0000FF"/>
            <w:u w:val="single"/>
            <w:lang w:eastAsia="bg-BG"/>
          </w:rPr>
          <w:t>Приложение № 7.03</w:t>
        </w:r>
      </w:hyperlink>
      <w:r w:rsidRPr="000A36AF">
        <w:t xml:space="preserve">) съдържа информация за обхвата на проекта и постигнатите резултати от проекта, предприети мерки и действия за поддържане на постигнатите резултати (в т.ч. вложени средства за поддръжка при инфраструктурни проекти), информация за измененията на постигнатите резултати, ако има такива, и потвърждение, че резултатите са без съществени изменения или остават непроменени, за собствеността на активите, придобити по проекта, информация за промяна на собствеността, ако е настъпила такава, или потвърждение, че собствеността на активите не е изменена, информация за  постигнатите специфични индикатори по програмата за резултат чрез изпълнения проект, справка за трафика (за инфраструктурни проекти), извършените от бенефициента проверки на място през отчетния период с цел констатиране на отклонения/изменения във физическото, финансовото и административното състояние на инвестицията.   </w:t>
      </w:r>
    </w:p>
    <w:p w14:paraId="35A868BF" w14:textId="77777777" w:rsidR="000A36AF" w:rsidRPr="000A36AF" w:rsidRDefault="000A36AF" w:rsidP="000A36AF">
      <w:r w:rsidRPr="000A36AF">
        <w:t>Годишният доклад за дълготрайност на операция се придружава с Декларация от ръководителя на Бенефициента (свободен текст, който да потвърждава, че не са налице обстоятелствата по чл. 71 „Дълготрайност на операциите“, точка 1, букви а), б) и в) от Регламент (ЕС) 1303/2013), с която се удостоверява пред ръководителя на УО, че резултатите от проекта/функцията и предназначението на дълготрайните материални активи са запазени за периода на докладване и че собствеността на активите, придобити по проекта, не е изменена за периода на докладване. Декларацията от ръководителя на Бенефициента също се прикачва като сканиран файл в полето „Опис на документите“.</w:t>
      </w:r>
    </w:p>
    <w:p w14:paraId="18C736AA" w14:textId="494EEF21" w:rsidR="000A36AF" w:rsidRPr="000A36AF" w:rsidRDefault="000A36AF" w:rsidP="000A36AF">
      <w:r w:rsidRPr="000A36AF">
        <w:t xml:space="preserve">Бенефициентът трябва да уведоми писмено Управляващия орган, ако по някаква причина през едногодишния период на докладването за дълготрайност на операцията, проектът претърпи значителна промяна, свързана с предназначението му или се смени собственикът му, т.е. значителна промяна, която засяга естеството, целите или условията за изпълнение и която би довела до промяна на първоначалните цели на проекта или до промяна на собствеността на дадена позиция от инфраструктурата, която да дава неправомерно преимущество на дадено търговско дружество или публичноправна организация. В случай на настъпване на такива обстоятелства, информацията за такава промяна следва да се изпрати на УО в срок до 5 (пет) работни дни след настъпването й чрез модул „Договори“ и подмодул „Кореспонденция“ в ИСУН 2020. В такива случаи срокът за отчитане е до 30 ноември за </w:t>
      </w:r>
      <w:r w:rsidRPr="000A36AF">
        <w:lastRenderedPageBreak/>
        <w:t>календарна година и подаване на доклада за дълготрайност до 15 декември – остава непроменен, като в доклада задължително се описват настъпилите промени.</w:t>
      </w:r>
    </w:p>
    <w:p w14:paraId="2D88D1FB" w14:textId="77777777" w:rsidR="000A36AF" w:rsidRPr="000A36AF" w:rsidRDefault="000A36AF" w:rsidP="000A36AF"/>
    <w:p w14:paraId="74EC42D4" w14:textId="77777777" w:rsidR="000A36AF" w:rsidRPr="000A36AF" w:rsidRDefault="000A36AF" w:rsidP="000A36AF">
      <w:r w:rsidRPr="000A36AF">
        <w:t>УО на ОПТТИ разглежда представените доклад и декларация и обсъжда информацията в тях, с цел включване или не на проверка на място за устойчивост на приключил проект в плана за проверки на място на УО на ОПТ за следващата календарна година.</w:t>
      </w:r>
    </w:p>
    <w:p w14:paraId="26CCA525" w14:textId="77777777" w:rsidR="000A36AF" w:rsidRPr="000A36AF" w:rsidRDefault="000A36AF" w:rsidP="000A36AF">
      <w:pPr>
        <w:ind w:firstLine="708"/>
        <w:rPr>
          <w:bCs/>
          <w:color w:val="000000"/>
          <w:szCs w:val="24"/>
        </w:rPr>
      </w:pPr>
    </w:p>
    <w:p w14:paraId="13E84619" w14:textId="77777777" w:rsidR="000A36AF" w:rsidRPr="00842ECC" w:rsidRDefault="000A36AF" w:rsidP="000A36AF">
      <w:pPr>
        <w:numPr>
          <w:ilvl w:val="2"/>
          <w:numId w:val="273"/>
        </w:numPr>
        <w:tabs>
          <w:tab w:val="num" w:pos="360"/>
        </w:tabs>
        <w:spacing w:before="120" w:after="120"/>
        <w:ind w:left="0" w:firstLine="851"/>
        <w:contextualSpacing/>
        <w:outlineLvl w:val="3"/>
        <w:rPr>
          <w:b/>
          <w:snapToGrid w:val="0"/>
          <w:szCs w:val="24"/>
        </w:rPr>
      </w:pPr>
      <w:r w:rsidRPr="00842ECC">
        <w:rPr>
          <w:b/>
          <w:snapToGrid w:val="0"/>
          <w:szCs w:val="24"/>
        </w:rPr>
        <w:t>Други доклади за напредъка по  ОПТТИ</w:t>
      </w:r>
    </w:p>
    <w:p w14:paraId="50D5F5C3" w14:textId="743894A2" w:rsidR="000A36AF" w:rsidRPr="000A36AF" w:rsidRDefault="000A36AF" w:rsidP="000A36AF">
      <w:r w:rsidRPr="000A36AF">
        <w:t>УО на ОПТТИ може да изисква от Бенефициента информация за напредъка по проект за целите на Комитетите за наблюдение на ОПТТИ, за справки, изискани от Министерския съвет, министерства и ведомства, периодични срещи за отчитане на напредъка по проектите изпълнявани по ОПТТИ и др. като указва времевия период на изискваната информация. В тези случаи УО може да посочи формат, в който да бъде попълнена информацията и да определи  срок за изготвяне на съответната информация за напредъка. УО може да изиска информацията/докладът да се въвежда в системата ИСУН 2020 в модул „Договори“, подмодул „Кореспонденция“.</w:t>
      </w:r>
    </w:p>
    <w:p w14:paraId="3B421B06" w14:textId="77777777" w:rsidR="000A36AF" w:rsidRPr="000A36AF" w:rsidRDefault="000A36AF" w:rsidP="000A36AF">
      <w:pPr>
        <w:ind w:firstLine="708"/>
        <w:rPr>
          <w:color w:val="000000"/>
          <w:szCs w:val="24"/>
        </w:rPr>
      </w:pPr>
    </w:p>
    <w:p w14:paraId="72137F35" w14:textId="77777777" w:rsidR="000A36AF" w:rsidRPr="00842ECC" w:rsidRDefault="000A36AF" w:rsidP="000A36AF">
      <w:pPr>
        <w:numPr>
          <w:ilvl w:val="2"/>
          <w:numId w:val="273"/>
        </w:numPr>
        <w:tabs>
          <w:tab w:val="num" w:pos="360"/>
        </w:tabs>
        <w:spacing w:before="120" w:after="120"/>
        <w:ind w:left="0" w:firstLine="851"/>
        <w:contextualSpacing/>
        <w:outlineLvl w:val="3"/>
        <w:rPr>
          <w:b/>
          <w:snapToGrid w:val="0"/>
          <w:szCs w:val="24"/>
        </w:rPr>
      </w:pPr>
      <w:r w:rsidRPr="00842ECC">
        <w:rPr>
          <w:b/>
          <w:snapToGrid w:val="0"/>
          <w:szCs w:val="24"/>
        </w:rPr>
        <w:t>Верификация на индикаторите в Техническия отчет</w:t>
      </w:r>
    </w:p>
    <w:p w14:paraId="7103FFC6" w14:textId="77777777" w:rsidR="000A36AF" w:rsidRPr="000A36AF" w:rsidRDefault="000A36AF" w:rsidP="000A36AF">
      <w:r w:rsidRPr="000A36AF">
        <w:t xml:space="preserve">Индикаторите, чрез които количествено се измерва изпълнението на ниво проекти и на ниво програма са обособени в два типа  -  „за изпълнение“ и „за резултат“. </w:t>
      </w:r>
    </w:p>
    <w:p w14:paraId="417841F2" w14:textId="77777777" w:rsidR="000A36AF" w:rsidRPr="000A36AF" w:rsidRDefault="000A36AF" w:rsidP="000A36AF">
      <w:r w:rsidRPr="000A36AF">
        <w:t>Индикаторите за изпълнение отчитат изпълнението на конкретния проект.  Те са индивидуални за проект и такива, имащи отношение към изпълнението на програмата.</w:t>
      </w:r>
      <w:r w:rsidRPr="00842ECC">
        <w:t xml:space="preserve"> </w:t>
      </w:r>
      <w:r w:rsidRPr="000A36AF">
        <w:t>За всеки индикатор първоначално в договора за БФП е заложена базова стойност, която при изпълнението на проекта трябва да достигне до заложената целева стойност. При одобряването на Техническия отчет, при подаване на Искане за междинно/ окончателно плащане се верифицират индикаторите, докладвани по съответния проект. Това е процес, при който  се потвърждава наличието на съответствие между отчетените стойности на индикаторите и реалния напредък по изпълнение на проектите на база наличната информация в докладите за напредъка, исканията за плащания и проверките на място. Когато изготвя Техническия отчет, Бенефициентът въвежда стойностите на индикаторите в полето „Индикатори“. Когато се одобрява Техническия отчет, отговорният за наблюдението на конкретния проект експерт от отдел „Изпълнение и координация” верифицира индикаторите, като въвежда одобрената стойност за всеки отделен  индикатор. В случаите, когато въведената от Бенефициента стойност се отличава от одобрената стойност, експертът от УО връща техническия отчет за коригиране на индикаторите или прави коментар за причините за установените разлики в предвидените за това полета в ИСУН 2020.</w:t>
      </w:r>
    </w:p>
    <w:p w14:paraId="3D86B3DC" w14:textId="39AB0E47" w:rsidR="000A36AF" w:rsidRPr="000A36AF" w:rsidRDefault="000A36AF" w:rsidP="000A36AF">
      <w:r w:rsidRPr="000A36AF">
        <w:t>Индикаторите се верифицират в Техническия отчет на базата на информацията за напредъка за отчетния период,  документална проверка на приложените към Техническия отчет /  Искането за плащане документи. В случаите, когато документи, отчитащи изпълнението на индикаторите не са приложени, експертът от отдел „Изпълнение и координация” може да изиска такива чрез модул „Договори“ и подмодул „Кореспонденция“.</w:t>
      </w:r>
    </w:p>
    <w:p w14:paraId="73AEDBAE" w14:textId="77777777" w:rsidR="000A36AF" w:rsidRPr="000A36AF" w:rsidRDefault="000A36AF" w:rsidP="000A36AF">
      <w:r w:rsidRPr="000A36AF">
        <w:t>Тъй като при одобряването на Техническия отчет индикаторите за изпълнение се верифицират на база документална проверка, по време на проверките на място се извършва физическа и допълнителна документална проверка на предоставените от бенефициента данни, свързани с индикаторите по проекта, въз основа на която се извършва верификация съгласно т. 28.3.6 „Верификация на индикаторите при проверка на място“.</w:t>
      </w:r>
    </w:p>
    <w:p w14:paraId="162E9D79" w14:textId="77777777" w:rsidR="000A36AF" w:rsidRPr="000A36AF" w:rsidRDefault="000A36AF" w:rsidP="000A36AF">
      <w:pPr>
        <w:ind w:firstLine="708"/>
        <w:rPr>
          <w:color w:val="000000"/>
          <w:szCs w:val="24"/>
        </w:rPr>
      </w:pPr>
    </w:p>
    <w:p w14:paraId="155BD6CB" w14:textId="77777777" w:rsidR="000A36AF" w:rsidRPr="00842ECC" w:rsidRDefault="000A36AF" w:rsidP="000A36AF">
      <w:pPr>
        <w:numPr>
          <w:ilvl w:val="2"/>
          <w:numId w:val="273"/>
        </w:numPr>
        <w:tabs>
          <w:tab w:val="num" w:pos="360"/>
        </w:tabs>
        <w:spacing w:before="120" w:after="120"/>
        <w:ind w:left="0" w:firstLine="851"/>
        <w:contextualSpacing/>
        <w:outlineLvl w:val="3"/>
        <w:rPr>
          <w:b/>
          <w:snapToGrid w:val="0"/>
          <w:szCs w:val="24"/>
        </w:rPr>
      </w:pPr>
      <w:r w:rsidRPr="00842ECC">
        <w:rPr>
          <w:b/>
          <w:snapToGrid w:val="0"/>
          <w:szCs w:val="24"/>
        </w:rPr>
        <w:t>Годишно отчитане на индикаторите за изпълнение и резултат по програмата</w:t>
      </w:r>
    </w:p>
    <w:p w14:paraId="7F4BE72F" w14:textId="724F8458" w:rsidR="000A36AF" w:rsidRPr="000A36AF" w:rsidRDefault="000A36AF" w:rsidP="000A36AF">
      <w:r w:rsidRPr="000A36AF">
        <w:t>Индикаторите за изпълнение и резултат по програмата се събират, проверяват и обработват на годишна база от отдел „</w:t>
      </w:r>
      <w:r w:rsidR="00F12184">
        <w:t>Наблюдение и оценка</w:t>
      </w:r>
      <w:r w:rsidR="00F12184" w:rsidRPr="00FF6A59">
        <w:t xml:space="preserve">“ </w:t>
      </w:r>
      <w:r w:rsidRPr="000A36AF">
        <w:t xml:space="preserve">в координация с отдел </w:t>
      </w:r>
      <w:r w:rsidRPr="000A36AF">
        <w:lastRenderedPageBreak/>
        <w:t xml:space="preserve">„Изпълнение и координация“ и отдел „Финансово управление“ и се докладват в Годишния доклад за изпълнението на програмата съгласно процедурата, разписана в </w:t>
      </w:r>
      <w:r w:rsidRPr="000A36AF">
        <w:rPr>
          <w:b/>
        </w:rPr>
        <w:t>т. 32.1 Доклад за изпълнението на ОПТТИ</w:t>
      </w:r>
      <w:r w:rsidRPr="000A36AF">
        <w:t>.</w:t>
      </w:r>
    </w:p>
    <w:p w14:paraId="1DF0F42E" w14:textId="77777777" w:rsidR="000A36AF" w:rsidRPr="000A36AF" w:rsidRDefault="000A36AF" w:rsidP="000A36AF"/>
    <w:p w14:paraId="3FD45729" w14:textId="77777777" w:rsidR="000A36AF" w:rsidRPr="000A36AF" w:rsidRDefault="000A36AF" w:rsidP="000A36AF">
      <w:pPr>
        <w:ind w:firstLine="708"/>
        <w:rPr>
          <w:bCs/>
          <w:color w:val="000000"/>
          <w:szCs w:val="24"/>
        </w:rPr>
      </w:pPr>
    </w:p>
    <w:p w14:paraId="6AF719A9" w14:textId="77777777" w:rsidR="000A36AF" w:rsidRPr="000A36AF" w:rsidRDefault="000A36AF" w:rsidP="000A36AF">
      <w:pPr>
        <w:ind w:firstLine="708"/>
        <w:rPr>
          <w:b/>
          <w:color w:val="000000"/>
          <w:szCs w:val="24"/>
        </w:rPr>
      </w:pPr>
    </w:p>
    <w:p w14:paraId="24A045D5" w14:textId="77777777" w:rsidR="000A36AF" w:rsidRPr="000A36AF" w:rsidRDefault="000A36AF" w:rsidP="006A6D08">
      <w:pPr>
        <w:pStyle w:val="Style2"/>
        <w:rPr>
          <w:snapToGrid w:val="0"/>
        </w:rPr>
      </w:pPr>
      <w:bookmarkStart w:id="1216" w:name="_Toc479775766"/>
      <w:bookmarkStart w:id="1217" w:name="_Toc140150275"/>
      <w:r w:rsidRPr="000A36AF">
        <w:rPr>
          <w:snapToGrid w:val="0"/>
        </w:rPr>
        <w:t>Проверки на място</w:t>
      </w:r>
      <w:bookmarkEnd w:id="1216"/>
      <w:bookmarkEnd w:id="1217"/>
    </w:p>
    <w:p w14:paraId="33A3C356" w14:textId="77777777" w:rsidR="000A36AF" w:rsidRPr="000A36AF" w:rsidRDefault="000A36AF" w:rsidP="000A36AF">
      <w:pPr>
        <w:numPr>
          <w:ilvl w:val="2"/>
          <w:numId w:val="273"/>
        </w:numPr>
        <w:tabs>
          <w:tab w:val="num" w:pos="360"/>
        </w:tabs>
        <w:spacing w:before="120" w:after="120"/>
        <w:ind w:left="0" w:firstLine="851"/>
        <w:contextualSpacing/>
        <w:outlineLvl w:val="3"/>
        <w:rPr>
          <w:b/>
          <w:snapToGrid w:val="0"/>
          <w:szCs w:val="24"/>
          <w:lang w:val="en-US"/>
        </w:rPr>
      </w:pPr>
      <w:bookmarkStart w:id="1218" w:name="_Toc479775767"/>
      <w:r w:rsidRPr="000A36AF">
        <w:rPr>
          <w:b/>
          <w:snapToGrid w:val="0"/>
          <w:szCs w:val="24"/>
          <w:lang w:val="en-US"/>
        </w:rPr>
        <w:t>Същност и цели</w:t>
      </w:r>
      <w:bookmarkEnd w:id="1218"/>
    </w:p>
    <w:p w14:paraId="2C89949B" w14:textId="77777777" w:rsidR="000A36AF" w:rsidRPr="000A36AF" w:rsidRDefault="000A36AF" w:rsidP="000A36AF">
      <w:r w:rsidRPr="000A36AF">
        <w:t>Извършването на проверки на място е един от основните инструменти за осъществяване на мониторинг на програмите и проектите, съфинансирани със средства от бюджета на Европейския съюз. По време на проверката се отчита реалното физическо изпълнение на проекта, като се обхващат неговите административни и технически аспекти, както и  изпълнението на индикаторите по проекта.</w:t>
      </w:r>
    </w:p>
    <w:p w14:paraId="3516DA65" w14:textId="77777777" w:rsidR="000A36AF" w:rsidRPr="000A36AF" w:rsidRDefault="000A36AF" w:rsidP="000A36AF">
      <w:r w:rsidRPr="000A36AF">
        <w:t>Основните цели на проверката на място могат да бъдат обобщени по следния начин:</w:t>
      </w:r>
    </w:p>
    <w:p w14:paraId="48C53799" w14:textId="77777777" w:rsidR="000A36AF" w:rsidRPr="000A36AF" w:rsidRDefault="000A36AF" w:rsidP="006A6D08">
      <w:pPr>
        <w:numPr>
          <w:ilvl w:val="0"/>
          <w:numId w:val="100"/>
        </w:numPr>
        <w:tabs>
          <w:tab w:val="num" w:pos="1134"/>
        </w:tabs>
        <w:ind w:left="0" w:firstLine="851"/>
        <w:rPr>
          <w:color w:val="000000"/>
          <w:szCs w:val="24"/>
        </w:rPr>
      </w:pPr>
      <w:r w:rsidRPr="000A36AF">
        <w:rPr>
          <w:color w:val="000000"/>
          <w:szCs w:val="24"/>
        </w:rPr>
        <w:t>Съпоставяне на реалното изпълнение на проекта с подаваната информация в отделните технически отчети и годишни доклади по проекта;</w:t>
      </w:r>
    </w:p>
    <w:p w14:paraId="50F2B96E" w14:textId="77777777" w:rsidR="000A36AF" w:rsidRPr="000A36AF" w:rsidRDefault="000A36AF" w:rsidP="006A6D08">
      <w:pPr>
        <w:numPr>
          <w:ilvl w:val="0"/>
          <w:numId w:val="100"/>
        </w:numPr>
        <w:tabs>
          <w:tab w:val="num" w:pos="1134"/>
        </w:tabs>
        <w:ind w:left="0" w:firstLine="851"/>
        <w:rPr>
          <w:color w:val="000000"/>
          <w:szCs w:val="24"/>
        </w:rPr>
      </w:pPr>
      <w:r w:rsidRPr="000A36AF">
        <w:rPr>
          <w:color w:val="000000"/>
          <w:szCs w:val="24"/>
        </w:rPr>
        <w:t>Контрол и оценка на изпълнението на проекта на ниво бенефициент, в т. ч. и на вменените му задължения;</w:t>
      </w:r>
    </w:p>
    <w:p w14:paraId="0AC08A6E" w14:textId="77777777" w:rsidR="000A36AF" w:rsidRPr="000A36AF" w:rsidRDefault="000A36AF" w:rsidP="006A6D08">
      <w:pPr>
        <w:numPr>
          <w:ilvl w:val="0"/>
          <w:numId w:val="100"/>
        </w:numPr>
        <w:tabs>
          <w:tab w:val="num" w:pos="1134"/>
        </w:tabs>
        <w:ind w:left="0" w:firstLine="851"/>
        <w:rPr>
          <w:color w:val="000000"/>
          <w:szCs w:val="24"/>
        </w:rPr>
      </w:pPr>
      <w:r w:rsidRPr="000A36AF">
        <w:rPr>
          <w:color w:val="000000"/>
          <w:szCs w:val="24"/>
        </w:rPr>
        <w:t>Използва се като инструмент в процеса на верификация на извършените от бенефициента разходи по ОПТТИ. Проверява се реалното физическо изпълнение (действително извършени СМР, вложени материали в обекта, доставката на оборудване и извършени услуги съгласно договора за предоставяне на безвъзмездна финансова помощ);</w:t>
      </w:r>
    </w:p>
    <w:p w14:paraId="178B4CCB" w14:textId="77777777" w:rsidR="000A36AF" w:rsidRPr="000A36AF" w:rsidRDefault="000A36AF" w:rsidP="006A6D08">
      <w:pPr>
        <w:numPr>
          <w:ilvl w:val="0"/>
          <w:numId w:val="100"/>
        </w:numPr>
        <w:tabs>
          <w:tab w:val="num" w:pos="1134"/>
        </w:tabs>
        <w:ind w:left="0" w:firstLine="851"/>
        <w:rPr>
          <w:color w:val="000000"/>
          <w:szCs w:val="24"/>
        </w:rPr>
      </w:pPr>
      <w:r w:rsidRPr="000A36AF">
        <w:rPr>
          <w:color w:val="000000"/>
          <w:szCs w:val="24"/>
        </w:rPr>
        <w:t>Проверка на предоставените от бенефициента данни, свързани с изпълнението на индикаторите по проекта;</w:t>
      </w:r>
    </w:p>
    <w:p w14:paraId="560DCF60" w14:textId="77777777" w:rsidR="000A36AF" w:rsidRPr="000A36AF" w:rsidRDefault="000A36AF" w:rsidP="006A6D08">
      <w:pPr>
        <w:numPr>
          <w:ilvl w:val="0"/>
          <w:numId w:val="100"/>
        </w:numPr>
        <w:tabs>
          <w:tab w:val="num" w:pos="1134"/>
        </w:tabs>
        <w:ind w:left="0" w:firstLine="851"/>
        <w:rPr>
          <w:color w:val="000000"/>
          <w:szCs w:val="24"/>
        </w:rPr>
      </w:pPr>
      <w:r w:rsidRPr="000A36AF">
        <w:rPr>
          <w:color w:val="000000"/>
          <w:szCs w:val="24"/>
        </w:rPr>
        <w:t>Използва се като инструмент за идентифициране на нередности, свързани с техническите аспекти от изпълнението на проект и за ограничаване на рисковете от нередности и/или измами при изпълнението на проекта;</w:t>
      </w:r>
    </w:p>
    <w:p w14:paraId="6AD98897" w14:textId="77777777" w:rsidR="000A36AF" w:rsidRPr="000A36AF" w:rsidRDefault="000A36AF" w:rsidP="006A6D08">
      <w:pPr>
        <w:numPr>
          <w:ilvl w:val="0"/>
          <w:numId w:val="100"/>
        </w:numPr>
        <w:tabs>
          <w:tab w:val="num" w:pos="1134"/>
        </w:tabs>
        <w:ind w:left="0" w:firstLine="851"/>
        <w:rPr>
          <w:color w:val="000000"/>
          <w:szCs w:val="24"/>
        </w:rPr>
      </w:pPr>
      <w:r w:rsidRPr="000A36AF">
        <w:rPr>
          <w:color w:val="000000"/>
          <w:szCs w:val="24"/>
        </w:rPr>
        <w:t>За удостоверяване на изпълнението на чл.71 „Дълготрайност на операциите” от Регламент (ЕО) 1303/2013 за операции включващи инвестиции в инфраструктура, когато операциите/проектите са завършили и са в експлоатация, и по които УО е извършил верификация на окончателно искане за плащане.</w:t>
      </w:r>
    </w:p>
    <w:p w14:paraId="3659E638" w14:textId="77777777" w:rsidR="000A36AF" w:rsidRPr="000A36AF" w:rsidRDefault="000A36AF" w:rsidP="000A36AF">
      <w:r w:rsidRPr="000A36AF">
        <w:t>Проверките на място са ключов инструмент за осъществяване на процеса на верификация на извършените от бенефициентите по Оперативна програма „Транспорт и транспортна инфраструктура” 2014-2020 г. разходи и за потвърждение на постигнатите индикатори за изпълнение на проекта. Верифицирането на разходите и отчитането на постигнатите индикатори за изпълнение на проекта от УО е цялостен процес по наблюдение и контрол върху финансовия и физически напредък по проектите за потвърждаване на правилността и редовността на декларираните разходи по одобрените проекти и е задължителното условие за последващо сертифициране от страна на СО. В резултат на извършването на проверките на място Управляващият орган се уверява и гарантира, че СМР, продуктите и услугите са предоставени или извършени, и че декларираните разходи от Бенефициентите по проектите действително са били извършени и това съответства на националните правила, както и на тези на Общността. Също така, по време на проверката на място УО осъществява физическа и документална проверка на предоставените и декларираните от бенефициента данни, свързани с изпълнението на индикаторите по проекта като по този начин се гарантира, че всички предвидени дейности по проекта са изпълнени.</w:t>
      </w:r>
    </w:p>
    <w:p w14:paraId="31E1B269" w14:textId="77777777" w:rsidR="000A36AF" w:rsidRPr="000A36AF" w:rsidRDefault="000A36AF" w:rsidP="000A36AF">
      <w:pPr>
        <w:rPr>
          <w:color w:val="000000"/>
          <w:szCs w:val="24"/>
        </w:rPr>
      </w:pPr>
    </w:p>
    <w:p w14:paraId="3A86253C" w14:textId="77777777" w:rsidR="000A36AF" w:rsidRPr="000A36AF" w:rsidRDefault="000A36AF" w:rsidP="000A36AF">
      <w:pPr>
        <w:ind w:firstLine="708"/>
        <w:rPr>
          <w:color w:val="000000"/>
          <w:szCs w:val="24"/>
        </w:rPr>
      </w:pPr>
      <w:r w:rsidRPr="000A36AF">
        <w:rPr>
          <w:color w:val="000000"/>
          <w:szCs w:val="24"/>
        </w:rPr>
        <w:t xml:space="preserve">С цел осигуряване на специфична техническа експертиза при провеждането на проверките на място УО може да възложи на консултантска фирма (консултант) извършването на технически проверки на място. В зависимост от нуждите за конкретната проверка на място </w:t>
      </w:r>
      <w:r w:rsidRPr="000A36AF">
        <w:rPr>
          <w:color w:val="000000"/>
          <w:szCs w:val="24"/>
        </w:rPr>
        <w:lastRenderedPageBreak/>
        <w:t>УО определя  нейния обхват и респективно видовете експерти, които се предоставят от консултанта.</w:t>
      </w:r>
    </w:p>
    <w:p w14:paraId="474F4663" w14:textId="77777777" w:rsidR="000A36AF" w:rsidRPr="000A36AF" w:rsidRDefault="000A36AF" w:rsidP="000A36AF">
      <w:pPr>
        <w:ind w:firstLine="708"/>
        <w:rPr>
          <w:color w:val="000000"/>
          <w:szCs w:val="24"/>
        </w:rPr>
      </w:pPr>
      <w:r w:rsidRPr="000A36AF">
        <w:rPr>
          <w:color w:val="000000"/>
          <w:szCs w:val="24"/>
        </w:rPr>
        <w:t xml:space="preserve">УО на ОПТТИ поддържа регистър на проведените проверки на място за календарна година, съгласно приложения формат </w:t>
      </w:r>
      <w:r w:rsidRPr="000A36AF">
        <w:rPr>
          <w:b/>
          <w:i/>
          <w:color w:val="000000"/>
          <w:szCs w:val="24"/>
        </w:rPr>
        <w:t>(</w:t>
      </w:r>
      <w:hyperlink r:id="rId271" w:tooltip="Регистър на проверките на място от УО на ОПТТИ за ……. година" w:history="1">
        <w:r w:rsidRPr="000A36AF">
          <w:rPr>
            <w:i/>
            <w:color w:val="0000FF"/>
            <w:szCs w:val="24"/>
            <w:u w:val="single"/>
          </w:rPr>
          <w:t>Приложение № 7.10</w:t>
        </w:r>
      </w:hyperlink>
      <w:r w:rsidRPr="000A36AF">
        <w:rPr>
          <w:b/>
          <w:i/>
          <w:color w:val="000000"/>
          <w:szCs w:val="24"/>
        </w:rPr>
        <w:t>),</w:t>
      </w:r>
      <w:r w:rsidRPr="000A36AF">
        <w:rPr>
          <w:color w:val="000000"/>
          <w:szCs w:val="24"/>
        </w:rPr>
        <w:t xml:space="preserve"> с информация за: име на проекта и номер на проверката на място по проекта; дата и обхват на проверката; резултатите от проверката – констатации и препоръки от УО, данни за установени от УО нередности (ако е приложимо към съответната проверка на място); предприетите мерки по отношение на установените нередности (ако е приложимо); статус на изпълнението на препоръките от проверката на място. Началникът на отдел „Изпълнение и координация“ определя експерт от отдела, който отговаря за поддържането на регистъра.</w:t>
      </w:r>
    </w:p>
    <w:p w14:paraId="474C2AC4" w14:textId="77777777" w:rsidR="000A36AF" w:rsidRPr="000A36AF" w:rsidRDefault="000A36AF" w:rsidP="000A36AF">
      <w:r w:rsidRPr="000A36AF">
        <w:t>След въвеждане на информацията и одобрения доклад от проверката на място в модул „Проверки на място” в ИСУН 2020, експертът от отдел „Изпълнение и координация“, отговорен за проверката, изпраща на определения отговорник по ел. поща в срок до 3 работни дни попълнена информация съгласно формата (</w:t>
      </w:r>
      <w:hyperlink r:id="rId272" w:tooltip="Регистър на проверките на място от УО на ОПТТИ за ……. година" w:history="1">
        <w:r w:rsidRPr="000A36AF">
          <w:rPr>
            <w:i/>
            <w:color w:val="0000FF"/>
            <w:u w:val="single"/>
            <w:lang w:eastAsia="bg-BG"/>
          </w:rPr>
          <w:t>Приложение № 7.10</w:t>
        </w:r>
      </w:hyperlink>
      <w:r w:rsidRPr="000A36AF">
        <w:t>).  Експертът, отговорен за поддържането на регистъра с проверки на място добавя подадената информация в Регистъра с проверки на място, който се намира в публичната папка на сървъра на УО на ОПТТИ и е достъпен за целия състав на УО. Той се предоставя при поискване и на проверяващите институции.</w:t>
      </w:r>
    </w:p>
    <w:p w14:paraId="50118322" w14:textId="77777777" w:rsidR="000A36AF" w:rsidRPr="000A36AF" w:rsidRDefault="000A36AF" w:rsidP="000A36AF">
      <w:pPr>
        <w:ind w:firstLine="708"/>
        <w:rPr>
          <w:color w:val="000000"/>
          <w:szCs w:val="24"/>
        </w:rPr>
      </w:pPr>
    </w:p>
    <w:p w14:paraId="4AE098B3" w14:textId="77777777" w:rsidR="000A36AF" w:rsidRPr="00842ECC" w:rsidRDefault="000A36AF" w:rsidP="000A36AF">
      <w:pPr>
        <w:numPr>
          <w:ilvl w:val="2"/>
          <w:numId w:val="273"/>
        </w:numPr>
        <w:tabs>
          <w:tab w:val="num" w:pos="360"/>
        </w:tabs>
        <w:spacing w:before="120" w:after="120"/>
        <w:ind w:left="0" w:firstLine="851"/>
        <w:contextualSpacing/>
        <w:outlineLvl w:val="3"/>
        <w:rPr>
          <w:b/>
          <w:snapToGrid w:val="0"/>
          <w:szCs w:val="24"/>
        </w:rPr>
      </w:pPr>
      <w:bookmarkStart w:id="1219" w:name="_Toc479775768"/>
      <w:r w:rsidRPr="00842ECC">
        <w:rPr>
          <w:b/>
          <w:snapToGrid w:val="0"/>
          <w:szCs w:val="24"/>
        </w:rPr>
        <w:t>Планирани и непланирани проверки на място</w:t>
      </w:r>
      <w:bookmarkEnd w:id="1219"/>
    </w:p>
    <w:p w14:paraId="254EF3B4" w14:textId="77777777" w:rsidR="000A36AF" w:rsidRPr="000A36AF" w:rsidRDefault="000A36AF" w:rsidP="000A36AF">
      <w:r w:rsidRPr="000A36AF">
        <w:t>Проверките на място се извършват на всеки етап от изпълнението на даден проект, а също и след завършването му (за потвърждение, че не са налице обстоятелствата по чл. 71 „Дълготрайност на операциите“, точка 1, букви а), б) и в) от Регламент (ЕС) 1303/2013).</w:t>
      </w:r>
    </w:p>
    <w:p w14:paraId="60E810B6" w14:textId="77777777" w:rsidR="000A36AF" w:rsidRPr="000A36AF" w:rsidRDefault="000A36AF" w:rsidP="000A36AF">
      <w:r w:rsidRPr="000A36AF">
        <w:t>Проверките на място могат да бъдат планирани и непланирани.</w:t>
      </w:r>
    </w:p>
    <w:p w14:paraId="41D60B88" w14:textId="77777777" w:rsidR="000A36AF" w:rsidRPr="000A36AF" w:rsidRDefault="000A36AF" w:rsidP="000A36AF">
      <w:pPr>
        <w:rPr>
          <w:b/>
        </w:rPr>
      </w:pPr>
      <w:r w:rsidRPr="000A36AF">
        <w:t xml:space="preserve">За минимизиране на риска от нередности и измами при изпълнението на ОПТТИ, Управляващият орган е възприел подхода при приключването на всеки реално изпълняван по оперативната програма проект (т.е. проект, за който има верифицирани като допустими за ОПТТИ разходи) от страна на УО на ОПТТИ да бъде проверено на място действителното физическо изпълнение на проекта и изпълнението на индикаторите при подаване на окончателно искане за плащане, като по този начин </w:t>
      </w:r>
      <w:r w:rsidRPr="000A36AF">
        <w:rPr>
          <w:b/>
        </w:rPr>
        <w:t xml:space="preserve">всички реално изпълнявани проекти по ОПТТИ се проверяват на място от УО </w:t>
      </w:r>
      <w:r w:rsidRPr="00842ECC">
        <w:rPr>
          <w:b/>
        </w:rPr>
        <w:t>поне веднъж</w:t>
      </w:r>
      <w:r w:rsidRPr="000A36AF">
        <w:rPr>
          <w:b/>
        </w:rPr>
        <w:t xml:space="preserve">. </w:t>
      </w:r>
    </w:p>
    <w:p w14:paraId="4B852C15" w14:textId="77777777" w:rsidR="000A36AF" w:rsidRPr="000A36AF" w:rsidRDefault="000A36AF" w:rsidP="000A36AF">
      <w:pPr>
        <w:ind w:firstLine="708"/>
        <w:rPr>
          <w:color w:val="000000"/>
          <w:szCs w:val="24"/>
        </w:rPr>
      </w:pPr>
    </w:p>
    <w:p w14:paraId="4EF90D00" w14:textId="77777777" w:rsidR="000A36AF" w:rsidRPr="000A36AF" w:rsidRDefault="000A36AF" w:rsidP="000A36AF">
      <w:pPr>
        <w:numPr>
          <w:ilvl w:val="3"/>
          <w:numId w:val="273"/>
        </w:numPr>
        <w:tabs>
          <w:tab w:val="num" w:pos="360"/>
        </w:tabs>
        <w:spacing w:before="120" w:after="120"/>
        <w:ind w:left="0" w:firstLine="1077"/>
        <w:contextualSpacing/>
        <w:outlineLvl w:val="4"/>
        <w:rPr>
          <w:b/>
          <w:szCs w:val="24"/>
          <w:lang w:val="en-US"/>
        </w:rPr>
      </w:pPr>
      <w:r w:rsidRPr="000A36AF">
        <w:rPr>
          <w:b/>
          <w:szCs w:val="24"/>
          <w:lang w:val="en-US"/>
        </w:rPr>
        <w:t>Планирани проверки на място</w:t>
      </w:r>
    </w:p>
    <w:p w14:paraId="43749E01" w14:textId="77777777" w:rsidR="000A36AF" w:rsidRPr="000A36AF" w:rsidRDefault="000A36AF" w:rsidP="000A36AF">
      <w:r w:rsidRPr="000A36AF">
        <w:t xml:space="preserve">За изпълнение на изискването на чл. 125, т. 5, буква б) от Регламент (ЕС) № 1303/2013, за провеждане на проверките на място се извършва предварително планиране. Планираните проверки на място са такива, които са  включени в Годишен план за провеждане на проверки на място, който се изготвя в съответствие с т. 28.3.3 „Годишен план за провеждане на  проверки на място“.  Извършването на проверките, планирани съгласно Годишния план е задължително. Отпадането на планирана проверка на място се извършва посредством докладна записка до Ръководителя на УО на ОПТТИ. Освен по време на изпълнението на проекта, проверки в Годишния план се планират и след завършването му, за да се проследи изискването за дълготрайност на операциите в период от 5 години след завършване на операцията. </w:t>
      </w:r>
    </w:p>
    <w:p w14:paraId="6BDE6081" w14:textId="77777777" w:rsidR="000A36AF" w:rsidRPr="000A36AF" w:rsidRDefault="000A36AF" w:rsidP="000A36AF">
      <w:pPr>
        <w:ind w:firstLine="708"/>
        <w:rPr>
          <w:color w:val="000000"/>
          <w:szCs w:val="24"/>
        </w:rPr>
      </w:pPr>
    </w:p>
    <w:p w14:paraId="4D293464" w14:textId="77777777" w:rsidR="000A36AF" w:rsidRPr="000A36AF" w:rsidRDefault="000A36AF" w:rsidP="000A36AF">
      <w:pPr>
        <w:numPr>
          <w:ilvl w:val="3"/>
          <w:numId w:val="273"/>
        </w:numPr>
        <w:tabs>
          <w:tab w:val="num" w:pos="360"/>
        </w:tabs>
        <w:spacing w:before="120" w:after="120"/>
        <w:ind w:left="0" w:firstLine="1077"/>
        <w:contextualSpacing/>
        <w:outlineLvl w:val="4"/>
        <w:rPr>
          <w:b/>
          <w:szCs w:val="24"/>
          <w:lang w:val="en-US"/>
        </w:rPr>
      </w:pPr>
      <w:r w:rsidRPr="000A36AF">
        <w:rPr>
          <w:b/>
          <w:szCs w:val="24"/>
          <w:lang w:val="en-US"/>
        </w:rPr>
        <w:t xml:space="preserve">Непланирани проверки на място </w:t>
      </w:r>
    </w:p>
    <w:p w14:paraId="40CBC029" w14:textId="77777777" w:rsidR="000A36AF" w:rsidRPr="000A36AF" w:rsidRDefault="000A36AF" w:rsidP="000A36AF">
      <w:r w:rsidRPr="000A36AF">
        <w:t xml:space="preserve">Управляващият орган на ОПТТИ по своя преценка може да извърши непланирани проверки на място, извън годишния план. Непланираните проверки на място могат да бъдат допълнително планирани или извънредни и те се инициират при следните обстоятелства: </w:t>
      </w:r>
    </w:p>
    <w:p w14:paraId="6397CAF2" w14:textId="77777777" w:rsidR="000A36AF" w:rsidRPr="000A36AF" w:rsidRDefault="000A36AF" w:rsidP="000A36AF">
      <w:pPr>
        <w:tabs>
          <w:tab w:val="left" w:pos="1134"/>
        </w:tabs>
      </w:pPr>
      <w:r w:rsidRPr="000A36AF">
        <w:t>•</w:t>
      </w:r>
      <w:r w:rsidRPr="000A36AF">
        <w:tab/>
        <w:t xml:space="preserve">при провеждане на проверка на място от външни оторизирани институции – Сертифициращият орган, Европейската комисия, Европейската инвестиционна банка, Централното координационно звено и др. </w:t>
      </w:r>
    </w:p>
    <w:p w14:paraId="51518EE3" w14:textId="77777777" w:rsidR="000A36AF" w:rsidRPr="000A36AF" w:rsidRDefault="000A36AF" w:rsidP="000A36AF">
      <w:pPr>
        <w:tabs>
          <w:tab w:val="left" w:pos="1134"/>
        </w:tabs>
      </w:pPr>
      <w:r w:rsidRPr="000A36AF">
        <w:t>•</w:t>
      </w:r>
      <w:r w:rsidRPr="000A36AF">
        <w:tab/>
        <w:t>повишаване на рисковете по проекта или идентифицирани на нови, което води до категоризиране на проекта в по-висока рискова група;</w:t>
      </w:r>
    </w:p>
    <w:p w14:paraId="40E386A9" w14:textId="77777777" w:rsidR="000A36AF" w:rsidRPr="000A36AF" w:rsidRDefault="000A36AF" w:rsidP="000A36AF">
      <w:pPr>
        <w:tabs>
          <w:tab w:val="left" w:pos="1134"/>
        </w:tabs>
      </w:pPr>
      <w:r w:rsidRPr="000A36AF">
        <w:lastRenderedPageBreak/>
        <w:t>•</w:t>
      </w:r>
      <w:r w:rsidRPr="000A36AF">
        <w:tab/>
        <w:t>възникнала необходимост от допълнителна увереност за реалния физически напредък по конкретен проект/и;</w:t>
      </w:r>
    </w:p>
    <w:p w14:paraId="73B1E652" w14:textId="77777777" w:rsidR="000A36AF" w:rsidRPr="000A36AF" w:rsidRDefault="000A36AF" w:rsidP="000A36AF">
      <w:pPr>
        <w:tabs>
          <w:tab w:val="left" w:pos="1134"/>
        </w:tabs>
      </w:pPr>
      <w:r w:rsidRPr="000A36AF">
        <w:t>•</w:t>
      </w:r>
      <w:r w:rsidRPr="000A36AF">
        <w:tab/>
        <w:t>необходимост от проследяване на изпълнението на  направените предписания и препоръки от доклада за проверка на място;</w:t>
      </w:r>
    </w:p>
    <w:p w14:paraId="0ADDCB55" w14:textId="77777777" w:rsidR="000A36AF" w:rsidRPr="000A36AF" w:rsidRDefault="000A36AF" w:rsidP="000A36AF">
      <w:pPr>
        <w:tabs>
          <w:tab w:val="left" w:pos="1134"/>
        </w:tabs>
      </w:pPr>
      <w:r w:rsidRPr="000A36AF">
        <w:t>•</w:t>
      </w:r>
      <w:r w:rsidRPr="000A36AF">
        <w:tab/>
        <w:t>необходимост от проследяване на изпълнението на индикаторите;</w:t>
      </w:r>
    </w:p>
    <w:p w14:paraId="79CE32F3" w14:textId="77777777" w:rsidR="000A36AF" w:rsidRPr="000A36AF" w:rsidRDefault="000A36AF" w:rsidP="000A36AF">
      <w:pPr>
        <w:tabs>
          <w:tab w:val="left" w:pos="1134"/>
        </w:tabs>
      </w:pPr>
      <w:r w:rsidRPr="000A36AF">
        <w:t>•</w:t>
      </w:r>
      <w:r w:rsidRPr="000A36AF">
        <w:tab/>
        <w:t>съмнение за нередност, в резултат на сигнал от органите по ЗУСЕСИФ, сигнали от национални и европейски контролни и/или одитни органи  и/или по сигнали на физически и юридически лица;</w:t>
      </w:r>
    </w:p>
    <w:p w14:paraId="76858185" w14:textId="77777777" w:rsidR="000A36AF" w:rsidRPr="000A36AF" w:rsidRDefault="000A36AF" w:rsidP="000A36AF">
      <w:pPr>
        <w:tabs>
          <w:tab w:val="left" w:pos="1134"/>
        </w:tabs>
      </w:pPr>
      <w:r w:rsidRPr="000A36AF">
        <w:t>•</w:t>
      </w:r>
      <w:r w:rsidRPr="000A36AF">
        <w:tab/>
        <w:t>при подаване на окончателен доклад и окончателно искане за плащане (непланирана окончателна проверка на място);</w:t>
      </w:r>
    </w:p>
    <w:p w14:paraId="7AC6C539" w14:textId="77777777" w:rsidR="000A36AF" w:rsidRPr="000A36AF" w:rsidRDefault="000A36AF" w:rsidP="000A36AF">
      <w:pPr>
        <w:tabs>
          <w:tab w:val="left" w:pos="1134"/>
        </w:tabs>
      </w:pPr>
      <w:r w:rsidRPr="000A36AF">
        <w:t>•</w:t>
      </w:r>
      <w:r w:rsidRPr="000A36AF">
        <w:tab/>
        <w:t>съмнение за двойно финансиране на едни и същи разходи в различни проекти;</w:t>
      </w:r>
    </w:p>
    <w:p w14:paraId="368909ED" w14:textId="77777777" w:rsidR="000A36AF" w:rsidRPr="000A36AF" w:rsidRDefault="000A36AF" w:rsidP="000A36AF">
      <w:pPr>
        <w:tabs>
          <w:tab w:val="left" w:pos="1134"/>
        </w:tabs>
      </w:pPr>
      <w:r w:rsidRPr="000A36AF">
        <w:t>•</w:t>
      </w:r>
      <w:r w:rsidRPr="000A36AF">
        <w:tab/>
        <w:t xml:space="preserve">по други причини по преценка и инициатива на УО. </w:t>
      </w:r>
    </w:p>
    <w:p w14:paraId="424EAA6E" w14:textId="77777777" w:rsidR="000A36AF" w:rsidRPr="000A36AF" w:rsidRDefault="000A36AF" w:rsidP="000A36AF"/>
    <w:p w14:paraId="5EED15ED" w14:textId="77777777" w:rsidR="000A36AF" w:rsidRPr="000A36AF" w:rsidRDefault="000A36AF" w:rsidP="000A36AF">
      <w:r w:rsidRPr="000A36AF">
        <w:t>Управляващият орган уведомява бенефициента предварително за предстоящата непланирана проверка  не по-късно от 5 работни дни преди началото на проверката. В изключителни случаи, по преценка на УО, непланираната проверка може да бъде извършена без предупреждение.</w:t>
      </w:r>
    </w:p>
    <w:p w14:paraId="486F0861" w14:textId="77777777" w:rsidR="000A36AF" w:rsidRPr="000A36AF" w:rsidRDefault="000A36AF" w:rsidP="000A36AF"/>
    <w:p w14:paraId="66A13E90" w14:textId="77777777" w:rsidR="000A36AF" w:rsidRPr="00842ECC" w:rsidRDefault="000A36AF" w:rsidP="000A36AF">
      <w:pPr>
        <w:numPr>
          <w:ilvl w:val="2"/>
          <w:numId w:val="273"/>
        </w:numPr>
        <w:tabs>
          <w:tab w:val="num" w:pos="360"/>
        </w:tabs>
        <w:spacing w:before="120" w:after="120"/>
        <w:ind w:left="0" w:firstLine="851"/>
        <w:contextualSpacing/>
        <w:outlineLvl w:val="3"/>
        <w:rPr>
          <w:b/>
          <w:snapToGrid w:val="0"/>
          <w:szCs w:val="24"/>
        </w:rPr>
      </w:pPr>
      <w:r w:rsidRPr="00842ECC">
        <w:rPr>
          <w:b/>
          <w:snapToGrid w:val="0"/>
          <w:szCs w:val="24"/>
        </w:rPr>
        <w:t>Годишен план за провеждане на  проверки на място</w:t>
      </w:r>
    </w:p>
    <w:p w14:paraId="52EA0589" w14:textId="77777777" w:rsidR="000A36AF" w:rsidRPr="000A36AF" w:rsidRDefault="000A36AF" w:rsidP="000A36AF">
      <w:bookmarkStart w:id="1220" w:name="_Toc479775769"/>
    </w:p>
    <w:p w14:paraId="76E32FD5" w14:textId="77777777" w:rsidR="000A36AF" w:rsidRPr="00842ECC" w:rsidRDefault="000A36AF" w:rsidP="000A36AF">
      <w:pPr>
        <w:numPr>
          <w:ilvl w:val="3"/>
          <w:numId w:val="273"/>
        </w:numPr>
        <w:tabs>
          <w:tab w:val="num" w:pos="360"/>
        </w:tabs>
        <w:spacing w:before="120" w:after="120"/>
        <w:ind w:left="0" w:firstLine="851"/>
        <w:contextualSpacing/>
        <w:outlineLvl w:val="4"/>
        <w:rPr>
          <w:b/>
          <w:szCs w:val="24"/>
        </w:rPr>
      </w:pPr>
      <w:r w:rsidRPr="00842ECC">
        <w:rPr>
          <w:b/>
          <w:szCs w:val="24"/>
        </w:rPr>
        <w:t>Организиране и подготовка на изготвянето на годишен план за провеждане на проверки на място</w:t>
      </w:r>
      <w:bookmarkEnd w:id="1220"/>
    </w:p>
    <w:p w14:paraId="04AF0122" w14:textId="77777777" w:rsidR="000A36AF" w:rsidRPr="000A36AF" w:rsidRDefault="000A36AF" w:rsidP="000A36AF">
      <w:pPr>
        <w:rPr>
          <w:bCs/>
        </w:rPr>
      </w:pPr>
      <w:r w:rsidRPr="000A36AF">
        <w:t>Отдел „Изпълнение и координация” ежегодно инициира процедура за Изготвяне на годишен план за провеждане на проверки на място. За завършилите инфраструктурни</w:t>
      </w:r>
      <w:r w:rsidRPr="00842ECC">
        <w:t xml:space="preserve"> </w:t>
      </w:r>
      <w:r w:rsidRPr="000A36AF">
        <w:t xml:space="preserve">проекти, които са в експлоатация и по които е извършена окончателна верификация на разходите, УО </w:t>
      </w:r>
      <w:r w:rsidRPr="000A36AF">
        <w:rPr>
          <w:bCs/>
        </w:rPr>
        <w:t xml:space="preserve">разглежда представените доклади за </w:t>
      </w:r>
      <w:r w:rsidRPr="000A36AF">
        <w:t>дълготрайност на операциите</w:t>
      </w:r>
      <w:r w:rsidRPr="000A36AF">
        <w:rPr>
          <w:bCs/>
        </w:rPr>
        <w:t xml:space="preserve"> и декларации и обсъжда информацията в тях, с цел включване или не на проверка на място за </w:t>
      </w:r>
      <w:r w:rsidRPr="000A36AF">
        <w:t>дълготрайност на операцията</w:t>
      </w:r>
      <w:r w:rsidRPr="000A36AF">
        <w:rPr>
          <w:bCs/>
        </w:rPr>
        <w:t xml:space="preserve"> на приключил проект в плана за проверки на място на УО на ОПТТИ за следваща календарна година.</w:t>
      </w:r>
    </w:p>
    <w:p w14:paraId="48CB277A" w14:textId="77777777" w:rsidR="000A36AF" w:rsidRPr="000A36AF" w:rsidRDefault="000A36AF" w:rsidP="000A36AF">
      <w:pPr>
        <w:rPr>
          <w:lang w:eastAsia="bg-BG"/>
        </w:rPr>
      </w:pPr>
      <w:r w:rsidRPr="000A36AF">
        <w:rPr>
          <w:color w:val="000000"/>
        </w:rPr>
        <w:t xml:space="preserve">Съгласно чл. 125, т. 5, буква б) от Регламент </w:t>
      </w:r>
      <w:r w:rsidRPr="000A36AF">
        <w:rPr>
          <w:lang w:eastAsia="bg-BG"/>
        </w:rPr>
        <w:t>(ЕС) № 1303/2013, честотата и обхватът на проверките на място са пропорционални на размера на публичната подкрепа за дадена операция и на равнището на риска, установен при такива проверки и одити от Одитния орган за системите за управление и контрол като цяло. За целите на годишното планиране на проверките на място, проектите се оценяват и въз основа на справките от инструмента за измерване на риска „АРАХНЕ“ и емпиричен анализ на рискови фактори за конкретните бенефициенти и проекти, изпълнявани по ОПТТИ, както следва:</w:t>
      </w:r>
    </w:p>
    <w:p w14:paraId="34B66104" w14:textId="77777777" w:rsidR="000A36AF" w:rsidRPr="000A36AF" w:rsidRDefault="000A36AF" w:rsidP="006A6D08">
      <w:pPr>
        <w:numPr>
          <w:ilvl w:val="0"/>
          <w:numId w:val="250"/>
        </w:numPr>
        <w:tabs>
          <w:tab w:val="num" w:pos="1134"/>
        </w:tabs>
        <w:ind w:left="0" w:firstLine="851"/>
        <w:contextualSpacing/>
        <w:rPr>
          <w:bCs/>
          <w:color w:val="000000"/>
          <w:szCs w:val="24"/>
        </w:rPr>
      </w:pPr>
      <w:r w:rsidRPr="000A36AF">
        <w:rPr>
          <w:szCs w:val="24"/>
          <w:lang w:eastAsia="bg-BG"/>
        </w:rPr>
        <w:t>Наличие на нередности и/или измами;</w:t>
      </w:r>
    </w:p>
    <w:p w14:paraId="53B4AD4B" w14:textId="77777777" w:rsidR="000A36AF" w:rsidRPr="000A36AF" w:rsidRDefault="000A36AF" w:rsidP="006A6D08">
      <w:pPr>
        <w:numPr>
          <w:ilvl w:val="0"/>
          <w:numId w:val="250"/>
        </w:numPr>
        <w:tabs>
          <w:tab w:val="num" w:pos="1134"/>
        </w:tabs>
        <w:ind w:left="0" w:firstLine="851"/>
        <w:contextualSpacing/>
        <w:rPr>
          <w:bCs/>
          <w:color w:val="000000"/>
          <w:szCs w:val="24"/>
        </w:rPr>
      </w:pPr>
      <w:r w:rsidRPr="000A36AF">
        <w:rPr>
          <w:szCs w:val="24"/>
          <w:lang w:eastAsia="bg-BG"/>
        </w:rPr>
        <w:t>При административните проверки - идентифициране на необичайни и изискващи допълнително разглеждане транзакции,</w:t>
      </w:r>
    </w:p>
    <w:p w14:paraId="55690417" w14:textId="77777777" w:rsidR="000A36AF" w:rsidRPr="000A36AF" w:rsidRDefault="000A36AF" w:rsidP="006A6D08">
      <w:pPr>
        <w:numPr>
          <w:ilvl w:val="0"/>
          <w:numId w:val="250"/>
        </w:numPr>
        <w:tabs>
          <w:tab w:val="num" w:pos="1134"/>
        </w:tabs>
        <w:ind w:left="0" w:firstLine="851"/>
        <w:contextualSpacing/>
        <w:rPr>
          <w:bCs/>
          <w:color w:val="000000"/>
          <w:szCs w:val="24"/>
        </w:rPr>
      </w:pPr>
      <w:r w:rsidRPr="000A36AF">
        <w:rPr>
          <w:szCs w:val="24"/>
          <w:lang w:eastAsia="bg-BG"/>
        </w:rPr>
        <w:t xml:space="preserve">Конкретни проекти в обхвата на ОПТТИ, договори, изпълнители и/или бенефициенти, идентифицирани като високорискови чрез инструмента за измерване на риска „АРАХНЕ“. </w:t>
      </w:r>
    </w:p>
    <w:p w14:paraId="38CECB23" w14:textId="77777777" w:rsidR="000A36AF" w:rsidRPr="000A36AF" w:rsidRDefault="000A36AF" w:rsidP="000A36AF">
      <w:pPr>
        <w:rPr>
          <w:bCs/>
          <w:color w:val="000000"/>
          <w:szCs w:val="24"/>
        </w:rPr>
      </w:pPr>
    </w:p>
    <w:p w14:paraId="7053BCF4" w14:textId="77777777" w:rsidR="000A36AF" w:rsidRPr="000A36AF" w:rsidRDefault="000A36AF" w:rsidP="000A36AF">
      <w:r w:rsidRPr="000A36AF">
        <w:rPr>
          <w:lang w:eastAsia="bg-BG"/>
        </w:rPr>
        <w:t xml:space="preserve">В тази връзка, </w:t>
      </w:r>
      <w:r w:rsidRPr="000A36AF">
        <w:t>предварителната подготовка за изготвяне на годишния план за провеждане на проверки на място задължително включва и осигуряването на систематизирани данни, както следва:</w:t>
      </w:r>
    </w:p>
    <w:p w14:paraId="5784C22B" w14:textId="77777777" w:rsidR="000A36AF" w:rsidRPr="000A36AF" w:rsidRDefault="000A36AF" w:rsidP="006A6D08">
      <w:pPr>
        <w:numPr>
          <w:ilvl w:val="0"/>
          <w:numId w:val="249"/>
        </w:numPr>
        <w:tabs>
          <w:tab w:val="left" w:pos="1134"/>
        </w:tabs>
        <w:contextualSpacing/>
        <w:rPr>
          <w:color w:val="000000"/>
          <w:szCs w:val="24"/>
        </w:rPr>
      </w:pPr>
      <w:r w:rsidRPr="000A36AF">
        <w:rPr>
          <w:color w:val="000000"/>
          <w:szCs w:val="24"/>
        </w:rPr>
        <w:t xml:space="preserve">Регистрите на проверките на място от УО на ОПТТИ за изминалите календарни години </w:t>
      </w:r>
      <w:r w:rsidRPr="000A36AF">
        <w:rPr>
          <w:b/>
          <w:i/>
          <w:color w:val="000000"/>
          <w:szCs w:val="24"/>
        </w:rPr>
        <w:t>(</w:t>
      </w:r>
      <w:hyperlink r:id="rId273" w:tooltip="Регистър на проверките на място от УО на ОПТТИ за ……. година" w:history="1">
        <w:r w:rsidRPr="000A36AF">
          <w:rPr>
            <w:i/>
            <w:color w:val="0000FF"/>
            <w:szCs w:val="24"/>
            <w:u w:val="single"/>
          </w:rPr>
          <w:t>Приложение № 7.10</w:t>
        </w:r>
      </w:hyperlink>
      <w:r w:rsidRPr="000A36AF">
        <w:rPr>
          <w:b/>
          <w:i/>
          <w:color w:val="000000"/>
          <w:szCs w:val="24"/>
        </w:rPr>
        <w:t xml:space="preserve">). </w:t>
      </w:r>
      <w:r w:rsidRPr="000A36AF">
        <w:rPr>
          <w:color w:val="000000"/>
          <w:szCs w:val="24"/>
        </w:rPr>
        <w:t>Отговорността за осигуряването им е на началника на отдел „Изпълнение и координация“ или упълномощения  от него служител за поддържане на регистъра;</w:t>
      </w:r>
    </w:p>
    <w:p w14:paraId="1B19CA42" w14:textId="77777777" w:rsidR="000A36AF" w:rsidRPr="000A36AF" w:rsidRDefault="000A36AF" w:rsidP="006A6D08">
      <w:pPr>
        <w:numPr>
          <w:ilvl w:val="0"/>
          <w:numId w:val="249"/>
        </w:numPr>
        <w:tabs>
          <w:tab w:val="left" w:pos="1134"/>
        </w:tabs>
        <w:contextualSpacing/>
        <w:rPr>
          <w:color w:val="000000"/>
          <w:szCs w:val="24"/>
        </w:rPr>
      </w:pPr>
      <w:r w:rsidRPr="000A36AF">
        <w:rPr>
          <w:color w:val="000000"/>
          <w:szCs w:val="24"/>
        </w:rPr>
        <w:lastRenderedPageBreak/>
        <w:t>Справки от „АРАХНЕ“ с най-рисковите проекти, договори, изпълнители и/или бенефициенти, съотносими към изпълнението на ОПТТИ;</w:t>
      </w:r>
    </w:p>
    <w:p w14:paraId="47710943" w14:textId="77777777" w:rsidR="000A36AF" w:rsidRPr="000A36AF" w:rsidRDefault="000A36AF" w:rsidP="006A6D08">
      <w:pPr>
        <w:numPr>
          <w:ilvl w:val="0"/>
          <w:numId w:val="249"/>
        </w:numPr>
        <w:tabs>
          <w:tab w:val="left" w:pos="1134"/>
        </w:tabs>
        <w:contextualSpacing/>
        <w:rPr>
          <w:color w:val="000000"/>
          <w:szCs w:val="24"/>
        </w:rPr>
      </w:pPr>
      <w:r w:rsidRPr="000A36AF">
        <w:rPr>
          <w:color w:val="000000"/>
          <w:szCs w:val="24"/>
        </w:rPr>
        <w:t>Опис на транзакциите, идентифицирани при административните проверки като необичайни и изискващи допълнително разглеждане, и наличната в УО документация в тази връзка.  Отговорността за предоставянето им е на началника на отдел „Финансово управление“ или упълномощен от него служител;</w:t>
      </w:r>
    </w:p>
    <w:p w14:paraId="567D2D86" w14:textId="77777777" w:rsidR="000A36AF" w:rsidRPr="000A36AF" w:rsidRDefault="000A36AF" w:rsidP="006A6D08">
      <w:pPr>
        <w:numPr>
          <w:ilvl w:val="0"/>
          <w:numId w:val="249"/>
        </w:numPr>
        <w:tabs>
          <w:tab w:val="left" w:pos="1134"/>
        </w:tabs>
        <w:contextualSpacing/>
        <w:rPr>
          <w:color w:val="000000"/>
          <w:szCs w:val="24"/>
        </w:rPr>
      </w:pPr>
      <w:r w:rsidRPr="000A36AF">
        <w:rPr>
          <w:color w:val="000000"/>
          <w:szCs w:val="24"/>
        </w:rPr>
        <w:t xml:space="preserve">Справка по образец съгласно </w:t>
      </w:r>
      <w:hyperlink r:id="rId274" w:tooltip="Сигнали за нередности и Рискови фактори за извършване на проверки на място от УО на ОПТТИ за ……. година" w:history="1">
        <w:r w:rsidRPr="000A36AF">
          <w:rPr>
            <w:i/>
            <w:color w:val="0000FF"/>
            <w:szCs w:val="24"/>
            <w:u w:val="single"/>
            <w:lang w:eastAsia="bg-BG"/>
          </w:rPr>
          <w:t>Приложение № 7.05.2</w:t>
        </w:r>
      </w:hyperlink>
      <w:r w:rsidRPr="000A36AF">
        <w:rPr>
          <w:b/>
          <w:i/>
          <w:color w:val="000000"/>
          <w:szCs w:val="24"/>
        </w:rPr>
        <w:t xml:space="preserve">, </w:t>
      </w:r>
      <w:r w:rsidRPr="000A36AF">
        <w:rPr>
          <w:color w:val="000000"/>
          <w:szCs w:val="24"/>
        </w:rPr>
        <w:t>съдържаща данни за проектите по ОПТТИ с потенциални нередности при техническото им изпълнение. Справката се изготвя от служител(и) в отдел „Изпълнение и координация“, определени от началника на отдела, които извършват за целта пълен преглед и анализ на регистрираната в модул „Проверки“ в ИСУН 2020 информация и прикачени документи в подмодули „Регистър сигнали за нередности“ и „Сигнали за нередности“ и идентифицират и отразяват в справката в систематизиран вид информацията за всички проекти, за които има регистрирани нередности или активни сигнали, свързани с техническото изпълнение на проектите – включително и установените при одитите и проверките от оторизираните контролни органи.</w:t>
      </w:r>
    </w:p>
    <w:p w14:paraId="1B4853E2" w14:textId="77777777" w:rsidR="000A36AF" w:rsidRPr="000A36AF" w:rsidRDefault="000A36AF" w:rsidP="000A36AF">
      <w:pPr>
        <w:ind w:firstLine="791"/>
        <w:rPr>
          <w:color w:val="000000"/>
          <w:szCs w:val="24"/>
        </w:rPr>
      </w:pPr>
    </w:p>
    <w:p w14:paraId="40C6D5A6" w14:textId="77777777" w:rsidR="000A36AF" w:rsidRPr="00842ECC" w:rsidRDefault="000A36AF" w:rsidP="000A36AF">
      <w:pPr>
        <w:numPr>
          <w:ilvl w:val="3"/>
          <w:numId w:val="273"/>
        </w:numPr>
        <w:tabs>
          <w:tab w:val="num" w:pos="360"/>
        </w:tabs>
        <w:spacing w:before="120" w:after="120"/>
        <w:ind w:left="0" w:firstLine="851"/>
        <w:contextualSpacing/>
        <w:outlineLvl w:val="4"/>
        <w:rPr>
          <w:b/>
          <w:szCs w:val="24"/>
        </w:rPr>
      </w:pPr>
      <w:bookmarkStart w:id="1221" w:name="_Toc479775770"/>
      <w:r w:rsidRPr="00842ECC">
        <w:rPr>
          <w:b/>
          <w:szCs w:val="24"/>
        </w:rPr>
        <w:t>Изготвяне на годишен план за провеждане на проверки на място</w:t>
      </w:r>
      <w:bookmarkEnd w:id="1221"/>
    </w:p>
    <w:p w14:paraId="26FF2543" w14:textId="77777777" w:rsidR="000A36AF" w:rsidRPr="000A36AF" w:rsidRDefault="000A36AF" w:rsidP="000A36AF">
      <w:r w:rsidRPr="000A36AF">
        <w:t xml:space="preserve">Годишният план, с посочен график по месеци за провеждане на проверки на място се изготвя на база резултатите от проведената оценка на риска, като се спазва приложения формат </w:t>
      </w:r>
      <w:r w:rsidRPr="000A36AF">
        <w:rPr>
          <w:i/>
        </w:rPr>
        <w:t>(</w:t>
      </w:r>
      <w:hyperlink r:id="rId275" w:tooltip="Годишен план за извършване на проверки на място от УО на ОПТТИ за ……. година" w:history="1">
        <w:r w:rsidRPr="000A36AF">
          <w:rPr>
            <w:i/>
            <w:color w:val="0000FF"/>
            <w:szCs w:val="24"/>
            <w:u w:val="single"/>
          </w:rPr>
          <w:t>Приложение № 7.05</w:t>
        </w:r>
      </w:hyperlink>
      <w:r w:rsidRPr="000A36AF">
        <w:rPr>
          <w:i/>
        </w:rPr>
        <w:t>)</w:t>
      </w:r>
      <w:r w:rsidRPr="000A36AF">
        <w:t>. Взема се под внимание наличната информация за планираните одити (Годишните одитни планове на вътрешни и външни одитори), външни проверки и мисии по проекта, за които е информиран УО. Съобразяват се всички обстоятелства, които могат да повлияят негативно/позитивно върху провеждането на проверката на място по дадения проект. При определянето на честотата и разпределението на проверките на място във времето се взема под внимание наличният капацитет в отдела за тяхното извършване. Независимо от горното:</w:t>
      </w:r>
    </w:p>
    <w:p w14:paraId="25453AA8" w14:textId="77777777" w:rsidR="000A36AF" w:rsidRDefault="000A36AF" w:rsidP="000A36AF">
      <w:pPr>
        <w:tabs>
          <w:tab w:val="left" w:pos="1134"/>
        </w:tabs>
      </w:pPr>
      <w:r w:rsidRPr="000A36AF">
        <w:t>-</w:t>
      </w:r>
      <w:r w:rsidRPr="000A36AF">
        <w:tab/>
        <w:t>всички реално изпълнявани проекти подлежат на поне една задължителна проверка на място след подаване на окончателен доклад за изпълнението;</w:t>
      </w:r>
    </w:p>
    <w:p w14:paraId="6BE80529" w14:textId="77777777" w:rsidR="0015541A" w:rsidRPr="000A36AF" w:rsidRDefault="0015541A" w:rsidP="006A6D08">
      <w:r>
        <w:t xml:space="preserve">-  за всички </w:t>
      </w:r>
      <w:r w:rsidRPr="007D7EDB">
        <w:t xml:space="preserve">проекти </w:t>
      </w:r>
      <w:r w:rsidRPr="000A36AF">
        <w:t>за техническа помощ</w:t>
      </w:r>
      <w:r>
        <w:t>,</w:t>
      </w:r>
      <w:r w:rsidRPr="000A36AF">
        <w:t xml:space="preserve"> </w:t>
      </w:r>
      <w:r>
        <w:t xml:space="preserve">проверката на място </w:t>
      </w:r>
      <w:r w:rsidRPr="007D7EDB">
        <w:t>с</w:t>
      </w:r>
      <w:r>
        <w:t>лед подаване на</w:t>
      </w:r>
      <w:r w:rsidRPr="007D7EDB">
        <w:t xml:space="preserve"> окончателния доклад и окончателното искане за плащане по проекта е </w:t>
      </w:r>
      <w:r>
        <w:t>документална</w:t>
      </w:r>
      <w:r w:rsidR="00864B64">
        <w:t>, като при необходимост може да се извърши посещение в офисите на бенефициента;</w:t>
      </w:r>
    </w:p>
    <w:p w14:paraId="3F1AF6B2" w14:textId="145B8905" w:rsidR="000A36AF" w:rsidRPr="000A36AF" w:rsidRDefault="000A36AF" w:rsidP="000A36AF">
      <w:pPr>
        <w:tabs>
          <w:tab w:val="left" w:pos="1134"/>
        </w:tabs>
      </w:pPr>
      <w:r w:rsidRPr="000A36AF">
        <w:t>-</w:t>
      </w:r>
      <w:r w:rsidRPr="000A36AF">
        <w:tab/>
        <w:t>за проекти за техническа помощ с БФП над 10 млн. лева</w:t>
      </w:r>
      <w:r w:rsidR="0015541A">
        <w:t>,</w:t>
      </w:r>
      <w:r w:rsidRPr="000A36AF">
        <w:t xml:space="preserve"> </w:t>
      </w:r>
      <w:r w:rsidR="0015541A" w:rsidRPr="000A36AF">
        <w:t>при установена необходимост</w:t>
      </w:r>
      <w:r w:rsidR="0015541A">
        <w:t xml:space="preserve"> (напр. при значителен напредък в изпълнението на проекта)</w:t>
      </w:r>
      <w:r w:rsidR="0015541A" w:rsidRPr="000A36AF">
        <w:t xml:space="preserve"> и в зависимост от наличния административен капацитет на УО </w:t>
      </w:r>
      <w:r w:rsidRPr="000A36AF">
        <w:t>се предвижда една проверка годишно;</w:t>
      </w:r>
    </w:p>
    <w:p w14:paraId="0876EDCC" w14:textId="77777777" w:rsidR="000A36AF" w:rsidRPr="000A36AF" w:rsidRDefault="000A36AF" w:rsidP="000A36AF">
      <w:pPr>
        <w:tabs>
          <w:tab w:val="left" w:pos="1134"/>
        </w:tabs>
      </w:pPr>
      <w:r w:rsidRPr="000A36AF">
        <w:t>-</w:t>
      </w:r>
      <w:r w:rsidRPr="000A36AF">
        <w:tab/>
        <w:t>максималният брой планирани  проверки не може да надвишава 3 бр. за година.</w:t>
      </w:r>
    </w:p>
    <w:p w14:paraId="558D6A7F" w14:textId="77777777" w:rsidR="000A36AF" w:rsidRPr="000A36AF" w:rsidRDefault="000A36AF" w:rsidP="000A36AF">
      <w:r w:rsidRPr="000A36AF">
        <w:t xml:space="preserve">Годишният план се изготвя от експерти от отдел „Изпълнение и координация” най-късно до </w:t>
      </w:r>
      <w:r w:rsidRPr="00842ECC">
        <w:t>20</w:t>
      </w:r>
      <w:r w:rsidRPr="000A36AF">
        <w:t>-ти декември и се предава на началника на отдел „Изпълнение и координация” за съгласуване. Не по-късно от 2</w:t>
      </w:r>
      <w:r w:rsidRPr="00842ECC">
        <w:t>3</w:t>
      </w:r>
      <w:r w:rsidRPr="000A36AF">
        <w:t>-ти декември годишният план се представя на Ръководителя на УО за одобрение, като процесът трябва да приключи до края на м. декември на текущата година.</w:t>
      </w:r>
    </w:p>
    <w:p w14:paraId="2D3B7D9A" w14:textId="77777777" w:rsidR="000A36AF" w:rsidRPr="000A36AF" w:rsidRDefault="000A36AF" w:rsidP="000A36AF">
      <w:r w:rsidRPr="000A36AF">
        <w:t xml:space="preserve">Управляващият орган изпраща за информация Годишния план за проверки на място в срок до 15 януари на бенефициентите на ОПТТИ, съгласно подписаните оперативни споразумения между тях и УО. </w:t>
      </w:r>
    </w:p>
    <w:p w14:paraId="5E4E5343" w14:textId="77777777" w:rsidR="000A36AF" w:rsidRPr="000A36AF" w:rsidRDefault="000A36AF" w:rsidP="000A36AF">
      <w:pPr>
        <w:rPr>
          <w:lang w:eastAsia="bg-BG"/>
        </w:rPr>
      </w:pPr>
      <w:r w:rsidRPr="000A36AF">
        <w:t>България, като държава членка на ЕС, е избрала да използва инструмента за измерване на риска „АРАХНЕ“ (</w:t>
      </w:r>
      <w:r w:rsidRPr="000A36AF">
        <w:rPr>
          <w:lang w:eastAsia="bg-BG"/>
        </w:rPr>
        <w:t>ARACHNE), като поетапното му внедряване в административните структури и звена се извършва под отговорността на Централното координационно звено към Министерски съвет. С „</w:t>
      </w:r>
      <w:r w:rsidRPr="000A36AF">
        <w:t>АРАХНЕ“</w:t>
      </w:r>
      <w:r w:rsidRPr="000A36AF">
        <w:rPr>
          <w:lang w:eastAsia="bg-BG"/>
        </w:rPr>
        <w:t xml:space="preserve"> могат да се идентифицират над 100 риска, свързани с показателите за риска, като например предупреждения, свързани с възлагането на обществени поръчки, управлението на договори, допустимостта, изпълнението, концентрацията, репутацията и измамите. Тази програма позволява и помага на УО да идентифицира най-рисковите проекти, договори, изпълнители и бенефициенти</w:t>
      </w:r>
      <w:r w:rsidRPr="000A36AF">
        <w:rPr>
          <w:b/>
          <w:lang w:eastAsia="bg-BG"/>
        </w:rPr>
        <w:t xml:space="preserve"> </w:t>
      </w:r>
      <w:r w:rsidRPr="000A36AF">
        <w:rPr>
          <w:lang w:eastAsia="bg-BG"/>
        </w:rPr>
        <w:t xml:space="preserve">и да насочи своя административен </w:t>
      </w:r>
      <w:r w:rsidRPr="000A36AF">
        <w:rPr>
          <w:lang w:eastAsia="bg-BG"/>
        </w:rPr>
        <w:lastRenderedPageBreak/>
        <w:t xml:space="preserve">капацитет към най-рисковите случаи при планирането на посещенията на място. УО включва в годишния си план проверка на място на идентифицираните чрез </w:t>
      </w:r>
      <w:r w:rsidRPr="000A36AF">
        <w:t xml:space="preserve">„АРАХНЕ“ като </w:t>
      </w:r>
      <w:r w:rsidRPr="000A36AF">
        <w:rPr>
          <w:lang w:eastAsia="bg-BG"/>
        </w:rPr>
        <w:t xml:space="preserve">най-рискови проекти, договори, изпълнители и бенефициенти, попадащи в обхвата на ОПТТИ, като в графата „Коментари“ (съгласно образеца в </w:t>
      </w:r>
      <w:hyperlink r:id="rId276" w:tooltip="Годишен план за извършване на проверки на място от УО на ОПТТИ за ……. година" w:history="1">
        <w:r w:rsidRPr="000A36AF">
          <w:rPr>
            <w:i/>
            <w:color w:val="0000FF"/>
            <w:szCs w:val="24"/>
            <w:u w:val="single"/>
            <w:lang w:eastAsia="bg-BG"/>
          </w:rPr>
          <w:t>Приложение № 7.05</w:t>
        </w:r>
      </w:hyperlink>
      <w:r w:rsidRPr="000A36AF">
        <w:rPr>
          <w:lang w:eastAsia="bg-BG"/>
        </w:rPr>
        <w:t xml:space="preserve">) се отбелязват идентифицираните от „АРАХНЕ“ най-рискови компоненти и необходимостта от конфиденциалност спрямо бенефициента по проекта, ако такава е необходима. </w:t>
      </w:r>
    </w:p>
    <w:p w14:paraId="7DDD14C4" w14:textId="77777777" w:rsidR="000A36AF" w:rsidRPr="000A36AF" w:rsidRDefault="000A36AF" w:rsidP="000A36AF">
      <w:pPr>
        <w:rPr>
          <w:lang w:eastAsia="bg-BG"/>
        </w:rPr>
      </w:pPr>
      <w:r w:rsidRPr="000A36AF">
        <w:rPr>
          <w:lang w:eastAsia="bg-BG"/>
        </w:rPr>
        <w:t>В случаите, за които от УО е счетено, че е необходима конфиденциалност,  резултатите от проверката на място по конфиденциалната тема се докладват с отделно приложение към доклада от проверката на място, което, по преценка на директора на УО, може да не бъде предоставено на Бенефициента.</w:t>
      </w:r>
    </w:p>
    <w:p w14:paraId="2572A4D5" w14:textId="77777777" w:rsidR="000A36AF" w:rsidRPr="000A36AF" w:rsidRDefault="000A36AF" w:rsidP="000A36AF">
      <w:pPr>
        <w:rPr>
          <w:lang w:eastAsia="bg-BG"/>
        </w:rPr>
      </w:pPr>
      <w:r w:rsidRPr="000A36AF">
        <w:rPr>
          <w:lang w:eastAsia="bg-BG"/>
        </w:rPr>
        <w:t>УО задължително включва в годишния си план проверка на място и на проектите, при административните проверки</w:t>
      </w:r>
      <w:r w:rsidRPr="000A36AF">
        <w:t xml:space="preserve"> </w:t>
      </w:r>
      <w:r w:rsidRPr="000A36AF">
        <w:rPr>
          <w:lang w:eastAsia="bg-BG"/>
        </w:rPr>
        <w:t xml:space="preserve">за които са идентифицирани необичайни и изискващи допълнително разглеждане транзакции, като това обстоятелство, както и необходимостта от конфиденциалност спрямо бенефициента по проекта, ако такава е необходима, се отбелязват в графата „Коментари“. </w:t>
      </w:r>
    </w:p>
    <w:p w14:paraId="3A2A3C25" w14:textId="77777777" w:rsidR="000A36AF" w:rsidRPr="000A36AF" w:rsidRDefault="000A36AF" w:rsidP="000A36AF">
      <w:pPr>
        <w:rPr>
          <w:lang w:eastAsia="bg-BG"/>
        </w:rPr>
      </w:pPr>
      <w:r w:rsidRPr="000A36AF">
        <w:t>Наличието на данни за потенциални нередности при техническото изпълнение на проектите от ОПТТИ също се отразява в  годишния план за провеждане на проверки на място, в графата „Коментари“, за да бъдат включени в обхвата на планираните проверки. Алтернативно, по преценка на Ръководителя на УО</w:t>
      </w:r>
      <w:r w:rsidRPr="00842ECC">
        <w:t>/</w:t>
      </w:r>
      <w:r w:rsidRPr="000A36AF">
        <w:t>директора на „КПП“, се извършват допълнителни непланирани и/или извънредни целеви проверки на място.</w:t>
      </w:r>
    </w:p>
    <w:p w14:paraId="01523D33" w14:textId="77777777" w:rsidR="000A36AF" w:rsidRPr="000A36AF" w:rsidRDefault="000A36AF" w:rsidP="000A36AF"/>
    <w:p w14:paraId="4B027444" w14:textId="77777777" w:rsidR="000A36AF" w:rsidRPr="000A36AF" w:rsidRDefault="000A36AF" w:rsidP="000A36AF">
      <w:r w:rsidRPr="000A36AF">
        <w:t>Управляващият орган регистрира в ИСУН 2020  Годишния план за проверки на място и свързаните с изготвянето му  регистри на проверките на място от УО на ОПТТИ (</w:t>
      </w:r>
      <w:hyperlink r:id="rId277" w:tooltip="Регистър на проверките на място от УО на ОПТТИ за ……. година" w:history="1">
        <w:r w:rsidRPr="000A36AF">
          <w:rPr>
            <w:i/>
            <w:color w:val="0000FF"/>
            <w:u w:val="single"/>
            <w:lang w:eastAsia="bg-BG"/>
          </w:rPr>
          <w:t>Приложение № 7.10</w:t>
        </w:r>
      </w:hyperlink>
      <w:r w:rsidRPr="000A36AF">
        <w:t xml:space="preserve">) за изминалите календарни години, справка по образец съгласно </w:t>
      </w:r>
      <w:hyperlink r:id="rId278" w:tooltip="Сигнали за нередности и Рискови фактори за извършване на проверки на място от УО на ОПТТИ за ……. година" w:history="1">
        <w:r w:rsidRPr="000A36AF">
          <w:rPr>
            <w:i/>
            <w:color w:val="0000FF"/>
            <w:u w:val="single"/>
            <w:lang w:eastAsia="bg-BG"/>
          </w:rPr>
          <w:t>Приложение № 7.05.2</w:t>
        </w:r>
      </w:hyperlink>
      <w:r w:rsidRPr="000A36AF">
        <w:t xml:space="preserve">, опис на транзакциите, идентифицирани при административните проверки като необичайни и изискващи допълнително разглеждане и справките от „АРАХНЕ“ (ако има такива) в срок до 15 януари всяка година. В същия срок Годишният план за проверки на място се изпраща и на бенефициентите на ОПТТИ. </w:t>
      </w:r>
    </w:p>
    <w:p w14:paraId="38332B06" w14:textId="77777777" w:rsidR="000A36AF" w:rsidRPr="000A36AF" w:rsidRDefault="000A36AF" w:rsidP="000A36AF">
      <w:r w:rsidRPr="000A36AF">
        <w:t>В случаите, когато в текущата година възникнат обстоятелства, в резултат на които се налагат промени в оценката на риска за конкретен проект и те водят до увеличаване или намаляване на броя на планираните проверки на място, се налагат изменения в Годишния план. След сключването на нов договор за безвъзмездна помощ с бенефициент за голям инфраструктурен проект, за който СМР са стартирали, също се налага изменение, тъй като е необходимо проектът да се включи в Годишния план. Препоръчително е Годишният план да не се изменя повече от веднъж годишно и по възможност в средата на годината. Промяната се отразява в т.н. „Годишен план - Изменение № 1 за извършване на проверки на място от УО на ОПТТИ”, като се спазва приложения формат (</w:t>
      </w:r>
      <w:hyperlink r:id="rId279" w:tooltip="Годишен план - Изменение 1 за извършване на проверки на място от УО на ОПТТИ за ……. година" w:history="1">
        <w:r w:rsidRPr="000A36AF">
          <w:rPr>
            <w:i/>
            <w:color w:val="0000FF"/>
            <w:u w:val="single"/>
            <w:lang w:eastAsia="bg-BG"/>
          </w:rPr>
          <w:t>Приложение № 7.05.1</w:t>
        </w:r>
      </w:hyperlink>
      <w:r w:rsidRPr="000A36AF">
        <w:t>). Годишният план (</w:t>
      </w:r>
      <w:hyperlink r:id="rId280" w:tooltip="Годишен план за извършване на проверки на място от УО на ОПТТИ за ……. година" w:history="1">
        <w:r w:rsidRPr="000A36AF">
          <w:rPr>
            <w:i/>
            <w:color w:val="0000FF"/>
            <w:u w:val="single"/>
            <w:lang w:eastAsia="bg-BG"/>
          </w:rPr>
          <w:t>Приложение № 7.05</w:t>
        </w:r>
      </w:hyperlink>
      <w:r w:rsidRPr="000A36AF">
        <w:t>) и Изменение № 1 (</w:t>
      </w:r>
      <w:hyperlink r:id="rId281" w:tooltip="Годишен план - Изменение 1 за извършване на проверки на място от УО на ОПТТИ за ……. година" w:history="1">
        <w:r w:rsidRPr="000A36AF">
          <w:rPr>
            <w:i/>
            <w:color w:val="0000FF"/>
            <w:u w:val="single"/>
            <w:lang w:eastAsia="bg-BG"/>
          </w:rPr>
          <w:t>Приложение № 7.05.1</w:t>
        </w:r>
      </w:hyperlink>
      <w:r w:rsidRPr="000A36AF">
        <w:t>) се считат за един интегриран документ и се разглеждат съвместно. В случай на изменение на Годишния план, окончателният брой проверки на място по всеки проект, които УО следва да проведе през съответната година, е посочен в Изменение № 1. Изменение № 1 се регистрира в ИСУН 2020 от отдел „ИК“ в срок от 3 работни дни след одобрението му, заедно с доклада за одобрение на Изменението. Изменението на годишния план  се изпраща на бенефициентите на ОПТТИ, съгласно подписаните оперативни споразумения между тях и УО в срок от 5 работни дни от одобрението му.</w:t>
      </w:r>
    </w:p>
    <w:p w14:paraId="1E064DB6" w14:textId="77777777" w:rsidR="000A36AF" w:rsidRPr="000A36AF" w:rsidRDefault="000A36AF" w:rsidP="000A36AF">
      <w:pPr>
        <w:ind w:firstLine="648"/>
        <w:rPr>
          <w:color w:val="000000"/>
          <w:szCs w:val="24"/>
        </w:rPr>
      </w:pPr>
    </w:p>
    <w:p w14:paraId="72E0125C" w14:textId="77777777" w:rsidR="000A36AF" w:rsidRPr="00842ECC" w:rsidRDefault="000A36AF" w:rsidP="000A36AF">
      <w:pPr>
        <w:numPr>
          <w:ilvl w:val="2"/>
          <w:numId w:val="273"/>
        </w:numPr>
        <w:tabs>
          <w:tab w:val="num" w:pos="360"/>
        </w:tabs>
        <w:spacing w:before="120" w:after="120"/>
        <w:ind w:left="0" w:firstLine="851"/>
        <w:contextualSpacing/>
        <w:outlineLvl w:val="3"/>
        <w:rPr>
          <w:b/>
          <w:szCs w:val="24"/>
          <w:lang w:eastAsia="bg-BG"/>
        </w:rPr>
      </w:pPr>
      <w:bookmarkStart w:id="1222" w:name="_Toc479775326"/>
      <w:bookmarkStart w:id="1223" w:name="_Toc479775773"/>
      <w:bookmarkEnd w:id="1222"/>
      <w:r w:rsidRPr="00842ECC">
        <w:rPr>
          <w:b/>
          <w:szCs w:val="24"/>
          <w:lang w:eastAsia="bg-BG"/>
        </w:rPr>
        <w:t>Подготовка и организация на проверките на място</w:t>
      </w:r>
      <w:bookmarkEnd w:id="1223"/>
    </w:p>
    <w:p w14:paraId="192D4C0F" w14:textId="77777777" w:rsidR="000A36AF" w:rsidRPr="000A36AF" w:rsidRDefault="000A36AF" w:rsidP="000A36AF">
      <w:r w:rsidRPr="000A36AF">
        <w:t>Процесът на подготовка на проверките на място от УО започва с осигуряване или систематизиране на необходимата информация и документация за преглед на състоянието на проекта, изброена по-долу:</w:t>
      </w:r>
    </w:p>
    <w:p w14:paraId="79CBA001" w14:textId="77777777" w:rsidR="000A36AF" w:rsidRPr="000A36AF" w:rsidRDefault="000A36AF" w:rsidP="006A6D08">
      <w:pPr>
        <w:numPr>
          <w:ilvl w:val="0"/>
          <w:numId w:val="102"/>
        </w:numPr>
        <w:tabs>
          <w:tab w:val="num" w:pos="1134"/>
        </w:tabs>
        <w:ind w:left="0" w:firstLine="851"/>
        <w:rPr>
          <w:color w:val="000000"/>
          <w:szCs w:val="24"/>
        </w:rPr>
      </w:pPr>
      <w:r w:rsidRPr="000A36AF">
        <w:rPr>
          <w:color w:val="000000"/>
          <w:szCs w:val="24"/>
        </w:rPr>
        <w:t xml:space="preserve">договор за предоставяне на безвъзмездна финансова помощ; </w:t>
      </w:r>
    </w:p>
    <w:p w14:paraId="13C64E49" w14:textId="77777777" w:rsidR="000A36AF" w:rsidRPr="000A36AF" w:rsidRDefault="000A36AF" w:rsidP="006A6D08">
      <w:pPr>
        <w:numPr>
          <w:ilvl w:val="0"/>
          <w:numId w:val="102"/>
        </w:numPr>
        <w:tabs>
          <w:tab w:val="num" w:pos="1134"/>
        </w:tabs>
        <w:ind w:left="0" w:firstLine="851"/>
        <w:rPr>
          <w:color w:val="000000"/>
          <w:szCs w:val="24"/>
        </w:rPr>
      </w:pPr>
      <w:r w:rsidRPr="000A36AF">
        <w:rPr>
          <w:color w:val="000000"/>
          <w:szCs w:val="24"/>
        </w:rPr>
        <w:t xml:space="preserve">други споразумения (в т. ч. заемни споразумения); </w:t>
      </w:r>
    </w:p>
    <w:p w14:paraId="39B60D2D" w14:textId="77777777" w:rsidR="000A36AF" w:rsidRPr="000A36AF" w:rsidRDefault="000A36AF" w:rsidP="006A6D08">
      <w:pPr>
        <w:numPr>
          <w:ilvl w:val="0"/>
          <w:numId w:val="102"/>
        </w:numPr>
        <w:tabs>
          <w:tab w:val="num" w:pos="1134"/>
        </w:tabs>
        <w:ind w:left="0" w:firstLine="851"/>
        <w:rPr>
          <w:color w:val="000000"/>
          <w:szCs w:val="24"/>
        </w:rPr>
      </w:pPr>
      <w:r w:rsidRPr="000A36AF">
        <w:rPr>
          <w:color w:val="000000"/>
          <w:szCs w:val="24"/>
        </w:rPr>
        <w:lastRenderedPageBreak/>
        <w:t>доклади за напредъка – годишни и окончателни, изготвени от бенефициента;</w:t>
      </w:r>
    </w:p>
    <w:p w14:paraId="18245C34" w14:textId="77777777" w:rsidR="000A36AF" w:rsidRPr="000A36AF" w:rsidRDefault="000A36AF" w:rsidP="006A6D08">
      <w:pPr>
        <w:numPr>
          <w:ilvl w:val="0"/>
          <w:numId w:val="102"/>
        </w:numPr>
        <w:tabs>
          <w:tab w:val="num" w:pos="1134"/>
        </w:tabs>
        <w:ind w:left="0" w:firstLine="851"/>
        <w:rPr>
          <w:color w:val="000000"/>
          <w:szCs w:val="24"/>
        </w:rPr>
      </w:pPr>
      <w:r w:rsidRPr="000A36AF">
        <w:rPr>
          <w:color w:val="000000"/>
          <w:szCs w:val="24"/>
        </w:rPr>
        <w:t>доклади за дълготрайност на операциите и декларации от бенефициента за завършилите проекти, които са в експлоатация и по които е извършена окончателна верификация на разходите;</w:t>
      </w:r>
    </w:p>
    <w:p w14:paraId="45F1FD19" w14:textId="77777777" w:rsidR="000A36AF" w:rsidRPr="000A36AF" w:rsidRDefault="000A36AF" w:rsidP="006A6D08">
      <w:pPr>
        <w:numPr>
          <w:ilvl w:val="0"/>
          <w:numId w:val="102"/>
        </w:numPr>
        <w:tabs>
          <w:tab w:val="num" w:pos="1134"/>
        </w:tabs>
        <w:ind w:left="0" w:firstLine="851"/>
        <w:rPr>
          <w:color w:val="000000"/>
          <w:szCs w:val="24"/>
        </w:rPr>
      </w:pPr>
      <w:r w:rsidRPr="000A36AF">
        <w:rPr>
          <w:color w:val="000000"/>
          <w:szCs w:val="24"/>
        </w:rPr>
        <w:t xml:space="preserve">одитни доклади; </w:t>
      </w:r>
    </w:p>
    <w:p w14:paraId="6F87897C" w14:textId="77777777" w:rsidR="000A36AF" w:rsidRPr="000A36AF" w:rsidRDefault="000A36AF" w:rsidP="006A6D08">
      <w:pPr>
        <w:numPr>
          <w:ilvl w:val="0"/>
          <w:numId w:val="102"/>
        </w:numPr>
        <w:tabs>
          <w:tab w:val="num" w:pos="1134"/>
        </w:tabs>
        <w:ind w:left="0" w:firstLine="851"/>
        <w:rPr>
          <w:color w:val="000000"/>
          <w:szCs w:val="24"/>
        </w:rPr>
      </w:pPr>
      <w:r w:rsidRPr="000A36AF">
        <w:rPr>
          <w:color w:val="000000"/>
          <w:szCs w:val="24"/>
        </w:rPr>
        <w:t>сигнали за нередности, свързани с техническото/физическото изпълнение;</w:t>
      </w:r>
    </w:p>
    <w:p w14:paraId="3DB25F58" w14:textId="77777777" w:rsidR="000A36AF" w:rsidRPr="000A36AF" w:rsidRDefault="000A36AF" w:rsidP="006A6D08">
      <w:pPr>
        <w:numPr>
          <w:ilvl w:val="0"/>
          <w:numId w:val="102"/>
        </w:numPr>
        <w:tabs>
          <w:tab w:val="num" w:pos="1134"/>
        </w:tabs>
        <w:ind w:left="0" w:firstLine="851"/>
        <w:rPr>
          <w:color w:val="000000"/>
          <w:szCs w:val="24"/>
        </w:rPr>
      </w:pPr>
      <w:r w:rsidRPr="000A36AF">
        <w:rPr>
          <w:color w:val="000000"/>
          <w:szCs w:val="24"/>
        </w:rPr>
        <w:t>сключените договори за изпълнение по проекта;</w:t>
      </w:r>
    </w:p>
    <w:p w14:paraId="7F009233" w14:textId="77777777" w:rsidR="000A36AF" w:rsidRPr="000A36AF" w:rsidRDefault="000A36AF" w:rsidP="006A6D08">
      <w:pPr>
        <w:numPr>
          <w:ilvl w:val="0"/>
          <w:numId w:val="102"/>
        </w:numPr>
        <w:tabs>
          <w:tab w:val="num" w:pos="1134"/>
        </w:tabs>
        <w:ind w:left="0" w:firstLine="851"/>
        <w:rPr>
          <w:color w:val="000000"/>
          <w:szCs w:val="24"/>
        </w:rPr>
      </w:pPr>
      <w:r w:rsidRPr="000A36AF">
        <w:rPr>
          <w:color w:val="000000"/>
          <w:szCs w:val="24"/>
        </w:rPr>
        <w:t>предходни доклади от проведените проверки на място и изпълнение на направените препоръки;</w:t>
      </w:r>
    </w:p>
    <w:p w14:paraId="53F5A98F" w14:textId="77777777" w:rsidR="000A36AF" w:rsidRPr="000A36AF" w:rsidRDefault="000A36AF" w:rsidP="006A6D08">
      <w:pPr>
        <w:numPr>
          <w:ilvl w:val="0"/>
          <w:numId w:val="102"/>
        </w:numPr>
        <w:tabs>
          <w:tab w:val="num" w:pos="1134"/>
        </w:tabs>
        <w:ind w:left="0" w:firstLine="851"/>
        <w:rPr>
          <w:color w:val="000000"/>
          <w:szCs w:val="24"/>
        </w:rPr>
      </w:pPr>
      <w:r w:rsidRPr="000A36AF">
        <w:rPr>
          <w:color w:val="000000"/>
          <w:szCs w:val="24"/>
        </w:rPr>
        <w:t>други доклади (доклади на Изпълнителите по съответните договори по проекта и др.);</w:t>
      </w:r>
    </w:p>
    <w:p w14:paraId="1276B6AF" w14:textId="77777777" w:rsidR="000A36AF" w:rsidRPr="000A36AF" w:rsidRDefault="000A36AF" w:rsidP="006A6D08">
      <w:pPr>
        <w:numPr>
          <w:ilvl w:val="0"/>
          <w:numId w:val="102"/>
        </w:numPr>
        <w:tabs>
          <w:tab w:val="num" w:pos="1134"/>
        </w:tabs>
        <w:ind w:left="0" w:firstLine="851"/>
        <w:rPr>
          <w:color w:val="000000"/>
          <w:szCs w:val="24"/>
        </w:rPr>
      </w:pPr>
      <w:r w:rsidRPr="000A36AF">
        <w:rPr>
          <w:color w:val="000000"/>
          <w:szCs w:val="24"/>
        </w:rPr>
        <w:t>информация за финансовото изпълнение на проекта, необходима за извършване на оценка на физическия напредък;</w:t>
      </w:r>
    </w:p>
    <w:p w14:paraId="6F4B01FB" w14:textId="77777777" w:rsidR="000A36AF" w:rsidRPr="000A36AF" w:rsidRDefault="000A36AF" w:rsidP="006A6D08">
      <w:pPr>
        <w:numPr>
          <w:ilvl w:val="0"/>
          <w:numId w:val="102"/>
        </w:numPr>
        <w:tabs>
          <w:tab w:val="num" w:pos="1134"/>
        </w:tabs>
        <w:ind w:left="0" w:firstLine="851"/>
        <w:rPr>
          <w:color w:val="000000"/>
          <w:szCs w:val="24"/>
        </w:rPr>
      </w:pPr>
      <w:r w:rsidRPr="000A36AF">
        <w:rPr>
          <w:color w:val="000000"/>
          <w:szCs w:val="24"/>
        </w:rPr>
        <w:t>информация във връзка с коментарите относно проверката в годишния план за извършване на проверки на място от УО;</w:t>
      </w:r>
    </w:p>
    <w:p w14:paraId="2B97F30B" w14:textId="77777777" w:rsidR="000A36AF" w:rsidRPr="000A36AF" w:rsidRDefault="000A36AF" w:rsidP="006A6D08">
      <w:pPr>
        <w:numPr>
          <w:ilvl w:val="0"/>
          <w:numId w:val="102"/>
        </w:numPr>
        <w:tabs>
          <w:tab w:val="num" w:pos="1134"/>
        </w:tabs>
        <w:ind w:left="0" w:firstLine="851"/>
        <w:rPr>
          <w:color w:val="000000"/>
          <w:szCs w:val="24"/>
        </w:rPr>
      </w:pPr>
      <w:r w:rsidRPr="000A36AF">
        <w:rPr>
          <w:color w:val="000000"/>
          <w:szCs w:val="24"/>
        </w:rPr>
        <w:t>информация от ИСУН 2020 за проекта;</w:t>
      </w:r>
    </w:p>
    <w:p w14:paraId="7F53C662" w14:textId="77777777" w:rsidR="000A36AF" w:rsidRPr="000A36AF" w:rsidRDefault="000A36AF" w:rsidP="006A6D08">
      <w:pPr>
        <w:numPr>
          <w:ilvl w:val="0"/>
          <w:numId w:val="102"/>
        </w:numPr>
        <w:tabs>
          <w:tab w:val="num" w:pos="1134"/>
        </w:tabs>
        <w:ind w:left="0" w:firstLine="851"/>
        <w:rPr>
          <w:color w:val="000000"/>
          <w:szCs w:val="24"/>
        </w:rPr>
      </w:pPr>
      <w:r w:rsidRPr="000A36AF">
        <w:rPr>
          <w:color w:val="000000"/>
          <w:szCs w:val="24"/>
        </w:rPr>
        <w:t>друга информация, свързана с изпълнението на проекта.</w:t>
      </w:r>
    </w:p>
    <w:p w14:paraId="4BEE9231" w14:textId="77777777" w:rsidR="000A36AF" w:rsidRPr="000A36AF" w:rsidRDefault="000A36AF" w:rsidP="000A36AF">
      <w:pPr>
        <w:ind w:firstLine="708"/>
        <w:rPr>
          <w:color w:val="000000"/>
          <w:szCs w:val="24"/>
        </w:rPr>
      </w:pPr>
    </w:p>
    <w:p w14:paraId="1A6B2D8E" w14:textId="77777777" w:rsidR="000A36AF" w:rsidRPr="000A36AF" w:rsidRDefault="000A36AF" w:rsidP="000A36AF">
      <w:r w:rsidRPr="000A36AF">
        <w:t>На база на наличната информация се изготвя програма на проверката на място (дневен ред), който вътрешно може да се координира с останалите отдели в Управляващия орган</w:t>
      </w:r>
      <w:r w:rsidRPr="00842ECC">
        <w:t>, представители на които са включени в проверката на място. Дневният ред се включва в уведомителното писмо</w:t>
      </w:r>
      <w:r w:rsidRPr="000A36AF">
        <w:t xml:space="preserve">. </w:t>
      </w:r>
    </w:p>
    <w:p w14:paraId="1CBF6C91" w14:textId="4E3619A8" w:rsidR="000A36AF" w:rsidRPr="000A36AF" w:rsidRDefault="000A36AF" w:rsidP="000A36AF">
      <w:r w:rsidRPr="000A36AF">
        <w:t xml:space="preserve">УО информира с писмена кореспонденция (може и </w:t>
      </w:r>
      <w:r w:rsidRPr="006A6D08">
        <w:rPr>
          <w:bCs/>
          <w:iCs/>
        </w:rPr>
        <w:t>по електронната поща</w:t>
      </w:r>
      <w:r w:rsidRPr="000A36AF">
        <w:t>) бенефициента по проекта за провеждането на планирана проверка на място в съответствие с годишния план за провеждане на проверки на място по ОПТТИ</w:t>
      </w:r>
      <w:r w:rsidRPr="00842ECC">
        <w:t xml:space="preserve"> </w:t>
      </w:r>
      <w:r w:rsidRPr="000A36AF">
        <w:t xml:space="preserve">или на непланирана проверка на място, в препоръчителен срок не по-късно от 5 дни преди началото на проверката. Когато в проверката на място участва и консултант, срокът за писмено уведомяване на бенефициента може да бъде намален до 3 дни преди началото на проверката. В уведомлението се включва обхватът на проверката, точната дата и часа за начало на проверката, нейната продължителност, когато е известна, програма на проверката, необходимата организация и документация, която трябва да осигури бенефициентът и др. </w:t>
      </w:r>
    </w:p>
    <w:p w14:paraId="0CFE9FB0" w14:textId="4D0F0516" w:rsidR="000A36AF" w:rsidRPr="000A36AF" w:rsidRDefault="000A36AF" w:rsidP="000A36AF">
      <w:r w:rsidRPr="000A36AF">
        <w:rPr>
          <w:bCs/>
          <w:i/>
          <w:iCs/>
        </w:rPr>
        <w:t>Когато се извършва непланирана проверка на място (окончателна) при подаване на окончателно плащане, УО уведомява Бенефициента писмено (може и по електронната поща), в препоръчителен срок до 15 работни дни от получаването на искането за окончателно плащане през ИСУН 2020.  </w:t>
      </w:r>
      <w:r w:rsidRPr="000A36AF" w:rsidDel="00250266">
        <w:rPr>
          <w:bCs/>
          <w:i/>
          <w:iCs/>
        </w:rPr>
        <w:t xml:space="preserve"> </w:t>
      </w:r>
      <w:r w:rsidRPr="000A36AF">
        <w:t xml:space="preserve">Бенефициентът следва да осигури участие на компетентните лица в проверката на място, като предварително информира УО за своите представители. Той осигурява логистична организация, присъствие и участие на Изпълнителите по сключени договори, обект на проверката (проектант, строител, независимия строителен надзор и т.н.) и други заинтересувани страни при искане от страна на УО. Бенефициентът осигурява достъп до строителната площадка, офисите на заинтересуваните страни и отговаря за предоставяне на проверяващите на всички необходими строителни книжа и документи за целите на проверката. </w:t>
      </w:r>
    </w:p>
    <w:p w14:paraId="1F40D238" w14:textId="77777777" w:rsidR="000A36AF" w:rsidRPr="000A36AF" w:rsidRDefault="000A36AF" w:rsidP="000A36AF">
      <w:r w:rsidRPr="000A36AF">
        <w:t xml:space="preserve">Ако е планирано ползването на външна специфична експертиза по време на проверката на място, консултантът се уведомява не по-късно от 10 дни преди началото на проверката. В уведомителното писмо се включва обхватът на проверката, за която консултантът следва да осигури участието на необходимите експерти, програма за проверката и др. Консултантът определя и осигурява ресурсите, които са необходими за изпълнение на поставената му задача. </w:t>
      </w:r>
    </w:p>
    <w:p w14:paraId="14CD796D" w14:textId="77777777" w:rsidR="000A36AF" w:rsidRPr="000A36AF" w:rsidRDefault="000A36AF" w:rsidP="000A36AF">
      <w:r w:rsidRPr="000A36AF">
        <w:t xml:space="preserve">Представителите на Управляващия орган, които ще извършат планирана проверка на място детайлно се запознават с цялата налична информация по проекта и предварително идентифицират областите от проекта, за които е необходимо по-задълбочено разглеждане по </w:t>
      </w:r>
      <w:r w:rsidRPr="000A36AF">
        <w:lastRenderedPageBreak/>
        <w:t>време на провеждането й. В случаите когато се извършва непланирана проверка, представителите от УО трябва да се запознаят подробно с документите/фактите, свързани с причината за иницииране на непланираната проверка.</w:t>
      </w:r>
    </w:p>
    <w:p w14:paraId="29B7FE3A" w14:textId="5E0EE0ED" w:rsidR="00367FE4" w:rsidRPr="001B0EA3" w:rsidRDefault="00367FE4" w:rsidP="00367FE4">
      <w:r w:rsidRPr="001B0EA3">
        <w:t xml:space="preserve">Минималният състав на екипа за </w:t>
      </w:r>
      <w:r w:rsidRPr="00C62514">
        <w:t xml:space="preserve">планирана или непланирана </w:t>
      </w:r>
      <w:r w:rsidRPr="001B0EA3">
        <w:t>проверка на място от страна на УО включва двама експерти от отдел „Изпълнение и координация”, отговорни за наблюдението на съответния проект по отношение на верификацията и проверките на място. О</w:t>
      </w:r>
      <w:r w:rsidR="007A57F0">
        <w:t>тдел „Изпълнение и координация”</w:t>
      </w:r>
      <w:r w:rsidR="009C58E0" w:rsidRPr="001B0EA3">
        <w:t xml:space="preserve"> </w:t>
      </w:r>
      <w:r w:rsidR="009C58E0">
        <w:t xml:space="preserve">преценява кои от останалите отдели в УО да </w:t>
      </w:r>
      <w:r w:rsidRPr="001B0EA3">
        <w:t xml:space="preserve">информира за всяка предстояща проверка. В зависимост от целта и обхвата </w:t>
      </w:r>
      <w:r>
        <w:t>ѝ</w:t>
      </w:r>
      <w:r w:rsidRPr="001B0EA3">
        <w:t>, в проверката на място могат да вземат участие служители от отдели „Финансово управление”, КОП, УР, „Програмиране”</w:t>
      </w:r>
      <w:r>
        <w:t xml:space="preserve">, </w:t>
      </w:r>
      <w:r w:rsidRPr="004E3164">
        <w:t>„Информация, публичност и техническа помощ“</w:t>
      </w:r>
      <w:r w:rsidRPr="001B0EA3">
        <w:t xml:space="preserve"> и „</w:t>
      </w:r>
      <w:r>
        <w:t>Наблюдение и оценка</w:t>
      </w:r>
      <w:r w:rsidRPr="001B0EA3">
        <w:t xml:space="preserve">” на УО, необходимостта </w:t>
      </w:r>
      <w:r>
        <w:t>от</w:t>
      </w:r>
      <w:r w:rsidRPr="001B0EA3">
        <w:t xml:space="preserve"> което се преценява от </w:t>
      </w:r>
      <w:r w:rsidR="00F66F5A">
        <w:t xml:space="preserve">началника на отдел „Изпълнение и координация“ и/или от </w:t>
      </w:r>
      <w:r w:rsidRPr="001B0EA3">
        <w:t>директора на дирекция „КПП”.</w:t>
      </w:r>
    </w:p>
    <w:p w14:paraId="12A0B052" w14:textId="77777777" w:rsidR="000A36AF" w:rsidRPr="000A36AF" w:rsidRDefault="000A36AF" w:rsidP="000A36AF">
      <w:pPr>
        <w:spacing w:before="120" w:after="60"/>
        <w:rPr>
          <w:color w:val="000000"/>
          <w:szCs w:val="24"/>
        </w:rPr>
      </w:pPr>
    </w:p>
    <w:p w14:paraId="3998E493" w14:textId="77777777" w:rsidR="000A36AF" w:rsidRPr="000A36AF" w:rsidRDefault="000A36AF" w:rsidP="000A36AF">
      <w:pPr>
        <w:numPr>
          <w:ilvl w:val="2"/>
          <w:numId w:val="273"/>
        </w:numPr>
        <w:tabs>
          <w:tab w:val="num" w:pos="360"/>
        </w:tabs>
        <w:spacing w:before="120" w:after="120"/>
        <w:ind w:left="0" w:firstLine="851"/>
        <w:contextualSpacing/>
        <w:outlineLvl w:val="3"/>
        <w:rPr>
          <w:b/>
          <w:szCs w:val="24"/>
          <w:lang w:val="en-US" w:eastAsia="bg-BG"/>
        </w:rPr>
      </w:pPr>
      <w:bookmarkStart w:id="1224" w:name="_Toc479775774"/>
      <w:r w:rsidRPr="000A36AF">
        <w:rPr>
          <w:b/>
          <w:szCs w:val="24"/>
          <w:lang w:val="en-US" w:eastAsia="bg-BG"/>
        </w:rPr>
        <w:t>Провеждане на проверката на място</w:t>
      </w:r>
      <w:bookmarkEnd w:id="1224"/>
    </w:p>
    <w:p w14:paraId="3985AA61" w14:textId="1E0058FA" w:rsidR="000A36AF" w:rsidRPr="000A36AF" w:rsidRDefault="000A36AF" w:rsidP="000A36AF">
      <w:r w:rsidRPr="000A36AF">
        <w:t>Проверката на място започва с встъпителна координационна среща между екипа от УО и бенефициента. В зависимост от създадената организация, в нея могат да вземат участие и експерти на консултанта на УО (когато има такъв) и представители на Изпълнителите, Независимият строителен надзор, консултанти на бенефициента по проекта и др. Срещата може да се проведе при бенефициента, изпълнителите по договорите по проекта, приобектовия офис или на друго подходящо място от гледна точка на създадената организация. На срещата се обсъждат първоначалната програма за проверката на място, която при необходимост се прецизира и допълва, определят се местата, които ще бъдат посетени, създава се необходимата организация на оперативно ниво за изпълнение на програмата. След уточняване на логистичните въпроси, свързани с провеждането на проверката, се преминава към изпълнение на уточнената програма. При възникнала необходимост, в хода на проверката към програмата могат да се добавят допълнителни дейности (да се разшири обхватът на проверката). По време на проверката УО предоставя за попълване присъствен списък на лицата, които са участвали в проверката</w:t>
      </w:r>
      <w:r w:rsidRPr="00842ECC">
        <w:t xml:space="preserve"> </w:t>
      </w:r>
      <w:r w:rsidRPr="000A36AF">
        <w:t>на място.</w:t>
      </w:r>
    </w:p>
    <w:p w14:paraId="57E60FF2" w14:textId="77777777" w:rsidR="000A36AF" w:rsidRPr="000A36AF" w:rsidRDefault="000A36AF" w:rsidP="000A36AF">
      <w:r w:rsidRPr="000A36AF">
        <w:t>Проверката на място се провежда на ниво бенефициент и изпълнителите по договорите по проекта.</w:t>
      </w:r>
    </w:p>
    <w:p w14:paraId="2FFEA669" w14:textId="77777777" w:rsidR="000A36AF" w:rsidRPr="000A36AF" w:rsidRDefault="000A36AF" w:rsidP="000A36AF">
      <w:r w:rsidRPr="000A36AF">
        <w:t>По време на проверката експертите на консултанта, ако е предвидено негово участие в проверката, следва да бъдат придружавани от представителите на УО.</w:t>
      </w:r>
    </w:p>
    <w:p w14:paraId="5742C869" w14:textId="77777777" w:rsidR="000A36AF" w:rsidRPr="000A36AF" w:rsidRDefault="000A36AF" w:rsidP="000A36AF">
      <w:pPr>
        <w:ind w:firstLine="648"/>
        <w:rPr>
          <w:color w:val="000000"/>
          <w:szCs w:val="24"/>
        </w:rPr>
      </w:pPr>
    </w:p>
    <w:p w14:paraId="380F3BD0" w14:textId="77777777" w:rsidR="000A36AF" w:rsidRPr="000A36AF" w:rsidRDefault="000A36AF" w:rsidP="000A36AF">
      <w:r w:rsidRPr="000A36AF">
        <w:t xml:space="preserve">Планираната </w:t>
      </w:r>
      <w:r w:rsidRPr="00842ECC">
        <w:t>п</w:t>
      </w:r>
      <w:r w:rsidRPr="000A36AF">
        <w:t>роверка на място обхваща частично или напълно следните елементи:</w:t>
      </w:r>
    </w:p>
    <w:p w14:paraId="3B7661F8" w14:textId="77777777" w:rsidR="000A36AF" w:rsidRPr="000A36AF" w:rsidRDefault="000A36AF" w:rsidP="006A6D08">
      <w:pPr>
        <w:numPr>
          <w:ilvl w:val="0"/>
          <w:numId w:val="103"/>
        </w:numPr>
        <w:tabs>
          <w:tab w:val="num" w:pos="1134"/>
        </w:tabs>
        <w:ind w:left="0" w:firstLine="851"/>
        <w:rPr>
          <w:color w:val="000000"/>
          <w:szCs w:val="24"/>
        </w:rPr>
      </w:pPr>
      <w:r w:rsidRPr="000A36AF">
        <w:rPr>
          <w:color w:val="000000"/>
          <w:szCs w:val="24"/>
        </w:rPr>
        <w:t>Проверка на информацията по изпълнението на проекта, съдържаща се в ИСУН 2020;</w:t>
      </w:r>
    </w:p>
    <w:p w14:paraId="479944E7" w14:textId="77777777" w:rsidR="000A36AF" w:rsidRPr="000A36AF" w:rsidRDefault="000A36AF" w:rsidP="006A6D08">
      <w:pPr>
        <w:numPr>
          <w:ilvl w:val="0"/>
          <w:numId w:val="103"/>
        </w:numPr>
        <w:tabs>
          <w:tab w:val="num" w:pos="1134"/>
        </w:tabs>
        <w:ind w:left="0" w:firstLine="851"/>
        <w:rPr>
          <w:color w:val="000000"/>
          <w:szCs w:val="24"/>
        </w:rPr>
      </w:pPr>
      <w:r w:rsidRPr="000A36AF">
        <w:rPr>
          <w:color w:val="000000"/>
          <w:szCs w:val="24"/>
        </w:rPr>
        <w:t>Съответствие на физическия напредък с докладвания;</w:t>
      </w:r>
    </w:p>
    <w:p w14:paraId="5DF53BA4" w14:textId="77777777" w:rsidR="000A36AF" w:rsidRPr="000A36AF" w:rsidRDefault="000A36AF" w:rsidP="006A6D08">
      <w:pPr>
        <w:numPr>
          <w:ilvl w:val="0"/>
          <w:numId w:val="103"/>
        </w:numPr>
        <w:tabs>
          <w:tab w:val="num" w:pos="1134"/>
        </w:tabs>
        <w:ind w:left="0" w:firstLine="851"/>
        <w:rPr>
          <w:color w:val="000000"/>
          <w:szCs w:val="24"/>
        </w:rPr>
      </w:pPr>
      <w:r w:rsidRPr="000A36AF">
        <w:rPr>
          <w:color w:val="000000"/>
          <w:szCs w:val="24"/>
        </w:rPr>
        <w:t>Изпълнение на предписанията и препоръките от предходни проверки на място и одити;</w:t>
      </w:r>
    </w:p>
    <w:p w14:paraId="23FDE7BC" w14:textId="77777777" w:rsidR="000A36AF" w:rsidRPr="000A36AF" w:rsidRDefault="000A36AF" w:rsidP="006A6D08">
      <w:pPr>
        <w:numPr>
          <w:ilvl w:val="0"/>
          <w:numId w:val="103"/>
        </w:numPr>
        <w:tabs>
          <w:tab w:val="num" w:pos="1134"/>
        </w:tabs>
        <w:ind w:left="0" w:firstLine="851"/>
        <w:rPr>
          <w:color w:val="000000"/>
          <w:szCs w:val="24"/>
        </w:rPr>
      </w:pPr>
      <w:r w:rsidRPr="000A36AF">
        <w:rPr>
          <w:color w:val="000000"/>
          <w:szCs w:val="24"/>
        </w:rPr>
        <w:t>Проверка на измеримите индикатори по проекта чрез физическа и документална проверка на предоставените и декларираните от бенефициента данни, свързани с тяхното изпълнение;</w:t>
      </w:r>
    </w:p>
    <w:p w14:paraId="5EAFD303" w14:textId="77777777" w:rsidR="000A36AF" w:rsidRPr="000A36AF" w:rsidRDefault="000A36AF" w:rsidP="006A6D08">
      <w:pPr>
        <w:numPr>
          <w:ilvl w:val="0"/>
          <w:numId w:val="103"/>
        </w:numPr>
        <w:tabs>
          <w:tab w:val="num" w:pos="1134"/>
        </w:tabs>
        <w:ind w:left="0" w:firstLine="851"/>
        <w:rPr>
          <w:color w:val="000000"/>
          <w:szCs w:val="24"/>
        </w:rPr>
      </w:pPr>
      <w:r w:rsidRPr="000A36AF">
        <w:rPr>
          <w:color w:val="000000"/>
          <w:szCs w:val="24"/>
        </w:rPr>
        <w:t>Административен капацитет на бенефициента за управление на проекта;</w:t>
      </w:r>
    </w:p>
    <w:p w14:paraId="1A3F1161" w14:textId="77777777" w:rsidR="000A36AF" w:rsidRPr="000A36AF" w:rsidRDefault="000A36AF" w:rsidP="006A6D08">
      <w:pPr>
        <w:numPr>
          <w:ilvl w:val="0"/>
          <w:numId w:val="103"/>
        </w:numPr>
        <w:tabs>
          <w:tab w:val="num" w:pos="1134"/>
        </w:tabs>
        <w:ind w:left="0" w:firstLine="851"/>
        <w:rPr>
          <w:color w:val="000000"/>
          <w:szCs w:val="24"/>
        </w:rPr>
      </w:pPr>
      <w:r w:rsidRPr="000A36AF">
        <w:rPr>
          <w:color w:val="000000"/>
          <w:szCs w:val="24"/>
        </w:rPr>
        <w:t>Налични ресурси за управлението и изпълнението на проекта;</w:t>
      </w:r>
    </w:p>
    <w:p w14:paraId="008A7050" w14:textId="77777777" w:rsidR="000A36AF" w:rsidRPr="000A36AF" w:rsidRDefault="000A36AF" w:rsidP="006A6D08">
      <w:pPr>
        <w:numPr>
          <w:ilvl w:val="0"/>
          <w:numId w:val="103"/>
        </w:numPr>
        <w:tabs>
          <w:tab w:val="num" w:pos="1134"/>
        </w:tabs>
        <w:ind w:left="0" w:firstLine="851"/>
        <w:rPr>
          <w:color w:val="000000"/>
          <w:szCs w:val="24"/>
        </w:rPr>
      </w:pPr>
      <w:r w:rsidRPr="000A36AF">
        <w:rPr>
          <w:color w:val="000000"/>
          <w:szCs w:val="24"/>
        </w:rPr>
        <w:t>Налични процедури за управление на проекта от страна на бенефициента;</w:t>
      </w:r>
    </w:p>
    <w:p w14:paraId="5A0357C5" w14:textId="77777777" w:rsidR="000A36AF" w:rsidRPr="000A36AF" w:rsidRDefault="000A36AF" w:rsidP="006A6D08">
      <w:pPr>
        <w:numPr>
          <w:ilvl w:val="0"/>
          <w:numId w:val="103"/>
        </w:numPr>
        <w:tabs>
          <w:tab w:val="num" w:pos="1134"/>
        </w:tabs>
        <w:ind w:left="0" w:firstLine="851"/>
        <w:rPr>
          <w:color w:val="000000"/>
          <w:szCs w:val="24"/>
        </w:rPr>
      </w:pPr>
      <w:r w:rsidRPr="000A36AF">
        <w:rPr>
          <w:color w:val="000000"/>
          <w:szCs w:val="24"/>
        </w:rPr>
        <w:t>Установената система за кореспонденция;</w:t>
      </w:r>
    </w:p>
    <w:p w14:paraId="4D4B0EF0" w14:textId="77777777" w:rsidR="000A36AF" w:rsidRPr="000A36AF" w:rsidRDefault="000A36AF" w:rsidP="006A6D08">
      <w:pPr>
        <w:numPr>
          <w:ilvl w:val="0"/>
          <w:numId w:val="103"/>
        </w:numPr>
        <w:tabs>
          <w:tab w:val="num" w:pos="1134"/>
        </w:tabs>
        <w:ind w:left="0" w:firstLine="851"/>
        <w:rPr>
          <w:color w:val="000000"/>
          <w:szCs w:val="24"/>
        </w:rPr>
      </w:pPr>
      <w:r w:rsidRPr="000A36AF">
        <w:rPr>
          <w:color w:val="000000"/>
          <w:szCs w:val="24"/>
        </w:rPr>
        <w:t>Установената система за документиране, съхраняване и архивиране на информацията по проекта, както и нейната достъпност от контролиращите и одитиращи органи (наличие на адекватна одитна пътека);</w:t>
      </w:r>
    </w:p>
    <w:p w14:paraId="5388E17B" w14:textId="77777777" w:rsidR="000A36AF" w:rsidRPr="000A36AF" w:rsidRDefault="000A36AF" w:rsidP="006A6D08">
      <w:pPr>
        <w:numPr>
          <w:ilvl w:val="0"/>
          <w:numId w:val="103"/>
        </w:numPr>
        <w:tabs>
          <w:tab w:val="num" w:pos="1134"/>
        </w:tabs>
        <w:ind w:left="0" w:firstLine="851"/>
        <w:rPr>
          <w:color w:val="000000"/>
          <w:szCs w:val="24"/>
        </w:rPr>
      </w:pPr>
      <w:r w:rsidRPr="000A36AF">
        <w:rPr>
          <w:color w:val="000000"/>
          <w:szCs w:val="24"/>
        </w:rPr>
        <w:lastRenderedPageBreak/>
        <w:t xml:space="preserve">Проверка на създадената организация от страна на бенефициента за независима проверка на изпълнените строителни работи (инвеститорски контрол и консултант/ независим надзор/супервайзор) </w:t>
      </w:r>
    </w:p>
    <w:p w14:paraId="453F12C9" w14:textId="77777777" w:rsidR="000A36AF" w:rsidRPr="000A36AF" w:rsidRDefault="000A36AF" w:rsidP="006A6D08">
      <w:pPr>
        <w:numPr>
          <w:ilvl w:val="0"/>
          <w:numId w:val="103"/>
        </w:numPr>
        <w:tabs>
          <w:tab w:val="num" w:pos="1134"/>
        </w:tabs>
        <w:ind w:left="0" w:firstLine="851"/>
        <w:rPr>
          <w:color w:val="000000"/>
          <w:szCs w:val="24"/>
        </w:rPr>
      </w:pPr>
      <w:r w:rsidRPr="000A36AF">
        <w:rPr>
          <w:color w:val="000000"/>
          <w:szCs w:val="24"/>
        </w:rPr>
        <w:t>Мобилизация на Изпълнителите по договорите по проекта (човешки ресурс, механизация, материали и др.);</w:t>
      </w:r>
    </w:p>
    <w:p w14:paraId="1FC08077" w14:textId="77777777" w:rsidR="000A36AF" w:rsidRPr="000A36AF" w:rsidRDefault="000A36AF" w:rsidP="006A6D08">
      <w:pPr>
        <w:numPr>
          <w:ilvl w:val="0"/>
          <w:numId w:val="103"/>
        </w:numPr>
        <w:tabs>
          <w:tab w:val="num" w:pos="1134"/>
        </w:tabs>
        <w:ind w:left="0" w:firstLine="851"/>
        <w:rPr>
          <w:color w:val="000000"/>
          <w:szCs w:val="24"/>
        </w:rPr>
      </w:pPr>
      <w:r w:rsidRPr="000A36AF">
        <w:rPr>
          <w:color w:val="000000"/>
          <w:szCs w:val="24"/>
        </w:rPr>
        <w:t>Наличие на всички строителни книжа и разрешителни съгласно българското законодателство;</w:t>
      </w:r>
    </w:p>
    <w:p w14:paraId="370D07BC" w14:textId="77777777" w:rsidR="000A36AF" w:rsidRPr="000A36AF" w:rsidRDefault="000A36AF" w:rsidP="006A6D08">
      <w:pPr>
        <w:numPr>
          <w:ilvl w:val="0"/>
          <w:numId w:val="103"/>
        </w:numPr>
        <w:tabs>
          <w:tab w:val="num" w:pos="1134"/>
        </w:tabs>
        <w:ind w:left="0" w:firstLine="851"/>
        <w:rPr>
          <w:color w:val="000000"/>
          <w:szCs w:val="24"/>
        </w:rPr>
      </w:pPr>
      <w:r w:rsidRPr="000A36AF">
        <w:rPr>
          <w:color w:val="000000"/>
          <w:szCs w:val="24"/>
        </w:rPr>
        <w:t>Изпълнение на времевия график по проекта;</w:t>
      </w:r>
    </w:p>
    <w:p w14:paraId="09EE7B1C" w14:textId="77777777" w:rsidR="000A36AF" w:rsidRPr="000A36AF" w:rsidRDefault="000A36AF" w:rsidP="006A6D08">
      <w:pPr>
        <w:numPr>
          <w:ilvl w:val="0"/>
          <w:numId w:val="103"/>
        </w:numPr>
        <w:tabs>
          <w:tab w:val="num" w:pos="1134"/>
        </w:tabs>
        <w:ind w:left="0" w:firstLine="851"/>
        <w:rPr>
          <w:color w:val="000000"/>
          <w:szCs w:val="24"/>
        </w:rPr>
      </w:pPr>
      <w:r w:rsidRPr="000A36AF">
        <w:rPr>
          <w:color w:val="000000"/>
          <w:szCs w:val="24"/>
        </w:rPr>
        <w:t>Съответствие на извършените строителни работи, доставки и услуги с договора за предоставяне на безвъзмездна финансова помощ, проектното предложение и сключените договори по проекта в т. ч. настъпилите изменения по тях и т. н.;</w:t>
      </w:r>
    </w:p>
    <w:p w14:paraId="1CF5A369" w14:textId="77777777" w:rsidR="000A36AF" w:rsidRPr="000A36AF" w:rsidRDefault="000A36AF" w:rsidP="006A6D08">
      <w:pPr>
        <w:numPr>
          <w:ilvl w:val="0"/>
          <w:numId w:val="103"/>
        </w:numPr>
        <w:tabs>
          <w:tab w:val="num" w:pos="1134"/>
        </w:tabs>
        <w:ind w:left="0" w:firstLine="851"/>
        <w:rPr>
          <w:color w:val="000000"/>
          <w:szCs w:val="24"/>
        </w:rPr>
      </w:pPr>
      <w:r w:rsidRPr="000A36AF">
        <w:rPr>
          <w:color w:val="000000"/>
          <w:szCs w:val="24"/>
        </w:rPr>
        <w:t>При наличие на закупено оборудване – доставено ли е, използва ли се по предназначение;</w:t>
      </w:r>
    </w:p>
    <w:p w14:paraId="168ABC81" w14:textId="77777777" w:rsidR="000A36AF" w:rsidRPr="000A36AF" w:rsidRDefault="000A36AF" w:rsidP="006A6D08">
      <w:pPr>
        <w:numPr>
          <w:ilvl w:val="0"/>
          <w:numId w:val="103"/>
        </w:numPr>
        <w:tabs>
          <w:tab w:val="num" w:pos="1134"/>
        </w:tabs>
        <w:ind w:left="0" w:firstLine="851"/>
        <w:rPr>
          <w:color w:val="000000"/>
          <w:szCs w:val="24"/>
        </w:rPr>
      </w:pPr>
      <w:r w:rsidRPr="000A36AF">
        <w:rPr>
          <w:color w:val="000000"/>
          <w:szCs w:val="24"/>
        </w:rPr>
        <w:t>Наличие на съответствие на декларираните количества строителни работи спрямо изпълнените на обекта (преценка по документи и на база оглед на обекта);</w:t>
      </w:r>
    </w:p>
    <w:p w14:paraId="636E4DAB" w14:textId="77777777" w:rsidR="000A36AF" w:rsidRPr="000A36AF" w:rsidRDefault="000A36AF" w:rsidP="006A6D08">
      <w:pPr>
        <w:numPr>
          <w:ilvl w:val="0"/>
          <w:numId w:val="103"/>
        </w:numPr>
        <w:tabs>
          <w:tab w:val="num" w:pos="1134"/>
        </w:tabs>
        <w:ind w:left="0" w:firstLine="851"/>
        <w:rPr>
          <w:color w:val="000000"/>
          <w:szCs w:val="24"/>
        </w:rPr>
      </w:pPr>
      <w:r w:rsidRPr="000A36AF">
        <w:rPr>
          <w:color w:val="000000"/>
          <w:szCs w:val="24"/>
        </w:rPr>
        <w:t>Качество на изпълнените строителни работи (чрез изискване на сертификати, декларации и протоколи от изпитване на строителните материали на извадков принцип);</w:t>
      </w:r>
    </w:p>
    <w:p w14:paraId="19A68ACA" w14:textId="77777777" w:rsidR="000A36AF" w:rsidRPr="000A36AF" w:rsidRDefault="000A36AF" w:rsidP="006A6D08">
      <w:pPr>
        <w:numPr>
          <w:ilvl w:val="0"/>
          <w:numId w:val="103"/>
        </w:numPr>
        <w:tabs>
          <w:tab w:val="num" w:pos="1134"/>
        </w:tabs>
        <w:ind w:left="0" w:firstLine="851"/>
        <w:rPr>
          <w:color w:val="000000"/>
          <w:szCs w:val="24"/>
        </w:rPr>
      </w:pPr>
      <w:r w:rsidRPr="000A36AF">
        <w:rPr>
          <w:color w:val="000000"/>
          <w:szCs w:val="24"/>
        </w:rPr>
        <w:t>Промени в ключовия персонал на изпълнителите, основание за тях и съответствие с тръжните изисквания;</w:t>
      </w:r>
    </w:p>
    <w:p w14:paraId="25272FEA" w14:textId="77777777" w:rsidR="000A36AF" w:rsidRPr="000A36AF" w:rsidRDefault="000A36AF" w:rsidP="006A6D08">
      <w:pPr>
        <w:numPr>
          <w:ilvl w:val="0"/>
          <w:numId w:val="103"/>
        </w:numPr>
        <w:tabs>
          <w:tab w:val="num" w:pos="1134"/>
        </w:tabs>
        <w:ind w:left="0" w:firstLine="851"/>
        <w:rPr>
          <w:color w:val="000000"/>
          <w:szCs w:val="24"/>
        </w:rPr>
      </w:pPr>
      <w:r w:rsidRPr="000A36AF">
        <w:rPr>
          <w:color w:val="000000"/>
          <w:szCs w:val="24"/>
        </w:rPr>
        <w:t>Извадкова проверка на декларираните доставки и извършени услуги спрямо наличните и/или представени доказателства за тяхното извършване;</w:t>
      </w:r>
    </w:p>
    <w:p w14:paraId="6B65F740" w14:textId="77777777" w:rsidR="000A36AF" w:rsidRPr="000A36AF" w:rsidRDefault="000A36AF" w:rsidP="006A6D08">
      <w:pPr>
        <w:numPr>
          <w:ilvl w:val="0"/>
          <w:numId w:val="103"/>
        </w:numPr>
        <w:tabs>
          <w:tab w:val="num" w:pos="1134"/>
        </w:tabs>
        <w:ind w:left="0" w:firstLine="851"/>
        <w:rPr>
          <w:color w:val="000000"/>
          <w:szCs w:val="24"/>
        </w:rPr>
      </w:pPr>
      <w:r w:rsidRPr="000A36AF">
        <w:rPr>
          <w:color w:val="000000"/>
          <w:szCs w:val="24"/>
        </w:rPr>
        <w:t>Проверка на съблюдаването на изискванията за публичност и информация;</w:t>
      </w:r>
    </w:p>
    <w:p w14:paraId="41CB4AE3" w14:textId="77777777" w:rsidR="000A36AF" w:rsidRPr="000A36AF" w:rsidRDefault="000A36AF" w:rsidP="006A6D08">
      <w:pPr>
        <w:numPr>
          <w:ilvl w:val="0"/>
          <w:numId w:val="103"/>
        </w:numPr>
        <w:tabs>
          <w:tab w:val="num" w:pos="1134"/>
        </w:tabs>
        <w:ind w:left="0" w:firstLine="851"/>
        <w:rPr>
          <w:color w:val="000000"/>
          <w:szCs w:val="24"/>
        </w:rPr>
      </w:pPr>
      <w:r w:rsidRPr="000A36AF">
        <w:rPr>
          <w:color w:val="000000"/>
          <w:szCs w:val="24"/>
        </w:rPr>
        <w:t>Наличието при Бенефициента на доклади/ разработки/ експертни оценки/ становища и др., изготвени в резултат на дейностите по проекти за техническа помощ и основанията за одобрение и заплащане;</w:t>
      </w:r>
    </w:p>
    <w:p w14:paraId="2F04AB07" w14:textId="77777777" w:rsidR="000A36AF" w:rsidRPr="000A36AF" w:rsidRDefault="000A36AF" w:rsidP="006A6D08">
      <w:pPr>
        <w:numPr>
          <w:ilvl w:val="0"/>
          <w:numId w:val="103"/>
        </w:numPr>
        <w:tabs>
          <w:tab w:val="num" w:pos="1134"/>
        </w:tabs>
        <w:ind w:left="0" w:firstLine="851"/>
        <w:rPr>
          <w:color w:val="000000"/>
          <w:szCs w:val="24"/>
        </w:rPr>
      </w:pPr>
      <w:r w:rsidRPr="000A36AF">
        <w:rPr>
          <w:color w:val="000000"/>
          <w:szCs w:val="24"/>
        </w:rPr>
        <w:t>Издадени от компетентни органи документи, удостоверяващи съответствието, наличието и / или качеството на документите, в резултат на изпълнените дейности по проект за техническа помощ и проектиране;</w:t>
      </w:r>
    </w:p>
    <w:p w14:paraId="6121E6BC" w14:textId="77777777" w:rsidR="000A36AF" w:rsidRPr="000A36AF" w:rsidRDefault="000A36AF" w:rsidP="006A6D08">
      <w:pPr>
        <w:numPr>
          <w:ilvl w:val="0"/>
          <w:numId w:val="103"/>
        </w:numPr>
        <w:tabs>
          <w:tab w:val="num" w:pos="1134"/>
        </w:tabs>
        <w:ind w:left="0" w:firstLine="851"/>
        <w:rPr>
          <w:color w:val="000000"/>
          <w:szCs w:val="24"/>
        </w:rPr>
      </w:pPr>
      <w:r w:rsidRPr="000A36AF">
        <w:rPr>
          <w:color w:val="000000"/>
          <w:szCs w:val="24"/>
        </w:rPr>
        <w:t xml:space="preserve">Друго, каквото се счита за необходимо, за добиване на пълна увереност, че проектът се изпълнява съгласно националните правила и че разходите могат да бъдат верифицирани от УО; </w:t>
      </w:r>
    </w:p>
    <w:p w14:paraId="6C9DA72A" w14:textId="77777777" w:rsidR="000A36AF" w:rsidRPr="000A36AF" w:rsidRDefault="000A36AF" w:rsidP="006A6D08">
      <w:pPr>
        <w:numPr>
          <w:ilvl w:val="0"/>
          <w:numId w:val="103"/>
        </w:numPr>
        <w:tabs>
          <w:tab w:val="num" w:pos="1134"/>
        </w:tabs>
        <w:ind w:left="0" w:firstLine="851"/>
        <w:rPr>
          <w:color w:val="000000"/>
          <w:szCs w:val="24"/>
        </w:rPr>
      </w:pPr>
      <w:r w:rsidRPr="000A36AF">
        <w:rPr>
          <w:color w:val="000000"/>
          <w:szCs w:val="24"/>
        </w:rPr>
        <w:t>Проверка на изпълнените дейности и постигнатите резултати по проекта;</w:t>
      </w:r>
    </w:p>
    <w:p w14:paraId="7722F389" w14:textId="77777777" w:rsidR="000A36AF" w:rsidRPr="000A36AF" w:rsidRDefault="000A36AF" w:rsidP="006A6D08">
      <w:pPr>
        <w:numPr>
          <w:ilvl w:val="0"/>
          <w:numId w:val="103"/>
        </w:numPr>
        <w:tabs>
          <w:tab w:val="num" w:pos="1134"/>
        </w:tabs>
        <w:ind w:left="0" w:firstLine="851"/>
        <w:rPr>
          <w:szCs w:val="24"/>
        </w:rPr>
      </w:pPr>
      <w:r w:rsidRPr="000A36AF">
        <w:rPr>
          <w:color w:val="000000"/>
          <w:szCs w:val="24"/>
        </w:rPr>
        <w:t xml:space="preserve">Проверка на </w:t>
      </w:r>
      <w:r w:rsidRPr="000A36AF">
        <w:rPr>
          <w:szCs w:val="24"/>
        </w:rPr>
        <w:t>собствеността на активите, придобити по проекта (при проверките за дълготрайност на операциите);</w:t>
      </w:r>
    </w:p>
    <w:p w14:paraId="12E5C396" w14:textId="77777777" w:rsidR="000A36AF" w:rsidRPr="000A36AF" w:rsidRDefault="000A36AF" w:rsidP="006A6D08">
      <w:pPr>
        <w:numPr>
          <w:ilvl w:val="0"/>
          <w:numId w:val="103"/>
        </w:numPr>
        <w:tabs>
          <w:tab w:val="num" w:pos="1134"/>
        </w:tabs>
        <w:ind w:left="0" w:firstLine="851"/>
        <w:rPr>
          <w:szCs w:val="24"/>
        </w:rPr>
      </w:pPr>
      <w:r w:rsidRPr="000A36AF">
        <w:rPr>
          <w:szCs w:val="24"/>
        </w:rPr>
        <w:t xml:space="preserve">Документална проверка и получаване на данни от информационни системи, свързани с индикаторите по проекта за резултат (при проверките за дълготрайност на операциите); </w:t>
      </w:r>
    </w:p>
    <w:p w14:paraId="138D0BDD" w14:textId="77777777" w:rsidR="000A36AF" w:rsidRPr="000A36AF" w:rsidRDefault="000A36AF" w:rsidP="000A36AF">
      <w:pPr>
        <w:ind w:left="851" w:firstLine="0"/>
      </w:pPr>
    </w:p>
    <w:p w14:paraId="250CE3DF" w14:textId="77777777" w:rsidR="000A36AF" w:rsidRPr="000A36AF" w:rsidRDefault="000A36AF" w:rsidP="000A36AF">
      <w:r w:rsidRPr="000A36AF">
        <w:t>Непланираната проверка на място обикновено е инициирана поради различни причини, на базата на които се определя обхватът на проверката. При такива проверки е необходимо, да се провери конкретния казус, който е довел до извършването на непланирана проверка:</w:t>
      </w:r>
    </w:p>
    <w:p w14:paraId="7A8E9988" w14:textId="77777777" w:rsidR="000A36AF" w:rsidRPr="000A36AF" w:rsidRDefault="000A36AF" w:rsidP="006A6D08">
      <w:pPr>
        <w:numPr>
          <w:ilvl w:val="0"/>
          <w:numId w:val="103"/>
        </w:numPr>
        <w:tabs>
          <w:tab w:val="num" w:pos="1134"/>
        </w:tabs>
        <w:ind w:left="0" w:firstLine="851"/>
        <w:rPr>
          <w:szCs w:val="24"/>
        </w:rPr>
      </w:pPr>
      <w:r w:rsidRPr="000A36AF">
        <w:rPr>
          <w:szCs w:val="24"/>
        </w:rPr>
        <w:t>Причини за повишаване на рисковете по проекта или идентифицирани на нови;</w:t>
      </w:r>
    </w:p>
    <w:p w14:paraId="4BA4E719" w14:textId="77777777" w:rsidR="000A36AF" w:rsidRPr="000A36AF" w:rsidRDefault="000A36AF" w:rsidP="006A6D08">
      <w:pPr>
        <w:numPr>
          <w:ilvl w:val="0"/>
          <w:numId w:val="103"/>
        </w:numPr>
        <w:tabs>
          <w:tab w:val="num" w:pos="1134"/>
        </w:tabs>
        <w:ind w:left="0" w:firstLine="851"/>
        <w:rPr>
          <w:szCs w:val="24"/>
        </w:rPr>
      </w:pPr>
      <w:r w:rsidRPr="000A36AF">
        <w:rPr>
          <w:szCs w:val="24"/>
        </w:rPr>
        <w:t>Реалният физически напредък по проекта в конкретен участък, за който е имало съмнения относно изпълнението на СМР и качеството им;</w:t>
      </w:r>
    </w:p>
    <w:p w14:paraId="10428B1E" w14:textId="77777777" w:rsidR="000A36AF" w:rsidRPr="000A36AF" w:rsidRDefault="000A36AF" w:rsidP="006A6D08">
      <w:pPr>
        <w:numPr>
          <w:ilvl w:val="0"/>
          <w:numId w:val="103"/>
        </w:numPr>
        <w:tabs>
          <w:tab w:val="num" w:pos="1134"/>
        </w:tabs>
        <w:ind w:left="0" w:firstLine="851"/>
        <w:rPr>
          <w:szCs w:val="24"/>
        </w:rPr>
      </w:pPr>
      <w:r w:rsidRPr="000A36AF">
        <w:rPr>
          <w:szCs w:val="24"/>
        </w:rPr>
        <w:t>Проследяване на изпълнението на  направените предписания и препоръки от доклада за проверка на място поради липса на доказателства, че са изпълнени;</w:t>
      </w:r>
    </w:p>
    <w:p w14:paraId="63DFB9FD" w14:textId="77777777" w:rsidR="000A36AF" w:rsidRPr="000A36AF" w:rsidRDefault="000A36AF" w:rsidP="006A6D08">
      <w:pPr>
        <w:numPr>
          <w:ilvl w:val="0"/>
          <w:numId w:val="103"/>
        </w:numPr>
        <w:tabs>
          <w:tab w:val="num" w:pos="1134"/>
        </w:tabs>
        <w:ind w:left="0" w:firstLine="851"/>
        <w:rPr>
          <w:szCs w:val="24"/>
        </w:rPr>
      </w:pPr>
      <w:r w:rsidRPr="000A36AF">
        <w:rPr>
          <w:szCs w:val="24"/>
        </w:rPr>
        <w:t>Проверка на отчитането на  индикаторите за изпълнение;</w:t>
      </w:r>
    </w:p>
    <w:p w14:paraId="18EF12AD" w14:textId="77777777" w:rsidR="000A36AF" w:rsidRPr="000A36AF" w:rsidRDefault="000A36AF" w:rsidP="006A6D08">
      <w:pPr>
        <w:numPr>
          <w:ilvl w:val="0"/>
          <w:numId w:val="103"/>
        </w:numPr>
        <w:tabs>
          <w:tab w:val="num" w:pos="1134"/>
        </w:tabs>
        <w:ind w:left="0" w:firstLine="851"/>
        <w:rPr>
          <w:szCs w:val="24"/>
        </w:rPr>
      </w:pPr>
      <w:r w:rsidRPr="000A36AF">
        <w:rPr>
          <w:szCs w:val="24"/>
        </w:rPr>
        <w:lastRenderedPageBreak/>
        <w:t>Проверка във връзка със съмнение за нередност в резултат на сигнал от органите по ЗУСЕСИФ, сигнали от национални и европейски контролни и/или одитни органи  и/или по сигнали на физически и юридически лица;</w:t>
      </w:r>
    </w:p>
    <w:p w14:paraId="26AC42AD" w14:textId="77777777" w:rsidR="000A36AF" w:rsidRPr="000A36AF" w:rsidRDefault="000A36AF" w:rsidP="006A6D08">
      <w:pPr>
        <w:numPr>
          <w:ilvl w:val="0"/>
          <w:numId w:val="103"/>
        </w:numPr>
        <w:tabs>
          <w:tab w:val="num" w:pos="1134"/>
        </w:tabs>
        <w:ind w:left="0" w:firstLine="851"/>
        <w:rPr>
          <w:szCs w:val="24"/>
        </w:rPr>
      </w:pPr>
      <w:r w:rsidRPr="000A36AF">
        <w:rPr>
          <w:szCs w:val="24"/>
        </w:rPr>
        <w:t>Проверка във връзка със съмнение за двойно финансиране на едни и същи разходи в различни проекти;</w:t>
      </w:r>
    </w:p>
    <w:p w14:paraId="3986B9CB" w14:textId="77777777" w:rsidR="000A36AF" w:rsidRPr="000A36AF" w:rsidRDefault="000A36AF" w:rsidP="000A36AF">
      <w:pPr>
        <w:rPr>
          <w:szCs w:val="24"/>
        </w:rPr>
      </w:pPr>
    </w:p>
    <w:p w14:paraId="00927D83" w14:textId="77777777" w:rsidR="000A36AF" w:rsidRPr="000A36AF" w:rsidRDefault="000A36AF" w:rsidP="000A36AF">
      <w:pPr>
        <w:rPr>
          <w:szCs w:val="24"/>
        </w:rPr>
      </w:pPr>
      <w:r w:rsidRPr="000A36AF">
        <w:rPr>
          <w:szCs w:val="24"/>
        </w:rPr>
        <w:t>С оглед на това, че подаването на окончателен доклад и окончателно искане за плащане от Бенефициента не винаги може да бъде планирано в  конкретен месец, проверката на място във връзка с приключването на проекта  е непланирана и обхваща:</w:t>
      </w:r>
    </w:p>
    <w:p w14:paraId="0EE5B920" w14:textId="77777777" w:rsidR="000A36AF" w:rsidRPr="000A36AF" w:rsidRDefault="000A36AF" w:rsidP="006A6D08">
      <w:pPr>
        <w:numPr>
          <w:ilvl w:val="0"/>
          <w:numId w:val="103"/>
        </w:numPr>
        <w:tabs>
          <w:tab w:val="num" w:pos="1134"/>
        </w:tabs>
        <w:ind w:left="0" w:firstLine="851"/>
        <w:rPr>
          <w:szCs w:val="24"/>
        </w:rPr>
      </w:pPr>
      <w:r w:rsidRPr="000A36AF">
        <w:rPr>
          <w:szCs w:val="24"/>
        </w:rPr>
        <w:t>Потвърждаване на верността на информацията, представена при подаването на окончателен доклад;</w:t>
      </w:r>
    </w:p>
    <w:p w14:paraId="1DFBAC63" w14:textId="77777777" w:rsidR="000A36AF" w:rsidRPr="000A36AF" w:rsidRDefault="000A36AF" w:rsidP="006A6D08">
      <w:pPr>
        <w:numPr>
          <w:ilvl w:val="0"/>
          <w:numId w:val="103"/>
        </w:numPr>
        <w:tabs>
          <w:tab w:val="num" w:pos="1134"/>
        </w:tabs>
        <w:ind w:left="0" w:firstLine="851"/>
        <w:rPr>
          <w:szCs w:val="24"/>
        </w:rPr>
      </w:pPr>
      <w:r w:rsidRPr="000A36AF">
        <w:rPr>
          <w:szCs w:val="24"/>
        </w:rPr>
        <w:t>Проверка на обекта на изпълнените строителни работи, в това число и на тяхното качество чрез физически оглед и преглед на документи (например протоколи по Наредба №3 от 31 юли 2003 г. за съставяне на актове и протоколи по време на строителството);</w:t>
      </w:r>
    </w:p>
    <w:p w14:paraId="5B1113F0" w14:textId="77777777" w:rsidR="000A36AF" w:rsidRPr="000A36AF" w:rsidRDefault="000A36AF" w:rsidP="006A6D08">
      <w:pPr>
        <w:numPr>
          <w:ilvl w:val="0"/>
          <w:numId w:val="103"/>
        </w:numPr>
        <w:tabs>
          <w:tab w:val="num" w:pos="1134"/>
        </w:tabs>
        <w:ind w:left="0" w:firstLine="851"/>
        <w:rPr>
          <w:szCs w:val="24"/>
        </w:rPr>
      </w:pPr>
      <w:r w:rsidRPr="000A36AF">
        <w:rPr>
          <w:szCs w:val="24"/>
        </w:rPr>
        <w:t>При наличие на закупено оборудване – доставено ли е, използва ли се по предназначение;</w:t>
      </w:r>
    </w:p>
    <w:p w14:paraId="3936C8B3" w14:textId="77777777" w:rsidR="000A36AF" w:rsidRPr="000A36AF" w:rsidRDefault="000A36AF" w:rsidP="006A6D08">
      <w:pPr>
        <w:numPr>
          <w:ilvl w:val="0"/>
          <w:numId w:val="103"/>
        </w:numPr>
        <w:tabs>
          <w:tab w:val="num" w:pos="1134"/>
        </w:tabs>
        <w:ind w:left="0" w:firstLine="851"/>
        <w:rPr>
          <w:szCs w:val="24"/>
        </w:rPr>
      </w:pPr>
      <w:r w:rsidRPr="000A36AF">
        <w:rPr>
          <w:szCs w:val="24"/>
        </w:rPr>
        <w:t>За проекти / договори свързани с услуги  - доказателства за получените услуги напр. наличието на разработени проекти, доклади по ОВОС, АРП, други документи предмет на договора и отчитането на резултат от разработките,  напр. издадени разрешителни;</w:t>
      </w:r>
    </w:p>
    <w:p w14:paraId="05BE4968" w14:textId="77777777" w:rsidR="000A36AF" w:rsidRPr="000A36AF" w:rsidRDefault="000A36AF" w:rsidP="006A6D08">
      <w:pPr>
        <w:numPr>
          <w:ilvl w:val="0"/>
          <w:numId w:val="103"/>
        </w:numPr>
        <w:tabs>
          <w:tab w:val="num" w:pos="1134"/>
        </w:tabs>
        <w:ind w:left="0" w:firstLine="851"/>
        <w:rPr>
          <w:szCs w:val="24"/>
        </w:rPr>
      </w:pPr>
      <w:r w:rsidRPr="000A36AF">
        <w:rPr>
          <w:szCs w:val="24"/>
        </w:rPr>
        <w:t xml:space="preserve">Потвърждаване на законосъобразното приключване на проекта по ЗУТ (ако е инфраструктурен); </w:t>
      </w:r>
    </w:p>
    <w:p w14:paraId="7012CE1B" w14:textId="77777777" w:rsidR="000A36AF" w:rsidRPr="000A36AF" w:rsidRDefault="000A36AF" w:rsidP="006A6D08">
      <w:pPr>
        <w:numPr>
          <w:ilvl w:val="0"/>
          <w:numId w:val="103"/>
        </w:numPr>
        <w:tabs>
          <w:tab w:val="num" w:pos="1134"/>
        </w:tabs>
        <w:ind w:left="0" w:firstLine="851"/>
        <w:rPr>
          <w:szCs w:val="24"/>
        </w:rPr>
      </w:pPr>
      <w:r w:rsidRPr="000A36AF">
        <w:rPr>
          <w:szCs w:val="24"/>
        </w:rPr>
        <w:t xml:space="preserve">Потвърждаване на приключването на проекта административно – договорите са приключили законосъобразно и са издадени необходимите документи в тази връзка; </w:t>
      </w:r>
    </w:p>
    <w:p w14:paraId="1C79CBE9" w14:textId="77777777" w:rsidR="000A36AF" w:rsidRPr="000A36AF" w:rsidRDefault="000A36AF" w:rsidP="006A6D08">
      <w:pPr>
        <w:numPr>
          <w:ilvl w:val="0"/>
          <w:numId w:val="103"/>
        </w:numPr>
        <w:tabs>
          <w:tab w:val="num" w:pos="1134"/>
        </w:tabs>
        <w:ind w:left="0" w:firstLine="851"/>
        <w:rPr>
          <w:szCs w:val="24"/>
        </w:rPr>
      </w:pPr>
      <w:r w:rsidRPr="000A36AF">
        <w:rPr>
          <w:szCs w:val="24"/>
        </w:rPr>
        <w:t>Верифициране на индикаторите за изпълнение за целия проект чрез физическа и документална проверка;</w:t>
      </w:r>
    </w:p>
    <w:p w14:paraId="079064EB" w14:textId="77777777" w:rsidR="000A36AF" w:rsidRPr="000A36AF" w:rsidRDefault="000A36AF" w:rsidP="006A6D08">
      <w:pPr>
        <w:numPr>
          <w:ilvl w:val="0"/>
          <w:numId w:val="103"/>
        </w:numPr>
        <w:tabs>
          <w:tab w:val="num" w:pos="1134"/>
        </w:tabs>
        <w:ind w:left="0" w:firstLine="851"/>
        <w:rPr>
          <w:szCs w:val="24"/>
        </w:rPr>
      </w:pPr>
      <w:r w:rsidRPr="000A36AF">
        <w:rPr>
          <w:szCs w:val="24"/>
        </w:rPr>
        <w:t>Проверка дали са изпълнени заложените мерки за публичност и информация по проекта;</w:t>
      </w:r>
    </w:p>
    <w:p w14:paraId="497C327C" w14:textId="77777777" w:rsidR="000A36AF" w:rsidRPr="000A36AF" w:rsidRDefault="000A36AF" w:rsidP="006A6D08">
      <w:pPr>
        <w:numPr>
          <w:ilvl w:val="0"/>
          <w:numId w:val="103"/>
        </w:numPr>
        <w:tabs>
          <w:tab w:val="num" w:pos="1134"/>
        </w:tabs>
        <w:ind w:left="0" w:firstLine="851"/>
        <w:rPr>
          <w:szCs w:val="24"/>
        </w:rPr>
      </w:pPr>
      <w:r w:rsidRPr="000A36AF">
        <w:rPr>
          <w:szCs w:val="24"/>
        </w:rPr>
        <w:t>Установена система за съхраняване и архивиране на документацията по проекта, както и нейната достъпност от контролиращите и одитиращи органи (наличие на адекватна одитна пътека);</w:t>
      </w:r>
    </w:p>
    <w:p w14:paraId="3CA991D8" w14:textId="77777777" w:rsidR="000A36AF" w:rsidRPr="000A36AF" w:rsidRDefault="000A36AF" w:rsidP="000A36AF">
      <w:pPr>
        <w:rPr>
          <w:color w:val="000000"/>
          <w:szCs w:val="24"/>
        </w:rPr>
      </w:pPr>
    </w:p>
    <w:p w14:paraId="504CDA4B" w14:textId="77777777" w:rsidR="000A36AF" w:rsidRPr="000A36AF" w:rsidRDefault="000A36AF" w:rsidP="000A36AF">
      <w:r w:rsidRPr="000A36AF">
        <w:t>Възможно е планираните и непланираните проверки да включват и други аспекти, без същите да са изрично записани по-горе.</w:t>
      </w:r>
    </w:p>
    <w:p w14:paraId="2F5F4C62" w14:textId="77777777" w:rsidR="000A36AF" w:rsidRPr="000A36AF" w:rsidRDefault="000A36AF" w:rsidP="000A36AF">
      <w:r w:rsidRPr="000A36AF">
        <w:t>Екипът от УО следва да удостовери извършената проверка на място по проекта чрез снимков материал, където това е приложимо.</w:t>
      </w:r>
    </w:p>
    <w:p w14:paraId="76021CF9" w14:textId="77777777" w:rsidR="000A36AF" w:rsidRPr="000A36AF" w:rsidRDefault="000A36AF" w:rsidP="000A36AF"/>
    <w:p w14:paraId="4A1E6056" w14:textId="77777777" w:rsidR="000A36AF" w:rsidRPr="000A36AF" w:rsidRDefault="000A36AF" w:rsidP="000A36AF">
      <w:r w:rsidRPr="000A36AF">
        <w:t xml:space="preserve">За проведените срещи от проверката на място по проекта се изготвя присъствен лист с подписи на всички участници, който се координира от представителите на УО. </w:t>
      </w:r>
    </w:p>
    <w:p w14:paraId="0A62A208" w14:textId="77777777" w:rsidR="000A36AF" w:rsidRPr="000A36AF" w:rsidRDefault="000A36AF" w:rsidP="000A36AF"/>
    <w:p w14:paraId="04EEB7C5" w14:textId="77777777" w:rsidR="000A36AF" w:rsidRPr="000A36AF" w:rsidRDefault="000A36AF" w:rsidP="000A36AF">
      <w:r w:rsidRPr="000A36AF">
        <w:t>Когато в проверката на място участва и Консултант, нает чрез договор с УО, той изготвя и представя на УО експертно становище от проведената проверка на място, оформено като доклад от проверка на място, в срок от десет дни след нейното приключване. Коментарите, забележките, искането на по-подробна информация от страна на УО по доклада се отразяват от консултанта в рамките на 5 (пет) работни дни или в изрично указан от УО срок. По преценка на УО, докладът на консултанта може да се изпрати на бенефициента за становище.</w:t>
      </w:r>
    </w:p>
    <w:p w14:paraId="550CB025" w14:textId="77777777" w:rsidR="000A36AF" w:rsidRPr="000A36AF" w:rsidRDefault="000A36AF" w:rsidP="000A36AF"/>
    <w:p w14:paraId="62CE6264" w14:textId="77777777" w:rsidR="000A36AF" w:rsidRPr="00842ECC" w:rsidRDefault="000A36AF" w:rsidP="000A36AF">
      <w:pPr>
        <w:numPr>
          <w:ilvl w:val="2"/>
          <w:numId w:val="273"/>
        </w:numPr>
        <w:tabs>
          <w:tab w:val="num" w:pos="360"/>
        </w:tabs>
        <w:spacing w:before="120" w:after="120"/>
        <w:ind w:left="0" w:firstLine="851"/>
        <w:contextualSpacing/>
        <w:outlineLvl w:val="3"/>
        <w:rPr>
          <w:b/>
          <w:szCs w:val="24"/>
          <w:lang w:eastAsia="bg-BG"/>
        </w:rPr>
      </w:pPr>
      <w:r w:rsidRPr="00842ECC">
        <w:rPr>
          <w:b/>
          <w:szCs w:val="24"/>
          <w:lang w:eastAsia="bg-BG"/>
        </w:rPr>
        <w:t xml:space="preserve">Верификация на индикаторите при проверка на място </w:t>
      </w:r>
    </w:p>
    <w:p w14:paraId="22A18633" w14:textId="77777777" w:rsidR="000A36AF" w:rsidRPr="000A36AF" w:rsidRDefault="000A36AF" w:rsidP="000A36AF">
      <w:r w:rsidRPr="000A36AF">
        <w:t xml:space="preserve">Проверка на предоставените от бенефициента данни, свързани с изпълнението на индикаторите по проекта се извършва по време на проверките на място. Индикаторите „за изпълнение“ и „за резултат“ се отчитат при планираните проверки, доколкото е приложимо. </w:t>
      </w:r>
    </w:p>
    <w:p w14:paraId="29A60D46" w14:textId="77777777" w:rsidR="000A36AF" w:rsidRPr="000A36AF" w:rsidRDefault="000A36AF" w:rsidP="000A36AF">
      <w:r w:rsidRPr="000A36AF">
        <w:lastRenderedPageBreak/>
        <w:t>Индикаторите „за изпълнение“ се проверяват при планираните проверки на място като се записват отчетените стойности при предишна проверка и предоставените и декларираните от бенефициента стойности към датата на проверката като се отчита съответното изменение. Верификацията от УО на индикаторите за изпълнение се извършва на база физическа и / или документална проверка. За всеки индикатор поотделно УО дава коментар, с който потвърждава или отхвърля  верността на  отчитане на индикатора и се прилагат подкрепящи документи в случай на необходимост.</w:t>
      </w:r>
    </w:p>
    <w:p w14:paraId="6257F97D" w14:textId="0E621E67" w:rsidR="005D7233" w:rsidRDefault="005D7233" w:rsidP="005D7233">
      <w:r>
        <w:t xml:space="preserve">Когато по проверявания проект са заложени индикатори „за резултат“, които са специфични за програмата, то те се проверяват </w:t>
      </w:r>
      <w:r w:rsidRPr="00D61CEB">
        <w:t xml:space="preserve">на годишна база от отдел </w:t>
      </w:r>
      <w:r>
        <w:t>„Наблюдение и оценка“</w:t>
      </w:r>
      <w:r w:rsidRPr="00D61CEB">
        <w:t xml:space="preserve"> (съгласно процедурата, разписана в т. 32.1 Доклад за изпълнението на ОПТТИ) и </w:t>
      </w:r>
      <w:r>
        <w:t>при планирана проверка за дълготрайност на операциите</w:t>
      </w:r>
      <w:r w:rsidRPr="00D61CEB">
        <w:t>(когато е приложимо)</w:t>
      </w:r>
      <w:r>
        <w:t xml:space="preserve">.  Като база се приема годишният доклад за дълготрайност на операциите, който се изготвя от Бенефициента съгласно т. 28.1.4.“Годишен доклад за дълготрайност на операция“, а на проверката на място бенефициентът предоставя и декларира стойностите на индикаторите за резултат по програмата. </w:t>
      </w:r>
      <w:r w:rsidRPr="00D61CEB">
        <w:t>Потвърждението</w:t>
      </w:r>
      <w:r>
        <w:t xml:space="preserve"> на индикаторите за резултат от УО се извършва на база документална проверка и/ или на база предоставени данни от информационна система, по време на проверката.  УО дава коментар, с който потвърждава или отхвърля  верността на  отчитане на индикатора </w:t>
      </w:r>
      <w:r w:rsidRPr="00CD2CB9">
        <w:t xml:space="preserve">като при възможност </w:t>
      </w:r>
      <w:r>
        <w:t>се прилагат подкрепящи документи.</w:t>
      </w:r>
    </w:p>
    <w:p w14:paraId="640B200D" w14:textId="77777777" w:rsidR="000A36AF" w:rsidRPr="000A36AF" w:rsidRDefault="000A36AF" w:rsidP="000A36AF">
      <w:r w:rsidRPr="000A36AF">
        <w:t>При непланираните проверки се проверяват индикатори, само в случай че в обхвата на проверката е включено изрично отчитане и проверка на индикатори.</w:t>
      </w:r>
    </w:p>
    <w:p w14:paraId="19D9854A" w14:textId="77777777" w:rsidR="000A36AF" w:rsidRPr="000A36AF" w:rsidRDefault="000A36AF" w:rsidP="000A36AF"/>
    <w:p w14:paraId="48DB374E" w14:textId="77777777" w:rsidR="000A36AF" w:rsidRPr="00842ECC" w:rsidRDefault="000A36AF" w:rsidP="000A36AF">
      <w:pPr>
        <w:numPr>
          <w:ilvl w:val="2"/>
          <w:numId w:val="273"/>
        </w:numPr>
        <w:tabs>
          <w:tab w:val="num" w:pos="360"/>
        </w:tabs>
        <w:spacing w:before="120" w:after="120"/>
        <w:ind w:left="0" w:firstLine="851"/>
        <w:contextualSpacing/>
        <w:outlineLvl w:val="3"/>
        <w:rPr>
          <w:b/>
          <w:szCs w:val="24"/>
        </w:rPr>
      </w:pPr>
      <w:bookmarkStart w:id="1225" w:name="_Toc479775775"/>
      <w:r w:rsidRPr="00842ECC">
        <w:rPr>
          <w:b/>
          <w:szCs w:val="24"/>
          <w:lang w:eastAsia="bg-BG"/>
        </w:rPr>
        <w:t>Изготвяне на доклад от проведената проверка на</w:t>
      </w:r>
      <w:r w:rsidRPr="00842ECC">
        <w:rPr>
          <w:b/>
          <w:szCs w:val="24"/>
        </w:rPr>
        <w:t xml:space="preserve"> място</w:t>
      </w:r>
      <w:bookmarkEnd w:id="1225"/>
      <w:r w:rsidRPr="00842ECC">
        <w:rPr>
          <w:b/>
          <w:szCs w:val="24"/>
        </w:rPr>
        <w:t>, когато проектът е в процес на изпълнение</w:t>
      </w:r>
    </w:p>
    <w:p w14:paraId="1CE599DC" w14:textId="1113238F" w:rsidR="000A36AF" w:rsidRPr="000A36AF" w:rsidRDefault="000A36AF" w:rsidP="000A36AF">
      <w:r w:rsidRPr="000A36AF">
        <w:t>На базата на събраната информация от проведената проверка на място в препоръчителен срок от 20 (двадесет) работни дни УО подготвя доклад от проведената проверка на място, в съответствие с приложения формат (</w:t>
      </w:r>
      <w:hyperlink r:id="rId282" w:tooltip="Доклад от проверка на място извършена от УО на ОПТТИ" w:history="1">
        <w:r w:rsidRPr="000A36AF">
          <w:rPr>
            <w:i/>
            <w:color w:val="0000FF"/>
            <w:szCs w:val="24"/>
            <w:u w:val="single"/>
          </w:rPr>
          <w:t>Приложение № 7.06</w:t>
        </w:r>
      </w:hyperlink>
      <w:r w:rsidRPr="000A36AF">
        <w:t>).  Когато в проверката на място участва и Консултант, УО изготвя доклада на база и на неговото експертно становище , което следва да бъде изготвено в срок от 10 (десет) дни. В тези случаи срокът от 20 (двадесет) работни дни за подготовката на доклада от УО започва да тече от първия работен ден след датата на одобрението на експертното становище/доклад на консултанта. Докладът от проверка на място съдържа както следва:</w:t>
      </w:r>
    </w:p>
    <w:p w14:paraId="2F4C3D54" w14:textId="77777777" w:rsidR="000A36AF" w:rsidRPr="000A36AF" w:rsidRDefault="000A36AF" w:rsidP="006A6D08">
      <w:pPr>
        <w:numPr>
          <w:ilvl w:val="0"/>
          <w:numId w:val="463"/>
        </w:numPr>
        <w:tabs>
          <w:tab w:val="left" w:pos="1134"/>
        </w:tabs>
        <w:ind w:left="0" w:firstLine="851"/>
        <w:contextualSpacing/>
      </w:pPr>
      <w:r w:rsidRPr="000A36AF">
        <w:t>Целите на проверката на място, описание на областите, обхванати от проверката;</w:t>
      </w:r>
    </w:p>
    <w:p w14:paraId="1AD98008" w14:textId="77777777" w:rsidR="000A36AF" w:rsidRPr="000A36AF" w:rsidRDefault="000A36AF" w:rsidP="006A6D08">
      <w:pPr>
        <w:numPr>
          <w:ilvl w:val="0"/>
          <w:numId w:val="463"/>
        </w:numPr>
        <w:tabs>
          <w:tab w:val="left" w:pos="1134"/>
        </w:tabs>
        <w:ind w:left="0" w:firstLine="851"/>
        <w:contextualSpacing/>
      </w:pPr>
      <w:r w:rsidRPr="000A36AF">
        <w:t>Резюме от извършената проверка на място;</w:t>
      </w:r>
    </w:p>
    <w:p w14:paraId="25117572" w14:textId="77777777" w:rsidR="000A36AF" w:rsidRPr="000A36AF" w:rsidRDefault="000A36AF" w:rsidP="006A6D08">
      <w:pPr>
        <w:numPr>
          <w:ilvl w:val="0"/>
          <w:numId w:val="463"/>
        </w:numPr>
        <w:tabs>
          <w:tab w:val="left" w:pos="1134"/>
        </w:tabs>
        <w:ind w:left="0" w:firstLine="851"/>
        <w:contextualSpacing/>
      </w:pPr>
      <w:r w:rsidRPr="000A36AF">
        <w:t>Проверка на индикаторите за изпълнение;</w:t>
      </w:r>
    </w:p>
    <w:p w14:paraId="29D35548" w14:textId="77777777" w:rsidR="000A36AF" w:rsidRPr="000A36AF" w:rsidRDefault="000A36AF" w:rsidP="006A6D08">
      <w:pPr>
        <w:numPr>
          <w:ilvl w:val="0"/>
          <w:numId w:val="463"/>
        </w:numPr>
        <w:tabs>
          <w:tab w:val="left" w:pos="1134"/>
        </w:tabs>
        <w:ind w:left="0" w:firstLine="851"/>
        <w:contextualSpacing/>
      </w:pPr>
      <w:r w:rsidRPr="000A36AF">
        <w:t>Направените констатации и препоръки в резултат от проверката, както и проследяване изпълнението на предходни препоръки. За изпълнението на препоръките, дадени от УО към бенефициента в доклада от проверка на място, УО определя конкретен срок, спазването на  който се проследява при следваща проверка.</w:t>
      </w:r>
    </w:p>
    <w:p w14:paraId="2B7B6DD8" w14:textId="77777777" w:rsidR="000A36AF" w:rsidRPr="000A36AF" w:rsidRDefault="000A36AF" w:rsidP="000A36AF">
      <w:r w:rsidRPr="000A36AF">
        <w:t xml:space="preserve">Ако в проверката на място участват представители на останалите отдели на УО на ОПТТИ, те следва да изпратят информация от тяхната компетентност в срок до 10 работни дни от проверката на място за обобщаване в отдел „Изпълнение и координация”. След приключване на </w:t>
      </w:r>
      <w:r w:rsidRPr="000A36AF">
        <w:rPr>
          <w:bCs/>
        </w:rPr>
        <w:t xml:space="preserve">доклада, се попълва електронен контролен лист за подготовка и изпълнение на проверка на място, </w:t>
      </w:r>
      <w:r w:rsidRPr="000A36AF">
        <w:t xml:space="preserve">в съответствие с приложения </w:t>
      </w:r>
      <w:r w:rsidRPr="000A36AF">
        <w:rPr>
          <w:bCs/>
        </w:rPr>
        <w:t xml:space="preserve">в ИСУН2020 </w:t>
      </w:r>
      <w:r w:rsidRPr="000A36AF">
        <w:t xml:space="preserve">формат </w:t>
      </w:r>
      <w:r w:rsidRPr="000A36AF">
        <w:rPr>
          <w:b/>
          <w:i/>
        </w:rPr>
        <w:t>(</w:t>
      </w:r>
      <w:hyperlink r:id="rId283" w:tooltip="Контролен лист - Подготовка и изпълнение на проверка на място" w:history="1">
        <w:r w:rsidRPr="000A36AF">
          <w:rPr>
            <w:i/>
            <w:color w:val="0000FF"/>
            <w:szCs w:val="24"/>
            <w:u w:val="single"/>
          </w:rPr>
          <w:t>Приложение № 7.06.1</w:t>
        </w:r>
      </w:hyperlink>
      <w:r w:rsidRPr="000A36AF">
        <w:rPr>
          <w:b/>
          <w:i/>
        </w:rPr>
        <w:t>).</w:t>
      </w:r>
    </w:p>
    <w:p w14:paraId="45436BE0" w14:textId="77777777" w:rsidR="000A36AF" w:rsidRPr="000A36AF" w:rsidRDefault="000A36AF" w:rsidP="000A36AF">
      <w:r w:rsidRPr="000A36AF">
        <w:t xml:space="preserve">В препоръчителен срок от 3 работни дни от датата на одобрение на  доклада, изготвилият доклада експерт подготвя и изпраща до бенефициента доклада от проверка на място чрез ИСУН 2020,  модул „Договори“ и подмодул „Кореспонденция“. </w:t>
      </w:r>
    </w:p>
    <w:p w14:paraId="468E3DED" w14:textId="308DF982" w:rsidR="000A36AF" w:rsidRPr="000A36AF" w:rsidRDefault="000A36AF" w:rsidP="000A36AF">
      <w:r w:rsidRPr="000A36AF">
        <w:t xml:space="preserve">При наличие на препоръки от проверка на място, в препоръчителен срок от 3 работни дни от датата на одобрение на  доклада, изготвилият доклада експерт подготвя и изпраща до бенефициента доклада от проверка на място с официално писмо, което включва описание на констатациите и препоръките от доклада. </w:t>
      </w:r>
    </w:p>
    <w:p w14:paraId="59EA86DC" w14:textId="77777777" w:rsidR="000A36AF" w:rsidRPr="000A36AF" w:rsidRDefault="000A36AF" w:rsidP="000A36AF"/>
    <w:p w14:paraId="154496FE" w14:textId="51A9BB87" w:rsidR="000A36AF" w:rsidRPr="000A36AF" w:rsidRDefault="000A36AF" w:rsidP="000A36AF">
      <w:r w:rsidRPr="000A36AF">
        <w:lastRenderedPageBreak/>
        <w:t>При установяване наличието на индикатори за нередности и измами при проверката на място констатациите на проверяващите екипи от отдел „Изпълнение и координация“ и/или отдел „Финансово управление“ в тази връзка, се докладват в отделни приложения (свободен текст) към доклада от проверката на място. В този случай, пълно копие от доклада и приложенията към него се изпраща до началника на отдел „Управление на риска“ от отговорния за извършването на 1-ва проверка експерт от отдел „Изпълнение и координация“ по електронна поща, с регистрация в системата за документооборота на МТС, в срок от 2 работни дни след одобрението на доклада от директора на дирекция „Координация на програми и проекти“, с копие до директора на дирекция „КПП“, началниците на отделите „ИК“ и „ФУ“ и експертите от УО, участвали в проверката на място.</w:t>
      </w:r>
    </w:p>
    <w:p w14:paraId="0361456D" w14:textId="77777777" w:rsidR="000A36AF" w:rsidRPr="000A36AF" w:rsidRDefault="000A36AF" w:rsidP="000A36AF">
      <w:r w:rsidRPr="000A36AF">
        <w:t>Докладите могат да потвърдят пълно съответствие на декларираното от бенефициентите, да потвърдят частично съответствие, уточнявайки степента на действителното изпълнение, или да отразяват пълно несъответствие, което води до отказ от верификация/плащане на съответните разходи, представени от бенефициента или до изготвяне на сигнал за нередност.</w:t>
      </w:r>
    </w:p>
    <w:p w14:paraId="45B10E16" w14:textId="77777777" w:rsidR="000A36AF" w:rsidRPr="000A36AF" w:rsidRDefault="000A36AF" w:rsidP="000A36AF">
      <w:r w:rsidRPr="000A36AF">
        <w:t>Изготвеният и одобрен доклад от проверка на място следва да се взема под внимание в процеса на верификация.</w:t>
      </w:r>
    </w:p>
    <w:p w14:paraId="34763144" w14:textId="77777777" w:rsidR="000A36AF" w:rsidRPr="000A36AF" w:rsidRDefault="000A36AF" w:rsidP="000A36AF"/>
    <w:p w14:paraId="354CDE49" w14:textId="77777777" w:rsidR="000A36AF" w:rsidRPr="00842ECC" w:rsidRDefault="000A36AF" w:rsidP="000A36AF">
      <w:pPr>
        <w:numPr>
          <w:ilvl w:val="2"/>
          <w:numId w:val="273"/>
        </w:numPr>
        <w:tabs>
          <w:tab w:val="num" w:pos="360"/>
        </w:tabs>
        <w:spacing w:before="120" w:after="120"/>
        <w:ind w:left="0" w:firstLine="851"/>
        <w:contextualSpacing/>
        <w:outlineLvl w:val="3"/>
        <w:rPr>
          <w:b/>
          <w:szCs w:val="24"/>
          <w:lang w:eastAsia="bg-BG"/>
        </w:rPr>
      </w:pPr>
      <w:r w:rsidRPr="00842ECC">
        <w:rPr>
          <w:b/>
          <w:szCs w:val="24"/>
          <w:lang w:eastAsia="bg-BG"/>
        </w:rPr>
        <w:t>Изготвяне на доклад от проведената проверка на място за дълготрайност на операциите</w:t>
      </w:r>
    </w:p>
    <w:p w14:paraId="60F87587" w14:textId="54A5826F" w:rsidR="000A36AF" w:rsidRPr="000A36AF" w:rsidRDefault="000A36AF" w:rsidP="000A36AF">
      <w:r w:rsidRPr="000A36AF">
        <w:t>На базата на събраната информация от проведената проверка на място и допълнително изисканата и получена информация, в препоръчителен срок от 20 (двадесет) работни дни от получаването на цялата необходима документация, УО подготвя доклад от проведената проверка на място, в съответствие с приложения формат (</w:t>
      </w:r>
      <w:hyperlink r:id="rId284" w:tooltip="Доклад от проверка на място за дълготрайност извършена от УО на ОПТТИ" w:history="1">
        <w:r w:rsidRPr="000A36AF">
          <w:rPr>
            <w:i/>
            <w:color w:val="0000FF"/>
            <w:u w:val="single"/>
            <w:lang w:eastAsia="bg-BG"/>
          </w:rPr>
          <w:t>Приложение № 7.07</w:t>
        </w:r>
      </w:hyperlink>
      <w:r w:rsidRPr="000A36AF">
        <w:t xml:space="preserve">). </w:t>
      </w:r>
    </w:p>
    <w:p w14:paraId="36C1A22C" w14:textId="77777777" w:rsidR="000A36AF" w:rsidRPr="000A36AF" w:rsidRDefault="000A36AF" w:rsidP="000A36AF">
      <w:r w:rsidRPr="000A36AF">
        <w:t>Докладът от проверка на място съдържа както следва:</w:t>
      </w:r>
    </w:p>
    <w:p w14:paraId="3D773B90" w14:textId="77777777" w:rsidR="000A36AF" w:rsidRPr="000A36AF" w:rsidRDefault="000A36AF" w:rsidP="000A36AF">
      <w:r w:rsidRPr="000A36AF">
        <w:t>-</w:t>
      </w:r>
      <w:r w:rsidRPr="000A36AF">
        <w:tab/>
        <w:t xml:space="preserve">Целите на проверката на място, описание на областите, обхванати от проверката; </w:t>
      </w:r>
    </w:p>
    <w:p w14:paraId="2234EB64" w14:textId="77777777" w:rsidR="000A36AF" w:rsidRPr="000A36AF" w:rsidRDefault="000A36AF" w:rsidP="000A36AF">
      <w:r w:rsidRPr="000A36AF">
        <w:t>-</w:t>
      </w:r>
      <w:r w:rsidRPr="000A36AF">
        <w:tab/>
        <w:t>Резюме от извършената проверка на място;</w:t>
      </w:r>
    </w:p>
    <w:p w14:paraId="63371A44" w14:textId="77777777" w:rsidR="000A36AF" w:rsidRPr="000A36AF" w:rsidRDefault="000A36AF" w:rsidP="000A36AF">
      <w:r w:rsidRPr="000A36AF">
        <w:t>-</w:t>
      </w:r>
      <w:r w:rsidRPr="000A36AF">
        <w:tab/>
        <w:t>Проверка на индикаторите за резултат;</w:t>
      </w:r>
    </w:p>
    <w:p w14:paraId="53F792B8" w14:textId="77777777" w:rsidR="000A36AF" w:rsidRPr="000A36AF" w:rsidRDefault="000A36AF" w:rsidP="000A36AF">
      <w:r w:rsidRPr="000A36AF">
        <w:t>-</w:t>
      </w:r>
      <w:r w:rsidRPr="000A36AF">
        <w:tab/>
        <w:t xml:space="preserve">Направените констатации и препоръки в резултат от проверката, както и проследяване изпълнението на предходни препоръки. За изпълнението на препоръките дадени от УО към бенефициента в доклада от проверка на място, УО определя конкретен срок, спазването на  който се проследява при следваща проверка. </w:t>
      </w:r>
    </w:p>
    <w:p w14:paraId="5BC48BE3" w14:textId="77777777" w:rsidR="000A36AF" w:rsidRPr="000A36AF" w:rsidRDefault="000A36AF" w:rsidP="000A36AF">
      <w:r w:rsidRPr="000A36AF">
        <w:t>След приключване на  доклада се попълва електронен контролен лист за подготовка и изпълнение на проверка на място, в съответствие с приложения в ИСУН 2020 формат (</w:t>
      </w:r>
      <w:hyperlink r:id="rId285" w:tooltip="Контролен лист - подготовка и изпълнение на проверка на място за устойчивост" w:history="1">
        <w:r w:rsidRPr="000A36AF">
          <w:rPr>
            <w:i/>
            <w:color w:val="0000FF"/>
            <w:u w:val="single"/>
            <w:lang w:eastAsia="bg-BG"/>
          </w:rPr>
          <w:t>Приложение № 7.07.1</w:t>
        </w:r>
      </w:hyperlink>
      <w:r w:rsidRPr="000A36AF">
        <w:t xml:space="preserve">). </w:t>
      </w:r>
    </w:p>
    <w:p w14:paraId="4E1CFE55" w14:textId="614638EF" w:rsidR="000A36AF" w:rsidRPr="000A36AF" w:rsidRDefault="000A36AF" w:rsidP="000A36AF">
      <w:r w:rsidRPr="000A36AF">
        <w:t xml:space="preserve">В препоръчителен срок от 3 работни дни от датата на одобрение на  доклада, изготвилият доклада експерт подготвя и изпраща до бенефициента доклада от проверка на място чрез ИСУН 2020,  модул „Договори“ и подмодул „Кореспонденция“. </w:t>
      </w:r>
    </w:p>
    <w:p w14:paraId="4955EE67" w14:textId="77777777" w:rsidR="000A36AF" w:rsidRPr="000A36AF" w:rsidRDefault="000A36AF" w:rsidP="000A36AF">
      <w:r w:rsidRPr="000A36AF">
        <w:t xml:space="preserve">При наличие на препоръки от проверка на място, в препоръчителен срок от 3 работни дни от датата на одобрение на  доклада, изготвилият доклада експерт подготвя и изпраща до бенефициента доклада от проверка на място с официално писмо, което включва описание на констатациите и препоръките от доклада. </w:t>
      </w:r>
    </w:p>
    <w:p w14:paraId="00A7B200" w14:textId="77777777" w:rsidR="000A36AF" w:rsidRPr="000A36AF" w:rsidRDefault="000A36AF" w:rsidP="000A36AF"/>
    <w:p w14:paraId="3C644F8A" w14:textId="77777777" w:rsidR="000A36AF" w:rsidRPr="00842ECC" w:rsidRDefault="000A36AF" w:rsidP="000A36AF">
      <w:pPr>
        <w:numPr>
          <w:ilvl w:val="2"/>
          <w:numId w:val="273"/>
        </w:numPr>
        <w:tabs>
          <w:tab w:val="num" w:pos="360"/>
        </w:tabs>
        <w:spacing w:before="120" w:after="120"/>
        <w:ind w:left="0" w:firstLine="851"/>
        <w:contextualSpacing/>
        <w:outlineLvl w:val="3"/>
        <w:rPr>
          <w:b/>
          <w:szCs w:val="24"/>
          <w:lang w:eastAsia="bg-BG"/>
        </w:rPr>
      </w:pPr>
      <w:r w:rsidRPr="00842ECC">
        <w:rPr>
          <w:b/>
          <w:szCs w:val="24"/>
          <w:lang w:eastAsia="bg-BG"/>
        </w:rPr>
        <w:t xml:space="preserve">Въвеждане на информацията за докладите от проверка на място в  ИСУН 2020 </w:t>
      </w:r>
    </w:p>
    <w:p w14:paraId="6F4C3B0C" w14:textId="5E0305F5" w:rsidR="000A36AF" w:rsidRPr="000A36AF" w:rsidRDefault="000A36AF" w:rsidP="000A36AF">
      <w:r w:rsidRPr="000A36AF">
        <w:t xml:space="preserve">Когато е извършена проверка на място на проект в процес на изпълнение, в срок от 3 работни дни от датата на одобрение на  доклада, изготвилият доклада експерт от отдел „Изпълнение и координация”, следва да регистрира в ИСУН 2020 в модул „Проверки“, подмодул „Проверки на място“ извършената проверка на място, като попълни полетата за констатации, препоръки и сроковете им за изпълнение и прикачи сканираните копия на  доклада от проверка на място (по </w:t>
      </w:r>
      <w:hyperlink r:id="rId286" w:tooltip="Доклад от проверка на място, извършена от УО на ОПТТИ" w:history="1">
        <w:r w:rsidRPr="000A36AF">
          <w:rPr>
            <w:i/>
            <w:color w:val="0000FF"/>
            <w:u w:val="single"/>
            <w:lang w:eastAsia="bg-BG"/>
          </w:rPr>
          <w:t>Приложение № 7.06</w:t>
        </w:r>
      </w:hyperlink>
      <w:r w:rsidRPr="000A36AF">
        <w:t xml:space="preserve">) и на други документи от проверката на място. </w:t>
      </w:r>
    </w:p>
    <w:p w14:paraId="5A821F76" w14:textId="418CE1D8" w:rsidR="000A36AF" w:rsidRPr="000A36AF" w:rsidRDefault="000A36AF" w:rsidP="000A36AF">
      <w:r w:rsidRPr="000A36AF">
        <w:lastRenderedPageBreak/>
        <w:t>Когато е извършена проверка на място за дълготрайност на операциите, в срок от 3 работни дни от датата на одобрение на доклада, изготвилият доклада експерт от отдел „Изпълнение и координация” следва да регистрира в ИСУН 2020</w:t>
      </w:r>
      <w:r w:rsidR="00311202">
        <w:t>,</w:t>
      </w:r>
      <w:r w:rsidRPr="000A36AF">
        <w:t xml:space="preserve"> модул „Проверки“, подмодул „Проверки на място“</w:t>
      </w:r>
      <w:r w:rsidR="00311202">
        <w:t>,</w:t>
      </w:r>
      <w:r w:rsidRPr="000A36AF">
        <w:t xml:space="preserve"> извършената проверка на място, като попълни полетата за констатации, препоръки и сроковете им за изпълнение и прикачи сканираните копия на доклад от проверка на място (по </w:t>
      </w:r>
      <w:hyperlink r:id="rId287" w:tooltip="Доклад от проверка на място за дълготрайност извършена от УО на ОПТТИ" w:history="1">
        <w:r w:rsidRPr="000A36AF">
          <w:rPr>
            <w:i/>
            <w:color w:val="0000FF"/>
            <w:u w:val="single"/>
            <w:lang w:eastAsia="bg-BG"/>
          </w:rPr>
          <w:t>Приложение № 7.07</w:t>
        </w:r>
      </w:hyperlink>
      <w:r w:rsidRPr="000A36AF">
        <w:t xml:space="preserve">) и на други документи от проверката на място. </w:t>
      </w:r>
    </w:p>
    <w:p w14:paraId="4CFDE57B" w14:textId="4E2B71A5" w:rsidR="000A36AF" w:rsidRPr="000A36AF" w:rsidRDefault="000A36AF" w:rsidP="000A36AF">
      <w:r w:rsidRPr="000A36AF">
        <w:t>Базирайки се на подадената информация от Бенефициентите за изпълнението на препоръките, отговорният експерт от отдел „Изпълнение и координация” отразява промяната в статуса на изпълнението на дадена препоръка в срок от 10 работни дни от получаването на информацията и доказателствения материал и след обсъждане с началника на отдел „Изпълнение и координация“.</w:t>
      </w:r>
    </w:p>
    <w:p w14:paraId="435983F0" w14:textId="77777777" w:rsidR="000A36AF" w:rsidRPr="000A36AF" w:rsidRDefault="000A36AF" w:rsidP="000A36AF"/>
    <w:p w14:paraId="5C276960" w14:textId="77777777" w:rsidR="000A36AF" w:rsidRPr="00842ECC" w:rsidRDefault="000A36AF" w:rsidP="000A36AF">
      <w:pPr>
        <w:numPr>
          <w:ilvl w:val="2"/>
          <w:numId w:val="273"/>
        </w:numPr>
        <w:tabs>
          <w:tab w:val="num" w:pos="360"/>
        </w:tabs>
        <w:spacing w:before="120" w:after="120"/>
        <w:ind w:left="0" w:firstLine="851"/>
        <w:contextualSpacing/>
        <w:outlineLvl w:val="3"/>
        <w:rPr>
          <w:b/>
          <w:szCs w:val="24"/>
          <w:lang w:eastAsia="bg-BG"/>
        </w:rPr>
      </w:pPr>
      <w:bookmarkStart w:id="1226" w:name="_Toc479775776"/>
      <w:r w:rsidRPr="00842ECC">
        <w:rPr>
          <w:b/>
          <w:szCs w:val="24"/>
          <w:lang w:eastAsia="bg-BG"/>
        </w:rPr>
        <w:t>Последващи действия от проведена проверка на място и механизъм за проследяване на изпълнението на предписанията и препоръките направени в резултат от проведената проверка на място</w:t>
      </w:r>
      <w:bookmarkEnd w:id="1226"/>
    </w:p>
    <w:p w14:paraId="6F0263E2" w14:textId="77777777" w:rsidR="000A36AF" w:rsidRPr="000A36AF" w:rsidRDefault="000A36AF" w:rsidP="000A36AF">
      <w:r w:rsidRPr="000A36AF">
        <w:t xml:space="preserve">Бенефициентът по проекта следва да предприеме необходимите последващи действия за изпълнение на включените препоръки в доклада от проведената проверка на място в определения от УО срок, като изпрати изискваните документи, доказващи изпълнението на препоръката. </w:t>
      </w:r>
    </w:p>
    <w:p w14:paraId="49BED767" w14:textId="77777777" w:rsidR="000A36AF" w:rsidRPr="000A36AF" w:rsidRDefault="000A36AF" w:rsidP="000A36AF">
      <w:r w:rsidRPr="000A36AF">
        <w:t>В случай, че изисканите и получени документи, не са достатъчни за затваряне на препоръките, УО може да остави статуса на препоръката като „неизпълнена“ или „в процес на изпълнение“. УО проследява изпълнението на предходните препоръки в последваща проверка на място, като описва документите и фактите, на базата на които препоръката е „изпълнена“, „в процес на изпълнение“ или „неизпълнена“. В случаите, когато препоръките не са валидни вече, поради промяна на обстоятелствата, те могат да отпаднат.</w:t>
      </w:r>
    </w:p>
    <w:p w14:paraId="395A5F76" w14:textId="77777777" w:rsidR="000A36AF" w:rsidRPr="000A36AF" w:rsidRDefault="000A36AF" w:rsidP="000A36AF">
      <w:r w:rsidRPr="000A36AF">
        <w:t>При необходимост от специфична техническа експертиза за оценка на изпълнението на препоръките от доклада, може допълнително да бъде нает Консултант.</w:t>
      </w:r>
    </w:p>
    <w:p w14:paraId="5B0D11ED" w14:textId="77777777" w:rsidR="000A36AF" w:rsidRPr="000A36AF" w:rsidRDefault="000A36AF" w:rsidP="000A36AF">
      <w:r w:rsidRPr="000A36AF">
        <w:t xml:space="preserve">В годишния доклад за напредъка, който се изготвя съгласно </w:t>
      </w:r>
      <w:hyperlink r:id="rId288" w:tooltip="Годишен доклад за напредъка по проект" w:history="1">
        <w:r w:rsidRPr="000A36AF">
          <w:rPr>
            <w:i/>
            <w:color w:val="0000FF"/>
            <w:u w:val="single"/>
            <w:lang w:eastAsia="bg-BG"/>
          </w:rPr>
          <w:t>Приложение № 7.02</w:t>
        </w:r>
      </w:hyperlink>
      <w:r w:rsidRPr="000A36AF">
        <w:t xml:space="preserve">, бенефициентът  попълва информация относно извършените проверки на място от УО и други институции, като описва предприетите стъпки за изпълнението на дадените препоръки. </w:t>
      </w:r>
    </w:p>
    <w:p w14:paraId="1F7585B2" w14:textId="77777777" w:rsidR="000A36AF" w:rsidRPr="000A36AF" w:rsidRDefault="000A36AF" w:rsidP="000A36AF">
      <w:r w:rsidRPr="000A36AF">
        <w:t>В случаите, когато към бенефициента са отправени препоръки в резултат на проверка на място при представено окончателно искане за плащане и окончателен доклад, се извършват допълнително планирани и/или извънредни проверки на място и/или документални проверки от УО до изпълнение на препоръките от страна на бенефициента. Ако в резултат на проведени проверки във връзка с неизпълнени препоръки, бенефициентът продължава да не изпълнява препоръките, УО може да направи частичен или цялостен отказ от верификация и / или да предприеме санкции съгласно действащата нормативна уредба.</w:t>
      </w:r>
    </w:p>
    <w:p w14:paraId="7A96B3E9" w14:textId="77777777" w:rsidR="000A36AF" w:rsidRPr="000A36AF" w:rsidRDefault="000A36AF" w:rsidP="000A36AF">
      <w:pPr>
        <w:ind w:firstLine="648"/>
        <w:rPr>
          <w:b/>
          <w:color w:val="000000"/>
          <w:szCs w:val="24"/>
        </w:rPr>
      </w:pPr>
    </w:p>
    <w:p w14:paraId="0280DEF8" w14:textId="77777777" w:rsidR="000A36AF" w:rsidRPr="000A36AF" w:rsidRDefault="000A36AF" w:rsidP="000A36AF">
      <w:pPr>
        <w:numPr>
          <w:ilvl w:val="2"/>
          <w:numId w:val="273"/>
        </w:numPr>
        <w:tabs>
          <w:tab w:val="num" w:pos="360"/>
        </w:tabs>
        <w:spacing w:before="120" w:after="120"/>
        <w:ind w:left="0" w:firstLine="851"/>
        <w:contextualSpacing/>
        <w:outlineLvl w:val="3"/>
        <w:rPr>
          <w:b/>
          <w:szCs w:val="24"/>
          <w:lang w:val="en-US"/>
        </w:rPr>
      </w:pPr>
      <w:bookmarkStart w:id="1227" w:name="_Toc412032356"/>
      <w:bookmarkStart w:id="1228" w:name="_Toc479775777"/>
      <w:r w:rsidRPr="000A36AF">
        <w:rPr>
          <w:b/>
          <w:szCs w:val="24"/>
          <w:lang w:val="en-US" w:eastAsia="bg-BG"/>
        </w:rPr>
        <w:t>Методология за оценка на риска</w:t>
      </w:r>
      <w:bookmarkEnd w:id="1227"/>
      <w:bookmarkEnd w:id="1228"/>
      <w:r w:rsidRPr="000A36AF">
        <w:rPr>
          <w:b/>
          <w:szCs w:val="24"/>
          <w:lang w:val="en-US" w:eastAsia="bg-BG"/>
        </w:rPr>
        <w:t xml:space="preserve"> </w:t>
      </w:r>
    </w:p>
    <w:p w14:paraId="24F6842C" w14:textId="77777777" w:rsidR="000A36AF" w:rsidRPr="000A36AF" w:rsidRDefault="000A36AF" w:rsidP="000A36AF">
      <w:pPr>
        <w:rPr>
          <w:lang w:eastAsia="bg-BG"/>
        </w:rPr>
      </w:pPr>
      <w:r w:rsidRPr="000A36AF">
        <w:t xml:space="preserve">УО приема подхода най-рисковите проекти, договори, изпълнители и бенефициенти в обхвата на ОПТТИ да се идентифицират с помощта на системата „АРАХНЕ“. Към най-рисковите се включват и проектите, при </w:t>
      </w:r>
      <w:r w:rsidRPr="000A36AF">
        <w:rPr>
          <w:lang w:eastAsia="bg-BG"/>
        </w:rPr>
        <w:t>административните проверки</w:t>
      </w:r>
      <w:r w:rsidRPr="000A36AF">
        <w:t xml:space="preserve"> </w:t>
      </w:r>
      <w:r w:rsidRPr="000A36AF">
        <w:rPr>
          <w:lang w:eastAsia="bg-BG"/>
        </w:rPr>
        <w:t>за които са идентифицирани необичайни и изискващи допълнително разглеждане транзакции.</w:t>
      </w:r>
      <w:r w:rsidRPr="000A36AF">
        <w:t xml:space="preserve"> УО подхожда с професионален скептицизъм при оценката на риска при изпълнението на ОПТТИ, като </w:t>
      </w:r>
      <w:r w:rsidRPr="000A36AF">
        <w:rPr>
          <w:lang w:eastAsia="bg-BG"/>
        </w:rPr>
        <w:t xml:space="preserve">действителното физическо изпълнение на всеки реално изпълняван (или изпълнен) с финансиране от ОПТТИ проект се проверява на място от УО, независимо колко ниска е оценката на риска за проекта. </w:t>
      </w:r>
    </w:p>
    <w:p w14:paraId="203948AE" w14:textId="5DD07746" w:rsidR="000A36AF" w:rsidRDefault="000A36AF" w:rsidP="000A36AF">
      <w:r w:rsidRPr="000A36AF">
        <w:t xml:space="preserve">При изготвянето на годишния план за проверки на място се използва и методологията за оценка на риска по проектите от ОПТТИ, описана в </w:t>
      </w:r>
      <w:hyperlink r:id="rId289" w:tooltip="Методология за оценка на риска" w:history="1">
        <w:r w:rsidRPr="000A36AF">
          <w:rPr>
            <w:i/>
            <w:color w:val="0000FF"/>
            <w:szCs w:val="24"/>
            <w:u w:val="single"/>
          </w:rPr>
          <w:t>Приложение № 7.09</w:t>
        </w:r>
      </w:hyperlink>
      <w:r w:rsidRPr="000A36AF">
        <w:rPr>
          <w:color w:val="0000FF"/>
          <w:szCs w:val="24"/>
        </w:rPr>
        <w:t xml:space="preserve">. </w:t>
      </w:r>
      <w:r w:rsidRPr="000A36AF">
        <w:t xml:space="preserve">Оценката се извършва от експертите в отдел „Изпълнение и координация” и се проверява от началника на отдела или от упълномощен от началника на отдела служител, съгласно неговите компетенции. Оценката на риска се извършва за </w:t>
      </w:r>
      <w:r w:rsidRPr="000A36AF">
        <w:rPr>
          <w:b/>
        </w:rPr>
        <w:t>инфраструктурни</w:t>
      </w:r>
      <w:r w:rsidRPr="00842ECC">
        <w:rPr>
          <w:b/>
        </w:rPr>
        <w:t xml:space="preserve"> </w:t>
      </w:r>
      <w:r w:rsidRPr="000A36AF">
        <w:t xml:space="preserve">проекти, които са в етап </w:t>
      </w:r>
      <w:r w:rsidRPr="000A36AF">
        <w:lastRenderedPageBreak/>
        <w:t>на реално изпълнение/строителство,</w:t>
      </w:r>
      <w:r w:rsidRPr="00842ECC">
        <w:t xml:space="preserve"> </w:t>
      </w:r>
      <w:r w:rsidRPr="000A36AF">
        <w:rPr>
          <w:b/>
        </w:rPr>
        <w:t>като</w:t>
      </w:r>
      <w:r w:rsidRPr="000A36AF">
        <w:t xml:space="preserve"> по тях има подписан договор за предоставяне на безвъзмездна финансова помощ и договор с изпълнител. Резултатите от оценката се използват за идентифициране на проекти, които да бъдат включени в годишния план на УО за проверки на място, както и за определяне на броя проверки на място през годината за всеки проект. Съгласно методологията за всеки проект, полученият комплексен рисков фактор е число и проектите се подреждат в зависимост от получените резултати. Броят на проверките на място се определя от получената класация и от капацитета на УО на ОПТТИ за извършване на проверки на място през годината. Максималният брой проверки на място за проект годишно е</w:t>
      </w:r>
      <w:r w:rsidRPr="00842ECC">
        <w:t xml:space="preserve"> </w:t>
      </w:r>
      <w:r w:rsidRPr="000A36AF">
        <w:t xml:space="preserve">3 броя. </w:t>
      </w:r>
      <w:r w:rsidR="00DF0DE5">
        <w:t>П</w:t>
      </w:r>
      <w:r w:rsidR="001D3F2F" w:rsidRPr="000A36AF">
        <w:t>ри установена необходимост</w:t>
      </w:r>
      <w:r w:rsidR="001D3F2F">
        <w:t xml:space="preserve"> (напр. при значителен напредък в изпълнението на проекта)</w:t>
      </w:r>
      <w:r w:rsidR="001D3F2F" w:rsidRPr="000A36AF">
        <w:t xml:space="preserve"> и в зависимост от наличния административен капацитет на УО</w:t>
      </w:r>
      <w:r w:rsidRPr="000A36AF">
        <w:t>, когато стойността на безвъзмездната финансова помощ е над 10 млн. лв.</w:t>
      </w:r>
      <w:r w:rsidR="001D3F2F">
        <w:t>,</w:t>
      </w:r>
      <w:r w:rsidRPr="000A36AF">
        <w:t xml:space="preserve"> </w:t>
      </w:r>
      <w:r w:rsidR="001D3F2F" w:rsidRPr="000A36AF">
        <w:t xml:space="preserve">за проектите за техническа помощ по ОПТТИ </w:t>
      </w:r>
      <w:r w:rsidR="001D3F2F">
        <w:t xml:space="preserve"> </w:t>
      </w:r>
      <w:r w:rsidRPr="000A36AF">
        <w:t>се извършва по една проверка на място годишно</w:t>
      </w:r>
      <w:r w:rsidR="001D3F2F">
        <w:t>.</w:t>
      </w:r>
      <w:r w:rsidRPr="000A36AF">
        <w:t xml:space="preserve"> </w:t>
      </w:r>
      <w:r w:rsidRPr="007D7EDB">
        <w:t xml:space="preserve">За проектите </w:t>
      </w:r>
      <w:r w:rsidR="001D3F2F" w:rsidRPr="000A36AF">
        <w:t>за техническа помощ по ОПТТИ</w:t>
      </w:r>
      <w:r w:rsidRPr="007D7EDB">
        <w:t xml:space="preserve"> е необходимо да бъде извършвана една </w:t>
      </w:r>
      <w:r w:rsidR="007D7EDB">
        <w:t xml:space="preserve">документална </w:t>
      </w:r>
      <w:r w:rsidRPr="007D7EDB">
        <w:t>проверка с</w:t>
      </w:r>
      <w:r w:rsidR="001D3F2F">
        <w:t>лед предаване на</w:t>
      </w:r>
      <w:r w:rsidRPr="007D7EDB">
        <w:t xml:space="preserve"> окончателния доклад и окончателното искане за плащане по проекта</w:t>
      </w:r>
      <w:r w:rsidR="007D7EDB">
        <w:t>, като при необходимост проверяващите експерти от отдел „Изпълнение и координация“ може да посетят</w:t>
      </w:r>
      <w:r w:rsidR="001D3F2F">
        <w:t xml:space="preserve"> офисите на</w:t>
      </w:r>
      <w:r w:rsidR="007D7EDB">
        <w:t xml:space="preserve"> бенефициента</w:t>
      </w:r>
      <w:r w:rsidRPr="007D7EDB">
        <w:t>.</w:t>
      </w:r>
      <w:r w:rsidR="00DF0DE5" w:rsidRPr="00DF0DE5">
        <w:t xml:space="preserve"> </w:t>
      </w:r>
      <w:r w:rsidR="00DF0DE5">
        <w:t>Горното е с</w:t>
      </w:r>
      <w:r w:rsidR="00DF0DE5" w:rsidRPr="00DF0DE5">
        <w:t xml:space="preserve"> цел по-добра ефективност</w:t>
      </w:r>
      <w:r w:rsidR="004F0C81">
        <w:t xml:space="preserve"> </w:t>
      </w:r>
      <w:r w:rsidR="00DF0DE5" w:rsidRPr="00DF0DE5">
        <w:t>и ефикасност на извършваните проверки на място по големите инвестиционни проекти</w:t>
      </w:r>
      <w:r w:rsidR="004F0C81">
        <w:t>, предвид наличния физически капацитет на отдел „Изпълнение и координация“.</w:t>
      </w:r>
    </w:p>
    <w:p w14:paraId="50A60AA2" w14:textId="77777777" w:rsidR="001D3F2F" w:rsidRPr="000A36AF" w:rsidRDefault="001D3F2F" w:rsidP="000A36AF"/>
    <w:p w14:paraId="0CF2D760" w14:textId="77777777" w:rsidR="000A36AF" w:rsidRPr="000A36AF" w:rsidRDefault="000A36AF" w:rsidP="000A36AF">
      <w:pPr>
        <w:numPr>
          <w:ilvl w:val="2"/>
          <w:numId w:val="273"/>
        </w:numPr>
        <w:tabs>
          <w:tab w:val="num" w:pos="360"/>
        </w:tabs>
        <w:spacing w:before="120" w:after="120"/>
        <w:ind w:left="0" w:firstLine="851"/>
        <w:contextualSpacing/>
        <w:outlineLvl w:val="3"/>
        <w:rPr>
          <w:b/>
          <w:szCs w:val="24"/>
          <w:lang w:val="en-US"/>
        </w:rPr>
      </w:pPr>
      <w:r w:rsidRPr="000A36AF">
        <w:rPr>
          <w:b/>
          <w:szCs w:val="24"/>
        </w:rPr>
        <w:t xml:space="preserve">Извънредни обстоятелства </w:t>
      </w:r>
      <w:r w:rsidRPr="000A36AF">
        <w:rPr>
          <w:b/>
          <w:szCs w:val="24"/>
          <w:lang w:val="en-US"/>
        </w:rPr>
        <w:t>(</w:t>
      </w:r>
      <w:r w:rsidRPr="000A36AF">
        <w:rPr>
          <w:b/>
          <w:szCs w:val="24"/>
        </w:rPr>
        <w:t>форсмажор</w:t>
      </w:r>
      <w:r w:rsidRPr="000A36AF">
        <w:rPr>
          <w:b/>
          <w:szCs w:val="24"/>
          <w:lang w:val="en-US"/>
        </w:rPr>
        <w:t>)</w:t>
      </w:r>
    </w:p>
    <w:p w14:paraId="5B3D2E47" w14:textId="77777777" w:rsidR="000A36AF" w:rsidRPr="000A36AF" w:rsidRDefault="000A36AF" w:rsidP="000A36AF"/>
    <w:p w14:paraId="552540AB" w14:textId="77777777" w:rsidR="000A36AF" w:rsidRPr="000A36AF" w:rsidRDefault="000A36AF" w:rsidP="000A36AF">
      <w:r w:rsidRPr="000A36AF">
        <w:t xml:space="preserve">При настъпване на извънредни обстоятелства (форсмажор), водещи до невъзможност от извършване на проверка на място, същата се заменя от документална проверка, като  Бенефициентът представя изисканата от УО на ОПТТИ документация по проекта. </w:t>
      </w:r>
    </w:p>
    <w:p w14:paraId="112EC906" w14:textId="77777777" w:rsidR="000A36AF" w:rsidRPr="000A36AF" w:rsidRDefault="000A36AF" w:rsidP="000A36AF"/>
    <w:p w14:paraId="4AE2AA0B" w14:textId="77777777" w:rsidR="000A36AF" w:rsidRPr="000A36AF" w:rsidRDefault="000A36AF" w:rsidP="000A36AF"/>
    <w:p w14:paraId="74A2510B" w14:textId="77777777" w:rsidR="000A36AF" w:rsidRPr="00842ECC" w:rsidRDefault="000A36AF" w:rsidP="006A6D08">
      <w:pPr>
        <w:pStyle w:val="Style2"/>
        <w:rPr>
          <w:snapToGrid w:val="0"/>
        </w:rPr>
      </w:pPr>
      <w:bookmarkStart w:id="1229" w:name="_Toc479775778"/>
      <w:bookmarkStart w:id="1230" w:name="_Toc140150276"/>
      <w:r w:rsidRPr="00842ECC">
        <w:rPr>
          <w:snapToGrid w:val="0"/>
        </w:rPr>
        <w:t>Наблюдение на проекти, финансирани по приоритетна ос „Техническа помощ” на Оперативна програма „Транспорт и транспортна инфраструктура”, по които УО е бенефициент</w:t>
      </w:r>
      <w:bookmarkEnd w:id="1229"/>
      <w:bookmarkEnd w:id="1230"/>
    </w:p>
    <w:p w14:paraId="120C062A" w14:textId="77777777" w:rsidR="000A36AF" w:rsidRPr="000A36AF" w:rsidRDefault="000A36AF" w:rsidP="000A36AF">
      <w:r w:rsidRPr="000A36AF">
        <w:tab/>
        <w:t>Изпълнението и наблюдението на проект / бюджетна линия, който е одобрен от УО и за който е издадена заповед за предоставяне на безвъзмездна финансова помощ по приоритетна ос 5 „Техническа помощ” на ОПТТИ се извършва съгласно общо приложимите правила и принципи за програмата. За изпълнението на проекта / бюджетна линия се назначава Звено за изпълнение на проекта (ЗИП), в който са включени минимум трима експерти  -  ръководител, технически и финансов експерт.</w:t>
      </w:r>
    </w:p>
    <w:p w14:paraId="725533C6" w14:textId="77777777" w:rsidR="000A36AF" w:rsidRPr="000A36AF" w:rsidRDefault="000A36AF" w:rsidP="000A36AF">
      <w:r w:rsidRPr="000A36AF">
        <w:t>Адекватно разделение на функциите в структурата на УО в случаите, когато УО е бенефициент на проекти, финансирани по приоритетна ос „Техническа помощ” на ОПТТИ, се гарантира с възлагането на дейностите по верификацията на разходите и проверките на място на дипломиран експерт-счетоводител (одитор-верификатор), който притежава значителен опит в прякото извършване на независим финансов одит и одитни проверки и/или подобни дейности по проекти и програми. УО процедира до МС/ЦКЗ искане за създаване на профил на външния верификатор в информационната система за управление и наблюдение на средствата от ЕСИФ (ИСУН) за срока на договора.</w:t>
      </w:r>
    </w:p>
    <w:p w14:paraId="49B02DD0" w14:textId="77777777" w:rsidR="000A36AF" w:rsidRPr="000A36AF" w:rsidRDefault="000A36AF" w:rsidP="000A36AF"/>
    <w:p w14:paraId="06DA5A36" w14:textId="77777777" w:rsidR="000A36AF" w:rsidRPr="00842ECC" w:rsidRDefault="000A36AF" w:rsidP="000A36AF">
      <w:pPr>
        <w:numPr>
          <w:ilvl w:val="2"/>
          <w:numId w:val="273"/>
        </w:numPr>
        <w:tabs>
          <w:tab w:val="num" w:pos="360"/>
        </w:tabs>
        <w:spacing w:before="120" w:after="120"/>
        <w:ind w:left="0" w:firstLine="851"/>
        <w:contextualSpacing/>
        <w:outlineLvl w:val="3"/>
        <w:rPr>
          <w:b/>
          <w:szCs w:val="24"/>
          <w:lang w:eastAsia="bg-BG"/>
        </w:rPr>
      </w:pPr>
      <w:r w:rsidRPr="00842ECC">
        <w:rPr>
          <w:b/>
          <w:szCs w:val="24"/>
          <w:lang w:eastAsia="bg-BG"/>
        </w:rPr>
        <w:t>Изготвяне на Технически отчет в ИСУН 2020 от Звеното за изпълнение на проекта</w:t>
      </w:r>
    </w:p>
    <w:p w14:paraId="01C36E56" w14:textId="77777777" w:rsidR="000A36AF" w:rsidRPr="000A36AF" w:rsidRDefault="000A36AF" w:rsidP="000A36AF">
      <w:r w:rsidRPr="000A36AF">
        <w:t xml:space="preserve">Изготвянето на Техническия отчет в ИСУН 2020 се извършва  от отговорния експерт в звеното за изпълнение на проекта (техническият експерт от звеното за изпълнение на проекта, Ръководителя на звеното  или определен от Ръководителя на УО служител при необходимост, като се попълват обособените полета на структурираният документ „Технически отчет“. Техническият отчет се подава с всяко искане за плащане – авансово, </w:t>
      </w:r>
      <w:r w:rsidRPr="000A36AF">
        <w:lastRenderedPageBreak/>
        <w:t>междинно и окончателно плащане, като част от пакета отчетни документи „</w:t>
      </w:r>
      <w:r w:rsidRPr="000A36AF">
        <w:rPr>
          <w:i/>
        </w:rPr>
        <w:t>Искане за междинно плащане, технически отчет и финансов отчет</w:t>
      </w:r>
      <w:r w:rsidRPr="000A36AF">
        <w:t>“.</w:t>
      </w:r>
    </w:p>
    <w:p w14:paraId="416C8CDE" w14:textId="77777777" w:rsidR="000A36AF" w:rsidRPr="000A36AF" w:rsidRDefault="000A36AF" w:rsidP="000A36AF">
      <w:r w:rsidRPr="000A36AF">
        <w:t xml:space="preserve">Техническият отчет в ИСУН 2020 съдържа отделни полета, както е показано на долната фигура: </w:t>
      </w:r>
    </w:p>
    <w:p w14:paraId="7C650042" w14:textId="77777777" w:rsidR="000A36AF" w:rsidRPr="000A36AF" w:rsidRDefault="000A36AF" w:rsidP="000A36AF">
      <w:r w:rsidRPr="000A36AF">
        <w:rPr>
          <w:noProof/>
          <w:lang w:eastAsia="bg-BG"/>
        </w:rPr>
        <w:drawing>
          <wp:anchor distT="0" distB="0" distL="114300" distR="114300" simplePos="0" relativeHeight="251713536" behindDoc="0" locked="0" layoutInCell="1" allowOverlap="1" wp14:anchorId="02589954" wp14:editId="1BFEE0B8">
            <wp:simplePos x="0" y="0"/>
            <wp:positionH relativeFrom="column">
              <wp:posOffset>540664</wp:posOffset>
            </wp:positionH>
            <wp:positionV relativeFrom="paragraph">
              <wp:posOffset>610</wp:posOffset>
            </wp:positionV>
            <wp:extent cx="5773420" cy="2950845"/>
            <wp:effectExtent l="0" t="0" r="0" b="1905"/>
            <wp:wrapTopAndBottom/>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73420" cy="2950845"/>
                    </a:xfrm>
                    <a:prstGeom prst="rect">
                      <a:avLst/>
                    </a:prstGeom>
                    <a:noFill/>
                  </pic:spPr>
                </pic:pic>
              </a:graphicData>
            </a:graphic>
          </wp:anchor>
        </w:drawing>
      </w:r>
    </w:p>
    <w:p w14:paraId="49C7CC20" w14:textId="77777777" w:rsidR="000A36AF" w:rsidRPr="000A36AF" w:rsidRDefault="000A36AF" w:rsidP="000A36AF">
      <w:r w:rsidRPr="000A36AF">
        <w:t>В полето „Общи данни“ е необходимо да се попълни периодът, за който се отнася Техническия отчет, като в системата е указано къде се попълва.</w:t>
      </w:r>
    </w:p>
    <w:p w14:paraId="10EED40D" w14:textId="77777777" w:rsidR="000A36AF" w:rsidRPr="000A36AF" w:rsidRDefault="000A36AF" w:rsidP="000A36AF">
      <w:r w:rsidRPr="000A36AF">
        <w:t>Периодът, за който се подава информация в Техническия отчет е в зависимост от вида на плащането се определя  както следва:</w:t>
      </w:r>
    </w:p>
    <w:p w14:paraId="3549A3D5" w14:textId="77777777" w:rsidR="000A36AF" w:rsidRPr="000A36AF" w:rsidRDefault="000A36AF" w:rsidP="000A36AF">
      <w:r w:rsidRPr="000A36AF">
        <w:t>-</w:t>
      </w:r>
      <w:r w:rsidRPr="000A36AF">
        <w:tab/>
        <w:t>Междинно плащане  -  При подаване на първото междинно искане за плащане, Техническият отчет обхваща периода от стартирането на дейностите по проекта до момента на подаването на първото междинно искане за плащане. При всяко следващо междинно искане за плащане Техническият отчет обхваща периода между датата на предишното искане за плащане и настоящото искане за плащане.;</w:t>
      </w:r>
    </w:p>
    <w:p w14:paraId="651EE331" w14:textId="77777777" w:rsidR="000A36AF" w:rsidRPr="000A36AF" w:rsidRDefault="000A36AF" w:rsidP="000A36AF">
      <w:r w:rsidRPr="000A36AF">
        <w:t>-</w:t>
      </w:r>
      <w:r w:rsidRPr="000A36AF">
        <w:tab/>
        <w:t>Окончателно плащане - Техническият отчет обхваща целия период  на изпълнение на проекта/операцията, изпълнен/а съгласно договора за безвъзмездна помощ.</w:t>
      </w:r>
    </w:p>
    <w:p w14:paraId="6CFEAD35" w14:textId="77777777" w:rsidR="000A36AF" w:rsidRPr="000A36AF" w:rsidRDefault="000A36AF" w:rsidP="000A36AF"/>
    <w:p w14:paraId="0147C55E" w14:textId="77777777" w:rsidR="000A36AF" w:rsidRPr="000A36AF" w:rsidRDefault="000A36AF" w:rsidP="000A36AF">
      <w:r w:rsidRPr="000A36AF">
        <w:t>Отделните полета в ИСУН 2020 се попълват от техническия експерт от ЗИП с информация за периода, указан в полето „Общи данни“. Бенефициентът трябва да попълни изискуемата информация в отделните полета „Изпълнение по дейности“, „Индикатори“, „Избор на изпълнителя“, „Проверки на място от бенефициента/ФП/КП“, „Одити“ и „Екип“.</w:t>
      </w:r>
    </w:p>
    <w:p w14:paraId="396B450C" w14:textId="77777777" w:rsidR="000A36AF" w:rsidRPr="000A36AF" w:rsidRDefault="000A36AF" w:rsidP="000A36AF"/>
    <w:p w14:paraId="6344A30B" w14:textId="77777777" w:rsidR="000A36AF" w:rsidRPr="000A36AF" w:rsidRDefault="000A36AF" w:rsidP="000A36AF">
      <w:r w:rsidRPr="000A36AF">
        <w:t xml:space="preserve">В полето „Опис на документите“ когато Техническия отчет е в пакет отчетни документи за </w:t>
      </w:r>
      <w:r w:rsidRPr="000A36AF">
        <w:rPr>
          <w:b/>
        </w:rPr>
        <w:t>междинно плащане,</w:t>
      </w:r>
      <w:r w:rsidRPr="000A36AF">
        <w:t xml:space="preserve"> се прилагат следните документи: </w:t>
      </w:r>
    </w:p>
    <w:p w14:paraId="5B2FBF73" w14:textId="77777777" w:rsidR="000A36AF" w:rsidRPr="000A36AF" w:rsidRDefault="000A36AF" w:rsidP="000A36AF">
      <w:pPr>
        <w:tabs>
          <w:tab w:val="left" w:pos="1134"/>
        </w:tabs>
      </w:pPr>
      <w:r w:rsidRPr="000A36AF">
        <w:t>-</w:t>
      </w:r>
      <w:r w:rsidRPr="000A36AF">
        <w:tab/>
        <w:t>Одитни доклади (ако е приложимо);</w:t>
      </w:r>
    </w:p>
    <w:p w14:paraId="51D0928A" w14:textId="77777777" w:rsidR="000A36AF" w:rsidRPr="000A36AF" w:rsidRDefault="000A36AF" w:rsidP="000A36AF">
      <w:pPr>
        <w:tabs>
          <w:tab w:val="left" w:pos="1134"/>
        </w:tabs>
      </w:pPr>
      <w:r w:rsidRPr="000A36AF">
        <w:t>-</w:t>
      </w:r>
      <w:r w:rsidRPr="000A36AF">
        <w:tab/>
        <w:t xml:space="preserve">Документи, доказващи/онагледяващи изпълнението на индикаторите, на база на които дипломираният експерт-счетоводител има основания да верифицира индикаторите в ИСУН 2020. Документите са прилагат като сканиран файл;  </w:t>
      </w:r>
    </w:p>
    <w:p w14:paraId="4992AA53" w14:textId="77777777" w:rsidR="000A36AF" w:rsidRPr="000A36AF" w:rsidRDefault="000A36AF" w:rsidP="000A36AF">
      <w:pPr>
        <w:tabs>
          <w:tab w:val="left" w:pos="1134"/>
        </w:tabs>
      </w:pPr>
      <w:r w:rsidRPr="000A36AF">
        <w:t>-</w:t>
      </w:r>
      <w:r w:rsidRPr="000A36AF">
        <w:tab/>
        <w:t>Таблици с процентното изпълнение за докладвания период;</w:t>
      </w:r>
    </w:p>
    <w:p w14:paraId="1A9D051A" w14:textId="77777777" w:rsidR="000A36AF" w:rsidRPr="000A36AF" w:rsidRDefault="000A36AF" w:rsidP="000A36AF">
      <w:pPr>
        <w:tabs>
          <w:tab w:val="left" w:pos="1134"/>
        </w:tabs>
      </w:pPr>
      <w:r w:rsidRPr="000A36AF">
        <w:t>-</w:t>
      </w:r>
      <w:r w:rsidRPr="000A36AF">
        <w:tab/>
        <w:t>Приемо – предавателни протоколи за доставки на оборудване, за предаване на рекламни материали, за разработки на документи и проекти и др., с които се доказва изпълнението на проекта или отделни дейности от него през отчетния период;</w:t>
      </w:r>
    </w:p>
    <w:p w14:paraId="14D96CD9" w14:textId="77777777" w:rsidR="000A36AF" w:rsidRPr="000A36AF" w:rsidRDefault="000A36AF" w:rsidP="000A36AF">
      <w:pPr>
        <w:tabs>
          <w:tab w:val="left" w:pos="1134"/>
        </w:tabs>
      </w:pPr>
      <w:r w:rsidRPr="000A36AF">
        <w:t>-</w:t>
      </w:r>
      <w:r w:rsidRPr="000A36AF">
        <w:tab/>
        <w:t>Ведомости за заплати, сертификати от проведени обучения, заповеди за командировка и други, когато проекта касае техническа помощ за покриване на разходи за възнаграждения и укрепване на административния капацитет на УО за отчетния период;</w:t>
      </w:r>
    </w:p>
    <w:p w14:paraId="74316F5C" w14:textId="77777777" w:rsidR="000A36AF" w:rsidRPr="000A36AF" w:rsidRDefault="000A36AF" w:rsidP="000A36AF">
      <w:pPr>
        <w:tabs>
          <w:tab w:val="left" w:pos="1134"/>
        </w:tabs>
      </w:pPr>
      <w:r w:rsidRPr="000A36AF">
        <w:lastRenderedPageBreak/>
        <w:t>-</w:t>
      </w:r>
      <w:r w:rsidRPr="000A36AF">
        <w:tab/>
        <w:t>Снимки за напредъка включително такива доказващи публичност;</w:t>
      </w:r>
    </w:p>
    <w:p w14:paraId="278A14E9" w14:textId="77777777" w:rsidR="000A36AF" w:rsidRPr="000A36AF" w:rsidRDefault="000A36AF" w:rsidP="000A36AF"/>
    <w:p w14:paraId="7750E51D" w14:textId="77777777" w:rsidR="000A36AF" w:rsidRPr="000A36AF" w:rsidRDefault="000A36AF" w:rsidP="000A36AF">
      <w:r w:rsidRPr="000A36AF">
        <w:t xml:space="preserve">В полето „Опис на документите“, когато Техническия отчет е в пакет отчетни документи за </w:t>
      </w:r>
      <w:r w:rsidRPr="000A36AF">
        <w:rPr>
          <w:b/>
        </w:rPr>
        <w:t>окончателно плащане</w:t>
      </w:r>
      <w:r w:rsidRPr="000A36AF">
        <w:t>, се прилагат следните документи:</w:t>
      </w:r>
    </w:p>
    <w:p w14:paraId="75728BC2" w14:textId="77777777" w:rsidR="000A36AF" w:rsidRPr="000A36AF" w:rsidRDefault="000A36AF" w:rsidP="000A36AF">
      <w:pPr>
        <w:tabs>
          <w:tab w:val="left" w:pos="1134"/>
        </w:tabs>
      </w:pPr>
      <w:r w:rsidRPr="000A36AF">
        <w:t>-</w:t>
      </w:r>
      <w:r w:rsidRPr="000A36AF">
        <w:tab/>
        <w:t>Одитни доклади (ако е приложимо);</w:t>
      </w:r>
    </w:p>
    <w:p w14:paraId="466885FD" w14:textId="77777777" w:rsidR="000A36AF" w:rsidRPr="000A36AF" w:rsidRDefault="000A36AF" w:rsidP="000A36AF">
      <w:pPr>
        <w:tabs>
          <w:tab w:val="left" w:pos="1134"/>
        </w:tabs>
      </w:pPr>
      <w:r w:rsidRPr="000A36AF">
        <w:t>-</w:t>
      </w:r>
      <w:r w:rsidRPr="000A36AF">
        <w:tab/>
        <w:t xml:space="preserve">Документи, доказващи/онагледяващи изпълнението на индикаторите, на база на които дипломираният експерт-счетоводител има основания да верифицира индикаторите в ИСУН 2020. Документите са прилагат като сканиран файл;  </w:t>
      </w:r>
    </w:p>
    <w:p w14:paraId="32E92622" w14:textId="77777777" w:rsidR="000A36AF" w:rsidRPr="000A36AF" w:rsidRDefault="000A36AF" w:rsidP="000A36AF">
      <w:pPr>
        <w:tabs>
          <w:tab w:val="left" w:pos="1134"/>
        </w:tabs>
      </w:pPr>
      <w:r w:rsidRPr="000A36AF">
        <w:t>-</w:t>
      </w:r>
      <w:r w:rsidRPr="000A36AF">
        <w:tab/>
        <w:t>Приемо – предавателни протоколи за доставки на оборудване, за предаване на рекламни материали, за разработки на документи и проекти и др. (само за  подадените за верификация  в окончателното плащане);</w:t>
      </w:r>
    </w:p>
    <w:p w14:paraId="3568BD6B" w14:textId="77777777" w:rsidR="000A36AF" w:rsidRPr="000A36AF" w:rsidRDefault="000A36AF" w:rsidP="000A36AF">
      <w:pPr>
        <w:tabs>
          <w:tab w:val="left" w:pos="1134"/>
        </w:tabs>
      </w:pPr>
      <w:r w:rsidRPr="000A36AF">
        <w:t>-</w:t>
      </w:r>
      <w:r w:rsidRPr="000A36AF">
        <w:tab/>
        <w:t>Ведомости за заплати, сертификати от проведени обучения, заповеди за командировка и други, когато проекта касае техническа помощ за покриване на разходи за възнаграждения и укрепване на административния капацитет на УО (само за  подадените за верификация  в окончателното плащане);</w:t>
      </w:r>
    </w:p>
    <w:p w14:paraId="0E378E43" w14:textId="77777777" w:rsidR="000A36AF" w:rsidRPr="000A36AF" w:rsidRDefault="000A36AF" w:rsidP="000A36AF">
      <w:pPr>
        <w:tabs>
          <w:tab w:val="left" w:pos="1134"/>
        </w:tabs>
      </w:pPr>
      <w:r w:rsidRPr="000A36AF">
        <w:t>-</w:t>
      </w:r>
      <w:r w:rsidRPr="000A36AF">
        <w:tab/>
        <w:t>Снимки доказващи приключването (ако е приложимо) и такива доказващи изпълнение на мерките по публичност;</w:t>
      </w:r>
    </w:p>
    <w:p w14:paraId="04595265" w14:textId="77777777" w:rsidR="000A36AF" w:rsidRPr="000A36AF" w:rsidRDefault="000A36AF" w:rsidP="000A36AF">
      <w:pPr>
        <w:tabs>
          <w:tab w:val="left" w:pos="1134"/>
        </w:tabs>
      </w:pPr>
      <w:r w:rsidRPr="000A36AF">
        <w:t>-</w:t>
      </w:r>
      <w:r w:rsidRPr="000A36AF">
        <w:tab/>
        <w:t>Прикачва се и попълнен файл с изискваната информация съгласно приложения формат (</w:t>
      </w:r>
      <w:hyperlink r:id="rId290" w:tooltip="Окончателен доклад по проект" w:history="1">
        <w:r w:rsidRPr="000A36AF">
          <w:rPr>
            <w:i/>
            <w:color w:val="0000FF"/>
            <w:u w:val="single"/>
            <w:lang w:eastAsia="bg-BG"/>
          </w:rPr>
          <w:t>Приложение № 7.04</w:t>
        </w:r>
      </w:hyperlink>
      <w:r w:rsidRPr="000A36AF">
        <w:rPr>
          <w:i/>
          <w:color w:val="0000FF"/>
          <w:u w:val="single"/>
          <w:lang w:eastAsia="bg-BG"/>
        </w:rPr>
        <w:t xml:space="preserve"> </w:t>
      </w:r>
      <w:r w:rsidRPr="000A36AF">
        <w:t>- Окончателен доклад) в WORD  и *.pdf  формат.</w:t>
      </w:r>
    </w:p>
    <w:p w14:paraId="71BAAD0D" w14:textId="77777777" w:rsidR="000A36AF" w:rsidRPr="000A36AF" w:rsidRDefault="000A36AF" w:rsidP="000A36AF">
      <w:pPr>
        <w:tabs>
          <w:tab w:val="left" w:pos="1134"/>
        </w:tabs>
      </w:pPr>
    </w:p>
    <w:p w14:paraId="218DCD0D" w14:textId="77777777" w:rsidR="000A36AF" w:rsidRPr="000A36AF" w:rsidRDefault="000A36AF" w:rsidP="000A36AF">
      <w:r w:rsidRPr="000A36AF">
        <w:t xml:space="preserve">В случаите, когато външния верификатор има забележки и препоръки, поради които Техническият отчет не може да бъде одобрен, се избира команда „Върнат“ от раздел „Документи“ на  модул „Мониторинг на пакет отчетни документи“, под-раздел „Технически отчет“ от съответния пакет документи, като се попълват причините за промяната на статуса в полето, което се показва в ИСУН 2020. Уведомяването на Ръководителя на ЗИП, в такива случаи се прави </w:t>
      </w:r>
      <w:r w:rsidRPr="000A36AF">
        <w:rPr>
          <w:b/>
        </w:rPr>
        <w:t>допълнително</w:t>
      </w:r>
      <w:r w:rsidRPr="000A36AF">
        <w:t xml:space="preserve"> по имейл. Следвайки направените от външния верификатор коментари, техническия експерт в ЗИП актуализира информацията и въвежда преработената версия на Техническия отчет в ИСУН 2020 в разумен срок указан от външния верификатор, считано от  получаването на имейла със забележки и  препоръки. </w:t>
      </w:r>
    </w:p>
    <w:p w14:paraId="580032FA" w14:textId="77777777" w:rsidR="000A36AF" w:rsidRPr="000A36AF" w:rsidRDefault="000A36AF" w:rsidP="000A36AF">
      <w:r w:rsidRPr="000A36AF">
        <w:t>При подаване на нова версия на Технически отчет към Пакет отчетни документи в ИСУН 2020, новата версия на Технически отчет следва да съдържа цялата необходима за верификацията коректна документация (данни и прикачени документи), като некоректните документи, станали причина за връщане се изключват от новата версия, а се включват коригираните такива. В случай, че се налага корекция  на част от документи в един файл (например добавяне, промяна на документ, нечетливо копие и др.) на предишна версия, то в новата версия се въвежда изцяло нов коригиран сканиран файл, а стария задължително се изключва.</w:t>
      </w:r>
    </w:p>
    <w:p w14:paraId="1AB0970F" w14:textId="77777777" w:rsidR="000A36AF" w:rsidRPr="000A36AF" w:rsidRDefault="000A36AF" w:rsidP="000A36AF">
      <w:r w:rsidRPr="000A36AF">
        <w:t>Дипломираният експерт - счетоводител (външния верификатор), въвежда лично своите проверки в информационната система ИСУН 2020.</w:t>
      </w:r>
    </w:p>
    <w:p w14:paraId="039FE60E" w14:textId="77777777" w:rsidR="000A36AF" w:rsidRPr="000A36AF" w:rsidRDefault="000A36AF" w:rsidP="000A36AF"/>
    <w:p w14:paraId="28496521" w14:textId="77777777" w:rsidR="000A36AF" w:rsidRPr="000A36AF" w:rsidRDefault="000A36AF" w:rsidP="000A36AF">
      <w:r w:rsidRPr="000A36AF">
        <w:t>Одобряването на Техническия отчет се извършва чрез следните действия:</w:t>
      </w:r>
    </w:p>
    <w:p w14:paraId="22B965C0" w14:textId="77777777" w:rsidR="000A36AF" w:rsidRPr="000A36AF" w:rsidRDefault="000A36AF" w:rsidP="000A36AF">
      <w:pPr>
        <w:tabs>
          <w:tab w:val="left" w:pos="1134"/>
        </w:tabs>
      </w:pPr>
      <w:r w:rsidRPr="000A36AF">
        <w:t>-</w:t>
      </w:r>
      <w:r w:rsidRPr="000A36AF">
        <w:tab/>
        <w:t>Верифициране на индикаторите за изпълнение, като външният верификатор нанася одобрените стойности на индикаторите срещу въведените от техническия експерт в ЗИП, съгласно функционалностите на ИСУН 2020. В случай на необходимост, например при разминаване във въведените стойности на индикаторите от  ЗИП и одобрените стойности от външния верификатор, то той следва да запише коментари в доклада за верификация.</w:t>
      </w:r>
    </w:p>
    <w:p w14:paraId="3D814A85" w14:textId="77777777" w:rsidR="000A36AF" w:rsidRPr="000A36AF" w:rsidRDefault="000A36AF" w:rsidP="000A36AF">
      <w:pPr>
        <w:tabs>
          <w:tab w:val="left" w:pos="1134"/>
        </w:tabs>
      </w:pPr>
      <w:r w:rsidRPr="000A36AF">
        <w:t>-</w:t>
      </w:r>
      <w:r w:rsidRPr="000A36AF">
        <w:tab/>
        <w:t xml:space="preserve">Прикачване сканиран файл </w:t>
      </w:r>
      <w:r w:rsidRPr="000A36AF">
        <w:rPr>
          <w:b/>
        </w:rPr>
        <w:t xml:space="preserve">с доклада за верификация </w:t>
      </w:r>
      <w:r w:rsidRPr="000A36AF">
        <w:t xml:space="preserve">в раздел „Проверки“ на  модул „Мониторинг на пакет отчетни документи“, под – раздел „Проверка на технически отчет“. </w:t>
      </w:r>
    </w:p>
    <w:p w14:paraId="2414AD01" w14:textId="77777777" w:rsidR="000A36AF" w:rsidRPr="000A36AF" w:rsidRDefault="000A36AF" w:rsidP="000A36AF">
      <w:r w:rsidRPr="000A36AF">
        <w:t xml:space="preserve">Дипломираният експерт-счетоводител при етапа на верификацията на разходите по дадено </w:t>
      </w:r>
      <w:r w:rsidRPr="000A36AF">
        <w:rPr>
          <w:b/>
        </w:rPr>
        <w:t>междинно искане за плащане</w:t>
      </w:r>
      <w:r w:rsidRPr="000A36AF">
        <w:t xml:space="preserve"> преглежда техническия отчет и приложенията към него, а при  </w:t>
      </w:r>
      <w:r w:rsidRPr="000A36AF">
        <w:rPr>
          <w:b/>
        </w:rPr>
        <w:t>окончателното</w:t>
      </w:r>
      <w:r w:rsidRPr="000A36AF">
        <w:t xml:space="preserve"> искане за плащане преглежда и  приложения окончателен доклад </w:t>
      </w:r>
      <w:r w:rsidRPr="000A36AF">
        <w:lastRenderedPageBreak/>
        <w:t xml:space="preserve">съгласно </w:t>
      </w:r>
      <w:hyperlink r:id="rId291" w:tooltip="Окончателен доклад по проект" w:history="1">
        <w:r w:rsidRPr="000A36AF">
          <w:rPr>
            <w:i/>
            <w:color w:val="0000FF"/>
            <w:u w:val="single"/>
            <w:lang w:eastAsia="bg-BG"/>
          </w:rPr>
          <w:t>Приложение № 7.04</w:t>
        </w:r>
      </w:hyperlink>
      <w:r w:rsidRPr="000A36AF">
        <w:t xml:space="preserve">. В резултат на прегледа, като точка в доклада за верификация записва становище относно представения технически отчет, приложенията в полето „Опис на документите“ и окончателния доклад  по </w:t>
      </w:r>
      <w:hyperlink r:id="rId292" w:tooltip="Окончателен доклад по проект" w:history="1">
        <w:r w:rsidRPr="000A36AF">
          <w:rPr>
            <w:i/>
            <w:color w:val="0000FF"/>
            <w:u w:val="single"/>
            <w:lang w:eastAsia="bg-BG"/>
          </w:rPr>
          <w:t>Приложение № 7.04</w:t>
        </w:r>
      </w:hyperlink>
      <w:r w:rsidRPr="000A36AF">
        <w:t xml:space="preserve"> (при окончателно плащане), както и коментари при установени разминавания между отчетените от ЗИП и одобрените от външния верификатор индикатори. След извършените проверки, външният верификатор попълва контролите относно Техническия отчет в електронен контролен лист в ИСУН 2020, както следва: </w:t>
      </w:r>
    </w:p>
    <w:p w14:paraId="483DCD4A" w14:textId="77777777" w:rsidR="000A36AF" w:rsidRPr="000A36AF" w:rsidRDefault="000A36AF" w:rsidP="000A36AF">
      <w:r w:rsidRPr="000A36AF">
        <w:t>-</w:t>
      </w:r>
      <w:r w:rsidRPr="000A36AF">
        <w:tab/>
      </w:r>
      <w:hyperlink r:id="rId293" w:history="1">
        <w:r w:rsidRPr="000A36AF">
          <w:rPr>
            <w:i/>
            <w:color w:val="0000FF"/>
            <w:u w:val="single"/>
            <w:lang w:eastAsia="bg-BG"/>
          </w:rPr>
          <w:t>Приложение № 5.01.2.2</w:t>
        </w:r>
      </w:hyperlink>
      <w:r w:rsidRPr="000A36AF">
        <w:t xml:space="preserve"> –  при искане за междинно плащане (ИМП);</w:t>
      </w:r>
    </w:p>
    <w:p w14:paraId="05F96621" w14:textId="77777777" w:rsidR="000A36AF" w:rsidRPr="000A36AF" w:rsidRDefault="000A36AF" w:rsidP="000A36AF">
      <w:r w:rsidRPr="000A36AF">
        <w:t>-</w:t>
      </w:r>
      <w:r w:rsidRPr="000A36AF">
        <w:tab/>
      </w:r>
      <w:hyperlink r:id="rId294" w:history="1">
        <w:r w:rsidRPr="000A36AF">
          <w:rPr>
            <w:i/>
            <w:color w:val="0000FF"/>
            <w:u w:val="single"/>
            <w:lang w:eastAsia="bg-BG"/>
          </w:rPr>
          <w:t>Приложение № 5.01.3.2</w:t>
        </w:r>
      </w:hyperlink>
      <w:r w:rsidRPr="000A36AF">
        <w:t xml:space="preserve"> - при искане за окончателно  плащане (ИОП).</w:t>
      </w:r>
    </w:p>
    <w:p w14:paraId="4BCFB616" w14:textId="77777777" w:rsidR="00894E29" w:rsidRDefault="00894E29" w:rsidP="000A36AF">
      <w:pPr>
        <w:tabs>
          <w:tab w:val="left" w:pos="1134"/>
        </w:tabs>
        <w:rPr>
          <w:b/>
        </w:rPr>
      </w:pPr>
      <w:bookmarkStart w:id="1231" w:name="_Toc479775782"/>
    </w:p>
    <w:p w14:paraId="7A89495F" w14:textId="77777777" w:rsidR="000A36AF" w:rsidRPr="00135775" w:rsidRDefault="000A36AF" w:rsidP="006A6D08">
      <w:pPr>
        <w:pStyle w:val="Style3"/>
      </w:pPr>
      <w:r w:rsidRPr="00842ECC">
        <w:rPr>
          <w:lang w:val="bg-BG"/>
        </w:rPr>
        <w:t>Среща за отчитане на напредъка по проектите</w:t>
      </w:r>
      <w:bookmarkEnd w:id="1231"/>
    </w:p>
    <w:p w14:paraId="7FD0CA7A" w14:textId="217C91AC" w:rsidR="000A36AF" w:rsidRPr="000A36AF" w:rsidRDefault="000A36AF" w:rsidP="000A36AF">
      <w:r w:rsidRPr="000A36AF">
        <w:t xml:space="preserve">Периодично от УО се организира среща за отчитане на напредъка по проекти, финансирани по приоритетна ос „Техническа помощ” в случаите, по които УО е бенефициент по тях. Срещата има за цел извършването на мониторинг на изпълнението на проектите и дискусии по текущи въпроси и проблеми. Срещата се организира от отдел </w:t>
      </w:r>
      <w:r w:rsidR="00894E29" w:rsidRPr="000A36AF">
        <w:t>„</w:t>
      </w:r>
      <w:r w:rsidR="00894E29">
        <w:t>Наблюдение и оценка</w:t>
      </w:r>
      <w:r w:rsidR="00894E29" w:rsidRPr="000A36AF">
        <w:t>”</w:t>
      </w:r>
      <w:r w:rsidRPr="000A36AF">
        <w:t xml:space="preserve"> и се води от Директора на дирекция „Координация на програми и проекти” или от определен от него служител, като участие взимат ръководителите на ЗИП и/или други отговорни служители от ЗИП</w:t>
      </w:r>
      <w:r w:rsidR="003F3C0E">
        <w:t xml:space="preserve"> и началниците на отдели</w:t>
      </w:r>
      <w:r w:rsidRPr="000A36AF">
        <w:t xml:space="preserve">. </w:t>
      </w:r>
    </w:p>
    <w:p w14:paraId="07F4AC06" w14:textId="1AC57CE5" w:rsidR="000A36AF" w:rsidRDefault="000A36AF" w:rsidP="000A36AF">
      <w:r w:rsidRPr="000A36AF">
        <w:t xml:space="preserve">Отдел </w:t>
      </w:r>
      <w:r w:rsidR="00894E29" w:rsidRPr="000A36AF">
        <w:t>„</w:t>
      </w:r>
      <w:r w:rsidR="00894E29">
        <w:t>Наблюдение и оценка</w:t>
      </w:r>
      <w:r w:rsidR="00894E29" w:rsidRPr="000A36AF">
        <w:t>”</w:t>
      </w:r>
      <w:r w:rsidRPr="000A36AF">
        <w:t xml:space="preserve"> е отговорен за изготвянето на </w:t>
      </w:r>
      <w:r w:rsidR="003C65D0" w:rsidRPr="003C65D0">
        <w:t>кратко резюме с основните ключови моменти или поети ангажименти по време на срещата</w:t>
      </w:r>
      <w:r w:rsidR="003C65D0" w:rsidRPr="003C65D0" w:rsidDel="003C65D0">
        <w:t xml:space="preserve"> </w:t>
      </w:r>
      <w:r w:rsidRPr="000A36AF">
        <w:t xml:space="preserve">в рамките на 10 (десет)  работни дни след срещата. </w:t>
      </w:r>
      <w:r w:rsidR="003C65D0">
        <w:t>Документ</w:t>
      </w:r>
      <w:r w:rsidR="003C65D0" w:rsidRPr="000A36AF">
        <w:t xml:space="preserve">ът </w:t>
      </w:r>
      <w:r w:rsidRPr="000A36AF">
        <w:t xml:space="preserve">се подписва от изготвилия го служител, началника на отдел </w:t>
      </w:r>
      <w:r w:rsidR="00894E29" w:rsidRPr="000A36AF">
        <w:t>„</w:t>
      </w:r>
      <w:r w:rsidR="00894E29">
        <w:t>Наблюдение и оценка</w:t>
      </w:r>
      <w:r w:rsidR="00894E29" w:rsidRPr="000A36AF">
        <w:t>”</w:t>
      </w:r>
      <w:r w:rsidRPr="000A36AF">
        <w:t xml:space="preserve"> и се одобрява от директора на дирекция „Координация на програми и проекти“. По преценка на </w:t>
      </w:r>
      <w:r w:rsidR="003C65D0">
        <w:t>директора на дирекция КПП</w:t>
      </w:r>
      <w:r w:rsidRPr="000A36AF">
        <w:t xml:space="preserve"> проектът на </w:t>
      </w:r>
      <w:r w:rsidR="003C65D0">
        <w:t>резюмето</w:t>
      </w:r>
      <w:r w:rsidR="003C65D0" w:rsidRPr="000A36AF">
        <w:t xml:space="preserve"> </w:t>
      </w:r>
      <w:r w:rsidRPr="000A36AF">
        <w:t xml:space="preserve">от проведената периодична среща може да се разпространи до участниците в срещата, които трябва да изпратят коментари в срок до 5 (пет) работни дни след неговото изпращане. Отдел </w:t>
      </w:r>
      <w:r w:rsidR="00894E29" w:rsidRPr="000A36AF">
        <w:t>„</w:t>
      </w:r>
      <w:r w:rsidR="00894E29">
        <w:t>Наблюдение и оценка</w:t>
      </w:r>
      <w:r w:rsidR="00894E29" w:rsidRPr="000A36AF">
        <w:t>”</w:t>
      </w:r>
      <w:r w:rsidRPr="000A36AF">
        <w:t xml:space="preserve"> обобщава получените коментари в срок от </w:t>
      </w:r>
      <w:r w:rsidR="0075420D">
        <w:t>3</w:t>
      </w:r>
      <w:r w:rsidR="0075420D" w:rsidRPr="000A36AF">
        <w:t xml:space="preserve"> </w:t>
      </w:r>
      <w:r w:rsidRPr="000A36AF">
        <w:t>(т</w:t>
      </w:r>
      <w:r w:rsidR="0075420D">
        <w:t>ри</w:t>
      </w:r>
      <w:r w:rsidRPr="000A36AF">
        <w:t xml:space="preserve">)  работни дни, финализира </w:t>
      </w:r>
      <w:r w:rsidR="003C65D0">
        <w:t>документа</w:t>
      </w:r>
      <w:r w:rsidR="003C65D0" w:rsidRPr="000A36AF">
        <w:t xml:space="preserve"> </w:t>
      </w:r>
      <w:r w:rsidRPr="000A36AF">
        <w:t>и го разпространява до участниците.</w:t>
      </w:r>
    </w:p>
    <w:p w14:paraId="507825D7" w14:textId="77777777" w:rsidR="00443C21" w:rsidRPr="000A36AF" w:rsidRDefault="00443C21" w:rsidP="000A36AF"/>
    <w:p w14:paraId="2C5083C5" w14:textId="77777777" w:rsidR="000A36AF" w:rsidRPr="00842ECC" w:rsidRDefault="000A36AF" w:rsidP="000A36AF">
      <w:pPr>
        <w:numPr>
          <w:ilvl w:val="2"/>
          <w:numId w:val="273"/>
        </w:numPr>
        <w:tabs>
          <w:tab w:val="num" w:pos="360"/>
        </w:tabs>
        <w:spacing w:before="120" w:after="120"/>
        <w:ind w:left="0" w:firstLine="851"/>
        <w:contextualSpacing/>
        <w:outlineLvl w:val="3"/>
        <w:rPr>
          <w:b/>
          <w:szCs w:val="24"/>
        </w:rPr>
      </w:pPr>
      <w:r w:rsidRPr="00842ECC">
        <w:rPr>
          <w:b/>
          <w:szCs w:val="24"/>
        </w:rPr>
        <w:t>Проверки на място, извършване от външния верификатор</w:t>
      </w:r>
    </w:p>
    <w:p w14:paraId="27DBEE2A" w14:textId="77777777" w:rsidR="000A36AF" w:rsidRPr="000A36AF" w:rsidRDefault="000A36AF" w:rsidP="000A36AF">
      <w:r w:rsidRPr="000A36AF">
        <w:t>Проверките на място по проектите, финансирани по приоритетна ос „Техническа помощ” на Оперативна програма „Транспорт и транспортна инфраструктура”, по които УО е бенефициент, се извършват от дипломирания експерт-счетоводител, отговорен за верификацията на разходите. Проверка на място може да се извършва по време на изпълнението на проекта и / или в процеса на проверката на документите по проекта.  При одобрение на окончателното искане за плащане задължително се извършва проверка на място.</w:t>
      </w:r>
    </w:p>
    <w:p w14:paraId="3B4C93AE" w14:textId="77777777" w:rsidR="000A36AF" w:rsidRPr="000A36AF" w:rsidRDefault="000A36AF" w:rsidP="000A36AF">
      <w:r w:rsidRPr="000A36AF">
        <w:t>Дипломираният експерт - счетоводител (одитор) извършва проверките на място, като отчита спецификата на всеки проект и вида разходи по следния начин:</w:t>
      </w:r>
    </w:p>
    <w:p w14:paraId="03CA4C90" w14:textId="77777777" w:rsidR="000A36AF" w:rsidRPr="000A36AF" w:rsidRDefault="000A36AF" w:rsidP="000A36AF">
      <w:r w:rsidRPr="000A36AF">
        <w:t>•</w:t>
      </w:r>
      <w:r w:rsidRPr="000A36AF">
        <w:tab/>
        <w:t>по време на разглеждането на пакета от документи (в процеса на верификация на разходите), като в този случай резултатите от проверката на място се включват като отделна точка в доклада за верификация;</w:t>
      </w:r>
    </w:p>
    <w:p w14:paraId="02E7D555" w14:textId="77777777" w:rsidR="000A36AF" w:rsidRPr="000A36AF" w:rsidRDefault="000A36AF" w:rsidP="000A36AF">
      <w:r w:rsidRPr="000A36AF">
        <w:t>•</w:t>
      </w:r>
      <w:r w:rsidRPr="000A36AF">
        <w:tab/>
        <w:t xml:space="preserve">извън периода на разглеждане на пакет от документи по даден проект, като в този случай резултатите от проверката на място се представят в доклад от проверка на място. Срокът за изготвяне на доклада е до 10 работни дни от приключване на проверката. Докладът от проведената проверка на място съдържа целите на проверката на място, описание на областите, обхванати от проверката, направените заключения, констатации и свързаните с тях препоръки, проследяване изпълнението на предходни препоръки. </w:t>
      </w:r>
    </w:p>
    <w:p w14:paraId="12EFC705" w14:textId="77777777" w:rsidR="000A36AF" w:rsidRPr="000A36AF" w:rsidRDefault="000A36AF" w:rsidP="000A36AF">
      <w:r w:rsidRPr="000A36AF">
        <w:t xml:space="preserve">УО има право за допълнителни консултации и уточнения по представените препоръки от извършената проверка на място, както и в процеса на изпълнението на същите. </w:t>
      </w:r>
    </w:p>
    <w:p w14:paraId="13B2B395" w14:textId="77777777" w:rsidR="000A36AF" w:rsidRPr="000A36AF" w:rsidRDefault="000A36AF" w:rsidP="000A36AF">
      <w:r w:rsidRPr="000A36AF">
        <w:t xml:space="preserve">Когато проверката на място е извършена по време на разглеждането на пакета от документи (в процеса на верификация на разходите), външният верификатор включва резултатите от проверката на място като отделна точка в доклада за верификация и регистрира </w:t>
      </w:r>
      <w:r w:rsidRPr="000A36AF">
        <w:lastRenderedPageBreak/>
        <w:t xml:space="preserve">извършената проверка на място в ИСУН 2020 в модул „Проверки“, под – модул „Проверки на място“. В ИСУН 2020  попълва полетата за констатации, препоръки и сроковете им за изпълнение в съответните раздели. След извършената проверка на място, външният верификатор попълва електронен контролен лист в ИСУН 2020, съгласно </w:t>
      </w:r>
      <w:hyperlink r:id="rId295" w:tooltip="Контролен лист - провеждане на проверка на място от външен верификатор когато УО е бенефициент по ОПТТИ" w:history="1">
        <w:r w:rsidRPr="000A36AF">
          <w:rPr>
            <w:i/>
            <w:color w:val="0000FF"/>
            <w:u w:val="single"/>
            <w:lang w:eastAsia="bg-BG"/>
          </w:rPr>
          <w:t>Приложение № 7.06.2</w:t>
        </w:r>
      </w:hyperlink>
      <w:r w:rsidRPr="000A36AF">
        <w:t>. Докладът за верификацияи други документи, касаещи проверката на място се прикачват като  сканирани файлове в модул „Проверки“, под – модул „Проверки на място“, раздел „Документи“ на  ИСУН 2020.</w:t>
      </w:r>
    </w:p>
    <w:p w14:paraId="49A01E6A" w14:textId="58646550" w:rsidR="000A36AF" w:rsidRPr="000A36AF" w:rsidRDefault="000A36AF" w:rsidP="000A36AF">
      <w:r w:rsidRPr="000A36AF">
        <w:t xml:space="preserve">Когато проверката на място е извършена извън периода на разглеждане на пакет от документи, външният верификатор изготвя доклад от проверка на място  и регистрира извършената проверка на място в ИСУН 2020 в модул „Проверки“, подмодул „Проверки на място“. В ИСУН 2020  попълва полетата за констатации, препоръки и сроковете им за изпълнение в съответните раздели. След извършената проверка на място, външният верификатор попълва електронен контролен лист в ИСУН 20202, съгласно </w:t>
      </w:r>
      <w:hyperlink r:id="rId296" w:tooltip="Контролен лист - провеждане на проверка на място от външен верификатор когато УО е бенефициент по ОПТТИ" w:history="1">
        <w:r w:rsidRPr="000A36AF">
          <w:rPr>
            <w:i/>
            <w:color w:val="0000FF"/>
            <w:u w:val="single"/>
            <w:lang w:eastAsia="bg-BG"/>
          </w:rPr>
          <w:t>Приложение № 7.06.2</w:t>
        </w:r>
      </w:hyperlink>
      <w:r w:rsidRPr="000A36AF">
        <w:t>. Докладът  от проверка на мястои други документи, касаещи проверката на място се прикачват като  сканирани файлове в модул „Проверки“, под модул „Проверки на място“, раздел „Документи“ на  ИСУН 2020.</w:t>
      </w:r>
    </w:p>
    <w:p w14:paraId="1EBBA6B2" w14:textId="77777777" w:rsidR="000A36AF" w:rsidRPr="000A36AF" w:rsidRDefault="000A36AF" w:rsidP="000A36AF">
      <w:r w:rsidRPr="000A36AF">
        <w:t xml:space="preserve">Проверката на място включва верификация на индикаторите за изпълнение. Външният верификатор трябва да установи верността на отчетените от ЗИП индикатори за изпълнение, като потвърди правилността на отчитане и изчисление. Контролите, които следва да попълни Външния верификатор са посочени в </w:t>
      </w:r>
      <w:hyperlink r:id="rId297" w:tooltip="Контролен лист - провеждане на проверка на място от външен верификатор когато УО е бенефициент по ОПТТИ" w:history="1">
        <w:r w:rsidRPr="000A36AF">
          <w:rPr>
            <w:i/>
            <w:color w:val="0000FF"/>
            <w:u w:val="single"/>
            <w:lang w:eastAsia="bg-BG"/>
          </w:rPr>
          <w:t>Приложение № 7.06.2</w:t>
        </w:r>
      </w:hyperlink>
      <w:r w:rsidRPr="000A36AF">
        <w:t>.</w:t>
      </w:r>
    </w:p>
    <w:p w14:paraId="1FF6BA81" w14:textId="77777777" w:rsidR="000A36AF" w:rsidRPr="000A36AF" w:rsidRDefault="000A36AF" w:rsidP="000A36AF">
      <w:r w:rsidRPr="000A36AF">
        <w:t>Ако в резултат от проверката на място, дипломираният експерт – счетоводител е направил препоръки, Звеното за изпълнение на проекта (ЗИП) е отговорно за изпълнение на препоръките и отчитане на изпълнението им. Когато препоръките са свързани с въпроси, които са извън компетенциите на УО, ЗИП изготвя необходимата кореспонденция до ръководителя на отговорната структура, от името на Ръководителя на УО. При необходимост, могат да се организират и работни срещи със заинтересованите страни.</w:t>
      </w:r>
    </w:p>
    <w:p w14:paraId="575DB769" w14:textId="77777777" w:rsidR="000A36AF" w:rsidRPr="000A36AF" w:rsidRDefault="000A36AF" w:rsidP="000A36AF">
      <w:r w:rsidRPr="000A36AF">
        <w:t>Външният верификатор отразява промяната в статуса на изпълнението на дадена препоръка в ИСУН 2020 в срок от 3 работни дни от представянето на доказателства от страна на ЗИП за изпълнението на препоръката и като в допълнение прикачва доказателствения материал.</w:t>
      </w:r>
    </w:p>
    <w:p w14:paraId="41521B19" w14:textId="77777777" w:rsidR="000A36AF" w:rsidRPr="000A36AF" w:rsidRDefault="000A36AF" w:rsidP="000A36AF">
      <w:r w:rsidRPr="000A36AF">
        <w:t>Оценката за изпълнението на направените препоръки се извършва от дипломирания експерт - счетоводител при извършване на следващи проверки на място по проекта и/или проектите за които се отнася препоръката. Дипломираният експерт - счетоводител проследява изпълнението на предходните препоръки, като описва документите и фактите, на базата на които препоръката е изпълнена, в процес на изпълнение или неизпълнена. В случаите, когато препоръките не са валидни вече, поради промяна на обстоятелствата, те могат да отпаднат.</w:t>
      </w:r>
    </w:p>
    <w:p w14:paraId="05E673C3" w14:textId="77777777" w:rsidR="000A36AF" w:rsidRPr="000A36AF" w:rsidRDefault="000A36AF" w:rsidP="000A36AF">
      <w:r w:rsidRPr="000A36AF">
        <w:t>В случаите, когато проектът е приключил и съществуват неизпълнени препоръки, дипломираният експерт - счетоводител има ангажимент за проследяването им, при извършването на проверки на място на засегнатите проекти, съгласно сключения между него и УО на ОПТТИ договор.</w:t>
      </w:r>
    </w:p>
    <w:p w14:paraId="74F3C5F8" w14:textId="77777777" w:rsidR="000A36AF" w:rsidRPr="000A36AF" w:rsidRDefault="000A36AF" w:rsidP="000A36AF"/>
    <w:bookmarkEnd w:id="1206"/>
    <w:p w14:paraId="46FEBBE5" w14:textId="77777777" w:rsidR="00D603F5" w:rsidRPr="001B0EA3" w:rsidRDefault="00D603F5" w:rsidP="00983C39"/>
    <w:p w14:paraId="357B2353" w14:textId="77777777" w:rsidR="00D603F5" w:rsidRPr="00A110A4" w:rsidRDefault="00D603F5" w:rsidP="00F058E0">
      <w:pPr>
        <w:pStyle w:val="Style1"/>
      </w:pPr>
      <w:bookmarkStart w:id="1232" w:name="_Toc479775788"/>
      <w:bookmarkStart w:id="1233" w:name="_Toc140150277"/>
      <w:r w:rsidRPr="00A110A4">
        <w:t>УПРАВЛЕНИЕ НА ДОКУМЕНТООБОРОТА И АРХИВА</w:t>
      </w:r>
      <w:bookmarkEnd w:id="1232"/>
      <w:bookmarkEnd w:id="1233"/>
    </w:p>
    <w:p w14:paraId="5006E68B" w14:textId="77777777" w:rsidR="00D603F5" w:rsidRPr="001B0EA3" w:rsidRDefault="00D603F5" w:rsidP="00983C39">
      <w:pPr>
        <w:rPr>
          <w:snapToGrid w:val="0"/>
        </w:rPr>
      </w:pPr>
      <w:r w:rsidRPr="001B0EA3">
        <w:rPr>
          <w:snapToGrid w:val="0"/>
        </w:rPr>
        <w:t xml:space="preserve">Досието по процедурата се предоставя при необходимост и при поискване на вътрешните за организацията, националните и европейските съдебни, одитни и контролни органи, включително на Сертифициращия орган по ЕФРР и КФ на Европейския съюз, на Съвета за координация в борбата с правонарушенията, засягащи финансовите интереси на Европейските общности (AFCOS), на Европейската комисия, както и на Европейската служба за борба с измамите (OLAF). </w:t>
      </w:r>
    </w:p>
    <w:p w14:paraId="33C72F99" w14:textId="77777777" w:rsidR="001B19AE" w:rsidRDefault="001B19AE" w:rsidP="001B19AE">
      <w:pPr>
        <w:rPr>
          <w:snapToGrid w:val="0"/>
        </w:rPr>
      </w:pPr>
      <w:r w:rsidRPr="001B0EA3">
        <w:rPr>
          <w:snapToGrid w:val="0"/>
        </w:rPr>
        <w:t xml:space="preserve">За да се създадат адекватни одитни пътеки (на хартиен и/или електронен носител) и за да се осигури лесното намиране на документите по всяко време от оторизирано лице, трябва </w:t>
      </w:r>
      <w:r w:rsidRPr="001B0EA3">
        <w:rPr>
          <w:snapToGrid w:val="0"/>
        </w:rPr>
        <w:lastRenderedPageBreak/>
        <w:t xml:space="preserve">да бъдат създадени система за архивиране на хартиен носител (за документите на хартиен носител), както и електронна система за архивиране. </w:t>
      </w:r>
    </w:p>
    <w:p w14:paraId="7B79D6E5" w14:textId="77777777" w:rsidR="001B19AE" w:rsidRPr="001B0EA3" w:rsidRDefault="001B19AE" w:rsidP="001B19AE">
      <w:pPr>
        <w:rPr>
          <w:snapToGrid w:val="0"/>
        </w:rPr>
      </w:pPr>
    </w:p>
    <w:p w14:paraId="0C3618FD" w14:textId="77777777" w:rsidR="001B19AE" w:rsidRDefault="001B19AE" w:rsidP="001B19AE">
      <w:pPr>
        <w:rPr>
          <w:snapToGrid w:val="0"/>
        </w:rPr>
      </w:pPr>
      <w:r w:rsidRPr="001B0EA3">
        <w:rPr>
          <w:snapToGrid w:val="0"/>
        </w:rPr>
        <w:t xml:space="preserve">Всички служители в УО на ОПТТИ са отговорни за документите, които съхраняват по време на изпълнение на ежедневната си работа, и гарантират за спазване на вътрешните правила и процедури за съхранение на документи. </w:t>
      </w:r>
    </w:p>
    <w:p w14:paraId="126956E3" w14:textId="77777777" w:rsidR="001B19AE" w:rsidRDefault="001B19AE" w:rsidP="001B19AE">
      <w:pPr>
        <w:rPr>
          <w:snapToGrid w:val="0"/>
        </w:rPr>
      </w:pPr>
    </w:p>
    <w:p w14:paraId="6E37060C" w14:textId="77777777" w:rsidR="001B19AE" w:rsidRPr="001B0EA3" w:rsidRDefault="001B19AE" w:rsidP="001B19AE">
      <w:pPr>
        <w:rPr>
          <w:snapToGrid w:val="0"/>
        </w:rPr>
      </w:pPr>
      <w:r>
        <w:rPr>
          <w:snapToGrid w:val="0"/>
        </w:rPr>
        <w:t xml:space="preserve">Електронните документи, внесени в ИСУН 2020, се считат за внесени в </w:t>
      </w:r>
      <w:r w:rsidRPr="001B0EA3">
        <w:rPr>
          <w:snapToGrid w:val="0"/>
        </w:rPr>
        <w:t>електронна система за архивиране</w:t>
      </w:r>
      <w:r>
        <w:rPr>
          <w:snapToGrid w:val="0"/>
        </w:rPr>
        <w:t xml:space="preserve">. Отговорност за сигурността на ИСУН 2020 носи екипът на ИСУН. </w:t>
      </w:r>
    </w:p>
    <w:p w14:paraId="4FEFF46B" w14:textId="77777777" w:rsidR="00D603F5" w:rsidRPr="001B0EA3" w:rsidRDefault="00D603F5" w:rsidP="00660856">
      <w:pPr>
        <w:ind w:firstLine="708"/>
        <w:rPr>
          <w:color w:val="000000"/>
          <w:szCs w:val="24"/>
          <w:lang w:eastAsia="bg-BG"/>
        </w:rPr>
      </w:pPr>
    </w:p>
    <w:p w14:paraId="438082AA" w14:textId="77777777" w:rsidR="00D603F5" w:rsidRPr="00842ECC" w:rsidRDefault="00D603F5" w:rsidP="00B502C7">
      <w:pPr>
        <w:pStyle w:val="Style2"/>
        <w:rPr>
          <w:snapToGrid w:val="0"/>
          <w:lang w:val="bg-BG"/>
        </w:rPr>
      </w:pPr>
      <w:bookmarkStart w:id="1234" w:name="_Toc407012729"/>
      <w:bookmarkStart w:id="1235" w:name="_Toc479775789"/>
      <w:bookmarkStart w:id="1236" w:name="_Toc140150278"/>
      <w:r w:rsidRPr="00842ECC">
        <w:rPr>
          <w:snapToGrid w:val="0"/>
          <w:lang w:val="bg-BG"/>
        </w:rPr>
        <w:t>Указания за периода, за който документите следва да се съхраняват</w:t>
      </w:r>
      <w:bookmarkEnd w:id="1234"/>
      <w:bookmarkEnd w:id="1235"/>
      <w:bookmarkEnd w:id="1236"/>
    </w:p>
    <w:p w14:paraId="34218CC6" w14:textId="77777777" w:rsidR="00782434" w:rsidRPr="001B0EA3" w:rsidRDefault="00782434" w:rsidP="00983C39">
      <w:pPr>
        <w:rPr>
          <w:lang w:eastAsia="bg-BG"/>
        </w:rPr>
      </w:pPr>
      <w:r w:rsidRPr="001B0EA3">
        <w:rPr>
          <w:lang w:eastAsia="bg-BG"/>
        </w:rPr>
        <w:t>Според чл. 140 на Регламент (ЕС) № 1303 от 17.12.2013 г. без да се засягат правилата, уреждащи държавните помощи, УО на ОПТТИ гарантира, че всички разходооправдателни документи за разходи по линия на фондовете за операциите, за които сумата на допустимите разходи не надвишава 1 000 000 евро, са на разположение на Комисията и на Европейската сметна палата при поискване за период от три години, считано от 31 декември след предаването на отчетите, в които са включени разходите по операцията.</w:t>
      </w:r>
    </w:p>
    <w:p w14:paraId="062259AE" w14:textId="77777777" w:rsidR="00782434" w:rsidRPr="001B0EA3" w:rsidRDefault="00782434" w:rsidP="00983C39">
      <w:pPr>
        <w:rPr>
          <w:lang w:eastAsia="bg-BG"/>
        </w:rPr>
      </w:pPr>
      <w:r w:rsidRPr="001B0EA3">
        <w:rPr>
          <w:lang w:eastAsia="bg-BG"/>
        </w:rPr>
        <w:t>При операции, различни от тези, посочени в параграф 1 на чл. 140 от Регламент (ЕС) №1303 от 17.12.2013 г., всички удостоверителни документи се предоставят за период от две години, считано от 31 декември след представянето на отчетите, в които са включени окончателните разходи по приключената операция.</w:t>
      </w:r>
    </w:p>
    <w:p w14:paraId="6ED72234" w14:textId="77777777" w:rsidR="00782434" w:rsidRPr="001B0EA3" w:rsidRDefault="00782434" w:rsidP="00983C39">
      <w:pPr>
        <w:rPr>
          <w:lang w:eastAsia="bg-BG"/>
        </w:rPr>
      </w:pPr>
      <w:r w:rsidRPr="001B0EA3">
        <w:rPr>
          <w:lang w:eastAsia="bg-BG"/>
        </w:rPr>
        <w:t>УО на ОПТТИ може да реши да приложи за операции, за които общите допустими разходи не надвишават 1 000 000 евро, правилото, посочено в параграф 2 на чл. 140 от Регламент (ЕС) №1303 от 17.12.2013 г.</w:t>
      </w:r>
    </w:p>
    <w:p w14:paraId="4E48155C" w14:textId="77777777" w:rsidR="00782434" w:rsidRPr="001B0EA3" w:rsidRDefault="00782434" w:rsidP="00983C39">
      <w:pPr>
        <w:rPr>
          <w:lang w:eastAsia="bg-BG"/>
        </w:rPr>
      </w:pPr>
      <w:r w:rsidRPr="001B0EA3">
        <w:rPr>
          <w:lang w:eastAsia="bg-BG"/>
        </w:rPr>
        <w:t>Периодът, посочен в първата алинея на чл. 140 от Регламент (ЕС) №1303 от 17.12.2013 г., се прекъсва в случай на съдебно производство или при надлежно обосновано искане на Комисията.</w:t>
      </w:r>
    </w:p>
    <w:p w14:paraId="3E6836A0" w14:textId="77777777" w:rsidR="00782434" w:rsidRPr="001B0EA3" w:rsidRDefault="00782434" w:rsidP="00983C39">
      <w:pPr>
        <w:rPr>
          <w:lang w:eastAsia="bg-BG"/>
        </w:rPr>
      </w:pPr>
      <w:r w:rsidRPr="001B0EA3">
        <w:rPr>
          <w:lang w:eastAsia="bg-BG"/>
        </w:rPr>
        <w:t>УО на ОПТТИ информира бенефициентите за началната дата на периода, посочен в параграф 1 на чл. 140 от Регламент (ЕС) №1303 от 17.12.2013 г.</w:t>
      </w:r>
    </w:p>
    <w:p w14:paraId="3F04678D" w14:textId="77777777" w:rsidR="00782434" w:rsidRPr="001B0EA3" w:rsidRDefault="00782434" w:rsidP="00983C39">
      <w:pPr>
        <w:rPr>
          <w:color w:val="000000"/>
          <w:lang w:eastAsia="bg-BG"/>
        </w:rPr>
      </w:pPr>
      <w:r w:rsidRPr="001B0EA3">
        <w:rPr>
          <w:color w:val="000000"/>
          <w:lang w:eastAsia="bg-BG"/>
        </w:rPr>
        <w:t>Документите се съхраняват под формата на оригинали или заверени копия на оригиналите или на общоприети носители на информация, включително електронни версии на оригинални документи или документи, съществуващи единствено в електронна версия.</w:t>
      </w:r>
    </w:p>
    <w:p w14:paraId="27055461" w14:textId="77777777" w:rsidR="00782434" w:rsidRPr="001B0EA3" w:rsidRDefault="00782434" w:rsidP="00983C39">
      <w:pPr>
        <w:rPr>
          <w:color w:val="000000"/>
          <w:lang w:eastAsia="bg-BG"/>
        </w:rPr>
      </w:pPr>
      <w:r w:rsidRPr="001B0EA3">
        <w:rPr>
          <w:color w:val="000000"/>
          <w:lang w:eastAsia="bg-BG"/>
        </w:rPr>
        <w:t>Документите се съхраняват във форма, която позволява идентифицирането на самоличността на субектите на данните в продължение на срок, чиято продължителност не надвишава необходимата за целите, за които данните са събрани или обработени впоследствие.</w:t>
      </w:r>
    </w:p>
    <w:p w14:paraId="1282E402" w14:textId="77777777" w:rsidR="00782434" w:rsidRPr="001B0EA3" w:rsidRDefault="00782434" w:rsidP="00983C39">
      <w:pPr>
        <w:rPr>
          <w:color w:val="000000"/>
          <w:lang w:eastAsia="bg-BG"/>
        </w:rPr>
      </w:pPr>
      <w:r w:rsidRPr="001B0EA3">
        <w:rPr>
          <w:color w:val="000000"/>
          <w:lang w:eastAsia="bg-BG"/>
        </w:rPr>
        <w:t>Процедурата, по която се удостоверява, че документите, съхранявани на общоприети носители на данни, са верни с оригиналния документ, се определя от националните органи и трябва да гарантира, че съхраняваните версии отговарят на националните правни изисквания и на тях може да се разчита за целите на одита.</w:t>
      </w:r>
    </w:p>
    <w:p w14:paraId="4271E13D" w14:textId="77777777" w:rsidR="00782434" w:rsidRPr="001B0EA3" w:rsidRDefault="00782434" w:rsidP="00983C39">
      <w:pPr>
        <w:rPr>
          <w:lang w:eastAsia="bg-BG"/>
        </w:rPr>
      </w:pPr>
      <w:r w:rsidRPr="001B0EA3">
        <w:rPr>
          <w:lang w:eastAsia="bg-BG"/>
        </w:rPr>
        <w:t>Когато документите съществуват единствено в електронна форма, използваните компютърни системи отговарят на приетите стандарти за сигурност, които гарантират, че съхраняваните документи отговарят на националните законови изисквания и на тях може да се разчита за целите на одита.</w:t>
      </w:r>
    </w:p>
    <w:p w14:paraId="25DACA10" w14:textId="77777777" w:rsidR="00782434" w:rsidRPr="001B0EA3" w:rsidRDefault="00782434" w:rsidP="00983C39">
      <w:pPr>
        <w:rPr>
          <w:lang w:eastAsia="bg-BG"/>
        </w:rPr>
      </w:pPr>
      <w:r w:rsidRPr="001B0EA3">
        <w:rPr>
          <w:b/>
          <w:lang w:eastAsia="bg-BG"/>
        </w:rPr>
        <w:t>Закона за държавните помощи</w:t>
      </w:r>
      <w:r w:rsidRPr="001B0EA3">
        <w:rPr>
          <w:lang w:eastAsia="bg-BG"/>
        </w:rPr>
        <w:t xml:space="preserve"> урежда условията, реда и процедурите по уведомяване съгласно чл. 88, ал. 3 от Договора за създаване на Европейската общност за предоставяне на държавни помощи, категориите държавни помощи, съвместими с Общия пазар, задължението за докладване, събиране и съхраняване на данни, както и преценката за съответствието на държавните помощи, за които не е задължително да бъде уведомявана Европейската комисия. </w:t>
      </w:r>
    </w:p>
    <w:p w14:paraId="558686AD" w14:textId="77777777" w:rsidR="00782434" w:rsidRPr="001B0EA3" w:rsidRDefault="00782434" w:rsidP="00983C39">
      <w:pPr>
        <w:rPr>
          <w:lang w:eastAsia="bg-BG"/>
        </w:rPr>
      </w:pPr>
      <w:r w:rsidRPr="001B0EA3">
        <w:rPr>
          <w:lang w:eastAsia="bg-BG"/>
        </w:rPr>
        <w:lastRenderedPageBreak/>
        <w:t>Администраторът на помощта предоставя обобщена информация за предоставените държавни помощи, включително за тези, които представляват групово освобождаване, както и за минималните помощи на министъра на финансите. Информацията се  въвежда, обработва и съхранява в регистри и архиви и съдържа:</w:t>
      </w:r>
    </w:p>
    <w:p w14:paraId="24E983E6" w14:textId="77777777" w:rsidR="00782434" w:rsidRPr="001B0EA3" w:rsidRDefault="00782434" w:rsidP="00125DAC">
      <w:pPr>
        <w:ind w:left="851" w:hanging="284"/>
        <w:rPr>
          <w:szCs w:val="24"/>
          <w:lang w:eastAsia="bg-BG"/>
        </w:rPr>
      </w:pPr>
      <w:r w:rsidRPr="001B0EA3">
        <w:rPr>
          <w:szCs w:val="24"/>
          <w:lang w:eastAsia="bg-BG"/>
        </w:rPr>
        <w:t>1. всички постъпили уведомления, включително изпратените до Европейската комисия;</w:t>
      </w:r>
    </w:p>
    <w:p w14:paraId="2D75DB5C" w14:textId="77777777" w:rsidR="00782434" w:rsidRPr="001B0EA3" w:rsidRDefault="00782434" w:rsidP="00125DAC">
      <w:pPr>
        <w:ind w:left="851" w:hanging="284"/>
        <w:rPr>
          <w:szCs w:val="24"/>
          <w:lang w:eastAsia="bg-BG"/>
        </w:rPr>
      </w:pPr>
      <w:r w:rsidRPr="001B0EA3">
        <w:rPr>
          <w:szCs w:val="24"/>
          <w:lang w:eastAsia="bg-BG"/>
        </w:rPr>
        <w:t>2. решенията на Европейската комисия за схемите за държавна помощ и индивидуалните държавни помощи;</w:t>
      </w:r>
    </w:p>
    <w:p w14:paraId="1D6D12DE" w14:textId="77777777" w:rsidR="00782434" w:rsidRPr="001B0EA3" w:rsidRDefault="00782434" w:rsidP="00125DAC">
      <w:pPr>
        <w:ind w:left="851" w:hanging="284"/>
        <w:rPr>
          <w:szCs w:val="24"/>
          <w:lang w:eastAsia="bg-BG"/>
        </w:rPr>
      </w:pPr>
      <w:r w:rsidRPr="001B0EA3">
        <w:rPr>
          <w:szCs w:val="24"/>
          <w:lang w:eastAsia="bg-BG"/>
        </w:rPr>
        <w:t>3. предоставените минимални помощи;</w:t>
      </w:r>
    </w:p>
    <w:p w14:paraId="7C799C32" w14:textId="77777777" w:rsidR="00782434" w:rsidRPr="001B0EA3" w:rsidRDefault="00782434" w:rsidP="00125DAC">
      <w:pPr>
        <w:ind w:left="851" w:hanging="284"/>
        <w:rPr>
          <w:szCs w:val="24"/>
          <w:lang w:eastAsia="bg-BG"/>
        </w:rPr>
      </w:pPr>
      <w:r w:rsidRPr="001B0EA3">
        <w:rPr>
          <w:szCs w:val="24"/>
          <w:lang w:eastAsia="bg-BG"/>
        </w:rPr>
        <w:t>4. помощите, попадащи в обхвата на груповото освобождаване;</w:t>
      </w:r>
    </w:p>
    <w:p w14:paraId="606A2A4A" w14:textId="77777777" w:rsidR="00782434" w:rsidRPr="001B0EA3" w:rsidRDefault="00782434" w:rsidP="00125DAC">
      <w:pPr>
        <w:ind w:left="851" w:hanging="284"/>
        <w:rPr>
          <w:szCs w:val="24"/>
          <w:lang w:eastAsia="bg-BG"/>
        </w:rPr>
      </w:pPr>
      <w:r w:rsidRPr="001B0EA3">
        <w:rPr>
          <w:szCs w:val="24"/>
          <w:lang w:eastAsia="bg-BG"/>
        </w:rPr>
        <w:t>5. други данни, необходими за наблюдението и прозрачността на държавните помощи.</w:t>
      </w:r>
    </w:p>
    <w:p w14:paraId="63E54A19" w14:textId="77777777" w:rsidR="00782434" w:rsidRPr="001B0EA3" w:rsidRDefault="00782434" w:rsidP="00983C39">
      <w:pPr>
        <w:rPr>
          <w:lang w:eastAsia="bg-BG"/>
        </w:rPr>
      </w:pPr>
      <w:r w:rsidRPr="001B0EA3">
        <w:rPr>
          <w:lang w:eastAsia="bg-BG"/>
        </w:rPr>
        <w:t>Администраторът на помощ води и поддържа собствени регистри на държавните и минималните помощи, като отговаря за достоверността на данните в тях, и при поискване осигурява достъп на представител на министъра на финансите, до този регистър.</w:t>
      </w:r>
    </w:p>
    <w:p w14:paraId="6E588C87" w14:textId="77777777" w:rsidR="00782434" w:rsidRPr="001B0EA3" w:rsidRDefault="00782434" w:rsidP="00983C39">
      <w:pPr>
        <w:rPr>
          <w:lang w:eastAsia="bg-BG"/>
        </w:rPr>
      </w:pPr>
      <w:r w:rsidRPr="001B0EA3">
        <w:rPr>
          <w:lang w:eastAsia="bg-BG"/>
        </w:rPr>
        <w:t xml:space="preserve">Информацията за държавните и минималните помощи се съхранява </w:t>
      </w:r>
      <w:r w:rsidRPr="001B0EA3">
        <w:rPr>
          <w:b/>
          <w:lang w:eastAsia="bg-BG"/>
        </w:rPr>
        <w:t>за срок от 10 години,</w:t>
      </w:r>
      <w:r w:rsidRPr="001B0EA3">
        <w:rPr>
          <w:lang w:eastAsia="bg-BG"/>
        </w:rPr>
        <w:t xml:space="preserve"> считано от датата на последното плащане по схемата или по индивидуално предоставената помощ</w:t>
      </w:r>
      <w:r w:rsidRPr="001B0EA3">
        <w:rPr>
          <w:vertAlign w:val="superscript"/>
          <w:lang w:eastAsia="bg-BG"/>
        </w:rPr>
        <w:footnoteReference w:id="61"/>
      </w:r>
      <w:r w:rsidRPr="001B0EA3">
        <w:rPr>
          <w:lang w:eastAsia="bg-BG"/>
        </w:rPr>
        <w:t>.</w:t>
      </w:r>
    </w:p>
    <w:p w14:paraId="56140303" w14:textId="77777777" w:rsidR="00782434" w:rsidRPr="001B0EA3" w:rsidRDefault="00782434" w:rsidP="00983C39">
      <w:pPr>
        <w:rPr>
          <w:color w:val="000000"/>
          <w:lang w:eastAsia="bg-BG"/>
        </w:rPr>
      </w:pPr>
      <w:r w:rsidRPr="001B0EA3">
        <w:rPr>
          <w:color w:val="000000"/>
          <w:lang w:eastAsia="bg-BG"/>
        </w:rPr>
        <w:t>Досието по процедурата се предоставя при необходимост и при поискване на вътрешните за организацията, националните и европейските съдебни, одитни и контролни органи, включително на Сертифициращия орган по ЕФРР и КФ на Европейския съюз, на Съвета за координация в борбата с правонарушенията, засягащи финансовите интереси на Европейските общности (AFCOS), на Европейската комисия, както и на Европейската служба за борба с измамите (OLAF).</w:t>
      </w:r>
    </w:p>
    <w:p w14:paraId="58C4808D" w14:textId="77777777" w:rsidR="00D603F5" w:rsidRPr="001B0EA3" w:rsidRDefault="00D603F5" w:rsidP="00125DAC">
      <w:pPr>
        <w:ind w:firstLine="720"/>
        <w:rPr>
          <w:b/>
          <w:szCs w:val="24"/>
          <w:lang w:eastAsia="bg-BG"/>
        </w:rPr>
      </w:pPr>
    </w:p>
    <w:p w14:paraId="058481BC" w14:textId="77777777" w:rsidR="00D603F5" w:rsidRPr="00842ECC" w:rsidRDefault="00D603F5" w:rsidP="00B502C7">
      <w:pPr>
        <w:pStyle w:val="Style2"/>
        <w:rPr>
          <w:snapToGrid w:val="0"/>
          <w:lang w:val="bg-BG"/>
        </w:rPr>
      </w:pPr>
      <w:bookmarkStart w:id="1237" w:name="_Toc407012730"/>
      <w:bookmarkStart w:id="1238" w:name="_Toc479775790"/>
      <w:bookmarkStart w:id="1239" w:name="_Toc140150279"/>
      <w:r w:rsidRPr="00842ECC">
        <w:rPr>
          <w:snapToGrid w:val="0"/>
          <w:lang w:val="bg-BG"/>
        </w:rPr>
        <w:t>Формат, в който следва да се съхраняват документите</w:t>
      </w:r>
      <w:bookmarkEnd w:id="1237"/>
      <w:bookmarkEnd w:id="1238"/>
      <w:bookmarkEnd w:id="1239"/>
    </w:p>
    <w:p w14:paraId="4771BAF9" w14:textId="77777777" w:rsidR="00D603F5" w:rsidRDefault="00D603F5" w:rsidP="00983C39">
      <w:pPr>
        <w:rPr>
          <w:color w:val="000000"/>
          <w:lang w:eastAsia="bg-BG"/>
        </w:rPr>
      </w:pPr>
      <w:r w:rsidRPr="001B0EA3">
        <w:t xml:space="preserve">УО на  ОПТТИ е длъжен да съхранява оригиналите на документите (технически и финансови) </w:t>
      </w:r>
      <w:r w:rsidRPr="001B0EA3">
        <w:rPr>
          <w:b/>
        </w:rPr>
        <w:t xml:space="preserve">на хартиен и на електронен носител, като </w:t>
      </w:r>
      <w:r w:rsidRPr="001B0EA3">
        <w:t xml:space="preserve">физическото съхранение на документацията се осъществява в осигурено архивно помещение с утвърдени правила за функциониране, отговорни лица  и указано  </w:t>
      </w:r>
      <w:r w:rsidRPr="001B0EA3">
        <w:rPr>
          <w:color w:val="000000"/>
          <w:lang w:eastAsia="bg-BG"/>
        </w:rPr>
        <w:t>местонахождение. Всички служители в УО на ОПТТИ са отговорни за документите, които съхраняват по време на изпълнение на ежедневната си работа, и гарантират за спазване на вътрешните правила и процедури за съхранение на документи.</w:t>
      </w:r>
    </w:p>
    <w:p w14:paraId="711ECCB4" w14:textId="77777777" w:rsidR="00D147F9" w:rsidRPr="001B0EA3" w:rsidRDefault="00D147F9" w:rsidP="00983C39">
      <w:pPr>
        <w:rPr>
          <w:color w:val="000000"/>
          <w:lang w:eastAsia="bg-BG"/>
        </w:rPr>
      </w:pPr>
      <w:r w:rsidRPr="00D147F9">
        <w:rPr>
          <w:color w:val="000000"/>
          <w:lang w:eastAsia="bg-BG"/>
        </w:rPr>
        <w:t>Електронните документи, внесени в ИСУН 2020, се считат за внесени в електронна система за архивиране.</w:t>
      </w:r>
    </w:p>
    <w:p w14:paraId="45A004F5" w14:textId="77777777" w:rsidR="00D603F5" w:rsidRPr="001B0EA3" w:rsidRDefault="00D603F5" w:rsidP="00983C39">
      <w:pPr>
        <w:rPr>
          <w:color w:val="000000"/>
          <w:lang w:eastAsia="bg-BG"/>
        </w:rPr>
      </w:pPr>
      <w:r w:rsidRPr="001B0EA3">
        <w:rPr>
          <w:color w:val="000000"/>
          <w:lang w:eastAsia="bg-BG"/>
        </w:rPr>
        <w:t>Документите се съхраняват под формата на оригинали или заверени копия на оригиналите или на общоприети носители на информация, включително електронни версии на оригинални документи или документи, съществуващи единствено в електронна версия.</w:t>
      </w:r>
    </w:p>
    <w:p w14:paraId="26EB16AD" w14:textId="77777777" w:rsidR="00D603F5" w:rsidRPr="001B0EA3" w:rsidRDefault="00D603F5" w:rsidP="00983C39">
      <w:pPr>
        <w:rPr>
          <w:color w:val="000000"/>
          <w:lang w:eastAsia="bg-BG"/>
        </w:rPr>
      </w:pPr>
      <w:r w:rsidRPr="001B0EA3">
        <w:rPr>
          <w:color w:val="000000"/>
          <w:lang w:eastAsia="bg-BG"/>
        </w:rPr>
        <w:t>Документите се съхраняват във форма, която позволява идентифицирането на самоличността на субектите на данните в продължение на срок, чиято продължителност не надвишава необходимата за целите, за които данните са събрани или обработени в последствие. Процедурата, по която се удостоверява, че документите, съхранявани на общоприети носители на данни, са верни с оригиналния документ, се определя от националните органи и трябва да гарантира, че съхраняваните версии отговарят на националните правни изисквания и на тях може да се разчита за целите на одита.</w:t>
      </w:r>
    </w:p>
    <w:p w14:paraId="23D1C55D" w14:textId="77777777" w:rsidR="00D603F5" w:rsidRPr="001B0EA3" w:rsidRDefault="00D603F5" w:rsidP="00983C39">
      <w:pPr>
        <w:rPr>
          <w:color w:val="000000"/>
        </w:rPr>
      </w:pPr>
      <w:r w:rsidRPr="001B0EA3">
        <w:rPr>
          <w:color w:val="000000"/>
          <w:lang w:eastAsia="bg-BG"/>
        </w:rPr>
        <w:t>Когато документите съществуват единствено в електронна форма, използваните компютърни системи отговарят на приетите стандарти за сигурност, които гарантират, че съхраняваните</w:t>
      </w:r>
      <w:r w:rsidRPr="001B0EA3">
        <w:rPr>
          <w:color w:val="000000"/>
        </w:rPr>
        <w:t xml:space="preserve"> документи отговарят на националните законови изисквания и на тях може да се разчита за целите на одита.</w:t>
      </w:r>
    </w:p>
    <w:p w14:paraId="418D4472" w14:textId="77777777" w:rsidR="00D603F5" w:rsidRPr="001B0EA3" w:rsidRDefault="00D603F5" w:rsidP="00983C39">
      <w:pPr>
        <w:rPr>
          <w:b/>
        </w:rPr>
      </w:pPr>
      <w:r w:rsidRPr="001B0EA3">
        <w:t xml:space="preserve">Документите, свързани с управлението на програмата като цяло и на всеки проект конкретно, следва да се съхраняват в </w:t>
      </w:r>
      <w:r w:rsidRPr="001B0EA3">
        <w:rPr>
          <w:b/>
        </w:rPr>
        <w:t>отделни досиета.</w:t>
      </w:r>
    </w:p>
    <w:p w14:paraId="6387A413" w14:textId="77777777" w:rsidR="00D603F5" w:rsidRDefault="00D603F5" w:rsidP="00983C39">
      <w:pPr>
        <w:rPr>
          <w:b/>
        </w:rPr>
      </w:pPr>
      <w:r w:rsidRPr="001B0EA3">
        <w:lastRenderedPageBreak/>
        <w:t>Документите в досието трябва да са картотекирани по начин, който улеснява</w:t>
      </w:r>
      <w:r w:rsidRPr="001B0EA3">
        <w:rPr>
          <w:b/>
        </w:rPr>
        <w:t xml:space="preserve"> ползването и проверката на документите.</w:t>
      </w:r>
    </w:p>
    <w:p w14:paraId="65AE64DC" w14:textId="77777777" w:rsidR="00983C39" w:rsidRPr="001B0EA3" w:rsidRDefault="00983C39" w:rsidP="00983C39">
      <w:pPr>
        <w:rPr>
          <w:b/>
        </w:rPr>
      </w:pPr>
    </w:p>
    <w:p w14:paraId="6E6044B4" w14:textId="77777777" w:rsidR="00D603F5" w:rsidRPr="001B0EA3" w:rsidRDefault="00D603F5" w:rsidP="00125DAC">
      <w:pPr>
        <w:spacing w:after="160"/>
        <w:rPr>
          <w:b/>
          <w:szCs w:val="24"/>
          <w:u w:val="single"/>
        </w:rPr>
      </w:pPr>
      <w:r w:rsidRPr="001B0EA3">
        <w:rPr>
          <w:b/>
          <w:szCs w:val="24"/>
          <w:u w:val="single"/>
        </w:rPr>
        <w:t>За всеки проект се изготвя досие, което трябва да съдържа цялата документация, свързана с управлението на проекта.</w:t>
      </w:r>
    </w:p>
    <w:p w14:paraId="7E38A619" w14:textId="77777777" w:rsidR="00D603F5" w:rsidRPr="001B0EA3" w:rsidRDefault="00D603F5" w:rsidP="00125DAC">
      <w:pPr>
        <w:spacing w:after="160"/>
        <w:rPr>
          <w:szCs w:val="24"/>
        </w:rPr>
      </w:pPr>
      <w:r w:rsidRPr="001B0EA3">
        <w:rPr>
          <w:szCs w:val="24"/>
        </w:rPr>
        <w:t xml:space="preserve">Документите в архива се приемат по график </w:t>
      </w:r>
      <w:r w:rsidRPr="001B0EA3">
        <w:rPr>
          <w:b/>
          <w:szCs w:val="24"/>
        </w:rPr>
        <w:t xml:space="preserve">след проверка и при наличие </w:t>
      </w:r>
      <w:r w:rsidRPr="001B0EA3">
        <w:rPr>
          <w:szCs w:val="24"/>
        </w:rPr>
        <w:t>на по листен опис и по класьори, на документите, изготвени от експертите отговарящи за управлението на проекта.</w:t>
      </w:r>
    </w:p>
    <w:p w14:paraId="5E48FEE6" w14:textId="77777777" w:rsidR="00D603F5" w:rsidRPr="001B0EA3" w:rsidRDefault="00D603F5" w:rsidP="00125DAC">
      <w:pPr>
        <w:rPr>
          <w:szCs w:val="24"/>
        </w:rPr>
      </w:pPr>
      <w:r w:rsidRPr="001B0EA3">
        <w:rPr>
          <w:b/>
          <w:szCs w:val="24"/>
          <w:u w:val="single"/>
        </w:rPr>
        <w:t xml:space="preserve">Примерна структура на  Проектното досие </w:t>
      </w:r>
      <w:r w:rsidRPr="001B0EA3">
        <w:rPr>
          <w:szCs w:val="24"/>
        </w:rPr>
        <w:t>(</w:t>
      </w:r>
      <w:r w:rsidRPr="001B0EA3">
        <w:rPr>
          <w:b/>
          <w:szCs w:val="24"/>
        </w:rPr>
        <w:t>ниво Досие отговаря</w:t>
      </w:r>
      <w:r w:rsidRPr="001B0EA3">
        <w:rPr>
          <w:szCs w:val="24"/>
        </w:rPr>
        <w:t xml:space="preserve"> на комплект класьори за проект, което се извършва при подготовката на документите за архивиране, т.е. това е т.нар. пред архивна дейност):</w:t>
      </w:r>
    </w:p>
    <w:p w14:paraId="31679419" w14:textId="77777777" w:rsidR="00D603F5" w:rsidRPr="001B0EA3" w:rsidRDefault="00D603F5" w:rsidP="0054623A">
      <w:pPr>
        <w:numPr>
          <w:ilvl w:val="0"/>
          <w:numId w:val="112"/>
        </w:numPr>
        <w:rPr>
          <w:szCs w:val="24"/>
        </w:rPr>
      </w:pPr>
      <w:r w:rsidRPr="001B0EA3">
        <w:rPr>
          <w:b/>
          <w:szCs w:val="24"/>
        </w:rPr>
        <w:t>Надпис /</w:t>
      </w:r>
      <w:r w:rsidRPr="001B0EA3">
        <w:rPr>
          <w:szCs w:val="24"/>
        </w:rPr>
        <w:t>етикет на досието с номер ( от ИСУН)  и наименование на проекта</w:t>
      </w:r>
    </w:p>
    <w:p w14:paraId="6DA9550D" w14:textId="77777777" w:rsidR="00D603F5" w:rsidRPr="001B0EA3" w:rsidRDefault="00D603F5" w:rsidP="0054623A">
      <w:pPr>
        <w:numPr>
          <w:ilvl w:val="0"/>
          <w:numId w:val="112"/>
        </w:numPr>
        <w:rPr>
          <w:b/>
          <w:i/>
          <w:szCs w:val="24"/>
        </w:rPr>
      </w:pPr>
      <w:r w:rsidRPr="001B0EA3">
        <w:rPr>
          <w:b/>
          <w:szCs w:val="24"/>
        </w:rPr>
        <w:t>Опис</w:t>
      </w:r>
      <w:r w:rsidR="00985ECE" w:rsidRPr="001B0EA3">
        <w:rPr>
          <w:b/>
          <w:szCs w:val="24"/>
        </w:rPr>
        <w:t xml:space="preserve"> </w:t>
      </w:r>
      <w:r w:rsidRPr="001B0EA3">
        <w:rPr>
          <w:szCs w:val="24"/>
        </w:rPr>
        <w:t>на документите по</w:t>
      </w:r>
      <w:r w:rsidR="00985ECE" w:rsidRPr="001B0EA3">
        <w:rPr>
          <w:szCs w:val="24"/>
        </w:rPr>
        <w:t xml:space="preserve"> </w:t>
      </w:r>
      <w:r w:rsidRPr="001B0EA3">
        <w:rPr>
          <w:szCs w:val="24"/>
        </w:rPr>
        <w:t xml:space="preserve">листен и по класьори; </w:t>
      </w:r>
      <w:r w:rsidRPr="001B0EA3">
        <w:rPr>
          <w:b/>
          <w:i/>
          <w:szCs w:val="24"/>
        </w:rPr>
        <w:t>По листният опис съдържа: атрибути за идентифициране на досието (оперативна програма, схема, приоритетна ос, процедура, бенефициент, договор, номер на класьор), съдържание по видове документи, брой страници. По листният опис включва описание на всеки документ, съдържащ се в съответната форма на съхранение. По листният опис трябва да бъде направен в електронен вид. Към всеки класьор трябва да бъде прикрепен хартиен отпечатък на описа. Копие от електронния по листен опис трябва да се съхранява в УО.</w:t>
      </w:r>
    </w:p>
    <w:p w14:paraId="1430C8FD" w14:textId="77777777" w:rsidR="00D603F5" w:rsidRPr="001B0EA3" w:rsidRDefault="00D603F5" w:rsidP="0054623A">
      <w:pPr>
        <w:numPr>
          <w:ilvl w:val="0"/>
          <w:numId w:val="112"/>
        </w:numPr>
        <w:rPr>
          <w:i/>
          <w:szCs w:val="24"/>
        </w:rPr>
      </w:pPr>
      <w:r w:rsidRPr="001B0EA3">
        <w:rPr>
          <w:szCs w:val="24"/>
        </w:rPr>
        <w:t>Проектно предложение</w:t>
      </w:r>
      <w:r w:rsidR="00DF3A9E" w:rsidRPr="001B0EA3">
        <w:rPr>
          <w:szCs w:val="24"/>
        </w:rPr>
        <w:t xml:space="preserve"> (съхранява се електронно в ИСУН 2020);</w:t>
      </w:r>
    </w:p>
    <w:p w14:paraId="2E9B4FBA" w14:textId="77777777" w:rsidR="00DF3A9E" w:rsidRPr="001B0EA3" w:rsidRDefault="00D603F5" w:rsidP="0054623A">
      <w:pPr>
        <w:numPr>
          <w:ilvl w:val="0"/>
          <w:numId w:val="112"/>
        </w:numPr>
        <w:rPr>
          <w:i/>
          <w:szCs w:val="24"/>
        </w:rPr>
      </w:pPr>
      <w:r w:rsidRPr="001B0EA3">
        <w:rPr>
          <w:szCs w:val="24"/>
        </w:rPr>
        <w:t>Договор</w:t>
      </w:r>
      <w:r w:rsidR="00DF3A9E" w:rsidRPr="001B0EA3">
        <w:rPr>
          <w:szCs w:val="24"/>
        </w:rPr>
        <w:t xml:space="preserve"> за предоставяне на БФП (съхранява се електронно в ИСУН 2020 и на хартиен носител);</w:t>
      </w:r>
    </w:p>
    <w:p w14:paraId="174E66CB" w14:textId="77777777" w:rsidR="00D603F5" w:rsidRPr="001B0EA3" w:rsidRDefault="00DF3A9E" w:rsidP="0054623A">
      <w:pPr>
        <w:numPr>
          <w:ilvl w:val="0"/>
          <w:numId w:val="112"/>
        </w:numPr>
        <w:rPr>
          <w:i/>
          <w:szCs w:val="24"/>
        </w:rPr>
      </w:pPr>
      <w:r w:rsidRPr="001B0EA3">
        <w:rPr>
          <w:szCs w:val="24"/>
        </w:rPr>
        <w:t>П</w:t>
      </w:r>
      <w:r w:rsidR="00D603F5" w:rsidRPr="001B0EA3">
        <w:rPr>
          <w:szCs w:val="24"/>
        </w:rPr>
        <w:t xml:space="preserve">риложения </w:t>
      </w:r>
      <w:r w:rsidRPr="001B0EA3">
        <w:rPr>
          <w:szCs w:val="24"/>
        </w:rPr>
        <w:t xml:space="preserve">към договор за предоставяне на БФП </w:t>
      </w:r>
      <w:r w:rsidR="00D603F5" w:rsidRPr="001B0EA3">
        <w:rPr>
          <w:szCs w:val="24"/>
        </w:rPr>
        <w:t>и анекси</w:t>
      </w:r>
      <w:r w:rsidRPr="001B0EA3">
        <w:rPr>
          <w:szCs w:val="24"/>
        </w:rPr>
        <w:t xml:space="preserve"> за изменение/ промяна (съхраняват се само електронно в ИСУН 2020, само анексите за изменение на  договора и на хартиен носител)</w:t>
      </w:r>
    </w:p>
    <w:p w14:paraId="35CA3384" w14:textId="77777777" w:rsidR="0045163D" w:rsidRPr="001B0EA3" w:rsidRDefault="0045163D" w:rsidP="0045163D">
      <w:pPr>
        <w:numPr>
          <w:ilvl w:val="0"/>
          <w:numId w:val="112"/>
        </w:numPr>
        <w:rPr>
          <w:i/>
          <w:szCs w:val="24"/>
        </w:rPr>
      </w:pPr>
      <w:r w:rsidRPr="001B0EA3">
        <w:rPr>
          <w:szCs w:val="24"/>
        </w:rPr>
        <w:t>Договори ( на Бенефициента ) с изпълнителите по проекта</w:t>
      </w:r>
      <w:r>
        <w:rPr>
          <w:szCs w:val="24"/>
        </w:rPr>
        <w:t xml:space="preserve"> </w:t>
      </w:r>
      <w:r w:rsidRPr="001B0EA3">
        <w:rPr>
          <w:szCs w:val="24"/>
        </w:rPr>
        <w:t>(съхранява</w:t>
      </w:r>
      <w:r>
        <w:rPr>
          <w:szCs w:val="24"/>
        </w:rPr>
        <w:t>т</w:t>
      </w:r>
      <w:r w:rsidRPr="001B0EA3">
        <w:rPr>
          <w:szCs w:val="24"/>
        </w:rPr>
        <w:t xml:space="preserve"> се електронно в ИСУН 2020)</w:t>
      </w:r>
    </w:p>
    <w:p w14:paraId="29272A84" w14:textId="77777777" w:rsidR="0045163D" w:rsidRPr="001B0EA3" w:rsidRDefault="0045163D" w:rsidP="0045163D">
      <w:pPr>
        <w:numPr>
          <w:ilvl w:val="0"/>
          <w:numId w:val="112"/>
        </w:numPr>
        <w:rPr>
          <w:i/>
          <w:szCs w:val="24"/>
        </w:rPr>
      </w:pPr>
      <w:r w:rsidRPr="001B0EA3">
        <w:rPr>
          <w:szCs w:val="24"/>
        </w:rPr>
        <w:t>Тръжна документация от процедури за избор на изпълнител</w:t>
      </w:r>
      <w:r>
        <w:rPr>
          <w:szCs w:val="24"/>
        </w:rPr>
        <w:t xml:space="preserve"> </w:t>
      </w:r>
      <w:r w:rsidRPr="001B0EA3">
        <w:rPr>
          <w:szCs w:val="24"/>
        </w:rPr>
        <w:t>(съхранява</w:t>
      </w:r>
      <w:r>
        <w:rPr>
          <w:szCs w:val="24"/>
        </w:rPr>
        <w:t>т</w:t>
      </w:r>
      <w:r w:rsidRPr="001B0EA3">
        <w:rPr>
          <w:szCs w:val="24"/>
        </w:rPr>
        <w:t xml:space="preserve"> се електронно в ИСУН 2020)</w:t>
      </w:r>
    </w:p>
    <w:p w14:paraId="5E96E271" w14:textId="77777777" w:rsidR="0045163D" w:rsidRPr="001B0EA3" w:rsidRDefault="0045163D" w:rsidP="0045163D">
      <w:pPr>
        <w:numPr>
          <w:ilvl w:val="0"/>
          <w:numId w:val="112"/>
        </w:numPr>
        <w:rPr>
          <w:i/>
          <w:szCs w:val="24"/>
        </w:rPr>
      </w:pPr>
      <w:r w:rsidRPr="001B0EA3">
        <w:rPr>
          <w:szCs w:val="24"/>
        </w:rPr>
        <w:t>Технически доклади –годишни и окончателен</w:t>
      </w:r>
      <w:r>
        <w:rPr>
          <w:szCs w:val="24"/>
        </w:rPr>
        <w:t xml:space="preserve"> </w:t>
      </w:r>
      <w:r w:rsidRPr="001B0EA3">
        <w:rPr>
          <w:szCs w:val="24"/>
        </w:rPr>
        <w:t>(съхранява</w:t>
      </w:r>
      <w:r>
        <w:rPr>
          <w:szCs w:val="24"/>
        </w:rPr>
        <w:t>т</w:t>
      </w:r>
      <w:r w:rsidRPr="001B0EA3">
        <w:rPr>
          <w:szCs w:val="24"/>
        </w:rPr>
        <w:t xml:space="preserve"> се електронно в ИСУН 2020)</w:t>
      </w:r>
    </w:p>
    <w:p w14:paraId="5D79F6BF" w14:textId="77777777" w:rsidR="00D603F5" w:rsidRPr="001B0EA3" w:rsidRDefault="00D603F5" w:rsidP="0054623A">
      <w:pPr>
        <w:numPr>
          <w:ilvl w:val="0"/>
          <w:numId w:val="112"/>
        </w:numPr>
        <w:rPr>
          <w:i/>
          <w:szCs w:val="24"/>
        </w:rPr>
      </w:pPr>
      <w:r w:rsidRPr="001B0EA3">
        <w:rPr>
          <w:szCs w:val="24"/>
        </w:rPr>
        <w:t>Финансови отчети</w:t>
      </w:r>
    </w:p>
    <w:p w14:paraId="2AFBD43B" w14:textId="77777777" w:rsidR="00D603F5" w:rsidRPr="001B0EA3" w:rsidRDefault="00D603F5" w:rsidP="0054623A">
      <w:pPr>
        <w:numPr>
          <w:ilvl w:val="0"/>
          <w:numId w:val="112"/>
        </w:numPr>
        <w:rPr>
          <w:i/>
          <w:szCs w:val="24"/>
        </w:rPr>
      </w:pPr>
      <w:r w:rsidRPr="001B0EA3">
        <w:rPr>
          <w:szCs w:val="24"/>
        </w:rPr>
        <w:t>Искания за плащане и приложения</w:t>
      </w:r>
    </w:p>
    <w:p w14:paraId="1A09A2EB" w14:textId="77777777" w:rsidR="00BF0157" w:rsidRPr="001B0EA3" w:rsidRDefault="00BF0157" w:rsidP="00BF0157">
      <w:pPr>
        <w:numPr>
          <w:ilvl w:val="0"/>
          <w:numId w:val="112"/>
        </w:numPr>
        <w:rPr>
          <w:i/>
          <w:szCs w:val="24"/>
        </w:rPr>
      </w:pPr>
      <w:r w:rsidRPr="001B0EA3">
        <w:rPr>
          <w:szCs w:val="24"/>
        </w:rPr>
        <w:t>Доклади от проверки на място</w:t>
      </w:r>
      <w:r>
        <w:rPr>
          <w:szCs w:val="24"/>
        </w:rPr>
        <w:t xml:space="preserve"> </w:t>
      </w:r>
      <w:r w:rsidRPr="001B0EA3">
        <w:rPr>
          <w:szCs w:val="24"/>
        </w:rPr>
        <w:t>(съхранява</w:t>
      </w:r>
      <w:r>
        <w:rPr>
          <w:szCs w:val="24"/>
        </w:rPr>
        <w:t>т</w:t>
      </w:r>
      <w:r w:rsidRPr="001B0EA3">
        <w:rPr>
          <w:szCs w:val="24"/>
        </w:rPr>
        <w:t xml:space="preserve"> се електронно в ИСУН 2020</w:t>
      </w:r>
      <w:r>
        <w:rPr>
          <w:szCs w:val="24"/>
        </w:rPr>
        <w:t xml:space="preserve"> и на хартия</w:t>
      </w:r>
      <w:r w:rsidRPr="001B0EA3">
        <w:rPr>
          <w:szCs w:val="24"/>
        </w:rPr>
        <w:t>)</w:t>
      </w:r>
    </w:p>
    <w:p w14:paraId="7EBBCFC8" w14:textId="77777777" w:rsidR="00D603F5" w:rsidRPr="001B0EA3" w:rsidRDefault="00D603F5" w:rsidP="0054623A">
      <w:pPr>
        <w:numPr>
          <w:ilvl w:val="0"/>
          <w:numId w:val="112"/>
        </w:numPr>
        <w:rPr>
          <w:i/>
          <w:szCs w:val="24"/>
        </w:rPr>
      </w:pPr>
      <w:r w:rsidRPr="001B0EA3">
        <w:rPr>
          <w:szCs w:val="24"/>
        </w:rPr>
        <w:t>Доклади за открити нередности</w:t>
      </w:r>
    </w:p>
    <w:p w14:paraId="061F37A0" w14:textId="77777777" w:rsidR="00D603F5" w:rsidRPr="001B0EA3" w:rsidRDefault="00D603F5" w:rsidP="0054623A">
      <w:pPr>
        <w:numPr>
          <w:ilvl w:val="0"/>
          <w:numId w:val="112"/>
        </w:numPr>
        <w:rPr>
          <w:i/>
          <w:szCs w:val="24"/>
        </w:rPr>
      </w:pPr>
      <w:r w:rsidRPr="001B0EA3">
        <w:rPr>
          <w:szCs w:val="24"/>
        </w:rPr>
        <w:t>Документи и материали, доказващи изпълнението на дейностите</w:t>
      </w:r>
    </w:p>
    <w:p w14:paraId="76A5B449" w14:textId="77777777" w:rsidR="00D603F5" w:rsidRPr="001B0EA3" w:rsidRDefault="00D603F5" w:rsidP="0054623A">
      <w:pPr>
        <w:numPr>
          <w:ilvl w:val="0"/>
          <w:numId w:val="112"/>
        </w:numPr>
        <w:rPr>
          <w:i/>
          <w:szCs w:val="24"/>
        </w:rPr>
      </w:pPr>
      <w:r w:rsidRPr="001B0EA3">
        <w:rPr>
          <w:szCs w:val="24"/>
        </w:rPr>
        <w:t>Данни за предприети мерки за информация и публичност</w:t>
      </w:r>
    </w:p>
    <w:p w14:paraId="4E025971" w14:textId="77777777" w:rsidR="00D603F5" w:rsidRPr="001B0EA3" w:rsidRDefault="00D603F5" w:rsidP="0054623A">
      <w:pPr>
        <w:numPr>
          <w:ilvl w:val="0"/>
          <w:numId w:val="112"/>
        </w:numPr>
        <w:rPr>
          <w:i/>
          <w:szCs w:val="24"/>
        </w:rPr>
      </w:pPr>
      <w:r w:rsidRPr="001B0EA3">
        <w:rPr>
          <w:szCs w:val="24"/>
        </w:rPr>
        <w:t>Одитни доклади</w:t>
      </w:r>
    </w:p>
    <w:p w14:paraId="4B2E26E1" w14:textId="77777777" w:rsidR="00D603F5" w:rsidRPr="001B0EA3" w:rsidRDefault="00D603F5" w:rsidP="0054623A">
      <w:pPr>
        <w:numPr>
          <w:ilvl w:val="0"/>
          <w:numId w:val="112"/>
        </w:numPr>
        <w:rPr>
          <w:i/>
          <w:szCs w:val="24"/>
        </w:rPr>
      </w:pPr>
      <w:r w:rsidRPr="001B0EA3">
        <w:rPr>
          <w:szCs w:val="24"/>
        </w:rPr>
        <w:t>Кореспонденция</w:t>
      </w:r>
    </w:p>
    <w:p w14:paraId="449675FB" w14:textId="77777777" w:rsidR="00D603F5" w:rsidRPr="001B0EA3" w:rsidRDefault="00D603F5" w:rsidP="0054623A">
      <w:pPr>
        <w:numPr>
          <w:ilvl w:val="0"/>
          <w:numId w:val="112"/>
        </w:numPr>
        <w:rPr>
          <w:i/>
          <w:szCs w:val="24"/>
        </w:rPr>
      </w:pPr>
      <w:r w:rsidRPr="001B0EA3">
        <w:rPr>
          <w:szCs w:val="24"/>
        </w:rPr>
        <w:t>Доказателства за устойчивост на проекта след приключването му</w:t>
      </w:r>
    </w:p>
    <w:p w14:paraId="5B38FBC5" w14:textId="77777777" w:rsidR="00D603F5" w:rsidRPr="001B0EA3" w:rsidRDefault="00D603F5" w:rsidP="00983C39">
      <w:r w:rsidRPr="001B0EA3">
        <w:t>В архивното досие на проекта документите се съхраняват, подредени по дейности, като се следва хронологията на изпълнението им. Всички оригинални финансови документи се съхраняват в папките с исканията за плащане.</w:t>
      </w:r>
    </w:p>
    <w:p w14:paraId="341F8963" w14:textId="77777777" w:rsidR="00D603F5" w:rsidRPr="001B0EA3" w:rsidRDefault="00D603F5" w:rsidP="00983C39">
      <w:r w:rsidRPr="001B0EA3">
        <w:t>Поддържат се и актуални Регистри за архива като цяло, съдържащи информация за приетите документи и за тези, които се ползват и Регистър на документите по проект „….“. Пример :</w:t>
      </w:r>
    </w:p>
    <w:p w14:paraId="38E6661E" w14:textId="77777777" w:rsidR="00D603F5" w:rsidRPr="001B0EA3" w:rsidRDefault="00D603F5" w:rsidP="0054623A">
      <w:pPr>
        <w:numPr>
          <w:ilvl w:val="0"/>
          <w:numId w:val="113"/>
        </w:numPr>
        <w:rPr>
          <w:szCs w:val="24"/>
        </w:rPr>
      </w:pPr>
      <w:r w:rsidRPr="001B0EA3">
        <w:rPr>
          <w:szCs w:val="24"/>
        </w:rPr>
        <w:t>Регистър на документите по проект N ……   „ ….. наименование“</w:t>
      </w:r>
      <w:r w:rsidR="00ED66CF" w:rsidRPr="001B0EA3">
        <w:rPr>
          <w:szCs w:val="24"/>
        </w:rPr>
        <w:t xml:space="preserve"> </w:t>
      </w:r>
      <w:r w:rsidRPr="001B0EA3">
        <w:rPr>
          <w:szCs w:val="24"/>
        </w:rPr>
        <w:t>Период на изпълнение на проекта;</w:t>
      </w:r>
    </w:p>
    <w:p w14:paraId="79E86DDA" w14:textId="77777777" w:rsidR="00D603F5" w:rsidRPr="001B0EA3" w:rsidRDefault="00D603F5" w:rsidP="00125DAC">
      <w:pPr>
        <w:rPr>
          <w:szCs w:val="24"/>
        </w:rPr>
      </w:pPr>
    </w:p>
    <w:p w14:paraId="64CB460B" w14:textId="77777777" w:rsidR="00D603F5" w:rsidRPr="001B0EA3" w:rsidRDefault="00D603F5" w:rsidP="00125DAC">
      <w:pPr>
        <w:rPr>
          <w:szCs w:val="24"/>
        </w:rPr>
      </w:pPr>
      <w:r w:rsidRPr="001B0EA3">
        <w:rPr>
          <w:szCs w:val="24"/>
        </w:rPr>
        <w:lastRenderedPageBreak/>
        <w:t>Бенефициент, ос….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920"/>
        <w:gridCol w:w="1812"/>
        <w:gridCol w:w="1813"/>
        <w:gridCol w:w="1813"/>
      </w:tblGrid>
      <w:tr w:rsidR="00D603F5" w:rsidRPr="001B0EA3" w14:paraId="2CB2B405" w14:textId="77777777" w:rsidTr="00F70D13">
        <w:trPr>
          <w:jc w:val="center"/>
        </w:trPr>
        <w:tc>
          <w:tcPr>
            <w:tcW w:w="704" w:type="dxa"/>
          </w:tcPr>
          <w:p w14:paraId="654B0BF4" w14:textId="77777777" w:rsidR="00D603F5" w:rsidRPr="001B0EA3" w:rsidRDefault="00F70D13" w:rsidP="00F70D13">
            <w:pPr>
              <w:ind w:firstLine="0"/>
              <w:jc w:val="center"/>
              <w:rPr>
                <w:szCs w:val="24"/>
              </w:rPr>
            </w:pPr>
            <w:r>
              <w:rPr>
                <w:szCs w:val="24"/>
              </w:rPr>
              <w:t>№</w:t>
            </w:r>
          </w:p>
        </w:tc>
        <w:tc>
          <w:tcPr>
            <w:tcW w:w="2920" w:type="dxa"/>
          </w:tcPr>
          <w:p w14:paraId="0B16886E" w14:textId="77777777" w:rsidR="00D603F5" w:rsidRPr="001B0EA3" w:rsidRDefault="00D603F5" w:rsidP="00F70D13">
            <w:pPr>
              <w:ind w:firstLine="0"/>
              <w:jc w:val="center"/>
              <w:rPr>
                <w:szCs w:val="24"/>
              </w:rPr>
            </w:pPr>
            <w:r w:rsidRPr="001B0EA3">
              <w:rPr>
                <w:szCs w:val="24"/>
              </w:rPr>
              <w:t>Наименование на папката/ класьора</w:t>
            </w:r>
          </w:p>
        </w:tc>
        <w:tc>
          <w:tcPr>
            <w:tcW w:w="1812" w:type="dxa"/>
          </w:tcPr>
          <w:p w14:paraId="7A7C8FF1" w14:textId="77777777" w:rsidR="00D603F5" w:rsidRPr="001B0EA3" w:rsidRDefault="00D603F5" w:rsidP="00F70D13">
            <w:pPr>
              <w:ind w:firstLine="0"/>
              <w:jc w:val="center"/>
              <w:rPr>
                <w:szCs w:val="24"/>
              </w:rPr>
            </w:pPr>
            <w:r w:rsidRPr="001B0EA3">
              <w:rPr>
                <w:szCs w:val="24"/>
              </w:rPr>
              <w:t>Съдържание</w:t>
            </w:r>
          </w:p>
        </w:tc>
        <w:tc>
          <w:tcPr>
            <w:tcW w:w="1813" w:type="dxa"/>
          </w:tcPr>
          <w:p w14:paraId="17AB024B" w14:textId="77777777" w:rsidR="00D603F5" w:rsidRPr="001B0EA3" w:rsidRDefault="00D603F5" w:rsidP="00F70D13">
            <w:pPr>
              <w:ind w:firstLine="0"/>
              <w:jc w:val="center"/>
              <w:rPr>
                <w:szCs w:val="24"/>
              </w:rPr>
            </w:pPr>
            <w:r w:rsidRPr="001B0EA3">
              <w:rPr>
                <w:szCs w:val="24"/>
              </w:rPr>
              <w:t>Място на съхранение</w:t>
            </w:r>
          </w:p>
          <w:p w14:paraId="1683C6E6" w14:textId="77777777" w:rsidR="00D603F5" w:rsidRPr="001B0EA3" w:rsidRDefault="00D603F5" w:rsidP="00F70D13">
            <w:pPr>
              <w:ind w:firstLine="0"/>
              <w:jc w:val="center"/>
              <w:rPr>
                <w:szCs w:val="24"/>
              </w:rPr>
            </w:pPr>
          </w:p>
        </w:tc>
        <w:tc>
          <w:tcPr>
            <w:tcW w:w="1813" w:type="dxa"/>
          </w:tcPr>
          <w:p w14:paraId="58721C40" w14:textId="77777777" w:rsidR="00D603F5" w:rsidRPr="001B0EA3" w:rsidRDefault="00D603F5" w:rsidP="00F70D13">
            <w:pPr>
              <w:ind w:firstLine="0"/>
              <w:jc w:val="center"/>
              <w:rPr>
                <w:szCs w:val="24"/>
              </w:rPr>
            </w:pPr>
            <w:r w:rsidRPr="001B0EA3">
              <w:rPr>
                <w:szCs w:val="24"/>
              </w:rPr>
              <w:t>Дата на предаване на съхранение  и количество на документите – брой на класьори, кашони и пр.</w:t>
            </w:r>
          </w:p>
        </w:tc>
      </w:tr>
      <w:tr w:rsidR="00D603F5" w:rsidRPr="001B0EA3" w14:paraId="38A7BEC2" w14:textId="77777777" w:rsidTr="00F70D13">
        <w:trPr>
          <w:jc w:val="center"/>
        </w:trPr>
        <w:tc>
          <w:tcPr>
            <w:tcW w:w="704" w:type="dxa"/>
          </w:tcPr>
          <w:p w14:paraId="5EB0E574" w14:textId="77777777" w:rsidR="00D603F5" w:rsidRPr="001B0EA3" w:rsidRDefault="00D603F5" w:rsidP="00F70D13">
            <w:pPr>
              <w:ind w:firstLine="0"/>
              <w:jc w:val="center"/>
              <w:rPr>
                <w:szCs w:val="24"/>
              </w:rPr>
            </w:pPr>
            <w:r w:rsidRPr="001B0EA3">
              <w:rPr>
                <w:szCs w:val="24"/>
              </w:rPr>
              <w:t>1.</w:t>
            </w:r>
          </w:p>
        </w:tc>
        <w:tc>
          <w:tcPr>
            <w:tcW w:w="2920" w:type="dxa"/>
          </w:tcPr>
          <w:p w14:paraId="435F717A" w14:textId="77777777" w:rsidR="00D603F5" w:rsidRPr="001B0EA3" w:rsidRDefault="00D603F5" w:rsidP="00F70D13">
            <w:pPr>
              <w:ind w:firstLine="0"/>
              <w:rPr>
                <w:szCs w:val="24"/>
              </w:rPr>
            </w:pPr>
          </w:p>
        </w:tc>
        <w:tc>
          <w:tcPr>
            <w:tcW w:w="1812" w:type="dxa"/>
          </w:tcPr>
          <w:p w14:paraId="3F912319" w14:textId="77777777" w:rsidR="00D603F5" w:rsidRPr="001B0EA3" w:rsidRDefault="00D603F5" w:rsidP="00F70D13">
            <w:pPr>
              <w:ind w:firstLine="0"/>
              <w:rPr>
                <w:szCs w:val="24"/>
              </w:rPr>
            </w:pPr>
          </w:p>
        </w:tc>
        <w:tc>
          <w:tcPr>
            <w:tcW w:w="1813" w:type="dxa"/>
          </w:tcPr>
          <w:p w14:paraId="3DFC3E63" w14:textId="77777777" w:rsidR="00D603F5" w:rsidRPr="001B0EA3" w:rsidRDefault="00D603F5" w:rsidP="00F70D13">
            <w:pPr>
              <w:ind w:firstLine="0"/>
              <w:rPr>
                <w:szCs w:val="24"/>
              </w:rPr>
            </w:pPr>
          </w:p>
        </w:tc>
        <w:tc>
          <w:tcPr>
            <w:tcW w:w="1813" w:type="dxa"/>
          </w:tcPr>
          <w:p w14:paraId="10F240AC" w14:textId="77777777" w:rsidR="00D603F5" w:rsidRPr="001B0EA3" w:rsidRDefault="00D603F5" w:rsidP="00F70D13">
            <w:pPr>
              <w:ind w:firstLine="0"/>
              <w:rPr>
                <w:szCs w:val="24"/>
              </w:rPr>
            </w:pPr>
          </w:p>
        </w:tc>
      </w:tr>
      <w:tr w:rsidR="00D603F5" w:rsidRPr="001B0EA3" w14:paraId="654A1B27" w14:textId="77777777" w:rsidTr="00F70D13">
        <w:trPr>
          <w:jc w:val="center"/>
        </w:trPr>
        <w:tc>
          <w:tcPr>
            <w:tcW w:w="704" w:type="dxa"/>
          </w:tcPr>
          <w:p w14:paraId="164DDBC4" w14:textId="77777777" w:rsidR="00D603F5" w:rsidRPr="001B0EA3" w:rsidRDefault="00D603F5" w:rsidP="00F70D13">
            <w:pPr>
              <w:ind w:firstLine="0"/>
              <w:jc w:val="center"/>
              <w:rPr>
                <w:szCs w:val="24"/>
              </w:rPr>
            </w:pPr>
            <w:r w:rsidRPr="001B0EA3">
              <w:rPr>
                <w:szCs w:val="24"/>
              </w:rPr>
              <w:t>2.</w:t>
            </w:r>
          </w:p>
        </w:tc>
        <w:tc>
          <w:tcPr>
            <w:tcW w:w="2920" w:type="dxa"/>
          </w:tcPr>
          <w:p w14:paraId="43F4A606" w14:textId="77777777" w:rsidR="00D603F5" w:rsidRPr="001B0EA3" w:rsidRDefault="00D603F5" w:rsidP="00F70D13">
            <w:pPr>
              <w:ind w:firstLine="0"/>
              <w:rPr>
                <w:szCs w:val="24"/>
              </w:rPr>
            </w:pPr>
          </w:p>
        </w:tc>
        <w:tc>
          <w:tcPr>
            <w:tcW w:w="1812" w:type="dxa"/>
          </w:tcPr>
          <w:p w14:paraId="1B921A62" w14:textId="77777777" w:rsidR="00D603F5" w:rsidRPr="001B0EA3" w:rsidRDefault="00D603F5" w:rsidP="00F70D13">
            <w:pPr>
              <w:ind w:firstLine="0"/>
              <w:rPr>
                <w:szCs w:val="24"/>
              </w:rPr>
            </w:pPr>
          </w:p>
        </w:tc>
        <w:tc>
          <w:tcPr>
            <w:tcW w:w="1813" w:type="dxa"/>
          </w:tcPr>
          <w:p w14:paraId="4F0AF226" w14:textId="77777777" w:rsidR="00D603F5" w:rsidRPr="001B0EA3" w:rsidRDefault="00D603F5" w:rsidP="00F70D13">
            <w:pPr>
              <w:ind w:firstLine="0"/>
              <w:rPr>
                <w:szCs w:val="24"/>
              </w:rPr>
            </w:pPr>
          </w:p>
        </w:tc>
        <w:tc>
          <w:tcPr>
            <w:tcW w:w="1813" w:type="dxa"/>
          </w:tcPr>
          <w:p w14:paraId="71F87FC2" w14:textId="77777777" w:rsidR="00D603F5" w:rsidRPr="001B0EA3" w:rsidRDefault="00D603F5" w:rsidP="00F70D13">
            <w:pPr>
              <w:ind w:firstLine="0"/>
              <w:rPr>
                <w:szCs w:val="24"/>
              </w:rPr>
            </w:pPr>
          </w:p>
        </w:tc>
      </w:tr>
    </w:tbl>
    <w:p w14:paraId="670093BD" w14:textId="77777777" w:rsidR="00D603F5" w:rsidRPr="001B0EA3" w:rsidRDefault="00D603F5" w:rsidP="00125DAC">
      <w:pPr>
        <w:rPr>
          <w:i/>
          <w:szCs w:val="24"/>
        </w:rPr>
      </w:pPr>
    </w:p>
    <w:p w14:paraId="1C309B12" w14:textId="77777777" w:rsidR="00D603F5" w:rsidRPr="001B0EA3" w:rsidRDefault="00D603F5" w:rsidP="00983C39">
      <w:r w:rsidRPr="001B0EA3">
        <w:t>Процедури за система за събиране, записване и съхраняване в електронна форма на данни за всяка операция, необходима за мониторинга, оценката, финансовото управление, проверката и одита, включително, когато е приложимо, данни относно отделните участници и разбивка на данните за показателите по пол, когато това се изисква.</w:t>
      </w:r>
    </w:p>
    <w:p w14:paraId="0FB9BA1D" w14:textId="77777777" w:rsidR="00D603F5" w:rsidRPr="001B0EA3" w:rsidRDefault="00D603F5" w:rsidP="00125DAC">
      <w:pPr>
        <w:rPr>
          <w:b/>
          <w:szCs w:val="24"/>
          <w:u w:val="single"/>
          <w:lang w:eastAsia="bg-BG"/>
        </w:rPr>
      </w:pPr>
    </w:p>
    <w:p w14:paraId="6325A354" w14:textId="77777777" w:rsidR="00D603F5" w:rsidRPr="001B0EA3" w:rsidRDefault="00D603F5" w:rsidP="00125DAC">
      <w:pPr>
        <w:rPr>
          <w:b/>
          <w:szCs w:val="24"/>
          <w:u w:val="single"/>
          <w:lang w:eastAsia="bg-BG"/>
        </w:rPr>
      </w:pPr>
      <w:r w:rsidRPr="001B0EA3">
        <w:rPr>
          <w:b/>
          <w:szCs w:val="24"/>
          <w:u w:val="single"/>
          <w:lang w:eastAsia="bg-BG"/>
        </w:rPr>
        <w:t>Мерки за сигурност</w:t>
      </w:r>
    </w:p>
    <w:p w14:paraId="35F7C195" w14:textId="77777777" w:rsidR="00D603F5" w:rsidRPr="001B0EA3" w:rsidRDefault="00D603F5" w:rsidP="0054623A">
      <w:pPr>
        <w:numPr>
          <w:ilvl w:val="0"/>
          <w:numId w:val="111"/>
        </w:numPr>
        <w:ind w:left="709"/>
        <w:rPr>
          <w:szCs w:val="24"/>
        </w:rPr>
      </w:pPr>
      <w:r w:rsidRPr="001B0EA3">
        <w:rPr>
          <w:szCs w:val="24"/>
        </w:rPr>
        <w:t xml:space="preserve">Контрол на достъпа: най-малко да се предвиди: възможност за определяне на групи потребители; предотвратяване на нерегламентиран достъп до данните; </w:t>
      </w:r>
    </w:p>
    <w:p w14:paraId="7CCA3277" w14:textId="77777777" w:rsidR="00D603F5" w:rsidRPr="001B0EA3" w:rsidRDefault="00D603F5" w:rsidP="0054623A">
      <w:pPr>
        <w:numPr>
          <w:ilvl w:val="0"/>
          <w:numId w:val="111"/>
        </w:numPr>
        <w:ind w:left="709"/>
        <w:rPr>
          <w:szCs w:val="24"/>
        </w:rPr>
      </w:pPr>
      <w:r w:rsidRPr="001B0EA3">
        <w:rPr>
          <w:szCs w:val="24"/>
        </w:rPr>
        <w:t xml:space="preserve">За електронните досиета: индивидуални пароли за достъп на потребителите; определяне валидността на всеки опит за достъп. </w:t>
      </w:r>
    </w:p>
    <w:p w14:paraId="73FEE80D" w14:textId="77777777" w:rsidR="00D603F5" w:rsidRPr="001B0EA3" w:rsidRDefault="00D603F5" w:rsidP="0054623A">
      <w:pPr>
        <w:numPr>
          <w:ilvl w:val="0"/>
          <w:numId w:val="111"/>
        </w:numPr>
        <w:ind w:left="709"/>
        <w:rPr>
          <w:szCs w:val="24"/>
        </w:rPr>
      </w:pPr>
      <w:r w:rsidRPr="001B0EA3">
        <w:rPr>
          <w:szCs w:val="24"/>
        </w:rPr>
        <w:t>Осигуряване на целостта на базата данни и предотвратяване загубата на данни;</w:t>
      </w:r>
    </w:p>
    <w:p w14:paraId="15193F6C" w14:textId="77777777" w:rsidR="00D603F5" w:rsidRPr="001B0EA3" w:rsidRDefault="00D603F5" w:rsidP="0054623A">
      <w:pPr>
        <w:numPr>
          <w:ilvl w:val="0"/>
          <w:numId w:val="111"/>
        </w:numPr>
        <w:ind w:left="709"/>
        <w:rPr>
          <w:szCs w:val="24"/>
        </w:rPr>
      </w:pPr>
      <w:r w:rsidRPr="001B0EA3">
        <w:rPr>
          <w:szCs w:val="24"/>
        </w:rPr>
        <w:t>Процедура за създаване на резервни копия;</w:t>
      </w:r>
    </w:p>
    <w:p w14:paraId="04A2E017" w14:textId="77777777" w:rsidR="00D603F5" w:rsidRPr="001B0EA3" w:rsidRDefault="00D603F5" w:rsidP="0054623A">
      <w:pPr>
        <w:numPr>
          <w:ilvl w:val="0"/>
          <w:numId w:val="111"/>
        </w:numPr>
        <w:ind w:left="709"/>
        <w:rPr>
          <w:szCs w:val="24"/>
        </w:rPr>
      </w:pPr>
      <w:r w:rsidRPr="001B0EA3">
        <w:rPr>
          <w:szCs w:val="24"/>
        </w:rPr>
        <w:t>Процедура за възстановяване от резервни копия;</w:t>
      </w:r>
    </w:p>
    <w:p w14:paraId="777B7B43" w14:textId="77777777" w:rsidR="00D603F5" w:rsidRPr="001B0EA3" w:rsidRDefault="00D603F5" w:rsidP="00125DAC">
      <w:pPr>
        <w:spacing w:before="120"/>
        <w:rPr>
          <w:b/>
          <w:szCs w:val="24"/>
          <w:u w:val="single"/>
          <w:lang w:eastAsia="bg-BG"/>
        </w:rPr>
      </w:pPr>
      <w:r w:rsidRPr="001B0EA3">
        <w:rPr>
          <w:b/>
          <w:szCs w:val="24"/>
          <w:u w:val="single"/>
          <w:lang w:eastAsia="bg-BG"/>
        </w:rPr>
        <w:t>Документи, съхранявани в УО:</w:t>
      </w:r>
    </w:p>
    <w:p w14:paraId="5734C049" w14:textId="77777777" w:rsidR="00D603F5" w:rsidRPr="001B0EA3" w:rsidRDefault="00D603F5" w:rsidP="0054623A">
      <w:pPr>
        <w:numPr>
          <w:ilvl w:val="0"/>
          <w:numId w:val="114"/>
        </w:numPr>
        <w:rPr>
          <w:szCs w:val="24"/>
          <w:lang w:eastAsia="bg-BG"/>
        </w:rPr>
      </w:pPr>
      <w:r w:rsidRPr="001B0EA3">
        <w:rPr>
          <w:szCs w:val="24"/>
          <w:lang w:eastAsia="bg-BG"/>
        </w:rPr>
        <w:t>Документи, свързани с разработването на ОП и съпътстващите  документи;</w:t>
      </w:r>
    </w:p>
    <w:p w14:paraId="1DC18F9B" w14:textId="77777777" w:rsidR="00D603F5" w:rsidRPr="001B0EA3" w:rsidRDefault="00D603F5" w:rsidP="0054623A">
      <w:pPr>
        <w:numPr>
          <w:ilvl w:val="0"/>
          <w:numId w:val="114"/>
        </w:numPr>
        <w:rPr>
          <w:szCs w:val="24"/>
          <w:lang w:eastAsia="bg-BG"/>
        </w:rPr>
      </w:pPr>
      <w:r w:rsidRPr="001B0EA3">
        <w:rPr>
          <w:szCs w:val="24"/>
          <w:lang w:eastAsia="bg-BG"/>
        </w:rPr>
        <w:t>Документи, свързани с подготовката и обявяването на процедури за подбор на проекти;</w:t>
      </w:r>
    </w:p>
    <w:p w14:paraId="25AEF40B" w14:textId="77777777" w:rsidR="00D603F5" w:rsidRPr="001B0EA3" w:rsidRDefault="00D603F5" w:rsidP="0054623A">
      <w:pPr>
        <w:numPr>
          <w:ilvl w:val="0"/>
          <w:numId w:val="114"/>
        </w:numPr>
        <w:rPr>
          <w:szCs w:val="24"/>
          <w:lang w:eastAsia="bg-BG"/>
        </w:rPr>
      </w:pPr>
      <w:r w:rsidRPr="001B0EA3">
        <w:rPr>
          <w:szCs w:val="24"/>
          <w:lang w:eastAsia="bg-BG"/>
        </w:rPr>
        <w:t>Документи, свързани с избора на проекти;</w:t>
      </w:r>
    </w:p>
    <w:p w14:paraId="43D50F74" w14:textId="77777777" w:rsidR="00D603F5" w:rsidRPr="001B0EA3" w:rsidRDefault="00D603F5" w:rsidP="0054623A">
      <w:pPr>
        <w:numPr>
          <w:ilvl w:val="0"/>
          <w:numId w:val="114"/>
        </w:numPr>
        <w:rPr>
          <w:szCs w:val="24"/>
          <w:lang w:eastAsia="bg-BG"/>
        </w:rPr>
      </w:pPr>
      <w:r w:rsidRPr="001B0EA3">
        <w:rPr>
          <w:szCs w:val="24"/>
          <w:lang w:eastAsia="bg-BG"/>
        </w:rPr>
        <w:t>Досиета на договори за безвъзмездна помощ;</w:t>
      </w:r>
    </w:p>
    <w:p w14:paraId="5FBEBD97" w14:textId="77777777" w:rsidR="00D603F5" w:rsidRPr="001B0EA3" w:rsidRDefault="00D603F5" w:rsidP="0054623A">
      <w:pPr>
        <w:numPr>
          <w:ilvl w:val="0"/>
          <w:numId w:val="114"/>
        </w:numPr>
        <w:rPr>
          <w:szCs w:val="24"/>
          <w:lang w:eastAsia="bg-BG"/>
        </w:rPr>
      </w:pPr>
      <w:r w:rsidRPr="001B0EA3">
        <w:rPr>
          <w:szCs w:val="24"/>
          <w:lang w:eastAsia="bg-BG"/>
        </w:rPr>
        <w:t>Досиета на прекратени проекти;</w:t>
      </w:r>
    </w:p>
    <w:p w14:paraId="337C2BA3" w14:textId="77777777" w:rsidR="00D603F5" w:rsidRPr="001B0EA3" w:rsidRDefault="00D603F5" w:rsidP="0054623A">
      <w:pPr>
        <w:numPr>
          <w:ilvl w:val="0"/>
          <w:numId w:val="114"/>
        </w:numPr>
        <w:rPr>
          <w:szCs w:val="24"/>
          <w:lang w:eastAsia="bg-BG"/>
        </w:rPr>
      </w:pPr>
      <w:r w:rsidRPr="001B0EA3">
        <w:rPr>
          <w:szCs w:val="24"/>
          <w:lang w:eastAsia="bg-BG"/>
        </w:rPr>
        <w:t xml:space="preserve">Одитни доклади и констатации; </w:t>
      </w:r>
    </w:p>
    <w:p w14:paraId="3DA2E7A1" w14:textId="77777777" w:rsidR="00D603F5" w:rsidRPr="001B0EA3" w:rsidRDefault="00D603F5" w:rsidP="0054623A">
      <w:pPr>
        <w:numPr>
          <w:ilvl w:val="0"/>
          <w:numId w:val="114"/>
        </w:numPr>
        <w:rPr>
          <w:szCs w:val="24"/>
          <w:lang w:eastAsia="bg-BG"/>
        </w:rPr>
      </w:pPr>
      <w:r w:rsidRPr="001B0EA3">
        <w:rPr>
          <w:szCs w:val="24"/>
          <w:lang w:eastAsia="bg-BG"/>
        </w:rPr>
        <w:t>Документи, свързани с управление на риска;</w:t>
      </w:r>
    </w:p>
    <w:p w14:paraId="2D9CD60B" w14:textId="77777777" w:rsidR="00D603F5" w:rsidRPr="001B0EA3" w:rsidRDefault="00D603F5" w:rsidP="0054623A">
      <w:pPr>
        <w:numPr>
          <w:ilvl w:val="0"/>
          <w:numId w:val="114"/>
        </w:numPr>
        <w:rPr>
          <w:szCs w:val="24"/>
          <w:lang w:eastAsia="bg-BG"/>
        </w:rPr>
      </w:pPr>
      <w:r w:rsidRPr="001B0EA3">
        <w:rPr>
          <w:szCs w:val="24"/>
        </w:rPr>
        <w:t>Документи, свързани с нередности и жалби;</w:t>
      </w:r>
    </w:p>
    <w:p w14:paraId="74CC3391" w14:textId="77777777" w:rsidR="00D603F5" w:rsidRPr="001B0EA3" w:rsidRDefault="00D603F5" w:rsidP="0054623A">
      <w:pPr>
        <w:numPr>
          <w:ilvl w:val="0"/>
          <w:numId w:val="114"/>
        </w:numPr>
        <w:tabs>
          <w:tab w:val="left" w:pos="709"/>
        </w:tabs>
        <w:rPr>
          <w:szCs w:val="24"/>
          <w:lang w:eastAsia="bg-BG"/>
        </w:rPr>
      </w:pPr>
      <w:r w:rsidRPr="001B0EA3">
        <w:rPr>
          <w:szCs w:val="24"/>
          <w:lang w:eastAsia="bg-BG"/>
        </w:rPr>
        <w:t>Документи, свързани с работата на Комитета за наблюдение на ОП;</w:t>
      </w:r>
    </w:p>
    <w:p w14:paraId="58E33E21" w14:textId="77777777" w:rsidR="00D603F5" w:rsidRPr="001B0EA3" w:rsidRDefault="00D603F5" w:rsidP="0054623A">
      <w:pPr>
        <w:numPr>
          <w:ilvl w:val="0"/>
          <w:numId w:val="114"/>
        </w:numPr>
        <w:tabs>
          <w:tab w:val="left" w:pos="709"/>
        </w:tabs>
        <w:rPr>
          <w:szCs w:val="24"/>
          <w:lang w:eastAsia="bg-BG"/>
        </w:rPr>
      </w:pPr>
      <w:r w:rsidRPr="001B0EA3">
        <w:rPr>
          <w:szCs w:val="24"/>
          <w:lang w:eastAsia="bg-BG"/>
        </w:rPr>
        <w:t>Документи, свързани с осъществяване на публичност на ОП;</w:t>
      </w:r>
    </w:p>
    <w:p w14:paraId="20D36CF4" w14:textId="77777777" w:rsidR="00D603F5" w:rsidRPr="001B0EA3" w:rsidRDefault="00D603F5" w:rsidP="0054623A">
      <w:pPr>
        <w:numPr>
          <w:ilvl w:val="0"/>
          <w:numId w:val="114"/>
        </w:numPr>
        <w:tabs>
          <w:tab w:val="left" w:pos="709"/>
        </w:tabs>
        <w:rPr>
          <w:rFonts w:eastAsia="EUAlbertina-Regu-Identity-H"/>
          <w:i/>
          <w:szCs w:val="24"/>
        </w:rPr>
      </w:pPr>
      <w:r w:rsidRPr="001B0EA3">
        <w:rPr>
          <w:szCs w:val="24"/>
          <w:lang w:eastAsia="bg-BG"/>
        </w:rPr>
        <w:t>Документи, свързани с осъществяване на оценка на ОП</w:t>
      </w:r>
    </w:p>
    <w:p w14:paraId="6A0794DF" w14:textId="77777777" w:rsidR="00D603F5" w:rsidRPr="001B0EA3" w:rsidRDefault="00D603F5" w:rsidP="00046D61">
      <w:pPr>
        <w:rPr>
          <w:snapToGrid w:val="0"/>
          <w:szCs w:val="24"/>
        </w:rPr>
      </w:pPr>
    </w:p>
    <w:p w14:paraId="3FE70CBF" w14:textId="77777777" w:rsidR="00D603F5" w:rsidRPr="00842ECC" w:rsidRDefault="00D603F5" w:rsidP="00B502C7">
      <w:pPr>
        <w:pStyle w:val="Style2"/>
        <w:rPr>
          <w:lang w:val="bg-BG"/>
        </w:rPr>
      </w:pPr>
      <w:bookmarkStart w:id="1240" w:name="_Toc479775791"/>
      <w:bookmarkStart w:id="1241" w:name="_Toc140150280"/>
      <w:r w:rsidRPr="00842ECC">
        <w:rPr>
          <w:snapToGrid w:val="0"/>
          <w:lang w:val="bg-BG"/>
        </w:rPr>
        <w:t>Документооборот към/от Министерството на транспорта и съобщенията</w:t>
      </w:r>
      <w:bookmarkEnd w:id="1240"/>
      <w:bookmarkEnd w:id="1241"/>
    </w:p>
    <w:p w14:paraId="1DE0DE25" w14:textId="77777777" w:rsidR="00C41BF8" w:rsidRPr="001B0EA3" w:rsidRDefault="00D603F5" w:rsidP="00046D61">
      <w:pPr>
        <w:spacing w:before="120"/>
        <w:rPr>
          <w:b/>
          <w:color w:val="000000"/>
          <w:szCs w:val="24"/>
        </w:rPr>
      </w:pPr>
      <w:bookmarkStart w:id="1242" w:name="_Toc122314464"/>
      <w:bookmarkStart w:id="1243" w:name="_Toc121052113"/>
      <w:bookmarkStart w:id="1244" w:name="_Toc124128288"/>
      <w:bookmarkStart w:id="1245" w:name="_Toc124203667"/>
      <w:bookmarkStart w:id="1246" w:name="_Toc264368420"/>
      <w:r w:rsidRPr="001B0EA3">
        <w:rPr>
          <w:b/>
          <w:color w:val="000000"/>
          <w:szCs w:val="24"/>
        </w:rPr>
        <w:t>Регистриране</w:t>
      </w:r>
      <w:bookmarkEnd w:id="1242"/>
      <w:bookmarkEnd w:id="1243"/>
      <w:bookmarkEnd w:id="1244"/>
      <w:bookmarkEnd w:id="1245"/>
      <w:bookmarkEnd w:id="1246"/>
    </w:p>
    <w:p w14:paraId="56B6F45A" w14:textId="77777777" w:rsidR="00D603F5" w:rsidRPr="001B0EA3" w:rsidRDefault="00D603F5" w:rsidP="00983C39">
      <w:pPr>
        <w:rPr>
          <w:snapToGrid w:val="0"/>
        </w:rPr>
      </w:pPr>
      <w:r w:rsidRPr="001B0EA3">
        <w:rPr>
          <w:snapToGrid w:val="0"/>
        </w:rPr>
        <w:t xml:space="preserve">Документооборотът към/от </w:t>
      </w:r>
      <w:r w:rsidR="00D34044">
        <w:rPr>
          <w:snapToGrid w:val="0"/>
        </w:rPr>
        <w:t>Министерството на транспорта и съобщенията</w:t>
      </w:r>
      <w:r w:rsidRPr="001B0EA3">
        <w:rPr>
          <w:snapToGrid w:val="0"/>
        </w:rPr>
        <w:t xml:space="preserve"> е регламентиран посредством „Вътрешни правила за обмен на документи по електронен път и документи на хартиен носител в </w:t>
      </w:r>
      <w:r w:rsidR="00D34044">
        <w:rPr>
          <w:snapToGrid w:val="0"/>
        </w:rPr>
        <w:t>Министерството на транспорта и съобщенията</w:t>
      </w:r>
      <w:r w:rsidRPr="001B0EA3">
        <w:rPr>
          <w:snapToGrid w:val="0"/>
        </w:rPr>
        <w:t>”</w:t>
      </w:r>
      <w:r w:rsidRPr="001B0EA3">
        <w:rPr>
          <w:rFonts w:eastAsia="Arial Unicode MS"/>
        </w:rPr>
        <w:t>.</w:t>
      </w:r>
    </w:p>
    <w:p w14:paraId="43C90267" w14:textId="77777777" w:rsidR="00D603F5" w:rsidRPr="001B0EA3" w:rsidRDefault="00D603F5" w:rsidP="00046D61">
      <w:pPr>
        <w:spacing w:before="120"/>
        <w:rPr>
          <w:b/>
          <w:color w:val="000000"/>
          <w:szCs w:val="24"/>
        </w:rPr>
      </w:pPr>
      <w:r w:rsidRPr="001B0EA3">
        <w:rPr>
          <w:b/>
          <w:color w:val="000000"/>
          <w:szCs w:val="24"/>
        </w:rPr>
        <w:t>Тези правила уреждат:</w:t>
      </w:r>
    </w:p>
    <w:p w14:paraId="116DFDDE" w14:textId="77777777" w:rsidR="00D603F5" w:rsidRPr="001B0EA3" w:rsidRDefault="00D603F5" w:rsidP="00D26A1C">
      <w:pPr>
        <w:pStyle w:val="ListParagraph"/>
        <w:numPr>
          <w:ilvl w:val="0"/>
          <w:numId w:val="171"/>
        </w:numPr>
        <w:ind w:left="0" w:firstLine="0"/>
        <w:rPr>
          <w:snapToGrid w:val="0"/>
          <w:szCs w:val="24"/>
        </w:rPr>
      </w:pPr>
      <w:bookmarkStart w:id="1247" w:name="_Toc264368421"/>
      <w:r w:rsidRPr="001B0EA3">
        <w:rPr>
          <w:snapToGrid w:val="0"/>
          <w:szCs w:val="24"/>
        </w:rPr>
        <w:t xml:space="preserve">организацията и технологията на информационно-деловодната дейност по регистриране, движение, изготвяне, архивиране и обмен на документите по електронен път и на хартиен носител в </w:t>
      </w:r>
      <w:r w:rsidR="00D34044">
        <w:rPr>
          <w:snapToGrid w:val="0"/>
          <w:szCs w:val="24"/>
        </w:rPr>
        <w:t>Министерството на транспорта и съобщенията</w:t>
      </w:r>
      <w:r w:rsidRPr="001B0EA3">
        <w:rPr>
          <w:snapToGrid w:val="0"/>
          <w:szCs w:val="24"/>
        </w:rPr>
        <w:t>;</w:t>
      </w:r>
    </w:p>
    <w:p w14:paraId="43B0D5F6" w14:textId="77777777" w:rsidR="00D603F5" w:rsidRPr="001B0EA3" w:rsidRDefault="00D603F5" w:rsidP="00D26A1C">
      <w:pPr>
        <w:pStyle w:val="ListParagraph"/>
        <w:numPr>
          <w:ilvl w:val="0"/>
          <w:numId w:val="171"/>
        </w:numPr>
        <w:ind w:left="0" w:firstLine="0"/>
        <w:rPr>
          <w:snapToGrid w:val="0"/>
          <w:szCs w:val="24"/>
        </w:rPr>
      </w:pPr>
      <w:r w:rsidRPr="001B0EA3">
        <w:rPr>
          <w:snapToGrid w:val="0"/>
          <w:szCs w:val="24"/>
        </w:rPr>
        <w:t>правилата за работа с документи, получени чрез единната среда за междуведомствен обмен на документи по електронен път;</w:t>
      </w:r>
    </w:p>
    <w:p w14:paraId="720D0D90" w14:textId="77777777" w:rsidR="00D603F5" w:rsidRPr="001B0EA3" w:rsidRDefault="00D603F5" w:rsidP="00D26A1C">
      <w:pPr>
        <w:pStyle w:val="ListParagraph"/>
        <w:numPr>
          <w:ilvl w:val="0"/>
          <w:numId w:val="171"/>
        </w:numPr>
        <w:ind w:left="0" w:firstLine="0"/>
        <w:rPr>
          <w:snapToGrid w:val="0"/>
          <w:szCs w:val="24"/>
        </w:rPr>
      </w:pPr>
      <w:r w:rsidRPr="001B0EA3">
        <w:rPr>
          <w:snapToGrid w:val="0"/>
          <w:szCs w:val="24"/>
        </w:rPr>
        <w:lastRenderedPageBreak/>
        <w:t>правилата при създаването, съгласуването, подписването и обмена на документите във връзка с паралелното движение на документооборота на хартиен и електронен носител;</w:t>
      </w:r>
    </w:p>
    <w:p w14:paraId="79CE4D49" w14:textId="77777777" w:rsidR="00D603F5" w:rsidRPr="001B0EA3" w:rsidRDefault="00D603F5" w:rsidP="00D26A1C">
      <w:pPr>
        <w:pStyle w:val="ListParagraph"/>
        <w:numPr>
          <w:ilvl w:val="0"/>
          <w:numId w:val="171"/>
        </w:numPr>
        <w:ind w:left="0" w:firstLine="0"/>
        <w:rPr>
          <w:snapToGrid w:val="0"/>
          <w:szCs w:val="24"/>
        </w:rPr>
      </w:pPr>
      <w:r w:rsidRPr="001B0EA3">
        <w:rPr>
          <w:snapToGrid w:val="0"/>
          <w:szCs w:val="24"/>
        </w:rPr>
        <w:t>регистрирането на документите, получени по електронен път и на хартиен носител в официалния документен регистър – база от данни в състава на „Система за документооборота и управлението на работния поток EVENTIS R7”, наричана по-нататък „Административна информационна система“;</w:t>
      </w:r>
    </w:p>
    <w:p w14:paraId="7A77F302" w14:textId="77777777" w:rsidR="00D603F5" w:rsidRPr="001B0EA3" w:rsidRDefault="00D603F5" w:rsidP="00D26A1C">
      <w:pPr>
        <w:pStyle w:val="ListParagraph"/>
        <w:numPr>
          <w:ilvl w:val="0"/>
          <w:numId w:val="171"/>
        </w:numPr>
        <w:ind w:left="0" w:firstLine="0"/>
        <w:rPr>
          <w:snapToGrid w:val="0"/>
          <w:szCs w:val="24"/>
        </w:rPr>
      </w:pPr>
      <w:r w:rsidRPr="001B0EA3">
        <w:rPr>
          <w:snapToGrid w:val="0"/>
          <w:szCs w:val="24"/>
        </w:rPr>
        <w:t>контрола по спазване на сроковете за изпълнение на възложените задачи.</w:t>
      </w:r>
    </w:p>
    <w:p w14:paraId="66B29FEA" w14:textId="77777777" w:rsidR="00D603F5" w:rsidRPr="001B0EA3" w:rsidRDefault="00D603F5" w:rsidP="00046D61">
      <w:pPr>
        <w:spacing w:before="120"/>
        <w:rPr>
          <w:b/>
          <w:color w:val="000000"/>
          <w:szCs w:val="24"/>
        </w:rPr>
      </w:pPr>
      <w:r w:rsidRPr="001B0EA3">
        <w:rPr>
          <w:b/>
          <w:color w:val="000000"/>
          <w:szCs w:val="24"/>
        </w:rPr>
        <w:t>Автоматизирана информационна система</w:t>
      </w:r>
      <w:bookmarkEnd w:id="1247"/>
    </w:p>
    <w:p w14:paraId="6DADCE83" w14:textId="77777777" w:rsidR="00D603F5" w:rsidRPr="001B0EA3" w:rsidRDefault="00D603F5" w:rsidP="00983C39">
      <w:pPr>
        <w:rPr>
          <w:b/>
          <w:caps/>
        </w:rPr>
      </w:pPr>
      <w:bookmarkStart w:id="1248" w:name="_Toc122314467"/>
      <w:bookmarkStart w:id="1249" w:name="_Toc121052117"/>
      <w:bookmarkStart w:id="1250" w:name="_Toc124128290"/>
      <w:bookmarkStart w:id="1251" w:name="_Toc124203669"/>
      <w:r w:rsidRPr="001B0EA3">
        <w:rPr>
          <w:caps/>
        </w:rPr>
        <w:t>В</w:t>
      </w:r>
      <w:r w:rsidRPr="001B0EA3">
        <w:t xml:space="preserve">сички документи, предложения, заявления, писма, сигнали, факсове и кореспонденция, получена на официалния електронен адрес на </w:t>
      </w:r>
      <w:r w:rsidR="00BB6BF6">
        <w:t>МТС</w:t>
      </w:r>
      <w:r w:rsidRPr="001B0EA3">
        <w:t xml:space="preserve"> задължително се регистрират в информационна система.</w:t>
      </w:r>
      <w:r w:rsidR="00ED66CF" w:rsidRPr="001B0EA3">
        <w:t xml:space="preserve"> </w:t>
      </w:r>
      <w:r w:rsidRPr="001B0EA3">
        <w:t xml:space="preserve">Използваният програмен продукт е системата за документооборот „EVENTIS R7”. </w:t>
      </w:r>
      <w:r w:rsidRPr="001B0EA3">
        <w:rPr>
          <w:caps/>
        </w:rPr>
        <w:t>С</w:t>
      </w:r>
      <w:r w:rsidRPr="001B0EA3">
        <w:t>истемната поддръжка на програмния продукт се извършва от дирекция „Информационно обслужване”.</w:t>
      </w:r>
    </w:p>
    <w:p w14:paraId="3FD8771E" w14:textId="77777777" w:rsidR="00D603F5" w:rsidRPr="001B0EA3" w:rsidRDefault="00D603F5" w:rsidP="00046D61">
      <w:pPr>
        <w:spacing w:before="120"/>
        <w:rPr>
          <w:b/>
          <w:color w:val="000000"/>
          <w:szCs w:val="24"/>
        </w:rPr>
      </w:pPr>
      <w:bookmarkStart w:id="1252" w:name="_Toc264368422"/>
      <w:r w:rsidRPr="001B0EA3">
        <w:rPr>
          <w:b/>
          <w:color w:val="000000"/>
          <w:szCs w:val="24"/>
        </w:rPr>
        <w:t>Дирекция „Канцелария” въвежда и поддържа информация в информационната система относно:</w:t>
      </w:r>
      <w:bookmarkEnd w:id="1252"/>
    </w:p>
    <w:p w14:paraId="6E5E99BB" w14:textId="77777777" w:rsidR="00D603F5" w:rsidRPr="001B0EA3" w:rsidRDefault="00D603F5" w:rsidP="00D26A1C">
      <w:pPr>
        <w:pStyle w:val="ListParagraph"/>
        <w:numPr>
          <w:ilvl w:val="0"/>
          <w:numId w:val="171"/>
        </w:numPr>
        <w:ind w:left="0" w:firstLine="0"/>
        <w:rPr>
          <w:snapToGrid w:val="0"/>
          <w:szCs w:val="24"/>
        </w:rPr>
      </w:pPr>
      <w:bookmarkStart w:id="1253" w:name="_Toc264368423"/>
      <w:r w:rsidRPr="001B0EA3">
        <w:rPr>
          <w:snapToGrid w:val="0"/>
          <w:szCs w:val="24"/>
        </w:rPr>
        <w:t>номер и индекс на документацията;</w:t>
      </w:r>
      <w:bookmarkEnd w:id="1253"/>
    </w:p>
    <w:p w14:paraId="3E3C80FD" w14:textId="77777777" w:rsidR="00D603F5" w:rsidRPr="001B0EA3" w:rsidRDefault="00D603F5" w:rsidP="00D26A1C">
      <w:pPr>
        <w:pStyle w:val="ListParagraph"/>
        <w:numPr>
          <w:ilvl w:val="0"/>
          <w:numId w:val="171"/>
        </w:numPr>
        <w:ind w:left="0" w:firstLine="0"/>
        <w:rPr>
          <w:snapToGrid w:val="0"/>
          <w:szCs w:val="24"/>
        </w:rPr>
      </w:pPr>
      <w:r w:rsidRPr="001B0EA3">
        <w:rPr>
          <w:snapToGrid w:val="0"/>
          <w:szCs w:val="24"/>
        </w:rPr>
        <w:t>кореспондент, кореспондентски индекс;</w:t>
      </w:r>
    </w:p>
    <w:p w14:paraId="322D2CAC" w14:textId="77777777" w:rsidR="00D603F5" w:rsidRPr="001B0EA3" w:rsidRDefault="00D603F5" w:rsidP="00D26A1C">
      <w:pPr>
        <w:pStyle w:val="ListParagraph"/>
        <w:numPr>
          <w:ilvl w:val="0"/>
          <w:numId w:val="171"/>
        </w:numPr>
        <w:ind w:left="0" w:firstLine="0"/>
        <w:rPr>
          <w:snapToGrid w:val="0"/>
          <w:szCs w:val="24"/>
        </w:rPr>
      </w:pPr>
      <w:bookmarkStart w:id="1254" w:name="_Toc264368424"/>
      <w:r w:rsidRPr="001B0EA3">
        <w:rPr>
          <w:snapToGrid w:val="0"/>
          <w:szCs w:val="24"/>
        </w:rPr>
        <w:t>вид, тип и категория на документа;</w:t>
      </w:r>
      <w:bookmarkEnd w:id="1254"/>
    </w:p>
    <w:p w14:paraId="0A179642" w14:textId="77777777" w:rsidR="00D603F5" w:rsidRPr="001B0EA3" w:rsidRDefault="00D603F5" w:rsidP="00D26A1C">
      <w:pPr>
        <w:pStyle w:val="ListParagraph"/>
        <w:numPr>
          <w:ilvl w:val="0"/>
          <w:numId w:val="171"/>
        </w:numPr>
        <w:ind w:left="0" w:firstLine="0"/>
        <w:rPr>
          <w:snapToGrid w:val="0"/>
          <w:szCs w:val="24"/>
        </w:rPr>
      </w:pPr>
      <w:r w:rsidRPr="001B0EA3">
        <w:rPr>
          <w:snapToGrid w:val="0"/>
          <w:szCs w:val="24"/>
        </w:rPr>
        <w:t>анотация на документа (относно);</w:t>
      </w:r>
    </w:p>
    <w:p w14:paraId="45EC184D" w14:textId="77777777" w:rsidR="00D603F5" w:rsidRPr="001B0EA3" w:rsidRDefault="00D603F5" w:rsidP="00D26A1C">
      <w:pPr>
        <w:pStyle w:val="ListParagraph"/>
        <w:numPr>
          <w:ilvl w:val="0"/>
          <w:numId w:val="171"/>
        </w:numPr>
        <w:ind w:left="0" w:firstLine="0"/>
        <w:rPr>
          <w:snapToGrid w:val="0"/>
          <w:szCs w:val="24"/>
        </w:rPr>
      </w:pPr>
      <w:r w:rsidRPr="001B0EA3">
        <w:rPr>
          <w:snapToGrid w:val="0"/>
          <w:szCs w:val="24"/>
        </w:rPr>
        <w:t>адресат;</w:t>
      </w:r>
    </w:p>
    <w:p w14:paraId="0D6D0FE7" w14:textId="77777777" w:rsidR="00D603F5" w:rsidRPr="001B0EA3" w:rsidRDefault="00D603F5" w:rsidP="00D26A1C">
      <w:pPr>
        <w:pStyle w:val="ListParagraph"/>
        <w:numPr>
          <w:ilvl w:val="0"/>
          <w:numId w:val="171"/>
        </w:numPr>
        <w:ind w:left="0" w:firstLine="0"/>
        <w:rPr>
          <w:snapToGrid w:val="0"/>
          <w:szCs w:val="24"/>
        </w:rPr>
      </w:pPr>
      <w:r w:rsidRPr="001B0EA3">
        <w:rPr>
          <w:snapToGrid w:val="0"/>
          <w:szCs w:val="24"/>
        </w:rPr>
        <w:t>резолюция и резолиращ;</w:t>
      </w:r>
    </w:p>
    <w:p w14:paraId="2C07C0CC" w14:textId="77777777" w:rsidR="00D603F5" w:rsidRPr="001B0EA3" w:rsidRDefault="00D603F5" w:rsidP="00D26A1C">
      <w:pPr>
        <w:pStyle w:val="ListParagraph"/>
        <w:numPr>
          <w:ilvl w:val="0"/>
          <w:numId w:val="171"/>
        </w:numPr>
        <w:ind w:left="0" w:firstLine="0"/>
        <w:rPr>
          <w:snapToGrid w:val="0"/>
          <w:szCs w:val="24"/>
        </w:rPr>
      </w:pPr>
      <w:r w:rsidRPr="001B0EA3">
        <w:rPr>
          <w:snapToGrid w:val="0"/>
          <w:szCs w:val="24"/>
        </w:rPr>
        <w:t>отговорник;</w:t>
      </w:r>
    </w:p>
    <w:p w14:paraId="407C2E92" w14:textId="77777777" w:rsidR="00D603F5" w:rsidRPr="001B0EA3" w:rsidRDefault="00D603F5" w:rsidP="00D26A1C">
      <w:pPr>
        <w:pStyle w:val="ListParagraph"/>
        <w:numPr>
          <w:ilvl w:val="0"/>
          <w:numId w:val="171"/>
        </w:numPr>
        <w:ind w:left="0" w:firstLine="0"/>
        <w:rPr>
          <w:snapToGrid w:val="0"/>
          <w:szCs w:val="24"/>
        </w:rPr>
      </w:pPr>
      <w:r w:rsidRPr="001B0EA3">
        <w:rPr>
          <w:snapToGrid w:val="0"/>
          <w:szCs w:val="24"/>
        </w:rPr>
        <w:t>срок на изпълнение, ако има такъв;</w:t>
      </w:r>
    </w:p>
    <w:p w14:paraId="7713766B" w14:textId="77777777" w:rsidR="00D603F5" w:rsidRPr="001B0EA3" w:rsidRDefault="00D603F5" w:rsidP="00D26A1C">
      <w:pPr>
        <w:pStyle w:val="ListParagraph"/>
        <w:numPr>
          <w:ilvl w:val="0"/>
          <w:numId w:val="171"/>
        </w:numPr>
        <w:ind w:left="0" w:firstLine="0"/>
        <w:rPr>
          <w:snapToGrid w:val="0"/>
          <w:szCs w:val="24"/>
        </w:rPr>
      </w:pPr>
      <w:r w:rsidRPr="001B0EA3">
        <w:rPr>
          <w:snapToGrid w:val="0"/>
          <w:szCs w:val="24"/>
        </w:rPr>
        <w:t>сканиране на хартиения документ и прикачване към ре</w:t>
      </w:r>
      <w:r w:rsidR="003418FE" w:rsidRPr="001B0EA3">
        <w:rPr>
          <w:snapToGrid w:val="0"/>
          <w:szCs w:val="24"/>
        </w:rPr>
        <w:t>гистрирания електронен документ</w:t>
      </w:r>
    </w:p>
    <w:p w14:paraId="40B2EFD7" w14:textId="77777777" w:rsidR="00D603F5" w:rsidRPr="001B0EA3" w:rsidRDefault="00D603F5" w:rsidP="00046D61">
      <w:pPr>
        <w:rPr>
          <w:color w:val="000000"/>
          <w:szCs w:val="24"/>
        </w:rPr>
      </w:pPr>
      <w:bookmarkStart w:id="1255" w:name="_Toc264368425"/>
      <w:bookmarkEnd w:id="1248"/>
      <w:bookmarkEnd w:id="1249"/>
      <w:bookmarkEnd w:id="1250"/>
      <w:bookmarkEnd w:id="1251"/>
    </w:p>
    <w:p w14:paraId="2BA7E672" w14:textId="77777777" w:rsidR="00D603F5" w:rsidRPr="001B0EA3" w:rsidRDefault="00D603F5" w:rsidP="00983C39">
      <w:r w:rsidRPr="001B0EA3">
        <w:t xml:space="preserve">С цел поддържане на адекватна одитна пътека  в системата за документооборот „EVENTIS R7” през програмен период 2007-2013 г. е създадена функционалност „Европроекти”. Чрез тази функционалност на всеки документ свързан с изпълнението на  ОПТТИ се дописва допълнителна индексация, осигуряваща наличност и проследяемост на документите по ОПТТИ. Системата осигурява, както създаване на документи с индекси по ОПТТИ, така и добавяне на индекси по ОПТТИ на вече регистрирани в деловодството на </w:t>
      </w:r>
      <w:r w:rsidR="00BB6BF6">
        <w:t>МТС</w:t>
      </w:r>
      <w:r w:rsidRPr="001B0EA3">
        <w:t xml:space="preserve"> документи.</w:t>
      </w:r>
      <w:bookmarkEnd w:id="1255"/>
    </w:p>
    <w:p w14:paraId="634066FF" w14:textId="77777777" w:rsidR="00D603F5" w:rsidRPr="001B0EA3" w:rsidRDefault="00D603F5" w:rsidP="00046D61">
      <w:pPr>
        <w:spacing w:before="120"/>
        <w:rPr>
          <w:b/>
          <w:color w:val="000000"/>
          <w:szCs w:val="24"/>
        </w:rPr>
      </w:pPr>
      <w:bookmarkStart w:id="1256" w:name="_Toc264368426"/>
      <w:r w:rsidRPr="001B0EA3">
        <w:rPr>
          <w:b/>
          <w:color w:val="000000"/>
          <w:szCs w:val="24"/>
        </w:rPr>
        <w:t>Система за архивиране на документация на хартиен носител</w:t>
      </w:r>
      <w:bookmarkEnd w:id="1256"/>
    </w:p>
    <w:p w14:paraId="38BC3EB2" w14:textId="77777777" w:rsidR="00D603F5" w:rsidRPr="001B0EA3" w:rsidRDefault="00D603F5" w:rsidP="00046D61">
      <w:pPr>
        <w:rPr>
          <w:color w:val="000000"/>
          <w:szCs w:val="24"/>
        </w:rPr>
      </w:pPr>
      <w:r w:rsidRPr="001B0EA3">
        <w:rPr>
          <w:color w:val="000000"/>
          <w:szCs w:val="24"/>
        </w:rPr>
        <w:t xml:space="preserve">Досиетата съдържат документи, информация и кореспонденция, свързана със специфична тема. Всички досиета са обозначени посредством използването на етикети, показващи точно съдържанието на досието. </w:t>
      </w:r>
    </w:p>
    <w:p w14:paraId="28BE0862" w14:textId="77777777" w:rsidR="00D603F5" w:rsidRPr="001B0EA3" w:rsidRDefault="00D603F5" w:rsidP="00046D61">
      <w:pPr>
        <w:rPr>
          <w:color w:val="000000"/>
          <w:szCs w:val="24"/>
        </w:rPr>
      </w:pPr>
      <w:r w:rsidRPr="001B0EA3">
        <w:rPr>
          <w:color w:val="000000"/>
          <w:szCs w:val="24"/>
        </w:rPr>
        <w:t xml:space="preserve">Запазването и архивирането на досиетата е регламентирано във „Вътрешни правила за реда и организацията на документооборота и административното обслужване в министерството на транспорта, информационните технологии  и съобщенията”. </w:t>
      </w:r>
    </w:p>
    <w:p w14:paraId="1D5469A7" w14:textId="77777777" w:rsidR="00D603F5" w:rsidRPr="001B0EA3" w:rsidRDefault="00D603F5" w:rsidP="00046D61">
      <w:pPr>
        <w:spacing w:before="120"/>
        <w:rPr>
          <w:b/>
          <w:color w:val="000000"/>
          <w:szCs w:val="24"/>
        </w:rPr>
      </w:pPr>
      <w:r w:rsidRPr="001B0EA3">
        <w:rPr>
          <w:b/>
          <w:color w:val="000000"/>
          <w:szCs w:val="24"/>
        </w:rPr>
        <w:t>Дирекция КПП е отговорна за:</w:t>
      </w:r>
    </w:p>
    <w:p w14:paraId="4A65DB2C" w14:textId="77777777" w:rsidR="00D603F5" w:rsidRPr="001B0EA3" w:rsidRDefault="00D603F5" w:rsidP="00D26A1C">
      <w:pPr>
        <w:pStyle w:val="ListParagraph"/>
        <w:numPr>
          <w:ilvl w:val="0"/>
          <w:numId w:val="171"/>
        </w:numPr>
        <w:ind w:left="0" w:firstLine="0"/>
        <w:rPr>
          <w:snapToGrid w:val="0"/>
          <w:szCs w:val="24"/>
        </w:rPr>
      </w:pPr>
      <w:r w:rsidRPr="001B0EA3">
        <w:rPr>
          <w:snapToGrid w:val="0"/>
          <w:szCs w:val="24"/>
        </w:rPr>
        <w:t>разработването и поддържането на оптимална система за архивиране, запазваща всяка въведена документация;</w:t>
      </w:r>
    </w:p>
    <w:p w14:paraId="409606F8" w14:textId="77777777" w:rsidR="00D603F5" w:rsidRPr="001B0EA3" w:rsidRDefault="00D603F5" w:rsidP="00D26A1C">
      <w:pPr>
        <w:pStyle w:val="ListParagraph"/>
        <w:numPr>
          <w:ilvl w:val="0"/>
          <w:numId w:val="171"/>
        </w:numPr>
        <w:ind w:left="0" w:firstLine="0"/>
        <w:rPr>
          <w:snapToGrid w:val="0"/>
          <w:szCs w:val="24"/>
        </w:rPr>
      </w:pPr>
      <w:r w:rsidRPr="001B0EA3">
        <w:rPr>
          <w:snapToGrid w:val="0"/>
          <w:szCs w:val="24"/>
        </w:rPr>
        <w:t>осигуряване на персонални и материални условия, необходими за изграждането и поддържането на система за архивиране;</w:t>
      </w:r>
    </w:p>
    <w:p w14:paraId="569625B8" w14:textId="77777777" w:rsidR="00D603F5" w:rsidRPr="001B0EA3" w:rsidRDefault="00D603F5" w:rsidP="00D26A1C">
      <w:pPr>
        <w:pStyle w:val="ListParagraph"/>
        <w:numPr>
          <w:ilvl w:val="0"/>
          <w:numId w:val="171"/>
        </w:numPr>
        <w:ind w:left="0" w:firstLine="0"/>
        <w:rPr>
          <w:snapToGrid w:val="0"/>
          <w:szCs w:val="24"/>
        </w:rPr>
      </w:pPr>
      <w:r w:rsidRPr="001B0EA3">
        <w:rPr>
          <w:snapToGrid w:val="0"/>
          <w:szCs w:val="24"/>
        </w:rPr>
        <w:t>гарантиране, че архивираната документация се пази, с цел тя да бъде на разположение на контролните органи.</w:t>
      </w:r>
    </w:p>
    <w:p w14:paraId="5931E493" w14:textId="77777777" w:rsidR="004129F8" w:rsidRPr="001B0EA3" w:rsidRDefault="004129F8" w:rsidP="00046D61">
      <w:pPr>
        <w:spacing w:before="120"/>
        <w:rPr>
          <w:b/>
          <w:color w:val="000000"/>
          <w:szCs w:val="24"/>
        </w:rPr>
      </w:pPr>
      <w:r w:rsidRPr="001B0EA3">
        <w:rPr>
          <w:b/>
          <w:color w:val="000000"/>
          <w:szCs w:val="24"/>
        </w:rPr>
        <w:t>Архивохранилище</w:t>
      </w:r>
    </w:p>
    <w:p w14:paraId="6A1AC859" w14:textId="77777777" w:rsidR="004129F8" w:rsidRPr="001B0EA3" w:rsidRDefault="004129F8" w:rsidP="00046D61">
      <w:pPr>
        <w:rPr>
          <w:color w:val="000000"/>
          <w:szCs w:val="24"/>
        </w:rPr>
      </w:pPr>
      <w:r w:rsidRPr="001B0EA3">
        <w:rPr>
          <w:color w:val="000000"/>
          <w:szCs w:val="24"/>
        </w:rPr>
        <w:t xml:space="preserve">В сградата на </w:t>
      </w:r>
      <w:r w:rsidR="00BB6BF6">
        <w:rPr>
          <w:color w:val="000000"/>
          <w:szCs w:val="24"/>
        </w:rPr>
        <w:t>МТС</w:t>
      </w:r>
      <w:r w:rsidRPr="001B0EA3">
        <w:rPr>
          <w:color w:val="000000"/>
          <w:szCs w:val="24"/>
        </w:rPr>
        <w:t xml:space="preserve"> е обособено подходящо помещение определено за архивохранилище, в което се приемат, съхраняват, обработват и използват документи основно </w:t>
      </w:r>
      <w:r w:rsidRPr="001B0EA3">
        <w:rPr>
          <w:color w:val="000000"/>
          <w:szCs w:val="24"/>
        </w:rPr>
        <w:lastRenderedPageBreak/>
        <w:t xml:space="preserve">на хартиен носител, свързани с изпълнението на програмата. Достъп до архивохранилището имат само служителите от дирекция КПП, както и служители от </w:t>
      </w:r>
      <w:r w:rsidR="00BB6BF6">
        <w:rPr>
          <w:color w:val="000000"/>
          <w:szCs w:val="24"/>
        </w:rPr>
        <w:t>МТС</w:t>
      </w:r>
      <w:r w:rsidRPr="001B0EA3">
        <w:rPr>
          <w:color w:val="000000"/>
          <w:szCs w:val="24"/>
        </w:rPr>
        <w:t>, желаещи да направят справка по вече архивирани документи в присъствието на служител от дирекция КПП. Всеки отдел на дирекция КПП разполага с метални шкафове, които се използват за съхранение на текуща документация.</w:t>
      </w:r>
    </w:p>
    <w:p w14:paraId="2084DC38" w14:textId="77777777" w:rsidR="003418FE" w:rsidRPr="001B0EA3" w:rsidRDefault="003418FE" w:rsidP="00125DAC">
      <w:pPr>
        <w:spacing w:before="120"/>
        <w:rPr>
          <w:b/>
          <w:szCs w:val="24"/>
          <w:lang w:eastAsia="bg-BG"/>
        </w:rPr>
      </w:pPr>
      <w:r w:rsidRPr="001B0EA3">
        <w:rPr>
          <w:b/>
          <w:szCs w:val="24"/>
          <w:lang w:eastAsia="bg-BG"/>
        </w:rPr>
        <w:t>Организиране на документацията, когато УО на ОПТТИ е бенефициент по програмата</w:t>
      </w:r>
    </w:p>
    <w:p w14:paraId="24011AAD" w14:textId="77777777" w:rsidR="003418FE" w:rsidRPr="001B0EA3" w:rsidRDefault="003418FE" w:rsidP="00125DAC">
      <w:pPr>
        <w:rPr>
          <w:szCs w:val="24"/>
          <w:lang w:eastAsia="bg-BG"/>
        </w:rPr>
      </w:pPr>
      <w:r w:rsidRPr="001B0EA3">
        <w:rPr>
          <w:szCs w:val="24"/>
          <w:lang w:eastAsia="bg-BG"/>
        </w:rPr>
        <w:t xml:space="preserve">Структурната единица в рамките на УО на ОПТТИ (Звено за изпълнение на проекта, или отдел), в качеството си на бенефициент по проекта следва да съхранява следната документация: </w:t>
      </w:r>
    </w:p>
    <w:p w14:paraId="59691984" w14:textId="77777777" w:rsidR="003418FE" w:rsidRPr="001B0EA3" w:rsidRDefault="003418FE" w:rsidP="00D26A1C">
      <w:pPr>
        <w:pStyle w:val="ListParagraph"/>
        <w:numPr>
          <w:ilvl w:val="0"/>
          <w:numId w:val="171"/>
        </w:numPr>
        <w:ind w:left="0" w:firstLine="0"/>
        <w:rPr>
          <w:snapToGrid w:val="0"/>
          <w:szCs w:val="24"/>
        </w:rPr>
      </w:pPr>
      <w:r w:rsidRPr="001B0EA3">
        <w:rPr>
          <w:snapToGrid w:val="0"/>
          <w:szCs w:val="24"/>
        </w:rPr>
        <w:t>формуляр за кандидатстване/ финансов план при бюджетни линии;</w:t>
      </w:r>
    </w:p>
    <w:p w14:paraId="3004BF69" w14:textId="77777777" w:rsidR="003418FE" w:rsidRPr="001B0EA3" w:rsidRDefault="003418FE" w:rsidP="00D26A1C">
      <w:pPr>
        <w:pStyle w:val="ListParagraph"/>
        <w:numPr>
          <w:ilvl w:val="0"/>
          <w:numId w:val="171"/>
        </w:numPr>
        <w:ind w:left="0" w:firstLine="0"/>
        <w:rPr>
          <w:snapToGrid w:val="0"/>
          <w:szCs w:val="24"/>
        </w:rPr>
      </w:pPr>
      <w:r w:rsidRPr="001B0EA3">
        <w:rPr>
          <w:snapToGrid w:val="0"/>
          <w:szCs w:val="24"/>
        </w:rPr>
        <w:t>решение на ръководителя на УО на ОПТТИ за предоставяне на безвъзмездна финансова помощ по проекта;</w:t>
      </w:r>
    </w:p>
    <w:p w14:paraId="412FEC8C" w14:textId="77777777" w:rsidR="003418FE" w:rsidRPr="001B0EA3" w:rsidRDefault="003418FE" w:rsidP="00D26A1C">
      <w:pPr>
        <w:pStyle w:val="ListParagraph"/>
        <w:numPr>
          <w:ilvl w:val="0"/>
          <w:numId w:val="171"/>
        </w:numPr>
        <w:ind w:left="0" w:firstLine="0"/>
        <w:rPr>
          <w:snapToGrid w:val="0"/>
          <w:szCs w:val="24"/>
        </w:rPr>
      </w:pPr>
      <w:r w:rsidRPr="001B0EA3">
        <w:rPr>
          <w:snapToGrid w:val="0"/>
          <w:szCs w:val="24"/>
        </w:rPr>
        <w:t>заповед на министъра на транспорта за предоставяне на безвъзмездна финансова помощ и нейните изменения (когато е приложимо);</w:t>
      </w:r>
    </w:p>
    <w:p w14:paraId="669282AF" w14:textId="77777777" w:rsidR="003418FE" w:rsidRPr="001B0EA3" w:rsidRDefault="003418FE" w:rsidP="00D26A1C">
      <w:pPr>
        <w:pStyle w:val="ListParagraph"/>
        <w:numPr>
          <w:ilvl w:val="0"/>
          <w:numId w:val="171"/>
        </w:numPr>
        <w:ind w:left="0" w:firstLine="0"/>
        <w:rPr>
          <w:snapToGrid w:val="0"/>
          <w:szCs w:val="24"/>
        </w:rPr>
      </w:pPr>
      <w:r w:rsidRPr="001B0EA3">
        <w:rPr>
          <w:snapToGrid w:val="0"/>
          <w:szCs w:val="24"/>
        </w:rPr>
        <w:t>договор с избрания изпълнител (когато е приложимо);</w:t>
      </w:r>
    </w:p>
    <w:p w14:paraId="1DAC6CE3" w14:textId="77777777" w:rsidR="003418FE" w:rsidRPr="001B0EA3" w:rsidRDefault="003418FE" w:rsidP="00D26A1C">
      <w:pPr>
        <w:pStyle w:val="ListParagraph"/>
        <w:numPr>
          <w:ilvl w:val="0"/>
          <w:numId w:val="171"/>
        </w:numPr>
        <w:ind w:left="0" w:firstLine="0"/>
        <w:rPr>
          <w:snapToGrid w:val="0"/>
          <w:szCs w:val="24"/>
        </w:rPr>
      </w:pPr>
      <w:r w:rsidRPr="001B0EA3">
        <w:rPr>
          <w:snapToGrid w:val="0"/>
          <w:szCs w:val="24"/>
        </w:rPr>
        <w:t>документация свързана с изпълнението на договора с външния изпълнител (в случай че има такъв)</w:t>
      </w:r>
    </w:p>
    <w:p w14:paraId="7AD9F6DC" w14:textId="77777777" w:rsidR="003418FE" w:rsidRPr="001B0EA3" w:rsidRDefault="003418FE" w:rsidP="00D26A1C">
      <w:pPr>
        <w:pStyle w:val="ListParagraph"/>
        <w:numPr>
          <w:ilvl w:val="0"/>
          <w:numId w:val="171"/>
        </w:numPr>
        <w:ind w:left="0" w:firstLine="0"/>
        <w:rPr>
          <w:snapToGrid w:val="0"/>
          <w:szCs w:val="24"/>
        </w:rPr>
      </w:pPr>
      <w:r w:rsidRPr="001B0EA3">
        <w:rPr>
          <w:snapToGrid w:val="0"/>
          <w:szCs w:val="24"/>
        </w:rPr>
        <w:t>доказателствени документи за реално извършени разходи, изпълнени услуги, строителство, доставки и т. н. (фактури, платежни нареждания, приемно-предавателни протоколи, други протоколи и др.)</w:t>
      </w:r>
    </w:p>
    <w:p w14:paraId="16E0512F" w14:textId="77777777" w:rsidR="003418FE" w:rsidRPr="001B0EA3" w:rsidRDefault="003418FE" w:rsidP="00D26A1C">
      <w:pPr>
        <w:pStyle w:val="ListParagraph"/>
        <w:numPr>
          <w:ilvl w:val="0"/>
          <w:numId w:val="171"/>
        </w:numPr>
        <w:ind w:left="0" w:firstLine="0"/>
        <w:rPr>
          <w:snapToGrid w:val="0"/>
          <w:szCs w:val="24"/>
        </w:rPr>
      </w:pPr>
      <w:r w:rsidRPr="001B0EA3">
        <w:rPr>
          <w:snapToGrid w:val="0"/>
          <w:szCs w:val="24"/>
        </w:rPr>
        <w:t>искания за плащане и контролни листове към тях</w:t>
      </w:r>
    </w:p>
    <w:p w14:paraId="369723E8" w14:textId="77777777" w:rsidR="003418FE" w:rsidRPr="001B0EA3" w:rsidRDefault="003418FE" w:rsidP="00D26A1C">
      <w:pPr>
        <w:pStyle w:val="ListParagraph"/>
        <w:numPr>
          <w:ilvl w:val="0"/>
          <w:numId w:val="171"/>
        </w:numPr>
        <w:ind w:left="0" w:firstLine="0"/>
        <w:rPr>
          <w:snapToGrid w:val="0"/>
          <w:szCs w:val="24"/>
        </w:rPr>
      </w:pPr>
      <w:r w:rsidRPr="001B0EA3">
        <w:rPr>
          <w:snapToGrid w:val="0"/>
          <w:szCs w:val="24"/>
        </w:rPr>
        <w:t xml:space="preserve">финансови отчети </w:t>
      </w:r>
    </w:p>
    <w:p w14:paraId="5F495F16" w14:textId="77777777" w:rsidR="003418FE" w:rsidRPr="001B0EA3" w:rsidRDefault="003418FE" w:rsidP="00D26A1C">
      <w:pPr>
        <w:pStyle w:val="ListParagraph"/>
        <w:numPr>
          <w:ilvl w:val="0"/>
          <w:numId w:val="171"/>
        </w:numPr>
        <w:ind w:left="0" w:firstLine="0"/>
        <w:rPr>
          <w:snapToGrid w:val="0"/>
          <w:szCs w:val="24"/>
        </w:rPr>
      </w:pPr>
      <w:r w:rsidRPr="001B0EA3">
        <w:rPr>
          <w:snapToGrid w:val="0"/>
          <w:szCs w:val="24"/>
        </w:rPr>
        <w:t>доклади за напредъка (месечен, шестмесечен, годишен, окончателен) и контролни листове към тях</w:t>
      </w:r>
    </w:p>
    <w:p w14:paraId="1CD1A6BC" w14:textId="77777777" w:rsidR="003418FE" w:rsidRPr="001B0EA3" w:rsidRDefault="003418FE" w:rsidP="00D26A1C">
      <w:pPr>
        <w:pStyle w:val="ListParagraph"/>
        <w:numPr>
          <w:ilvl w:val="0"/>
          <w:numId w:val="171"/>
        </w:numPr>
        <w:ind w:left="0" w:firstLine="0"/>
        <w:rPr>
          <w:snapToGrid w:val="0"/>
          <w:szCs w:val="24"/>
        </w:rPr>
      </w:pPr>
      <w:r w:rsidRPr="001B0EA3">
        <w:rPr>
          <w:snapToGrid w:val="0"/>
          <w:szCs w:val="24"/>
        </w:rPr>
        <w:t>друга документация свързана с изпълнението на проекта.</w:t>
      </w:r>
    </w:p>
    <w:p w14:paraId="31F648AC" w14:textId="77777777" w:rsidR="00F56377" w:rsidRPr="001B0EA3" w:rsidRDefault="00F56377" w:rsidP="00125DAC">
      <w:pPr>
        <w:spacing w:after="200"/>
        <w:rPr>
          <w:szCs w:val="24"/>
        </w:rPr>
      </w:pPr>
    </w:p>
    <w:p w14:paraId="504EC82C" w14:textId="77777777" w:rsidR="003418FE" w:rsidRPr="001B0EA3" w:rsidRDefault="003418FE" w:rsidP="00125DAC">
      <w:pPr>
        <w:spacing w:after="200"/>
        <w:rPr>
          <w:szCs w:val="24"/>
        </w:rPr>
      </w:pPr>
      <w:r w:rsidRPr="001B0EA3">
        <w:rPr>
          <w:szCs w:val="24"/>
        </w:rPr>
        <w:t xml:space="preserve">Документациите, свързани с подготовката и провеждането на процедури за възлагане на обществени поръчки се съхраняват съгласно действащите Вътрешните правила за възлагане на обществените поръчки в </w:t>
      </w:r>
      <w:r w:rsidR="00D34044">
        <w:rPr>
          <w:szCs w:val="24"/>
        </w:rPr>
        <w:t>Министерството на транспорта и съобщенията</w:t>
      </w:r>
      <w:r w:rsidRPr="001B0EA3">
        <w:rPr>
          <w:szCs w:val="24"/>
        </w:rPr>
        <w:t>.</w:t>
      </w:r>
    </w:p>
    <w:p w14:paraId="79622A14" w14:textId="77777777" w:rsidR="00D603F5" w:rsidRPr="00842ECC" w:rsidRDefault="00D603F5" w:rsidP="00B502C7">
      <w:pPr>
        <w:pStyle w:val="Style2"/>
        <w:rPr>
          <w:lang w:val="bg-BG"/>
        </w:rPr>
      </w:pPr>
      <w:bookmarkStart w:id="1257" w:name="_Toc479775792"/>
      <w:bookmarkStart w:id="1258" w:name="_Toc140150281"/>
      <w:r w:rsidRPr="00842ECC">
        <w:rPr>
          <w:lang w:val="bg-BG"/>
        </w:rPr>
        <w:t xml:space="preserve">Осигуряване на одитна пътека по процедури от </w:t>
      </w:r>
      <w:r w:rsidR="00A444CF" w:rsidRPr="00842ECC">
        <w:rPr>
          <w:lang w:val="bg-BG"/>
        </w:rPr>
        <w:t>компетенциите</w:t>
      </w:r>
      <w:r w:rsidRPr="00842ECC">
        <w:rPr>
          <w:lang w:val="bg-BG"/>
        </w:rPr>
        <w:t xml:space="preserve"> на отдел „Програмиране”</w:t>
      </w:r>
      <w:bookmarkEnd w:id="1257"/>
      <w:bookmarkEnd w:id="1258"/>
    </w:p>
    <w:p w14:paraId="45F54943" w14:textId="77777777" w:rsidR="00D603F5" w:rsidRPr="001B0EA3" w:rsidRDefault="00D603F5" w:rsidP="00046D61">
      <w:pPr>
        <w:rPr>
          <w:b/>
          <w:color w:val="000000"/>
          <w:szCs w:val="24"/>
        </w:rPr>
      </w:pPr>
    </w:p>
    <w:p w14:paraId="6E085CE3" w14:textId="77777777" w:rsidR="00D603F5" w:rsidRPr="001B0EA3" w:rsidRDefault="00D603F5" w:rsidP="00046D61">
      <w:pPr>
        <w:pStyle w:val="ListParagraph"/>
        <w:numPr>
          <w:ilvl w:val="0"/>
          <w:numId w:val="74"/>
        </w:numPr>
        <w:tabs>
          <w:tab w:val="left" w:pos="1134"/>
        </w:tabs>
        <w:spacing w:after="120"/>
        <w:ind w:left="0" w:firstLine="851"/>
        <w:rPr>
          <w:b/>
          <w:szCs w:val="24"/>
        </w:rPr>
      </w:pPr>
      <w:r w:rsidRPr="001B0EA3">
        <w:rPr>
          <w:b/>
          <w:szCs w:val="24"/>
        </w:rPr>
        <w:t>Текущи преписки по общи въпроси, засягащи дейността на отдела</w:t>
      </w:r>
    </w:p>
    <w:p w14:paraId="51E07097" w14:textId="77777777" w:rsidR="00D603F5" w:rsidRPr="001B0EA3" w:rsidRDefault="00D603F5" w:rsidP="00046D61">
      <w:pPr>
        <w:pStyle w:val="ListParagraph"/>
        <w:numPr>
          <w:ilvl w:val="0"/>
          <w:numId w:val="171"/>
        </w:numPr>
        <w:tabs>
          <w:tab w:val="left" w:pos="1134"/>
        </w:tabs>
        <w:ind w:left="0" w:firstLine="851"/>
        <w:rPr>
          <w:snapToGrid w:val="0"/>
          <w:szCs w:val="24"/>
        </w:rPr>
      </w:pPr>
      <w:r w:rsidRPr="001B0EA3">
        <w:rPr>
          <w:snapToGrid w:val="0"/>
          <w:szCs w:val="24"/>
        </w:rPr>
        <w:t>Общо-административна кореспонденция, която не се отнася пряко до дейностите по ОПТТИ;</w:t>
      </w:r>
    </w:p>
    <w:p w14:paraId="2A4C4213" w14:textId="77777777" w:rsidR="00D603F5" w:rsidRPr="001B0EA3" w:rsidRDefault="00D603F5" w:rsidP="00046D61">
      <w:pPr>
        <w:pStyle w:val="ListParagraph"/>
        <w:numPr>
          <w:ilvl w:val="0"/>
          <w:numId w:val="171"/>
        </w:numPr>
        <w:tabs>
          <w:tab w:val="left" w:pos="1134"/>
        </w:tabs>
        <w:ind w:left="0" w:firstLine="851"/>
        <w:rPr>
          <w:snapToGrid w:val="0"/>
          <w:szCs w:val="24"/>
        </w:rPr>
      </w:pPr>
      <w:r w:rsidRPr="001B0EA3">
        <w:rPr>
          <w:snapToGrid w:val="0"/>
          <w:szCs w:val="24"/>
        </w:rPr>
        <w:t xml:space="preserve">Кореспонденция до МС, МФ, други ведомства по въпроси на ОПТТИ; </w:t>
      </w:r>
    </w:p>
    <w:p w14:paraId="4A8F97FC" w14:textId="77777777" w:rsidR="00D603F5" w:rsidRPr="001B0EA3" w:rsidRDefault="00D603F5" w:rsidP="00046D61">
      <w:pPr>
        <w:pStyle w:val="ListParagraph"/>
        <w:numPr>
          <w:ilvl w:val="0"/>
          <w:numId w:val="171"/>
        </w:numPr>
        <w:tabs>
          <w:tab w:val="left" w:pos="1134"/>
        </w:tabs>
        <w:ind w:left="0" w:firstLine="851"/>
        <w:rPr>
          <w:snapToGrid w:val="0"/>
          <w:szCs w:val="24"/>
        </w:rPr>
      </w:pPr>
      <w:r w:rsidRPr="001B0EA3">
        <w:rPr>
          <w:snapToGrid w:val="0"/>
          <w:szCs w:val="24"/>
        </w:rPr>
        <w:t xml:space="preserve">Кореспонденция с административни звена в </w:t>
      </w:r>
      <w:r w:rsidR="00BB6BF6">
        <w:rPr>
          <w:snapToGrid w:val="0"/>
          <w:szCs w:val="24"/>
        </w:rPr>
        <w:t>МТС</w:t>
      </w:r>
      <w:r w:rsidRPr="001B0EA3">
        <w:rPr>
          <w:snapToGrid w:val="0"/>
          <w:szCs w:val="24"/>
        </w:rPr>
        <w:t>, включително другите отдели на дирекцията по въпроси на ОПТТИ.</w:t>
      </w:r>
    </w:p>
    <w:p w14:paraId="01C68A86" w14:textId="77777777" w:rsidR="00B51E90" w:rsidRPr="001B0EA3" w:rsidRDefault="00A4163F" w:rsidP="00046D61">
      <w:pPr>
        <w:pStyle w:val="ListParagraph"/>
        <w:numPr>
          <w:ilvl w:val="0"/>
          <w:numId w:val="74"/>
        </w:numPr>
        <w:tabs>
          <w:tab w:val="left" w:pos="1134"/>
        </w:tabs>
        <w:spacing w:after="120"/>
        <w:ind w:left="0" w:firstLine="851"/>
        <w:rPr>
          <w:b/>
          <w:szCs w:val="24"/>
        </w:rPr>
      </w:pPr>
      <w:r w:rsidRPr="001B0EA3">
        <w:rPr>
          <w:b/>
          <w:szCs w:val="24"/>
        </w:rPr>
        <w:t>Документи</w:t>
      </w:r>
      <w:r w:rsidR="008024D5" w:rsidRPr="001B0EA3">
        <w:rPr>
          <w:b/>
          <w:szCs w:val="24"/>
        </w:rPr>
        <w:t xml:space="preserve"> по</w:t>
      </w:r>
      <w:r w:rsidRPr="001B0EA3">
        <w:rPr>
          <w:b/>
          <w:szCs w:val="24"/>
        </w:rPr>
        <w:t xml:space="preserve"> подготовката и </w:t>
      </w:r>
      <w:r w:rsidR="00B51E90" w:rsidRPr="001B0EA3">
        <w:rPr>
          <w:b/>
          <w:szCs w:val="24"/>
        </w:rPr>
        <w:t>одобрението на ОПТТИ;</w:t>
      </w:r>
    </w:p>
    <w:p w14:paraId="38BCE057" w14:textId="77777777" w:rsidR="00732580" w:rsidRPr="001B0EA3" w:rsidRDefault="00732580" w:rsidP="00046D61">
      <w:pPr>
        <w:pStyle w:val="ListParagraph"/>
        <w:numPr>
          <w:ilvl w:val="0"/>
          <w:numId w:val="171"/>
        </w:numPr>
        <w:tabs>
          <w:tab w:val="left" w:pos="1134"/>
        </w:tabs>
        <w:ind w:left="0" w:firstLine="851"/>
        <w:rPr>
          <w:snapToGrid w:val="0"/>
          <w:szCs w:val="24"/>
        </w:rPr>
      </w:pPr>
      <w:r w:rsidRPr="001B0EA3">
        <w:rPr>
          <w:snapToGrid w:val="0"/>
          <w:szCs w:val="24"/>
        </w:rPr>
        <w:t xml:space="preserve">Документи, свързани </w:t>
      </w:r>
      <w:r w:rsidR="00006747" w:rsidRPr="001B0EA3">
        <w:rPr>
          <w:snapToGrid w:val="0"/>
          <w:szCs w:val="24"/>
        </w:rPr>
        <w:t xml:space="preserve">със сформирането и дейността </w:t>
      </w:r>
      <w:r w:rsidRPr="001B0EA3">
        <w:rPr>
          <w:snapToGrid w:val="0"/>
          <w:szCs w:val="24"/>
        </w:rPr>
        <w:t>на тематичната работна група за подготовка на програмата;</w:t>
      </w:r>
    </w:p>
    <w:p w14:paraId="40F74326" w14:textId="77777777" w:rsidR="00081234" w:rsidRPr="001B0EA3" w:rsidRDefault="00187903" w:rsidP="00046D61">
      <w:pPr>
        <w:pStyle w:val="ListParagraph"/>
        <w:numPr>
          <w:ilvl w:val="0"/>
          <w:numId w:val="171"/>
        </w:numPr>
        <w:tabs>
          <w:tab w:val="left" w:pos="1134"/>
        </w:tabs>
        <w:ind w:left="0" w:firstLine="851"/>
        <w:rPr>
          <w:snapToGrid w:val="0"/>
          <w:szCs w:val="24"/>
        </w:rPr>
      </w:pPr>
      <w:r w:rsidRPr="001B0EA3">
        <w:rPr>
          <w:snapToGrid w:val="0"/>
          <w:szCs w:val="24"/>
        </w:rPr>
        <w:t xml:space="preserve">Документи по </w:t>
      </w:r>
      <w:r w:rsidR="00081234" w:rsidRPr="001B0EA3">
        <w:rPr>
          <w:snapToGrid w:val="0"/>
          <w:szCs w:val="24"/>
        </w:rPr>
        <w:t>изготвянето на предварителна оценка на програмата;</w:t>
      </w:r>
    </w:p>
    <w:p w14:paraId="68D7D59B" w14:textId="77777777" w:rsidR="00AA2D26" w:rsidRPr="001B0EA3" w:rsidRDefault="00006747" w:rsidP="00046D61">
      <w:pPr>
        <w:pStyle w:val="ListParagraph"/>
        <w:numPr>
          <w:ilvl w:val="0"/>
          <w:numId w:val="171"/>
        </w:numPr>
        <w:tabs>
          <w:tab w:val="left" w:pos="1134"/>
        </w:tabs>
        <w:ind w:left="0" w:firstLine="851"/>
        <w:rPr>
          <w:b/>
          <w:szCs w:val="24"/>
        </w:rPr>
      </w:pPr>
      <w:r w:rsidRPr="001B0EA3">
        <w:rPr>
          <w:snapToGrid w:val="0"/>
          <w:szCs w:val="24"/>
        </w:rPr>
        <w:t xml:space="preserve">Документи по </w:t>
      </w:r>
      <w:r w:rsidR="00081234" w:rsidRPr="001B0EA3">
        <w:rPr>
          <w:snapToGrid w:val="0"/>
          <w:szCs w:val="24"/>
        </w:rPr>
        <w:t>изготвяне</w:t>
      </w:r>
      <w:r w:rsidRPr="001B0EA3">
        <w:rPr>
          <w:snapToGrid w:val="0"/>
          <w:szCs w:val="24"/>
        </w:rPr>
        <w:t>то</w:t>
      </w:r>
      <w:r w:rsidR="00081234" w:rsidRPr="001B0EA3">
        <w:rPr>
          <w:snapToGrid w:val="0"/>
          <w:szCs w:val="24"/>
        </w:rPr>
        <w:t xml:space="preserve"> </w:t>
      </w:r>
      <w:r w:rsidRPr="001B0EA3">
        <w:rPr>
          <w:snapToGrid w:val="0"/>
          <w:szCs w:val="24"/>
        </w:rPr>
        <w:t>и съгласуването на</w:t>
      </w:r>
      <w:r w:rsidR="00081234" w:rsidRPr="001B0EA3">
        <w:rPr>
          <w:snapToGrid w:val="0"/>
          <w:szCs w:val="24"/>
        </w:rPr>
        <w:t xml:space="preserve"> екологична</w:t>
      </w:r>
      <w:r w:rsidRPr="001B0EA3">
        <w:rPr>
          <w:snapToGrid w:val="0"/>
          <w:szCs w:val="24"/>
        </w:rPr>
        <w:t>та</w:t>
      </w:r>
      <w:r w:rsidR="00081234" w:rsidRPr="001B0EA3">
        <w:rPr>
          <w:snapToGrid w:val="0"/>
          <w:szCs w:val="24"/>
        </w:rPr>
        <w:t xml:space="preserve"> оценка на </w:t>
      </w:r>
      <w:r w:rsidR="0000631A" w:rsidRPr="001B0EA3">
        <w:rPr>
          <w:snapToGrid w:val="0"/>
          <w:szCs w:val="24"/>
        </w:rPr>
        <w:t>програмата</w:t>
      </w:r>
      <w:r w:rsidR="00A4163F" w:rsidRPr="001B0EA3">
        <w:rPr>
          <w:snapToGrid w:val="0"/>
          <w:szCs w:val="24"/>
        </w:rPr>
        <w:t>;</w:t>
      </w:r>
    </w:p>
    <w:p w14:paraId="3B2A7C1E" w14:textId="77777777" w:rsidR="00EB1107" w:rsidRPr="001B0EA3" w:rsidRDefault="00EB1107" w:rsidP="00046D61">
      <w:pPr>
        <w:pStyle w:val="ListParagraph"/>
        <w:numPr>
          <w:ilvl w:val="0"/>
          <w:numId w:val="74"/>
        </w:numPr>
        <w:tabs>
          <w:tab w:val="left" w:pos="1134"/>
        </w:tabs>
        <w:spacing w:after="120"/>
        <w:ind w:left="0" w:firstLine="851"/>
        <w:rPr>
          <w:b/>
          <w:szCs w:val="24"/>
        </w:rPr>
      </w:pPr>
      <w:r w:rsidRPr="001B0EA3">
        <w:rPr>
          <w:b/>
          <w:szCs w:val="24"/>
        </w:rPr>
        <w:t>Документи по изпълнението на програмата</w:t>
      </w:r>
    </w:p>
    <w:p w14:paraId="67E85872" w14:textId="77777777" w:rsidR="00A4163F" w:rsidRPr="001B0EA3" w:rsidRDefault="008024D5" w:rsidP="00046D61">
      <w:pPr>
        <w:pStyle w:val="ListParagraph"/>
        <w:numPr>
          <w:ilvl w:val="0"/>
          <w:numId w:val="171"/>
        </w:numPr>
        <w:tabs>
          <w:tab w:val="left" w:pos="1134"/>
        </w:tabs>
        <w:ind w:left="0" w:firstLine="851"/>
        <w:rPr>
          <w:szCs w:val="24"/>
        </w:rPr>
      </w:pPr>
      <w:r w:rsidRPr="001B0EA3">
        <w:rPr>
          <w:szCs w:val="24"/>
        </w:rPr>
        <w:t>Документи</w:t>
      </w:r>
      <w:r w:rsidR="00187903" w:rsidRPr="001B0EA3">
        <w:rPr>
          <w:szCs w:val="24"/>
        </w:rPr>
        <w:t xml:space="preserve">, свързани с </w:t>
      </w:r>
      <w:r w:rsidR="00CA1EA2" w:rsidRPr="001B0EA3">
        <w:rPr>
          <w:szCs w:val="24"/>
        </w:rPr>
        <w:t xml:space="preserve">изготвянето </w:t>
      </w:r>
      <w:r w:rsidRPr="001B0EA3">
        <w:rPr>
          <w:szCs w:val="24"/>
        </w:rPr>
        <w:t xml:space="preserve">на Насоки за кандидатстване по ОПТТИ </w:t>
      </w:r>
      <w:r w:rsidR="00CA1EA2" w:rsidRPr="001B0EA3">
        <w:rPr>
          <w:szCs w:val="24"/>
        </w:rPr>
        <w:t>и актуализацията им</w:t>
      </w:r>
      <w:r w:rsidR="00187903" w:rsidRPr="001B0EA3">
        <w:rPr>
          <w:szCs w:val="24"/>
        </w:rPr>
        <w:t>;</w:t>
      </w:r>
    </w:p>
    <w:p w14:paraId="57960D8A" w14:textId="77777777" w:rsidR="00B51E90" w:rsidRPr="001B0EA3" w:rsidRDefault="008024D5" w:rsidP="00046D61">
      <w:pPr>
        <w:pStyle w:val="ListParagraph"/>
        <w:numPr>
          <w:ilvl w:val="0"/>
          <w:numId w:val="171"/>
        </w:numPr>
        <w:tabs>
          <w:tab w:val="left" w:pos="1134"/>
        </w:tabs>
        <w:ind w:left="0" w:firstLine="851"/>
        <w:rPr>
          <w:b/>
          <w:szCs w:val="24"/>
        </w:rPr>
      </w:pPr>
      <w:r w:rsidRPr="001B0EA3">
        <w:rPr>
          <w:snapToGrid w:val="0"/>
          <w:szCs w:val="24"/>
        </w:rPr>
        <w:t xml:space="preserve">Кореспонденция, свързана с подготовката </w:t>
      </w:r>
      <w:r w:rsidR="00AA2D26" w:rsidRPr="001B0EA3">
        <w:rPr>
          <w:snapToGrid w:val="0"/>
          <w:szCs w:val="24"/>
        </w:rPr>
        <w:t>на Индик</w:t>
      </w:r>
      <w:r w:rsidRPr="001B0EA3">
        <w:rPr>
          <w:snapToGrid w:val="0"/>
          <w:szCs w:val="24"/>
        </w:rPr>
        <w:t>ативна годишна работна програма</w:t>
      </w:r>
      <w:r w:rsidR="0000631A" w:rsidRPr="001B0EA3">
        <w:rPr>
          <w:snapToGrid w:val="0"/>
          <w:szCs w:val="24"/>
        </w:rPr>
        <w:t>;</w:t>
      </w:r>
    </w:p>
    <w:p w14:paraId="32925833" w14:textId="77777777" w:rsidR="00D603F5" w:rsidRPr="001B0EA3" w:rsidRDefault="00D603F5" w:rsidP="00046D61">
      <w:pPr>
        <w:pStyle w:val="ListParagraph"/>
        <w:numPr>
          <w:ilvl w:val="0"/>
          <w:numId w:val="74"/>
        </w:numPr>
        <w:tabs>
          <w:tab w:val="left" w:pos="1134"/>
        </w:tabs>
        <w:spacing w:after="120"/>
        <w:ind w:left="0" w:firstLine="851"/>
        <w:rPr>
          <w:b/>
          <w:szCs w:val="24"/>
        </w:rPr>
      </w:pPr>
      <w:r w:rsidRPr="001B0EA3">
        <w:rPr>
          <w:b/>
          <w:szCs w:val="24"/>
        </w:rPr>
        <w:lastRenderedPageBreak/>
        <w:t>Документи, касаещи подготовката на отделни проекти по ОПТТИ</w:t>
      </w:r>
    </w:p>
    <w:p w14:paraId="334E7A0A" w14:textId="77777777" w:rsidR="00D603F5" w:rsidRPr="001B0EA3" w:rsidRDefault="00D603F5" w:rsidP="00046D61">
      <w:pPr>
        <w:tabs>
          <w:tab w:val="left" w:pos="1134"/>
        </w:tabs>
        <w:rPr>
          <w:szCs w:val="24"/>
          <w:lang w:eastAsia="fr-FR"/>
        </w:rPr>
      </w:pPr>
      <w:r w:rsidRPr="001B0EA3">
        <w:rPr>
          <w:szCs w:val="24"/>
          <w:lang w:eastAsia="fr-FR"/>
        </w:rPr>
        <w:t>Всички документи, които се отнасят за отделен проект се съхраняват в хронологичен порядък. При необходимост към тях се добавят и копия от гореизброените документи, които имат непосредствено значение за подготовката на проекта;</w:t>
      </w:r>
    </w:p>
    <w:p w14:paraId="64AC9F7B" w14:textId="77777777" w:rsidR="00D603F5" w:rsidRPr="001B0EA3" w:rsidRDefault="00D603F5" w:rsidP="00046D61">
      <w:pPr>
        <w:pStyle w:val="ListParagraph"/>
        <w:numPr>
          <w:ilvl w:val="0"/>
          <w:numId w:val="74"/>
        </w:numPr>
        <w:tabs>
          <w:tab w:val="left" w:pos="1134"/>
        </w:tabs>
        <w:spacing w:after="120"/>
        <w:ind w:left="0" w:firstLine="851"/>
        <w:rPr>
          <w:b/>
          <w:szCs w:val="24"/>
        </w:rPr>
      </w:pPr>
      <w:r w:rsidRPr="001B0EA3">
        <w:rPr>
          <w:b/>
          <w:szCs w:val="24"/>
        </w:rPr>
        <w:t>Документи, относно процедурата за оценка на проекти за финансиране по ОПТТИ</w:t>
      </w:r>
    </w:p>
    <w:p w14:paraId="4D6F2752" w14:textId="77777777" w:rsidR="00D603F5" w:rsidRPr="001B0EA3" w:rsidRDefault="00D603F5" w:rsidP="00046D61">
      <w:pPr>
        <w:rPr>
          <w:szCs w:val="24"/>
          <w:lang w:eastAsia="fr-FR"/>
        </w:rPr>
      </w:pPr>
      <w:r w:rsidRPr="001B0EA3">
        <w:rPr>
          <w:szCs w:val="24"/>
          <w:lang w:eastAsia="fr-FR"/>
        </w:rPr>
        <w:t xml:space="preserve">След одобрението на оценителния доклад от Ръководителя на УО, същият </w:t>
      </w:r>
      <w:r w:rsidR="002D3492" w:rsidRPr="001B0EA3">
        <w:rPr>
          <w:szCs w:val="24"/>
          <w:lang w:eastAsia="fr-FR"/>
        </w:rPr>
        <w:t xml:space="preserve">заедно с </w:t>
      </w:r>
      <w:r w:rsidR="00B51E90" w:rsidRPr="001B0EA3">
        <w:rPr>
          <w:szCs w:val="24"/>
          <w:lang w:eastAsia="fr-FR"/>
        </w:rPr>
        <w:t>останалите документи и контролни листа</w:t>
      </w:r>
      <w:r w:rsidR="002D3492" w:rsidRPr="001B0EA3">
        <w:rPr>
          <w:szCs w:val="24"/>
          <w:lang w:eastAsia="fr-FR"/>
        </w:rPr>
        <w:t xml:space="preserve"> </w:t>
      </w:r>
      <w:r w:rsidRPr="001B0EA3">
        <w:rPr>
          <w:szCs w:val="24"/>
          <w:lang w:eastAsia="fr-FR"/>
        </w:rPr>
        <w:t xml:space="preserve">се архивира в досието на процедурата, което се съхранява в дирекция КПП. </w:t>
      </w:r>
    </w:p>
    <w:p w14:paraId="3C44555F" w14:textId="77777777" w:rsidR="002D3492" w:rsidRPr="001B0EA3" w:rsidRDefault="002D3492" w:rsidP="00046D61">
      <w:pPr>
        <w:rPr>
          <w:szCs w:val="24"/>
          <w:lang w:eastAsia="fr-FR"/>
        </w:rPr>
      </w:pPr>
    </w:p>
    <w:p w14:paraId="248BFC86" w14:textId="77777777" w:rsidR="00D603F5" w:rsidRPr="001B0EA3" w:rsidRDefault="00D603F5" w:rsidP="00046D61">
      <w:pPr>
        <w:rPr>
          <w:szCs w:val="24"/>
        </w:rPr>
      </w:pPr>
      <w:r w:rsidRPr="001B0EA3">
        <w:rPr>
          <w:szCs w:val="24"/>
          <w:lang w:eastAsia="fr-FR"/>
        </w:rPr>
        <w:t>Председателят</w:t>
      </w:r>
      <w:r w:rsidRPr="001B0EA3">
        <w:rPr>
          <w:szCs w:val="24"/>
        </w:rPr>
        <w:t xml:space="preserve"> на Оценителната комисия организира архивиране на досието по процедурата за </w:t>
      </w:r>
      <w:r w:rsidR="006E2818" w:rsidRPr="001B0EA3">
        <w:rPr>
          <w:szCs w:val="24"/>
        </w:rPr>
        <w:t>оценка на проектни предложения</w:t>
      </w:r>
      <w:r w:rsidRPr="001B0EA3">
        <w:rPr>
          <w:szCs w:val="24"/>
        </w:rPr>
        <w:t>, което следва да съдържа следната документация:</w:t>
      </w:r>
    </w:p>
    <w:p w14:paraId="29636072"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Оригинал на одобрения ФК и приложенията към него</w:t>
      </w:r>
      <w:r w:rsidR="008249B0" w:rsidRPr="001B0EA3">
        <w:rPr>
          <w:szCs w:val="24"/>
        </w:rPr>
        <w:t xml:space="preserve"> </w:t>
      </w:r>
      <w:r w:rsidR="00132306" w:rsidRPr="001B0EA3">
        <w:rPr>
          <w:szCs w:val="24"/>
        </w:rPr>
        <w:t>(съхраняват се в ИСУН 2020)</w:t>
      </w:r>
      <w:r w:rsidRPr="001B0EA3">
        <w:rPr>
          <w:szCs w:val="24"/>
        </w:rPr>
        <w:t>;</w:t>
      </w:r>
    </w:p>
    <w:p w14:paraId="6477BEFE"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Оригинал на Решение на Ръководителя на УО</w:t>
      </w:r>
      <w:r w:rsidR="00AE203C" w:rsidRPr="001B0EA3">
        <w:rPr>
          <w:szCs w:val="24"/>
        </w:rPr>
        <w:t xml:space="preserve"> </w:t>
      </w:r>
      <w:r w:rsidRPr="001B0EA3">
        <w:rPr>
          <w:szCs w:val="24"/>
        </w:rPr>
        <w:t>за сформиране на оценителна комисия</w:t>
      </w:r>
      <w:r w:rsidR="00132306" w:rsidRPr="001B0EA3">
        <w:rPr>
          <w:szCs w:val="24"/>
        </w:rPr>
        <w:t xml:space="preserve"> (съхранява се на „хартиен носител“)</w:t>
      </w:r>
      <w:r w:rsidRPr="001B0EA3">
        <w:rPr>
          <w:szCs w:val="24"/>
        </w:rPr>
        <w:t>;</w:t>
      </w:r>
    </w:p>
    <w:p w14:paraId="60E6FE59"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Оригинали на подписаните Декларации за липса на конфликт на интереси и поверителност на участниците в оценителния процес</w:t>
      </w:r>
      <w:r w:rsidR="00132306" w:rsidRPr="001B0EA3">
        <w:rPr>
          <w:szCs w:val="24"/>
        </w:rPr>
        <w:t xml:space="preserve"> (съхраняват се на „хартиен носител“)</w:t>
      </w:r>
      <w:r w:rsidRPr="001B0EA3">
        <w:rPr>
          <w:szCs w:val="24"/>
        </w:rPr>
        <w:t>;</w:t>
      </w:r>
    </w:p>
    <w:p w14:paraId="18B881A3"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 xml:space="preserve">Оригинал на Оценителна таблица за оценка на проектното предложение, изготвени от членовете на оценителната комисия </w:t>
      </w:r>
      <w:r w:rsidR="00132306" w:rsidRPr="001B0EA3">
        <w:rPr>
          <w:szCs w:val="24"/>
        </w:rPr>
        <w:t>(съхраняват се в ИСУН 2020)</w:t>
      </w:r>
      <w:r w:rsidRPr="001B0EA3">
        <w:rPr>
          <w:szCs w:val="24"/>
        </w:rPr>
        <w:t>;</w:t>
      </w:r>
    </w:p>
    <w:p w14:paraId="795213DE" w14:textId="77777777" w:rsidR="00D603F5" w:rsidRPr="001B0EA3" w:rsidRDefault="00AE203C" w:rsidP="00046D61">
      <w:pPr>
        <w:pStyle w:val="ListParagraph"/>
        <w:numPr>
          <w:ilvl w:val="0"/>
          <w:numId w:val="171"/>
        </w:numPr>
        <w:tabs>
          <w:tab w:val="left" w:pos="1134"/>
        </w:tabs>
        <w:ind w:left="0" w:firstLine="851"/>
        <w:rPr>
          <w:szCs w:val="24"/>
        </w:rPr>
      </w:pPr>
      <w:r w:rsidRPr="001B0EA3">
        <w:rPr>
          <w:szCs w:val="24"/>
        </w:rPr>
        <w:t>Оригинал на Контролни</w:t>
      </w:r>
      <w:r w:rsidR="00D603F5" w:rsidRPr="001B0EA3">
        <w:rPr>
          <w:szCs w:val="24"/>
        </w:rPr>
        <w:t xml:space="preserve"> лист</w:t>
      </w:r>
      <w:r w:rsidRPr="001B0EA3">
        <w:rPr>
          <w:szCs w:val="24"/>
        </w:rPr>
        <w:t>а</w:t>
      </w:r>
      <w:r w:rsidR="00D603F5" w:rsidRPr="001B0EA3">
        <w:rPr>
          <w:szCs w:val="24"/>
        </w:rPr>
        <w:t xml:space="preserve"> за проверка на държавни помощи и за съвместимост с държавните помощи</w:t>
      </w:r>
      <w:r w:rsidR="00132306" w:rsidRPr="001B0EA3">
        <w:rPr>
          <w:szCs w:val="24"/>
        </w:rPr>
        <w:t xml:space="preserve"> (съхраняват се на „хартиен носител“);</w:t>
      </w:r>
    </w:p>
    <w:p w14:paraId="5CD11AB1"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Оригинал на Контролен лист за проверка за липса на двойно финансиране на дейностите по проекта, изготвен и подписан в съответствие с процедурите в наръчника</w:t>
      </w:r>
      <w:r w:rsidR="00132306" w:rsidRPr="001B0EA3">
        <w:rPr>
          <w:szCs w:val="24"/>
        </w:rPr>
        <w:t xml:space="preserve"> (съхранява се на „хартиен носител“)</w:t>
      </w:r>
      <w:r w:rsidRPr="001B0EA3">
        <w:rPr>
          <w:szCs w:val="24"/>
        </w:rPr>
        <w:t xml:space="preserve">; </w:t>
      </w:r>
    </w:p>
    <w:p w14:paraId="5CF9D9A2"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Копие на кореспонденцията с кандидата, пряко свързана с  процедурата по оценка на п</w:t>
      </w:r>
      <w:r w:rsidR="006E2818" w:rsidRPr="001B0EA3">
        <w:rPr>
          <w:szCs w:val="24"/>
        </w:rPr>
        <w:t>одаденото проектно предложение</w:t>
      </w:r>
      <w:r w:rsidR="00132306" w:rsidRPr="001B0EA3">
        <w:rPr>
          <w:szCs w:val="24"/>
        </w:rPr>
        <w:t xml:space="preserve"> (съхранява се в ИСУН 2020 в модул „Комуникация“ или на „хартиен носител“, в случай че е постъпила)</w:t>
      </w:r>
      <w:r w:rsidR="006E2818" w:rsidRPr="001B0EA3">
        <w:rPr>
          <w:szCs w:val="24"/>
        </w:rPr>
        <w:t>;</w:t>
      </w:r>
    </w:p>
    <w:p w14:paraId="781EF3D0"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Оригинал на одобрения от УО на ОПТТИ Оценителен доклад от работата на оценителната комисия, подписан от участниците в оценителния процес</w:t>
      </w:r>
      <w:r w:rsidR="00132306" w:rsidRPr="001B0EA3">
        <w:rPr>
          <w:szCs w:val="24"/>
        </w:rPr>
        <w:t xml:space="preserve"> (съхранява се в ИСУН 2020 в модул „Документи“ и на „хартиен носител“)</w:t>
      </w:r>
      <w:r w:rsidRPr="001B0EA3">
        <w:rPr>
          <w:szCs w:val="24"/>
        </w:rPr>
        <w:t xml:space="preserve">; </w:t>
      </w:r>
    </w:p>
    <w:p w14:paraId="567C7C34"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Оригинал на Контролен лист за проверка на проведена процедура за оценка и избор на проект</w:t>
      </w:r>
      <w:r w:rsidR="00132306" w:rsidRPr="001B0EA3">
        <w:rPr>
          <w:szCs w:val="24"/>
        </w:rPr>
        <w:t xml:space="preserve"> (съхранява се в ИСУН 2020 в модул „Документи“ и на „хартиен носител“)</w:t>
      </w:r>
      <w:r w:rsidRPr="001B0EA3">
        <w:rPr>
          <w:szCs w:val="24"/>
        </w:rPr>
        <w:t>;</w:t>
      </w:r>
    </w:p>
    <w:p w14:paraId="00B5CAA9"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Оригинал на Решение на Ръководителя на УО на ОПТТИ за предоставяне на БФП на проектното предложение</w:t>
      </w:r>
      <w:r w:rsidR="00132306" w:rsidRPr="001B0EA3">
        <w:rPr>
          <w:szCs w:val="24"/>
        </w:rPr>
        <w:t xml:space="preserve"> (приложимо само за проектни предложения подадени преди влизането на ЗУСЕСИФ)</w:t>
      </w:r>
      <w:r w:rsidRPr="001B0EA3">
        <w:rPr>
          <w:szCs w:val="24"/>
        </w:rPr>
        <w:t>;</w:t>
      </w:r>
    </w:p>
    <w:p w14:paraId="592C5ADC"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 xml:space="preserve">Оригинал на Договор за предоставяне на БФП или </w:t>
      </w:r>
      <w:r w:rsidRPr="001B0EA3" w:rsidDel="00774735">
        <w:rPr>
          <w:szCs w:val="24"/>
        </w:rPr>
        <w:t xml:space="preserve">заповед </w:t>
      </w:r>
      <w:r w:rsidRPr="001B0EA3">
        <w:rPr>
          <w:szCs w:val="24"/>
        </w:rPr>
        <w:t>за предоставяне на БФП от</w:t>
      </w:r>
      <w:r w:rsidR="00187903" w:rsidRPr="001B0EA3">
        <w:rPr>
          <w:szCs w:val="24"/>
        </w:rPr>
        <w:t xml:space="preserve"> </w:t>
      </w:r>
      <w:r w:rsidRPr="001B0EA3">
        <w:rPr>
          <w:szCs w:val="24"/>
        </w:rPr>
        <w:t>Ръководителя на УО на ОПТТИ, в случай че УО на ОПТТИ е бенефициент по проект</w:t>
      </w:r>
      <w:r w:rsidR="00132306" w:rsidRPr="001B0EA3">
        <w:rPr>
          <w:szCs w:val="24"/>
        </w:rPr>
        <w:t>а (съхранява се в ИСУН 2020 в модул „Документи“ и на „хартиен носител“)</w:t>
      </w:r>
      <w:r w:rsidRPr="001B0EA3">
        <w:rPr>
          <w:szCs w:val="24"/>
        </w:rPr>
        <w:t>;</w:t>
      </w:r>
    </w:p>
    <w:p w14:paraId="15A67CDF" w14:textId="77777777" w:rsidR="00D603F5" w:rsidRPr="001B0EA3" w:rsidRDefault="00D603F5" w:rsidP="00046D61">
      <w:pPr>
        <w:pStyle w:val="ListParagraph"/>
        <w:numPr>
          <w:ilvl w:val="0"/>
          <w:numId w:val="74"/>
        </w:numPr>
        <w:tabs>
          <w:tab w:val="left" w:pos="1134"/>
        </w:tabs>
        <w:spacing w:before="120" w:after="120"/>
        <w:ind w:left="0" w:firstLine="851"/>
        <w:rPr>
          <w:b/>
          <w:szCs w:val="24"/>
        </w:rPr>
      </w:pPr>
      <w:r w:rsidRPr="001B0EA3">
        <w:rPr>
          <w:b/>
          <w:szCs w:val="24"/>
        </w:rPr>
        <w:t>Документи относно искане за промяна в договор/</w:t>
      </w:r>
      <w:r w:rsidR="00B51E90" w:rsidRPr="001B0EA3">
        <w:rPr>
          <w:b/>
          <w:szCs w:val="24"/>
        </w:rPr>
        <w:t xml:space="preserve"> </w:t>
      </w:r>
      <w:r w:rsidRPr="001B0EA3">
        <w:rPr>
          <w:b/>
          <w:szCs w:val="24"/>
        </w:rPr>
        <w:t xml:space="preserve">заповед за предоставяне на БФП: </w:t>
      </w:r>
    </w:p>
    <w:p w14:paraId="2F1138E0"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Копие на искането за промяна и друга съотносима към промяната кореспонденция с бенефициента по проекта;</w:t>
      </w:r>
    </w:p>
    <w:p w14:paraId="42BFB640"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 xml:space="preserve">Оригинал на Доклад до Ръководителя на УО на ОПТТИ с мотиви за </w:t>
      </w:r>
      <w:r w:rsidR="000C5F5E" w:rsidRPr="001B0EA3">
        <w:rPr>
          <w:szCs w:val="24"/>
        </w:rPr>
        <w:t xml:space="preserve">исканото </w:t>
      </w:r>
      <w:r w:rsidR="00ED66CF" w:rsidRPr="001B0EA3">
        <w:rPr>
          <w:szCs w:val="24"/>
        </w:rPr>
        <w:t>изменение</w:t>
      </w:r>
      <w:r w:rsidRPr="001B0EA3">
        <w:rPr>
          <w:szCs w:val="24"/>
        </w:rPr>
        <w:t>;</w:t>
      </w:r>
    </w:p>
    <w:p w14:paraId="4FBF9D06"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Оригинал на Решение на Ръководителя на УО на ОПТТИ за изменение на Решението за предоставяне на БФП</w:t>
      </w:r>
      <w:r w:rsidR="000C5F5E" w:rsidRPr="001B0EA3">
        <w:rPr>
          <w:szCs w:val="24"/>
        </w:rPr>
        <w:t xml:space="preserve"> (приложимо само за проектни предложения подадени преди влизането на ЗУСЕСИФ)</w:t>
      </w:r>
      <w:r w:rsidRPr="001B0EA3">
        <w:rPr>
          <w:szCs w:val="24"/>
        </w:rPr>
        <w:t>;</w:t>
      </w:r>
    </w:p>
    <w:p w14:paraId="04F7DEFA"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Оригинал на Анекс на договор за предоставяне на безвъзмездна финансова помощ или оригинал на Заповед на Ръководителя на УО на ОПТТИ за</w:t>
      </w:r>
      <w:r w:rsidR="00187903" w:rsidRPr="001B0EA3">
        <w:rPr>
          <w:szCs w:val="24"/>
        </w:rPr>
        <w:t xml:space="preserve"> </w:t>
      </w:r>
      <w:r w:rsidRPr="001B0EA3">
        <w:rPr>
          <w:szCs w:val="24"/>
        </w:rPr>
        <w:t xml:space="preserve">изменение на заповедта на Ръководителя на УО на ОПТТИ за предоставяне на БФП, когато бенефициент е УО </w:t>
      </w:r>
      <w:r w:rsidR="000C5F5E" w:rsidRPr="001B0EA3">
        <w:rPr>
          <w:szCs w:val="24"/>
        </w:rPr>
        <w:t>н</w:t>
      </w:r>
      <w:r w:rsidRPr="001B0EA3">
        <w:rPr>
          <w:szCs w:val="24"/>
        </w:rPr>
        <w:t xml:space="preserve">а ОПТТИ. </w:t>
      </w:r>
      <w:r w:rsidRPr="001B0EA3">
        <w:rPr>
          <w:szCs w:val="24"/>
        </w:rPr>
        <w:lastRenderedPageBreak/>
        <w:t xml:space="preserve">В случай, че </w:t>
      </w:r>
      <w:r w:rsidR="000C5F5E" w:rsidRPr="001B0EA3">
        <w:rPr>
          <w:szCs w:val="24"/>
        </w:rPr>
        <w:t xml:space="preserve">анексът на </w:t>
      </w:r>
      <w:r w:rsidRPr="001B0EA3">
        <w:rPr>
          <w:szCs w:val="24"/>
        </w:rPr>
        <w:t>договор</w:t>
      </w:r>
      <w:r w:rsidR="000C5F5E" w:rsidRPr="001B0EA3">
        <w:rPr>
          <w:szCs w:val="24"/>
        </w:rPr>
        <w:t>а</w:t>
      </w:r>
      <w:r w:rsidRPr="001B0EA3">
        <w:rPr>
          <w:szCs w:val="24"/>
        </w:rPr>
        <w:t xml:space="preserve"> е изготвен в два екземпляра в дирекция КПП се съхранява копие, а оригиналът се съхранява в съответствие с правилата за документооборота в </w:t>
      </w:r>
      <w:r w:rsidR="00BB6BF6">
        <w:rPr>
          <w:szCs w:val="24"/>
        </w:rPr>
        <w:t>МТС</w:t>
      </w:r>
      <w:r w:rsidRPr="001B0EA3">
        <w:rPr>
          <w:szCs w:val="24"/>
        </w:rPr>
        <w:t>;</w:t>
      </w:r>
    </w:p>
    <w:p w14:paraId="3431D099" w14:textId="77777777" w:rsidR="00D603F5" w:rsidRPr="001B0EA3" w:rsidRDefault="00D603F5" w:rsidP="00046D61">
      <w:pPr>
        <w:pStyle w:val="ListParagraph"/>
        <w:numPr>
          <w:ilvl w:val="0"/>
          <w:numId w:val="74"/>
        </w:numPr>
        <w:tabs>
          <w:tab w:val="left" w:pos="1134"/>
        </w:tabs>
        <w:spacing w:before="120" w:after="120"/>
        <w:ind w:left="0" w:firstLine="851"/>
        <w:rPr>
          <w:b/>
          <w:szCs w:val="24"/>
        </w:rPr>
      </w:pPr>
      <w:r w:rsidRPr="001B0EA3">
        <w:rPr>
          <w:b/>
          <w:szCs w:val="24"/>
        </w:rPr>
        <w:t>JASPERS</w:t>
      </w:r>
    </w:p>
    <w:p w14:paraId="761C44C3" w14:textId="77777777" w:rsidR="00D603F5" w:rsidRPr="001B0EA3" w:rsidRDefault="00D603F5" w:rsidP="00046D61">
      <w:pPr>
        <w:pStyle w:val="ListParagraph"/>
        <w:numPr>
          <w:ilvl w:val="0"/>
          <w:numId w:val="171"/>
        </w:numPr>
        <w:tabs>
          <w:tab w:val="left" w:pos="1134"/>
        </w:tabs>
        <w:ind w:left="0" w:firstLine="851"/>
        <w:rPr>
          <w:b/>
          <w:szCs w:val="24"/>
        </w:rPr>
      </w:pPr>
      <w:r w:rsidRPr="001B0EA3">
        <w:rPr>
          <w:szCs w:val="24"/>
          <w:lang w:eastAsia="fr-FR"/>
        </w:rPr>
        <w:t xml:space="preserve">Кореспонденцията, свързана с дейността на инициативата JASPERS се съхранява в </w:t>
      </w:r>
      <w:r w:rsidRPr="001B0EA3">
        <w:rPr>
          <w:szCs w:val="24"/>
        </w:rPr>
        <w:t>хронологичен</w:t>
      </w:r>
      <w:r w:rsidRPr="001B0EA3">
        <w:rPr>
          <w:szCs w:val="24"/>
          <w:lang w:eastAsia="fr-FR"/>
        </w:rPr>
        <w:t xml:space="preserve"> порядък, а към всеки проект се прилагат копия на документите, пряко отнасящите се към съответния проект.</w:t>
      </w:r>
    </w:p>
    <w:p w14:paraId="3586DC1C" w14:textId="77777777" w:rsidR="00D603F5" w:rsidRPr="001B0EA3" w:rsidRDefault="00D603F5" w:rsidP="00046D61">
      <w:pPr>
        <w:autoSpaceDE w:val="0"/>
        <w:autoSpaceDN w:val="0"/>
        <w:adjustRightInd w:val="0"/>
        <w:rPr>
          <w:b/>
          <w:bCs/>
          <w:iCs/>
          <w:color w:val="000000"/>
          <w:szCs w:val="24"/>
        </w:rPr>
      </w:pPr>
    </w:p>
    <w:p w14:paraId="11B6EDF9" w14:textId="77777777" w:rsidR="00D603F5" w:rsidRPr="00842ECC" w:rsidRDefault="00D603F5" w:rsidP="00B502C7">
      <w:pPr>
        <w:pStyle w:val="Style2"/>
        <w:rPr>
          <w:lang w:val="bg-BG"/>
        </w:rPr>
      </w:pPr>
      <w:bookmarkStart w:id="1259" w:name="_Toc479775793"/>
      <w:bookmarkStart w:id="1260" w:name="_Toc140150282"/>
      <w:r w:rsidRPr="00842ECC">
        <w:rPr>
          <w:lang w:val="bg-BG"/>
        </w:rPr>
        <w:t xml:space="preserve">Осигуряване на одитна пътека по процедури от </w:t>
      </w:r>
      <w:r w:rsidR="00047D76" w:rsidRPr="00842ECC">
        <w:rPr>
          <w:lang w:val="bg-BG"/>
        </w:rPr>
        <w:t>компетенциите</w:t>
      </w:r>
      <w:r w:rsidRPr="00842ECC">
        <w:rPr>
          <w:lang w:val="bg-BG"/>
        </w:rPr>
        <w:t xml:space="preserve"> на отдел „</w:t>
      </w:r>
      <w:r w:rsidR="00C54B40" w:rsidRPr="00842ECC">
        <w:rPr>
          <w:lang w:val="bg-BG"/>
        </w:rPr>
        <w:t>Контрол по обществени пор</w:t>
      </w:r>
      <w:r w:rsidR="008D5508" w:rsidRPr="00842ECC">
        <w:rPr>
          <w:lang w:val="bg-BG"/>
        </w:rPr>
        <w:t>ъчки</w:t>
      </w:r>
      <w:r w:rsidRPr="00842ECC">
        <w:rPr>
          <w:lang w:val="bg-BG"/>
        </w:rPr>
        <w:t>”</w:t>
      </w:r>
      <w:bookmarkEnd w:id="1259"/>
      <w:bookmarkEnd w:id="1260"/>
    </w:p>
    <w:p w14:paraId="31D42E18" w14:textId="77777777" w:rsidR="00B8141F" w:rsidRPr="001B0EA3" w:rsidRDefault="00B8141F" w:rsidP="00046D61">
      <w:pPr>
        <w:pStyle w:val="ListParagraph"/>
        <w:tabs>
          <w:tab w:val="left" w:pos="1134"/>
        </w:tabs>
        <w:ind w:left="851"/>
        <w:rPr>
          <w:szCs w:val="24"/>
        </w:rPr>
      </w:pPr>
    </w:p>
    <w:p w14:paraId="33F910E2" w14:textId="77777777" w:rsidR="00B8141F" w:rsidRPr="001B0EA3" w:rsidRDefault="00B8141F" w:rsidP="00046D61">
      <w:pPr>
        <w:numPr>
          <w:ilvl w:val="0"/>
          <w:numId w:val="171"/>
        </w:numPr>
        <w:tabs>
          <w:tab w:val="left" w:pos="1134"/>
        </w:tabs>
        <w:ind w:left="0" w:firstLine="851"/>
        <w:contextualSpacing/>
        <w:rPr>
          <w:szCs w:val="24"/>
        </w:rPr>
      </w:pPr>
      <w:r w:rsidRPr="001B0EA3">
        <w:rPr>
          <w:szCs w:val="24"/>
        </w:rPr>
        <w:t>Всички документации за възлагане на обществена поръчка, представени от възложителите на Управляващия орган (на хартиен или електронен носител);</w:t>
      </w:r>
    </w:p>
    <w:p w14:paraId="7509707C" w14:textId="77777777" w:rsidR="00B8141F" w:rsidRPr="001B0EA3" w:rsidRDefault="00B8141F" w:rsidP="00046D61">
      <w:pPr>
        <w:numPr>
          <w:ilvl w:val="0"/>
          <w:numId w:val="171"/>
        </w:numPr>
        <w:tabs>
          <w:tab w:val="left" w:pos="1134"/>
        </w:tabs>
        <w:ind w:left="0" w:firstLine="851"/>
        <w:contextualSpacing/>
        <w:rPr>
          <w:szCs w:val="24"/>
        </w:rPr>
      </w:pPr>
      <w:r w:rsidRPr="001B0EA3">
        <w:rPr>
          <w:szCs w:val="24"/>
        </w:rPr>
        <w:t>Копие от Решение, Обявление и документация за участие в обществена поръчка (както е публикувано на „Профила на купувач“ (на хартиен или електронен носител);</w:t>
      </w:r>
    </w:p>
    <w:p w14:paraId="062D42B5" w14:textId="77777777" w:rsidR="00B8141F" w:rsidRPr="001B0EA3" w:rsidRDefault="00B8141F" w:rsidP="00046D61">
      <w:pPr>
        <w:numPr>
          <w:ilvl w:val="0"/>
          <w:numId w:val="171"/>
        </w:numPr>
        <w:tabs>
          <w:tab w:val="left" w:pos="1134"/>
        </w:tabs>
        <w:ind w:left="0" w:firstLine="851"/>
        <w:contextualSpacing/>
        <w:rPr>
          <w:szCs w:val="24"/>
        </w:rPr>
      </w:pPr>
      <w:r w:rsidRPr="001B0EA3">
        <w:rPr>
          <w:szCs w:val="24"/>
        </w:rPr>
        <w:t>Копие от Допълненията към документация за участие в обществената поръчка, издадени в процеса на провеждане на процедурата за възлагане на обществената поръчка (отговорите и разясненията от страна на възложителя на всички въпроси на участниците, протокол от задължителната информативна среща, проведена с участниците в процедурата ако има такива - на хартиен или електронен носител);</w:t>
      </w:r>
    </w:p>
    <w:p w14:paraId="1164BE66" w14:textId="77777777" w:rsidR="00B8141F" w:rsidRPr="001B0EA3" w:rsidRDefault="00B8141F" w:rsidP="00046D61">
      <w:pPr>
        <w:numPr>
          <w:ilvl w:val="0"/>
          <w:numId w:val="171"/>
        </w:numPr>
        <w:tabs>
          <w:tab w:val="left" w:pos="1134"/>
        </w:tabs>
        <w:ind w:left="0" w:firstLine="851"/>
        <w:contextualSpacing/>
        <w:rPr>
          <w:szCs w:val="24"/>
        </w:rPr>
      </w:pPr>
      <w:r w:rsidRPr="001B0EA3">
        <w:rPr>
          <w:szCs w:val="24"/>
        </w:rPr>
        <w:t>Копие от Заповедта на възложителя за назначаване на комисия за провеждане на процедурата (на хартиен или електронен носител);</w:t>
      </w:r>
    </w:p>
    <w:p w14:paraId="60E8FBB6" w14:textId="77777777" w:rsidR="00B8141F" w:rsidRPr="001B0EA3" w:rsidRDefault="00B8141F" w:rsidP="00046D61">
      <w:pPr>
        <w:numPr>
          <w:ilvl w:val="0"/>
          <w:numId w:val="171"/>
        </w:numPr>
        <w:tabs>
          <w:tab w:val="left" w:pos="1134"/>
        </w:tabs>
        <w:ind w:left="0" w:firstLine="851"/>
        <w:contextualSpacing/>
        <w:rPr>
          <w:szCs w:val="24"/>
        </w:rPr>
      </w:pPr>
      <w:r w:rsidRPr="001B0EA3">
        <w:rPr>
          <w:szCs w:val="24"/>
        </w:rPr>
        <w:t>Копие от Протокол/и от работата на комисията за провеждане на процедурата и копие от подписани декларации по чл. 35 от ЗОП (на хартиен или електронен носител);</w:t>
      </w:r>
    </w:p>
    <w:p w14:paraId="650D58D8" w14:textId="77777777" w:rsidR="00B8141F" w:rsidRPr="001B0EA3" w:rsidRDefault="00B8141F" w:rsidP="00046D61">
      <w:pPr>
        <w:numPr>
          <w:ilvl w:val="0"/>
          <w:numId w:val="171"/>
        </w:numPr>
        <w:tabs>
          <w:tab w:val="left" w:pos="1134"/>
        </w:tabs>
        <w:ind w:left="0" w:firstLine="851"/>
        <w:contextualSpacing/>
        <w:rPr>
          <w:szCs w:val="24"/>
        </w:rPr>
      </w:pPr>
      <w:r w:rsidRPr="001B0EA3">
        <w:rPr>
          <w:szCs w:val="24"/>
        </w:rPr>
        <w:t>Копие от Решение на възложителя за класиране на участниците и определяне на участника, определен за изпълнител, и копие от кореспонденцията за уведомяване на участниците  (на хартиен или електронен носител);</w:t>
      </w:r>
    </w:p>
    <w:p w14:paraId="4C164D9B" w14:textId="77777777" w:rsidR="00B8141F" w:rsidRPr="001B0EA3" w:rsidRDefault="00B8141F" w:rsidP="00046D61">
      <w:pPr>
        <w:numPr>
          <w:ilvl w:val="0"/>
          <w:numId w:val="171"/>
        </w:numPr>
        <w:tabs>
          <w:tab w:val="left" w:pos="1134"/>
        </w:tabs>
        <w:ind w:left="0" w:firstLine="851"/>
        <w:contextualSpacing/>
        <w:rPr>
          <w:szCs w:val="24"/>
        </w:rPr>
      </w:pPr>
      <w:r w:rsidRPr="001B0EA3">
        <w:rPr>
          <w:szCs w:val="24"/>
        </w:rPr>
        <w:t>Копие от договор за изпълнение на обществената поръчка (на хартиен или електронен носител)</w:t>
      </w:r>
    </w:p>
    <w:p w14:paraId="0EAC05CF" w14:textId="77777777" w:rsidR="00B8141F" w:rsidRPr="001B0EA3" w:rsidRDefault="00B8141F" w:rsidP="00046D61">
      <w:pPr>
        <w:numPr>
          <w:ilvl w:val="0"/>
          <w:numId w:val="171"/>
        </w:numPr>
        <w:tabs>
          <w:tab w:val="left" w:pos="1134"/>
        </w:tabs>
        <w:ind w:left="0" w:firstLine="851"/>
        <w:contextualSpacing/>
        <w:rPr>
          <w:szCs w:val="24"/>
          <w:lang w:eastAsia="fr-FR"/>
        </w:rPr>
      </w:pPr>
      <w:r w:rsidRPr="001B0EA3">
        <w:rPr>
          <w:szCs w:val="24"/>
        </w:rPr>
        <w:t xml:space="preserve">Оригинални контролни листове за извършени проверки от отдел „Контрол по обществени поръчки”  </w:t>
      </w:r>
    </w:p>
    <w:p w14:paraId="78678926" w14:textId="77777777" w:rsidR="00B8141F" w:rsidRPr="001B0EA3" w:rsidRDefault="00B8141F" w:rsidP="00046D61">
      <w:pPr>
        <w:numPr>
          <w:ilvl w:val="0"/>
          <w:numId w:val="171"/>
        </w:numPr>
        <w:tabs>
          <w:tab w:val="left" w:pos="1134"/>
        </w:tabs>
        <w:ind w:left="0" w:firstLine="851"/>
        <w:contextualSpacing/>
        <w:rPr>
          <w:szCs w:val="24"/>
          <w:lang w:eastAsia="fr-FR"/>
        </w:rPr>
      </w:pPr>
      <w:r w:rsidRPr="001B0EA3">
        <w:rPr>
          <w:szCs w:val="24"/>
        </w:rPr>
        <w:t>Писма</w:t>
      </w:r>
      <w:r w:rsidR="00360297" w:rsidRPr="001B0EA3">
        <w:rPr>
          <w:szCs w:val="24"/>
          <w:lang w:eastAsia="fr-FR"/>
        </w:rPr>
        <w:t>, касаещи открити</w:t>
      </w:r>
      <w:r w:rsidRPr="001B0EA3">
        <w:rPr>
          <w:szCs w:val="24"/>
          <w:lang w:eastAsia="fr-FR"/>
        </w:rPr>
        <w:t xml:space="preserve"> нарушения на обществени поръчки</w:t>
      </w:r>
      <w:r w:rsidR="00360297" w:rsidRPr="001B0EA3">
        <w:rPr>
          <w:szCs w:val="24"/>
          <w:lang w:eastAsia="fr-FR"/>
        </w:rPr>
        <w:t>, изпратени до бенефициентите</w:t>
      </w:r>
      <w:r w:rsidRPr="001B0EA3">
        <w:rPr>
          <w:szCs w:val="24"/>
          <w:lang w:eastAsia="fr-FR"/>
        </w:rPr>
        <w:t>.</w:t>
      </w:r>
    </w:p>
    <w:p w14:paraId="3705646D" w14:textId="77777777" w:rsidR="00DB1F26" w:rsidRPr="001B0EA3" w:rsidRDefault="00DB1F26" w:rsidP="00046D61">
      <w:pPr>
        <w:ind w:left="1701"/>
        <w:rPr>
          <w:szCs w:val="24"/>
          <w:lang w:eastAsia="fr-FR"/>
        </w:rPr>
      </w:pPr>
    </w:p>
    <w:p w14:paraId="64EA798B" w14:textId="77777777" w:rsidR="00D603F5" w:rsidRPr="00842ECC" w:rsidRDefault="00D603F5" w:rsidP="00B502C7">
      <w:pPr>
        <w:pStyle w:val="Style2"/>
        <w:rPr>
          <w:lang w:val="bg-BG"/>
        </w:rPr>
      </w:pPr>
      <w:bookmarkStart w:id="1261" w:name="_Toc479775794"/>
      <w:bookmarkStart w:id="1262" w:name="_Toc140150283"/>
      <w:r w:rsidRPr="00842ECC">
        <w:rPr>
          <w:lang w:val="bg-BG"/>
        </w:rPr>
        <w:t xml:space="preserve">Осигуряване на одитна пътека по процедури от </w:t>
      </w:r>
      <w:r w:rsidR="009B16F5" w:rsidRPr="00842ECC">
        <w:rPr>
          <w:lang w:val="bg-BG"/>
        </w:rPr>
        <w:t>компетенциите</w:t>
      </w:r>
      <w:r w:rsidRPr="00842ECC">
        <w:rPr>
          <w:lang w:val="bg-BG"/>
        </w:rPr>
        <w:t xml:space="preserve"> на отдел „Финансово управление”</w:t>
      </w:r>
      <w:bookmarkEnd w:id="1261"/>
      <w:bookmarkEnd w:id="1262"/>
    </w:p>
    <w:p w14:paraId="1245C26F" w14:textId="77777777" w:rsidR="006324DC" w:rsidRPr="001B0EA3" w:rsidRDefault="006324DC" w:rsidP="00046D61">
      <w:pPr>
        <w:rPr>
          <w:bCs/>
          <w:szCs w:val="24"/>
        </w:rPr>
      </w:pPr>
      <w:r w:rsidRPr="001B0EA3">
        <w:rPr>
          <w:bCs/>
          <w:szCs w:val="24"/>
        </w:rPr>
        <w:t>Съгласно чл. 140 от Регламент 1303/2014, документите се съхраняват под формата на оригинали или заверени копия на оригиналите или на общоприети носители на информация, включително електронни версии на оригинални документи или документи, съществуващи единствено в електронна версия.</w:t>
      </w:r>
    </w:p>
    <w:p w14:paraId="1940D63F" w14:textId="77777777" w:rsidR="00F96E5D" w:rsidRPr="001B0EA3" w:rsidRDefault="00F96E5D" w:rsidP="00046D61">
      <w:pPr>
        <w:rPr>
          <w:i/>
          <w:szCs w:val="24"/>
        </w:rPr>
      </w:pPr>
    </w:p>
    <w:p w14:paraId="6767F205" w14:textId="77777777" w:rsidR="006324DC" w:rsidRPr="001B0EA3" w:rsidRDefault="006324DC" w:rsidP="00046D61">
      <w:pPr>
        <w:rPr>
          <w:i/>
          <w:szCs w:val="24"/>
        </w:rPr>
      </w:pPr>
      <w:r w:rsidRPr="001B0EA3">
        <w:rPr>
          <w:i/>
          <w:szCs w:val="24"/>
        </w:rPr>
        <w:t xml:space="preserve">Документи за искания за </w:t>
      </w:r>
      <w:r w:rsidR="00ED66CF" w:rsidRPr="001B0EA3">
        <w:rPr>
          <w:i/>
          <w:szCs w:val="24"/>
        </w:rPr>
        <w:t>плащане</w:t>
      </w:r>
    </w:p>
    <w:p w14:paraId="19BCA06E" w14:textId="77777777" w:rsidR="006324DC" w:rsidRPr="001B0EA3" w:rsidRDefault="006324DC" w:rsidP="00046D61">
      <w:pPr>
        <w:pStyle w:val="ListParagraph"/>
        <w:numPr>
          <w:ilvl w:val="0"/>
          <w:numId w:val="171"/>
        </w:numPr>
        <w:tabs>
          <w:tab w:val="left" w:pos="1134"/>
        </w:tabs>
        <w:ind w:left="0" w:firstLine="851"/>
        <w:rPr>
          <w:szCs w:val="24"/>
        </w:rPr>
      </w:pPr>
      <w:r w:rsidRPr="001B0EA3">
        <w:rPr>
          <w:szCs w:val="24"/>
        </w:rPr>
        <w:t>Искания за авансови плащания, с контролен лист и разходооправдателни документи;</w:t>
      </w:r>
    </w:p>
    <w:p w14:paraId="7463640A" w14:textId="77777777" w:rsidR="006324DC" w:rsidRPr="001B0EA3" w:rsidRDefault="006324DC" w:rsidP="00046D61">
      <w:pPr>
        <w:pStyle w:val="ListParagraph"/>
        <w:numPr>
          <w:ilvl w:val="0"/>
          <w:numId w:val="171"/>
        </w:numPr>
        <w:tabs>
          <w:tab w:val="left" w:pos="1134"/>
        </w:tabs>
        <w:ind w:left="0" w:firstLine="851"/>
        <w:rPr>
          <w:szCs w:val="24"/>
        </w:rPr>
      </w:pPr>
      <w:r w:rsidRPr="001B0EA3">
        <w:rPr>
          <w:szCs w:val="24"/>
        </w:rPr>
        <w:t>Искания за междинни плащания, с контролен лист, разходооправдателни документи и документи с елемент на еквивалентна доказателствена стойност;</w:t>
      </w:r>
    </w:p>
    <w:p w14:paraId="2401C9CC" w14:textId="77777777" w:rsidR="006324DC" w:rsidRPr="001B0EA3" w:rsidRDefault="006324DC" w:rsidP="00046D61">
      <w:pPr>
        <w:pStyle w:val="ListParagraph"/>
        <w:numPr>
          <w:ilvl w:val="0"/>
          <w:numId w:val="171"/>
        </w:numPr>
        <w:tabs>
          <w:tab w:val="left" w:pos="1134"/>
        </w:tabs>
        <w:ind w:left="0" w:firstLine="851"/>
        <w:rPr>
          <w:szCs w:val="24"/>
        </w:rPr>
      </w:pPr>
      <w:r w:rsidRPr="001B0EA3">
        <w:rPr>
          <w:szCs w:val="24"/>
        </w:rPr>
        <w:t>Искания за окончателно плащания, с контролен лист, разходооправдателни документи и документи с елемент на еквивалентна доказателствена стойност;</w:t>
      </w:r>
    </w:p>
    <w:p w14:paraId="73A75BD1" w14:textId="77777777" w:rsidR="00F96E5D" w:rsidRPr="001B0EA3" w:rsidRDefault="00F96E5D" w:rsidP="00046D61">
      <w:pPr>
        <w:rPr>
          <w:bCs/>
          <w:szCs w:val="24"/>
        </w:rPr>
      </w:pPr>
    </w:p>
    <w:p w14:paraId="767A506B" w14:textId="77777777" w:rsidR="006324DC" w:rsidRPr="001B0EA3" w:rsidRDefault="006324DC" w:rsidP="00046D61">
      <w:pPr>
        <w:rPr>
          <w:i/>
          <w:szCs w:val="24"/>
        </w:rPr>
      </w:pPr>
      <w:r w:rsidRPr="001B0EA3">
        <w:rPr>
          <w:i/>
          <w:szCs w:val="24"/>
        </w:rPr>
        <w:t>Документи свързани с директни разплащания към Бенефициента</w:t>
      </w:r>
    </w:p>
    <w:p w14:paraId="4D6BFD80" w14:textId="77777777" w:rsidR="006324DC" w:rsidRPr="001B0EA3" w:rsidRDefault="006324DC" w:rsidP="00046D61">
      <w:pPr>
        <w:pStyle w:val="ListParagraph"/>
        <w:numPr>
          <w:ilvl w:val="0"/>
          <w:numId w:val="171"/>
        </w:numPr>
        <w:tabs>
          <w:tab w:val="left" w:pos="1134"/>
        </w:tabs>
        <w:ind w:left="0" w:firstLine="851"/>
        <w:rPr>
          <w:szCs w:val="24"/>
        </w:rPr>
      </w:pPr>
      <w:r w:rsidRPr="001B0EA3">
        <w:rPr>
          <w:szCs w:val="24"/>
        </w:rPr>
        <w:lastRenderedPageBreak/>
        <w:t>Директни разплащания към бенефициента, с контролен лист и приложени документи свързани с плащането/</w:t>
      </w:r>
    </w:p>
    <w:p w14:paraId="42E8EF3E" w14:textId="77777777" w:rsidR="006324DC" w:rsidRPr="001B0EA3" w:rsidRDefault="006324DC" w:rsidP="00046D61">
      <w:pPr>
        <w:pStyle w:val="ListParagraph"/>
        <w:numPr>
          <w:ilvl w:val="0"/>
          <w:numId w:val="171"/>
        </w:numPr>
        <w:tabs>
          <w:tab w:val="left" w:pos="1134"/>
        </w:tabs>
        <w:ind w:left="0" w:firstLine="851"/>
        <w:rPr>
          <w:bCs/>
          <w:szCs w:val="24"/>
        </w:rPr>
      </w:pPr>
      <w:r w:rsidRPr="001B0EA3">
        <w:rPr>
          <w:szCs w:val="24"/>
        </w:rPr>
        <w:t>Възстановяване на средства на бенефициентите, с контролен лист и приложени документи свързани с плащането/</w:t>
      </w:r>
    </w:p>
    <w:p w14:paraId="7D2EEBE5" w14:textId="77777777" w:rsidR="006324DC" w:rsidRPr="001B0EA3" w:rsidRDefault="006324DC" w:rsidP="00046D61">
      <w:pPr>
        <w:rPr>
          <w:bCs/>
          <w:szCs w:val="24"/>
        </w:rPr>
      </w:pPr>
    </w:p>
    <w:p w14:paraId="0C1CB03F" w14:textId="77777777" w:rsidR="006324DC" w:rsidRPr="001B0EA3" w:rsidRDefault="006324DC" w:rsidP="00046D61">
      <w:pPr>
        <w:rPr>
          <w:i/>
          <w:szCs w:val="24"/>
        </w:rPr>
      </w:pPr>
      <w:r w:rsidRPr="001B0EA3">
        <w:rPr>
          <w:i/>
          <w:szCs w:val="24"/>
        </w:rPr>
        <w:t xml:space="preserve">Документи за авансово финансиране </w:t>
      </w:r>
    </w:p>
    <w:p w14:paraId="43A224B2" w14:textId="77777777" w:rsidR="006324DC" w:rsidRPr="001B0EA3" w:rsidRDefault="006324DC" w:rsidP="00046D61">
      <w:pPr>
        <w:pStyle w:val="ListParagraph"/>
        <w:numPr>
          <w:ilvl w:val="0"/>
          <w:numId w:val="171"/>
        </w:numPr>
        <w:tabs>
          <w:tab w:val="left" w:pos="1134"/>
        </w:tabs>
        <w:ind w:left="0" w:firstLine="851"/>
        <w:rPr>
          <w:szCs w:val="24"/>
        </w:rPr>
      </w:pPr>
      <w:r w:rsidRPr="001B0EA3">
        <w:rPr>
          <w:szCs w:val="24"/>
        </w:rPr>
        <w:t>Искане за авансово финансиране, съгласно ДДС № 06/2011 г. и пакет от документи</w:t>
      </w:r>
    </w:p>
    <w:p w14:paraId="3E66A944" w14:textId="77777777" w:rsidR="006324DC" w:rsidRPr="001B0EA3" w:rsidRDefault="006324DC" w:rsidP="00046D61">
      <w:pPr>
        <w:rPr>
          <w:b/>
          <w:bCs/>
          <w:szCs w:val="24"/>
        </w:rPr>
      </w:pPr>
    </w:p>
    <w:p w14:paraId="03785F10" w14:textId="77777777" w:rsidR="006324DC" w:rsidRPr="001B0EA3" w:rsidRDefault="006324DC" w:rsidP="00046D61">
      <w:pPr>
        <w:rPr>
          <w:i/>
          <w:szCs w:val="24"/>
        </w:rPr>
      </w:pPr>
      <w:r w:rsidRPr="001B0EA3">
        <w:rPr>
          <w:i/>
          <w:szCs w:val="24"/>
        </w:rPr>
        <w:t>Документи по отчитане и сертифициране на разходи към СО</w:t>
      </w:r>
    </w:p>
    <w:p w14:paraId="3BE3959F" w14:textId="77777777" w:rsidR="006324DC" w:rsidRPr="001B0EA3" w:rsidRDefault="006324DC" w:rsidP="00046D61">
      <w:pPr>
        <w:pStyle w:val="ListParagraph"/>
        <w:numPr>
          <w:ilvl w:val="0"/>
          <w:numId w:val="171"/>
        </w:numPr>
        <w:tabs>
          <w:tab w:val="left" w:pos="1134"/>
        </w:tabs>
        <w:ind w:left="0" w:firstLine="851"/>
        <w:rPr>
          <w:szCs w:val="24"/>
        </w:rPr>
      </w:pPr>
      <w:r w:rsidRPr="001B0EA3">
        <w:rPr>
          <w:szCs w:val="24"/>
        </w:rPr>
        <w:t xml:space="preserve">Доклади по сертификация и декларация за допустимите разходи по образец </w:t>
      </w:r>
    </w:p>
    <w:p w14:paraId="24EFC011" w14:textId="77777777" w:rsidR="006324DC" w:rsidRPr="001B0EA3" w:rsidRDefault="006324DC" w:rsidP="00046D61">
      <w:pPr>
        <w:pStyle w:val="ListParagraph"/>
        <w:tabs>
          <w:tab w:val="left" w:pos="1134"/>
        </w:tabs>
        <w:ind w:left="851"/>
        <w:rPr>
          <w:szCs w:val="24"/>
        </w:rPr>
      </w:pPr>
    </w:p>
    <w:p w14:paraId="1CA814B5" w14:textId="77777777" w:rsidR="00D603F5" w:rsidRPr="00842ECC" w:rsidRDefault="00D603F5" w:rsidP="00B502C7">
      <w:pPr>
        <w:pStyle w:val="Style2"/>
        <w:rPr>
          <w:lang w:val="bg-BG"/>
        </w:rPr>
      </w:pPr>
      <w:bookmarkStart w:id="1263" w:name="_Toc479775795"/>
      <w:bookmarkStart w:id="1264" w:name="_Toc140150284"/>
      <w:r w:rsidRPr="00842ECC">
        <w:rPr>
          <w:lang w:val="bg-BG"/>
        </w:rPr>
        <w:t xml:space="preserve">Осигуряване на одитна пътека по процедури от </w:t>
      </w:r>
      <w:r w:rsidR="009B16F5" w:rsidRPr="00842ECC">
        <w:rPr>
          <w:lang w:val="bg-BG"/>
        </w:rPr>
        <w:t>компетенциите</w:t>
      </w:r>
      <w:r w:rsidRPr="00842ECC">
        <w:rPr>
          <w:lang w:val="bg-BG"/>
        </w:rPr>
        <w:t xml:space="preserve"> на отдел „Изпълнение и координация”</w:t>
      </w:r>
      <w:bookmarkEnd w:id="1263"/>
      <w:bookmarkEnd w:id="1264"/>
    </w:p>
    <w:p w14:paraId="772F36FF" w14:textId="77777777" w:rsidR="00873B5F" w:rsidRPr="00873B5F" w:rsidRDefault="00873B5F" w:rsidP="00873B5F">
      <w:pPr>
        <w:numPr>
          <w:ilvl w:val="0"/>
          <w:numId w:val="106"/>
        </w:numPr>
        <w:spacing w:after="120"/>
        <w:ind w:left="1276" w:hanging="425"/>
        <w:contextualSpacing/>
        <w:rPr>
          <w:b/>
          <w:szCs w:val="24"/>
          <w:lang w:eastAsia="fr-FR"/>
        </w:rPr>
      </w:pPr>
      <w:r w:rsidRPr="00873B5F">
        <w:rPr>
          <w:b/>
          <w:szCs w:val="24"/>
          <w:lang w:eastAsia="fr-FR"/>
        </w:rPr>
        <w:t>Доклади за наблюдение</w:t>
      </w:r>
    </w:p>
    <w:p w14:paraId="695DCD45" w14:textId="77777777" w:rsidR="00873B5F" w:rsidRPr="00873B5F" w:rsidRDefault="00873B5F" w:rsidP="00873B5F">
      <w:pPr>
        <w:numPr>
          <w:ilvl w:val="0"/>
          <w:numId w:val="171"/>
        </w:numPr>
        <w:tabs>
          <w:tab w:val="left" w:pos="1134"/>
        </w:tabs>
        <w:ind w:left="0" w:firstLine="851"/>
        <w:contextualSpacing/>
        <w:rPr>
          <w:szCs w:val="24"/>
        </w:rPr>
      </w:pPr>
      <w:r w:rsidRPr="00873B5F">
        <w:rPr>
          <w:szCs w:val="24"/>
        </w:rPr>
        <w:t>Годишни доклади за напредъка по проектите</w:t>
      </w:r>
    </w:p>
    <w:p w14:paraId="4E98BAFD" w14:textId="77777777" w:rsidR="00873B5F" w:rsidRPr="00873B5F" w:rsidRDefault="00873B5F" w:rsidP="00873B5F">
      <w:pPr>
        <w:numPr>
          <w:ilvl w:val="0"/>
          <w:numId w:val="171"/>
        </w:numPr>
        <w:tabs>
          <w:tab w:val="left" w:pos="1134"/>
        </w:tabs>
        <w:ind w:left="0" w:firstLine="851"/>
        <w:contextualSpacing/>
        <w:rPr>
          <w:szCs w:val="24"/>
        </w:rPr>
      </w:pPr>
      <w:r w:rsidRPr="00873B5F">
        <w:rPr>
          <w:szCs w:val="24"/>
        </w:rPr>
        <w:t>Окончателни доклади по проектите</w:t>
      </w:r>
    </w:p>
    <w:p w14:paraId="544A5D77" w14:textId="77777777" w:rsidR="00873B5F" w:rsidRPr="00873B5F" w:rsidRDefault="00873B5F" w:rsidP="00873B5F">
      <w:pPr>
        <w:numPr>
          <w:ilvl w:val="0"/>
          <w:numId w:val="171"/>
        </w:numPr>
        <w:tabs>
          <w:tab w:val="left" w:pos="1134"/>
        </w:tabs>
        <w:ind w:left="0" w:firstLine="851"/>
        <w:contextualSpacing/>
        <w:rPr>
          <w:szCs w:val="24"/>
        </w:rPr>
      </w:pPr>
      <w:r w:rsidRPr="00873B5F">
        <w:rPr>
          <w:szCs w:val="24"/>
        </w:rPr>
        <w:t>Контролни листове към окончателните доклади (единствено в ИСУН 2020)</w:t>
      </w:r>
    </w:p>
    <w:p w14:paraId="43F08B1A" w14:textId="77777777" w:rsidR="00873B5F" w:rsidRPr="00873B5F" w:rsidRDefault="00873B5F" w:rsidP="00873B5F">
      <w:pPr>
        <w:numPr>
          <w:ilvl w:val="0"/>
          <w:numId w:val="171"/>
        </w:numPr>
        <w:tabs>
          <w:tab w:val="left" w:pos="1134"/>
        </w:tabs>
        <w:contextualSpacing/>
        <w:rPr>
          <w:szCs w:val="24"/>
        </w:rPr>
      </w:pPr>
      <w:r w:rsidRPr="00873B5F">
        <w:rPr>
          <w:szCs w:val="24"/>
        </w:rPr>
        <w:t>Доклади за приключили проекти и контролни листове към тях (единствено в ИСУН 2020)</w:t>
      </w:r>
    </w:p>
    <w:p w14:paraId="7E153B5C" w14:textId="77777777" w:rsidR="00873B5F" w:rsidRPr="00873B5F" w:rsidRDefault="00873B5F" w:rsidP="00873B5F">
      <w:pPr>
        <w:numPr>
          <w:ilvl w:val="0"/>
          <w:numId w:val="171"/>
        </w:numPr>
        <w:tabs>
          <w:tab w:val="left" w:pos="1134"/>
        </w:tabs>
        <w:ind w:left="0" w:firstLine="851"/>
        <w:contextualSpacing/>
        <w:rPr>
          <w:szCs w:val="24"/>
        </w:rPr>
      </w:pPr>
      <w:r w:rsidRPr="00873B5F">
        <w:rPr>
          <w:szCs w:val="24"/>
        </w:rPr>
        <w:t>Кореспонденция относно коментарите и препоръките на УО на ОПТТИ към докладите за напредъка по проектите.</w:t>
      </w:r>
    </w:p>
    <w:p w14:paraId="0F932D3D" w14:textId="77777777" w:rsidR="00D603F5" w:rsidRPr="001B0EA3" w:rsidRDefault="00D603F5" w:rsidP="00046D61">
      <w:pPr>
        <w:pStyle w:val="ListParagraph"/>
        <w:numPr>
          <w:ilvl w:val="0"/>
          <w:numId w:val="106"/>
        </w:numPr>
        <w:spacing w:after="120"/>
        <w:ind w:left="1276" w:hanging="425"/>
        <w:rPr>
          <w:b/>
          <w:szCs w:val="24"/>
          <w:u w:val="single"/>
          <w:lang w:eastAsia="fr-FR"/>
        </w:rPr>
      </w:pPr>
      <w:r w:rsidRPr="001B0EA3">
        <w:rPr>
          <w:b/>
          <w:szCs w:val="24"/>
          <w:u w:val="single"/>
          <w:lang w:eastAsia="fr-FR"/>
        </w:rPr>
        <w:t>Периодични срещи за отчитане на напредъка по проектите</w:t>
      </w:r>
    </w:p>
    <w:p w14:paraId="1C3B3788"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Кореспонденция относно организирането и провеждането на периодични срещи за отчитане на напредъка по проектите</w:t>
      </w:r>
    </w:p>
    <w:p w14:paraId="26CE22FE"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Протоколи от проведените периодични срещи</w:t>
      </w:r>
    </w:p>
    <w:p w14:paraId="4D2121CB"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Присъствени списъци на участниците в периодичните</w:t>
      </w:r>
      <w:r w:rsidR="00ED66CF" w:rsidRPr="001B0EA3">
        <w:rPr>
          <w:szCs w:val="24"/>
        </w:rPr>
        <w:t xml:space="preserve"> </w:t>
      </w:r>
      <w:r w:rsidRPr="001B0EA3">
        <w:rPr>
          <w:szCs w:val="24"/>
        </w:rPr>
        <w:t>срещи</w:t>
      </w:r>
    </w:p>
    <w:p w14:paraId="0B1A5971" w14:textId="77777777" w:rsidR="00D603F5" w:rsidRPr="001B0EA3" w:rsidRDefault="00D603F5" w:rsidP="00125DAC">
      <w:pPr>
        <w:rPr>
          <w:b/>
          <w:i/>
          <w:szCs w:val="24"/>
        </w:rPr>
      </w:pPr>
    </w:p>
    <w:p w14:paraId="0CE5FEB9" w14:textId="77777777" w:rsidR="00D603F5" w:rsidRPr="001B0EA3" w:rsidRDefault="00D603F5" w:rsidP="00046D61">
      <w:pPr>
        <w:pStyle w:val="ListParagraph"/>
        <w:numPr>
          <w:ilvl w:val="0"/>
          <w:numId w:val="106"/>
        </w:numPr>
        <w:spacing w:after="120"/>
        <w:ind w:left="1276" w:hanging="425"/>
        <w:rPr>
          <w:b/>
          <w:szCs w:val="24"/>
          <w:lang w:eastAsia="fr-FR"/>
        </w:rPr>
      </w:pPr>
      <w:r w:rsidRPr="001B0EA3">
        <w:rPr>
          <w:b/>
          <w:szCs w:val="24"/>
          <w:lang w:eastAsia="fr-FR"/>
        </w:rPr>
        <w:t>Проверки на място</w:t>
      </w:r>
    </w:p>
    <w:p w14:paraId="6E69BB4C"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Документация, свързана с изготвянето на Годишни планове за проверки  на място (резултати от проведена оценка на риска по проектите от ОПТТИ)</w:t>
      </w:r>
    </w:p>
    <w:p w14:paraId="6943465F"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Годишни планове за провеждане на проверки на място по ОПТТИ</w:t>
      </w:r>
    </w:p>
    <w:p w14:paraId="54EF9CC7"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Изменения на Годишните планове за провеждане на проверки на място</w:t>
      </w:r>
    </w:p>
    <w:p w14:paraId="075E5836"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Кореспонденция, свързана с разпространяването на Годишните планове за провеждане на проверки на място по ОПТТИ</w:t>
      </w:r>
    </w:p>
    <w:p w14:paraId="496AC1E5"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Кореспонденция между УО на ОПТТИ и Бенефициентите относно организирането и провеждането на проверки на място</w:t>
      </w:r>
    </w:p>
    <w:p w14:paraId="1F9D4376" w14:textId="77777777" w:rsidR="00DC70EE" w:rsidRPr="001B0EA3" w:rsidRDefault="00DC70EE" w:rsidP="00DC70EE">
      <w:pPr>
        <w:pStyle w:val="ListParagraph"/>
        <w:numPr>
          <w:ilvl w:val="0"/>
          <w:numId w:val="171"/>
        </w:numPr>
        <w:tabs>
          <w:tab w:val="left" w:pos="1134"/>
        </w:tabs>
        <w:ind w:left="0" w:firstLine="851"/>
        <w:rPr>
          <w:szCs w:val="24"/>
        </w:rPr>
      </w:pPr>
      <w:r w:rsidRPr="001B0EA3">
        <w:rPr>
          <w:szCs w:val="24"/>
        </w:rPr>
        <w:t>Кореспонденция между УО на ОПТ</w:t>
      </w:r>
      <w:r>
        <w:rPr>
          <w:szCs w:val="24"/>
        </w:rPr>
        <w:t>ТИ</w:t>
      </w:r>
      <w:r w:rsidRPr="001B0EA3">
        <w:rPr>
          <w:szCs w:val="24"/>
        </w:rPr>
        <w:t xml:space="preserve"> и консултанта за предоставяне на специфична техническа експертиза при извършването на проверки на място</w:t>
      </w:r>
    </w:p>
    <w:p w14:paraId="6F31D477" w14:textId="77777777" w:rsidR="00DC70EE" w:rsidRPr="001B0EA3" w:rsidRDefault="00DC70EE" w:rsidP="00DC70EE">
      <w:pPr>
        <w:pStyle w:val="ListParagraph"/>
        <w:numPr>
          <w:ilvl w:val="0"/>
          <w:numId w:val="171"/>
        </w:numPr>
        <w:tabs>
          <w:tab w:val="left" w:pos="1134"/>
        </w:tabs>
        <w:ind w:left="0" w:firstLine="851"/>
        <w:rPr>
          <w:szCs w:val="24"/>
        </w:rPr>
      </w:pPr>
      <w:r w:rsidRPr="001B0EA3">
        <w:rPr>
          <w:szCs w:val="24"/>
        </w:rPr>
        <w:t xml:space="preserve">Доклади от проведени проверки на място </w:t>
      </w:r>
    </w:p>
    <w:p w14:paraId="65B0C7D3" w14:textId="77777777" w:rsidR="00DC70EE" w:rsidRPr="001B0EA3" w:rsidRDefault="00DC70EE" w:rsidP="00DC70EE">
      <w:pPr>
        <w:pStyle w:val="ListParagraph"/>
        <w:numPr>
          <w:ilvl w:val="0"/>
          <w:numId w:val="171"/>
        </w:numPr>
        <w:tabs>
          <w:tab w:val="left" w:pos="1134"/>
        </w:tabs>
        <w:rPr>
          <w:szCs w:val="24"/>
        </w:rPr>
      </w:pPr>
      <w:r w:rsidRPr="001B0EA3">
        <w:rPr>
          <w:szCs w:val="24"/>
        </w:rPr>
        <w:t>Контролни листове към докладите от проведени проверки на място</w:t>
      </w:r>
      <w:r>
        <w:rPr>
          <w:szCs w:val="24"/>
        </w:rPr>
        <w:t xml:space="preserve"> (</w:t>
      </w:r>
      <w:r w:rsidRPr="00347A8A">
        <w:rPr>
          <w:szCs w:val="24"/>
        </w:rPr>
        <w:t>единствено</w:t>
      </w:r>
      <w:r>
        <w:rPr>
          <w:szCs w:val="24"/>
        </w:rPr>
        <w:t xml:space="preserve"> в ИСУН 2020)</w:t>
      </w:r>
    </w:p>
    <w:p w14:paraId="49EEC763"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Присъствени списъци на участниците в проверката</w:t>
      </w:r>
    </w:p>
    <w:p w14:paraId="686403B8"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 xml:space="preserve">Кореспонденция, свързана с изготвянето и одобрението на планове за изпълнение на предписанията от проведени проверки на място </w:t>
      </w:r>
    </w:p>
    <w:p w14:paraId="5FEF931E"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 xml:space="preserve">Планове за изпълнение на предписанията от проведени проверки на място </w:t>
      </w:r>
    </w:p>
    <w:p w14:paraId="04EBC79C"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 xml:space="preserve">Отчети на плановете (в случай, че няма доклад за напредъка по проект) </w:t>
      </w:r>
    </w:p>
    <w:p w14:paraId="645559C0"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Кореспонденция относно коментарите и препоръките на УО на ОПТТИ към отчетите на плановете за изпълнение на предписанията от проведени проверки на място</w:t>
      </w:r>
    </w:p>
    <w:p w14:paraId="39610FCA" w14:textId="77777777" w:rsidR="00D603F5" w:rsidRPr="001B0EA3" w:rsidRDefault="00D603F5" w:rsidP="00046D61">
      <w:pPr>
        <w:ind w:left="1134"/>
        <w:rPr>
          <w:szCs w:val="24"/>
        </w:rPr>
      </w:pPr>
    </w:p>
    <w:p w14:paraId="5BA78795" w14:textId="1273F18A" w:rsidR="00D603F5" w:rsidRPr="00842ECC" w:rsidRDefault="00D603F5" w:rsidP="00B502C7">
      <w:pPr>
        <w:pStyle w:val="Style2"/>
        <w:rPr>
          <w:lang w:val="bg-BG"/>
        </w:rPr>
      </w:pPr>
      <w:bookmarkStart w:id="1265" w:name="_Toc479775796"/>
      <w:bookmarkStart w:id="1266" w:name="_Toc140150285"/>
      <w:r w:rsidRPr="00842ECC">
        <w:rPr>
          <w:lang w:val="bg-BG"/>
        </w:rPr>
        <w:lastRenderedPageBreak/>
        <w:t xml:space="preserve">Осигуряване на одитна пътека по процедури от </w:t>
      </w:r>
      <w:r w:rsidR="009B16F5" w:rsidRPr="00842ECC">
        <w:rPr>
          <w:lang w:val="bg-BG"/>
        </w:rPr>
        <w:t>компетенциите</w:t>
      </w:r>
      <w:r w:rsidRPr="00842ECC">
        <w:rPr>
          <w:lang w:val="bg-BG"/>
        </w:rPr>
        <w:t xml:space="preserve"> на отдел „</w:t>
      </w:r>
      <w:r w:rsidR="00E71AD0">
        <w:rPr>
          <w:lang w:val="bg-BG"/>
        </w:rPr>
        <w:t>Наблюдение и оценка</w:t>
      </w:r>
      <w:r w:rsidRPr="00842ECC">
        <w:rPr>
          <w:lang w:val="bg-BG"/>
        </w:rPr>
        <w:t>”</w:t>
      </w:r>
      <w:bookmarkEnd w:id="1265"/>
      <w:bookmarkEnd w:id="1266"/>
    </w:p>
    <w:p w14:paraId="450938BE" w14:textId="77777777" w:rsidR="00D603F5" w:rsidRPr="001B0EA3" w:rsidRDefault="00D603F5" w:rsidP="00046D61">
      <w:pPr>
        <w:pStyle w:val="ListParagraph"/>
        <w:numPr>
          <w:ilvl w:val="0"/>
          <w:numId w:val="110"/>
        </w:numPr>
        <w:spacing w:after="120"/>
        <w:rPr>
          <w:b/>
          <w:szCs w:val="24"/>
          <w:u w:val="single"/>
          <w:lang w:eastAsia="fr-FR"/>
        </w:rPr>
      </w:pPr>
      <w:r w:rsidRPr="001B0EA3">
        <w:rPr>
          <w:b/>
          <w:szCs w:val="24"/>
          <w:u w:val="single"/>
          <w:lang w:eastAsia="fr-FR"/>
        </w:rPr>
        <w:t>ИСУН</w:t>
      </w:r>
    </w:p>
    <w:p w14:paraId="0DD2B428"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Информация за създаване/промяна/прекратяване на потребителски достъп в ИСУН.</w:t>
      </w:r>
    </w:p>
    <w:p w14:paraId="675621EB"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Обща кореспонденция, свързана с ИСУН.</w:t>
      </w:r>
    </w:p>
    <w:p w14:paraId="6E6027D5"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Кореспонденция относно указанията за въвеждане и актуализиране на информацията в ИСУН.</w:t>
      </w:r>
    </w:p>
    <w:p w14:paraId="79E5130E"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Кореспонденцията между УО на ОПТТИ и ЦКЗ относно възникнали проблеми при работата с ИСУН.</w:t>
      </w:r>
    </w:p>
    <w:p w14:paraId="641909E1"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 xml:space="preserve">Кореспонденцията между УО на ОПТТИ и ЦКЗ относно искания за промяна на обхвата на системата. </w:t>
      </w:r>
    </w:p>
    <w:p w14:paraId="2F9CD814"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Кореспонденция относно организирането и провеждането на обучения, свързани с работата в ИСУН.</w:t>
      </w:r>
    </w:p>
    <w:p w14:paraId="2F1A3ADA" w14:textId="77777777" w:rsidR="00D603F5" w:rsidRPr="001B0EA3" w:rsidRDefault="00D603F5" w:rsidP="00125DAC">
      <w:pPr>
        <w:autoSpaceDE w:val="0"/>
        <w:autoSpaceDN w:val="0"/>
        <w:adjustRightInd w:val="0"/>
        <w:ind w:firstLine="708"/>
        <w:rPr>
          <w:rFonts w:eastAsia="EUAlbertina-Regu-Identity-H"/>
          <w:i/>
          <w:szCs w:val="24"/>
          <w:lang w:eastAsia="en-US"/>
        </w:rPr>
      </w:pPr>
    </w:p>
    <w:p w14:paraId="1C5090E5" w14:textId="77777777" w:rsidR="00D603F5" w:rsidRPr="001B0EA3" w:rsidRDefault="00D603F5" w:rsidP="00046D61">
      <w:pPr>
        <w:pStyle w:val="ListParagraph"/>
        <w:numPr>
          <w:ilvl w:val="0"/>
          <w:numId w:val="110"/>
        </w:numPr>
        <w:spacing w:after="120"/>
        <w:rPr>
          <w:b/>
          <w:szCs w:val="24"/>
          <w:u w:val="single"/>
          <w:lang w:eastAsia="fr-FR"/>
        </w:rPr>
      </w:pPr>
      <w:r w:rsidRPr="001B0EA3">
        <w:rPr>
          <w:b/>
          <w:szCs w:val="24"/>
          <w:u w:val="single"/>
          <w:lang w:eastAsia="fr-FR"/>
        </w:rPr>
        <w:t>SFC</w:t>
      </w:r>
    </w:p>
    <w:p w14:paraId="59D3508B"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Заповеди на министъра на транспорта и съобщенията, с които са определени длъжностните лица от Управляващия орган на Оперативна програма „Транспорт и транспортна инфраструктура” с право да въвеждат информация в SFC, както и лицата, осъществяващи пряк контрол върху дейността им.</w:t>
      </w:r>
    </w:p>
    <w:p w14:paraId="1AC5DCE9"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Информация за създаване/промяна/прекратяване на потребителски достъп в SFC.</w:t>
      </w:r>
    </w:p>
    <w:p w14:paraId="33B88626"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Обща кореспонденция, свързана с SFC.</w:t>
      </w:r>
    </w:p>
    <w:p w14:paraId="48FF3FCA" w14:textId="77777777" w:rsidR="00D603F5" w:rsidRPr="001B0EA3" w:rsidRDefault="00D603F5" w:rsidP="00046D61">
      <w:pPr>
        <w:ind w:left="1134"/>
        <w:rPr>
          <w:szCs w:val="24"/>
          <w:lang w:eastAsia="fr-FR"/>
        </w:rPr>
      </w:pPr>
    </w:p>
    <w:p w14:paraId="033EF603" w14:textId="77777777" w:rsidR="0047087B" w:rsidRPr="001B0EA3" w:rsidRDefault="0047087B" w:rsidP="0047087B">
      <w:pPr>
        <w:ind w:left="1134"/>
        <w:rPr>
          <w:szCs w:val="24"/>
          <w:lang w:eastAsia="fr-FR"/>
        </w:rPr>
      </w:pPr>
    </w:p>
    <w:p w14:paraId="21708B76" w14:textId="66AB9140" w:rsidR="0047087B" w:rsidRPr="001B0EA3" w:rsidRDefault="0047087B" w:rsidP="0047087B">
      <w:pPr>
        <w:pStyle w:val="ListParagraph"/>
        <w:spacing w:after="120"/>
        <w:ind w:firstLine="0"/>
        <w:rPr>
          <w:b/>
          <w:szCs w:val="24"/>
          <w:u w:val="single"/>
          <w:lang w:eastAsia="fr-FR"/>
        </w:rPr>
      </w:pPr>
      <w:r w:rsidRPr="0047087B">
        <w:rPr>
          <w:b/>
          <w:szCs w:val="24"/>
          <w:u w:val="single"/>
          <w:lang w:eastAsia="fr-FR"/>
        </w:rPr>
        <w:t>3) Доклади</w:t>
      </w:r>
      <w:r>
        <w:rPr>
          <w:b/>
          <w:szCs w:val="24"/>
          <w:u w:val="single"/>
          <w:lang w:eastAsia="fr-FR"/>
        </w:rPr>
        <w:t xml:space="preserve"> за изпълнението на ОПТТИ</w:t>
      </w:r>
    </w:p>
    <w:p w14:paraId="75A2F473"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Доклади за изпълнението на ОПТТИ.</w:t>
      </w:r>
    </w:p>
    <w:p w14:paraId="0788D4AB"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 xml:space="preserve">Контролен лист по процедура за изготвяне на доклади за изпълнение на ОПТТИ. </w:t>
      </w:r>
    </w:p>
    <w:p w14:paraId="27536563"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Документи и разменена кореспонденция по изготвянето на доклади за изпълнение на ОПТТИ.</w:t>
      </w:r>
    </w:p>
    <w:p w14:paraId="45654275"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Кореспонденция от ЕК във връзка с оценката за допустимост на докладите за изпълнение на ОПТТИ.</w:t>
      </w:r>
    </w:p>
    <w:p w14:paraId="75321EE5" w14:textId="60B4829A" w:rsidR="00D603F5" w:rsidRPr="001B0EA3" w:rsidRDefault="00D603F5" w:rsidP="00046D61">
      <w:pPr>
        <w:pStyle w:val="ListParagraph"/>
        <w:numPr>
          <w:ilvl w:val="0"/>
          <w:numId w:val="171"/>
        </w:numPr>
        <w:tabs>
          <w:tab w:val="left" w:pos="1134"/>
        </w:tabs>
        <w:ind w:left="0" w:firstLine="851"/>
        <w:rPr>
          <w:szCs w:val="24"/>
        </w:rPr>
      </w:pPr>
      <w:r w:rsidRPr="001B0EA3">
        <w:rPr>
          <w:szCs w:val="24"/>
        </w:rPr>
        <w:t>Кореспонденция от ЕК във връзка с коментари, забележки и препоръки за качеството и съдържанието по същество на докладите за изпълнение на ОПТТИ.</w:t>
      </w:r>
      <w:r w:rsidR="002A6A5C" w:rsidRPr="001B0EA3" w:rsidDel="002A6A5C">
        <w:rPr>
          <w:szCs w:val="24"/>
        </w:rPr>
        <w:t xml:space="preserve"> </w:t>
      </w:r>
    </w:p>
    <w:p w14:paraId="66568082" w14:textId="49617EEF" w:rsidR="00D603F5" w:rsidRPr="001B0EA3" w:rsidRDefault="00D603F5" w:rsidP="002A6A5C">
      <w:pPr>
        <w:pStyle w:val="ListParagraph"/>
        <w:numPr>
          <w:ilvl w:val="0"/>
          <w:numId w:val="171"/>
        </w:numPr>
        <w:tabs>
          <w:tab w:val="left" w:pos="1134"/>
        </w:tabs>
        <w:ind w:left="0" w:firstLine="851"/>
        <w:rPr>
          <w:szCs w:val="24"/>
        </w:rPr>
      </w:pPr>
      <w:r w:rsidRPr="001B0EA3">
        <w:rPr>
          <w:szCs w:val="24"/>
        </w:rPr>
        <w:t>Кореспонденция с членовете на КН на ОПТТИ в случай на провеждане на писмена процедура за приемане на доклади за изпълнение на ОПТТИ.</w:t>
      </w:r>
      <w:r w:rsidR="002A6A5C" w:rsidRPr="001B0EA3" w:rsidDel="002A6A5C">
        <w:rPr>
          <w:szCs w:val="24"/>
        </w:rPr>
        <w:t xml:space="preserve"> </w:t>
      </w:r>
    </w:p>
    <w:p w14:paraId="1F8CE27B" w14:textId="77777777" w:rsidR="00D603F5" w:rsidRPr="001B0EA3" w:rsidRDefault="00D603F5" w:rsidP="00046D61">
      <w:pPr>
        <w:ind w:left="1134"/>
        <w:rPr>
          <w:szCs w:val="24"/>
          <w:lang w:eastAsia="fr-FR"/>
        </w:rPr>
      </w:pPr>
    </w:p>
    <w:p w14:paraId="7AD947B2" w14:textId="77777777" w:rsidR="00D603F5" w:rsidRPr="001B0EA3" w:rsidRDefault="00D603F5" w:rsidP="00046D61">
      <w:pPr>
        <w:pStyle w:val="ListParagraph"/>
        <w:numPr>
          <w:ilvl w:val="0"/>
          <w:numId w:val="110"/>
        </w:numPr>
        <w:spacing w:after="120"/>
        <w:rPr>
          <w:b/>
          <w:szCs w:val="24"/>
          <w:u w:val="single"/>
          <w:lang w:eastAsia="fr-FR"/>
        </w:rPr>
      </w:pPr>
      <w:r w:rsidRPr="001B0EA3">
        <w:rPr>
          <w:b/>
          <w:szCs w:val="24"/>
          <w:u w:val="single"/>
          <w:lang w:eastAsia="fr-FR"/>
        </w:rPr>
        <w:t>Оценка</w:t>
      </w:r>
    </w:p>
    <w:p w14:paraId="7CA06EA6" w14:textId="77777777" w:rsidR="00D603F5" w:rsidRPr="001B0EA3" w:rsidRDefault="00802FB1" w:rsidP="00046D61">
      <w:pPr>
        <w:pStyle w:val="ListParagraph"/>
        <w:numPr>
          <w:ilvl w:val="0"/>
          <w:numId w:val="171"/>
        </w:numPr>
        <w:tabs>
          <w:tab w:val="left" w:pos="1134"/>
        </w:tabs>
        <w:ind w:left="0" w:firstLine="851"/>
        <w:rPr>
          <w:szCs w:val="24"/>
        </w:rPr>
      </w:pPr>
      <w:r w:rsidRPr="001B0EA3">
        <w:rPr>
          <w:szCs w:val="24"/>
        </w:rPr>
        <w:t xml:space="preserve">План </w:t>
      </w:r>
      <w:r w:rsidR="00D603F5" w:rsidRPr="001B0EA3">
        <w:rPr>
          <w:szCs w:val="24"/>
        </w:rPr>
        <w:t>за оценка на ОПТТИ и свързаните с него документи.</w:t>
      </w:r>
    </w:p>
    <w:p w14:paraId="31C1C13B"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Кореспонденция с членовете на КН на ОПТТИ в случай на провеждане на писмена процедура за приемане на изменение на план</w:t>
      </w:r>
      <w:r w:rsidR="00802FB1" w:rsidRPr="001B0EA3">
        <w:rPr>
          <w:szCs w:val="24"/>
        </w:rPr>
        <w:t>а</w:t>
      </w:r>
      <w:r w:rsidRPr="001B0EA3">
        <w:rPr>
          <w:szCs w:val="24"/>
        </w:rPr>
        <w:t xml:space="preserve"> за оценка на ОПТТИ.</w:t>
      </w:r>
    </w:p>
    <w:p w14:paraId="414759DE"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Документи и кореспонденция, свързани с избирането на независим оценител на Програмата.</w:t>
      </w:r>
    </w:p>
    <w:p w14:paraId="694F6C98"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Документи, свързани с дейността на независимия оценител на ОПТТИ – протоколи от проведени срещи, работни и окончателни версии на оценителните доклади, регистър на отразяване на препоръките от извършените независими оценки на ОПТТИ.</w:t>
      </w:r>
    </w:p>
    <w:p w14:paraId="2705DFFB" w14:textId="77777777" w:rsidR="00D603F5" w:rsidRPr="001B0EA3" w:rsidRDefault="00D603F5" w:rsidP="00046D61">
      <w:pPr>
        <w:pStyle w:val="ListParagraph"/>
        <w:ind w:left="993"/>
        <w:rPr>
          <w:szCs w:val="24"/>
          <w:lang w:eastAsia="fr-FR"/>
        </w:rPr>
      </w:pPr>
    </w:p>
    <w:p w14:paraId="276E7514" w14:textId="77777777" w:rsidR="00D603F5" w:rsidRPr="001B0EA3" w:rsidRDefault="00D603F5" w:rsidP="00046D61">
      <w:pPr>
        <w:pStyle w:val="ListParagraph"/>
        <w:numPr>
          <w:ilvl w:val="0"/>
          <w:numId w:val="110"/>
        </w:numPr>
        <w:spacing w:after="120"/>
        <w:rPr>
          <w:b/>
          <w:szCs w:val="24"/>
          <w:u w:val="single"/>
          <w:lang w:eastAsia="fr-FR"/>
        </w:rPr>
      </w:pPr>
      <w:r w:rsidRPr="001B0EA3">
        <w:rPr>
          <w:b/>
          <w:szCs w:val="24"/>
          <w:u w:val="single"/>
          <w:lang w:eastAsia="fr-FR"/>
        </w:rPr>
        <w:t>Комитет за наблюдение на ОПТТИ</w:t>
      </w:r>
    </w:p>
    <w:p w14:paraId="538E5263"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Годишни декларации за липса на конфликт на интереси на членовете на КН.</w:t>
      </w:r>
    </w:p>
    <w:p w14:paraId="15FB7CCE"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 xml:space="preserve">Заповеди за промяна на състава на КН. </w:t>
      </w:r>
    </w:p>
    <w:p w14:paraId="6BEFA055"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Протоколи от проведените заседания.</w:t>
      </w:r>
    </w:p>
    <w:p w14:paraId="62E6D13E"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Аудио записи на заседанията.</w:t>
      </w:r>
    </w:p>
    <w:p w14:paraId="4BF614CF"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lastRenderedPageBreak/>
        <w:t>Документи и кореспонденция, свързани с подготовката, организацията и провеждането на заседанията.</w:t>
      </w:r>
    </w:p>
    <w:p w14:paraId="3A892882"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Документация, свързана с процедурите по избор на представители на НПО.</w:t>
      </w:r>
    </w:p>
    <w:p w14:paraId="3AE3DEDD" w14:textId="77777777" w:rsidR="00D603F5" w:rsidRPr="001B0EA3" w:rsidRDefault="00D603F5" w:rsidP="00046D61">
      <w:pPr>
        <w:pStyle w:val="ListParagraph"/>
        <w:numPr>
          <w:ilvl w:val="0"/>
          <w:numId w:val="171"/>
        </w:numPr>
        <w:tabs>
          <w:tab w:val="left" w:pos="1134"/>
        </w:tabs>
        <w:ind w:left="0" w:firstLine="851"/>
        <w:rPr>
          <w:szCs w:val="24"/>
        </w:rPr>
      </w:pPr>
      <w:r w:rsidRPr="001B0EA3">
        <w:rPr>
          <w:szCs w:val="24"/>
        </w:rPr>
        <w:t>Протоколи от провеждане на процедура за неприсъствено вземане на решения от КН на ОПТТИ.</w:t>
      </w:r>
    </w:p>
    <w:p w14:paraId="52E9A3BE" w14:textId="77777777" w:rsidR="00D603F5" w:rsidRPr="001B0EA3" w:rsidRDefault="00D603F5" w:rsidP="00046D61">
      <w:pPr>
        <w:ind w:left="1134"/>
        <w:rPr>
          <w:szCs w:val="24"/>
          <w:lang w:eastAsia="fr-FR"/>
        </w:rPr>
      </w:pPr>
    </w:p>
    <w:p w14:paraId="683B9998" w14:textId="77777777" w:rsidR="00F96E5D" w:rsidRPr="001B0EA3" w:rsidRDefault="00F96E5D" w:rsidP="006A6D08">
      <w:pPr>
        <w:ind w:firstLine="0"/>
      </w:pPr>
    </w:p>
    <w:p w14:paraId="518059CC" w14:textId="77777777" w:rsidR="005C6357" w:rsidRPr="005C6357" w:rsidRDefault="00D603F5" w:rsidP="005C6357">
      <w:pPr>
        <w:pStyle w:val="ListParagraph"/>
        <w:numPr>
          <w:ilvl w:val="0"/>
          <w:numId w:val="110"/>
        </w:numPr>
        <w:spacing w:after="120"/>
        <w:rPr>
          <w:b/>
          <w:szCs w:val="24"/>
          <w:u w:val="single"/>
          <w:lang w:eastAsia="fr-FR"/>
        </w:rPr>
      </w:pPr>
      <w:r w:rsidRPr="001B0EA3">
        <w:rPr>
          <w:b/>
          <w:szCs w:val="24"/>
          <w:u w:val="single"/>
          <w:lang w:eastAsia="fr-FR"/>
        </w:rPr>
        <w:t>Други документи</w:t>
      </w:r>
    </w:p>
    <w:p w14:paraId="4401D16F" w14:textId="77777777" w:rsidR="005C6357" w:rsidRPr="00017A55" w:rsidRDefault="005C6357" w:rsidP="006A6D08">
      <w:pPr>
        <w:pStyle w:val="ListParagraph"/>
        <w:numPr>
          <w:ilvl w:val="0"/>
          <w:numId w:val="490"/>
        </w:numPr>
        <w:rPr>
          <w:bCs/>
          <w:szCs w:val="24"/>
          <w:lang w:eastAsia="fr-FR"/>
        </w:rPr>
      </w:pPr>
      <w:r w:rsidRPr="00017A55">
        <w:rPr>
          <w:bCs/>
          <w:szCs w:val="24"/>
          <w:lang w:eastAsia="fr-FR"/>
        </w:rPr>
        <w:t xml:space="preserve">Кореспонденция с ЕК във връзка с провеждането на </w:t>
      </w:r>
      <w:r>
        <w:rPr>
          <w:bCs/>
          <w:szCs w:val="24"/>
          <w:lang w:eastAsia="fr-FR"/>
        </w:rPr>
        <w:t xml:space="preserve">срещи </w:t>
      </w:r>
      <w:r w:rsidRPr="00017A55">
        <w:rPr>
          <w:bCs/>
          <w:szCs w:val="24"/>
          <w:lang w:eastAsia="fr-FR"/>
        </w:rPr>
        <w:t xml:space="preserve">с УО </w:t>
      </w:r>
      <w:r>
        <w:rPr>
          <w:bCs/>
          <w:szCs w:val="24"/>
          <w:lang w:eastAsia="fr-FR"/>
        </w:rPr>
        <w:t>(</w:t>
      </w:r>
      <w:r w:rsidRPr="00017A55">
        <w:rPr>
          <w:bCs/>
          <w:szCs w:val="24"/>
          <w:lang w:eastAsia="fr-FR"/>
        </w:rPr>
        <w:t>годишни</w:t>
      </w:r>
      <w:r>
        <w:rPr>
          <w:bCs/>
          <w:szCs w:val="24"/>
          <w:lang w:eastAsia="fr-FR"/>
        </w:rPr>
        <w:t>, технически и други)</w:t>
      </w:r>
      <w:r w:rsidRPr="00017A55">
        <w:rPr>
          <w:bCs/>
          <w:szCs w:val="24"/>
          <w:lang w:eastAsia="fr-FR"/>
        </w:rPr>
        <w:t xml:space="preserve"> за напредъка по ОПТТИ.</w:t>
      </w:r>
    </w:p>
    <w:p w14:paraId="14CC5F80" w14:textId="77777777" w:rsidR="005C6357" w:rsidRPr="005C6357" w:rsidRDefault="005C6357" w:rsidP="005C6357">
      <w:pPr>
        <w:pStyle w:val="ListParagraph"/>
        <w:numPr>
          <w:ilvl w:val="0"/>
          <w:numId w:val="490"/>
        </w:numPr>
        <w:autoSpaceDE w:val="0"/>
        <w:autoSpaceDN w:val="0"/>
        <w:adjustRightInd w:val="0"/>
        <w:spacing w:after="200"/>
        <w:rPr>
          <w:bCs/>
          <w:szCs w:val="24"/>
          <w:lang w:eastAsia="fr-FR"/>
        </w:rPr>
      </w:pPr>
      <w:r w:rsidRPr="005C6357">
        <w:rPr>
          <w:bCs/>
          <w:szCs w:val="24"/>
          <w:lang w:eastAsia="fr-FR"/>
        </w:rPr>
        <w:t>Кореспонденцията във връзка с изпълнението на ОПТТИ, от компетенциите на отдела.</w:t>
      </w:r>
    </w:p>
    <w:p w14:paraId="7F78729C" w14:textId="77777777" w:rsidR="005C6357" w:rsidRPr="005C6357" w:rsidRDefault="005C6357" w:rsidP="005C6357">
      <w:pPr>
        <w:pStyle w:val="ListParagraph"/>
        <w:numPr>
          <w:ilvl w:val="0"/>
          <w:numId w:val="490"/>
        </w:numPr>
        <w:autoSpaceDE w:val="0"/>
        <w:autoSpaceDN w:val="0"/>
        <w:adjustRightInd w:val="0"/>
        <w:spacing w:after="200"/>
        <w:rPr>
          <w:bCs/>
          <w:szCs w:val="24"/>
          <w:lang w:eastAsia="fr-FR"/>
        </w:rPr>
      </w:pPr>
      <w:r w:rsidRPr="005C6357">
        <w:rPr>
          <w:bCs/>
          <w:szCs w:val="24"/>
          <w:lang w:eastAsia="fr-FR"/>
        </w:rPr>
        <w:t>Доклади, справки, протоколи, паметна записка и др. документация, от компетенциите на отдела.</w:t>
      </w:r>
    </w:p>
    <w:p w14:paraId="2CB98963" w14:textId="77777777" w:rsidR="00A04F3F" w:rsidRPr="001B0EA3" w:rsidRDefault="00A04F3F" w:rsidP="00A04F3F">
      <w:pPr>
        <w:ind w:left="1134"/>
        <w:rPr>
          <w:szCs w:val="24"/>
        </w:rPr>
      </w:pPr>
    </w:p>
    <w:p w14:paraId="64D8721B" w14:textId="77777777" w:rsidR="00A04F3F" w:rsidRPr="00842ECC" w:rsidRDefault="00A04F3F" w:rsidP="00A04F3F">
      <w:pPr>
        <w:pStyle w:val="Style2"/>
        <w:rPr>
          <w:lang w:val="bg-BG"/>
        </w:rPr>
      </w:pPr>
      <w:bookmarkStart w:id="1267" w:name="_Toc140150287"/>
      <w:r w:rsidRPr="00842ECC">
        <w:rPr>
          <w:lang w:val="bg-BG"/>
        </w:rPr>
        <w:t>Осигуряване на одитна пътека по процедури от компетенциите на отдел „</w:t>
      </w:r>
      <w:r>
        <w:rPr>
          <w:lang w:val="bg-BG"/>
        </w:rPr>
        <w:t>Информация, публичност и техническа помощ</w:t>
      </w:r>
      <w:r w:rsidRPr="00842ECC">
        <w:rPr>
          <w:lang w:val="bg-BG"/>
        </w:rPr>
        <w:t>”</w:t>
      </w:r>
      <w:bookmarkEnd w:id="1267"/>
    </w:p>
    <w:p w14:paraId="5E9E5929" w14:textId="77777777" w:rsidR="00194ECA" w:rsidRDefault="00194ECA" w:rsidP="00AE3550">
      <w:pPr>
        <w:ind w:firstLine="0"/>
        <w:jc w:val="left"/>
        <w:rPr>
          <w:szCs w:val="24"/>
          <w:lang w:eastAsia="bg-BG"/>
        </w:rPr>
      </w:pPr>
    </w:p>
    <w:p w14:paraId="6A394C4B" w14:textId="77777777" w:rsidR="00A04F3F" w:rsidRPr="00FF2D1D" w:rsidRDefault="00A04F3F" w:rsidP="00F807BA">
      <w:pPr>
        <w:spacing w:after="120"/>
        <w:ind w:firstLine="709"/>
        <w:rPr>
          <w:b/>
          <w:szCs w:val="24"/>
          <w:u w:val="single"/>
          <w:lang w:eastAsia="fr-FR"/>
        </w:rPr>
      </w:pPr>
      <w:r w:rsidRPr="00FF2D1D">
        <w:rPr>
          <w:b/>
          <w:szCs w:val="24"/>
          <w:u w:val="single"/>
          <w:lang w:eastAsia="fr-FR"/>
        </w:rPr>
        <w:t>Информация и публичност</w:t>
      </w:r>
    </w:p>
    <w:p w14:paraId="3330BBC7" w14:textId="77777777" w:rsidR="00A04F3F" w:rsidRPr="001B0EA3" w:rsidRDefault="00A04F3F" w:rsidP="00A04F3F">
      <w:pPr>
        <w:pStyle w:val="ListParagraph"/>
        <w:numPr>
          <w:ilvl w:val="0"/>
          <w:numId w:val="497"/>
        </w:numPr>
      </w:pPr>
      <w:r w:rsidRPr="001B0EA3">
        <w:t>Копие на Национална комуникационна стратегия 2014 – 2020 г. и приложенията към нея;</w:t>
      </w:r>
    </w:p>
    <w:p w14:paraId="6FA095A9" w14:textId="77777777" w:rsidR="00A04F3F" w:rsidRPr="001B0EA3" w:rsidRDefault="00A04F3F" w:rsidP="00A04F3F">
      <w:pPr>
        <w:pStyle w:val="ListParagraph"/>
        <w:numPr>
          <w:ilvl w:val="0"/>
          <w:numId w:val="497"/>
        </w:numPr>
      </w:pPr>
      <w:r w:rsidRPr="001B0EA3">
        <w:t>Годишен план за действие (ГПД)  на ОПТТИ  утвърден от ръководителя на УО -  оригинал за съответната календарна година;</w:t>
      </w:r>
    </w:p>
    <w:p w14:paraId="7E9A6276" w14:textId="77777777" w:rsidR="00A04F3F" w:rsidRPr="001B0EA3" w:rsidRDefault="00A04F3F" w:rsidP="00A04F3F">
      <w:pPr>
        <w:pStyle w:val="ListParagraph"/>
        <w:numPr>
          <w:ilvl w:val="0"/>
          <w:numId w:val="497"/>
        </w:numPr>
      </w:pPr>
      <w:r w:rsidRPr="001B0EA3">
        <w:t>Отчет на ГПД на ОПТТИ в оригинал за съответната календарна година;</w:t>
      </w:r>
    </w:p>
    <w:p w14:paraId="03C042A1" w14:textId="77777777" w:rsidR="00A04F3F" w:rsidRPr="001B0EA3" w:rsidRDefault="00A04F3F" w:rsidP="00A04F3F">
      <w:pPr>
        <w:pStyle w:val="ListParagraph"/>
        <w:numPr>
          <w:ilvl w:val="0"/>
          <w:numId w:val="497"/>
        </w:numPr>
      </w:pPr>
      <w:r w:rsidRPr="001B0EA3">
        <w:t>Доказателства за изпълнение на дейностите към отчета на ГПД: снимков материал и/или аудио и/или видео материал  на оптичен носител; присъствени листа и/ или протоколи и/или презентации от координационни срещи, обучения, събития;</w:t>
      </w:r>
    </w:p>
    <w:p w14:paraId="01C8D469" w14:textId="77777777" w:rsidR="00A04F3F" w:rsidRPr="001B0EA3" w:rsidRDefault="00A04F3F" w:rsidP="00A04F3F">
      <w:pPr>
        <w:pStyle w:val="ListParagraph"/>
        <w:numPr>
          <w:ilvl w:val="0"/>
          <w:numId w:val="497"/>
        </w:numPr>
      </w:pPr>
      <w:r w:rsidRPr="001B0EA3">
        <w:t>Доклади и/или анализи и/или препоръки от проведени со</w:t>
      </w:r>
      <w:r>
        <w:t xml:space="preserve">циологически проучвания и/ или </w:t>
      </w:r>
      <w:r w:rsidRPr="001B0EA3">
        <w:t>други оценк</w:t>
      </w:r>
      <w:r>
        <w:t>и относно изпълнението на ГПД.</w:t>
      </w:r>
    </w:p>
    <w:p w14:paraId="10898349" w14:textId="77777777" w:rsidR="00A04F3F" w:rsidRDefault="00A04F3F" w:rsidP="00A04F3F">
      <w:pPr>
        <w:jc w:val="left"/>
        <w:rPr>
          <w:szCs w:val="24"/>
          <w:lang w:eastAsia="bg-BG"/>
        </w:rPr>
      </w:pPr>
    </w:p>
    <w:p w14:paraId="067E3169" w14:textId="77777777" w:rsidR="00194ECA" w:rsidRDefault="00194ECA" w:rsidP="005C6357">
      <w:pPr>
        <w:jc w:val="left"/>
        <w:rPr>
          <w:szCs w:val="24"/>
          <w:lang w:eastAsia="bg-BG"/>
        </w:rPr>
      </w:pPr>
    </w:p>
    <w:p w14:paraId="323A41DE" w14:textId="73578761" w:rsidR="00E82DB2" w:rsidRPr="001B0EA3" w:rsidRDefault="00E82DB2" w:rsidP="00B502C7">
      <w:pPr>
        <w:pStyle w:val="Style2"/>
      </w:pPr>
      <w:bookmarkStart w:id="1268" w:name="_Toc479775797"/>
      <w:bookmarkStart w:id="1269" w:name="_Toc140150288"/>
      <w:r w:rsidRPr="001B0EA3">
        <w:t>Осигуряване на одитна пътека по процедури от компетенциите на отдел „Управление на риска“</w:t>
      </w:r>
      <w:bookmarkEnd w:id="1268"/>
      <w:bookmarkEnd w:id="1269"/>
    </w:p>
    <w:p w14:paraId="7FFDA861" w14:textId="77777777" w:rsidR="001C2346" w:rsidRPr="001B0EA3" w:rsidRDefault="001C2346" w:rsidP="00125DAC">
      <w:pPr>
        <w:jc w:val="left"/>
        <w:rPr>
          <w:b/>
          <w:bCs/>
          <w:kern w:val="28"/>
          <w:szCs w:val="24"/>
          <w:lang w:eastAsia="bg-BG"/>
        </w:rPr>
      </w:pPr>
    </w:p>
    <w:p w14:paraId="41317D0F" w14:textId="77777777" w:rsidR="00E82DB2" w:rsidRPr="001B0EA3" w:rsidRDefault="00E82DB2" w:rsidP="00046D61">
      <w:pPr>
        <w:pStyle w:val="ListParagraph"/>
        <w:numPr>
          <w:ilvl w:val="0"/>
          <w:numId w:val="105"/>
        </w:numPr>
        <w:spacing w:after="120"/>
        <w:rPr>
          <w:b/>
          <w:szCs w:val="24"/>
          <w:lang w:eastAsia="fr-FR"/>
        </w:rPr>
      </w:pPr>
      <w:r w:rsidRPr="001B0EA3">
        <w:rPr>
          <w:b/>
          <w:szCs w:val="24"/>
          <w:lang w:eastAsia="fr-FR"/>
        </w:rPr>
        <w:t>Документи по администриране на сигнали за нередности и нередности:</w:t>
      </w:r>
    </w:p>
    <w:p w14:paraId="229790FA" w14:textId="77777777" w:rsidR="00E82DB2" w:rsidRPr="001B0EA3" w:rsidRDefault="00E82DB2" w:rsidP="00046D61">
      <w:pPr>
        <w:pStyle w:val="ListParagraph"/>
        <w:numPr>
          <w:ilvl w:val="0"/>
          <w:numId w:val="171"/>
        </w:numPr>
        <w:tabs>
          <w:tab w:val="left" w:pos="1134"/>
        </w:tabs>
        <w:ind w:left="0" w:firstLine="851"/>
        <w:rPr>
          <w:szCs w:val="24"/>
        </w:rPr>
      </w:pPr>
      <w:r w:rsidRPr="001B0EA3">
        <w:rPr>
          <w:szCs w:val="24"/>
        </w:rPr>
        <w:t>Всички получени сигнали за нередности по проекти по програмата, заедно със съотносимите по сигнала документи;</w:t>
      </w:r>
    </w:p>
    <w:p w14:paraId="2BA18935" w14:textId="77777777" w:rsidR="00E82DB2" w:rsidRPr="001B0EA3" w:rsidRDefault="00E82DB2" w:rsidP="00046D61">
      <w:pPr>
        <w:pStyle w:val="ListParagraph"/>
        <w:numPr>
          <w:ilvl w:val="0"/>
          <w:numId w:val="171"/>
        </w:numPr>
        <w:tabs>
          <w:tab w:val="left" w:pos="1134"/>
        </w:tabs>
        <w:ind w:left="0" w:firstLine="851"/>
        <w:rPr>
          <w:szCs w:val="24"/>
        </w:rPr>
      </w:pPr>
      <w:r w:rsidRPr="001B0EA3">
        <w:rPr>
          <w:szCs w:val="24"/>
        </w:rPr>
        <w:t>Регистър на сигналите за нередности;</w:t>
      </w:r>
    </w:p>
    <w:p w14:paraId="6F198D8B" w14:textId="77777777" w:rsidR="00E82DB2" w:rsidRPr="001B0EA3" w:rsidRDefault="00E82DB2" w:rsidP="00046D61">
      <w:pPr>
        <w:pStyle w:val="ListParagraph"/>
        <w:numPr>
          <w:ilvl w:val="0"/>
          <w:numId w:val="171"/>
        </w:numPr>
        <w:tabs>
          <w:tab w:val="left" w:pos="1134"/>
        </w:tabs>
        <w:ind w:left="0" w:firstLine="851"/>
        <w:rPr>
          <w:szCs w:val="24"/>
        </w:rPr>
      </w:pPr>
      <w:r w:rsidRPr="001B0EA3">
        <w:rPr>
          <w:szCs w:val="24"/>
        </w:rPr>
        <w:t>Отделно досие за всеки един сигнал за нередност, със съответния номер на сигнала;</w:t>
      </w:r>
    </w:p>
    <w:p w14:paraId="4257FECA" w14:textId="77777777" w:rsidR="00E82DB2" w:rsidRPr="001B0EA3" w:rsidRDefault="00E82DB2" w:rsidP="00046D61">
      <w:pPr>
        <w:pStyle w:val="ListParagraph"/>
        <w:numPr>
          <w:ilvl w:val="0"/>
          <w:numId w:val="171"/>
        </w:numPr>
        <w:tabs>
          <w:tab w:val="left" w:pos="1134"/>
        </w:tabs>
        <w:ind w:left="0" w:firstLine="851"/>
        <w:rPr>
          <w:szCs w:val="24"/>
        </w:rPr>
      </w:pPr>
      <w:r w:rsidRPr="001B0EA3">
        <w:rPr>
          <w:szCs w:val="24"/>
        </w:rPr>
        <w:t>Всички съотносими по сигнала документи – писма, становища, доклади, документи за плащания по проекта и др.;</w:t>
      </w:r>
    </w:p>
    <w:p w14:paraId="44D6576F" w14:textId="77777777" w:rsidR="00E82DB2" w:rsidRPr="001B0EA3" w:rsidRDefault="00332556" w:rsidP="00046D61">
      <w:pPr>
        <w:pStyle w:val="ListParagraph"/>
        <w:numPr>
          <w:ilvl w:val="0"/>
          <w:numId w:val="171"/>
        </w:numPr>
        <w:tabs>
          <w:tab w:val="left" w:pos="1134"/>
        </w:tabs>
        <w:ind w:left="0" w:firstLine="851"/>
        <w:rPr>
          <w:szCs w:val="24"/>
        </w:rPr>
      </w:pPr>
      <w:r w:rsidRPr="001B0EA3">
        <w:rPr>
          <w:szCs w:val="24"/>
        </w:rPr>
        <w:t>Решение</w:t>
      </w:r>
      <w:r w:rsidR="00E82DB2" w:rsidRPr="001B0EA3">
        <w:rPr>
          <w:szCs w:val="24"/>
        </w:rPr>
        <w:t xml:space="preserve"> от Ръководителя на УО за липсата на нередност;</w:t>
      </w:r>
    </w:p>
    <w:p w14:paraId="6DE5252C" w14:textId="77777777" w:rsidR="00590B70" w:rsidRPr="001B0EA3" w:rsidRDefault="00590B70" w:rsidP="00046D61">
      <w:pPr>
        <w:pStyle w:val="ListParagraph"/>
        <w:numPr>
          <w:ilvl w:val="0"/>
          <w:numId w:val="171"/>
        </w:numPr>
        <w:tabs>
          <w:tab w:val="left" w:pos="1134"/>
        </w:tabs>
        <w:ind w:left="0" w:firstLine="851"/>
        <w:rPr>
          <w:szCs w:val="24"/>
        </w:rPr>
      </w:pPr>
      <w:r w:rsidRPr="001B0EA3">
        <w:rPr>
          <w:szCs w:val="24"/>
        </w:rPr>
        <w:t>Решение за налагане на финансова корекция по чл. 73, ал. 1 от ЗУСЕСИФ;</w:t>
      </w:r>
    </w:p>
    <w:p w14:paraId="0ACFFFC0" w14:textId="77777777" w:rsidR="00E82DB2" w:rsidRPr="001B0EA3" w:rsidRDefault="00E82DB2" w:rsidP="00046D61">
      <w:pPr>
        <w:pStyle w:val="ListParagraph"/>
        <w:numPr>
          <w:ilvl w:val="0"/>
          <w:numId w:val="171"/>
        </w:numPr>
        <w:tabs>
          <w:tab w:val="left" w:pos="1134"/>
        </w:tabs>
        <w:ind w:left="0" w:firstLine="851"/>
        <w:rPr>
          <w:szCs w:val="24"/>
        </w:rPr>
      </w:pPr>
      <w:r w:rsidRPr="001B0EA3">
        <w:rPr>
          <w:szCs w:val="24"/>
        </w:rPr>
        <w:t>Регистър на нередностите по програмата, като всяка регистрирана нередност получава свой национален идентификационен номер (НИН);</w:t>
      </w:r>
    </w:p>
    <w:p w14:paraId="6893187A" w14:textId="77777777" w:rsidR="00E82DB2" w:rsidRPr="001B0EA3" w:rsidRDefault="00E82DB2" w:rsidP="00046D61">
      <w:pPr>
        <w:pStyle w:val="ListParagraph"/>
        <w:numPr>
          <w:ilvl w:val="0"/>
          <w:numId w:val="171"/>
        </w:numPr>
        <w:tabs>
          <w:tab w:val="left" w:pos="1134"/>
        </w:tabs>
        <w:ind w:left="0" w:firstLine="851"/>
        <w:rPr>
          <w:szCs w:val="24"/>
        </w:rPr>
      </w:pPr>
      <w:r w:rsidRPr="001B0EA3">
        <w:rPr>
          <w:szCs w:val="24"/>
        </w:rPr>
        <w:t>Оригинали на писма до Националната агенция по приходите (НАП) за принудително събиране на дължимите средства от бенефициентите, в случай, че не е налице доброволно възстановяване;</w:t>
      </w:r>
    </w:p>
    <w:p w14:paraId="6E1EF535" w14:textId="77777777" w:rsidR="00E82DB2" w:rsidRPr="001B0EA3" w:rsidRDefault="00E82DB2" w:rsidP="00046D61">
      <w:pPr>
        <w:pStyle w:val="ListParagraph"/>
        <w:numPr>
          <w:ilvl w:val="0"/>
          <w:numId w:val="171"/>
        </w:numPr>
        <w:tabs>
          <w:tab w:val="left" w:pos="1134"/>
        </w:tabs>
        <w:ind w:left="0" w:firstLine="851"/>
        <w:rPr>
          <w:szCs w:val="24"/>
        </w:rPr>
      </w:pPr>
      <w:r w:rsidRPr="001B0EA3">
        <w:rPr>
          <w:szCs w:val="24"/>
        </w:rPr>
        <w:lastRenderedPageBreak/>
        <w:t xml:space="preserve">Оригинали на </w:t>
      </w:r>
      <w:r w:rsidR="009614A1" w:rsidRPr="001B0EA3">
        <w:rPr>
          <w:szCs w:val="24"/>
        </w:rPr>
        <w:t>Решения</w:t>
      </w:r>
      <w:r w:rsidR="00FF4881" w:rsidRPr="001B0EA3">
        <w:rPr>
          <w:szCs w:val="24"/>
        </w:rPr>
        <w:t xml:space="preserve"> </w:t>
      </w:r>
      <w:r w:rsidRPr="001B0EA3">
        <w:rPr>
          <w:szCs w:val="24"/>
        </w:rPr>
        <w:t>за приключване на нередност;</w:t>
      </w:r>
    </w:p>
    <w:p w14:paraId="34B1D9E1" w14:textId="77777777" w:rsidR="00431A01" w:rsidRPr="001B0EA3" w:rsidRDefault="00431A01" w:rsidP="00046D61">
      <w:pPr>
        <w:pStyle w:val="ListParagraph"/>
        <w:numPr>
          <w:ilvl w:val="0"/>
          <w:numId w:val="171"/>
        </w:numPr>
        <w:tabs>
          <w:tab w:val="left" w:pos="1134"/>
        </w:tabs>
        <w:ind w:left="0" w:firstLine="851"/>
        <w:rPr>
          <w:szCs w:val="24"/>
        </w:rPr>
      </w:pPr>
      <w:r w:rsidRPr="001B0EA3">
        <w:rPr>
          <w:szCs w:val="24"/>
        </w:rPr>
        <w:t xml:space="preserve">Оригинали на </w:t>
      </w:r>
      <w:r w:rsidR="009614A1" w:rsidRPr="001B0EA3">
        <w:rPr>
          <w:szCs w:val="24"/>
        </w:rPr>
        <w:t xml:space="preserve">Решения </w:t>
      </w:r>
      <w:r w:rsidRPr="001B0EA3">
        <w:rPr>
          <w:szCs w:val="24"/>
        </w:rPr>
        <w:t>за въз</w:t>
      </w:r>
      <w:r w:rsidR="00101F8E" w:rsidRPr="001B0EA3">
        <w:rPr>
          <w:szCs w:val="24"/>
        </w:rPr>
        <w:t>обновяване</w:t>
      </w:r>
      <w:r w:rsidRPr="001B0EA3">
        <w:rPr>
          <w:szCs w:val="24"/>
        </w:rPr>
        <w:t xml:space="preserve"> на нередност, ако е приложимо.</w:t>
      </w:r>
    </w:p>
    <w:p w14:paraId="26006EAC" w14:textId="77777777" w:rsidR="00431A01" w:rsidRPr="001B0EA3" w:rsidRDefault="00431A01" w:rsidP="00046D61">
      <w:pPr>
        <w:tabs>
          <w:tab w:val="left" w:pos="1134"/>
        </w:tabs>
        <w:rPr>
          <w:szCs w:val="24"/>
        </w:rPr>
      </w:pPr>
    </w:p>
    <w:p w14:paraId="79A27F78" w14:textId="77777777" w:rsidR="00431A01" w:rsidRPr="001B0EA3" w:rsidRDefault="00101F8E" w:rsidP="00046D61">
      <w:pPr>
        <w:tabs>
          <w:tab w:val="left" w:pos="1134"/>
        </w:tabs>
        <w:rPr>
          <w:szCs w:val="24"/>
        </w:rPr>
      </w:pPr>
      <w:r w:rsidRPr="001B0EA3">
        <w:rPr>
          <w:szCs w:val="24"/>
        </w:rPr>
        <w:tab/>
      </w:r>
      <w:r w:rsidR="00431A01" w:rsidRPr="001B0EA3">
        <w:rPr>
          <w:szCs w:val="24"/>
        </w:rPr>
        <w:t>Посочените документи се съхраняват в електронен вариант в ИСУН 2020 и/или на хартиен носител.</w:t>
      </w:r>
    </w:p>
    <w:p w14:paraId="6A010744" w14:textId="77777777" w:rsidR="00E82DB2" w:rsidRPr="001B0EA3" w:rsidRDefault="00E82DB2" w:rsidP="00046D61">
      <w:pPr>
        <w:ind w:left="1080"/>
        <w:rPr>
          <w:szCs w:val="24"/>
          <w:lang w:eastAsia="fr-FR"/>
        </w:rPr>
      </w:pPr>
    </w:p>
    <w:p w14:paraId="4480B277" w14:textId="77777777" w:rsidR="00E82DB2" w:rsidRPr="001B0EA3" w:rsidRDefault="00E82DB2" w:rsidP="00046D61">
      <w:pPr>
        <w:pStyle w:val="ListParagraph"/>
        <w:numPr>
          <w:ilvl w:val="0"/>
          <w:numId w:val="105"/>
        </w:numPr>
        <w:spacing w:after="120"/>
        <w:rPr>
          <w:b/>
          <w:szCs w:val="24"/>
          <w:lang w:eastAsia="fr-FR"/>
        </w:rPr>
      </w:pPr>
      <w:r w:rsidRPr="001B0EA3">
        <w:rPr>
          <w:b/>
          <w:szCs w:val="24"/>
          <w:lang w:eastAsia="fr-FR"/>
        </w:rPr>
        <w:t xml:space="preserve">Документи по докладване на нередности </w:t>
      </w:r>
    </w:p>
    <w:p w14:paraId="184B5540" w14:textId="77777777" w:rsidR="00E82DB2" w:rsidRPr="001B0EA3" w:rsidRDefault="00E82DB2" w:rsidP="00046D61">
      <w:pPr>
        <w:pStyle w:val="ListParagraph"/>
        <w:numPr>
          <w:ilvl w:val="0"/>
          <w:numId w:val="171"/>
        </w:numPr>
        <w:tabs>
          <w:tab w:val="left" w:pos="1134"/>
        </w:tabs>
        <w:ind w:left="0" w:firstLine="851"/>
        <w:rPr>
          <w:szCs w:val="24"/>
        </w:rPr>
      </w:pPr>
      <w:r w:rsidRPr="001B0EA3">
        <w:rPr>
          <w:szCs w:val="24"/>
        </w:rPr>
        <w:t>Оригинали на декларации за липса на установени нередности, предоставени от бенефициентите;</w:t>
      </w:r>
    </w:p>
    <w:p w14:paraId="1D123FCF" w14:textId="77777777" w:rsidR="00E82DB2" w:rsidRPr="001B0EA3" w:rsidRDefault="00E82DB2" w:rsidP="00046D61">
      <w:pPr>
        <w:pStyle w:val="ListParagraph"/>
        <w:numPr>
          <w:ilvl w:val="0"/>
          <w:numId w:val="171"/>
        </w:numPr>
        <w:tabs>
          <w:tab w:val="left" w:pos="1134"/>
        </w:tabs>
        <w:ind w:left="0" w:firstLine="851"/>
        <w:rPr>
          <w:szCs w:val="24"/>
        </w:rPr>
      </w:pPr>
      <w:r w:rsidRPr="001B0EA3">
        <w:rPr>
          <w:szCs w:val="24"/>
        </w:rPr>
        <w:t>Оригинали на тримесечни уведомления от бенефициентите по програмата;</w:t>
      </w:r>
    </w:p>
    <w:p w14:paraId="6026AD95" w14:textId="77777777" w:rsidR="00101F8E" w:rsidRPr="001B0EA3" w:rsidRDefault="00101F8E" w:rsidP="0054623A">
      <w:pPr>
        <w:pStyle w:val="CommentText"/>
        <w:numPr>
          <w:ilvl w:val="0"/>
          <w:numId w:val="171"/>
        </w:numPr>
        <w:ind w:left="0" w:firstLine="851"/>
        <w:jc w:val="left"/>
        <w:rPr>
          <w:szCs w:val="24"/>
        </w:rPr>
      </w:pPr>
      <w:r w:rsidRPr="001B0EA3">
        <w:rPr>
          <w:szCs w:val="24"/>
        </w:rPr>
        <w:t xml:space="preserve">Доклади съдържащ информация за докладваните чрез ИСУН 2020 на тримесечие сигнали за нередности и </w:t>
      </w:r>
      <w:r w:rsidR="00FF4881" w:rsidRPr="001B0EA3">
        <w:rPr>
          <w:szCs w:val="24"/>
        </w:rPr>
        <w:t>нередности</w:t>
      </w:r>
    </w:p>
    <w:p w14:paraId="46DE0E9C" w14:textId="77777777" w:rsidR="00E82DB2" w:rsidRPr="001B0EA3" w:rsidRDefault="00E82DB2" w:rsidP="00125DAC">
      <w:pPr>
        <w:jc w:val="left"/>
        <w:rPr>
          <w:b/>
          <w:bCs/>
          <w:kern w:val="28"/>
          <w:szCs w:val="24"/>
          <w:lang w:eastAsia="bg-BG"/>
        </w:rPr>
      </w:pPr>
    </w:p>
    <w:p w14:paraId="4FE35C93" w14:textId="77777777" w:rsidR="00E82DB2" w:rsidRPr="001B0EA3" w:rsidRDefault="00E82DB2" w:rsidP="0054623A">
      <w:pPr>
        <w:pStyle w:val="ListParagraph"/>
        <w:numPr>
          <w:ilvl w:val="0"/>
          <w:numId w:val="105"/>
        </w:numPr>
        <w:jc w:val="left"/>
        <w:rPr>
          <w:b/>
          <w:bCs/>
          <w:kern w:val="28"/>
          <w:szCs w:val="24"/>
          <w:lang w:eastAsia="bg-BG"/>
        </w:rPr>
      </w:pPr>
      <w:r w:rsidRPr="001B0EA3">
        <w:rPr>
          <w:b/>
          <w:bCs/>
          <w:kern w:val="28"/>
          <w:szCs w:val="24"/>
          <w:lang w:eastAsia="bg-BG"/>
        </w:rPr>
        <w:t>Документи за управление на риска по програмата</w:t>
      </w:r>
    </w:p>
    <w:p w14:paraId="60634E70" w14:textId="77777777" w:rsidR="00E82DB2" w:rsidRPr="001B0EA3" w:rsidRDefault="00590B70" w:rsidP="0054623A">
      <w:pPr>
        <w:pStyle w:val="ListParagraph"/>
        <w:numPr>
          <w:ilvl w:val="0"/>
          <w:numId w:val="171"/>
        </w:numPr>
        <w:ind w:left="1134" w:hanging="283"/>
        <w:jc w:val="left"/>
        <w:rPr>
          <w:bCs/>
          <w:kern w:val="28"/>
          <w:szCs w:val="24"/>
          <w:lang w:eastAsia="bg-BG"/>
        </w:rPr>
      </w:pPr>
      <w:r w:rsidRPr="001B0EA3">
        <w:rPr>
          <w:bCs/>
          <w:kern w:val="28"/>
          <w:szCs w:val="24"/>
          <w:lang w:eastAsia="bg-BG"/>
        </w:rPr>
        <w:t>Регистър на рисковете на УО на ОПТТИ</w:t>
      </w:r>
    </w:p>
    <w:p w14:paraId="5CC51320" w14:textId="77777777" w:rsidR="00590B70" w:rsidRPr="001B0EA3" w:rsidRDefault="00CA1246" w:rsidP="0054623A">
      <w:pPr>
        <w:pStyle w:val="ListParagraph"/>
        <w:numPr>
          <w:ilvl w:val="0"/>
          <w:numId w:val="171"/>
        </w:numPr>
        <w:ind w:left="1134" w:hanging="283"/>
        <w:jc w:val="left"/>
        <w:rPr>
          <w:bCs/>
          <w:kern w:val="28"/>
          <w:szCs w:val="24"/>
          <w:lang w:eastAsia="bg-BG"/>
        </w:rPr>
      </w:pPr>
      <w:r w:rsidRPr="001B0EA3">
        <w:rPr>
          <w:bCs/>
          <w:kern w:val="28"/>
          <w:szCs w:val="24"/>
          <w:lang w:eastAsia="bg-BG"/>
        </w:rPr>
        <w:t>Документи от извършени</w:t>
      </w:r>
      <w:r w:rsidR="00590B70" w:rsidRPr="001B0EA3">
        <w:rPr>
          <w:bCs/>
          <w:kern w:val="28"/>
          <w:szCs w:val="24"/>
          <w:lang w:eastAsia="bg-BG"/>
        </w:rPr>
        <w:t xml:space="preserve"> самооценки </w:t>
      </w:r>
    </w:p>
    <w:p w14:paraId="0F7B96CF" w14:textId="77777777" w:rsidR="00590B70" w:rsidRPr="001B0EA3" w:rsidRDefault="00590B70" w:rsidP="0054623A">
      <w:pPr>
        <w:pStyle w:val="ListParagraph"/>
        <w:numPr>
          <w:ilvl w:val="0"/>
          <w:numId w:val="171"/>
        </w:numPr>
        <w:ind w:left="1134" w:hanging="283"/>
        <w:jc w:val="left"/>
        <w:rPr>
          <w:bCs/>
          <w:kern w:val="28"/>
          <w:szCs w:val="24"/>
          <w:lang w:eastAsia="bg-BG"/>
        </w:rPr>
      </w:pPr>
      <w:r w:rsidRPr="001B0EA3">
        <w:rPr>
          <w:bCs/>
          <w:kern w:val="28"/>
          <w:szCs w:val="24"/>
          <w:lang w:eastAsia="bg-BG"/>
        </w:rPr>
        <w:t>Декларации от служителите на УО и/или бенефициентите</w:t>
      </w:r>
    </w:p>
    <w:p w14:paraId="1355310F" w14:textId="77777777" w:rsidR="00590B70" w:rsidRDefault="00590B70" w:rsidP="0054623A">
      <w:pPr>
        <w:pStyle w:val="ListParagraph"/>
        <w:numPr>
          <w:ilvl w:val="0"/>
          <w:numId w:val="171"/>
        </w:numPr>
        <w:ind w:left="1134" w:hanging="283"/>
        <w:jc w:val="left"/>
        <w:rPr>
          <w:bCs/>
          <w:kern w:val="28"/>
          <w:szCs w:val="24"/>
          <w:lang w:eastAsia="bg-BG"/>
        </w:rPr>
      </w:pPr>
      <w:r w:rsidRPr="001B0EA3">
        <w:rPr>
          <w:bCs/>
          <w:kern w:val="28"/>
          <w:szCs w:val="24"/>
          <w:lang w:eastAsia="bg-BG"/>
        </w:rPr>
        <w:t xml:space="preserve">Доклади, писма и др. документи </w:t>
      </w:r>
    </w:p>
    <w:p w14:paraId="4647C638" w14:textId="77777777" w:rsidR="00876AED" w:rsidRDefault="00876AED" w:rsidP="00876AED">
      <w:pPr>
        <w:jc w:val="left"/>
        <w:rPr>
          <w:bCs/>
          <w:kern w:val="28"/>
          <w:szCs w:val="24"/>
          <w:lang w:eastAsia="bg-BG"/>
        </w:rPr>
      </w:pPr>
    </w:p>
    <w:p w14:paraId="4A8C2DE8" w14:textId="77777777" w:rsidR="007814F5" w:rsidRDefault="007814F5" w:rsidP="007814F5">
      <w:pPr>
        <w:jc w:val="left"/>
        <w:rPr>
          <w:bCs/>
          <w:kern w:val="28"/>
          <w:szCs w:val="24"/>
          <w:lang w:eastAsia="bg-BG"/>
        </w:rPr>
      </w:pPr>
    </w:p>
    <w:p w14:paraId="7EC9F5C5" w14:textId="77777777" w:rsidR="007814F5" w:rsidRPr="00876AED" w:rsidRDefault="007814F5" w:rsidP="007814F5">
      <w:pPr>
        <w:pStyle w:val="ListParagraph"/>
        <w:numPr>
          <w:ilvl w:val="0"/>
          <w:numId w:val="105"/>
        </w:numPr>
        <w:jc w:val="left"/>
        <w:rPr>
          <w:b/>
          <w:bCs/>
          <w:kern w:val="28"/>
          <w:szCs w:val="24"/>
          <w:lang w:eastAsia="bg-BG"/>
        </w:rPr>
      </w:pPr>
      <w:r w:rsidRPr="00876AED">
        <w:rPr>
          <w:b/>
          <w:bCs/>
          <w:kern w:val="28"/>
          <w:szCs w:val="24"/>
          <w:lang w:eastAsia="bg-BG"/>
        </w:rPr>
        <w:t>Одитни доклади, свързани с изпълнението на ОПТТИ</w:t>
      </w:r>
    </w:p>
    <w:p w14:paraId="24E67443" w14:textId="77777777" w:rsidR="007814F5" w:rsidRPr="00876AED" w:rsidRDefault="007814F5" w:rsidP="007814F5">
      <w:pPr>
        <w:pStyle w:val="ListParagraph"/>
        <w:numPr>
          <w:ilvl w:val="0"/>
          <w:numId w:val="171"/>
        </w:numPr>
        <w:ind w:left="1134" w:hanging="283"/>
        <w:jc w:val="left"/>
        <w:rPr>
          <w:bCs/>
          <w:kern w:val="28"/>
          <w:szCs w:val="24"/>
          <w:lang w:eastAsia="bg-BG"/>
        </w:rPr>
      </w:pPr>
      <w:r w:rsidRPr="00876AED">
        <w:rPr>
          <w:bCs/>
          <w:kern w:val="28"/>
          <w:szCs w:val="24"/>
          <w:lang w:eastAsia="bg-BG"/>
        </w:rPr>
        <w:t>Одитни доклади от извършени одити (от наци</w:t>
      </w:r>
      <w:r>
        <w:rPr>
          <w:bCs/>
          <w:kern w:val="28"/>
          <w:szCs w:val="24"/>
          <w:lang w:eastAsia="bg-BG"/>
        </w:rPr>
        <w:t>онални и европейски институции)</w:t>
      </w:r>
      <w:r w:rsidRPr="00876AED">
        <w:rPr>
          <w:bCs/>
          <w:kern w:val="28"/>
          <w:szCs w:val="24"/>
          <w:lang w:eastAsia="bg-BG"/>
        </w:rPr>
        <w:t xml:space="preserve"> </w:t>
      </w:r>
    </w:p>
    <w:p w14:paraId="3807052F" w14:textId="77777777" w:rsidR="007814F5" w:rsidRPr="00876AED" w:rsidRDefault="007814F5" w:rsidP="007814F5">
      <w:pPr>
        <w:pStyle w:val="ListParagraph"/>
        <w:numPr>
          <w:ilvl w:val="0"/>
          <w:numId w:val="171"/>
        </w:numPr>
        <w:ind w:left="1134" w:hanging="283"/>
        <w:jc w:val="left"/>
        <w:rPr>
          <w:bCs/>
          <w:kern w:val="28"/>
          <w:szCs w:val="24"/>
          <w:lang w:eastAsia="bg-BG"/>
        </w:rPr>
      </w:pPr>
      <w:r w:rsidRPr="00876AED">
        <w:rPr>
          <w:bCs/>
          <w:kern w:val="28"/>
          <w:szCs w:val="24"/>
          <w:lang w:eastAsia="bg-BG"/>
        </w:rPr>
        <w:t>Планове за изпълнение н</w:t>
      </w:r>
      <w:r>
        <w:rPr>
          <w:bCs/>
          <w:kern w:val="28"/>
          <w:szCs w:val="24"/>
          <w:lang w:eastAsia="bg-BG"/>
        </w:rPr>
        <w:t>а препоръки от одитните доклади</w:t>
      </w:r>
    </w:p>
    <w:p w14:paraId="005EA38F" w14:textId="77777777" w:rsidR="007814F5" w:rsidRPr="00876AED" w:rsidRDefault="007814F5" w:rsidP="007814F5">
      <w:pPr>
        <w:pStyle w:val="ListParagraph"/>
        <w:numPr>
          <w:ilvl w:val="0"/>
          <w:numId w:val="171"/>
        </w:numPr>
        <w:ind w:left="1134" w:hanging="283"/>
        <w:jc w:val="left"/>
        <w:rPr>
          <w:bCs/>
          <w:kern w:val="28"/>
          <w:szCs w:val="24"/>
          <w:lang w:eastAsia="bg-BG"/>
        </w:rPr>
      </w:pPr>
      <w:r w:rsidRPr="00876AED">
        <w:rPr>
          <w:bCs/>
          <w:kern w:val="28"/>
          <w:szCs w:val="24"/>
          <w:lang w:eastAsia="bg-BG"/>
        </w:rPr>
        <w:t>Справки за предприети действия във връзка с дадени</w:t>
      </w:r>
      <w:r>
        <w:rPr>
          <w:bCs/>
          <w:kern w:val="28"/>
          <w:szCs w:val="24"/>
          <w:lang w:eastAsia="bg-BG"/>
        </w:rPr>
        <w:t>те препоръки в одитните доклади</w:t>
      </w:r>
    </w:p>
    <w:p w14:paraId="49B5635D" w14:textId="77777777" w:rsidR="007814F5" w:rsidRPr="001B0EA3" w:rsidRDefault="007814F5" w:rsidP="007814F5">
      <w:pPr>
        <w:jc w:val="left"/>
        <w:rPr>
          <w:b/>
          <w:bCs/>
          <w:kern w:val="28"/>
          <w:szCs w:val="24"/>
          <w:highlight w:val="red"/>
          <w:lang w:eastAsia="bg-BG"/>
        </w:rPr>
      </w:pPr>
    </w:p>
    <w:p w14:paraId="4EB1CC64" w14:textId="77777777" w:rsidR="00B96494" w:rsidRDefault="00B96494">
      <w:pPr>
        <w:jc w:val="left"/>
        <w:rPr>
          <w:b/>
          <w:bCs/>
          <w:kern w:val="28"/>
          <w:szCs w:val="24"/>
          <w:highlight w:val="red"/>
          <w:lang w:eastAsia="bg-BG"/>
        </w:rPr>
      </w:pPr>
      <w:r>
        <w:rPr>
          <w:b/>
          <w:bCs/>
          <w:kern w:val="28"/>
          <w:szCs w:val="24"/>
          <w:highlight w:val="red"/>
          <w:lang w:eastAsia="bg-BG"/>
        </w:rPr>
        <w:br w:type="page"/>
      </w:r>
    </w:p>
    <w:p w14:paraId="15FAE5E2" w14:textId="77777777" w:rsidR="009E1B42" w:rsidRPr="001B0EA3" w:rsidRDefault="00D075BF" w:rsidP="00046D61">
      <w:pPr>
        <w:pStyle w:val="Title"/>
        <w:spacing w:after="240"/>
        <w:ind w:firstLine="0"/>
        <w:jc w:val="center"/>
        <w:rPr>
          <w:rFonts w:ascii="Times New Roman" w:hAnsi="Times New Roman"/>
          <w:sz w:val="24"/>
          <w:szCs w:val="24"/>
          <w:lang w:eastAsia="bg-BG"/>
        </w:rPr>
      </w:pPr>
      <w:bookmarkStart w:id="1270" w:name="_Toc479775798"/>
      <w:bookmarkStart w:id="1271" w:name="_Toc140150289"/>
      <w:r>
        <w:rPr>
          <w:rFonts w:ascii="Times New Roman" w:hAnsi="Times New Roman"/>
          <w:sz w:val="24"/>
          <w:szCs w:val="24"/>
          <w:lang w:eastAsia="bg-BG"/>
        </w:rPr>
        <w:lastRenderedPageBreak/>
        <w:t>ГЛАВА 8</w:t>
      </w:r>
      <w:r w:rsidR="008249B0" w:rsidRPr="001B0EA3">
        <w:rPr>
          <w:rFonts w:ascii="Times New Roman" w:hAnsi="Times New Roman"/>
          <w:sz w:val="24"/>
          <w:szCs w:val="24"/>
          <w:lang w:eastAsia="bg-BG"/>
        </w:rPr>
        <w:br/>
        <w:t>УПРАВЛЕНИЕ НА РИСКА</w:t>
      </w:r>
      <w:bookmarkEnd w:id="1270"/>
      <w:bookmarkEnd w:id="1271"/>
    </w:p>
    <w:p w14:paraId="5551C280" w14:textId="77777777" w:rsidR="001F4379" w:rsidRPr="00A110A4" w:rsidRDefault="001F4379" w:rsidP="00F058E0">
      <w:pPr>
        <w:pStyle w:val="Style1"/>
      </w:pPr>
      <w:bookmarkStart w:id="1272" w:name="_Toc479775355"/>
      <w:bookmarkStart w:id="1273" w:name="_Toc479775799"/>
      <w:bookmarkStart w:id="1274" w:name="_Toc140150290"/>
      <w:bookmarkEnd w:id="1272"/>
      <w:r w:rsidRPr="001B0EA3">
        <w:t>УПРАВЛЕНИЕ НА РИСКА</w:t>
      </w:r>
      <w:bookmarkEnd w:id="1273"/>
      <w:bookmarkEnd w:id="1274"/>
    </w:p>
    <w:p w14:paraId="3C9F9991" w14:textId="77777777" w:rsidR="006F3B24" w:rsidRPr="001B0EA3" w:rsidRDefault="00A9676B" w:rsidP="00B502C7">
      <w:pPr>
        <w:pStyle w:val="Style2"/>
        <w:rPr>
          <w:lang w:eastAsia="bg-BG"/>
        </w:rPr>
      </w:pPr>
      <w:bookmarkStart w:id="1275" w:name="_Toc479775800"/>
      <w:bookmarkStart w:id="1276" w:name="_Toc140150291"/>
      <w:r w:rsidRPr="001B0EA3">
        <w:t>Въведение</w:t>
      </w:r>
      <w:bookmarkEnd w:id="1275"/>
      <w:bookmarkEnd w:id="1276"/>
      <w:r w:rsidR="006F3B24" w:rsidRPr="001B0EA3">
        <w:rPr>
          <w:lang w:eastAsia="bg-BG"/>
        </w:rPr>
        <w:t xml:space="preserve"> </w:t>
      </w:r>
    </w:p>
    <w:p w14:paraId="51D32D2F" w14:textId="77777777" w:rsidR="00377FAB" w:rsidRPr="001B0EA3" w:rsidRDefault="00377FAB" w:rsidP="00125DAC">
      <w:pPr>
        <w:pStyle w:val="ListParagraph"/>
        <w:ind w:left="0"/>
        <w:rPr>
          <w:szCs w:val="24"/>
        </w:rPr>
      </w:pPr>
      <w:r w:rsidRPr="001B0EA3">
        <w:rPr>
          <w:szCs w:val="24"/>
        </w:rPr>
        <w:t>Както е уточнено в СУК, рискът на ниво „проект” се управлява от бенефициентите, а рискът на ниво „оперативна програма” се управлява от УО на ОПТТИ в съответствие с възприетите процедури, като основният акцент е върху борбата с риска от измама. В тази връзка по-долу са разгледани последователно :</w:t>
      </w:r>
    </w:p>
    <w:p w14:paraId="2D79584A" w14:textId="77777777" w:rsidR="00377FAB" w:rsidRPr="001B0EA3" w:rsidRDefault="00377FAB" w:rsidP="0054623A">
      <w:pPr>
        <w:pStyle w:val="ListParagraph"/>
        <w:numPr>
          <w:ilvl w:val="0"/>
          <w:numId w:val="171"/>
        </w:numPr>
        <w:rPr>
          <w:szCs w:val="24"/>
        </w:rPr>
      </w:pPr>
      <w:r w:rsidRPr="001B0EA3">
        <w:rPr>
          <w:szCs w:val="24"/>
        </w:rPr>
        <w:t>т.30.2 до т. 30.</w:t>
      </w:r>
      <w:r w:rsidR="00185106" w:rsidRPr="001B0EA3">
        <w:rPr>
          <w:szCs w:val="24"/>
        </w:rPr>
        <w:t>7</w:t>
      </w:r>
      <w:r w:rsidRPr="001B0EA3">
        <w:rPr>
          <w:szCs w:val="24"/>
        </w:rPr>
        <w:t xml:space="preserve"> – Общ процес за управление на риска на ОП ТТИ</w:t>
      </w:r>
    </w:p>
    <w:p w14:paraId="233CDE29" w14:textId="77777777" w:rsidR="00377FAB" w:rsidRPr="001B0EA3" w:rsidRDefault="00377FAB" w:rsidP="0054623A">
      <w:pPr>
        <w:pStyle w:val="ListParagraph"/>
        <w:numPr>
          <w:ilvl w:val="0"/>
          <w:numId w:val="171"/>
        </w:numPr>
        <w:rPr>
          <w:szCs w:val="24"/>
          <w:lang w:eastAsia="bg-BG"/>
        </w:rPr>
      </w:pPr>
      <w:r w:rsidRPr="001B0EA3">
        <w:rPr>
          <w:szCs w:val="24"/>
        </w:rPr>
        <w:t>т. 30.</w:t>
      </w:r>
      <w:r w:rsidR="00185106" w:rsidRPr="001B0EA3">
        <w:rPr>
          <w:szCs w:val="24"/>
        </w:rPr>
        <w:t>8</w:t>
      </w:r>
      <w:r w:rsidRPr="001B0EA3">
        <w:rPr>
          <w:szCs w:val="24"/>
        </w:rPr>
        <w:t xml:space="preserve"> до т. 30.1</w:t>
      </w:r>
      <w:r w:rsidR="002464F0" w:rsidRPr="001B0EA3">
        <w:rPr>
          <w:szCs w:val="24"/>
        </w:rPr>
        <w:t>2</w:t>
      </w:r>
      <w:r w:rsidRPr="001B0EA3">
        <w:rPr>
          <w:szCs w:val="24"/>
        </w:rPr>
        <w:t xml:space="preserve"> - мерките за управление на риска от измама, които са базират изцяло на Guidance Note on Fraud Risk Assesment and Effective and Proportionate Anti Fraud Measures 2013 Ref. Ares (2013)3769073 - 19/12/2013 на ГД „Регионална и урбанистична политика“ на ЕК.</w:t>
      </w:r>
      <w:r w:rsidRPr="001B0EA3">
        <w:rPr>
          <w:szCs w:val="24"/>
          <w:lang w:eastAsia="bg-BG"/>
        </w:rPr>
        <w:t>т. 30.8 до т. 30.13 – общият процес за управление на риска по ОП „Транспорт и транспортна инфраструктура“</w:t>
      </w:r>
    </w:p>
    <w:p w14:paraId="7123851C" w14:textId="77777777" w:rsidR="00A9676B" w:rsidRPr="001B0EA3" w:rsidRDefault="00377FAB" w:rsidP="0054623A">
      <w:pPr>
        <w:pStyle w:val="ListParagraph"/>
        <w:numPr>
          <w:ilvl w:val="0"/>
          <w:numId w:val="171"/>
        </w:numPr>
        <w:rPr>
          <w:szCs w:val="24"/>
          <w:lang w:eastAsia="bg-BG"/>
        </w:rPr>
      </w:pPr>
      <w:r w:rsidRPr="001B0EA3">
        <w:rPr>
          <w:szCs w:val="24"/>
          <w:lang w:eastAsia="bg-BG"/>
        </w:rPr>
        <w:t>т. 30.1</w:t>
      </w:r>
      <w:r w:rsidR="002464F0" w:rsidRPr="001B0EA3">
        <w:rPr>
          <w:szCs w:val="24"/>
          <w:lang w:eastAsia="bg-BG"/>
        </w:rPr>
        <w:t>3</w:t>
      </w:r>
      <w:r w:rsidRPr="001B0EA3">
        <w:rPr>
          <w:szCs w:val="24"/>
          <w:lang w:eastAsia="bg-BG"/>
        </w:rPr>
        <w:t>. – намеренията на УО за развитие на процеса на управление на риска по ОПТТИ.</w:t>
      </w:r>
    </w:p>
    <w:p w14:paraId="7AB6888A" w14:textId="77777777" w:rsidR="006F3B24" w:rsidRPr="001B0EA3" w:rsidRDefault="006F3B24" w:rsidP="00046D61">
      <w:pPr>
        <w:rPr>
          <w:szCs w:val="24"/>
          <w:lang w:eastAsia="bg-BG"/>
        </w:rPr>
      </w:pPr>
    </w:p>
    <w:p w14:paraId="47A122A0" w14:textId="77777777" w:rsidR="00257048" w:rsidRPr="001B0EA3" w:rsidRDefault="00377FAB" w:rsidP="00B502C7">
      <w:pPr>
        <w:pStyle w:val="Style2"/>
        <w:rPr>
          <w:lang w:eastAsia="bg-BG"/>
        </w:rPr>
      </w:pPr>
      <w:bookmarkStart w:id="1277" w:name="_Toc479775801"/>
      <w:bookmarkStart w:id="1278" w:name="_Toc140150292"/>
      <w:r w:rsidRPr="001B0EA3">
        <w:t>Дефиниции</w:t>
      </w:r>
      <w:bookmarkEnd w:id="1277"/>
      <w:bookmarkEnd w:id="1278"/>
      <w:r w:rsidR="00257048" w:rsidRPr="001B0EA3">
        <w:rPr>
          <w:lang w:eastAsia="bg-BG"/>
        </w:rPr>
        <w:t xml:space="preserve"> </w:t>
      </w:r>
    </w:p>
    <w:p w14:paraId="0BBA1DC8" w14:textId="77777777" w:rsidR="00377FAB" w:rsidRPr="001B0EA3" w:rsidRDefault="00377FAB" w:rsidP="00125DAC">
      <w:pPr>
        <w:pStyle w:val="ListParagraph"/>
        <w:ind w:left="0" w:firstLine="567"/>
        <w:rPr>
          <w:i/>
          <w:color w:val="000000"/>
          <w:szCs w:val="24"/>
          <w:lang w:eastAsia="en-US"/>
        </w:rPr>
      </w:pPr>
      <w:bookmarkStart w:id="1279" w:name="_Toc249326092"/>
      <w:bookmarkEnd w:id="1279"/>
      <w:r w:rsidRPr="001B0EA3">
        <w:rPr>
          <w:i/>
          <w:color w:val="000000"/>
          <w:szCs w:val="24"/>
          <w:lang w:eastAsia="en-US"/>
        </w:rPr>
        <w:t xml:space="preserve">а) Управление на риска е дейността по систематично прилагане на процедури с цел идентифициране и оценяване на рискове, и след това планиране и реализиране на отговори на тези рискове.  </w:t>
      </w:r>
    </w:p>
    <w:p w14:paraId="7E154A55" w14:textId="77777777" w:rsidR="00377FAB" w:rsidRPr="001B0EA3" w:rsidRDefault="00377FAB" w:rsidP="00125DAC">
      <w:pPr>
        <w:spacing w:before="120"/>
        <w:ind w:firstLine="567"/>
        <w:rPr>
          <w:color w:val="000000"/>
          <w:szCs w:val="24"/>
          <w:lang w:eastAsia="en-US"/>
        </w:rPr>
      </w:pPr>
      <w:r w:rsidRPr="001B0EA3">
        <w:rPr>
          <w:i/>
          <w:color w:val="000000"/>
          <w:szCs w:val="24"/>
          <w:lang w:eastAsia="en-US"/>
        </w:rPr>
        <w:t>Управлението на риска включва идентифициране, оценяване и контролиране на потенциални събития или ситуации, които могат да повлияят негативно върху постигане целите на организацията, и е предназначено да даде разумна увереност, че целите ще бъдат постигнати.</w:t>
      </w:r>
    </w:p>
    <w:p w14:paraId="11D1A66D" w14:textId="77777777" w:rsidR="00E0240F" w:rsidRPr="001B0EA3" w:rsidRDefault="00E0240F" w:rsidP="00125DAC">
      <w:pPr>
        <w:pStyle w:val="ListParagraph"/>
        <w:ind w:left="0" w:firstLine="567"/>
        <w:rPr>
          <w:color w:val="000000"/>
          <w:szCs w:val="24"/>
          <w:lang w:eastAsia="en-US"/>
        </w:rPr>
      </w:pPr>
      <w:bookmarkStart w:id="1280" w:name="_Toc249326093"/>
    </w:p>
    <w:p w14:paraId="32EA6DB4" w14:textId="77777777" w:rsidR="00377FAB" w:rsidRPr="001B0EA3" w:rsidRDefault="00377FAB" w:rsidP="00125DAC">
      <w:pPr>
        <w:pStyle w:val="ListParagraph"/>
        <w:ind w:left="0" w:firstLine="567"/>
        <w:rPr>
          <w:color w:val="000000"/>
          <w:szCs w:val="24"/>
          <w:lang w:eastAsia="en-US"/>
        </w:rPr>
      </w:pPr>
      <w:r w:rsidRPr="001B0EA3">
        <w:rPr>
          <w:color w:val="000000"/>
          <w:szCs w:val="24"/>
          <w:lang w:eastAsia="en-US"/>
        </w:rPr>
        <w:t>б) Риск</w:t>
      </w:r>
      <w:bookmarkEnd w:id="1280"/>
    </w:p>
    <w:p w14:paraId="667F5E84" w14:textId="77777777" w:rsidR="00377FAB" w:rsidRPr="001B0EA3" w:rsidRDefault="00377FAB" w:rsidP="00125DAC">
      <w:pPr>
        <w:spacing w:after="200" w:line="276" w:lineRule="auto"/>
        <w:ind w:firstLine="567"/>
        <w:rPr>
          <w:i/>
          <w:color w:val="000000"/>
          <w:szCs w:val="24"/>
          <w:lang w:eastAsia="en-US"/>
        </w:rPr>
      </w:pPr>
      <w:r w:rsidRPr="001B0EA3">
        <w:rPr>
          <w:i/>
          <w:color w:val="000000"/>
          <w:szCs w:val="24"/>
          <w:lang w:eastAsia="en-US"/>
        </w:rPr>
        <w:t>"Риск" е събитие, което ще повлияе върху постигане на целите на организацията. Рискът се измерва с неговия ефект и с вероятността от настъпването му.</w:t>
      </w:r>
    </w:p>
    <w:p w14:paraId="3F59DCC6" w14:textId="77777777" w:rsidR="00377FAB" w:rsidRPr="001B0EA3" w:rsidRDefault="00377FAB" w:rsidP="00125DAC">
      <w:pPr>
        <w:spacing w:after="200" w:line="276" w:lineRule="auto"/>
        <w:ind w:firstLine="567"/>
        <w:rPr>
          <w:i/>
          <w:color w:val="000000"/>
          <w:szCs w:val="24"/>
          <w:lang w:eastAsia="en-US"/>
        </w:rPr>
      </w:pPr>
      <w:r w:rsidRPr="001B0EA3">
        <w:rPr>
          <w:i/>
          <w:color w:val="000000"/>
          <w:szCs w:val="24"/>
          <w:lang w:eastAsia="en-US"/>
        </w:rPr>
        <w:t>Събитие, което може да има отрицателно влияние върху постигането на целите на организацията е заплаха.</w:t>
      </w:r>
    </w:p>
    <w:p w14:paraId="75776434" w14:textId="77777777" w:rsidR="00377FAB" w:rsidRPr="001B0EA3" w:rsidRDefault="00377FAB" w:rsidP="00125DAC">
      <w:pPr>
        <w:spacing w:after="200" w:line="276" w:lineRule="auto"/>
        <w:ind w:firstLine="567"/>
        <w:rPr>
          <w:i/>
          <w:color w:val="000000"/>
          <w:szCs w:val="24"/>
          <w:lang w:eastAsia="en-US"/>
        </w:rPr>
      </w:pPr>
      <w:r w:rsidRPr="001B0EA3">
        <w:rPr>
          <w:i/>
          <w:color w:val="000000"/>
          <w:szCs w:val="24"/>
          <w:lang w:eastAsia="en-US"/>
        </w:rPr>
        <w:t xml:space="preserve">Събитие, което може да има положителен ефект върху постигането на целите на организацията е възможност. </w:t>
      </w:r>
    </w:p>
    <w:p w14:paraId="004C1BA7" w14:textId="77777777" w:rsidR="00377FAB" w:rsidRPr="001B0EA3" w:rsidRDefault="00377FAB" w:rsidP="00125DAC">
      <w:pPr>
        <w:pStyle w:val="ListParagraph"/>
        <w:ind w:left="0" w:firstLine="567"/>
        <w:rPr>
          <w:b/>
          <w:color w:val="000000"/>
          <w:szCs w:val="24"/>
          <w:lang w:eastAsia="en-US"/>
        </w:rPr>
      </w:pPr>
      <w:bookmarkStart w:id="1281" w:name="_Toc249326094"/>
      <w:bookmarkEnd w:id="1281"/>
      <w:r w:rsidRPr="001B0EA3">
        <w:rPr>
          <w:color w:val="000000"/>
          <w:szCs w:val="24"/>
          <w:lang w:eastAsia="en-US"/>
        </w:rPr>
        <w:t xml:space="preserve">в) Риск - апетит </w:t>
      </w:r>
    </w:p>
    <w:p w14:paraId="02CD736B" w14:textId="77777777" w:rsidR="00377FAB" w:rsidRPr="001B0EA3" w:rsidRDefault="00377FAB" w:rsidP="00125DAC">
      <w:pPr>
        <w:spacing w:before="120"/>
        <w:ind w:firstLine="567"/>
        <w:rPr>
          <w:i/>
          <w:color w:val="000000"/>
          <w:szCs w:val="24"/>
          <w:lang w:eastAsia="en-US"/>
        </w:rPr>
      </w:pPr>
      <w:r w:rsidRPr="001B0EA3">
        <w:rPr>
          <w:i/>
          <w:color w:val="000000"/>
          <w:szCs w:val="24"/>
          <w:lang w:eastAsia="en-US"/>
        </w:rPr>
        <w:t xml:space="preserve">Нивото на риска, което може да бъде прието, без да бъде застрашено постигането на стратегическите и оперативните цели на Управляващия орган на ОП ТТИ. </w:t>
      </w:r>
    </w:p>
    <w:p w14:paraId="1ED1879F" w14:textId="77777777" w:rsidR="00377FAB" w:rsidRPr="001B0EA3" w:rsidRDefault="00377FAB" w:rsidP="00125DAC">
      <w:pPr>
        <w:spacing w:before="120"/>
        <w:ind w:firstLine="567"/>
        <w:rPr>
          <w:color w:val="000000"/>
          <w:szCs w:val="24"/>
          <w:lang w:eastAsia="en-US"/>
        </w:rPr>
      </w:pPr>
      <w:r w:rsidRPr="001B0EA3">
        <w:rPr>
          <w:color w:val="000000"/>
          <w:szCs w:val="24"/>
          <w:lang w:eastAsia="en-US"/>
        </w:rPr>
        <w:t xml:space="preserve">г) Собственик на риска </w:t>
      </w:r>
    </w:p>
    <w:p w14:paraId="674CA601" w14:textId="77777777" w:rsidR="00027E5F" w:rsidRPr="001B0EA3" w:rsidRDefault="00027E5F" w:rsidP="00125DAC">
      <w:pPr>
        <w:spacing w:before="120"/>
        <w:ind w:firstLine="567"/>
        <w:rPr>
          <w:i/>
          <w:iCs/>
          <w:szCs w:val="24"/>
          <w:lang w:eastAsia="en-US"/>
        </w:rPr>
      </w:pPr>
      <w:r w:rsidRPr="001B0EA3">
        <w:rPr>
          <w:i/>
          <w:iCs/>
          <w:szCs w:val="24"/>
          <w:lang w:eastAsia="en-US"/>
        </w:rPr>
        <w:t xml:space="preserve">Конкретно лице, което е отговорно* за управлението, мониторинга и контрола на всички аспекти на определен риск, който му е бил възложен, включително изпълнението на избраните отговори/контроли за намаляване на заплахите  или за максимизиране на възможностите. </w:t>
      </w:r>
    </w:p>
    <w:p w14:paraId="02896AB7" w14:textId="77777777" w:rsidR="00027E5F" w:rsidRPr="001B0EA3" w:rsidRDefault="00027E5F" w:rsidP="00125DAC">
      <w:pPr>
        <w:spacing w:before="120"/>
        <w:ind w:firstLine="567"/>
        <w:rPr>
          <w:i/>
          <w:iCs/>
          <w:szCs w:val="24"/>
          <w:highlight w:val="yellow"/>
          <w:lang w:eastAsia="en-US"/>
        </w:rPr>
      </w:pPr>
      <w:r w:rsidRPr="001B0EA3">
        <w:rPr>
          <w:i/>
          <w:iCs/>
          <w:szCs w:val="24"/>
          <w:lang w:eastAsia="en-US"/>
        </w:rPr>
        <w:t xml:space="preserve">За собственик на риска се определя лицето което в най-голяма степен разполага с възможността да управлява съответния риск. </w:t>
      </w:r>
    </w:p>
    <w:p w14:paraId="6CCFB150" w14:textId="77777777" w:rsidR="00440021" w:rsidRPr="001B0EA3" w:rsidRDefault="00027E5F" w:rsidP="00125DAC">
      <w:pPr>
        <w:spacing w:before="120"/>
        <w:ind w:firstLine="567"/>
        <w:rPr>
          <w:color w:val="000000"/>
          <w:sz w:val="18"/>
          <w:szCs w:val="18"/>
          <w:lang w:eastAsia="en-US"/>
        </w:rPr>
      </w:pPr>
      <w:r w:rsidRPr="001B0EA3">
        <w:rPr>
          <w:szCs w:val="24"/>
          <w:lang w:eastAsia="en-US"/>
        </w:rPr>
        <w:lastRenderedPageBreak/>
        <w:t>*- Обхватът на отговорността и специфичните дейности варират в зависимост от източника /външен или вътрешен за УО/ и естеството на конкретния риск.</w:t>
      </w:r>
      <w:r w:rsidR="00440021" w:rsidRPr="001B0EA3">
        <w:rPr>
          <w:szCs w:val="24"/>
          <w:lang w:eastAsia="en-US"/>
        </w:rPr>
        <w:t xml:space="preserve"> Съгласно чл.  7, ал.1, т.2 на Закона за финансовото управление и контрол в публичния сектор ръководителите на организациите отговарят за идентифицирането, оценката и управлението на рисковете, застрашаващи постигането на целите на организациите;</w:t>
      </w:r>
    </w:p>
    <w:p w14:paraId="76D24B2A" w14:textId="77777777" w:rsidR="00377FAB" w:rsidRPr="001B0EA3" w:rsidRDefault="00377FAB" w:rsidP="00125DAC">
      <w:pPr>
        <w:spacing w:before="120"/>
        <w:ind w:firstLine="567"/>
        <w:rPr>
          <w:szCs w:val="24"/>
          <w:lang w:eastAsia="en-US"/>
        </w:rPr>
      </w:pPr>
      <w:r w:rsidRPr="001B0EA3">
        <w:rPr>
          <w:szCs w:val="24"/>
          <w:lang w:eastAsia="en-US"/>
        </w:rPr>
        <w:t xml:space="preserve">д)  Отговорник за изпълнение на дейност по управление на риска </w:t>
      </w:r>
    </w:p>
    <w:p w14:paraId="7C9A79D3" w14:textId="77777777" w:rsidR="00344681" w:rsidRPr="001B0EA3" w:rsidRDefault="00377FAB" w:rsidP="00125DAC">
      <w:pPr>
        <w:autoSpaceDE w:val="0"/>
        <w:autoSpaceDN w:val="0"/>
        <w:adjustRightInd w:val="0"/>
        <w:ind w:firstLine="567"/>
        <w:rPr>
          <w:b/>
          <w:szCs w:val="24"/>
        </w:rPr>
      </w:pPr>
      <w:r w:rsidRPr="001B0EA3">
        <w:rPr>
          <w:i/>
          <w:szCs w:val="24"/>
          <w:lang w:eastAsia="en-US"/>
        </w:rPr>
        <w:t>Лице, на което му е възложено да изпълни определена дейност/и в отговор на определен риск или набор от рискове. Това лице подпомага собственика на риска</w:t>
      </w:r>
      <w:r w:rsidRPr="001B0EA3">
        <w:rPr>
          <w:i/>
          <w:szCs w:val="24"/>
          <w:lang w:eastAsia="en-US"/>
        </w:rPr>
        <w:t></w:t>
      </w:r>
      <w:r w:rsidRPr="001B0EA3">
        <w:rPr>
          <w:i/>
          <w:szCs w:val="24"/>
          <w:lang w:eastAsia="en-US"/>
        </w:rPr>
        <w:t>като при изпълнението на възложените му задачи изпълнява неговите указания.</w:t>
      </w:r>
    </w:p>
    <w:p w14:paraId="4D407F53" w14:textId="77777777" w:rsidR="00131889" w:rsidRPr="001B0EA3" w:rsidRDefault="00131889" w:rsidP="00046D61">
      <w:pPr>
        <w:rPr>
          <w:b/>
          <w:szCs w:val="24"/>
          <w:lang w:eastAsia="bg-BG"/>
        </w:rPr>
      </w:pPr>
    </w:p>
    <w:p w14:paraId="3E616DBE" w14:textId="77777777" w:rsidR="00131889" w:rsidRPr="001B0EA3" w:rsidRDefault="00377FAB" w:rsidP="00B502C7">
      <w:pPr>
        <w:pStyle w:val="Style2"/>
        <w:rPr>
          <w:lang w:eastAsia="bg-BG"/>
        </w:rPr>
      </w:pPr>
      <w:bookmarkStart w:id="1282" w:name="_Toc431992486"/>
      <w:bookmarkStart w:id="1283" w:name="_Toc432166210"/>
      <w:bookmarkStart w:id="1284" w:name="_Ref412817882"/>
      <w:bookmarkStart w:id="1285" w:name="_Toc479775802"/>
      <w:bookmarkStart w:id="1286" w:name="_Toc140150293"/>
      <w:bookmarkEnd w:id="1282"/>
      <w:bookmarkEnd w:id="1283"/>
      <w:r w:rsidRPr="001B0EA3">
        <w:rPr>
          <w:lang w:eastAsia="en-US"/>
        </w:rPr>
        <w:t>Източници и видове риск</w:t>
      </w:r>
      <w:bookmarkEnd w:id="1284"/>
      <w:bookmarkEnd w:id="1285"/>
      <w:bookmarkEnd w:id="1286"/>
    </w:p>
    <w:p w14:paraId="3ABBDCA7" w14:textId="77777777" w:rsidR="00377FAB" w:rsidRPr="001B0EA3" w:rsidRDefault="00377FAB" w:rsidP="00046D61">
      <w:pPr>
        <w:widowControl w:val="0"/>
        <w:autoSpaceDE w:val="0"/>
        <w:autoSpaceDN w:val="0"/>
        <w:adjustRightInd w:val="0"/>
        <w:contextualSpacing/>
        <w:rPr>
          <w:szCs w:val="24"/>
          <w:lang w:eastAsia="en-US"/>
        </w:rPr>
      </w:pPr>
    </w:p>
    <w:p w14:paraId="540CC936" w14:textId="77777777" w:rsidR="00377FAB" w:rsidRPr="001B0EA3" w:rsidRDefault="00377FAB" w:rsidP="00046D61">
      <w:pPr>
        <w:widowControl w:val="0"/>
        <w:autoSpaceDE w:val="0"/>
        <w:autoSpaceDN w:val="0"/>
        <w:adjustRightInd w:val="0"/>
        <w:ind w:firstLine="567"/>
        <w:contextualSpacing/>
        <w:rPr>
          <w:szCs w:val="24"/>
          <w:lang w:eastAsia="en-US"/>
        </w:rPr>
      </w:pPr>
      <w:r w:rsidRPr="001B0EA3">
        <w:rPr>
          <w:szCs w:val="24"/>
          <w:lang w:eastAsia="en-US"/>
        </w:rPr>
        <w:t>Целта на дейността по управление на риска на УО е да допринесе за постигането на целите на ОП ТТИ. Източниците на риск за реализацията и постигане целите на програмата могат да бъдат вътрешни или външни за УО.</w:t>
      </w:r>
    </w:p>
    <w:p w14:paraId="098FEE98" w14:textId="77777777" w:rsidR="00377FAB" w:rsidRPr="001B0EA3" w:rsidRDefault="00377FAB" w:rsidP="00046D61">
      <w:pPr>
        <w:widowControl w:val="0"/>
        <w:autoSpaceDE w:val="0"/>
        <w:autoSpaceDN w:val="0"/>
        <w:adjustRightInd w:val="0"/>
        <w:ind w:firstLine="567"/>
        <w:contextualSpacing/>
        <w:rPr>
          <w:szCs w:val="24"/>
          <w:lang w:eastAsia="en-US"/>
        </w:rPr>
      </w:pPr>
    </w:p>
    <w:p w14:paraId="71C0E5C1" w14:textId="77777777" w:rsidR="00377FAB" w:rsidRPr="001B0EA3" w:rsidRDefault="00377FAB" w:rsidP="00046D61">
      <w:pPr>
        <w:widowControl w:val="0"/>
        <w:autoSpaceDE w:val="0"/>
        <w:autoSpaceDN w:val="0"/>
        <w:adjustRightInd w:val="0"/>
        <w:ind w:firstLine="567"/>
        <w:contextualSpacing/>
        <w:rPr>
          <w:b/>
          <w:szCs w:val="24"/>
          <w:lang w:eastAsia="en-US"/>
        </w:rPr>
      </w:pPr>
      <w:r w:rsidRPr="001B0EA3">
        <w:rPr>
          <w:b/>
          <w:szCs w:val="24"/>
          <w:lang w:eastAsia="en-US"/>
        </w:rPr>
        <w:t>I.</w:t>
      </w:r>
      <w:r w:rsidRPr="001B0EA3">
        <w:rPr>
          <w:b/>
          <w:szCs w:val="24"/>
          <w:lang w:eastAsia="en-US"/>
        </w:rPr>
        <w:tab/>
        <w:t>Външни рискове</w:t>
      </w:r>
    </w:p>
    <w:p w14:paraId="103B0139" w14:textId="77777777" w:rsidR="00377FAB" w:rsidRPr="001B0EA3" w:rsidRDefault="00377FAB" w:rsidP="00046D61">
      <w:pPr>
        <w:widowControl w:val="0"/>
        <w:autoSpaceDE w:val="0"/>
        <w:autoSpaceDN w:val="0"/>
        <w:adjustRightInd w:val="0"/>
        <w:ind w:firstLine="567"/>
        <w:contextualSpacing/>
        <w:rPr>
          <w:b/>
          <w:szCs w:val="24"/>
          <w:lang w:eastAsia="en-US"/>
        </w:rPr>
      </w:pPr>
      <w:r w:rsidRPr="001B0EA3">
        <w:rPr>
          <w:b/>
          <w:szCs w:val="24"/>
          <w:lang w:eastAsia="en-US"/>
        </w:rPr>
        <w:t>1.</w:t>
      </w:r>
      <w:r w:rsidRPr="001B0EA3">
        <w:rPr>
          <w:b/>
          <w:szCs w:val="24"/>
          <w:lang w:eastAsia="en-US"/>
        </w:rPr>
        <w:tab/>
        <w:t xml:space="preserve">Рискове, ескалирани или агрегирани „отдолу“ </w:t>
      </w:r>
    </w:p>
    <w:p w14:paraId="42AA8E98" w14:textId="77777777" w:rsidR="00377FAB" w:rsidRPr="001B0EA3" w:rsidRDefault="00377FAB" w:rsidP="00046D61">
      <w:pPr>
        <w:widowControl w:val="0"/>
        <w:autoSpaceDE w:val="0"/>
        <w:autoSpaceDN w:val="0"/>
        <w:adjustRightInd w:val="0"/>
        <w:ind w:firstLine="567"/>
        <w:contextualSpacing/>
        <w:rPr>
          <w:szCs w:val="24"/>
          <w:lang w:eastAsia="en-US"/>
        </w:rPr>
      </w:pPr>
      <w:r w:rsidRPr="001B0EA3">
        <w:rPr>
          <w:szCs w:val="24"/>
          <w:lang w:eastAsia="en-US"/>
        </w:rPr>
        <w:t>Това са рисковете за постигането на целите на програмата които произлизат от проектите включени в нея. Тук трябва да се имат предвид:</w:t>
      </w:r>
    </w:p>
    <w:p w14:paraId="242D417A" w14:textId="77777777" w:rsidR="00377FAB" w:rsidRPr="001B0EA3" w:rsidRDefault="00377FAB" w:rsidP="00046D61">
      <w:pPr>
        <w:widowControl w:val="0"/>
        <w:autoSpaceDE w:val="0"/>
        <w:autoSpaceDN w:val="0"/>
        <w:adjustRightInd w:val="0"/>
        <w:ind w:firstLine="567"/>
        <w:contextualSpacing/>
        <w:rPr>
          <w:b/>
          <w:szCs w:val="24"/>
          <w:lang w:eastAsia="en-US"/>
        </w:rPr>
      </w:pPr>
      <w:r w:rsidRPr="001B0EA3">
        <w:rPr>
          <w:b/>
          <w:szCs w:val="24"/>
          <w:lang w:eastAsia="en-US"/>
        </w:rPr>
        <w:t>1.1.</w:t>
      </w:r>
      <w:r w:rsidRPr="001B0EA3">
        <w:rPr>
          <w:b/>
          <w:szCs w:val="24"/>
          <w:lang w:eastAsia="en-US"/>
        </w:rPr>
        <w:tab/>
        <w:t xml:space="preserve">Индивидуален проектен риск </w:t>
      </w:r>
    </w:p>
    <w:p w14:paraId="77359A24" w14:textId="77777777" w:rsidR="00377FAB" w:rsidRPr="001B0EA3" w:rsidRDefault="00377FAB" w:rsidP="00046D61">
      <w:pPr>
        <w:widowControl w:val="0"/>
        <w:autoSpaceDE w:val="0"/>
        <w:autoSpaceDN w:val="0"/>
        <w:adjustRightInd w:val="0"/>
        <w:ind w:firstLine="567"/>
        <w:contextualSpacing/>
        <w:rPr>
          <w:szCs w:val="24"/>
          <w:lang w:eastAsia="en-US"/>
        </w:rPr>
      </w:pPr>
      <w:r w:rsidRPr="001B0EA3">
        <w:rPr>
          <w:szCs w:val="24"/>
          <w:lang w:eastAsia="en-US"/>
        </w:rPr>
        <w:t xml:space="preserve">В зависимост от влиянието си някои индивидуални рискове по определен проект /отчитайки неговата големина и значение/ могат да бъдат заплаха за постигането на целите на програмата. </w:t>
      </w:r>
    </w:p>
    <w:p w14:paraId="5E675974" w14:textId="77777777" w:rsidR="00377FAB" w:rsidRPr="001B0EA3" w:rsidRDefault="00377FAB" w:rsidP="00046D61">
      <w:pPr>
        <w:widowControl w:val="0"/>
        <w:autoSpaceDE w:val="0"/>
        <w:autoSpaceDN w:val="0"/>
        <w:adjustRightInd w:val="0"/>
        <w:ind w:firstLine="567"/>
        <w:contextualSpacing/>
        <w:rPr>
          <w:szCs w:val="24"/>
          <w:lang w:eastAsia="en-US"/>
        </w:rPr>
      </w:pPr>
    </w:p>
    <w:p w14:paraId="3DDF9314" w14:textId="77777777" w:rsidR="00377FAB" w:rsidRPr="001B0EA3" w:rsidRDefault="00377FAB" w:rsidP="00046D61">
      <w:pPr>
        <w:widowControl w:val="0"/>
        <w:autoSpaceDE w:val="0"/>
        <w:autoSpaceDN w:val="0"/>
        <w:adjustRightInd w:val="0"/>
        <w:ind w:firstLine="567"/>
        <w:contextualSpacing/>
        <w:rPr>
          <w:b/>
          <w:szCs w:val="24"/>
          <w:lang w:eastAsia="en-US"/>
        </w:rPr>
      </w:pPr>
      <w:r w:rsidRPr="001B0EA3">
        <w:rPr>
          <w:b/>
          <w:szCs w:val="24"/>
          <w:lang w:eastAsia="en-US"/>
        </w:rPr>
        <w:t>1.2.</w:t>
      </w:r>
      <w:r w:rsidRPr="001B0EA3">
        <w:rPr>
          <w:b/>
          <w:szCs w:val="24"/>
          <w:lang w:eastAsia="en-US"/>
        </w:rPr>
        <w:tab/>
        <w:t>Агрегиран проектен риск</w:t>
      </w:r>
    </w:p>
    <w:p w14:paraId="451A3B3C" w14:textId="77777777" w:rsidR="00377FAB" w:rsidRPr="001B0EA3" w:rsidRDefault="00377FAB" w:rsidP="00046D61">
      <w:pPr>
        <w:widowControl w:val="0"/>
        <w:autoSpaceDE w:val="0"/>
        <w:autoSpaceDN w:val="0"/>
        <w:adjustRightInd w:val="0"/>
        <w:ind w:firstLine="567"/>
        <w:contextualSpacing/>
        <w:rPr>
          <w:szCs w:val="24"/>
          <w:lang w:eastAsia="en-US"/>
        </w:rPr>
      </w:pPr>
      <w:r w:rsidRPr="001B0EA3">
        <w:rPr>
          <w:szCs w:val="24"/>
          <w:lang w:eastAsia="en-US"/>
        </w:rPr>
        <w:t xml:space="preserve">Такъв риск е налице когато няколко свързани или подобни рискове могат да бъдат разглеждани като или да формират нов общ риск, който да е значим на ниво програма. Това става или чрез просто сумиране на рисковете (напр. 10 незначителни риска са еквивалентни на един значим на ниво програма) или чрез отчитане на синергията между тях (цялото е по-голямо от сбора на съставните си части) . </w:t>
      </w:r>
    </w:p>
    <w:p w14:paraId="1A5F45E4" w14:textId="77777777" w:rsidR="00377FAB" w:rsidRPr="001B0EA3" w:rsidRDefault="00377FAB" w:rsidP="00046D61">
      <w:pPr>
        <w:widowControl w:val="0"/>
        <w:autoSpaceDE w:val="0"/>
        <w:autoSpaceDN w:val="0"/>
        <w:adjustRightInd w:val="0"/>
        <w:ind w:firstLine="567"/>
        <w:contextualSpacing/>
        <w:rPr>
          <w:b/>
          <w:szCs w:val="24"/>
          <w:lang w:eastAsia="en-US"/>
        </w:rPr>
      </w:pPr>
      <w:r w:rsidRPr="001B0EA3">
        <w:rPr>
          <w:b/>
          <w:szCs w:val="24"/>
          <w:lang w:eastAsia="en-US"/>
        </w:rPr>
        <w:t>1.3.</w:t>
      </w:r>
      <w:r w:rsidRPr="001B0EA3">
        <w:rPr>
          <w:b/>
          <w:szCs w:val="24"/>
          <w:lang w:eastAsia="en-US"/>
        </w:rPr>
        <w:tab/>
        <w:t>Риск на ниво проект</w:t>
      </w:r>
    </w:p>
    <w:p w14:paraId="5408EE2E" w14:textId="77777777" w:rsidR="00377FAB" w:rsidRPr="001B0EA3" w:rsidRDefault="00377FAB" w:rsidP="00046D61">
      <w:pPr>
        <w:widowControl w:val="0"/>
        <w:autoSpaceDE w:val="0"/>
        <w:autoSpaceDN w:val="0"/>
        <w:adjustRightInd w:val="0"/>
        <w:ind w:firstLine="567"/>
        <w:contextualSpacing/>
        <w:rPr>
          <w:szCs w:val="24"/>
          <w:lang w:eastAsia="en-US"/>
        </w:rPr>
      </w:pPr>
      <w:r w:rsidRPr="001B0EA3">
        <w:rPr>
          <w:szCs w:val="24"/>
          <w:lang w:eastAsia="en-US"/>
        </w:rPr>
        <w:t xml:space="preserve">Общият риск на ниво проект, включващ оценка на всички рискове по проекта.  </w:t>
      </w:r>
    </w:p>
    <w:p w14:paraId="75A636F2" w14:textId="77777777" w:rsidR="00377FAB" w:rsidRPr="001B0EA3" w:rsidRDefault="00377FAB" w:rsidP="00046D61">
      <w:pPr>
        <w:widowControl w:val="0"/>
        <w:autoSpaceDE w:val="0"/>
        <w:autoSpaceDN w:val="0"/>
        <w:adjustRightInd w:val="0"/>
        <w:ind w:firstLine="567"/>
        <w:contextualSpacing/>
        <w:rPr>
          <w:szCs w:val="24"/>
          <w:lang w:eastAsia="en-US"/>
        </w:rPr>
      </w:pPr>
      <w:r w:rsidRPr="001B0EA3">
        <w:rPr>
          <w:szCs w:val="24"/>
          <w:lang w:eastAsia="en-US"/>
        </w:rPr>
        <w:t>Рисковете по т. 1 са основният източник на риск за ОП ТТИ. Горната класификация има значение за организацията на управление на риска, мониторинга и докладването от страна на бенефициентите на ОП ТТИ. Тъй като това е основният източник на риск УО ще издаде специални указания към бенефициентите на програмата съдържащи изисквания по отношение на организацията и функционирането на процеса на управление на риска в проектите, финансирани със средства от ОПТТИ. Част от тях са задълженията на бенефициентите за въвеждане на специфични контроли за борба с риска от измама /виж т. 30.</w:t>
      </w:r>
      <w:r w:rsidR="00B92E50" w:rsidRPr="001B0EA3">
        <w:rPr>
          <w:szCs w:val="24"/>
          <w:lang w:eastAsia="en-US"/>
        </w:rPr>
        <w:t>10</w:t>
      </w:r>
      <w:r w:rsidRPr="001B0EA3">
        <w:rPr>
          <w:szCs w:val="24"/>
          <w:lang w:eastAsia="en-US"/>
        </w:rPr>
        <w:t xml:space="preserve">. „Резултати от първоначалната самооценка“ /. </w:t>
      </w:r>
    </w:p>
    <w:p w14:paraId="0496D2C3" w14:textId="77777777" w:rsidR="00377FAB" w:rsidRPr="001B0EA3" w:rsidRDefault="00377FAB" w:rsidP="00046D61">
      <w:pPr>
        <w:widowControl w:val="0"/>
        <w:autoSpaceDE w:val="0"/>
        <w:autoSpaceDN w:val="0"/>
        <w:adjustRightInd w:val="0"/>
        <w:ind w:firstLine="567"/>
        <w:contextualSpacing/>
        <w:rPr>
          <w:szCs w:val="24"/>
          <w:lang w:eastAsia="en-US"/>
        </w:rPr>
      </w:pPr>
      <w:r w:rsidRPr="001B0EA3">
        <w:rPr>
          <w:szCs w:val="24"/>
          <w:lang w:eastAsia="en-US"/>
        </w:rPr>
        <w:t>2.</w:t>
      </w:r>
      <w:r w:rsidRPr="001B0EA3">
        <w:rPr>
          <w:szCs w:val="24"/>
          <w:lang w:eastAsia="en-US"/>
        </w:rPr>
        <w:tab/>
        <w:t>Рискове делегирани „отгоре“</w:t>
      </w:r>
    </w:p>
    <w:p w14:paraId="2920253C" w14:textId="77777777" w:rsidR="00377FAB" w:rsidRPr="001B0EA3" w:rsidRDefault="00377FAB" w:rsidP="00046D61">
      <w:pPr>
        <w:widowControl w:val="0"/>
        <w:autoSpaceDE w:val="0"/>
        <w:autoSpaceDN w:val="0"/>
        <w:adjustRightInd w:val="0"/>
        <w:ind w:firstLine="567"/>
        <w:contextualSpacing/>
        <w:rPr>
          <w:szCs w:val="24"/>
          <w:lang w:eastAsia="en-US"/>
        </w:rPr>
      </w:pPr>
      <w:r w:rsidRPr="001B0EA3">
        <w:rPr>
          <w:szCs w:val="24"/>
          <w:lang w:eastAsia="en-US"/>
        </w:rPr>
        <w:t xml:space="preserve">Това са рисковете свързани с външните за УО и </w:t>
      </w:r>
      <w:r w:rsidR="00BB6BF6">
        <w:rPr>
          <w:szCs w:val="24"/>
          <w:lang w:eastAsia="en-US"/>
        </w:rPr>
        <w:t>МТС</w:t>
      </w:r>
      <w:r w:rsidRPr="001B0EA3">
        <w:rPr>
          <w:szCs w:val="24"/>
          <w:lang w:eastAsia="en-US"/>
        </w:rPr>
        <w:t xml:space="preserve"> организации. Такива рискове възникват основно в случаите на промяна на стратегически приоритети или на правната или финансова рамка за изпълнение на програмата. </w:t>
      </w:r>
    </w:p>
    <w:p w14:paraId="51413095" w14:textId="77777777" w:rsidR="00377FAB" w:rsidRPr="001B0EA3" w:rsidRDefault="00377FAB" w:rsidP="00046D61">
      <w:pPr>
        <w:widowControl w:val="0"/>
        <w:autoSpaceDE w:val="0"/>
        <w:autoSpaceDN w:val="0"/>
        <w:adjustRightInd w:val="0"/>
        <w:ind w:firstLine="567"/>
        <w:contextualSpacing/>
        <w:rPr>
          <w:b/>
          <w:szCs w:val="24"/>
          <w:lang w:eastAsia="en-US"/>
        </w:rPr>
      </w:pPr>
      <w:r w:rsidRPr="001B0EA3">
        <w:rPr>
          <w:b/>
          <w:szCs w:val="24"/>
          <w:lang w:eastAsia="en-US"/>
        </w:rPr>
        <w:t>II.</w:t>
      </w:r>
      <w:r w:rsidRPr="001B0EA3">
        <w:rPr>
          <w:b/>
          <w:szCs w:val="24"/>
          <w:lang w:eastAsia="en-US"/>
        </w:rPr>
        <w:tab/>
        <w:t xml:space="preserve">Вътрешни рискове </w:t>
      </w:r>
    </w:p>
    <w:p w14:paraId="4CF1B066" w14:textId="77777777" w:rsidR="00377FAB" w:rsidRPr="001B0EA3" w:rsidRDefault="00377FAB" w:rsidP="00046D61">
      <w:pPr>
        <w:widowControl w:val="0"/>
        <w:autoSpaceDE w:val="0"/>
        <w:autoSpaceDN w:val="0"/>
        <w:adjustRightInd w:val="0"/>
        <w:ind w:firstLine="567"/>
        <w:contextualSpacing/>
        <w:rPr>
          <w:szCs w:val="24"/>
          <w:lang w:eastAsia="en-US"/>
        </w:rPr>
      </w:pPr>
      <w:r w:rsidRPr="001B0EA3">
        <w:rPr>
          <w:szCs w:val="24"/>
          <w:lang w:eastAsia="en-US"/>
        </w:rPr>
        <w:t xml:space="preserve">Това са рисковете, източник на които </w:t>
      </w:r>
      <w:r w:rsidR="008C65D0" w:rsidRPr="001B0EA3">
        <w:rPr>
          <w:szCs w:val="24"/>
          <w:lang w:eastAsia="en-US"/>
        </w:rPr>
        <w:t xml:space="preserve">са </w:t>
      </w:r>
      <w:r w:rsidR="009614A1" w:rsidRPr="001B0EA3">
        <w:rPr>
          <w:szCs w:val="24"/>
          <w:lang w:eastAsia="en-US"/>
        </w:rPr>
        <w:t xml:space="preserve">процесите на </w:t>
      </w:r>
      <w:r w:rsidR="008C65D0" w:rsidRPr="001B0EA3">
        <w:rPr>
          <w:szCs w:val="24"/>
          <w:lang w:eastAsia="en-US"/>
        </w:rPr>
        <w:t xml:space="preserve"> Управляващия орган на ОПТТИ</w:t>
      </w:r>
      <w:r w:rsidRPr="001B0EA3">
        <w:rPr>
          <w:szCs w:val="24"/>
          <w:lang w:eastAsia="en-US"/>
        </w:rPr>
        <w:t>.</w:t>
      </w:r>
    </w:p>
    <w:p w14:paraId="6F0924F3" w14:textId="77777777" w:rsidR="00C84CFA" w:rsidRPr="00842ECC" w:rsidRDefault="00C84CFA" w:rsidP="00B502C7">
      <w:pPr>
        <w:pStyle w:val="Style2"/>
        <w:rPr>
          <w:lang w:val="bg-BG" w:eastAsia="bg-BG"/>
        </w:rPr>
      </w:pPr>
      <w:bookmarkStart w:id="1287" w:name="_Toc479775803"/>
      <w:bookmarkStart w:id="1288" w:name="_Toc140150294"/>
      <w:r w:rsidRPr="00842ECC">
        <w:rPr>
          <w:lang w:val="bg-BG"/>
        </w:rPr>
        <w:t>Рамка за управление на риска на Оперативна програма „Транспорт и транспортна инфраструктура“ 2014 – 2020 г.</w:t>
      </w:r>
      <w:bookmarkEnd w:id="1287"/>
      <w:bookmarkEnd w:id="1288"/>
    </w:p>
    <w:p w14:paraId="4CDB6DB2" w14:textId="77777777" w:rsidR="00C84CFA" w:rsidRPr="001B0EA3" w:rsidRDefault="00C84CFA" w:rsidP="00046D61">
      <w:pPr>
        <w:widowControl w:val="0"/>
        <w:autoSpaceDE w:val="0"/>
        <w:autoSpaceDN w:val="0"/>
        <w:adjustRightInd w:val="0"/>
        <w:contextualSpacing/>
        <w:rPr>
          <w:szCs w:val="24"/>
          <w:lang w:eastAsia="en-US"/>
        </w:rPr>
      </w:pPr>
    </w:p>
    <w:p w14:paraId="190C2367" w14:textId="77777777" w:rsidR="00C84CFA" w:rsidRPr="001D4E37" w:rsidRDefault="00C84CFA" w:rsidP="00942609">
      <w:pPr>
        <w:pStyle w:val="Style3"/>
        <w:rPr>
          <w:snapToGrid w:val="0"/>
        </w:rPr>
      </w:pPr>
      <w:bookmarkStart w:id="1289" w:name="_Toc464639634"/>
      <w:bookmarkStart w:id="1290" w:name="_Toc479775804"/>
      <w:bookmarkEnd w:id="1289"/>
      <w:r w:rsidRPr="001D4E37">
        <w:rPr>
          <w:snapToGrid w:val="0"/>
        </w:rPr>
        <w:t>Общи сведения и принципи</w:t>
      </w:r>
      <w:bookmarkEnd w:id="1290"/>
      <w:r w:rsidRPr="001D4E37">
        <w:rPr>
          <w:snapToGrid w:val="0"/>
        </w:rPr>
        <w:t xml:space="preserve"> </w:t>
      </w:r>
    </w:p>
    <w:p w14:paraId="01B6E2D0" w14:textId="77777777" w:rsidR="00C84CFA" w:rsidRPr="001B0EA3" w:rsidRDefault="00C84CFA" w:rsidP="00046D61">
      <w:pPr>
        <w:widowControl w:val="0"/>
        <w:tabs>
          <w:tab w:val="left" w:pos="709"/>
        </w:tabs>
        <w:autoSpaceDE w:val="0"/>
        <w:autoSpaceDN w:val="0"/>
        <w:adjustRightInd w:val="0"/>
        <w:ind w:firstLine="567"/>
        <w:rPr>
          <w:rFonts w:eastAsia="EUAlbertina-Regu-Identity-H"/>
          <w:szCs w:val="24"/>
        </w:rPr>
      </w:pPr>
      <w:r w:rsidRPr="001B0EA3">
        <w:rPr>
          <w:rFonts w:eastAsia="EUAlbertina-Regu-Identity-H"/>
          <w:szCs w:val="24"/>
        </w:rPr>
        <w:t xml:space="preserve">Настоящата точа е изготвена в изпълнение на изисквания на Регламент 1303 от 2013 г.,  който изисква въвеждането на рамка, която да гарантира, че ще се провежда  подобаваща оценка на риска, когато това е необходимо, и особено при настъпване на съществени промени в системата за управление и контрол. </w:t>
      </w:r>
    </w:p>
    <w:p w14:paraId="60280879" w14:textId="77777777" w:rsidR="00C84CFA" w:rsidRPr="001B0EA3" w:rsidRDefault="00C84CFA" w:rsidP="00125DAC">
      <w:pPr>
        <w:spacing w:before="120"/>
        <w:ind w:firstLine="567"/>
        <w:rPr>
          <w:szCs w:val="24"/>
        </w:rPr>
      </w:pPr>
      <w:r w:rsidRPr="001B0EA3">
        <w:rPr>
          <w:szCs w:val="24"/>
        </w:rPr>
        <w:t>Текстът съдържа описание на етапите, през които преминава процесът по управление на риска, използвания подход, отговорните лица и основните изисквания към процеса.</w:t>
      </w:r>
    </w:p>
    <w:p w14:paraId="7AD9EBAA" w14:textId="77777777" w:rsidR="00C84CFA" w:rsidRPr="001B0EA3" w:rsidRDefault="00C84CFA" w:rsidP="00125DAC">
      <w:pPr>
        <w:spacing w:before="120"/>
        <w:ind w:firstLine="567"/>
        <w:rPr>
          <w:szCs w:val="24"/>
        </w:rPr>
      </w:pPr>
      <w:r w:rsidRPr="001B0EA3">
        <w:rPr>
          <w:szCs w:val="24"/>
        </w:rPr>
        <w:t xml:space="preserve">Целите на въвеждането на </w:t>
      </w:r>
      <w:r w:rsidRPr="001B0EA3">
        <w:rPr>
          <w:b/>
          <w:szCs w:val="24"/>
        </w:rPr>
        <w:t>рамката за управление  на риска</w:t>
      </w:r>
      <w:r w:rsidRPr="001B0EA3">
        <w:rPr>
          <w:szCs w:val="24"/>
        </w:rPr>
        <w:t xml:space="preserve"> са свързани с:</w:t>
      </w:r>
    </w:p>
    <w:p w14:paraId="1532C435" w14:textId="77777777" w:rsidR="00C84CFA" w:rsidRPr="001B0EA3" w:rsidRDefault="00C84CFA" w:rsidP="0054623A">
      <w:pPr>
        <w:pStyle w:val="ListParagraph"/>
        <w:widowControl w:val="0"/>
        <w:numPr>
          <w:ilvl w:val="0"/>
          <w:numId w:val="252"/>
        </w:numPr>
        <w:adjustRightInd w:val="0"/>
        <w:spacing w:before="120"/>
        <w:ind w:left="0" w:firstLine="567"/>
        <w:textAlignment w:val="baseline"/>
        <w:rPr>
          <w:szCs w:val="24"/>
        </w:rPr>
      </w:pPr>
      <w:r w:rsidRPr="001B0EA3">
        <w:rPr>
          <w:szCs w:val="24"/>
        </w:rPr>
        <w:t xml:space="preserve">Изграждане на съзнание и разбиране за процеса по управление на риска; </w:t>
      </w:r>
    </w:p>
    <w:p w14:paraId="579DEB03" w14:textId="77777777" w:rsidR="00C84CFA" w:rsidRPr="001B0EA3" w:rsidRDefault="00C84CFA" w:rsidP="0054623A">
      <w:pPr>
        <w:pStyle w:val="ListParagraph"/>
        <w:widowControl w:val="0"/>
        <w:numPr>
          <w:ilvl w:val="0"/>
          <w:numId w:val="252"/>
        </w:numPr>
        <w:adjustRightInd w:val="0"/>
        <w:spacing w:before="120"/>
        <w:ind w:left="0" w:firstLine="567"/>
        <w:textAlignment w:val="baseline"/>
        <w:rPr>
          <w:szCs w:val="24"/>
        </w:rPr>
      </w:pPr>
      <w:r w:rsidRPr="001B0EA3">
        <w:rPr>
          <w:szCs w:val="24"/>
        </w:rPr>
        <w:t xml:space="preserve">Обхващане на всички рискове и на тяхното добро управление в рамките на риск апетита на Управляващия орган; </w:t>
      </w:r>
    </w:p>
    <w:p w14:paraId="604DB00C" w14:textId="77777777" w:rsidR="00C84CFA" w:rsidRPr="001B0EA3" w:rsidRDefault="00C84CFA" w:rsidP="0054623A">
      <w:pPr>
        <w:pStyle w:val="ListParagraph"/>
        <w:widowControl w:val="0"/>
        <w:numPr>
          <w:ilvl w:val="0"/>
          <w:numId w:val="252"/>
        </w:numPr>
        <w:adjustRightInd w:val="0"/>
        <w:spacing w:before="120"/>
        <w:ind w:left="0" w:firstLine="567"/>
        <w:textAlignment w:val="baseline"/>
        <w:rPr>
          <w:szCs w:val="24"/>
        </w:rPr>
      </w:pPr>
      <w:r w:rsidRPr="001B0EA3">
        <w:rPr>
          <w:szCs w:val="24"/>
        </w:rPr>
        <w:t xml:space="preserve">Внедряване на управлението на риска като част от процеса по вземане на решения. Това включва свързване на идентифицираните рискове и контролни дейности със стратегическите и оперативни цели на Управляващия орган </w:t>
      </w:r>
    </w:p>
    <w:p w14:paraId="1F67B406" w14:textId="77777777" w:rsidR="00C84CFA" w:rsidRPr="001B0EA3" w:rsidRDefault="00C84CFA" w:rsidP="0054623A">
      <w:pPr>
        <w:pStyle w:val="ListParagraph"/>
        <w:widowControl w:val="0"/>
        <w:numPr>
          <w:ilvl w:val="0"/>
          <w:numId w:val="252"/>
        </w:numPr>
        <w:adjustRightInd w:val="0"/>
        <w:spacing w:before="120"/>
        <w:ind w:left="0" w:firstLine="567"/>
        <w:textAlignment w:val="baseline"/>
        <w:rPr>
          <w:szCs w:val="24"/>
        </w:rPr>
      </w:pPr>
      <w:r w:rsidRPr="001B0EA3">
        <w:rPr>
          <w:szCs w:val="24"/>
        </w:rPr>
        <w:t>Постигане на съответствие с изискванията на нормативните документи по отношение на управлението на риска на ОПТТИ.</w:t>
      </w:r>
    </w:p>
    <w:p w14:paraId="687200BA" w14:textId="77777777" w:rsidR="00C84CFA" w:rsidRPr="001B0EA3" w:rsidRDefault="00C84CFA" w:rsidP="00046D61">
      <w:pPr>
        <w:widowControl w:val="0"/>
        <w:tabs>
          <w:tab w:val="left" w:pos="709"/>
        </w:tabs>
        <w:autoSpaceDE w:val="0"/>
        <w:autoSpaceDN w:val="0"/>
        <w:adjustRightInd w:val="0"/>
        <w:ind w:firstLine="567"/>
        <w:rPr>
          <w:rFonts w:eastAsia="EUAlbertina-Regu-Identity-H"/>
        </w:rPr>
      </w:pPr>
      <w:r w:rsidRPr="001B0EA3">
        <w:rPr>
          <w:rFonts w:eastAsia="EUAlbertina-Regu-Identity-H"/>
          <w:szCs w:val="24"/>
        </w:rPr>
        <w:t>Едно от най-важните изисквания на Регламент 1303 от 2013 г. е осигуряване на ефективни и пропорционални мерки за борба с измамите при отчитане на установените рискове, включително позоваване на извършената оценка на риска (член 125, параграф 4, буква в) от Регламент (ЕС) № 1303/2013).</w:t>
      </w:r>
    </w:p>
    <w:p w14:paraId="7892C266" w14:textId="77777777" w:rsidR="00C84CFA" w:rsidRPr="001B0EA3" w:rsidRDefault="00C84CFA" w:rsidP="00046D61">
      <w:pPr>
        <w:widowControl w:val="0"/>
        <w:tabs>
          <w:tab w:val="left" w:pos="1960"/>
        </w:tabs>
        <w:autoSpaceDE w:val="0"/>
        <w:autoSpaceDN w:val="0"/>
        <w:adjustRightInd w:val="0"/>
        <w:ind w:firstLine="567"/>
        <w:rPr>
          <w:rFonts w:eastAsia="EUAlbertina-Regu-Identity-H"/>
          <w:szCs w:val="24"/>
        </w:rPr>
      </w:pPr>
      <w:r w:rsidRPr="001B0EA3">
        <w:rPr>
          <w:rFonts w:eastAsia="EUAlbertina-Regu-Identity-H"/>
          <w:szCs w:val="24"/>
        </w:rPr>
        <w:t xml:space="preserve">В тази връзка основният акцент на работата в областта на управлението на риска  ще  бъде върху осигуряването на пропорционални и ефективни мерки за борба с измамите като при това се следват указанията на </w:t>
      </w:r>
      <w:r w:rsidRPr="001B0EA3">
        <w:rPr>
          <w:szCs w:val="24"/>
        </w:rPr>
        <w:t>Guidance Note on Fraud Risk Assesment and Effective and Proportionate Anti Fraud Measures 2013 Ref. Ares(2013)3769073 - 19/12/2013 на ГД „Регионална и урбанистична политика“ на ЕК</w:t>
      </w:r>
    </w:p>
    <w:p w14:paraId="3138B34C" w14:textId="77777777" w:rsidR="00C84CFA" w:rsidRPr="001B0EA3" w:rsidRDefault="00C84CFA" w:rsidP="00046D61">
      <w:pPr>
        <w:widowControl w:val="0"/>
        <w:tabs>
          <w:tab w:val="left" w:pos="709"/>
        </w:tabs>
        <w:autoSpaceDE w:val="0"/>
        <w:autoSpaceDN w:val="0"/>
        <w:adjustRightInd w:val="0"/>
        <w:ind w:firstLine="567"/>
        <w:rPr>
          <w:rFonts w:eastAsia="EUAlbertina-Regu-Identity-H"/>
          <w:szCs w:val="24"/>
        </w:rPr>
      </w:pPr>
      <w:r w:rsidRPr="001B0EA3">
        <w:rPr>
          <w:rFonts w:eastAsia="EUAlbertina-Regu-Identity-H"/>
          <w:szCs w:val="24"/>
        </w:rPr>
        <w:t>Тук по-долу е описана рамката за управление на риска на програмата, която се състои от две части :</w:t>
      </w:r>
    </w:p>
    <w:p w14:paraId="67434858" w14:textId="77777777" w:rsidR="00C84CFA" w:rsidRPr="001B0EA3" w:rsidRDefault="00C84CFA" w:rsidP="00046D61">
      <w:pPr>
        <w:pStyle w:val="ListParagraph"/>
        <w:widowControl w:val="0"/>
        <w:numPr>
          <w:ilvl w:val="0"/>
          <w:numId w:val="228"/>
        </w:numPr>
        <w:tabs>
          <w:tab w:val="left" w:pos="284"/>
          <w:tab w:val="left" w:pos="709"/>
        </w:tabs>
        <w:autoSpaceDE w:val="0"/>
        <w:autoSpaceDN w:val="0"/>
        <w:adjustRightInd w:val="0"/>
        <w:ind w:left="0" w:firstLine="709"/>
        <w:rPr>
          <w:rFonts w:eastAsia="EUAlbertina-Regu-Identity-H"/>
          <w:szCs w:val="24"/>
        </w:rPr>
      </w:pPr>
      <w:r w:rsidRPr="001B0EA3">
        <w:rPr>
          <w:rFonts w:eastAsia="EUAlbertina-Regu-Identity-H"/>
          <w:szCs w:val="24"/>
        </w:rPr>
        <w:t>Обща, касаеща управлението на риска по програмата - Роли и отговорности и Развитие на рамката за управление на риска</w:t>
      </w:r>
    </w:p>
    <w:p w14:paraId="1B3B3ABA" w14:textId="77777777" w:rsidR="00C84CFA" w:rsidRPr="001B0EA3" w:rsidRDefault="00C84CFA" w:rsidP="00046D61">
      <w:pPr>
        <w:pStyle w:val="ListParagraph"/>
        <w:widowControl w:val="0"/>
        <w:numPr>
          <w:ilvl w:val="0"/>
          <w:numId w:val="228"/>
        </w:numPr>
        <w:tabs>
          <w:tab w:val="left" w:pos="284"/>
          <w:tab w:val="left" w:pos="709"/>
        </w:tabs>
        <w:autoSpaceDE w:val="0"/>
        <w:autoSpaceDN w:val="0"/>
        <w:adjustRightInd w:val="0"/>
        <w:ind w:left="0" w:firstLine="709"/>
        <w:rPr>
          <w:rFonts w:eastAsia="EUAlbertina-Regu-Identity-H"/>
        </w:rPr>
      </w:pPr>
      <w:r w:rsidRPr="001B0EA3">
        <w:rPr>
          <w:rFonts w:eastAsia="EUAlbertina-Regu-Identity-H"/>
          <w:szCs w:val="24"/>
        </w:rPr>
        <w:t>Специфична, за управлението на риска от измама -   Политика за управление на риска от измама, Ползване на системата „Арахне“,. Процедури за борба с риска от измами и Актуализиране на рамката за управление на риска от измама</w:t>
      </w:r>
      <w:r w:rsidRPr="001B0EA3">
        <w:rPr>
          <w:rFonts w:eastAsia="EUAlbertina-Regu-Identity-H"/>
        </w:rPr>
        <w:t>.</w:t>
      </w:r>
    </w:p>
    <w:p w14:paraId="4A48B47B" w14:textId="77777777" w:rsidR="00C84CFA" w:rsidRPr="001B0EA3" w:rsidRDefault="00C84CFA" w:rsidP="00046D61">
      <w:pPr>
        <w:widowControl w:val="0"/>
        <w:tabs>
          <w:tab w:val="left" w:pos="1960"/>
        </w:tabs>
        <w:autoSpaceDE w:val="0"/>
        <w:autoSpaceDN w:val="0"/>
        <w:adjustRightInd w:val="0"/>
        <w:ind w:left="851" w:hanging="142"/>
        <w:rPr>
          <w:rFonts w:eastAsia="EUAlbertina-Regu-Identity-H"/>
          <w:szCs w:val="24"/>
        </w:rPr>
      </w:pPr>
    </w:p>
    <w:p w14:paraId="6240B463" w14:textId="77777777" w:rsidR="00C84CFA" w:rsidRPr="001B0EA3" w:rsidRDefault="00C84CFA" w:rsidP="00125D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szCs w:val="24"/>
        </w:rPr>
      </w:pPr>
    </w:p>
    <w:p w14:paraId="675534C5" w14:textId="77777777" w:rsidR="00C84CFA" w:rsidRPr="001D4E37" w:rsidRDefault="00C84CFA" w:rsidP="00942609">
      <w:pPr>
        <w:pStyle w:val="Style3"/>
        <w:rPr>
          <w:snapToGrid w:val="0"/>
        </w:rPr>
      </w:pPr>
      <w:bookmarkStart w:id="1291" w:name="_Toc464639636"/>
      <w:bookmarkStart w:id="1292" w:name="_Toc479775805"/>
      <w:r w:rsidRPr="001D4E37">
        <w:rPr>
          <w:snapToGrid w:val="0"/>
        </w:rPr>
        <w:t>Роли и отговорности</w:t>
      </w:r>
      <w:bookmarkEnd w:id="1291"/>
      <w:bookmarkEnd w:id="1292"/>
      <w:r w:rsidRPr="001D4E37">
        <w:rPr>
          <w:snapToGrid w:val="0"/>
        </w:rPr>
        <w:t xml:space="preserve"> </w:t>
      </w:r>
    </w:p>
    <w:p w14:paraId="4AD65E9B" w14:textId="77777777" w:rsidR="00C84CFA" w:rsidRPr="001B0EA3" w:rsidRDefault="00C84CFA" w:rsidP="00125DAC">
      <w:pPr>
        <w:spacing w:before="120"/>
        <w:ind w:firstLine="708"/>
        <w:rPr>
          <w:szCs w:val="24"/>
        </w:rPr>
      </w:pPr>
      <w:r w:rsidRPr="001B0EA3">
        <w:rPr>
          <w:szCs w:val="24"/>
        </w:rPr>
        <w:t>Ръководителят на Управляващия орган отговаря за постигане целите на УО, като управлява публичните средства по законосъобразен, икономичен, ефикасен и ефективен начин, в т ч. за:</w:t>
      </w:r>
    </w:p>
    <w:p w14:paraId="1CF82F83" w14:textId="77777777" w:rsidR="00C84CFA" w:rsidRPr="001B0EA3" w:rsidRDefault="00C84CFA" w:rsidP="00125DAC">
      <w:pPr>
        <w:spacing w:before="120"/>
        <w:ind w:firstLine="708"/>
        <w:rPr>
          <w:szCs w:val="24"/>
        </w:rPr>
      </w:pPr>
      <w:r w:rsidRPr="001B0EA3">
        <w:rPr>
          <w:szCs w:val="24"/>
        </w:rPr>
        <w:t xml:space="preserve">1. определянето на целите на УО и прилагането на стратегически планове, планове за действие и програми за достигане на поставените цели; </w:t>
      </w:r>
    </w:p>
    <w:p w14:paraId="784367D6" w14:textId="77777777" w:rsidR="00C84CFA" w:rsidRPr="001B0EA3" w:rsidRDefault="00C84CFA" w:rsidP="00125DAC">
      <w:pPr>
        <w:spacing w:before="120"/>
        <w:ind w:firstLine="708"/>
        <w:rPr>
          <w:szCs w:val="24"/>
        </w:rPr>
      </w:pPr>
      <w:r w:rsidRPr="001B0EA3">
        <w:rPr>
          <w:szCs w:val="24"/>
        </w:rPr>
        <w:t xml:space="preserve">2. идентифицирането, оценката и управлението на рисковете, застрашаващи постигането на целите на УО; </w:t>
      </w:r>
    </w:p>
    <w:p w14:paraId="4CF3863C" w14:textId="77777777" w:rsidR="00C84CFA" w:rsidRPr="001B0EA3" w:rsidRDefault="00C84CFA" w:rsidP="00125DAC">
      <w:pPr>
        <w:spacing w:before="120"/>
        <w:ind w:firstLine="708"/>
        <w:rPr>
          <w:szCs w:val="24"/>
        </w:rPr>
      </w:pPr>
      <w:r w:rsidRPr="001B0EA3">
        <w:rPr>
          <w:szCs w:val="24"/>
        </w:rPr>
        <w:t xml:space="preserve">На основание чл. 6, ал. 2 от Закона за финансовото управление и контрол в публичния сектор в насоките за изпълнение на проекти е уточнен обхватът на управленската отговорност по отношение на изпълнението на програмата на ръководителя на УО и ръководителя на съответния бенефициент. </w:t>
      </w:r>
    </w:p>
    <w:p w14:paraId="357191A0" w14:textId="77777777" w:rsidR="00C84CFA" w:rsidRPr="001B0EA3" w:rsidRDefault="00C84CFA" w:rsidP="00125DAC">
      <w:pPr>
        <w:spacing w:before="120"/>
        <w:ind w:firstLine="708"/>
        <w:rPr>
          <w:szCs w:val="24"/>
        </w:rPr>
      </w:pPr>
      <w:r w:rsidRPr="001B0EA3">
        <w:rPr>
          <w:szCs w:val="24"/>
        </w:rPr>
        <w:lastRenderedPageBreak/>
        <w:t>Началниците на отдели в дирекцията отговарят и се отчитат директора на дирекцията</w:t>
      </w:r>
      <w:bookmarkStart w:id="1293" w:name="_Toc249326096"/>
      <w:r w:rsidRPr="001B0EA3">
        <w:rPr>
          <w:szCs w:val="24"/>
        </w:rPr>
        <w:t xml:space="preserve">  за своята дейност по отношение на финансовото управление и контрол в структурите, които ръководят. Те съвместно участват в процеса на годишна оценка на рисковете в Управляващия орган.</w:t>
      </w:r>
    </w:p>
    <w:p w14:paraId="60EC7B31" w14:textId="77777777" w:rsidR="00C84CFA" w:rsidRPr="001B0EA3" w:rsidRDefault="00C84CFA" w:rsidP="00125DAC">
      <w:pPr>
        <w:spacing w:before="120"/>
        <w:ind w:firstLine="708"/>
        <w:rPr>
          <w:szCs w:val="24"/>
        </w:rPr>
      </w:pPr>
      <w:r w:rsidRPr="001B0EA3">
        <w:rPr>
          <w:szCs w:val="24"/>
        </w:rPr>
        <w:t>Директорът на дирекцията и началниците на отдели в УО участват в процеса на управление на риска и в идентифициране, оценка и избор на подходяща реакция за ограничаване на рисковете, застрашаващи постигането на целите на УО.</w:t>
      </w:r>
    </w:p>
    <w:p w14:paraId="6B3EFF5C" w14:textId="77777777" w:rsidR="00C84CFA" w:rsidRPr="001B0EA3" w:rsidRDefault="00C84CFA" w:rsidP="00125DAC">
      <w:pPr>
        <w:spacing w:before="120"/>
        <w:ind w:firstLine="708"/>
        <w:rPr>
          <w:b/>
          <w:szCs w:val="24"/>
        </w:rPr>
      </w:pPr>
      <w:r w:rsidRPr="001B0EA3">
        <w:rPr>
          <w:b/>
          <w:szCs w:val="24"/>
        </w:rPr>
        <w:t>Директорът на дирекцията и началниците на отдели отговарят за:</w:t>
      </w:r>
    </w:p>
    <w:bookmarkEnd w:id="1293"/>
    <w:p w14:paraId="6AD75039" w14:textId="77777777" w:rsidR="00C84CFA" w:rsidRPr="001B0EA3" w:rsidRDefault="00C84CFA" w:rsidP="0054623A">
      <w:pPr>
        <w:pStyle w:val="ListParagraph"/>
        <w:widowControl w:val="0"/>
        <w:numPr>
          <w:ilvl w:val="0"/>
          <w:numId w:val="253"/>
        </w:numPr>
        <w:tabs>
          <w:tab w:val="clear" w:pos="720"/>
          <w:tab w:val="num" w:pos="426"/>
        </w:tabs>
        <w:adjustRightInd w:val="0"/>
        <w:spacing w:before="120"/>
        <w:ind w:left="0" w:firstLine="360"/>
        <w:textAlignment w:val="baseline"/>
        <w:rPr>
          <w:bCs/>
          <w:szCs w:val="24"/>
        </w:rPr>
      </w:pPr>
      <w:r w:rsidRPr="001B0EA3">
        <w:rPr>
          <w:bCs/>
          <w:szCs w:val="24"/>
        </w:rPr>
        <w:t xml:space="preserve">Идентифициране на значимите рискове; </w:t>
      </w:r>
    </w:p>
    <w:p w14:paraId="612D98CF" w14:textId="77777777" w:rsidR="00C84CFA" w:rsidRPr="001B0EA3" w:rsidRDefault="00C84CFA" w:rsidP="0054623A">
      <w:pPr>
        <w:pStyle w:val="ListParagraph"/>
        <w:widowControl w:val="0"/>
        <w:numPr>
          <w:ilvl w:val="0"/>
          <w:numId w:val="253"/>
        </w:numPr>
        <w:tabs>
          <w:tab w:val="clear" w:pos="720"/>
          <w:tab w:val="num" w:pos="426"/>
        </w:tabs>
        <w:adjustRightInd w:val="0"/>
        <w:spacing w:before="120"/>
        <w:ind w:left="0" w:firstLine="360"/>
        <w:textAlignment w:val="baseline"/>
        <w:rPr>
          <w:bCs/>
          <w:szCs w:val="24"/>
        </w:rPr>
      </w:pPr>
      <w:r w:rsidRPr="001B0EA3">
        <w:rPr>
          <w:bCs/>
          <w:szCs w:val="24"/>
        </w:rPr>
        <w:t>Оценка на влиянието на тези рискове върху постигането на оперативните цели;</w:t>
      </w:r>
    </w:p>
    <w:p w14:paraId="2D4C3204" w14:textId="77777777" w:rsidR="00C84CFA" w:rsidRPr="001B0EA3" w:rsidRDefault="00C84CFA" w:rsidP="0054623A">
      <w:pPr>
        <w:pStyle w:val="ListParagraph"/>
        <w:widowControl w:val="0"/>
        <w:numPr>
          <w:ilvl w:val="0"/>
          <w:numId w:val="253"/>
        </w:numPr>
        <w:tabs>
          <w:tab w:val="clear" w:pos="720"/>
          <w:tab w:val="num" w:pos="426"/>
        </w:tabs>
        <w:adjustRightInd w:val="0"/>
        <w:spacing w:before="120"/>
        <w:ind w:left="0" w:firstLine="360"/>
        <w:textAlignment w:val="baseline"/>
        <w:rPr>
          <w:bCs/>
          <w:szCs w:val="24"/>
        </w:rPr>
      </w:pPr>
      <w:r w:rsidRPr="001B0EA3">
        <w:rPr>
          <w:bCs/>
          <w:szCs w:val="24"/>
        </w:rPr>
        <w:t xml:space="preserve">Оценка  на вероятността рисковете да се сбъднат; </w:t>
      </w:r>
    </w:p>
    <w:p w14:paraId="5F277DBF" w14:textId="77777777" w:rsidR="00C84CFA" w:rsidRPr="001B0EA3" w:rsidRDefault="00C84CFA" w:rsidP="0054623A">
      <w:pPr>
        <w:pStyle w:val="ListParagraph"/>
        <w:widowControl w:val="0"/>
        <w:numPr>
          <w:ilvl w:val="0"/>
          <w:numId w:val="253"/>
        </w:numPr>
        <w:tabs>
          <w:tab w:val="clear" w:pos="720"/>
          <w:tab w:val="num" w:pos="426"/>
        </w:tabs>
        <w:adjustRightInd w:val="0"/>
        <w:spacing w:before="120"/>
        <w:ind w:left="0" w:firstLine="360"/>
        <w:textAlignment w:val="baseline"/>
        <w:rPr>
          <w:bCs/>
          <w:szCs w:val="24"/>
        </w:rPr>
      </w:pPr>
      <w:r w:rsidRPr="001B0EA3">
        <w:rPr>
          <w:bCs/>
          <w:szCs w:val="24"/>
        </w:rPr>
        <w:t xml:space="preserve">Въвеждане на адекватни контролни дейности (контроли) за управление на рисковете и осигуряване на ефективното им прилагане; </w:t>
      </w:r>
    </w:p>
    <w:p w14:paraId="090FEE5E" w14:textId="77777777" w:rsidR="00C84CFA" w:rsidRPr="001B0EA3" w:rsidRDefault="00C84CFA" w:rsidP="0054623A">
      <w:pPr>
        <w:pStyle w:val="ListParagraph"/>
        <w:widowControl w:val="0"/>
        <w:numPr>
          <w:ilvl w:val="0"/>
          <w:numId w:val="253"/>
        </w:numPr>
        <w:tabs>
          <w:tab w:val="clear" w:pos="720"/>
          <w:tab w:val="num" w:pos="426"/>
        </w:tabs>
        <w:adjustRightInd w:val="0"/>
        <w:spacing w:before="120"/>
        <w:ind w:left="0" w:firstLine="360"/>
        <w:textAlignment w:val="baseline"/>
        <w:rPr>
          <w:bCs/>
          <w:szCs w:val="24"/>
        </w:rPr>
      </w:pPr>
      <w:r w:rsidRPr="001B0EA3">
        <w:rPr>
          <w:bCs/>
          <w:szCs w:val="24"/>
        </w:rPr>
        <w:t>Предоставяне на информация и предложения за необходими действия по управление на риска и въвеждане на контролни дейности в случаите, в които съответните решения относно реакция спрямо риска са извън правомощията им.</w:t>
      </w:r>
    </w:p>
    <w:p w14:paraId="433847CB" w14:textId="77777777" w:rsidR="00C84CFA" w:rsidRPr="001B0EA3" w:rsidRDefault="00C84CFA" w:rsidP="00CC313F">
      <w:pPr>
        <w:pStyle w:val="ListParagraph"/>
        <w:widowControl w:val="0"/>
        <w:spacing w:before="120"/>
        <w:ind w:left="0"/>
        <w:textAlignment w:val="baseline"/>
      </w:pPr>
    </w:p>
    <w:p w14:paraId="612700B3" w14:textId="77777777" w:rsidR="00C84CFA" w:rsidRPr="001B0EA3" w:rsidRDefault="00C84CFA" w:rsidP="00125DAC">
      <w:pPr>
        <w:pStyle w:val="ListParagraph"/>
        <w:spacing w:before="240" w:after="240"/>
        <w:ind w:left="0"/>
        <w:rPr>
          <w:b/>
          <w:iCs/>
          <w:szCs w:val="24"/>
        </w:rPr>
      </w:pPr>
      <w:r w:rsidRPr="001B0EA3">
        <w:rPr>
          <w:b/>
          <w:i/>
        </w:rPr>
        <w:tab/>
      </w:r>
      <w:r w:rsidRPr="001B0EA3">
        <w:rPr>
          <w:b/>
          <w:iCs/>
          <w:szCs w:val="24"/>
        </w:rPr>
        <w:t xml:space="preserve">Освен посочените отговорности, </w:t>
      </w:r>
      <w:r w:rsidRPr="001B0EA3">
        <w:rPr>
          <w:b/>
          <w:bCs/>
          <w:iCs/>
          <w:szCs w:val="24"/>
        </w:rPr>
        <w:t>Директорът на дирекцията е</w:t>
      </w:r>
      <w:r w:rsidRPr="001B0EA3">
        <w:rPr>
          <w:b/>
          <w:iCs/>
          <w:szCs w:val="24"/>
        </w:rPr>
        <w:t xml:space="preserve"> отговорен за:</w:t>
      </w:r>
    </w:p>
    <w:p w14:paraId="3052B795" w14:textId="77777777" w:rsidR="00C84CFA" w:rsidRPr="001B0EA3" w:rsidRDefault="00C84CFA" w:rsidP="00125DAC">
      <w:pPr>
        <w:pStyle w:val="ListParagraph"/>
        <w:spacing w:before="120"/>
        <w:rPr>
          <w:iCs/>
          <w:szCs w:val="24"/>
        </w:rPr>
      </w:pPr>
    </w:p>
    <w:p w14:paraId="70599FD3" w14:textId="77777777" w:rsidR="00C84CFA" w:rsidRPr="001B0EA3" w:rsidRDefault="00C84CFA" w:rsidP="00125DAC">
      <w:pPr>
        <w:pStyle w:val="ListParagraph"/>
        <w:spacing w:before="120"/>
        <w:ind w:left="0" w:firstLine="720"/>
        <w:rPr>
          <w:bCs/>
          <w:szCs w:val="24"/>
        </w:rPr>
      </w:pPr>
      <w:r w:rsidRPr="001B0EA3">
        <w:rPr>
          <w:bCs/>
          <w:szCs w:val="24"/>
        </w:rPr>
        <w:t>а)</w:t>
      </w:r>
      <w:r w:rsidRPr="001B0EA3">
        <w:rPr>
          <w:b/>
        </w:rPr>
        <w:t xml:space="preserve"> </w:t>
      </w:r>
      <w:r w:rsidRPr="001B0EA3">
        <w:rPr>
          <w:bCs/>
          <w:szCs w:val="24"/>
        </w:rPr>
        <w:t>Координация на всички въпроси, свързани с управлението на риска в УО;</w:t>
      </w:r>
    </w:p>
    <w:p w14:paraId="3955538B" w14:textId="77777777" w:rsidR="00C84CFA" w:rsidRPr="001B0EA3" w:rsidRDefault="00C84CFA" w:rsidP="00125DAC">
      <w:pPr>
        <w:pStyle w:val="ListParagraph"/>
        <w:spacing w:before="120"/>
        <w:ind w:left="0" w:firstLine="720"/>
        <w:rPr>
          <w:bCs/>
          <w:szCs w:val="24"/>
        </w:rPr>
      </w:pPr>
      <w:r w:rsidRPr="001B0EA3">
        <w:rPr>
          <w:bCs/>
          <w:szCs w:val="24"/>
        </w:rPr>
        <w:t>б) Съгласуване на Рамката и процеса за управление на риска в УО;</w:t>
      </w:r>
    </w:p>
    <w:p w14:paraId="1972D8EF" w14:textId="77777777" w:rsidR="00C84CFA" w:rsidRPr="001B0EA3" w:rsidRDefault="00C84CFA" w:rsidP="00125DAC">
      <w:pPr>
        <w:pStyle w:val="ListParagraph"/>
        <w:spacing w:before="120"/>
        <w:ind w:left="0" w:firstLine="720"/>
        <w:rPr>
          <w:bCs/>
          <w:szCs w:val="24"/>
        </w:rPr>
      </w:pPr>
      <w:r w:rsidRPr="001B0EA3">
        <w:rPr>
          <w:bCs/>
          <w:szCs w:val="24"/>
        </w:rPr>
        <w:t>в) Ясно комуникиране на рамката и процеса за управление на риска до всички служители, с цел въвеждане на процеса по управление на риска като част от процеса по вземане на решения;</w:t>
      </w:r>
    </w:p>
    <w:p w14:paraId="65F90FB4" w14:textId="77777777" w:rsidR="00C84CFA" w:rsidRPr="001B0EA3" w:rsidRDefault="00C84CFA" w:rsidP="00125DAC">
      <w:pPr>
        <w:pStyle w:val="ListParagraph"/>
        <w:spacing w:before="120"/>
        <w:ind w:left="0" w:firstLine="720"/>
        <w:rPr>
          <w:bCs/>
          <w:szCs w:val="24"/>
        </w:rPr>
      </w:pPr>
      <w:r w:rsidRPr="001B0EA3">
        <w:rPr>
          <w:bCs/>
          <w:szCs w:val="24"/>
        </w:rPr>
        <w:t>г) Организиране на срещите по управление на риска;</w:t>
      </w:r>
    </w:p>
    <w:p w14:paraId="1EDC6627" w14:textId="77777777" w:rsidR="00C84CFA" w:rsidRPr="001B0EA3" w:rsidRDefault="00C84CFA" w:rsidP="00125DAC">
      <w:pPr>
        <w:pStyle w:val="ListParagraph"/>
        <w:spacing w:before="120"/>
        <w:ind w:left="0" w:firstLine="720"/>
        <w:rPr>
          <w:bCs/>
          <w:szCs w:val="24"/>
        </w:rPr>
      </w:pPr>
      <w:r w:rsidRPr="001B0EA3">
        <w:rPr>
          <w:bCs/>
          <w:szCs w:val="24"/>
        </w:rPr>
        <w:t>д) Изготвяне и поддържане на риск-регистър на УО;</w:t>
      </w:r>
    </w:p>
    <w:p w14:paraId="0847A004" w14:textId="77777777" w:rsidR="00C84CFA" w:rsidRPr="001B0EA3" w:rsidRDefault="00C84CFA" w:rsidP="00125DAC">
      <w:pPr>
        <w:pStyle w:val="ListParagraph"/>
        <w:spacing w:before="120"/>
        <w:ind w:left="0" w:firstLine="720"/>
        <w:rPr>
          <w:bCs/>
          <w:szCs w:val="24"/>
        </w:rPr>
      </w:pPr>
      <w:r w:rsidRPr="001B0EA3">
        <w:rPr>
          <w:bCs/>
          <w:szCs w:val="24"/>
        </w:rPr>
        <w:t>е) Документиране на резултатите, свързани с управлението на риска и информиране на  служителите относно рисковете с цел внедряване на управлението на риска като част от процеса по вземане на решения;</w:t>
      </w:r>
    </w:p>
    <w:p w14:paraId="3ED2759F" w14:textId="77777777" w:rsidR="00C84CFA" w:rsidRPr="001B0EA3" w:rsidRDefault="00C84CFA" w:rsidP="00125DAC">
      <w:pPr>
        <w:pStyle w:val="ListParagraph"/>
        <w:spacing w:before="120"/>
        <w:ind w:left="0" w:firstLine="720"/>
        <w:rPr>
          <w:bCs/>
          <w:szCs w:val="24"/>
        </w:rPr>
      </w:pPr>
      <w:r w:rsidRPr="001B0EA3">
        <w:rPr>
          <w:bCs/>
          <w:szCs w:val="24"/>
        </w:rPr>
        <w:t>ж) Наблюдение за изпълнението на взетите решения, свързани с управлението на риска и изпълнението на плана за действие.</w:t>
      </w:r>
    </w:p>
    <w:p w14:paraId="2AF72922" w14:textId="77777777" w:rsidR="00C84CFA" w:rsidRPr="001B0EA3" w:rsidRDefault="00C84CFA" w:rsidP="00125DAC">
      <w:pPr>
        <w:pStyle w:val="ListParagraph"/>
        <w:spacing w:before="120"/>
        <w:ind w:left="0" w:firstLine="720"/>
        <w:rPr>
          <w:bCs/>
          <w:szCs w:val="24"/>
        </w:rPr>
      </w:pPr>
      <w:r w:rsidRPr="001B0EA3">
        <w:rPr>
          <w:bCs/>
          <w:szCs w:val="24"/>
        </w:rPr>
        <w:t>з) Докладване на Ръководителя на УО на всички въпроси, свързани с управлението на риска.</w:t>
      </w:r>
    </w:p>
    <w:p w14:paraId="66F1C50E" w14:textId="77777777" w:rsidR="00C84CFA" w:rsidRPr="001B0EA3" w:rsidRDefault="00C84CFA" w:rsidP="00125DAC">
      <w:pPr>
        <w:pStyle w:val="ListParagraph"/>
        <w:spacing w:before="120"/>
        <w:rPr>
          <w:bCs/>
          <w:szCs w:val="24"/>
        </w:rPr>
      </w:pPr>
    </w:p>
    <w:p w14:paraId="6421A3C5" w14:textId="6A0F596D" w:rsidR="00C84CFA" w:rsidRPr="001B0EA3" w:rsidRDefault="00C84CFA" w:rsidP="00125DAC">
      <w:pPr>
        <w:pStyle w:val="ListParagraph"/>
        <w:spacing w:before="120"/>
        <w:rPr>
          <w:b/>
          <w:bCs/>
          <w:iCs/>
          <w:szCs w:val="24"/>
        </w:rPr>
      </w:pPr>
      <w:bookmarkStart w:id="1294" w:name="_Toc249326100"/>
      <w:r w:rsidRPr="001B0EA3">
        <w:rPr>
          <w:b/>
          <w:bCs/>
          <w:iCs/>
          <w:szCs w:val="24"/>
        </w:rPr>
        <w:t>Отдел „</w:t>
      </w:r>
      <w:r w:rsidR="001C2D7E">
        <w:rPr>
          <w:b/>
          <w:bCs/>
          <w:iCs/>
          <w:szCs w:val="24"/>
        </w:rPr>
        <w:t>Управление на риска</w:t>
      </w:r>
      <w:r w:rsidRPr="001B0EA3">
        <w:rPr>
          <w:b/>
          <w:bCs/>
          <w:iCs/>
          <w:szCs w:val="24"/>
        </w:rPr>
        <w:t xml:space="preserve">“ </w:t>
      </w:r>
    </w:p>
    <w:p w14:paraId="799495CE" w14:textId="77777777" w:rsidR="00C84CFA" w:rsidRPr="001B0EA3" w:rsidRDefault="00C84CFA" w:rsidP="0054623A">
      <w:pPr>
        <w:pStyle w:val="ListParagraph"/>
        <w:numPr>
          <w:ilvl w:val="0"/>
          <w:numId w:val="254"/>
        </w:numPr>
        <w:spacing w:before="120"/>
        <w:ind w:left="0" w:firstLine="360"/>
        <w:rPr>
          <w:bCs/>
          <w:iCs/>
          <w:szCs w:val="24"/>
        </w:rPr>
      </w:pPr>
      <w:r w:rsidRPr="001B0EA3">
        <w:rPr>
          <w:bCs/>
          <w:iCs/>
          <w:szCs w:val="24"/>
        </w:rPr>
        <w:t>Подпомага директора на дирекцията на УО в изпълнението на описаните по-горе задължения съгласно функциите на отдела</w:t>
      </w:r>
    </w:p>
    <w:p w14:paraId="5443E67D" w14:textId="77777777" w:rsidR="00C84CFA" w:rsidRPr="001B0EA3" w:rsidRDefault="00C84CFA" w:rsidP="0054623A">
      <w:pPr>
        <w:pStyle w:val="ListParagraph"/>
        <w:numPr>
          <w:ilvl w:val="0"/>
          <w:numId w:val="254"/>
        </w:numPr>
        <w:spacing w:before="120"/>
        <w:ind w:left="0" w:firstLine="360"/>
        <w:rPr>
          <w:bCs/>
          <w:iCs/>
          <w:szCs w:val="24"/>
        </w:rPr>
      </w:pPr>
      <w:r w:rsidRPr="001B0EA3">
        <w:rPr>
          <w:bCs/>
          <w:iCs/>
          <w:szCs w:val="24"/>
        </w:rPr>
        <w:t>Консултира по въпросите свързани с управление на риска</w:t>
      </w:r>
    </w:p>
    <w:p w14:paraId="4BEE1D8E" w14:textId="77777777" w:rsidR="00C84CFA" w:rsidRPr="001B0EA3" w:rsidRDefault="00C84CFA" w:rsidP="0054623A">
      <w:pPr>
        <w:pStyle w:val="ListParagraph"/>
        <w:numPr>
          <w:ilvl w:val="0"/>
          <w:numId w:val="254"/>
        </w:numPr>
        <w:spacing w:before="120"/>
        <w:ind w:left="0" w:firstLine="360"/>
        <w:rPr>
          <w:bCs/>
          <w:iCs/>
          <w:szCs w:val="24"/>
        </w:rPr>
      </w:pPr>
      <w:r w:rsidRPr="001B0EA3">
        <w:rPr>
          <w:rFonts w:eastAsia="EUAlbertina-Regu-Identity-H"/>
          <w:bCs/>
          <w:iCs/>
          <w:color w:val="000000"/>
          <w:w w:val="103"/>
          <w:szCs w:val="24"/>
        </w:rPr>
        <w:t>Обезпечава организационно работата на Комитета по риска на ОП ТТИ</w:t>
      </w:r>
    </w:p>
    <w:p w14:paraId="08F0A9C1" w14:textId="77777777" w:rsidR="00C84CFA" w:rsidRPr="00D50C0C" w:rsidRDefault="00C84CFA" w:rsidP="0054623A">
      <w:pPr>
        <w:pStyle w:val="ListParagraph"/>
        <w:numPr>
          <w:ilvl w:val="0"/>
          <w:numId w:val="254"/>
        </w:numPr>
        <w:spacing w:before="120"/>
        <w:ind w:left="0" w:firstLine="360"/>
        <w:rPr>
          <w:bCs/>
          <w:iCs/>
          <w:szCs w:val="24"/>
        </w:rPr>
      </w:pPr>
      <w:r w:rsidRPr="001B0EA3">
        <w:rPr>
          <w:rFonts w:eastAsia="EUAlbertina-Regu-Identity-H"/>
          <w:bCs/>
          <w:iCs/>
          <w:color w:val="000000"/>
          <w:w w:val="103"/>
          <w:szCs w:val="24"/>
        </w:rPr>
        <w:t>Изпълнява други специфични дейности свързани с управлението на риска съгласно описанието на системата и процедурния наръчник на УО на ОП ТТИ</w:t>
      </w:r>
    </w:p>
    <w:p w14:paraId="13AD0A70" w14:textId="77777777" w:rsidR="00D50C0C" w:rsidRPr="001B0EA3" w:rsidRDefault="00D50C0C" w:rsidP="00D50C0C">
      <w:pPr>
        <w:pStyle w:val="ListParagraph"/>
        <w:numPr>
          <w:ilvl w:val="0"/>
          <w:numId w:val="254"/>
        </w:numPr>
        <w:tabs>
          <w:tab w:val="left" w:pos="1134"/>
        </w:tabs>
      </w:pPr>
      <w:r w:rsidRPr="001B0EA3">
        <w:t xml:space="preserve">Координира изготвянето на обобщена информация за изпълнение на препоръките от проведените одити на ОПТТИ; </w:t>
      </w:r>
    </w:p>
    <w:p w14:paraId="7E2DE5E7" w14:textId="69E6972B" w:rsidR="00D50C0C" w:rsidRPr="001B0EA3" w:rsidRDefault="00D50C0C" w:rsidP="00D50C0C">
      <w:pPr>
        <w:pStyle w:val="ListParagraph"/>
        <w:numPr>
          <w:ilvl w:val="0"/>
          <w:numId w:val="254"/>
        </w:numPr>
        <w:tabs>
          <w:tab w:val="left" w:pos="1134"/>
        </w:tabs>
      </w:pPr>
      <w:r w:rsidRPr="001B0EA3">
        <w:t>Обобщава информацията за изпълнението на плановете за действие, изготвени във връзка с одитите на ОПТТИ;</w:t>
      </w:r>
      <w:r w:rsidRPr="00D50C0C" w:rsidDel="008C1156">
        <w:t xml:space="preserve"> </w:t>
      </w:r>
    </w:p>
    <w:p w14:paraId="41D9BA71" w14:textId="77777777" w:rsidR="00D50C0C" w:rsidRPr="00D50C0C" w:rsidRDefault="00D50C0C" w:rsidP="00D50C0C">
      <w:pPr>
        <w:pStyle w:val="ListParagraph"/>
        <w:tabs>
          <w:tab w:val="left" w:pos="1134"/>
        </w:tabs>
        <w:ind w:firstLine="0"/>
      </w:pPr>
    </w:p>
    <w:p w14:paraId="58D24DB4" w14:textId="77777777" w:rsidR="00C84CFA" w:rsidRPr="001B0EA3" w:rsidRDefault="00C84CFA" w:rsidP="00125DAC">
      <w:pPr>
        <w:pStyle w:val="ListParagraph"/>
        <w:spacing w:before="120"/>
      </w:pPr>
    </w:p>
    <w:p w14:paraId="16FBC544" w14:textId="77777777" w:rsidR="00C84CFA" w:rsidRPr="001B0EA3" w:rsidRDefault="00C84CFA" w:rsidP="00125DAC">
      <w:pPr>
        <w:pStyle w:val="ListParagraph"/>
        <w:spacing w:before="120"/>
        <w:jc w:val="left"/>
        <w:rPr>
          <w:b/>
          <w:bCs/>
          <w:iCs/>
          <w:szCs w:val="24"/>
        </w:rPr>
      </w:pPr>
      <w:r w:rsidRPr="001B0EA3">
        <w:rPr>
          <w:b/>
          <w:bCs/>
          <w:iCs/>
          <w:szCs w:val="24"/>
        </w:rPr>
        <w:t>Служители</w:t>
      </w:r>
      <w:bookmarkEnd w:id="1294"/>
    </w:p>
    <w:p w14:paraId="53CB7122" w14:textId="77777777" w:rsidR="00C84CFA" w:rsidRPr="001B0EA3" w:rsidRDefault="00C84CFA" w:rsidP="00125DAC">
      <w:pPr>
        <w:spacing w:before="120"/>
        <w:ind w:firstLine="708"/>
        <w:rPr>
          <w:szCs w:val="24"/>
        </w:rPr>
      </w:pPr>
      <w:r w:rsidRPr="001B0EA3">
        <w:rPr>
          <w:szCs w:val="24"/>
        </w:rPr>
        <w:lastRenderedPageBreak/>
        <w:t>Служителите на Управляващия орган изпълняват всички възложени от съответния началник на отдел дейности, свързани с процеса по управление на риска.</w:t>
      </w:r>
    </w:p>
    <w:p w14:paraId="3EBFFE5E" w14:textId="77777777" w:rsidR="00C84CFA" w:rsidRPr="001B0EA3" w:rsidRDefault="00C84CFA" w:rsidP="00046D61">
      <w:pPr>
        <w:widowControl w:val="0"/>
        <w:tabs>
          <w:tab w:val="left" w:pos="1960"/>
        </w:tabs>
        <w:autoSpaceDE w:val="0"/>
        <w:autoSpaceDN w:val="0"/>
        <w:adjustRightInd w:val="0"/>
        <w:ind w:firstLine="360"/>
        <w:rPr>
          <w:rFonts w:eastAsia="EUAlbertina-Regu-Identity-H"/>
          <w:szCs w:val="24"/>
        </w:rPr>
      </w:pPr>
    </w:p>
    <w:p w14:paraId="668E2DE5" w14:textId="77777777" w:rsidR="00C84CFA" w:rsidRPr="001B0EA3" w:rsidRDefault="00C84CFA" w:rsidP="00046D61">
      <w:pPr>
        <w:widowControl w:val="0"/>
        <w:tabs>
          <w:tab w:val="left" w:pos="1960"/>
        </w:tabs>
        <w:autoSpaceDE w:val="0"/>
        <w:autoSpaceDN w:val="0"/>
        <w:adjustRightInd w:val="0"/>
        <w:ind w:firstLine="360"/>
        <w:rPr>
          <w:rFonts w:eastAsia="EUAlbertina-Regu-Identity-H"/>
          <w:szCs w:val="24"/>
        </w:rPr>
      </w:pPr>
    </w:p>
    <w:p w14:paraId="77838A8C" w14:textId="77777777" w:rsidR="00C84CFA" w:rsidRPr="001B0EA3" w:rsidRDefault="00C84CFA" w:rsidP="00046D61">
      <w:pPr>
        <w:widowControl w:val="0"/>
        <w:autoSpaceDE w:val="0"/>
        <w:autoSpaceDN w:val="0"/>
        <w:adjustRightInd w:val="0"/>
        <w:rPr>
          <w:rFonts w:eastAsia="EUAlbertina-Regu-Identity-H"/>
          <w:b/>
          <w:szCs w:val="24"/>
        </w:rPr>
      </w:pPr>
      <w:r w:rsidRPr="001B0EA3">
        <w:rPr>
          <w:rFonts w:eastAsia="EUAlbertina-Regu-Identity-H"/>
          <w:b/>
          <w:szCs w:val="24"/>
        </w:rPr>
        <w:tab/>
        <w:t xml:space="preserve">Комитет по риска </w:t>
      </w:r>
    </w:p>
    <w:p w14:paraId="0C670D55" w14:textId="77777777" w:rsidR="00C84CFA" w:rsidRPr="001B0EA3" w:rsidRDefault="00C84CFA" w:rsidP="00125DAC">
      <w:pPr>
        <w:shd w:val="clear" w:color="auto" w:fill="FFFFFF"/>
        <w:ind w:firstLine="708"/>
        <w:textAlignment w:val="center"/>
      </w:pPr>
      <w:r w:rsidRPr="001B0EA3">
        <w:rPr>
          <w:rFonts w:eastAsia="EUAlbertina-Regu-Identity-H"/>
          <w:bCs/>
          <w:color w:val="000000"/>
          <w:w w:val="103"/>
          <w:szCs w:val="24"/>
        </w:rPr>
        <w:t>По предложение на директора на дирекция „Координация на програми и проекти“, Ръководителят на УО може да назначава Комитет по риска на ОП ТТИ. Комитетът по риска подпомага осъществяването на дейността по управление на риска</w:t>
      </w:r>
      <w:r w:rsidRPr="001B0EA3">
        <w:rPr>
          <w:rFonts w:eastAsia="EUAlbertina-Regu-Identity-H"/>
          <w:b/>
          <w:i/>
          <w:color w:val="000000"/>
          <w:w w:val="103"/>
        </w:rPr>
        <w:t>,</w:t>
      </w:r>
      <w:r w:rsidRPr="001B0EA3">
        <w:rPr>
          <w:rFonts w:eastAsia="EUAlbertina-Regu-Identity-H"/>
          <w:bCs/>
          <w:color w:val="000000"/>
          <w:w w:val="103"/>
          <w:szCs w:val="24"/>
        </w:rPr>
        <w:t xml:space="preserve"> като дава становище по рамката и процедурите за управление на риска на УО на ОПТТИ, по плановете за управление на риска, запознава се и взема отношение по годишния доклад за дейността по управление на риска и по всички значими въпроси, свързани с управление на риска.</w:t>
      </w:r>
    </w:p>
    <w:p w14:paraId="68771BB7" w14:textId="77777777" w:rsidR="00C84CFA" w:rsidRPr="001B0EA3" w:rsidRDefault="00C84CFA" w:rsidP="00125D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szCs w:val="24"/>
        </w:rPr>
      </w:pPr>
    </w:p>
    <w:p w14:paraId="3C6F3145" w14:textId="77777777" w:rsidR="00C84CFA" w:rsidRPr="00842ECC" w:rsidRDefault="00C84CFA" w:rsidP="00942609">
      <w:pPr>
        <w:pStyle w:val="Style3"/>
        <w:rPr>
          <w:snapToGrid w:val="0"/>
          <w:lang w:val="bg-BG"/>
        </w:rPr>
      </w:pPr>
      <w:bookmarkStart w:id="1295" w:name="_Toc464639637"/>
      <w:bookmarkStart w:id="1296" w:name="_Toc479775806"/>
      <w:r w:rsidRPr="00842ECC">
        <w:rPr>
          <w:snapToGrid w:val="0"/>
          <w:lang w:val="bg-BG"/>
        </w:rPr>
        <w:t>Развитие на рамката за управление на риска</w:t>
      </w:r>
      <w:bookmarkEnd w:id="1295"/>
      <w:bookmarkEnd w:id="1296"/>
    </w:p>
    <w:p w14:paraId="10C1EC3A" w14:textId="77777777" w:rsidR="00C84CFA" w:rsidRPr="001B0EA3" w:rsidRDefault="00C84CFA" w:rsidP="00125DAC">
      <w:pPr>
        <w:ind w:firstLine="709"/>
        <w:rPr>
          <w:rFonts w:eastAsia="EUAlbertina-Regu-Identity-H"/>
          <w:bCs/>
          <w:color w:val="000000"/>
          <w:w w:val="103"/>
          <w:szCs w:val="24"/>
        </w:rPr>
      </w:pPr>
      <w:r w:rsidRPr="001B0EA3">
        <w:rPr>
          <w:rFonts w:eastAsia="EUAlbertina-Regu-Identity-H"/>
          <w:bCs/>
          <w:color w:val="000000"/>
          <w:w w:val="103"/>
          <w:szCs w:val="24"/>
        </w:rPr>
        <w:t>УО планира, на база първоначалния опит от работата по ОПТТИ, да проучи възможностите които предоставя подобреният процес на управление на риска за постигане на стратегическите и оперативни цели на програмата и да допълни, при необходимост и при спазване на процедурата, настоящата рамка за управление на риска и процедурите за управление на риска от ПНУИ на ОПТТИ.</w:t>
      </w:r>
    </w:p>
    <w:p w14:paraId="7A901D79" w14:textId="77777777" w:rsidR="00C84CFA" w:rsidRPr="001B0EA3" w:rsidRDefault="00C84CFA" w:rsidP="00046D61">
      <w:pPr>
        <w:widowControl w:val="0"/>
        <w:autoSpaceDE w:val="0"/>
        <w:autoSpaceDN w:val="0"/>
        <w:adjustRightInd w:val="0"/>
        <w:ind w:firstLine="567"/>
        <w:contextualSpacing/>
        <w:rPr>
          <w:szCs w:val="24"/>
          <w:lang w:eastAsia="en-US"/>
        </w:rPr>
      </w:pPr>
    </w:p>
    <w:p w14:paraId="05C791D6" w14:textId="77777777" w:rsidR="00C84CFA" w:rsidRPr="001B0EA3" w:rsidRDefault="00C84CFA" w:rsidP="00125DAC">
      <w:pPr>
        <w:ind w:firstLine="709"/>
        <w:rPr>
          <w:rFonts w:eastAsia="EUAlbertina-Regu-Identity-H"/>
          <w:bCs/>
          <w:color w:val="000000"/>
          <w:w w:val="103"/>
          <w:szCs w:val="24"/>
        </w:rPr>
      </w:pPr>
    </w:p>
    <w:p w14:paraId="5432815A" w14:textId="77777777" w:rsidR="00C84CFA" w:rsidRPr="00842ECC" w:rsidRDefault="00C84CFA" w:rsidP="00B502C7">
      <w:pPr>
        <w:pStyle w:val="Style2"/>
        <w:rPr>
          <w:lang w:val="bg-BG" w:eastAsia="bg-BG"/>
        </w:rPr>
      </w:pPr>
      <w:bookmarkStart w:id="1297" w:name="_Toc479775807"/>
      <w:bookmarkStart w:id="1298" w:name="_Toc140150295"/>
      <w:r w:rsidRPr="00842ECC">
        <w:rPr>
          <w:lang w:val="bg-BG"/>
        </w:rPr>
        <w:t>Политика за управление на риска от измама</w:t>
      </w:r>
      <w:bookmarkEnd w:id="1297"/>
      <w:bookmarkEnd w:id="1298"/>
    </w:p>
    <w:p w14:paraId="309945E5" w14:textId="77777777" w:rsidR="00C84CFA" w:rsidRPr="001B0EA3" w:rsidRDefault="00C84CFA" w:rsidP="00046D61">
      <w:pPr>
        <w:widowControl w:val="0"/>
        <w:autoSpaceDE w:val="0"/>
        <w:autoSpaceDN w:val="0"/>
        <w:adjustRightInd w:val="0"/>
        <w:contextualSpacing/>
        <w:rPr>
          <w:szCs w:val="24"/>
          <w:lang w:eastAsia="en-US"/>
        </w:rPr>
      </w:pPr>
    </w:p>
    <w:p w14:paraId="031B20C3" w14:textId="77777777" w:rsidR="00C84CFA" w:rsidRPr="001B0EA3" w:rsidRDefault="00C84CFA" w:rsidP="00046D61">
      <w:pPr>
        <w:widowControl w:val="0"/>
        <w:autoSpaceDE w:val="0"/>
        <w:autoSpaceDN w:val="0"/>
        <w:adjustRightInd w:val="0"/>
        <w:ind w:firstLine="567"/>
        <w:contextualSpacing/>
        <w:rPr>
          <w:b/>
          <w:color w:val="222222"/>
          <w:szCs w:val="24"/>
          <w:lang w:eastAsia="en-US"/>
        </w:rPr>
      </w:pPr>
      <w:r w:rsidRPr="001B0EA3">
        <w:rPr>
          <w:b/>
          <w:color w:val="222222"/>
          <w:szCs w:val="24"/>
          <w:lang w:eastAsia="en-US"/>
        </w:rPr>
        <w:t xml:space="preserve">Въведение </w:t>
      </w:r>
    </w:p>
    <w:p w14:paraId="42C47FA7" w14:textId="77777777" w:rsidR="00C84CFA" w:rsidRPr="001B0EA3" w:rsidRDefault="00C84CFA" w:rsidP="00046D61">
      <w:pPr>
        <w:widowControl w:val="0"/>
        <w:autoSpaceDE w:val="0"/>
        <w:autoSpaceDN w:val="0"/>
        <w:adjustRightInd w:val="0"/>
        <w:ind w:firstLine="567"/>
        <w:contextualSpacing/>
        <w:rPr>
          <w:color w:val="222222"/>
          <w:szCs w:val="24"/>
          <w:lang w:eastAsia="en-US"/>
        </w:rPr>
      </w:pPr>
      <w:r w:rsidRPr="001B0EA3">
        <w:rPr>
          <w:color w:val="222222"/>
          <w:szCs w:val="24"/>
          <w:lang w:eastAsia="en-US"/>
        </w:rPr>
        <w:t>Управляващият орган на ОПТТИ се ангажира да поддържа високи юридически, етични и морални норми, да се придържа към принципите на почтеност, обективност и честност и желае от начина по който извършва дейността си да е видно, че се бори срещу измамите и  корупцията.  От всички служители на УО се очаква да споделят тази цел. Целта на настоящата политика е да насърчава култура, която възпира измамна дейност и улеснява предотвратяването и разкриването на измами, включително чрез разработването на процедури, които ще подпомогнат извършването на преглед на случаите на съмнения  за измами и свързани с тях нарушения и ще гарантират, че такива случаи се разглеждат своевременно и по подходящ начин.</w:t>
      </w:r>
    </w:p>
    <w:p w14:paraId="076206F6" w14:textId="77777777" w:rsidR="00C84CFA" w:rsidRPr="001B0EA3" w:rsidRDefault="00C84CFA" w:rsidP="00046D61">
      <w:pPr>
        <w:widowControl w:val="0"/>
        <w:autoSpaceDE w:val="0"/>
        <w:autoSpaceDN w:val="0"/>
        <w:adjustRightInd w:val="0"/>
        <w:ind w:firstLine="567"/>
        <w:contextualSpacing/>
        <w:rPr>
          <w:color w:val="222222"/>
          <w:szCs w:val="24"/>
          <w:lang w:eastAsia="en-US"/>
        </w:rPr>
      </w:pPr>
      <w:r w:rsidRPr="001B0EA3">
        <w:rPr>
          <w:color w:val="222222"/>
          <w:szCs w:val="24"/>
          <w:lang w:eastAsia="en-US"/>
        </w:rPr>
        <w:t>Въвежда се процедура за разкриване на случаи на конфликт на интереси</w:t>
      </w:r>
    </w:p>
    <w:p w14:paraId="56B1B4F4" w14:textId="77777777" w:rsidR="00C84CFA" w:rsidRPr="001B0EA3" w:rsidRDefault="00C84CFA" w:rsidP="00046D61">
      <w:pPr>
        <w:widowControl w:val="0"/>
        <w:autoSpaceDE w:val="0"/>
        <w:autoSpaceDN w:val="0"/>
        <w:adjustRightInd w:val="0"/>
        <w:ind w:firstLine="567"/>
        <w:contextualSpacing/>
        <w:rPr>
          <w:b/>
          <w:color w:val="222222"/>
          <w:szCs w:val="24"/>
          <w:lang w:eastAsia="en-US"/>
        </w:rPr>
      </w:pPr>
    </w:p>
    <w:p w14:paraId="7A77C735" w14:textId="77777777" w:rsidR="00C84CFA" w:rsidRPr="001B0EA3" w:rsidRDefault="00C84CFA" w:rsidP="00046D61">
      <w:pPr>
        <w:widowControl w:val="0"/>
        <w:autoSpaceDE w:val="0"/>
        <w:autoSpaceDN w:val="0"/>
        <w:adjustRightInd w:val="0"/>
        <w:ind w:firstLine="567"/>
        <w:contextualSpacing/>
        <w:rPr>
          <w:b/>
          <w:color w:val="222222"/>
          <w:szCs w:val="24"/>
          <w:lang w:eastAsia="en-US"/>
        </w:rPr>
      </w:pPr>
      <w:r w:rsidRPr="001B0EA3">
        <w:rPr>
          <w:b/>
          <w:color w:val="222222"/>
          <w:szCs w:val="24"/>
          <w:lang w:eastAsia="en-US"/>
        </w:rPr>
        <w:t>Отговорности</w:t>
      </w:r>
    </w:p>
    <w:p w14:paraId="602242E6" w14:textId="77777777" w:rsidR="00C84CFA" w:rsidRPr="001B0EA3" w:rsidRDefault="00C84CFA" w:rsidP="00046D61">
      <w:pPr>
        <w:widowControl w:val="0"/>
        <w:autoSpaceDE w:val="0"/>
        <w:autoSpaceDN w:val="0"/>
        <w:adjustRightInd w:val="0"/>
        <w:ind w:firstLine="567"/>
        <w:contextualSpacing/>
        <w:rPr>
          <w:b/>
          <w:color w:val="222222"/>
          <w:szCs w:val="24"/>
          <w:lang w:eastAsia="en-US"/>
        </w:rPr>
      </w:pPr>
    </w:p>
    <w:p w14:paraId="1D6D5B22" w14:textId="466C7142" w:rsidR="00C84CFA" w:rsidRPr="001B0EA3" w:rsidRDefault="00C84CFA" w:rsidP="00046D61">
      <w:pPr>
        <w:widowControl w:val="0"/>
        <w:autoSpaceDE w:val="0"/>
        <w:autoSpaceDN w:val="0"/>
        <w:adjustRightInd w:val="0"/>
        <w:ind w:firstLine="567"/>
        <w:contextualSpacing/>
        <w:rPr>
          <w:color w:val="222222"/>
          <w:szCs w:val="24"/>
          <w:lang w:eastAsia="en-US"/>
        </w:rPr>
      </w:pPr>
      <w:r w:rsidRPr="001B0EA3">
        <w:rPr>
          <w:b/>
          <w:color w:val="222222"/>
          <w:szCs w:val="24"/>
          <w:lang w:eastAsia="en-US"/>
        </w:rPr>
        <w:t>І.</w:t>
      </w:r>
      <w:r w:rsidRPr="001B0EA3">
        <w:rPr>
          <w:color w:val="222222"/>
          <w:szCs w:val="24"/>
          <w:lang w:eastAsia="en-US"/>
        </w:rPr>
        <w:t xml:space="preserve"> В рамките на УО, отговорността за управлението на риска от измами и корупция се делегир</w:t>
      </w:r>
      <w:r w:rsidR="00297007">
        <w:rPr>
          <w:color w:val="222222"/>
          <w:szCs w:val="24"/>
          <w:lang w:eastAsia="en-US"/>
        </w:rPr>
        <w:t>а на отдел „Управление на риска</w:t>
      </w:r>
      <w:r w:rsidRPr="001B0EA3">
        <w:rPr>
          <w:color w:val="222222"/>
          <w:szCs w:val="24"/>
          <w:lang w:eastAsia="en-US"/>
        </w:rPr>
        <w:t>“, който носи отговорността за:</w:t>
      </w:r>
    </w:p>
    <w:p w14:paraId="074DD835" w14:textId="77777777" w:rsidR="00C84CFA" w:rsidRPr="001B0EA3" w:rsidRDefault="00C84CFA" w:rsidP="00046D61">
      <w:pPr>
        <w:widowControl w:val="0"/>
        <w:autoSpaceDE w:val="0"/>
        <w:autoSpaceDN w:val="0"/>
        <w:adjustRightInd w:val="0"/>
        <w:ind w:firstLine="567"/>
        <w:contextualSpacing/>
        <w:rPr>
          <w:color w:val="222222"/>
          <w:szCs w:val="24"/>
          <w:lang w:eastAsia="en-US"/>
        </w:rPr>
      </w:pPr>
      <w:r w:rsidRPr="001B0EA3">
        <w:rPr>
          <w:color w:val="222222"/>
          <w:szCs w:val="24"/>
          <w:lang w:eastAsia="en-US"/>
        </w:rPr>
        <w:t>•</w:t>
      </w:r>
      <w:r w:rsidRPr="001B0EA3">
        <w:rPr>
          <w:color w:val="222222"/>
          <w:szCs w:val="24"/>
          <w:lang w:eastAsia="en-US"/>
        </w:rPr>
        <w:tab/>
        <w:t>Реализирането на редовен преглед на случаите за риск от измами;</w:t>
      </w:r>
    </w:p>
    <w:p w14:paraId="506C2D37" w14:textId="77777777" w:rsidR="00C84CFA" w:rsidRPr="001B0EA3" w:rsidRDefault="00C84CFA" w:rsidP="00046D61">
      <w:pPr>
        <w:widowControl w:val="0"/>
        <w:autoSpaceDE w:val="0"/>
        <w:autoSpaceDN w:val="0"/>
        <w:adjustRightInd w:val="0"/>
        <w:ind w:firstLine="567"/>
        <w:contextualSpacing/>
        <w:rPr>
          <w:color w:val="222222"/>
          <w:szCs w:val="24"/>
          <w:lang w:eastAsia="en-US"/>
        </w:rPr>
      </w:pPr>
      <w:r w:rsidRPr="001B0EA3">
        <w:rPr>
          <w:color w:val="222222"/>
          <w:szCs w:val="24"/>
          <w:lang w:eastAsia="en-US"/>
        </w:rPr>
        <w:t>•</w:t>
      </w:r>
      <w:r w:rsidRPr="001B0EA3">
        <w:rPr>
          <w:color w:val="222222"/>
          <w:szCs w:val="24"/>
          <w:lang w:eastAsia="en-US"/>
        </w:rPr>
        <w:tab/>
        <w:t xml:space="preserve"> Създаване на ефективна политика за борба с измамите и план за отговор на измамите;</w:t>
      </w:r>
    </w:p>
    <w:p w14:paraId="610F6727" w14:textId="77777777" w:rsidR="00C84CFA" w:rsidRPr="001B0EA3" w:rsidRDefault="00C84CFA" w:rsidP="00046D61">
      <w:pPr>
        <w:widowControl w:val="0"/>
        <w:autoSpaceDE w:val="0"/>
        <w:autoSpaceDN w:val="0"/>
        <w:adjustRightInd w:val="0"/>
        <w:ind w:firstLine="567"/>
        <w:contextualSpacing/>
        <w:rPr>
          <w:color w:val="222222"/>
          <w:szCs w:val="24"/>
          <w:lang w:eastAsia="en-US"/>
        </w:rPr>
      </w:pPr>
      <w:r w:rsidRPr="001B0EA3">
        <w:rPr>
          <w:color w:val="222222"/>
          <w:szCs w:val="24"/>
          <w:lang w:eastAsia="en-US"/>
        </w:rPr>
        <w:t>•</w:t>
      </w:r>
      <w:r w:rsidRPr="001B0EA3">
        <w:rPr>
          <w:color w:val="222222"/>
          <w:szCs w:val="24"/>
          <w:lang w:eastAsia="en-US"/>
        </w:rPr>
        <w:tab/>
        <w:t>Осигуряване на осведомеността на персонала за случаите на измами и обучението за борба с тях;</w:t>
      </w:r>
    </w:p>
    <w:p w14:paraId="26F52AA5" w14:textId="77777777" w:rsidR="00C84CFA" w:rsidRPr="001B0EA3" w:rsidRDefault="00C84CFA" w:rsidP="00046D61">
      <w:pPr>
        <w:widowControl w:val="0"/>
        <w:autoSpaceDE w:val="0"/>
        <w:autoSpaceDN w:val="0"/>
        <w:adjustRightInd w:val="0"/>
        <w:ind w:firstLine="567"/>
        <w:contextualSpacing/>
        <w:rPr>
          <w:color w:val="222222"/>
          <w:szCs w:val="24"/>
          <w:lang w:eastAsia="en-US"/>
        </w:rPr>
      </w:pPr>
      <w:r w:rsidRPr="001B0EA3">
        <w:rPr>
          <w:color w:val="222222"/>
          <w:szCs w:val="24"/>
          <w:lang w:eastAsia="en-US"/>
        </w:rPr>
        <w:t xml:space="preserve">При изпълнението на тези задачи отдела ще анализира одитните доклади и друга релевантна информация от компетентните органи, и от ръководещите различните процеси в рамките на УО служители. </w:t>
      </w:r>
    </w:p>
    <w:p w14:paraId="2671CFDD" w14:textId="77777777" w:rsidR="00C84CFA" w:rsidRPr="001B0EA3" w:rsidRDefault="00C84CFA" w:rsidP="00046D61">
      <w:pPr>
        <w:widowControl w:val="0"/>
        <w:autoSpaceDE w:val="0"/>
        <w:autoSpaceDN w:val="0"/>
        <w:adjustRightInd w:val="0"/>
        <w:ind w:firstLine="567"/>
        <w:contextualSpacing/>
        <w:rPr>
          <w:b/>
          <w:color w:val="222222"/>
          <w:szCs w:val="24"/>
          <w:lang w:eastAsia="en-US"/>
        </w:rPr>
      </w:pPr>
    </w:p>
    <w:p w14:paraId="7740158B" w14:textId="77777777" w:rsidR="00C84CFA" w:rsidRPr="001B0EA3" w:rsidRDefault="00C84CFA" w:rsidP="00046D61">
      <w:pPr>
        <w:widowControl w:val="0"/>
        <w:autoSpaceDE w:val="0"/>
        <w:autoSpaceDN w:val="0"/>
        <w:adjustRightInd w:val="0"/>
        <w:ind w:firstLine="567"/>
        <w:contextualSpacing/>
        <w:rPr>
          <w:color w:val="222222"/>
          <w:szCs w:val="24"/>
          <w:lang w:eastAsia="en-US"/>
        </w:rPr>
      </w:pPr>
      <w:r w:rsidRPr="001B0EA3">
        <w:rPr>
          <w:b/>
          <w:color w:val="222222"/>
          <w:szCs w:val="24"/>
          <w:lang w:eastAsia="en-US"/>
        </w:rPr>
        <w:t>ІІ.</w:t>
      </w:r>
      <w:r w:rsidRPr="001B0EA3">
        <w:rPr>
          <w:color w:val="222222"/>
          <w:szCs w:val="24"/>
          <w:lang w:eastAsia="en-US"/>
        </w:rPr>
        <w:t xml:space="preserve"> Отговорните за осъществяването на/управляващите различни процеси в  рамките на УО са отговорни за текущото управление на риска от измами и изпълнените на плановете за действие, както е отбелязано в оценката на рисковете от измами и по специално за:</w:t>
      </w:r>
    </w:p>
    <w:p w14:paraId="7087618A" w14:textId="77777777" w:rsidR="00C84CFA" w:rsidRPr="001B0EA3" w:rsidRDefault="00C84CFA" w:rsidP="00046D61">
      <w:pPr>
        <w:widowControl w:val="0"/>
        <w:autoSpaceDE w:val="0"/>
        <w:autoSpaceDN w:val="0"/>
        <w:adjustRightInd w:val="0"/>
        <w:ind w:firstLine="567"/>
        <w:contextualSpacing/>
        <w:rPr>
          <w:color w:val="222222"/>
          <w:szCs w:val="24"/>
          <w:lang w:eastAsia="en-US"/>
        </w:rPr>
      </w:pPr>
      <w:r w:rsidRPr="001B0EA3">
        <w:rPr>
          <w:color w:val="222222"/>
          <w:szCs w:val="24"/>
          <w:lang w:eastAsia="en-US"/>
        </w:rPr>
        <w:t>•</w:t>
      </w:r>
      <w:r w:rsidRPr="001B0EA3">
        <w:rPr>
          <w:color w:val="222222"/>
          <w:szCs w:val="24"/>
          <w:lang w:eastAsia="en-US"/>
        </w:rPr>
        <w:tab/>
        <w:t xml:space="preserve">Да гарантират, че съществува адекватна система за вътрешен контрол в рамките на </w:t>
      </w:r>
      <w:r w:rsidRPr="001B0EA3">
        <w:rPr>
          <w:color w:val="222222"/>
          <w:szCs w:val="24"/>
          <w:lang w:eastAsia="en-US"/>
        </w:rPr>
        <w:lastRenderedPageBreak/>
        <w:t>тяхната сфера на компетентност;</w:t>
      </w:r>
    </w:p>
    <w:p w14:paraId="14B5E8A4" w14:textId="77777777" w:rsidR="00C84CFA" w:rsidRPr="001B0EA3" w:rsidRDefault="00C84CFA" w:rsidP="00046D61">
      <w:pPr>
        <w:widowControl w:val="0"/>
        <w:autoSpaceDE w:val="0"/>
        <w:autoSpaceDN w:val="0"/>
        <w:adjustRightInd w:val="0"/>
        <w:ind w:firstLine="567"/>
        <w:contextualSpacing/>
        <w:rPr>
          <w:color w:val="222222"/>
          <w:szCs w:val="24"/>
          <w:lang w:eastAsia="en-US"/>
        </w:rPr>
      </w:pPr>
      <w:r w:rsidRPr="001B0EA3">
        <w:rPr>
          <w:color w:val="222222"/>
          <w:szCs w:val="24"/>
          <w:lang w:eastAsia="en-US"/>
        </w:rPr>
        <w:t>•</w:t>
      </w:r>
      <w:r w:rsidRPr="001B0EA3">
        <w:rPr>
          <w:color w:val="222222"/>
          <w:szCs w:val="24"/>
          <w:lang w:eastAsia="en-US"/>
        </w:rPr>
        <w:tab/>
        <w:t>Предотвратяване и докладване на съмнения за измами;</w:t>
      </w:r>
    </w:p>
    <w:p w14:paraId="21AA98A6" w14:textId="77777777" w:rsidR="00C84CFA" w:rsidRPr="001B0EA3" w:rsidRDefault="00C84CFA" w:rsidP="00046D61">
      <w:pPr>
        <w:widowControl w:val="0"/>
        <w:autoSpaceDE w:val="0"/>
        <w:autoSpaceDN w:val="0"/>
        <w:adjustRightInd w:val="0"/>
        <w:ind w:firstLine="567"/>
        <w:contextualSpacing/>
        <w:rPr>
          <w:color w:val="222222"/>
          <w:szCs w:val="24"/>
          <w:lang w:eastAsia="en-US"/>
        </w:rPr>
      </w:pPr>
      <w:r w:rsidRPr="001B0EA3">
        <w:rPr>
          <w:color w:val="222222"/>
          <w:szCs w:val="24"/>
          <w:lang w:eastAsia="en-US"/>
        </w:rPr>
        <w:t>•</w:t>
      </w:r>
      <w:r w:rsidRPr="001B0EA3">
        <w:rPr>
          <w:color w:val="222222"/>
          <w:szCs w:val="24"/>
          <w:lang w:eastAsia="en-US"/>
        </w:rPr>
        <w:tab/>
        <w:t xml:space="preserve"> Осигуряване надлежна проверка и прилагане на превантивни мерки, предприети в случай на съмнение за измама;</w:t>
      </w:r>
    </w:p>
    <w:p w14:paraId="28AECD35" w14:textId="77777777" w:rsidR="00C84CFA" w:rsidRPr="001B0EA3" w:rsidRDefault="00C84CFA" w:rsidP="00046D61">
      <w:pPr>
        <w:widowControl w:val="0"/>
        <w:autoSpaceDE w:val="0"/>
        <w:autoSpaceDN w:val="0"/>
        <w:adjustRightInd w:val="0"/>
        <w:ind w:firstLine="567"/>
        <w:contextualSpacing/>
        <w:rPr>
          <w:color w:val="222222"/>
          <w:szCs w:val="24"/>
          <w:lang w:eastAsia="en-US"/>
        </w:rPr>
      </w:pPr>
      <w:r w:rsidRPr="001B0EA3">
        <w:rPr>
          <w:color w:val="222222"/>
          <w:szCs w:val="24"/>
          <w:lang w:eastAsia="en-US"/>
        </w:rPr>
        <w:t>•</w:t>
      </w:r>
      <w:r w:rsidRPr="001B0EA3">
        <w:rPr>
          <w:color w:val="222222"/>
          <w:szCs w:val="24"/>
          <w:lang w:eastAsia="en-US"/>
        </w:rPr>
        <w:tab/>
        <w:t>Предприемане на коригиращи мерки, включително административни наказания, когато е уместно.</w:t>
      </w:r>
    </w:p>
    <w:p w14:paraId="550326DF" w14:textId="77777777" w:rsidR="00C84CFA" w:rsidRPr="001B0EA3" w:rsidRDefault="00C84CFA" w:rsidP="00046D61">
      <w:pPr>
        <w:widowControl w:val="0"/>
        <w:autoSpaceDE w:val="0"/>
        <w:autoSpaceDN w:val="0"/>
        <w:adjustRightInd w:val="0"/>
        <w:ind w:firstLine="567"/>
        <w:contextualSpacing/>
        <w:rPr>
          <w:b/>
          <w:color w:val="222222"/>
          <w:szCs w:val="24"/>
          <w:lang w:eastAsia="en-US"/>
        </w:rPr>
      </w:pPr>
    </w:p>
    <w:p w14:paraId="74F710D3" w14:textId="77777777" w:rsidR="00C84CFA" w:rsidRPr="001B0EA3" w:rsidRDefault="00C84CFA" w:rsidP="00046D61">
      <w:pPr>
        <w:widowControl w:val="0"/>
        <w:autoSpaceDE w:val="0"/>
        <w:autoSpaceDN w:val="0"/>
        <w:adjustRightInd w:val="0"/>
        <w:ind w:firstLine="567"/>
        <w:contextualSpacing/>
        <w:rPr>
          <w:color w:val="222222"/>
          <w:szCs w:val="24"/>
          <w:lang w:eastAsia="en-US"/>
        </w:rPr>
      </w:pPr>
      <w:r w:rsidRPr="001B0EA3">
        <w:rPr>
          <w:b/>
          <w:color w:val="222222"/>
          <w:szCs w:val="24"/>
          <w:lang w:eastAsia="en-US"/>
        </w:rPr>
        <w:t>ІІІ.</w:t>
      </w:r>
      <w:r w:rsidRPr="001B0EA3">
        <w:rPr>
          <w:color w:val="222222"/>
          <w:szCs w:val="24"/>
          <w:lang w:eastAsia="en-US"/>
        </w:rPr>
        <w:t xml:space="preserve"> Сертифициращият орган разполага със система, която записва и съхранява надеждна информация за всяка операция. Сертифициращият орган получава адекватна информация от Управляващия орган относно процедурите и проверките, извършени във връзка с разходите,</w:t>
      </w:r>
    </w:p>
    <w:p w14:paraId="454D6A5C" w14:textId="77777777" w:rsidR="00C84CFA" w:rsidRPr="001B0EA3" w:rsidRDefault="00C84CFA" w:rsidP="00046D61">
      <w:pPr>
        <w:widowControl w:val="0"/>
        <w:autoSpaceDE w:val="0"/>
        <w:autoSpaceDN w:val="0"/>
        <w:adjustRightInd w:val="0"/>
        <w:ind w:firstLine="567"/>
        <w:contextualSpacing/>
        <w:rPr>
          <w:b/>
          <w:color w:val="222222"/>
          <w:szCs w:val="24"/>
          <w:lang w:eastAsia="en-US"/>
        </w:rPr>
      </w:pPr>
    </w:p>
    <w:p w14:paraId="45F62111" w14:textId="77777777" w:rsidR="00C84CFA" w:rsidRPr="001B0EA3" w:rsidRDefault="00C84CFA" w:rsidP="00046D61">
      <w:pPr>
        <w:widowControl w:val="0"/>
        <w:autoSpaceDE w:val="0"/>
        <w:autoSpaceDN w:val="0"/>
        <w:adjustRightInd w:val="0"/>
        <w:ind w:firstLine="567"/>
        <w:contextualSpacing/>
        <w:rPr>
          <w:color w:val="222222"/>
          <w:szCs w:val="24"/>
          <w:lang w:eastAsia="en-US"/>
        </w:rPr>
      </w:pPr>
      <w:r w:rsidRPr="001B0EA3">
        <w:rPr>
          <w:b/>
          <w:color w:val="222222"/>
          <w:szCs w:val="24"/>
          <w:lang w:eastAsia="en-US"/>
        </w:rPr>
        <w:t>ІV.</w:t>
      </w:r>
      <w:r w:rsidRPr="001B0EA3">
        <w:rPr>
          <w:color w:val="222222"/>
          <w:szCs w:val="24"/>
          <w:lang w:eastAsia="en-US"/>
        </w:rPr>
        <w:t xml:space="preserve"> Одитният орган има задължението да действа в съответствие и в рамките на професионалните стандарти при оценката на риска от измами и адекватността на съществуващата рамка за контрол.</w:t>
      </w:r>
    </w:p>
    <w:p w14:paraId="0E5F5442" w14:textId="77777777" w:rsidR="00C84CFA" w:rsidRPr="001B0EA3" w:rsidRDefault="00C84CFA" w:rsidP="00046D61">
      <w:pPr>
        <w:widowControl w:val="0"/>
        <w:autoSpaceDE w:val="0"/>
        <w:autoSpaceDN w:val="0"/>
        <w:adjustRightInd w:val="0"/>
        <w:contextualSpacing/>
        <w:rPr>
          <w:szCs w:val="24"/>
          <w:lang w:eastAsia="en-US"/>
        </w:rPr>
      </w:pPr>
    </w:p>
    <w:p w14:paraId="7A301B99" w14:textId="77777777" w:rsidR="00C84CFA" w:rsidRPr="001B0EA3" w:rsidRDefault="00C84CFA" w:rsidP="00046D61">
      <w:pPr>
        <w:widowControl w:val="0"/>
        <w:autoSpaceDE w:val="0"/>
        <w:autoSpaceDN w:val="0"/>
        <w:adjustRightInd w:val="0"/>
        <w:spacing w:before="120"/>
        <w:ind w:firstLine="567"/>
        <w:rPr>
          <w:b/>
          <w:color w:val="222222"/>
          <w:szCs w:val="24"/>
          <w:u w:val="single"/>
        </w:rPr>
      </w:pPr>
      <w:r w:rsidRPr="001B0EA3">
        <w:rPr>
          <w:b/>
          <w:color w:val="222222"/>
          <w:szCs w:val="24"/>
          <w:u w:val="single"/>
        </w:rPr>
        <w:t>Докладване на съмнения за измами</w:t>
      </w:r>
    </w:p>
    <w:p w14:paraId="229FC28E" w14:textId="77777777" w:rsidR="00C84CFA" w:rsidRPr="001B0EA3" w:rsidRDefault="00C84CFA" w:rsidP="00C84CFA">
      <w:pPr>
        <w:ind w:firstLine="567"/>
        <w:rPr>
          <w:szCs w:val="24"/>
        </w:rPr>
      </w:pPr>
      <w:r w:rsidRPr="001B0EA3">
        <w:rPr>
          <w:szCs w:val="24"/>
        </w:rPr>
        <w:t>УО има установени процедури за докладване на съмнения за измами, както вътрешно, така и на Европейската служба за борба с измамите, които са описани в т.  6.02 на настоящия документ.</w:t>
      </w:r>
    </w:p>
    <w:p w14:paraId="65F792BB" w14:textId="77777777" w:rsidR="00C84CFA" w:rsidRPr="001B0EA3" w:rsidRDefault="00C84CFA" w:rsidP="00C84CFA">
      <w:pPr>
        <w:ind w:firstLine="567"/>
        <w:rPr>
          <w:szCs w:val="24"/>
        </w:rPr>
      </w:pPr>
      <w:r w:rsidRPr="001B0EA3">
        <w:rPr>
          <w:szCs w:val="24"/>
        </w:rPr>
        <w:t>Всеки случай на докладване ще бъде разглеждан при стриктно спазване на условията на конфиденциалност и в съответствие с разпоредбите на Наредба за администриране на нередности по ЕСИФ. Служителите, докладвали за нередности или съмнение за измама са защитени от репресии.</w:t>
      </w:r>
    </w:p>
    <w:p w14:paraId="65C50545" w14:textId="77777777" w:rsidR="00C84CFA" w:rsidRPr="001B0EA3" w:rsidRDefault="00C84CFA" w:rsidP="00046D61">
      <w:pPr>
        <w:widowControl w:val="0"/>
        <w:autoSpaceDE w:val="0"/>
        <w:autoSpaceDN w:val="0"/>
        <w:adjustRightInd w:val="0"/>
        <w:spacing w:before="120"/>
        <w:ind w:firstLine="567"/>
        <w:rPr>
          <w:b/>
          <w:color w:val="222222"/>
          <w:szCs w:val="24"/>
          <w:u w:val="single"/>
        </w:rPr>
      </w:pPr>
      <w:r w:rsidRPr="001B0EA3">
        <w:rPr>
          <w:b/>
          <w:color w:val="222222"/>
          <w:szCs w:val="24"/>
          <w:u w:val="single"/>
        </w:rPr>
        <w:t>Мерки за борба с измамите</w:t>
      </w:r>
    </w:p>
    <w:p w14:paraId="52681323" w14:textId="77777777" w:rsidR="00C84CFA" w:rsidRPr="001B0EA3" w:rsidRDefault="00C84CFA" w:rsidP="00C84CFA">
      <w:pPr>
        <w:ind w:firstLine="567"/>
        <w:rPr>
          <w:szCs w:val="24"/>
        </w:rPr>
      </w:pPr>
      <w:r w:rsidRPr="001B0EA3">
        <w:rPr>
          <w:szCs w:val="24"/>
        </w:rPr>
        <w:t>УО въвежда пропорционални мерки за борба с измамите, основаващи се на задълбочена оценка на риска от измами (вкл. на база насоките на Комисията относно прилагането на член 125.4 в). По-специално, УО използва ИТ инструмента „Арахне“ за откриване на рискови операции и гарантира, че персоналът е запознат с рискове от измами и получава обучение за борба с измамите. УО извършва бърз преглед на всички случаи на съмнения за и действителни случаи на измами, които са настъпили с оглед подобряване на вътрешната система за управление и контрол, когато това е необходимо, както следва:</w:t>
      </w:r>
    </w:p>
    <w:p w14:paraId="7DB31534" w14:textId="4941DD8C" w:rsidR="00C84CFA" w:rsidRPr="001B0EA3" w:rsidRDefault="00C84CFA" w:rsidP="00C84CFA">
      <w:pPr>
        <w:rPr>
          <w:szCs w:val="24"/>
        </w:rPr>
      </w:pPr>
      <w:r w:rsidRPr="001B0EA3">
        <w:rPr>
          <w:szCs w:val="24"/>
        </w:rPr>
        <w:t xml:space="preserve">1. Отдел </w:t>
      </w:r>
      <w:r w:rsidR="002F323F">
        <w:rPr>
          <w:szCs w:val="24"/>
        </w:rPr>
        <w:t>УР</w:t>
      </w:r>
      <w:r w:rsidRPr="001B0EA3">
        <w:rPr>
          <w:szCs w:val="24"/>
        </w:rPr>
        <w:t xml:space="preserve"> систематизира сведенията за случаите на съмнение за измама/измама и ги предоставя на участниците най-малко 5 работни дни преди провеждането на съответната среща за управление на риска по т. 30.4.4., буква „в“. </w:t>
      </w:r>
    </w:p>
    <w:p w14:paraId="5A4176E2" w14:textId="77777777" w:rsidR="00C84CFA" w:rsidRPr="001B0EA3" w:rsidRDefault="00C84CFA" w:rsidP="00C84CFA">
      <w:pPr>
        <w:rPr>
          <w:color w:val="000000"/>
          <w:szCs w:val="24"/>
        </w:rPr>
      </w:pPr>
      <w:r w:rsidRPr="001B0EA3">
        <w:rPr>
          <w:color w:val="000000"/>
          <w:szCs w:val="24"/>
        </w:rPr>
        <w:t>2. В случаи на необходимост от промяна, директорът на дирекцията определя компетентен отдел/и, който да подготви проект на предложение за промяна в описанието на системата за управление и контрол по ОПТТИ, когато това е необходимо за избягването на идентифицираните системни грешки в бъдеще.</w:t>
      </w:r>
    </w:p>
    <w:p w14:paraId="1C7A93D8" w14:textId="77777777" w:rsidR="00C84CFA" w:rsidRPr="001B0EA3" w:rsidRDefault="00C84CFA" w:rsidP="00C84CFA">
      <w:pPr>
        <w:rPr>
          <w:color w:val="000000"/>
          <w:szCs w:val="24"/>
        </w:rPr>
      </w:pPr>
      <w:r w:rsidRPr="001B0EA3">
        <w:rPr>
          <w:color w:val="000000"/>
          <w:szCs w:val="24"/>
        </w:rPr>
        <w:t>3. Предложението за промяна се съгласува от началниците на отдели /и директора на дирекцията, ако е приложимо/ и одобрява от Ръководителя на УО.</w:t>
      </w:r>
    </w:p>
    <w:p w14:paraId="258693D8" w14:textId="77777777" w:rsidR="00C84CFA" w:rsidRPr="001B0EA3" w:rsidRDefault="00C84CFA" w:rsidP="00C84CFA">
      <w:pPr>
        <w:rPr>
          <w:szCs w:val="24"/>
        </w:rPr>
      </w:pPr>
    </w:p>
    <w:p w14:paraId="36E29F29" w14:textId="77777777" w:rsidR="00C84CFA" w:rsidRPr="001B0EA3" w:rsidRDefault="00C84CFA" w:rsidP="00046D61">
      <w:pPr>
        <w:widowControl w:val="0"/>
        <w:autoSpaceDE w:val="0"/>
        <w:autoSpaceDN w:val="0"/>
        <w:adjustRightInd w:val="0"/>
        <w:spacing w:before="120"/>
        <w:rPr>
          <w:b/>
          <w:color w:val="222222"/>
          <w:szCs w:val="24"/>
          <w:u w:val="single"/>
        </w:rPr>
      </w:pPr>
      <w:r w:rsidRPr="001B0EA3">
        <w:rPr>
          <w:b/>
          <w:color w:val="222222"/>
          <w:szCs w:val="24"/>
          <w:u w:val="single"/>
        </w:rPr>
        <w:t>Заключение</w:t>
      </w:r>
    </w:p>
    <w:p w14:paraId="2F00ABA2" w14:textId="77777777" w:rsidR="00C84CFA" w:rsidRPr="001B0EA3" w:rsidRDefault="00C84CFA" w:rsidP="00C84CFA">
      <w:pPr>
        <w:rPr>
          <w:szCs w:val="24"/>
        </w:rPr>
      </w:pPr>
      <w:r w:rsidRPr="001B0EA3">
        <w:rPr>
          <w:szCs w:val="24"/>
        </w:rPr>
        <w:t>Измамата може да се прояви по много различни начини. УО поддържа политика на нулева толерантност към измамите и корупцията и има стройна система за контрол, която има за цел да предотврати и открие, доколкото тези усилия са пропорционални, извършване на измама и коригиране на въздействието им, ако те настъпят.</w:t>
      </w:r>
    </w:p>
    <w:p w14:paraId="47C5211F" w14:textId="77777777" w:rsidR="00C84CFA" w:rsidRPr="001B0EA3" w:rsidRDefault="00C84CFA" w:rsidP="00C84CFA">
      <w:pPr>
        <w:rPr>
          <w:color w:val="222222"/>
          <w:szCs w:val="24"/>
        </w:rPr>
      </w:pPr>
      <w:r w:rsidRPr="001B0EA3">
        <w:rPr>
          <w:szCs w:val="24"/>
        </w:rPr>
        <w:t>Тази политика и всички съответни процедури и стратегии към нея се въвеждат с одобрението на Ръководителя на Управляващия орган, който се ангажира същите да бъдат обект на проактивен преглед и актуализация.</w:t>
      </w:r>
      <w:r w:rsidRPr="001B0EA3">
        <w:rPr>
          <w:color w:val="222222"/>
          <w:szCs w:val="24"/>
        </w:rPr>
        <w:t xml:space="preserve"> </w:t>
      </w:r>
    </w:p>
    <w:p w14:paraId="70946FBC" w14:textId="77777777" w:rsidR="00C84CFA" w:rsidRPr="001B0EA3" w:rsidRDefault="00C84CFA" w:rsidP="00046D61">
      <w:pPr>
        <w:widowControl w:val="0"/>
        <w:autoSpaceDE w:val="0"/>
        <w:autoSpaceDN w:val="0"/>
        <w:adjustRightInd w:val="0"/>
        <w:contextualSpacing/>
        <w:rPr>
          <w:szCs w:val="24"/>
          <w:lang w:eastAsia="en-US"/>
        </w:rPr>
      </w:pPr>
    </w:p>
    <w:p w14:paraId="098F7876" w14:textId="77777777" w:rsidR="00C84CFA" w:rsidRPr="001B0EA3" w:rsidRDefault="00C84CFA" w:rsidP="00046D61">
      <w:pPr>
        <w:widowControl w:val="0"/>
        <w:autoSpaceDE w:val="0"/>
        <w:autoSpaceDN w:val="0"/>
        <w:adjustRightInd w:val="0"/>
        <w:contextualSpacing/>
        <w:rPr>
          <w:szCs w:val="24"/>
          <w:lang w:eastAsia="en-US"/>
        </w:rPr>
      </w:pPr>
    </w:p>
    <w:p w14:paraId="600CEF67" w14:textId="77777777" w:rsidR="00C84CFA" w:rsidRPr="001B0EA3" w:rsidRDefault="00C84CFA" w:rsidP="00046D61">
      <w:pPr>
        <w:widowControl w:val="0"/>
        <w:autoSpaceDE w:val="0"/>
        <w:autoSpaceDN w:val="0"/>
        <w:adjustRightInd w:val="0"/>
        <w:spacing w:before="120"/>
        <w:ind w:firstLine="709"/>
        <w:rPr>
          <w:b/>
          <w:color w:val="222222"/>
          <w:szCs w:val="24"/>
          <w:u w:val="single"/>
        </w:rPr>
      </w:pPr>
      <w:bookmarkStart w:id="1299" w:name="_Toc464639639"/>
      <w:r w:rsidRPr="001B0EA3">
        <w:rPr>
          <w:b/>
          <w:color w:val="222222"/>
          <w:szCs w:val="24"/>
          <w:u w:val="single"/>
        </w:rPr>
        <w:t>Ползване на системата „Арахне“</w:t>
      </w:r>
      <w:bookmarkEnd w:id="1299"/>
      <w:r w:rsidRPr="001B0EA3">
        <w:rPr>
          <w:b/>
          <w:color w:val="222222"/>
          <w:szCs w:val="24"/>
          <w:u w:val="single"/>
        </w:rPr>
        <w:t xml:space="preserve"> </w:t>
      </w:r>
    </w:p>
    <w:p w14:paraId="6B492685" w14:textId="77777777" w:rsidR="00C84CFA" w:rsidRPr="001B0EA3" w:rsidRDefault="00C84CFA" w:rsidP="00C84CFA">
      <w:pPr>
        <w:ind w:firstLine="720"/>
        <w:rPr>
          <w:szCs w:val="24"/>
        </w:rPr>
      </w:pPr>
      <w:r w:rsidRPr="001B0EA3">
        <w:rPr>
          <w:szCs w:val="24"/>
        </w:rPr>
        <w:t xml:space="preserve">С разрастването и усложняването на процесите по събиране, съхранение и анализиране на данни от различни източници, възниква възможност за засилване на борбата с нередностите и измамите. Спазвайки правните ограничения във всяка страна-членка анализът на данните може да бъде използван в процеса на оценка на риска, проверка на въведените данни в други публични източници, както и при определяне на потенциалния риск дори преди отпускане на финансиране. В общата рамка на борба срещу нередностите и измамите, Европейската комисия осигурява достъп до специализиран софтуерен инструмент за оценка на риска – „Арахне“, който да подпомогне Управляващите органи при идентифицирането на проекти с висок риск от измами, конфликт на интереси и нередности. </w:t>
      </w:r>
    </w:p>
    <w:p w14:paraId="7057AFEE" w14:textId="77777777" w:rsidR="00C84CFA" w:rsidRPr="001B0EA3" w:rsidRDefault="00C84CFA" w:rsidP="00C84CFA">
      <w:pPr>
        <w:ind w:firstLine="720"/>
        <w:rPr>
          <w:szCs w:val="24"/>
        </w:rPr>
      </w:pPr>
      <w:r w:rsidRPr="001B0EA3">
        <w:rPr>
          <w:szCs w:val="24"/>
        </w:rPr>
        <w:t>Системата предоставя възможност за продължително и систематично наблюдение и преглед на данни от вътрешни и външни източници по отношение на проекти, бенефициенти, договори и изпълнители. Информацията се анализира и позволява да се повиши ефективността на  системите за управление и контрол на Оперативните програми, особено за намаляване на процента грешка като фокусира контролите по проекти с най-голям риск, като в същото време подсилва мерките за идентифициране и предотвратяване на измами по Структурните фондове и Кохезионния фонд.</w:t>
      </w:r>
    </w:p>
    <w:p w14:paraId="6F0521CA" w14:textId="77777777" w:rsidR="00C84CFA" w:rsidRPr="001B0EA3" w:rsidRDefault="00C84CFA" w:rsidP="00046D61">
      <w:pPr>
        <w:widowControl w:val="0"/>
        <w:autoSpaceDE w:val="0"/>
        <w:autoSpaceDN w:val="0"/>
        <w:adjustRightInd w:val="0"/>
        <w:ind w:firstLine="708"/>
        <w:rPr>
          <w:szCs w:val="24"/>
        </w:rPr>
      </w:pPr>
      <w:r w:rsidRPr="001B0EA3">
        <w:rPr>
          <w:szCs w:val="24"/>
        </w:rPr>
        <w:t xml:space="preserve">Оценката на риска чрез </w:t>
      </w:r>
      <w:r w:rsidRPr="001B0EA3">
        <w:rPr>
          <w:bCs/>
          <w:szCs w:val="24"/>
        </w:rPr>
        <w:t>системата „Арахне“</w:t>
      </w:r>
      <w:r w:rsidRPr="001B0EA3">
        <w:rPr>
          <w:b/>
          <w:bCs/>
          <w:szCs w:val="24"/>
        </w:rPr>
        <w:t xml:space="preserve"> </w:t>
      </w:r>
      <w:r w:rsidRPr="001B0EA3">
        <w:rPr>
          <w:szCs w:val="24"/>
        </w:rPr>
        <w:t>се извършва въз основа на 7 критерия:</w:t>
      </w:r>
    </w:p>
    <w:p w14:paraId="32EE249D" w14:textId="77777777" w:rsidR="00C84CFA" w:rsidRPr="001B0EA3" w:rsidRDefault="00C84CFA" w:rsidP="0054623A">
      <w:pPr>
        <w:numPr>
          <w:ilvl w:val="0"/>
          <w:numId w:val="255"/>
        </w:numPr>
        <w:tabs>
          <w:tab w:val="left" w:pos="1134"/>
        </w:tabs>
        <w:ind w:left="0" w:firstLine="851"/>
        <w:rPr>
          <w:szCs w:val="24"/>
        </w:rPr>
      </w:pPr>
      <w:r w:rsidRPr="001B0EA3">
        <w:rPr>
          <w:szCs w:val="24"/>
        </w:rPr>
        <w:t>Характеристики на процедурите за възлагане на обществени поръчки (продължителност от датата на обявяване до сключване на договор; брой подадени оферти; брой отстранени кандидати);</w:t>
      </w:r>
    </w:p>
    <w:p w14:paraId="74FF79F7" w14:textId="77777777" w:rsidR="00C84CFA" w:rsidRPr="001B0EA3" w:rsidRDefault="00C84CFA" w:rsidP="0054623A">
      <w:pPr>
        <w:numPr>
          <w:ilvl w:val="0"/>
          <w:numId w:val="255"/>
        </w:numPr>
        <w:tabs>
          <w:tab w:val="left" w:pos="1134"/>
        </w:tabs>
        <w:ind w:left="0" w:firstLine="851"/>
        <w:rPr>
          <w:szCs w:val="24"/>
        </w:rPr>
      </w:pPr>
      <w:r w:rsidRPr="001B0EA3">
        <w:rPr>
          <w:szCs w:val="24"/>
        </w:rPr>
        <w:t>Управление на договори (процентно съотношение между стойност на обществената поръчка и проекта; брой партньори в рамките на избран консорциум);</w:t>
      </w:r>
    </w:p>
    <w:p w14:paraId="07F6FE42" w14:textId="77777777" w:rsidR="00C84CFA" w:rsidRPr="001B0EA3" w:rsidRDefault="00C84CFA" w:rsidP="0054623A">
      <w:pPr>
        <w:numPr>
          <w:ilvl w:val="0"/>
          <w:numId w:val="255"/>
        </w:numPr>
        <w:tabs>
          <w:tab w:val="left" w:pos="1134"/>
        </w:tabs>
        <w:ind w:left="0" w:firstLine="851"/>
        <w:rPr>
          <w:szCs w:val="24"/>
        </w:rPr>
      </w:pPr>
      <w:r w:rsidRPr="001B0EA3">
        <w:rPr>
          <w:szCs w:val="24"/>
        </w:rPr>
        <w:t>Допустимост (разходи по проекта извън периода на допустимост);</w:t>
      </w:r>
    </w:p>
    <w:p w14:paraId="2984D177" w14:textId="77777777" w:rsidR="00C84CFA" w:rsidRPr="001B0EA3" w:rsidRDefault="00C84CFA" w:rsidP="0054623A">
      <w:pPr>
        <w:numPr>
          <w:ilvl w:val="0"/>
          <w:numId w:val="255"/>
        </w:numPr>
        <w:tabs>
          <w:tab w:val="left" w:pos="1134"/>
        </w:tabs>
        <w:ind w:left="0" w:firstLine="851"/>
        <w:rPr>
          <w:szCs w:val="24"/>
        </w:rPr>
      </w:pPr>
      <w:r w:rsidRPr="001B0EA3">
        <w:rPr>
          <w:szCs w:val="24"/>
        </w:rPr>
        <w:t>Изпълнение (процентно съотношение между изпълнение и заложени цели);</w:t>
      </w:r>
    </w:p>
    <w:p w14:paraId="67649181" w14:textId="77777777" w:rsidR="00C84CFA" w:rsidRPr="001B0EA3" w:rsidRDefault="00C84CFA" w:rsidP="0054623A">
      <w:pPr>
        <w:numPr>
          <w:ilvl w:val="0"/>
          <w:numId w:val="255"/>
        </w:numPr>
        <w:tabs>
          <w:tab w:val="left" w:pos="1134"/>
        </w:tabs>
        <w:ind w:left="0" w:firstLine="851"/>
        <w:rPr>
          <w:szCs w:val="24"/>
        </w:rPr>
      </w:pPr>
      <w:r w:rsidRPr="001B0EA3">
        <w:rPr>
          <w:szCs w:val="24"/>
        </w:rPr>
        <w:t>Концентрация (ангажираност на бенефициента/ изпълнителя /подизпълнителя в други проекти);</w:t>
      </w:r>
    </w:p>
    <w:p w14:paraId="182EE273" w14:textId="77777777" w:rsidR="00C84CFA" w:rsidRPr="001B0EA3" w:rsidRDefault="00C84CFA" w:rsidP="0054623A">
      <w:pPr>
        <w:numPr>
          <w:ilvl w:val="0"/>
          <w:numId w:val="255"/>
        </w:numPr>
        <w:tabs>
          <w:tab w:val="left" w:pos="1134"/>
        </w:tabs>
        <w:ind w:left="0" w:firstLine="851"/>
        <w:rPr>
          <w:szCs w:val="24"/>
        </w:rPr>
      </w:pPr>
      <w:r w:rsidRPr="001B0EA3">
        <w:rPr>
          <w:szCs w:val="24"/>
        </w:rPr>
        <w:t>Други проверки (процентно съотношение между финансиране от ЕС и общата стойност на проекта и други);</w:t>
      </w:r>
    </w:p>
    <w:p w14:paraId="59B20E6C" w14:textId="77777777" w:rsidR="00C84CFA" w:rsidRPr="001B0EA3" w:rsidRDefault="00C84CFA" w:rsidP="0054623A">
      <w:pPr>
        <w:numPr>
          <w:ilvl w:val="0"/>
          <w:numId w:val="255"/>
        </w:numPr>
        <w:tabs>
          <w:tab w:val="left" w:pos="1134"/>
        </w:tabs>
        <w:ind w:left="0" w:firstLine="851"/>
        <w:rPr>
          <w:szCs w:val="24"/>
        </w:rPr>
      </w:pPr>
      <w:r w:rsidRPr="001B0EA3">
        <w:rPr>
          <w:szCs w:val="24"/>
        </w:rPr>
        <w:t>Проверки за ниво на репутацията и предходни сведения за измами (възможност за обявяване на фалит; връзки между бенефициент/ партньори/ изпълнители/ подизпълнители; участие на ръководен персонал във фалирали предприятия; участие в проекта на физически лица включени в забранителни списъци; честа промяна на ръководството и на дейностите).</w:t>
      </w:r>
    </w:p>
    <w:p w14:paraId="1EE02B5D" w14:textId="77777777" w:rsidR="00C84CFA" w:rsidRPr="001B0EA3" w:rsidRDefault="00C84CFA" w:rsidP="00046D61">
      <w:pPr>
        <w:widowControl w:val="0"/>
        <w:tabs>
          <w:tab w:val="left" w:pos="709"/>
        </w:tabs>
        <w:autoSpaceDE w:val="0"/>
        <w:autoSpaceDN w:val="0"/>
        <w:adjustRightInd w:val="0"/>
        <w:rPr>
          <w:szCs w:val="24"/>
        </w:rPr>
      </w:pPr>
      <w:r w:rsidRPr="001B0EA3">
        <w:rPr>
          <w:szCs w:val="24"/>
        </w:rPr>
        <w:t>За да бъде обезпечено коректното функциониране на „Арахне“ е необходимо страните-членки да предоставят данни от информационните си системи за управление и наблюдение на средствата от ЕС. Изискуемата от тях информация обхваща различни данни от процеса на управление на проекти, финансирани от СКФ на ЕС: бенефициенти, партньори, стойност на проектите, разплатени средства, проведени обществени поръчки, избрани изпълнители, стойност на сключените търговски договори и други. За захранване на „Арахне“ ще се използва вече въведена и налична в ИСУН 2020 информация, която чрез автоматизиран интерфейс ще осигурява необходимите данни в предварително дефиниран структуриран формат.</w:t>
      </w:r>
    </w:p>
    <w:p w14:paraId="18EC585E" w14:textId="77777777" w:rsidR="00C84CFA" w:rsidRPr="001B0EA3" w:rsidRDefault="00C84CFA" w:rsidP="00046D61">
      <w:pPr>
        <w:widowControl w:val="0"/>
        <w:tabs>
          <w:tab w:val="left" w:pos="709"/>
        </w:tabs>
        <w:autoSpaceDE w:val="0"/>
        <w:autoSpaceDN w:val="0"/>
        <w:adjustRightInd w:val="0"/>
        <w:rPr>
          <w:szCs w:val="24"/>
        </w:rPr>
      </w:pPr>
      <w:r w:rsidRPr="001B0EA3">
        <w:rPr>
          <w:szCs w:val="24"/>
        </w:rPr>
        <w:t>Конкретно УО ще ползва „Арахне“ за планиране на проверките на място и при извършване на контрол на дейности в УО и при бенефициентите, свързани с отпускането на БФП по програмата, изпълнението и верификацията на разходите по проекта, сертифицирането и изплащането на разходите и при възлагането на обществени поръчки пряко от УО. Ползването на системата ще бъде</w:t>
      </w:r>
      <w:r w:rsidR="00FF4881" w:rsidRPr="001B0EA3">
        <w:rPr>
          <w:szCs w:val="24"/>
        </w:rPr>
        <w:t xml:space="preserve"> </w:t>
      </w:r>
      <w:r w:rsidRPr="001B0EA3">
        <w:rPr>
          <w:szCs w:val="24"/>
        </w:rPr>
        <w:t xml:space="preserve">от отделите на УО с компетенции в областта на контрола на обществени поръчки, </w:t>
      </w:r>
      <w:r w:rsidR="00FF4881" w:rsidRPr="001B0EA3">
        <w:rPr>
          <w:szCs w:val="24"/>
        </w:rPr>
        <w:t>верификация</w:t>
      </w:r>
      <w:r w:rsidRPr="001B0EA3">
        <w:rPr>
          <w:szCs w:val="24"/>
        </w:rPr>
        <w:t xml:space="preserve">, извършване на плащания и администриране на нередности. </w:t>
      </w:r>
    </w:p>
    <w:p w14:paraId="3E06CFDC" w14:textId="77777777" w:rsidR="00C84CFA" w:rsidRPr="001B0EA3" w:rsidRDefault="00C84CFA">
      <w:pPr>
        <w:jc w:val="left"/>
        <w:rPr>
          <w:szCs w:val="24"/>
          <w:lang w:eastAsia="en-US"/>
        </w:rPr>
      </w:pPr>
      <w:r w:rsidRPr="001B0EA3">
        <w:rPr>
          <w:szCs w:val="24"/>
          <w:lang w:eastAsia="en-US"/>
        </w:rPr>
        <w:br w:type="page"/>
      </w:r>
    </w:p>
    <w:p w14:paraId="2661103A" w14:textId="77777777" w:rsidR="007D4542" w:rsidRPr="001B0EA3" w:rsidRDefault="007D4542" w:rsidP="00046D61">
      <w:pPr>
        <w:widowControl w:val="0"/>
        <w:autoSpaceDE w:val="0"/>
        <w:autoSpaceDN w:val="0"/>
        <w:adjustRightInd w:val="0"/>
        <w:contextualSpacing/>
        <w:rPr>
          <w:szCs w:val="24"/>
          <w:lang w:eastAsia="en-US"/>
        </w:rPr>
      </w:pPr>
    </w:p>
    <w:p w14:paraId="74B84AB9" w14:textId="77777777" w:rsidR="00E0240F" w:rsidRPr="00842ECC" w:rsidRDefault="00D42E2E" w:rsidP="00B502C7">
      <w:pPr>
        <w:pStyle w:val="Style2"/>
        <w:rPr>
          <w:lang w:val="bg-BG" w:eastAsia="bg-BG"/>
        </w:rPr>
      </w:pPr>
      <w:bookmarkStart w:id="1300" w:name="_Toc479775808"/>
      <w:bookmarkStart w:id="1301" w:name="_Toc140150296"/>
      <w:r w:rsidRPr="00842ECC">
        <w:rPr>
          <w:rFonts w:eastAsia="EUAlbertina-Regu-Identity-H"/>
          <w:w w:val="103"/>
          <w:lang w:val="bg-BG"/>
        </w:rPr>
        <w:t xml:space="preserve">Общ </w:t>
      </w:r>
      <w:r w:rsidR="0038362D" w:rsidRPr="00842ECC">
        <w:rPr>
          <w:rFonts w:eastAsia="EUAlbertina-Regu-Identity-H"/>
          <w:w w:val="103"/>
          <w:lang w:val="bg-BG"/>
        </w:rPr>
        <w:t>процес</w:t>
      </w:r>
      <w:r w:rsidR="00E0240F" w:rsidRPr="00842ECC">
        <w:rPr>
          <w:rFonts w:eastAsia="EUAlbertina-Regu-Identity-H"/>
          <w:w w:val="103"/>
          <w:lang w:val="bg-BG"/>
        </w:rPr>
        <w:t xml:space="preserve"> за управление на риска по ОПТТИ</w:t>
      </w:r>
      <w:bookmarkEnd w:id="1300"/>
      <w:bookmarkEnd w:id="1301"/>
    </w:p>
    <w:p w14:paraId="5D178A40" w14:textId="77777777" w:rsidR="00E0240F" w:rsidRPr="001B0EA3" w:rsidRDefault="00E0240F" w:rsidP="00005E4B">
      <w:pPr>
        <w:rPr>
          <w:rFonts w:eastAsia="EUAlbertina-Regu-Identity-H"/>
          <w:w w:val="103"/>
        </w:rPr>
      </w:pPr>
      <w:r w:rsidRPr="001B0EA3">
        <w:rPr>
          <w:rFonts w:eastAsia="EUAlbertina-Regu-Identity-H"/>
          <w:w w:val="103"/>
        </w:rPr>
        <w:t>Процесът за управление на риска по ОПТТИ включва следните етапи:</w:t>
      </w:r>
    </w:p>
    <w:p w14:paraId="6B1F9A94" w14:textId="77777777" w:rsidR="00954FDA" w:rsidRPr="001B0EA3" w:rsidRDefault="00954FDA" w:rsidP="00046D61">
      <w:pPr>
        <w:widowControl w:val="0"/>
        <w:autoSpaceDE w:val="0"/>
        <w:autoSpaceDN w:val="0"/>
        <w:adjustRightInd w:val="0"/>
        <w:ind w:firstLine="567"/>
        <w:contextualSpacing/>
        <w:rPr>
          <w:rFonts w:eastAsia="EUAlbertina-Regu-Identity-H"/>
          <w:bCs/>
          <w:w w:val="103"/>
        </w:rPr>
      </w:pPr>
    </w:p>
    <w:p w14:paraId="367A1E18" w14:textId="77777777" w:rsidR="00954FDA" w:rsidRPr="001B0EA3" w:rsidRDefault="00937754" w:rsidP="00046D61">
      <w:pPr>
        <w:widowControl w:val="0"/>
        <w:autoSpaceDE w:val="0"/>
        <w:autoSpaceDN w:val="0"/>
        <w:adjustRightInd w:val="0"/>
        <w:ind w:firstLine="0"/>
        <w:contextualSpacing/>
        <w:jc w:val="center"/>
        <w:rPr>
          <w:rFonts w:eastAsia="EUAlbertina-Regu-Identity-H"/>
          <w:bCs/>
          <w:w w:val="103"/>
        </w:rPr>
      </w:pPr>
      <w:r w:rsidRPr="001B0EA3">
        <w:rPr>
          <w:noProof/>
          <w:lang w:eastAsia="bg-BG"/>
        </w:rPr>
        <mc:AlternateContent>
          <mc:Choice Requires="wpg">
            <w:drawing>
              <wp:inline distT="0" distB="0" distL="0" distR="0" wp14:anchorId="1BFFA4FA" wp14:editId="3968C2CB">
                <wp:extent cx="5217795" cy="2929890"/>
                <wp:effectExtent l="15875" t="21590" r="14605" b="20320"/>
                <wp:docPr id="105" name="Group 1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7795" cy="2929890"/>
                          <a:chOff x="1792" y="2869"/>
                          <a:chExt cx="8217" cy="4614"/>
                        </a:xfrm>
                      </wpg:grpSpPr>
                      <wps:wsp>
                        <wps:cNvPr id="106" name="Rectangle 1334"/>
                        <wps:cNvSpPr>
                          <a:spLocks noChangeArrowheads="1"/>
                        </wps:cNvSpPr>
                        <wps:spPr bwMode="auto">
                          <a:xfrm>
                            <a:off x="4223" y="4368"/>
                            <a:ext cx="3506" cy="563"/>
                          </a:xfrm>
                          <a:prstGeom prst="rect">
                            <a:avLst/>
                          </a:prstGeom>
                          <a:solidFill>
                            <a:srgbClr val="4F81BD"/>
                          </a:solidFill>
                          <a:ln w="25400" algn="ctr">
                            <a:solidFill>
                              <a:srgbClr val="385D8A"/>
                            </a:solidFill>
                            <a:miter lim="800000"/>
                            <a:headEnd/>
                            <a:tailEnd/>
                          </a:ln>
                        </wps:spPr>
                        <wps:txbx>
                          <w:txbxContent>
                            <w:p w14:paraId="5DA63459" w14:textId="77777777" w:rsidR="004E3164" w:rsidRPr="00864A2F" w:rsidRDefault="004E3164" w:rsidP="00864A2F">
                              <w:pPr>
                                <w:ind w:firstLine="0"/>
                                <w:jc w:val="center"/>
                                <w:rPr>
                                  <w:color w:val="FFFFFF"/>
                                  <w:sz w:val="20"/>
                                </w:rPr>
                              </w:pPr>
                              <w:r w:rsidRPr="00864A2F">
                                <w:rPr>
                                  <w:color w:val="FFFFFF"/>
                                  <w:sz w:val="20"/>
                                </w:rPr>
                                <w:t>Идентификация на риска</w:t>
                              </w:r>
                            </w:p>
                          </w:txbxContent>
                        </wps:txbx>
                        <wps:bodyPr rot="0" vert="horz" wrap="square" lIns="91440" tIns="45720" rIns="91440" bIns="45720" anchor="ctr" anchorCtr="0" upright="1">
                          <a:noAutofit/>
                        </wps:bodyPr>
                      </wps:wsp>
                      <wps:wsp>
                        <wps:cNvPr id="107" name="Straight Arrow Connector 1335"/>
                        <wps:cNvCnPr>
                          <a:cxnSpLocks noChangeShapeType="1"/>
                        </wps:cNvCnPr>
                        <wps:spPr bwMode="auto">
                          <a:xfrm flipH="1">
                            <a:off x="7903" y="4594"/>
                            <a:ext cx="554" cy="0"/>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8" name="Straight Arrow Connector 1336"/>
                        <wps:cNvCnPr>
                          <a:cxnSpLocks noChangeShapeType="1"/>
                        </wps:cNvCnPr>
                        <wps:spPr bwMode="auto">
                          <a:xfrm flipH="1">
                            <a:off x="7903" y="5398"/>
                            <a:ext cx="571" cy="0"/>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9" name="Straight Arrow Connector 1341"/>
                        <wps:cNvCnPr>
                          <a:cxnSpLocks noChangeShapeType="1"/>
                        </wps:cNvCnPr>
                        <wps:spPr bwMode="auto">
                          <a:xfrm flipH="1">
                            <a:off x="7891" y="6207"/>
                            <a:ext cx="570" cy="0"/>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0" name="Straight Arrow Connector 1342"/>
                        <wps:cNvCnPr>
                          <a:cxnSpLocks noChangeShapeType="1"/>
                        </wps:cNvCnPr>
                        <wps:spPr bwMode="auto">
                          <a:xfrm flipH="1">
                            <a:off x="7726" y="7056"/>
                            <a:ext cx="831" cy="0"/>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1" name="Rectangle 57"/>
                        <wps:cNvSpPr>
                          <a:spLocks noChangeArrowheads="1"/>
                        </wps:cNvSpPr>
                        <wps:spPr bwMode="auto">
                          <a:xfrm>
                            <a:off x="4057" y="3864"/>
                            <a:ext cx="3847" cy="2873"/>
                          </a:xfrm>
                          <a:prstGeom prst="rect">
                            <a:avLst/>
                          </a:prstGeom>
                          <a:solidFill>
                            <a:srgbClr val="4F81BD"/>
                          </a:solidFill>
                          <a:ln w="25400" algn="ctr">
                            <a:solidFill>
                              <a:srgbClr val="385D8A"/>
                            </a:solidFill>
                            <a:miter lim="800000"/>
                            <a:headEnd/>
                            <a:tailEnd/>
                          </a:ln>
                        </wps:spPr>
                        <wps:txbx>
                          <w:txbxContent>
                            <w:p w14:paraId="5EC4CBB7" w14:textId="77777777" w:rsidR="004E3164" w:rsidRPr="00864A2F" w:rsidRDefault="004E3164" w:rsidP="00864A2F">
                              <w:pPr>
                                <w:ind w:firstLine="0"/>
                                <w:jc w:val="center"/>
                                <w:rPr>
                                  <w:b/>
                                  <w:sz w:val="20"/>
                                </w:rPr>
                              </w:pPr>
                              <w:r w:rsidRPr="00864A2F">
                                <w:rPr>
                                  <w:b/>
                                  <w:sz w:val="20"/>
                                </w:rPr>
                                <w:t>Оценка на риска</w:t>
                              </w:r>
                            </w:p>
                          </w:txbxContent>
                        </wps:txbx>
                        <wps:bodyPr rot="0" vert="horz" wrap="square" lIns="91440" tIns="45720" rIns="91440" bIns="45720" anchor="t" anchorCtr="0" upright="1">
                          <a:noAutofit/>
                        </wps:bodyPr>
                      </wps:wsp>
                      <wps:wsp>
                        <wps:cNvPr id="113" name="Rectangle 33"/>
                        <wps:cNvSpPr>
                          <a:spLocks noChangeArrowheads="1"/>
                        </wps:cNvSpPr>
                        <wps:spPr bwMode="auto">
                          <a:xfrm>
                            <a:off x="4057" y="2869"/>
                            <a:ext cx="3506" cy="923"/>
                          </a:xfrm>
                          <a:prstGeom prst="rect">
                            <a:avLst/>
                          </a:prstGeom>
                          <a:solidFill>
                            <a:srgbClr val="4F81BD"/>
                          </a:solidFill>
                          <a:ln w="25400" algn="ctr">
                            <a:solidFill>
                              <a:srgbClr val="385D8A"/>
                            </a:solidFill>
                            <a:miter lim="800000"/>
                            <a:headEnd/>
                            <a:tailEnd/>
                          </a:ln>
                        </wps:spPr>
                        <wps:txbx>
                          <w:txbxContent>
                            <w:p w14:paraId="1CABB381" w14:textId="77777777" w:rsidR="004E3164" w:rsidRPr="00864A2F" w:rsidRDefault="004E3164" w:rsidP="00864A2F">
                              <w:pPr>
                                <w:ind w:firstLine="0"/>
                                <w:jc w:val="center"/>
                                <w:rPr>
                                  <w:sz w:val="20"/>
                                </w:rPr>
                              </w:pPr>
                              <w:r w:rsidRPr="00864A2F">
                                <w:rPr>
                                  <w:sz w:val="20"/>
                                </w:rPr>
                                <w:t>Установяване на обстоятелствата</w:t>
                              </w:r>
                            </w:p>
                          </w:txbxContent>
                        </wps:txbx>
                        <wps:bodyPr rot="0" vert="horz" wrap="square" lIns="91440" tIns="45720" rIns="91440" bIns="45720" anchor="ctr" anchorCtr="0" upright="1">
                          <a:noAutofit/>
                        </wps:bodyPr>
                      </wps:wsp>
                      <wps:wsp>
                        <wps:cNvPr id="116" name="Rectangle 44"/>
                        <wps:cNvSpPr>
                          <a:spLocks noChangeArrowheads="1"/>
                        </wps:cNvSpPr>
                        <wps:spPr bwMode="auto">
                          <a:xfrm>
                            <a:off x="4220" y="5155"/>
                            <a:ext cx="3506" cy="563"/>
                          </a:xfrm>
                          <a:prstGeom prst="rect">
                            <a:avLst/>
                          </a:prstGeom>
                          <a:solidFill>
                            <a:srgbClr val="4F81BD"/>
                          </a:solidFill>
                          <a:ln w="25400" algn="ctr">
                            <a:solidFill>
                              <a:srgbClr val="385D8A"/>
                            </a:solidFill>
                            <a:miter lim="800000"/>
                            <a:headEnd/>
                            <a:tailEnd/>
                          </a:ln>
                        </wps:spPr>
                        <wps:txbx>
                          <w:txbxContent>
                            <w:p w14:paraId="0B5BDD57" w14:textId="77777777" w:rsidR="004E3164" w:rsidRPr="00864A2F" w:rsidRDefault="004E3164" w:rsidP="00864A2F">
                              <w:pPr>
                                <w:spacing w:after="200" w:line="276" w:lineRule="auto"/>
                                <w:ind w:firstLine="0"/>
                                <w:jc w:val="center"/>
                                <w:rPr>
                                  <w:rFonts w:ascii="Calibri" w:hAnsi="Calibri"/>
                                  <w:color w:val="FFFFFF"/>
                                  <w:sz w:val="20"/>
                                  <w:lang w:eastAsia="en-US"/>
                                </w:rPr>
                              </w:pPr>
                              <w:r w:rsidRPr="00864A2F">
                                <w:rPr>
                                  <w:rFonts w:ascii="Calibri" w:hAnsi="Calibri"/>
                                  <w:color w:val="FFFFFF"/>
                                  <w:sz w:val="20"/>
                                  <w:lang w:eastAsia="en-US"/>
                                </w:rPr>
                                <w:t>Анализ на риска</w:t>
                              </w:r>
                            </w:p>
                            <w:p w14:paraId="5E4702DC" w14:textId="77777777" w:rsidR="004E3164" w:rsidRPr="00864A2F" w:rsidRDefault="004E3164" w:rsidP="00864A2F">
                              <w:pPr>
                                <w:ind w:firstLine="0"/>
                                <w:jc w:val="center"/>
                                <w:rPr>
                                  <w:sz w:val="20"/>
                                </w:rPr>
                              </w:pPr>
                            </w:p>
                          </w:txbxContent>
                        </wps:txbx>
                        <wps:bodyPr rot="0" vert="horz" wrap="square" lIns="91440" tIns="45720" rIns="91440" bIns="45720" anchor="ctr" anchorCtr="0" upright="1">
                          <a:noAutofit/>
                        </wps:bodyPr>
                      </wps:wsp>
                      <wps:wsp>
                        <wps:cNvPr id="120" name="Rectangle 48"/>
                        <wps:cNvSpPr>
                          <a:spLocks noChangeArrowheads="1"/>
                        </wps:cNvSpPr>
                        <wps:spPr bwMode="auto">
                          <a:xfrm>
                            <a:off x="4220" y="5986"/>
                            <a:ext cx="3506" cy="564"/>
                          </a:xfrm>
                          <a:prstGeom prst="rect">
                            <a:avLst/>
                          </a:prstGeom>
                          <a:solidFill>
                            <a:srgbClr val="4F81BD"/>
                          </a:solidFill>
                          <a:ln w="25400" algn="ctr">
                            <a:solidFill>
                              <a:srgbClr val="385D8A"/>
                            </a:solidFill>
                            <a:miter lim="800000"/>
                            <a:headEnd/>
                            <a:tailEnd/>
                          </a:ln>
                        </wps:spPr>
                        <wps:txbx>
                          <w:txbxContent>
                            <w:p w14:paraId="3B5F2759" w14:textId="77777777" w:rsidR="004E3164" w:rsidRPr="00864A2F" w:rsidRDefault="004E3164" w:rsidP="00864A2F">
                              <w:pPr>
                                <w:spacing w:after="200" w:line="276" w:lineRule="auto"/>
                                <w:ind w:firstLine="0"/>
                                <w:jc w:val="center"/>
                                <w:rPr>
                                  <w:rFonts w:ascii="Calibri" w:hAnsi="Calibri"/>
                                  <w:color w:val="FFFFFF"/>
                                  <w:sz w:val="20"/>
                                  <w:lang w:eastAsia="en-US"/>
                                </w:rPr>
                              </w:pPr>
                              <w:r w:rsidRPr="00864A2F">
                                <w:rPr>
                                  <w:rFonts w:ascii="Calibri" w:hAnsi="Calibri"/>
                                  <w:color w:val="FFFFFF"/>
                                  <w:sz w:val="20"/>
                                  <w:lang w:eastAsia="en-US"/>
                                </w:rPr>
                                <w:t>Преценяване на риска</w:t>
                              </w:r>
                            </w:p>
                            <w:p w14:paraId="4C756489" w14:textId="77777777" w:rsidR="004E3164" w:rsidRPr="00864A2F" w:rsidRDefault="004E3164" w:rsidP="00864A2F">
                              <w:pPr>
                                <w:ind w:firstLine="0"/>
                                <w:jc w:val="center"/>
                                <w:rPr>
                                  <w:sz w:val="20"/>
                                </w:rPr>
                              </w:pPr>
                            </w:p>
                          </w:txbxContent>
                        </wps:txbx>
                        <wps:bodyPr rot="0" vert="horz" wrap="square" lIns="91440" tIns="45720" rIns="91440" bIns="45720" anchor="ctr" anchorCtr="0" upright="1">
                          <a:noAutofit/>
                        </wps:bodyPr>
                      </wps:wsp>
                      <wps:wsp>
                        <wps:cNvPr id="121" name="Rectangle 51"/>
                        <wps:cNvSpPr>
                          <a:spLocks noChangeArrowheads="1"/>
                        </wps:cNvSpPr>
                        <wps:spPr bwMode="auto">
                          <a:xfrm>
                            <a:off x="4220" y="6845"/>
                            <a:ext cx="3506" cy="564"/>
                          </a:xfrm>
                          <a:prstGeom prst="rect">
                            <a:avLst/>
                          </a:prstGeom>
                          <a:solidFill>
                            <a:srgbClr val="4F81BD"/>
                          </a:solidFill>
                          <a:ln w="25400" algn="ctr">
                            <a:solidFill>
                              <a:srgbClr val="385D8A"/>
                            </a:solidFill>
                            <a:miter lim="800000"/>
                            <a:headEnd/>
                            <a:tailEnd/>
                          </a:ln>
                        </wps:spPr>
                        <wps:txbx>
                          <w:txbxContent>
                            <w:p w14:paraId="3C7E52C1" w14:textId="77777777" w:rsidR="004E3164" w:rsidRPr="00864A2F" w:rsidRDefault="004E3164" w:rsidP="00864A2F">
                              <w:pPr>
                                <w:spacing w:after="200" w:line="276" w:lineRule="auto"/>
                                <w:ind w:firstLine="0"/>
                                <w:jc w:val="center"/>
                                <w:rPr>
                                  <w:rFonts w:ascii="Calibri" w:hAnsi="Calibri"/>
                                  <w:color w:val="FFFFFF"/>
                                  <w:sz w:val="20"/>
                                  <w:lang w:eastAsia="en-US"/>
                                </w:rPr>
                              </w:pPr>
                              <w:r w:rsidRPr="00864A2F">
                                <w:rPr>
                                  <w:rFonts w:ascii="Calibri" w:hAnsi="Calibri"/>
                                  <w:color w:val="FFFFFF"/>
                                  <w:sz w:val="20"/>
                                  <w:lang w:eastAsia="en-US"/>
                                </w:rPr>
                                <w:t>Въздействие върху риска</w:t>
                              </w:r>
                            </w:p>
                            <w:p w14:paraId="55398CCE" w14:textId="77777777" w:rsidR="004E3164" w:rsidRPr="00864A2F" w:rsidRDefault="004E3164" w:rsidP="00864A2F">
                              <w:pPr>
                                <w:ind w:firstLine="0"/>
                                <w:jc w:val="center"/>
                                <w:rPr>
                                  <w:sz w:val="20"/>
                                </w:rPr>
                              </w:pPr>
                            </w:p>
                          </w:txbxContent>
                        </wps:txbx>
                        <wps:bodyPr rot="0" vert="horz" wrap="square" lIns="91440" tIns="45720" rIns="91440" bIns="45720" anchor="ctr" anchorCtr="0" upright="1">
                          <a:noAutofit/>
                        </wps:bodyPr>
                      </wps:wsp>
                      <wps:wsp>
                        <wps:cNvPr id="122" name="Rectangle 37"/>
                        <wps:cNvSpPr>
                          <a:spLocks noChangeArrowheads="1"/>
                        </wps:cNvSpPr>
                        <wps:spPr bwMode="auto">
                          <a:xfrm>
                            <a:off x="8569" y="3439"/>
                            <a:ext cx="1440" cy="4044"/>
                          </a:xfrm>
                          <a:prstGeom prst="rect">
                            <a:avLst/>
                          </a:prstGeom>
                          <a:solidFill>
                            <a:srgbClr val="4F81BD"/>
                          </a:solidFill>
                          <a:ln w="25400" algn="ctr">
                            <a:solidFill>
                              <a:srgbClr val="385D8A"/>
                            </a:solidFill>
                            <a:miter lim="800000"/>
                            <a:headEnd/>
                            <a:tailEnd/>
                          </a:ln>
                        </wps:spPr>
                        <wps:txbx>
                          <w:txbxContent>
                            <w:p w14:paraId="52CC580B" w14:textId="77777777" w:rsidR="004E3164" w:rsidRPr="00864A2F" w:rsidRDefault="004E3164" w:rsidP="00864A2F">
                              <w:pPr>
                                <w:ind w:firstLine="0"/>
                                <w:jc w:val="center"/>
                                <w:rPr>
                                  <w:sz w:val="20"/>
                                </w:rPr>
                              </w:pPr>
                              <w:r w:rsidRPr="00864A2F">
                                <w:rPr>
                                  <w:sz w:val="20"/>
                                </w:rPr>
                                <w:t xml:space="preserve">Наблюдение и преглед </w:t>
                              </w:r>
                            </w:p>
                          </w:txbxContent>
                        </wps:txbx>
                        <wps:bodyPr rot="0" vert="horz" wrap="square" lIns="91440" tIns="45720" rIns="91440" bIns="45720" anchor="ctr" anchorCtr="0" upright="1">
                          <a:noAutofit/>
                        </wps:bodyPr>
                      </wps:wsp>
                      <wps:wsp>
                        <wps:cNvPr id="125" name="Straight Arrow Connector 35"/>
                        <wps:cNvCnPr>
                          <a:cxnSpLocks noChangeShapeType="1"/>
                        </wps:cNvCnPr>
                        <wps:spPr bwMode="auto">
                          <a:xfrm>
                            <a:off x="7582" y="3559"/>
                            <a:ext cx="870" cy="6"/>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26" name="Group 1714"/>
                        <wpg:cNvGrpSpPr>
                          <a:grpSpLocks/>
                        </wpg:cNvGrpSpPr>
                        <wpg:grpSpPr bwMode="auto">
                          <a:xfrm>
                            <a:off x="1792" y="3364"/>
                            <a:ext cx="2428" cy="4044"/>
                            <a:chOff x="0" y="0"/>
                            <a:chExt cx="1541747" cy="2568271"/>
                          </a:xfrm>
                        </wpg:grpSpPr>
                        <wps:wsp>
                          <wps:cNvPr id="127" name="Rectangle 34"/>
                          <wps:cNvSpPr>
                            <a:spLocks noChangeArrowheads="1"/>
                          </wps:cNvSpPr>
                          <wps:spPr bwMode="auto">
                            <a:xfrm>
                              <a:off x="0" y="0"/>
                              <a:ext cx="993913" cy="2568271"/>
                            </a:xfrm>
                            <a:prstGeom prst="rect">
                              <a:avLst/>
                            </a:prstGeom>
                            <a:solidFill>
                              <a:srgbClr val="4F81BD"/>
                            </a:solidFill>
                            <a:ln w="25400" algn="ctr">
                              <a:solidFill>
                                <a:srgbClr val="385D8A"/>
                              </a:solidFill>
                              <a:miter lim="800000"/>
                              <a:headEnd/>
                              <a:tailEnd/>
                            </a:ln>
                          </wps:spPr>
                          <wps:txbx>
                            <w:txbxContent>
                              <w:p w14:paraId="1F5AAB68" w14:textId="77777777" w:rsidR="004E3164" w:rsidRPr="00864A2F" w:rsidRDefault="004E3164" w:rsidP="00864A2F">
                                <w:pPr>
                                  <w:ind w:firstLine="0"/>
                                  <w:jc w:val="center"/>
                                  <w:rPr>
                                    <w:color w:val="FFFFFF"/>
                                    <w:sz w:val="20"/>
                                  </w:rPr>
                                </w:pPr>
                                <w:r w:rsidRPr="00864A2F">
                                  <w:rPr>
                                    <w:color w:val="FFFFFF"/>
                                    <w:sz w:val="20"/>
                                  </w:rPr>
                                  <w:t>Обмен на информация</w:t>
                                </w:r>
                              </w:p>
                              <w:p w14:paraId="746E6FD2" w14:textId="77777777" w:rsidR="004E3164" w:rsidRPr="00864A2F" w:rsidRDefault="004E3164" w:rsidP="00864A2F">
                                <w:pPr>
                                  <w:ind w:firstLine="0"/>
                                  <w:jc w:val="center"/>
                                  <w:rPr>
                                    <w:color w:val="FFFFFF"/>
                                    <w:sz w:val="20"/>
                                  </w:rPr>
                                </w:pPr>
                                <w:r w:rsidRPr="00864A2F">
                                  <w:rPr>
                                    <w:color w:val="FFFFFF"/>
                                    <w:sz w:val="20"/>
                                  </w:rPr>
                                  <w:t>и консултиране</w:t>
                                </w:r>
                              </w:p>
                            </w:txbxContent>
                          </wps:txbx>
                          <wps:bodyPr rot="0" vert="horz" wrap="square" lIns="91440" tIns="45720" rIns="91440" bIns="45720" anchor="ctr" anchorCtr="0" upright="1">
                            <a:noAutofit/>
                          </wps:bodyPr>
                        </wps:wsp>
                        <wps:wsp>
                          <wps:cNvPr id="160" name="Straight Arrow Connector 42"/>
                          <wps:cNvCnPr>
                            <a:cxnSpLocks noChangeShapeType="1"/>
                          </wps:cNvCnPr>
                          <wps:spPr bwMode="auto">
                            <a:xfrm flipH="1">
                              <a:off x="990600" y="781050"/>
                              <a:ext cx="436946" cy="0"/>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1" name="Straight Arrow Connector 46"/>
                          <wps:cNvCnPr>
                            <a:cxnSpLocks noChangeShapeType="1"/>
                          </wps:cNvCnPr>
                          <wps:spPr bwMode="auto">
                            <a:xfrm flipH="1" flipV="1">
                              <a:off x="990600" y="1295400"/>
                              <a:ext cx="444829" cy="3942"/>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2" name="Straight Arrow Connector 36"/>
                          <wps:cNvCnPr>
                            <a:cxnSpLocks noChangeShapeType="1"/>
                          </wps:cNvCnPr>
                          <wps:spPr bwMode="auto">
                            <a:xfrm flipH="1" flipV="1">
                              <a:off x="990600" y="123825"/>
                              <a:ext cx="433552" cy="3942"/>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3" name="Straight Arrow Connector 47"/>
                          <wps:cNvCnPr>
                            <a:cxnSpLocks noChangeShapeType="1"/>
                          </wps:cNvCnPr>
                          <wps:spPr bwMode="auto">
                            <a:xfrm flipH="1" flipV="1">
                              <a:off x="1000125" y="1885950"/>
                              <a:ext cx="425056" cy="3941"/>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4" name="Straight Arrow Connector 53"/>
                          <wps:cNvCnPr>
                            <a:cxnSpLocks noChangeShapeType="1"/>
                            <a:stCxn id="121" idx="1"/>
                          </wps:cNvCnPr>
                          <wps:spPr bwMode="auto">
                            <a:xfrm flipH="1" flipV="1">
                              <a:off x="990600" y="2381250"/>
                              <a:ext cx="551147" cy="8594"/>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1BFFA4FA" id="Group 1968" o:spid="_x0000_s1704" style="width:410.85pt;height:230.7pt;mso-position-horizontal-relative:char;mso-position-vertical-relative:line" coordorigin="1792,2869" coordsize="8217,4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">
                <v:rect id="Rectangle 1334" o:spid="_x0000_s1705" style="position:absolute;left:4223;top:4368;width:3506;height: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" fillcolor="#4f81bd" strokecolor="#385d8a" strokeweight="2pt">
                  <v:textbox>
                    <w:txbxContent>
                      <w:p w14:paraId="5DA63459" w14:textId="77777777" w:rsidR="004E3164" w:rsidRPr="00864A2F" w:rsidRDefault="004E3164" w:rsidP="00864A2F">
                        <w:pPr>
                          <w:ind w:firstLine="0"/>
                          <w:jc w:val="center"/>
                          <w:rPr>
                            <w:color w:val="FFFFFF"/>
                            <w:sz w:val="20"/>
                          </w:rPr>
                        </w:pPr>
                        <w:r w:rsidRPr="00864A2F">
                          <w:rPr>
                            <w:color w:val="FFFFFF"/>
                            <w:sz w:val="20"/>
                          </w:rPr>
                          <w:t>Идентификация на риска</w:t>
                        </w:r>
                      </w:p>
                    </w:txbxContent>
                  </v:textbox>
                </v:rect>
                <v:shape id="Straight Arrow Connector 1335" o:spid="_x0000_s1706" type="#_x0000_t32" style="position:absolute;left:7903;top:4594;width:55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" strokecolor="#4a7ebb">
                  <v:stroke startarrow="block" endarrow="block"/>
                </v:shape>
                <v:shape id="Straight Arrow Connector 1336" o:spid="_x0000_s1707" type="#_x0000_t32" style="position:absolute;left:7903;top:5398;width:5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" strokecolor="#4a7ebb">
                  <v:stroke startarrow="block" endarrow="block"/>
                </v:shape>
                <v:shape id="Straight Arrow Connector 1341" o:spid="_x0000_s1708" type="#_x0000_t32" style="position:absolute;left:7891;top:6207;width:5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" strokecolor="#4a7ebb">
                  <v:stroke startarrow="block" endarrow="block"/>
                </v:shape>
                <v:shape id="Straight Arrow Connector 1342" o:spid="_x0000_s1709" type="#_x0000_t32" style="position:absolute;left:7726;top:7056;width:83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" strokecolor="#4a7ebb">
                  <v:stroke startarrow="block" endarrow="block"/>
                </v:shape>
                <v:rect id="Rectangle 57" o:spid="_x0000_s1710" style="position:absolute;left:4057;top:3864;width:3847;height: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" fillcolor="#4f81bd" strokecolor="#385d8a" strokeweight="2pt">
                  <v:textbox>
                    <w:txbxContent>
                      <w:p w14:paraId="5EC4CBB7" w14:textId="77777777" w:rsidR="004E3164" w:rsidRPr="00864A2F" w:rsidRDefault="004E3164" w:rsidP="00864A2F">
                        <w:pPr>
                          <w:ind w:firstLine="0"/>
                          <w:jc w:val="center"/>
                          <w:rPr>
                            <w:b/>
                            <w:sz w:val="20"/>
                          </w:rPr>
                        </w:pPr>
                        <w:r w:rsidRPr="00864A2F">
                          <w:rPr>
                            <w:b/>
                            <w:sz w:val="20"/>
                          </w:rPr>
                          <w:t>Оценка на риска</w:t>
                        </w:r>
                      </w:p>
                    </w:txbxContent>
                  </v:textbox>
                </v:rect>
                <v:rect id="Rectangle 33" o:spid="_x0000_s1711" style="position:absolute;left:4057;top:2869;width:3506;height: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" fillcolor="#4f81bd" strokecolor="#385d8a" strokeweight="2pt">
                  <v:textbox>
                    <w:txbxContent>
                      <w:p w14:paraId="1CABB381" w14:textId="77777777" w:rsidR="004E3164" w:rsidRPr="00864A2F" w:rsidRDefault="004E3164" w:rsidP="00864A2F">
                        <w:pPr>
                          <w:ind w:firstLine="0"/>
                          <w:jc w:val="center"/>
                          <w:rPr>
                            <w:sz w:val="20"/>
                          </w:rPr>
                        </w:pPr>
                        <w:r w:rsidRPr="00864A2F">
                          <w:rPr>
                            <w:sz w:val="20"/>
                          </w:rPr>
                          <w:t>Установяване на обстоятелствата</w:t>
                        </w:r>
                      </w:p>
                    </w:txbxContent>
                  </v:textbox>
                </v:rect>
                <v:rect id="Rectangle 44" o:spid="_x0000_s1712" style="position:absolute;left:4220;top:5155;width:3506;height: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" fillcolor="#4f81bd" strokecolor="#385d8a" strokeweight="2pt">
                  <v:textbox>
                    <w:txbxContent>
                      <w:p w14:paraId="0B5BDD57" w14:textId="77777777" w:rsidR="004E3164" w:rsidRPr="00864A2F" w:rsidRDefault="004E3164" w:rsidP="00864A2F">
                        <w:pPr>
                          <w:spacing w:after="200" w:line="276" w:lineRule="auto"/>
                          <w:ind w:firstLine="0"/>
                          <w:jc w:val="center"/>
                          <w:rPr>
                            <w:rFonts w:ascii="Calibri" w:hAnsi="Calibri"/>
                            <w:color w:val="FFFFFF"/>
                            <w:sz w:val="20"/>
                            <w:lang w:eastAsia="en-US"/>
                          </w:rPr>
                        </w:pPr>
                        <w:r w:rsidRPr="00864A2F">
                          <w:rPr>
                            <w:rFonts w:ascii="Calibri" w:hAnsi="Calibri"/>
                            <w:color w:val="FFFFFF"/>
                            <w:sz w:val="20"/>
                            <w:lang w:eastAsia="en-US"/>
                          </w:rPr>
                          <w:t>Анализ на риска</w:t>
                        </w:r>
                      </w:p>
                      <w:p w14:paraId="5E4702DC" w14:textId="77777777" w:rsidR="004E3164" w:rsidRPr="00864A2F" w:rsidRDefault="004E3164" w:rsidP="00864A2F">
                        <w:pPr>
                          <w:ind w:firstLine="0"/>
                          <w:jc w:val="center"/>
                          <w:rPr>
                            <w:sz w:val="20"/>
                          </w:rPr>
                        </w:pPr>
                      </w:p>
                    </w:txbxContent>
                  </v:textbox>
                </v:rect>
                <v:rect id="Rectangle 48" o:spid="_x0000_s1713" style="position:absolute;left:4220;top:5986;width:3506;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" fillcolor="#4f81bd" strokecolor="#385d8a" strokeweight="2pt">
                  <v:textbox>
                    <w:txbxContent>
                      <w:p w14:paraId="3B5F2759" w14:textId="77777777" w:rsidR="004E3164" w:rsidRPr="00864A2F" w:rsidRDefault="004E3164" w:rsidP="00864A2F">
                        <w:pPr>
                          <w:spacing w:after="200" w:line="276" w:lineRule="auto"/>
                          <w:ind w:firstLine="0"/>
                          <w:jc w:val="center"/>
                          <w:rPr>
                            <w:rFonts w:ascii="Calibri" w:hAnsi="Calibri"/>
                            <w:color w:val="FFFFFF"/>
                            <w:sz w:val="20"/>
                            <w:lang w:eastAsia="en-US"/>
                          </w:rPr>
                        </w:pPr>
                        <w:r w:rsidRPr="00864A2F">
                          <w:rPr>
                            <w:rFonts w:ascii="Calibri" w:hAnsi="Calibri"/>
                            <w:color w:val="FFFFFF"/>
                            <w:sz w:val="20"/>
                            <w:lang w:eastAsia="en-US"/>
                          </w:rPr>
                          <w:t>Преценяване на риска</w:t>
                        </w:r>
                      </w:p>
                      <w:p w14:paraId="4C756489" w14:textId="77777777" w:rsidR="004E3164" w:rsidRPr="00864A2F" w:rsidRDefault="004E3164" w:rsidP="00864A2F">
                        <w:pPr>
                          <w:ind w:firstLine="0"/>
                          <w:jc w:val="center"/>
                          <w:rPr>
                            <w:sz w:val="20"/>
                          </w:rPr>
                        </w:pPr>
                      </w:p>
                    </w:txbxContent>
                  </v:textbox>
                </v:rect>
                <v:rect id="Rectangle 51" o:spid="_x0000_s1714" style="position:absolute;left:4220;top:6845;width:3506;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" fillcolor="#4f81bd" strokecolor="#385d8a" strokeweight="2pt">
                  <v:textbox>
                    <w:txbxContent>
                      <w:p w14:paraId="3C7E52C1" w14:textId="77777777" w:rsidR="004E3164" w:rsidRPr="00864A2F" w:rsidRDefault="004E3164" w:rsidP="00864A2F">
                        <w:pPr>
                          <w:spacing w:after="200" w:line="276" w:lineRule="auto"/>
                          <w:ind w:firstLine="0"/>
                          <w:jc w:val="center"/>
                          <w:rPr>
                            <w:rFonts w:ascii="Calibri" w:hAnsi="Calibri"/>
                            <w:color w:val="FFFFFF"/>
                            <w:sz w:val="20"/>
                            <w:lang w:eastAsia="en-US"/>
                          </w:rPr>
                        </w:pPr>
                        <w:r w:rsidRPr="00864A2F">
                          <w:rPr>
                            <w:rFonts w:ascii="Calibri" w:hAnsi="Calibri"/>
                            <w:color w:val="FFFFFF"/>
                            <w:sz w:val="20"/>
                            <w:lang w:eastAsia="en-US"/>
                          </w:rPr>
                          <w:t>Въздействие върху риска</w:t>
                        </w:r>
                      </w:p>
                      <w:p w14:paraId="55398CCE" w14:textId="77777777" w:rsidR="004E3164" w:rsidRPr="00864A2F" w:rsidRDefault="004E3164" w:rsidP="00864A2F">
                        <w:pPr>
                          <w:ind w:firstLine="0"/>
                          <w:jc w:val="center"/>
                          <w:rPr>
                            <w:sz w:val="20"/>
                          </w:rPr>
                        </w:pPr>
                      </w:p>
                    </w:txbxContent>
                  </v:textbox>
                </v:rect>
                <v:rect id="Rectangle 37" o:spid="_x0000_s1715" style="position:absolute;left:8569;top:3439;width:1440;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" fillcolor="#4f81bd" strokecolor="#385d8a" strokeweight="2pt">
                  <v:textbox>
                    <w:txbxContent>
                      <w:p w14:paraId="52CC580B" w14:textId="77777777" w:rsidR="004E3164" w:rsidRPr="00864A2F" w:rsidRDefault="004E3164" w:rsidP="00864A2F">
                        <w:pPr>
                          <w:ind w:firstLine="0"/>
                          <w:jc w:val="center"/>
                          <w:rPr>
                            <w:sz w:val="20"/>
                          </w:rPr>
                        </w:pPr>
                        <w:r w:rsidRPr="00864A2F">
                          <w:rPr>
                            <w:sz w:val="20"/>
                          </w:rPr>
                          <w:t xml:space="preserve">Наблюдение и преглед </w:t>
                        </w:r>
                      </w:p>
                    </w:txbxContent>
                  </v:textbox>
                </v:rect>
                <v:shape id="Straight Arrow Connector 35" o:spid="_x0000_s1716" type="#_x0000_t32" style="position:absolute;left:7582;top:3559;width:8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" strokecolor="#4a7ebb">
                  <v:stroke startarrow="block" endarrow="block"/>
                </v:shape>
                <v:group id="Group 1714" o:spid="_x0000_s1717" style="position:absolute;left:1792;top:3364;width:2428;height:4044" coordsize="15417,2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Rectangle 34" o:spid="_x0000_s1718" style="position:absolute;width:9939;height:25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" fillcolor="#4f81bd" strokecolor="#385d8a" strokeweight="2pt">
                    <v:textbox>
                      <w:txbxContent>
                        <w:p w14:paraId="1F5AAB68" w14:textId="77777777" w:rsidR="004E3164" w:rsidRPr="00864A2F" w:rsidRDefault="004E3164" w:rsidP="00864A2F">
                          <w:pPr>
                            <w:ind w:firstLine="0"/>
                            <w:jc w:val="center"/>
                            <w:rPr>
                              <w:color w:val="FFFFFF"/>
                              <w:sz w:val="20"/>
                            </w:rPr>
                          </w:pPr>
                          <w:r w:rsidRPr="00864A2F">
                            <w:rPr>
                              <w:color w:val="FFFFFF"/>
                              <w:sz w:val="20"/>
                            </w:rPr>
                            <w:t>Обмен на информация</w:t>
                          </w:r>
                        </w:p>
                        <w:p w14:paraId="746E6FD2" w14:textId="77777777" w:rsidR="004E3164" w:rsidRPr="00864A2F" w:rsidRDefault="004E3164" w:rsidP="00864A2F">
                          <w:pPr>
                            <w:ind w:firstLine="0"/>
                            <w:jc w:val="center"/>
                            <w:rPr>
                              <w:color w:val="FFFFFF"/>
                              <w:sz w:val="20"/>
                            </w:rPr>
                          </w:pPr>
                          <w:r w:rsidRPr="00864A2F">
                            <w:rPr>
                              <w:color w:val="FFFFFF"/>
                              <w:sz w:val="20"/>
                            </w:rPr>
                            <w:t>и консултиране</w:t>
                          </w:r>
                        </w:p>
                      </w:txbxContent>
                    </v:textbox>
                  </v:rect>
                  <v:shape id="Straight Arrow Connector 42" o:spid="_x0000_s1719" type="#_x0000_t32" style="position:absolute;left:9906;top:7810;width:43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" strokecolor="#4a7ebb">
                    <v:stroke startarrow="block" endarrow="block"/>
                  </v:shape>
                  <v:shape id="Straight Arrow Connector 46" o:spid="_x0000_s1720" type="#_x0000_t32" style="position:absolute;left:9906;top:12954;width:4448;height: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" strokecolor="#4a7ebb">
                    <v:stroke startarrow="block" endarrow="block"/>
                  </v:shape>
                  <v:shape id="Straight Arrow Connector 36" o:spid="_x0000_s1721" type="#_x0000_t32" style="position:absolute;left:9906;top:1238;width:4335;height: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" strokecolor="#4a7ebb">
                    <v:stroke startarrow="block" endarrow="block"/>
                  </v:shape>
                  <v:shape id="Straight Arrow Connector 47" o:spid="_x0000_s1722" type="#_x0000_t32" style="position:absolute;left:10001;top:18859;width:4250;height: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" strokecolor="#4a7ebb">
                    <v:stroke startarrow="block" endarrow="block"/>
                  </v:shape>
                  <v:shape id="Straight Arrow Connector 53" o:spid="_x0000_s1723" type="#_x0000_t32" style="position:absolute;left:9906;top:23812;width:5511;height: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" strokecolor="#4a7ebb">
                    <v:stroke startarrow="block" endarrow="block"/>
                  </v:shape>
                </v:group>
                <w10:anchorlock/>
              </v:group>
            </w:pict>
          </mc:Fallback>
        </mc:AlternateContent>
      </w:r>
    </w:p>
    <w:p w14:paraId="05E16227" w14:textId="77777777" w:rsidR="00E0240F" w:rsidRPr="001B0EA3" w:rsidRDefault="00E0240F" w:rsidP="00046D61">
      <w:pPr>
        <w:widowControl w:val="0"/>
        <w:autoSpaceDE w:val="0"/>
        <w:autoSpaceDN w:val="0"/>
        <w:adjustRightInd w:val="0"/>
        <w:ind w:firstLine="567"/>
        <w:contextualSpacing/>
        <w:rPr>
          <w:lang w:eastAsia="en-US"/>
        </w:rPr>
      </w:pPr>
    </w:p>
    <w:p w14:paraId="327F2712" w14:textId="77777777" w:rsidR="00E0240F" w:rsidRPr="00C70C98" w:rsidRDefault="00E0240F" w:rsidP="00942609">
      <w:pPr>
        <w:pStyle w:val="Style3"/>
        <w:rPr>
          <w:snapToGrid w:val="0"/>
        </w:rPr>
      </w:pPr>
      <w:bookmarkStart w:id="1302" w:name="_Toc479775809"/>
      <w:r w:rsidRPr="00C70C98">
        <w:rPr>
          <w:snapToGrid w:val="0"/>
        </w:rPr>
        <w:t>Установяване на контекста/обстоятелства</w:t>
      </w:r>
      <w:bookmarkEnd w:id="1302"/>
    </w:p>
    <w:p w14:paraId="530A9A28" w14:textId="77777777" w:rsidR="00E0240F" w:rsidRPr="001B0EA3" w:rsidRDefault="00E0240F" w:rsidP="00046D61">
      <w:pPr>
        <w:widowControl w:val="0"/>
        <w:autoSpaceDE w:val="0"/>
        <w:autoSpaceDN w:val="0"/>
        <w:adjustRightInd w:val="0"/>
        <w:ind w:firstLine="567"/>
        <w:contextualSpacing/>
        <w:rPr>
          <w:lang w:eastAsia="en-US"/>
        </w:rPr>
      </w:pPr>
    </w:p>
    <w:p w14:paraId="58C8C859" w14:textId="77777777" w:rsidR="00E0240F" w:rsidRPr="001B0EA3" w:rsidRDefault="00E0240F" w:rsidP="00005E4B">
      <w:pPr>
        <w:rPr>
          <w:lang w:eastAsia="bg-BG"/>
        </w:rPr>
      </w:pPr>
      <w:r w:rsidRPr="001B0EA3">
        <w:rPr>
          <w:lang w:eastAsia="bg-BG"/>
        </w:rPr>
        <w:t>Обстоятелствата, свързани с процеса на управление на риска, се променят в зависимост от потребностите на организацията. Обстоятелствата се установяват първоначално при въвеждането на процеса за управление на риска и се преценяват ежегодно в рамките на процеса на неговата оценка.</w:t>
      </w:r>
    </w:p>
    <w:p w14:paraId="29BAD3AD" w14:textId="77777777" w:rsidR="00E0240F" w:rsidRDefault="00E0240F" w:rsidP="00005E4B">
      <w:pPr>
        <w:rPr>
          <w:lang w:eastAsia="bg-BG"/>
        </w:rPr>
      </w:pPr>
      <w:r w:rsidRPr="001B0EA3">
        <w:rPr>
          <w:lang w:eastAsia="bg-BG"/>
        </w:rPr>
        <w:t>Към настоящия момент са в сила следните обстоятелства, свързани с дейностт</w:t>
      </w:r>
      <w:r w:rsidR="00005E4B">
        <w:rPr>
          <w:lang w:eastAsia="bg-BG"/>
        </w:rPr>
        <w:t>а на управление на риска на УО:</w:t>
      </w:r>
    </w:p>
    <w:p w14:paraId="7F57696A" w14:textId="77777777" w:rsidR="00005E4B" w:rsidRPr="001B0EA3" w:rsidRDefault="00005E4B" w:rsidP="00005E4B">
      <w:pPr>
        <w:rPr>
          <w:lang w:eastAsia="bg-BG"/>
        </w:rPr>
      </w:pPr>
    </w:p>
    <w:p w14:paraId="5773F1FB" w14:textId="77777777" w:rsidR="00E0240F" w:rsidRPr="001B0EA3" w:rsidRDefault="00E0240F" w:rsidP="002A3A2C">
      <w:pPr>
        <w:pStyle w:val="Style4"/>
        <w:rPr>
          <w:lang w:eastAsia="bg-BG"/>
        </w:rPr>
      </w:pPr>
      <w:r w:rsidRPr="001B0EA3">
        <w:rPr>
          <w:lang w:eastAsia="bg-BG"/>
        </w:rPr>
        <w:t xml:space="preserve">Общи и конкретни цели </w:t>
      </w:r>
    </w:p>
    <w:p w14:paraId="1617085F" w14:textId="77777777" w:rsidR="00E0240F" w:rsidRPr="001B0EA3" w:rsidRDefault="00E0240F" w:rsidP="00005E4B">
      <w:r w:rsidRPr="001B0EA3">
        <w:rPr>
          <w:bCs/>
          <w:color w:val="222222"/>
          <w:lang w:eastAsia="bg-BG"/>
        </w:rPr>
        <w:t xml:space="preserve">Общата цел на дейността за управление на риска по ОПТТИ е да допринесе за реализиране на мисията на УО, която е </w:t>
      </w:r>
      <w:r w:rsidR="00881222" w:rsidRPr="00D82112">
        <w:rPr>
          <w:b/>
        </w:rPr>
        <w:t>„Ефективно и ефикасно използване на средствата по ОП „Транспорт и транспортна инфраструктура 2014 – 2020 г.“  при изграждането на устойчива транспортна система на Република България, прилагайки нулева толерантност към риска от измами“.</w:t>
      </w:r>
    </w:p>
    <w:p w14:paraId="0CA8E45B" w14:textId="77777777" w:rsidR="00E0240F" w:rsidRPr="001B0EA3" w:rsidRDefault="00E0240F" w:rsidP="00005E4B">
      <w:pPr>
        <w:rPr>
          <w:bCs/>
          <w:color w:val="222222"/>
          <w:lang w:eastAsia="bg-BG"/>
        </w:rPr>
      </w:pPr>
      <w:r w:rsidRPr="001B0EA3">
        <w:rPr>
          <w:bCs/>
          <w:color w:val="222222"/>
          <w:lang w:eastAsia="bg-BG"/>
        </w:rPr>
        <w:t>Конкретните цели в тази връзка са да допринесе за :</w:t>
      </w:r>
    </w:p>
    <w:p w14:paraId="464D213E" w14:textId="77777777" w:rsidR="00E0240F" w:rsidRPr="001B0EA3" w:rsidRDefault="00E0240F" w:rsidP="00046D61">
      <w:pPr>
        <w:widowControl w:val="0"/>
        <w:autoSpaceDE w:val="0"/>
        <w:autoSpaceDN w:val="0"/>
        <w:adjustRightInd w:val="0"/>
        <w:ind w:firstLine="648"/>
        <w:rPr>
          <w:bCs/>
          <w:color w:val="222222"/>
          <w:szCs w:val="24"/>
          <w:lang w:eastAsia="bg-BG"/>
        </w:rPr>
      </w:pPr>
      <w:r w:rsidRPr="001B0EA3">
        <w:rPr>
          <w:bCs/>
          <w:color w:val="222222"/>
          <w:szCs w:val="24"/>
          <w:lang w:eastAsia="bg-BG"/>
        </w:rPr>
        <w:t>а)  въвеждането и функционирането ефективни и пропорционални мерки за борба с риска от измами</w:t>
      </w:r>
      <w:r w:rsidR="00352BB1" w:rsidRPr="001B0EA3">
        <w:rPr>
          <w:bCs/>
          <w:color w:val="222222"/>
          <w:szCs w:val="24"/>
          <w:lang w:eastAsia="bg-BG"/>
        </w:rPr>
        <w:t xml:space="preserve"> и нередности </w:t>
      </w:r>
    </w:p>
    <w:p w14:paraId="18012B7B" w14:textId="77777777" w:rsidR="00E0240F" w:rsidRPr="001B0EA3" w:rsidRDefault="00E0240F" w:rsidP="00046D61">
      <w:pPr>
        <w:widowControl w:val="0"/>
        <w:autoSpaceDE w:val="0"/>
        <w:autoSpaceDN w:val="0"/>
        <w:adjustRightInd w:val="0"/>
        <w:ind w:firstLine="648"/>
        <w:rPr>
          <w:bCs/>
          <w:color w:val="222222"/>
          <w:szCs w:val="24"/>
          <w:lang w:eastAsia="bg-BG"/>
        </w:rPr>
      </w:pPr>
      <w:r w:rsidRPr="001B0EA3">
        <w:rPr>
          <w:bCs/>
          <w:color w:val="222222"/>
          <w:szCs w:val="24"/>
          <w:lang w:eastAsia="bg-BG"/>
        </w:rPr>
        <w:t xml:space="preserve">б) </w:t>
      </w:r>
      <w:r w:rsidR="000A6BA9" w:rsidRPr="001B0EA3">
        <w:rPr>
          <w:bCs/>
          <w:color w:val="222222"/>
          <w:szCs w:val="24"/>
          <w:lang w:eastAsia="bg-BG"/>
        </w:rPr>
        <w:t>изпълнени</w:t>
      </w:r>
      <w:r w:rsidR="008C65D0" w:rsidRPr="001B0EA3">
        <w:rPr>
          <w:bCs/>
          <w:color w:val="222222"/>
          <w:szCs w:val="24"/>
          <w:lang w:eastAsia="bg-BG"/>
        </w:rPr>
        <w:t>е</w:t>
      </w:r>
      <w:r w:rsidR="000A6BA9" w:rsidRPr="001B0EA3">
        <w:rPr>
          <w:bCs/>
          <w:color w:val="222222"/>
          <w:szCs w:val="24"/>
          <w:lang w:eastAsia="bg-BG"/>
        </w:rPr>
        <w:t xml:space="preserve"> на стратегическите и оп</w:t>
      </w:r>
      <w:r w:rsidR="00222851" w:rsidRPr="001B0EA3">
        <w:rPr>
          <w:bCs/>
          <w:color w:val="222222"/>
          <w:szCs w:val="24"/>
          <w:lang w:eastAsia="bg-BG"/>
        </w:rPr>
        <w:t>еративни</w:t>
      </w:r>
      <w:r w:rsidR="000A6BA9" w:rsidRPr="001B0EA3">
        <w:rPr>
          <w:bCs/>
          <w:color w:val="222222"/>
          <w:szCs w:val="24"/>
          <w:lang w:eastAsia="bg-BG"/>
        </w:rPr>
        <w:t xml:space="preserve"> цели на УО, в т.ч. </w:t>
      </w:r>
      <w:r w:rsidR="00222851" w:rsidRPr="001B0EA3">
        <w:rPr>
          <w:bCs/>
          <w:color w:val="222222"/>
          <w:szCs w:val="24"/>
          <w:lang w:eastAsia="bg-BG"/>
        </w:rPr>
        <w:t xml:space="preserve">постигане на </w:t>
      </w:r>
      <w:r w:rsidRPr="001B0EA3">
        <w:rPr>
          <w:bCs/>
          <w:color w:val="222222"/>
          <w:szCs w:val="24"/>
          <w:lang w:eastAsia="bg-BG"/>
        </w:rPr>
        <w:t xml:space="preserve">заложените индикатори за успех на програмата съгласно предвидените срокове за това.   </w:t>
      </w:r>
    </w:p>
    <w:p w14:paraId="7FEDCCFF" w14:textId="77777777" w:rsidR="000A6BA9" w:rsidRPr="001B0EA3" w:rsidRDefault="000A6BA9" w:rsidP="00046D61">
      <w:pPr>
        <w:widowControl w:val="0"/>
        <w:autoSpaceDE w:val="0"/>
        <w:autoSpaceDN w:val="0"/>
        <w:adjustRightInd w:val="0"/>
        <w:ind w:firstLine="648"/>
        <w:rPr>
          <w:bCs/>
          <w:color w:val="222222"/>
          <w:szCs w:val="24"/>
          <w:lang w:eastAsia="bg-BG"/>
        </w:rPr>
      </w:pPr>
    </w:p>
    <w:p w14:paraId="60DE3F22" w14:textId="77777777" w:rsidR="00E0240F" w:rsidRPr="001B0EA3" w:rsidRDefault="00E0240F" w:rsidP="002A3A2C">
      <w:pPr>
        <w:pStyle w:val="Style4"/>
        <w:rPr>
          <w:lang w:eastAsia="bg-BG"/>
        </w:rPr>
      </w:pPr>
      <w:r w:rsidRPr="001B0EA3">
        <w:rPr>
          <w:lang w:eastAsia="bg-BG"/>
        </w:rPr>
        <w:t xml:space="preserve">Отговорности </w:t>
      </w:r>
    </w:p>
    <w:p w14:paraId="4928D5CA" w14:textId="77777777" w:rsidR="00E0240F" w:rsidRPr="001B0EA3" w:rsidRDefault="00E0240F" w:rsidP="00005E4B">
      <w:pPr>
        <w:rPr>
          <w:lang w:eastAsia="bg-BG"/>
        </w:rPr>
      </w:pPr>
      <w:r w:rsidRPr="001B0EA3">
        <w:rPr>
          <w:lang w:eastAsia="bg-BG"/>
        </w:rPr>
        <w:t xml:space="preserve">Общите отговорности за осъществяване на процеса на управление на риска са описани в </w:t>
      </w:r>
      <w:r w:rsidR="00C84CFA" w:rsidRPr="001B0EA3">
        <w:rPr>
          <w:lang w:eastAsia="bg-BG"/>
        </w:rPr>
        <w:t>т. 30.</w:t>
      </w:r>
      <w:r w:rsidR="002464F0" w:rsidRPr="001B0EA3">
        <w:rPr>
          <w:lang w:eastAsia="bg-BG"/>
        </w:rPr>
        <w:t>4</w:t>
      </w:r>
      <w:r w:rsidR="00C84CFA" w:rsidRPr="001B0EA3">
        <w:rPr>
          <w:lang w:eastAsia="bg-BG"/>
        </w:rPr>
        <w:t>.2. по-</w:t>
      </w:r>
      <w:r w:rsidR="002464F0" w:rsidRPr="001B0EA3">
        <w:rPr>
          <w:lang w:eastAsia="bg-BG"/>
        </w:rPr>
        <w:t>горе</w:t>
      </w:r>
      <w:r w:rsidRPr="001B0EA3">
        <w:rPr>
          <w:lang w:eastAsia="bg-BG"/>
        </w:rPr>
        <w:t xml:space="preserve">. </w:t>
      </w:r>
    </w:p>
    <w:p w14:paraId="3E9E8970" w14:textId="77777777" w:rsidR="00E0240F" w:rsidRPr="001B0EA3" w:rsidRDefault="00E0240F" w:rsidP="00005E4B">
      <w:pPr>
        <w:rPr>
          <w:lang w:eastAsia="bg-BG"/>
        </w:rPr>
      </w:pPr>
      <w:r w:rsidRPr="001B0EA3">
        <w:rPr>
          <w:lang w:eastAsia="bg-BG"/>
        </w:rPr>
        <w:lastRenderedPageBreak/>
        <w:t>Конкретните отговорности за управлението на отделните рискове се възлагат на съответните собственици и отговорници за изпълнение на дейности по управление на рисковете в резултат на прилагане на процеса за управление на риска, описан по-долу.</w:t>
      </w:r>
    </w:p>
    <w:p w14:paraId="630B6C78" w14:textId="77777777" w:rsidR="00E0240F" w:rsidRPr="001B0EA3" w:rsidRDefault="00E0240F" w:rsidP="00046D61">
      <w:pPr>
        <w:widowControl w:val="0"/>
        <w:autoSpaceDE w:val="0"/>
        <w:autoSpaceDN w:val="0"/>
        <w:adjustRightInd w:val="0"/>
        <w:ind w:firstLine="360"/>
        <w:rPr>
          <w:bCs/>
          <w:color w:val="222222"/>
          <w:szCs w:val="24"/>
          <w:lang w:eastAsia="bg-BG"/>
        </w:rPr>
      </w:pPr>
    </w:p>
    <w:p w14:paraId="484D2F2E" w14:textId="77777777" w:rsidR="00E0240F" w:rsidRPr="001B0EA3" w:rsidRDefault="00E0240F" w:rsidP="002A3A2C">
      <w:pPr>
        <w:pStyle w:val="Style4"/>
        <w:rPr>
          <w:lang w:eastAsia="bg-BG"/>
        </w:rPr>
      </w:pPr>
      <w:r w:rsidRPr="001B0EA3">
        <w:rPr>
          <w:lang w:eastAsia="bg-BG"/>
        </w:rPr>
        <w:t xml:space="preserve">Област на приложение </w:t>
      </w:r>
    </w:p>
    <w:p w14:paraId="5417CDA7" w14:textId="77777777" w:rsidR="00E0240F" w:rsidRPr="001B0EA3" w:rsidRDefault="00E0240F" w:rsidP="00005E4B">
      <w:pPr>
        <w:rPr>
          <w:lang w:eastAsia="bg-BG"/>
        </w:rPr>
      </w:pPr>
      <w:r w:rsidRPr="001B0EA3">
        <w:rPr>
          <w:lang w:eastAsia="bg-BG"/>
        </w:rPr>
        <w:t>Описаните до тук обстоятелства се отнасят за общия процес на управление на риска, т.е. за рисковете за постигане на целите по букви а) и б) на т. 30.</w:t>
      </w:r>
      <w:r w:rsidR="00C84CFA" w:rsidRPr="001B0EA3">
        <w:rPr>
          <w:lang w:eastAsia="bg-BG"/>
        </w:rPr>
        <w:t>6</w:t>
      </w:r>
      <w:r w:rsidRPr="001B0EA3">
        <w:rPr>
          <w:lang w:eastAsia="bg-BG"/>
        </w:rPr>
        <w:t xml:space="preserve">.1.1. „Общи и конкретни цели“.  </w:t>
      </w:r>
    </w:p>
    <w:p w14:paraId="3039669F" w14:textId="77777777" w:rsidR="00E0240F" w:rsidRPr="001B0EA3" w:rsidRDefault="00E0240F" w:rsidP="00005E4B">
      <w:pPr>
        <w:rPr>
          <w:lang w:eastAsia="bg-BG"/>
        </w:rPr>
      </w:pPr>
      <w:r w:rsidRPr="001B0EA3">
        <w:rPr>
          <w:lang w:eastAsia="bg-BG"/>
        </w:rPr>
        <w:t xml:space="preserve">Останалите обстоятелства, както и пълните сведения относно процеса за управление на риска от </w:t>
      </w:r>
      <w:r w:rsidR="00C84CFA" w:rsidRPr="001B0EA3">
        <w:rPr>
          <w:lang w:eastAsia="bg-BG"/>
        </w:rPr>
        <w:t>измами са представени в т. 30.8 до т. 30.12.</w:t>
      </w:r>
    </w:p>
    <w:p w14:paraId="2522AB45" w14:textId="77777777" w:rsidR="00E0240F" w:rsidRPr="001B0EA3" w:rsidRDefault="00E0240F" w:rsidP="00046D61">
      <w:pPr>
        <w:widowControl w:val="0"/>
        <w:autoSpaceDE w:val="0"/>
        <w:autoSpaceDN w:val="0"/>
        <w:adjustRightInd w:val="0"/>
        <w:ind w:firstLine="360"/>
        <w:rPr>
          <w:bCs/>
          <w:color w:val="222222"/>
          <w:szCs w:val="24"/>
          <w:lang w:eastAsia="bg-BG"/>
        </w:rPr>
      </w:pPr>
    </w:p>
    <w:p w14:paraId="3E1130D0" w14:textId="77777777" w:rsidR="00E0240F" w:rsidRPr="001B0EA3" w:rsidRDefault="00E0240F" w:rsidP="002A3A2C">
      <w:pPr>
        <w:pStyle w:val="Style4"/>
        <w:rPr>
          <w:lang w:eastAsia="bg-BG"/>
        </w:rPr>
      </w:pPr>
      <w:r w:rsidRPr="001B0EA3">
        <w:rPr>
          <w:lang w:eastAsia="bg-BG"/>
        </w:rPr>
        <w:t xml:space="preserve">Метод за оценка на риска </w:t>
      </w:r>
    </w:p>
    <w:p w14:paraId="348A5EA0" w14:textId="77777777" w:rsidR="00E0240F" w:rsidRPr="001B0EA3" w:rsidRDefault="00E0240F" w:rsidP="00005E4B">
      <w:pPr>
        <w:rPr>
          <w:b/>
          <w:lang w:eastAsia="en-US"/>
        </w:rPr>
      </w:pPr>
      <w:r w:rsidRPr="001B0EA3">
        <w:rPr>
          <w:bCs/>
          <w:color w:val="222222"/>
          <w:lang w:eastAsia="bg-BG"/>
        </w:rPr>
        <w:t xml:space="preserve">Рисковете се оценяват </w:t>
      </w:r>
      <w:r w:rsidRPr="001B0EA3">
        <w:rPr>
          <w:lang w:eastAsia="en-US"/>
        </w:rPr>
        <w:t>по показателите</w:t>
      </w:r>
      <w:r w:rsidRPr="001B0EA3">
        <w:rPr>
          <w:b/>
          <w:lang w:eastAsia="en-US"/>
        </w:rPr>
        <w:t xml:space="preserve"> „Влияние” и „Вероятност</w:t>
      </w:r>
      <w:r w:rsidRPr="001B0EA3">
        <w:rPr>
          <w:lang w:eastAsia="en-US"/>
        </w:rPr>
        <w:t xml:space="preserve">”.  Оценяват се потенциалното </w:t>
      </w:r>
      <w:r w:rsidRPr="001B0EA3">
        <w:rPr>
          <w:b/>
          <w:lang w:eastAsia="en-US"/>
        </w:rPr>
        <w:t>влияние и вероятност</w:t>
      </w:r>
      <w:r w:rsidRPr="001B0EA3">
        <w:rPr>
          <w:lang w:eastAsia="en-US"/>
        </w:rPr>
        <w:t xml:space="preserve"> на присъщия риск, който се дефинира като: „Рискът, съществуващ при липса на всякакви действия, предприети от ръководството за промяна на вероятността или на влиянието на риска”, т.е. оценява се въздействието на риска при липсата на каквито и да е контролни дейности за управлението му. Присъщите рискове се оценяват еднократно, само през първата година от прилагането на процеса за управление на риска за ОПТТИ - 2015 г., както и ново възникналите рискове. Впоследствие те подлежат на преоценка за евентуални промени в нивото на влиянието и вероятността от възникването им.</w:t>
      </w:r>
    </w:p>
    <w:p w14:paraId="3B5CE968" w14:textId="77777777" w:rsidR="00E0240F" w:rsidRPr="001B0EA3" w:rsidRDefault="00E0240F" w:rsidP="00E0240F">
      <w:pPr>
        <w:spacing w:before="120"/>
        <w:jc w:val="left"/>
        <w:rPr>
          <w:b/>
          <w:szCs w:val="24"/>
          <w:lang w:eastAsia="en-US"/>
        </w:rPr>
      </w:pPr>
      <w:r w:rsidRPr="001B0EA3">
        <w:rPr>
          <w:b/>
          <w:szCs w:val="24"/>
          <w:lang w:eastAsia="en-US"/>
        </w:rPr>
        <w:t>ВЛИЯНИЕ</w:t>
      </w:r>
    </w:p>
    <w:p w14:paraId="767306FB" w14:textId="77777777" w:rsidR="00E0240F" w:rsidRPr="001B0EA3" w:rsidRDefault="00E0240F" w:rsidP="00E0240F">
      <w:pPr>
        <w:spacing w:before="120"/>
        <w:jc w:val="left"/>
        <w:rPr>
          <w:szCs w:val="24"/>
          <w:lang w:eastAsia="en-US"/>
        </w:rPr>
      </w:pPr>
      <w:r w:rsidRPr="001B0EA3">
        <w:rPr>
          <w:szCs w:val="24"/>
          <w:lang w:eastAsia="en-US"/>
        </w:rPr>
        <w:t>Използват се следните оценки за измерване на влиянието:</w:t>
      </w:r>
    </w:p>
    <w:p w14:paraId="35DFC0F9" w14:textId="77777777" w:rsidR="00E0240F" w:rsidRPr="001B0EA3" w:rsidRDefault="00E0240F" w:rsidP="00E0240F">
      <w:pPr>
        <w:spacing w:before="120"/>
        <w:jc w:val="left"/>
        <w:rPr>
          <w:b/>
          <w:szCs w:val="24"/>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tblGrid>
      <w:tr w:rsidR="00E0240F" w:rsidRPr="001B0EA3" w14:paraId="369B005A" w14:textId="77777777" w:rsidTr="00881222">
        <w:trPr>
          <w:trHeight w:val="526"/>
          <w:jc w:val="center"/>
        </w:trPr>
        <w:tc>
          <w:tcPr>
            <w:tcW w:w="2802" w:type="dxa"/>
            <w:tcBorders>
              <w:bottom w:val="single" w:sz="4" w:space="0" w:color="000000"/>
            </w:tcBorders>
            <w:vAlign w:val="center"/>
          </w:tcPr>
          <w:p w14:paraId="63FAD89C" w14:textId="77777777" w:rsidR="00E0240F" w:rsidRPr="001B0EA3" w:rsidRDefault="00E0240F" w:rsidP="00881222">
            <w:pPr>
              <w:ind w:firstLine="0"/>
              <w:jc w:val="center"/>
              <w:rPr>
                <w:b/>
                <w:szCs w:val="24"/>
                <w:lang w:eastAsia="en-US"/>
              </w:rPr>
            </w:pPr>
            <w:r w:rsidRPr="001B0EA3">
              <w:rPr>
                <w:b/>
                <w:szCs w:val="24"/>
                <w:lang w:eastAsia="en-US"/>
              </w:rPr>
              <w:t>Оценка</w:t>
            </w:r>
          </w:p>
        </w:tc>
        <w:tc>
          <w:tcPr>
            <w:tcW w:w="5811" w:type="dxa"/>
            <w:tcBorders>
              <w:bottom w:val="single" w:sz="4" w:space="0" w:color="000000"/>
            </w:tcBorders>
            <w:vAlign w:val="center"/>
          </w:tcPr>
          <w:p w14:paraId="2954D5CE" w14:textId="77777777" w:rsidR="00E0240F" w:rsidRPr="001B0EA3" w:rsidRDefault="00E0240F" w:rsidP="00881222">
            <w:pPr>
              <w:ind w:firstLine="0"/>
              <w:jc w:val="center"/>
              <w:rPr>
                <w:b/>
                <w:szCs w:val="24"/>
                <w:lang w:eastAsia="en-US"/>
              </w:rPr>
            </w:pPr>
            <w:r w:rsidRPr="001B0EA3">
              <w:rPr>
                <w:b/>
                <w:szCs w:val="24"/>
                <w:lang w:eastAsia="en-US"/>
              </w:rPr>
              <w:t>Описание</w:t>
            </w:r>
          </w:p>
        </w:tc>
      </w:tr>
      <w:tr w:rsidR="00E0240F" w:rsidRPr="001B0EA3" w14:paraId="7E18FF84" w14:textId="77777777" w:rsidTr="00881222">
        <w:trPr>
          <w:trHeight w:val="526"/>
          <w:jc w:val="center"/>
        </w:trPr>
        <w:tc>
          <w:tcPr>
            <w:tcW w:w="2802" w:type="dxa"/>
            <w:tcBorders>
              <w:bottom w:val="single" w:sz="4" w:space="0" w:color="000000"/>
            </w:tcBorders>
            <w:shd w:val="clear" w:color="auto" w:fill="92D050"/>
            <w:vAlign w:val="center"/>
          </w:tcPr>
          <w:p w14:paraId="73693F3B" w14:textId="77777777" w:rsidR="00E0240F" w:rsidRPr="001B0EA3" w:rsidRDefault="00E0240F" w:rsidP="00881222">
            <w:pPr>
              <w:ind w:firstLine="0"/>
              <w:jc w:val="center"/>
              <w:rPr>
                <w:b/>
                <w:szCs w:val="24"/>
                <w:lang w:eastAsia="en-US"/>
              </w:rPr>
            </w:pPr>
            <w:r w:rsidRPr="001B0EA3">
              <w:rPr>
                <w:b/>
                <w:szCs w:val="24"/>
                <w:lang w:eastAsia="en-US"/>
              </w:rPr>
              <w:t>1</w:t>
            </w:r>
          </w:p>
        </w:tc>
        <w:tc>
          <w:tcPr>
            <w:tcW w:w="5811" w:type="dxa"/>
            <w:tcBorders>
              <w:bottom w:val="single" w:sz="4" w:space="0" w:color="000000"/>
            </w:tcBorders>
            <w:shd w:val="clear" w:color="auto" w:fill="92D050"/>
            <w:vAlign w:val="center"/>
          </w:tcPr>
          <w:p w14:paraId="27AB9FAA" w14:textId="77777777" w:rsidR="00E0240F" w:rsidRPr="001B0EA3" w:rsidRDefault="00E0240F" w:rsidP="00881222">
            <w:pPr>
              <w:ind w:firstLine="0"/>
              <w:jc w:val="center"/>
              <w:rPr>
                <w:b/>
                <w:szCs w:val="24"/>
                <w:lang w:eastAsia="en-US"/>
              </w:rPr>
            </w:pPr>
            <w:r w:rsidRPr="001B0EA3">
              <w:rPr>
                <w:b/>
                <w:szCs w:val="24"/>
                <w:lang w:eastAsia="en-US"/>
              </w:rPr>
              <w:t>Несъществено</w:t>
            </w:r>
          </w:p>
        </w:tc>
      </w:tr>
      <w:tr w:rsidR="00E0240F" w:rsidRPr="001B0EA3" w14:paraId="3AA275E1" w14:textId="77777777" w:rsidTr="00881222">
        <w:trPr>
          <w:trHeight w:val="526"/>
          <w:jc w:val="center"/>
        </w:trPr>
        <w:tc>
          <w:tcPr>
            <w:tcW w:w="2802" w:type="dxa"/>
            <w:tcBorders>
              <w:bottom w:val="single" w:sz="4" w:space="0" w:color="000000"/>
            </w:tcBorders>
            <w:shd w:val="clear" w:color="auto" w:fill="00B050"/>
            <w:vAlign w:val="center"/>
          </w:tcPr>
          <w:p w14:paraId="200F6517" w14:textId="77777777" w:rsidR="00E0240F" w:rsidRPr="001B0EA3" w:rsidRDefault="00E0240F" w:rsidP="00881222">
            <w:pPr>
              <w:ind w:firstLine="0"/>
              <w:jc w:val="center"/>
              <w:rPr>
                <w:b/>
                <w:szCs w:val="24"/>
                <w:lang w:eastAsia="en-US"/>
              </w:rPr>
            </w:pPr>
            <w:r w:rsidRPr="001B0EA3">
              <w:rPr>
                <w:b/>
                <w:szCs w:val="24"/>
                <w:lang w:eastAsia="en-US"/>
              </w:rPr>
              <w:t>2</w:t>
            </w:r>
          </w:p>
        </w:tc>
        <w:tc>
          <w:tcPr>
            <w:tcW w:w="5811" w:type="dxa"/>
            <w:tcBorders>
              <w:bottom w:val="single" w:sz="4" w:space="0" w:color="000000"/>
            </w:tcBorders>
            <w:shd w:val="clear" w:color="auto" w:fill="00B050"/>
            <w:vAlign w:val="center"/>
          </w:tcPr>
          <w:p w14:paraId="09A5D9D5" w14:textId="77777777" w:rsidR="00E0240F" w:rsidRPr="001B0EA3" w:rsidRDefault="00E0240F" w:rsidP="00881222">
            <w:pPr>
              <w:ind w:firstLine="0"/>
              <w:jc w:val="center"/>
              <w:rPr>
                <w:b/>
                <w:szCs w:val="24"/>
                <w:lang w:eastAsia="en-US"/>
              </w:rPr>
            </w:pPr>
            <w:r w:rsidRPr="001B0EA3">
              <w:rPr>
                <w:b/>
                <w:szCs w:val="24"/>
                <w:lang w:eastAsia="en-US"/>
              </w:rPr>
              <w:t>Малко</w:t>
            </w:r>
          </w:p>
        </w:tc>
      </w:tr>
      <w:tr w:rsidR="00E0240F" w:rsidRPr="001B0EA3" w14:paraId="006A0C5B" w14:textId="77777777" w:rsidTr="00881222">
        <w:trPr>
          <w:trHeight w:val="526"/>
          <w:jc w:val="center"/>
        </w:trPr>
        <w:tc>
          <w:tcPr>
            <w:tcW w:w="2802" w:type="dxa"/>
            <w:tcBorders>
              <w:bottom w:val="single" w:sz="4" w:space="0" w:color="000000"/>
            </w:tcBorders>
            <w:shd w:val="clear" w:color="auto" w:fill="FFFF00"/>
            <w:vAlign w:val="center"/>
          </w:tcPr>
          <w:p w14:paraId="059106BE" w14:textId="77777777" w:rsidR="00E0240F" w:rsidRPr="001B0EA3" w:rsidRDefault="00E0240F" w:rsidP="00881222">
            <w:pPr>
              <w:ind w:firstLine="0"/>
              <w:jc w:val="center"/>
              <w:rPr>
                <w:b/>
                <w:szCs w:val="24"/>
                <w:lang w:eastAsia="en-US"/>
              </w:rPr>
            </w:pPr>
            <w:r w:rsidRPr="001B0EA3">
              <w:rPr>
                <w:b/>
                <w:szCs w:val="24"/>
                <w:lang w:eastAsia="en-US"/>
              </w:rPr>
              <w:t>3</w:t>
            </w:r>
          </w:p>
        </w:tc>
        <w:tc>
          <w:tcPr>
            <w:tcW w:w="5811" w:type="dxa"/>
            <w:tcBorders>
              <w:bottom w:val="single" w:sz="4" w:space="0" w:color="000000"/>
            </w:tcBorders>
            <w:shd w:val="clear" w:color="auto" w:fill="FFFF00"/>
            <w:vAlign w:val="center"/>
          </w:tcPr>
          <w:p w14:paraId="27BC5DDF" w14:textId="77777777" w:rsidR="00E0240F" w:rsidRPr="001B0EA3" w:rsidRDefault="00E0240F" w:rsidP="00881222">
            <w:pPr>
              <w:ind w:firstLine="0"/>
              <w:jc w:val="center"/>
              <w:rPr>
                <w:b/>
                <w:szCs w:val="24"/>
                <w:lang w:eastAsia="en-US"/>
              </w:rPr>
            </w:pPr>
            <w:r w:rsidRPr="001B0EA3">
              <w:rPr>
                <w:b/>
                <w:szCs w:val="24"/>
                <w:lang w:eastAsia="en-US"/>
              </w:rPr>
              <w:t>Умерено</w:t>
            </w:r>
          </w:p>
        </w:tc>
      </w:tr>
      <w:tr w:rsidR="00E0240F" w:rsidRPr="001B0EA3" w14:paraId="13C99B44" w14:textId="77777777" w:rsidTr="00881222">
        <w:trPr>
          <w:trHeight w:val="526"/>
          <w:jc w:val="center"/>
        </w:trPr>
        <w:tc>
          <w:tcPr>
            <w:tcW w:w="2802" w:type="dxa"/>
            <w:tcBorders>
              <w:bottom w:val="single" w:sz="4" w:space="0" w:color="auto"/>
            </w:tcBorders>
            <w:shd w:val="clear" w:color="auto" w:fill="FFC000"/>
            <w:vAlign w:val="center"/>
          </w:tcPr>
          <w:p w14:paraId="7F68B873" w14:textId="77777777" w:rsidR="00E0240F" w:rsidRPr="001B0EA3" w:rsidRDefault="00E0240F" w:rsidP="00881222">
            <w:pPr>
              <w:ind w:firstLine="0"/>
              <w:jc w:val="center"/>
              <w:rPr>
                <w:b/>
                <w:szCs w:val="24"/>
                <w:lang w:eastAsia="en-US"/>
              </w:rPr>
            </w:pPr>
            <w:r w:rsidRPr="001B0EA3">
              <w:rPr>
                <w:b/>
                <w:szCs w:val="24"/>
                <w:lang w:eastAsia="en-US"/>
              </w:rPr>
              <w:t>4</w:t>
            </w:r>
          </w:p>
        </w:tc>
        <w:tc>
          <w:tcPr>
            <w:tcW w:w="5811" w:type="dxa"/>
            <w:tcBorders>
              <w:bottom w:val="single" w:sz="4" w:space="0" w:color="auto"/>
            </w:tcBorders>
            <w:shd w:val="clear" w:color="auto" w:fill="FFC000"/>
            <w:vAlign w:val="center"/>
          </w:tcPr>
          <w:p w14:paraId="6F791939" w14:textId="77777777" w:rsidR="00E0240F" w:rsidRPr="001B0EA3" w:rsidRDefault="00E0240F" w:rsidP="00881222">
            <w:pPr>
              <w:ind w:firstLine="0"/>
              <w:jc w:val="center"/>
              <w:rPr>
                <w:b/>
                <w:szCs w:val="24"/>
                <w:lang w:eastAsia="en-US"/>
              </w:rPr>
            </w:pPr>
            <w:r w:rsidRPr="001B0EA3">
              <w:rPr>
                <w:b/>
                <w:szCs w:val="24"/>
                <w:lang w:eastAsia="en-US"/>
              </w:rPr>
              <w:t>Съществено</w:t>
            </w:r>
          </w:p>
        </w:tc>
      </w:tr>
      <w:tr w:rsidR="00E0240F" w:rsidRPr="001B0EA3" w14:paraId="18E16079" w14:textId="77777777" w:rsidTr="00881222">
        <w:trPr>
          <w:trHeight w:val="526"/>
          <w:jc w:val="center"/>
        </w:trPr>
        <w:tc>
          <w:tcPr>
            <w:tcW w:w="2802" w:type="dxa"/>
            <w:tcBorders>
              <w:top w:val="single" w:sz="4" w:space="0" w:color="auto"/>
              <w:left w:val="single" w:sz="4" w:space="0" w:color="auto"/>
              <w:bottom w:val="single" w:sz="4" w:space="0" w:color="auto"/>
              <w:right w:val="single" w:sz="4" w:space="0" w:color="auto"/>
            </w:tcBorders>
            <w:shd w:val="clear" w:color="auto" w:fill="FF0000"/>
            <w:vAlign w:val="center"/>
          </w:tcPr>
          <w:p w14:paraId="38564769" w14:textId="77777777" w:rsidR="00E0240F" w:rsidRPr="001B0EA3" w:rsidRDefault="00E0240F" w:rsidP="00881222">
            <w:pPr>
              <w:ind w:firstLine="0"/>
              <w:jc w:val="center"/>
              <w:rPr>
                <w:b/>
                <w:szCs w:val="24"/>
                <w:lang w:eastAsia="en-US"/>
              </w:rPr>
            </w:pPr>
            <w:r w:rsidRPr="001B0EA3">
              <w:rPr>
                <w:b/>
                <w:szCs w:val="24"/>
                <w:lang w:eastAsia="en-US"/>
              </w:rPr>
              <w:t>5</w:t>
            </w:r>
          </w:p>
        </w:tc>
        <w:tc>
          <w:tcPr>
            <w:tcW w:w="5811" w:type="dxa"/>
            <w:tcBorders>
              <w:top w:val="single" w:sz="4" w:space="0" w:color="auto"/>
              <w:left w:val="single" w:sz="4" w:space="0" w:color="auto"/>
              <w:bottom w:val="single" w:sz="4" w:space="0" w:color="auto"/>
              <w:right w:val="single" w:sz="4" w:space="0" w:color="auto"/>
            </w:tcBorders>
            <w:shd w:val="clear" w:color="auto" w:fill="FF0000"/>
            <w:vAlign w:val="center"/>
          </w:tcPr>
          <w:p w14:paraId="60FE5A77" w14:textId="77777777" w:rsidR="00E0240F" w:rsidRPr="001B0EA3" w:rsidRDefault="00E0240F" w:rsidP="00881222">
            <w:pPr>
              <w:ind w:firstLine="0"/>
              <w:jc w:val="center"/>
              <w:rPr>
                <w:b/>
                <w:szCs w:val="24"/>
                <w:lang w:eastAsia="en-US"/>
              </w:rPr>
            </w:pPr>
            <w:r w:rsidRPr="001B0EA3">
              <w:rPr>
                <w:b/>
                <w:szCs w:val="24"/>
                <w:lang w:eastAsia="en-US"/>
              </w:rPr>
              <w:t>Изключително голямо</w:t>
            </w:r>
          </w:p>
        </w:tc>
      </w:tr>
    </w:tbl>
    <w:p w14:paraId="193EC240" w14:textId="77777777" w:rsidR="00E0240F" w:rsidRPr="001B0EA3" w:rsidRDefault="00E0240F" w:rsidP="00E0240F">
      <w:pPr>
        <w:spacing w:before="240" w:after="200" w:line="276" w:lineRule="auto"/>
        <w:jc w:val="left"/>
        <w:rPr>
          <w:szCs w:val="24"/>
          <w:highlight w:val="yellow"/>
          <w:lang w:eastAsia="en-US"/>
        </w:rPr>
      </w:pPr>
    </w:p>
    <w:p w14:paraId="17AEBEE2" w14:textId="77777777" w:rsidR="00E0240F" w:rsidRPr="001B0EA3" w:rsidRDefault="00E0240F" w:rsidP="00E0240F">
      <w:pPr>
        <w:spacing w:before="240" w:after="200" w:line="276" w:lineRule="auto"/>
        <w:ind w:firstLine="709"/>
        <w:rPr>
          <w:szCs w:val="24"/>
          <w:lang w:eastAsia="en-US"/>
        </w:rPr>
      </w:pPr>
      <w:r w:rsidRPr="001B0EA3">
        <w:rPr>
          <w:szCs w:val="24"/>
          <w:lang w:eastAsia="en-US"/>
        </w:rPr>
        <w:t xml:space="preserve">Критериите за оценка на влиянието са представени в </w:t>
      </w:r>
      <w:hyperlink r:id="rId298" w:tooltip="Примерни критерии за оценка на влиянието" w:history="1">
        <w:r w:rsidR="00AE381A" w:rsidRPr="00251D03">
          <w:rPr>
            <w:rStyle w:val="Hyperlink"/>
            <w:i/>
            <w:szCs w:val="24"/>
            <w:lang w:eastAsia="en-US"/>
          </w:rPr>
          <w:t>Приложение № 8.03</w:t>
        </w:r>
      </w:hyperlink>
      <w:r w:rsidRPr="001B0EA3">
        <w:rPr>
          <w:szCs w:val="24"/>
          <w:lang w:eastAsia="en-US"/>
        </w:rPr>
        <w:t xml:space="preserve"> Примерни критерии за оценка на влиянието.</w:t>
      </w:r>
    </w:p>
    <w:p w14:paraId="25DDAF55" w14:textId="77777777" w:rsidR="00E0240F" w:rsidRPr="001B0EA3" w:rsidRDefault="00E0240F" w:rsidP="00FC7EE3">
      <w:pPr>
        <w:spacing w:before="120"/>
        <w:ind w:firstLine="567"/>
        <w:jc w:val="left"/>
        <w:rPr>
          <w:b/>
          <w:szCs w:val="24"/>
          <w:lang w:eastAsia="en-US"/>
        </w:rPr>
      </w:pPr>
      <w:r w:rsidRPr="001B0EA3">
        <w:rPr>
          <w:b/>
          <w:szCs w:val="24"/>
          <w:lang w:eastAsia="en-US"/>
        </w:rPr>
        <w:t>ВЕРОЯТНОСТ</w:t>
      </w:r>
    </w:p>
    <w:p w14:paraId="449C1171" w14:textId="77777777" w:rsidR="00E0240F" w:rsidRPr="001B0EA3" w:rsidRDefault="00E0240F" w:rsidP="00FC7EE3">
      <w:pPr>
        <w:spacing w:before="120"/>
        <w:ind w:firstLine="567"/>
        <w:jc w:val="left"/>
        <w:rPr>
          <w:szCs w:val="24"/>
          <w:lang w:eastAsia="en-US"/>
        </w:rPr>
      </w:pPr>
      <w:r w:rsidRPr="001B0EA3">
        <w:rPr>
          <w:szCs w:val="24"/>
          <w:lang w:eastAsia="en-US"/>
        </w:rPr>
        <w:t xml:space="preserve">Всеки риск трябва да бъде оценен от гледна точка на вероятността рискът да се сбъдне. </w:t>
      </w:r>
    </w:p>
    <w:p w14:paraId="3255F36B" w14:textId="77777777" w:rsidR="00E0240F" w:rsidRPr="001B0EA3" w:rsidRDefault="00E0240F" w:rsidP="00FC7EE3">
      <w:pPr>
        <w:spacing w:before="120"/>
        <w:ind w:firstLine="567"/>
        <w:jc w:val="left"/>
        <w:rPr>
          <w:szCs w:val="24"/>
          <w:lang w:eastAsia="en-US"/>
        </w:rPr>
      </w:pPr>
      <w:r w:rsidRPr="001B0EA3">
        <w:rPr>
          <w:szCs w:val="24"/>
          <w:lang w:eastAsia="en-US"/>
        </w:rPr>
        <w:t>Оценката се прави според скалата, описана по-долу: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714"/>
      </w:tblGrid>
      <w:tr w:rsidR="00E0240F" w:rsidRPr="001B0EA3" w14:paraId="680AD25C" w14:textId="77777777" w:rsidTr="00881222">
        <w:trPr>
          <w:trHeight w:val="567"/>
          <w:jc w:val="center"/>
        </w:trPr>
        <w:tc>
          <w:tcPr>
            <w:tcW w:w="2802" w:type="dxa"/>
            <w:tcBorders>
              <w:bottom w:val="single" w:sz="4" w:space="0" w:color="000000"/>
            </w:tcBorders>
            <w:vAlign w:val="center"/>
          </w:tcPr>
          <w:p w14:paraId="266821C5" w14:textId="77777777" w:rsidR="00E0240F" w:rsidRPr="001B0EA3" w:rsidRDefault="00E0240F" w:rsidP="00881222">
            <w:pPr>
              <w:spacing w:before="120"/>
              <w:ind w:firstLine="0"/>
              <w:jc w:val="center"/>
              <w:rPr>
                <w:b/>
                <w:szCs w:val="24"/>
                <w:lang w:eastAsia="en-US"/>
              </w:rPr>
            </w:pPr>
            <w:r w:rsidRPr="001B0EA3">
              <w:rPr>
                <w:b/>
                <w:szCs w:val="24"/>
                <w:lang w:eastAsia="en-US"/>
              </w:rPr>
              <w:t>Оценка</w:t>
            </w:r>
          </w:p>
        </w:tc>
        <w:tc>
          <w:tcPr>
            <w:tcW w:w="3714" w:type="dxa"/>
            <w:tcBorders>
              <w:bottom w:val="single" w:sz="4" w:space="0" w:color="000000"/>
            </w:tcBorders>
            <w:vAlign w:val="center"/>
          </w:tcPr>
          <w:p w14:paraId="03E44A80" w14:textId="77777777" w:rsidR="00E0240F" w:rsidRPr="001B0EA3" w:rsidRDefault="00E0240F" w:rsidP="00881222">
            <w:pPr>
              <w:spacing w:before="120"/>
              <w:ind w:firstLine="0"/>
              <w:jc w:val="center"/>
              <w:rPr>
                <w:b/>
                <w:szCs w:val="24"/>
                <w:lang w:eastAsia="en-US"/>
              </w:rPr>
            </w:pPr>
            <w:r w:rsidRPr="001B0EA3">
              <w:rPr>
                <w:b/>
                <w:szCs w:val="24"/>
                <w:lang w:eastAsia="en-US"/>
              </w:rPr>
              <w:t>Описание</w:t>
            </w:r>
          </w:p>
        </w:tc>
      </w:tr>
      <w:tr w:rsidR="00E0240F" w:rsidRPr="001B0EA3" w14:paraId="7FC8866A" w14:textId="77777777" w:rsidTr="00881222">
        <w:trPr>
          <w:trHeight w:val="567"/>
          <w:jc w:val="center"/>
        </w:trPr>
        <w:tc>
          <w:tcPr>
            <w:tcW w:w="2802" w:type="dxa"/>
            <w:tcBorders>
              <w:bottom w:val="single" w:sz="4" w:space="0" w:color="000000"/>
            </w:tcBorders>
            <w:shd w:val="clear" w:color="auto" w:fill="92D050"/>
            <w:vAlign w:val="center"/>
          </w:tcPr>
          <w:p w14:paraId="023506AA" w14:textId="77777777" w:rsidR="00E0240F" w:rsidRPr="001B0EA3" w:rsidRDefault="00E0240F" w:rsidP="00881222">
            <w:pPr>
              <w:spacing w:before="120"/>
              <w:ind w:firstLine="0"/>
              <w:jc w:val="center"/>
              <w:rPr>
                <w:b/>
                <w:szCs w:val="24"/>
                <w:lang w:eastAsia="en-US"/>
              </w:rPr>
            </w:pPr>
            <w:r w:rsidRPr="001B0EA3">
              <w:rPr>
                <w:b/>
                <w:szCs w:val="24"/>
                <w:lang w:eastAsia="en-US"/>
              </w:rPr>
              <w:t>1</w:t>
            </w:r>
          </w:p>
        </w:tc>
        <w:tc>
          <w:tcPr>
            <w:tcW w:w="3714" w:type="dxa"/>
            <w:tcBorders>
              <w:bottom w:val="single" w:sz="4" w:space="0" w:color="000000"/>
            </w:tcBorders>
            <w:shd w:val="clear" w:color="auto" w:fill="92D050"/>
            <w:vAlign w:val="center"/>
          </w:tcPr>
          <w:p w14:paraId="474D692C" w14:textId="77777777" w:rsidR="00E0240F" w:rsidRPr="001B0EA3" w:rsidRDefault="00E0240F" w:rsidP="00881222">
            <w:pPr>
              <w:spacing w:before="120"/>
              <w:ind w:firstLine="0"/>
              <w:jc w:val="center"/>
              <w:rPr>
                <w:b/>
                <w:szCs w:val="24"/>
                <w:lang w:eastAsia="en-US"/>
              </w:rPr>
            </w:pPr>
            <w:r w:rsidRPr="001B0EA3">
              <w:rPr>
                <w:b/>
                <w:szCs w:val="24"/>
                <w:lang w:eastAsia="en-US"/>
              </w:rPr>
              <w:t>Не е вероятно</w:t>
            </w:r>
          </w:p>
        </w:tc>
      </w:tr>
      <w:tr w:rsidR="00E0240F" w:rsidRPr="001B0EA3" w14:paraId="2B04257E" w14:textId="77777777" w:rsidTr="00881222">
        <w:trPr>
          <w:trHeight w:val="567"/>
          <w:jc w:val="center"/>
        </w:trPr>
        <w:tc>
          <w:tcPr>
            <w:tcW w:w="2802" w:type="dxa"/>
            <w:tcBorders>
              <w:bottom w:val="single" w:sz="4" w:space="0" w:color="000000"/>
            </w:tcBorders>
            <w:shd w:val="clear" w:color="auto" w:fill="00B050"/>
            <w:vAlign w:val="center"/>
          </w:tcPr>
          <w:p w14:paraId="4AD981A6" w14:textId="77777777" w:rsidR="00E0240F" w:rsidRPr="001B0EA3" w:rsidRDefault="00E0240F" w:rsidP="00881222">
            <w:pPr>
              <w:spacing w:before="120"/>
              <w:ind w:firstLine="0"/>
              <w:jc w:val="center"/>
              <w:rPr>
                <w:b/>
                <w:szCs w:val="24"/>
                <w:lang w:eastAsia="en-US"/>
              </w:rPr>
            </w:pPr>
            <w:r w:rsidRPr="001B0EA3">
              <w:rPr>
                <w:b/>
                <w:szCs w:val="24"/>
                <w:lang w:eastAsia="en-US"/>
              </w:rPr>
              <w:lastRenderedPageBreak/>
              <w:t>2</w:t>
            </w:r>
          </w:p>
        </w:tc>
        <w:tc>
          <w:tcPr>
            <w:tcW w:w="3714" w:type="dxa"/>
            <w:tcBorders>
              <w:bottom w:val="single" w:sz="4" w:space="0" w:color="000000"/>
            </w:tcBorders>
            <w:shd w:val="clear" w:color="auto" w:fill="00B050"/>
            <w:vAlign w:val="center"/>
          </w:tcPr>
          <w:p w14:paraId="154FA1F0" w14:textId="77777777" w:rsidR="00E0240F" w:rsidRPr="001B0EA3" w:rsidRDefault="00E0240F" w:rsidP="00881222">
            <w:pPr>
              <w:spacing w:before="120"/>
              <w:ind w:firstLine="0"/>
              <w:jc w:val="center"/>
              <w:rPr>
                <w:b/>
                <w:szCs w:val="24"/>
                <w:lang w:eastAsia="en-US"/>
              </w:rPr>
            </w:pPr>
            <w:r w:rsidRPr="001B0EA3">
              <w:rPr>
                <w:b/>
                <w:szCs w:val="24"/>
                <w:lang w:eastAsia="en-US"/>
              </w:rPr>
              <w:t>Рядко</w:t>
            </w:r>
          </w:p>
        </w:tc>
      </w:tr>
      <w:tr w:rsidR="00E0240F" w:rsidRPr="001B0EA3" w14:paraId="35B7BC0B" w14:textId="77777777" w:rsidTr="00881222">
        <w:trPr>
          <w:trHeight w:val="567"/>
          <w:jc w:val="center"/>
        </w:trPr>
        <w:tc>
          <w:tcPr>
            <w:tcW w:w="2802" w:type="dxa"/>
            <w:tcBorders>
              <w:bottom w:val="single" w:sz="4" w:space="0" w:color="000000"/>
            </w:tcBorders>
            <w:shd w:val="clear" w:color="auto" w:fill="FFFF00"/>
            <w:vAlign w:val="center"/>
          </w:tcPr>
          <w:p w14:paraId="591F1A2E" w14:textId="77777777" w:rsidR="00E0240F" w:rsidRPr="001B0EA3" w:rsidRDefault="00E0240F" w:rsidP="00881222">
            <w:pPr>
              <w:spacing w:before="120"/>
              <w:ind w:firstLine="0"/>
              <w:jc w:val="center"/>
              <w:rPr>
                <w:b/>
                <w:szCs w:val="24"/>
                <w:lang w:eastAsia="en-US"/>
              </w:rPr>
            </w:pPr>
            <w:r w:rsidRPr="001B0EA3">
              <w:rPr>
                <w:b/>
                <w:szCs w:val="24"/>
                <w:lang w:eastAsia="en-US"/>
              </w:rPr>
              <w:t>3</w:t>
            </w:r>
          </w:p>
        </w:tc>
        <w:tc>
          <w:tcPr>
            <w:tcW w:w="3714" w:type="dxa"/>
            <w:tcBorders>
              <w:bottom w:val="single" w:sz="4" w:space="0" w:color="000000"/>
            </w:tcBorders>
            <w:shd w:val="clear" w:color="auto" w:fill="FFFF00"/>
            <w:vAlign w:val="center"/>
          </w:tcPr>
          <w:p w14:paraId="193C3486" w14:textId="77777777" w:rsidR="00E0240F" w:rsidRPr="001B0EA3" w:rsidRDefault="00E0240F" w:rsidP="00881222">
            <w:pPr>
              <w:spacing w:before="120"/>
              <w:ind w:firstLine="0"/>
              <w:jc w:val="center"/>
              <w:rPr>
                <w:b/>
                <w:szCs w:val="24"/>
                <w:lang w:eastAsia="en-US"/>
              </w:rPr>
            </w:pPr>
            <w:r w:rsidRPr="001B0EA3">
              <w:rPr>
                <w:b/>
                <w:szCs w:val="24"/>
                <w:lang w:eastAsia="en-US"/>
              </w:rPr>
              <w:t>Възможно</w:t>
            </w:r>
          </w:p>
        </w:tc>
      </w:tr>
      <w:tr w:rsidR="00E0240F" w:rsidRPr="001B0EA3" w14:paraId="616D435E" w14:textId="77777777" w:rsidTr="00881222">
        <w:trPr>
          <w:trHeight w:val="567"/>
          <w:jc w:val="center"/>
        </w:trPr>
        <w:tc>
          <w:tcPr>
            <w:tcW w:w="2802" w:type="dxa"/>
            <w:tcBorders>
              <w:bottom w:val="single" w:sz="4" w:space="0" w:color="auto"/>
            </w:tcBorders>
            <w:shd w:val="clear" w:color="auto" w:fill="FFC000"/>
            <w:vAlign w:val="center"/>
          </w:tcPr>
          <w:p w14:paraId="64B5B0C9" w14:textId="77777777" w:rsidR="00E0240F" w:rsidRPr="001B0EA3" w:rsidRDefault="00E0240F" w:rsidP="00881222">
            <w:pPr>
              <w:spacing w:before="120"/>
              <w:ind w:firstLine="0"/>
              <w:jc w:val="center"/>
              <w:rPr>
                <w:b/>
                <w:szCs w:val="24"/>
                <w:lang w:eastAsia="en-US"/>
              </w:rPr>
            </w:pPr>
            <w:r w:rsidRPr="001B0EA3">
              <w:rPr>
                <w:b/>
                <w:szCs w:val="24"/>
                <w:lang w:eastAsia="en-US"/>
              </w:rPr>
              <w:t>4</w:t>
            </w:r>
          </w:p>
        </w:tc>
        <w:tc>
          <w:tcPr>
            <w:tcW w:w="3714" w:type="dxa"/>
            <w:tcBorders>
              <w:bottom w:val="single" w:sz="4" w:space="0" w:color="auto"/>
            </w:tcBorders>
            <w:shd w:val="clear" w:color="auto" w:fill="FFC000"/>
            <w:vAlign w:val="center"/>
          </w:tcPr>
          <w:p w14:paraId="294BF11A" w14:textId="77777777" w:rsidR="00E0240F" w:rsidRPr="001B0EA3" w:rsidRDefault="00E0240F" w:rsidP="00881222">
            <w:pPr>
              <w:spacing w:before="120"/>
              <w:ind w:firstLine="0"/>
              <w:jc w:val="center"/>
              <w:rPr>
                <w:b/>
                <w:szCs w:val="24"/>
                <w:lang w:eastAsia="en-US"/>
              </w:rPr>
            </w:pPr>
            <w:r w:rsidRPr="001B0EA3">
              <w:rPr>
                <w:b/>
                <w:szCs w:val="24"/>
                <w:lang w:eastAsia="en-US"/>
              </w:rPr>
              <w:t>Вероятно</w:t>
            </w:r>
          </w:p>
        </w:tc>
      </w:tr>
      <w:tr w:rsidR="00E0240F" w:rsidRPr="001B0EA3" w14:paraId="649A78E5" w14:textId="77777777" w:rsidTr="00881222">
        <w:trPr>
          <w:trHeight w:val="567"/>
          <w:jc w:val="center"/>
        </w:trPr>
        <w:tc>
          <w:tcPr>
            <w:tcW w:w="2802" w:type="dxa"/>
            <w:tcBorders>
              <w:top w:val="single" w:sz="4" w:space="0" w:color="auto"/>
              <w:left w:val="single" w:sz="4" w:space="0" w:color="auto"/>
              <w:bottom w:val="single" w:sz="4" w:space="0" w:color="auto"/>
              <w:right w:val="single" w:sz="4" w:space="0" w:color="auto"/>
            </w:tcBorders>
            <w:shd w:val="clear" w:color="auto" w:fill="FF0000"/>
            <w:vAlign w:val="center"/>
          </w:tcPr>
          <w:p w14:paraId="37BE4D95" w14:textId="77777777" w:rsidR="00E0240F" w:rsidRPr="001B0EA3" w:rsidRDefault="00E0240F" w:rsidP="00881222">
            <w:pPr>
              <w:spacing w:before="120"/>
              <w:ind w:firstLine="0"/>
              <w:jc w:val="center"/>
              <w:rPr>
                <w:b/>
                <w:szCs w:val="24"/>
                <w:lang w:eastAsia="en-US"/>
              </w:rPr>
            </w:pPr>
            <w:r w:rsidRPr="001B0EA3">
              <w:rPr>
                <w:b/>
                <w:szCs w:val="24"/>
                <w:lang w:eastAsia="en-US"/>
              </w:rPr>
              <w:t>5</w:t>
            </w:r>
          </w:p>
        </w:tc>
        <w:tc>
          <w:tcPr>
            <w:tcW w:w="3714" w:type="dxa"/>
            <w:tcBorders>
              <w:top w:val="single" w:sz="4" w:space="0" w:color="auto"/>
              <w:left w:val="single" w:sz="4" w:space="0" w:color="auto"/>
              <w:bottom w:val="single" w:sz="4" w:space="0" w:color="auto"/>
              <w:right w:val="single" w:sz="4" w:space="0" w:color="auto"/>
            </w:tcBorders>
            <w:shd w:val="clear" w:color="auto" w:fill="FF0000"/>
            <w:vAlign w:val="center"/>
          </w:tcPr>
          <w:p w14:paraId="1AB31E34" w14:textId="77777777" w:rsidR="00E0240F" w:rsidRPr="001B0EA3" w:rsidRDefault="00E0240F" w:rsidP="00881222">
            <w:pPr>
              <w:spacing w:before="120"/>
              <w:ind w:firstLine="0"/>
              <w:jc w:val="center"/>
              <w:rPr>
                <w:b/>
                <w:szCs w:val="24"/>
                <w:lang w:eastAsia="en-US"/>
              </w:rPr>
            </w:pPr>
            <w:r w:rsidRPr="001B0EA3">
              <w:rPr>
                <w:b/>
                <w:szCs w:val="24"/>
                <w:lang w:eastAsia="en-US"/>
              </w:rPr>
              <w:t>Почти сигурно</w:t>
            </w:r>
          </w:p>
        </w:tc>
      </w:tr>
    </w:tbl>
    <w:p w14:paraId="151CD863" w14:textId="77777777" w:rsidR="00E0240F" w:rsidRPr="001B0EA3" w:rsidRDefault="00B65454" w:rsidP="00046D61">
      <w:pPr>
        <w:widowControl w:val="0"/>
        <w:autoSpaceDE w:val="0"/>
        <w:autoSpaceDN w:val="0"/>
        <w:adjustRightInd w:val="0"/>
        <w:spacing w:before="91" w:line="253" w:lineRule="auto"/>
        <w:ind w:firstLine="709"/>
        <w:rPr>
          <w:bCs/>
          <w:color w:val="222222"/>
          <w:szCs w:val="24"/>
          <w:lang w:eastAsia="bg-BG"/>
        </w:rPr>
      </w:pPr>
      <w:r w:rsidRPr="001B0EA3">
        <w:rPr>
          <w:bCs/>
          <w:color w:val="222222"/>
          <w:szCs w:val="24"/>
          <w:lang w:eastAsia="bg-BG"/>
        </w:rPr>
        <w:t xml:space="preserve">Критериите за оценка на вероятността са представени в </w:t>
      </w:r>
      <w:hyperlink r:id="rId299" w:tooltip="Критерии за оценка на вероятността" w:history="1">
        <w:r w:rsidR="000A2904" w:rsidRPr="00251D03">
          <w:rPr>
            <w:i/>
            <w:color w:val="0000FF"/>
            <w:szCs w:val="24"/>
            <w:u w:val="single"/>
            <w:lang w:eastAsia="bg-BG"/>
          </w:rPr>
          <w:t>Приложение № 8.03a</w:t>
        </w:r>
      </w:hyperlink>
      <w:r w:rsidRPr="001B0EA3">
        <w:rPr>
          <w:bCs/>
          <w:color w:val="222222"/>
          <w:szCs w:val="24"/>
          <w:lang w:eastAsia="bg-BG"/>
        </w:rPr>
        <w:t>.</w:t>
      </w:r>
    </w:p>
    <w:p w14:paraId="0EA616B9" w14:textId="77777777" w:rsidR="00E0240F" w:rsidRPr="001B0EA3" w:rsidRDefault="00E0240F" w:rsidP="002A3A2C">
      <w:pPr>
        <w:pStyle w:val="Style4"/>
        <w:rPr>
          <w:lang w:eastAsia="bg-BG"/>
        </w:rPr>
      </w:pPr>
      <w:r w:rsidRPr="001B0EA3">
        <w:rPr>
          <w:lang w:eastAsia="bg-BG"/>
        </w:rPr>
        <w:t xml:space="preserve">Риск апетит </w:t>
      </w:r>
    </w:p>
    <w:p w14:paraId="14C278FF" w14:textId="77777777" w:rsidR="00E0240F" w:rsidRPr="001B0EA3" w:rsidRDefault="00E0240F" w:rsidP="00881222">
      <w:pPr>
        <w:spacing w:before="120"/>
        <w:ind w:left="840"/>
        <w:contextualSpacing/>
        <w:jc w:val="center"/>
        <w:rPr>
          <w:szCs w:val="24"/>
          <w:lang w:eastAsia="en-US"/>
        </w:rPr>
      </w:pP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4791"/>
      </w:tblGrid>
      <w:tr w:rsidR="00E0240F" w:rsidRPr="001B0EA3" w14:paraId="535A801F" w14:textId="77777777" w:rsidTr="00881222">
        <w:trPr>
          <w:jc w:val="center"/>
        </w:trPr>
        <w:tc>
          <w:tcPr>
            <w:tcW w:w="4815" w:type="dxa"/>
            <w:tcBorders>
              <w:bottom w:val="single" w:sz="4" w:space="0" w:color="000000"/>
            </w:tcBorders>
          </w:tcPr>
          <w:p w14:paraId="03A8948C" w14:textId="77777777" w:rsidR="00E0240F" w:rsidRPr="001B0EA3" w:rsidRDefault="00E0240F" w:rsidP="00881222">
            <w:pPr>
              <w:spacing w:before="120"/>
              <w:ind w:firstLine="0"/>
              <w:jc w:val="center"/>
              <w:rPr>
                <w:b/>
                <w:szCs w:val="24"/>
                <w:lang w:eastAsia="en-US"/>
              </w:rPr>
            </w:pPr>
            <w:r w:rsidRPr="001B0EA3">
              <w:rPr>
                <w:b/>
                <w:szCs w:val="24"/>
                <w:lang w:eastAsia="en-US"/>
              </w:rPr>
              <w:t>ОЦЕНКА</w:t>
            </w:r>
          </w:p>
          <w:p w14:paraId="75578464" w14:textId="77777777" w:rsidR="00E0240F" w:rsidRPr="001B0EA3" w:rsidRDefault="00E0240F" w:rsidP="00881222">
            <w:pPr>
              <w:spacing w:before="120"/>
              <w:ind w:firstLine="0"/>
              <w:jc w:val="center"/>
              <w:rPr>
                <w:b/>
                <w:szCs w:val="24"/>
                <w:lang w:eastAsia="en-US"/>
              </w:rPr>
            </w:pPr>
            <w:r w:rsidRPr="001B0EA3">
              <w:rPr>
                <w:i/>
                <w:szCs w:val="24"/>
                <w:lang w:eastAsia="en-US"/>
              </w:rPr>
              <w:t>(стойност на риска след отчитане на съществуващите контроли)</w:t>
            </w:r>
          </w:p>
        </w:tc>
        <w:tc>
          <w:tcPr>
            <w:tcW w:w="4791" w:type="dxa"/>
            <w:tcBorders>
              <w:bottom w:val="single" w:sz="4" w:space="0" w:color="000000"/>
            </w:tcBorders>
          </w:tcPr>
          <w:p w14:paraId="397EDFBF" w14:textId="77777777" w:rsidR="00E0240F" w:rsidRPr="001B0EA3" w:rsidRDefault="00E0240F" w:rsidP="00881222">
            <w:pPr>
              <w:spacing w:before="120"/>
              <w:ind w:firstLine="0"/>
              <w:jc w:val="center"/>
              <w:rPr>
                <w:b/>
                <w:szCs w:val="24"/>
                <w:lang w:eastAsia="en-US"/>
              </w:rPr>
            </w:pPr>
            <w:r w:rsidRPr="001B0EA3">
              <w:rPr>
                <w:b/>
                <w:szCs w:val="24"/>
                <w:lang w:eastAsia="en-US"/>
              </w:rPr>
              <w:t>РЕЙТИНГ</w:t>
            </w:r>
          </w:p>
        </w:tc>
      </w:tr>
      <w:tr w:rsidR="00E0240F" w:rsidRPr="001B0EA3" w14:paraId="6F4D4346" w14:textId="77777777" w:rsidTr="00881222">
        <w:trPr>
          <w:jc w:val="center"/>
        </w:trPr>
        <w:tc>
          <w:tcPr>
            <w:tcW w:w="4815" w:type="dxa"/>
            <w:tcBorders>
              <w:bottom w:val="single" w:sz="4" w:space="0" w:color="000000"/>
            </w:tcBorders>
            <w:shd w:val="clear" w:color="auto" w:fill="00B050"/>
          </w:tcPr>
          <w:p w14:paraId="51F20804" w14:textId="77777777" w:rsidR="00E0240F" w:rsidRPr="001B0EA3" w:rsidRDefault="00B17843" w:rsidP="00881222">
            <w:pPr>
              <w:spacing w:before="120"/>
              <w:ind w:firstLine="0"/>
              <w:jc w:val="center"/>
              <w:rPr>
                <w:szCs w:val="24"/>
                <w:lang w:eastAsia="en-US"/>
              </w:rPr>
            </w:pPr>
            <w:r w:rsidRPr="001B0EA3">
              <w:rPr>
                <w:szCs w:val="24"/>
                <w:lang w:eastAsia="en-US"/>
              </w:rPr>
              <w:t>1-</w:t>
            </w:r>
            <w:r w:rsidR="002D1E23" w:rsidRPr="001B0EA3">
              <w:rPr>
                <w:szCs w:val="24"/>
                <w:lang w:eastAsia="en-US"/>
              </w:rPr>
              <w:t>4</w:t>
            </w:r>
          </w:p>
        </w:tc>
        <w:tc>
          <w:tcPr>
            <w:tcW w:w="4791" w:type="dxa"/>
            <w:tcBorders>
              <w:bottom w:val="single" w:sz="4" w:space="0" w:color="000000"/>
            </w:tcBorders>
            <w:shd w:val="clear" w:color="auto" w:fill="00B050"/>
          </w:tcPr>
          <w:p w14:paraId="4D2A6ABA" w14:textId="77777777" w:rsidR="00E0240F" w:rsidRPr="001B0EA3" w:rsidRDefault="00E0240F" w:rsidP="00881222">
            <w:pPr>
              <w:spacing w:before="120"/>
              <w:ind w:firstLine="0"/>
              <w:jc w:val="center"/>
              <w:rPr>
                <w:szCs w:val="24"/>
                <w:lang w:eastAsia="en-US"/>
              </w:rPr>
            </w:pPr>
            <w:r w:rsidRPr="001B0EA3">
              <w:rPr>
                <w:szCs w:val="24"/>
                <w:lang w:eastAsia="en-US"/>
              </w:rPr>
              <w:t>ПРИЕМЛИВ</w:t>
            </w:r>
          </w:p>
        </w:tc>
      </w:tr>
      <w:tr w:rsidR="00E0240F" w:rsidRPr="001B0EA3" w14:paraId="16F431D1" w14:textId="77777777" w:rsidTr="00881222">
        <w:trPr>
          <w:jc w:val="center"/>
        </w:trPr>
        <w:tc>
          <w:tcPr>
            <w:tcW w:w="4815" w:type="dxa"/>
            <w:tcBorders>
              <w:bottom w:val="single" w:sz="4" w:space="0" w:color="000000"/>
            </w:tcBorders>
            <w:shd w:val="clear" w:color="auto" w:fill="FFFF00"/>
          </w:tcPr>
          <w:p w14:paraId="021ACF3E" w14:textId="77777777" w:rsidR="00E0240F" w:rsidRPr="001B0EA3" w:rsidRDefault="00881222" w:rsidP="00881222">
            <w:pPr>
              <w:spacing w:before="120"/>
              <w:ind w:firstLine="0"/>
              <w:jc w:val="center"/>
              <w:rPr>
                <w:szCs w:val="24"/>
                <w:lang w:eastAsia="en-US"/>
              </w:rPr>
            </w:pPr>
            <w:r>
              <w:rPr>
                <w:szCs w:val="24"/>
                <w:lang w:val="en-US" w:eastAsia="en-US"/>
              </w:rPr>
              <w:t>5</w:t>
            </w:r>
            <w:r w:rsidR="00B17843" w:rsidRPr="001B0EA3">
              <w:rPr>
                <w:szCs w:val="24"/>
                <w:lang w:eastAsia="en-US"/>
              </w:rPr>
              <w:t>-</w:t>
            </w:r>
            <w:r>
              <w:rPr>
                <w:szCs w:val="24"/>
                <w:lang w:val="en-US" w:eastAsia="en-US"/>
              </w:rPr>
              <w:t>8</w:t>
            </w:r>
          </w:p>
        </w:tc>
        <w:tc>
          <w:tcPr>
            <w:tcW w:w="4791" w:type="dxa"/>
            <w:tcBorders>
              <w:bottom w:val="single" w:sz="4" w:space="0" w:color="000000"/>
            </w:tcBorders>
            <w:shd w:val="clear" w:color="auto" w:fill="FFFF00"/>
          </w:tcPr>
          <w:p w14:paraId="598D25E9" w14:textId="77777777" w:rsidR="00E0240F" w:rsidRPr="001B0EA3" w:rsidRDefault="00E0240F" w:rsidP="00881222">
            <w:pPr>
              <w:spacing w:before="120"/>
              <w:ind w:firstLine="0"/>
              <w:jc w:val="center"/>
              <w:rPr>
                <w:szCs w:val="24"/>
                <w:lang w:eastAsia="en-US"/>
              </w:rPr>
            </w:pPr>
            <w:r w:rsidRPr="001B0EA3">
              <w:rPr>
                <w:szCs w:val="24"/>
                <w:lang w:eastAsia="en-US"/>
              </w:rPr>
              <w:t>ИЗИСКВА ВНИМАНИЕ</w:t>
            </w:r>
          </w:p>
        </w:tc>
      </w:tr>
      <w:tr w:rsidR="00E0240F" w:rsidRPr="001B0EA3" w14:paraId="14C4C986" w14:textId="77777777" w:rsidTr="00881222">
        <w:trPr>
          <w:jc w:val="center"/>
        </w:trPr>
        <w:tc>
          <w:tcPr>
            <w:tcW w:w="4815" w:type="dxa"/>
            <w:shd w:val="clear" w:color="auto" w:fill="FF0000"/>
          </w:tcPr>
          <w:p w14:paraId="3127E50F" w14:textId="77777777" w:rsidR="00E0240F" w:rsidRPr="001B0EA3" w:rsidRDefault="00E0240F" w:rsidP="00881222">
            <w:pPr>
              <w:spacing w:before="120"/>
              <w:ind w:firstLine="0"/>
              <w:jc w:val="center"/>
              <w:rPr>
                <w:szCs w:val="24"/>
                <w:lang w:eastAsia="en-US"/>
              </w:rPr>
            </w:pPr>
            <w:r w:rsidRPr="001B0EA3">
              <w:rPr>
                <w:szCs w:val="24"/>
                <w:lang w:eastAsia="en-US"/>
              </w:rPr>
              <w:t>9-25</w:t>
            </w:r>
          </w:p>
        </w:tc>
        <w:tc>
          <w:tcPr>
            <w:tcW w:w="4791" w:type="dxa"/>
            <w:shd w:val="clear" w:color="auto" w:fill="FF0000"/>
          </w:tcPr>
          <w:p w14:paraId="628B4AE3" w14:textId="77777777" w:rsidR="00E0240F" w:rsidRPr="001B0EA3" w:rsidRDefault="00E0240F" w:rsidP="00881222">
            <w:pPr>
              <w:spacing w:before="120"/>
              <w:ind w:firstLine="0"/>
              <w:jc w:val="center"/>
              <w:rPr>
                <w:szCs w:val="24"/>
                <w:lang w:eastAsia="en-US"/>
              </w:rPr>
            </w:pPr>
            <w:r w:rsidRPr="001B0EA3">
              <w:rPr>
                <w:szCs w:val="24"/>
                <w:lang w:eastAsia="en-US"/>
              </w:rPr>
              <w:t>НЕПРИЕМЛИВ</w:t>
            </w:r>
          </w:p>
        </w:tc>
      </w:tr>
    </w:tbl>
    <w:p w14:paraId="5C73D219" w14:textId="77777777" w:rsidR="00E0240F" w:rsidRPr="001B0EA3" w:rsidRDefault="00E0240F" w:rsidP="00E0240F">
      <w:pPr>
        <w:ind w:left="1080" w:hanging="1080"/>
        <w:contextualSpacing/>
        <w:rPr>
          <w:szCs w:val="24"/>
          <w:highlight w:val="white"/>
          <w:shd w:val="clear" w:color="auto" w:fill="FEFEFE"/>
        </w:rPr>
      </w:pPr>
    </w:p>
    <w:p w14:paraId="625000AA" w14:textId="77777777" w:rsidR="00E0240F" w:rsidRPr="00842ECC" w:rsidRDefault="00E0240F" w:rsidP="002A3A2C">
      <w:pPr>
        <w:pStyle w:val="Style4"/>
        <w:rPr>
          <w:highlight w:val="white"/>
          <w:shd w:val="clear" w:color="auto" w:fill="FEFEFE"/>
          <w:lang w:val="bg-BG"/>
        </w:rPr>
      </w:pPr>
      <w:r w:rsidRPr="00842ECC">
        <w:rPr>
          <w:highlight w:val="white"/>
          <w:shd w:val="clear" w:color="auto" w:fill="FEFEFE"/>
          <w:lang w:val="bg-BG"/>
        </w:rPr>
        <w:t xml:space="preserve">Метод за оценка на ефикасността и постиженията на процеса на управление на риска </w:t>
      </w:r>
    </w:p>
    <w:p w14:paraId="32367611" w14:textId="77777777" w:rsidR="00E0240F" w:rsidRPr="001B0EA3" w:rsidRDefault="00E0240F" w:rsidP="00FC7EE3">
      <w:pPr>
        <w:ind w:firstLine="567"/>
        <w:rPr>
          <w:szCs w:val="24"/>
          <w:highlight w:val="white"/>
          <w:shd w:val="clear" w:color="auto" w:fill="FEFEFE"/>
        </w:rPr>
      </w:pPr>
      <w:r w:rsidRPr="001B0EA3">
        <w:rPr>
          <w:szCs w:val="24"/>
          <w:highlight w:val="white"/>
          <w:shd w:val="clear" w:color="auto" w:fill="FEFEFE"/>
        </w:rPr>
        <w:t>Системата за мониторинг на функционирането на процеса за управление на риска включва :</w:t>
      </w:r>
    </w:p>
    <w:p w14:paraId="6E5C2AC3" w14:textId="77777777" w:rsidR="00E0240F" w:rsidRPr="001B0EA3" w:rsidRDefault="00E0240F" w:rsidP="00E0240F">
      <w:pPr>
        <w:ind w:firstLine="850"/>
        <w:rPr>
          <w:szCs w:val="24"/>
          <w:highlight w:val="white"/>
          <w:shd w:val="clear" w:color="auto" w:fill="FEFEFE"/>
        </w:rPr>
      </w:pPr>
      <w:r w:rsidRPr="001B0EA3">
        <w:rPr>
          <w:szCs w:val="24"/>
          <w:highlight w:val="white"/>
          <w:shd w:val="clear" w:color="auto" w:fill="FEFEFE"/>
        </w:rPr>
        <w:t xml:space="preserve">а) текущо наблюдение </w:t>
      </w:r>
    </w:p>
    <w:p w14:paraId="60E16AB5" w14:textId="77777777" w:rsidR="00E0240F" w:rsidRPr="001B0EA3" w:rsidRDefault="00E0240F" w:rsidP="00E0240F">
      <w:pPr>
        <w:ind w:firstLine="850"/>
        <w:rPr>
          <w:szCs w:val="24"/>
          <w:highlight w:val="white"/>
          <w:shd w:val="clear" w:color="auto" w:fill="FEFEFE"/>
        </w:rPr>
      </w:pPr>
      <w:r w:rsidRPr="001B0EA3">
        <w:rPr>
          <w:szCs w:val="24"/>
          <w:highlight w:val="white"/>
          <w:shd w:val="clear" w:color="auto" w:fill="FEFEFE"/>
        </w:rPr>
        <w:t xml:space="preserve">б) самооценка </w:t>
      </w:r>
    </w:p>
    <w:p w14:paraId="42C782F0" w14:textId="77777777" w:rsidR="00E0240F" w:rsidRPr="001B0EA3" w:rsidRDefault="00E0240F" w:rsidP="00E0240F">
      <w:pPr>
        <w:ind w:firstLine="850"/>
        <w:rPr>
          <w:szCs w:val="24"/>
          <w:highlight w:val="white"/>
          <w:shd w:val="clear" w:color="auto" w:fill="FEFEFE"/>
        </w:rPr>
      </w:pPr>
      <w:r w:rsidRPr="001B0EA3">
        <w:rPr>
          <w:szCs w:val="24"/>
          <w:highlight w:val="white"/>
          <w:shd w:val="clear" w:color="auto" w:fill="FEFEFE"/>
        </w:rPr>
        <w:t xml:space="preserve">в) вътрешен и външен одит </w:t>
      </w:r>
    </w:p>
    <w:p w14:paraId="7AF6FB37" w14:textId="77777777" w:rsidR="00E0240F" w:rsidRPr="001B0EA3" w:rsidRDefault="00E0240F" w:rsidP="00046D61">
      <w:pPr>
        <w:widowControl w:val="0"/>
        <w:autoSpaceDE w:val="0"/>
        <w:autoSpaceDN w:val="0"/>
        <w:adjustRightInd w:val="0"/>
        <w:spacing w:before="91" w:line="253" w:lineRule="auto"/>
        <w:rPr>
          <w:bCs/>
          <w:color w:val="222222"/>
          <w:szCs w:val="24"/>
          <w:lang w:eastAsia="bg-BG"/>
        </w:rPr>
      </w:pPr>
    </w:p>
    <w:p w14:paraId="70105880" w14:textId="77777777" w:rsidR="00E0240F" w:rsidRPr="00C70C98" w:rsidRDefault="00E0240F" w:rsidP="00942609">
      <w:pPr>
        <w:pStyle w:val="Style3"/>
        <w:rPr>
          <w:snapToGrid w:val="0"/>
        </w:rPr>
      </w:pPr>
      <w:bookmarkStart w:id="1303" w:name="_Toc479775810"/>
      <w:r w:rsidRPr="00C70C98">
        <w:rPr>
          <w:snapToGrid w:val="0"/>
        </w:rPr>
        <w:t>Оценка на риска</w:t>
      </w:r>
      <w:bookmarkEnd w:id="1303"/>
    </w:p>
    <w:p w14:paraId="3E201984" w14:textId="04EB80A4" w:rsidR="00E0240F" w:rsidRPr="001B0EA3" w:rsidRDefault="00E0240F" w:rsidP="00E0240F">
      <w:pPr>
        <w:rPr>
          <w:rFonts w:eastAsia="EUAlbertina-Regu-Identity-H"/>
          <w:bCs/>
          <w:color w:val="000000"/>
          <w:w w:val="103"/>
          <w:szCs w:val="24"/>
        </w:rPr>
      </w:pPr>
      <w:r w:rsidRPr="001B0EA3">
        <w:rPr>
          <w:rFonts w:eastAsia="EUAlbertina-Regu-Identity-H"/>
          <w:bCs/>
          <w:color w:val="000000"/>
          <w:w w:val="103"/>
          <w:szCs w:val="24"/>
        </w:rPr>
        <w:t xml:space="preserve">Оценката на риска се състои от три под-етапа - идентификация на риска, анализ на риска и преценяване на риска. </w:t>
      </w:r>
      <w:r w:rsidR="00C1223A" w:rsidRPr="001B0EA3">
        <w:rPr>
          <w:rFonts w:eastAsia="EUAlbertina-Regu-Identity-H"/>
          <w:bCs/>
          <w:color w:val="000000"/>
          <w:w w:val="103"/>
          <w:szCs w:val="24"/>
        </w:rPr>
        <w:t xml:space="preserve">Оценката на риска се извършва на работна среща с участието на директора на дирекцията, началниците на отдели и определените за целта експерти. Срещата се провежда веднъж годишно, </w:t>
      </w:r>
      <w:r w:rsidR="00222851" w:rsidRPr="001B0EA3">
        <w:rPr>
          <w:rFonts w:eastAsia="EUAlbertina-Regu-Identity-H"/>
          <w:bCs/>
          <w:color w:val="000000"/>
          <w:w w:val="103"/>
          <w:szCs w:val="24"/>
        </w:rPr>
        <w:t>през първото тримесечие на съответната година</w:t>
      </w:r>
      <w:r w:rsidR="00C1223A" w:rsidRPr="001B0EA3">
        <w:rPr>
          <w:rFonts w:eastAsia="EUAlbertina-Regu-Identity-H"/>
          <w:bCs/>
          <w:color w:val="000000"/>
          <w:w w:val="103"/>
          <w:szCs w:val="24"/>
        </w:rPr>
        <w:t xml:space="preserve">. </w:t>
      </w:r>
      <w:r w:rsidR="00942A4A" w:rsidRPr="001B0EA3">
        <w:rPr>
          <w:rFonts w:eastAsia="EUAlbertina-Regu-Identity-H"/>
          <w:bCs/>
          <w:color w:val="000000"/>
          <w:w w:val="103"/>
          <w:szCs w:val="24"/>
        </w:rPr>
        <w:t>Отдел „</w:t>
      </w:r>
      <w:r w:rsidR="00F80D58">
        <w:rPr>
          <w:rFonts w:eastAsia="EUAlbertina-Regu-Identity-H"/>
          <w:bCs/>
          <w:color w:val="000000"/>
          <w:w w:val="103"/>
          <w:szCs w:val="24"/>
        </w:rPr>
        <w:t>Управление на риска</w:t>
      </w:r>
      <w:r w:rsidR="00942A4A" w:rsidRPr="001B0EA3">
        <w:rPr>
          <w:rFonts w:eastAsia="EUAlbertina-Regu-Identity-H"/>
          <w:bCs/>
          <w:color w:val="000000"/>
          <w:w w:val="103"/>
          <w:szCs w:val="24"/>
        </w:rPr>
        <w:t>“</w:t>
      </w:r>
      <w:r w:rsidR="00F80D58" w:rsidRPr="00F80D58" w:rsidDel="008C1156">
        <w:rPr>
          <w:rFonts w:eastAsia="EUAlbertina-Regu-Identity-H"/>
          <w:bCs/>
          <w:color w:val="000000"/>
          <w:w w:val="103"/>
          <w:szCs w:val="24"/>
        </w:rPr>
        <w:t xml:space="preserve"> </w:t>
      </w:r>
      <w:r w:rsidR="00942A4A" w:rsidRPr="001B0EA3">
        <w:rPr>
          <w:rFonts w:eastAsia="EUAlbertina-Regu-Identity-H"/>
          <w:bCs/>
          <w:color w:val="000000"/>
          <w:w w:val="103"/>
          <w:szCs w:val="24"/>
        </w:rPr>
        <w:t xml:space="preserve"> осигурява </w:t>
      </w:r>
      <w:r w:rsidR="00222851" w:rsidRPr="001B0EA3">
        <w:rPr>
          <w:rFonts w:eastAsia="EUAlbertina-Regu-Identity-H"/>
          <w:bCs/>
          <w:color w:val="000000"/>
          <w:w w:val="103"/>
          <w:szCs w:val="24"/>
        </w:rPr>
        <w:t xml:space="preserve">организационно </w:t>
      </w:r>
      <w:r w:rsidR="00942A4A" w:rsidRPr="001B0EA3">
        <w:rPr>
          <w:rFonts w:eastAsia="EUAlbertina-Regu-Identity-H"/>
          <w:bCs/>
          <w:color w:val="000000"/>
          <w:w w:val="103"/>
          <w:szCs w:val="24"/>
        </w:rPr>
        <w:t xml:space="preserve">провеждането на срещата. </w:t>
      </w:r>
    </w:p>
    <w:p w14:paraId="707FAFE5" w14:textId="77777777" w:rsidR="00E0240F" w:rsidRDefault="00E0240F" w:rsidP="00E0240F">
      <w:pPr>
        <w:rPr>
          <w:rFonts w:eastAsia="EUAlbertina-Regu-Identity-H"/>
          <w:b/>
          <w:bCs/>
          <w:color w:val="000000"/>
          <w:w w:val="103"/>
          <w:szCs w:val="24"/>
        </w:rPr>
      </w:pPr>
    </w:p>
    <w:p w14:paraId="6D8BE750" w14:textId="77777777" w:rsidR="00E0240F" w:rsidRPr="00743AD1" w:rsidRDefault="00E0240F" w:rsidP="00805ADA">
      <w:pPr>
        <w:pStyle w:val="Style4"/>
        <w:rPr>
          <w:snapToGrid w:val="0"/>
        </w:rPr>
      </w:pPr>
      <w:bookmarkStart w:id="1304" w:name="_Toc479775811"/>
      <w:r w:rsidRPr="00743AD1">
        <w:rPr>
          <w:snapToGrid w:val="0"/>
        </w:rPr>
        <w:t>Идентификация на риска</w:t>
      </w:r>
      <w:bookmarkEnd w:id="1304"/>
      <w:r w:rsidRPr="00743AD1">
        <w:rPr>
          <w:snapToGrid w:val="0"/>
        </w:rPr>
        <w:t xml:space="preserve"> </w:t>
      </w:r>
    </w:p>
    <w:p w14:paraId="2B35E379" w14:textId="77777777" w:rsidR="000A6BA9" w:rsidRPr="001B0EA3" w:rsidRDefault="000A6BA9" w:rsidP="00125DAC">
      <w:pPr>
        <w:spacing w:before="120"/>
        <w:ind w:firstLine="709"/>
        <w:rPr>
          <w:szCs w:val="24"/>
          <w:lang w:eastAsia="en-US"/>
        </w:rPr>
      </w:pPr>
      <w:r w:rsidRPr="001B0EA3">
        <w:rPr>
          <w:szCs w:val="24"/>
          <w:lang w:eastAsia="en-US"/>
        </w:rPr>
        <w:t>а) Общи сведения</w:t>
      </w:r>
    </w:p>
    <w:p w14:paraId="4D6452BA" w14:textId="77777777" w:rsidR="00E0240F" w:rsidRDefault="00E0240F" w:rsidP="00125DAC">
      <w:pPr>
        <w:spacing w:before="120"/>
        <w:ind w:firstLine="709"/>
        <w:rPr>
          <w:szCs w:val="24"/>
          <w:lang w:eastAsia="en-US"/>
        </w:rPr>
      </w:pPr>
      <w:r w:rsidRPr="001B0EA3">
        <w:rPr>
          <w:szCs w:val="24"/>
          <w:lang w:eastAsia="en-US"/>
        </w:rPr>
        <w:t xml:space="preserve">За идентифициране на рисковете се използва инструмент - Карта на риска </w:t>
      </w:r>
      <w:r w:rsidRPr="001B0EA3">
        <w:rPr>
          <w:b/>
          <w:i/>
          <w:szCs w:val="24"/>
          <w:lang w:eastAsia="en-US"/>
        </w:rPr>
        <w:t>(</w:t>
      </w:r>
      <w:hyperlink r:id="rId300" w:tooltip="Карта на рисковете" w:history="1">
        <w:r w:rsidR="00AE381A" w:rsidRPr="00251D03">
          <w:rPr>
            <w:rStyle w:val="Hyperlink"/>
            <w:i/>
            <w:szCs w:val="24"/>
            <w:lang w:eastAsia="en-US"/>
          </w:rPr>
          <w:t>Приложение № 8.01</w:t>
        </w:r>
      </w:hyperlink>
      <w:r w:rsidRPr="001B0EA3">
        <w:rPr>
          <w:b/>
          <w:i/>
          <w:szCs w:val="24"/>
          <w:lang w:eastAsia="en-US"/>
        </w:rPr>
        <w:t>)</w:t>
      </w:r>
      <w:r w:rsidRPr="001B0EA3">
        <w:rPr>
          <w:szCs w:val="24"/>
          <w:lang w:eastAsia="en-US"/>
        </w:rPr>
        <w:t xml:space="preserve"> към Глава </w:t>
      </w:r>
      <w:r w:rsidR="002D1E23" w:rsidRPr="001B0EA3">
        <w:rPr>
          <w:szCs w:val="24"/>
          <w:lang w:eastAsia="en-US"/>
        </w:rPr>
        <w:t>8</w:t>
      </w:r>
      <w:r w:rsidRPr="001B0EA3">
        <w:rPr>
          <w:szCs w:val="24"/>
          <w:lang w:eastAsia="en-US"/>
        </w:rPr>
        <w:t xml:space="preserve"> на настоящия процедурен наръчник. Рисковете се класифицират на четири нива: първо ниво е „Риск клас”, второ – „Риск категория”, трето – „Риск под-категория” и четвърто – „Риск”. Петте основни риск класа са: Управление и надзор, Стратегия и планиране, Оперативна дейност и инфраструктура, Съответствие и Докладване. Категориите, под-категориите и конкретните рискове се дефинират в съответствие с Картата на рисковете.</w:t>
      </w:r>
    </w:p>
    <w:p w14:paraId="1CC68523" w14:textId="77777777" w:rsidR="00CE27B1" w:rsidRPr="001B0EA3" w:rsidRDefault="00CE27B1" w:rsidP="00125DAC">
      <w:pPr>
        <w:spacing w:before="120"/>
        <w:ind w:firstLine="709"/>
        <w:rPr>
          <w:szCs w:val="24"/>
          <w:lang w:eastAsia="en-US"/>
        </w:rPr>
      </w:pPr>
      <w:r w:rsidRPr="00CE27B1">
        <w:rPr>
          <w:szCs w:val="24"/>
          <w:lang w:eastAsia="en-US"/>
        </w:rPr>
        <w:t>Рисковете се идентифицират във връзка с целите, дейностите и процесите за които се отнасят. За целта всеки отдел попълва т. нар. „риск вселена-матрица на целите, дейностите и процесите на УО “ (</w:t>
      </w:r>
      <w:hyperlink r:id="rId301" w:tooltip="Риск вселена" w:history="1">
        <w:r w:rsidR="000A2904" w:rsidRPr="00251D03">
          <w:rPr>
            <w:i/>
            <w:color w:val="0000FF"/>
            <w:szCs w:val="24"/>
            <w:u w:val="single"/>
            <w:lang w:eastAsia="bg-BG"/>
          </w:rPr>
          <w:t>Приложение № 8.02a</w:t>
        </w:r>
      </w:hyperlink>
      <w:r w:rsidRPr="00CE27B1">
        <w:rPr>
          <w:szCs w:val="24"/>
          <w:lang w:eastAsia="en-US"/>
        </w:rPr>
        <w:t>) към Глава 8.</w:t>
      </w:r>
    </w:p>
    <w:p w14:paraId="06EE41D8" w14:textId="77777777" w:rsidR="00E0240F" w:rsidRDefault="00E0240F" w:rsidP="00125DAC">
      <w:pPr>
        <w:spacing w:before="120"/>
        <w:ind w:firstLine="709"/>
        <w:rPr>
          <w:szCs w:val="24"/>
          <w:lang w:eastAsia="en-US"/>
        </w:rPr>
      </w:pPr>
      <w:r w:rsidRPr="001B0EA3">
        <w:rPr>
          <w:szCs w:val="24"/>
          <w:lang w:eastAsia="en-US"/>
        </w:rPr>
        <w:lastRenderedPageBreak/>
        <w:t xml:space="preserve">Идентифицираните рискове се описват в  риск-регистърът </w:t>
      </w:r>
      <w:r w:rsidRPr="001B0EA3">
        <w:rPr>
          <w:b/>
          <w:i/>
          <w:szCs w:val="24"/>
          <w:lang w:eastAsia="en-US"/>
        </w:rPr>
        <w:t>(</w:t>
      </w:r>
      <w:hyperlink r:id="rId302" w:tooltip="Риск регистър" w:history="1">
        <w:r w:rsidR="00AE381A" w:rsidRPr="00251D03">
          <w:rPr>
            <w:rStyle w:val="Hyperlink"/>
            <w:i/>
            <w:szCs w:val="24"/>
            <w:lang w:eastAsia="en-US"/>
          </w:rPr>
          <w:t>Приложение № 8.02</w:t>
        </w:r>
      </w:hyperlink>
      <w:r w:rsidRPr="001B0EA3">
        <w:rPr>
          <w:b/>
          <w:i/>
          <w:szCs w:val="24"/>
          <w:lang w:eastAsia="en-US"/>
        </w:rPr>
        <w:t xml:space="preserve">) </w:t>
      </w:r>
      <w:r w:rsidR="002D1E23" w:rsidRPr="001B0EA3">
        <w:rPr>
          <w:szCs w:val="24"/>
          <w:lang w:eastAsia="en-US"/>
        </w:rPr>
        <w:t>към Глава 8</w:t>
      </w:r>
      <w:r w:rsidRPr="001B0EA3">
        <w:rPr>
          <w:szCs w:val="24"/>
          <w:lang w:eastAsia="en-US"/>
        </w:rPr>
        <w:t>, който служи за документиране на основните етапи и дейности от процеса по управление на риска.</w:t>
      </w:r>
    </w:p>
    <w:p w14:paraId="7D60C2CC" w14:textId="77777777" w:rsidR="00CE27B1" w:rsidRPr="001B0EA3" w:rsidRDefault="00CE27B1" w:rsidP="00125DAC">
      <w:pPr>
        <w:spacing w:before="120"/>
        <w:ind w:firstLine="709"/>
        <w:rPr>
          <w:szCs w:val="24"/>
          <w:lang w:eastAsia="en-US"/>
        </w:rPr>
      </w:pPr>
    </w:p>
    <w:p w14:paraId="041E0952" w14:textId="77777777" w:rsidR="00E0240F" w:rsidRPr="001B0EA3" w:rsidRDefault="00E0240F" w:rsidP="00CE27B1">
      <w:pPr>
        <w:tabs>
          <w:tab w:val="left" w:pos="10076"/>
          <w:tab w:val="left" w:pos="10992"/>
          <w:tab w:val="left" w:pos="11908"/>
          <w:tab w:val="left" w:pos="12824"/>
          <w:tab w:val="left" w:pos="13740"/>
          <w:tab w:val="left" w:pos="14656"/>
        </w:tabs>
        <w:rPr>
          <w:color w:val="222222"/>
          <w:szCs w:val="24"/>
        </w:rPr>
      </w:pPr>
      <w:r w:rsidRPr="001B0EA3">
        <w:rPr>
          <w:color w:val="222222"/>
          <w:szCs w:val="24"/>
        </w:rPr>
        <w:t>За да се дефинира един риск е необходимо да се опишат :</w:t>
      </w:r>
    </w:p>
    <w:p w14:paraId="0F582FFC" w14:textId="77777777" w:rsidR="00E0240F" w:rsidRPr="001B0EA3" w:rsidRDefault="00E0240F" w:rsidP="00125D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szCs w:val="24"/>
        </w:rPr>
      </w:pPr>
      <w:r w:rsidRPr="001B0EA3">
        <w:rPr>
          <w:b/>
          <w:color w:val="222222"/>
          <w:szCs w:val="24"/>
        </w:rPr>
        <w:t>Причина</w:t>
      </w:r>
      <w:r w:rsidRPr="001B0EA3">
        <w:rPr>
          <w:color w:val="222222"/>
          <w:szCs w:val="24"/>
        </w:rPr>
        <w:t xml:space="preserve"> </w:t>
      </w:r>
      <w:r w:rsidRPr="001B0EA3">
        <w:rPr>
          <w:b/>
          <w:color w:val="222222"/>
          <w:szCs w:val="24"/>
        </w:rPr>
        <w:t>–</w:t>
      </w:r>
      <w:r w:rsidRPr="001B0EA3">
        <w:rPr>
          <w:color w:val="222222"/>
          <w:szCs w:val="24"/>
        </w:rPr>
        <w:t xml:space="preserve"> Това е ситуация, която поражда риска или събитие, което води до риск. Сама по себе си тя не е риск, но е потенциалният източник на такъв. Източниците на риск могат да бъдат вътрешни или външни за организацията/проекта. </w:t>
      </w:r>
    </w:p>
    <w:p w14:paraId="45359BEE" w14:textId="77777777" w:rsidR="00E0240F" w:rsidRPr="001B0EA3" w:rsidRDefault="00E0240F" w:rsidP="00125D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szCs w:val="24"/>
        </w:rPr>
      </w:pPr>
      <w:r w:rsidRPr="001B0EA3">
        <w:rPr>
          <w:b/>
          <w:color w:val="222222"/>
          <w:szCs w:val="24"/>
        </w:rPr>
        <w:t>Риск събитие</w:t>
      </w:r>
      <w:r w:rsidRPr="001B0EA3">
        <w:rPr>
          <w:color w:val="222222"/>
          <w:szCs w:val="24"/>
        </w:rPr>
        <w:t xml:space="preserve"> – тук се описва областта на несигурност, съответно като заплаха или възможност. </w:t>
      </w:r>
    </w:p>
    <w:p w14:paraId="34ABDAF2" w14:textId="77777777" w:rsidR="00E0240F" w:rsidRPr="001B0EA3" w:rsidRDefault="00E0240F" w:rsidP="00125D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szCs w:val="24"/>
        </w:rPr>
      </w:pPr>
      <w:r w:rsidRPr="001B0EA3">
        <w:rPr>
          <w:b/>
          <w:color w:val="222222"/>
          <w:szCs w:val="24"/>
        </w:rPr>
        <w:t>Ефект -</w:t>
      </w:r>
      <w:r w:rsidRPr="001B0EA3">
        <w:rPr>
          <w:color w:val="222222"/>
          <w:szCs w:val="24"/>
        </w:rPr>
        <w:t xml:space="preserve"> резултатът от възникването на рисковото събитие върху постигането на целите на програмата. </w:t>
      </w:r>
    </w:p>
    <w:p w14:paraId="3FFB3574" w14:textId="77777777" w:rsidR="000A6BA9" w:rsidRPr="001B0EA3" w:rsidRDefault="000A6BA9" w:rsidP="00125DAC">
      <w:pPr>
        <w:spacing w:before="120"/>
        <w:ind w:firstLine="709"/>
        <w:rPr>
          <w:color w:val="000000"/>
          <w:szCs w:val="24"/>
          <w:lang w:eastAsia="en-US"/>
        </w:rPr>
      </w:pPr>
      <w:r w:rsidRPr="001B0EA3">
        <w:rPr>
          <w:color w:val="000000"/>
          <w:szCs w:val="24"/>
          <w:lang w:eastAsia="en-US"/>
        </w:rPr>
        <w:t>б) Процедура по идентифициране на рисковете</w:t>
      </w:r>
    </w:p>
    <w:p w14:paraId="233E7E2E" w14:textId="77777777" w:rsidR="004D16D0" w:rsidRPr="008E1777" w:rsidRDefault="004D16D0" w:rsidP="004D16D0">
      <w:pPr>
        <w:pStyle w:val="ListParagraph"/>
        <w:numPr>
          <w:ilvl w:val="0"/>
          <w:numId w:val="435"/>
        </w:numPr>
        <w:spacing w:before="120"/>
        <w:rPr>
          <w:b/>
          <w:color w:val="000000" w:themeColor="text1"/>
          <w:szCs w:val="24"/>
          <w:lang w:eastAsia="en-US"/>
        </w:rPr>
      </w:pPr>
      <w:r>
        <w:rPr>
          <w:b/>
          <w:color w:val="000000" w:themeColor="text1"/>
          <w:szCs w:val="24"/>
          <w:lang w:eastAsia="en-US"/>
        </w:rPr>
        <w:t>Първоначална идентификация</w:t>
      </w:r>
    </w:p>
    <w:p w14:paraId="2F7B78CA" w14:textId="77777777" w:rsidR="004D16D0" w:rsidRDefault="004D16D0" w:rsidP="004D16D0">
      <w:pPr>
        <w:spacing w:before="120"/>
        <w:ind w:firstLine="709"/>
        <w:rPr>
          <w:b/>
          <w:color w:val="000000" w:themeColor="text1"/>
          <w:szCs w:val="24"/>
          <w:lang w:eastAsia="en-US"/>
        </w:rPr>
      </w:pPr>
      <w:r w:rsidRPr="004D16D0">
        <w:rPr>
          <w:b/>
          <w:color w:val="000000" w:themeColor="text1"/>
          <w:szCs w:val="24"/>
          <w:lang w:eastAsia="en-US"/>
        </w:rPr>
        <w:t xml:space="preserve">Идентифицирането на съществените рискове, застрашаващи постигането на целите на УО на ОПТТИ </w:t>
      </w:r>
      <w:r w:rsidRPr="00D82112">
        <w:rPr>
          <w:b/>
          <w:color w:val="000000" w:themeColor="text1"/>
          <w:szCs w:val="24"/>
          <w:lang w:eastAsia="en-US"/>
        </w:rPr>
        <w:t xml:space="preserve">се извършва в рамките на дейността на определената със заповед на Ръководителя на УО работна група. В групата участват директора на дирекция „Координация на програми и проекти“,  началниците на отдели и определените от тях експерти. </w:t>
      </w:r>
      <w:r w:rsidRPr="00E42C67">
        <w:rPr>
          <w:b/>
          <w:color w:val="000000" w:themeColor="text1"/>
          <w:szCs w:val="24"/>
          <w:lang w:eastAsia="en-US"/>
        </w:rPr>
        <w:t xml:space="preserve"> </w:t>
      </w:r>
    </w:p>
    <w:p w14:paraId="2ED59B33" w14:textId="77777777" w:rsidR="004D16D0" w:rsidRPr="00D82112" w:rsidRDefault="004D16D0" w:rsidP="004D16D0">
      <w:pPr>
        <w:spacing w:before="120"/>
        <w:ind w:firstLine="709"/>
        <w:rPr>
          <w:color w:val="000000" w:themeColor="text1"/>
          <w:szCs w:val="24"/>
          <w:lang w:eastAsia="en-US"/>
        </w:rPr>
      </w:pPr>
      <w:r w:rsidRPr="004D16D0">
        <w:rPr>
          <w:color w:val="000000" w:themeColor="text1"/>
          <w:szCs w:val="24"/>
          <w:lang w:eastAsia="en-US"/>
        </w:rPr>
        <w:t xml:space="preserve">Процесът започва с попълването от всеки един от отделите на УО на </w:t>
      </w:r>
      <w:hyperlink r:id="rId303" w:tooltip="Риск вселена" w:history="1">
        <w:r w:rsidR="000A2904" w:rsidRPr="00251D03">
          <w:rPr>
            <w:i/>
            <w:color w:val="0000FF"/>
            <w:szCs w:val="24"/>
            <w:u w:val="single"/>
            <w:lang w:eastAsia="bg-BG"/>
          </w:rPr>
          <w:t>Приложение № 8.02a</w:t>
        </w:r>
      </w:hyperlink>
      <w:r w:rsidRPr="004D16D0">
        <w:rPr>
          <w:b/>
          <w:bCs/>
          <w:i/>
          <w:iCs/>
          <w:color w:val="000000" w:themeColor="text1"/>
          <w:szCs w:val="24"/>
          <w:lang w:eastAsia="en-US"/>
        </w:rPr>
        <w:t xml:space="preserve"> </w:t>
      </w:r>
      <w:r w:rsidRPr="004D16D0">
        <w:rPr>
          <w:color w:val="000000" w:themeColor="text1"/>
          <w:szCs w:val="24"/>
          <w:lang w:eastAsia="en-US"/>
        </w:rPr>
        <w:t>към Глава 8, като в него се представят идентифицираните рискове за изпълнение на процесите/дейностите на УО, пряка отговорност на съответния отдел, относими към постигане на определената цел.</w:t>
      </w:r>
      <w:r w:rsidRPr="00D82112">
        <w:rPr>
          <w:color w:val="000000" w:themeColor="text1"/>
          <w:szCs w:val="24"/>
          <w:lang w:eastAsia="en-US"/>
        </w:rPr>
        <w:t xml:space="preserve"> Попълнените от отделите приложения формират </w:t>
      </w:r>
      <w:r w:rsidRPr="00D82112">
        <w:rPr>
          <w:szCs w:val="24"/>
          <w:lang w:eastAsia="en-US"/>
        </w:rPr>
        <w:t>„риск вселена-матрица на целите, дейностите и процесите на УО</w:t>
      </w:r>
      <w:r w:rsidRPr="00842ECC">
        <w:rPr>
          <w:szCs w:val="24"/>
          <w:lang w:eastAsia="en-US"/>
        </w:rPr>
        <w:t xml:space="preserve"> </w:t>
      </w:r>
      <w:r w:rsidRPr="00D82112">
        <w:rPr>
          <w:szCs w:val="24"/>
          <w:lang w:eastAsia="en-US"/>
        </w:rPr>
        <w:t xml:space="preserve">“. </w:t>
      </w:r>
    </w:p>
    <w:p w14:paraId="53AFC7BF" w14:textId="77777777" w:rsidR="004D16D0" w:rsidRDefault="004D16D0" w:rsidP="004D16D0">
      <w:pPr>
        <w:spacing w:before="120"/>
        <w:ind w:firstLine="709"/>
        <w:rPr>
          <w:color w:val="000000" w:themeColor="text1"/>
          <w:szCs w:val="24"/>
          <w:lang w:eastAsia="en-US"/>
        </w:rPr>
      </w:pPr>
      <w:r w:rsidRPr="008E1777">
        <w:rPr>
          <w:color w:val="000000" w:themeColor="text1"/>
          <w:szCs w:val="24"/>
          <w:lang w:eastAsia="en-US"/>
        </w:rPr>
        <w:t>Описаните в така попълнената риск вселена рискове се отразяват и в риск регистъра на УО.</w:t>
      </w:r>
    </w:p>
    <w:p w14:paraId="198ECA86" w14:textId="77777777" w:rsidR="00E0240F" w:rsidRPr="001B0EA3" w:rsidRDefault="00E0240F" w:rsidP="00125DAC">
      <w:pPr>
        <w:spacing w:before="120"/>
        <w:ind w:firstLine="709"/>
        <w:rPr>
          <w:b/>
          <w:color w:val="000000"/>
          <w:szCs w:val="24"/>
          <w:lang w:eastAsia="en-US"/>
        </w:rPr>
      </w:pPr>
    </w:p>
    <w:p w14:paraId="15FC2BE2" w14:textId="77777777" w:rsidR="00E0240F" w:rsidRPr="00743AD1" w:rsidRDefault="00E0240F" w:rsidP="00805ADA">
      <w:pPr>
        <w:pStyle w:val="Style4"/>
        <w:rPr>
          <w:snapToGrid w:val="0"/>
        </w:rPr>
      </w:pPr>
      <w:bookmarkStart w:id="1305" w:name="_Toc479775812"/>
      <w:r w:rsidRPr="00743AD1">
        <w:rPr>
          <w:snapToGrid w:val="0"/>
        </w:rPr>
        <w:t>Анализ на риска</w:t>
      </w:r>
      <w:bookmarkEnd w:id="1305"/>
    </w:p>
    <w:p w14:paraId="062C2F3C" w14:textId="77777777" w:rsidR="0034550B" w:rsidRPr="001B0EA3" w:rsidRDefault="0034550B" w:rsidP="00125DAC">
      <w:pPr>
        <w:spacing w:before="120"/>
        <w:ind w:firstLine="709"/>
        <w:rPr>
          <w:szCs w:val="24"/>
          <w:lang w:eastAsia="en-US"/>
        </w:rPr>
      </w:pPr>
      <w:r w:rsidRPr="001B0EA3">
        <w:rPr>
          <w:szCs w:val="24"/>
          <w:lang w:eastAsia="en-US"/>
        </w:rPr>
        <w:t>а) Общи сведения</w:t>
      </w:r>
    </w:p>
    <w:p w14:paraId="681CB1C3" w14:textId="77777777" w:rsidR="00E0240F" w:rsidRPr="001B0EA3" w:rsidRDefault="00E0240F" w:rsidP="002A3A2C">
      <w:pPr>
        <w:rPr>
          <w:lang w:eastAsia="en-US"/>
        </w:rPr>
      </w:pPr>
      <w:r w:rsidRPr="001B0EA3">
        <w:rPr>
          <w:lang w:eastAsia="en-US"/>
        </w:rPr>
        <w:t>Анализът на риска включва отчитането на причините и източниците на риск, на техните положителни и отрицателни последствия и на възможността тези последствия да настъпят. Факторите, които влияят върху последствията и тяхната възможност трябва да бъдат идентифицирани. Рискът се анализира чрез определяне на последствията и тяхната възможност, както и други характеристики на риска. Дадено събитие може да има многобройни последствия и да повлияе на няколко цели. Трябва да бъдат взети под внимание съществуващите средства за управление на риска, тяхната ефикасност и ефективност.</w:t>
      </w:r>
    </w:p>
    <w:p w14:paraId="2FDC830C" w14:textId="77777777" w:rsidR="00E0240F" w:rsidRPr="001B0EA3" w:rsidRDefault="0034550B" w:rsidP="00125DAC">
      <w:pPr>
        <w:spacing w:after="200"/>
        <w:ind w:firstLine="709"/>
        <w:rPr>
          <w:szCs w:val="24"/>
          <w:lang w:eastAsia="en-US"/>
        </w:rPr>
      </w:pPr>
      <w:r w:rsidRPr="001B0EA3">
        <w:rPr>
          <w:szCs w:val="24"/>
          <w:lang w:eastAsia="en-US"/>
        </w:rPr>
        <w:t>б) Процедура по анализ на риска</w:t>
      </w:r>
    </w:p>
    <w:p w14:paraId="399C2AD7" w14:textId="77777777" w:rsidR="00C1223A" w:rsidRPr="001B0EA3" w:rsidRDefault="00C1223A" w:rsidP="00125DAC">
      <w:pPr>
        <w:spacing w:after="200"/>
        <w:ind w:firstLine="709"/>
        <w:rPr>
          <w:b/>
          <w:szCs w:val="24"/>
          <w:lang w:eastAsia="en-US"/>
        </w:rPr>
      </w:pPr>
      <w:r w:rsidRPr="001B0EA3">
        <w:rPr>
          <w:b/>
          <w:szCs w:val="24"/>
          <w:lang w:eastAsia="en-US"/>
        </w:rPr>
        <w:t xml:space="preserve">В процеса на анализ на риска участват </w:t>
      </w:r>
      <w:r w:rsidR="003D01B5" w:rsidRPr="003D01B5">
        <w:rPr>
          <w:b/>
          <w:szCs w:val="24"/>
          <w:lang w:eastAsia="en-US"/>
        </w:rPr>
        <w:t>определените със заповед на Ръководителя на УО членове на работната група по т. 30.6.2.1, буква „б“.</w:t>
      </w:r>
    </w:p>
    <w:p w14:paraId="37245EE3" w14:textId="77777777" w:rsidR="003D01B5" w:rsidRDefault="00E0240F" w:rsidP="002A3A2C">
      <w:pPr>
        <w:rPr>
          <w:lang w:eastAsia="en-US"/>
        </w:rPr>
      </w:pPr>
      <w:r w:rsidRPr="001B0EA3">
        <w:rPr>
          <w:lang w:eastAsia="en-US"/>
        </w:rPr>
        <w:t xml:space="preserve">Всеки един от </w:t>
      </w:r>
      <w:r w:rsidR="003D01B5" w:rsidRPr="003D01B5">
        <w:rPr>
          <w:lang w:eastAsia="en-US"/>
        </w:rPr>
        <w:t>участващите</w:t>
      </w:r>
      <w:r w:rsidRPr="001B0EA3">
        <w:rPr>
          <w:lang w:eastAsia="en-US"/>
        </w:rPr>
        <w:t xml:space="preserve">в процеса </w:t>
      </w:r>
      <w:r w:rsidR="003D01B5" w:rsidRPr="003D01B5">
        <w:rPr>
          <w:lang w:eastAsia="en-US"/>
        </w:rPr>
        <w:t xml:space="preserve">отдели на УО </w:t>
      </w:r>
      <w:r w:rsidRPr="001B0EA3">
        <w:rPr>
          <w:lang w:eastAsia="en-US"/>
        </w:rPr>
        <w:t>определя самостоятелно</w:t>
      </w:r>
      <w:r w:rsidR="008C5D67" w:rsidRPr="001B0EA3">
        <w:rPr>
          <w:lang w:eastAsia="en-US"/>
        </w:rPr>
        <w:t>,</w:t>
      </w:r>
      <w:r w:rsidRPr="001B0EA3">
        <w:rPr>
          <w:lang w:eastAsia="en-US"/>
        </w:rPr>
        <w:t xml:space="preserve"> на база своята професионална преценка</w:t>
      </w:r>
      <w:r w:rsidR="003D01B5">
        <w:rPr>
          <w:lang w:eastAsia="en-US"/>
        </w:rPr>
        <w:t>:</w:t>
      </w:r>
    </w:p>
    <w:p w14:paraId="0958E9B5" w14:textId="77777777" w:rsidR="00E0240F" w:rsidRPr="001B0EA3" w:rsidRDefault="00E0240F" w:rsidP="002A3A2C">
      <w:pPr>
        <w:rPr>
          <w:i/>
          <w:lang w:eastAsia="en-US"/>
        </w:rPr>
      </w:pPr>
      <w:r w:rsidRPr="001B0EA3">
        <w:rPr>
          <w:lang w:eastAsia="en-US"/>
        </w:rPr>
        <w:t xml:space="preserve">оценка за влияние и вероятност на всеки един от идентифицираните </w:t>
      </w:r>
      <w:r w:rsidR="003D01B5" w:rsidRPr="003D01B5">
        <w:rPr>
          <w:lang w:eastAsia="en-US"/>
        </w:rPr>
        <w:t>от този отдел и отразени в риск регистъра рискове, съгласно приетите на етапа на определянето на контекста критерии.</w:t>
      </w:r>
    </w:p>
    <w:p w14:paraId="330A83EB" w14:textId="77777777" w:rsidR="00E0240F" w:rsidRPr="001B0EA3" w:rsidRDefault="00E0240F" w:rsidP="002A3A2C">
      <w:pPr>
        <w:rPr>
          <w:color w:val="000000"/>
          <w:spacing w:val="4"/>
          <w:lang w:eastAsia="en-US"/>
        </w:rPr>
      </w:pPr>
      <w:r w:rsidRPr="001B0EA3">
        <w:rPr>
          <w:color w:val="000000"/>
          <w:lang w:eastAsia="en-US"/>
        </w:rPr>
        <w:t xml:space="preserve">адекватността и ефективността на контрола. </w:t>
      </w:r>
      <w:r w:rsidRPr="001B0EA3">
        <w:rPr>
          <w:color w:val="000000"/>
          <w:spacing w:val="4"/>
          <w:lang w:eastAsia="en-US"/>
        </w:rPr>
        <w:t xml:space="preserve">Адекватните контролни дейности са създадени за минимизирането на определени рискове и са планирани и организирани по </w:t>
      </w:r>
      <w:r w:rsidRPr="001B0EA3">
        <w:rPr>
          <w:color w:val="000000"/>
          <w:spacing w:val="4"/>
          <w:lang w:eastAsia="en-US"/>
        </w:rPr>
        <w:lastRenderedPageBreak/>
        <w:t xml:space="preserve">начин, който дава разумно ниво на увереност, че целите ще бъдат постигнати ефикасното и икономично. </w:t>
      </w:r>
    </w:p>
    <w:p w14:paraId="3573ACEE" w14:textId="77777777" w:rsidR="00E0240F" w:rsidRPr="001B0EA3" w:rsidRDefault="00E0240F" w:rsidP="002A3A2C">
      <w:pPr>
        <w:rPr>
          <w:color w:val="000000"/>
          <w:spacing w:val="4"/>
          <w:lang w:eastAsia="en-US"/>
        </w:rPr>
      </w:pPr>
      <w:r w:rsidRPr="001B0EA3">
        <w:rPr>
          <w:color w:val="000000"/>
          <w:spacing w:val="4"/>
          <w:lang w:eastAsia="en-US"/>
        </w:rPr>
        <w:t xml:space="preserve">Оценката за ефективност представлява отговор на въпроса функционира ли и в каква степен така създадената система за вътрешен контрол. </w:t>
      </w:r>
    </w:p>
    <w:p w14:paraId="31BE0925" w14:textId="77777777" w:rsidR="00E0240F" w:rsidRPr="001B0EA3" w:rsidRDefault="00E0240F" w:rsidP="002A3A2C">
      <w:pPr>
        <w:rPr>
          <w:bCs/>
          <w:i/>
          <w:lang w:eastAsia="bg-BG"/>
        </w:rPr>
      </w:pPr>
    </w:p>
    <w:p w14:paraId="62718C62" w14:textId="77777777" w:rsidR="00E0240F" w:rsidRPr="001B0EA3" w:rsidRDefault="00E0240F" w:rsidP="002A3A2C">
      <w:pPr>
        <w:rPr>
          <w:bCs/>
          <w:lang w:eastAsia="bg-BG"/>
        </w:rPr>
      </w:pPr>
      <w:r w:rsidRPr="001B0EA3">
        <w:rPr>
          <w:bCs/>
          <w:lang w:eastAsia="bg-BG"/>
        </w:rPr>
        <w:t>Всеки един от участници</w:t>
      </w:r>
      <w:r w:rsidR="008C5D67" w:rsidRPr="001B0EA3">
        <w:rPr>
          <w:bCs/>
          <w:lang w:eastAsia="bg-BG"/>
        </w:rPr>
        <w:t>те</w:t>
      </w:r>
      <w:r w:rsidRPr="001B0EA3">
        <w:rPr>
          <w:bCs/>
          <w:lang w:eastAsia="bg-BG"/>
        </w:rPr>
        <w:t xml:space="preserve"> в процеса по анализ на риска определя самостоятелно на база своята професионална преценка оценка за :</w:t>
      </w:r>
    </w:p>
    <w:p w14:paraId="3923716E" w14:textId="77777777" w:rsidR="00E0240F" w:rsidRPr="001B0EA3" w:rsidRDefault="00E0240F" w:rsidP="0054623A">
      <w:pPr>
        <w:pStyle w:val="ListParagraph"/>
        <w:numPr>
          <w:ilvl w:val="0"/>
          <w:numId w:val="232"/>
        </w:numPr>
        <w:tabs>
          <w:tab w:val="left" w:pos="284"/>
        </w:tabs>
        <w:autoSpaceDE w:val="0"/>
        <w:autoSpaceDN w:val="0"/>
        <w:adjustRightInd w:val="0"/>
        <w:spacing w:before="120"/>
        <w:rPr>
          <w:bCs/>
          <w:szCs w:val="24"/>
          <w:lang w:eastAsia="bg-BG"/>
        </w:rPr>
      </w:pPr>
      <w:r w:rsidRPr="001B0EA3">
        <w:rPr>
          <w:bCs/>
          <w:color w:val="000000"/>
          <w:szCs w:val="24"/>
          <w:lang w:eastAsia="bg-BG"/>
        </w:rPr>
        <w:t xml:space="preserve">Комбинираният ефект от приложените контроли върху ВЛИЯНИЕТО на риска, като се отчита нивото на увереност </w:t>
      </w:r>
    </w:p>
    <w:p w14:paraId="1FC35D08" w14:textId="77777777" w:rsidR="00E0240F" w:rsidRPr="001B0EA3" w:rsidRDefault="00E0240F" w:rsidP="0054623A">
      <w:pPr>
        <w:pStyle w:val="ListParagraph"/>
        <w:numPr>
          <w:ilvl w:val="0"/>
          <w:numId w:val="232"/>
        </w:numPr>
        <w:tabs>
          <w:tab w:val="left" w:pos="284"/>
        </w:tabs>
        <w:autoSpaceDE w:val="0"/>
        <w:autoSpaceDN w:val="0"/>
        <w:adjustRightInd w:val="0"/>
        <w:spacing w:before="120"/>
        <w:rPr>
          <w:bCs/>
          <w:szCs w:val="24"/>
          <w:lang w:eastAsia="bg-BG"/>
        </w:rPr>
      </w:pPr>
      <w:r w:rsidRPr="001B0EA3">
        <w:rPr>
          <w:bCs/>
          <w:color w:val="000000"/>
          <w:szCs w:val="24"/>
          <w:lang w:eastAsia="bg-BG"/>
        </w:rPr>
        <w:t xml:space="preserve">Комбинираният ефект от приложените контроли върху ВЕРОЯТНОСТТА на риска, като се отчита нивото на увереност </w:t>
      </w:r>
    </w:p>
    <w:p w14:paraId="24D4CE1B" w14:textId="3B5A2C72" w:rsidR="00E0240F" w:rsidRDefault="008C5D67" w:rsidP="00125DAC">
      <w:pPr>
        <w:tabs>
          <w:tab w:val="left" w:pos="284"/>
        </w:tabs>
        <w:autoSpaceDE w:val="0"/>
        <w:autoSpaceDN w:val="0"/>
        <w:adjustRightInd w:val="0"/>
        <w:spacing w:before="120"/>
        <w:rPr>
          <w:bCs/>
          <w:szCs w:val="24"/>
          <w:lang w:eastAsia="bg-BG"/>
        </w:rPr>
      </w:pPr>
      <w:r w:rsidRPr="001B0EA3">
        <w:rPr>
          <w:bCs/>
          <w:szCs w:val="24"/>
          <w:lang w:eastAsia="bg-BG"/>
        </w:rPr>
        <w:t>като ги</w:t>
      </w:r>
      <w:r w:rsidR="00E0240F" w:rsidRPr="001B0EA3">
        <w:rPr>
          <w:bCs/>
          <w:szCs w:val="24"/>
          <w:lang w:eastAsia="bg-BG"/>
        </w:rPr>
        <w:t xml:space="preserve"> нанася на съответното място в съответната колона на риск регистъра</w:t>
      </w:r>
      <w:r w:rsidRPr="001B0EA3">
        <w:rPr>
          <w:bCs/>
          <w:szCs w:val="24"/>
          <w:lang w:eastAsia="bg-BG"/>
        </w:rPr>
        <w:t xml:space="preserve">, след което го изпраща на </w:t>
      </w:r>
      <w:r w:rsidR="003D01B5" w:rsidRPr="003D01B5">
        <w:rPr>
          <w:bCs/>
          <w:szCs w:val="24"/>
          <w:lang w:eastAsia="bg-BG"/>
        </w:rPr>
        <w:t xml:space="preserve">определения експерт и на </w:t>
      </w:r>
      <w:r w:rsidRPr="001B0EA3">
        <w:rPr>
          <w:bCs/>
          <w:szCs w:val="24"/>
          <w:lang w:eastAsia="bg-BG"/>
        </w:rPr>
        <w:t>началника на отдел „Управление на риска“</w:t>
      </w:r>
      <w:r w:rsidR="00E0240F" w:rsidRPr="001B0EA3">
        <w:rPr>
          <w:bCs/>
          <w:szCs w:val="24"/>
          <w:lang w:eastAsia="bg-BG"/>
        </w:rPr>
        <w:t xml:space="preserve">. </w:t>
      </w:r>
    </w:p>
    <w:p w14:paraId="12F39F41" w14:textId="77777777" w:rsidR="002A3A2C" w:rsidRPr="001B0EA3" w:rsidRDefault="002A3A2C" w:rsidP="00125DAC">
      <w:pPr>
        <w:tabs>
          <w:tab w:val="left" w:pos="284"/>
        </w:tabs>
        <w:autoSpaceDE w:val="0"/>
        <w:autoSpaceDN w:val="0"/>
        <w:adjustRightInd w:val="0"/>
        <w:spacing w:before="120"/>
        <w:rPr>
          <w:bCs/>
          <w:szCs w:val="24"/>
          <w:lang w:eastAsia="bg-BG"/>
        </w:rPr>
      </w:pPr>
    </w:p>
    <w:p w14:paraId="273131FE" w14:textId="77777777" w:rsidR="00E0240F" w:rsidRPr="002A3A2C" w:rsidRDefault="00E0240F" w:rsidP="002A3A2C">
      <w:pPr>
        <w:rPr>
          <w:b/>
          <w:lang w:eastAsia="bg-BG"/>
        </w:rPr>
      </w:pPr>
      <w:r w:rsidRPr="002A3A2C">
        <w:rPr>
          <w:b/>
          <w:lang w:eastAsia="bg-BG"/>
        </w:rPr>
        <w:t xml:space="preserve">Комбинираният ефект на всеки един от двата вида контроли се изразява с число от 1 до 5. </w:t>
      </w:r>
    </w:p>
    <w:p w14:paraId="2557ABA6" w14:textId="77777777" w:rsidR="00E0240F" w:rsidRPr="001B0EA3" w:rsidRDefault="00E0240F" w:rsidP="002A3A2C">
      <w:pPr>
        <w:rPr>
          <w:lang w:eastAsia="bg-BG"/>
        </w:rPr>
      </w:pPr>
    </w:p>
    <w:p w14:paraId="2F60D8FF" w14:textId="77777777" w:rsidR="00E0240F" w:rsidRPr="001B0EA3" w:rsidRDefault="00E0240F" w:rsidP="00125DAC">
      <w:pPr>
        <w:tabs>
          <w:tab w:val="left" w:pos="284"/>
        </w:tabs>
        <w:autoSpaceDE w:val="0"/>
        <w:autoSpaceDN w:val="0"/>
        <w:adjustRightInd w:val="0"/>
        <w:spacing w:before="120"/>
        <w:rPr>
          <w:bCs/>
          <w:szCs w:val="24"/>
          <w:lang w:eastAsia="bg-BG"/>
        </w:rPr>
      </w:pPr>
      <w:r w:rsidRPr="001B0EA3">
        <w:rPr>
          <w:bCs/>
          <w:szCs w:val="24"/>
          <w:lang w:eastAsia="bg-BG"/>
        </w:rPr>
        <w:tab/>
      </w:r>
      <w:r w:rsidRPr="001B0EA3">
        <w:rPr>
          <w:bCs/>
          <w:szCs w:val="24"/>
          <w:lang w:eastAsia="bg-BG"/>
        </w:rPr>
        <w:tab/>
        <w:t>След това се изчисляват :</w:t>
      </w:r>
    </w:p>
    <w:p w14:paraId="31717260" w14:textId="77777777" w:rsidR="0085464F" w:rsidRPr="001B0EA3" w:rsidRDefault="00E0240F" w:rsidP="00125DAC">
      <w:pPr>
        <w:tabs>
          <w:tab w:val="left" w:pos="284"/>
        </w:tabs>
        <w:autoSpaceDE w:val="0"/>
        <w:autoSpaceDN w:val="0"/>
        <w:adjustRightInd w:val="0"/>
        <w:spacing w:before="120"/>
        <w:rPr>
          <w:bCs/>
          <w:szCs w:val="24"/>
          <w:lang w:eastAsia="bg-BG"/>
        </w:rPr>
      </w:pPr>
      <w:r w:rsidRPr="001B0EA3">
        <w:rPr>
          <w:bCs/>
          <w:szCs w:val="24"/>
          <w:lang w:eastAsia="bg-BG"/>
        </w:rPr>
        <w:t>ВЛИЯНИЕ на риска след прилагане на контролите</w:t>
      </w:r>
      <w:r w:rsidR="0034550B" w:rsidRPr="001B0EA3">
        <w:rPr>
          <w:bCs/>
          <w:szCs w:val="24"/>
          <w:lang w:eastAsia="bg-BG"/>
        </w:rPr>
        <w:t xml:space="preserve">, </w:t>
      </w:r>
    </w:p>
    <w:p w14:paraId="683D8824" w14:textId="77777777" w:rsidR="00E0240F" w:rsidRPr="001B0EA3" w:rsidRDefault="0034550B" w:rsidP="00125DAC">
      <w:pPr>
        <w:tabs>
          <w:tab w:val="left" w:pos="284"/>
        </w:tabs>
        <w:autoSpaceDE w:val="0"/>
        <w:autoSpaceDN w:val="0"/>
        <w:adjustRightInd w:val="0"/>
        <w:spacing w:before="120"/>
        <w:rPr>
          <w:bCs/>
          <w:szCs w:val="24"/>
          <w:lang w:eastAsia="bg-BG"/>
        </w:rPr>
      </w:pPr>
      <w:r w:rsidRPr="001B0EA3">
        <w:rPr>
          <w:bCs/>
          <w:szCs w:val="24"/>
          <w:lang w:eastAsia="bg-BG"/>
        </w:rPr>
        <w:t xml:space="preserve">или  </w:t>
      </w:r>
      <w:r w:rsidR="00E0240F" w:rsidRPr="001B0EA3">
        <w:rPr>
          <w:bCs/>
          <w:szCs w:val="24"/>
          <w:lang w:eastAsia="bg-BG"/>
        </w:rPr>
        <w:t>НЕТО ВЛИЯНИЕ</w:t>
      </w:r>
      <w:r w:rsidRPr="001B0EA3">
        <w:rPr>
          <w:bCs/>
          <w:szCs w:val="24"/>
          <w:lang w:eastAsia="bg-BG"/>
        </w:rPr>
        <w:t xml:space="preserve"> /NI/</w:t>
      </w:r>
    </w:p>
    <w:p w14:paraId="1B9CC0EB" w14:textId="77777777" w:rsidR="00E0240F" w:rsidRPr="001B0EA3" w:rsidRDefault="00E0240F" w:rsidP="00125DAC">
      <w:pPr>
        <w:tabs>
          <w:tab w:val="left" w:pos="284"/>
        </w:tabs>
        <w:autoSpaceDE w:val="0"/>
        <w:autoSpaceDN w:val="0"/>
        <w:adjustRightInd w:val="0"/>
        <w:spacing w:before="120"/>
        <w:rPr>
          <w:bCs/>
          <w:szCs w:val="24"/>
          <w:lang w:eastAsia="bg-BG"/>
        </w:rPr>
      </w:pPr>
      <w:r w:rsidRPr="001B0EA3">
        <w:rPr>
          <w:bCs/>
          <w:szCs w:val="24"/>
          <w:lang w:eastAsia="bg-BG"/>
        </w:rPr>
        <w:t>по формулата : NI=</w:t>
      </w:r>
      <w:r w:rsidR="00844179" w:rsidRPr="00844179">
        <w:t xml:space="preserve"> </w:t>
      </w:r>
      <w:r w:rsidR="00844179" w:rsidRPr="00844179">
        <w:rPr>
          <w:bCs/>
          <w:szCs w:val="24"/>
          <w:lang w:eastAsia="bg-BG"/>
        </w:rPr>
        <w:t>Влияние бруто риск – влияние на контролите върху влиянието на  бруто риска</w:t>
      </w:r>
    </w:p>
    <w:p w14:paraId="67A1CA2A" w14:textId="77777777" w:rsidR="0085464F" w:rsidRPr="001B0EA3" w:rsidRDefault="00E0240F" w:rsidP="00125DAC">
      <w:pPr>
        <w:tabs>
          <w:tab w:val="left" w:pos="284"/>
        </w:tabs>
        <w:autoSpaceDE w:val="0"/>
        <w:autoSpaceDN w:val="0"/>
        <w:adjustRightInd w:val="0"/>
        <w:spacing w:before="120"/>
        <w:rPr>
          <w:bCs/>
          <w:szCs w:val="24"/>
          <w:lang w:eastAsia="bg-BG"/>
        </w:rPr>
      </w:pPr>
      <w:r w:rsidRPr="001B0EA3">
        <w:rPr>
          <w:bCs/>
          <w:szCs w:val="24"/>
          <w:lang w:eastAsia="bg-BG"/>
        </w:rPr>
        <w:t>ВЕРОЯТНОСТ на риска след прилагане на контролите</w:t>
      </w:r>
      <w:r w:rsidR="0085464F" w:rsidRPr="001B0EA3">
        <w:rPr>
          <w:bCs/>
          <w:szCs w:val="24"/>
          <w:lang w:eastAsia="bg-BG"/>
        </w:rPr>
        <w:t xml:space="preserve">, </w:t>
      </w:r>
    </w:p>
    <w:p w14:paraId="44D5A272" w14:textId="77777777" w:rsidR="00E0240F" w:rsidRPr="001B0EA3" w:rsidRDefault="0085464F" w:rsidP="00125DAC">
      <w:pPr>
        <w:tabs>
          <w:tab w:val="left" w:pos="284"/>
        </w:tabs>
        <w:autoSpaceDE w:val="0"/>
        <w:autoSpaceDN w:val="0"/>
        <w:adjustRightInd w:val="0"/>
        <w:spacing w:before="120"/>
        <w:rPr>
          <w:bCs/>
          <w:szCs w:val="24"/>
          <w:lang w:eastAsia="bg-BG"/>
        </w:rPr>
      </w:pPr>
      <w:r w:rsidRPr="001B0EA3">
        <w:rPr>
          <w:bCs/>
          <w:szCs w:val="24"/>
          <w:lang w:eastAsia="bg-BG"/>
        </w:rPr>
        <w:t xml:space="preserve">или </w:t>
      </w:r>
      <w:r w:rsidR="00E0240F" w:rsidRPr="001B0EA3">
        <w:rPr>
          <w:bCs/>
          <w:szCs w:val="24"/>
          <w:lang w:eastAsia="bg-BG"/>
        </w:rPr>
        <w:t>НЕТО ВЕРОЯТНОСТ</w:t>
      </w:r>
      <w:r w:rsidRPr="001B0EA3">
        <w:rPr>
          <w:bCs/>
          <w:szCs w:val="24"/>
          <w:lang w:eastAsia="bg-BG"/>
        </w:rPr>
        <w:t xml:space="preserve"> /NP/</w:t>
      </w:r>
      <w:r w:rsidR="00E0240F" w:rsidRPr="001B0EA3">
        <w:rPr>
          <w:bCs/>
          <w:szCs w:val="24"/>
          <w:lang w:eastAsia="bg-BG"/>
        </w:rPr>
        <w:t xml:space="preserve"> </w:t>
      </w:r>
    </w:p>
    <w:p w14:paraId="52C5CC8D" w14:textId="77777777" w:rsidR="00E0240F" w:rsidRDefault="00E0240F" w:rsidP="00125DAC">
      <w:pPr>
        <w:tabs>
          <w:tab w:val="left" w:pos="284"/>
        </w:tabs>
        <w:autoSpaceDE w:val="0"/>
        <w:autoSpaceDN w:val="0"/>
        <w:adjustRightInd w:val="0"/>
        <w:spacing w:before="120"/>
        <w:rPr>
          <w:bCs/>
          <w:szCs w:val="24"/>
          <w:lang w:eastAsia="bg-BG"/>
        </w:rPr>
      </w:pPr>
      <w:r w:rsidRPr="001B0EA3">
        <w:rPr>
          <w:bCs/>
          <w:szCs w:val="24"/>
          <w:lang w:eastAsia="bg-BG"/>
        </w:rPr>
        <w:t>по формулата : NP=</w:t>
      </w:r>
      <w:r w:rsidR="00844179" w:rsidRPr="00844179">
        <w:t xml:space="preserve"> </w:t>
      </w:r>
      <w:r w:rsidR="00844179" w:rsidRPr="00844179">
        <w:rPr>
          <w:bCs/>
          <w:szCs w:val="24"/>
          <w:lang w:eastAsia="bg-BG"/>
        </w:rPr>
        <w:t>Вероятност бруто риск – влияние на контролите върху вероятността на  бруто риска</w:t>
      </w:r>
    </w:p>
    <w:p w14:paraId="09450E99" w14:textId="77777777" w:rsidR="002A3A2C" w:rsidRPr="001B0EA3" w:rsidRDefault="002A3A2C" w:rsidP="002A3A2C">
      <w:pPr>
        <w:rPr>
          <w:lang w:eastAsia="bg-BG"/>
        </w:rPr>
      </w:pPr>
    </w:p>
    <w:p w14:paraId="394DC119" w14:textId="77777777" w:rsidR="00E0240F" w:rsidRPr="001B0EA3" w:rsidRDefault="00E0240F" w:rsidP="002A3A2C">
      <w:pPr>
        <w:rPr>
          <w:lang w:eastAsia="bg-BG"/>
        </w:rPr>
      </w:pPr>
      <w:r w:rsidRPr="001B0EA3">
        <w:rPr>
          <w:lang w:eastAsia="bg-BG"/>
        </w:rPr>
        <w:t xml:space="preserve">Крайният резултат е получаването на НЕТО /остатъчен/ риск (NR) за всеки един от първоначално идентифицираните </w:t>
      </w:r>
      <w:r w:rsidR="00FF4881" w:rsidRPr="001B0EA3">
        <w:rPr>
          <w:lang w:eastAsia="bg-BG"/>
        </w:rPr>
        <w:t>рискове</w:t>
      </w:r>
      <w:r w:rsidRPr="001B0EA3">
        <w:rPr>
          <w:lang w:eastAsia="bg-BG"/>
        </w:rPr>
        <w:t xml:space="preserve"> в последната колона на риск-регистъра в резултат на следната операция : NR=NI*NP</w:t>
      </w:r>
    </w:p>
    <w:p w14:paraId="76F5BACA" w14:textId="601FE3BB" w:rsidR="00E0240F" w:rsidRPr="00D82112" w:rsidRDefault="00844179" w:rsidP="00125DAC">
      <w:pPr>
        <w:ind w:firstLine="709"/>
        <w:rPr>
          <w:rFonts w:eastAsia="EUAlbertina-Regu-Identity-H"/>
          <w:bCs/>
          <w:color w:val="000000"/>
          <w:w w:val="103"/>
          <w:szCs w:val="24"/>
        </w:rPr>
      </w:pPr>
      <w:r w:rsidRPr="00D82112">
        <w:rPr>
          <w:rFonts w:eastAsia="EUAlbertina-Regu-Identity-H"/>
          <w:bCs/>
          <w:color w:val="000000"/>
          <w:w w:val="103"/>
          <w:szCs w:val="24"/>
        </w:rPr>
        <w:t>След като всеки един от отделите на УО попълни по описания по-горе начин риск регистъра, приложение към процедурния наръчник, го изпраща по електронен път на определения експерт и на началника на отдел „Управление на риска“. Определеният експерт от отдел</w:t>
      </w:r>
      <w:r w:rsidR="00EB35AB">
        <w:rPr>
          <w:rFonts w:eastAsia="EUAlbertina-Regu-Identity-H"/>
          <w:bCs/>
          <w:color w:val="000000"/>
          <w:w w:val="103"/>
          <w:szCs w:val="24"/>
        </w:rPr>
        <w:t xml:space="preserve">а </w:t>
      </w:r>
      <w:r w:rsidRPr="00D82112">
        <w:rPr>
          <w:rFonts w:eastAsia="EUAlbertina-Regu-Identity-H"/>
          <w:bCs/>
          <w:color w:val="000000"/>
          <w:w w:val="103"/>
          <w:szCs w:val="24"/>
        </w:rPr>
        <w:t>нанася резултатите  в общ файл, представляващ риск регистъра на УО. Така съставеният риск регистър на УО се изпраща по електронен път на членовете на работната група, идентифицирали и оценили рискове за дейността на УО. При необходимост, описанията и оценките на рисковете се коригириат в зависимост от становището на участниците в работната група.</w:t>
      </w:r>
    </w:p>
    <w:p w14:paraId="4C0BC800" w14:textId="77777777" w:rsidR="00844179" w:rsidRPr="001B0EA3" w:rsidRDefault="00844179" w:rsidP="00125DAC">
      <w:pPr>
        <w:ind w:firstLine="709"/>
        <w:rPr>
          <w:rFonts w:eastAsia="EUAlbertina-Regu-Identity-H"/>
          <w:b/>
          <w:bCs/>
          <w:color w:val="000000"/>
          <w:w w:val="103"/>
          <w:szCs w:val="24"/>
        </w:rPr>
      </w:pPr>
    </w:p>
    <w:p w14:paraId="7B048223" w14:textId="77777777" w:rsidR="00E0240F" w:rsidRPr="00743AD1" w:rsidRDefault="00E0240F" w:rsidP="00805ADA">
      <w:pPr>
        <w:pStyle w:val="Style4"/>
        <w:rPr>
          <w:snapToGrid w:val="0"/>
        </w:rPr>
      </w:pPr>
      <w:bookmarkStart w:id="1306" w:name="_Toc479775813"/>
      <w:r w:rsidRPr="00743AD1">
        <w:rPr>
          <w:snapToGrid w:val="0"/>
        </w:rPr>
        <w:t>Преценяване на риска/риск рейтинг</w:t>
      </w:r>
      <w:bookmarkEnd w:id="1306"/>
    </w:p>
    <w:p w14:paraId="77016642" w14:textId="77777777" w:rsidR="0085464F" w:rsidRPr="001B0EA3" w:rsidRDefault="0085464F" w:rsidP="00125DAC">
      <w:pPr>
        <w:ind w:firstLine="709"/>
        <w:rPr>
          <w:rFonts w:eastAsia="EUAlbertina-Regu-Identity-H"/>
          <w:bCs/>
          <w:color w:val="000000"/>
          <w:w w:val="103"/>
          <w:szCs w:val="24"/>
        </w:rPr>
      </w:pPr>
      <w:r w:rsidRPr="001B0EA3">
        <w:rPr>
          <w:rFonts w:eastAsia="EUAlbertina-Regu-Identity-H"/>
          <w:bCs/>
          <w:color w:val="000000"/>
          <w:w w:val="103"/>
          <w:szCs w:val="24"/>
        </w:rPr>
        <w:t>а) Общи сведения</w:t>
      </w:r>
    </w:p>
    <w:p w14:paraId="0BBCE166" w14:textId="77777777" w:rsidR="00E0240F" w:rsidRPr="001B0EA3" w:rsidRDefault="00E0240F" w:rsidP="002A3A2C">
      <w:pPr>
        <w:rPr>
          <w:rFonts w:eastAsia="EUAlbertina-Regu-Identity-H"/>
          <w:w w:val="103"/>
        </w:rPr>
      </w:pPr>
      <w:r w:rsidRPr="001B0EA3">
        <w:rPr>
          <w:rFonts w:eastAsia="EUAlbertina-Regu-Identity-H"/>
          <w:w w:val="103"/>
        </w:rPr>
        <w:t xml:space="preserve">На базата на резултатите от анализа на риска целта на преценяването на риска е да се подпомогнат тези, които вземат решения при определянето на необходимостта от въздействие </w:t>
      </w:r>
      <w:r w:rsidR="002D1E23" w:rsidRPr="001B0EA3">
        <w:rPr>
          <w:rFonts w:eastAsia="EUAlbertina-Regu-Identity-H"/>
          <w:w w:val="103"/>
        </w:rPr>
        <w:t>върху</w:t>
      </w:r>
      <w:r w:rsidRPr="001B0EA3">
        <w:rPr>
          <w:rFonts w:eastAsia="EUAlbertina-Regu-Identity-H"/>
          <w:w w:val="103"/>
        </w:rPr>
        <w:t xml:space="preserve"> риска и приоритета при внедряването на въздействието. </w:t>
      </w:r>
    </w:p>
    <w:p w14:paraId="681FBD6D" w14:textId="77777777" w:rsidR="00E0240F" w:rsidRPr="001B0EA3" w:rsidRDefault="00E0240F" w:rsidP="002A3A2C">
      <w:pPr>
        <w:rPr>
          <w:rFonts w:eastAsia="EUAlbertina-Regu-Identity-H"/>
          <w:w w:val="103"/>
        </w:rPr>
      </w:pPr>
      <w:r w:rsidRPr="001B0EA3">
        <w:rPr>
          <w:rFonts w:eastAsia="EUAlbertina-Regu-Identity-H"/>
          <w:w w:val="103"/>
        </w:rPr>
        <w:lastRenderedPageBreak/>
        <w:t>Преценяването на риска включва сравняване на нивото на риска, определено по време на процеса на анализ на риска с критериите за риска, определени по време на установяване на обстоятелствата, т.е. с риск апетита на УО.</w:t>
      </w:r>
    </w:p>
    <w:p w14:paraId="24B2E15B" w14:textId="77777777" w:rsidR="00E0240F" w:rsidRPr="001B0EA3" w:rsidRDefault="00E0240F" w:rsidP="002A3A2C">
      <w:pPr>
        <w:rPr>
          <w:lang w:eastAsia="en-US"/>
        </w:rPr>
      </w:pPr>
      <w:r w:rsidRPr="001B0EA3">
        <w:rPr>
          <w:rFonts w:eastAsia="EUAlbertina-Regu-Identity-H"/>
          <w:w w:val="103"/>
        </w:rPr>
        <w:t xml:space="preserve">На база на това сравняване е възможно да се проучи необходимостта от въздействие върху риска. </w:t>
      </w:r>
      <w:r w:rsidRPr="001B0EA3">
        <w:rPr>
          <w:lang w:eastAsia="en-US"/>
        </w:rPr>
        <w:t xml:space="preserve">При тази преценка се взема предвид остатъчния риск /т.е. нето риска след прилагането на съответните контроли/, като се има предвид следното:  </w:t>
      </w:r>
    </w:p>
    <w:p w14:paraId="7D7C22F7" w14:textId="77777777" w:rsidR="00E0240F" w:rsidRPr="001B0EA3" w:rsidRDefault="00E0240F" w:rsidP="00005E4B">
      <w:pPr>
        <w:numPr>
          <w:ilvl w:val="0"/>
          <w:numId w:val="217"/>
        </w:numPr>
        <w:tabs>
          <w:tab w:val="left" w:pos="1134"/>
        </w:tabs>
        <w:spacing w:before="120" w:after="200" w:line="276" w:lineRule="auto"/>
        <w:ind w:left="0" w:firstLine="851"/>
        <w:contextualSpacing/>
        <w:rPr>
          <w:bCs/>
          <w:szCs w:val="24"/>
          <w:lang w:eastAsia="bg-BG"/>
        </w:rPr>
      </w:pPr>
      <w:r w:rsidRPr="001B0EA3">
        <w:rPr>
          <w:bCs/>
          <w:szCs w:val="24"/>
          <w:lang w:eastAsia="bg-BG"/>
        </w:rPr>
        <w:t xml:space="preserve">Висок риск е този, който се оценява с висока стойност и към който не е приложен адекватен и ефективен контрол. </w:t>
      </w:r>
    </w:p>
    <w:p w14:paraId="1E5665CD" w14:textId="77777777" w:rsidR="00E0240F" w:rsidRPr="001B0EA3" w:rsidRDefault="00E0240F" w:rsidP="00005E4B">
      <w:pPr>
        <w:numPr>
          <w:ilvl w:val="0"/>
          <w:numId w:val="217"/>
        </w:numPr>
        <w:tabs>
          <w:tab w:val="left" w:pos="1134"/>
        </w:tabs>
        <w:spacing w:before="120" w:after="200" w:line="276" w:lineRule="auto"/>
        <w:ind w:left="0" w:firstLine="851"/>
        <w:contextualSpacing/>
        <w:rPr>
          <w:bCs/>
          <w:szCs w:val="24"/>
          <w:lang w:eastAsia="bg-BG"/>
        </w:rPr>
      </w:pPr>
      <w:r w:rsidRPr="001B0EA3">
        <w:rPr>
          <w:bCs/>
          <w:szCs w:val="24"/>
          <w:lang w:eastAsia="bg-BG"/>
        </w:rPr>
        <w:t>Среден риск е този, който 1) е с висока стойност, но са предприети необходимите мерки за ограничаването му чрез въвеждане на адекватни и ефективни контроли. или 2) е с ниска стойност, но организацията е изложена на този риск поради липса на ефективни контролни механизми за ограничаването му, като в този случай следва да се анализира общото въздействие на всички такива рискове, за да се провери дали те не надвишават риск апетита.</w:t>
      </w:r>
    </w:p>
    <w:p w14:paraId="738C3DEA" w14:textId="77777777" w:rsidR="00E0240F" w:rsidRPr="001B0EA3" w:rsidRDefault="00E0240F" w:rsidP="00005E4B">
      <w:pPr>
        <w:numPr>
          <w:ilvl w:val="0"/>
          <w:numId w:val="217"/>
        </w:numPr>
        <w:tabs>
          <w:tab w:val="left" w:pos="1134"/>
        </w:tabs>
        <w:spacing w:before="120" w:after="200" w:line="276" w:lineRule="auto"/>
        <w:ind w:left="0" w:firstLine="851"/>
        <w:contextualSpacing/>
        <w:rPr>
          <w:bCs/>
          <w:szCs w:val="24"/>
          <w:lang w:eastAsia="bg-BG"/>
        </w:rPr>
      </w:pPr>
      <w:r w:rsidRPr="001B0EA3">
        <w:rPr>
          <w:bCs/>
          <w:szCs w:val="24"/>
          <w:lang w:eastAsia="bg-BG"/>
        </w:rPr>
        <w:t>Нисък риск е този, който има ниска стойност и същевременно са предприети необходимите мерки за ограничаването му чрез въвеждане на ефективни контролни дейности. Следва да се прецени дали да запази съществуващото ниво на контролни дейности или да преразпредели ресурсите, тъй като поради ниската си стойност този риск би могъл до голяма степен да се приеме.</w:t>
      </w:r>
    </w:p>
    <w:p w14:paraId="66302F0B" w14:textId="77777777" w:rsidR="0085464F" w:rsidRPr="001B0EA3" w:rsidRDefault="0085464F" w:rsidP="00125DAC">
      <w:pPr>
        <w:spacing w:before="120" w:after="200" w:line="276" w:lineRule="auto"/>
        <w:contextualSpacing/>
        <w:rPr>
          <w:bCs/>
          <w:szCs w:val="24"/>
          <w:lang w:eastAsia="bg-BG"/>
        </w:rPr>
      </w:pPr>
    </w:p>
    <w:p w14:paraId="6189AEB5" w14:textId="77777777" w:rsidR="00E0240F" w:rsidRPr="00844A00" w:rsidRDefault="00E0240F" w:rsidP="00805ADA">
      <w:pPr>
        <w:pStyle w:val="Style3"/>
        <w:rPr>
          <w:snapToGrid w:val="0"/>
        </w:rPr>
      </w:pPr>
      <w:bookmarkStart w:id="1307" w:name="_Toc479775814"/>
      <w:bookmarkStart w:id="1308" w:name="_Toc247280279"/>
      <w:bookmarkStart w:id="1309" w:name="_Toc249326110"/>
      <w:r w:rsidRPr="00844A00">
        <w:rPr>
          <w:snapToGrid w:val="0"/>
        </w:rPr>
        <w:t>Въздействие върху риска</w:t>
      </w:r>
      <w:bookmarkEnd w:id="1307"/>
      <w:r w:rsidRPr="00844A00">
        <w:rPr>
          <w:snapToGrid w:val="0"/>
        </w:rPr>
        <w:t xml:space="preserve"> </w:t>
      </w:r>
    </w:p>
    <w:p w14:paraId="7A003D4D" w14:textId="77777777" w:rsidR="00E0240F" w:rsidRPr="00743AD1" w:rsidRDefault="00E0240F" w:rsidP="00805ADA">
      <w:pPr>
        <w:pStyle w:val="Style4"/>
        <w:rPr>
          <w:snapToGrid w:val="0"/>
        </w:rPr>
      </w:pPr>
      <w:bookmarkStart w:id="1310" w:name="_Toc479775815"/>
      <w:bookmarkEnd w:id="1308"/>
      <w:bookmarkEnd w:id="1309"/>
      <w:r w:rsidRPr="00743AD1">
        <w:rPr>
          <w:snapToGrid w:val="0"/>
        </w:rPr>
        <w:t>Избор на реакция (отговор на риска)</w:t>
      </w:r>
      <w:bookmarkEnd w:id="1310"/>
    </w:p>
    <w:p w14:paraId="763CB439" w14:textId="77777777" w:rsidR="0085464F" w:rsidRPr="001B0EA3" w:rsidRDefault="0085464F" w:rsidP="00005E4B">
      <w:pPr>
        <w:rPr>
          <w:lang w:eastAsia="en-US"/>
        </w:rPr>
      </w:pPr>
      <w:r w:rsidRPr="001B0EA3">
        <w:rPr>
          <w:lang w:eastAsia="en-US"/>
        </w:rPr>
        <w:t>Въз основа на резултата от оценката на рисковете</w:t>
      </w:r>
      <w:r w:rsidR="00E0240F" w:rsidRPr="001B0EA3">
        <w:rPr>
          <w:lang w:eastAsia="en-US"/>
        </w:rPr>
        <w:t xml:space="preserve">, </w:t>
      </w:r>
      <w:r w:rsidRPr="001B0EA3">
        <w:rPr>
          <w:lang w:eastAsia="en-US"/>
        </w:rPr>
        <w:t>документиран в резултат на де</w:t>
      </w:r>
      <w:r w:rsidR="002464F0" w:rsidRPr="001B0EA3">
        <w:rPr>
          <w:lang w:eastAsia="en-US"/>
        </w:rPr>
        <w:t>й</w:t>
      </w:r>
      <w:r w:rsidRPr="001B0EA3">
        <w:rPr>
          <w:lang w:eastAsia="en-US"/>
        </w:rPr>
        <w:t>ствията по т. 30.</w:t>
      </w:r>
      <w:r w:rsidR="002464F0" w:rsidRPr="001B0EA3">
        <w:rPr>
          <w:lang w:eastAsia="en-US"/>
        </w:rPr>
        <w:t>6</w:t>
      </w:r>
      <w:r w:rsidRPr="001B0EA3">
        <w:rPr>
          <w:lang w:eastAsia="en-US"/>
        </w:rPr>
        <w:t>.2.</w:t>
      </w:r>
      <w:r w:rsidR="002464F0" w:rsidRPr="001B0EA3">
        <w:rPr>
          <w:lang w:eastAsia="en-US"/>
        </w:rPr>
        <w:t>2</w:t>
      </w:r>
      <w:r w:rsidRPr="001B0EA3">
        <w:rPr>
          <w:lang w:eastAsia="en-US"/>
        </w:rPr>
        <w:t xml:space="preserve"> „Анализ на риска“ в попълнения риск регистър на УО, </w:t>
      </w:r>
      <w:r w:rsidR="009F7C55" w:rsidRPr="001B0EA3">
        <w:rPr>
          <w:lang w:eastAsia="en-US"/>
        </w:rPr>
        <w:t>директорът на дирекцията и</w:t>
      </w:r>
      <w:r w:rsidR="00E0240F" w:rsidRPr="001B0EA3">
        <w:rPr>
          <w:lang w:eastAsia="en-US"/>
        </w:rPr>
        <w:t xml:space="preserve"> началниците на отдели вз</w:t>
      </w:r>
      <w:r w:rsidR="009F7C55" w:rsidRPr="001B0EA3">
        <w:rPr>
          <w:lang w:eastAsia="en-US"/>
        </w:rPr>
        <w:t>е</w:t>
      </w:r>
      <w:r w:rsidR="00E0240F" w:rsidRPr="001B0EA3">
        <w:rPr>
          <w:lang w:eastAsia="en-US"/>
        </w:rPr>
        <w:t>мат решение относно подходящата реакция към всеки от рисковете</w:t>
      </w:r>
      <w:r w:rsidR="0086673A" w:rsidRPr="001B0EA3">
        <w:rPr>
          <w:lang w:eastAsia="en-US"/>
        </w:rPr>
        <w:t xml:space="preserve">. Изборът на реакция се извършва в съответствие с </w:t>
      </w:r>
      <w:r w:rsidRPr="001B0EA3">
        <w:rPr>
          <w:lang w:eastAsia="en-US"/>
        </w:rPr>
        <w:t>т. 30.</w:t>
      </w:r>
      <w:r w:rsidR="002464F0" w:rsidRPr="001B0EA3">
        <w:rPr>
          <w:lang w:eastAsia="en-US"/>
        </w:rPr>
        <w:t>6</w:t>
      </w:r>
      <w:r w:rsidRPr="001B0EA3">
        <w:rPr>
          <w:lang w:eastAsia="en-US"/>
        </w:rPr>
        <w:t>.3.2 Подбор на действията в съответствие с оценката на риска.</w:t>
      </w:r>
    </w:p>
    <w:p w14:paraId="11DAD549" w14:textId="77777777" w:rsidR="00E0240F" w:rsidRPr="001B0EA3" w:rsidRDefault="0085464F" w:rsidP="00005E4B">
      <w:pPr>
        <w:rPr>
          <w:lang w:eastAsia="en-US"/>
        </w:rPr>
      </w:pPr>
      <w:r w:rsidRPr="001B0EA3">
        <w:rPr>
          <w:lang w:eastAsia="en-US"/>
        </w:rPr>
        <w:t>Участниците в процеса избират</w:t>
      </w:r>
      <w:r w:rsidR="009F7C55" w:rsidRPr="001B0EA3">
        <w:rPr>
          <w:lang w:eastAsia="en-US"/>
        </w:rPr>
        <w:t xml:space="preserve"> измежду следните </w:t>
      </w:r>
      <w:r w:rsidRPr="001B0EA3">
        <w:rPr>
          <w:lang w:eastAsia="en-US"/>
        </w:rPr>
        <w:t xml:space="preserve">възможни </w:t>
      </w:r>
      <w:r w:rsidR="009F7C55" w:rsidRPr="001B0EA3">
        <w:rPr>
          <w:lang w:eastAsia="en-US"/>
        </w:rPr>
        <w:t xml:space="preserve">действия </w:t>
      </w:r>
      <w:r w:rsidRPr="001B0EA3">
        <w:rPr>
          <w:lang w:eastAsia="en-US"/>
        </w:rPr>
        <w:t>за реакция</w:t>
      </w:r>
      <w:r w:rsidR="009F7C55" w:rsidRPr="001B0EA3">
        <w:rPr>
          <w:lang w:eastAsia="en-US"/>
        </w:rPr>
        <w:t>:</w:t>
      </w:r>
    </w:p>
    <w:p w14:paraId="13351EA0" w14:textId="77777777" w:rsidR="00E0240F" w:rsidRPr="001B0EA3" w:rsidRDefault="00E0240F" w:rsidP="00005E4B">
      <w:pPr>
        <w:numPr>
          <w:ilvl w:val="0"/>
          <w:numId w:val="218"/>
        </w:numPr>
        <w:tabs>
          <w:tab w:val="left" w:pos="1134"/>
        </w:tabs>
        <w:spacing w:before="120" w:after="200" w:line="276" w:lineRule="auto"/>
        <w:ind w:left="0" w:firstLine="851"/>
        <w:contextualSpacing/>
        <w:rPr>
          <w:bCs/>
          <w:szCs w:val="24"/>
          <w:lang w:eastAsia="bg-BG"/>
        </w:rPr>
      </w:pPr>
      <w:r w:rsidRPr="001B0EA3">
        <w:rPr>
          <w:b/>
          <w:bCs/>
          <w:i/>
          <w:szCs w:val="24"/>
          <w:lang w:eastAsia="bg-BG"/>
        </w:rPr>
        <w:t xml:space="preserve">Ограничаване на риска – </w:t>
      </w:r>
      <w:r w:rsidRPr="001B0EA3">
        <w:rPr>
          <w:bCs/>
          <w:szCs w:val="24"/>
          <w:lang w:eastAsia="bg-BG"/>
        </w:rPr>
        <w:t xml:space="preserve">Ограничаването на риска представлява намаляване или третиране на риска чрез прилагане на контроли (например, чрез законодателството, партньорство и сътрудничество, повишаване на ефикасността на контрола чрез засилване на съществуващите контроли или въвеждането на нови и т.н.) с цел да се намали остатъчния риск. Решението да се ограничи даден риск изисква: адекватен подбор на действията в съответствие с оценката на риска; добро разбиране в сферата на вътрешния контрол; внимателно анализиране на разходите и ползите от контрола; дефиниране на специфични дейности за ограничаване или третиране на риска и ясно определяне на роли и отговорности. Това е най-често предприеманата реакция на риска в публичния сектор. </w:t>
      </w:r>
    </w:p>
    <w:p w14:paraId="77E49013" w14:textId="77777777" w:rsidR="00E0240F" w:rsidRPr="001B0EA3" w:rsidRDefault="00E0240F" w:rsidP="00005E4B">
      <w:pPr>
        <w:tabs>
          <w:tab w:val="left" w:pos="284"/>
          <w:tab w:val="left" w:pos="1134"/>
        </w:tabs>
        <w:autoSpaceDE w:val="0"/>
        <w:autoSpaceDN w:val="0"/>
        <w:adjustRightInd w:val="0"/>
        <w:spacing w:before="120"/>
        <w:contextualSpacing/>
        <w:rPr>
          <w:b/>
          <w:bCs/>
          <w:i/>
          <w:szCs w:val="24"/>
          <w:lang w:eastAsia="bg-BG"/>
        </w:rPr>
      </w:pPr>
    </w:p>
    <w:p w14:paraId="167832B3" w14:textId="77777777" w:rsidR="00E0240F" w:rsidRPr="001B0EA3" w:rsidRDefault="00E0240F" w:rsidP="00005E4B">
      <w:pPr>
        <w:numPr>
          <w:ilvl w:val="0"/>
          <w:numId w:val="218"/>
        </w:numPr>
        <w:tabs>
          <w:tab w:val="left" w:pos="1134"/>
        </w:tabs>
        <w:spacing w:before="120" w:after="120" w:line="276" w:lineRule="auto"/>
        <w:ind w:left="0" w:firstLine="851"/>
        <w:contextualSpacing/>
        <w:rPr>
          <w:bCs/>
          <w:szCs w:val="24"/>
          <w:lang w:eastAsia="bg-BG"/>
        </w:rPr>
      </w:pPr>
      <w:r w:rsidRPr="001B0EA3">
        <w:rPr>
          <w:b/>
          <w:bCs/>
          <w:i/>
          <w:szCs w:val="24"/>
          <w:lang w:eastAsia="bg-BG"/>
        </w:rPr>
        <w:t xml:space="preserve">Прехвърляне на риска - </w:t>
      </w:r>
      <w:r w:rsidRPr="001B0EA3">
        <w:rPr>
          <w:bCs/>
          <w:szCs w:val="24"/>
          <w:lang w:eastAsia="bg-BG"/>
        </w:rPr>
        <w:t>Прехвърляне или споделянето на риска по същество означава да се влезе в партньорство с трета страна, така че той да бъде управляван съвместно. Типични примери за прехвърляне на риска са застраховането, публично-частните партньорства, различни степени на сорсинг споразумения (споразумения на реципрочна основа) и др. Подобни схеми позволяват достъп до допълнителен ресурс (например контролни дейности или опит и квалификация), като в същото време ограничават възможността от загуба на контрол над дейностите, която е възможна при 100% прехвърляне на трета страна.  Ръководителя</w:t>
      </w:r>
      <w:r w:rsidR="009F7C55" w:rsidRPr="001B0EA3">
        <w:rPr>
          <w:bCs/>
          <w:szCs w:val="24"/>
          <w:lang w:eastAsia="bg-BG"/>
        </w:rPr>
        <w:t>т</w:t>
      </w:r>
      <w:r w:rsidRPr="001B0EA3">
        <w:rPr>
          <w:bCs/>
          <w:szCs w:val="24"/>
          <w:lang w:eastAsia="bg-BG"/>
        </w:rPr>
        <w:t xml:space="preserve"> на УО  като цяло продължава да </w:t>
      </w:r>
      <w:r w:rsidR="009F7C55" w:rsidRPr="001B0EA3">
        <w:rPr>
          <w:bCs/>
          <w:szCs w:val="24"/>
          <w:lang w:eastAsia="bg-BG"/>
        </w:rPr>
        <w:t>бъде отговорен</w:t>
      </w:r>
      <w:r w:rsidRPr="001B0EA3">
        <w:rPr>
          <w:bCs/>
          <w:szCs w:val="24"/>
          <w:lang w:eastAsia="bg-BG"/>
        </w:rPr>
        <w:t xml:space="preserve"> за управлението на риска, независимо от факта, че </w:t>
      </w:r>
      <w:r w:rsidR="00367AD2" w:rsidRPr="001B0EA3">
        <w:rPr>
          <w:bCs/>
          <w:szCs w:val="24"/>
          <w:lang w:eastAsia="bg-BG"/>
        </w:rPr>
        <w:t xml:space="preserve">последният </w:t>
      </w:r>
      <w:r w:rsidRPr="001B0EA3">
        <w:rPr>
          <w:bCs/>
          <w:szCs w:val="24"/>
          <w:lang w:eastAsia="bg-BG"/>
        </w:rPr>
        <w:t>е прехвърлен или споделен.</w:t>
      </w:r>
    </w:p>
    <w:p w14:paraId="1C3DB201" w14:textId="77777777" w:rsidR="00E0240F" w:rsidRPr="001B0EA3" w:rsidRDefault="00E0240F" w:rsidP="00005E4B">
      <w:pPr>
        <w:numPr>
          <w:ilvl w:val="0"/>
          <w:numId w:val="218"/>
        </w:numPr>
        <w:tabs>
          <w:tab w:val="left" w:pos="1134"/>
        </w:tabs>
        <w:spacing w:before="120" w:after="200" w:line="276" w:lineRule="auto"/>
        <w:ind w:left="0" w:firstLine="851"/>
        <w:rPr>
          <w:szCs w:val="24"/>
          <w:lang w:eastAsia="en-US"/>
        </w:rPr>
      </w:pPr>
      <w:r w:rsidRPr="001B0EA3">
        <w:rPr>
          <w:b/>
          <w:i/>
          <w:szCs w:val="24"/>
          <w:lang w:eastAsia="en-US"/>
        </w:rPr>
        <w:lastRenderedPageBreak/>
        <w:t>Толериране на риска</w:t>
      </w:r>
      <w:r w:rsidRPr="001B0EA3">
        <w:rPr>
          <w:szCs w:val="24"/>
          <w:lang w:eastAsia="en-US"/>
        </w:rPr>
        <w:t xml:space="preserve"> – Приемането или толерирането на даден риск означава, че УО поема риска без да предприеме конкретни мерки за управлението му. Такова решение означава, че този риск следва периодично да се наблюдава и преоценява, за да може при необходимост да бъде избран друг подход за управлението му. Решението да се толерира даден риск трябва да бъде взето имайки предвид оценката на риска, последствията за постигането на целите, риск апетита и правните последици (например, решението да не се предприемат действия може да доведе до по-голям риск). </w:t>
      </w:r>
    </w:p>
    <w:p w14:paraId="05E293F4" w14:textId="77777777" w:rsidR="00E0240F" w:rsidRPr="001B0EA3" w:rsidRDefault="00E0240F" w:rsidP="00005E4B">
      <w:pPr>
        <w:numPr>
          <w:ilvl w:val="0"/>
          <w:numId w:val="218"/>
        </w:numPr>
        <w:tabs>
          <w:tab w:val="left" w:pos="1134"/>
        </w:tabs>
        <w:spacing w:before="120" w:after="200" w:line="276" w:lineRule="auto"/>
        <w:ind w:left="0" w:firstLine="851"/>
        <w:contextualSpacing/>
        <w:rPr>
          <w:b/>
          <w:bCs/>
          <w:i/>
          <w:szCs w:val="24"/>
          <w:lang w:eastAsia="bg-BG"/>
        </w:rPr>
      </w:pPr>
      <w:r w:rsidRPr="001B0EA3">
        <w:rPr>
          <w:b/>
          <w:bCs/>
          <w:i/>
          <w:szCs w:val="24"/>
          <w:lang w:eastAsia="bg-BG"/>
        </w:rPr>
        <w:t xml:space="preserve">Прекратяване (избягване) на риска – </w:t>
      </w:r>
      <w:r w:rsidRPr="001B0EA3">
        <w:rPr>
          <w:bCs/>
          <w:szCs w:val="24"/>
          <w:lang w:eastAsia="bg-BG"/>
        </w:rPr>
        <w:t xml:space="preserve">Избягването на даден риск означава да се прекратят дейностите, свързани с потенциалното му проявление. Подобно решение би могло да означава, че Ръководителят на УО /подпомаган от Комитета по риска, ако е приложимо/ следва да преразгледа поставените цели свързани с прекратените дейности и доколко те са изпълними и съвместими с останалите цели и основни дейности. Също така </w:t>
      </w:r>
      <w:r w:rsidR="00FF4881" w:rsidRPr="001B0EA3">
        <w:rPr>
          <w:bCs/>
          <w:szCs w:val="24"/>
          <w:lang w:eastAsia="bg-BG"/>
        </w:rPr>
        <w:t>определените</w:t>
      </w:r>
      <w:r w:rsidRPr="001B0EA3">
        <w:rPr>
          <w:bCs/>
          <w:szCs w:val="24"/>
          <w:lang w:eastAsia="bg-BG"/>
        </w:rPr>
        <w:t xml:space="preserve"> за това лица /или Комитета по риска, ако е приложимо/ трябва да разгледа/т приложимите регулаторни изисквания и ограничения, за да прецени дали е допустимо дадена дейност да не се извършва или да не се оперира в определена среда. Следва да се разгледат и възможности за избягване на риска в определена степен, т.е. дадени цели или дейности да бъдат частично променени или преустановени, както и да се установят възможностите поставените цели да бъдат постигнати по различен от предвидения начин.</w:t>
      </w:r>
    </w:p>
    <w:p w14:paraId="6052A4F8" w14:textId="77777777" w:rsidR="00E0240F" w:rsidRPr="001B0EA3" w:rsidRDefault="00E0240F" w:rsidP="00CC313F">
      <w:pPr>
        <w:tabs>
          <w:tab w:val="left" w:pos="284"/>
        </w:tabs>
        <w:autoSpaceDE w:val="0"/>
        <w:autoSpaceDN w:val="0"/>
        <w:adjustRightInd w:val="0"/>
        <w:spacing w:before="120"/>
        <w:contextualSpacing/>
        <w:rPr>
          <w:b/>
          <w:bCs/>
          <w:i/>
          <w:szCs w:val="24"/>
          <w:lang w:eastAsia="bg-BG"/>
        </w:rPr>
      </w:pPr>
    </w:p>
    <w:p w14:paraId="5D8FBA2C" w14:textId="77777777" w:rsidR="00E0240F" w:rsidRPr="00842ECC" w:rsidRDefault="00E0240F" w:rsidP="00805ADA">
      <w:pPr>
        <w:pStyle w:val="Style4"/>
        <w:rPr>
          <w:snapToGrid w:val="0"/>
          <w:lang w:val="bg-BG"/>
        </w:rPr>
      </w:pPr>
      <w:bookmarkStart w:id="1311" w:name="_Toc247280280"/>
      <w:bookmarkStart w:id="1312" w:name="_Toc249326111"/>
      <w:bookmarkStart w:id="1313" w:name="_Toc479775816"/>
      <w:r w:rsidRPr="00842ECC">
        <w:rPr>
          <w:snapToGrid w:val="0"/>
          <w:lang w:val="bg-BG"/>
        </w:rPr>
        <w:t>Подбор на действията в съответствие с оценката на риска</w:t>
      </w:r>
      <w:bookmarkEnd w:id="1311"/>
      <w:bookmarkEnd w:id="1312"/>
      <w:bookmarkEnd w:id="1313"/>
    </w:p>
    <w:p w14:paraId="6DE62264" w14:textId="77777777" w:rsidR="002D1E23" w:rsidRPr="001B0EA3" w:rsidRDefault="002D1E23" w:rsidP="00005E4B">
      <w:pPr>
        <w:rPr>
          <w:lang w:eastAsia="en-US"/>
        </w:rPr>
      </w:pPr>
      <w:r w:rsidRPr="001B0EA3">
        <w:rPr>
          <w:lang w:eastAsia="en-US"/>
        </w:rPr>
        <w:t>Рисковете с оценка от 9 до 25 са извън риск апетита на УО като за тях се предприемат мерки за ограничаването им /виж т. 30.</w:t>
      </w:r>
      <w:r w:rsidR="002464F0" w:rsidRPr="001B0EA3">
        <w:rPr>
          <w:lang w:eastAsia="en-US"/>
        </w:rPr>
        <w:t>6</w:t>
      </w:r>
      <w:r w:rsidRPr="001B0EA3">
        <w:rPr>
          <w:lang w:eastAsia="en-US"/>
        </w:rPr>
        <w:t xml:space="preserve">.3.4. „Изготвяне на план за действие“/. </w:t>
      </w:r>
    </w:p>
    <w:p w14:paraId="30C2528F" w14:textId="77777777" w:rsidR="002D1E23" w:rsidRPr="001B0EA3" w:rsidRDefault="002D1E23" w:rsidP="00005E4B">
      <w:pPr>
        <w:rPr>
          <w:lang w:eastAsia="en-US"/>
        </w:rPr>
      </w:pPr>
      <w:r w:rsidRPr="001B0EA3">
        <w:rPr>
          <w:lang w:eastAsia="en-US"/>
        </w:rPr>
        <w:t>За остан</w:t>
      </w:r>
      <w:r w:rsidR="009F6515" w:rsidRPr="001B0EA3">
        <w:rPr>
          <w:lang w:eastAsia="en-US"/>
        </w:rPr>
        <w:t>алите рискове с оценка от 1 до 9</w:t>
      </w:r>
      <w:r w:rsidRPr="001B0EA3">
        <w:rPr>
          <w:lang w:eastAsia="en-US"/>
        </w:rPr>
        <w:t xml:space="preserve"> се преценява ефективността на контролите и при необходимост се предприемат мерки.  </w:t>
      </w:r>
    </w:p>
    <w:p w14:paraId="29E61815" w14:textId="77777777" w:rsidR="002D1E23" w:rsidRPr="001B0EA3" w:rsidRDefault="002D1E23" w:rsidP="00005E4B">
      <w:pPr>
        <w:rPr>
          <w:lang w:eastAsia="en-US"/>
        </w:rPr>
      </w:pPr>
      <w:r w:rsidRPr="001B0EA3">
        <w:rPr>
          <w:lang w:eastAsia="en-US"/>
        </w:rPr>
        <w:t>Ефективността на контролите по отношение на определен риск се оценява като „висока“ когато екипът по оценка счита, че резултатите от прилагането им, т.е. намалението съответно на вероятността и /или влиянието на риска са обективно налице и са устойчиви във времето. При преценката за ефективността им се взема предвид наличието на:</w:t>
      </w:r>
    </w:p>
    <w:p w14:paraId="7B36B930" w14:textId="77777777" w:rsidR="002D1E23" w:rsidRPr="001B0EA3" w:rsidRDefault="002D1E23" w:rsidP="0054623A">
      <w:pPr>
        <w:pStyle w:val="ListParagraph"/>
        <w:numPr>
          <w:ilvl w:val="0"/>
          <w:numId w:val="171"/>
        </w:numPr>
        <w:spacing w:before="120"/>
        <w:rPr>
          <w:szCs w:val="24"/>
          <w:lang w:eastAsia="en-US"/>
        </w:rPr>
      </w:pPr>
      <w:r w:rsidRPr="001B0EA3">
        <w:rPr>
          <w:szCs w:val="24"/>
          <w:lang w:eastAsia="en-US"/>
        </w:rPr>
        <w:t>доказателства за прилагането им (Н</w:t>
      </w:r>
      <w:r w:rsidRPr="001B0EA3">
        <w:rPr>
          <w:color w:val="000000"/>
          <w:szCs w:val="24"/>
        </w:rPr>
        <w:t>апример, доказателство за одобрение са документира с подпис и в този случай контролът е видим.);</w:t>
      </w:r>
    </w:p>
    <w:p w14:paraId="7D6B654A" w14:textId="77777777" w:rsidR="002D1E23" w:rsidRPr="001B0EA3" w:rsidRDefault="002D1E23" w:rsidP="0054623A">
      <w:pPr>
        <w:pStyle w:val="ListParagraph"/>
        <w:numPr>
          <w:ilvl w:val="0"/>
          <w:numId w:val="171"/>
        </w:numPr>
        <w:spacing w:before="120"/>
        <w:rPr>
          <w:szCs w:val="24"/>
          <w:lang w:eastAsia="en-US"/>
        </w:rPr>
      </w:pPr>
      <w:r w:rsidRPr="001B0EA3">
        <w:rPr>
          <w:color w:val="000000"/>
          <w:szCs w:val="24"/>
        </w:rPr>
        <w:t>редовни проверки на действието им (Такава проверка може да се направи от вътрешен или външен одит или чрез каквато и да е друга система за мониторинг).</w:t>
      </w:r>
    </w:p>
    <w:p w14:paraId="1C19B5A8" w14:textId="77777777" w:rsidR="002D1E23" w:rsidRPr="001B0EA3" w:rsidRDefault="002D1E23" w:rsidP="00005E4B">
      <w:pPr>
        <w:rPr>
          <w:lang w:eastAsia="en-US"/>
        </w:rPr>
      </w:pPr>
      <w:r w:rsidRPr="001B0EA3">
        <w:rPr>
          <w:lang w:eastAsia="en-US"/>
        </w:rPr>
        <w:t>Ниска ефективност е налице, когато на база информацията за функционирането на съществуващите контроли, при липса на информация или по друг повод /например промяна в обстоятелствата или източника на риск/ екипът за оценка прецени, че съществуващата увереност по отношение на нивото на риска не е достатъчна.</w:t>
      </w:r>
    </w:p>
    <w:p w14:paraId="215AA58E" w14:textId="77777777" w:rsidR="00E0240F" w:rsidRPr="001B0EA3" w:rsidRDefault="00E0240F" w:rsidP="00005E4B">
      <w:pPr>
        <w:rPr>
          <w:lang w:eastAsia="en-US"/>
        </w:rPr>
      </w:pPr>
      <w:r w:rsidRPr="001B0EA3">
        <w:rPr>
          <w:lang w:eastAsia="en-US"/>
        </w:rPr>
        <w:t>В зависимост от стойността на остатъчния риск и ефективността на контрола са възмо</w:t>
      </w:r>
      <w:r w:rsidR="00FC7EE3" w:rsidRPr="001B0EA3">
        <w:rPr>
          <w:lang w:eastAsia="en-US"/>
        </w:rPr>
        <w:t>жни четири варианта на действие</w:t>
      </w:r>
      <w:r w:rsidRPr="001B0EA3">
        <w:rPr>
          <w:lang w:eastAsia="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1355"/>
        <w:gridCol w:w="3269"/>
      </w:tblGrid>
      <w:tr w:rsidR="009F6515" w:rsidRPr="001B0EA3" w14:paraId="07D0F649" w14:textId="77777777" w:rsidTr="0098427A">
        <w:trPr>
          <w:jc w:val="center"/>
        </w:trPr>
        <w:tc>
          <w:tcPr>
            <w:tcW w:w="567" w:type="dxa"/>
            <w:shd w:val="clear" w:color="auto" w:fill="auto"/>
            <w:vAlign w:val="center"/>
          </w:tcPr>
          <w:p w14:paraId="2D8E02EB" w14:textId="77777777" w:rsidR="009F6515" w:rsidRPr="001B0EA3" w:rsidRDefault="009F6515" w:rsidP="0098427A">
            <w:pPr>
              <w:ind w:firstLine="0"/>
              <w:jc w:val="center"/>
              <w:rPr>
                <w:szCs w:val="24"/>
                <w:lang w:eastAsia="en-US"/>
              </w:rPr>
            </w:pPr>
            <w:r w:rsidRPr="001B0EA3">
              <w:rPr>
                <w:szCs w:val="24"/>
                <w:lang w:eastAsia="en-US"/>
              </w:rPr>
              <w:t>№ по ред</w:t>
            </w:r>
          </w:p>
        </w:tc>
        <w:tc>
          <w:tcPr>
            <w:tcW w:w="3686" w:type="dxa"/>
            <w:shd w:val="clear" w:color="auto" w:fill="auto"/>
            <w:vAlign w:val="center"/>
          </w:tcPr>
          <w:p w14:paraId="3C12AC0A" w14:textId="77777777" w:rsidR="009F6515" w:rsidRPr="001B0EA3" w:rsidRDefault="009F6515" w:rsidP="0098427A">
            <w:pPr>
              <w:ind w:firstLine="0"/>
              <w:jc w:val="center"/>
              <w:rPr>
                <w:szCs w:val="24"/>
                <w:lang w:eastAsia="en-US"/>
              </w:rPr>
            </w:pPr>
            <w:r w:rsidRPr="001B0EA3">
              <w:rPr>
                <w:szCs w:val="24"/>
                <w:lang w:eastAsia="en-US"/>
              </w:rPr>
              <w:t>Варианти</w:t>
            </w:r>
          </w:p>
        </w:tc>
        <w:tc>
          <w:tcPr>
            <w:tcW w:w="1355" w:type="dxa"/>
            <w:shd w:val="clear" w:color="auto" w:fill="auto"/>
            <w:vAlign w:val="center"/>
          </w:tcPr>
          <w:p w14:paraId="335EDE17" w14:textId="77777777" w:rsidR="009F6515" w:rsidRPr="001B0EA3" w:rsidRDefault="009F6515" w:rsidP="0098427A">
            <w:pPr>
              <w:ind w:firstLine="0"/>
              <w:jc w:val="center"/>
              <w:rPr>
                <w:szCs w:val="24"/>
                <w:lang w:eastAsia="en-US"/>
              </w:rPr>
            </w:pPr>
            <w:r w:rsidRPr="001B0EA3">
              <w:rPr>
                <w:szCs w:val="24"/>
                <w:lang w:eastAsia="en-US"/>
              </w:rPr>
              <w:t>Стойност на риска</w:t>
            </w:r>
          </w:p>
        </w:tc>
        <w:tc>
          <w:tcPr>
            <w:tcW w:w="3269" w:type="dxa"/>
            <w:shd w:val="clear" w:color="auto" w:fill="auto"/>
            <w:vAlign w:val="center"/>
          </w:tcPr>
          <w:p w14:paraId="597AE5C1" w14:textId="77777777" w:rsidR="009F6515" w:rsidRPr="001B0EA3" w:rsidRDefault="009F6515" w:rsidP="0098427A">
            <w:pPr>
              <w:ind w:firstLine="0"/>
              <w:jc w:val="center"/>
              <w:rPr>
                <w:szCs w:val="24"/>
                <w:lang w:eastAsia="en-US"/>
              </w:rPr>
            </w:pPr>
            <w:r w:rsidRPr="001B0EA3">
              <w:rPr>
                <w:szCs w:val="24"/>
                <w:lang w:eastAsia="en-US"/>
              </w:rPr>
              <w:t>Ефективност на контрола</w:t>
            </w:r>
          </w:p>
          <w:p w14:paraId="5ACD0F4D" w14:textId="77777777" w:rsidR="009F6515" w:rsidRPr="001B0EA3" w:rsidRDefault="009F6515" w:rsidP="0098427A">
            <w:pPr>
              <w:ind w:firstLine="0"/>
              <w:jc w:val="center"/>
              <w:rPr>
                <w:szCs w:val="24"/>
                <w:lang w:eastAsia="en-US"/>
              </w:rPr>
            </w:pPr>
          </w:p>
        </w:tc>
      </w:tr>
      <w:tr w:rsidR="009F6515" w:rsidRPr="001B0EA3" w14:paraId="7EDFC229" w14:textId="77777777" w:rsidTr="0098427A">
        <w:trPr>
          <w:jc w:val="center"/>
        </w:trPr>
        <w:tc>
          <w:tcPr>
            <w:tcW w:w="567" w:type="dxa"/>
            <w:shd w:val="clear" w:color="auto" w:fill="auto"/>
            <w:vAlign w:val="center"/>
          </w:tcPr>
          <w:p w14:paraId="768504EA" w14:textId="77777777" w:rsidR="009F6515" w:rsidRPr="001B0EA3" w:rsidRDefault="009F6515" w:rsidP="0098427A">
            <w:pPr>
              <w:ind w:firstLine="0"/>
              <w:jc w:val="center"/>
              <w:rPr>
                <w:szCs w:val="24"/>
                <w:lang w:eastAsia="en-US"/>
              </w:rPr>
            </w:pPr>
            <w:r w:rsidRPr="001B0EA3">
              <w:rPr>
                <w:szCs w:val="24"/>
                <w:lang w:eastAsia="en-US"/>
              </w:rPr>
              <w:t>1</w:t>
            </w:r>
          </w:p>
        </w:tc>
        <w:tc>
          <w:tcPr>
            <w:tcW w:w="3686" w:type="dxa"/>
            <w:shd w:val="clear" w:color="auto" w:fill="auto"/>
            <w:vAlign w:val="center"/>
          </w:tcPr>
          <w:p w14:paraId="681A8043" w14:textId="77777777" w:rsidR="009F6515" w:rsidRPr="001B0EA3" w:rsidRDefault="009F6515" w:rsidP="0098427A">
            <w:pPr>
              <w:ind w:firstLine="0"/>
              <w:jc w:val="left"/>
              <w:rPr>
                <w:szCs w:val="24"/>
                <w:lang w:eastAsia="en-US"/>
              </w:rPr>
            </w:pPr>
            <w:r w:rsidRPr="001B0EA3">
              <w:rPr>
                <w:szCs w:val="24"/>
                <w:lang w:eastAsia="en-US"/>
              </w:rPr>
              <w:t>Подсилване на дейностите по ограничаване на риска</w:t>
            </w:r>
          </w:p>
        </w:tc>
        <w:tc>
          <w:tcPr>
            <w:tcW w:w="1355" w:type="dxa"/>
            <w:shd w:val="clear" w:color="auto" w:fill="auto"/>
            <w:vAlign w:val="center"/>
          </w:tcPr>
          <w:p w14:paraId="5BB782E6" w14:textId="77777777" w:rsidR="009F6515" w:rsidRPr="001B0EA3" w:rsidRDefault="009F00A9" w:rsidP="0098427A">
            <w:pPr>
              <w:ind w:firstLine="0"/>
              <w:jc w:val="center"/>
              <w:rPr>
                <w:szCs w:val="24"/>
                <w:lang w:eastAsia="en-US"/>
              </w:rPr>
            </w:pPr>
            <w:r>
              <w:rPr>
                <w:szCs w:val="24"/>
                <w:lang w:eastAsia="en-US"/>
              </w:rPr>
              <w:t>7</w:t>
            </w:r>
            <w:r w:rsidR="009F6515" w:rsidRPr="001B0EA3">
              <w:rPr>
                <w:szCs w:val="24"/>
                <w:lang w:eastAsia="en-US"/>
              </w:rPr>
              <w:t xml:space="preserve"> до </w:t>
            </w:r>
            <w:r>
              <w:rPr>
                <w:szCs w:val="24"/>
                <w:lang w:eastAsia="en-US"/>
              </w:rPr>
              <w:t>8</w:t>
            </w:r>
          </w:p>
        </w:tc>
        <w:tc>
          <w:tcPr>
            <w:tcW w:w="3269" w:type="dxa"/>
            <w:shd w:val="clear" w:color="auto" w:fill="auto"/>
            <w:vAlign w:val="center"/>
          </w:tcPr>
          <w:p w14:paraId="2A25955C" w14:textId="77777777" w:rsidR="009F6515" w:rsidRPr="001B0EA3" w:rsidRDefault="009F6515" w:rsidP="0098427A">
            <w:pPr>
              <w:ind w:firstLine="0"/>
              <w:jc w:val="center"/>
              <w:rPr>
                <w:szCs w:val="24"/>
                <w:lang w:eastAsia="en-US"/>
              </w:rPr>
            </w:pPr>
            <w:r w:rsidRPr="001B0EA3">
              <w:rPr>
                <w:szCs w:val="24"/>
                <w:lang w:eastAsia="en-US"/>
              </w:rPr>
              <w:t>Ниска</w:t>
            </w:r>
          </w:p>
        </w:tc>
      </w:tr>
      <w:tr w:rsidR="009F6515" w:rsidRPr="001B0EA3" w14:paraId="2A992A0F" w14:textId="77777777" w:rsidTr="0098427A">
        <w:trPr>
          <w:jc w:val="center"/>
        </w:trPr>
        <w:tc>
          <w:tcPr>
            <w:tcW w:w="567" w:type="dxa"/>
            <w:shd w:val="clear" w:color="auto" w:fill="auto"/>
            <w:vAlign w:val="center"/>
          </w:tcPr>
          <w:p w14:paraId="692893A1" w14:textId="77777777" w:rsidR="009F6515" w:rsidRPr="001B0EA3" w:rsidRDefault="009F6515" w:rsidP="0098427A">
            <w:pPr>
              <w:ind w:firstLine="0"/>
              <w:jc w:val="center"/>
              <w:rPr>
                <w:szCs w:val="24"/>
                <w:lang w:eastAsia="en-US"/>
              </w:rPr>
            </w:pPr>
            <w:r w:rsidRPr="001B0EA3">
              <w:rPr>
                <w:szCs w:val="24"/>
                <w:lang w:eastAsia="en-US"/>
              </w:rPr>
              <w:t>2</w:t>
            </w:r>
          </w:p>
        </w:tc>
        <w:tc>
          <w:tcPr>
            <w:tcW w:w="3686" w:type="dxa"/>
            <w:shd w:val="clear" w:color="auto" w:fill="auto"/>
            <w:vAlign w:val="center"/>
          </w:tcPr>
          <w:p w14:paraId="54B487B1" w14:textId="77777777" w:rsidR="009F6515" w:rsidRPr="001B0EA3" w:rsidRDefault="009F6515" w:rsidP="0098427A">
            <w:pPr>
              <w:ind w:firstLine="0"/>
              <w:jc w:val="left"/>
              <w:rPr>
                <w:szCs w:val="24"/>
                <w:lang w:eastAsia="en-US"/>
              </w:rPr>
            </w:pPr>
            <w:r w:rsidRPr="001B0EA3">
              <w:rPr>
                <w:szCs w:val="24"/>
                <w:lang w:eastAsia="en-US"/>
              </w:rPr>
              <w:t>Увереност в нивото на подготвеност</w:t>
            </w:r>
          </w:p>
        </w:tc>
        <w:tc>
          <w:tcPr>
            <w:tcW w:w="1355" w:type="dxa"/>
            <w:shd w:val="clear" w:color="auto" w:fill="auto"/>
            <w:vAlign w:val="center"/>
          </w:tcPr>
          <w:p w14:paraId="2CC662F9" w14:textId="77777777" w:rsidR="009F6515" w:rsidRPr="001B0EA3" w:rsidRDefault="009F00A9" w:rsidP="0098427A">
            <w:pPr>
              <w:ind w:firstLine="0"/>
              <w:jc w:val="center"/>
              <w:rPr>
                <w:szCs w:val="24"/>
                <w:lang w:eastAsia="en-US"/>
              </w:rPr>
            </w:pPr>
            <w:r>
              <w:rPr>
                <w:szCs w:val="24"/>
                <w:lang w:eastAsia="en-US"/>
              </w:rPr>
              <w:t>7</w:t>
            </w:r>
            <w:r w:rsidR="009F7C55" w:rsidRPr="001B0EA3">
              <w:rPr>
                <w:szCs w:val="24"/>
                <w:lang w:eastAsia="en-US"/>
              </w:rPr>
              <w:t xml:space="preserve"> до </w:t>
            </w:r>
            <w:r>
              <w:rPr>
                <w:szCs w:val="24"/>
                <w:lang w:eastAsia="en-US"/>
              </w:rPr>
              <w:t>8</w:t>
            </w:r>
          </w:p>
        </w:tc>
        <w:tc>
          <w:tcPr>
            <w:tcW w:w="3269" w:type="dxa"/>
            <w:shd w:val="clear" w:color="auto" w:fill="auto"/>
            <w:vAlign w:val="center"/>
          </w:tcPr>
          <w:p w14:paraId="51CFC3D9" w14:textId="77777777" w:rsidR="009F6515" w:rsidRPr="001B0EA3" w:rsidRDefault="009F6515" w:rsidP="0098427A">
            <w:pPr>
              <w:ind w:firstLine="0"/>
              <w:jc w:val="center"/>
              <w:rPr>
                <w:szCs w:val="24"/>
                <w:lang w:eastAsia="en-US"/>
              </w:rPr>
            </w:pPr>
            <w:r w:rsidRPr="001B0EA3">
              <w:rPr>
                <w:szCs w:val="24"/>
                <w:lang w:eastAsia="en-US"/>
              </w:rPr>
              <w:t>Висока</w:t>
            </w:r>
          </w:p>
        </w:tc>
      </w:tr>
      <w:tr w:rsidR="009F6515" w:rsidRPr="001B0EA3" w14:paraId="219A72BE" w14:textId="77777777" w:rsidTr="0098427A">
        <w:trPr>
          <w:jc w:val="center"/>
        </w:trPr>
        <w:tc>
          <w:tcPr>
            <w:tcW w:w="567" w:type="dxa"/>
            <w:shd w:val="clear" w:color="auto" w:fill="auto"/>
            <w:vAlign w:val="center"/>
          </w:tcPr>
          <w:p w14:paraId="50EF4D33" w14:textId="77777777" w:rsidR="009F6515" w:rsidRPr="001B0EA3" w:rsidRDefault="009F6515" w:rsidP="0098427A">
            <w:pPr>
              <w:ind w:firstLine="0"/>
              <w:jc w:val="center"/>
              <w:rPr>
                <w:szCs w:val="24"/>
                <w:lang w:eastAsia="en-US"/>
              </w:rPr>
            </w:pPr>
            <w:r w:rsidRPr="001B0EA3">
              <w:rPr>
                <w:szCs w:val="24"/>
                <w:lang w:eastAsia="en-US"/>
              </w:rPr>
              <w:t>3</w:t>
            </w:r>
          </w:p>
        </w:tc>
        <w:tc>
          <w:tcPr>
            <w:tcW w:w="3686" w:type="dxa"/>
            <w:shd w:val="clear" w:color="auto" w:fill="auto"/>
            <w:vAlign w:val="center"/>
          </w:tcPr>
          <w:p w14:paraId="07718FDF" w14:textId="77777777" w:rsidR="009F6515" w:rsidRPr="001B0EA3" w:rsidRDefault="009F6515" w:rsidP="0098427A">
            <w:pPr>
              <w:ind w:firstLine="0"/>
              <w:jc w:val="left"/>
              <w:rPr>
                <w:szCs w:val="24"/>
                <w:lang w:eastAsia="en-US"/>
              </w:rPr>
            </w:pPr>
            <w:r w:rsidRPr="001B0EA3">
              <w:rPr>
                <w:szCs w:val="24"/>
                <w:lang w:eastAsia="en-US"/>
              </w:rPr>
              <w:t>Измерване на общото въздействие /кумулативен ефект/</w:t>
            </w:r>
          </w:p>
        </w:tc>
        <w:tc>
          <w:tcPr>
            <w:tcW w:w="1355" w:type="dxa"/>
            <w:shd w:val="clear" w:color="auto" w:fill="auto"/>
            <w:vAlign w:val="center"/>
          </w:tcPr>
          <w:p w14:paraId="2AA91888" w14:textId="77777777" w:rsidR="009F6515" w:rsidRPr="001B0EA3" w:rsidRDefault="009F00A9" w:rsidP="0098427A">
            <w:pPr>
              <w:ind w:firstLine="0"/>
              <w:jc w:val="center"/>
              <w:rPr>
                <w:szCs w:val="24"/>
                <w:lang w:eastAsia="en-US"/>
              </w:rPr>
            </w:pPr>
            <w:r>
              <w:rPr>
                <w:szCs w:val="24"/>
                <w:lang w:eastAsia="en-US"/>
              </w:rPr>
              <w:t>5</w:t>
            </w:r>
            <w:r w:rsidR="009F7C55" w:rsidRPr="001B0EA3">
              <w:rPr>
                <w:szCs w:val="24"/>
                <w:lang w:eastAsia="en-US"/>
              </w:rPr>
              <w:t xml:space="preserve"> до 6</w:t>
            </w:r>
          </w:p>
        </w:tc>
        <w:tc>
          <w:tcPr>
            <w:tcW w:w="3269" w:type="dxa"/>
            <w:shd w:val="clear" w:color="auto" w:fill="auto"/>
            <w:vAlign w:val="center"/>
          </w:tcPr>
          <w:p w14:paraId="341EEDED" w14:textId="77777777" w:rsidR="009F6515" w:rsidRPr="001B0EA3" w:rsidRDefault="009F6515" w:rsidP="0098427A">
            <w:pPr>
              <w:ind w:firstLine="0"/>
              <w:jc w:val="center"/>
              <w:rPr>
                <w:szCs w:val="24"/>
                <w:lang w:eastAsia="en-US"/>
              </w:rPr>
            </w:pPr>
            <w:r w:rsidRPr="001B0EA3">
              <w:rPr>
                <w:szCs w:val="24"/>
                <w:lang w:eastAsia="en-US"/>
              </w:rPr>
              <w:t>Ниска</w:t>
            </w:r>
          </w:p>
        </w:tc>
      </w:tr>
      <w:tr w:rsidR="009F6515" w:rsidRPr="001B0EA3" w14:paraId="5975AE6E" w14:textId="77777777" w:rsidTr="0098427A">
        <w:trPr>
          <w:jc w:val="center"/>
        </w:trPr>
        <w:tc>
          <w:tcPr>
            <w:tcW w:w="567" w:type="dxa"/>
            <w:shd w:val="clear" w:color="auto" w:fill="auto"/>
            <w:vAlign w:val="center"/>
          </w:tcPr>
          <w:p w14:paraId="3D30AE1A" w14:textId="77777777" w:rsidR="009F6515" w:rsidRPr="001B0EA3" w:rsidRDefault="009F6515" w:rsidP="0098427A">
            <w:pPr>
              <w:ind w:firstLine="0"/>
              <w:jc w:val="center"/>
              <w:rPr>
                <w:szCs w:val="24"/>
                <w:lang w:eastAsia="en-US"/>
              </w:rPr>
            </w:pPr>
            <w:r w:rsidRPr="001B0EA3">
              <w:rPr>
                <w:szCs w:val="24"/>
                <w:lang w:eastAsia="en-US"/>
              </w:rPr>
              <w:lastRenderedPageBreak/>
              <w:t>4</w:t>
            </w:r>
          </w:p>
        </w:tc>
        <w:tc>
          <w:tcPr>
            <w:tcW w:w="3686" w:type="dxa"/>
            <w:shd w:val="clear" w:color="auto" w:fill="auto"/>
            <w:vAlign w:val="center"/>
          </w:tcPr>
          <w:p w14:paraId="0F93F570" w14:textId="77777777" w:rsidR="0098427A" w:rsidRPr="001B0EA3" w:rsidRDefault="009F6515" w:rsidP="0098427A">
            <w:pPr>
              <w:spacing w:before="40" w:after="40"/>
              <w:ind w:firstLine="0"/>
              <w:jc w:val="left"/>
              <w:rPr>
                <w:szCs w:val="24"/>
                <w:lang w:eastAsia="en-US"/>
              </w:rPr>
            </w:pPr>
            <w:r w:rsidRPr="001B0EA3">
              <w:rPr>
                <w:szCs w:val="24"/>
                <w:lang w:eastAsia="en-US"/>
              </w:rPr>
              <w:t>Прегрупиране на ресурсите</w:t>
            </w:r>
          </w:p>
        </w:tc>
        <w:tc>
          <w:tcPr>
            <w:tcW w:w="1355" w:type="dxa"/>
            <w:shd w:val="clear" w:color="auto" w:fill="auto"/>
            <w:vAlign w:val="center"/>
          </w:tcPr>
          <w:p w14:paraId="3A3B82EF" w14:textId="77777777" w:rsidR="009F6515" w:rsidRPr="001B0EA3" w:rsidRDefault="009F00A9" w:rsidP="0098427A">
            <w:pPr>
              <w:ind w:firstLine="0"/>
              <w:jc w:val="center"/>
              <w:rPr>
                <w:szCs w:val="24"/>
                <w:lang w:eastAsia="en-US"/>
              </w:rPr>
            </w:pPr>
            <w:r>
              <w:rPr>
                <w:szCs w:val="24"/>
                <w:lang w:eastAsia="en-US"/>
              </w:rPr>
              <w:t>5</w:t>
            </w:r>
            <w:r w:rsidR="009F6515" w:rsidRPr="001B0EA3">
              <w:rPr>
                <w:szCs w:val="24"/>
                <w:lang w:eastAsia="en-US"/>
              </w:rPr>
              <w:t xml:space="preserve"> до 6</w:t>
            </w:r>
          </w:p>
        </w:tc>
        <w:tc>
          <w:tcPr>
            <w:tcW w:w="3269" w:type="dxa"/>
            <w:shd w:val="clear" w:color="auto" w:fill="auto"/>
            <w:vAlign w:val="center"/>
          </w:tcPr>
          <w:p w14:paraId="181ADBF9" w14:textId="77777777" w:rsidR="009F6515" w:rsidRPr="001B0EA3" w:rsidRDefault="009F6515" w:rsidP="0098427A">
            <w:pPr>
              <w:ind w:firstLine="0"/>
              <w:jc w:val="center"/>
              <w:rPr>
                <w:szCs w:val="24"/>
                <w:lang w:eastAsia="en-US"/>
              </w:rPr>
            </w:pPr>
            <w:r w:rsidRPr="001B0EA3">
              <w:rPr>
                <w:szCs w:val="24"/>
                <w:lang w:eastAsia="en-US"/>
              </w:rPr>
              <w:t>Висока</w:t>
            </w:r>
          </w:p>
        </w:tc>
      </w:tr>
    </w:tbl>
    <w:p w14:paraId="12B19D09" w14:textId="77777777" w:rsidR="009F6515" w:rsidRPr="001B0EA3" w:rsidRDefault="009F6515" w:rsidP="00125DAC">
      <w:pPr>
        <w:spacing w:before="120"/>
        <w:ind w:firstLine="709"/>
        <w:rPr>
          <w:szCs w:val="24"/>
          <w:lang w:eastAsia="en-US"/>
        </w:rPr>
      </w:pPr>
    </w:p>
    <w:p w14:paraId="42E22B66" w14:textId="77777777" w:rsidR="00E0240F" w:rsidRPr="001B0EA3" w:rsidRDefault="00E0240F" w:rsidP="00005E4B">
      <w:pPr>
        <w:spacing w:before="120"/>
        <w:rPr>
          <w:szCs w:val="24"/>
          <w:lang w:eastAsia="en-US"/>
        </w:rPr>
      </w:pPr>
      <w:r w:rsidRPr="001B0EA3">
        <w:rPr>
          <w:b/>
          <w:szCs w:val="24"/>
          <w:lang w:eastAsia="en-US"/>
        </w:rPr>
        <w:t xml:space="preserve">Подсилване на дейностите по ограничаване на риска: </w:t>
      </w:r>
      <w:r w:rsidRPr="001B0EA3">
        <w:rPr>
          <w:szCs w:val="24"/>
          <w:lang w:eastAsia="en-US"/>
        </w:rPr>
        <w:t>За рисковете, за които е определена висока стойност, а така също и неефективност на контролите следва да се предприемат действия за подсилване на съществуващия вътрешен контрол и внедряване на допълнителни мерки за ограничаването им.</w:t>
      </w:r>
    </w:p>
    <w:p w14:paraId="79A7CCAE" w14:textId="77777777" w:rsidR="00E0240F" w:rsidRPr="001B0EA3" w:rsidRDefault="00E0240F" w:rsidP="00005E4B">
      <w:pPr>
        <w:numPr>
          <w:ilvl w:val="1"/>
          <w:numId w:val="0"/>
        </w:numPr>
        <w:spacing w:before="120"/>
        <w:ind w:firstLine="851"/>
        <w:rPr>
          <w:szCs w:val="24"/>
          <w:lang w:eastAsia="en-US"/>
        </w:rPr>
      </w:pPr>
      <w:r w:rsidRPr="001B0EA3">
        <w:rPr>
          <w:b/>
          <w:szCs w:val="24"/>
          <w:lang w:eastAsia="en-US"/>
        </w:rPr>
        <w:t xml:space="preserve">Увереност в нивото на подготвеност: </w:t>
      </w:r>
      <w:r w:rsidRPr="001B0EA3">
        <w:rPr>
          <w:szCs w:val="24"/>
          <w:lang w:eastAsia="en-US"/>
        </w:rPr>
        <w:t xml:space="preserve">За рисковете, за които е определена висока стойност и висока ефективност на контролите следва да се изготви план за тестване на съществуващите контроли, за да се постигне увереност, че отдела за когото се отнася този риск/собственика на риска е добре подготвен за ограничаването му.  </w:t>
      </w:r>
    </w:p>
    <w:p w14:paraId="35642D3E" w14:textId="77777777" w:rsidR="00E0240F" w:rsidRPr="001B0EA3" w:rsidRDefault="00E0240F" w:rsidP="00005E4B">
      <w:pPr>
        <w:numPr>
          <w:ilvl w:val="1"/>
          <w:numId w:val="0"/>
        </w:numPr>
        <w:spacing w:before="120"/>
        <w:ind w:firstLine="851"/>
        <w:rPr>
          <w:szCs w:val="24"/>
          <w:lang w:eastAsia="en-US"/>
        </w:rPr>
      </w:pPr>
      <w:r w:rsidRPr="001B0EA3">
        <w:rPr>
          <w:b/>
          <w:szCs w:val="24"/>
          <w:lang w:eastAsia="en-US"/>
        </w:rPr>
        <w:t xml:space="preserve">Измерване на общото въздействие (кумулативен ефект): </w:t>
      </w:r>
      <w:r w:rsidRPr="001B0EA3">
        <w:rPr>
          <w:szCs w:val="24"/>
          <w:lang w:eastAsia="en-US"/>
        </w:rPr>
        <w:t>За рисковете, за които е определена ниска стойност и ниска ефективност на контролите, следва да се изчисли общото им въздействие, за да може при необходимост да се приложат допълнителни мерки за намаляване на остатъчния риск или да се направи план за постоянен мониторинг и периодичен преглед на оценката.</w:t>
      </w:r>
    </w:p>
    <w:p w14:paraId="5F286B14" w14:textId="77777777" w:rsidR="00E0240F" w:rsidRPr="001B0EA3" w:rsidRDefault="00E0240F" w:rsidP="00005E4B">
      <w:pPr>
        <w:numPr>
          <w:ilvl w:val="1"/>
          <w:numId w:val="0"/>
        </w:numPr>
        <w:spacing w:before="120"/>
        <w:ind w:firstLine="851"/>
        <w:rPr>
          <w:szCs w:val="24"/>
          <w:lang w:eastAsia="en-US"/>
        </w:rPr>
      </w:pPr>
      <w:r w:rsidRPr="001B0EA3">
        <w:rPr>
          <w:b/>
          <w:szCs w:val="24"/>
          <w:lang w:eastAsia="en-US"/>
        </w:rPr>
        <w:t xml:space="preserve">Прегрупиране на ресурсите: </w:t>
      </w:r>
      <w:r w:rsidRPr="001B0EA3">
        <w:rPr>
          <w:szCs w:val="24"/>
          <w:lang w:eastAsia="en-US"/>
        </w:rPr>
        <w:t>За рисковете, за които е определена ниска стойност и висока ефективност на контрола, следва да се анализира възможността за прегрупиране на ресурсите, така че да се пренасочат усилия към по-съществените рискове без да се компрометира настоящото ниво на управление и контрол.</w:t>
      </w:r>
    </w:p>
    <w:p w14:paraId="2CA0CA04" w14:textId="77777777" w:rsidR="00E0240F" w:rsidRPr="00743AD1" w:rsidRDefault="00E0240F" w:rsidP="00805ADA">
      <w:pPr>
        <w:pStyle w:val="Style4"/>
        <w:rPr>
          <w:snapToGrid w:val="0"/>
        </w:rPr>
      </w:pPr>
      <w:bookmarkStart w:id="1314" w:name="_Toc247280281"/>
      <w:bookmarkStart w:id="1315" w:name="_Toc249326112"/>
      <w:bookmarkStart w:id="1316" w:name="_Toc479775817"/>
      <w:r w:rsidRPr="00743AD1">
        <w:rPr>
          <w:snapToGrid w:val="0"/>
        </w:rPr>
        <w:t>Разработване на контролни дейности</w:t>
      </w:r>
      <w:bookmarkEnd w:id="1314"/>
      <w:bookmarkEnd w:id="1315"/>
      <w:bookmarkEnd w:id="1316"/>
    </w:p>
    <w:p w14:paraId="2F72B693" w14:textId="77777777" w:rsidR="0086673A" w:rsidRPr="001B0EA3" w:rsidRDefault="00E0240F" w:rsidP="00005E4B">
      <w:pPr>
        <w:spacing w:before="120"/>
        <w:rPr>
          <w:szCs w:val="24"/>
          <w:lang w:eastAsia="en-US"/>
        </w:rPr>
      </w:pPr>
      <w:r w:rsidRPr="001B0EA3">
        <w:rPr>
          <w:szCs w:val="24"/>
          <w:lang w:eastAsia="en-US"/>
        </w:rPr>
        <w:t xml:space="preserve">За рисковете, за които </w:t>
      </w:r>
      <w:r w:rsidR="009F7C55" w:rsidRPr="001B0EA3">
        <w:rPr>
          <w:szCs w:val="24"/>
          <w:lang w:eastAsia="en-US"/>
        </w:rPr>
        <w:t xml:space="preserve">директора на дирекцията и </w:t>
      </w:r>
      <w:r w:rsidRPr="001B0EA3">
        <w:rPr>
          <w:szCs w:val="24"/>
          <w:lang w:eastAsia="en-US"/>
        </w:rPr>
        <w:t xml:space="preserve">началниците на отдели са избрали реакция „Ограничаване”, т.е. прилагане на контрол, се определя съответната цел на контрола. </w:t>
      </w:r>
    </w:p>
    <w:p w14:paraId="5ED2E4F1" w14:textId="77777777" w:rsidR="00E0240F" w:rsidRPr="001B0EA3" w:rsidRDefault="00E0240F" w:rsidP="00005E4B">
      <w:pPr>
        <w:spacing w:before="120"/>
        <w:rPr>
          <w:szCs w:val="24"/>
          <w:lang w:eastAsia="en-US"/>
        </w:rPr>
      </w:pPr>
      <w:r w:rsidRPr="001B0EA3">
        <w:rPr>
          <w:szCs w:val="24"/>
          <w:lang w:eastAsia="en-US"/>
        </w:rPr>
        <w:t>Целите на контрола могат да бъдат:</w:t>
      </w:r>
    </w:p>
    <w:p w14:paraId="5BA5CC96" w14:textId="77777777" w:rsidR="00E0240F" w:rsidRPr="001B0EA3" w:rsidRDefault="00E0240F" w:rsidP="00005E4B">
      <w:pPr>
        <w:numPr>
          <w:ilvl w:val="0"/>
          <w:numId w:val="223"/>
        </w:numPr>
        <w:tabs>
          <w:tab w:val="clear" w:pos="720"/>
          <w:tab w:val="num" w:pos="1134"/>
        </w:tabs>
        <w:autoSpaceDE w:val="0"/>
        <w:autoSpaceDN w:val="0"/>
        <w:adjustRightInd w:val="0"/>
        <w:spacing w:before="120" w:after="200" w:line="276" w:lineRule="auto"/>
        <w:ind w:left="0" w:firstLine="851"/>
        <w:rPr>
          <w:szCs w:val="24"/>
          <w:lang w:eastAsia="en-US"/>
        </w:rPr>
      </w:pPr>
      <w:r w:rsidRPr="001B0EA3">
        <w:rPr>
          <w:szCs w:val="24"/>
          <w:lang w:eastAsia="en-US"/>
        </w:rPr>
        <w:t xml:space="preserve">Съответствие със законодателството, вътрешните актове и договори: </w:t>
      </w:r>
    </w:p>
    <w:p w14:paraId="02A68AEF" w14:textId="77777777" w:rsidR="00E0240F" w:rsidRPr="001B0EA3" w:rsidRDefault="00E0240F" w:rsidP="00005E4B">
      <w:pPr>
        <w:tabs>
          <w:tab w:val="num" w:pos="1134"/>
        </w:tabs>
        <w:autoSpaceDE w:val="0"/>
        <w:autoSpaceDN w:val="0"/>
        <w:adjustRightInd w:val="0"/>
        <w:spacing w:before="120"/>
        <w:rPr>
          <w:color w:val="000000"/>
          <w:szCs w:val="24"/>
          <w:lang w:eastAsia="en-US"/>
        </w:rPr>
      </w:pPr>
      <w:r w:rsidRPr="001B0EA3">
        <w:rPr>
          <w:color w:val="000000"/>
          <w:szCs w:val="24"/>
          <w:lang w:eastAsia="en-US"/>
        </w:rPr>
        <w:t xml:space="preserve">Ръководителите са длъжни да осигурят спазване от страна на всички служители на приложимото законодателство, вкл. вътрешните актове и договорите, по които те са страни. </w:t>
      </w:r>
    </w:p>
    <w:p w14:paraId="4A2CB0A4" w14:textId="77777777" w:rsidR="00E0240F" w:rsidRPr="001B0EA3" w:rsidRDefault="00E0240F" w:rsidP="00005E4B">
      <w:pPr>
        <w:numPr>
          <w:ilvl w:val="0"/>
          <w:numId w:val="223"/>
        </w:numPr>
        <w:tabs>
          <w:tab w:val="clear" w:pos="720"/>
          <w:tab w:val="num" w:pos="1134"/>
        </w:tabs>
        <w:autoSpaceDE w:val="0"/>
        <w:autoSpaceDN w:val="0"/>
        <w:adjustRightInd w:val="0"/>
        <w:spacing w:before="120" w:after="200" w:line="276" w:lineRule="auto"/>
        <w:ind w:left="0" w:firstLine="851"/>
        <w:rPr>
          <w:szCs w:val="24"/>
          <w:lang w:eastAsia="en-US"/>
        </w:rPr>
      </w:pPr>
      <w:r w:rsidRPr="001B0EA3">
        <w:rPr>
          <w:szCs w:val="24"/>
          <w:lang w:eastAsia="en-US"/>
        </w:rPr>
        <w:t xml:space="preserve">Надеждност и всеобхватност на финансовата и оперативна информация: </w:t>
      </w:r>
    </w:p>
    <w:p w14:paraId="2F8157CD" w14:textId="77777777" w:rsidR="00E0240F" w:rsidRPr="001B0EA3" w:rsidRDefault="00E0240F" w:rsidP="00005E4B">
      <w:pPr>
        <w:tabs>
          <w:tab w:val="num" w:pos="1134"/>
        </w:tabs>
        <w:autoSpaceDE w:val="0"/>
        <w:autoSpaceDN w:val="0"/>
        <w:adjustRightInd w:val="0"/>
        <w:spacing w:before="120"/>
        <w:rPr>
          <w:szCs w:val="24"/>
          <w:lang w:eastAsia="en-US"/>
        </w:rPr>
      </w:pPr>
      <w:r w:rsidRPr="001B0EA3">
        <w:rPr>
          <w:szCs w:val="24"/>
          <w:lang w:eastAsia="en-US"/>
        </w:rPr>
        <w:t xml:space="preserve">Ръководителите на организациите организират регистрирането и комуникацията на достатъчна, уместна, надеждна, полезна и своевременна информация. Създаваната, съхраняваната, ползваната и предоставяната от дадена организация информация има както финансов, така и нефинансов характер. </w:t>
      </w:r>
    </w:p>
    <w:p w14:paraId="10122440" w14:textId="77777777" w:rsidR="00E0240F" w:rsidRPr="001B0EA3" w:rsidRDefault="00E0240F" w:rsidP="00005E4B">
      <w:pPr>
        <w:numPr>
          <w:ilvl w:val="0"/>
          <w:numId w:val="223"/>
        </w:numPr>
        <w:tabs>
          <w:tab w:val="clear" w:pos="720"/>
          <w:tab w:val="num" w:pos="1134"/>
        </w:tabs>
        <w:autoSpaceDE w:val="0"/>
        <w:autoSpaceDN w:val="0"/>
        <w:adjustRightInd w:val="0"/>
        <w:spacing w:before="120" w:after="200" w:line="276" w:lineRule="auto"/>
        <w:ind w:left="0" w:firstLine="851"/>
        <w:rPr>
          <w:szCs w:val="24"/>
          <w:lang w:eastAsia="en-US"/>
        </w:rPr>
      </w:pPr>
      <w:r w:rsidRPr="001B0EA3">
        <w:rPr>
          <w:szCs w:val="24"/>
          <w:lang w:eastAsia="en-US"/>
        </w:rPr>
        <w:t xml:space="preserve">Икономичност, ефективност и ефикасност на дейностите: </w:t>
      </w:r>
    </w:p>
    <w:p w14:paraId="23055763" w14:textId="77777777" w:rsidR="00E0240F" w:rsidRPr="001B0EA3" w:rsidRDefault="00E0240F" w:rsidP="00005E4B">
      <w:pPr>
        <w:tabs>
          <w:tab w:val="num" w:pos="1134"/>
        </w:tabs>
        <w:autoSpaceDE w:val="0"/>
        <w:autoSpaceDN w:val="0"/>
        <w:adjustRightInd w:val="0"/>
        <w:spacing w:before="120"/>
        <w:rPr>
          <w:szCs w:val="24"/>
          <w:lang w:eastAsia="en-US"/>
        </w:rPr>
      </w:pPr>
      <w:r w:rsidRPr="001B0EA3">
        <w:rPr>
          <w:szCs w:val="24"/>
          <w:lang w:eastAsia="en-US"/>
        </w:rPr>
        <w:t xml:space="preserve">Икономичност означава необходимите ресурси за осъществяване дейността на организацията да се придобиват с най-малки разходи и при спазване на изискванията за качество, количество и своевременност. </w:t>
      </w:r>
    </w:p>
    <w:p w14:paraId="1EF623EB" w14:textId="77777777" w:rsidR="00E0240F" w:rsidRPr="001B0EA3" w:rsidRDefault="00E0240F" w:rsidP="00005E4B">
      <w:pPr>
        <w:tabs>
          <w:tab w:val="num" w:pos="1134"/>
        </w:tabs>
        <w:autoSpaceDE w:val="0"/>
        <w:autoSpaceDN w:val="0"/>
        <w:adjustRightInd w:val="0"/>
        <w:spacing w:before="120"/>
        <w:rPr>
          <w:szCs w:val="24"/>
          <w:lang w:eastAsia="en-US"/>
        </w:rPr>
      </w:pPr>
      <w:r w:rsidRPr="001B0EA3">
        <w:rPr>
          <w:szCs w:val="24"/>
          <w:lang w:eastAsia="en-US"/>
        </w:rPr>
        <w:t xml:space="preserve">Ефективността е степен на постигане на целите, при съпоставяне на действителните и очакваните резултати. </w:t>
      </w:r>
    </w:p>
    <w:p w14:paraId="63CCB5A0" w14:textId="77777777" w:rsidR="00E0240F" w:rsidRPr="001B0EA3" w:rsidRDefault="00E0240F" w:rsidP="00005E4B">
      <w:pPr>
        <w:tabs>
          <w:tab w:val="num" w:pos="1134"/>
        </w:tabs>
        <w:autoSpaceDE w:val="0"/>
        <w:autoSpaceDN w:val="0"/>
        <w:adjustRightInd w:val="0"/>
        <w:spacing w:before="120"/>
        <w:rPr>
          <w:szCs w:val="24"/>
          <w:lang w:eastAsia="en-US"/>
        </w:rPr>
      </w:pPr>
      <w:r w:rsidRPr="001B0EA3">
        <w:rPr>
          <w:szCs w:val="24"/>
          <w:lang w:eastAsia="en-US"/>
        </w:rPr>
        <w:t xml:space="preserve">Ефикасност е постигането на максимални резултати от използваните ресурси при осъществяване дейността на организацията. </w:t>
      </w:r>
    </w:p>
    <w:p w14:paraId="3F60B15D" w14:textId="77777777" w:rsidR="00E0240F" w:rsidRPr="001B0EA3" w:rsidRDefault="00E0240F" w:rsidP="00005E4B">
      <w:pPr>
        <w:numPr>
          <w:ilvl w:val="0"/>
          <w:numId w:val="223"/>
        </w:numPr>
        <w:tabs>
          <w:tab w:val="clear" w:pos="720"/>
          <w:tab w:val="num" w:pos="1134"/>
        </w:tabs>
        <w:autoSpaceDE w:val="0"/>
        <w:autoSpaceDN w:val="0"/>
        <w:adjustRightInd w:val="0"/>
        <w:spacing w:before="120" w:after="200" w:line="276" w:lineRule="auto"/>
        <w:ind w:left="0" w:firstLine="851"/>
        <w:rPr>
          <w:szCs w:val="24"/>
          <w:lang w:eastAsia="en-US"/>
        </w:rPr>
      </w:pPr>
      <w:r w:rsidRPr="001B0EA3">
        <w:rPr>
          <w:szCs w:val="24"/>
          <w:lang w:eastAsia="en-US"/>
        </w:rPr>
        <w:t xml:space="preserve">Опазване на активите и информацията: </w:t>
      </w:r>
    </w:p>
    <w:p w14:paraId="7B810862" w14:textId="77777777" w:rsidR="00E0240F" w:rsidRPr="001B0EA3" w:rsidRDefault="00E0240F" w:rsidP="00005E4B">
      <w:pPr>
        <w:tabs>
          <w:tab w:val="num" w:pos="1134"/>
        </w:tabs>
        <w:autoSpaceDE w:val="0"/>
        <w:autoSpaceDN w:val="0"/>
        <w:adjustRightInd w:val="0"/>
        <w:spacing w:before="120"/>
        <w:rPr>
          <w:szCs w:val="24"/>
          <w:lang w:eastAsia="en-US"/>
        </w:rPr>
      </w:pPr>
      <w:r w:rsidRPr="001B0EA3">
        <w:rPr>
          <w:szCs w:val="24"/>
          <w:lang w:eastAsia="en-US"/>
        </w:rPr>
        <w:t xml:space="preserve">Придобиването, използването и разпореждането с активите и информацията изискват специални грижи от страна на ръководителите. Изграденият вътрешен контрол трябва да </w:t>
      </w:r>
      <w:r w:rsidRPr="001B0EA3">
        <w:rPr>
          <w:szCs w:val="24"/>
          <w:lang w:eastAsia="en-US"/>
        </w:rPr>
        <w:lastRenderedPageBreak/>
        <w:t>гарантира опазването на активите и информацията и да действа превантивно срещу кражби, злоупотреби, унищожаване и други неправомерни действия. Ръководителите трябва да обърнат специално внимание на опазването на активите и информацията във връзка с развитието на информационните технологии и тяхното прилагане в организациите от публичния сектор.</w:t>
      </w:r>
    </w:p>
    <w:p w14:paraId="202BA25F" w14:textId="77777777" w:rsidR="00E0240F" w:rsidRDefault="00E0240F" w:rsidP="00005E4B">
      <w:pPr>
        <w:tabs>
          <w:tab w:val="num" w:pos="1134"/>
        </w:tabs>
        <w:autoSpaceDE w:val="0"/>
        <w:autoSpaceDN w:val="0"/>
        <w:adjustRightInd w:val="0"/>
        <w:spacing w:before="120"/>
        <w:rPr>
          <w:szCs w:val="24"/>
          <w:lang w:eastAsia="en-US"/>
        </w:rPr>
      </w:pPr>
      <w:r w:rsidRPr="001B0EA3">
        <w:rPr>
          <w:szCs w:val="24"/>
          <w:lang w:eastAsia="en-US"/>
        </w:rPr>
        <w:t>Преди въвеждането на нови контролни дейности следва да се изготвя анализ разходи/ползи за всяка предложена контролна дейност. Анализът включва както определяне на влиянието от въвеждането на новите или подсилените контроли, така и определяне на в</w:t>
      </w:r>
      <w:r w:rsidR="00005E4B">
        <w:rPr>
          <w:szCs w:val="24"/>
          <w:lang w:eastAsia="en-US"/>
        </w:rPr>
        <w:t>лиянието от невъвеждането им.</w:t>
      </w:r>
    </w:p>
    <w:p w14:paraId="4500D946" w14:textId="77777777" w:rsidR="00005E4B" w:rsidRPr="001B0EA3" w:rsidRDefault="00005E4B" w:rsidP="00005E4B">
      <w:pPr>
        <w:tabs>
          <w:tab w:val="num" w:pos="1134"/>
        </w:tabs>
        <w:autoSpaceDE w:val="0"/>
        <w:autoSpaceDN w:val="0"/>
        <w:adjustRightInd w:val="0"/>
        <w:spacing w:before="120"/>
        <w:rPr>
          <w:szCs w:val="24"/>
          <w:lang w:eastAsia="en-US"/>
        </w:rPr>
      </w:pPr>
    </w:p>
    <w:p w14:paraId="4C9C2633" w14:textId="77777777" w:rsidR="00E0240F" w:rsidRPr="00743AD1" w:rsidRDefault="00E0240F" w:rsidP="00805ADA">
      <w:pPr>
        <w:pStyle w:val="Style4"/>
        <w:rPr>
          <w:snapToGrid w:val="0"/>
        </w:rPr>
      </w:pPr>
      <w:bookmarkStart w:id="1317" w:name="_Toc479775818"/>
      <w:r w:rsidRPr="00743AD1">
        <w:rPr>
          <w:snapToGrid w:val="0"/>
        </w:rPr>
        <w:t>Изготвяне на план за действие</w:t>
      </w:r>
      <w:bookmarkEnd w:id="1317"/>
    </w:p>
    <w:p w14:paraId="1D724F37" w14:textId="77777777" w:rsidR="009F6515" w:rsidRPr="001B0EA3" w:rsidRDefault="009F6515" w:rsidP="00005E4B">
      <w:pPr>
        <w:spacing w:before="120"/>
        <w:rPr>
          <w:szCs w:val="24"/>
          <w:lang w:eastAsia="en-US"/>
        </w:rPr>
      </w:pPr>
      <w:r w:rsidRPr="001B0EA3">
        <w:rPr>
          <w:szCs w:val="24"/>
          <w:lang w:eastAsia="en-US"/>
        </w:rPr>
        <w:t xml:space="preserve">Мерките, които ще бъдат предприети за ограничаване на всеки идентифициран риск, определен като неприемлив за УО на ОПТТИ (с оценка на остатъчен риск от 9 или повече), се включват в Плана за действие. Планът за действие се съгласува от началниците на отдели и </w:t>
      </w:r>
      <w:r w:rsidR="00D70C8A" w:rsidRPr="001B0EA3">
        <w:rPr>
          <w:szCs w:val="24"/>
          <w:lang w:eastAsia="en-US"/>
        </w:rPr>
        <w:t xml:space="preserve">директора на дирекция „Координация на програми и проекти“ </w:t>
      </w:r>
      <w:r w:rsidRPr="001B0EA3">
        <w:rPr>
          <w:szCs w:val="24"/>
          <w:lang w:eastAsia="en-US"/>
        </w:rPr>
        <w:t>и се одобрява от Ръководителя на УО.</w:t>
      </w:r>
    </w:p>
    <w:p w14:paraId="4555BEE8" w14:textId="77777777" w:rsidR="00E0240F" w:rsidRPr="001B0EA3" w:rsidRDefault="00E0240F" w:rsidP="00005E4B">
      <w:pPr>
        <w:tabs>
          <w:tab w:val="left" w:pos="1134"/>
        </w:tabs>
        <w:spacing w:before="120"/>
        <w:rPr>
          <w:szCs w:val="24"/>
          <w:lang w:eastAsia="en-US"/>
        </w:rPr>
      </w:pPr>
      <w:r w:rsidRPr="001B0EA3">
        <w:rPr>
          <w:b/>
          <w:bCs/>
          <w:szCs w:val="24"/>
          <w:lang w:eastAsia="en-US"/>
        </w:rPr>
        <w:t>Планът за действие има следните характеристики</w:t>
      </w:r>
      <w:r w:rsidRPr="001B0EA3">
        <w:rPr>
          <w:szCs w:val="24"/>
          <w:lang w:eastAsia="en-US"/>
        </w:rPr>
        <w:t>:</w:t>
      </w:r>
    </w:p>
    <w:p w14:paraId="0589A087" w14:textId="77777777" w:rsidR="00E0240F" w:rsidRPr="001B0EA3" w:rsidRDefault="00E0240F" w:rsidP="00005E4B">
      <w:pPr>
        <w:numPr>
          <w:ilvl w:val="0"/>
          <w:numId w:val="219"/>
        </w:numPr>
        <w:tabs>
          <w:tab w:val="left" w:pos="851"/>
          <w:tab w:val="left" w:pos="1134"/>
        </w:tabs>
        <w:spacing w:before="120" w:after="200" w:line="276" w:lineRule="auto"/>
        <w:ind w:left="0" w:firstLine="851"/>
        <w:contextualSpacing/>
        <w:rPr>
          <w:bCs/>
          <w:szCs w:val="24"/>
          <w:lang w:eastAsia="bg-BG"/>
        </w:rPr>
      </w:pPr>
      <w:r w:rsidRPr="001B0EA3">
        <w:rPr>
          <w:bCs/>
          <w:szCs w:val="24"/>
          <w:lang w:eastAsia="bg-BG"/>
        </w:rPr>
        <w:t>Включва ясно дефинирани отговорности;</w:t>
      </w:r>
    </w:p>
    <w:p w14:paraId="0BE01125" w14:textId="77777777" w:rsidR="00E0240F" w:rsidRPr="001B0EA3" w:rsidRDefault="00E0240F" w:rsidP="00005E4B">
      <w:pPr>
        <w:numPr>
          <w:ilvl w:val="0"/>
          <w:numId w:val="219"/>
        </w:numPr>
        <w:tabs>
          <w:tab w:val="left" w:pos="851"/>
          <w:tab w:val="left" w:pos="1134"/>
        </w:tabs>
        <w:spacing w:before="120" w:after="200" w:line="276" w:lineRule="auto"/>
        <w:ind w:left="0" w:firstLine="851"/>
        <w:contextualSpacing/>
        <w:rPr>
          <w:bCs/>
          <w:szCs w:val="24"/>
          <w:lang w:eastAsia="bg-BG"/>
        </w:rPr>
      </w:pPr>
      <w:r w:rsidRPr="001B0EA3">
        <w:rPr>
          <w:bCs/>
          <w:szCs w:val="24"/>
          <w:lang w:eastAsia="bg-BG"/>
        </w:rPr>
        <w:t>Предвижда постижими, реалистични, прецизни и стриктни крайни срокове за изпълнение;</w:t>
      </w:r>
    </w:p>
    <w:p w14:paraId="2DFE7177" w14:textId="77777777" w:rsidR="00E0240F" w:rsidRPr="001B0EA3" w:rsidRDefault="00E0240F" w:rsidP="00005E4B">
      <w:pPr>
        <w:numPr>
          <w:ilvl w:val="0"/>
          <w:numId w:val="219"/>
        </w:numPr>
        <w:tabs>
          <w:tab w:val="left" w:pos="851"/>
          <w:tab w:val="left" w:pos="1134"/>
        </w:tabs>
        <w:spacing w:before="120" w:after="200" w:line="276" w:lineRule="auto"/>
        <w:ind w:left="0" w:firstLine="851"/>
        <w:contextualSpacing/>
        <w:rPr>
          <w:bCs/>
          <w:szCs w:val="24"/>
          <w:lang w:eastAsia="bg-BG"/>
        </w:rPr>
      </w:pPr>
      <w:r w:rsidRPr="001B0EA3">
        <w:rPr>
          <w:bCs/>
          <w:szCs w:val="24"/>
          <w:lang w:eastAsia="bg-BG"/>
        </w:rPr>
        <w:t>Мотивира служителите и създава чувство за лична отговорност и „собственост” на риска (т.е. определят се канали за комуникация, дейностите се обсъждат, анализират се мнения , предложения и оценки, за да може всеки включен в процеса да е напълно убеден, че дейностите, включени в плана са най-подходящите и най-добрите);</w:t>
      </w:r>
    </w:p>
    <w:p w14:paraId="15539E7A" w14:textId="77777777" w:rsidR="00E0240F" w:rsidRPr="001B0EA3" w:rsidRDefault="00E0240F" w:rsidP="00005E4B">
      <w:pPr>
        <w:numPr>
          <w:ilvl w:val="0"/>
          <w:numId w:val="219"/>
        </w:numPr>
        <w:tabs>
          <w:tab w:val="left" w:pos="851"/>
          <w:tab w:val="left" w:pos="1134"/>
        </w:tabs>
        <w:spacing w:before="120" w:after="200" w:line="276" w:lineRule="auto"/>
        <w:ind w:left="0" w:firstLine="851"/>
        <w:contextualSpacing/>
        <w:rPr>
          <w:bCs/>
          <w:szCs w:val="24"/>
          <w:lang w:eastAsia="bg-BG"/>
        </w:rPr>
      </w:pPr>
      <w:r w:rsidRPr="001B0EA3">
        <w:rPr>
          <w:bCs/>
          <w:szCs w:val="24"/>
          <w:lang w:eastAsia="bg-BG"/>
        </w:rPr>
        <w:t>Определя и разграничава функциите, свързани с ръководството, изпълнението и надзора на дейностите, както и линиите на докладване между тях;</w:t>
      </w:r>
    </w:p>
    <w:p w14:paraId="43F3634B" w14:textId="77777777" w:rsidR="00E0240F" w:rsidRPr="001B0EA3" w:rsidRDefault="00E0240F" w:rsidP="00005E4B">
      <w:pPr>
        <w:numPr>
          <w:ilvl w:val="0"/>
          <w:numId w:val="219"/>
        </w:numPr>
        <w:tabs>
          <w:tab w:val="left" w:pos="851"/>
          <w:tab w:val="left" w:pos="1134"/>
        </w:tabs>
        <w:spacing w:before="120" w:after="200" w:line="276" w:lineRule="auto"/>
        <w:ind w:left="0" w:firstLine="851"/>
        <w:contextualSpacing/>
        <w:rPr>
          <w:bCs/>
          <w:szCs w:val="24"/>
          <w:lang w:eastAsia="bg-BG"/>
        </w:rPr>
      </w:pPr>
      <w:r w:rsidRPr="001B0EA3">
        <w:rPr>
          <w:bCs/>
          <w:szCs w:val="24"/>
          <w:lang w:eastAsia="bg-BG"/>
        </w:rPr>
        <w:t>Позволява лесно и обективно проследяване на напредъка, докладване и отчетност, като отбелязва етапи на изпълнение и ключови индикатори за измерване на представянето.</w:t>
      </w:r>
    </w:p>
    <w:p w14:paraId="6B351E31" w14:textId="77777777" w:rsidR="00E0240F" w:rsidRPr="00842ECC" w:rsidRDefault="00E0240F" w:rsidP="00005E4B">
      <w:pPr>
        <w:tabs>
          <w:tab w:val="left" w:pos="1134"/>
        </w:tabs>
        <w:spacing w:before="120"/>
        <w:rPr>
          <w:szCs w:val="24"/>
          <w:lang w:eastAsia="en-US"/>
        </w:rPr>
      </w:pPr>
      <w:r w:rsidRPr="001B0EA3">
        <w:rPr>
          <w:szCs w:val="24"/>
          <w:lang w:eastAsia="en-US"/>
        </w:rPr>
        <w:t>Приетия</w:t>
      </w:r>
      <w:r w:rsidR="0086673A" w:rsidRPr="001B0EA3">
        <w:rPr>
          <w:szCs w:val="24"/>
          <w:lang w:eastAsia="en-US"/>
        </w:rPr>
        <w:t>т</w:t>
      </w:r>
      <w:r w:rsidRPr="001B0EA3">
        <w:rPr>
          <w:szCs w:val="24"/>
          <w:lang w:eastAsia="en-US"/>
        </w:rPr>
        <w:t xml:space="preserve"> образец на плана за действие е представен в </w:t>
      </w:r>
      <w:hyperlink r:id="rId304" w:tooltip="План за действие за въвеждане на ефективни и пропорционални мерки за борба с измамите" w:history="1">
        <w:r w:rsidR="00AE381A" w:rsidRPr="00251D03">
          <w:rPr>
            <w:rStyle w:val="Hyperlink"/>
            <w:i/>
            <w:szCs w:val="24"/>
            <w:lang w:eastAsia="en-US"/>
          </w:rPr>
          <w:t>Приложение № 8.04</w:t>
        </w:r>
      </w:hyperlink>
      <w:r w:rsidR="000A2904" w:rsidRPr="00842ECC">
        <w:rPr>
          <w:i/>
          <w:szCs w:val="24"/>
          <w:lang w:eastAsia="en-US"/>
        </w:rPr>
        <w:t>.</w:t>
      </w:r>
    </w:p>
    <w:p w14:paraId="6FD437DB" w14:textId="77777777" w:rsidR="009F6515" w:rsidRDefault="009F6515" w:rsidP="00005E4B">
      <w:pPr>
        <w:tabs>
          <w:tab w:val="left" w:pos="1134"/>
        </w:tabs>
        <w:spacing w:before="120"/>
        <w:rPr>
          <w:szCs w:val="24"/>
          <w:lang w:eastAsia="en-US"/>
        </w:rPr>
      </w:pPr>
      <w:bookmarkStart w:id="1318" w:name="_Toc247280284"/>
      <w:bookmarkStart w:id="1319" w:name="_Toc249326115"/>
      <w:r w:rsidRPr="001B0EA3">
        <w:rPr>
          <w:szCs w:val="24"/>
          <w:lang w:eastAsia="en-US"/>
        </w:rPr>
        <w:t xml:space="preserve">Мерките за управление на рисковете с остатъчна стойност под 9, за които е необходимо да се предприемат действия за подсилване на съществуващия вътрешен контрол и/или внедряване на допълнителни мерки за ограничаването им, се отразяват в план за действие изготвен съгласно образеца от </w:t>
      </w:r>
      <w:hyperlink r:id="rId305" w:tooltip="План за действие за въвеждане на ефективни и пропорционални мерки за борба с измамите" w:history="1">
        <w:r w:rsidR="00AE381A" w:rsidRPr="00251D03">
          <w:rPr>
            <w:rStyle w:val="Hyperlink"/>
            <w:i/>
            <w:szCs w:val="24"/>
            <w:lang w:eastAsia="en-US"/>
          </w:rPr>
          <w:t>Приложение № 8.04</w:t>
        </w:r>
      </w:hyperlink>
      <w:r w:rsidRPr="001B0EA3">
        <w:rPr>
          <w:szCs w:val="24"/>
          <w:lang w:eastAsia="en-US"/>
        </w:rPr>
        <w:t xml:space="preserve">,  който се съгласува от началниците на отдели </w:t>
      </w:r>
      <w:r w:rsidR="00844179" w:rsidRPr="00844179">
        <w:rPr>
          <w:szCs w:val="24"/>
          <w:lang w:eastAsia="en-US"/>
        </w:rPr>
        <w:t xml:space="preserve">за които се отнасят допълнителните дейности </w:t>
      </w:r>
      <w:r w:rsidRPr="001B0EA3">
        <w:rPr>
          <w:szCs w:val="24"/>
          <w:lang w:eastAsia="en-US"/>
        </w:rPr>
        <w:t xml:space="preserve">и се одобрява от </w:t>
      </w:r>
      <w:r w:rsidR="009F7C55" w:rsidRPr="001B0EA3">
        <w:rPr>
          <w:szCs w:val="24"/>
          <w:lang w:eastAsia="en-US"/>
        </w:rPr>
        <w:t>директора на дирекцията</w:t>
      </w:r>
      <w:r w:rsidR="00005E4B">
        <w:rPr>
          <w:szCs w:val="24"/>
          <w:lang w:eastAsia="en-US"/>
        </w:rPr>
        <w:t>.</w:t>
      </w:r>
    </w:p>
    <w:p w14:paraId="3B6FC8B7" w14:textId="77777777" w:rsidR="00005E4B" w:rsidRPr="001B0EA3" w:rsidRDefault="00005E4B" w:rsidP="00005E4B">
      <w:pPr>
        <w:tabs>
          <w:tab w:val="left" w:pos="1134"/>
        </w:tabs>
        <w:spacing w:before="120"/>
        <w:rPr>
          <w:szCs w:val="24"/>
          <w:lang w:eastAsia="en-US"/>
        </w:rPr>
      </w:pPr>
    </w:p>
    <w:p w14:paraId="4A73ED92" w14:textId="77777777" w:rsidR="00E0240F" w:rsidRPr="00844A00" w:rsidRDefault="00E0240F" w:rsidP="00805ADA">
      <w:pPr>
        <w:pStyle w:val="Style3"/>
        <w:rPr>
          <w:snapToGrid w:val="0"/>
        </w:rPr>
      </w:pPr>
      <w:bookmarkStart w:id="1320" w:name="_Toc479775819"/>
      <w:r w:rsidRPr="00844A00">
        <w:rPr>
          <w:snapToGrid w:val="0"/>
        </w:rPr>
        <w:t>Докладване</w:t>
      </w:r>
      <w:bookmarkEnd w:id="1318"/>
      <w:bookmarkEnd w:id="1319"/>
      <w:r w:rsidRPr="00844A00">
        <w:rPr>
          <w:snapToGrid w:val="0"/>
        </w:rPr>
        <w:t xml:space="preserve">, </w:t>
      </w:r>
      <w:r w:rsidR="00B21620" w:rsidRPr="00844A00">
        <w:rPr>
          <w:snapToGrid w:val="0"/>
        </w:rPr>
        <w:t>наблюдение</w:t>
      </w:r>
      <w:r w:rsidRPr="00844A00">
        <w:rPr>
          <w:snapToGrid w:val="0"/>
        </w:rPr>
        <w:t xml:space="preserve"> и преглед</w:t>
      </w:r>
      <w:bookmarkEnd w:id="1320"/>
    </w:p>
    <w:p w14:paraId="5C6DD2C1" w14:textId="77777777" w:rsidR="00E0240F" w:rsidRPr="001B0EA3" w:rsidRDefault="00E0240F" w:rsidP="00005E4B">
      <w:pPr>
        <w:rPr>
          <w:lang w:eastAsia="en-US"/>
        </w:rPr>
      </w:pPr>
      <w:r w:rsidRPr="001B0EA3">
        <w:rPr>
          <w:lang w:eastAsia="en-US"/>
        </w:rPr>
        <w:t>След като стратегията за отговор на риска е определена, е необходимо постоянно наблюдение с цел да се гарантира, че тя е въведена и работи успешно. Мониторингът (наблюдението) е най-важната стъпка от цялостния процес на управление на риска, тъй като осигурява ранно предупреждение за рисковете, които могат да се сбъднат и материализират.</w:t>
      </w:r>
    </w:p>
    <w:p w14:paraId="7C3B1259" w14:textId="77777777" w:rsidR="00C17645" w:rsidRPr="001B0EA3" w:rsidRDefault="00C17645" w:rsidP="00367AD2">
      <w:pPr>
        <w:spacing w:before="120"/>
        <w:jc w:val="left"/>
        <w:rPr>
          <w:b/>
          <w:szCs w:val="24"/>
          <w:lang w:eastAsia="en-US"/>
        </w:rPr>
      </w:pPr>
      <w:r w:rsidRPr="001B0EA3">
        <w:rPr>
          <w:b/>
          <w:szCs w:val="24"/>
          <w:lang w:eastAsia="en-US"/>
        </w:rPr>
        <w:t>а)</w:t>
      </w:r>
      <w:r w:rsidR="00460AB8" w:rsidRPr="001B0EA3">
        <w:rPr>
          <w:b/>
          <w:szCs w:val="24"/>
          <w:lang w:eastAsia="en-US"/>
        </w:rPr>
        <w:t xml:space="preserve"> </w:t>
      </w:r>
      <w:r w:rsidR="008C65D0" w:rsidRPr="001B0EA3">
        <w:rPr>
          <w:b/>
          <w:szCs w:val="24"/>
          <w:lang w:eastAsia="en-US"/>
        </w:rPr>
        <w:t>М</w:t>
      </w:r>
      <w:r w:rsidR="00460AB8" w:rsidRPr="001B0EA3">
        <w:rPr>
          <w:b/>
          <w:szCs w:val="24"/>
          <w:lang w:eastAsia="en-US"/>
        </w:rPr>
        <w:t>ониторинг</w:t>
      </w:r>
    </w:p>
    <w:p w14:paraId="013BD12E" w14:textId="77777777" w:rsidR="00E0240F" w:rsidRPr="001B0EA3" w:rsidRDefault="00E0240F" w:rsidP="00005E4B">
      <w:pPr>
        <w:tabs>
          <w:tab w:val="left" w:pos="1134"/>
        </w:tabs>
        <w:spacing w:before="120"/>
        <w:rPr>
          <w:szCs w:val="24"/>
          <w:lang w:eastAsia="en-US"/>
        </w:rPr>
      </w:pPr>
      <w:r w:rsidRPr="001B0EA3">
        <w:rPr>
          <w:szCs w:val="24"/>
          <w:lang w:eastAsia="en-US"/>
        </w:rPr>
        <w:t>Следните техники трябва да бъдат използвани, с цел да се подпомогне процесът по мониторинг (наблюдение) на рисковете:</w:t>
      </w:r>
    </w:p>
    <w:p w14:paraId="6ED4741A" w14:textId="77777777" w:rsidR="00E0240F" w:rsidRPr="001B0EA3" w:rsidRDefault="00E0240F" w:rsidP="00005E4B">
      <w:pPr>
        <w:widowControl w:val="0"/>
        <w:numPr>
          <w:ilvl w:val="0"/>
          <w:numId w:val="221"/>
        </w:numPr>
        <w:tabs>
          <w:tab w:val="left" w:pos="851"/>
          <w:tab w:val="left" w:pos="1134"/>
        </w:tabs>
        <w:adjustRightInd w:val="0"/>
        <w:spacing w:before="120" w:after="200" w:line="276" w:lineRule="auto"/>
        <w:ind w:left="0" w:firstLine="851"/>
        <w:contextualSpacing/>
        <w:textAlignment w:val="baseline"/>
        <w:rPr>
          <w:b/>
          <w:bCs/>
          <w:i/>
          <w:szCs w:val="24"/>
          <w:lang w:eastAsia="bg-BG"/>
        </w:rPr>
      </w:pPr>
      <w:r w:rsidRPr="001B0EA3">
        <w:rPr>
          <w:b/>
          <w:bCs/>
          <w:i/>
          <w:szCs w:val="24"/>
          <w:lang w:eastAsia="bg-BG"/>
        </w:rPr>
        <w:t xml:space="preserve">Напредъкът по отношение на ограничаването на риска следва да бъде </w:t>
      </w:r>
      <w:r w:rsidRPr="001B0EA3">
        <w:rPr>
          <w:b/>
          <w:bCs/>
          <w:i/>
          <w:szCs w:val="24"/>
          <w:lang w:eastAsia="bg-BG"/>
        </w:rPr>
        <w:lastRenderedPageBreak/>
        <w:t xml:space="preserve">обсъждан на редовни срещи във всеки отдел;  </w:t>
      </w:r>
    </w:p>
    <w:p w14:paraId="6776F198" w14:textId="77777777" w:rsidR="0086673A" w:rsidRPr="001B0EA3" w:rsidRDefault="00E0240F" w:rsidP="00005E4B">
      <w:pPr>
        <w:widowControl w:val="0"/>
        <w:numPr>
          <w:ilvl w:val="0"/>
          <w:numId w:val="221"/>
        </w:numPr>
        <w:tabs>
          <w:tab w:val="left" w:pos="851"/>
          <w:tab w:val="left" w:pos="1134"/>
        </w:tabs>
        <w:adjustRightInd w:val="0"/>
        <w:spacing w:before="120" w:after="200" w:line="276" w:lineRule="auto"/>
        <w:ind w:left="0" w:firstLine="851"/>
        <w:contextualSpacing/>
        <w:textAlignment w:val="baseline"/>
        <w:rPr>
          <w:b/>
          <w:bCs/>
          <w:i/>
          <w:szCs w:val="24"/>
          <w:lang w:eastAsia="bg-BG"/>
        </w:rPr>
      </w:pPr>
      <w:r w:rsidRPr="001B0EA3">
        <w:rPr>
          <w:b/>
          <w:bCs/>
          <w:i/>
          <w:szCs w:val="24"/>
          <w:lang w:eastAsia="bg-BG"/>
        </w:rPr>
        <w:t>Всеки отдел трябва редовно да докладва за прогреса на изпълнение на плана за действие при провеждането на срещите по управление на риска.</w:t>
      </w:r>
    </w:p>
    <w:p w14:paraId="591F4C07" w14:textId="42707605" w:rsidR="008C65D0" w:rsidRPr="001B0EA3" w:rsidRDefault="0086673A" w:rsidP="00005E4B">
      <w:pPr>
        <w:widowControl w:val="0"/>
        <w:numPr>
          <w:ilvl w:val="0"/>
          <w:numId w:val="221"/>
        </w:numPr>
        <w:tabs>
          <w:tab w:val="left" w:pos="851"/>
          <w:tab w:val="left" w:pos="1134"/>
        </w:tabs>
        <w:adjustRightInd w:val="0"/>
        <w:spacing w:before="120" w:after="200" w:line="276" w:lineRule="auto"/>
        <w:ind w:left="0" w:firstLine="851"/>
        <w:contextualSpacing/>
        <w:textAlignment w:val="baseline"/>
        <w:rPr>
          <w:b/>
          <w:bCs/>
          <w:i/>
          <w:szCs w:val="24"/>
          <w:lang w:eastAsia="bg-BG"/>
        </w:rPr>
      </w:pPr>
      <w:r w:rsidRPr="001B0EA3">
        <w:rPr>
          <w:b/>
          <w:bCs/>
          <w:i/>
          <w:szCs w:val="24"/>
          <w:lang w:eastAsia="bg-BG"/>
        </w:rPr>
        <w:t>Т</w:t>
      </w:r>
      <w:r w:rsidR="005F62EF" w:rsidRPr="001B0EA3">
        <w:rPr>
          <w:b/>
          <w:bCs/>
          <w:i/>
          <w:szCs w:val="24"/>
          <w:lang w:eastAsia="bg-BG"/>
        </w:rPr>
        <w:t>екущ контрол на действието на контролите</w:t>
      </w:r>
      <w:r w:rsidRPr="001B0EA3">
        <w:rPr>
          <w:b/>
          <w:bCs/>
          <w:i/>
          <w:szCs w:val="24"/>
          <w:lang w:eastAsia="bg-BG"/>
        </w:rPr>
        <w:t xml:space="preserve"> от отдел „Управление на риска“</w:t>
      </w:r>
    </w:p>
    <w:p w14:paraId="20B49365" w14:textId="77777777" w:rsidR="00460AB8" w:rsidRPr="001B0EA3" w:rsidRDefault="00460AB8" w:rsidP="00CC313F">
      <w:pPr>
        <w:widowControl w:val="0"/>
        <w:tabs>
          <w:tab w:val="left" w:pos="851"/>
        </w:tabs>
        <w:adjustRightInd w:val="0"/>
        <w:spacing w:before="120" w:after="200" w:line="276" w:lineRule="auto"/>
        <w:contextualSpacing/>
        <w:textAlignment w:val="baseline"/>
        <w:rPr>
          <w:lang w:eastAsia="en-US"/>
        </w:rPr>
      </w:pPr>
    </w:p>
    <w:p w14:paraId="4A873DEB" w14:textId="77777777" w:rsidR="00460AB8" w:rsidRPr="001B0EA3" w:rsidRDefault="00460AB8" w:rsidP="00367AD2">
      <w:pPr>
        <w:spacing w:before="120"/>
        <w:rPr>
          <w:b/>
          <w:szCs w:val="24"/>
          <w:lang w:eastAsia="en-US"/>
        </w:rPr>
      </w:pPr>
      <w:r w:rsidRPr="001B0EA3">
        <w:rPr>
          <w:b/>
          <w:szCs w:val="24"/>
          <w:lang w:eastAsia="en-US"/>
        </w:rPr>
        <w:t xml:space="preserve">б) </w:t>
      </w:r>
      <w:r w:rsidR="000D1A72" w:rsidRPr="001B0EA3">
        <w:rPr>
          <w:b/>
          <w:szCs w:val="24"/>
          <w:lang w:eastAsia="en-US"/>
        </w:rPr>
        <w:t>Д</w:t>
      </w:r>
      <w:r w:rsidRPr="001B0EA3">
        <w:rPr>
          <w:b/>
          <w:szCs w:val="24"/>
          <w:lang w:eastAsia="en-US"/>
        </w:rPr>
        <w:t>окладване</w:t>
      </w:r>
      <w:r w:rsidR="000D1A72" w:rsidRPr="001B0EA3">
        <w:rPr>
          <w:b/>
          <w:szCs w:val="24"/>
          <w:lang w:eastAsia="en-US"/>
        </w:rPr>
        <w:t xml:space="preserve"> на информацията за рисковете</w:t>
      </w:r>
    </w:p>
    <w:p w14:paraId="415F2B00" w14:textId="77777777" w:rsidR="008C65D0" w:rsidRPr="001B0EA3" w:rsidRDefault="008C65D0" w:rsidP="00005E4B">
      <w:pPr>
        <w:spacing w:before="120"/>
        <w:rPr>
          <w:szCs w:val="24"/>
          <w:lang w:eastAsia="en-US"/>
        </w:rPr>
      </w:pPr>
      <w:r w:rsidRPr="001B0EA3">
        <w:rPr>
          <w:szCs w:val="24"/>
          <w:lang w:eastAsia="en-US"/>
        </w:rPr>
        <w:t>Етапът на докладване на резултатите от управлението на риска е от изключителна важност и следва да бъде организиран по начин, който да осигури непрекъсваемост на процеса.</w:t>
      </w:r>
    </w:p>
    <w:p w14:paraId="7B01758A" w14:textId="77777777" w:rsidR="00E0240F" w:rsidRPr="001B0EA3" w:rsidRDefault="00E0240F" w:rsidP="00005E4B">
      <w:pPr>
        <w:spacing w:before="120"/>
        <w:rPr>
          <w:szCs w:val="24"/>
          <w:lang w:eastAsia="en-US"/>
        </w:rPr>
      </w:pPr>
      <w:r w:rsidRPr="001B0EA3">
        <w:rPr>
          <w:szCs w:val="24"/>
          <w:lang w:eastAsia="en-US"/>
        </w:rPr>
        <w:t xml:space="preserve">Честотата на докладване зависи от оценката на остатъчния риск. </w:t>
      </w:r>
    </w:p>
    <w:p w14:paraId="02072779" w14:textId="6F6C65AC" w:rsidR="00A60798" w:rsidRPr="001B0EA3" w:rsidRDefault="00E0240F" w:rsidP="00005E4B">
      <w:pPr>
        <w:tabs>
          <w:tab w:val="left" w:pos="851"/>
        </w:tabs>
        <w:spacing w:before="120" w:after="200" w:line="276" w:lineRule="auto"/>
        <w:contextualSpacing/>
        <w:rPr>
          <w:bCs/>
          <w:szCs w:val="24"/>
          <w:lang w:eastAsia="bg-BG"/>
        </w:rPr>
      </w:pPr>
      <w:r w:rsidRPr="001B0EA3">
        <w:rPr>
          <w:szCs w:val="24"/>
          <w:lang w:eastAsia="en-US"/>
        </w:rPr>
        <w:t xml:space="preserve">Всички рискове с оценка на остатъчен риск от </w:t>
      </w:r>
      <w:r w:rsidR="00B21620" w:rsidRPr="001B0EA3">
        <w:rPr>
          <w:szCs w:val="24"/>
          <w:lang w:eastAsia="en-US"/>
        </w:rPr>
        <w:t>9</w:t>
      </w:r>
      <w:r w:rsidRPr="001B0EA3">
        <w:rPr>
          <w:szCs w:val="24"/>
          <w:lang w:eastAsia="en-US"/>
        </w:rPr>
        <w:t xml:space="preserve"> или повече се докладват на Ръководителя на УО всяко тримесечие</w:t>
      </w:r>
      <w:r w:rsidR="00A60798" w:rsidRPr="001B0EA3">
        <w:rPr>
          <w:szCs w:val="24"/>
          <w:lang w:eastAsia="en-US"/>
        </w:rPr>
        <w:t xml:space="preserve"> с доклад от ди</w:t>
      </w:r>
      <w:r w:rsidR="00440176" w:rsidRPr="001B0EA3">
        <w:rPr>
          <w:szCs w:val="24"/>
          <w:lang w:eastAsia="en-US"/>
        </w:rPr>
        <w:t>ректор</w:t>
      </w:r>
      <w:r w:rsidR="00A60798" w:rsidRPr="001B0EA3">
        <w:rPr>
          <w:szCs w:val="24"/>
          <w:lang w:eastAsia="en-US"/>
        </w:rPr>
        <w:t>а</w:t>
      </w:r>
      <w:r w:rsidR="00440176" w:rsidRPr="001B0EA3">
        <w:rPr>
          <w:szCs w:val="24"/>
          <w:lang w:eastAsia="en-US"/>
        </w:rPr>
        <w:t xml:space="preserve"> на </w:t>
      </w:r>
      <w:r w:rsidR="00A60798" w:rsidRPr="001B0EA3">
        <w:rPr>
          <w:szCs w:val="24"/>
          <w:lang w:eastAsia="en-US"/>
        </w:rPr>
        <w:t>дирекция „Координация на програми и проекти“. Докладът съдържа информация д</w:t>
      </w:r>
      <w:r w:rsidRPr="001B0EA3">
        <w:rPr>
          <w:szCs w:val="24"/>
          <w:lang w:eastAsia="en-US"/>
        </w:rPr>
        <w:t xml:space="preserve">околко контролите, необходими за ограничаване на тези рискове са налице и функционират ли ефективно. </w:t>
      </w:r>
      <w:r w:rsidR="00A60798" w:rsidRPr="001B0EA3">
        <w:rPr>
          <w:bCs/>
          <w:szCs w:val="24"/>
          <w:lang w:eastAsia="bg-BG"/>
        </w:rPr>
        <w:t>Отдел „</w:t>
      </w:r>
      <w:r w:rsidR="00634E15">
        <w:rPr>
          <w:bCs/>
          <w:szCs w:val="24"/>
          <w:lang w:eastAsia="bg-BG"/>
        </w:rPr>
        <w:t>Управление на риска</w:t>
      </w:r>
      <w:r w:rsidR="00A60798" w:rsidRPr="001B0EA3">
        <w:rPr>
          <w:bCs/>
          <w:szCs w:val="24"/>
          <w:lang w:eastAsia="bg-BG"/>
        </w:rPr>
        <w:t>“</w:t>
      </w:r>
      <w:r w:rsidR="00634E15" w:rsidRPr="00634E15" w:rsidDel="008C1156">
        <w:rPr>
          <w:bCs/>
          <w:szCs w:val="24"/>
          <w:lang w:eastAsia="bg-BG"/>
        </w:rPr>
        <w:t xml:space="preserve"> </w:t>
      </w:r>
      <w:r w:rsidR="00A60798" w:rsidRPr="001B0EA3">
        <w:rPr>
          <w:bCs/>
          <w:szCs w:val="24"/>
          <w:lang w:eastAsia="bg-BG"/>
        </w:rPr>
        <w:t xml:space="preserve"> координира изготвянето на доклада за рисковете с оценка от 9 и повече. </w:t>
      </w:r>
    </w:p>
    <w:p w14:paraId="6781F5A4" w14:textId="77777777" w:rsidR="00E0240F" w:rsidRPr="001B0EA3" w:rsidRDefault="00E0240F" w:rsidP="00005E4B">
      <w:pPr>
        <w:spacing w:before="120"/>
        <w:rPr>
          <w:szCs w:val="24"/>
          <w:lang w:eastAsia="en-US"/>
        </w:rPr>
      </w:pPr>
      <w:r w:rsidRPr="001B0EA3">
        <w:rPr>
          <w:szCs w:val="24"/>
          <w:lang w:eastAsia="en-US"/>
        </w:rPr>
        <w:t xml:space="preserve">Всички рискове, с оценка на остатъчния риск между </w:t>
      </w:r>
      <w:r w:rsidR="00844179">
        <w:rPr>
          <w:szCs w:val="24"/>
          <w:lang w:eastAsia="en-US"/>
        </w:rPr>
        <w:t>5</w:t>
      </w:r>
      <w:r w:rsidRPr="001B0EA3">
        <w:rPr>
          <w:szCs w:val="24"/>
          <w:lang w:eastAsia="en-US"/>
        </w:rPr>
        <w:t xml:space="preserve"> и </w:t>
      </w:r>
      <w:r w:rsidR="00844179">
        <w:rPr>
          <w:szCs w:val="24"/>
          <w:lang w:eastAsia="en-US"/>
        </w:rPr>
        <w:t>8</w:t>
      </w:r>
      <w:r w:rsidRPr="001B0EA3">
        <w:rPr>
          <w:szCs w:val="24"/>
          <w:lang w:eastAsia="en-US"/>
        </w:rPr>
        <w:t xml:space="preserve">, трябва да бъдат наблюдавани от началниците на отдели, които отговарят за прилагането на адекватни контролни процедури. Началниците на отдели </w:t>
      </w:r>
      <w:r w:rsidR="00912F3C" w:rsidRPr="001B0EA3">
        <w:rPr>
          <w:szCs w:val="24"/>
          <w:lang w:eastAsia="en-US"/>
        </w:rPr>
        <w:t xml:space="preserve">докладват за </w:t>
      </w:r>
      <w:r w:rsidRPr="001B0EA3">
        <w:rPr>
          <w:szCs w:val="24"/>
          <w:lang w:eastAsia="en-US"/>
        </w:rPr>
        <w:t>резултатите от процеса на управление на тези рискове на срещите по управление на риска</w:t>
      </w:r>
      <w:r w:rsidR="00912F3C" w:rsidRPr="001B0EA3">
        <w:rPr>
          <w:szCs w:val="24"/>
          <w:lang w:eastAsia="en-US"/>
        </w:rPr>
        <w:t xml:space="preserve"> като попълват</w:t>
      </w:r>
      <w:r w:rsidR="00922C7E" w:rsidRPr="001B0EA3">
        <w:rPr>
          <w:szCs w:val="24"/>
          <w:lang w:eastAsia="en-US"/>
        </w:rPr>
        <w:t xml:space="preserve"> </w:t>
      </w:r>
      <w:r w:rsidR="00912F3C" w:rsidRPr="001B0EA3">
        <w:rPr>
          <w:szCs w:val="24"/>
          <w:lang w:eastAsia="en-US"/>
        </w:rPr>
        <w:t>образеца</w:t>
      </w:r>
      <w:r w:rsidR="00666E89" w:rsidRPr="001B0EA3">
        <w:rPr>
          <w:szCs w:val="24"/>
          <w:lang w:eastAsia="en-US"/>
        </w:rPr>
        <w:t xml:space="preserve"> на доклад</w:t>
      </w:r>
      <w:r w:rsidR="00912F3C" w:rsidRPr="001B0EA3">
        <w:rPr>
          <w:szCs w:val="24"/>
          <w:lang w:eastAsia="en-US"/>
        </w:rPr>
        <w:t xml:space="preserve"> от приложение</w:t>
      </w:r>
      <w:r w:rsidR="00922C7E" w:rsidRPr="001B0EA3">
        <w:rPr>
          <w:szCs w:val="24"/>
          <w:lang w:eastAsia="en-US"/>
        </w:rPr>
        <w:t xml:space="preserve">то към процедурния наръчник. </w:t>
      </w:r>
      <w:r w:rsidRPr="001B0EA3">
        <w:rPr>
          <w:szCs w:val="24"/>
          <w:lang w:eastAsia="en-US"/>
        </w:rPr>
        <w:t xml:space="preserve"> </w:t>
      </w:r>
    </w:p>
    <w:p w14:paraId="7FB9869E" w14:textId="77777777" w:rsidR="00E0240F" w:rsidRPr="001B0EA3" w:rsidRDefault="00E0240F" w:rsidP="00005E4B">
      <w:pPr>
        <w:spacing w:before="120"/>
        <w:rPr>
          <w:szCs w:val="24"/>
          <w:lang w:eastAsia="en-US"/>
        </w:rPr>
      </w:pPr>
      <w:r w:rsidRPr="001B0EA3">
        <w:rPr>
          <w:szCs w:val="24"/>
          <w:lang w:eastAsia="en-US"/>
        </w:rPr>
        <w:t xml:space="preserve">Когато в процеса на управление на рисковете бъде идентифициран риск, свързан с дейността на УО на ОП ТТИ, но чийто собственик е лице/организация извън УО на ОП ТТИ (министърът на финансите, министърът по управление на средствата от ЕС, друг) </w:t>
      </w:r>
      <w:r w:rsidR="00C17645" w:rsidRPr="001B0EA3">
        <w:rPr>
          <w:szCs w:val="24"/>
          <w:lang w:eastAsia="en-US"/>
        </w:rPr>
        <w:t>директорът на дирекция „Координация на програми и проекти“</w:t>
      </w:r>
      <w:r w:rsidRPr="001B0EA3">
        <w:rPr>
          <w:szCs w:val="24"/>
          <w:lang w:eastAsia="en-US"/>
        </w:rPr>
        <w:t xml:space="preserve"> предлага на Ръководителя на УО незабавно да се информира собственикът на риска.</w:t>
      </w:r>
    </w:p>
    <w:p w14:paraId="0B6E5DC7" w14:textId="77777777" w:rsidR="00AD352D" w:rsidRPr="001B0EA3" w:rsidRDefault="00AD352D" w:rsidP="00005E4B">
      <w:pPr>
        <w:spacing w:before="120"/>
        <w:rPr>
          <w:szCs w:val="24"/>
          <w:lang w:eastAsia="en-US"/>
        </w:rPr>
      </w:pPr>
      <w:r w:rsidRPr="001B0EA3">
        <w:rPr>
          <w:szCs w:val="24"/>
          <w:lang w:eastAsia="en-US"/>
        </w:rPr>
        <w:t>Минималните изисквания по отношение на това какво трябва да се докладва за всеки риск са следните :</w:t>
      </w:r>
    </w:p>
    <w:p w14:paraId="241050DE" w14:textId="77777777" w:rsidR="00AD352D" w:rsidRPr="001B0EA3" w:rsidRDefault="00AD352D" w:rsidP="00005E4B">
      <w:pPr>
        <w:numPr>
          <w:ilvl w:val="0"/>
          <w:numId w:val="222"/>
        </w:numPr>
        <w:tabs>
          <w:tab w:val="left" w:pos="1134"/>
        </w:tabs>
        <w:spacing w:before="120" w:after="200" w:line="276" w:lineRule="auto"/>
        <w:ind w:left="0" w:firstLine="851"/>
        <w:contextualSpacing/>
        <w:rPr>
          <w:bCs/>
          <w:szCs w:val="24"/>
          <w:lang w:eastAsia="bg-BG"/>
        </w:rPr>
      </w:pPr>
      <w:r w:rsidRPr="001B0EA3">
        <w:rPr>
          <w:bCs/>
          <w:szCs w:val="24"/>
          <w:lang w:eastAsia="bg-BG"/>
        </w:rPr>
        <w:t>Ясно описание на риска, включително на контекста на риска;</w:t>
      </w:r>
    </w:p>
    <w:p w14:paraId="20FB299F" w14:textId="77777777" w:rsidR="00AD352D" w:rsidRPr="001B0EA3" w:rsidRDefault="00AD352D" w:rsidP="00005E4B">
      <w:pPr>
        <w:numPr>
          <w:ilvl w:val="0"/>
          <w:numId w:val="222"/>
        </w:numPr>
        <w:tabs>
          <w:tab w:val="left" w:pos="1134"/>
        </w:tabs>
        <w:spacing w:before="120" w:after="200" w:line="276" w:lineRule="auto"/>
        <w:ind w:left="0" w:firstLine="851"/>
        <w:contextualSpacing/>
        <w:rPr>
          <w:bCs/>
          <w:szCs w:val="24"/>
          <w:lang w:eastAsia="bg-BG"/>
        </w:rPr>
      </w:pPr>
      <w:r w:rsidRPr="001B0EA3">
        <w:rPr>
          <w:bCs/>
          <w:szCs w:val="24"/>
          <w:lang w:eastAsia="bg-BG"/>
        </w:rPr>
        <w:t>Целта, над чието постигане влияе;</w:t>
      </w:r>
    </w:p>
    <w:p w14:paraId="5E786B7D" w14:textId="77777777" w:rsidR="00AD352D" w:rsidRPr="001B0EA3" w:rsidRDefault="00AD352D" w:rsidP="00005E4B">
      <w:pPr>
        <w:numPr>
          <w:ilvl w:val="0"/>
          <w:numId w:val="222"/>
        </w:numPr>
        <w:tabs>
          <w:tab w:val="left" w:pos="1134"/>
        </w:tabs>
        <w:spacing w:before="120" w:after="200" w:line="276" w:lineRule="auto"/>
        <w:ind w:left="0" w:firstLine="851"/>
        <w:contextualSpacing/>
        <w:rPr>
          <w:bCs/>
          <w:szCs w:val="24"/>
          <w:lang w:eastAsia="bg-BG"/>
        </w:rPr>
      </w:pPr>
      <w:r w:rsidRPr="001B0EA3">
        <w:rPr>
          <w:bCs/>
          <w:szCs w:val="24"/>
          <w:lang w:eastAsia="bg-BG"/>
        </w:rPr>
        <w:t>Оценката на влиянието, вероятността, стойността на риска, рейтинга и на остатъчния размер на риска;</w:t>
      </w:r>
    </w:p>
    <w:p w14:paraId="4CC07320" w14:textId="77777777" w:rsidR="00AD352D" w:rsidRPr="001B0EA3" w:rsidRDefault="00AD352D" w:rsidP="00005E4B">
      <w:pPr>
        <w:numPr>
          <w:ilvl w:val="0"/>
          <w:numId w:val="222"/>
        </w:numPr>
        <w:tabs>
          <w:tab w:val="left" w:pos="1134"/>
        </w:tabs>
        <w:spacing w:before="120" w:after="200" w:line="276" w:lineRule="auto"/>
        <w:ind w:left="0" w:firstLine="851"/>
        <w:contextualSpacing/>
        <w:rPr>
          <w:bCs/>
          <w:szCs w:val="24"/>
          <w:lang w:eastAsia="bg-BG"/>
        </w:rPr>
      </w:pPr>
      <w:r w:rsidRPr="001B0EA3">
        <w:rPr>
          <w:bCs/>
          <w:szCs w:val="24"/>
          <w:lang w:eastAsia="bg-BG"/>
        </w:rPr>
        <w:t>Съществуващи контроли за отговор на риска;</w:t>
      </w:r>
    </w:p>
    <w:p w14:paraId="0E0D6EDD" w14:textId="77777777" w:rsidR="00AD352D" w:rsidRPr="001B0EA3" w:rsidRDefault="00AD352D" w:rsidP="00005E4B">
      <w:pPr>
        <w:numPr>
          <w:ilvl w:val="0"/>
          <w:numId w:val="222"/>
        </w:numPr>
        <w:tabs>
          <w:tab w:val="left" w:pos="1134"/>
        </w:tabs>
        <w:spacing w:before="120" w:after="200" w:line="276" w:lineRule="auto"/>
        <w:ind w:left="0" w:firstLine="851"/>
        <w:contextualSpacing/>
        <w:rPr>
          <w:bCs/>
          <w:szCs w:val="24"/>
          <w:lang w:eastAsia="bg-BG"/>
        </w:rPr>
      </w:pPr>
      <w:r w:rsidRPr="001B0EA3">
        <w:rPr>
          <w:bCs/>
          <w:szCs w:val="24"/>
          <w:lang w:eastAsia="bg-BG"/>
        </w:rPr>
        <w:t>Предложената стратегия за намаляване на остатъчния риск с допълнителни действия/контроли;</w:t>
      </w:r>
    </w:p>
    <w:p w14:paraId="3462DEC4" w14:textId="77777777" w:rsidR="00AD352D" w:rsidRPr="001B0EA3" w:rsidRDefault="00AD352D" w:rsidP="00005E4B">
      <w:pPr>
        <w:numPr>
          <w:ilvl w:val="0"/>
          <w:numId w:val="222"/>
        </w:numPr>
        <w:tabs>
          <w:tab w:val="left" w:pos="1134"/>
        </w:tabs>
        <w:spacing w:before="120" w:after="200" w:line="276" w:lineRule="auto"/>
        <w:ind w:left="0" w:firstLine="851"/>
        <w:contextualSpacing/>
        <w:rPr>
          <w:bCs/>
          <w:szCs w:val="24"/>
          <w:lang w:eastAsia="bg-BG"/>
        </w:rPr>
      </w:pPr>
      <w:r w:rsidRPr="001B0EA3">
        <w:rPr>
          <w:bCs/>
          <w:szCs w:val="24"/>
          <w:lang w:eastAsia="bg-BG"/>
        </w:rPr>
        <w:t>Собственик на риска.</w:t>
      </w:r>
    </w:p>
    <w:p w14:paraId="5008CDCF" w14:textId="77777777" w:rsidR="00A44719" w:rsidRDefault="00A44719" w:rsidP="00FC7EE3">
      <w:pPr>
        <w:tabs>
          <w:tab w:val="left" w:pos="851"/>
        </w:tabs>
        <w:spacing w:before="120" w:after="200" w:line="276" w:lineRule="auto"/>
        <w:contextualSpacing/>
        <w:rPr>
          <w:b/>
          <w:bCs/>
          <w:i/>
          <w:szCs w:val="24"/>
          <w:lang w:eastAsia="bg-BG"/>
        </w:rPr>
      </w:pPr>
    </w:p>
    <w:p w14:paraId="7CCC5869" w14:textId="77777777" w:rsidR="00844179" w:rsidRPr="00D82112" w:rsidRDefault="00844179" w:rsidP="00FC7EE3">
      <w:pPr>
        <w:tabs>
          <w:tab w:val="left" w:pos="851"/>
        </w:tabs>
        <w:spacing w:before="120" w:after="200" w:line="276" w:lineRule="auto"/>
        <w:contextualSpacing/>
        <w:rPr>
          <w:b/>
          <w:bCs/>
          <w:szCs w:val="24"/>
          <w:lang w:eastAsia="bg-BG"/>
        </w:rPr>
      </w:pPr>
      <w:r w:rsidRPr="00D82112">
        <w:rPr>
          <w:b/>
          <w:bCs/>
          <w:szCs w:val="24"/>
          <w:lang w:eastAsia="bg-BG"/>
        </w:rPr>
        <w:t xml:space="preserve">За целите на управлението на риска на ниво </w:t>
      </w:r>
      <w:r w:rsidR="00BB6BF6">
        <w:rPr>
          <w:b/>
          <w:bCs/>
          <w:szCs w:val="24"/>
          <w:lang w:eastAsia="bg-BG"/>
        </w:rPr>
        <w:t>МТС</w:t>
      </w:r>
      <w:r w:rsidRPr="00D82112">
        <w:rPr>
          <w:b/>
          <w:bCs/>
          <w:szCs w:val="24"/>
          <w:lang w:eastAsia="bg-BG"/>
        </w:rPr>
        <w:t xml:space="preserve">, УО на ОПТТИ представя за вписване в риск регистъра на </w:t>
      </w:r>
      <w:r w:rsidR="00BB6BF6">
        <w:rPr>
          <w:b/>
          <w:bCs/>
          <w:szCs w:val="24"/>
          <w:lang w:eastAsia="bg-BG"/>
        </w:rPr>
        <w:t>МТС</w:t>
      </w:r>
      <w:r w:rsidRPr="00D82112">
        <w:rPr>
          <w:b/>
          <w:bCs/>
          <w:szCs w:val="24"/>
          <w:lang w:eastAsia="bg-BG"/>
        </w:rPr>
        <w:t xml:space="preserve"> идентифицираните приоритетни рискове, които при вписването се класифицират в съответната категория/група рискове, съгласно формата на риск регистъра на </w:t>
      </w:r>
      <w:r w:rsidR="00BB6BF6">
        <w:rPr>
          <w:b/>
          <w:bCs/>
          <w:szCs w:val="24"/>
          <w:lang w:eastAsia="bg-BG"/>
        </w:rPr>
        <w:t>МТС</w:t>
      </w:r>
      <w:r w:rsidRPr="00D82112">
        <w:rPr>
          <w:b/>
          <w:bCs/>
          <w:szCs w:val="24"/>
          <w:lang w:eastAsia="bg-BG"/>
        </w:rPr>
        <w:t>.</w:t>
      </w:r>
    </w:p>
    <w:p w14:paraId="4668A8A8" w14:textId="77777777" w:rsidR="00844179" w:rsidRPr="001B0EA3" w:rsidRDefault="00844179" w:rsidP="00FC7EE3">
      <w:pPr>
        <w:tabs>
          <w:tab w:val="left" w:pos="851"/>
        </w:tabs>
        <w:spacing w:before="120" w:after="200" w:line="276" w:lineRule="auto"/>
        <w:contextualSpacing/>
        <w:rPr>
          <w:b/>
          <w:bCs/>
          <w:i/>
          <w:szCs w:val="24"/>
          <w:lang w:eastAsia="bg-BG"/>
        </w:rPr>
      </w:pPr>
    </w:p>
    <w:p w14:paraId="381B2041" w14:textId="77777777" w:rsidR="00460AB8" w:rsidRPr="001B0EA3" w:rsidRDefault="00BA63AA" w:rsidP="00367AD2">
      <w:pPr>
        <w:tabs>
          <w:tab w:val="left" w:pos="851"/>
        </w:tabs>
        <w:spacing w:before="120"/>
        <w:jc w:val="left"/>
        <w:rPr>
          <w:b/>
          <w:szCs w:val="24"/>
          <w:lang w:eastAsia="en-US"/>
        </w:rPr>
      </w:pPr>
      <w:r w:rsidRPr="001B0EA3">
        <w:rPr>
          <w:b/>
          <w:szCs w:val="24"/>
          <w:lang w:eastAsia="en-US"/>
        </w:rPr>
        <w:t>в</w:t>
      </w:r>
      <w:r w:rsidR="00460AB8" w:rsidRPr="001B0EA3">
        <w:rPr>
          <w:b/>
          <w:szCs w:val="24"/>
          <w:lang w:eastAsia="en-US"/>
        </w:rPr>
        <w:t>) Срещи по управление на риска</w:t>
      </w:r>
    </w:p>
    <w:p w14:paraId="03B134AF" w14:textId="77777777" w:rsidR="000A13C1" w:rsidRDefault="000A13C1" w:rsidP="000A13C1">
      <w:pPr>
        <w:rPr>
          <w:snapToGrid w:val="0"/>
          <w:szCs w:val="24"/>
        </w:rPr>
      </w:pPr>
    </w:p>
    <w:p w14:paraId="403ED399" w14:textId="77777777" w:rsidR="000A13C1" w:rsidRPr="006339CA" w:rsidRDefault="000A13C1" w:rsidP="000A13C1">
      <w:pPr>
        <w:rPr>
          <w:snapToGrid w:val="0"/>
          <w:szCs w:val="24"/>
        </w:rPr>
      </w:pPr>
      <w:r w:rsidRPr="006339CA">
        <w:rPr>
          <w:snapToGrid w:val="0"/>
          <w:szCs w:val="24"/>
        </w:rPr>
        <w:t>Срещите по управление на риска</w:t>
      </w:r>
      <w:r>
        <w:rPr>
          <w:snapToGrid w:val="0"/>
          <w:szCs w:val="24"/>
        </w:rPr>
        <w:t>*</w:t>
      </w:r>
      <w:r w:rsidRPr="006339CA">
        <w:rPr>
          <w:snapToGrid w:val="0"/>
          <w:szCs w:val="24"/>
        </w:rPr>
        <w:t xml:space="preserve"> се организират:</w:t>
      </w:r>
    </w:p>
    <w:p w14:paraId="45486CFF" w14:textId="77777777" w:rsidR="000A13C1" w:rsidRPr="006339CA" w:rsidRDefault="000A13C1" w:rsidP="000A13C1">
      <w:pPr>
        <w:numPr>
          <w:ilvl w:val="0"/>
          <w:numId w:val="220"/>
        </w:numPr>
        <w:tabs>
          <w:tab w:val="left" w:pos="1134"/>
        </w:tabs>
        <w:spacing w:before="120" w:after="200" w:line="276" w:lineRule="auto"/>
        <w:ind w:left="0" w:firstLine="851"/>
        <w:contextualSpacing/>
        <w:rPr>
          <w:snapToGrid w:val="0"/>
          <w:szCs w:val="24"/>
        </w:rPr>
      </w:pPr>
      <w:r>
        <w:rPr>
          <w:snapToGrid w:val="0"/>
          <w:szCs w:val="24"/>
        </w:rPr>
        <w:t>Среща</w:t>
      </w:r>
      <w:r w:rsidRPr="006339CA">
        <w:rPr>
          <w:snapToGrid w:val="0"/>
          <w:szCs w:val="24"/>
        </w:rPr>
        <w:t xml:space="preserve"> на Работната група</w:t>
      </w:r>
      <w:r>
        <w:rPr>
          <w:snapToGrid w:val="0"/>
          <w:szCs w:val="24"/>
        </w:rPr>
        <w:t>*</w:t>
      </w:r>
      <w:r w:rsidRPr="006339CA">
        <w:rPr>
          <w:snapToGrid w:val="0"/>
          <w:szCs w:val="24"/>
        </w:rPr>
        <w:t>* за управление на риска - веднъж годишно, през четвъртото тримесечие на съответната година,  когато :</w:t>
      </w:r>
    </w:p>
    <w:p w14:paraId="068A595E" w14:textId="77777777" w:rsidR="000A13C1" w:rsidRDefault="000A13C1" w:rsidP="000A13C1">
      <w:pPr>
        <w:pStyle w:val="ListParagraph"/>
        <w:numPr>
          <w:ilvl w:val="0"/>
          <w:numId w:val="471"/>
        </w:numPr>
        <w:ind w:left="851" w:hanging="284"/>
        <w:rPr>
          <w:snapToGrid w:val="0"/>
          <w:szCs w:val="24"/>
        </w:rPr>
      </w:pPr>
      <w:r w:rsidRPr="00D11CAC">
        <w:rPr>
          <w:snapToGrid w:val="0"/>
          <w:szCs w:val="24"/>
        </w:rPr>
        <w:lastRenderedPageBreak/>
        <w:t>се потвърждават целите на УО на ОПТТИ и се стартира процесът по идентифициране и оценка на рисковете за организацията;</w:t>
      </w:r>
    </w:p>
    <w:p w14:paraId="04931FC1" w14:textId="77777777" w:rsidR="000A13C1" w:rsidRDefault="000A13C1" w:rsidP="000A13C1">
      <w:pPr>
        <w:pStyle w:val="ListParagraph"/>
        <w:numPr>
          <w:ilvl w:val="0"/>
          <w:numId w:val="471"/>
        </w:numPr>
        <w:ind w:left="851" w:hanging="284"/>
        <w:rPr>
          <w:snapToGrid w:val="0"/>
          <w:szCs w:val="24"/>
        </w:rPr>
      </w:pPr>
      <w:r w:rsidRPr="00D11CAC">
        <w:rPr>
          <w:snapToGrid w:val="0"/>
          <w:szCs w:val="24"/>
        </w:rPr>
        <w:t>се попълва/актуализира „Риск вселена-матрица на целите, дейностите/процесите и рисковете“ на УО;</w:t>
      </w:r>
    </w:p>
    <w:p w14:paraId="1B35CFDC" w14:textId="77777777" w:rsidR="000A13C1" w:rsidRDefault="000A13C1" w:rsidP="000A13C1">
      <w:pPr>
        <w:pStyle w:val="ListParagraph"/>
        <w:numPr>
          <w:ilvl w:val="0"/>
          <w:numId w:val="471"/>
        </w:numPr>
        <w:ind w:left="851" w:hanging="284"/>
        <w:rPr>
          <w:snapToGrid w:val="0"/>
          <w:szCs w:val="24"/>
        </w:rPr>
      </w:pPr>
      <w:r w:rsidRPr="00D11CAC">
        <w:rPr>
          <w:snapToGrid w:val="0"/>
          <w:szCs w:val="24"/>
        </w:rPr>
        <w:t>се изготвя/актуализира риск–регистъра</w:t>
      </w:r>
      <w:r>
        <w:rPr>
          <w:snapToGrid w:val="0"/>
          <w:szCs w:val="24"/>
        </w:rPr>
        <w:t>***</w:t>
      </w:r>
      <w:r w:rsidRPr="00D11CAC">
        <w:rPr>
          <w:snapToGrid w:val="0"/>
          <w:szCs w:val="24"/>
        </w:rPr>
        <w:t xml:space="preserve">  на УО на ОПТТИ; </w:t>
      </w:r>
    </w:p>
    <w:p w14:paraId="7A73ECDB" w14:textId="77777777" w:rsidR="000A13C1" w:rsidRDefault="000A13C1" w:rsidP="000A13C1">
      <w:pPr>
        <w:pStyle w:val="ListParagraph"/>
        <w:numPr>
          <w:ilvl w:val="0"/>
          <w:numId w:val="471"/>
        </w:numPr>
        <w:ind w:left="851" w:hanging="284"/>
        <w:rPr>
          <w:snapToGrid w:val="0"/>
          <w:szCs w:val="24"/>
        </w:rPr>
      </w:pPr>
      <w:r w:rsidRPr="00D11CAC">
        <w:rPr>
          <w:snapToGrid w:val="0"/>
          <w:szCs w:val="24"/>
        </w:rPr>
        <w:t>при необходимост се съставя и одобрява план за действие за намаляване на съществуващи рискове;</w:t>
      </w:r>
    </w:p>
    <w:p w14:paraId="4C5287C4" w14:textId="77777777" w:rsidR="000A13C1" w:rsidRPr="00D11CAC" w:rsidRDefault="000A13C1" w:rsidP="000A13C1">
      <w:pPr>
        <w:pStyle w:val="ListParagraph"/>
        <w:numPr>
          <w:ilvl w:val="0"/>
          <w:numId w:val="471"/>
        </w:numPr>
        <w:ind w:left="851" w:hanging="284"/>
        <w:rPr>
          <w:snapToGrid w:val="0"/>
          <w:szCs w:val="24"/>
        </w:rPr>
      </w:pPr>
      <w:r>
        <w:rPr>
          <w:snapToGrid w:val="0"/>
          <w:szCs w:val="24"/>
        </w:rPr>
        <w:t>се извършват други дейности, касаещи процеса за управление на риска на УО.</w:t>
      </w:r>
    </w:p>
    <w:p w14:paraId="152F4DF0" w14:textId="77777777" w:rsidR="000A13C1" w:rsidRPr="006339CA" w:rsidRDefault="000A13C1" w:rsidP="000A13C1">
      <w:pPr>
        <w:numPr>
          <w:ilvl w:val="0"/>
          <w:numId w:val="220"/>
        </w:numPr>
        <w:tabs>
          <w:tab w:val="left" w:pos="1134"/>
        </w:tabs>
        <w:spacing w:before="120" w:after="200" w:line="276" w:lineRule="auto"/>
        <w:ind w:left="0" w:firstLine="851"/>
        <w:contextualSpacing/>
        <w:rPr>
          <w:snapToGrid w:val="0"/>
          <w:szCs w:val="24"/>
        </w:rPr>
      </w:pPr>
      <w:r w:rsidRPr="006339CA">
        <w:rPr>
          <w:snapToGrid w:val="0"/>
          <w:szCs w:val="24"/>
        </w:rPr>
        <w:t xml:space="preserve">Среща при възникнала необходимост. </w:t>
      </w:r>
    </w:p>
    <w:p w14:paraId="52CD9A99" w14:textId="77777777" w:rsidR="000A13C1" w:rsidRPr="006339CA" w:rsidRDefault="000A13C1" w:rsidP="000A13C1">
      <w:pPr>
        <w:widowControl w:val="0"/>
        <w:autoSpaceDE w:val="0"/>
        <w:autoSpaceDN w:val="0"/>
        <w:adjustRightInd w:val="0"/>
        <w:ind w:firstLine="567"/>
        <w:rPr>
          <w:snapToGrid w:val="0"/>
          <w:szCs w:val="24"/>
        </w:rPr>
      </w:pPr>
    </w:p>
    <w:p w14:paraId="34B0B214" w14:textId="77777777" w:rsidR="000A13C1" w:rsidRDefault="000A13C1" w:rsidP="000A13C1">
      <w:pPr>
        <w:tabs>
          <w:tab w:val="left" w:pos="1134"/>
        </w:tabs>
        <w:spacing w:before="120" w:after="200" w:line="276" w:lineRule="auto"/>
        <w:ind w:left="284" w:hanging="284"/>
        <w:contextualSpacing/>
        <w:rPr>
          <w:snapToGrid w:val="0"/>
          <w:szCs w:val="24"/>
        </w:rPr>
      </w:pPr>
      <w:r>
        <w:rPr>
          <w:snapToGrid w:val="0"/>
          <w:szCs w:val="24"/>
        </w:rPr>
        <w:t>*- В рамките на</w:t>
      </w:r>
      <w:r w:rsidRPr="006339CA">
        <w:rPr>
          <w:snapToGrid w:val="0"/>
          <w:szCs w:val="24"/>
        </w:rPr>
        <w:t xml:space="preserve"> Комитета за наблюдение на ОПТТИ и срещи</w:t>
      </w:r>
      <w:r>
        <w:rPr>
          <w:snapToGrid w:val="0"/>
          <w:szCs w:val="24"/>
        </w:rPr>
        <w:t>те</w:t>
      </w:r>
      <w:r w:rsidRPr="006339CA">
        <w:rPr>
          <w:snapToGrid w:val="0"/>
          <w:szCs w:val="24"/>
        </w:rPr>
        <w:t xml:space="preserve"> за напредъка на проектите по ОПТТИ</w:t>
      </w:r>
      <w:r>
        <w:rPr>
          <w:snapToGrid w:val="0"/>
          <w:szCs w:val="24"/>
        </w:rPr>
        <w:t xml:space="preserve"> са разглеждат и рисковете за оперативната програма/проектите.  </w:t>
      </w:r>
    </w:p>
    <w:p w14:paraId="79AC8294" w14:textId="77777777" w:rsidR="000A13C1" w:rsidRDefault="000A13C1" w:rsidP="000A13C1">
      <w:pPr>
        <w:ind w:left="284" w:hanging="284"/>
        <w:rPr>
          <w:snapToGrid w:val="0"/>
          <w:szCs w:val="24"/>
        </w:rPr>
      </w:pPr>
      <w:r>
        <w:rPr>
          <w:snapToGrid w:val="0"/>
          <w:szCs w:val="24"/>
        </w:rPr>
        <w:t>*</w:t>
      </w:r>
      <w:r w:rsidRPr="006339CA">
        <w:rPr>
          <w:snapToGrid w:val="0"/>
          <w:szCs w:val="24"/>
        </w:rPr>
        <w:t>*- Работната група изготвя също така и самооценката на УО за риска от измами – виж т. 30.11. от ПН на УО на ОПТТИ</w:t>
      </w:r>
      <w:r>
        <w:rPr>
          <w:snapToGrid w:val="0"/>
          <w:szCs w:val="24"/>
        </w:rPr>
        <w:t>“.</w:t>
      </w:r>
    </w:p>
    <w:p w14:paraId="6A1A5562" w14:textId="77777777" w:rsidR="000A13C1" w:rsidRPr="00842ECC" w:rsidRDefault="000A13C1" w:rsidP="00C87BD0">
      <w:pPr>
        <w:ind w:firstLine="0"/>
        <w:rPr>
          <w:snapToGrid w:val="0"/>
          <w:szCs w:val="24"/>
        </w:rPr>
      </w:pPr>
      <w:r>
        <w:rPr>
          <w:snapToGrid w:val="0"/>
          <w:szCs w:val="24"/>
        </w:rPr>
        <w:t>***-</w:t>
      </w:r>
      <w:r w:rsidRPr="00D11CAC">
        <w:rPr>
          <w:snapToGrid w:val="0"/>
          <w:szCs w:val="24"/>
        </w:rPr>
        <w:t xml:space="preserve"> </w:t>
      </w:r>
      <w:r w:rsidRPr="006339CA">
        <w:rPr>
          <w:snapToGrid w:val="0"/>
          <w:szCs w:val="24"/>
        </w:rPr>
        <w:t>Риск-ре</w:t>
      </w:r>
      <w:r>
        <w:rPr>
          <w:snapToGrid w:val="0"/>
          <w:szCs w:val="24"/>
        </w:rPr>
        <w:t>гистъра може да се актуализира и текущо при необходимост.</w:t>
      </w:r>
      <w:r w:rsidRPr="00842ECC">
        <w:rPr>
          <w:snapToGrid w:val="0"/>
          <w:szCs w:val="24"/>
        </w:rPr>
        <w:t>”</w:t>
      </w:r>
    </w:p>
    <w:p w14:paraId="0F4A86EB" w14:textId="77777777" w:rsidR="00666E89" w:rsidRPr="00DB5D02" w:rsidRDefault="00666E89" w:rsidP="00DB5D02">
      <w:pPr>
        <w:widowControl w:val="0"/>
        <w:autoSpaceDE w:val="0"/>
        <w:autoSpaceDN w:val="0"/>
        <w:adjustRightInd w:val="0"/>
        <w:ind w:firstLine="567"/>
        <w:contextualSpacing/>
        <w:rPr>
          <w:szCs w:val="24"/>
          <w:lang w:eastAsia="bg-BG"/>
        </w:rPr>
      </w:pPr>
    </w:p>
    <w:p w14:paraId="39269194" w14:textId="77777777" w:rsidR="00DB5D02" w:rsidRPr="001B0EA3" w:rsidRDefault="00DB5D02" w:rsidP="00046D61">
      <w:pPr>
        <w:widowControl w:val="0"/>
        <w:autoSpaceDE w:val="0"/>
        <w:autoSpaceDN w:val="0"/>
        <w:adjustRightInd w:val="0"/>
        <w:ind w:firstLine="567"/>
        <w:contextualSpacing/>
        <w:rPr>
          <w:szCs w:val="24"/>
          <w:lang w:eastAsia="bg-BG"/>
        </w:rPr>
      </w:pPr>
    </w:p>
    <w:p w14:paraId="17ABBB0D" w14:textId="77777777" w:rsidR="00E0240F" w:rsidRPr="001B0EA3" w:rsidRDefault="00247D9E" w:rsidP="00B502C7">
      <w:pPr>
        <w:pStyle w:val="Style2"/>
        <w:rPr>
          <w:lang w:eastAsia="bg-BG"/>
        </w:rPr>
      </w:pPr>
      <w:bookmarkStart w:id="1321" w:name="_Toc479775820"/>
      <w:bookmarkStart w:id="1322" w:name="_Toc140150297"/>
      <w:r w:rsidRPr="001B0EA3">
        <w:rPr>
          <w:rFonts w:eastAsia="EUAlbertina-Regu-Identity-H"/>
          <w:bCs/>
          <w:w w:val="103"/>
        </w:rPr>
        <w:t>Обмен</w:t>
      </w:r>
      <w:r w:rsidR="00D42E2E" w:rsidRPr="001B0EA3">
        <w:rPr>
          <w:rFonts w:eastAsia="EUAlbertina-Regu-Identity-H"/>
          <w:bCs/>
          <w:w w:val="103"/>
        </w:rPr>
        <w:t xml:space="preserve"> </w:t>
      </w:r>
      <w:r w:rsidR="00D42E2E" w:rsidRPr="001B0EA3">
        <w:t>на информация и консултиране</w:t>
      </w:r>
      <w:bookmarkEnd w:id="1321"/>
      <w:bookmarkEnd w:id="1322"/>
    </w:p>
    <w:p w14:paraId="3233A4DC" w14:textId="77777777" w:rsidR="00247D9E" w:rsidRPr="001B0EA3" w:rsidRDefault="00247D9E" w:rsidP="00005E4B">
      <w:r w:rsidRPr="001B0EA3">
        <w:t xml:space="preserve">Обменът на информация и консултирането с вътрешните и външните заинтересовани страни ще се осъществява на всички етапи от процеса за управление на риска. Ефикасността на вътрешния и външния обмен на информация и консултирането позволява да се гарантира, че заинтересованите страни и отговорния персонал за внедряването на процеса за управление на риска  разбират принципите на вземане на решения и причините, поради които са необходими определени действия. </w:t>
      </w:r>
    </w:p>
    <w:p w14:paraId="02485C2D" w14:textId="2C8558BE" w:rsidR="00E0240F" w:rsidRPr="001B0EA3" w:rsidRDefault="00247D9E" w:rsidP="00005E4B">
      <w:r w:rsidRPr="001B0EA3">
        <w:t xml:space="preserve">В рамките на УО </w:t>
      </w:r>
      <w:r w:rsidR="00140BF7" w:rsidRPr="001B0EA3">
        <w:t>отдел „</w:t>
      </w:r>
      <w:r w:rsidR="00125C11">
        <w:t>Управление на риска</w:t>
      </w:r>
      <w:r w:rsidR="00140BF7" w:rsidRPr="001B0EA3">
        <w:t>“</w:t>
      </w:r>
      <w:r w:rsidRPr="001B0EA3">
        <w:t xml:space="preserve"> е </w:t>
      </w:r>
      <w:r w:rsidR="008C65D0" w:rsidRPr="001B0EA3">
        <w:t xml:space="preserve">отговорен </w:t>
      </w:r>
      <w:r w:rsidRPr="001B0EA3">
        <w:t>за консултиране по въпроси свързани с процеса на управление на риска на ОПТТИ.  Водещ при въвеждането и функционирането на процеса на управление на риска ще бъде съвещателния подход, при който решенията се вземат след консултиране със заинтересованите страни</w:t>
      </w:r>
    </w:p>
    <w:p w14:paraId="2D04CC11" w14:textId="77777777" w:rsidR="00247D9E" w:rsidRPr="001B0EA3" w:rsidRDefault="00247D9E" w:rsidP="00046D61">
      <w:pPr>
        <w:widowControl w:val="0"/>
        <w:autoSpaceDE w:val="0"/>
        <w:autoSpaceDN w:val="0"/>
        <w:adjustRightInd w:val="0"/>
        <w:contextualSpacing/>
      </w:pPr>
    </w:p>
    <w:p w14:paraId="2C1577FA" w14:textId="77777777" w:rsidR="00247D9E" w:rsidRPr="00842ECC" w:rsidRDefault="001D7134" w:rsidP="00B502C7">
      <w:pPr>
        <w:pStyle w:val="Style2"/>
        <w:rPr>
          <w:lang w:val="bg-BG" w:eastAsia="bg-BG"/>
        </w:rPr>
      </w:pPr>
      <w:bookmarkStart w:id="1323" w:name="_Toc479775821"/>
      <w:bookmarkStart w:id="1324" w:name="_Toc140150298"/>
      <w:r w:rsidRPr="00842ECC">
        <w:rPr>
          <w:lang w:val="bg-BG" w:eastAsia="bg-BG"/>
        </w:rPr>
        <w:t>Цикъл на мерките за борба с измамите</w:t>
      </w:r>
      <w:bookmarkEnd w:id="1323"/>
      <w:bookmarkEnd w:id="1324"/>
    </w:p>
    <w:p w14:paraId="4EA88D75" w14:textId="77777777" w:rsidR="00247D9E" w:rsidRPr="001B0EA3" w:rsidRDefault="00247D9E" w:rsidP="00046D61">
      <w:pPr>
        <w:rPr>
          <w:szCs w:val="24"/>
          <w:lang w:eastAsia="bg-BG"/>
        </w:rPr>
      </w:pPr>
      <w:r w:rsidRPr="001B0EA3">
        <w:rPr>
          <w:szCs w:val="24"/>
          <w:lang w:eastAsia="bg-BG"/>
        </w:rPr>
        <w:t>При проектирането, внедряването и контрола на ефективността на специфичните вътрешни контроли за борба с измамите се следват следните етапи:</w:t>
      </w:r>
    </w:p>
    <w:p w14:paraId="3347A0F7" w14:textId="77777777" w:rsidR="00247D9E" w:rsidRPr="001B0EA3" w:rsidRDefault="00247D9E" w:rsidP="00046D61">
      <w:pPr>
        <w:widowControl w:val="0"/>
        <w:autoSpaceDE w:val="0"/>
        <w:autoSpaceDN w:val="0"/>
        <w:adjustRightInd w:val="0"/>
        <w:ind w:firstLine="567"/>
        <w:contextualSpacing/>
        <w:rPr>
          <w:lang w:eastAsia="bg-BG"/>
        </w:rPr>
      </w:pPr>
    </w:p>
    <w:p w14:paraId="5DF6E6F1" w14:textId="77777777" w:rsidR="00247D9E" w:rsidRPr="001B0EA3" w:rsidRDefault="00937754" w:rsidP="00046D61">
      <w:pPr>
        <w:widowControl w:val="0"/>
        <w:autoSpaceDE w:val="0"/>
        <w:autoSpaceDN w:val="0"/>
        <w:adjustRightInd w:val="0"/>
        <w:ind w:firstLine="0"/>
        <w:contextualSpacing/>
        <w:jc w:val="center"/>
        <w:rPr>
          <w:lang w:eastAsia="bg-BG"/>
        </w:rPr>
      </w:pPr>
      <w:r w:rsidRPr="001B0EA3">
        <w:rPr>
          <w:noProof/>
          <w:lang w:eastAsia="bg-BG"/>
        </w:rPr>
        <w:lastRenderedPageBreak/>
        <mc:AlternateContent>
          <mc:Choice Requires="wpg">
            <w:drawing>
              <wp:inline distT="0" distB="0" distL="0" distR="0" wp14:anchorId="0305B387" wp14:editId="0CC4E3FD">
                <wp:extent cx="5190490" cy="5022850"/>
                <wp:effectExtent l="0" t="0" r="10160" b="25400"/>
                <wp:docPr id="8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0490" cy="5022850"/>
                          <a:chOff x="0" y="0"/>
                          <a:chExt cx="5190602" cy="5023078"/>
                        </a:xfrm>
                      </wpg:grpSpPr>
                      <wps:wsp>
                        <wps:cNvPr id="89" name="Rectangle 56"/>
                        <wps:cNvSpPr>
                          <a:spLocks noChangeArrowheads="1"/>
                        </wps:cNvSpPr>
                        <wps:spPr bwMode="auto">
                          <a:xfrm>
                            <a:off x="42530" y="797442"/>
                            <a:ext cx="5148072" cy="526473"/>
                          </a:xfrm>
                          <a:prstGeom prst="rect">
                            <a:avLst/>
                          </a:prstGeom>
                          <a:solidFill>
                            <a:srgbClr val="5B9BD5"/>
                          </a:solidFill>
                          <a:ln w="12700" algn="ctr">
                            <a:solidFill>
                              <a:srgbClr val="41719C"/>
                            </a:solidFill>
                            <a:miter lim="800000"/>
                            <a:headEnd/>
                            <a:tailEnd/>
                          </a:ln>
                        </wps:spPr>
                        <wps:txbx>
                          <w:txbxContent>
                            <w:p w14:paraId="5882E9BA" w14:textId="77777777" w:rsidR="004E3164" w:rsidRDefault="004E3164" w:rsidP="00864A2F">
                              <w:pPr>
                                <w:ind w:firstLine="0"/>
                                <w:jc w:val="center"/>
                              </w:pPr>
                              <w:r>
                                <w:t>Остойностяване на вероятността и влиянието на специфичния риск за измама (общ риск)</w:t>
                              </w:r>
                            </w:p>
                          </w:txbxContent>
                        </wps:txbx>
                        <wps:bodyPr rot="0" vert="horz" wrap="square" lIns="91440" tIns="45720" rIns="91440" bIns="45720" anchor="ctr" anchorCtr="0" upright="1">
                          <a:noAutofit/>
                        </wps:bodyPr>
                      </wps:wsp>
                      <wps:wsp>
                        <wps:cNvPr id="91" name="Rectangle 58"/>
                        <wps:cNvSpPr>
                          <a:spLocks noChangeArrowheads="1"/>
                        </wps:cNvSpPr>
                        <wps:spPr bwMode="auto">
                          <a:xfrm>
                            <a:off x="21265" y="1754372"/>
                            <a:ext cx="5146964" cy="512618"/>
                          </a:xfrm>
                          <a:prstGeom prst="rect">
                            <a:avLst/>
                          </a:prstGeom>
                          <a:solidFill>
                            <a:srgbClr val="4F81BD"/>
                          </a:solidFill>
                          <a:ln w="25400" algn="ctr">
                            <a:solidFill>
                              <a:srgbClr val="385D8A"/>
                            </a:solidFill>
                            <a:miter lim="800000"/>
                            <a:headEnd/>
                            <a:tailEnd/>
                          </a:ln>
                        </wps:spPr>
                        <wps:txbx>
                          <w:txbxContent>
                            <w:p w14:paraId="7F655CBC" w14:textId="77777777" w:rsidR="004E3164" w:rsidRPr="002B1525" w:rsidRDefault="004E3164" w:rsidP="00864A2F">
                              <w:pPr>
                                <w:ind w:firstLine="0"/>
                                <w:jc w:val="center"/>
                                <w:rPr>
                                  <w:color w:val="000000"/>
                                </w:rPr>
                              </w:pPr>
                              <w:r w:rsidRPr="002B1525">
                                <w:rPr>
                                  <w:color w:val="000000"/>
                                </w:rPr>
                                <w:t>Оценка на ефективността на сега действащите контроли за намаляване на общия риск</w:t>
                              </w:r>
                            </w:p>
                          </w:txbxContent>
                        </wps:txbx>
                        <wps:bodyPr rot="0" vert="horz" wrap="square" lIns="91440" tIns="45720" rIns="91440" bIns="45720" anchor="ctr" anchorCtr="0" upright="1">
                          <a:noAutofit/>
                        </wps:bodyPr>
                      </wps:wsp>
                      <wps:wsp>
                        <wps:cNvPr id="93" name="Rectangle 59"/>
                        <wps:cNvSpPr>
                          <a:spLocks noChangeArrowheads="1"/>
                        </wps:cNvSpPr>
                        <wps:spPr bwMode="auto">
                          <a:xfrm>
                            <a:off x="21265" y="2658140"/>
                            <a:ext cx="5146964" cy="457200"/>
                          </a:xfrm>
                          <a:prstGeom prst="rect">
                            <a:avLst/>
                          </a:prstGeom>
                          <a:solidFill>
                            <a:srgbClr val="4F81BD"/>
                          </a:solidFill>
                          <a:ln w="25400" algn="ctr">
                            <a:solidFill>
                              <a:srgbClr val="385D8A"/>
                            </a:solidFill>
                            <a:miter lim="800000"/>
                            <a:headEnd/>
                            <a:tailEnd/>
                          </a:ln>
                        </wps:spPr>
                        <wps:txbx>
                          <w:txbxContent>
                            <w:p w14:paraId="176B7DAA" w14:textId="77777777" w:rsidR="004E3164" w:rsidRPr="002B1525" w:rsidRDefault="004E3164" w:rsidP="00864A2F">
                              <w:pPr>
                                <w:ind w:firstLine="0"/>
                                <w:jc w:val="center"/>
                                <w:rPr>
                                  <w:color w:val="000000"/>
                                </w:rPr>
                              </w:pPr>
                              <w:r w:rsidRPr="002B1525">
                                <w:rPr>
                                  <w:color w:val="000000"/>
                                </w:rPr>
                                <w:t>Оценка на „нето“ риска след като се отчете ефекта от съществуващите контроли и тяхната ефективност, т.е. ситуацията каквато е в момента (остатъчен риск)</w:t>
                              </w:r>
                            </w:p>
                          </w:txbxContent>
                        </wps:txbx>
                        <wps:bodyPr rot="0" vert="horz" wrap="square" lIns="91440" tIns="45720" rIns="91440" bIns="45720" anchor="ctr" anchorCtr="0" upright="1">
                          <a:noAutofit/>
                        </wps:bodyPr>
                      </wps:wsp>
                      <wps:wsp>
                        <wps:cNvPr id="94" name="Rectangle 60"/>
                        <wps:cNvSpPr>
                          <a:spLocks noChangeArrowheads="1"/>
                        </wps:cNvSpPr>
                        <wps:spPr bwMode="auto">
                          <a:xfrm>
                            <a:off x="0" y="4455042"/>
                            <a:ext cx="5146964" cy="568036"/>
                          </a:xfrm>
                          <a:prstGeom prst="rect">
                            <a:avLst/>
                          </a:prstGeom>
                          <a:solidFill>
                            <a:srgbClr val="4F81BD"/>
                          </a:solidFill>
                          <a:ln w="25400" algn="ctr">
                            <a:solidFill>
                              <a:srgbClr val="385D8A"/>
                            </a:solidFill>
                            <a:miter lim="800000"/>
                            <a:headEnd/>
                            <a:tailEnd/>
                          </a:ln>
                        </wps:spPr>
                        <wps:txbx>
                          <w:txbxContent>
                            <w:p w14:paraId="24224F8A" w14:textId="77777777" w:rsidR="004E3164" w:rsidRPr="002B1525" w:rsidRDefault="004E3164" w:rsidP="00864A2F">
                              <w:pPr>
                                <w:ind w:firstLine="0"/>
                                <w:jc w:val="center"/>
                                <w:rPr>
                                  <w:color w:val="000000"/>
                                </w:rPr>
                              </w:pPr>
                              <w:r w:rsidRPr="002B1525">
                                <w:rPr>
                                  <w:color w:val="000000"/>
                                </w:rPr>
                                <w:t>Оценка на планираните допълнителни контроли върху нетния (остатъчния) риск</w:t>
                              </w:r>
                            </w:p>
                          </w:txbxContent>
                        </wps:txbx>
                        <wps:bodyPr rot="0" vert="horz" wrap="square" lIns="91440" tIns="45720" rIns="91440" bIns="45720" anchor="ctr" anchorCtr="0" upright="1">
                          <a:noAutofit/>
                        </wps:bodyPr>
                      </wps:wsp>
                      <wps:wsp>
                        <wps:cNvPr id="95" name="Rectangle 61"/>
                        <wps:cNvSpPr>
                          <a:spLocks noChangeArrowheads="1"/>
                        </wps:cNvSpPr>
                        <wps:spPr bwMode="auto">
                          <a:xfrm>
                            <a:off x="0" y="3530010"/>
                            <a:ext cx="5146964" cy="512618"/>
                          </a:xfrm>
                          <a:prstGeom prst="rect">
                            <a:avLst/>
                          </a:prstGeom>
                          <a:solidFill>
                            <a:srgbClr val="4F81BD"/>
                          </a:solidFill>
                          <a:ln w="25400" algn="ctr">
                            <a:solidFill>
                              <a:srgbClr val="385D8A"/>
                            </a:solidFill>
                            <a:miter lim="800000"/>
                            <a:headEnd/>
                            <a:tailEnd/>
                          </a:ln>
                        </wps:spPr>
                        <wps:txbx>
                          <w:txbxContent>
                            <w:p w14:paraId="12FE0788" w14:textId="77777777" w:rsidR="004E3164" w:rsidRPr="002B1525" w:rsidRDefault="004E3164" w:rsidP="00864A2F">
                              <w:pPr>
                                <w:ind w:firstLine="0"/>
                                <w:jc w:val="center"/>
                                <w:rPr>
                                  <w:color w:val="000000"/>
                                </w:rPr>
                              </w:pPr>
                              <w:r w:rsidRPr="002B1525">
                                <w:rPr>
                                  <w:color w:val="000000"/>
                                </w:rPr>
                                <w:t>Дефиниране на целевия риск, т.е. нивото на риск което Управляващият орган счита за приемливо</w:t>
                              </w:r>
                            </w:p>
                          </w:txbxContent>
                        </wps:txbx>
                        <wps:bodyPr rot="0" vert="horz" wrap="square" lIns="91440" tIns="45720" rIns="91440" bIns="45720" anchor="ctr" anchorCtr="0" upright="1">
                          <a:noAutofit/>
                        </wps:bodyPr>
                      </wps:wsp>
                      <wps:wsp>
                        <wps:cNvPr id="99" name="Down Arrow 62"/>
                        <wps:cNvSpPr>
                          <a:spLocks noChangeArrowheads="1"/>
                        </wps:cNvSpPr>
                        <wps:spPr bwMode="auto">
                          <a:xfrm>
                            <a:off x="2424223" y="1392866"/>
                            <a:ext cx="45719" cy="242454"/>
                          </a:xfrm>
                          <a:prstGeom prst="downArrow">
                            <a:avLst>
                              <a:gd name="adj1" fmla="val 50000"/>
                              <a:gd name="adj2" fmla="val 50012"/>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100" name="Down Arrow 63"/>
                        <wps:cNvSpPr>
                          <a:spLocks noChangeArrowheads="1"/>
                        </wps:cNvSpPr>
                        <wps:spPr bwMode="auto">
                          <a:xfrm>
                            <a:off x="2413591" y="2360428"/>
                            <a:ext cx="45719" cy="249382"/>
                          </a:xfrm>
                          <a:prstGeom prst="downArrow">
                            <a:avLst>
                              <a:gd name="adj1" fmla="val 50000"/>
                              <a:gd name="adj2" fmla="val 50001"/>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101" name="Down Arrow 224"/>
                        <wps:cNvSpPr>
                          <a:spLocks noChangeArrowheads="1"/>
                        </wps:cNvSpPr>
                        <wps:spPr bwMode="auto">
                          <a:xfrm>
                            <a:off x="2402958" y="3200400"/>
                            <a:ext cx="45719" cy="270164"/>
                          </a:xfrm>
                          <a:prstGeom prst="downArrow">
                            <a:avLst>
                              <a:gd name="adj1" fmla="val 50000"/>
                              <a:gd name="adj2" fmla="val 5001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102" name="Down Arrow 225"/>
                        <wps:cNvSpPr>
                          <a:spLocks noChangeArrowheads="1"/>
                        </wps:cNvSpPr>
                        <wps:spPr bwMode="auto">
                          <a:xfrm>
                            <a:off x="2413591" y="4093535"/>
                            <a:ext cx="45719" cy="311728"/>
                          </a:xfrm>
                          <a:prstGeom prst="downArrow">
                            <a:avLst>
                              <a:gd name="adj1" fmla="val 50000"/>
                              <a:gd name="adj2" fmla="val 50001"/>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103" name="Rectangle 227"/>
                        <wps:cNvSpPr>
                          <a:spLocks noChangeArrowheads="1"/>
                        </wps:cNvSpPr>
                        <wps:spPr bwMode="auto">
                          <a:xfrm>
                            <a:off x="63795" y="0"/>
                            <a:ext cx="5125792" cy="354169"/>
                          </a:xfrm>
                          <a:prstGeom prst="rect">
                            <a:avLst/>
                          </a:prstGeom>
                          <a:solidFill>
                            <a:srgbClr val="5B9BD5"/>
                          </a:solidFill>
                          <a:ln w="12700" algn="ctr">
                            <a:solidFill>
                              <a:srgbClr val="41719C"/>
                            </a:solidFill>
                            <a:miter lim="800000"/>
                            <a:headEnd/>
                            <a:tailEnd/>
                          </a:ln>
                        </wps:spPr>
                        <wps:txbx>
                          <w:txbxContent>
                            <w:p w14:paraId="0D5EEC0D" w14:textId="77777777" w:rsidR="004E3164" w:rsidRDefault="004E3164" w:rsidP="00864A2F">
                              <w:pPr>
                                <w:ind w:firstLine="0"/>
                                <w:jc w:val="center"/>
                              </w:pPr>
                              <w:r>
                                <w:t>Идентифициране на рисковете</w:t>
                              </w:r>
                            </w:p>
                          </w:txbxContent>
                        </wps:txbx>
                        <wps:bodyPr rot="0" vert="horz" wrap="square" lIns="91440" tIns="45720" rIns="91440" bIns="45720" anchor="ctr" anchorCtr="0" upright="1">
                          <a:noAutofit/>
                        </wps:bodyPr>
                      </wps:wsp>
                      <wps:wsp>
                        <wps:cNvPr id="104" name="Down Arrow 228"/>
                        <wps:cNvSpPr>
                          <a:spLocks noChangeArrowheads="1"/>
                        </wps:cNvSpPr>
                        <wps:spPr bwMode="auto">
                          <a:xfrm>
                            <a:off x="2392326" y="414670"/>
                            <a:ext cx="45719" cy="242454"/>
                          </a:xfrm>
                          <a:prstGeom prst="downArrow">
                            <a:avLst>
                              <a:gd name="adj1" fmla="val 50000"/>
                              <a:gd name="adj2" fmla="val 50012"/>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0305B387" id="Group 55" o:spid="_x0000_s1724" style="width:408.7pt;height:395.5pt;mso-position-horizontal-relative:char;mso-position-vertical-relative:line" coordsize="51906,5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">
                <v:rect id="Rectangle 56" o:spid="_x0000_s1725" style="position:absolute;left:425;top:7974;width:51481;height:5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" fillcolor="#5b9bd5" strokecolor="#41719c" strokeweight="1pt">
                  <v:textbox>
                    <w:txbxContent>
                      <w:p w14:paraId="5882E9BA" w14:textId="77777777" w:rsidR="004E3164" w:rsidRDefault="004E3164" w:rsidP="00864A2F">
                        <w:pPr>
                          <w:ind w:firstLine="0"/>
                          <w:jc w:val="center"/>
                        </w:pPr>
                        <w:r>
                          <w:t>Остойностяване на вероятността и влиянието на специфичния риск за измама (общ риск)</w:t>
                        </w:r>
                      </w:p>
                    </w:txbxContent>
                  </v:textbox>
                </v:rect>
                <v:rect id="Rectangle 58" o:spid="_x0000_s1726" style="position:absolute;left:212;top:17543;width:51470;height:5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" fillcolor="#4f81bd" strokecolor="#385d8a" strokeweight="2pt">
                  <v:textbox>
                    <w:txbxContent>
                      <w:p w14:paraId="7F655CBC" w14:textId="77777777" w:rsidR="004E3164" w:rsidRPr="002B1525" w:rsidRDefault="004E3164" w:rsidP="00864A2F">
                        <w:pPr>
                          <w:ind w:firstLine="0"/>
                          <w:jc w:val="center"/>
                          <w:rPr>
                            <w:color w:val="000000"/>
                          </w:rPr>
                        </w:pPr>
                        <w:r w:rsidRPr="002B1525">
                          <w:rPr>
                            <w:color w:val="000000"/>
                          </w:rPr>
                          <w:t>Оценка на ефективността на сега действащите контроли за намаляване на общия риск</w:t>
                        </w:r>
                      </w:p>
                    </w:txbxContent>
                  </v:textbox>
                </v:rect>
                <v:rect id="Rectangle 59" o:spid="_x0000_s1727" style="position:absolute;left:212;top:26581;width:5147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" fillcolor="#4f81bd" strokecolor="#385d8a" strokeweight="2pt">
                  <v:textbox>
                    <w:txbxContent>
                      <w:p w14:paraId="176B7DAA" w14:textId="77777777" w:rsidR="004E3164" w:rsidRPr="002B1525" w:rsidRDefault="004E3164" w:rsidP="00864A2F">
                        <w:pPr>
                          <w:ind w:firstLine="0"/>
                          <w:jc w:val="center"/>
                          <w:rPr>
                            <w:color w:val="000000"/>
                          </w:rPr>
                        </w:pPr>
                        <w:r w:rsidRPr="002B1525">
                          <w:rPr>
                            <w:color w:val="000000"/>
                          </w:rPr>
                          <w:t>Оценка на „нето“ риска след като се отчете ефекта от съществуващите контроли и тяхната ефективност, т.е. ситуацията каквато е в момента (остатъчен риск)</w:t>
                        </w:r>
                      </w:p>
                    </w:txbxContent>
                  </v:textbox>
                </v:rect>
                <v:rect id="Rectangle 60" o:spid="_x0000_s1728" style="position:absolute;top:44550;width:51469;height:5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" fillcolor="#4f81bd" strokecolor="#385d8a" strokeweight="2pt">
                  <v:textbox>
                    <w:txbxContent>
                      <w:p w14:paraId="24224F8A" w14:textId="77777777" w:rsidR="004E3164" w:rsidRPr="002B1525" w:rsidRDefault="004E3164" w:rsidP="00864A2F">
                        <w:pPr>
                          <w:ind w:firstLine="0"/>
                          <w:jc w:val="center"/>
                          <w:rPr>
                            <w:color w:val="000000"/>
                          </w:rPr>
                        </w:pPr>
                        <w:r w:rsidRPr="002B1525">
                          <w:rPr>
                            <w:color w:val="000000"/>
                          </w:rPr>
                          <w:t>Оценка на планираните допълнителни контроли върху нетния (остатъчния) риск</w:t>
                        </w:r>
                      </w:p>
                    </w:txbxContent>
                  </v:textbox>
                </v:rect>
                <v:rect id="Rectangle 61" o:spid="_x0000_s1729" style="position:absolute;top:35300;width:51469;height:5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" fillcolor="#4f81bd" strokecolor="#385d8a" strokeweight="2pt">
                  <v:textbox>
                    <w:txbxContent>
                      <w:p w14:paraId="12FE0788" w14:textId="77777777" w:rsidR="004E3164" w:rsidRPr="002B1525" w:rsidRDefault="004E3164" w:rsidP="00864A2F">
                        <w:pPr>
                          <w:ind w:firstLine="0"/>
                          <w:jc w:val="center"/>
                          <w:rPr>
                            <w:color w:val="000000"/>
                          </w:rPr>
                        </w:pPr>
                        <w:r w:rsidRPr="002B1525">
                          <w:rPr>
                            <w:color w:val="000000"/>
                          </w:rPr>
                          <w:t>Дефиниране на целевия риск, т.е. нивото на риск което Управляващият орган счита за приемливо</w:t>
                        </w:r>
                      </w:p>
                    </w:txbxContent>
                  </v:textbox>
                </v:rect>
                <v:shape id="Down Arrow 62" o:spid="_x0000_s1730" type="#_x0000_t67" style="position:absolute;left:24242;top:13928;width:457;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" adj="19563" fillcolor="#5b9bd5" strokecolor="#41719c" strokeweight="1pt"/>
                <v:shape id="Down Arrow 63" o:spid="_x0000_s1731" type="#_x0000_t67" style="position:absolute;left:24135;top:23604;width:458;height:2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" adj="19620" fillcolor="#5b9bd5" strokecolor="#41719c" strokeweight="1pt"/>
                <v:shape id="Down Arrow 224" o:spid="_x0000_s1732" type="#_x0000_t67" style="position:absolute;left:24029;top:32004;width:457;height:2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" adj="19772" fillcolor="#5b9bd5" strokecolor="#41719c" strokeweight="1pt"/>
                <v:shape id="Down Arrow 225" o:spid="_x0000_s1733" type="#_x0000_t67" style="position:absolute;left:24135;top:40935;width:458;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" adj="20016" fillcolor="#5b9bd5" strokecolor="#41719c" strokeweight="1pt"/>
                <v:rect id="Rectangle 227" o:spid="_x0000_s1734" style="position:absolute;left:637;width:51258;height:3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" fillcolor="#5b9bd5" strokecolor="#41719c" strokeweight="1pt">
                  <v:textbox>
                    <w:txbxContent>
                      <w:p w14:paraId="0D5EEC0D" w14:textId="77777777" w:rsidR="004E3164" w:rsidRDefault="004E3164" w:rsidP="00864A2F">
                        <w:pPr>
                          <w:ind w:firstLine="0"/>
                          <w:jc w:val="center"/>
                        </w:pPr>
                        <w:r>
                          <w:t>Идентифициране на рисковете</w:t>
                        </w:r>
                      </w:p>
                    </w:txbxContent>
                  </v:textbox>
                </v:rect>
                <v:shape id="Down Arrow 228" o:spid="_x0000_s1735" type="#_x0000_t67" style="position:absolute;left:23923;top:4146;width:457;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" adj="19563" fillcolor="#5b9bd5" strokecolor="#41719c" strokeweight="1pt"/>
                <w10:anchorlock/>
              </v:group>
            </w:pict>
          </mc:Fallback>
        </mc:AlternateContent>
      </w:r>
    </w:p>
    <w:p w14:paraId="640682C4" w14:textId="77777777" w:rsidR="00247D9E" w:rsidRPr="001B0EA3" w:rsidRDefault="00247D9E" w:rsidP="00046D61">
      <w:pPr>
        <w:widowControl w:val="0"/>
        <w:autoSpaceDE w:val="0"/>
        <w:autoSpaceDN w:val="0"/>
        <w:adjustRightInd w:val="0"/>
        <w:ind w:firstLine="567"/>
        <w:contextualSpacing/>
        <w:rPr>
          <w:lang w:eastAsia="bg-BG"/>
        </w:rPr>
      </w:pPr>
    </w:p>
    <w:p w14:paraId="68D38386" w14:textId="77777777" w:rsidR="00247D9E" w:rsidRPr="001B0EA3" w:rsidRDefault="00247D9E" w:rsidP="00005E4B">
      <w:pPr>
        <w:rPr>
          <w:lang w:eastAsia="en-US"/>
        </w:rPr>
      </w:pPr>
      <w:r w:rsidRPr="001B0EA3">
        <w:rPr>
          <w:lang w:eastAsia="en-US"/>
        </w:rPr>
        <w:t xml:space="preserve">Общата цел е за всеки един от специфичните рискове първо да се оцени „брутния“ риск от възникването на конкретни сценарии за измами, а след това да се идентифицира и оцени на ефективността на наличните контроли, насочени към намаляване на ефекта на тези рискове от измами чрез </w:t>
      </w:r>
      <w:r w:rsidRPr="001B0EA3">
        <w:t xml:space="preserve">предотвратяване </w:t>
      </w:r>
      <w:r w:rsidRPr="001B0EA3">
        <w:rPr>
          <w:lang w:eastAsia="en-US"/>
        </w:rPr>
        <w:t>на тяхната поява или</w:t>
      </w:r>
      <w:r w:rsidRPr="001B0EA3">
        <w:t xml:space="preserve"> </w:t>
      </w:r>
      <w:r w:rsidRPr="001B0EA3">
        <w:rPr>
          <w:lang w:eastAsia="en-US"/>
        </w:rPr>
        <w:t>за да се гарантира, че те няма да останат незабелязани. Резултатът ще бъде "нетния " текущ риск който трябва да служи за основа на план за действие, целящ подобряване на контрола и по-нататъшно намаляването на експозицията на страната членка на негативни последици (т.е. въвеждането на допълнителни ефективни и пропорционални мерки за борба с измамите, където е необходимо).</w:t>
      </w:r>
    </w:p>
    <w:p w14:paraId="1569A238" w14:textId="77777777" w:rsidR="0025559B" w:rsidRPr="001B0EA3" w:rsidRDefault="0025559B" w:rsidP="00046D61">
      <w:pPr>
        <w:widowControl w:val="0"/>
        <w:autoSpaceDE w:val="0"/>
        <w:autoSpaceDN w:val="0"/>
        <w:adjustRightInd w:val="0"/>
        <w:ind w:firstLine="567"/>
        <w:contextualSpacing/>
        <w:rPr>
          <w:lang w:eastAsia="bg-BG"/>
        </w:rPr>
      </w:pPr>
    </w:p>
    <w:p w14:paraId="1080FF76" w14:textId="77777777" w:rsidR="00247D9E" w:rsidRPr="001B0EA3" w:rsidRDefault="00247D9E" w:rsidP="00B502C7">
      <w:pPr>
        <w:pStyle w:val="Style2"/>
        <w:rPr>
          <w:lang w:eastAsia="bg-BG"/>
        </w:rPr>
      </w:pPr>
      <w:bookmarkStart w:id="1325" w:name="_Toc479775822"/>
      <w:bookmarkStart w:id="1326" w:name="_Toc140150299"/>
      <w:r w:rsidRPr="001B0EA3">
        <w:t>Идентифициране на рисковете от измама</w:t>
      </w:r>
      <w:bookmarkEnd w:id="1325"/>
      <w:bookmarkEnd w:id="1326"/>
    </w:p>
    <w:p w14:paraId="3FD4FF6D" w14:textId="77777777" w:rsidR="00247D9E" w:rsidRPr="001B0EA3" w:rsidRDefault="00247D9E" w:rsidP="00005E4B">
      <w:r w:rsidRPr="001B0EA3">
        <w:t>Рисковете от измама в дейността на УО са предварително идентифицирани в Guidance Note on Fraud Risk Assesment and Effective and Proportionate Anti Fraud Measures 2013 Ref. Ares(2013)3769073 - 19/12/2013 на ГД „Регионална и урбанистична политика“ на ЕК. В насоките са изброени общо 21 конкретни риска в следните основни области на дейност на УО:</w:t>
      </w:r>
    </w:p>
    <w:p w14:paraId="6957BCDB" w14:textId="77777777" w:rsidR="00247D9E" w:rsidRPr="001B0EA3" w:rsidRDefault="00247D9E" w:rsidP="00005E4B">
      <w:pPr>
        <w:numPr>
          <w:ilvl w:val="0"/>
          <w:numId w:val="182"/>
        </w:numPr>
        <w:tabs>
          <w:tab w:val="left" w:pos="1134"/>
        </w:tabs>
        <w:spacing w:after="200"/>
        <w:ind w:left="0" w:firstLine="851"/>
        <w:contextualSpacing/>
        <w:rPr>
          <w:szCs w:val="24"/>
        </w:rPr>
      </w:pPr>
      <w:r w:rsidRPr="001B0EA3">
        <w:rPr>
          <w:szCs w:val="24"/>
        </w:rPr>
        <w:t>Избор на участник (касае се за отпускане на БФП на бенефициера):</w:t>
      </w:r>
    </w:p>
    <w:p w14:paraId="65F5099A" w14:textId="77777777"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Конфликт на интереси в оценителната комисия</w:t>
      </w:r>
    </w:p>
    <w:p w14:paraId="047E564E" w14:textId="77777777"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Фалшиви декларации от участниците</w:t>
      </w:r>
    </w:p>
    <w:p w14:paraId="7DC19D63" w14:textId="77777777"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Двойно финансиране</w:t>
      </w:r>
    </w:p>
    <w:p w14:paraId="07BFE1DE" w14:textId="77777777" w:rsidR="00247D9E" w:rsidRPr="001B0EA3" w:rsidRDefault="00247D9E" w:rsidP="00005E4B">
      <w:pPr>
        <w:numPr>
          <w:ilvl w:val="0"/>
          <w:numId w:val="182"/>
        </w:numPr>
        <w:tabs>
          <w:tab w:val="left" w:pos="1134"/>
        </w:tabs>
        <w:spacing w:after="200"/>
        <w:ind w:left="0" w:firstLine="851"/>
        <w:contextualSpacing/>
        <w:rPr>
          <w:szCs w:val="24"/>
        </w:rPr>
      </w:pPr>
      <w:r w:rsidRPr="001B0EA3">
        <w:rPr>
          <w:szCs w:val="24"/>
        </w:rPr>
        <w:t>Изпълнение и верификация</w:t>
      </w:r>
    </w:p>
    <w:p w14:paraId="6748C1B6" w14:textId="77777777"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Недеклариран конфликт на интереси или подкупи или рушвети</w:t>
      </w:r>
    </w:p>
    <w:p w14:paraId="6D3C4891" w14:textId="77777777"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Избягване на изискуемата конкурентна процедура по ЗОП</w:t>
      </w:r>
    </w:p>
    <w:p w14:paraId="3CB8E0A1" w14:textId="77777777"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lastRenderedPageBreak/>
        <w:t>Манипулация на конкурентната тръжна процедура</w:t>
      </w:r>
    </w:p>
    <w:p w14:paraId="1B8E675E" w14:textId="77777777"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Уговорени търгове</w:t>
      </w:r>
    </w:p>
    <w:p w14:paraId="412043AF" w14:textId="77777777"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Неправилно ценообразуване</w:t>
      </w:r>
    </w:p>
    <w:p w14:paraId="0DD175CE" w14:textId="77777777"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Манипулиране на исканията за плащане</w:t>
      </w:r>
    </w:p>
    <w:p w14:paraId="37A12286" w14:textId="77777777"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Недоставяне или замяна на продуктите</w:t>
      </w:r>
    </w:p>
    <w:p w14:paraId="3BB63B7B" w14:textId="77777777"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Промяна на съществуващи договори</w:t>
      </w:r>
    </w:p>
    <w:p w14:paraId="5914BE7D" w14:textId="77777777"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Надценяване на качеството или на дейностите на персонала</w:t>
      </w:r>
    </w:p>
    <w:p w14:paraId="0BDCB554" w14:textId="77777777"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Фалшиви разходи за труд</w:t>
      </w:r>
    </w:p>
    <w:p w14:paraId="2D250AEB" w14:textId="77777777"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Неправилно отнасяне на разходите за труд към определен проект</w:t>
      </w:r>
    </w:p>
    <w:p w14:paraId="0120A414" w14:textId="77777777" w:rsidR="00247D9E" w:rsidRPr="001B0EA3" w:rsidRDefault="00247D9E" w:rsidP="00005E4B">
      <w:pPr>
        <w:numPr>
          <w:ilvl w:val="0"/>
          <w:numId w:val="182"/>
        </w:numPr>
        <w:tabs>
          <w:tab w:val="left" w:pos="1134"/>
        </w:tabs>
        <w:spacing w:after="200"/>
        <w:ind w:left="0" w:firstLine="851"/>
        <w:contextualSpacing/>
        <w:rPr>
          <w:szCs w:val="24"/>
        </w:rPr>
      </w:pPr>
      <w:r w:rsidRPr="001B0EA3">
        <w:rPr>
          <w:szCs w:val="24"/>
        </w:rPr>
        <w:t>Сертификация и плащания</w:t>
      </w:r>
    </w:p>
    <w:p w14:paraId="5C434A69" w14:textId="77777777"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Непълен/неадекватен процес на верификация</w:t>
      </w:r>
    </w:p>
    <w:p w14:paraId="1C8A925D" w14:textId="77777777"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Непълен/неадекватен процес на сертифициране на разходите</w:t>
      </w:r>
    </w:p>
    <w:p w14:paraId="0B1DAE2A" w14:textId="77777777"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Конфликт на интереси в УО</w:t>
      </w:r>
    </w:p>
    <w:p w14:paraId="0CAF3377" w14:textId="77777777"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Конфликт на интереси в Сертифициращия орган</w:t>
      </w:r>
    </w:p>
    <w:p w14:paraId="3856042B" w14:textId="77777777" w:rsidR="00247D9E" w:rsidRPr="001B0EA3" w:rsidRDefault="00247D9E" w:rsidP="00005E4B">
      <w:pPr>
        <w:numPr>
          <w:ilvl w:val="0"/>
          <w:numId w:val="182"/>
        </w:numPr>
        <w:tabs>
          <w:tab w:val="left" w:pos="1134"/>
        </w:tabs>
        <w:spacing w:after="200"/>
        <w:ind w:left="0" w:firstLine="851"/>
        <w:contextualSpacing/>
        <w:rPr>
          <w:szCs w:val="24"/>
        </w:rPr>
      </w:pPr>
      <w:r w:rsidRPr="001B0EA3">
        <w:rPr>
          <w:szCs w:val="24"/>
        </w:rPr>
        <w:t>Възлагане на поръчки от УО</w:t>
      </w:r>
    </w:p>
    <w:p w14:paraId="56EAB857" w14:textId="77777777"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Избягване на изискуемата конкурентна процедура</w:t>
      </w:r>
    </w:p>
    <w:p w14:paraId="05AECFD4" w14:textId="77777777"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Манипулиране на конкурентната процедура</w:t>
      </w:r>
    </w:p>
    <w:p w14:paraId="1E67B2E9" w14:textId="77777777"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Недеклариран конфликт на интереси или подкупи и рушвети</w:t>
      </w:r>
    </w:p>
    <w:p w14:paraId="0B4765A5" w14:textId="77777777" w:rsidR="00247D9E" w:rsidRPr="001B0EA3" w:rsidRDefault="00247D9E" w:rsidP="00005E4B">
      <w:pPr>
        <w:widowControl w:val="0"/>
        <w:autoSpaceDE w:val="0"/>
        <w:autoSpaceDN w:val="0"/>
        <w:adjustRightInd w:val="0"/>
        <w:contextualSpacing/>
        <w:rPr>
          <w:szCs w:val="24"/>
        </w:rPr>
      </w:pPr>
      <w:r w:rsidRPr="001B0EA3">
        <w:rPr>
          <w:szCs w:val="24"/>
        </w:rPr>
        <w:t xml:space="preserve">Специфичните рискове от измами, които трябва да бъдат оценени по-нататък в рамките на процеса на управление на риска, са идентифицирани на база информация от предишни случаи от реализацията на политиката на сближаване, както и други общопризнати и повтарящи се схеми за измама. </w:t>
      </w:r>
    </w:p>
    <w:p w14:paraId="4D132BFB" w14:textId="77777777" w:rsidR="00247D9E" w:rsidRPr="001B0EA3" w:rsidRDefault="00247D9E" w:rsidP="00005E4B">
      <w:pPr>
        <w:rPr>
          <w:b/>
          <w:szCs w:val="24"/>
        </w:rPr>
      </w:pPr>
      <w:r w:rsidRPr="001B0EA3">
        <w:rPr>
          <w:b/>
          <w:szCs w:val="24"/>
        </w:rPr>
        <w:t>На този етап УО не е идентифицирал други специфични за програмата или за региона механизми за измама, които би следвало да бъдат взети предвид.</w:t>
      </w:r>
    </w:p>
    <w:p w14:paraId="738B0922" w14:textId="77777777" w:rsidR="00247D9E" w:rsidRPr="001B0EA3" w:rsidRDefault="00247D9E" w:rsidP="00005E4B">
      <w:pPr>
        <w:rPr>
          <w:color w:val="000000"/>
          <w:szCs w:val="24"/>
        </w:rPr>
      </w:pPr>
    </w:p>
    <w:p w14:paraId="37EA4C19" w14:textId="77777777" w:rsidR="00EA20DE" w:rsidRPr="001B0EA3" w:rsidRDefault="00EA20DE" w:rsidP="00EA20DE">
      <w:pPr>
        <w:widowControl w:val="0"/>
        <w:autoSpaceDE w:val="0"/>
        <w:autoSpaceDN w:val="0"/>
        <w:adjustRightInd w:val="0"/>
        <w:contextualSpacing/>
        <w:rPr>
          <w:lang w:eastAsia="bg-BG"/>
        </w:rPr>
      </w:pPr>
      <w:r w:rsidRPr="001B0EA3">
        <w:rPr>
          <w:color w:val="000000"/>
          <w:szCs w:val="24"/>
        </w:rPr>
        <w:t xml:space="preserve">Отговорни за идентифицирането на рисковете от измама са членовете на екипа по </w:t>
      </w:r>
      <w:r w:rsidRPr="001B0EA3">
        <w:rPr>
          <w:b/>
          <w:color w:val="000000"/>
          <w:szCs w:val="24"/>
        </w:rPr>
        <w:t>точка 30.</w:t>
      </w:r>
      <w:r w:rsidRPr="00842ECC">
        <w:rPr>
          <w:b/>
          <w:color w:val="000000"/>
          <w:szCs w:val="24"/>
        </w:rPr>
        <w:t>6</w:t>
      </w:r>
      <w:r w:rsidRPr="001B0EA3">
        <w:rPr>
          <w:b/>
          <w:color w:val="000000"/>
          <w:szCs w:val="24"/>
        </w:rPr>
        <w:t>.</w:t>
      </w:r>
      <w:r>
        <w:rPr>
          <w:b/>
          <w:color w:val="000000"/>
          <w:szCs w:val="24"/>
        </w:rPr>
        <w:t>4.</w:t>
      </w:r>
      <w:r w:rsidRPr="001B0EA3">
        <w:rPr>
          <w:b/>
          <w:color w:val="000000"/>
          <w:szCs w:val="24"/>
        </w:rPr>
        <w:t xml:space="preserve">, буква </w:t>
      </w:r>
      <w:r>
        <w:rPr>
          <w:b/>
          <w:color w:val="000000"/>
          <w:szCs w:val="24"/>
        </w:rPr>
        <w:t>в</w:t>
      </w:r>
      <w:r w:rsidRPr="001B0EA3">
        <w:rPr>
          <w:b/>
          <w:color w:val="000000"/>
          <w:szCs w:val="24"/>
        </w:rPr>
        <w:t>)</w:t>
      </w:r>
      <w:r w:rsidRPr="001B0EA3">
        <w:rPr>
          <w:color w:val="000000"/>
          <w:szCs w:val="24"/>
        </w:rPr>
        <w:t>.</w:t>
      </w:r>
    </w:p>
    <w:p w14:paraId="3276208B" w14:textId="77777777" w:rsidR="00247D9E" w:rsidRPr="001B0EA3" w:rsidRDefault="00247D9E" w:rsidP="00046D61">
      <w:pPr>
        <w:widowControl w:val="0"/>
        <w:autoSpaceDE w:val="0"/>
        <w:autoSpaceDN w:val="0"/>
        <w:adjustRightInd w:val="0"/>
        <w:ind w:firstLine="567"/>
        <w:contextualSpacing/>
        <w:rPr>
          <w:lang w:eastAsia="bg-BG"/>
        </w:rPr>
      </w:pPr>
    </w:p>
    <w:p w14:paraId="78CB3694" w14:textId="77777777" w:rsidR="00810E8C" w:rsidRPr="001B0EA3" w:rsidRDefault="003B68FE" w:rsidP="00B502C7">
      <w:pPr>
        <w:pStyle w:val="Style2"/>
        <w:rPr>
          <w:lang w:eastAsia="bg-BG"/>
        </w:rPr>
      </w:pPr>
      <w:bookmarkStart w:id="1327" w:name="_Toc479775823"/>
      <w:bookmarkStart w:id="1328" w:name="_Toc140150300"/>
      <w:r w:rsidRPr="001B0EA3">
        <w:t>Оценка на рисковете от измама</w:t>
      </w:r>
      <w:bookmarkEnd w:id="1327"/>
      <w:bookmarkEnd w:id="1328"/>
      <w:r w:rsidR="00810E8C" w:rsidRPr="001B0EA3">
        <w:rPr>
          <w:lang w:eastAsia="bg-BG"/>
        </w:rPr>
        <w:t xml:space="preserve"> </w:t>
      </w:r>
    </w:p>
    <w:p w14:paraId="26F9D3EA" w14:textId="77777777" w:rsidR="00810E8C" w:rsidRPr="001B0EA3" w:rsidRDefault="00810E8C" w:rsidP="00046D61">
      <w:pPr>
        <w:widowControl w:val="0"/>
        <w:autoSpaceDE w:val="0"/>
        <w:autoSpaceDN w:val="0"/>
        <w:adjustRightInd w:val="0"/>
        <w:contextualSpacing/>
        <w:rPr>
          <w:szCs w:val="24"/>
          <w:lang w:eastAsia="en-US"/>
        </w:rPr>
      </w:pPr>
    </w:p>
    <w:p w14:paraId="59436D21" w14:textId="77777777" w:rsidR="003B68FE" w:rsidRPr="001B0EA3" w:rsidRDefault="003B68FE" w:rsidP="00005E4B">
      <w:r w:rsidRPr="001B0EA3">
        <w:rPr>
          <w:lang w:eastAsia="en-US"/>
        </w:rPr>
        <w:t xml:space="preserve">Критериите за оценка на рисковете от измама, съгласно </w:t>
      </w:r>
      <w:r w:rsidRPr="001B0EA3">
        <w:t>Guidance Note on Fraud Risk Assesment and Effective and Proportionate Anti Fraud Measures 2013 Ref. Ares(2013)3769073 - 19/12/2013 на ГД „Регионална и урбанистична политика“ на ЕК, са следните:</w:t>
      </w:r>
    </w:p>
    <w:p w14:paraId="0ABE82E1" w14:textId="77777777" w:rsidR="003B68FE" w:rsidRPr="001B0EA3" w:rsidRDefault="003B68FE" w:rsidP="00046D61">
      <w:pPr>
        <w:widowControl w:val="0"/>
        <w:autoSpaceDE w:val="0"/>
        <w:autoSpaceDN w:val="0"/>
        <w:adjustRightInd w:val="0"/>
        <w:contextualSpacing/>
        <w:rPr>
          <w:szCs w:val="24"/>
        </w:rPr>
      </w:pPr>
    </w:p>
    <w:p w14:paraId="49AF96D4" w14:textId="77777777" w:rsidR="003B68FE" w:rsidRPr="0098427A" w:rsidRDefault="003B68FE" w:rsidP="0098427A">
      <w:pPr>
        <w:pStyle w:val="ListParagraph"/>
        <w:widowControl w:val="0"/>
        <w:numPr>
          <w:ilvl w:val="0"/>
          <w:numId w:val="69"/>
        </w:numPr>
        <w:autoSpaceDE w:val="0"/>
        <w:autoSpaceDN w:val="0"/>
        <w:adjustRightInd w:val="0"/>
        <w:rPr>
          <w:b/>
          <w:szCs w:val="24"/>
          <w:lang w:eastAsia="en-US"/>
        </w:rPr>
      </w:pPr>
      <w:r w:rsidRPr="0098427A">
        <w:rPr>
          <w:b/>
          <w:szCs w:val="24"/>
          <w:lang w:eastAsia="en-US"/>
        </w:rPr>
        <w:t xml:space="preserve">Влияние на събитието върху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
        <w:gridCol w:w="4536"/>
        <w:gridCol w:w="4394"/>
      </w:tblGrid>
      <w:tr w:rsidR="003B68FE" w:rsidRPr="001B0EA3" w14:paraId="65F4AAB2" w14:textId="77777777" w:rsidTr="0098427A">
        <w:trPr>
          <w:jc w:val="center"/>
        </w:trPr>
        <w:tc>
          <w:tcPr>
            <w:tcW w:w="430" w:type="dxa"/>
            <w:shd w:val="clear" w:color="auto" w:fill="auto"/>
          </w:tcPr>
          <w:p w14:paraId="703A197B" w14:textId="77777777" w:rsidR="003B68FE" w:rsidRPr="001B0EA3" w:rsidRDefault="003B68FE" w:rsidP="0098427A">
            <w:pPr>
              <w:widowControl w:val="0"/>
              <w:autoSpaceDE w:val="0"/>
              <w:autoSpaceDN w:val="0"/>
              <w:adjustRightInd w:val="0"/>
              <w:ind w:firstLine="0"/>
              <w:contextualSpacing/>
              <w:jc w:val="center"/>
              <w:rPr>
                <w:b/>
                <w:szCs w:val="24"/>
                <w:lang w:eastAsia="en-US"/>
              </w:rPr>
            </w:pPr>
          </w:p>
        </w:tc>
        <w:tc>
          <w:tcPr>
            <w:tcW w:w="4536" w:type="dxa"/>
            <w:shd w:val="clear" w:color="auto" w:fill="auto"/>
          </w:tcPr>
          <w:p w14:paraId="7FF0750C" w14:textId="77777777" w:rsidR="003B68FE" w:rsidRPr="001B0EA3" w:rsidRDefault="003B68FE" w:rsidP="0098427A">
            <w:pPr>
              <w:widowControl w:val="0"/>
              <w:autoSpaceDE w:val="0"/>
              <w:autoSpaceDN w:val="0"/>
              <w:adjustRightInd w:val="0"/>
              <w:ind w:firstLine="0"/>
              <w:contextualSpacing/>
              <w:jc w:val="center"/>
              <w:rPr>
                <w:b/>
                <w:szCs w:val="24"/>
                <w:lang w:eastAsia="en-US"/>
              </w:rPr>
            </w:pPr>
            <w:r w:rsidRPr="001B0EA3">
              <w:rPr>
                <w:b/>
                <w:szCs w:val="24"/>
                <w:lang w:eastAsia="en-US"/>
              </w:rPr>
              <w:t>Репутация</w:t>
            </w:r>
          </w:p>
        </w:tc>
        <w:tc>
          <w:tcPr>
            <w:tcW w:w="4394" w:type="dxa"/>
            <w:shd w:val="clear" w:color="auto" w:fill="auto"/>
          </w:tcPr>
          <w:p w14:paraId="46C746D1" w14:textId="77777777" w:rsidR="003B68FE" w:rsidRPr="001B0EA3" w:rsidRDefault="003B68FE" w:rsidP="0098427A">
            <w:pPr>
              <w:widowControl w:val="0"/>
              <w:autoSpaceDE w:val="0"/>
              <w:autoSpaceDN w:val="0"/>
              <w:adjustRightInd w:val="0"/>
              <w:ind w:firstLine="0"/>
              <w:contextualSpacing/>
              <w:jc w:val="center"/>
              <w:rPr>
                <w:b/>
                <w:szCs w:val="24"/>
                <w:lang w:eastAsia="en-US"/>
              </w:rPr>
            </w:pPr>
            <w:r w:rsidRPr="001B0EA3">
              <w:rPr>
                <w:b/>
                <w:szCs w:val="24"/>
                <w:lang w:eastAsia="en-US"/>
              </w:rPr>
              <w:t>Целите</w:t>
            </w:r>
          </w:p>
        </w:tc>
      </w:tr>
      <w:tr w:rsidR="003B68FE" w:rsidRPr="001B0EA3" w14:paraId="1B64B4FB" w14:textId="77777777" w:rsidTr="0098427A">
        <w:trPr>
          <w:jc w:val="center"/>
        </w:trPr>
        <w:tc>
          <w:tcPr>
            <w:tcW w:w="430" w:type="dxa"/>
            <w:shd w:val="clear" w:color="auto" w:fill="auto"/>
          </w:tcPr>
          <w:p w14:paraId="764568A5" w14:textId="77777777" w:rsidR="003B68FE" w:rsidRPr="001B0EA3" w:rsidRDefault="003B68FE" w:rsidP="00707FB7">
            <w:pPr>
              <w:widowControl w:val="0"/>
              <w:autoSpaceDE w:val="0"/>
              <w:autoSpaceDN w:val="0"/>
              <w:adjustRightInd w:val="0"/>
              <w:ind w:firstLine="0"/>
              <w:contextualSpacing/>
              <w:jc w:val="center"/>
              <w:rPr>
                <w:szCs w:val="24"/>
                <w:lang w:eastAsia="en-US"/>
              </w:rPr>
            </w:pPr>
            <w:r w:rsidRPr="001B0EA3">
              <w:rPr>
                <w:szCs w:val="24"/>
                <w:lang w:eastAsia="en-US"/>
              </w:rPr>
              <w:t>1</w:t>
            </w:r>
          </w:p>
        </w:tc>
        <w:tc>
          <w:tcPr>
            <w:tcW w:w="4536" w:type="dxa"/>
            <w:shd w:val="clear" w:color="auto" w:fill="auto"/>
          </w:tcPr>
          <w:p w14:paraId="5FCC770D" w14:textId="77777777" w:rsidR="003B68FE" w:rsidRPr="001B0EA3" w:rsidRDefault="003B68FE" w:rsidP="00005E4B">
            <w:pPr>
              <w:widowControl w:val="0"/>
              <w:autoSpaceDE w:val="0"/>
              <w:autoSpaceDN w:val="0"/>
              <w:adjustRightInd w:val="0"/>
              <w:ind w:hanging="28"/>
              <w:contextualSpacing/>
              <w:jc w:val="left"/>
              <w:rPr>
                <w:szCs w:val="24"/>
                <w:lang w:eastAsia="en-US"/>
              </w:rPr>
            </w:pPr>
            <w:r w:rsidRPr="001B0EA3">
              <w:rPr>
                <w:szCs w:val="24"/>
                <w:lang w:eastAsia="en-US"/>
              </w:rPr>
              <w:t>Ограничено отражение</w:t>
            </w:r>
          </w:p>
        </w:tc>
        <w:tc>
          <w:tcPr>
            <w:tcW w:w="4394" w:type="dxa"/>
            <w:shd w:val="clear" w:color="auto" w:fill="auto"/>
          </w:tcPr>
          <w:p w14:paraId="42002A54" w14:textId="77777777" w:rsidR="003B68FE" w:rsidRPr="001B0EA3" w:rsidRDefault="003B68FE" w:rsidP="00005E4B">
            <w:pPr>
              <w:widowControl w:val="0"/>
              <w:autoSpaceDE w:val="0"/>
              <w:autoSpaceDN w:val="0"/>
              <w:adjustRightInd w:val="0"/>
              <w:ind w:firstLine="0"/>
              <w:contextualSpacing/>
              <w:rPr>
                <w:szCs w:val="24"/>
                <w:lang w:eastAsia="en-US"/>
              </w:rPr>
            </w:pPr>
            <w:r w:rsidRPr="001B0EA3">
              <w:rPr>
                <w:szCs w:val="24"/>
                <w:lang w:eastAsia="en-US"/>
              </w:rPr>
              <w:t>Допълнителна работа, която забавя изпълнението на други процеси</w:t>
            </w:r>
          </w:p>
        </w:tc>
      </w:tr>
      <w:tr w:rsidR="003B68FE" w:rsidRPr="001B0EA3" w14:paraId="6A2A0568" w14:textId="77777777" w:rsidTr="0098427A">
        <w:trPr>
          <w:jc w:val="center"/>
        </w:trPr>
        <w:tc>
          <w:tcPr>
            <w:tcW w:w="430" w:type="dxa"/>
            <w:shd w:val="clear" w:color="auto" w:fill="auto"/>
          </w:tcPr>
          <w:p w14:paraId="017FBA35" w14:textId="77777777" w:rsidR="003B68FE" w:rsidRPr="001B0EA3" w:rsidRDefault="003B68FE" w:rsidP="00707FB7">
            <w:pPr>
              <w:widowControl w:val="0"/>
              <w:autoSpaceDE w:val="0"/>
              <w:autoSpaceDN w:val="0"/>
              <w:adjustRightInd w:val="0"/>
              <w:ind w:firstLine="0"/>
              <w:contextualSpacing/>
              <w:jc w:val="center"/>
              <w:rPr>
                <w:szCs w:val="24"/>
                <w:lang w:eastAsia="en-US"/>
              </w:rPr>
            </w:pPr>
            <w:r w:rsidRPr="001B0EA3">
              <w:rPr>
                <w:szCs w:val="24"/>
                <w:lang w:eastAsia="en-US"/>
              </w:rPr>
              <w:t>2</w:t>
            </w:r>
          </w:p>
        </w:tc>
        <w:tc>
          <w:tcPr>
            <w:tcW w:w="4536" w:type="dxa"/>
            <w:shd w:val="clear" w:color="auto" w:fill="auto"/>
          </w:tcPr>
          <w:p w14:paraId="1C173F80" w14:textId="77777777" w:rsidR="003B68FE" w:rsidRPr="001B0EA3" w:rsidRDefault="003B68FE" w:rsidP="00005E4B">
            <w:pPr>
              <w:widowControl w:val="0"/>
              <w:autoSpaceDE w:val="0"/>
              <w:autoSpaceDN w:val="0"/>
              <w:adjustRightInd w:val="0"/>
              <w:ind w:hanging="28"/>
              <w:contextualSpacing/>
              <w:jc w:val="left"/>
              <w:rPr>
                <w:szCs w:val="24"/>
                <w:lang w:eastAsia="en-US"/>
              </w:rPr>
            </w:pPr>
            <w:r w:rsidRPr="001B0EA3">
              <w:rPr>
                <w:szCs w:val="24"/>
                <w:lang w:eastAsia="en-US"/>
              </w:rPr>
              <w:t>Слабо отражение</w:t>
            </w:r>
          </w:p>
        </w:tc>
        <w:tc>
          <w:tcPr>
            <w:tcW w:w="4394" w:type="dxa"/>
            <w:shd w:val="clear" w:color="auto" w:fill="auto"/>
          </w:tcPr>
          <w:p w14:paraId="42EBC67A" w14:textId="77777777" w:rsidR="003B68FE" w:rsidRPr="001B0EA3" w:rsidRDefault="003B68FE" w:rsidP="00005E4B">
            <w:pPr>
              <w:widowControl w:val="0"/>
              <w:autoSpaceDE w:val="0"/>
              <w:autoSpaceDN w:val="0"/>
              <w:adjustRightInd w:val="0"/>
              <w:ind w:firstLine="0"/>
              <w:contextualSpacing/>
              <w:jc w:val="left"/>
              <w:rPr>
                <w:szCs w:val="24"/>
                <w:lang w:eastAsia="en-US"/>
              </w:rPr>
            </w:pPr>
            <w:r w:rsidRPr="001B0EA3">
              <w:rPr>
                <w:szCs w:val="24"/>
                <w:lang w:eastAsia="en-US"/>
              </w:rPr>
              <w:t>Застрашено е постигането на оперативните цели</w:t>
            </w:r>
          </w:p>
        </w:tc>
      </w:tr>
      <w:tr w:rsidR="003B68FE" w:rsidRPr="001B0EA3" w14:paraId="31FD1D9F" w14:textId="77777777" w:rsidTr="0098427A">
        <w:trPr>
          <w:jc w:val="center"/>
        </w:trPr>
        <w:tc>
          <w:tcPr>
            <w:tcW w:w="430" w:type="dxa"/>
            <w:shd w:val="clear" w:color="auto" w:fill="auto"/>
          </w:tcPr>
          <w:p w14:paraId="691E4916" w14:textId="77777777" w:rsidR="003B68FE" w:rsidRPr="001B0EA3" w:rsidRDefault="003B68FE" w:rsidP="00707FB7">
            <w:pPr>
              <w:widowControl w:val="0"/>
              <w:autoSpaceDE w:val="0"/>
              <w:autoSpaceDN w:val="0"/>
              <w:adjustRightInd w:val="0"/>
              <w:ind w:firstLine="0"/>
              <w:contextualSpacing/>
              <w:jc w:val="center"/>
              <w:rPr>
                <w:szCs w:val="24"/>
                <w:lang w:eastAsia="en-US"/>
              </w:rPr>
            </w:pPr>
            <w:r w:rsidRPr="001B0EA3">
              <w:rPr>
                <w:szCs w:val="24"/>
                <w:lang w:eastAsia="en-US"/>
              </w:rPr>
              <w:t>3</w:t>
            </w:r>
          </w:p>
        </w:tc>
        <w:tc>
          <w:tcPr>
            <w:tcW w:w="4536" w:type="dxa"/>
            <w:shd w:val="clear" w:color="auto" w:fill="auto"/>
          </w:tcPr>
          <w:p w14:paraId="49E6B6D2" w14:textId="77777777" w:rsidR="003B68FE" w:rsidRPr="001B0EA3" w:rsidRDefault="003B68FE" w:rsidP="00005E4B">
            <w:pPr>
              <w:widowControl w:val="0"/>
              <w:autoSpaceDE w:val="0"/>
              <w:autoSpaceDN w:val="0"/>
              <w:adjustRightInd w:val="0"/>
              <w:ind w:hanging="28"/>
              <w:contextualSpacing/>
              <w:jc w:val="left"/>
              <w:rPr>
                <w:szCs w:val="24"/>
                <w:lang w:eastAsia="en-US"/>
              </w:rPr>
            </w:pPr>
            <w:r w:rsidRPr="001B0EA3">
              <w:rPr>
                <w:szCs w:val="24"/>
                <w:lang w:eastAsia="en-US"/>
              </w:rPr>
              <w:t>Голямо отражение, напр. поради същността на измамата или поради това, че са замесени няколко бенефициера</w:t>
            </w:r>
          </w:p>
        </w:tc>
        <w:tc>
          <w:tcPr>
            <w:tcW w:w="4394" w:type="dxa"/>
            <w:shd w:val="clear" w:color="auto" w:fill="auto"/>
          </w:tcPr>
          <w:p w14:paraId="33006A5C" w14:textId="77777777" w:rsidR="003B68FE" w:rsidRPr="001B0EA3" w:rsidRDefault="003B68FE" w:rsidP="00005E4B">
            <w:pPr>
              <w:widowControl w:val="0"/>
              <w:autoSpaceDE w:val="0"/>
              <w:autoSpaceDN w:val="0"/>
              <w:adjustRightInd w:val="0"/>
              <w:ind w:firstLine="0"/>
              <w:contextualSpacing/>
              <w:jc w:val="left"/>
              <w:rPr>
                <w:szCs w:val="24"/>
                <w:lang w:eastAsia="en-US"/>
              </w:rPr>
            </w:pPr>
            <w:r w:rsidRPr="001B0EA3">
              <w:rPr>
                <w:szCs w:val="24"/>
                <w:lang w:eastAsia="en-US"/>
              </w:rPr>
              <w:t>Застрашено е постигането на оперативните цели или е забавено постигането на стратегическите цели</w:t>
            </w:r>
          </w:p>
        </w:tc>
      </w:tr>
      <w:tr w:rsidR="003B68FE" w:rsidRPr="001B0EA3" w14:paraId="37C7DFC3" w14:textId="77777777" w:rsidTr="0098427A">
        <w:trPr>
          <w:jc w:val="center"/>
        </w:trPr>
        <w:tc>
          <w:tcPr>
            <w:tcW w:w="430" w:type="dxa"/>
            <w:shd w:val="clear" w:color="auto" w:fill="auto"/>
          </w:tcPr>
          <w:p w14:paraId="56661A34" w14:textId="77777777" w:rsidR="003B68FE" w:rsidRPr="001B0EA3" w:rsidRDefault="003B68FE" w:rsidP="00707FB7">
            <w:pPr>
              <w:widowControl w:val="0"/>
              <w:autoSpaceDE w:val="0"/>
              <w:autoSpaceDN w:val="0"/>
              <w:adjustRightInd w:val="0"/>
              <w:ind w:firstLine="0"/>
              <w:contextualSpacing/>
              <w:jc w:val="center"/>
              <w:rPr>
                <w:szCs w:val="24"/>
                <w:lang w:eastAsia="en-US"/>
              </w:rPr>
            </w:pPr>
            <w:r w:rsidRPr="001B0EA3">
              <w:rPr>
                <w:szCs w:val="24"/>
                <w:lang w:eastAsia="en-US"/>
              </w:rPr>
              <w:t>4</w:t>
            </w:r>
          </w:p>
        </w:tc>
        <w:tc>
          <w:tcPr>
            <w:tcW w:w="4536" w:type="dxa"/>
            <w:shd w:val="clear" w:color="auto" w:fill="auto"/>
          </w:tcPr>
          <w:p w14:paraId="260814A2" w14:textId="77777777" w:rsidR="003B68FE" w:rsidRPr="001B0EA3" w:rsidRDefault="003B68FE" w:rsidP="00005E4B">
            <w:pPr>
              <w:widowControl w:val="0"/>
              <w:autoSpaceDE w:val="0"/>
              <w:autoSpaceDN w:val="0"/>
              <w:adjustRightInd w:val="0"/>
              <w:ind w:hanging="28"/>
              <w:contextualSpacing/>
              <w:jc w:val="left"/>
              <w:rPr>
                <w:szCs w:val="24"/>
                <w:lang w:eastAsia="en-US"/>
              </w:rPr>
            </w:pPr>
            <w:r w:rsidRPr="001B0EA3">
              <w:rPr>
                <w:szCs w:val="24"/>
                <w:lang w:eastAsia="en-US"/>
              </w:rPr>
              <w:t>Официално разследване от заинтересованите страни, напр. Народното събрание и/или отрицателно отразяване в пресата</w:t>
            </w:r>
          </w:p>
        </w:tc>
        <w:tc>
          <w:tcPr>
            <w:tcW w:w="4394" w:type="dxa"/>
            <w:shd w:val="clear" w:color="auto" w:fill="auto"/>
          </w:tcPr>
          <w:p w14:paraId="1F0C593B" w14:textId="77777777" w:rsidR="003B68FE" w:rsidRPr="001B0EA3" w:rsidRDefault="003B68FE" w:rsidP="00005E4B">
            <w:pPr>
              <w:widowControl w:val="0"/>
              <w:autoSpaceDE w:val="0"/>
              <w:autoSpaceDN w:val="0"/>
              <w:adjustRightInd w:val="0"/>
              <w:ind w:firstLine="0"/>
              <w:contextualSpacing/>
              <w:rPr>
                <w:szCs w:val="24"/>
                <w:lang w:eastAsia="en-US"/>
              </w:rPr>
            </w:pPr>
            <w:r w:rsidRPr="001B0EA3">
              <w:rPr>
                <w:szCs w:val="24"/>
                <w:lang w:eastAsia="en-US"/>
              </w:rPr>
              <w:t>Застрашено е постигането на стратегическите цели</w:t>
            </w:r>
          </w:p>
        </w:tc>
      </w:tr>
    </w:tbl>
    <w:p w14:paraId="09DFFF94" w14:textId="77777777" w:rsidR="003B68FE" w:rsidRPr="001B0EA3" w:rsidRDefault="003B68FE" w:rsidP="00046D61">
      <w:pPr>
        <w:widowControl w:val="0"/>
        <w:autoSpaceDE w:val="0"/>
        <w:autoSpaceDN w:val="0"/>
        <w:adjustRightInd w:val="0"/>
        <w:contextualSpacing/>
        <w:rPr>
          <w:b/>
          <w:szCs w:val="24"/>
          <w:lang w:eastAsia="en-US"/>
        </w:rPr>
      </w:pPr>
    </w:p>
    <w:p w14:paraId="715C8C08" w14:textId="77777777" w:rsidR="003B68FE" w:rsidRPr="0098427A" w:rsidRDefault="0098427A" w:rsidP="0098427A">
      <w:pPr>
        <w:pStyle w:val="ListParagraph"/>
        <w:widowControl w:val="0"/>
        <w:numPr>
          <w:ilvl w:val="0"/>
          <w:numId w:val="69"/>
        </w:numPr>
        <w:autoSpaceDE w:val="0"/>
        <w:autoSpaceDN w:val="0"/>
        <w:adjustRightInd w:val="0"/>
        <w:rPr>
          <w:b/>
          <w:szCs w:val="24"/>
          <w:lang w:eastAsia="en-US"/>
        </w:rPr>
      </w:pPr>
      <w:r>
        <w:rPr>
          <w:b/>
          <w:szCs w:val="24"/>
          <w:lang w:eastAsia="en-US"/>
        </w:rPr>
        <w:t>В</w:t>
      </w:r>
      <w:r w:rsidR="003B68FE" w:rsidRPr="0098427A">
        <w:rPr>
          <w:b/>
          <w:szCs w:val="24"/>
          <w:lang w:eastAsia="en-US"/>
        </w:rPr>
        <w:t xml:space="preserve">ероятност за събитието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4473"/>
      </w:tblGrid>
      <w:tr w:rsidR="003B68FE" w:rsidRPr="001B0EA3" w14:paraId="126C95A5" w14:textId="77777777" w:rsidTr="0098427A">
        <w:tc>
          <w:tcPr>
            <w:tcW w:w="488" w:type="dxa"/>
            <w:shd w:val="clear" w:color="auto" w:fill="auto"/>
          </w:tcPr>
          <w:p w14:paraId="067502C0" w14:textId="77777777" w:rsidR="003B68FE" w:rsidRPr="001B0EA3" w:rsidRDefault="003B68FE" w:rsidP="00707FB7">
            <w:pPr>
              <w:widowControl w:val="0"/>
              <w:autoSpaceDE w:val="0"/>
              <w:autoSpaceDN w:val="0"/>
              <w:adjustRightInd w:val="0"/>
              <w:ind w:firstLine="0"/>
              <w:contextualSpacing/>
              <w:jc w:val="center"/>
              <w:rPr>
                <w:szCs w:val="24"/>
                <w:lang w:eastAsia="en-US"/>
              </w:rPr>
            </w:pPr>
            <w:r w:rsidRPr="001B0EA3">
              <w:rPr>
                <w:szCs w:val="24"/>
                <w:lang w:eastAsia="en-US"/>
              </w:rPr>
              <w:t>1</w:t>
            </w:r>
          </w:p>
        </w:tc>
        <w:tc>
          <w:tcPr>
            <w:tcW w:w="4473" w:type="dxa"/>
            <w:shd w:val="clear" w:color="auto" w:fill="auto"/>
          </w:tcPr>
          <w:p w14:paraId="51F72C55" w14:textId="77777777" w:rsidR="003B68FE" w:rsidRPr="001B0EA3" w:rsidRDefault="003B68FE" w:rsidP="00707FB7">
            <w:pPr>
              <w:widowControl w:val="0"/>
              <w:autoSpaceDE w:val="0"/>
              <w:autoSpaceDN w:val="0"/>
              <w:adjustRightInd w:val="0"/>
              <w:ind w:firstLine="0"/>
              <w:contextualSpacing/>
              <w:rPr>
                <w:szCs w:val="24"/>
                <w:lang w:eastAsia="en-US"/>
              </w:rPr>
            </w:pPr>
            <w:r w:rsidRPr="001B0EA3">
              <w:rPr>
                <w:szCs w:val="24"/>
                <w:lang w:eastAsia="en-US"/>
              </w:rPr>
              <w:t>Почти никога няма да се случи</w:t>
            </w:r>
          </w:p>
        </w:tc>
      </w:tr>
      <w:tr w:rsidR="003B68FE" w:rsidRPr="001B0EA3" w14:paraId="1334111B" w14:textId="77777777" w:rsidTr="0098427A">
        <w:tc>
          <w:tcPr>
            <w:tcW w:w="488" w:type="dxa"/>
            <w:shd w:val="clear" w:color="auto" w:fill="auto"/>
          </w:tcPr>
          <w:p w14:paraId="6AB58978" w14:textId="77777777" w:rsidR="003B68FE" w:rsidRPr="001B0EA3" w:rsidRDefault="003B68FE" w:rsidP="00707FB7">
            <w:pPr>
              <w:widowControl w:val="0"/>
              <w:autoSpaceDE w:val="0"/>
              <w:autoSpaceDN w:val="0"/>
              <w:adjustRightInd w:val="0"/>
              <w:ind w:firstLine="0"/>
              <w:contextualSpacing/>
              <w:jc w:val="center"/>
              <w:rPr>
                <w:szCs w:val="24"/>
                <w:lang w:eastAsia="en-US"/>
              </w:rPr>
            </w:pPr>
            <w:r w:rsidRPr="001B0EA3">
              <w:rPr>
                <w:szCs w:val="24"/>
                <w:lang w:eastAsia="en-US"/>
              </w:rPr>
              <w:lastRenderedPageBreak/>
              <w:t>2</w:t>
            </w:r>
          </w:p>
        </w:tc>
        <w:tc>
          <w:tcPr>
            <w:tcW w:w="4473" w:type="dxa"/>
            <w:shd w:val="clear" w:color="auto" w:fill="auto"/>
          </w:tcPr>
          <w:p w14:paraId="5167B914" w14:textId="77777777" w:rsidR="003B68FE" w:rsidRPr="001B0EA3" w:rsidRDefault="003B68FE" w:rsidP="00707FB7">
            <w:pPr>
              <w:widowControl w:val="0"/>
              <w:autoSpaceDE w:val="0"/>
              <w:autoSpaceDN w:val="0"/>
              <w:adjustRightInd w:val="0"/>
              <w:ind w:firstLine="0"/>
              <w:contextualSpacing/>
              <w:rPr>
                <w:szCs w:val="24"/>
                <w:lang w:eastAsia="en-US"/>
              </w:rPr>
            </w:pPr>
            <w:r w:rsidRPr="001B0EA3">
              <w:rPr>
                <w:szCs w:val="24"/>
                <w:lang w:eastAsia="en-US"/>
              </w:rPr>
              <w:t>Ще се случва рядко</w:t>
            </w:r>
          </w:p>
        </w:tc>
      </w:tr>
      <w:tr w:rsidR="003B68FE" w:rsidRPr="001B0EA3" w14:paraId="4964223D" w14:textId="77777777" w:rsidTr="0098427A">
        <w:tc>
          <w:tcPr>
            <w:tcW w:w="488" w:type="dxa"/>
            <w:shd w:val="clear" w:color="auto" w:fill="auto"/>
          </w:tcPr>
          <w:p w14:paraId="4F80EE4F" w14:textId="77777777" w:rsidR="003B68FE" w:rsidRPr="001B0EA3" w:rsidRDefault="003B68FE" w:rsidP="00707FB7">
            <w:pPr>
              <w:widowControl w:val="0"/>
              <w:autoSpaceDE w:val="0"/>
              <w:autoSpaceDN w:val="0"/>
              <w:adjustRightInd w:val="0"/>
              <w:ind w:firstLine="0"/>
              <w:contextualSpacing/>
              <w:jc w:val="center"/>
              <w:rPr>
                <w:szCs w:val="24"/>
                <w:lang w:eastAsia="en-US"/>
              </w:rPr>
            </w:pPr>
            <w:r w:rsidRPr="001B0EA3">
              <w:rPr>
                <w:szCs w:val="24"/>
                <w:lang w:eastAsia="en-US"/>
              </w:rPr>
              <w:t>3</w:t>
            </w:r>
          </w:p>
        </w:tc>
        <w:tc>
          <w:tcPr>
            <w:tcW w:w="4473" w:type="dxa"/>
            <w:shd w:val="clear" w:color="auto" w:fill="auto"/>
          </w:tcPr>
          <w:p w14:paraId="20431AB4" w14:textId="77777777" w:rsidR="003B68FE" w:rsidRPr="001B0EA3" w:rsidRDefault="003B68FE" w:rsidP="0098427A">
            <w:pPr>
              <w:widowControl w:val="0"/>
              <w:autoSpaceDE w:val="0"/>
              <w:autoSpaceDN w:val="0"/>
              <w:adjustRightInd w:val="0"/>
              <w:ind w:firstLine="0"/>
              <w:contextualSpacing/>
              <w:rPr>
                <w:szCs w:val="24"/>
                <w:lang w:eastAsia="en-US"/>
              </w:rPr>
            </w:pPr>
            <w:r w:rsidRPr="001B0EA3">
              <w:rPr>
                <w:szCs w:val="24"/>
                <w:lang w:eastAsia="en-US"/>
              </w:rPr>
              <w:t>Ще се случва понякога</w:t>
            </w:r>
          </w:p>
        </w:tc>
      </w:tr>
      <w:tr w:rsidR="003B68FE" w:rsidRPr="001B0EA3" w14:paraId="6AA35F0F" w14:textId="77777777" w:rsidTr="0098427A">
        <w:tc>
          <w:tcPr>
            <w:tcW w:w="488" w:type="dxa"/>
            <w:shd w:val="clear" w:color="auto" w:fill="auto"/>
          </w:tcPr>
          <w:p w14:paraId="21825681" w14:textId="77777777" w:rsidR="003B68FE" w:rsidRPr="001B0EA3" w:rsidRDefault="003B68FE" w:rsidP="00707FB7">
            <w:pPr>
              <w:widowControl w:val="0"/>
              <w:autoSpaceDE w:val="0"/>
              <w:autoSpaceDN w:val="0"/>
              <w:adjustRightInd w:val="0"/>
              <w:ind w:firstLine="0"/>
              <w:contextualSpacing/>
              <w:jc w:val="center"/>
              <w:rPr>
                <w:szCs w:val="24"/>
                <w:lang w:eastAsia="en-US"/>
              </w:rPr>
            </w:pPr>
            <w:r w:rsidRPr="001B0EA3">
              <w:rPr>
                <w:szCs w:val="24"/>
                <w:lang w:eastAsia="en-US"/>
              </w:rPr>
              <w:t>4</w:t>
            </w:r>
          </w:p>
        </w:tc>
        <w:tc>
          <w:tcPr>
            <w:tcW w:w="4473" w:type="dxa"/>
            <w:shd w:val="clear" w:color="auto" w:fill="auto"/>
          </w:tcPr>
          <w:p w14:paraId="203D4C43" w14:textId="77777777" w:rsidR="003B68FE" w:rsidRPr="001B0EA3" w:rsidRDefault="003B68FE" w:rsidP="00707FB7">
            <w:pPr>
              <w:widowControl w:val="0"/>
              <w:autoSpaceDE w:val="0"/>
              <w:autoSpaceDN w:val="0"/>
              <w:adjustRightInd w:val="0"/>
              <w:ind w:firstLine="0"/>
              <w:contextualSpacing/>
              <w:rPr>
                <w:szCs w:val="24"/>
                <w:lang w:eastAsia="en-US"/>
              </w:rPr>
            </w:pPr>
            <w:r w:rsidRPr="001B0EA3">
              <w:rPr>
                <w:szCs w:val="24"/>
                <w:lang w:eastAsia="en-US"/>
              </w:rPr>
              <w:t>Ще се случва често</w:t>
            </w:r>
          </w:p>
        </w:tc>
      </w:tr>
    </w:tbl>
    <w:p w14:paraId="1882AF8C" w14:textId="77777777" w:rsidR="0045025E" w:rsidRPr="001B0EA3" w:rsidRDefault="0045025E" w:rsidP="00046D61">
      <w:pPr>
        <w:rPr>
          <w:szCs w:val="24"/>
          <w:lang w:eastAsia="bg-BG"/>
        </w:rPr>
      </w:pPr>
    </w:p>
    <w:p w14:paraId="68955351" w14:textId="77777777" w:rsidR="003B68FE" w:rsidRPr="00842ECC" w:rsidRDefault="003B68FE" w:rsidP="00B502C7">
      <w:pPr>
        <w:pStyle w:val="Style2"/>
        <w:rPr>
          <w:lang w:val="bg-BG"/>
        </w:rPr>
      </w:pPr>
      <w:bookmarkStart w:id="1329" w:name="_Ref412817794"/>
      <w:bookmarkStart w:id="1330" w:name="_Toc479775824"/>
      <w:bookmarkStart w:id="1331" w:name="_Toc140150301"/>
      <w:r w:rsidRPr="00842ECC">
        <w:rPr>
          <w:lang w:val="bg-BG"/>
        </w:rPr>
        <w:t>Самооценка на въведените вътрешни контроли за борба с измамите</w:t>
      </w:r>
      <w:bookmarkEnd w:id="1329"/>
      <w:bookmarkEnd w:id="1330"/>
      <w:bookmarkEnd w:id="1331"/>
      <w:r w:rsidRPr="00842ECC">
        <w:rPr>
          <w:lang w:val="bg-BG"/>
        </w:rPr>
        <w:t xml:space="preserve"> </w:t>
      </w:r>
    </w:p>
    <w:p w14:paraId="43AA32E0" w14:textId="77777777" w:rsidR="004B20AD" w:rsidRPr="001B0EA3" w:rsidRDefault="004B20AD" w:rsidP="00125DAC">
      <w:pPr>
        <w:autoSpaceDE w:val="0"/>
        <w:autoSpaceDN w:val="0"/>
        <w:adjustRightInd w:val="0"/>
        <w:ind w:firstLine="284"/>
        <w:rPr>
          <w:b/>
          <w:color w:val="000000"/>
          <w:szCs w:val="24"/>
        </w:rPr>
      </w:pPr>
      <w:r w:rsidRPr="001B0EA3">
        <w:rPr>
          <w:b/>
          <w:color w:val="000000"/>
          <w:szCs w:val="24"/>
        </w:rPr>
        <w:t xml:space="preserve">а) Описание на процедурата </w:t>
      </w:r>
    </w:p>
    <w:p w14:paraId="736E9D27" w14:textId="77777777" w:rsidR="00046E5A" w:rsidRPr="001B0EA3" w:rsidRDefault="003B68FE" w:rsidP="00707FB7">
      <w:r w:rsidRPr="001B0EA3">
        <w:t>Съгласно Guidance Note on Fraud Risk Assesment and Effective and Proportionate Anti Fraud Measures 2013 Ref. Ares</w:t>
      </w:r>
      <w:r w:rsidR="00FF6C27" w:rsidRPr="001B0EA3">
        <w:t xml:space="preserve"> </w:t>
      </w:r>
      <w:r w:rsidRPr="001B0EA3">
        <w:t xml:space="preserve">(2013)3769073 - 19/12/2013 на ГД „Регионална и урбанистична политика“ на ЕК е задължително извършването на самооценка на действието на вътрешните контроли за борба с измамите. </w:t>
      </w:r>
      <w:r w:rsidR="00046E5A" w:rsidRPr="001B0EA3">
        <w:t>За подпомагане на процеса е разработен „инструмент за самооценка“, представляващ Приложение 1 към документа. УО извършва своята самооценка чрез попълване на инструмента за самооценка</w:t>
      </w:r>
      <w:r w:rsidR="00291D42" w:rsidRPr="001B0EA3">
        <w:t xml:space="preserve"> - </w:t>
      </w:r>
      <w:r w:rsidR="00291D42" w:rsidRPr="001B0EA3">
        <w:rPr>
          <w:i/>
          <w:iCs/>
        </w:rPr>
        <w:t>„</w:t>
      </w:r>
      <w:hyperlink r:id="rId306" w:tooltip="Инструмент за самооценка" w:history="1">
        <w:r w:rsidR="000A2904" w:rsidRPr="00251D03">
          <w:rPr>
            <w:i/>
            <w:color w:val="0000FF"/>
            <w:szCs w:val="24"/>
            <w:u w:val="single"/>
            <w:lang w:eastAsia="bg-BG"/>
          </w:rPr>
          <w:t>Приложение № 8.05-част 4</w:t>
        </w:r>
      </w:hyperlink>
      <w:r w:rsidR="00291D42" w:rsidRPr="001B0EA3">
        <w:rPr>
          <w:i/>
          <w:iCs/>
        </w:rPr>
        <w:t xml:space="preserve"> Инструмент за самооценка“</w:t>
      </w:r>
      <w:r w:rsidR="00291D42" w:rsidRPr="001B0EA3">
        <w:t>, както и  на други приложения</w:t>
      </w:r>
      <w:r w:rsidR="00291D42" w:rsidRPr="001B0EA3" w:rsidDel="00291D42">
        <w:t xml:space="preserve"> </w:t>
      </w:r>
      <w:r w:rsidR="00046E5A" w:rsidRPr="001B0EA3">
        <w:t xml:space="preserve">съдържащи допълнителна информация в тази връзка.  </w:t>
      </w:r>
    </w:p>
    <w:p w14:paraId="758FE2F1" w14:textId="77777777" w:rsidR="00154FD5" w:rsidRPr="001B0EA3" w:rsidRDefault="00154FD5" w:rsidP="00707FB7">
      <w:r w:rsidRPr="001B0EA3">
        <w:t>Определен брой превантивни контроли са предварително дефинирани в инструмента за самооценка. Тези контроли са само примерни и могат да бъдат премахнати от екипа за самооценка ако съответният контрол не съществува, както могат да бъдат добавяни и допълнителни редове, ако има допълнителни контроли, насочени към превенция на съответния риск. Възможно е контролите за някой определен риск да са релевантни и за други рискове. В тези случаи контролите могат да бъдат повторени няколко пъти. По-специално, при упражнението за самооценка се извършва сравнение с действащите контроли които са описани или изброени в описанието на системата за управление и контрол, процедурите и наръчника. За попълването на инструмента за самооценка са в сила следните указания:</w:t>
      </w:r>
    </w:p>
    <w:p w14:paraId="2C022878" w14:textId="77777777" w:rsidR="00154FD5" w:rsidRPr="001B0EA3" w:rsidRDefault="00154FD5" w:rsidP="00005E4B"/>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5316"/>
      </w:tblGrid>
      <w:tr w:rsidR="00154FD5" w:rsidRPr="001B0EA3" w14:paraId="3B509AE6" w14:textId="77777777" w:rsidTr="00707FB7">
        <w:tc>
          <w:tcPr>
            <w:tcW w:w="4318" w:type="dxa"/>
            <w:shd w:val="clear" w:color="auto" w:fill="auto"/>
          </w:tcPr>
          <w:p w14:paraId="69D7533E" w14:textId="77777777" w:rsidR="00154FD5" w:rsidRPr="001B0EA3" w:rsidRDefault="00154FD5" w:rsidP="00707FB7">
            <w:pPr>
              <w:autoSpaceDE w:val="0"/>
              <w:autoSpaceDN w:val="0"/>
              <w:adjustRightInd w:val="0"/>
              <w:ind w:firstLine="0"/>
              <w:jc w:val="center"/>
              <w:rPr>
                <w:b/>
                <w:color w:val="000000"/>
                <w:szCs w:val="24"/>
              </w:rPr>
            </w:pPr>
            <w:r w:rsidRPr="001B0EA3">
              <w:rPr>
                <w:b/>
                <w:color w:val="000000"/>
                <w:szCs w:val="24"/>
              </w:rPr>
              <w:t>Наименование на колоната</w:t>
            </w:r>
          </w:p>
        </w:tc>
        <w:tc>
          <w:tcPr>
            <w:tcW w:w="5316" w:type="dxa"/>
            <w:shd w:val="clear" w:color="auto" w:fill="auto"/>
          </w:tcPr>
          <w:p w14:paraId="04A14E97" w14:textId="77777777" w:rsidR="00154FD5" w:rsidRPr="001B0EA3" w:rsidRDefault="00154FD5" w:rsidP="00707FB7">
            <w:pPr>
              <w:autoSpaceDE w:val="0"/>
              <w:autoSpaceDN w:val="0"/>
              <w:adjustRightInd w:val="0"/>
              <w:ind w:firstLine="0"/>
              <w:jc w:val="center"/>
              <w:rPr>
                <w:b/>
                <w:color w:val="000000"/>
                <w:szCs w:val="24"/>
              </w:rPr>
            </w:pPr>
            <w:r w:rsidRPr="001B0EA3">
              <w:rPr>
                <w:b/>
                <w:color w:val="000000"/>
                <w:szCs w:val="24"/>
              </w:rPr>
              <w:t>Указание за попълване</w:t>
            </w:r>
          </w:p>
        </w:tc>
      </w:tr>
      <w:tr w:rsidR="00154FD5" w:rsidRPr="001B0EA3" w14:paraId="196A433B" w14:textId="77777777" w:rsidTr="00707FB7">
        <w:tc>
          <w:tcPr>
            <w:tcW w:w="4318" w:type="dxa"/>
            <w:shd w:val="clear" w:color="auto" w:fill="auto"/>
          </w:tcPr>
          <w:p w14:paraId="1E532B32" w14:textId="77777777" w:rsidR="00154FD5" w:rsidRPr="001B0EA3" w:rsidRDefault="00154FD5" w:rsidP="00707FB7">
            <w:pPr>
              <w:autoSpaceDE w:val="0"/>
              <w:autoSpaceDN w:val="0"/>
              <w:adjustRightInd w:val="0"/>
              <w:ind w:firstLine="0"/>
              <w:rPr>
                <w:b/>
                <w:color w:val="000000"/>
                <w:szCs w:val="24"/>
              </w:rPr>
            </w:pPr>
            <w:r w:rsidRPr="001B0EA3">
              <w:rPr>
                <w:b/>
                <w:color w:val="000000"/>
                <w:szCs w:val="24"/>
              </w:rPr>
              <w:t>№ на контрола</w:t>
            </w:r>
          </w:p>
        </w:tc>
        <w:tc>
          <w:tcPr>
            <w:tcW w:w="5316" w:type="dxa"/>
            <w:shd w:val="clear" w:color="auto" w:fill="auto"/>
          </w:tcPr>
          <w:p w14:paraId="77ACD522" w14:textId="77777777" w:rsidR="00154FD5" w:rsidRPr="001B0EA3" w:rsidRDefault="00154FD5" w:rsidP="00707FB7">
            <w:pPr>
              <w:autoSpaceDE w:val="0"/>
              <w:autoSpaceDN w:val="0"/>
              <w:adjustRightInd w:val="0"/>
              <w:ind w:firstLine="0"/>
              <w:rPr>
                <w:color w:val="000000"/>
                <w:szCs w:val="24"/>
              </w:rPr>
            </w:pPr>
            <w:r w:rsidRPr="001B0EA3">
              <w:rPr>
                <w:color w:val="000000"/>
                <w:szCs w:val="24"/>
              </w:rPr>
              <w:t xml:space="preserve">Уникален номер за всеки контрол. На всеки контрол се присвоява съответния пореден номер,  напр. контролите за риск SR1 започват с SC1.1, контролите за риск IR2 започват с IC 2.1. </w:t>
            </w:r>
          </w:p>
          <w:p w14:paraId="3C796D7E" w14:textId="77777777" w:rsidR="00154FD5" w:rsidRPr="001B0EA3" w:rsidRDefault="00154FD5" w:rsidP="00707FB7">
            <w:pPr>
              <w:autoSpaceDE w:val="0"/>
              <w:autoSpaceDN w:val="0"/>
              <w:adjustRightInd w:val="0"/>
              <w:ind w:firstLine="0"/>
              <w:rPr>
                <w:color w:val="000000"/>
                <w:szCs w:val="24"/>
              </w:rPr>
            </w:pPr>
            <w:r w:rsidRPr="001B0EA3">
              <w:rPr>
                <w:color w:val="000000"/>
                <w:szCs w:val="24"/>
              </w:rPr>
              <w:t xml:space="preserve">Тази клетка се попълва само в случаите на добавяне на нови контроли. </w:t>
            </w:r>
          </w:p>
        </w:tc>
      </w:tr>
      <w:tr w:rsidR="00154FD5" w:rsidRPr="001B0EA3" w14:paraId="0399DBA1" w14:textId="77777777" w:rsidTr="00707FB7">
        <w:tc>
          <w:tcPr>
            <w:tcW w:w="4318" w:type="dxa"/>
            <w:shd w:val="clear" w:color="auto" w:fill="auto"/>
          </w:tcPr>
          <w:p w14:paraId="1CA1FAB7" w14:textId="77777777" w:rsidR="00154FD5" w:rsidRPr="001B0EA3" w:rsidRDefault="00154FD5" w:rsidP="00707FB7">
            <w:pPr>
              <w:autoSpaceDE w:val="0"/>
              <w:autoSpaceDN w:val="0"/>
              <w:adjustRightInd w:val="0"/>
              <w:ind w:firstLine="0"/>
              <w:rPr>
                <w:b/>
                <w:color w:val="000000"/>
                <w:szCs w:val="24"/>
              </w:rPr>
            </w:pPr>
            <w:r w:rsidRPr="001B0EA3">
              <w:rPr>
                <w:b/>
                <w:color w:val="000000"/>
                <w:szCs w:val="24"/>
              </w:rPr>
              <w:t xml:space="preserve">Описание на контрола </w:t>
            </w:r>
          </w:p>
        </w:tc>
        <w:tc>
          <w:tcPr>
            <w:tcW w:w="5316" w:type="dxa"/>
            <w:shd w:val="clear" w:color="auto" w:fill="auto"/>
          </w:tcPr>
          <w:p w14:paraId="0D1BEE83" w14:textId="77777777" w:rsidR="00154FD5" w:rsidRPr="001B0EA3" w:rsidRDefault="00154FD5" w:rsidP="00707FB7">
            <w:pPr>
              <w:autoSpaceDE w:val="0"/>
              <w:autoSpaceDN w:val="0"/>
              <w:adjustRightInd w:val="0"/>
              <w:ind w:firstLine="0"/>
              <w:rPr>
                <w:color w:val="000000"/>
                <w:szCs w:val="24"/>
              </w:rPr>
            </w:pPr>
            <w:r w:rsidRPr="001B0EA3">
              <w:rPr>
                <w:color w:val="000000"/>
                <w:szCs w:val="24"/>
              </w:rPr>
              <w:t>Тази клетка се попълва само в случаите на добавяне на нови контроли.</w:t>
            </w:r>
          </w:p>
        </w:tc>
      </w:tr>
      <w:tr w:rsidR="00154FD5" w:rsidRPr="001B0EA3" w14:paraId="2D10DB20" w14:textId="77777777" w:rsidTr="00707FB7">
        <w:tc>
          <w:tcPr>
            <w:tcW w:w="4318" w:type="dxa"/>
            <w:shd w:val="clear" w:color="auto" w:fill="auto"/>
          </w:tcPr>
          <w:p w14:paraId="408B6044" w14:textId="77777777" w:rsidR="00154FD5" w:rsidRPr="001B0EA3" w:rsidRDefault="00154FD5" w:rsidP="00707FB7">
            <w:pPr>
              <w:autoSpaceDE w:val="0"/>
              <w:autoSpaceDN w:val="0"/>
              <w:adjustRightInd w:val="0"/>
              <w:ind w:firstLine="0"/>
              <w:jc w:val="left"/>
              <w:rPr>
                <w:b/>
                <w:color w:val="000000"/>
                <w:szCs w:val="24"/>
              </w:rPr>
            </w:pPr>
            <w:r w:rsidRPr="001B0EA3">
              <w:rPr>
                <w:b/>
                <w:color w:val="000000"/>
                <w:szCs w:val="24"/>
              </w:rPr>
              <w:t>Потвърждавате ли прилагането на този контрол?</w:t>
            </w:r>
          </w:p>
        </w:tc>
        <w:tc>
          <w:tcPr>
            <w:tcW w:w="5316" w:type="dxa"/>
            <w:shd w:val="clear" w:color="auto" w:fill="auto"/>
          </w:tcPr>
          <w:p w14:paraId="3DF8F40F" w14:textId="77777777" w:rsidR="00154FD5" w:rsidRPr="001B0EA3" w:rsidRDefault="00154FD5" w:rsidP="00707FB7">
            <w:pPr>
              <w:autoSpaceDE w:val="0"/>
              <w:autoSpaceDN w:val="0"/>
              <w:adjustRightInd w:val="0"/>
              <w:ind w:firstLine="0"/>
              <w:rPr>
                <w:color w:val="000000"/>
                <w:szCs w:val="24"/>
              </w:rPr>
            </w:pPr>
            <w:r w:rsidRPr="001B0EA3">
              <w:rPr>
                <w:color w:val="000000"/>
                <w:szCs w:val="24"/>
              </w:rPr>
              <w:t xml:space="preserve">От падащото меню екипа за оценка на риска избира съответното твърдение („yes“ или „no“) по отношение наличието на доказателства, </w:t>
            </w:r>
            <w:r w:rsidR="00FF4881" w:rsidRPr="001B0EA3">
              <w:rPr>
                <w:color w:val="000000"/>
                <w:szCs w:val="24"/>
              </w:rPr>
              <w:t>документиращи</w:t>
            </w:r>
            <w:r w:rsidRPr="001B0EA3">
              <w:rPr>
                <w:color w:val="000000"/>
                <w:szCs w:val="24"/>
              </w:rPr>
              <w:t xml:space="preserve"> действието на този контрол.</w:t>
            </w:r>
          </w:p>
          <w:p w14:paraId="12B7B7BF" w14:textId="77777777" w:rsidR="00154FD5" w:rsidRPr="001B0EA3" w:rsidRDefault="00154FD5" w:rsidP="00707FB7">
            <w:pPr>
              <w:autoSpaceDE w:val="0"/>
              <w:autoSpaceDN w:val="0"/>
              <w:adjustRightInd w:val="0"/>
              <w:ind w:firstLine="0"/>
              <w:rPr>
                <w:color w:val="000000"/>
                <w:szCs w:val="24"/>
              </w:rPr>
            </w:pPr>
            <w:r w:rsidRPr="001B0EA3">
              <w:rPr>
                <w:color w:val="000000"/>
                <w:szCs w:val="24"/>
              </w:rPr>
              <w:t xml:space="preserve">Например, доказателство за одобрение са документира с подпис и в този случай контролът е видим. </w:t>
            </w:r>
          </w:p>
        </w:tc>
      </w:tr>
      <w:tr w:rsidR="00154FD5" w:rsidRPr="001B0EA3" w14:paraId="29405CF5" w14:textId="77777777" w:rsidTr="00707FB7">
        <w:tc>
          <w:tcPr>
            <w:tcW w:w="4318" w:type="dxa"/>
            <w:shd w:val="clear" w:color="auto" w:fill="auto"/>
          </w:tcPr>
          <w:p w14:paraId="7AB33210" w14:textId="77777777" w:rsidR="00154FD5" w:rsidRPr="001B0EA3" w:rsidRDefault="00154FD5" w:rsidP="00707FB7">
            <w:pPr>
              <w:autoSpaceDE w:val="0"/>
              <w:autoSpaceDN w:val="0"/>
              <w:adjustRightInd w:val="0"/>
              <w:ind w:firstLine="0"/>
              <w:jc w:val="left"/>
              <w:rPr>
                <w:b/>
                <w:color w:val="000000"/>
                <w:szCs w:val="24"/>
              </w:rPr>
            </w:pPr>
            <w:r w:rsidRPr="001B0EA3">
              <w:rPr>
                <w:b/>
                <w:color w:val="000000"/>
                <w:szCs w:val="24"/>
              </w:rPr>
              <w:t>Редовно ли проверявате действието на този контрол?</w:t>
            </w:r>
          </w:p>
        </w:tc>
        <w:tc>
          <w:tcPr>
            <w:tcW w:w="5316" w:type="dxa"/>
            <w:shd w:val="clear" w:color="auto" w:fill="auto"/>
          </w:tcPr>
          <w:p w14:paraId="47948F0A" w14:textId="77777777" w:rsidR="00154FD5" w:rsidRPr="001B0EA3" w:rsidRDefault="00154FD5" w:rsidP="00707FB7">
            <w:pPr>
              <w:autoSpaceDE w:val="0"/>
              <w:autoSpaceDN w:val="0"/>
              <w:adjustRightInd w:val="0"/>
              <w:ind w:firstLine="0"/>
              <w:rPr>
                <w:color w:val="000000"/>
                <w:szCs w:val="24"/>
              </w:rPr>
            </w:pPr>
            <w:r w:rsidRPr="001B0EA3">
              <w:rPr>
                <w:color w:val="000000"/>
                <w:szCs w:val="24"/>
              </w:rPr>
              <w:t xml:space="preserve">От падащото меню екипа за оценка на риска избира съответното твърдение („yes“ или „no“) по отношение на това дали действието на контрола се проверява редовно. Такава проверка може да се направи от вътрешен или външен одит или чрез каквато и да е друга система за мониторинг. </w:t>
            </w:r>
          </w:p>
        </w:tc>
      </w:tr>
      <w:tr w:rsidR="00154FD5" w:rsidRPr="001B0EA3" w14:paraId="697D2E92" w14:textId="77777777" w:rsidTr="00707FB7">
        <w:tc>
          <w:tcPr>
            <w:tcW w:w="4318" w:type="dxa"/>
            <w:shd w:val="clear" w:color="auto" w:fill="auto"/>
          </w:tcPr>
          <w:p w14:paraId="253AF32E" w14:textId="77777777" w:rsidR="00154FD5" w:rsidRPr="001B0EA3" w:rsidRDefault="00154FD5" w:rsidP="00707FB7">
            <w:pPr>
              <w:autoSpaceDE w:val="0"/>
              <w:autoSpaceDN w:val="0"/>
              <w:adjustRightInd w:val="0"/>
              <w:ind w:firstLine="0"/>
              <w:jc w:val="left"/>
              <w:rPr>
                <w:color w:val="000000"/>
                <w:szCs w:val="24"/>
              </w:rPr>
            </w:pPr>
            <w:r w:rsidRPr="001B0EA3">
              <w:rPr>
                <w:b/>
                <w:bCs/>
                <w:color w:val="000000"/>
                <w:szCs w:val="24"/>
                <w:lang w:eastAsia="bg-BG"/>
              </w:rPr>
              <w:t>Доколко сте уверени в ефективността на този контрол?</w:t>
            </w:r>
          </w:p>
        </w:tc>
        <w:tc>
          <w:tcPr>
            <w:tcW w:w="5316" w:type="dxa"/>
            <w:shd w:val="clear" w:color="auto" w:fill="auto"/>
          </w:tcPr>
          <w:p w14:paraId="618FECD2" w14:textId="77777777" w:rsidR="00154FD5" w:rsidRPr="001B0EA3" w:rsidRDefault="00154FD5" w:rsidP="00707FB7">
            <w:pPr>
              <w:autoSpaceDE w:val="0"/>
              <w:autoSpaceDN w:val="0"/>
              <w:adjustRightInd w:val="0"/>
              <w:ind w:firstLine="0"/>
              <w:rPr>
                <w:color w:val="000000"/>
                <w:szCs w:val="24"/>
              </w:rPr>
            </w:pPr>
            <w:r w:rsidRPr="001B0EA3">
              <w:rPr>
                <w:color w:val="000000"/>
                <w:szCs w:val="24"/>
              </w:rPr>
              <w:t xml:space="preserve">На базата до някъде на отговорите на предишните два въпроса екипа за самооценка трябва да индикира степента на увереност по </w:t>
            </w:r>
            <w:r w:rsidR="00FF4881" w:rsidRPr="001B0EA3">
              <w:rPr>
                <w:color w:val="000000"/>
                <w:szCs w:val="24"/>
              </w:rPr>
              <w:t>отношение</w:t>
            </w:r>
            <w:r w:rsidRPr="001B0EA3">
              <w:rPr>
                <w:color w:val="000000"/>
                <w:szCs w:val="24"/>
              </w:rPr>
              <w:t xml:space="preserve"> </w:t>
            </w:r>
            <w:r w:rsidRPr="001B0EA3">
              <w:rPr>
                <w:color w:val="000000"/>
                <w:szCs w:val="24"/>
              </w:rPr>
              <w:lastRenderedPageBreak/>
              <w:t>ефективността на контрола за превенция на съответния риск („висока“, „средна“ и „ниска“)</w:t>
            </w:r>
          </w:p>
        </w:tc>
      </w:tr>
      <w:tr w:rsidR="00154FD5" w:rsidRPr="001B0EA3" w14:paraId="5DEEF20B" w14:textId="77777777" w:rsidTr="00707FB7">
        <w:tc>
          <w:tcPr>
            <w:tcW w:w="4318" w:type="dxa"/>
            <w:shd w:val="clear" w:color="auto" w:fill="auto"/>
          </w:tcPr>
          <w:p w14:paraId="027081AB" w14:textId="77777777" w:rsidR="00154FD5" w:rsidRPr="001B0EA3" w:rsidRDefault="00154FD5" w:rsidP="00707FB7">
            <w:pPr>
              <w:autoSpaceDE w:val="0"/>
              <w:autoSpaceDN w:val="0"/>
              <w:adjustRightInd w:val="0"/>
              <w:ind w:firstLine="0"/>
              <w:jc w:val="left"/>
              <w:rPr>
                <w:b/>
                <w:bCs/>
                <w:color w:val="000000"/>
                <w:szCs w:val="24"/>
                <w:lang w:eastAsia="bg-BG"/>
              </w:rPr>
            </w:pPr>
            <w:r w:rsidRPr="001B0EA3">
              <w:rPr>
                <w:b/>
                <w:bCs/>
                <w:color w:val="000000"/>
                <w:szCs w:val="24"/>
                <w:lang w:eastAsia="bg-BG"/>
              </w:rPr>
              <w:lastRenderedPageBreak/>
              <w:t>Комбинираният ефект от приложените контроли върху ВЛИЯНИЕТО на риска, като се отчита нивото на увереност?</w:t>
            </w:r>
          </w:p>
        </w:tc>
        <w:tc>
          <w:tcPr>
            <w:tcW w:w="5316" w:type="dxa"/>
            <w:shd w:val="clear" w:color="auto" w:fill="auto"/>
          </w:tcPr>
          <w:p w14:paraId="312B1C71" w14:textId="77777777" w:rsidR="00154FD5" w:rsidRPr="001B0EA3" w:rsidRDefault="00154FD5" w:rsidP="00707FB7">
            <w:pPr>
              <w:ind w:firstLine="0"/>
              <w:jc w:val="left"/>
              <w:rPr>
                <w:color w:val="000000"/>
                <w:szCs w:val="24"/>
              </w:rPr>
            </w:pPr>
            <w:r w:rsidRPr="001B0EA3">
              <w:rPr>
                <w:color w:val="000000"/>
                <w:szCs w:val="24"/>
              </w:rPr>
              <w:t xml:space="preserve">От падащото се избира резултат от -1 до - 4, който показва с колко екипа за самооценка вярва, че е намалено влиянието на риска от съществуващите контроли. Контроли, които откриват измами намаляват влиянието на измамите тъй като показват, че вътрешните контролни механизми работят. </w:t>
            </w:r>
          </w:p>
        </w:tc>
      </w:tr>
      <w:tr w:rsidR="00154FD5" w:rsidRPr="001B0EA3" w14:paraId="243338C9" w14:textId="77777777" w:rsidTr="00707FB7">
        <w:tc>
          <w:tcPr>
            <w:tcW w:w="4318" w:type="dxa"/>
            <w:shd w:val="clear" w:color="auto" w:fill="auto"/>
          </w:tcPr>
          <w:p w14:paraId="32C87C6B" w14:textId="77777777" w:rsidR="00154FD5" w:rsidRPr="001B0EA3" w:rsidRDefault="00154FD5" w:rsidP="00707FB7">
            <w:pPr>
              <w:autoSpaceDE w:val="0"/>
              <w:autoSpaceDN w:val="0"/>
              <w:adjustRightInd w:val="0"/>
              <w:ind w:firstLine="0"/>
              <w:jc w:val="left"/>
              <w:rPr>
                <w:b/>
                <w:bCs/>
                <w:color w:val="000000"/>
                <w:szCs w:val="24"/>
                <w:lang w:eastAsia="bg-BG"/>
              </w:rPr>
            </w:pPr>
            <w:r w:rsidRPr="001B0EA3">
              <w:rPr>
                <w:b/>
                <w:bCs/>
                <w:color w:val="000000"/>
                <w:szCs w:val="24"/>
                <w:lang w:eastAsia="bg-BG"/>
              </w:rPr>
              <w:t>Комбинираният ефект от приложените контроли върху ВЕРОЯТНОСТТА на риска, като се отчита нивото на увереност</w:t>
            </w:r>
          </w:p>
        </w:tc>
        <w:tc>
          <w:tcPr>
            <w:tcW w:w="5316" w:type="dxa"/>
            <w:shd w:val="clear" w:color="auto" w:fill="auto"/>
          </w:tcPr>
          <w:p w14:paraId="5059E857" w14:textId="77777777" w:rsidR="00154FD5" w:rsidRPr="001B0EA3" w:rsidRDefault="00154FD5" w:rsidP="00707FB7">
            <w:pPr>
              <w:ind w:firstLine="0"/>
              <w:jc w:val="left"/>
              <w:rPr>
                <w:color w:val="000000"/>
                <w:szCs w:val="24"/>
              </w:rPr>
            </w:pPr>
            <w:r w:rsidRPr="001B0EA3">
              <w:rPr>
                <w:color w:val="000000"/>
                <w:szCs w:val="24"/>
              </w:rPr>
              <w:t xml:space="preserve">От падащото се избира резултат от -1 до - 4, който показва с колко екипа за самооценка вярва, че е намалена вероятността от възникване на риска при съществуващите контроли. Контроли които откриват измами само индиректно намаляват вероятността за възникването им. </w:t>
            </w:r>
          </w:p>
        </w:tc>
      </w:tr>
    </w:tbl>
    <w:p w14:paraId="5C162F11" w14:textId="77777777" w:rsidR="003B68FE" w:rsidRPr="001B0EA3" w:rsidRDefault="003B68FE" w:rsidP="00125DAC">
      <w:pPr>
        <w:autoSpaceDE w:val="0"/>
        <w:autoSpaceDN w:val="0"/>
        <w:adjustRightInd w:val="0"/>
        <w:rPr>
          <w:color w:val="000000"/>
          <w:szCs w:val="24"/>
        </w:rPr>
      </w:pPr>
    </w:p>
    <w:p w14:paraId="5A1873EB" w14:textId="77777777" w:rsidR="00154FD5" w:rsidRPr="001B0EA3" w:rsidRDefault="00154FD5" w:rsidP="00707FB7">
      <w:pPr>
        <w:tabs>
          <w:tab w:val="left" w:pos="1134"/>
        </w:tabs>
      </w:pPr>
      <w:r w:rsidRPr="001B0EA3">
        <w:t xml:space="preserve">Подробните резултати от самооценката са налични в </w:t>
      </w:r>
      <w:r w:rsidR="001F7DA0" w:rsidRPr="001B0EA3">
        <w:t xml:space="preserve">документ от извършената </w:t>
      </w:r>
      <w:r w:rsidR="00FF4881" w:rsidRPr="001B0EA3">
        <w:t>самооценка</w:t>
      </w:r>
      <w:r w:rsidRPr="001B0EA3">
        <w:t xml:space="preserve">. </w:t>
      </w:r>
    </w:p>
    <w:p w14:paraId="7723E8EB" w14:textId="12AA422D" w:rsidR="00A60798" w:rsidRPr="001B0EA3" w:rsidRDefault="00154FD5" w:rsidP="00707FB7">
      <w:pPr>
        <w:tabs>
          <w:tab w:val="left" w:pos="1134"/>
        </w:tabs>
      </w:pPr>
      <w:r w:rsidRPr="001B0EA3">
        <w:t xml:space="preserve">За да се осигури, че контролните процедури за управление на риска от измами  остават адекватни се предвижда самооценката да се извършва ежегодно, координирано от </w:t>
      </w:r>
      <w:r w:rsidR="00FF4881" w:rsidRPr="001B0EA3">
        <w:t>отдел</w:t>
      </w:r>
      <w:r w:rsidR="00E83A54" w:rsidRPr="001B0EA3">
        <w:t xml:space="preserve"> „Управление на риска“</w:t>
      </w:r>
      <w:r w:rsidR="00A60798" w:rsidRPr="001B0EA3">
        <w:t>.</w:t>
      </w:r>
    </w:p>
    <w:p w14:paraId="37AB6473" w14:textId="77777777" w:rsidR="00C71566" w:rsidRPr="001B0EA3" w:rsidRDefault="00A60798" w:rsidP="00707FB7">
      <w:pPr>
        <w:tabs>
          <w:tab w:val="left" w:pos="1134"/>
        </w:tabs>
      </w:pPr>
      <w:r w:rsidRPr="001B0EA3">
        <w:t xml:space="preserve">Самооценката се извършва от назначена със заповед на Ръководителя на УО работна група с ръководител директора на дирекция „Координация на програми и проекти“ и членове началниците на отдели в УО и предложените от тях експерти от съответния отдел. </w:t>
      </w:r>
    </w:p>
    <w:p w14:paraId="45396AF7" w14:textId="77777777" w:rsidR="00291D42" w:rsidRPr="001B0EA3" w:rsidRDefault="00291D42" w:rsidP="00707FB7">
      <w:pPr>
        <w:tabs>
          <w:tab w:val="left" w:pos="1134"/>
        </w:tabs>
        <w:autoSpaceDE w:val="0"/>
        <w:autoSpaceDN w:val="0"/>
        <w:adjustRightInd w:val="0"/>
        <w:rPr>
          <w:b/>
          <w:bCs/>
          <w:color w:val="000000"/>
          <w:szCs w:val="24"/>
        </w:rPr>
      </w:pPr>
      <w:r w:rsidRPr="001B0EA3">
        <w:rPr>
          <w:b/>
          <w:bCs/>
          <w:color w:val="000000"/>
          <w:szCs w:val="24"/>
        </w:rPr>
        <w:t>Основни стъпки при самооценката:</w:t>
      </w:r>
    </w:p>
    <w:p w14:paraId="46C961BE" w14:textId="77777777" w:rsidR="00291D42" w:rsidRPr="001B0EA3" w:rsidRDefault="00291D42" w:rsidP="00707FB7">
      <w:pPr>
        <w:pStyle w:val="ListParagraph"/>
        <w:numPr>
          <w:ilvl w:val="6"/>
          <w:numId w:val="257"/>
        </w:numPr>
        <w:tabs>
          <w:tab w:val="left" w:pos="1134"/>
        </w:tabs>
        <w:autoSpaceDE w:val="0"/>
        <w:autoSpaceDN w:val="0"/>
        <w:adjustRightInd w:val="0"/>
        <w:ind w:left="0" w:firstLine="851"/>
        <w:rPr>
          <w:color w:val="000000"/>
          <w:szCs w:val="24"/>
        </w:rPr>
      </w:pPr>
      <w:r w:rsidRPr="001B0EA3">
        <w:rPr>
          <w:color w:val="000000"/>
          <w:szCs w:val="24"/>
        </w:rPr>
        <w:t>Оценка на брутния риск</w:t>
      </w:r>
    </w:p>
    <w:p w14:paraId="36B791F6" w14:textId="77777777" w:rsidR="00291D42" w:rsidRPr="001B0EA3" w:rsidRDefault="00291D42" w:rsidP="00707FB7">
      <w:pPr>
        <w:tabs>
          <w:tab w:val="left" w:pos="1134"/>
        </w:tabs>
      </w:pPr>
      <w:r w:rsidRPr="001B0EA3">
        <w:t>Брутният риск се отнася до равнището на риска преди отчитане на ефекта на</w:t>
      </w:r>
    </w:p>
    <w:p w14:paraId="3B675F56" w14:textId="77777777" w:rsidR="00291D42" w:rsidRPr="001B0EA3" w:rsidRDefault="00291D42" w:rsidP="00707FB7">
      <w:pPr>
        <w:tabs>
          <w:tab w:val="left" w:pos="1134"/>
        </w:tabs>
      </w:pPr>
      <w:r w:rsidRPr="001B0EA3">
        <w:t xml:space="preserve">съществуващите или планираните контролни мерки. Количественото изразяване на риска обикновено се състои от комбинация от „вероятността“ на риска — каква е вероятността да настъпи събитието, и „въздействието“ на риска— какви ще бъдат последиците от събитието във финансово и нефинансово изражение. </w:t>
      </w:r>
    </w:p>
    <w:p w14:paraId="07C13F56" w14:textId="77777777" w:rsidR="00291D42" w:rsidRPr="001B0EA3" w:rsidRDefault="00291D42" w:rsidP="00707FB7">
      <w:pPr>
        <w:tabs>
          <w:tab w:val="left" w:pos="1134"/>
        </w:tabs>
        <w:rPr>
          <w:i/>
          <w:iCs/>
        </w:rPr>
      </w:pPr>
      <w:r w:rsidRPr="001B0EA3">
        <w:t xml:space="preserve">Оценката на брутния риск се извършва от екипа за самооценка съгласно  </w:t>
      </w:r>
      <w:r w:rsidRPr="001B0EA3">
        <w:rPr>
          <w:i/>
          <w:iCs/>
        </w:rPr>
        <w:t>„</w:t>
      </w:r>
      <w:hyperlink r:id="rId307" w:tooltip="Разпределение за оценка на бруто риска" w:history="1">
        <w:r w:rsidR="000A2904" w:rsidRPr="00251D03">
          <w:rPr>
            <w:i/>
            <w:color w:val="0000FF"/>
            <w:szCs w:val="24"/>
            <w:u w:val="single"/>
            <w:lang w:eastAsia="bg-BG"/>
          </w:rPr>
          <w:t>Приложение № 8.05-част 1</w:t>
        </w:r>
      </w:hyperlink>
      <w:r w:rsidRPr="001B0EA3">
        <w:rPr>
          <w:i/>
          <w:iCs/>
        </w:rPr>
        <w:t xml:space="preserve"> Разпределение за оценка на бруто риска“. </w:t>
      </w:r>
      <w:r w:rsidRPr="001B0EA3">
        <w:t xml:space="preserve">Оценката се документира чрез попълването на </w:t>
      </w:r>
      <w:r w:rsidRPr="001B0EA3">
        <w:rPr>
          <w:i/>
          <w:iCs/>
        </w:rPr>
        <w:t>„</w:t>
      </w:r>
      <w:hyperlink r:id="rId308" w:tooltip="Обосновка за оценката на бруто риска" w:history="1">
        <w:r w:rsidR="000A2904" w:rsidRPr="00251D03">
          <w:rPr>
            <w:i/>
            <w:color w:val="0000FF"/>
            <w:szCs w:val="24"/>
            <w:u w:val="single"/>
            <w:lang w:eastAsia="bg-BG"/>
          </w:rPr>
          <w:t>Приложение № 8.05-част 3</w:t>
        </w:r>
      </w:hyperlink>
      <w:r w:rsidRPr="001B0EA3">
        <w:rPr>
          <w:i/>
          <w:iCs/>
        </w:rPr>
        <w:t xml:space="preserve"> Обосновка за оценката на бруто риска“.</w:t>
      </w:r>
    </w:p>
    <w:p w14:paraId="1BA77899" w14:textId="77777777" w:rsidR="00291D42" w:rsidRPr="001B0EA3" w:rsidRDefault="00291D42" w:rsidP="00707FB7">
      <w:pPr>
        <w:pStyle w:val="ListParagraph"/>
        <w:numPr>
          <w:ilvl w:val="6"/>
          <w:numId w:val="257"/>
        </w:numPr>
        <w:tabs>
          <w:tab w:val="left" w:pos="1134"/>
        </w:tabs>
        <w:autoSpaceDE w:val="0"/>
        <w:autoSpaceDN w:val="0"/>
        <w:adjustRightInd w:val="0"/>
        <w:ind w:left="0" w:firstLine="851"/>
        <w:rPr>
          <w:color w:val="000000"/>
          <w:szCs w:val="24"/>
        </w:rPr>
      </w:pPr>
      <w:r w:rsidRPr="001B0EA3">
        <w:rPr>
          <w:color w:val="000000"/>
          <w:szCs w:val="24"/>
        </w:rPr>
        <w:t>Текущи ограничителни контролни мерки</w:t>
      </w:r>
    </w:p>
    <w:p w14:paraId="02CA3B76" w14:textId="77777777" w:rsidR="00291D42" w:rsidRPr="001B0EA3" w:rsidRDefault="00291D42" w:rsidP="00707FB7">
      <w:pPr>
        <w:tabs>
          <w:tab w:val="left" w:pos="1134"/>
        </w:tabs>
      </w:pPr>
      <w:r w:rsidRPr="001B0EA3">
        <w:t xml:space="preserve">В инструмента предварително са определени известен брой възможни контролни превантивни мерки. Тези мерки са примерни и могат да бъдат премахнати от екипа за оценка, ако такива контролни мерки не са налице, и могат да бъдат добавени редове, ако са въведени допълнителни контролни мерки за противодействие на установения риск. Възможно е контролна мярка, предвидена за един конкретен риск, да е от значение и за други рискове — в такива случаи мерките могат да се повтарят няколко пъти. </w:t>
      </w:r>
    </w:p>
    <w:p w14:paraId="2357C1FC" w14:textId="77777777" w:rsidR="00291D42" w:rsidRPr="001B0EA3" w:rsidRDefault="00291D42" w:rsidP="00707FB7">
      <w:pPr>
        <w:tabs>
          <w:tab w:val="left" w:pos="1134"/>
        </w:tabs>
      </w:pPr>
      <w:r w:rsidRPr="001B0EA3">
        <w:t xml:space="preserve">При идентифицирането на ограничителните контролни мерки, екипът за самооценка попълва </w:t>
      </w:r>
      <w:r w:rsidRPr="001B0EA3">
        <w:rPr>
          <w:i/>
          <w:iCs/>
        </w:rPr>
        <w:t>„</w:t>
      </w:r>
      <w:hyperlink r:id="rId309" w:tooltip="Помощни таблици" w:history="1">
        <w:r w:rsidR="000A2904" w:rsidRPr="00251D03">
          <w:rPr>
            <w:i/>
            <w:color w:val="0000FF"/>
            <w:szCs w:val="24"/>
            <w:u w:val="single"/>
            <w:lang w:eastAsia="bg-BG"/>
          </w:rPr>
          <w:t>Приложение № 8.05-част 2</w:t>
        </w:r>
      </w:hyperlink>
      <w:r w:rsidRPr="001B0EA3">
        <w:rPr>
          <w:i/>
          <w:iCs/>
        </w:rPr>
        <w:t xml:space="preserve"> Помощни таблици“</w:t>
      </w:r>
      <w:r w:rsidRPr="001B0EA3">
        <w:t xml:space="preserve">. В него </w:t>
      </w:r>
    </w:p>
    <w:p w14:paraId="78B9A927" w14:textId="77777777" w:rsidR="00291D42" w:rsidRPr="001B0EA3" w:rsidRDefault="00291D42" w:rsidP="00707FB7">
      <w:pPr>
        <w:tabs>
          <w:tab w:val="left" w:pos="1134"/>
        </w:tabs>
      </w:pPr>
      <w:r w:rsidRPr="001B0EA3">
        <w:t xml:space="preserve">се описва как тези контроли се прилагат от УО, реферира се към описанието на тези контролни мерки в Системите за управление и контрол на УО и в Процедурния наръчник за управление и изпълнение на ОПТТИ, посочват се конкретни доказателства за прилагането на  контролните мерки – например контролни листа, заповеди, протоколи и т.н. </w:t>
      </w:r>
    </w:p>
    <w:p w14:paraId="059B2E63" w14:textId="77777777" w:rsidR="00291D42" w:rsidRPr="001B0EA3" w:rsidRDefault="00291D42" w:rsidP="00707FB7">
      <w:pPr>
        <w:pStyle w:val="ListParagraph"/>
        <w:numPr>
          <w:ilvl w:val="6"/>
          <w:numId w:val="257"/>
        </w:numPr>
        <w:tabs>
          <w:tab w:val="left" w:pos="1134"/>
        </w:tabs>
        <w:autoSpaceDE w:val="0"/>
        <w:autoSpaceDN w:val="0"/>
        <w:adjustRightInd w:val="0"/>
        <w:ind w:left="0" w:firstLine="851"/>
        <w:rPr>
          <w:color w:val="000000"/>
          <w:szCs w:val="24"/>
        </w:rPr>
      </w:pPr>
      <w:r w:rsidRPr="001B0EA3">
        <w:rPr>
          <w:color w:val="000000"/>
          <w:szCs w:val="24"/>
        </w:rPr>
        <w:t>Оценка на нетния риск</w:t>
      </w:r>
    </w:p>
    <w:p w14:paraId="2D4F5120" w14:textId="77777777" w:rsidR="00291D42" w:rsidRPr="001B0EA3" w:rsidRDefault="00291D42" w:rsidP="00707FB7">
      <w:pPr>
        <w:tabs>
          <w:tab w:val="left" w:pos="1134"/>
        </w:tabs>
      </w:pPr>
      <w:r w:rsidRPr="001B0EA3">
        <w:t>Нетният риск се отнася до степента на риска след отчитане на ефекта на всички съществуващи контролни мерки и тяхната ефективност, т.е. ситуацията такава, каквато е към момента на оценка.</w:t>
      </w:r>
    </w:p>
    <w:p w14:paraId="56E80533" w14:textId="77777777" w:rsidR="00291D42" w:rsidRPr="001B0EA3" w:rsidRDefault="00291D42" w:rsidP="00707FB7">
      <w:pPr>
        <w:pStyle w:val="ListParagraph"/>
        <w:numPr>
          <w:ilvl w:val="6"/>
          <w:numId w:val="257"/>
        </w:numPr>
        <w:tabs>
          <w:tab w:val="left" w:pos="1134"/>
        </w:tabs>
        <w:autoSpaceDE w:val="0"/>
        <w:autoSpaceDN w:val="0"/>
        <w:adjustRightInd w:val="0"/>
        <w:ind w:left="0" w:firstLine="851"/>
        <w:rPr>
          <w:color w:val="000000"/>
          <w:szCs w:val="24"/>
        </w:rPr>
      </w:pPr>
      <w:r w:rsidRPr="001B0EA3">
        <w:rPr>
          <w:color w:val="000000"/>
          <w:szCs w:val="24"/>
        </w:rPr>
        <w:lastRenderedPageBreak/>
        <w:t>План за действие за въвеждане на ефективни и пропорционални мерки за борба с измамите</w:t>
      </w:r>
    </w:p>
    <w:p w14:paraId="1E1C67CC" w14:textId="77777777" w:rsidR="00291D42" w:rsidRPr="001B0EA3" w:rsidRDefault="00291D42" w:rsidP="00707FB7">
      <w:pPr>
        <w:tabs>
          <w:tab w:val="left" w:pos="1134"/>
        </w:tabs>
      </w:pPr>
      <w:r w:rsidRPr="001B0EA3">
        <w:t xml:space="preserve">Екипът за самооценка </w:t>
      </w:r>
      <w:r w:rsidR="00FF4881" w:rsidRPr="001B0EA3">
        <w:t>изготвя</w:t>
      </w:r>
      <w:r w:rsidRPr="001B0EA3">
        <w:t xml:space="preserve"> адекватен План за действие за въвеждане на ефективни и пропорционални мерки за борба с измамите чрез попълване на „</w:t>
      </w:r>
      <w:hyperlink r:id="rId310" w:tooltip="План за действие за въвеждане на ефективни и пропорционални мерки за борба с измамите" w:history="1">
        <w:r w:rsidR="00AE381A" w:rsidRPr="00251D03">
          <w:rPr>
            <w:rStyle w:val="Hyperlink"/>
            <w:i/>
            <w:iCs/>
          </w:rPr>
          <w:t>Приложение № 8.04</w:t>
        </w:r>
      </w:hyperlink>
      <w:r w:rsidRPr="001B0EA3">
        <w:t>“</w:t>
      </w:r>
      <w:r w:rsidRPr="001B0EA3">
        <w:rPr>
          <w:i/>
          <w:iCs/>
        </w:rPr>
        <w:t xml:space="preserve">, </w:t>
      </w:r>
      <w:r w:rsidRPr="001B0EA3">
        <w:t>в което се посоч</w:t>
      </w:r>
      <w:r w:rsidR="00FF4881" w:rsidRPr="001B0EA3">
        <w:t>в</w:t>
      </w:r>
      <w:r w:rsidRPr="001B0EA3">
        <w:t xml:space="preserve">ат съответните действия/мерки, сроковете за изпълнение и съответните отговорни служители. </w:t>
      </w:r>
    </w:p>
    <w:p w14:paraId="42C6B0A9" w14:textId="77777777" w:rsidR="00291D42" w:rsidRPr="00707FB7" w:rsidRDefault="00291D42" w:rsidP="00707FB7">
      <w:pPr>
        <w:pStyle w:val="ListParagraph"/>
        <w:numPr>
          <w:ilvl w:val="6"/>
          <w:numId w:val="257"/>
        </w:numPr>
        <w:tabs>
          <w:tab w:val="left" w:pos="1134"/>
        </w:tabs>
        <w:autoSpaceDE w:val="0"/>
        <w:autoSpaceDN w:val="0"/>
        <w:adjustRightInd w:val="0"/>
        <w:ind w:left="0" w:firstLine="851"/>
        <w:rPr>
          <w:color w:val="000000"/>
          <w:szCs w:val="24"/>
        </w:rPr>
      </w:pPr>
      <w:r w:rsidRPr="001B0EA3">
        <w:rPr>
          <w:color w:val="000000"/>
          <w:szCs w:val="24"/>
        </w:rPr>
        <w:t>Целеви риск</w:t>
      </w:r>
    </w:p>
    <w:p w14:paraId="5B741C09" w14:textId="77777777" w:rsidR="00291D42" w:rsidRPr="001B0EA3" w:rsidRDefault="00291D42" w:rsidP="00707FB7">
      <w:pPr>
        <w:tabs>
          <w:tab w:val="left" w:pos="1134"/>
        </w:tabs>
      </w:pPr>
      <w:r w:rsidRPr="001B0EA3">
        <w:t xml:space="preserve">Целевият риск се отнася до равнището на риска след отчитане на ефекта на текущите  и планираните мерки за контрол. </w:t>
      </w:r>
    </w:p>
    <w:p w14:paraId="10645A8B" w14:textId="77777777" w:rsidR="00291D42" w:rsidRPr="001B0EA3" w:rsidRDefault="00291D42" w:rsidP="00707FB7">
      <w:pPr>
        <w:tabs>
          <w:tab w:val="left" w:pos="1134"/>
        </w:tabs>
        <w:autoSpaceDE w:val="0"/>
        <w:autoSpaceDN w:val="0"/>
        <w:adjustRightInd w:val="0"/>
        <w:rPr>
          <w:b/>
          <w:color w:val="000000"/>
          <w:szCs w:val="24"/>
        </w:rPr>
      </w:pPr>
    </w:p>
    <w:p w14:paraId="74F22EBB" w14:textId="77777777" w:rsidR="00C71566" w:rsidRPr="001B0EA3" w:rsidRDefault="004B20AD" w:rsidP="00707FB7">
      <w:pPr>
        <w:tabs>
          <w:tab w:val="left" w:pos="1134"/>
        </w:tabs>
        <w:autoSpaceDE w:val="0"/>
        <w:autoSpaceDN w:val="0"/>
        <w:adjustRightInd w:val="0"/>
        <w:rPr>
          <w:b/>
          <w:color w:val="000000"/>
          <w:szCs w:val="24"/>
        </w:rPr>
      </w:pPr>
      <w:r w:rsidRPr="001B0EA3">
        <w:rPr>
          <w:b/>
          <w:color w:val="000000"/>
          <w:szCs w:val="24"/>
        </w:rPr>
        <w:t xml:space="preserve">б) </w:t>
      </w:r>
      <w:r w:rsidR="00C71566" w:rsidRPr="001B0EA3">
        <w:rPr>
          <w:b/>
          <w:color w:val="000000"/>
          <w:szCs w:val="24"/>
        </w:rPr>
        <w:t xml:space="preserve">Докладване на резултатите от извършената самооценка и последващи действия </w:t>
      </w:r>
    </w:p>
    <w:p w14:paraId="09F7AA88" w14:textId="77777777" w:rsidR="00C71566" w:rsidRPr="001B0EA3" w:rsidRDefault="00C71566" w:rsidP="00707FB7">
      <w:pPr>
        <w:tabs>
          <w:tab w:val="left" w:pos="1134"/>
        </w:tabs>
        <w:autoSpaceDE w:val="0"/>
        <w:autoSpaceDN w:val="0"/>
        <w:adjustRightInd w:val="0"/>
        <w:rPr>
          <w:szCs w:val="24"/>
        </w:rPr>
      </w:pPr>
      <w:r w:rsidRPr="001B0EA3">
        <w:rPr>
          <w:szCs w:val="24"/>
        </w:rPr>
        <w:t>Резултатите  от извършената самооценка се докладват на Ръководителя на УО от председателя на работната група.</w:t>
      </w:r>
    </w:p>
    <w:p w14:paraId="7D55DAC6" w14:textId="77777777" w:rsidR="00666E89" w:rsidRPr="001B0EA3" w:rsidRDefault="00154FD5" w:rsidP="00707FB7">
      <w:pPr>
        <w:tabs>
          <w:tab w:val="left" w:pos="1134"/>
        </w:tabs>
        <w:autoSpaceDE w:val="0"/>
        <w:autoSpaceDN w:val="0"/>
        <w:adjustRightInd w:val="0"/>
        <w:rPr>
          <w:color w:val="000000"/>
          <w:szCs w:val="24"/>
        </w:rPr>
      </w:pPr>
      <w:r w:rsidRPr="001B0EA3">
        <w:rPr>
          <w:color w:val="000000"/>
          <w:szCs w:val="24"/>
        </w:rPr>
        <w:t>В случай, че в резултат на самооценката се констатира необходимост от въвеждане на допълнителни контроли, ще се следва процедурата описана в</w:t>
      </w:r>
      <w:r w:rsidRPr="001B0EA3">
        <w:rPr>
          <w:szCs w:val="24"/>
        </w:rPr>
        <w:t xml:space="preserve"> </w:t>
      </w:r>
      <w:r w:rsidRPr="001B0EA3">
        <w:rPr>
          <w:color w:val="000000"/>
          <w:szCs w:val="24"/>
        </w:rPr>
        <w:t>Guidance Note on Fraud Risk Assesment and Effective and Proportionate Anti Fraud Measures 2013 Ref. Ares (2013)3769073 - 19/12/2013 на ГД „Регионална и урбанистична политика“ на ЕК</w:t>
      </w:r>
      <w:r w:rsidR="00666E89" w:rsidRPr="001B0EA3">
        <w:rPr>
          <w:color w:val="000000"/>
          <w:szCs w:val="24"/>
        </w:rPr>
        <w:t xml:space="preserve">, а именно </w:t>
      </w:r>
      <w:r w:rsidR="00BD04FB" w:rsidRPr="001B0EA3">
        <w:rPr>
          <w:szCs w:val="24"/>
        </w:rPr>
        <w:t>за документиране на необходимите действия се съставя  план за действие съгласно образеца от приложението на Процедурния наръчник на УО в който са :</w:t>
      </w:r>
    </w:p>
    <w:p w14:paraId="61B6E70C" w14:textId="77777777" w:rsidR="00666E89" w:rsidRPr="001B0EA3" w:rsidRDefault="00BD04FB" w:rsidP="00707FB7">
      <w:pPr>
        <w:pStyle w:val="ListParagraph"/>
        <w:numPr>
          <w:ilvl w:val="1"/>
          <w:numId w:val="152"/>
        </w:numPr>
        <w:tabs>
          <w:tab w:val="clear" w:pos="1620"/>
          <w:tab w:val="num" w:pos="1134"/>
        </w:tabs>
        <w:autoSpaceDE w:val="0"/>
        <w:autoSpaceDN w:val="0"/>
        <w:adjustRightInd w:val="0"/>
        <w:ind w:left="0" w:firstLine="851"/>
        <w:rPr>
          <w:szCs w:val="24"/>
        </w:rPr>
      </w:pPr>
      <w:r w:rsidRPr="001B0EA3">
        <w:rPr>
          <w:color w:val="000000"/>
          <w:szCs w:val="24"/>
        </w:rPr>
        <w:t>Идентифицирани</w:t>
      </w:r>
      <w:r w:rsidR="00666E89" w:rsidRPr="001B0EA3">
        <w:rPr>
          <w:color w:val="000000"/>
          <w:szCs w:val="24"/>
        </w:rPr>
        <w:t xml:space="preserve"> необходимите допълнителни </w:t>
      </w:r>
      <w:r w:rsidR="00FF4881" w:rsidRPr="001B0EA3">
        <w:rPr>
          <w:color w:val="000000"/>
          <w:szCs w:val="24"/>
        </w:rPr>
        <w:t>контроли</w:t>
      </w:r>
    </w:p>
    <w:p w14:paraId="40CAA0C9" w14:textId="77777777" w:rsidR="00154FD5" w:rsidRPr="001B0EA3" w:rsidRDefault="00666E89" w:rsidP="00707FB7">
      <w:pPr>
        <w:pStyle w:val="ListParagraph"/>
        <w:numPr>
          <w:ilvl w:val="1"/>
          <w:numId w:val="152"/>
        </w:numPr>
        <w:tabs>
          <w:tab w:val="clear" w:pos="1620"/>
          <w:tab w:val="num" w:pos="1134"/>
        </w:tabs>
        <w:autoSpaceDE w:val="0"/>
        <w:autoSpaceDN w:val="0"/>
        <w:adjustRightInd w:val="0"/>
        <w:ind w:left="0" w:firstLine="851"/>
        <w:rPr>
          <w:szCs w:val="24"/>
        </w:rPr>
      </w:pPr>
      <w:r w:rsidRPr="001B0EA3">
        <w:rPr>
          <w:color w:val="000000"/>
          <w:szCs w:val="24"/>
        </w:rPr>
        <w:t>Определяне на отговорните за въвеждането им лица и срокове за това</w:t>
      </w:r>
    </w:p>
    <w:p w14:paraId="3887084D" w14:textId="28B960F6" w:rsidR="00BD04FB" w:rsidRPr="001B0EA3" w:rsidRDefault="00BD04FB" w:rsidP="00707FB7">
      <w:pPr>
        <w:tabs>
          <w:tab w:val="left" w:pos="1134"/>
        </w:tabs>
        <w:autoSpaceDE w:val="0"/>
        <w:autoSpaceDN w:val="0"/>
        <w:adjustRightInd w:val="0"/>
        <w:rPr>
          <w:szCs w:val="24"/>
        </w:rPr>
      </w:pPr>
      <w:r w:rsidRPr="001B0EA3">
        <w:rPr>
          <w:szCs w:val="24"/>
        </w:rPr>
        <w:t xml:space="preserve">Планът за действие се съставя от групата за самооценка и се одобрява от Ръководителя на УО. Одобреният план се съхранява от определен от началника служител на отдел „Управление на риска“. </w:t>
      </w:r>
    </w:p>
    <w:p w14:paraId="2F563E2D" w14:textId="77777777" w:rsidR="00A969D6" w:rsidRPr="001B0EA3" w:rsidRDefault="00A969D6" w:rsidP="00707FB7">
      <w:pPr>
        <w:tabs>
          <w:tab w:val="left" w:pos="1134"/>
        </w:tabs>
        <w:autoSpaceDE w:val="0"/>
        <w:autoSpaceDN w:val="0"/>
        <w:adjustRightInd w:val="0"/>
        <w:rPr>
          <w:szCs w:val="24"/>
        </w:rPr>
      </w:pPr>
    </w:p>
    <w:p w14:paraId="1A9C13C6" w14:textId="77777777" w:rsidR="004B20AD" w:rsidRDefault="004B20AD" w:rsidP="00707FB7">
      <w:pPr>
        <w:tabs>
          <w:tab w:val="left" w:pos="1134"/>
        </w:tabs>
        <w:autoSpaceDE w:val="0"/>
        <w:autoSpaceDN w:val="0"/>
        <w:adjustRightInd w:val="0"/>
        <w:rPr>
          <w:b/>
          <w:color w:val="000000"/>
          <w:szCs w:val="24"/>
        </w:rPr>
      </w:pPr>
      <w:r w:rsidRPr="001B0EA3">
        <w:rPr>
          <w:b/>
          <w:color w:val="000000"/>
          <w:szCs w:val="24"/>
        </w:rPr>
        <w:t>в) Годишна актуализация</w:t>
      </w:r>
    </w:p>
    <w:p w14:paraId="70AF5B15" w14:textId="77777777" w:rsidR="00CD0885" w:rsidRDefault="00CD0885" w:rsidP="00707FB7">
      <w:pPr>
        <w:tabs>
          <w:tab w:val="left" w:pos="1134"/>
        </w:tabs>
        <w:autoSpaceDE w:val="0"/>
        <w:autoSpaceDN w:val="0"/>
        <w:adjustRightInd w:val="0"/>
        <w:rPr>
          <w:b/>
          <w:color w:val="000000"/>
          <w:szCs w:val="24"/>
        </w:rPr>
      </w:pPr>
    </w:p>
    <w:p w14:paraId="124631C3" w14:textId="77777777" w:rsidR="00CD0885" w:rsidRDefault="00CD0885" w:rsidP="00CD0885">
      <w:pPr>
        <w:tabs>
          <w:tab w:val="left" w:pos="1134"/>
        </w:tabs>
        <w:autoSpaceDE w:val="0"/>
        <w:autoSpaceDN w:val="0"/>
        <w:adjustRightInd w:val="0"/>
        <w:rPr>
          <w:b/>
          <w:color w:val="000000"/>
          <w:szCs w:val="24"/>
        </w:rPr>
      </w:pPr>
      <w:r>
        <w:rPr>
          <w:b/>
          <w:color w:val="000000"/>
          <w:szCs w:val="24"/>
        </w:rPr>
        <w:t>Годишната актуализация на самооценката се извършва след изтичането на четвъртото тримесечие на съответната година от назначена със заповед на Ръководителя на УО работна група, в  която влизат представители на всички отдели от дирекцията - началник на отдел и експерт/и от съответното звено.</w:t>
      </w:r>
    </w:p>
    <w:p w14:paraId="29EFC681" w14:textId="77777777" w:rsidR="00CD0885" w:rsidRPr="001B0EA3" w:rsidRDefault="00CD0885" w:rsidP="00CD0885">
      <w:pPr>
        <w:tabs>
          <w:tab w:val="left" w:pos="1134"/>
        </w:tabs>
        <w:autoSpaceDE w:val="0"/>
        <w:autoSpaceDN w:val="0"/>
        <w:adjustRightInd w:val="0"/>
        <w:rPr>
          <w:b/>
          <w:color w:val="000000"/>
          <w:szCs w:val="24"/>
        </w:rPr>
      </w:pPr>
    </w:p>
    <w:p w14:paraId="6E9F1355" w14:textId="77777777" w:rsidR="00707FB7" w:rsidRPr="001B0EA3" w:rsidRDefault="00707FB7" w:rsidP="00125DAC">
      <w:pPr>
        <w:autoSpaceDE w:val="0"/>
        <w:autoSpaceDN w:val="0"/>
        <w:adjustRightInd w:val="0"/>
        <w:ind w:firstLine="709"/>
        <w:rPr>
          <w:szCs w:val="24"/>
        </w:rPr>
      </w:pPr>
    </w:p>
    <w:p w14:paraId="67B5A73A" w14:textId="77777777" w:rsidR="003B68FE" w:rsidRPr="00842ECC" w:rsidRDefault="003B68FE" w:rsidP="00B502C7">
      <w:pPr>
        <w:pStyle w:val="Style2"/>
        <w:rPr>
          <w:lang w:val="bg-BG"/>
        </w:rPr>
      </w:pPr>
      <w:bookmarkStart w:id="1332" w:name="_Toc479775383"/>
      <w:bookmarkStart w:id="1333" w:name="_Toc479775385"/>
      <w:bookmarkStart w:id="1334" w:name="_Toc479775386"/>
      <w:bookmarkStart w:id="1335" w:name="_Toc479775825"/>
      <w:bookmarkStart w:id="1336" w:name="_Toc140150302"/>
      <w:bookmarkEnd w:id="1332"/>
      <w:bookmarkEnd w:id="1333"/>
      <w:bookmarkEnd w:id="1334"/>
      <w:r w:rsidRPr="00842ECC">
        <w:rPr>
          <w:lang w:val="bg-BG"/>
        </w:rPr>
        <w:t>Контрол на УО за функционирането на специфичните мерки за борба с риска от измами</w:t>
      </w:r>
      <w:bookmarkEnd w:id="1335"/>
      <w:bookmarkEnd w:id="1336"/>
      <w:r w:rsidRPr="00842ECC">
        <w:rPr>
          <w:lang w:val="bg-BG"/>
        </w:rPr>
        <w:t xml:space="preserve"> </w:t>
      </w:r>
    </w:p>
    <w:p w14:paraId="3EDD45F2" w14:textId="77777777" w:rsidR="00126E29" w:rsidRPr="001B0EA3" w:rsidRDefault="00C71566" w:rsidP="00707FB7">
      <w:pPr>
        <w:tabs>
          <w:tab w:val="left" w:pos="1134"/>
        </w:tabs>
        <w:rPr>
          <w:color w:val="000000"/>
          <w:szCs w:val="24"/>
        </w:rPr>
      </w:pPr>
      <w:r w:rsidRPr="001B0EA3">
        <w:rPr>
          <w:color w:val="000000"/>
          <w:szCs w:val="24"/>
        </w:rPr>
        <w:tab/>
      </w:r>
      <w:r w:rsidR="00BD04FB" w:rsidRPr="001B0EA3">
        <w:rPr>
          <w:color w:val="000000"/>
          <w:szCs w:val="24"/>
        </w:rPr>
        <w:t>Контролът включва :</w:t>
      </w:r>
    </w:p>
    <w:p w14:paraId="49D121A4" w14:textId="77777777" w:rsidR="00126E29" w:rsidRPr="001B0EA3" w:rsidRDefault="00126E29" w:rsidP="00707FB7">
      <w:pPr>
        <w:tabs>
          <w:tab w:val="left" w:pos="1134"/>
        </w:tabs>
        <w:rPr>
          <w:b/>
          <w:color w:val="000000"/>
          <w:szCs w:val="24"/>
        </w:rPr>
      </w:pPr>
      <w:r w:rsidRPr="001B0EA3">
        <w:rPr>
          <w:b/>
          <w:color w:val="000000"/>
          <w:szCs w:val="24"/>
        </w:rPr>
        <w:t>1.</w:t>
      </w:r>
      <w:r w:rsidR="00666E89" w:rsidRPr="001B0EA3">
        <w:rPr>
          <w:b/>
          <w:color w:val="000000"/>
          <w:szCs w:val="24"/>
        </w:rPr>
        <w:t xml:space="preserve"> </w:t>
      </w:r>
      <w:r w:rsidR="00A52A99" w:rsidRPr="001B0EA3">
        <w:rPr>
          <w:b/>
          <w:color w:val="000000"/>
          <w:szCs w:val="24"/>
        </w:rPr>
        <w:t>контро</w:t>
      </w:r>
      <w:r w:rsidR="00BD04FB" w:rsidRPr="001B0EA3">
        <w:rPr>
          <w:b/>
          <w:color w:val="000000"/>
          <w:szCs w:val="24"/>
        </w:rPr>
        <w:t>л по отношение на функционирането на идентифицираните</w:t>
      </w:r>
      <w:r w:rsidRPr="001B0EA3">
        <w:rPr>
          <w:b/>
          <w:color w:val="000000"/>
          <w:szCs w:val="24"/>
        </w:rPr>
        <w:t xml:space="preserve"> и описани</w:t>
      </w:r>
      <w:r w:rsidR="00BD04FB" w:rsidRPr="001B0EA3">
        <w:rPr>
          <w:b/>
          <w:color w:val="000000"/>
          <w:szCs w:val="24"/>
        </w:rPr>
        <w:t xml:space="preserve"> в рамките на самооценката контролни процедури за </w:t>
      </w:r>
      <w:r w:rsidRPr="001B0EA3">
        <w:rPr>
          <w:b/>
          <w:color w:val="000000"/>
          <w:szCs w:val="24"/>
        </w:rPr>
        <w:t>риска от измами</w:t>
      </w:r>
    </w:p>
    <w:p w14:paraId="77046A6A" w14:textId="77777777" w:rsidR="00126E29" w:rsidRPr="001B0EA3" w:rsidRDefault="00126E29" w:rsidP="00707FB7">
      <w:pPr>
        <w:tabs>
          <w:tab w:val="left" w:pos="1134"/>
        </w:tabs>
        <w:rPr>
          <w:color w:val="000000"/>
          <w:szCs w:val="24"/>
        </w:rPr>
      </w:pPr>
      <w:r w:rsidRPr="001B0EA3">
        <w:rPr>
          <w:color w:val="000000"/>
          <w:szCs w:val="24"/>
        </w:rPr>
        <w:t>а) контрол в рамките на изпълнението на процедурите, отговорност на съответните отдели на УО, изпълняван от тези отдели</w:t>
      </w:r>
    </w:p>
    <w:p w14:paraId="7F735C8A" w14:textId="62B8C151" w:rsidR="00A52A99" w:rsidRPr="001B0EA3" w:rsidRDefault="00126E29" w:rsidP="00707FB7">
      <w:pPr>
        <w:tabs>
          <w:tab w:val="left" w:pos="1134"/>
        </w:tabs>
        <w:rPr>
          <w:color w:val="000000"/>
          <w:szCs w:val="24"/>
        </w:rPr>
      </w:pPr>
      <w:r w:rsidRPr="001B0EA3">
        <w:rPr>
          <w:color w:val="000000"/>
          <w:szCs w:val="24"/>
        </w:rPr>
        <w:t>б) текущ контрол, упражняван от отдел</w:t>
      </w:r>
      <w:r w:rsidR="001747C2" w:rsidRPr="001B0EA3">
        <w:rPr>
          <w:szCs w:val="24"/>
        </w:rPr>
        <w:t xml:space="preserve"> „Управление на риска</w:t>
      </w:r>
      <w:r w:rsidR="00EB35AB">
        <w:rPr>
          <w:szCs w:val="24"/>
        </w:rPr>
        <w:t>“</w:t>
      </w:r>
    </w:p>
    <w:p w14:paraId="07B21A0A" w14:textId="77777777" w:rsidR="00BD04FB" w:rsidRPr="001B0EA3" w:rsidRDefault="00126E29" w:rsidP="00707FB7">
      <w:pPr>
        <w:tabs>
          <w:tab w:val="left" w:pos="1134"/>
        </w:tabs>
        <w:rPr>
          <w:b/>
          <w:color w:val="000000"/>
          <w:szCs w:val="24"/>
        </w:rPr>
      </w:pPr>
      <w:r w:rsidRPr="001B0EA3">
        <w:rPr>
          <w:b/>
          <w:szCs w:val="24"/>
        </w:rPr>
        <w:t>2.</w:t>
      </w:r>
      <w:r w:rsidR="00BD04FB" w:rsidRPr="001B0EA3">
        <w:rPr>
          <w:b/>
          <w:szCs w:val="24"/>
        </w:rPr>
        <w:t xml:space="preserve">текущ преглед на напредъка спрямо плановете за действие </w:t>
      </w:r>
    </w:p>
    <w:p w14:paraId="569DA781" w14:textId="16B1D5EA" w:rsidR="007C64BD" w:rsidRPr="001B0EA3" w:rsidRDefault="007C64BD" w:rsidP="007C64BD">
      <w:pPr>
        <w:tabs>
          <w:tab w:val="left" w:pos="1134"/>
        </w:tabs>
        <w:rPr>
          <w:color w:val="000000"/>
          <w:szCs w:val="24"/>
        </w:rPr>
      </w:pPr>
      <w:r w:rsidRPr="001B0EA3">
        <w:rPr>
          <w:color w:val="000000"/>
          <w:szCs w:val="24"/>
        </w:rPr>
        <w:t>Извършва се в рамките на срещите за управление на риска по т. 30.</w:t>
      </w:r>
      <w:r>
        <w:rPr>
          <w:color w:val="000000"/>
          <w:szCs w:val="24"/>
        </w:rPr>
        <w:t>6</w:t>
      </w:r>
      <w:r w:rsidRPr="001B0EA3">
        <w:rPr>
          <w:color w:val="000000"/>
          <w:szCs w:val="24"/>
        </w:rPr>
        <w:t>.</w:t>
      </w:r>
      <w:r>
        <w:rPr>
          <w:color w:val="000000"/>
          <w:szCs w:val="24"/>
        </w:rPr>
        <w:t>4</w:t>
      </w:r>
      <w:r w:rsidRPr="001B0EA3">
        <w:rPr>
          <w:color w:val="000000"/>
          <w:szCs w:val="24"/>
        </w:rPr>
        <w:t xml:space="preserve"> Докладване, наблюдение и преглед, буква в ) от ПН, където отговорните за изпълнението на плана лица докладват за напредъка по изпълнението му. Обсъжданията и решенията се документират от отдел „Управление на риск</w:t>
      </w:r>
      <w:r w:rsidR="00EB35AB">
        <w:rPr>
          <w:color w:val="000000"/>
          <w:szCs w:val="24"/>
        </w:rPr>
        <w:t>а</w:t>
      </w:r>
      <w:r w:rsidRPr="001B0EA3">
        <w:rPr>
          <w:color w:val="000000"/>
          <w:szCs w:val="24"/>
        </w:rPr>
        <w:t>“</w:t>
      </w:r>
    </w:p>
    <w:p w14:paraId="792FF0B4" w14:textId="77777777" w:rsidR="00126E29" w:rsidRPr="001B0EA3" w:rsidRDefault="00126E29" w:rsidP="00707FB7">
      <w:pPr>
        <w:pStyle w:val="ListParagraph"/>
        <w:numPr>
          <w:ilvl w:val="1"/>
          <w:numId w:val="152"/>
        </w:numPr>
        <w:tabs>
          <w:tab w:val="clear" w:pos="1620"/>
          <w:tab w:val="left" w:pos="1134"/>
          <w:tab w:val="num" w:pos="1843"/>
        </w:tabs>
        <w:spacing w:before="120"/>
        <w:ind w:left="0" w:firstLine="851"/>
        <w:rPr>
          <w:b/>
          <w:color w:val="000000"/>
          <w:szCs w:val="24"/>
        </w:rPr>
      </w:pPr>
      <w:r w:rsidRPr="001B0EA3">
        <w:rPr>
          <w:b/>
          <w:color w:val="000000"/>
          <w:szCs w:val="24"/>
        </w:rPr>
        <w:t xml:space="preserve">актуализация на извършената самооценка </w:t>
      </w:r>
    </w:p>
    <w:p w14:paraId="3F32185C" w14:textId="1A0B30DE" w:rsidR="00D337DA" w:rsidRPr="001B0EA3" w:rsidRDefault="00D337DA" w:rsidP="00D337DA">
      <w:pPr>
        <w:tabs>
          <w:tab w:val="left" w:pos="1134"/>
        </w:tabs>
        <w:spacing w:before="120"/>
        <w:rPr>
          <w:color w:val="000000"/>
          <w:szCs w:val="24"/>
        </w:rPr>
      </w:pPr>
      <w:r w:rsidRPr="001B0EA3">
        <w:rPr>
          <w:color w:val="000000"/>
          <w:szCs w:val="24"/>
        </w:rPr>
        <w:lastRenderedPageBreak/>
        <w:t>Самооценката се обсъжда и при необходимост актуализира по време на срещите за управление на риска по т. 30.</w:t>
      </w:r>
      <w:r>
        <w:rPr>
          <w:color w:val="000000"/>
          <w:szCs w:val="24"/>
        </w:rPr>
        <w:t>6.4</w:t>
      </w:r>
      <w:r w:rsidRPr="001B0EA3">
        <w:rPr>
          <w:color w:val="000000"/>
          <w:szCs w:val="24"/>
        </w:rPr>
        <w:t xml:space="preserve">, буква в ) от ПН. Обсъжданията и решенията се документират от отдел „Управление на риска“. </w:t>
      </w:r>
    </w:p>
    <w:p w14:paraId="7FDD5BB5" w14:textId="77777777" w:rsidR="00D421B9" w:rsidRPr="001B0EA3" w:rsidRDefault="00D421B9" w:rsidP="00125DAC">
      <w:pPr>
        <w:rPr>
          <w:rFonts w:eastAsia="EUAlbertina-Regu-Identity-H"/>
          <w:b/>
          <w:bCs/>
          <w:color w:val="000000"/>
          <w:w w:val="103"/>
          <w:szCs w:val="24"/>
        </w:rPr>
      </w:pPr>
    </w:p>
    <w:p w14:paraId="6A142A3C" w14:textId="77777777" w:rsidR="00A52A99" w:rsidRPr="00842ECC" w:rsidRDefault="00A52A99" w:rsidP="00B502C7">
      <w:pPr>
        <w:pStyle w:val="Style2"/>
        <w:rPr>
          <w:lang w:val="bg-BG"/>
        </w:rPr>
      </w:pPr>
      <w:bookmarkStart w:id="1337" w:name="_Toc479775826"/>
      <w:bookmarkStart w:id="1338" w:name="_Toc140150303"/>
      <w:r w:rsidRPr="00842ECC">
        <w:rPr>
          <w:lang w:val="bg-BG"/>
        </w:rPr>
        <w:t>Развитие на процедурите за управление на риска</w:t>
      </w:r>
      <w:bookmarkEnd w:id="1337"/>
      <w:bookmarkEnd w:id="1338"/>
      <w:r w:rsidRPr="00842ECC">
        <w:rPr>
          <w:lang w:val="bg-BG"/>
        </w:rPr>
        <w:t xml:space="preserve"> </w:t>
      </w:r>
    </w:p>
    <w:p w14:paraId="22A526D3" w14:textId="77777777" w:rsidR="00A52A99" w:rsidRPr="001B0EA3" w:rsidRDefault="00A52A99" w:rsidP="00125DAC">
      <w:pPr>
        <w:rPr>
          <w:color w:val="000000"/>
          <w:szCs w:val="24"/>
        </w:rPr>
      </w:pPr>
      <w:r w:rsidRPr="001B0EA3">
        <w:rPr>
          <w:color w:val="000000"/>
          <w:szCs w:val="24"/>
        </w:rPr>
        <w:t>УО планира, на база първоначалния опит от работата по ОПТТИ, да проучи възможностите които предоставя подобреният процес на управление на риска за постигане на стратегическите и оперативни цели на програмата и да допълни, при необходимост и при спазване на процедурата, както рамката, така и процедурите за управление на риска от ПНИУ на ОПТТИ. За да се осигури, че мерките за управление на другите рискове по ОПТТИ са пропорционални и ефективни е необходимо да се отчетат:</w:t>
      </w:r>
    </w:p>
    <w:p w14:paraId="34CF3D20" w14:textId="77777777" w:rsidR="00A52A99" w:rsidRPr="001B0EA3" w:rsidRDefault="00A52A99" w:rsidP="0054623A">
      <w:pPr>
        <w:pStyle w:val="ListParagraph"/>
        <w:numPr>
          <w:ilvl w:val="0"/>
          <w:numId w:val="211"/>
        </w:numPr>
        <w:tabs>
          <w:tab w:val="left" w:pos="1134"/>
        </w:tabs>
        <w:ind w:left="0" w:firstLine="851"/>
        <w:rPr>
          <w:color w:val="000000"/>
          <w:szCs w:val="24"/>
        </w:rPr>
      </w:pPr>
      <w:r w:rsidRPr="001B0EA3">
        <w:rPr>
          <w:color w:val="000000"/>
          <w:szCs w:val="24"/>
        </w:rPr>
        <w:t>обхватът на информацията за рисковете по проектите, представян досега в рамките на докладите за напредъка на проектите по ОПТ;</w:t>
      </w:r>
    </w:p>
    <w:p w14:paraId="0D68D19D" w14:textId="77777777" w:rsidR="00A52A99" w:rsidRPr="001B0EA3" w:rsidRDefault="00A52A99" w:rsidP="0054623A">
      <w:pPr>
        <w:pStyle w:val="ListParagraph"/>
        <w:numPr>
          <w:ilvl w:val="0"/>
          <w:numId w:val="211"/>
        </w:numPr>
        <w:tabs>
          <w:tab w:val="left" w:pos="1134"/>
        </w:tabs>
        <w:ind w:left="0" w:firstLine="851"/>
        <w:rPr>
          <w:color w:val="000000"/>
          <w:szCs w:val="24"/>
        </w:rPr>
      </w:pPr>
      <w:r w:rsidRPr="001B0EA3">
        <w:rPr>
          <w:color w:val="000000"/>
          <w:szCs w:val="24"/>
        </w:rPr>
        <w:t xml:space="preserve">задълженията за бенефициерите за предоставяне на информация по отношение на рисковете за проектите, произтичащи от  </w:t>
      </w:r>
      <w:r w:rsidR="00A364EE" w:rsidRPr="001B0EA3">
        <w:rPr>
          <w:color w:val="000000"/>
          <w:szCs w:val="24"/>
        </w:rPr>
        <w:t>Ръководството</w:t>
      </w:r>
      <w:r w:rsidRPr="001B0EA3">
        <w:rPr>
          <w:color w:val="000000"/>
          <w:szCs w:val="24"/>
        </w:rPr>
        <w:t xml:space="preserve"> за анализ разходи-ползи на инвестиционни проекти, Инструмент за икономическа оценка на кохезионната политика 2014 – 2020 г. за новия програмен период;</w:t>
      </w:r>
    </w:p>
    <w:p w14:paraId="093E3779" w14:textId="77777777" w:rsidR="00A52A99" w:rsidRPr="001B0EA3" w:rsidRDefault="00A52A99" w:rsidP="0054623A">
      <w:pPr>
        <w:pStyle w:val="ListParagraph"/>
        <w:numPr>
          <w:ilvl w:val="0"/>
          <w:numId w:val="211"/>
        </w:numPr>
        <w:tabs>
          <w:tab w:val="left" w:pos="1134"/>
        </w:tabs>
        <w:ind w:left="0" w:firstLine="851"/>
        <w:rPr>
          <w:color w:val="000000"/>
          <w:szCs w:val="24"/>
        </w:rPr>
      </w:pPr>
      <w:r w:rsidRPr="001B0EA3">
        <w:rPr>
          <w:color w:val="000000"/>
          <w:szCs w:val="24"/>
        </w:rPr>
        <w:t xml:space="preserve">необходимостта от кохерентност на подаваната от </w:t>
      </w:r>
      <w:r w:rsidR="00FF4881" w:rsidRPr="001B0EA3">
        <w:rPr>
          <w:color w:val="000000"/>
          <w:szCs w:val="24"/>
        </w:rPr>
        <w:t>бенефициерите</w:t>
      </w:r>
      <w:r w:rsidRPr="001B0EA3">
        <w:rPr>
          <w:color w:val="000000"/>
          <w:szCs w:val="24"/>
        </w:rPr>
        <w:t xml:space="preserve"> информация за да е възможно агрегиране и оценка на рисковете на ниво оперативна програма</w:t>
      </w:r>
    </w:p>
    <w:p w14:paraId="32E2E2B7" w14:textId="77777777" w:rsidR="00AD352D" w:rsidRPr="001B0EA3" w:rsidRDefault="00AD352D" w:rsidP="0054623A">
      <w:pPr>
        <w:pStyle w:val="ListParagraph"/>
        <w:numPr>
          <w:ilvl w:val="0"/>
          <w:numId w:val="211"/>
        </w:numPr>
        <w:tabs>
          <w:tab w:val="left" w:pos="1134"/>
        </w:tabs>
        <w:ind w:left="0" w:firstLine="851"/>
        <w:rPr>
          <w:color w:val="000000"/>
          <w:szCs w:val="24"/>
        </w:rPr>
      </w:pPr>
      <w:r w:rsidRPr="001B0EA3">
        <w:rPr>
          <w:color w:val="000000"/>
          <w:szCs w:val="24"/>
        </w:rPr>
        <w:t>потенциала за подобряване на резултатите от процеса на управление на риска в ОПТТИ чрез оптимизиране и унифициране на процеса на управление на риска на ниво бенефициент и отчитане както на заплахите, така и на възможностите свързани с риска</w:t>
      </w:r>
    </w:p>
    <w:p w14:paraId="45206471" w14:textId="77777777" w:rsidR="006A22FD" w:rsidRPr="001B0EA3" w:rsidRDefault="006A22FD" w:rsidP="00125DAC">
      <w:pPr>
        <w:rPr>
          <w:color w:val="000000"/>
          <w:szCs w:val="24"/>
        </w:rPr>
      </w:pPr>
    </w:p>
    <w:p w14:paraId="06BA145A" w14:textId="77777777" w:rsidR="0045025E" w:rsidRPr="001B0EA3" w:rsidRDefault="00A52A99" w:rsidP="00046D61">
      <w:pPr>
        <w:rPr>
          <w:szCs w:val="24"/>
          <w:lang w:eastAsia="bg-BG"/>
        </w:rPr>
      </w:pPr>
      <w:r w:rsidRPr="001B0EA3">
        <w:rPr>
          <w:color w:val="000000"/>
          <w:szCs w:val="24"/>
        </w:rPr>
        <w:t xml:space="preserve">За подпомагане на процеса УО ще ползва специализирана </w:t>
      </w:r>
      <w:r w:rsidR="00A364EE" w:rsidRPr="001B0EA3">
        <w:rPr>
          <w:color w:val="000000"/>
          <w:szCs w:val="24"/>
        </w:rPr>
        <w:t>консултантска</w:t>
      </w:r>
      <w:r w:rsidRPr="001B0EA3">
        <w:rPr>
          <w:color w:val="000000"/>
          <w:szCs w:val="24"/>
        </w:rPr>
        <w:t xml:space="preserve"> помощ. </w:t>
      </w:r>
    </w:p>
    <w:p w14:paraId="2BAB773F" w14:textId="77777777" w:rsidR="006C5516" w:rsidRPr="006C5516" w:rsidRDefault="006C5516" w:rsidP="006C5516">
      <w:pPr>
        <w:pStyle w:val="Style1"/>
      </w:pPr>
      <w:bookmarkStart w:id="1339" w:name="_Toc140150304"/>
      <w:r w:rsidRPr="005531CD">
        <w:t>ОДИТИ ПО ОПТТИ</w:t>
      </w:r>
      <w:bookmarkEnd w:id="1339"/>
    </w:p>
    <w:p w14:paraId="6C0A685A" w14:textId="77777777" w:rsidR="00AB1F73" w:rsidRPr="00842ECC" w:rsidRDefault="006C5516" w:rsidP="006A6D08">
      <w:pPr>
        <w:pStyle w:val="Style2"/>
        <w:rPr>
          <w:lang w:eastAsia="bg-BG"/>
        </w:rPr>
      </w:pPr>
      <w:bookmarkStart w:id="1340" w:name="_Toc140150305"/>
      <w:r w:rsidRPr="00842ECC">
        <w:rPr>
          <w:lang w:eastAsia="bg-BG"/>
        </w:rPr>
        <w:t>Координация при провеждането на одит по ОПТТИ</w:t>
      </w:r>
      <w:bookmarkEnd w:id="1340"/>
    </w:p>
    <w:p w14:paraId="665234F0" w14:textId="77777777" w:rsidR="00AB1F73" w:rsidRDefault="00AB1F73" w:rsidP="006C5516"/>
    <w:p w14:paraId="7AC5B8EB" w14:textId="77777777" w:rsidR="006C5516" w:rsidRPr="006C5516" w:rsidRDefault="006C5516" w:rsidP="006C5516">
      <w:r w:rsidRPr="006C5516">
        <w:t>Отдел „Управление на риска” координира провеждането на одити в УО на ОПТТИ от различните одитиращи институции (Звено за вътрешен одит” към МТС, ИА ОСЕС, Сметна палата, Европейска комисия и други). В случаите когато одита се извършва в сградата на МТС, отделът координира осигуряването на работни условия за одитния екип.</w:t>
      </w:r>
    </w:p>
    <w:p w14:paraId="0E54187E" w14:textId="77777777" w:rsidR="006C5516" w:rsidRPr="006C5516" w:rsidRDefault="006C5516" w:rsidP="006C5516">
      <w:r w:rsidRPr="006C5516">
        <w:t xml:space="preserve">За целите на конкретния одит, експертът, отговарящ за одитите в отдел УР, информира началниците на отдели в УО за темата на одита и необходимите документи, които те следва да представят на проверяващия одитен екип. Когато одитът обхваща проект/и с бенефициент УО на ОПТТИ, експертът, отговарящ за одитите в отдел УК, информира и съответното звено за изпълнение на проекта. </w:t>
      </w:r>
    </w:p>
    <w:p w14:paraId="4B3C5CD5" w14:textId="77777777" w:rsidR="006C5516" w:rsidRPr="006C5516" w:rsidRDefault="006C5516" w:rsidP="006C5516">
      <w:r w:rsidRPr="006C5516">
        <w:t>Документите се предават с приемо-предавателен протокол на одитния екип от  звено за изпълнение на проекта или от отдела в УО, в който се намират документите. Копие от протокола се дава на отговорния за одитите експерт в отдел УР, който следи за пълното предаване на поисканата информация. В случаите когато се изисква предоставяне на всеобхватна информация или отговор на поставени въпроси, документите, съпроводени с електронно описание се представят на отговорния за одитите експерт в отдел УР.</w:t>
      </w:r>
    </w:p>
    <w:p w14:paraId="65C24705" w14:textId="77777777" w:rsidR="006C5516" w:rsidRDefault="006C5516" w:rsidP="006C5516">
      <w:r w:rsidRPr="006C5516">
        <w:t>Връщането на предадени на одитен екип документи, става по обратен ред с подписан приемо-предавателен протокол – засегнатият отдел получава документите и представя копие от протокола на отговорния за одитите експерт.</w:t>
      </w:r>
    </w:p>
    <w:p w14:paraId="692B7D61" w14:textId="77777777" w:rsidR="00AB1F73" w:rsidRPr="006C5516" w:rsidRDefault="00AB1F73" w:rsidP="006C5516"/>
    <w:p w14:paraId="4475E807" w14:textId="77777777" w:rsidR="006C5516" w:rsidRPr="00842ECC" w:rsidRDefault="006C5516" w:rsidP="006A6D08">
      <w:pPr>
        <w:pStyle w:val="Style2"/>
        <w:rPr>
          <w:lang w:eastAsia="bg-BG"/>
        </w:rPr>
      </w:pPr>
      <w:bookmarkStart w:id="1341" w:name="_Toc140150306"/>
      <w:r w:rsidRPr="00842ECC">
        <w:rPr>
          <w:lang w:eastAsia="bg-BG"/>
        </w:rPr>
        <w:t>Координация при финализирането на одитен доклад по ОПТТИ</w:t>
      </w:r>
      <w:bookmarkEnd w:id="1341"/>
      <w:r w:rsidRPr="00842ECC">
        <w:rPr>
          <w:lang w:eastAsia="bg-BG"/>
        </w:rPr>
        <w:t xml:space="preserve"> </w:t>
      </w:r>
    </w:p>
    <w:p w14:paraId="7A531CB2" w14:textId="77777777" w:rsidR="006C5516" w:rsidRPr="006C5516" w:rsidRDefault="006C5516" w:rsidP="006C5516">
      <w:pPr>
        <w:jc w:val="left"/>
        <w:rPr>
          <w:b/>
          <w:bCs/>
          <w:kern w:val="28"/>
          <w:szCs w:val="24"/>
          <w:lang w:eastAsia="bg-BG"/>
        </w:rPr>
      </w:pPr>
    </w:p>
    <w:p w14:paraId="6180D5CB" w14:textId="77777777" w:rsidR="006C5516" w:rsidRPr="00087AE1" w:rsidRDefault="006C5516" w:rsidP="006C5516">
      <w:r w:rsidRPr="006C5516">
        <w:lastRenderedPageBreak/>
        <w:t>При получаване на окончателен одитен доклад, същият се изпраща електронно (по ел. поща, на споделена папка, чрез системата EVENTIS и др.) до отдел УР и останалите компе</w:t>
      </w:r>
      <w:r w:rsidRPr="00087AE1">
        <w:t>тентни отдели в УО.</w:t>
      </w:r>
    </w:p>
    <w:p w14:paraId="2696B3C6" w14:textId="285281B6" w:rsidR="004A2DEA" w:rsidRDefault="006C5516" w:rsidP="006C5516">
      <w:r w:rsidRPr="00087AE1">
        <w:t xml:space="preserve">В случай, че одитиращата институция или Ръководителят на УО на ОПТТИ изискват изготвянето на План за действие, отдел „Управление на риска”   координира с останалите отдели в УО подготовката на План за действие по изпълнение на направените препоръки и предписания в съответния одитен доклад, като за всяко предложено ответно действие се посочва отговорното/ите лице/а или отдел/и и срок за неговото изпълнение. </w:t>
      </w:r>
      <w:r w:rsidR="00AA0D8F" w:rsidRPr="00087AE1">
        <w:t xml:space="preserve">В допълнение, отдел „Управление на риска“ може да даде консултативно становище по предложените в Плана за действие мерки. </w:t>
      </w:r>
      <w:r w:rsidRPr="00087AE1">
        <w:t xml:space="preserve">При възникнала необходимост може да се организира вътрешна координационна среща за обсъждане на изготвянето на Плана за действие на УО на ОПТТИ. </w:t>
      </w:r>
      <w:r w:rsidRPr="006A6D08">
        <w:t xml:space="preserve">Съвместно изготвеният План за действие се представя за утвърждаване от </w:t>
      </w:r>
      <w:r w:rsidR="004A2DEA" w:rsidRPr="006A6D08">
        <w:t>Ръководителя на УО на ОПТТИ</w:t>
      </w:r>
      <w:r w:rsidR="00EB35AB" w:rsidRPr="006A6D08">
        <w:t>.</w:t>
      </w:r>
      <w:r w:rsidR="004A2DEA" w:rsidRPr="006A6D08">
        <w:t xml:space="preserve"> </w:t>
      </w:r>
      <w:r w:rsidRPr="00087AE1">
        <w:t xml:space="preserve">След утвърждаването на Плана за действие, същият се разпространява до отговорните лица </w:t>
      </w:r>
      <w:r w:rsidRPr="006A6D08">
        <w:t>от Ръководителя на УО на ОПТТИ</w:t>
      </w:r>
      <w:r w:rsidRPr="00087AE1">
        <w:t xml:space="preserve"> за изпълнение, съгласно поставените срокове. В случаите когато отговорните лица са в дирекция „Координация на програми и проекти” планът се разпространява до</w:t>
      </w:r>
      <w:r w:rsidRPr="006C5516">
        <w:t xml:space="preserve"> отговорните лица по електронен път от отговорния за одитите експерт, с цел по-добра оперативност. </w:t>
      </w:r>
    </w:p>
    <w:p w14:paraId="7E7B8366" w14:textId="77777777" w:rsidR="006C5516" w:rsidRPr="006C5516" w:rsidRDefault="006C5516" w:rsidP="006C5516">
      <w:r w:rsidRPr="006C5516">
        <w:t>Посочените отговорни лица в Плана за действие са длъжни да предприемат съответните действия за изпълнение на дадената препоръка. В зависимост от дадените препоръки може да се организират работни срещи в УО, включително и с участието на външни заинтересовани страни за обсъждане на препоръките и/или изпълнението на ответните действия.</w:t>
      </w:r>
    </w:p>
    <w:p w14:paraId="636CE367" w14:textId="77777777" w:rsidR="006C5516" w:rsidRPr="006C5516" w:rsidRDefault="006C5516" w:rsidP="006C5516">
      <w:r w:rsidRPr="006C5516">
        <w:t>В случай, че не е необходимо изготвянето на План за действие, отдел „УР“ координира проследяването на изпълнението на направените препоръки и предписания в съответния одитен доклад, като подава информация относно тяхното изпълнение на одитиращата институция в указания от тях срок.</w:t>
      </w:r>
    </w:p>
    <w:p w14:paraId="635CD04A" w14:textId="3CA2A8DA" w:rsidR="006C5516" w:rsidRPr="006C5516" w:rsidRDefault="006C5516" w:rsidP="006C5516">
      <w:r w:rsidRPr="006C5516">
        <w:t xml:space="preserve">За препоръки с хоризонтален </w:t>
      </w:r>
      <w:r w:rsidRPr="00EB35AB">
        <w:t xml:space="preserve">характер </w:t>
      </w:r>
      <w:r w:rsidRPr="006A6D08">
        <w:t>Ръководителят на У</w:t>
      </w:r>
      <w:r w:rsidR="00C61865" w:rsidRPr="006A6D08">
        <w:t>О на ОПТТИ</w:t>
      </w:r>
      <w:r w:rsidRPr="00EB35AB">
        <w:t xml:space="preserve"> организира специални срещи и/или препоръките се обсъждат</w:t>
      </w:r>
      <w:r w:rsidRPr="006C5516">
        <w:t xml:space="preserve"> по време на оперативките на дирекцията. В зависимост от характера на препоръките се практикува и писмено уведомяване на засегнатите страни (отделите/отговорните лица в УО, други отговорни структури в УО, ЗИП по проекти, бенефициентите по ОПТТИ и др.), придружени от указания за тяхното изпълнение и/или предприемане на превантивни мерки.</w:t>
      </w:r>
    </w:p>
    <w:p w14:paraId="3DB2BF4C" w14:textId="77777777" w:rsidR="006C5516" w:rsidRPr="006C5516" w:rsidRDefault="006C5516" w:rsidP="006C5516">
      <w:r w:rsidRPr="006C5516">
        <w:t>Съгласно т. 25 от ДНФ № 2/01.07.2014 г. окончателни одитни доклади по ОПТТИ се въвеждат в ИСУН 2020 в срок от 5 работни дни след тяхното официално връчване/получаване.</w:t>
      </w:r>
    </w:p>
    <w:p w14:paraId="0D61985C" w14:textId="77777777" w:rsidR="006C5516" w:rsidRPr="006C5516" w:rsidRDefault="006C5516" w:rsidP="006C5516">
      <w:r w:rsidRPr="006C5516">
        <w:t>Отдел „Управление на риска” координира актуализацията на статус</w:t>
      </w:r>
      <w:r w:rsidR="00C61865">
        <w:t>а</w:t>
      </w:r>
      <w:r w:rsidRPr="006C5516">
        <w:t xml:space="preserve"> на изпълнение на дадените препоръки, като за целта получава информация от засегнатите структури и звена в УО и при бенефициентите по ОПТТИ. Един от отговорните експерти въвежда информацията в ИСУН, а втори отговорен експерт проверява въведената информация.</w:t>
      </w:r>
    </w:p>
    <w:p w14:paraId="741EBB6A" w14:textId="77777777" w:rsidR="006C5516" w:rsidRPr="006C5516" w:rsidRDefault="006C5516" w:rsidP="00B620AA">
      <w:pPr>
        <w:pStyle w:val="Style2"/>
        <w:rPr>
          <w:lang w:eastAsia="bg-BG"/>
        </w:rPr>
      </w:pPr>
      <w:bookmarkStart w:id="1342" w:name="_Toc140150307"/>
      <w:r w:rsidRPr="00842ECC">
        <w:rPr>
          <w:lang w:eastAsia="bg-BG"/>
        </w:rPr>
        <w:t>Систематизирана информация (регистър) за одитните констатации и препоръки</w:t>
      </w:r>
      <w:bookmarkEnd w:id="1342"/>
    </w:p>
    <w:p w14:paraId="5A08C1F9" w14:textId="77777777" w:rsidR="006C5516" w:rsidRPr="006C5516" w:rsidRDefault="006C5516" w:rsidP="006C5516">
      <w:r w:rsidRPr="006C5516">
        <w:t xml:space="preserve">Отдел „Управление на риска” поддържа текущо работен вътрешен вариант на общ регистър за извършените одити и на тези в процес на изпълнение. Регистърът съдържа темата на одита, одитиращата институция, периода на провеждане на одита и проверявания период, дата на представяне на предварителния одитен доклад/изпращане на коментарите на УО, № и дата на окончателния доклад/Заповед за изготвяне на план за действие, № и дата на писмото за предоставяне на доклада на НФ, колона в която се посочва броят на наличните препоръки, План за действие (рег. № и дата)/№ и дата на писмото за предоставяне на ЗВО. Целта на регистъра е да се проследят одитите в УО и свързаните с провеждането на съответния одит ангажименти, по-добра координация, планиране на ресурса и спазване на поставените срокове. </w:t>
      </w:r>
    </w:p>
    <w:p w14:paraId="1D066006" w14:textId="77777777" w:rsidR="006C5516" w:rsidRPr="006C5516" w:rsidRDefault="006C5516" w:rsidP="006C5516">
      <w:r w:rsidRPr="006C5516">
        <w:lastRenderedPageBreak/>
        <w:t>Като част от общия регистър, УО на ОПТТИ поддържа допълнителен регистър за проведените одити с всички отправени констатации и препоръки, степен на риск, информация за предприетите ответни действия, срок за изпълнение, отговорно лице, статус на изпълнение.</w:t>
      </w:r>
    </w:p>
    <w:p w14:paraId="189E959B" w14:textId="77777777" w:rsidR="006C5516" w:rsidRPr="006C5516" w:rsidRDefault="006C5516" w:rsidP="006C5516">
      <w:r w:rsidRPr="006C5516">
        <w:t xml:space="preserve">Изготвените регистри заедно с архив на предварителните одитни доклади са достъпни на публичната папка на отговорния за одите експерт. Следва да се счита, че информацията от предварителните доклади е поверителна до приключването на процедурата и издаването на окончателен доклад. </w:t>
      </w:r>
    </w:p>
    <w:p w14:paraId="16DE2378" w14:textId="77777777" w:rsidR="006C5516" w:rsidRPr="006C5516" w:rsidRDefault="006C5516" w:rsidP="006C5516">
      <w:r w:rsidRPr="006C5516">
        <w:t>По отношение на дадени препоръки в окончателни одитни доклади, УО на ОПТТИ изготвя и изпълнява планове за действие по всеки конкретен одит, когато има отправени препоръки от одитиращата институция. Съгласно утвърденият формат  (</w:t>
      </w:r>
      <w:hyperlink r:id="rId311" w:tooltip="План за действие" w:history="1">
        <w:r w:rsidRPr="006C5516">
          <w:rPr>
            <w:i/>
            <w:color w:val="0000FF"/>
            <w:u w:val="single"/>
          </w:rPr>
          <w:t xml:space="preserve">Приложение № </w:t>
        </w:r>
        <w:r w:rsidRPr="00842ECC">
          <w:rPr>
            <w:i/>
            <w:color w:val="0000FF"/>
            <w:u w:val="single"/>
          </w:rPr>
          <w:t>8</w:t>
        </w:r>
        <w:r w:rsidRPr="006C5516">
          <w:rPr>
            <w:i/>
            <w:color w:val="0000FF"/>
            <w:u w:val="single"/>
          </w:rPr>
          <w:t>.0</w:t>
        </w:r>
        <w:r w:rsidRPr="00842ECC">
          <w:rPr>
            <w:i/>
            <w:color w:val="0000FF"/>
            <w:u w:val="single"/>
          </w:rPr>
          <w:t>6</w:t>
        </w:r>
      </w:hyperlink>
      <w:r w:rsidRPr="006C5516">
        <w:t xml:space="preserve">), планът за действие съдържа направени констатации, отправени препоръки, ответни действия, срок за изпълнение и отговорно лице/структура в УО. </w:t>
      </w:r>
    </w:p>
    <w:p w14:paraId="630362FF" w14:textId="77777777" w:rsidR="006C5516" w:rsidRPr="006C5516" w:rsidRDefault="006C5516" w:rsidP="006C5516"/>
    <w:p w14:paraId="13F9B784" w14:textId="77777777" w:rsidR="006C5516" w:rsidRPr="00842ECC" w:rsidRDefault="006C5516" w:rsidP="006A6D08">
      <w:pPr>
        <w:pStyle w:val="Style2"/>
        <w:rPr>
          <w:lang w:eastAsia="bg-BG"/>
        </w:rPr>
      </w:pPr>
      <w:bookmarkStart w:id="1343" w:name="_Toc140150308"/>
      <w:r w:rsidRPr="00842ECC">
        <w:rPr>
          <w:lang w:eastAsia="bg-BG"/>
        </w:rPr>
        <w:t>Обща схема на извършване на одити на европейско и национално ниво</w:t>
      </w:r>
      <w:bookmarkEnd w:id="1343"/>
    </w:p>
    <w:p w14:paraId="6E02057D" w14:textId="77777777" w:rsidR="006C5516" w:rsidRPr="006C5516" w:rsidRDefault="006C5516" w:rsidP="006C5516">
      <w:pPr>
        <w:rPr>
          <w:b/>
          <w:szCs w:val="24"/>
          <w:lang w:eastAsia="bg-BG"/>
        </w:rPr>
      </w:pPr>
      <w:r w:rsidRPr="006C5516">
        <w:rPr>
          <w:b/>
          <w:szCs w:val="24"/>
          <w:lang w:eastAsia="bg-BG"/>
        </w:rPr>
        <w:t>Стъпки при извършване на одит в д-я КПП на европейско ниво от службите на ЕК и Европейска сметана палата или OLAF</w:t>
      </w:r>
    </w:p>
    <w:p w14:paraId="5E9971A3" w14:textId="77777777" w:rsidR="002A70A9" w:rsidRDefault="002A70A9" w:rsidP="00125DAC">
      <w:pPr>
        <w:jc w:val="left"/>
        <w:rPr>
          <w:szCs w:val="24"/>
          <w:lang w:eastAsia="bg-BG"/>
        </w:rPr>
      </w:pPr>
    </w:p>
    <w:p w14:paraId="3FA96357" w14:textId="77777777" w:rsidR="002A70A9" w:rsidRPr="001B0EA3" w:rsidRDefault="002A70A9" w:rsidP="002A70A9">
      <w:pPr>
        <w:ind w:firstLine="0"/>
        <w:jc w:val="center"/>
        <w:rPr>
          <w:b/>
          <w:szCs w:val="24"/>
          <w:lang w:eastAsia="bg-BG"/>
        </w:rPr>
      </w:pPr>
      <w:r w:rsidRPr="001B0EA3">
        <w:rPr>
          <w:b/>
          <w:noProof/>
          <w:szCs w:val="24"/>
          <w:lang w:eastAsia="bg-BG"/>
        </w:rPr>
        <w:drawing>
          <wp:inline distT="0" distB="0" distL="0" distR="0" wp14:anchorId="786B1F40" wp14:editId="409ACFE1">
            <wp:extent cx="533400" cy="3714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33400" cy="371475"/>
                    </a:xfrm>
                    <a:prstGeom prst="rect">
                      <a:avLst/>
                    </a:prstGeom>
                    <a:noFill/>
                  </pic:spPr>
                </pic:pic>
              </a:graphicData>
            </a:graphic>
          </wp:inline>
        </w:drawing>
      </w:r>
    </w:p>
    <w:p w14:paraId="07DA5EF5" w14:textId="7EB0F600" w:rsidR="003C161D" w:rsidRDefault="003C161D">
      <w:pPr>
        <w:autoSpaceDE w:val="0"/>
        <w:autoSpaceDN w:val="0"/>
        <w:ind w:firstLine="480"/>
        <w:rPr>
          <w:szCs w:val="24"/>
          <w:lang w:val="x-none"/>
        </w:rPr>
      </w:pPr>
    </w:p>
    <w:p w14:paraId="5F799CFE" w14:textId="77777777" w:rsidR="002A70A9" w:rsidRPr="001B0EA3" w:rsidRDefault="002A70A9" w:rsidP="002A70A9">
      <w:pPr>
        <w:rPr>
          <w:b/>
          <w:szCs w:val="24"/>
          <w:lang w:eastAsia="bg-B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7"/>
      </w:tblGrid>
      <w:tr w:rsidR="002A70A9" w:rsidRPr="001B0EA3" w14:paraId="2EA5E031" w14:textId="77777777" w:rsidTr="00C47377">
        <w:tc>
          <w:tcPr>
            <w:tcW w:w="8787" w:type="dxa"/>
          </w:tcPr>
          <w:p w14:paraId="57889AC2" w14:textId="77777777" w:rsidR="002A70A9" w:rsidRPr="001B0EA3" w:rsidRDefault="002A70A9" w:rsidP="00C47377">
            <w:pPr>
              <w:ind w:firstLine="348"/>
              <w:jc w:val="left"/>
              <w:rPr>
                <w:b/>
                <w:szCs w:val="24"/>
                <w:lang w:eastAsia="bg-BG"/>
              </w:rPr>
            </w:pPr>
            <w:r w:rsidRPr="001B0EA3">
              <w:rPr>
                <w:b/>
                <w:szCs w:val="24"/>
                <w:lang w:eastAsia="bg-BG"/>
              </w:rPr>
              <w:t>Етап I - стартиране на одитна мисия/проверка</w:t>
            </w:r>
          </w:p>
        </w:tc>
      </w:tr>
      <w:tr w:rsidR="002A70A9" w:rsidRPr="001B0EA3" w14:paraId="23813EBD" w14:textId="77777777" w:rsidTr="00C47377">
        <w:tc>
          <w:tcPr>
            <w:tcW w:w="8787" w:type="dxa"/>
          </w:tcPr>
          <w:p w14:paraId="2C9677DE" w14:textId="77777777" w:rsidR="002A70A9" w:rsidRPr="001B0EA3" w:rsidRDefault="002A70A9" w:rsidP="00C47377">
            <w:pPr>
              <w:ind w:firstLine="348"/>
              <w:jc w:val="left"/>
              <w:rPr>
                <w:b/>
                <w:szCs w:val="24"/>
                <w:lang w:eastAsia="bg-BG"/>
              </w:rPr>
            </w:pPr>
          </w:p>
        </w:tc>
      </w:tr>
      <w:tr w:rsidR="002A70A9" w:rsidRPr="001B0EA3" w14:paraId="1A38CAA8" w14:textId="77777777" w:rsidTr="00C47377">
        <w:tc>
          <w:tcPr>
            <w:tcW w:w="8787" w:type="dxa"/>
            <w:shd w:val="clear" w:color="auto" w:fill="FFFF00"/>
          </w:tcPr>
          <w:p w14:paraId="3050B041" w14:textId="77777777" w:rsidR="002A70A9" w:rsidRPr="006A6D08" w:rsidRDefault="002A70A9" w:rsidP="00C47377">
            <w:pPr>
              <w:pStyle w:val="ListParagraph"/>
              <w:numPr>
                <w:ilvl w:val="0"/>
                <w:numId w:val="189"/>
              </w:numPr>
              <w:jc w:val="left"/>
              <w:rPr>
                <w:b/>
                <w:szCs w:val="24"/>
                <w:highlight w:val="yellow"/>
                <w:lang w:eastAsia="bg-BG"/>
              </w:rPr>
            </w:pPr>
            <w:r w:rsidRPr="006A6D08">
              <w:rPr>
                <w:szCs w:val="24"/>
                <w:highlight w:val="yellow"/>
              </w:rPr>
              <w:t>Уведомяване на УО за предстоящ одит</w:t>
            </w:r>
          </w:p>
          <w:p w14:paraId="22866E0E" w14:textId="77777777" w:rsidR="00EB35AB" w:rsidRPr="006A6D08" w:rsidRDefault="00EB35AB" w:rsidP="006A6D08">
            <w:pPr>
              <w:ind w:firstLine="0"/>
              <w:jc w:val="left"/>
              <w:rPr>
                <w:b/>
                <w:szCs w:val="24"/>
                <w:highlight w:val="yellow"/>
                <w:lang w:eastAsia="bg-BG"/>
              </w:rPr>
            </w:pPr>
          </w:p>
        </w:tc>
      </w:tr>
      <w:tr w:rsidR="002A70A9" w:rsidRPr="001B0EA3" w14:paraId="532E4C21" w14:textId="77777777" w:rsidTr="00C47377">
        <w:tc>
          <w:tcPr>
            <w:tcW w:w="8787" w:type="dxa"/>
          </w:tcPr>
          <w:p w14:paraId="0FC35205" w14:textId="77777777" w:rsidR="002A70A9" w:rsidRPr="006A6D08" w:rsidRDefault="002A70A9" w:rsidP="006A6D08">
            <w:pPr>
              <w:tabs>
                <w:tab w:val="num" w:pos="644"/>
              </w:tabs>
              <w:ind w:left="644" w:hanging="302"/>
              <w:jc w:val="left"/>
              <w:rPr>
                <w:b/>
                <w:szCs w:val="24"/>
                <w:highlight w:val="yellow"/>
                <w:lang w:eastAsia="bg-BG"/>
              </w:rPr>
            </w:pPr>
          </w:p>
        </w:tc>
      </w:tr>
      <w:tr w:rsidR="002A70A9" w:rsidRPr="001B0EA3" w14:paraId="44CDF21D" w14:textId="77777777" w:rsidTr="00C47377">
        <w:tc>
          <w:tcPr>
            <w:tcW w:w="8787" w:type="dxa"/>
            <w:shd w:val="clear" w:color="auto" w:fill="FFFF00"/>
          </w:tcPr>
          <w:p w14:paraId="322B5E50" w14:textId="77777777" w:rsidR="002A70A9" w:rsidRPr="006A6D08" w:rsidRDefault="002A70A9" w:rsidP="00C47377">
            <w:pPr>
              <w:pStyle w:val="ListParagraph"/>
              <w:numPr>
                <w:ilvl w:val="0"/>
                <w:numId w:val="188"/>
              </w:numPr>
              <w:ind w:left="709"/>
              <w:jc w:val="left"/>
              <w:rPr>
                <w:b/>
                <w:szCs w:val="24"/>
                <w:highlight w:val="yellow"/>
                <w:lang w:eastAsia="bg-BG"/>
              </w:rPr>
            </w:pPr>
            <w:r w:rsidRPr="006A6D08">
              <w:rPr>
                <w:szCs w:val="24"/>
                <w:highlight w:val="yellow"/>
              </w:rPr>
              <w:t>Извършване на одит</w:t>
            </w:r>
          </w:p>
        </w:tc>
      </w:tr>
      <w:tr w:rsidR="002A70A9" w:rsidRPr="001B0EA3" w14:paraId="1B0418FE" w14:textId="77777777" w:rsidTr="00C47377">
        <w:tc>
          <w:tcPr>
            <w:tcW w:w="8787" w:type="dxa"/>
          </w:tcPr>
          <w:p w14:paraId="2BCE0E37" w14:textId="77777777" w:rsidR="002A70A9" w:rsidRPr="001B0EA3" w:rsidRDefault="002A70A9" w:rsidP="00C47377">
            <w:pPr>
              <w:ind w:firstLine="0"/>
              <w:jc w:val="left"/>
              <w:rPr>
                <w:b/>
                <w:szCs w:val="24"/>
                <w:lang w:eastAsia="bg-BG"/>
              </w:rPr>
            </w:pPr>
          </w:p>
        </w:tc>
      </w:tr>
      <w:tr w:rsidR="002A70A9" w:rsidRPr="001B0EA3" w14:paraId="2B279327" w14:textId="77777777" w:rsidTr="00C47377">
        <w:tc>
          <w:tcPr>
            <w:tcW w:w="8787" w:type="dxa"/>
          </w:tcPr>
          <w:p w14:paraId="073F86EB" w14:textId="77777777" w:rsidR="002A70A9" w:rsidRPr="001B0EA3" w:rsidRDefault="002A70A9" w:rsidP="00C47377">
            <w:pPr>
              <w:ind w:firstLine="348"/>
              <w:jc w:val="left"/>
              <w:rPr>
                <w:b/>
                <w:szCs w:val="24"/>
                <w:lang w:eastAsia="bg-BG"/>
              </w:rPr>
            </w:pPr>
            <w:r w:rsidRPr="001B0EA3">
              <w:rPr>
                <w:b/>
                <w:szCs w:val="24"/>
                <w:lang w:eastAsia="bg-BG"/>
              </w:rPr>
              <w:t>Етап II - получаване на предварителен доклад</w:t>
            </w:r>
          </w:p>
        </w:tc>
      </w:tr>
      <w:tr w:rsidR="002A70A9" w:rsidRPr="001B0EA3" w14:paraId="7DC3548F" w14:textId="77777777" w:rsidTr="00C47377">
        <w:tc>
          <w:tcPr>
            <w:tcW w:w="8787" w:type="dxa"/>
          </w:tcPr>
          <w:p w14:paraId="28451856" w14:textId="77777777" w:rsidR="002A70A9" w:rsidRPr="001B0EA3" w:rsidRDefault="002A70A9" w:rsidP="00C47377">
            <w:pPr>
              <w:ind w:firstLine="0"/>
              <w:jc w:val="left"/>
              <w:rPr>
                <w:b/>
                <w:szCs w:val="24"/>
                <w:lang w:eastAsia="bg-BG"/>
              </w:rPr>
            </w:pPr>
          </w:p>
        </w:tc>
      </w:tr>
      <w:tr w:rsidR="002A70A9" w:rsidRPr="001B0EA3" w14:paraId="320776D1" w14:textId="77777777" w:rsidTr="00C47377">
        <w:tc>
          <w:tcPr>
            <w:tcW w:w="8787" w:type="dxa"/>
            <w:shd w:val="clear" w:color="auto" w:fill="FFC000"/>
          </w:tcPr>
          <w:p w14:paraId="498FF06E" w14:textId="77777777" w:rsidR="002A70A9" w:rsidRPr="006A6D08" w:rsidRDefault="002A70A9" w:rsidP="006A6D08">
            <w:pPr>
              <w:pStyle w:val="ListParagraph"/>
              <w:numPr>
                <w:ilvl w:val="0"/>
                <w:numId w:val="190"/>
              </w:numPr>
              <w:ind w:left="0" w:firstLine="386"/>
              <w:jc w:val="left"/>
              <w:rPr>
                <w:b/>
                <w:color w:val="ED7D31" w:themeColor="accent2"/>
                <w:szCs w:val="24"/>
                <w:lang w:eastAsia="bg-BG"/>
              </w:rPr>
            </w:pPr>
            <w:r w:rsidRPr="006A6D08">
              <w:rPr>
                <w:color w:val="ED7D31" w:themeColor="accent2"/>
                <w:szCs w:val="24"/>
              </w:rPr>
              <w:t>Получаване на предварителен одитен доклад</w:t>
            </w:r>
          </w:p>
        </w:tc>
      </w:tr>
      <w:tr w:rsidR="002A70A9" w:rsidRPr="001B0EA3" w14:paraId="597539B2" w14:textId="77777777" w:rsidTr="00C47377">
        <w:tc>
          <w:tcPr>
            <w:tcW w:w="8787" w:type="dxa"/>
          </w:tcPr>
          <w:p w14:paraId="6365F502" w14:textId="77777777" w:rsidR="002A70A9" w:rsidRPr="001B0EA3" w:rsidRDefault="002A70A9" w:rsidP="00C47377">
            <w:pPr>
              <w:ind w:firstLine="0"/>
              <w:jc w:val="left"/>
              <w:rPr>
                <w:b/>
                <w:szCs w:val="24"/>
                <w:lang w:eastAsia="bg-BG"/>
              </w:rPr>
            </w:pPr>
          </w:p>
        </w:tc>
      </w:tr>
      <w:tr w:rsidR="002A70A9" w:rsidRPr="001B0EA3" w14:paraId="24A327E3" w14:textId="77777777" w:rsidTr="00C47377">
        <w:tc>
          <w:tcPr>
            <w:tcW w:w="8787" w:type="dxa"/>
            <w:shd w:val="clear" w:color="auto" w:fill="FFC000"/>
          </w:tcPr>
          <w:p w14:paraId="0133580E" w14:textId="77777777" w:rsidR="00DE533B" w:rsidRPr="006A6D08" w:rsidRDefault="00DE533B" w:rsidP="00DE533B">
            <w:pPr>
              <w:autoSpaceDE w:val="0"/>
              <w:autoSpaceDN w:val="0"/>
              <w:ind w:firstLine="480"/>
              <w:rPr>
                <w:szCs w:val="24"/>
              </w:rPr>
            </w:pPr>
            <w:r>
              <w:rPr>
                <w:szCs w:val="24"/>
                <w:lang w:val="x-none"/>
              </w:rPr>
              <w:t xml:space="preserve">Управляващият орган предоставя на сертифициращия и на одитния орган по електронен път </w:t>
            </w:r>
            <w:r>
              <w:rPr>
                <w:szCs w:val="24"/>
              </w:rPr>
              <w:t>:</w:t>
            </w:r>
          </w:p>
          <w:p w14:paraId="29C5C443" w14:textId="77777777" w:rsidR="00EB35AB" w:rsidRDefault="00EB35AB" w:rsidP="00EB35AB">
            <w:pPr>
              <w:autoSpaceDE w:val="0"/>
              <w:autoSpaceDN w:val="0"/>
              <w:ind w:firstLine="480"/>
              <w:rPr>
                <w:szCs w:val="24"/>
                <w:lang w:val="x-none" w:eastAsia="en-US"/>
              </w:rPr>
            </w:pPr>
          </w:p>
          <w:p w14:paraId="23071A81" w14:textId="77777777" w:rsidR="00EB35AB" w:rsidRPr="006A6D08" w:rsidRDefault="00EB35AB" w:rsidP="006A6D08">
            <w:pPr>
              <w:pStyle w:val="ListParagraph"/>
              <w:numPr>
                <w:ilvl w:val="0"/>
                <w:numId w:val="69"/>
              </w:numPr>
              <w:autoSpaceDE w:val="0"/>
              <w:autoSpaceDN w:val="0"/>
              <w:rPr>
                <w:szCs w:val="24"/>
                <w:lang w:val="x-none"/>
              </w:rPr>
            </w:pPr>
            <w:r w:rsidRPr="006A6D08">
              <w:rPr>
                <w:szCs w:val="24"/>
                <w:lang w:val="x-none"/>
              </w:rPr>
              <w:t>информация за текущи разследвания на Европейската служба за борба с измамите във връзка със съответната оперативна програма в срок до 5 работни дни от нейното получаване;</w:t>
            </w:r>
          </w:p>
          <w:p w14:paraId="629095E0" w14:textId="77777777" w:rsidR="00EB35AB" w:rsidRDefault="00EB35AB" w:rsidP="00EB35AB">
            <w:pPr>
              <w:autoSpaceDE w:val="0"/>
              <w:autoSpaceDN w:val="0"/>
              <w:ind w:firstLine="480"/>
              <w:rPr>
                <w:szCs w:val="24"/>
                <w:lang w:val="x-none"/>
              </w:rPr>
            </w:pPr>
          </w:p>
          <w:p w14:paraId="5FD28DC0" w14:textId="77777777" w:rsidR="00EB35AB" w:rsidRPr="006A6D08" w:rsidRDefault="00EB35AB" w:rsidP="006A6D08">
            <w:pPr>
              <w:pStyle w:val="ListParagraph"/>
              <w:numPr>
                <w:ilvl w:val="0"/>
                <w:numId w:val="187"/>
              </w:numPr>
              <w:autoSpaceDE w:val="0"/>
              <w:autoSpaceDN w:val="0"/>
              <w:rPr>
                <w:szCs w:val="24"/>
                <w:lang w:val="x-none"/>
              </w:rPr>
            </w:pPr>
            <w:r w:rsidRPr="006A6D08">
              <w:rPr>
                <w:szCs w:val="24"/>
                <w:lang w:val="x-none"/>
              </w:rPr>
              <w:t>предварителни и окончателни доклади от службите на Европейската комисия, Европейската сметна палата и Сметната палата на Република България в срок до 5 работни дни от тяхното получаване в случаите, когато сертифициращият и одитният орган не са адресати.</w:t>
            </w:r>
          </w:p>
          <w:p w14:paraId="2B94D8F7" w14:textId="77777777" w:rsidR="002A70A9" w:rsidRPr="00DE533B" w:rsidRDefault="002A70A9" w:rsidP="00DE533B">
            <w:pPr>
              <w:numPr>
                <w:ilvl w:val="0"/>
                <w:numId w:val="187"/>
              </w:numPr>
              <w:jc w:val="left"/>
              <w:rPr>
                <w:szCs w:val="24"/>
              </w:rPr>
            </w:pPr>
            <w:r w:rsidRPr="00DE533B">
              <w:rPr>
                <w:szCs w:val="24"/>
              </w:rPr>
              <w:t>Бенефициентите по програмата за коментари и представяне на допълнителни становища и доказателства</w:t>
            </w:r>
          </w:p>
          <w:p w14:paraId="085449E2" w14:textId="1F8F08A7" w:rsidR="002A70A9" w:rsidRPr="001B0EA3" w:rsidRDefault="002A70A9" w:rsidP="006A6D08">
            <w:pPr>
              <w:ind w:left="720" w:firstLine="0"/>
              <w:jc w:val="left"/>
              <w:rPr>
                <w:b/>
                <w:szCs w:val="24"/>
                <w:lang w:eastAsia="bg-BG"/>
              </w:rPr>
            </w:pPr>
          </w:p>
        </w:tc>
      </w:tr>
      <w:tr w:rsidR="002A70A9" w:rsidRPr="001B0EA3" w14:paraId="3F8217D2" w14:textId="77777777" w:rsidTr="00C47377">
        <w:tc>
          <w:tcPr>
            <w:tcW w:w="8787" w:type="dxa"/>
          </w:tcPr>
          <w:p w14:paraId="223DFF91" w14:textId="77777777" w:rsidR="002A70A9" w:rsidRPr="001B0EA3" w:rsidRDefault="002A70A9" w:rsidP="00C47377">
            <w:pPr>
              <w:ind w:firstLine="0"/>
              <w:jc w:val="left"/>
              <w:rPr>
                <w:b/>
                <w:szCs w:val="24"/>
                <w:lang w:eastAsia="bg-BG"/>
              </w:rPr>
            </w:pPr>
          </w:p>
        </w:tc>
      </w:tr>
      <w:tr w:rsidR="002A70A9" w:rsidRPr="001B0EA3" w14:paraId="1F319FC4" w14:textId="77777777" w:rsidTr="00C47377">
        <w:tc>
          <w:tcPr>
            <w:tcW w:w="8787" w:type="dxa"/>
            <w:shd w:val="clear" w:color="auto" w:fill="FFC000"/>
          </w:tcPr>
          <w:p w14:paraId="7CD8AB54" w14:textId="77777777" w:rsidR="002A70A9" w:rsidRPr="001B0EA3" w:rsidRDefault="002A70A9" w:rsidP="00C47377">
            <w:pPr>
              <w:pStyle w:val="ListParagraph"/>
              <w:numPr>
                <w:ilvl w:val="0"/>
                <w:numId w:val="192"/>
              </w:numPr>
              <w:ind w:left="709"/>
              <w:jc w:val="left"/>
              <w:rPr>
                <w:b/>
                <w:szCs w:val="24"/>
                <w:lang w:eastAsia="bg-BG"/>
              </w:rPr>
            </w:pPr>
            <w:r w:rsidRPr="001B0EA3">
              <w:rPr>
                <w:szCs w:val="24"/>
              </w:rPr>
              <w:t>Получаване на коментарите от бенефициентите  в УО</w:t>
            </w:r>
          </w:p>
        </w:tc>
      </w:tr>
      <w:tr w:rsidR="002A70A9" w:rsidRPr="001B0EA3" w14:paraId="7CBBA01E" w14:textId="77777777" w:rsidTr="00C47377">
        <w:tc>
          <w:tcPr>
            <w:tcW w:w="8787" w:type="dxa"/>
          </w:tcPr>
          <w:p w14:paraId="4DCAEB8F" w14:textId="77777777" w:rsidR="002A70A9" w:rsidRPr="001B0EA3" w:rsidRDefault="002A70A9" w:rsidP="00C47377">
            <w:pPr>
              <w:ind w:firstLine="0"/>
              <w:jc w:val="left"/>
              <w:rPr>
                <w:b/>
                <w:szCs w:val="24"/>
                <w:lang w:eastAsia="bg-BG"/>
              </w:rPr>
            </w:pPr>
          </w:p>
        </w:tc>
      </w:tr>
      <w:tr w:rsidR="002A70A9" w:rsidRPr="001B0EA3" w14:paraId="2B1E4B5F" w14:textId="77777777" w:rsidTr="00C47377">
        <w:tc>
          <w:tcPr>
            <w:tcW w:w="8787" w:type="dxa"/>
            <w:shd w:val="clear" w:color="auto" w:fill="FFC000"/>
          </w:tcPr>
          <w:p w14:paraId="44FA9091" w14:textId="77777777" w:rsidR="002A70A9" w:rsidRPr="001B0EA3" w:rsidRDefault="002A70A9" w:rsidP="00C47377">
            <w:pPr>
              <w:pStyle w:val="ListParagraph"/>
              <w:numPr>
                <w:ilvl w:val="0"/>
                <w:numId w:val="193"/>
              </w:numPr>
              <w:ind w:left="709"/>
              <w:jc w:val="left"/>
              <w:rPr>
                <w:szCs w:val="24"/>
              </w:rPr>
            </w:pPr>
            <w:r w:rsidRPr="001B0EA3">
              <w:rPr>
                <w:szCs w:val="24"/>
              </w:rPr>
              <w:t>Обобщаване и анализ</w:t>
            </w:r>
          </w:p>
          <w:p w14:paraId="5B88D348" w14:textId="77777777" w:rsidR="002A70A9" w:rsidRPr="001B0EA3" w:rsidRDefault="002A70A9" w:rsidP="00DE533B">
            <w:pPr>
              <w:numPr>
                <w:ilvl w:val="0"/>
                <w:numId w:val="187"/>
              </w:numPr>
              <w:jc w:val="left"/>
              <w:rPr>
                <w:b/>
                <w:szCs w:val="24"/>
                <w:lang w:eastAsia="bg-BG"/>
              </w:rPr>
            </w:pPr>
            <w:r w:rsidRPr="001B0EA3">
              <w:rPr>
                <w:szCs w:val="24"/>
              </w:rPr>
              <w:lastRenderedPageBreak/>
              <w:t xml:space="preserve">Становището на УО се изпраща в писмен и електронен вид до </w:t>
            </w:r>
            <w:r w:rsidR="003F1A08">
              <w:rPr>
                <w:szCs w:val="24"/>
              </w:rPr>
              <w:t xml:space="preserve">дирекция </w:t>
            </w:r>
            <w:r w:rsidR="00DE533B">
              <w:rPr>
                <w:szCs w:val="24"/>
              </w:rPr>
              <w:t xml:space="preserve">дирекция </w:t>
            </w:r>
            <w:r w:rsidRPr="001B0EA3">
              <w:rPr>
                <w:szCs w:val="24"/>
              </w:rPr>
              <w:t xml:space="preserve">ЦКЗ - </w:t>
            </w:r>
            <w:r w:rsidR="00DE533B" w:rsidRPr="006A6D08">
              <w:rPr>
                <w:szCs w:val="24"/>
              </w:rPr>
              <w:t>"Централно координационно звено"</w:t>
            </w:r>
            <w:r w:rsidRPr="001B0EA3">
              <w:rPr>
                <w:szCs w:val="24"/>
              </w:rPr>
              <w:t xml:space="preserve">“ </w:t>
            </w:r>
            <w:r w:rsidRPr="001B0EA3">
              <w:rPr>
                <w:szCs w:val="24"/>
                <w:u w:val="single"/>
              </w:rPr>
              <w:t>не по-късно от 10 работни дни преди</w:t>
            </w:r>
            <w:r w:rsidRPr="001B0EA3">
              <w:rPr>
                <w:szCs w:val="24"/>
              </w:rPr>
              <w:t xml:space="preserve"> крайния срок за отговор на службите на ЕК</w:t>
            </w:r>
          </w:p>
        </w:tc>
      </w:tr>
      <w:tr w:rsidR="002A70A9" w:rsidRPr="001B0EA3" w14:paraId="249CC38B" w14:textId="77777777" w:rsidTr="00C47377">
        <w:tc>
          <w:tcPr>
            <w:tcW w:w="8787" w:type="dxa"/>
          </w:tcPr>
          <w:p w14:paraId="443E49A9" w14:textId="77777777" w:rsidR="002A70A9" w:rsidRPr="001B0EA3" w:rsidRDefault="002A70A9" w:rsidP="00C47377">
            <w:pPr>
              <w:ind w:firstLine="0"/>
              <w:jc w:val="left"/>
              <w:rPr>
                <w:b/>
                <w:szCs w:val="24"/>
                <w:lang w:eastAsia="bg-BG"/>
              </w:rPr>
            </w:pPr>
          </w:p>
        </w:tc>
      </w:tr>
      <w:tr w:rsidR="002A70A9" w:rsidRPr="001B0EA3" w14:paraId="109A4C00" w14:textId="77777777" w:rsidTr="00C47377">
        <w:tc>
          <w:tcPr>
            <w:tcW w:w="8787" w:type="dxa"/>
            <w:shd w:val="clear" w:color="auto" w:fill="FFC000"/>
          </w:tcPr>
          <w:p w14:paraId="2D067B99" w14:textId="77777777" w:rsidR="002A70A9" w:rsidRPr="006A6D08" w:rsidRDefault="002A70A9" w:rsidP="00C47377">
            <w:pPr>
              <w:pStyle w:val="ListParagraph"/>
              <w:numPr>
                <w:ilvl w:val="0"/>
                <w:numId w:val="194"/>
              </w:numPr>
              <w:ind w:hanging="654"/>
              <w:jc w:val="left"/>
              <w:rPr>
                <w:b/>
                <w:szCs w:val="24"/>
                <w:lang w:eastAsia="bg-BG"/>
              </w:rPr>
            </w:pPr>
            <w:r w:rsidRPr="001B0EA3">
              <w:rPr>
                <w:szCs w:val="24"/>
              </w:rPr>
              <w:t>ЦКЗ изпраща становището на българската страна до службите на ЕК</w:t>
            </w:r>
          </w:p>
          <w:p w14:paraId="6CC056B9" w14:textId="77777777" w:rsidR="00EB35AB" w:rsidRDefault="00EB35AB" w:rsidP="00EB35AB">
            <w:pPr>
              <w:jc w:val="left"/>
              <w:rPr>
                <w:b/>
                <w:szCs w:val="24"/>
                <w:lang w:eastAsia="bg-BG"/>
              </w:rPr>
            </w:pPr>
          </w:p>
          <w:p w14:paraId="29CBF59D" w14:textId="77777777" w:rsidR="00EB35AB" w:rsidRPr="00EB35AB" w:rsidRDefault="00EB35AB" w:rsidP="00EB35AB">
            <w:pPr>
              <w:jc w:val="left"/>
              <w:rPr>
                <w:b/>
                <w:szCs w:val="24"/>
                <w:lang w:eastAsia="bg-BG"/>
              </w:rPr>
            </w:pPr>
          </w:p>
        </w:tc>
      </w:tr>
      <w:tr w:rsidR="002A70A9" w:rsidRPr="001B0EA3" w14:paraId="771CFDAC" w14:textId="77777777" w:rsidTr="00C47377">
        <w:tc>
          <w:tcPr>
            <w:tcW w:w="8787" w:type="dxa"/>
          </w:tcPr>
          <w:p w14:paraId="0A6245D0" w14:textId="77777777" w:rsidR="002A70A9" w:rsidRPr="001B0EA3" w:rsidRDefault="002A70A9" w:rsidP="00C47377">
            <w:pPr>
              <w:ind w:firstLine="0"/>
              <w:jc w:val="left"/>
              <w:rPr>
                <w:b/>
                <w:szCs w:val="24"/>
                <w:lang w:eastAsia="bg-BG"/>
              </w:rPr>
            </w:pPr>
          </w:p>
        </w:tc>
      </w:tr>
      <w:tr w:rsidR="002A70A9" w:rsidRPr="001B0EA3" w14:paraId="6849AED3" w14:textId="77777777" w:rsidTr="00C47377">
        <w:tc>
          <w:tcPr>
            <w:tcW w:w="8787" w:type="dxa"/>
          </w:tcPr>
          <w:p w14:paraId="2E3CA9C5" w14:textId="77777777" w:rsidR="002A70A9" w:rsidRPr="001B0EA3" w:rsidRDefault="002A70A9" w:rsidP="00C47377">
            <w:pPr>
              <w:ind w:firstLine="348"/>
              <w:jc w:val="left"/>
              <w:rPr>
                <w:b/>
                <w:szCs w:val="24"/>
                <w:lang w:eastAsia="bg-BG"/>
              </w:rPr>
            </w:pPr>
            <w:r w:rsidRPr="001B0EA3">
              <w:rPr>
                <w:b/>
                <w:szCs w:val="24"/>
                <w:lang w:eastAsia="bg-BG"/>
              </w:rPr>
              <w:t>Етап III - получаване на окончателен доклад и проследяване</w:t>
            </w:r>
          </w:p>
        </w:tc>
      </w:tr>
      <w:tr w:rsidR="002A70A9" w:rsidRPr="001B0EA3" w14:paraId="30216A05" w14:textId="77777777" w:rsidTr="00C47377">
        <w:tc>
          <w:tcPr>
            <w:tcW w:w="8787" w:type="dxa"/>
          </w:tcPr>
          <w:p w14:paraId="6DC4C0B2" w14:textId="77777777" w:rsidR="002A70A9" w:rsidRPr="001B0EA3" w:rsidRDefault="002A70A9" w:rsidP="00C47377">
            <w:pPr>
              <w:ind w:firstLine="0"/>
              <w:jc w:val="left"/>
              <w:rPr>
                <w:b/>
                <w:szCs w:val="24"/>
                <w:lang w:eastAsia="bg-BG"/>
              </w:rPr>
            </w:pPr>
          </w:p>
        </w:tc>
      </w:tr>
      <w:tr w:rsidR="002A70A9" w:rsidRPr="001B0EA3" w14:paraId="7EA41533" w14:textId="77777777" w:rsidTr="00C47377">
        <w:tc>
          <w:tcPr>
            <w:tcW w:w="8787" w:type="dxa"/>
            <w:shd w:val="clear" w:color="auto" w:fill="C5E0B3" w:themeFill="accent6" w:themeFillTint="66"/>
          </w:tcPr>
          <w:p w14:paraId="0CED1750" w14:textId="77777777" w:rsidR="002A70A9" w:rsidRPr="001B0EA3" w:rsidRDefault="002A70A9" w:rsidP="00C47377">
            <w:pPr>
              <w:pStyle w:val="ListParagraph"/>
              <w:numPr>
                <w:ilvl w:val="0"/>
                <w:numId w:val="195"/>
              </w:numPr>
              <w:ind w:hanging="654"/>
              <w:jc w:val="left"/>
              <w:rPr>
                <w:b/>
                <w:szCs w:val="24"/>
                <w:lang w:eastAsia="bg-BG"/>
              </w:rPr>
            </w:pPr>
            <w:r w:rsidRPr="001B0EA3">
              <w:rPr>
                <w:szCs w:val="24"/>
              </w:rPr>
              <w:t>Получаване на и завеждане в деловодството на министерството на окончателния одитен доклад - добавено е завеждане в деловодството във връзка с изискванията на новата Наредба за адм. на нередности.</w:t>
            </w:r>
          </w:p>
        </w:tc>
      </w:tr>
      <w:tr w:rsidR="002A70A9" w:rsidRPr="001B0EA3" w14:paraId="4097DA32" w14:textId="77777777" w:rsidTr="00C47377">
        <w:tc>
          <w:tcPr>
            <w:tcW w:w="8787" w:type="dxa"/>
          </w:tcPr>
          <w:p w14:paraId="77CE4E1E" w14:textId="77777777" w:rsidR="002A70A9" w:rsidRPr="001B0EA3" w:rsidRDefault="002A70A9" w:rsidP="00C47377">
            <w:pPr>
              <w:ind w:firstLine="0"/>
              <w:jc w:val="left"/>
              <w:rPr>
                <w:b/>
                <w:szCs w:val="24"/>
                <w:lang w:eastAsia="bg-BG"/>
              </w:rPr>
            </w:pPr>
          </w:p>
        </w:tc>
      </w:tr>
      <w:tr w:rsidR="002A70A9" w:rsidRPr="001B0EA3" w14:paraId="26B2ADAB" w14:textId="77777777" w:rsidTr="00C47377">
        <w:tc>
          <w:tcPr>
            <w:tcW w:w="8787" w:type="dxa"/>
            <w:shd w:val="clear" w:color="auto" w:fill="C5E0B3" w:themeFill="accent6" w:themeFillTint="66"/>
          </w:tcPr>
          <w:p w14:paraId="1C9A8F67" w14:textId="77777777" w:rsidR="002A70A9" w:rsidRPr="001B0EA3" w:rsidRDefault="002A70A9" w:rsidP="00C47377">
            <w:pPr>
              <w:pStyle w:val="ListParagraph"/>
              <w:numPr>
                <w:ilvl w:val="0"/>
                <w:numId w:val="196"/>
              </w:numPr>
              <w:ind w:hanging="654"/>
              <w:jc w:val="left"/>
              <w:rPr>
                <w:szCs w:val="24"/>
              </w:rPr>
            </w:pPr>
            <w:r w:rsidRPr="001B0EA3">
              <w:rPr>
                <w:szCs w:val="24"/>
              </w:rPr>
              <w:t xml:space="preserve">Изпращане на окончателния одитен доклад до: </w:t>
            </w:r>
          </w:p>
          <w:p w14:paraId="707C10B9" w14:textId="77777777" w:rsidR="002A70A9" w:rsidRPr="001B0EA3" w:rsidRDefault="002A70A9" w:rsidP="00C47377">
            <w:pPr>
              <w:pStyle w:val="ListParagraph"/>
              <w:numPr>
                <w:ilvl w:val="0"/>
                <w:numId w:val="187"/>
              </w:numPr>
              <w:contextualSpacing w:val="0"/>
              <w:rPr>
                <w:szCs w:val="24"/>
              </w:rPr>
            </w:pPr>
            <w:r w:rsidRPr="001B0EA3">
              <w:rPr>
                <w:szCs w:val="24"/>
              </w:rPr>
              <w:t xml:space="preserve">Сертифициращия орган </w:t>
            </w:r>
            <w:r w:rsidRPr="001B0EA3">
              <w:rPr>
                <w:szCs w:val="24"/>
                <w:u w:val="single"/>
              </w:rPr>
              <w:t xml:space="preserve">в срок от 5 дни от тяхното получаване </w:t>
            </w:r>
            <w:r w:rsidRPr="001B0EA3">
              <w:rPr>
                <w:szCs w:val="24"/>
              </w:rPr>
              <w:t xml:space="preserve">и </w:t>
            </w:r>
          </w:p>
          <w:p w14:paraId="629A6CC9" w14:textId="77777777" w:rsidR="00E34F67" w:rsidRPr="00EB35AB" w:rsidRDefault="002A70A9" w:rsidP="00E34F67">
            <w:pPr>
              <w:numPr>
                <w:ilvl w:val="0"/>
                <w:numId w:val="187"/>
              </w:numPr>
              <w:jc w:val="left"/>
              <w:rPr>
                <w:szCs w:val="24"/>
              </w:rPr>
            </w:pPr>
            <w:r w:rsidRPr="00E34F67">
              <w:rPr>
                <w:szCs w:val="24"/>
              </w:rPr>
              <w:t xml:space="preserve">ЦКЗ </w:t>
            </w:r>
            <w:r w:rsidR="00E34F67">
              <w:rPr>
                <w:szCs w:val="24"/>
              </w:rPr>
              <w:t>–</w:t>
            </w:r>
            <w:r w:rsidRPr="00E34F67">
              <w:rPr>
                <w:szCs w:val="24"/>
              </w:rPr>
              <w:t xml:space="preserve"> </w:t>
            </w:r>
            <w:r w:rsidR="00557E98" w:rsidRPr="00EB35AB">
              <w:rPr>
                <w:szCs w:val="24"/>
              </w:rPr>
              <w:t xml:space="preserve">ако докладите </w:t>
            </w:r>
            <w:r w:rsidR="00557E98" w:rsidRPr="006A6D08">
              <w:rPr>
                <w:szCs w:val="24"/>
              </w:rPr>
              <w:t>са качени в ИСУН в рамките на изизскуемия срок не се изпращат по електронен път – писмо №</w:t>
            </w:r>
            <w:r w:rsidR="00087AE1">
              <w:rPr>
                <w:szCs w:val="24"/>
              </w:rPr>
              <w:t xml:space="preserve"> </w:t>
            </w:r>
            <w:r w:rsidR="00557E98" w:rsidRPr="006A6D08">
              <w:rPr>
                <w:szCs w:val="24"/>
              </w:rPr>
              <w:t>03-00-516/15.11.2018 г.</w:t>
            </w:r>
          </w:p>
          <w:p w14:paraId="594C444B" w14:textId="77777777" w:rsidR="002A70A9" w:rsidRPr="00E34F67" w:rsidRDefault="002A70A9" w:rsidP="00E34F67">
            <w:pPr>
              <w:numPr>
                <w:ilvl w:val="0"/>
                <w:numId w:val="187"/>
              </w:numPr>
              <w:jc w:val="left"/>
              <w:rPr>
                <w:szCs w:val="24"/>
              </w:rPr>
            </w:pPr>
            <w:r w:rsidRPr="00EB35AB">
              <w:rPr>
                <w:szCs w:val="24"/>
              </w:rPr>
              <w:t>Бенефициентите по програмата за изпълнение на дадените препоръки</w:t>
            </w:r>
            <w:r w:rsidRPr="00E34F67">
              <w:rPr>
                <w:szCs w:val="24"/>
              </w:rPr>
              <w:t xml:space="preserve"> или възражения</w:t>
            </w:r>
          </w:p>
          <w:p w14:paraId="5DE4D2F3" w14:textId="77777777" w:rsidR="002A70A9" w:rsidRPr="001B0EA3" w:rsidRDefault="002A70A9" w:rsidP="00C47377">
            <w:pPr>
              <w:numPr>
                <w:ilvl w:val="0"/>
                <w:numId w:val="187"/>
              </w:numPr>
              <w:jc w:val="left"/>
              <w:rPr>
                <w:szCs w:val="24"/>
              </w:rPr>
            </w:pPr>
            <w:r w:rsidRPr="001B0EA3">
              <w:rPr>
                <w:szCs w:val="24"/>
              </w:rPr>
              <w:t>Отдел „</w:t>
            </w:r>
            <w:r>
              <w:rPr>
                <w:szCs w:val="24"/>
              </w:rPr>
              <w:t>УР</w:t>
            </w:r>
            <w:r w:rsidRPr="001B0EA3">
              <w:rPr>
                <w:szCs w:val="24"/>
              </w:rPr>
              <w:t>“ в дирекция „КПП“</w:t>
            </w:r>
          </w:p>
          <w:p w14:paraId="2E7DAF16" w14:textId="77777777" w:rsidR="002A70A9" w:rsidRPr="001B0EA3" w:rsidRDefault="002A70A9" w:rsidP="00C47377">
            <w:pPr>
              <w:numPr>
                <w:ilvl w:val="0"/>
                <w:numId w:val="187"/>
              </w:numPr>
              <w:jc w:val="left"/>
              <w:rPr>
                <w:b/>
                <w:szCs w:val="24"/>
                <w:lang w:eastAsia="bg-BG"/>
              </w:rPr>
            </w:pPr>
            <w:r w:rsidRPr="001B0EA3">
              <w:rPr>
                <w:szCs w:val="24"/>
              </w:rPr>
              <w:t>Изготвяне на план за действие от УО, когато е необходимо</w:t>
            </w:r>
          </w:p>
        </w:tc>
      </w:tr>
      <w:tr w:rsidR="002A70A9" w:rsidRPr="001B0EA3" w14:paraId="0B8C4B68" w14:textId="77777777" w:rsidTr="00C47377">
        <w:tc>
          <w:tcPr>
            <w:tcW w:w="8787" w:type="dxa"/>
          </w:tcPr>
          <w:p w14:paraId="2FBD4852" w14:textId="77777777" w:rsidR="002A70A9" w:rsidRPr="001B0EA3" w:rsidRDefault="002A70A9" w:rsidP="00C47377">
            <w:pPr>
              <w:ind w:firstLine="0"/>
              <w:jc w:val="left"/>
              <w:rPr>
                <w:b/>
                <w:szCs w:val="24"/>
                <w:lang w:eastAsia="bg-BG"/>
              </w:rPr>
            </w:pPr>
          </w:p>
        </w:tc>
      </w:tr>
      <w:tr w:rsidR="002A70A9" w:rsidRPr="001B0EA3" w14:paraId="421D8D9D" w14:textId="77777777" w:rsidTr="00C47377">
        <w:tc>
          <w:tcPr>
            <w:tcW w:w="8787" w:type="dxa"/>
            <w:shd w:val="clear" w:color="auto" w:fill="C5E0B3" w:themeFill="accent6" w:themeFillTint="66"/>
          </w:tcPr>
          <w:p w14:paraId="2035918D" w14:textId="77777777" w:rsidR="002A70A9" w:rsidRPr="001B0EA3" w:rsidRDefault="002A70A9" w:rsidP="00C47377">
            <w:pPr>
              <w:pStyle w:val="ListParagraph"/>
              <w:numPr>
                <w:ilvl w:val="0"/>
                <w:numId w:val="196"/>
              </w:numPr>
              <w:ind w:hanging="654"/>
              <w:jc w:val="left"/>
              <w:rPr>
                <w:b/>
                <w:szCs w:val="24"/>
                <w:lang w:eastAsia="bg-BG"/>
              </w:rPr>
            </w:pPr>
            <w:r w:rsidRPr="001B0EA3">
              <w:rPr>
                <w:szCs w:val="24"/>
              </w:rPr>
              <w:t>Получаване на отговор от бенефициентите, когато е необходимо</w:t>
            </w:r>
          </w:p>
        </w:tc>
      </w:tr>
      <w:tr w:rsidR="002A70A9" w:rsidRPr="001B0EA3" w14:paraId="49094E08" w14:textId="77777777" w:rsidTr="00C47377">
        <w:tc>
          <w:tcPr>
            <w:tcW w:w="8787" w:type="dxa"/>
          </w:tcPr>
          <w:p w14:paraId="02CE8D24" w14:textId="77777777" w:rsidR="002A70A9" w:rsidRPr="001B0EA3" w:rsidRDefault="002A70A9" w:rsidP="00C47377">
            <w:pPr>
              <w:ind w:firstLine="0"/>
              <w:jc w:val="left"/>
              <w:rPr>
                <w:b/>
                <w:szCs w:val="24"/>
                <w:lang w:eastAsia="bg-BG"/>
              </w:rPr>
            </w:pPr>
          </w:p>
        </w:tc>
      </w:tr>
      <w:tr w:rsidR="002A70A9" w:rsidRPr="001B0EA3" w14:paraId="538C8224" w14:textId="77777777" w:rsidTr="00C47377">
        <w:tc>
          <w:tcPr>
            <w:tcW w:w="8787" w:type="dxa"/>
            <w:shd w:val="clear" w:color="auto" w:fill="C5E0B3" w:themeFill="accent6" w:themeFillTint="66"/>
          </w:tcPr>
          <w:p w14:paraId="05036C58" w14:textId="77777777" w:rsidR="002A70A9" w:rsidRPr="001B0EA3" w:rsidRDefault="002A70A9" w:rsidP="00C47377">
            <w:pPr>
              <w:pStyle w:val="ListParagraph"/>
              <w:numPr>
                <w:ilvl w:val="0"/>
                <w:numId w:val="196"/>
              </w:numPr>
              <w:ind w:hanging="654"/>
              <w:jc w:val="left"/>
              <w:rPr>
                <w:szCs w:val="24"/>
              </w:rPr>
            </w:pPr>
            <w:r w:rsidRPr="001B0EA3">
              <w:rPr>
                <w:szCs w:val="24"/>
              </w:rPr>
              <w:t>Обобщаване и анализ</w:t>
            </w:r>
          </w:p>
          <w:p w14:paraId="6F601181" w14:textId="77777777" w:rsidR="002A70A9" w:rsidRPr="001B0EA3" w:rsidRDefault="002A70A9" w:rsidP="00E34F67">
            <w:pPr>
              <w:numPr>
                <w:ilvl w:val="0"/>
                <w:numId w:val="187"/>
              </w:numPr>
              <w:jc w:val="left"/>
              <w:rPr>
                <w:b/>
                <w:szCs w:val="24"/>
                <w:lang w:eastAsia="bg-BG"/>
              </w:rPr>
            </w:pPr>
            <w:r w:rsidRPr="001B0EA3">
              <w:rPr>
                <w:szCs w:val="24"/>
              </w:rPr>
              <w:t xml:space="preserve">Становището на УО се изпраща в писмен и електронен вид до </w:t>
            </w:r>
            <w:r w:rsidR="00E34F67">
              <w:rPr>
                <w:szCs w:val="24"/>
              </w:rPr>
              <w:t xml:space="preserve">дирекция </w:t>
            </w:r>
            <w:r w:rsidRPr="001B0EA3">
              <w:rPr>
                <w:szCs w:val="24"/>
              </w:rPr>
              <w:t xml:space="preserve">ЦКЗ - </w:t>
            </w:r>
            <w:r w:rsidRPr="001B0EA3">
              <w:rPr>
                <w:szCs w:val="24"/>
                <w:u w:val="single"/>
              </w:rPr>
              <w:t>не по-късно от 10 работни дни преди</w:t>
            </w:r>
            <w:r w:rsidRPr="001B0EA3">
              <w:rPr>
                <w:szCs w:val="24"/>
              </w:rPr>
              <w:t xml:space="preserve"> крайния срок за отговор на службите на ЕК</w:t>
            </w:r>
          </w:p>
        </w:tc>
      </w:tr>
      <w:tr w:rsidR="002A70A9" w:rsidRPr="001B0EA3" w14:paraId="7922A31C" w14:textId="77777777" w:rsidTr="00C47377">
        <w:tc>
          <w:tcPr>
            <w:tcW w:w="8787" w:type="dxa"/>
            <w:shd w:val="clear" w:color="auto" w:fill="auto"/>
          </w:tcPr>
          <w:p w14:paraId="506977B8" w14:textId="77777777" w:rsidR="002A70A9" w:rsidRPr="001B0EA3" w:rsidRDefault="002A70A9" w:rsidP="00C47377">
            <w:pPr>
              <w:ind w:firstLine="0"/>
              <w:rPr>
                <w:szCs w:val="24"/>
              </w:rPr>
            </w:pPr>
          </w:p>
        </w:tc>
      </w:tr>
      <w:tr w:rsidR="002A70A9" w:rsidRPr="001B0EA3" w14:paraId="0669B5F4" w14:textId="77777777" w:rsidTr="00C47377">
        <w:tc>
          <w:tcPr>
            <w:tcW w:w="8787" w:type="dxa"/>
            <w:shd w:val="clear" w:color="auto" w:fill="C5E0B3" w:themeFill="accent6" w:themeFillTint="66"/>
          </w:tcPr>
          <w:p w14:paraId="40D85E23" w14:textId="77777777" w:rsidR="002A70A9" w:rsidRPr="001B0EA3" w:rsidRDefault="002A70A9" w:rsidP="00C47377">
            <w:pPr>
              <w:pStyle w:val="ListParagraph"/>
              <w:numPr>
                <w:ilvl w:val="0"/>
                <w:numId w:val="196"/>
              </w:numPr>
              <w:ind w:hanging="654"/>
              <w:jc w:val="left"/>
              <w:rPr>
                <w:szCs w:val="24"/>
              </w:rPr>
            </w:pPr>
            <w:r w:rsidRPr="001B0EA3">
              <w:rPr>
                <w:szCs w:val="24"/>
              </w:rPr>
              <w:t xml:space="preserve">ЦКЗ изпраща становището на българската страна до службите на ЕК. </w:t>
            </w:r>
          </w:p>
          <w:p w14:paraId="47A02D05" w14:textId="77777777" w:rsidR="002A70A9" w:rsidRPr="001B0EA3" w:rsidRDefault="002A70A9" w:rsidP="00C47377">
            <w:pPr>
              <w:ind w:left="720" w:firstLine="0"/>
              <w:rPr>
                <w:szCs w:val="24"/>
              </w:rPr>
            </w:pPr>
          </w:p>
          <w:p w14:paraId="66EBFD85" w14:textId="77777777" w:rsidR="002A70A9" w:rsidRPr="001B0EA3" w:rsidRDefault="002A70A9" w:rsidP="00C47377">
            <w:pPr>
              <w:ind w:left="1029" w:firstLine="0"/>
              <w:rPr>
                <w:szCs w:val="24"/>
              </w:rPr>
            </w:pPr>
            <w:r w:rsidRPr="001B0EA3">
              <w:rPr>
                <w:szCs w:val="24"/>
              </w:rPr>
              <w:t>При несъгласие на българската страна с дадена констатация, по преценка, ЦКЗ координира действията на национално ниво за „Процедура по изслушване“ със службите на ЕК.</w:t>
            </w:r>
          </w:p>
        </w:tc>
      </w:tr>
    </w:tbl>
    <w:p w14:paraId="207614EE" w14:textId="77777777" w:rsidR="002A70A9" w:rsidRPr="001B0EA3" w:rsidRDefault="002A70A9" w:rsidP="002A70A9">
      <w:pPr>
        <w:ind w:firstLine="348"/>
        <w:jc w:val="left"/>
        <w:rPr>
          <w:b/>
          <w:szCs w:val="24"/>
          <w:lang w:eastAsia="bg-BG"/>
        </w:rPr>
      </w:pPr>
    </w:p>
    <w:p w14:paraId="6D0DA648" w14:textId="77777777" w:rsidR="00E34F67" w:rsidRPr="001B0EA3" w:rsidRDefault="00E34F67" w:rsidP="002A70A9">
      <w:pPr>
        <w:ind w:left="708"/>
        <w:jc w:val="left"/>
        <w:rPr>
          <w:b/>
          <w:i/>
          <w:szCs w:val="24"/>
          <w:lang w:eastAsia="bg-BG"/>
        </w:rPr>
      </w:pPr>
    </w:p>
    <w:p w14:paraId="3FB0FE5C" w14:textId="77777777" w:rsidR="002A70A9" w:rsidRPr="001B0EA3" w:rsidRDefault="002A70A9" w:rsidP="002A70A9">
      <w:pPr>
        <w:tabs>
          <w:tab w:val="left" w:pos="9000"/>
        </w:tabs>
        <w:rPr>
          <w:b/>
          <w:szCs w:val="24"/>
          <w:lang w:eastAsia="bg-BG"/>
        </w:rPr>
      </w:pPr>
      <w:r w:rsidRPr="001B0EA3">
        <w:rPr>
          <w:b/>
          <w:szCs w:val="24"/>
          <w:lang w:eastAsia="bg-BG"/>
        </w:rPr>
        <w:t xml:space="preserve">Стъпки при извършване на одити в д-я КПП на национално ниво от ИА ОСЕС, Сметна палата и ЗВО </w:t>
      </w:r>
    </w:p>
    <w:p w14:paraId="041ADFF9" w14:textId="77777777" w:rsidR="002A70A9" w:rsidRDefault="002A70A9" w:rsidP="002A70A9">
      <w:pPr>
        <w:ind w:left="3545" w:firstLine="709"/>
        <w:jc w:val="left"/>
        <w:rPr>
          <w:b/>
          <w:bCs/>
          <w:kern w:val="28"/>
          <w:szCs w:val="24"/>
          <w:lang w:eastAsia="bg-BG"/>
        </w:rPr>
      </w:pPr>
    </w:p>
    <w:p w14:paraId="160F110D" w14:textId="77777777" w:rsidR="002A70A9" w:rsidRDefault="002A70A9" w:rsidP="002A70A9">
      <w:pPr>
        <w:ind w:left="3545" w:firstLine="709"/>
        <w:jc w:val="left"/>
        <w:rPr>
          <w:b/>
          <w:bCs/>
          <w:kern w:val="28"/>
          <w:szCs w:val="24"/>
          <w:lang w:eastAsia="bg-BG"/>
        </w:rPr>
      </w:pPr>
    </w:p>
    <w:p w14:paraId="5B0DDF09" w14:textId="77777777" w:rsidR="001C2346" w:rsidRDefault="002A70A9" w:rsidP="002A70A9">
      <w:pPr>
        <w:ind w:left="3545" w:firstLine="709"/>
        <w:jc w:val="left"/>
        <w:rPr>
          <w:b/>
          <w:bCs/>
          <w:kern w:val="28"/>
          <w:szCs w:val="24"/>
          <w:lang w:eastAsia="bg-BG"/>
        </w:rPr>
      </w:pPr>
      <w:r w:rsidRPr="001B0EA3">
        <w:rPr>
          <w:noProof/>
          <w:lang w:eastAsia="bg-BG"/>
        </w:rPr>
        <w:drawing>
          <wp:inline distT="0" distB="0" distL="0" distR="0" wp14:anchorId="0E25BC30" wp14:editId="58B141EC">
            <wp:extent cx="556895" cy="331470"/>
            <wp:effectExtent l="57150" t="95250" r="52705" b="1143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56895" cy="331470"/>
                    </a:xfrm>
                    <a:prstGeom prst="rect">
                      <a:avLst/>
                    </a:prstGeom>
                    <a:noFill/>
                    <a:ln>
                      <a:noFill/>
                    </a:ln>
                    <a:effectLst>
                      <a:outerShdw blurRad="50800" dist="38100" dir="16200000" rotWithShape="0">
                        <a:prstClr val="black">
                          <a:alpha val="40000"/>
                        </a:prstClr>
                      </a:outerShdw>
                    </a:effectLst>
                  </pic:spPr>
                </pic:pic>
              </a:graphicData>
            </a:graphic>
          </wp:inline>
        </w:drawing>
      </w:r>
    </w:p>
    <w:p w14:paraId="3E3248C4" w14:textId="77777777" w:rsidR="002A70A9" w:rsidRDefault="002A70A9" w:rsidP="002A70A9">
      <w:pPr>
        <w:ind w:left="3545" w:firstLine="709"/>
        <w:jc w:val="left"/>
        <w:rPr>
          <w:b/>
          <w:bCs/>
          <w:kern w:val="28"/>
          <w:szCs w:val="24"/>
          <w:lang w:eastAsia="bg-BG"/>
        </w:rPr>
      </w:pPr>
    </w:p>
    <w:p w14:paraId="2A1E61A5" w14:textId="77777777" w:rsidR="002A70A9" w:rsidRDefault="002A70A9" w:rsidP="002A70A9">
      <w:pPr>
        <w:ind w:left="3545" w:firstLine="709"/>
        <w:jc w:val="left"/>
        <w:rPr>
          <w:b/>
          <w:bCs/>
          <w:kern w:val="28"/>
          <w:szCs w:val="24"/>
          <w:lang w:eastAsia="bg-BG"/>
        </w:rPr>
      </w:pPr>
    </w:p>
    <w:p w14:paraId="6A94B3A2" w14:textId="77777777" w:rsidR="002A70A9" w:rsidRDefault="002A70A9" w:rsidP="002A70A9">
      <w:pPr>
        <w:ind w:left="3545" w:firstLine="709"/>
        <w:jc w:val="left"/>
        <w:rPr>
          <w:b/>
          <w:bCs/>
          <w:kern w:val="28"/>
          <w:szCs w:val="24"/>
          <w:lang w:eastAsia="bg-BG"/>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3"/>
      </w:tblGrid>
      <w:tr w:rsidR="002A70A9" w:rsidRPr="001B0EA3" w14:paraId="7F093A6F" w14:textId="77777777" w:rsidTr="00C47377">
        <w:tc>
          <w:tcPr>
            <w:tcW w:w="8503" w:type="dxa"/>
          </w:tcPr>
          <w:p w14:paraId="65BC2CA2" w14:textId="77777777" w:rsidR="002A70A9" w:rsidRPr="001B0EA3" w:rsidRDefault="002A70A9" w:rsidP="00C47377">
            <w:pPr>
              <w:ind w:firstLine="348"/>
              <w:jc w:val="left"/>
              <w:rPr>
                <w:b/>
                <w:szCs w:val="24"/>
                <w:lang w:eastAsia="bg-BG"/>
              </w:rPr>
            </w:pPr>
            <w:r w:rsidRPr="001B0EA3">
              <w:rPr>
                <w:b/>
                <w:szCs w:val="24"/>
                <w:lang w:eastAsia="bg-BG"/>
              </w:rPr>
              <w:t>Етап I - стартиране на одитна мисия/проверка</w:t>
            </w:r>
          </w:p>
        </w:tc>
      </w:tr>
      <w:tr w:rsidR="002A70A9" w:rsidRPr="001B0EA3" w14:paraId="2E6BF784" w14:textId="77777777" w:rsidTr="00C47377">
        <w:tc>
          <w:tcPr>
            <w:tcW w:w="8503" w:type="dxa"/>
          </w:tcPr>
          <w:p w14:paraId="2013B0A2" w14:textId="77777777" w:rsidR="002A70A9" w:rsidRPr="001B0EA3" w:rsidRDefault="002A70A9" w:rsidP="00C47377">
            <w:pPr>
              <w:tabs>
                <w:tab w:val="left" w:pos="9000"/>
              </w:tabs>
              <w:ind w:firstLine="0"/>
              <w:rPr>
                <w:b/>
                <w:szCs w:val="24"/>
                <w:lang w:eastAsia="bg-BG"/>
              </w:rPr>
            </w:pPr>
          </w:p>
        </w:tc>
      </w:tr>
      <w:tr w:rsidR="002A70A9" w:rsidRPr="001B0EA3" w14:paraId="3DA45996" w14:textId="77777777" w:rsidTr="00C47377">
        <w:tc>
          <w:tcPr>
            <w:tcW w:w="8503" w:type="dxa"/>
            <w:shd w:val="clear" w:color="auto" w:fill="FFFF00"/>
          </w:tcPr>
          <w:p w14:paraId="7F03536C" w14:textId="77777777" w:rsidR="002A70A9" w:rsidRPr="001B0EA3" w:rsidRDefault="002A70A9" w:rsidP="00C47377">
            <w:pPr>
              <w:numPr>
                <w:ilvl w:val="0"/>
                <w:numId w:val="186"/>
              </w:numPr>
              <w:tabs>
                <w:tab w:val="clear" w:pos="720"/>
                <w:tab w:val="num" w:pos="644"/>
              </w:tabs>
              <w:ind w:left="644" w:hanging="302"/>
              <w:jc w:val="left"/>
              <w:rPr>
                <w:b/>
                <w:szCs w:val="24"/>
                <w:lang w:eastAsia="bg-BG"/>
              </w:rPr>
            </w:pPr>
            <w:r w:rsidRPr="001B0EA3">
              <w:rPr>
                <w:szCs w:val="24"/>
              </w:rPr>
              <w:t>Уведомяване на УО за предстоящ одит</w:t>
            </w:r>
          </w:p>
        </w:tc>
      </w:tr>
      <w:tr w:rsidR="002A70A9" w:rsidRPr="001B0EA3" w14:paraId="54CD5A17" w14:textId="77777777" w:rsidTr="00C47377">
        <w:tc>
          <w:tcPr>
            <w:tcW w:w="8503" w:type="dxa"/>
          </w:tcPr>
          <w:p w14:paraId="650D9300" w14:textId="77777777" w:rsidR="002A70A9" w:rsidRPr="001B0EA3" w:rsidRDefault="002A70A9" w:rsidP="00C47377">
            <w:pPr>
              <w:tabs>
                <w:tab w:val="left" w:pos="9000"/>
              </w:tabs>
              <w:ind w:firstLine="0"/>
              <w:rPr>
                <w:b/>
                <w:szCs w:val="24"/>
                <w:lang w:eastAsia="bg-BG"/>
              </w:rPr>
            </w:pPr>
          </w:p>
        </w:tc>
      </w:tr>
      <w:tr w:rsidR="002A70A9" w:rsidRPr="001B0EA3" w14:paraId="31F595D6" w14:textId="77777777" w:rsidTr="00C47377">
        <w:tc>
          <w:tcPr>
            <w:tcW w:w="8503" w:type="dxa"/>
            <w:shd w:val="clear" w:color="auto" w:fill="FFFF00"/>
          </w:tcPr>
          <w:p w14:paraId="6505FE31" w14:textId="77777777" w:rsidR="002A70A9" w:rsidRPr="001B0EA3" w:rsidRDefault="002A70A9" w:rsidP="00C47377">
            <w:pPr>
              <w:numPr>
                <w:ilvl w:val="0"/>
                <w:numId w:val="186"/>
              </w:numPr>
              <w:tabs>
                <w:tab w:val="clear" w:pos="720"/>
                <w:tab w:val="num" w:pos="644"/>
              </w:tabs>
              <w:ind w:left="644" w:hanging="302"/>
              <w:jc w:val="left"/>
              <w:rPr>
                <w:b/>
                <w:szCs w:val="24"/>
                <w:lang w:eastAsia="bg-BG"/>
              </w:rPr>
            </w:pPr>
            <w:r w:rsidRPr="001B0EA3">
              <w:rPr>
                <w:szCs w:val="24"/>
              </w:rPr>
              <w:t>Извършване на одит</w:t>
            </w:r>
          </w:p>
        </w:tc>
      </w:tr>
      <w:tr w:rsidR="002A70A9" w:rsidRPr="001B0EA3" w14:paraId="59184293" w14:textId="77777777" w:rsidTr="00C47377">
        <w:tc>
          <w:tcPr>
            <w:tcW w:w="8503" w:type="dxa"/>
          </w:tcPr>
          <w:p w14:paraId="35820C22" w14:textId="77777777" w:rsidR="002A70A9" w:rsidRPr="001B0EA3" w:rsidRDefault="002A70A9" w:rsidP="00C47377">
            <w:pPr>
              <w:tabs>
                <w:tab w:val="left" w:pos="9000"/>
              </w:tabs>
              <w:ind w:firstLine="0"/>
              <w:rPr>
                <w:b/>
                <w:szCs w:val="24"/>
                <w:lang w:eastAsia="bg-BG"/>
              </w:rPr>
            </w:pPr>
          </w:p>
        </w:tc>
      </w:tr>
      <w:tr w:rsidR="002A70A9" w:rsidRPr="001B0EA3" w14:paraId="4291014B" w14:textId="77777777" w:rsidTr="00C47377">
        <w:tc>
          <w:tcPr>
            <w:tcW w:w="8503" w:type="dxa"/>
          </w:tcPr>
          <w:p w14:paraId="12BEF385" w14:textId="77777777" w:rsidR="002A70A9" w:rsidRPr="001B0EA3" w:rsidRDefault="002A70A9" w:rsidP="00C47377">
            <w:pPr>
              <w:ind w:firstLine="348"/>
              <w:jc w:val="left"/>
              <w:rPr>
                <w:b/>
                <w:szCs w:val="24"/>
                <w:lang w:eastAsia="bg-BG"/>
              </w:rPr>
            </w:pPr>
            <w:r w:rsidRPr="001B0EA3">
              <w:rPr>
                <w:b/>
                <w:szCs w:val="24"/>
                <w:lang w:eastAsia="bg-BG"/>
              </w:rPr>
              <w:t>Етап II - получаване на предварителен доклад</w:t>
            </w:r>
          </w:p>
        </w:tc>
      </w:tr>
      <w:tr w:rsidR="002A70A9" w:rsidRPr="001B0EA3" w14:paraId="17DF7583" w14:textId="77777777" w:rsidTr="00C47377">
        <w:tc>
          <w:tcPr>
            <w:tcW w:w="8503" w:type="dxa"/>
          </w:tcPr>
          <w:p w14:paraId="4FEB7B21" w14:textId="77777777" w:rsidR="002A70A9" w:rsidRPr="001B0EA3" w:rsidRDefault="002A70A9" w:rsidP="00C47377">
            <w:pPr>
              <w:tabs>
                <w:tab w:val="left" w:pos="9000"/>
              </w:tabs>
              <w:ind w:firstLine="0"/>
              <w:rPr>
                <w:b/>
                <w:szCs w:val="24"/>
                <w:lang w:eastAsia="bg-BG"/>
              </w:rPr>
            </w:pPr>
          </w:p>
        </w:tc>
      </w:tr>
      <w:tr w:rsidR="002A70A9" w:rsidRPr="001B0EA3" w14:paraId="2812037F" w14:textId="77777777" w:rsidTr="00C47377">
        <w:tc>
          <w:tcPr>
            <w:tcW w:w="8503" w:type="dxa"/>
            <w:shd w:val="clear" w:color="auto" w:fill="FFC000"/>
          </w:tcPr>
          <w:p w14:paraId="72ABD1DE" w14:textId="77777777" w:rsidR="002A70A9" w:rsidRPr="001B0EA3" w:rsidRDefault="002A70A9" w:rsidP="00C47377">
            <w:pPr>
              <w:pStyle w:val="ListParagraph"/>
              <w:numPr>
                <w:ilvl w:val="0"/>
                <w:numId w:val="198"/>
              </w:numPr>
              <w:ind w:left="0" w:firstLine="386"/>
              <w:jc w:val="left"/>
              <w:rPr>
                <w:szCs w:val="24"/>
              </w:rPr>
            </w:pPr>
            <w:r w:rsidRPr="001B0EA3">
              <w:rPr>
                <w:szCs w:val="24"/>
              </w:rPr>
              <w:t>Получаване на предварителен одитен доклад</w:t>
            </w:r>
          </w:p>
          <w:p w14:paraId="449F2317" w14:textId="77777777" w:rsidR="002A70A9" w:rsidRPr="001B0EA3" w:rsidRDefault="002A70A9" w:rsidP="00C47377">
            <w:pPr>
              <w:tabs>
                <w:tab w:val="left" w:pos="9000"/>
              </w:tabs>
              <w:ind w:firstLine="0"/>
              <w:rPr>
                <w:b/>
                <w:szCs w:val="24"/>
                <w:lang w:eastAsia="bg-BG"/>
              </w:rPr>
            </w:pPr>
          </w:p>
        </w:tc>
      </w:tr>
      <w:tr w:rsidR="002A70A9" w:rsidRPr="001B0EA3" w14:paraId="2DBCA0B2" w14:textId="77777777" w:rsidTr="00C47377">
        <w:tc>
          <w:tcPr>
            <w:tcW w:w="8503" w:type="dxa"/>
          </w:tcPr>
          <w:p w14:paraId="561CE651" w14:textId="77777777" w:rsidR="002A70A9" w:rsidRPr="001B0EA3" w:rsidRDefault="002A70A9" w:rsidP="00C47377">
            <w:pPr>
              <w:tabs>
                <w:tab w:val="left" w:pos="9000"/>
              </w:tabs>
              <w:ind w:firstLine="0"/>
              <w:rPr>
                <w:b/>
                <w:szCs w:val="24"/>
                <w:lang w:eastAsia="bg-BG"/>
              </w:rPr>
            </w:pPr>
          </w:p>
        </w:tc>
      </w:tr>
      <w:tr w:rsidR="002A70A9" w:rsidRPr="001B0EA3" w14:paraId="601565FE" w14:textId="77777777" w:rsidTr="00C47377">
        <w:tc>
          <w:tcPr>
            <w:tcW w:w="8503" w:type="dxa"/>
            <w:shd w:val="clear" w:color="auto" w:fill="FFC000"/>
          </w:tcPr>
          <w:p w14:paraId="386D9C63" w14:textId="77777777" w:rsidR="002A70A9" w:rsidRPr="001B0EA3" w:rsidRDefault="002A70A9" w:rsidP="00C47377">
            <w:pPr>
              <w:pStyle w:val="ListParagraph"/>
              <w:numPr>
                <w:ilvl w:val="0"/>
                <w:numId w:val="199"/>
              </w:numPr>
              <w:ind w:left="669" w:hanging="283"/>
              <w:jc w:val="left"/>
              <w:rPr>
                <w:b/>
                <w:szCs w:val="24"/>
                <w:lang w:eastAsia="bg-BG"/>
              </w:rPr>
            </w:pPr>
            <w:r w:rsidRPr="001B0EA3">
              <w:rPr>
                <w:szCs w:val="24"/>
              </w:rPr>
              <w:t>Изпращане за съгласуване от бенефициентите/н-к отделите в д-я КПП/ отговорните лица/ЗИП и отдел „</w:t>
            </w:r>
            <w:r>
              <w:rPr>
                <w:szCs w:val="24"/>
              </w:rPr>
              <w:t>УР</w:t>
            </w:r>
            <w:r w:rsidRPr="001B0EA3">
              <w:rPr>
                <w:szCs w:val="24"/>
              </w:rPr>
              <w:t>“ в дирекция „КПП“</w:t>
            </w:r>
          </w:p>
        </w:tc>
      </w:tr>
      <w:tr w:rsidR="002A70A9" w:rsidRPr="001B0EA3" w14:paraId="257AF8C0" w14:textId="77777777" w:rsidTr="00C47377">
        <w:tc>
          <w:tcPr>
            <w:tcW w:w="8503" w:type="dxa"/>
          </w:tcPr>
          <w:p w14:paraId="2FF6ADEC" w14:textId="77777777" w:rsidR="002A70A9" w:rsidRPr="001B0EA3" w:rsidRDefault="002A70A9" w:rsidP="00C47377">
            <w:pPr>
              <w:tabs>
                <w:tab w:val="left" w:pos="9000"/>
              </w:tabs>
              <w:ind w:firstLine="0"/>
              <w:rPr>
                <w:b/>
                <w:szCs w:val="24"/>
                <w:lang w:eastAsia="bg-BG"/>
              </w:rPr>
            </w:pPr>
          </w:p>
        </w:tc>
      </w:tr>
      <w:tr w:rsidR="002A70A9" w:rsidRPr="001B0EA3" w14:paraId="5FE68E0F" w14:textId="77777777" w:rsidTr="00C47377">
        <w:tc>
          <w:tcPr>
            <w:tcW w:w="8503" w:type="dxa"/>
            <w:shd w:val="clear" w:color="auto" w:fill="FFC000"/>
          </w:tcPr>
          <w:p w14:paraId="79A59232" w14:textId="77777777" w:rsidR="002A70A9" w:rsidRPr="001B0EA3" w:rsidRDefault="002A70A9" w:rsidP="00C47377">
            <w:pPr>
              <w:pStyle w:val="ListParagraph"/>
              <w:numPr>
                <w:ilvl w:val="0"/>
                <w:numId w:val="200"/>
              </w:numPr>
              <w:ind w:left="669" w:hanging="283"/>
              <w:jc w:val="left"/>
              <w:rPr>
                <w:b/>
                <w:szCs w:val="24"/>
                <w:lang w:eastAsia="bg-BG"/>
              </w:rPr>
            </w:pPr>
            <w:r w:rsidRPr="001B0EA3">
              <w:rPr>
                <w:szCs w:val="24"/>
              </w:rPr>
              <w:t>Получаване на коментарите от бенефициентите/ н-к отделите в д-я КПП и отговорните лица/ЗИП</w:t>
            </w:r>
          </w:p>
        </w:tc>
      </w:tr>
      <w:tr w:rsidR="002A70A9" w:rsidRPr="001B0EA3" w14:paraId="258F543E" w14:textId="77777777" w:rsidTr="00C47377">
        <w:tc>
          <w:tcPr>
            <w:tcW w:w="8503" w:type="dxa"/>
          </w:tcPr>
          <w:p w14:paraId="2AE4C611" w14:textId="77777777" w:rsidR="002A70A9" w:rsidRPr="001B0EA3" w:rsidRDefault="002A70A9" w:rsidP="00C47377">
            <w:pPr>
              <w:tabs>
                <w:tab w:val="left" w:pos="9000"/>
              </w:tabs>
              <w:ind w:firstLine="0"/>
              <w:rPr>
                <w:b/>
                <w:szCs w:val="24"/>
                <w:lang w:eastAsia="bg-BG"/>
              </w:rPr>
            </w:pPr>
          </w:p>
        </w:tc>
      </w:tr>
      <w:tr w:rsidR="002A70A9" w:rsidRPr="001B0EA3" w14:paraId="3233B5B0" w14:textId="77777777" w:rsidTr="00C47377">
        <w:tc>
          <w:tcPr>
            <w:tcW w:w="8503" w:type="dxa"/>
            <w:shd w:val="clear" w:color="auto" w:fill="FFC000"/>
          </w:tcPr>
          <w:p w14:paraId="069F8EBE" w14:textId="77777777" w:rsidR="002A70A9" w:rsidRPr="001B0EA3" w:rsidRDefault="002A70A9" w:rsidP="006A6D08">
            <w:pPr>
              <w:pStyle w:val="ListParagraph"/>
              <w:numPr>
                <w:ilvl w:val="0"/>
                <w:numId w:val="201"/>
              </w:numPr>
              <w:ind w:left="669" w:hanging="283"/>
              <w:rPr>
                <w:szCs w:val="24"/>
              </w:rPr>
            </w:pPr>
            <w:r w:rsidRPr="001B0EA3">
              <w:rPr>
                <w:szCs w:val="24"/>
              </w:rPr>
              <w:t>Обобщаване на коментарите от бенефициентите/н-к отделите в д-я КПП и отговорните лица/</w:t>
            </w:r>
            <w:r w:rsidR="007A7328" w:rsidRPr="001B0EA3">
              <w:rPr>
                <w:szCs w:val="24"/>
              </w:rPr>
              <w:t xml:space="preserve"> Изпращане на коментарите на УО до </w:t>
            </w:r>
            <w:r w:rsidR="007A7328">
              <w:rPr>
                <w:szCs w:val="24"/>
              </w:rPr>
              <w:t xml:space="preserve">съответната </w:t>
            </w:r>
            <w:r w:rsidR="007A7328" w:rsidRPr="001B0EA3">
              <w:rPr>
                <w:szCs w:val="24"/>
              </w:rPr>
              <w:t>одитираща институция</w:t>
            </w:r>
          </w:p>
        </w:tc>
      </w:tr>
      <w:tr w:rsidR="002A70A9" w:rsidRPr="001B0EA3" w14:paraId="6B880811" w14:textId="77777777" w:rsidTr="00C47377">
        <w:tc>
          <w:tcPr>
            <w:tcW w:w="8503" w:type="dxa"/>
          </w:tcPr>
          <w:p w14:paraId="04CDF04A" w14:textId="77777777" w:rsidR="002A70A9" w:rsidRPr="001B0EA3" w:rsidRDefault="002A70A9" w:rsidP="00C47377">
            <w:pPr>
              <w:tabs>
                <w:tab w:val="left" w:pos="9000"/>
              </w:tabs>
              <w:ind w:firstLine="0"/>
              <w:rPr>
                <w:b/>
                <w:szCs w:val="24"/>
                <w:lang w:eastAsia="bg-BG"/>
              </w:rPr>
            </w:pPr>
          </w:p>
        </w:tc>
      </w:tr>
      <w:tr w:rsidR="002A70A9" w:rsidRPr="001B0EA3" w14:paraId="64D31639" w14:textId="77777777" w:rsidTr="00C47377">
        <w:tc>
          <w:tcPr>
            <w:tcW w:w="8503" w:type="dxa"/>
          </w:tcPr>
          <w:p w14:paraId="30D13460" w14:textId="77777777" w:rsidR="002A70A9" w:rsidRPr="001B0EA3" w:rsidRDefault="002A70A9" w:rsidP="00C47377">
            <w:pPr>
              <w:tabs>
                <w:tab w:val="left" w:pos="9000"/>
              </w:tabs>
              <w:ind w:firstLine="0"/>
              <w:rPr>
                <w:b/>
                <w:szCs w:val="24"/>
                <w:lang w:eastAsia="bg-BG"/>
              </w:rPr>
            </w:pPr>
          </w:p>
        </w:tc>
      </w:tr>
      <w:tr w:rsidR="002A70A9" w:rsidRPr="001B0EA3" w14:paraId="0BC76EDE" w14:textId="77777777" w:rsidTr="00C47377">
        <w:tc>
          <w:tcPr>
            <w:tcW w:w="8503" w:type="dxa"/>
          </w:tcPr>
          <w:p w14:paraId="11087043" w14:textId="77777777" w:rsidR="002A70A9" w:rsidRPr="001B0EA3" w:rsidRDefault="002A70A9" w:rsidP="00C47377">
            <w:pPr>
              <w:ind w:firstLine="348"/>
              <w:jc w:val="left"/>
              <w:rPr>
                <w:b/>
                <w:szCs w:val="24"/>
                <w:lang w:eastAsia="bg-BG"/>
              </w:rPr>
            </w:pPr>
            <w:r w:rsidRPr="001B0EA3">
              <w:rPr>
                <w:b/>
                <w:szCs w:val="24"/>
                <w:lang w:eastAsia="bg-BG"/>
              </w:rPr>
              <w:t>Етап III - получаване на окончателен доклад и проследяване</w:t>
            </w:r>
          </w:p>
        </w:tc>
      </w:tr>
      <w:tr w:rsidR="002A70A9" w:rsidRPr="001B0EA3" w14:paraId="5D45DD70" w14:textId="77777777" w:rsidTr="00C47377">
        <w:tc>
          <w:tcPr>
            <w:tcW w:w="8503" w:type="dxa"/>
          </w:tcPr>
          <w:p w14:paraId="7CF4FAC9" w14:textId="77777777" w:rsidR="002A70A9" w:rsidRPr="001B0EA3" w:rsidRDefault="002A70A9" w:rsidP="00C47377">
            <w:pPr>
              <w:tabs>
                <w:tab w:val="left" w:pos="9000"/>
              </w:tabs>
              <w:ind w:firstLine="0"/>
              <w:rPr>
                <w:b/>
                <w:szCs w:val="24"/>
                <w:lang w:eastAsia="bg-BG"/>
              </w:rPr>
            </w:pPr>
          </w:p>
        </w:tc>
      </w:tr>
      <w:tr w:rsidR="002A70A9" w:rsidRPr="001B0EA3" w14:paraId="12C2B45E" w14:textId="77777777" w:rsidTr="00C47377">
        <w:tc>
          <w:tcPr>
            <w:tcW w:w="8503" w:type="dxa"/>
            <w:shd w:val="clear" w:color="auto" w:fill="C5E0B3" w:themeFill="accent6" w:themeFillTint="66"/>
          </w:tcPr>
          <w:p w14:paraId="5C4D0B98" w14:textId="77777777" w:rsidR="002A70A9" w:rsidRPr="001B0EA3" w:rsidRDefault="002A70A9" w:rsidP="00C47377">
            <w:pPr>
              <w:ind w:left="811" w:hanging="425"/>
              <w:jc w:val="left"/>
              <w:rPr>
                <w:b/>
                <w:szCs w:val="24"/>
                <w:lang w:eastAsia="bg-BG"/>
              </w:rPr>
            </w:pPr>
            <w:r w:rsidRPr="001B0EA3">
              <w:rPr>
                <w:szCs w:val="24"/>
              </w:rPr>
              <w:t>8.</w:t>
            </w:r>
            <w:r w:rsidRPr="001B0EA3">
              <w:rPr>
                <w:szCs w:val="24"/>
              </w:rPr>
              <w:tab/>
              <w:t>Получаване и завеждане в деловодството на министерството на окончателния одитен доклад  - добавено е завеждане в деловодството във връзка с изискванията на новата Наредба за адм. на нередности.</w:t>
            </w:r>
          </w:p>
        </w:tc>
      </w:tr>
      <w:tr w:rsidR="002A70A9" w:rsidRPr="001B0EA3" w14:paraId="338A6406" w14:textId="77777777" w:rsidTr="00C47377">
        <w:tc>
          <w:tcPr>
            <w:tcW w:w="8503" w:type="dxa"/>
          </w:tcPr>
          <w:p w14:paraId="528E2E13" w14:textId="77777777" w:rsidR="002A70A9" w:rsidRPr="001B0EA3" w:rsidRDefault="002A70A9" w:rsidP="00C47377">
            <w:pPr>
              <w:tabs>
                <w:tab w:val="left" w:pos="9000"/>
              </w:tabs>
              <w:ind w:firstLine="0"/>
              <w:rPr>
                <w:b/>
                <w:szCs w:val="24"/>
                <w:lang w:eastAsia="bg-BG"/>
              </w:rPr>
            </w:pPr>
          </w:p>
        </w:tc>
      </w:tr>
      <w:tr w:rsidR="002A70A9" w:rsidRPr="001B0EA3" w14:paraId="5763FDCC" w14:textId="77777777" w:rsidTr="00C47377">
        <w:tc>
          <w:tcPr>
            <w:tcW w:w="8503" w:type="dxa"/>
            <w:shd w:val="clear" w:color="auto" w:fill="C5E0B3" w:themeFill="accent6" w:themeFillTint="66"/>
          </w:tcPr>
          <w:p w14:paraId="5F2BFAD7" w14:textId="77777777" w:rsidR="002A70A9" w:rsidRPr="001B0EA3" w:rsidRDefault="002A70A9" w:rsidP="00C47377">
            <w:pPr>
              <w:pStyle w:val="ListParagraph"/>
              <w:numPr>
                <w:ilvl w:val="0"/>
                <w:numId w:val="203"/>
              </w:numPr>
              <w:ind w:hanging="334"/>
              <w:jc w:val="left"/>
              <w:rPr>
                <w:szCs w:val="24"/>
                <w:lang w:eastAsia="bg-BG"/>
              </w:rPr>
            </w:pPr>
            <w:r w:rsidRPr="001B0EA3">
              <w:rPr>
                <w:szCs w:val="24"/>
                <w:lang w:eastAsia="bg-BG"/>
              </w:rPr>
              <w:t xml:space="preserve">Изпращане на окончателния одитен доклад до: </w:t>
            </w:r>
          </w:p>
          <w:p w14:paraId="354300F1" w14:textId="77777777" w:rsidR="002A70A9" w:rsidRPr="001B0EA3" w:rsidRDefault="002A70A9" w:rsidP="00C47377">
            <w:pPr>
              <w:numPr>
                <w:ilvl w:val="0"/>
                <w:numId w:val="187"/>
              </w:numPr>
              <w:rPr>
                <w:i/>
                <w:szCs w:val="24"/>
                <w:lang w:eastAsia="bg-BG"/>
              </w:rPr>
            </w:pPr>
            <w:r w:rsidRPr="001B0EA3">
              <w:rPr>
                <w:szCs w:val="24"/>
                <w:lang w:eastAsia="bg-BG"/>
              </w:rPr>
              <w:t xml:space="preserve">Сертифициращия орган </w:t>
            </w:r>
            <w:r w:rsidRPr="001B0EA3">
              <w:rPr>
                <w:szCs w:val="24"/>
                <w:u w:val="single"/>
                <w:lang w:eastAsia="bg-BG"/>
              </w:rPr>
              <w:t>в срок от 5 дни от тяхното получаване</w:t>
            </w:r>
            <w:r w:rsidRPr="001B0EA3">
              <w:rPr>
                <w:i/>
                <w:szCs w:val="24"/>
                <w:u w:val="single"/>
                <w:lang w:eastAsia="bg-BG"/>
              </w:rPr>
              <w:t xml:space="preserve"> </w:t>
            </w:r>
            <w:r w:rsidRPr="001B0EA3">
              <w:rPr>
                <w:szCs w:val="24"/>
                <w:lang w:eastAsia="bg-BG"/>
              </w:rPr>
              <w:t xml:space="preserve">и </w:t>
            </w:r>
          </w:p>
          <w:p w14:paraId="6687FA89" w14:textId="77777777" w:rsidR="002A70A9" w:rsidRPr="001B0EA3" w:rsidRDefault="002A70A9" w:rsidP="00C47377">
            <w:pPr>
              <w:numPr>
                <w:ilvl w:val="0"/>
                <w:numId w:val="187"/>
              </w:numPr>
              <w:jc w:val="left"/>
              <w:rPr>
                <w:szCs w:val="24"/>
                <w:lang w:eastAsia="bg-BG"/>
              </w:rPr>
            </w:pPr>
            <w:r w:rsidRPr="001B0EA3">
              <w:rPr>
                <w:szCs w:val="24"/>
                <w:lang w:eastAsia="bg-BG"/>
              </w:rPr>
              <w:t>Бенефициентите по програмата за изпълнение на дадените препоръки или възражения</w:t>
            </w:r>
          </w:p>
          <w:p w14:paraId="09A34392" w14:textId="77777777" w:rsidR="002A70A9" w:rsidRPr="001B0EA3" w:rsidRDefault="002A70A9" w:rsidP="00C47377">
            <w:pPr>
              <w:numPr>
                <w:ilvl w:val="0"/>
                <w:numId w:val="187"/>
              </w:numPr>
              <w:jc w:val="left"/>
              <w:rPr>
                <w:b/>
                <w:szCs w:val="24"/>
                <w:lang w:eastAsia="bg-BG"/>
              </w:rPr>
            </w:pPr>
            <w:r w:rsidRPr="001B0EA3">
              <w:rPr>
                <w:szCs w:val="24"/>
                <w:lang w:eastAsia="bg-BG"/>
              </w:rPr>
              <w:t>н-к отделите в д-я КПП и отговорните лица/ЗИП</w:t>
            </w:r>
          </w:p>
        </w:tc>
      </w:tr>
      <w:tr w:rsidR="002A70A9" w:rsidRPr="001B0EA3" w14:paraId="1EC1D8D7" w14:textId="77777777" w:rsidTr="00C47377">
        <w:tc>
          <w:tcPr>
            <w:tcW w:w="8503" w:type="dxa"/>
          </w:tcPr>
          <w:p w14:paraId="320C5912" w14:textId="77777777" w:rsidR="002A70A9" w:rsidRPr="001B0EA3" w:rsidRDefault="002A70A9" w:rsidP="00C47377">
            <w:pPr>
              <w:tabs>
                <w:tab w:val="left" w:pos="9000"/>
              </w:tabs>
              <w:ind w:firstLine="0"/>
              <w:rPr>
                <w:b/>
                <w:szCs w:val="24"/>
                <w:lang w:eastAsia="bg-BG"/>
              </w:rPr>
            </w:pPr>
          </w:p>
        </w:tc>
      </w:tr>
      <w:tr w:rsidR="002A70A9" w:rsidRPr="001B0EA3" w14:paraId="3F4B6DD3" w14:textId="77777777" w:rsidTr="00C47377">
        <w:tc>
          <w:tcPr>
            <w:tcW w:w="8503" w:type="dxa"/>
            <w:shd w:val="clear" w:color="auto" w:fill="C5E0B3" w:themeFill="accent6" w:themeFillTint="66"/>
          </w:tcPr>
          <w:p w14:paraId="0DA866A8" w14:textId="77777777" w:rsidR="002A70A9" w:rsidRPr="001B0EA3" w:rsidRDefault="002A70A9" w:rsidP="00C47377">
            <w:pPr>
              <w:pStyle w:val="ListParagraph"/>
              <w:numPr>
                <w:ilvl w:val="0"/>
                <w:numId w:val="204"/>
              </w:numPr>
              <w:ind w:hanging="378"/>
              <w:jc w:val="left"/>
              <w:rPr>
                <w:szCs w:val="24"/>
              </w:rPr>
            </w:pPr>
            <w:r w:rsidRPr="001B0EA3">
              <w:rPr>
                <w:szCs w:val="24"/>
              </w:rPr>
              <w:t>Изготвяне на план за действие от УО, когато е необходимо:</w:t>
            </w:r>
          </w:p>
          <w:p w14:paraId="1076F780" w14:textId="77777777" w:rsidR="002A70A9" w:rsidRPr="001B0EA3" w:rsidRDefault="002A70A9" w:rsidP="00C47377">
            <w:pPr>
              <w:pStyle w:val="ListParagraph"/>
              <w:numPr>
                <w:ilvl w:val="0"/>
                <w:numId w:val="187"/>
              </w:numPr>
              <w:contextualSpacing w:val="0"/>
              <w:rPr>
                <w:szCs w:val="24"/>
              </w:rPr>
            </w:pPr>
            <w:r w:rsidRPr="001B0EA3">
              <w:rPr>
                <w:szCs w:val="24"/>
              </w:rPr>
              <w:t>Изпращане за съгласуването на плана от н-к отделите в д-я КПП</w:t>
            </w:r>
          </w:p>
          <w:p w14:paraId="3F01B361" w14:textId="77777777" w:rsidR="002A70A9" w:rsidRPr="001B0EA3" w:rsidRDefault="002A70A9" w:rsidP="00C47377">
            <w:pPr>
              <w:pStyle w:val="ListParagraph"/>
              <w:numPr>
                <w:ilvl w:val="0"/>
                <w:numId w:val="187"/>
              </w:numPr>
              <w:contextualSpacing w:val="0"/>
              <w:rPr>
                <w:b/>
                <w:szCs w:val="24"/>
                <w:lang w:eastAsia="bg-BG"/>
              </w:rPr>
            </w:pPr>
            <w:r w:rsidRPr="001B0EA3">
              <w:rPr>
                <w:szCs w:val="24"/>
              </w:rPr>
              <w:t>Изготвяне на Доклад до Министъра</w:t>
            </w:r>
          </w:p>
        </w:tc>
      </w:tr>
      <w:tr w:rsidR="002A70A9" w:rsidRPr="001B0EA3" w14:paraId="4808491C" w14:textId="77777777" w:rsidTr="00C47377">
        <w:tc>
          <w:tcPr>
            <w:tcW w:w="8503" w:type="dxa"/>
          </w:tcPr>
          <w:p w14:paraId="4BC10C79" w14:textId="77777777" w:rsidR="002A70A9" w:rsidRPr="001B0EA3" w:rsidRDefault="002A70A9" w:rsidP="00C47377">
            <w:pPr>
              <w:tabs>
                <w:tab w:val="left" w:pos="9000"/>
              </w:tabs>
              <w:ind w:firstLine="0"/>
              <w:rPr>
                <w:b/>
                <w:szCs w:val="24"/>
                <w:lang w:eastAsia="bg-BG"/>
              </w:rPr>
            </w:pPr>
          </w:p>
        </w:tc>
      </w:tr>
      <w:tr w:rsidR="002A70A9" w:rsidRPr="001B0EA3" w14:paraId="1C7E057A" w14:textId="77777777" w:rsidTr="00C47377">
        <w:tc>
          <w:tcPr>
            <w:tcW w:w="8503" w:type="dxa"/>
            <w:shd w:val="clear" w:color="auto" w:fill="C5E0B3" w:themeFill="accent6" w:themeFillTint="66"/>
          </w:tcPr>
          <w:p w14:paraId="00E99822" w14:textId="77777777" w:rsidR="002A70A9" w:rsidRPr="001B0EA3" w:rsidRDefault="002A70A9" w:rsidP="00C47377">
            <w:pPr>
              <w:pStyle w:val="ListParagraph"/>
              <w:numPr>
                <w:ilvl w:val="0"/>
                <w:numId w:val="205"/>
              </w:numPr>
              <w:jc w:val="left"/>
              <w:rPr>
                <w:b/>
                <w:szCs w:val="24"/>
                <w:lang w:eastAsia="bg-BG"/>
              </w:rPr>
            </w:pPr>
            <w:r w:rsidRPr="001B0EA3">
              <w:rPr>
                <w:szCs w:val="24"/>
              </w:rPr>
              <w:t>Изпращане на утвърдения план до бенефициентите/н-к отдели/ЗИП</w:t>
            </w:r>
          </w:p>
        </w:tc>
      </w:tr>
      <w:tr w:rsidR="002A70A9" w:rsidRPr="001B0EA3" w14:paraId="36D2376D" w14:textId="77777777" w:rsidTr="00C47377">
        <w:tc>
          <w:tcPr>
            <w:tcW w:w="8503" w:type="dxa"/>
          </w:tcPr>
          <w:p w14:paraId="29A4EAD8" w14:textId="77777777" w:rsidR="002A70A9" w:rsidRPr="001B0EA3" w:rsidRDefault="002A70A9" w:rsidP="00C47377">
            <w:pPr>
              <w:tabs>
                <w:tab w:val="left" w:pos="9000"/>
              </w:tabs>
              <w:ind w:firstLine="0"/>
              <w:rPr>
                <w:b/>
                <w:szCs w:val="24"/>
                <w:lang w:eastAsia="bg-BG"/>
              </w:rPr>
            </w:pPr>
          </w:p>
        </w:tc>
      </w:tr>
      <w:tr w:rsidR="002A70A9" w:rsidRPr="001B0EA3" w14:paraId="0C4ABB14" w14:textId="77777777" w:rsidTr="00C47377">
        <w:tc>
          <w:tcPr>
            <w:tcW w:w="8503" w:type="dxa"/>
            <w:shd w:val="clear" w:color="auto" w:fill="C5E0B3" w:themeFill="accent6" w:themeFillTint="66"/>
          </w:tcPr>
          <w:p w14:paraId="39A50F5A" w14:textId="77777777" w:rsidR="002A70A9" w:rsidRPr="001B0EA3" w:rsidRDefault="002A70A9" w:rsidP="00C47377">
            <w:pPr>
              <w:pStyle w:val="ListParagraph"/>
              <w:numPr>
                <w:ilvl w:val="0"/>
                <w:numId w:val="206"/>
              </w:numPr>
              <w:jc w:val="left"/>
              <w:rPr>
                <w:b/>
                <w:szCs w:val="24"/>
                <w:lang w:eastAsia="bg-BG"/>
              </w:rPr>
            </w:pPr>
            <w:r w:rsidRPr="001B0EA3">
              <w:rPr>
                <w:szCs w:val="24"/>
              </w:rPr>
              <w:t>Изпращане на писмо до одитиращия орган с утвърдения план</w:t>
            </w:r>
          </w:p>
        </w:tc>
      </w:tr>
      <w:tr w:rsidR="002A70A9" w:rsidRPr="001B0EA3" w14:paraId="1A78198B" w14:textId="77777777" w:rsidTr="00C47377">
        <w:tc>
          <w:tcPr>
            <w:tcW w:w="8503" w:type="dxa"/>
          </w:tcPr>
          <w:p w14:paraId="29F79767" w14:textId="77777777" w:rsidR="002A70A9" w:rsidRPr="001B0EA3" w:rsidRDefault="002A70A9" w:rsidP="00C47377">
            <w:pPr>
              <w:tabs>
                <w:tab w:val="left" w:pos="9000"/>
              </w:tabs>
              <w:ind w:firstLine="0"/>
              <w:rPr>
                <w:b/>
                <w:szCs w:val="24"/>
                <w:lang w:eastAsia="bg-BG"/>
              </w:rPr>
            </w:pPr>
          </w:p>
        </w:tc>
      </w:tr>
      <w:tr w:rsidR="002A70A9" w:rsidRPr="001B0EA3" w14:paraId="0ED69855" w14:textId="77777777" w:rsidTr="00C47377">
        <w:tc>
          <w:tcPr>
            <w:tcW w:w="8503" w:type="dxa"/>
            <w:shd w:val="clear" w:color="auto" w:fill="C5E0B3" w:themeFill="accent6" w:themeFillTint="66"/>
          </w:tcPr>
          <w:p w14:paraId="0C78BC25" w14:textId="77777777" w:rsidR="002A70A9" w:rsidRPr="001B0EA3" w:rsidRDefault="002A70A9" w:rsidP="00C47377">
            <w:pPr>
              <w:pStyle w:val="ListParagraph"/>
              <w:numPr>
                <w:ilvl w:val="0"/>
                <w:numId w:val="207"/>
              </w:numPr>
              <w:ind w:left="669" w:hanging="327"/>
              <w:jc w:val="left"/>
              <w:rPr>
                <w:b/>
                <w:szCs w:val="24"/>
                <w:lang w:eastAsia="bg-BG"/>
              </w:rPr>
            </w:pPr>
            <w:r w:rsidRPr="001B0EA3">
              <w:rPr>
                <w:szCs w:val="24"/>
              </w:rPr>
              <w:t>Актуализиране на одитния регистър</w:t>
            </w:r>
          </w:p>
        </w:tc>
      </w:tr>
    </w:tbl>
    <w:p w14:paraId="599EB3E4" w14:textId="77777777" w:rsidR="002A70A9" w:rsidRPr="00CE6B54" w:rsidRDefault="002A70A9" w:rsidP="006A6D08">
      <w:pPr>
        <w:rPr>
          <w:lang w:eastAsia="bg-BG"/>
        </w:rPr>
      </w:pPr>
    </w:p>
    <w:p w14:paraId="386828D1" w14:textId="77777777" w:rsidR="002A70A9" w:rsidRDefault="002A70A9" w:rsidP="002A70A9">
      <w:pPr>
        <w:ind w:left="3545" w:firstLine="709"/>
        <w:jc w:val="left"/>
        <w:rPr>
          <w:b/>
          <w:bCs/>
          <w:kern w:val="28"/>
          <w:szCs w:val="24"/>
          <w:lang w:eastAsia="bg-BG"/>
        </w:rPr>
      </w:pPr>
    </w:p>
    <w:p w14:paraId="0EF29E7D" w14:textId="77777777" w:rsidR="002A70A9" w:rsidRDefault="002A70A9" w:rsidP="002A70A9">
      <w:pPr>
        <w:ind w:left="3545" w:firstLine="709"/>
        <w:jc w:val="left"/>
        <w:rPr>
          <w:b/>
          <w:bCs/>
          <w:kern w:val="28"/>
          <w:szCs w:val="24"/>
          <w:lang w:eastAsia="bg-BG"/>
        </w:rPr>
      </w:pPr>
    </w:p>
    <w:p w14:paraId="0CB6DC9B" w14:textId="77777777" w:rsidR="002A70A9" w:rsidRDefault="002A70A9" w:rsidP="002A70A9">
      <w:pPr>
        <w:ind w:left="3545" w:firstLine="709"/>
        <w:jc w:val="left"/>
        <w:rPr>
          <w:b/>
          <w:bCs/>
          <w:kern w:val="28"/>
          <w:szCs w:val="24"/>
          <w:lang w:eastAsia="bg-BG"/>
        </w:rPr>
      </w:pPr>
    </w:p>
    <w:p w14:paraId="5E39ECD1" w14:textId="77777777" w:rsidR="002A70A9" w:rsidRPr="001B0EA3" w:rsidRDefault="002A70A9" w:rsidP="002A70A9">
      <w:pPr>
        <w:ind w:left="3545" w:firstLine="709"/>
        <w:jc w:val="left"/>
        <w:rPr>
          <w:b/>
          <w:bCs/>
          <w:kern w:val="28"/>
          <w:szCs w:val="24"/>
          <w:lang w:eastAsia="bg-BG"/>
        </w:rPr>
      </w:pPr>
    </w:p>
    <w:p w14:paraId="6F3EE4D7" w14:textId="77777777" w:rsidR="00A3717E" w:rsidRDefault="00A3717E" w:rsidP="001239F0">
      <w:pPr>
        <w:pStyle w:val="Title"/>
        <w:spacing w:after="240"/>
        <w:ind w:firstLine="0"/>
        <w:jc w:val="center"/>
        <w:rPr>
          <w:rFonts w:ascii="Times New Roman" w:hAnsi="Times New Roman"/>
          <w:sz w:val="24"/>
          <w:szCs w:val="24"/>
          <w:lang w:eastAsia="bg-BG"/>
        </w:rPr>
      </w:pPr>
      <w:bookmarkStart w:id="1344" w:name="_Toc479775827"/>
    </w:p>
    <w:p w14:paraId="5ADE00EB" w14:textId="77777777" w:rsidR="00A3717E" w:rsidRDefault="00A3717E" w:rsidP="001239F0">
      <w:pPr>
        <w:pStyle w:val="Title"/>
        <w:spacing w:after="240"/>
        <w:ind w:firstLine="0"/>
        <w:jc w:val="center"/>
        <w:rPr>
          <w:rFonts w:ascii="Times New Roman" w:hAnsi="Times New Roman"/>
          <w:sz w:val="24"/>
          <w:szCs w:val="24"/>
          <w:lang w:eastAsia="bg-BG"/>
        </w:rPr>
      </w:pPr>
    </w:p>
    <w:p w14:paraId="11D6181B" w14:textId="5CEA48A7" w:rsidR="001239F0" w:rsidRPr="001B0EA3" w:rsidRDefault="001239F0" w:rsidP="001239F0">
      <w:pPr>
        <w:pStyle w:val="Title"/>
        <w:spacing w:after="240"/>
        <w:ind w:firstLine="0"/>
        <w:jc w:val="center"/>
        <w:rPr>
          <w:rFonts w:ascii="Times New Roman" w:hAnsi="Times New Roman"/>
          <w:sz w:val="24"/>
          <w:szCs w:val="24"/>
          <w:lang w:eastAsia="bg-BG"/>
        </w:rPr>
      </w:pPr>
      <w:bookmarkStart w:id="1345" w:name="_Toc140150309"/>
      <w:r w:rsidRPr="001B0EA3">
        <w:rPr>
          <w:rFonts w:ascii="Times New Roman" w:hAnsi="Times New Roman"/>
          <w:sz w:val="24"/>
          <w:szCs w:val="24"/>
          <w:lang w:eastAsia="bg-BG"/>
        </w:rPr>
        <w:t>ГЛАВА 9</w:t>
      </w:r>
      <w:r w:rsidRPr="001B0EA3">
        <w:rPr>
          <w:rFonts w:ascii="Times New Roman" w:hAnsi="Times New Roman"/>
          <w:sz w:val="24"/>
          <w:szCs w:val="24"/>
          <w:lang w:eastAsia="bg-BG"/>
        </w:rPr>
        <w:br/>
      </w:r>
      <w:r>
        <w:rPr>
          <w:rFonts w:ascii="Times New Roman" w:hAnsi="Times New Roman"/>
          <w:sz w:val="24"/>
          <w:szCs w:val="24"/>
          <w:lang w:eastAsia="bg-BG"/>
        </w:rPr>
        <w:t>НАБЛЮДЕНИЕ И ОЦЕНКА</w:t>
      </w:r>
      <w:bookmarkEnd w:id="1345"/>
    </w:p>
    <w:bookmarkEnd w:id="1344"/>
    <w:p w14:paraId="5D678A64" w14:textId="77777777" w:rsidR="00D603F5" w:rsidRPr="00A3717E" w:rsidRDefault="00D603F5" w:rsidP="00A3717E">
      <w:pPr>
        <w:pStyle w:val="Title"/>
        <w:spacing w:after="240"/>
        <w:ind w:firstLine="0"/>
        <w:jc w:val="center"/>
        <w:rPr>
          <w:rFonts w:ascii="Times New Roman" w:hAnsi="Times New Roman"/>
          <w:sz w:val="24"/>
          <w:szCs w:val="24"/>
          <w:lang w:eastAsia="bg-BG"/>
        </w:rPr>
      </w:pPr>
    </w:p>
    <w:p w14:paraId="6834FC36" w14:textId="77777777" w:rsidR="00D603F5" w:rsidRPr="005531CD" w:rsidRDefault="00D603F5" w:rsidP="00F058E0">
      <w:pPr>
        <w:pStyle w:val="Style1"/>
      </w:pPr>
      <w:bookmarkStart w:id="1346" w:name="_Toc479775828"/>
      <w:bookmarkStart w:id="1347" w:name="_Toc140150310"/>
      <w:r w:rsidRPr="005531CD">
        <w:lastRenderedPageBreak/>
        <w:t>ИНФОРМАЦИОННИ СИСТЕМИ ЗА УПРАВЛЕНИЕ И НАБЛЮДЕНИЕ</w:t>
      </w:r>
      <w:bookmarkEnd w:id="1346"/>
      <w:bookmarkEnd w:id="1347"/>
    </w:p>
    <w:p w14:paraId="53BC944F" w14:textId="77777777" w:rsidR="00D603F5" w:rsidRPr="00842ECC" w:rsidRDefault="00D603F5" w:rsidP="00B502C7">
      <w:pPr>
        <w:pStyle w:val="Style2"/>
        <w:rPr>
          <w:lang w:val="bg-BG"/>
        </w:rPr>
      </w:pPr>
      <w:bookmarkStart w:id="1348" w:name="_Toc479775829"/>
      <w:bookmarkStart w:id="1349" w:name="_Toc140150311"/>
      <w:r w:rsidRPr="00842ECC">
        <w:rPr>
          <w:lang w:val="bg-BG" w:eastAsia="bg-BG"/>
        </w:rPr>
        <w:t>Информационна система за управление и наблюдение за програмния период 2014-2020</w:t>
      </w:r>
      <w:bookmarkEnd w:id="1348"/>
      <w:bookmarkEnd w:id="1349"/>
    </w:p>
    <w:p w14:paraId="04927BBC" w14:textId="77777777" w:rsidR="00636E8C" w:rsidRPr="001B0EA3" w:rsidRDefault="00636E8C" w:rsidP="00046D61">
      <w:pPr>
        <w:ind w:firstLine="567"/>
        <w:rPr>
          <w:szCs w:val="24"/>
          <w:lang w:eastAsia="bg-BG"/>
        </w:rPr>
      </w:pPr>
    </w:p>
    <w:p w14:paraId="02A19765" w14:textId="77777777" w:rsidR="00636E8C" w:rsidRPr="001B0EA3" w:rsidRDefault="00636E8C" w:rsidP="00046D61">
      <w:pPr>
        <w:ind w:firstLine="567"/>
        <w:rPr>
          <w:szCs w:val="24"/>
          <w:u w:val="single"/>
          <w:lang w:eastAsia="bg-BG"/>
        </w:rPr>
      </w:pPr>
      <w:r w:rsidRPr="001B0EA3">
        <w:rPr>
          <w:szCs w:val="24"/>
          <w:u w:val="single"/>
          <w:lang w:eastAsia="bg-BG"/>
        </w:rPr>
        <w:t xml:space="preserve">В България се използва единна информационна система за управление на всички оперативни програми, съфинансирани от Европейските структурни и инвестиционни фондове: Оперативна програма „Транспорт и транспортна инфраструктура”, Оперативна програма „Околна среда”, Оперативна програма „Региони в растеж”, Оперативна програма „Иновации и конкурентоспособността ”, Оперативна програма „Добро управление”, Оперативна програма „Развитие на човешките ресурси”, Оперативна програма „Наука и образование за интелигентен растеж”, Оперативна програма за храни и/или основно материално подпомагане и Програмата за морско дело и рибарство – Информационна система за управление и наблюдение (ИСУН). За управлението на средствата от ЕС през 2010 г. е въведена в експлоатация Информационна система за управление и наблюдение (ИСУН). В нея се записват и съхраняват в компютъризирана форма данните за всяка операция, необходими за мониторинга, оценката, финансовото управление, проверките и одита, изключение са счетоводните записвания, които се извършват SAP R3, като между двете системи има изградена връзка.  </w:t>
      </w:r>
    </w:p>
    <w:p w14:paraId="0C39A4BC" w14:textId="77777777" w:rsidR="00636E8C" w:rsidRPr="001B0EA3" w:rsidRDefault="00636E8C" w:rsidP="00046D61">
      <w:pPr>
        <w:ind w:firstLine="567"/>
        <w:rPr>
          <w:szCs w:val="24"/>
          <w:u w:val="single"/>
          <w:lang w:eastAsia="bg-BG"/>
        </w:rPr>
      </w:pPr>
    </w:p>
    <w:p w14:paraId="1A7165C4" w14:textId="77777777" w:rsidR="00636E8C" w:rsidRPr="001B0EA3" w:rsidRDefault="00636E8C" w:rsidP="00046D61">
      <w:pPr>
        <w:rPr>
          <w:szCs w:val="24"/>
          <w:u w:val="single"/>
          <w:lang w:eastAsia="bg-BG"/>
        </w:rPr>
      </w:pPr>
      <w:r w:rsidRPr="001B0EA3">
        <w:rPr>
          <w:szCs w:val="24"/>
          <w:u w:val="single"/>
          <w:lang w:eastAsia="bg-BG"/>
        </w:rPr>
        <w:t>Физическата архитектура на системата е представена в следната схема:</w:t>
      </w:r>
    </w:p>
    <w:p w14:paraId="0B59D3C8" w14:textId="77777777" w:rsidR="00636E8C" w:rsidRPr="001B0EA3" w:rsidRDefault="00636E8C" w:rsidP="00046D61">
      <w:pPr>
        <w:ind w:firstLine="0"/>
        <w:jc w:val="center"/>
        <w:rPr>
          <w:szCs w:val="24"/>
          <w:u w:val="single"/>
          <w:lang w:eastAsia="bg-BG"/>
        </w:rPr>
      </w:pPr>
      <w:r w:rsidRPr="001B0EA3">
        <w:rPr>
          <w:szCs w:val="24"/>
          <w:u w:val="single"/>
          <w:lang w:eastAsia="bg-BG"/>
        </w:rPr>
        <w:object w:dxaOrig="11340" w:dyaOrig="14508" w14:anchorId="3E61130F">
          <v:shape id="_x0000_i1027" type="#_x0000_t75" style="width:366.75pt;height:324pt" o:ole="">
            <v:imagedata r:id="rId314" o:title=""/>
          </v:shape>
          <o:OLEObject Type="Embed" ProgID="Visio.Drawing.15" ShapeID="_x0000_i1027" DrawAspect="Content" ObjectID="_1751357472" r:id="rId315"/>
        </w:object>
      </w:r>
    </w:p>
    <w:p w14:paraId="101E641B" w14:textId="77777777" w:rsidR="00636E8C" w:rsidRPr="00AE381A" w:rsidRDefault="00636E8C" w:rsidP="00046D61">
      <w:pPr>
        <w:ind w:firstLine="567"/>
        <w:rPr>
          <w:b/>
          <w:i/>
          <w:szCs w:val="24"/>
          <w:u w:val="single"/>
          <w:lang w:eastAsia="bg-BG"/>
        </w:rPr>
      </w:pPr>
      <w:r w:rsidRPr="001B0EA3">
        <w:rPr>
          <w:szCs w:val="24"/>
          <w:u w:val="single"/>
          <w:lang w:eastAsia="bg-BG"/>
        </w:rPr>
        <w:t xml:space="preserve">Системата е базирана на информационната система, използвана през програмния период 2007-2013, като част от функционалностите </w:t>
      </w:r>
      <w:r w:rsidR="00FF4881" w:rsidRPr="001B0EA3">
        <w:rPr>
          <w:szCs w:val="24"/>
          <w:u w:val="single"/>
          <w:lang w:eastAsia="bg-BG"/>
        </w:rPr>
        <w:t>са</w:t>
      </w:r>
      <w:r w:rsidRPr="001B0EA3">
        <w:rPr>
          <w:szCs w:val="24"/>
          <w:u w:val="single"/>
          <w:lang w:eastAsia="bg-BG"/>
        </w:rPr>
        <w:t xml:space="preserve"> преработени или доразработени, за да се оптимизират процесите в нея, да се подобрят възможностите за прогнозиране, планиране и анализиране на информацията и да се осигури среда за електронна комуникация между управляващите органи и бенефициентите. Технически ИСУН за програмния период 2014-2020 се изгражда като централизирана база данни. Достъпът до системата се осъществява от </w:t>
      </w:r>
      <w:r w:rsidRPr="001B0EA3">
        <w:rPr>
          <w:szCs w:val="24"/>
          <w:u w:val="single"/>
          <w:lang w:eastAsia="bg-BG"/>
        </w:rPr>
        <w:lastRenderedPageBreak/>
        <w:t xml:space="preserve">потребителите чрез Интернет. Връзката може да се осъществи от всеки компютър с инсталиран браузър. Подробно описание на ИСУН 2020 е представено в </w:t>
      </w:r>
      <w:hyperlink r:id="rId316" w:tooltip="Описание ИСУН 2020" w:history="1">
        <w:r w:rsidR="00AE381A" w:rsidRPr="00251D03">
          <w:rPr>
            <w:rStyle w:val="Hyperlink"/>
            <w:i/>
            <w:szCs w:val="24"/>
            <w:lang w:eastAsia="bg-BG"/>
          </w:rPr>
          <w:t>Приложение № 9.05</w:t>
        </w:r>
      </w:hyperlink>
    </w:p>
    <w:p w14:paraId="78F323BA" w14:textId="77777777" w:rsidR="00636E8C" w:rsidRPr="001B0EA3" w:rsidRDefault="00636E8C" w:rsidP="00046D61">
      <w:pPr>
        <w:ind w:firstLine="567"/>
        <w:rPr>
          <w:szCs w:val="24"/>
          <w:u w:val="single"/>
          <w:lang w:eastAsia="bg-BG"/>
        </w:rPr>
      </w:pPr>
      <w:r w:rsidRPr="001B0EA3">
        <w:rPr>
          <w:szCs w:val="24"/>
          <w:u w:val="single"/>
          <w:lang w:eastAsia="bg-BG"/>
        </w:rPr>
        <w:t>ИСУН 2020 има модулна структура, която обхваща комуникацията с бенефициентите, изпълнението, наблюдението, финансовото управление и контрола на оперативните програми. Системата гарантира разделението на функциите на отделните потребители и на отделните административни нива. Тя събира финансова и статистическа информация за целите на финансовото управление и сертифицирането на разходите, а също и за целите на наблюдението, оценката, одита и контрола.</w:t>
      </w:r>
    </w:p>
    <w:p w14:paraId="22AE9CCE" w14:textId="77777777" w:rsidR="00636E8C" w:rsidRPr="001B0EA3" w:rsidRDefault="00636E8C" w:rsidP="00046D61">
      <w:pPr>
        <w:rPr>
          <w:szCs w:val="24"/>
          <w:u w:val="single"/>
          <w:lang w:eastAsia="bg-BG"/>
        </w:rPr>
      </w:pPr>
      <w:r w:rsidRPr="001B0EA3">
        <w:rPr>
          <w:szCs w:val="24"/>
          <w:u w:val="single"/>
          <w:lang w:eastAsia="bg-BG"/>
        </w:rPr>
        <w:t>Системата позволява автоматично генериране на информацията, необходима за изготвянето на годишните и финалните отчети за изпълнението на оперативните програми, на информация по проекти за целите на сертификация и на одита, както и др. информация.</w:t>
      </w:r>
    </w:p>
    <w:p w14:paraId="1FC2613B" w14:textId="77777777" w:rsidR="00636E8C" w:rsidRPr="001B0EA3" w:rsidRDefault="00636E8C" w:rsidP="00046D61">
      <w:pPr>
        <w:rPr>
          <w:szCs w:val="24"/>
          <w:u w:val="single"/>
          <w:lang w:eastAsia="bg-BG"/>
        </w:rPr>
      </w:pPr>
    </w:p>
    <w:p w14:paraId="7F18D877" w14:textId="77777777" w:rsidR="00636E8C" w:rsidRPr="001B0EA3" w:rsidRDefault="00636E8C" w:rsidP="00046D61">
      <w:pPr>
        <w:ind w:firstLine="567"/>
        <w:rPr>
          <w:szCs w:val="24"/>
          <w:u w:val="single"/>
          <w:lang w:eastAsia="bg-BG"/>
        </w:rPr>
      </w:pPr>
      <w:r w:rsidRPr="001B0EA3">
        <w:rPr>
          <w:szCs w:val="24"/>
          <w:u w:val="single"/>
          <w:lang w:eastAsia="bg-BG"/>
        </w:rPr>
        <w:t>Системата включва следните модули:</w:t>
      </w:r>
    </w:p>
    <w:p w14:paraId="77354ABB" w14:textId="77777777" w:rsidR="00636E8C" w:rsidRPr="001B0EA3" w:rsidRDefault="00636E8C" w:rsidP="00046D61">
      <w:pPr>
        <w:numPr>
          <w:ilvl w:val="0"/>
          <w:numId w:val="215"/>
        </w:numPr>
        <w:tabs>
          <w:tab w:val="left" w:pos="851"/>
        </w:tabs>
        <w:ind w:left="0" w:firstLine="567"/>
        <w:rPr>
          <w:szCs w:val="24"/>
          <w:u w:val="single"/>
          <w:lang w:eastAsia="bg-BG"/>
        </w:rPr>
      </w:pPr>
      <w:r w:rsidRPr="001B0EA3">
        <w:rPr>
          <w:b/>
          <w:szCs w:val="24"/>
          <w:u w:val="single"/>
          <w:lang w:eastAsia="bg-BG"/>
        </w:rPr>
        <w:t xml:space="preserve">Модул „Управление на потребителите“ </w:t>
      </w:r>
      <w:r w:rsidRPr="001B0EA3">
        <w:rPr>
          <w:szCs w:val="24"/>
          <w:u w:val="single"/>
          <w:lang w:eastAsia="bg-BG"/>
        </w:rPr>
        <w:t xml:space="preserve">– Посредством този модул, администраторите на потребители задават индивидуалните права на всеки един потребител от административните структури отговорни за управление на оперативните програми в системата. </w:t>
      </w:r>
    </w:p>
    <w:p w14:paraId="5280F1BA" w14:textId="77777777" w:rsidR="00636E8C" w:rsidRPr="001B0EA3" w:rsidRDefault="00636E8C" w:rsidP="00046D61">
      <w:pPr>
        <w:numPr>
          <w:ilvl w:val="0"/>
          <w:numId w:val="215"/>
        </w:numPr>
        <w:tabs>
          <w:tab w:val="left" w:pos="851"/>
        </w:tabs>
        <w:ind w:left="0" w:firstLine="567"/>
        <w:rPr>
          <w:szCs w:val="24"/>
          <w:u w:val="single"/>
          <w:lang w:eastAsia="bg-BG"/>
        </w:rPr>
      </w:pPr>
      <w:r w:rsidRPr="001B0EA3">
        <w:rPr>
          <w:b/>
          <w:szCs w:val="24"/>
          <w:u w:val="single"/>
          <w:lang w:eastAsia="bg-BG"/>
        </w:rPr>
        <w:t>Модул „Параметри”</w:t>
      </w:r>
      <w:r w:rsidRPr="001B0EA3">
        <w:rPr>
          <w:szCs w:val="24"/>
          <w:u w:val="single"/>
          <w:lang w:eastAsia="bg-BG"/>
        </w:rPr>
        <w:t xml:space="preserve"> съдържа основната информация за Оперативните програми и техните приоритетни оси, реализирани като карта на оперативните програми. В него се регистрират и всички процедури, обявени от Управляващия орган. Модулът предоставя основни данни в ИС и се използва от потребителите при работа с останалите модули на системата, задават се параметрите за всички ОП, както и на техните по-ниски нива като приоритетни оси, под-приоритети, процедури и така нататък. Реализирана е нова функционалност на системата изискваща проверка на данните за регистрирана в системата процедура. ИСУН 2020 позволява регистрация на проектни предложения към процедура, само ако статусът е „проверена”. </w:t>
      </w:r>
    </w:p>
    <w:p w14:paraId="37C647E9" w14:textId="77777777" w:rsidR="00636E8C" w:rsidRPr="001B0EA3" w:rsidRDefault="00636E8C" w:rsidP="00046D61">
      <w:pPr>
        <w:numPr>
          <w:ilvl w:val="0"/>
          <w:numId w:val="215"/>
        </w:numPr>
        <w:tabs>
          <w:tab w:val="left" w:pos="851"/>
        </w:tabs>
        <w:ind w:left="0" w:firstLine="567"/>
        <w:rPr>
          <w:szCs w:val="24"/>
          <w:u w:val="single"/>
          <w:lang w:eastAsia="bg-BG"/>
        </w:rPr>
      </w:pPr>
      <w:r w:rsidRPr="001B0EA3">
        <w:rPr>
          <w:b/>
          <w:szCs w:val="24"/>
          <w:u w:val="single"/>
          <w:lang w:eastAsia="bg-BG"/>
        </w:rPr>
        <w:t xml:space="preserve">Модул “Системна информация”. </w:t>
      </w:r>
      <w:r w:rsidRPr="001B0EA3">
        <w:rPr>
          <w:szCs w:val="24"/>
          <w:u w:val="single"/>
          <w:lang w:eastAsia="bg-BG"/>
        </w:rPr>
        <w:t>В модула се въвеждат общи данни за всички проекти финансирани от процедурата, които се използват от потребителите при работа с останалите модули, като например райони за планиране, области, градове и др. населени места, пощенски кодове и т.н. В този модул потребителите могат да посочват и типа на проектите, които се изпълняват: стандартен проект, интегриран проект, бюджетна линия и т.н.</w:t>
      </w:r>
    </w:p>
    <w:p w14:paraId="4CC1793B" w14:textId="77777777" w:rsidR="00636E8C" w:rsidRPr="001B0EA3" w:rsidRDefault="00636E8C" w:rsidP="00046D61">
      <w:pPr>
        <w:numPr>
          <w:ilvl w:val="0"/>
          <w:numId w:val="215"/>
        </w:numPr>
        <w:tabs>
          <w:tab w:val="left" w:pos="851"/>
        </w:tabs>
        <w:ind w:left="0" w:firstLine="567"/>
        <w:rPr>
          <w:szCs w:val="24"/>
          <w:u w:val="single"/>
          <w:lang w:eastAsia="bg-BG"/>
        </w:rPr>
      </w:pPr>
      <w:r w:rsidRPr="001B0EA3">
        <w:rPr>
          <w:b/>
          <w:szCs w:val="24"/>
          <w:u w:val="single"/>
          <w:lang w:eastAsia="bg-BG"/>
        </w:rPr>
        <w:t>Модул “Регистрация”</w:t>
      </w:r>
      <w:r w:rsidRPr="001B0EA3">
        <w:rPr>
          <w:szCs w:val="24"/>
          <w:u w:val="single"/>
          <w:lang w:eastAsia="bg-BG"/>
        </w:rPr>
        <w:t xml:space="preserve"> се разделя на 2 под-модула.</w:t>
      </w:r>
    </w:p>
    <w:p w14:paraId="3554A021" w14:textId="77777777" w:rsidR="00636E8C" w:rsidRPr="001B0EA3" w:rsidRDefault="00636E8C" w:rsidP="00046D61">
      <w:pPr>
        <w:ind w:firstLine="567"/>
        <w:rPr>
          <w:szCs w:val="24"/>
          <w:u w:val="single"/>
          <w:lang w:eastAsia="bg-BG"/>
        </w:rPr>
      </w:pPr>
      <w:r w:rsidRPr="001B0EA3">
        <w:rPr>
          <w:b/>
          <w:szCs w:val="24"/>
          <w:u w:val="single"/>
          <w:lang w:eastAsia="bg-BG"/>
        </w:rPr>
        <w:t xml:space="preserve">В под-модул „Регистрация на кандидати” </w:t>
      </w:r>
      <w:r w:rsidRPr="001B0EA3">
        <w:rPr>
          <w:szCs w:val="24"/>
          <w:u w:val="single"/>
          <w:lang w:eastAsia="bg-BG"/>
        </w:rPr>
        <w:t xml:space="preserve">се въвежда следната информация: наименование, БУЛСТАТ, адрес, телефон, електронна поща, данни за представителя. С цел избягване на двойно въвеждане на едни и същи данни в системата, като бъдат запазвани всички данни при първоначалното въвеждане, като след това същият кандидат може да бъде избран от списък. Тази информация се регистрира в системата за всички кандидати подали проектни предложения, техните партньори, както и за изпълнителите по отделните проекти. </w:t>
      </w:r>
    </w:p>
    <w:p w14:paraId="0A8FE7B6" w14:textId="77777777" w:rsidR="00636E8C" w:rsidRPr="001B0EA3" w:rsidRDefault="00636E8C" w:rsidP="00046D61">
      <w:pPr>
        <w:ind w:firstLine="567"/>
        <w:rPr>
          <w:szCs w:val="24"/>
          <w:u w:val="single"/>
          <w:lang w:eastAsia="bg-BG"/>
        </w:rPr>
      </w:pPr>
      <w:r w:rsidRPr="001B0EA3">
        <w:rPr>
          <w:b/>
          <w:szCs w:val="24"/>
          <w:u w:val="single"/>
          <w:lang w:eastAsia="bg-BG"/>
        </w:rPr>
        <w:t>В под-модул „Регистрация на проектни предложения”</w:t>
      </w:r>
      <w:r w:rsidRPr="001B0EA3">
        <w:rPr>
          <w:szCs w:val="24"/>
          <w:u w:val="single"/>
          <w:lang w:eastAsia="bg-BG"/>
        </w:rPr>
        <w:t xml:space="preserve"> се въвежда цялостна информация за постъпилите проектни предложения. Системата позволява цялостното поддържането на данните от формулярите за кандидатстване като структурирана информация, която може да бъде автоматично прехвърляна като информация за сключен договор. В случите на електронно подаване на проектни предложения данните попълнени и подадени от бенефициента се прехвърлят автоматично в различните модули на ИСУН 2020, които използват тези данни.</w:t>
      </w:r>
    </w:p>
    <w:p w14:paraId="4DB8DCCD" w14:textId="77777777" w:rsidR="00636E8C" w:rsidRPr="001B0EA3" w:rsidRDefault="00636E8C" w:rsidP="00046D61">
      <w:pPr>
        <w:ind w:firstLine="567"/>
        <w:rPr>
          <w:szCs w:val="24"/>
          <w:u w:val="single"/>
          <w:lang w:eastAsia="bg-BG"/>
        </w:rPr>
      </w:pPr>
      <w:r w:rsidRPr="001B0EA3">
        <w:rPr>
          <w:b/>
          <w:szCs w:val="24"/>
          <w:u w:val="single"/>
          <w:lang w:eastAsia="bg-BG"/>
        </w:rPr>
        <w:t>В модул “Регистрация”</w:t>
      </w:r>
      <w:r w:rsidRPr="001B0EA3">
        <w:rPr>
          <w:szCs w:val="24"/>
          <w:u w:val="single"/>
          <w:lang w:eastAsia="bg-BG"/>
        </w:rPr>
        <w:t xml:space="preserve"> се запазва функционалността, която позволява да се извърши проверка за двойно финансиране. Тази функционалност може да се използва самостоятелно или при регистрацията на проектно предложение на кандидат, който вече е регистриран в системата. </w:t>
      </w:r>
    </w:p>
    <w:p w14:paraId="47FB7A57" w14:textId="77777777" w:rsidR="00636E8C" w:rsidRPr="001B0EA3" w:rsidRDefault="00636E8C" w:rsidP="00046D61">
      <w:pPr>
        <w:numPr>
          <w:ilvl w:val="0"/>
          <w:numId w:val="215"/>
        </w:numPr>
        <w:tabs>
          <w:tab w:val="left" w:pos="851"/>
        </w:tabs>
        <w:ind w:left="0" w:firstLine="567"/>
        <w:rPr>
          <w:szCs w:val="24"/>
          <w:u w:val="single"/>
          <w:lang w:eastAsia="bg-BG"/>
        </w:rPr>
      </w:pPr>
      <w:r w:rsidRPr="001B0EA3">
        <w:rPr>
          <w:b/>
          <w:szCs w:val="24"/>
          <w:u w:val="single"/>
          <w:lang w:eastAsia="bg-BG"/>
        </w:rPr>
        <w:t>Модул “</w:t>
      </w:r>
      <w:r w:rsidR="00FF4881" w:rsidRPr="001B0EA3">
        <w:rPr>
          <w:b/>
          <w:szCs w:val="24"/>
          <w:u w:val="single"/>
          <w:lang w:eastAsia="bg-BG"/>
        </w:rPr>
        <w:t>Оценка</w:t>
      </w:r>
      <w:r w:rsidRPr="001B0EA3">
        <w:rPr>
          <w:b/>
          <w:szCs w:val="24"/>
          <w:u w:val="single"/>
          <w:lang w:eastAsia="bg-BG"/>
        </w:rPr>
        <w:t>”-</w:t>
      </w:r>
      <w:r w:rsidRPr="001B0EA3">
        <w:rPr>
          <w:szCs w:val="24"/>
          <w:u w:val="single"/>
          <w:lang w:eastAsia="bg-BG"/>
        </w:rPr>
        <w:t xml:space="preserve"> В този модул се регистрира основната информация, свързана с отделните етапи от оценката на проектното предложение, докладите на оценителната комисия и решенията на Управляващия орган във връзка с одобрението или отхвърлянето на </w:t>
      </w:r>
      <w:r w:rsidRPr="001B0EA3">
        <w:rPr>
          <w:szCs w:val="24"/>
          <w:u w:val="single"/>
          <w:lang w:eastAsia="bg-BG"/>
        </w:rPr>
        <w:lastRenderedPageBreak/>
        <w:t>съответното проектно предложение. Модулът позволява цялата работа на оценителната комисия да се проведе в системата, като оценителят, който получи достъп до системата може да въведе своите оценки директно, като за това се запазва одитна следа. При директно въвеждане на оценките в ИСУН 2020 системата автоматично класира участниците. Подадените по електронен път проектни предложения са видими само за членовете на оценителната комисия, които имат потребителски достъп до съответната сесия. Служители на Управляващите органи няма да имат достъп до сесии, за които не са оторизирани.</w:t>
      </w:r>
    </w:p>
    <w:p w14:paraId="15913B97" w14:textId="77777777" w:rsidR="00636E8C" w:rsidRPr="001B0EA3" w:rsidRDefault="00636E8C" w:rsidP="00046D61">
      <w:pPr>
        <w:numPr>
          <w:ilvl w:val="0"/>
          <w:numId w:val="215"/>
        </w:numPr>
        <w:tabs>
          <w:tab w:val="left" w:pos="851"/>
        </w:tabs>
        <w:ind w:left="0" w:firstLine="567"/>
        <w:rPr>
          <w:szCs w:val="24"/>
          <w:u w:val="single"/>
          <w:lang w:eastAsia="bg-BG"/>
        </w:rPr>
      </w:pPr>
      <w:r w:rsidRPr="001B0EA3">
        <w:rPr>
          <w:b/>
          <w:szCs w:val="24"/>
          <w:u w:val="single"/>
          <w:lang w:eastAsia="bg-BG"/>
        </w:rPr>
        <w:t>Модул “Договори”</w:t>
      </w:r>
      <w:r w:rsidRPr="001B0EA3">
        <w:rPr>
          <w:szCs w:val="24"/>
          <w:u w:val="single"/>
          <w:lang w:eastAsia="bg-BG"/>
        </w:rPr>
        <w:t xml:space="preserve"> – В този модул се въвежда подробна информация за подписаните договори, както и за всички изменения на договори (анекси). В този модул се поддържа пълната информация от апликационната форма. Регистрацията на договор в системата „заключва” данните за съответното проектно предложение, така че те да не могат да бъдат редактирани или променяни. Продължава да се използва функционалността за проверка на данните въведени за договори / анекси, както и нова роля за потребител, който да извършва тези проверки. Когато статусът на договор бъде променен на „проверен”, то въведените за договора данни се „заключват” и не могат да бъдат редактирани / променяни. Статусът на договор не може да бъде „проверен”, ако за този договор не са въведени всички задължителни данни. Всички данни налични в модул договори могат да бъдат използвани от другите модули на системата. </w:t>
      </w:r>
    </w:p>
    <w:p w14:paraId="7FA7DD7A" w14:textId="77777777" w:rsidR="00636E8C" w:rsidRPr="001B0EA3" w:rsidRDefault="00636E8C" w:rsidP="00046D61">
      <w:pPr>
        <w:numPr>
          <w:ilvl w:val="0"/>
          <w:numId w:val="215"/>
        </w:numPr>
        <w:tabs>
          <w:tab w:val="left" w:pos="851"/>
        </w:tabs>
        <w:ind w:left="0" w:firstLine="567"/>
        <w:rPr>
          <w:szCs w:val="24"/>
          <w:u w:val="single"/>
          <w:lang w:eastAsia="bg-BG"/>
        </w:rPr>
      </w:pPr>
      <w:r w:rsidRPr="001B0EA3">
        <w:rPr>
          <w:b/>
          <w:szCs w:val="24"/>
          <w:u w:val="single"/>
          <w:lang w:eastAsia="bg-BG"/>
        </w:rPr>
        <w:t>Модул „Управление на проекти”</w:t>
      </w:r>
      <w:r w:rsidRPr="001B0EA3">
        <w:rPr>
          <w:szCs w:val="24"/>
          <w:u w:val="single"/>
          <w:lang w:eastAsia="bg-BG"/>
        </w:rPr>
        <w:t xml:space="preserve">: Този модул е основния модул за проследяване на изпълнението на проектите и оперативните програми. Той съдържа следните под модули: </w:t>
      </w:r>
    </w:p>
    <w:p w14:paraId="65E8986A" w14:textId="77777777" w:rsidR="00636E8C" w:rsidRPr="001B0EA3" w:rsidRDefault="00636E8C" w:rsidP="00046D61">
      <w:pPr>
        <w:ind w:firstLine="567"/>
        <w:rPr>
          <w:szCs w:val="24"/>
          <w:u w:val="single"/>
          <w:lang w:eastAsia="bg-BG"/>
        </w:rPr>
      </w:pPr>
      <w:r w:rsidRPr="001B0EA3">
        <w:rPr>
          <w:b/>
          <w:szCs w:val="24"/>
          <w:u w:val="single"/>
          <w:lang w:eastAsia="bg-BG"/>
        </w:rPr>
        <w:t xml:space="preserve">Под-модул „Технически отчет“: </w:t>
      </w:r>
      <w:r w:rsidRPr="001B0EA3">
        <w:rPr>
          <w:szCs w:val="24"/>
          <w:u w:val="single"/>
          <w:lang w:eastAsia="bg-BG"/>
        </w:rPr>
        <w:t>Потребителите въвеждат данни за изпълнение на договорите: изпълнение на дейностите, постигане на индикаторите, данни за проведени обществени поръчки и сключени договори с изпълнители, данни за изпълнението на дейности, информация за екипите работещи по проекти и т.н. При електронно отчитане данните подадени от бенефициентите се прехвърлят автоматично без да е нужно тяхното попълване от служителите на Управляващия орган.</w:t>
      </w:r>
    </w:p>
    <w:p w14:paraId="272C0788" w14:textId="77777777" w:rsidR="00636E8C" w:rsidRPr="001B0EA3" w:rsidRDefault="00636E8C" w:rsidP="00046D61">
      <w:pPr>
        <w:ind w:firstLine="567"/>
        <w:rPr>
          <w:szCs w:val="24"/>
          <w:u w:val="single"/>
          <w:lang w:eastAsia="bg-BG"/>
        </w:rPr>
      </w:pPr>
      <w:r w:rsidRPr="001B0EA3">
        <w:rPr>
          <w:b/>
          <w:szCs w:val="24"/>
          <w:u w:val="single"/>
          <w:lang w:eastAsia="bg-BG"/>
        </w:rPr>
        <w:t>Под-модул „Финансов отчет”:</w:t>
      </w:r>
      <w:r w:rsidRPr="001B0EA3">
        <w:rPr>
          <w:szCs w:val="24"/>
          <w:u w:val="single"/>
          <w:lang w:eastAsia="bg-BG"/>
        </w:rPr>
        <w:t xml:space="preserve"> Въвежда се отчетената от бенефициента финансова информация. Поддържаната информация за финансов отчет е идентична на информацията за финансовия отчет поддържана в компонент „Електронни услуги“. Системата поддържа функционалностите на ИСУН от програмния период 2007-2013, включително данни за разходи, като в допълнение като минимум се разработят: Визуализиране на пълния набор от приложима информация (системно дефинирана и дефинирана от потребителя в модул „Оперативна карта”); Обобщаване на въведената информация в Под-модул „Извършени разходи“. В този модул се поддържа цялостна информация за всички извършени и декларирани от бенефициента разходи. </w:t>
      </w:r>
    </w:p>
    <w:p w14:paraId="5F29AAE5" w14:textId="77777777" w:rsidR="00636E8C" w:rsidRPr="001B0EA3" w:rsidRDefault="00636E8C" w:rsidP="00046D61">
      <w:pPr>
        <w:rPr>
          <w:szCs w:val="24"/>
          <w:u w:val="single"/>
          <w:lang w:eastAsia="bg-BG"/>
        </w:rPr>
      </w:pPr>
      <w:r w:rsidRPr="001B0EA3">
        <w:rPr>
          <w:szCs w:val="24"/>
          <w:u w:val="single"/>
          <w:lang w:eastAsia="bg-BG"/>
        </w:rPr>
        <w:t>Под-модул „Искане за плащане“: Въвежда се поисканата от бенефициента сума за възстановяване. Системата поддържа настоящата функционалност като в допълнение са разработени: Визуализиране на пълния набор от приложима информация (системно дефинирана и дефинирана от потребителя в модул „Оперативна карта”); Функционалност за въвеждане на допълнителна информация; Наличие на предефиниране контроли при въвеждането на информация.</w:t>
      </w:r>
    </w:p>
    <w:p w14:paraId="5C8DFFC3" w14:textId="77777777" w:rsidR="00636E8C" w:rsidRPr="001B0EA3" w:rsidRDefault="00636E8C" w:rsidP="00046D61">
      <w:pPr>
        <w:ind w:firstLine="567"/>
        <w:rPr>
          <w:szCs w:val="24"/>
          <w:u w:val="single"/>
          <w:lang w:eastAsia="bg-BG"/>
        </w:rPr>
      </w:pPr>
      <w:r w:rsidRPr="001B0EA3">
        <w:rPr>
          <w:b/>
          <w:szCs w:val="24"/>
          <w:u w:val="single"/>
          <w:lang w:eastAsia="bg-BG"/>
        </w:rPr>
        <w:t xml:space="preserve">“Функционалност за събиране на микроданни“: </w:t>
      </w:r>
      <w:r w:rsidRPr="001B0EA3">
        <w:rPr>
          <w:szCs w:val="24"/>
          <w:u w:val="single"/>
          <w:lang w:eastAsia="bg-BG"/>
        </w:rPr>
        <w:t>Поддържа се необходимата информация за индивидуалните участниците в проекти, финансирани от ЕСФ, в съответствие с изискванията на Приложение 1 на Регламент (ЕС) № 1304/2013 г.</w:t>
      </w:r>
    </w:p>
    <w:p w14:paraId="4E99BD3F" w14:textId="77777777" w:rsidR="00636E8C" w:rsidRPr="001B0EA3" w:rsidRDefault="00636E8C" w:rsidP="00046D61">
      <w:pPr>
        <w:numPr>
          <w:ilvl w:val="0"/>
          <w:numId w:val="215"/>
        </w:numPr>
        <w:tabs>
          <w:tab w:val="left" w:pos="851"/>
        </w:tabs>
        <w:ind w:left="0" w:firstLine="567"/>
        <w:rPr>
          <w:szCs w:val="24"/>
          <w:u w:val="single"/>
          <w:lang w:eastAsia="bg-BG"/>
        </w:rPr>
      </w:pPr>
      <w:r w:rsidRPr="001B0EA3">
        <w:rPr>
          <w:b/>
          <w:szCs w:val="24"/>
          <w:u w:val="single"/>
          <w:lang w:eastAsia="bg-BG"/>
        </w:rPr>
        <w:t>Модул „Мониторинг и Финансов контрол“</w:t>
      </w:r>
      <w:r w:rsidRPr="001B0EA3">
        <w:rPr>
          <w:szCs w:val="24"/>
          <w:u w:val="single"/>
          <w:lang w:eastAsia="bg-BG"/>
        </w:rPr>
        <w:t>: Въвежда се и се поддържа информация от съответните потребители в Управляващите органи отговорни за проверката и контрола на отчетните документи. Модулът позволява цялостно проследяване на проверките по изпълнението на проектите. Той се състои от следните под-модули</w:t>
      </w:r>
    </w:p>
    <w:p w14:paraId="7AFDF8D1" w14:textId="77777777" w:rsidR="00636E8C" w:rsidRPr="001B0EA3" w:rsidRDefault="00636E8C" w:rsidP="00046D61">
      <w:pPr>
        <w:ind w:firstLine="567"/>
        <w:rPr>
          <w:szCs w:val="24"/>
          <w:u w:val="single"/>
          <w:lang w:eastAsia="bg-BG"/>
        </w:rPr>
      </w:pPr>
      <w:r w:rsidRPr="001B0EA3">
        <w:rPr>
          <w:szCs w:val="24"/>
          <w:u w:val="single"/>
          <w:lang w:eastAsia="bg-BG"/>
        </w:rPr>
        <w:t>Под-модул „Проверка на технически отчет“: Въвежда се информация свързана с извършената от служителите проверка на предадения технически отчет.</w:t>
      </w:r>
    </w:p>
    <w:p w14:paraId="7C3F6F72" w14:textId="77777777" w:rsidR="00636E8C" w:rsidRPr="001B0EA3" w:rsidRDefault="00636E8C" w:rsidP="00046D61">
      <w:pPr>
        <w:ind w:firstLine="567"/>
        <w:rPr>
          <w:szCs w:val="24"/>
          <w:u w:val="single"/>
          <w:lang w:eastAsia="bg-BG"/>
        </w:rPr>
      </w:pPr>
      <w:r w:rsidRPr="001B0EA3">
        <w:rPr>
          <w:szCs w:val="24"/>
          <w:u w:val="single"/>
          <w:lang w:eastAsia="bg-BG"/>
        </w:rPr>
        <w:t>Под-модул „Проверка на финансов отчет“ – Въвежда се информация свързана с извършената от служителите проверка на предадения финансов отчет.</w:t>
      </w:r>
    </w:p>
    <w:p w14:paraId="28A35CA1" w14:textId="77777777" w:rsidR="00636E8C" w:rsidRPr="001B0EA3" w:rsidRDefault="00636E8C" w:rsidP="00046D61">
      <w:pPr>
        <w:ind w:firstLine="567"/>
        <w:rPr>
          <w:szCs w:val="24"/>
          <w:u w:val="single"/>
          <w:lang w:eastAsia="bg-BG"/>
        </w:rPr>
      </w:pPr>
      <w:r w:rsidRPr="001B0EA3">
        <w:rPr>
          <w:szCs w:val="24"/>
          <w:u w:val="single"/>
          <w:lang w:eastAsia="bg-BG"/>
        </w:rPr>
        <w:lastRenderedPageBreak/>
        <w:t>Под-модул „Верифициране на средства“ – Въвежда се информация свързана с извършената от служителите верификация на отчетените средства.</w:t>
      </w:r>
    </w:p>
    <w:p w14:paraId="1E255BD7" w14:textId="77777777" w:rsidR="00636E8C" w:rsidRPr="001B0EA3" w:rsidRDefault="00636E8C" w:rsidP="00046D61">
      <w:pPr>
        <w:ind w:firstLine="567"/>
        <w:rPr>
          <w:szCs w:val="24"/>
          <w:u w:val="single"/>
          <w:lang w:eastAsia="bg-BG"/>
        </w:rPr>
      </w:pPr>
      <w:r w:rsidRPr="001B0EA3">
        <w:rPr>
          <w:szCs w:val="24"/>
          <w:u w:val="single"/>
          <w:lang w:eastAsia="bg-BG"/>
        </w:rPr>
        <w:t>Под-модул „Финансови корекции“ – Въвежда се информация свързана с наложени финансови корекции по предходни искания за плащане.</w:t>
      </w:r>
    </w:p>
    <w:p w14:paraId="1A41084C" w14:textId="77777777" w:rsidR="00636E8C" w:rsidRPr="001B0EA3" w:rsidRDefault="00636E8C" w:rsidP="00046D61">
      <w:pPr>
        <w:ind w:firstLine="567"/>
        <w:rPr>
          <w:szCs w:val="24"/>
          <w:u w:val="single"/>
          <w:lang w:eastAsia="bg-BG"/>
        </w:rPr>
      </w:pPr>
      <w:r w:rsidRPr="001B0EA3">
        <w:rPr>
          <w:szCs w:val="24"/>
          <w:u w:val="single"/>
          <w:lang w:eastAsia="bg-BG"/>
        </w:rPr>
        <w:t>Под-модул „Изравнителен документ” – Въвежда се информация за добавяне на елемент, отразяващ се на финансовите параметри извън процеса на верификация на Искане за плащане.</w:t>
      </w:r>
    </w:p>
    <w:p w14:paraId="4BE80022" w14:textId="77777777" w:rsidR="00636E8C" w:rsidRPr="001B0EA3" w:rsidRDefault="00636E8C" w:rsidP="00046D61">
      <w:pPr>
        <w:ind w:firstLine="567"/>
        <w:rPr>
          <w:szCs w:val="24"/>
          <w:u w:val="single"/>
          <w:lang w:eastAsia="bg-BG"/>
        </w:rPr>
      </w:pPr>
      <w:r w:rsidRPr="001B0EA3">
        <w:rPr>
          <w:szCs w:val="24"/>
          <w:u w:val="single"/>
          <w:lang w:eastAsia="bg-BG"/>
        </w:rPr>
        <w:t>Под-модул „Реално изплатени суми“ – Въвежда се информация за извършени плащания.</w:t>
      </w:r>
    </w:p>
    <w:p w14:paraId="1E59FEDB" w14:textId="77777777" w:rsidR="00636E8C" w:rsidRPr="001B0EA3" w:rsidRDefault="00636E8C" w:rsidP="00046D61">
      <w:pPr>
        <w:ind w:firstLine="567"/>
        <w:rPr>
          <w:szCs w:val="24"/>
          <w:u w:val="single"/>
          <w:lang w:eastAsia="bg-BG"/>
        </w:rPr>
      </w:pPr>
      <w:r w:rsidRPr="001B0EA3">
        <w:rPr>
          <w:szCs w:val="24"/>
          <w:u w:val="single"/>
          <w:lang w:eastAsia="bg-BG"/>
        </w:rPr>
        <w:t>Под-модул „Възстановени суми“ – Въвежда се информация за възстановени от бенефициента суми.</w:t>
      </w:r>
    </w:p>
    <w:p w14:paraId="7D92DD9D" w14:textId="77777777" w:rsidR="00636E8C" w:rsidRPr="001B0EA3" w:rsidRDefault="00636E8C" w:rsidP="00046D61">
      <w:pPr>
        <w:ind w:firstLine="567"/>
        <w:rPr>
          <w:szCs w:val="24"/>
          <w:u w:val="single"/>
          <w:lang w:eastAsia="bg-BG"/>
        </w:rPr>
      </w:pPr>
      <w:r w:rsidRPr="001B0EA3">
        <w:rPr>
          <w:szCs w:val="24"/>
          <w:u w:val="single"/>
          <w:lang w:eastAsia="bg-BG"/>
        </w:rPr>
        <w:t>Под-модул „Дългове/Дължими суми по ОП от бенефициентите“ – Въвежда се информация за начислените дългове на бенефициента.</w:t>
      </w:r>
    </w:p>
    <w:p w14:paraId="064CC9DF" w14:textId="77777777" w:rsidR="00636E8C" w:rsidRPr="001B0EA3" w:rsidRDefault="00636E8C" w:rsidP="00046D61">
      <w:pPr>
        <w:ind w:firstLine="567"/>
        <w:rPr>
          <w:szCs w:val="24"/>
          <w:u w:val="single"/>
          <w:lang w:eastAsia="bg-BG"/>
        </w:rPr>
      </w:pPr>
      <w:r w:rsidRPr="001B0EA3">
        <w:rPr>
          <w:szCs w:val="24"/>
          <w:u w:val="single"/>
          <w:lang w:eastAsia="bg-BG"/>
        </w:rPr>
        <w:t>Под-модул „Книги на длъжниците” – Предоставя се възможност за генериране на данни въз основа на въведените в системата дългове.</w:t>
      </w:r>
    </w:p>
    <w:p w14:paraId="4AE930F9" w14:textId="77777777" w:rsidR="00636E8C" w:rsidRPr="001B0EA3" w:rsidRDefault="00636E8C" w:rsidP="00046D61">
      <w:pPr>
        <w:ind w:firstLine="567"/>
        <w:rPr>
          <w:szCs w:val="24"/>
          <w:u w:val="single"/>
          <w:lang w:eastAsia="bg-BG"/>
        </w:rPr>
      </w:pPr>
      <w:r w:rsidRPr="001B0EA3">
        <w:rPr>
          <w:szCs w:val="24"/>
          <w:u w:val="single"/>
          <w:lang w:eastAsia="bg-BG"/>
        </w:rPr>
        <w:t>Под-модул „Плоски финансови корекции” – Въвежда се информация за наложени плоски финансови корекции към елемент от оперативната карта.</w:t>
      </w:r>
    </w:p>
    <w:p w14:paraId="6F08ACCD" w14:textId="77777777" w:rsidR="00636E8C" w:rsidRPr="001B0EA3" w:rsidRDefault="00636E8C" w:rsidP="00046D61">
      <w:pPr>
        <w:ind w:firstLine="567"/>
        <w:rPr>
          <w:szCs w:val="24"/>
          <w:u w:val="single"/>
          <w:lang w:eastAsia="bg-BG"/>
        </w:rPr>
      </w:pPr>
      <w:r w:rsidRPr="001B0EA3">
        <w:rPr>
          <w:szCs w:val="24"/>
          <w:u w:val="single"/>
          <w:lang w:eastAsia="bg-BG"/>
        </w:rPr>
        <w:t xml:space="preserve">Под-модул „Доклад по сертификация” – Използва се за генериране на доклад по сертификация към сертифициращия орган от страна на управляващия орган. Докладът визуализира информация за всички верифицирани от Управляващите органи разходи, които следва да бъдат сертифицирани. </w:t>
      </w:r>
    </w:p>
    <w:p w14:paraId="3ADA2757" w14:textId="77777777" w:rsidR="00636E8C" w:rsidRPr="001B0EA3" w:rsidRDefault="00636E8C" w:rsidP="00046D61">
      <w:pPr>
        <w:numPr>
          <w:ilvl w:val="0"/>
          <w:numId w:val="215"/>
        </w:numPr>
        <w:tabs>
          <w:tab w:val="left" w:pos="851"/>
        </w:tabs>
        <w:ind w:left="0" w:firstLine="567"/>
        <w:rPr>
          <w:szCs w:val="24"/>
          <w:u w:val="single"/>
          <w:lang w:eastAsia="bg-BG"/>
        </w:rPr>
      </w:pPr>
      <w:r w:rsidRPr="001B0EA3">
        <w:rPr>
          <w:b/>
          <w:szCs w:val="24"/>
          <w:u w:val="single"/>
          <w:lang w:eastAsia="bg-BG"/>
        </w:rPr>
        <w:t>Модул „Сертифициращ орган“</w:t>
      </w:r>
      <w:r w:rsidRPr="001B0EA3">
        <w:rPr>
          <w:szCs w:val="24"/>
          <w:u w:val="single"/>
          <w:lang w:eastAsia="bg-BG"/>
        </w:rPr>
        <w:t xml:space="preserve"> – Позволява записването и отразяване на действията на сертифициращия орган при управлението на оперативните програми, чрез следните под-модули:</w:t>
      </w:r>
    </w:p>
    <w:p w14:paraId="5E23F99D" w14:textId="77777777" w:rsidR="00636E8C" w:rsidRPr="001B0EA3" w:rsidRDefault="00636E8C" w:rsidP="00046D61">
      <w:pPr>
        <w:rPr>
          <w:szCs w:val="24"/>
          <w:u w:val="single"/>
          <w:lang w:eastAsia="bg-BG"/>
        </w:rPr>
      </w:pPr>
      <w:r w:rsidRPr="001B0EA3">
        <w:rPr>
          <w:szCs w:val="24"/>
          <w:u w:val="single"/>
          <w:lang w:eastAsia="bg-BG"/>
        </w:rPr>
        <w:t>Под-модул „Проверка на доклад по сертификация“ – Позволява извършването на проверка от сертифициращия орган относно допустимостта на разходите включени в доклади по сертификация.</w:t>
      </w:r>
    </w:p>
    <w:p w14:paraId="252BE10A" w14:textId="77777777" w:rsidR="00636E8C" w:rsidRPr="001B0EA3" w:rsidRDefault="00636E8C" w:rsidP="00046D61">
      <w:pPr>
        <w:rPr>
          <w:szCs w:val="24"/>
          <w:u w:val="single"/>
          <w:lang w:eastAsia="bg-BG"/>
        </w:rPr>
      </w:pPr>
      <w:r w:rsidRPr="001B0EA3">
        <w:rPr>
          <w:szCs w:val="24"/>
          <w:u w:val="single"/>
          <w:lang w:eastAsia="bg-BG"/>
        </w:rPr>
        <w:t>Под-модул „Възстановени от ЕК суми“ – Позволява въвеждането и проследяването на информация за средствата по изпратени сертификати, които са възстановени от ЕК</w:t>
      </w:r>
    </w:p>
    <w:p w14:paraId="1F6510C8" w14:textId="77777777" w:rsidR="00636E8C" w:rsidRPr="001B0EA3" w:rsidRDefault="00636E8C" w:rsidP="00046D61">
      <w:pPr>
        <w:rPr>
          <w:szCs w:val="24"/>
          <w:u w:val="single"/>
          <w:lang w:eastAsia="bg-BG"/>
        </w:rPr>
      </w:pPr>
      <w:r w:rsidRPr="001B0EA3">
        <w:rPr>
          <w:szCs w:val="24"/>
          <w:u w:val="single"/>
          <w:lang w:eastAsia="bg-BG"/>
        </w:rPr>
        <w:t>Под-модул „Проверки на място – СО“ – Позволява въвеждането и проследяването на информация за извършени от Сертифициращия орган проверки на място.</w:t>
      </w:r>
    </w:p>
    <w:p w14:paraId="03417B76" w14:textId="77777777" w:rsidR="00636E8C" w:rsidRPr="001B0EA3" w:rsidRDefault="00636E8C" w:rsidP="00046D61">
      <w:pPr>
        <w:numPr>
          <w:ilvl w:val="0"/>
          <w:numId w:val="215"/>
        </w:numPr>
        <w:tabs>
          <w:tab w:val="left" w:pos="851"/>
        </w:tabs>
        <w:ind w:left="0" w:firstLine="567"/>
        <w:rPr>
          <w:b/>
          <w:szCs w:val="24"/>
          <w:u w:val="single"/>
          <w:lang w:eastAsia="bg-BG"/>
        </w:rPr>
      </w:pPr>
      <w:r w:rsidRPr="001B0EA3">
        <w:rPr>
          <w:b/>
          <w:szCs w:val="24"/>
          <w:u w:val="single"/>
          <w:lang w:eastAsia="bg-BG"/>
        </w:rPr>
        <w:t xml:space="preserve">Модул „Финансови инструменти/Инструменти за финансов </w:t>
      </w:r>
      <w:r w:rsidR="00FF4881" w:rsidRPr="001B0EA3">
        <w:rPr>
          <w:b/>
          <w:szCs w:val="24"/>
          <w:u w:val="single"/>
          <w:lang w:eastAsia="bg-BG"/>
        </w:rPr>
        <w:t>инженеринг</w:t>
      </w:r>
      <w:r w:rsidRPr="001B0EA3">
        <w:rPr>
          <w:b/>
          <w:szCs w:val="24"/>
          <w:u w:val="single"/>
          <w:lang w:eastAsia="bg-BG"/>
        </w:rPr>
        <w:t xml:space="preserve">” </w:t>
      </w:r>
      <w:r w:rsidRPr="001B0EA3">
        <w:rPr>
          <w:szCs w:val="24"/>
          <w:u w:val="single"/>
          <w:lang w:eastAsia="bg-BG"/>
        </w:rPr>
        <w:t xml:space="preserve">– Позволява проследяване на изпълнението на всеки един финансов инструмент използван от ОП-ми, включително и да бъде поддържана информация за крайните получатели на помощта. </w:t>
      </w:r>
    </w:p>
    <w:p w14:paraId="022A1731" w14:textId="77777777" w:rsidR="00636E8C" w:rsidRPr="001B0EA3" w:rsidRDefault="00636E8C" w:rsidP="00046D61">
      <w:pPr>
        <w:numPr>
          <w:ilvl w:val="0"/>
          <w:numId w:val="215"/>
        </w:numPr>
        <w:tabs>
          <w:tab w:val="left" w:pos="851"/>
        </w:tabs>
        <w:ind w:left="0" w:firstLine="567"/>
        <w:rPr>
          <w:b/>
          <w:szCs w:val="24"/>
          <w:u w:val="single"/>
          <w:lang w:eastAsia="bg-BG"/>
        </w:rPr>
      </w:pPr>
      <w:r w:rsidRPr="001B0EA3">
        <w:rPr>
          <w:b/>
          <w:szCs w:val="24"/>
          <w:u w:val="single"/>
          <w:lang w:eastAsia="bg-BG"/>
        </w:rPr>
        <w:t>Модул „Проверки”</w:t>
      </w:r>
      <w:r w:rsidRPr="001B0EA3">
        <w:rPr>
          <w:szCs w:val="24"/>
          <w:u w:val="single"/>
          <w:lang w:eastAsia="bg-BG"/>
        </w:rPr>
        <w:t xml:space="preserve"> –  в него се въвежда информация за извършените от контролните органи проверки и установени нередности. Той съдържа следните под-модули:</w:t>
      </w:r>
    </w:p>
    <w:p w14:paraId="23C8648F" w14:textId="77777777" w:rsidR="00636E8C" w:rsidRPr="001B0EA3" w:rsidRDefault="00636E8C" w:rsidP="00046D61">
      <w:pPr>
        <w:ind w:firstLine="567"/>
        <w:rPr>
          <w:szCs w:val="24"/>
          <w:u w:val="single"/>
          <w:lang w:eastAsia="bg-BG"/>
        </w:rPr>
      </w:pPr>
      <w:r w:rsidRPr="001B0EA3">
        <w:rPr>
          <w:szCs w:val="24"/>
          <w:u w:val="single"/>
          <w:lang w:eastAsia="bg-BG"/>
        </w:rPr>
        <w:t>Под-модул „Проверки на място” – Въвежда се информация за извършени при бенефициентите проверки на място.</w:t>
      </w:r>
    </w:p>
    <w:p w14:paraId="59C67D70" w14:textId="77777777" w:rsidR="00636E8C" w:rsidRPr="001B0EA3" w:rsidRDefault="00636E8C" w:rsidP="00046D61">
      <w:pPr>
        <w:ind w:firstLine="567"/>
        <w:rPr>
          <w:szCs w:val="24"/>
          <w:u w:val="single"/>
          <w:lang w:eastAsia="bg-BG"/>
        </w:rPr>
      </w:pPr>
      <w:r w:rsidRPr="001B0EA3">
        <w:rPr>
          <w:szCs w:val="24"/>
          <w:u w:val="single"/>
          <w:lang w:eastAsia="bg-BG"/>
        </w:rPr>
        <w:t>Под-модул „Сигнали за нередности” – Въвежда се информация за подадени сигнали за нередности.</w:t>
      </w:r>
    </w:p>
    <w:p w14:paraId="2EC70C6D" w14:textId="77777777" w:rsidR="00636E8C" w:rsidRPr="001B0EA3" w:rsidRDefault="00636E8C" w:rsidP="00046D61">
      <w:pPr>
        <w:ind w:firstLine="567"/>
        <w:rPr>
          <w:szCs w:val="24"/>
          <w:u w:val="single"/>
          <w:lang w:eastAsia="bg-BG"/>
        </w:rPr>
      </w:pPr>
      <w:r w:rsidRPr="001B0EA3">
        <w:rPr>
          <w:szCs w:val="24"/>
          <w:u w:val="single"/>
          <w:lang w:eastAsia="bg-BG"/>
        </w:rPr>
        <w:t>Под-модул „Нередности” – Въвежда се информация за установените нередности.</w:t>
      </w:r>
    </w:p>
    <w:p w14:paraId="25348A2A" w14:textId="77777777" w:rsidR="00636E8C" w:rsidRPr="001B0EA3" w:rsidRDefault="00636E8C" w:rsidP="00046D61">
      <w:pPr>
        <w:ind w:firstLine="567"/>
        <w:rPr>
          <w:szCs w:val="24"/>
          <w:u w:val="single"/>
          <w:lang w:eastAsia="bg-BG"/>
        </w:rPr>
      </w:pPr>
      <w:r w:rsidRPr="001B0EA3">
        <w:rPr>
          <w:szCs w:val="24"/>
          <w:u w:val="single"/>
          <w:lang w:eastAsia="bg-BG"/>
        </w:rPr>
        <w:t>Под-модул „Одит” – Въвежда се информация за всички извършени одити и констатациите по тях.</w:t>
      </w:r>
    </w:p>
    <w:p w14:paraId="6BA53B8E" w14:textId="77777777" w:rsidR="00636E8C" w:rsidRPr="001B0EA3" w:rsidRDefault="00636E8C" w:rsidP="00046D61">
      <w:pPr>
        <w:numPr>
          <w:ilvl w:val="0"/>
          <w:numId w:val="215"/>
        </w:numPr>
        <w:tabs>
          <w:tab w:val="left" w:pos="851"/>
        </w:tabs>
        <w:ind w:left="0" w:firstLine="567"/>
        <w:rPr>
          <w:szCs w:val="24"/>
          <w:u w:val="single"/>
          <w:lang w:eastAsia="bg-BG"/>
        </w:rPr>
      </w:pPr>
      <w:r w:rsidRPr="001B0EA3">
        <w:rPr>
          <w:b/>
          <w:szCs w:val="24"/>
          <w:u w:val="single"/>
          <w:lang w:eastAsia="bg-BG"/>
        </w:rPr>
        <w:t>Модул „Наблюдение”</w:t>
      </w:r>
      <w:r w:rsidRPr="001B0EA3">
        <w:rPr>
          <w:szCs w:val="24"/>
          <w:u w:val="single"/>
          <w:lang w:eastAsia="bg-BG"/>
        </w:rPr>
        <w:t xml:space="preserve">– Позволява генериране на различни видове справки, които да се включват в изготвяните отчети и доклади и да подпомогнат процесите по управление, анализ и оценка на въздействието на прилаганите мерки. Позволява извеждането на задължителните за поддържане в компютъризирана форма данни. </w:t>
      </w:r>
    </w:p>
    <w:p w14:paraId="3CEAAFAC" w14:textId="77777777" w:rsidR="00636E8C" w:rsidRPr="001B0EA3" w:rsidRDefault="00636E8C" w:rsidP="00046D61">
      <w:pPr>
        <w:numPr>
          <w:ilvl w:val="0"/>
          <w:numId w:val="215"/>
        </w:numPr>
        <w:tabs>
          <w:tab w:val="left" w:pos="851"/>
        </w:tabs>
        <w:ind w:left="0" w:firstLine="567"/>
        <w:rPr>
          <w:szCs w:val="24"/>
          <w:u w:val="single"/>
          <w:lang w:eastAsia="bg-BG"/>
        </w:rPr>
      </w:pPr>
      <w:r w:rsidRPr="001B0EA3">
        <w:rPr>
          <w:b/>
          <w:szCs w:val="24"/>
          <w:u w:val="single"/>
          <w:lang w:eastAsia="bg-BG"/>
        </w:rPr>
        <w:t>Модул „Лог”</w:t>
      </w:r>
      <w:r w:rsidRPr="001B0EA3">
        <w:rPr>
          <w:szCs w:val="24"/>
          <w:u w:val="single"/>
          <w:lang w:eastAsia="bg-BG"/>
        </w:rPr>
        <w:t xml:space="preserve"> – поддържа се пълен лог на извършените от потребителите действия.</w:t>
      </w:r>
    </w:p>
    <w:p w14:paraId="12622158" w14:textId="77777777" w:rsidR="00636E8C" w:rsidRPr="001B0EA3" w:rsidRDefault="00636E8C" w:rsidP="00046D61">
      <w:pPr>
        <w:numPr>
          <w:ilvl w:val="0"/>
          <w:numId w:val="215"/>
        </w:numPr>
        <w:tabs>
          <w:tab w:val="left" w:pos="851"/>
        </w:tabs>
        <w:ind w:left="0" w:firstLine="567"/>
        <w:rPr>
          <w:szCs w:val="24"/>
          <w:u w:val="single"/>
          <w:lang w:eastAsia="bg-BG"/>
        </w:rPr>
      </w:pPr>
      <w:r w:rsidRPr="001B0EA3">
        <w:rPr>
          <w:b/>
          <w:szCs w:val="24"/>
          <w:u w:val="single"/>
          <w:lang w:eastAsia="bg-BG"/>
        </w:rPr>
        <w:t xml:space="preserve">Връзки с външни информационни системи – </w:t>
      </w:r>
      <w:r w:rsidRPr="001B0EA3">
        <w:rPr>
          <w:szCs w:val="24"/>
          <w:u w:val="single"/>
          <w:lang w:eastAsia="bg-BG"/>
        </w:rPr>
        <w:t>системата поддържа връзки с други информационни системи, които позволяват извършването на различни насрещни проверки и намаляват вероятността от грешки при въвеждане на данни. Изградени са връзки с Търговския регистър, Регистър „Булстат“ и Централния регистър на юридическите лица с нестопанска цел. Разработена е връзка между ИСУН и счетоводната система САП, която може да се опише със следната диаграма:</w:t>
      </w:r>
    </w:p>
    <w:p w14:paraId="59A5E7DC" w14:textId="77777777" w:rsidR="00636E8C" w:rsidRPr="001B0EA3" w:rsidRDefault="00636E8C" w:rsidP="00046D61">
      <w:pPr>
        <w:ind w:firstLine="0"/>
        <w:jc w:val="center"/>
        <w:rPr>
          <w:szCs w:val="24"/>
          <w:u w:val="single"/>
          <w:lang w:eastAsia="bg-BG"/>
        </w:rPr>
      </w:pPr>
      <w:r w:rsidRPr="001B0EA3">
        <w:rPr>
          <w:szCs w:val="24"/>
          <w:u w:val="single"/>
          <w:lang w:eastAsia="bg-BG"/>
        </w:rPr>
        <w:object w:dxaOrig="10456" w:dyaOrig="11521" w14:anchorId="2D24F739">
          <v:shape id="_x0000_i1028" type="#_x0000_t75" style="width:402pt;height:447pt" o:ole="">
            <v:imagedata r:id="rId317" o:title=""/>
          </v:shape>
          <o:OLEObject Type="Embed" ProgID="Visio.Drawing.15" ShapeID="_x0000_i1028" DrawAspect="Content" ObjectID="_1751357473" r:id="rId318"/>
        </w:object>
      </w:r>
    </w:p>
    <w:p w14:paraId="4CBCDA48" w14:textId="77777777" w:rsidR="00636E8C" w:rsidRPr="001B0EA3" w:rsidRDefault="00636E8C" w:rsidP="00046D61">
      <w:pPr>
        <w:numPr>
          <w:ilvl w:val="0"/>
          <w:numId w:val="215"/>
        </w:numPr>
        <w:tabs>
          <w:tab w:val="left" w:pos="851"/>
        </w:tabs>
        <w:ind w:left="0" w:firstLine="567"/>
        <w:rPr>
          <w:szCs w:val="24"/>
          <w:u w:val="single"/>
          <w:lang w:eastAsia="bg-BG"/>
        </w:rPr>
      </w:pPr>
      <w:r w:rsidRPr="001B0EA3">
        <w:rPr>
          <w:b/>
          <w:szCs w:val="24"/>
          <w:u w:val="single"/>
          <w:lang w:eastAsia="bg-BG"/>
        </w:rPr>
        <w:t>Модул „Е-кандидатстване”</w:t>
      </w:r>
      <w:r w:rsidRPr="001B0EA3">
        <w:rPr>
          <w:szCs w:val="24"/>
          <w:u w:val="single"/>
          <w:lang w:eastAsia="bg-BG"/>
        </w:rPr>
        <w:t xml:space="preserve"> – Предоставя възможност за електронно подаване на проектни предложения от кандидатите, чрез използването на електронен подпис. Той е изграден на база използваните в програмния период 2007-2013 г. електронни услуги и съдържа следните под-модули:</w:t>
      </w:r>
    </w:p>
    <w:p w14:paraId="040EE390" w14:textId="77777777" w:rsidR="00636E8C" w:rsidRPr="001B0EA3" w:rsidRDefault="00636E8C" w:rsidP="00046D61">
      <w:pPr>
        <w:rPr>
          <w:b/>
          <w:szCs w:val="24"/>
          <w:u w:val="single"/>
          <w:lang w:eastAsia="bg-BG"/>
        </w:rPr>
      </w:pPr>
    </w:p>
    <w:p w14:paraId="4A3CB1E6" w14:textId="77777777" w:rsidR="00636E8C" w:rsidRPr="001B0EA3" w:rsidRDefault="00636E8C" w:rsidP="00046D61">
      <w:pPr>
        <w:ind w:firstLine="567"/>
        <w:rPr>
          <w:szCs w:val="24"/>
          <w:u w:val="single"/>
          <w:lang w:eastAsia="bg-BG"/>
        </w:rPr>
      </w:pPr>
      <w:r w:rsidRPr="001B0EA3">
        <w:rPr>
          <w:b/>
          <w:szCs w:val="24"/>
          <w:u w:val="single"/>
          <w:lang w:eastAsia="bg-BG"/>
        </w:rPr>
        <w:t xml:space="preserve">Под-модул „Регистрация” </w:t>
      </w:r>
      <w:r w:rsidRPr="001B0EA3">
        <w:rPr>
          <w:szCs w:val="24"/>
          <w:u w:val="single"/>
          <w:lang w:eastAsia="bg-BG"/>
        </w:rPr>
        <w:t>– Въвежда се обща информация за кандидата.</w:t>
      </w:r>
    </w:p>
    <w:p w14:paraId="1581B34D" w14:textId="77777777" w:rsidR="00636E8C" w:rsidRPr="001B0EA3" w:rsidRDefault="00636E8C" w:rsidP="00046D61">
      <w:pPr>
        <w:ind w:firstLine="567"/>
        <w:rPr>
          <w:szCs w:val="24"/>
          <w:u w:val="single"/>
          <w:lang w:eastAsia="bg-BG"/>
        </w:rPr>
      </w:pPr>
      <w:r w:rsidRPr="001B0EA3">
        <w:rPr>
          <w:szCs w:val="24"/>
          <w:u w:val="single"/>
          <w:lang w:eastAsia="bg-BG"/>
        </w:rPr>
        <w:t>Под-модул „Проектни предложения” – Въвежда се информация за проектни предложения. В ИСУН 2020 се поддържа информация за проектно предложение, включваща цялостния формуляр за кандидатстване, а не само части от него. Чрез този модул освен формуляра за кандидатстване могат да бъдат подавани и необходимите за кандидатстване други  доказателствени документи (декларации, справки и т.н.)</w:t>
      </w:r>
    </w:p>
    <w:p w14:paraId="2BC85648" w14:textId="77777777" w:rsidR="00636E8C" w:rsidRPr="001B0EA3" w:rsidRDefault="00636E8C" w:rsidP="00046D61">
      <w:pPr>
        <w:ind w:firstLine="567"/>
        <w:rPr>
          <w:szCs w:val="24"/>
          <w:u w:val="single"/>
          <w:lang w:eastAsia="bg-BG"/>
        </w:rPr>
      </w:pPr>
      <w:r w:rsidRPr="001B0EA3">
        <w:rPr>
          <w:szCs w:val="24"/>
          <w:u w:val="single"/>
          <w:lang w:eastAsia="bg-BG"/>
        </w:rPr>
        <w:t>Под-модул „Комуникации” – Предоставя възможност за осъществяване на комуникация между кандидата и управляващия орган/оценителната комисия в процеса на оценка.</w:t>
      </w:r>
    </w:p>
    <w:p w14:paraId="3FA2E2AC" w14:textId="77777777" w:rsidR="00636E8C" w:rsidRPr="001B0EA3" w:rsidRDefault="00636E8C" w:rsidP="00046D61">
      <w:pPr>
        <w:numPr>
          <w:ilvl w:val="0"/>
          <w:numId w:val="215"/>
        </w:numPr>
        <w:tabs>
          <w:tab w:val="left" w:pos="851"/>
        </w:tabs>
        <w:ind w:left="0" w:firstLine="567"/>
        <w:rPr>
          <w:szCs w:val="24"/>
          <w:u w:val="single"/>
          <w:lang w:eastAsia="bg-BG"/>
        </w:rPr>
      </w:pPr>
      <w:r w:rsidRPr="001B0EA3">
        <w:rPr>
          <w:b/>
          <w:szCs w:val="24"/>
          <w:u w:val="single"/>
          <w:lang w:eastAsia="bg-BG"/>
        </w:rPr>
        <w:t>Модул „Е-Управление на проекти”</w:t>
      </w:r>
      <w:r w:rsidRPr="001B0EA3">
        <w:rPr>
          <w:szCs w:val="24"/>
          <w:u w:val="single"/>
          <w:lang w:eastAsia="bg-BG"/>
        </w:rPr>
        <w:t xml:space="preserve"> – функционалността осигурява цялостно отчитане на проекта от страна на бенефициента и комуникация с управляващия орган. Съдържа следните под-модули:</w:t>
      </w:r>
    </w:p>
    <w:p w14:paraId="66DEA425" w14:textId="77777777" w:rsidR="00636E8C" w:rsidRPr="001B0EA3" w:rsidRDefault="00636E8C" w:rsidP="00046D61">
      <w:pPr>
        <w:ind w:firstLine="567"/>
        <w:rPr>
          <w:szCs w:val="24"/>
          <w:u w:val="single"/>
          <w:lang w:eastAsia="bg-BG"/>
        </w:rPr>
      </w:pPr>
      <w:r w:rsidRPr="001B0EA3">
        <w:rPr>
          <w:szCs w:val="24"/>
          <w:u w:val="single"/>
          <w:lang w:eastAsia="bg-BG"/>
        </w:rPr>
        <w:t xml:space="preserve">Под-модул „Е-комуникация“ – Функционалността предоставя възможност за изцяло електронна комуникация на бенефициента с Управляващ орган, Сертифициращ и Одитен орган, включително изпращане на официални документи. </w:t>
      </w:r>
    </w:p>
    <w:p w14:paraId="064BFA1C" w14:textId="77777777" w:rsidR="00636E8C" w:rsidRPr="001B0EA3" w:rsidRDefault="00636E8C" w:rsidP="00046D61">
      <w:pPr>
        <w:ind w:firstLine="567"/>
        <w:rPr>
          <w:szCs w:val="24"/>
          <w:u w:val="single"/>
          <w:lang w:eastAsia="bg-BG"/>
        </w:rPr>
      </w:pPr>
      <w:r w:rsidRPr="001B0EA3">
        <w:rPr>
          <w:szCs w:val="24"/>
          <w:u w:val="single"/>
          <w:lang w:eastAsia="bg-BG"/>
        </w:rPr>
        <w:lastRenderedPageBreak/>
        <w:t>Под-модул „Е-отчитане” – Предоставя на потребителя възможност за електронно подаване на отчетни документи, включително: технически отчет, разходооправдателни документи, финансов отчет, искане за плащане.</w:t>
      </w:r>
    </w:p>
    <w:p w14:paraId="2BC6AF68" w14:textId="77777777" w:rsidR="00636E8C" w:rsidRPr="001B0EA3" w:rsidRDefault="00636E8C" w:rsidP="00046D61">
      <w:pPr>
        <w:numPr>
          <w:ilvl w:val="0"/>
          <w:numId w:val="215"/>
        </w:numPr>
        <w:tabs>
          <w:tab w:val="left" w:pos="851"/>
        </w:tabs>
        <w:ind w:left="0" w:firstLine="567"/>
        <w:rPr>
          <w:b/>
          <w:szCs w:val="24"/>
          <w:u w:val="single"/>
          <w:lang w:eastAsia="bg-BG"/>
        </w:rPr>
      </w:pPr>
      <w:r w:rsidRPr="001B0EA3">
        <w:rPr>
          <w:b/>
          <w:szCs w:val="24"/>
          <w:u w:val="single"/>
          <w:lang w:eastAsia="bg-BG"/>
        </w:rPr>
        <w:t xml:space="preserve">Модул за публична информация </w:t>
      </w:r>
      <w:r w:rsidRPr="001B0EA3">
        <w:rPr>
          <w:szCs w:val="24"/>
          <w:u w:val="single"/>
          <w:lang w:eastAsia="bg-BG"/>
        </w:rPr>
        <w:t>– Предоставя обобщена информация за финансовото изпълнение на Оперативните програми (договорени и изплатени средства), общо и по отделно за всяка една, на различните нива на информацията: от ниво програма (профил, прогноза, изпълнение), през приоритетна ос, под-приоритет, процедура. Предоставя информация за проектите, които се изпълняват при бенефициентите (по тип на бенефициента) и за изпълнителите на проектите. Модулът изпълнява изискванията за предоставяне на публична информация съгласно Приложение XII на Регламент (ЕС) № 1303/2013 г.</w:t>
      </w:r>
    </w:p>
    <w:p w14:paraId="0043FB35" w14:textId="77777777" w:rsidR="00824381" w:rsidRPr="001B0EA3" w:rsidRDefault="00824381" w:rsidP="00046D61">
      <w:pPr>
        <w:rPr>
          <w:szCs w:val="24"/>
          <w:u w:val="single"/>
          <w:lang w:eastAsia="bg-BG"/>
        </w:rPr>
      </w:pPr>
    </w:p>
    <w:p w14:paraId="4B08CC3D" w14:textId="77777777" w:rsidR="00D603F5" w:rsidRPr="00842ECC" w:rsidRDefault="00D603F5" w:rsidP="00B502C7">
      <w:pPr>
        <w:pStyle w:val="Style2"/>
        <w:rPr>
          <w:snapToGrid w:val="0"/>
          <w:lang w:val="bg-BG"/>
        </w:rPr>
      </w:pPr>
      <w:bookmarkStart w:id="1350" w:name="_Toc479775830"/>
      <w:bookmarkStart w:id="1351" w:name="_Toc140150312"/>
      <w:r w:rsidRPr="00842ECC">
        <w:rPr>
          <w:snapToGrid w:val="0"/>
          <w:lang w:val="bg-BG"/>
        </w:rPr>
        <w:t xml:space="preserve">Системата на Европейската комисия за управление на фондовете </w:t>
      </w:r>
      <w:r w:rsidRPr="001B0EA3">
        <w:rPr>
          <w:snapToGrid w:val="0"/>
        </w:rPr>
        <w:t>SFC</w:t>
      </w:r>
      <w:r w:rsidRPr="00842ECC">
        <w:rPr>
          <w:snapToGrid w:val="0"/>
          <w:lang w:val="bg-BG"/>
        </w:rPr>
        <w:t xml:space="preserve"> 2014</w:t>
      </w:r>
      <w:bookmarkEnd w:id="1350"/>
      <w:bookmarkEnd w:id="1351"/>
    </w:p>
    <w:p w14:paraId="2B900B8B" w14:textId="77777777" w:rsidR="00D603F5" w:rsidRPr="001B0EA3" w:rsidRDefault="00D603F5" w:rsidP="00660856">
      <w:pPr>
        <w:pStyle w:val="ListParagraph"/>
        <w:rPr>
          <w:snapToGrid w:val="0"/>
        </w:rPr>
      </w:pPr>
    </w:p>
    <w:p w14:paraId="50178B04" w14:textId="77777777" w:rsidR="00CF251C" w:rsidRPr="001B0EA3" w:rsidRDefault="00CF251C" w:rsidP="00660856">
      <w:pPr>
        <w:rPr>
          <w:szCs w:val="24"/>
          <w:lang w:eastAsia="bg-BG"/>
        </w:rPr>
      </w:pPr>
      <w:r w:rsidRPr="001B0EA3">
        <w:rPr>
          <w:szCs w:val="24"/>
          <w:lang w:eastAsia="bg-BG"/>
        </w:rPr>
        <w:t xml:space="preserve">Използването на системата на Европейската комисия за управление на фондовете SFC 2014 (Системата) от Управляващия орган на ОПТТИ се осъществява съгласно </w:t>
      </w:r>
      <w:r w:rsidRPr="001B0EA3">
        <w:rPr>
          <w:i/>
          <w:szCs w:val="24"/>
          <w:lang w:eastAsia="bg-BG"/>
        </w:rPr>
        <w:t>„Политика за сигурност на достъпа до SFC 2014 и процедура за управление на достъпа”</w:t>
      </w:r>
      <w:r w:rsidRPr="001B0EA3">
        <w:rPr>
          <w:szCs w:val="24"/>
          <w:lang w:eastAsia="bg-BG"/>
        </w:rPr>
        <w:t>, определени със Заповед № Р-33/25.02.2014 г. и последващи изменения на заместник министър-председателя по европейските фондове и икономическата политика (</w:t>
      </w:r>
      <w:hyperlink r:id="rId319" w:tooltip="Писмо правила и сигурност до SFC 2014" w:history="1">
        <w:r w:rsidR="00AE381A" w:rsidRPr="00251D03">
          <w:rPr>
            <w:rStyle w:val="Hyperlink"/>
            <w:i/>
            <w:szCs w:val="24"/>
            <w:lang w:eastAsia="bg-BG"/>
          </w:rPr>
          <w:t>Приложение № 9.04</w:t>
        </w:r>
      </w:hyperlink>
      <w:r w:rsidRPr="001B0EA3">
        <w:rPr>
          <w:b/>
          <w:szCs w:val="24"/>
          <w:lang w:eastAsia="bg-BG"/>
        </w:rPr>
        <w:t>)</w:t>
      </w:r>
      <w:r w:rsidRPr="001B0EA3">
        <w:rPr>
          <w:szCs w:val="24"/>
          <w:lang w:eastAsia="bg-BG"/>
        </w:rPr>
        <w:t>.</w:t>
      </w:r>
    </w:p>
    <w:p w14:paraId="323D0925" w14:textId="77777777" w:rsidR="00CF251C" w:rsidRPr="001B0EA3" w:rsidRDefault="00CF251C" w:rsidP="00660856">
      <w:pPr>
        <w:rPr>
          <w:szCs w:val="24"/>
          <w:lang w:eastAsia="bg-BG"/>
        </w:rPr>
      </w:pPr>
      <w:r w:rsidRPr="001B0EA3">
        <w:rPr>
          <w:szCs w:val="24"/>
          <w:lang w:eastAsia="bg-BG"/>
        </w:rPr>
        <w:t>Функциите на централен координатор на Системата на национално ниво се изпълнява от експерти от дирекция „Информация и системи за управление на средствата от ЕС” (ИСУСЕС) в администрацията на МС.</w:t>
      </w:r>
    </w:p>
    <w:p w14:paraId="6A94B179" w14:textId="77777777" w:rsidR="00CF251C" w:rsidRPr="001B0EA3" w:rsidRDefault="00CF251C" w:rsidP="00660856">
      <w:pPr>
        <w:rPr>
          <w:b/>
          <w:szCs w:val="24"/>
          <w:lang w:eastAsia="bg-BG"/>
        </w:rPr>
      </w:pPr>
      <w:r w:rsidRPr="001B0EA3">
        <w:rPr>
          <w:szCs w:val="24"/>
          <w:lang w:eastAsia="bg-BG"/>
        </w:rPr>
        <w:t xml:space="preserve">УО на ОПТТИ използва системата SFC 2014 в съответствие с утвърдените от заместник министър-председателя и министър на правосъдието </w:t>
      </w:r>
      <w:r w:rsidRPr="001B0EA3">
        <w:rPr>
          <w:i/>
          <w:szCs w:val="24"/>
          <w:lang w:eastAsia="bg-BG"/>
        </w:rPr>
        <w:t>(понастоящем заместник министър-председателя по европейските фондове и икономическата политика)</w:t>
      </w:r>
      <w:r w:rsidRPr="001B0EA3">
        <w:rPr>
          <w:szCs w:val="24"/>
          <w:lang w:eastAsia="bg-BG"/>
        </w:rPr>
        <w:t xml:space="preserve"> политика за сигурност на достъпа и процедура за управление на достъпа  </w:t>
      </w:r>
      <w:r w:rsidRPr="001B0EA3">
        <w:rPr>
          <w:b/>
          <w:szCs w:val="24"/>
          <w:lang w:eastAsia="bg-BG"/>
        </w:rPr>
        <w:t>(</w:t>
      </w:r>
      <w:hyperlink r:id="rId320" w:tooltip="Писмо правила и сигурност до SFC 2014" w:history="1">
        <w:r w:rsidR="00AE381A" w:rsidRPr="00251D03">
          <w:rPr>
            <w:rStyle w:val="Hyperlink"/>
            <w:i/>
            <w:szCs w:val="24"/>
            <w:lang w:eastAsia="bg-BG"/>
          </w:rPr>
          <w:t>Приложение № 9.04</w:t>
        </w:r>
      </w:hyperlink>
      <w:r w:rsidRPr="001B0EA3">
        <w:rPr>
          <w:b/>
          <w:szCs w:val="24"/>
          <w:lang w:eastAsia="bg-BG"/>
        </w:rPr>
        <w:t>).</w:t>
      </w:r>
    </w:p>
    <w:p w14:paraId="65695169" w14:textId="77777777" w:rsidR="00CF251C" w:rsidRPr="001B0EA3" w:rsidRDefault="00CF251C" w:rsidP="00046D61">
      <w:pPr>
        <w:spacing w:before="120"/>
        <w:rPr>
          <w:b/>
          <w:color w:val="000000"/>
          <w:szCs w:val="24"/>
          <w:u w:val="single"/>
        </w:rPr>
      </w:pPr>
      <w:r w:rsidRPr="001B0EA3">
        <w:rPr>
          <w:b/>
          <w:color w:val="000000"/>
          <w:szCs w:val="24"/>
          <w:u w:val="single"/>
        </w:rPr>
        <w:t>Получаване на потребителско име и парола за достъп до системата SFC 2014</w:t>
      </w:r>
    </w:p>
    <w:p w14:paraId="14651CE9" w14:textId="77777777" w:rsidR="00CF251C" w:rsidRPr="001B0EA3" w:rsidRDefault="00CF251C" w:rsidP="00660856">
      <w:pPr>
        <w:rPr>
          <w:szCs w:val="24"/>
          <w:lang w:eastAsia="bg-BG"/>
        </w:rPr>
      </w:pPr>
      <w:r w:rsidRPr="001B0EA3">
        <w:rPr>
          <w:szCs w:val="24"/>
          <w:lang w:eastAsia="bg-BG"/>
        </w:rPr>
        <w:t>Потребители на системата създават сами свой ECAS акаунт като за това използват своя служебен e-mail. Те трябва да предоставят на служителите за връзка (MS Liaison или MS Liaison Deputy в дирекция „Информация и системи за управление на средствата от ЕС в администрацията на Министерския съюз ) своя ECASuid заедно с допълнителната информация/документи, за да им бъде открит профил за достъп в SFC 2014.</w:t>
      </w:r>
    </w:p>
    <w:p w14:paraId="0612E27A" w14:textId="77777777" w:rsidR="00CF251C" w:rsidRPr="001B0EA3" w:rsidRDefault="00CF251C" w:rsidP="00660856">
      <w:pPr>
        <w:rPr>
          <w:szCs w:val="24"/>
          <w:lang w:eastAsia="bg-BG"/>
        </w:rPr>
      </w:pPr>
      <w:r w:rsidRPr="001B0EA3">
        <w:rPr>
          <w:szCs w:val="24"/>
          <w:lang w:eastAsia="bg-BG"/>
        </w:rPr>
        <w:t>Всеки профил за достъп се свързва само с един потребител. ECAS профилът, създаден за конкретния потребител, ще бъде достъпен само чрез използване на потребителското име и парола.</w:t>
      </w:r>
    </w:p>
    <w:p w14:paraId="1D870EE8" w14:textId="77777777" w:rsidR="00CF251C" w:rsidRPr="001B0EA3" w:rsidRDefault="00CF251C" w:rsidP="00660856">
      <w:pPr>
        <w:rPr>
          <w:szCs w:val="24"/>
          <w:lang w:eastAsia="bg-BG"/>
        </w:rPr>
      </w:pPr>
      <w:r w:rsidRPr="001B0EA3">
        <w:rPr>
          <w:szCs w:val="24"/>
          <w:lang w:eastAsia="bg-BG"/>
        </w:rPr>
        <w:t xml:space="preserve">След като на потребителя е създаден профил за достъп чрез националния координатор на системата (MS Liaison), той/тя получава специфични права за достъп в SFC 2014, съгласно подадената заявка, приложена към настоящата Политика и процедура за управление на достъпа. Заявката от своя страна трябва да отговаря на длъжностната характеристика на всеки служител. Това обстоятелство се гарантира от ръководителя на звеното, подало заявката. Моделът за сигурност на SFC2014 гарантира, че потребителите имат достъп само до конкретните данни, за които имат право според ролята им в SFC 2014, определена в профила за достъп и в заявката за достъп. </w:t>
      </w:r>
    </w:p>
    <w:p w14:paraId="615390AD" w14:textId="77777777" w:rsidR="00CF251C" w:rsidRPr="001B0EA3" w:rsidRDefault="00CF251C" w:rsidP="00660856">
      <w:pPr>
        <w:rPr>
          <w:szCs w:val="24"/>
          <w:lang w:eastAsia="bg-BG"/>
        </w:rPr>
      </w:pPr>
      <w:r w:rsidRPr="001B0EA3">
        <w:rPr>
          <w:szCs w:val="24"/>
          <w:lang w:eastAsia="bg-BG"/>
        </w:rPr>
        <w:t>Управлението на потребителски профили в Р. България се извършва единствено от централния координатор на системата на Европейската комисия за управление на фондовете SFC 2014 на национално ниво в дирекция „Информация и системи за средствата от ЕС в администрацията на Министерски съвет (MS Liaison и MS Liaison Deputy). Само той има право да поиска от Европейската Комисия създаване, изтриване или промяна на потребителски профили.</w:t>
      </w:r>
    </w:p>
    <w:p w14:paraId="5DE2381A" w14:textId="77777777" w:rsidR="00CF251C" w:rsidRPr="001B0EA3" w:rsidRDefault="00CF251C" w:rsidP="00660856">
      <w:pPr>
        <w:rPr>
          <w:szCs w:val="24"/>
          <w:lang w:eastAsia="bg-BG"/>
        </w:rPr>
      </w:pPr>
    </w:p>
    <w:p w14:paraId="4A8F35EE" w14:textId="77777777" w:rsidR="00D603F5" w:rsidRPr="001B0EA3" w:rsidRDefault="00D603F5" w:rsidP="00046D61">
      <w:pPr>
        <w:spacing w:before="120"/>
        <w:rPr>
          <w:b/>
          <w:color w:val="000000"/>
          <w:szCs w:val="24"/>
          <w:u w:val="single"/>
        </w:rPr>
      </w:pPr>
      <w:r w:rsidRPr="001B0EA3">
        <w:rPr>
          <w:b/>
          <w:color w:val="000000"/>
          <w:szCs w:val="24"/>
          <w:u w:val="single"/>
        </w:rPr>
        <w:t>Създаване, изменение и прекратяване на достъп до системата SFC 2014-06-10</w:t>
      </w:r>
    </w:p>
    <w:p w14:paraId="7314C84B" w14:textId="77777777" w:rsidR="00D603F5" w:rsidRPr="001B0EA3" w:rsidRDefault="00D603F5" w:rsidP="00660856">
      <w:pPr>
        <w:rPr>
          <w:szCs w:val="24"/>
          <w:lang w:eastAsia="bg-BG"/>
        </w:rPr>
      </w:pPr>
      <w:r w:rsidRPr="001B0EA3">
        <w:rPr>
          <w:szCs w:val="24"/>
          <w:lang w:eastAsia="bg-BG"/>
        </w:rPr>
        <w:lastRenderedPageBreak/>
        <w:t xml:space="preserve">Създаването, изменението и прекратяването на профил за достъп до системата на Европейската комисия за управление на фондовете SFC 2014 става в съответствие с определената </w:t>
      </w:r>
      <w:r w:rsidR="00CF251C" w:rsidRPr="001B0EA3">
        <w:rPr>
          <w:szCs w:val="24"/>
          <w:lang w:eastAsia="bg-BG"/>
        </w:rPr>
        <w:t xml:space="preserve">заместник министър-председателя и министър на правосъдието </w:t>
      </w:r>
      <w:r w:rsidR="00CF251C" w:rsidRPr="001B0EA3">
        <w:rPr>
          <w:i/>
          <w:szCs w:val="24"/>
          <w:lang w:eastAsia="bg-BG"/>
        </w:rPr>
        <w:t>(понастоящем заместник министър-председателя по европейските фондове и икономическата политика)</w:t>
      </w:r>
      <w:r w:rsidR="00CF251C" w:rsidRPr="001B0EA3" w:rsidDel="00BE53D2">
        <w:rPr>
          <w:szCs w:val="24"/>
          <w:lang w:eastAsia="bg-BG"/>
        </w:rPr>
        <w:t xml:space="preserve"> </w:t>
      </w:r>
      <w:r w:rsidRPr="001B0EA3">
        <w:rPr>
          <w:i/>
          <w:szCs w:val="24"/>
          <w:lang w:eastAsia="bg-BG"/>
        </w:rPr>
        <w:t>„Политика за сигурност на достъпа до SFC 2014 и процедура за управление на достъпа”</w:t>
      </w:r>
      <w:r w:rsidR="0047251E" w:rsidRPr="001B0EA3">
        <w:rPr>
          <w:i/>
          <w:szCs w:val="24"/>
          <w:lang w:eastAsia="bg-BG"/>
        </w:rPr>
        <w:t xml:space="preserve"> </w:t>
      </w:r>
      <w:r w:rsidR="0047251E" w:rsidRPr="001B0EA3">
        <w:rPr>
          <w:b/>
          <w:szCs w:val="24"/>
          <w:lang w:eastAsia="bg-BG"/>
        </w:rPr>
        <w:t>(</w:t>
      </w:r>
      <w:hyperlink r:id="rId321" w:tooltip="Писмо правила и сигурност до SFC 2014" w:history="1">
        <w:r w:rsidR="00AE381A" w:rsidRPr="00251D03">
          <w:rPr>
            <w:rStyle w:val="Hyperlink"/>
            <w:i/>
            <w:szCs w:val="24"/>
            <w:lang w:eastAsia="bg-BG"/>
          </w:rPr>
          <w:t>Приложение № 9.04</w:t>
        </w:r>
      </w:hyperlink>
      <w:r w:rsidR="0047251E" w:rsidRPr="001B0EA3">
        <w:rPr>
          <w:b/>
          <w:szCs w:val="24"/>
          <w:lang w:eastAsia="bg-BG"/>
        </w:rPr>
        <w:t>).</w:t>
      </w:r>
    </w:p>
    <w:p w14:paraId="7F54E778" w14:textId="77777777" w:rsidR="00D603F5" w:rsidRPr="001B0EA3" w:rsidRDefault="00D603F5" w:rsidP="00660856">
      <w:pPr>
        <w:rPr>
          <w:szCs w:val="24"/>
          <w:lang w:eastAsia="bg-BG"/>
        </w:rPr>
      </w:pPr>
      <w:r w:rsidRPr="001B0EA3">
        <w:rPr>
          <w:szCs w:val="24"/>
          <w:lang w:eastAsia="bg-BG"/>
        </w:rPr>
        <w:t xml:space="preserve">Искането за създаване, изменение и прекратяване се подава с официално писмо от директора на дирекция „Координация на програми и проекти” до директора на дирекция ИСУСЕС. </w:t>
      </w:r>
    </w:p>
    <w:p w14:paraId="7740DB1B" w14:textId="77777777" w:rsidR="00D603F5" w:rsidRPr="001B0EA3" w:rsidRDefault="00D603F5" w:rsidP="00660856">
      <w:pPr>
        <w:rPr>
          <w:szCs w:val="24"/>
          <w:lang w:eastAsia="bg-BG"/>
        </w:rPr>
      </w:pPr>
      <w:r w:rsidRPr="001B0EA3">
        <w:rPr>
          <w:szCs w:val="24"/>
          <w:lang w:eastAsia="bg-BG"/>
        </w:rPr>
        <w:t>Всяко искане за създаване на профил на служител следва да е съобразено с функциите на служителя, определени в одобрената длъжностната характеристика на заеманата от него длъжност.</w:t>
      </w:r>
    </w:p>
    <w:p w14:paraId="0E228609" w14:textId="77777777" w:rsidR="00D603F5" w:rsidRPr="001B0EA3" w:rsidRDefault="00D603F5" w:rsidP="00660856">
      <w:pPr>
        <w:rPr>
          <w:szCs w:val="24"/>
          <w:lang w:eastAsia="bg-BG"/>
        </w:rPr>
      </w:pPr>
      <w:r w:rsidRPr="001B0EA3">
        <w:rPr>
          <w:szCs w:val="24"/>
          <w:lang w:eastAsia="bg-BG"/>
        </w:rPr>
        <w:t>Всяко искане за създаване на профил трябва да е придружено от следните документи и информация:</w:t>
      </w:r>
    </w:p>
    <w:p w14:paraId="5D7CB80C" w14:textId="77777777" w:rsidR="00D603F5" w:rsidRPr="001B0EA3" w:rsidRDefault="00D603F5" w:rsidP="00707FB7">
      <w:pPr>
        <w:numPr>
          <w:ilvl w:val="0"/>
          <w:numId w:val="99"/>
        </w:numPr>
        <w:tabs>
          <w:tab w:val="clear" w:pos="1854"/>
          <w:tab w:val="num" w:pos="1134"/>
        </w:tabs>
        <w:ind w:left="851" w:firstLine="0"/>
        <w:contextualSpacing/>
        <w:rPr>
          <w:szCs w:val="24"/>
          <w:lang w:eastAsia="en-US"/>
        </w:rPr>
      </w:pPr>
      <w:r w:rsidRPr="001B0EA3">
        <w:rPr>
          <w:szCs w:val="24"/>
          <w:lang w:eastAsia="en-US"/>
        </w:rPr>
        <w:t>Индивидуален ECAS uid за всеки служител, създаден от самия служител на базата на служебната му електронна поща;</w:t>
      </w:r>
    </w:p>
    <w:p w14:paraId="14AD87B8" w14:textId="77777777" w:rsidR="00D603F5" w:rsidRPr="001B0EA3" w:rsidRDefault="00D603F5" w:rsidP="00707FB7">
      <w:pPr>
        <w:numPr>
          <w:ilvl w:val="0"/>
          <w:numId w:val="99"/>
        </w:numPr>
        <w:tabs>
          <w:tab w:val="clear" w:pos="1854"/>
          <w:tab w:val="num" w:pos="1134"/>
        </w:tabs>
        <w:ind w:left="851" w:firstLine="0"/>
        <w:contextualSpacing/>
        <w:rPr>
          <w:szCs w:val="24"/>
          <w:lang w:eastAsia="en-US"/>
        </w:rPr>
      </w:pPr>
      <w:r w:rsidRPr="001B0EA3">
        <w:rPr>
          <w:szCs w:val="24"/>
          <w:lang w:eastAsia="en-US"/>
        </w:rPr>
        <w:t>Заявка за създаване/промяна/закриване на профил за достъп до системата на Европейската комисия за управление на фондовете SFC 2014 по образец.</w:t>
      </w:r>
    </w:p>
    <w:p w14:paraId="603C4BC6" w14:textId="77777777" w:rsidR="00D603F5" w:rsidRPr="001B0EA3" w:rsidRDefault="00D603F5" w:rsidP="00707FB7">
      <w:pPr>
        <w:numPr>
          <w:ilvl w:val="0"/>
          <w:numId w:val="99"/>
        </w:numPr>
        <w:tabs>
          <w:tab w:val="clear" w:pos="1854"/>
          <w:tab w:val="num" w:pos="1134"/>
        </w:tabs>
        <w:ind w:left="851" w:firstLine="0"/>
        <w:contextualSpacing/>
        <w:rPr>
          <w:szCs w:val="24"/>
          <w:lang w:eastAsia="en-US"/>
        </w:rPr>
      </w:pPr>
      <w:r w:rsidRPr="001B0EA3">
        <w:rPr>
          <w:szCs w:val="24"/>
          <w:lang w:eastAsia="en-US"/>
        </w:rPr>
        <w:t xml:space="preserve">Актуална заповед на ръководителя на администрацията към която принадлежи служителя, в която на лицето е определен достъп до Системата; </w:t>
      </w:r>
    </w:p>
    <w:p w14:paraId="0433D209" w14:textId="77777777" w:rsidR="00D603F5" w:rsidRPr="001B0EA3" w:rsidRDefault="00D603F5" w:rsidP="00707FB7">
      <w:pPr>
        <w:numPr>
          <w:ilvl w:val="0"/>
          <w:numId w:val="99"/>
        </w:numPr>
        <w:tabs>
          <w:tab w:val="clear" w:pos="1854"/>
          <w:tab w:val="num" w:pos="1134"/>
        </w:tabs>
        <w:ind w:left="851" w:firstLine="0"/>
        <w:contextualSpacing/>
        <w:rPr>
          <w:szCs w:val="24"/>
          <w:lang w:eastAsia="en-US"/>
        </w:rPr>
      </w:pPr>
      <w:r w:rsidRPr="001B0EA3">
        <w:rPr>
          <w:szCs w:val="24"/>
          <w:lang w:eastAsia="en-US"/>
        </w:rPr>
        <w:t>Копие на утвърдена длъжностна характеристика, от която да е видна необходимостта от достъпа за изпълнението на служебните задължения на служителя.</w:t>
      </w:r>
    </w:p>
    <w:p w14:paraId="530D5459" w14:textId="77777777" w:rsidR="00D603F5" w:rsidRPr="001B0EA3" w:rsidRDefault="00D603F5" w:rsidP="00707FB7">
      <w:pPr>
        <w:numPr>
          <w:ilvl w:val="0"/>
          <w:numId w:val="99"/>
        </w:numPr>
        <w:tabs>
          <w:tab w:val="clear" w:pos="1854"/>
          <w:tab w:val="num" w:pos="1134"/>
        </w:tabs>
        <w:ind w:left="851" w:firstLine="0"/>
        <w:contextualSpacing/>
        <w:rPr>
          <w:szCs w:val="24"/>
          <w:lang w:eastAsia="en-US"/>
        </w:rPr>
      </w:pPr>
      <w:r w:rsidRPr="001B0EA3">
        <w:rPr>
          <w:szCs w:val="24"/>
          <w:lang w:eastAsia="en-US"/>
        </w:rPr>
        <w:t>Подписана декларация за поверителност.</w:t>
      </w:r>
    </w:p>
    <w:p w14:paraId="4169B332" w14:textId="77777777" w:rsidR="00D603F5" w:rsidRPr="001B0EA3" w:rsidRDefault="00D603F5" w:rsidP="00707FB7">
      <w:pPr>
        <w:numPr>
          <w:ilvl w:val="0"/>
          <w:numId w:val="99"/>
        </w:numPr>
        <w:tabs>
          <w:tab w:val="clear" w:pos="1854"/>
          <w:tab w:val="num" w:pos="1134"/>
        </w:tabs>
        <w:ind w:left="851" w:firstLine="0"/>
        <w:contextualSpacing/>
        <w:rPr>
          <w:szCs w:val="24"/>
          <w:lang w:eastAsia="en-US"/>
        </w:rPr>
      </w:pPr>
      <w:r w:rsidRPr="001B0EA3">
        <w:rPr>
          <w:szCs w:val="24"/>
          <w:lang w:eastAsia="en-US"/>
        </w:rPr>
        <w:t>Не се допуска едно и също лице да има право да качва и проверява и изпраща информация в системата.</w:t>
      </w:r>
    </w:p>
    <w:p w14:paraId="0F0C6F57" w14:textId="77777777" w:rsidR="00D603F5" w:rsidRPr="001B0EA3" w:rsidRDefault="00D603F5" w:rsidP="00660856">
      <w:pPr>
        <w:rPr>
          <w:szCs w:val="24"/>
          <w:lang w:eastAsia="bg-BG"/>
        </w:rPr>
      </w:pPr>
      <w:r w:rsidRPr="001B0EA3">
        <w:rPr>
          <w:szCs w:val="24"/>
          <w:lang w:eastAsia="bg-BG"/>
        </w:rPr>
        <w:t>Достъп до системата SFC 2014 могат да имат служители на УО на ОПТТИ, в чиято одобрена длъжностна характеристика е видна необходимостта от достъп до системата за изпълнение на служебните задължения.</w:t>
      </w:r>
    </w:p>
    <w:p w14:paraId="6B181ED7" w14:textId="6F8C5F39" w:rsidR="00FE0EAE" w:rsidRPr="001B0EA3" w:rsidRDefault="00FE0EAE" w:rsidP="00FE0EAE">
      <w:pPr>
        <w:rPr>
          <w:szCs w:val="24"/>
          <w:lang w:eastAsia="bg-BG"/>
        </w:rPr>
      </w:pPr>
      <w:r w:rsidRPr="001B0EA3">
        <w:rPr>
          <w:szCs w:val="24"/>
          <w:lang w:eastAsia="bg-BG"/>
        </w:rPr>
        <w:t>От отдел „</w:t>
      </w:r>
      <w:r>
        <w:rPr>
          <w:szCs w:val="24"/>
          <w:lang w:eastAsia="bg-BG"/>
        </w:rPr>
        <w:t>Наблюдение и оценка</w:t>
      </w:r>
      <w:r w:rsidRPr="001B0EA3">
        <w:rPr>
          <w:szCs w:val="24"/>
          <w:lang w:eastAsia="bg-BG"/>
        </w:rPr>
        <w:t>” се определя поне един служител, който осъществява координацията при използването на Системата между УО на ОПТТИ и централния координатор на системата (MS Liaison) в дирекция ИСУСЕС. Това задължение се записва в заповедта на министъра на транспорта и съобщенията, с която се определят длъжностните лица с право на достъп до системата. Координаторът в УО на ОПТТИ изпълнява функции по изготвяне, съгласуване и представяне за подпис на писма, заповеди, искания за създаване, изменение и прекратяване на профили, както и други документи произтичащи от изпълнението на  утвърдените процедури за използването на SFC 2014 от УО на ОПТТИ. За тази цел началниците на отдели в дирекция „Координация на програми и проекти” представят на началника на отдел „</w:t>
      </w:r>
      <w:r>
        <w:rPr>
          <w:szCs w:val="24"/>
          <w:lang w:eastAsia="bg-BG"/>
        </w:rPr>
        <w:t>Наблюдение и оценка</w:t>
      </w:r>
      <w:r w:rsidRPr="001B0EA3">
        <w:rPr>
          <w:szCs w:val="24"/>
          <w:lang w:eastAsia="bg-BG"/>
        </w:rPr>
        <w:t>” имената на служителите от съответните отдели на които да се осигури достъп до системата. От длъжностните характеристики на тези служители следва да е видна необходимостта от достъп до SFC 2014 за изпълнение на служебните задължения.</w:t>
      </w:r>
    </w:p>
    <w:p w14:paraId="17640DD4" w14:textId="772DF781" w:rsidR="00D603F5" w:rsidRPr="001B0EA3" w:rsidRDefault="00D603F5" w:rsidP="00660856">
      <w:pPr>
        <w:rPr>
          <w:szCs w:val="24"/>
          <w:lang w:eastAsia="bg-BG"/>
        </w:rPr>
      </w:pPr>
      <w:r w:rsidRPr="001B0EA3">
        <w:rPr>
          <w:szCs w:val="24"/>
          <w:lang w:eastAsia="bg-BG"/>
        </w:rPr>
        <w:t xml:space="preserve">Следвайки утвърдените от заместник министър-председателя по европейските фондове и икономическата политика за сигурност на достъпа и процедура за управление на достъпа за използване на Системата, </w:t>
      </w:r>
      <w:r w:rsidR="00EE4789" w:rsidRPr="001B0EA3">
        <w:rPr>
          <w:szCs w:val="24"/>
          <w:lang w:eastAsia="bg-BG"/>
        </w:rPr>
        <w:t>, експертите от отдел „</w:t>
      </w:r>
      <w:r w:rsidR="00EE4789">
        <w:rPr>
          <w:szCs w:val="24"/>
          <w:lang w:eastAsia="bg-BG"/>
        </w:rPr>
        <w:t>Наблюдение и оценка</w:t>
      </w:r>
      <w:r w:rsidR="00EE4789" w:rsidRPr="001B0EA3">
        <w:rPr>
          <w:szCs w:val="24"/>
          <w:lang w:eastAsia="bg-BG"/>
        </w:rPr>
        <w:t xml:space="preserve">” изготвят </w:t>
      </w:r>
      <w:r w:rsidR="00EE4789">
        <w:rPr>
          <w:szCs w:val="24"/>
          <w:lang w:eastAsia="bg-BG"/>
        </w:rPr>
        <w:t>п</w:t>
      </w:r>
      <w:r w:rsidRPr="001B0EA3">
        <w:rPr>
          <w:szCs w:val="24"/>
          <w:lang w:eastAsia="bg-BG"/>
        </w:rPr>
        <w:t>роект на заповед за определяне на лица с достъп до SFC 2014, като я процедират за съгласуване и подпис от министъра на транспорта и съобщенията.</w:t>
      </w:r>
    </w:p>
    <w:p w14:paraId="74732AE5" w14:textId="77777777" w:rsidR="00D603F5" w:rsidRPr="001B0EA3" w:rsidRDefault="00D603F5" w:rsidP="00660856">
      <w:pPr>
        <w:rPr>
          <w:szCs w:val="24"/>
          <w:lang w:eastAsia="bg-BG"/>
        </w:rPr>
      </w:pPr>
      <w:r w:rsidRPr="001B0EA3">
        <w:rPr>
          <w:szCs w:val="24"/>
          <w:lang w:eastAsia="bg-BG"/>
        </w:rPr>
        <w:t xml:space="preserve">След подписването на заповедта за достъп до системата, определеният в заповедта служител по координацията изготвя искания за създаване на интерактивни профили за достъп до системата, които се изпращат от директора на дирекция „Координация на програми и проекти” с официално писмо до директора на дирекция ИСУСЕС, съгласно </w:t>
      </w:r>
      <w:r w:rsidRPr="001B0EA3">
        <w:rPr>
          <w:i/>
          <w:szCs w:val="24"/>
          <w:lang w:eastAsia="bg-BG"/>
        </w:rPr>
        <w:t>„Политика за сигурност на достъпа до SFC 2014 и процедура за управление на достъпа”</w:t>
      </w:r>
      <w:r w:rsidRPr="001B0EA3">
        <w:rPr>
          <w:szCs w:val="24"/>
          <w:lang w:eastAsia="bg-BG"/>
        </w:rPr>
        <w:t xml:space="preserve">. </w:t>
      </w:r>
    </w:p>
    <w:p w14:paraId="01418BD5" w14:textId="77777777" w:rsidR="00D603F5" w:rsidRPr="001B0EA3" w:rsidRDefault="00D603F5" w:rsidP="00660856">
      <w:pPr>
        <w:rPr>
          <w:szCs w:val="24"/>
          <w:lang w:eastAsia="bg-BG"/>
        </w:rPr>
      </w:pPr>
      <w:r w:rsidRPr="001B0EA3">
        <w:rPr>
          <w:szCs w:val="24"/>
          <w:lang w:eastAsia="bg-BG"/>
        </w:rPr>
        <w:lastRenderedPageBreak/>
        <w:t>Всяко искане за създаване на интерактивен профил трябва да е придружено от:</w:t>
      </w:r>
    </w:p>
    <w:p w14:paraId="4A9E0893" w14:textId="77777777" w:rsidR="00D603F5" w:rsidRPr="001B0EA3" w:rsidRDefault="00D603F5" w:rsidP="00707FB7">
      <w:pPr>
        <w:numPr>
          <w:ilvl w:val="0"/>
          <w:numId w:val="99"/>
        </w:numPr>
        <w:tabs>
          <w:tab w:val="clear" w:pos="1854"/>
          <w:tab w:val="num" w:pos="1134"/>
        </w:tabs>
        <w:ind w:left="851" w:firstLine="0"/>
        <w:contextualSpacing/>
        <w:rPr>
          <w:szCs w:val="24"/>
          <w:lang w:eastAsia="en-US"/>
        </w:rPr>
      </w:pPr>
      <w:r w:rsidRPr="001B0EA3">
        <w:rPr>
          <w:szCs w:val="24"/>
          <w:lang w:eastAsia="en-US"/>
        </w:rPr>
        <w:t>Индивидуален ECAS uid за всеки служител, създаден от самия служител на базата на служебната му електронна поща;</w:t>
      </w:r>
    </w:p>
    <w:p w14:paraId="2BBBD0F6" w14:textId="77777777" w:rsidR="00D603F5" w:rsidRPr="001B0EA3" w:rsidRDefault="00D603F5" w:rsidP="00707FB7">
      <w:pPr>
        <w:numPr>
          <w:ilvl w:val="0"/>
          <w:numId w:val="99"/>
        </w:numPr>
        <w:tabs>
          <w:tab w:val="clear" w:pos="1854"/>
          <w:tab w:val="num" w:pos="1134"/>
        </w:tabs>
        <w:ind w:left="851" w:firstLine="0"/>
        <w:contextualSpacing/>
        <w:rPr>
          <w:szCs w:val="24"/>
          <w:lang w:eastAsia="en-US"/>
        </w:rPr>
      </w:pPr>
      <w:r w:rsidRPr="001B0EA3">
        <w:rPr>
          <w:szCs w:val="24"/>
          <w:lang w:eastAsia="en-US"/>
        </w:rPr>
        <w:t>Заявка за създаване/промяна/закриване на профил за достъп до системата на Европейската комисия за управление на фондовете SFC 2014 по образец.</w:t>
      </w:r>
    </w:p>
    <w:p w14:paraId="5F4C3F56" w14:textId="77777777" w:rsidR="00D603F5" w:rsidRPr="001B0EA3" w:rsidRDefault="00D603F5" w:rsidP="00707FB7">
      <w:pPr>
        <w:numPr>
          <w:ilvl w:val="0"/>
          <w:numId w:val="99"/>
        </w:numPr>
        <w:tabs>
          <w:tab w:val="clear" w:pos="1854"/>
          <w:tab w:val="num" w:pos="1134"/>
        </w:tabs>
        <w:ind w:left="851" w:firstLine="0"/>
        <w:contextualSpacing/>
        <w:rPr>
          <w:szCs w:val="24"/>
          <w:lang w:eastAsia="en-US"/>
        </w:rPr>
      </w:pPr>
      <w:r w:rsidRPr="001B0EA3">
        <w:rPr>
          <w:szCs w:val="24"/>
          <w:lang w:eastAsia="en-US"/>
        </w:rPr>
        <w:t xml:space="preserve">Актуална заповед на ръководителя на администрацията към която принадлежи служителя, в която на лицето е определен достъп до Системата; </w:t>
      </w:r>
    </w:p>
    <w:p w14:paraId="0B26BB82" w14:textId="77777777" w:rsidR="00D603F5" w:rsidRPr="001B0EA3" w:rsidRDefault="00D603F5" w:rsidP="00707FB7">
      <w:pPr>
        <w:numPr>
          <w:ilvl w:val="0"/>
          <w:numId w:val="99"/>
        </w:numPr>
        <w:tabs>
          <w:tab w:val="clear" w:pos="1854"/>
          <w:tab w:val="num" w:pos="1134"/>
        </w:tabs>
        <w:ind w:left="851" w:firstLine="0"/>
        <w:contextualSpacing/>
        <w:rPr>
          <w:szCs w:val="24"/>
          <w:lang w:eastAsia="en-US"/>
        </w:rPr>
      </w:pPr>
      <w:r w:rsidRPr="001B0EA3">
        <w:rPr>
          <w:szCs w:val="24"/>
          <w:lang w:eastAsia="en-US"/>
        </w:rPr>
        <w:t>Копие на утвърдена длъжностна характеристика, от която да е видна необходимостта от достъпа за изпълнението на служебните задължения на служителя.</w:t>
      </w:r>
    </w:p>
    <w:p w14:paraId="67F427F7" w14:textId="77777777" w:rsidR="00D603F5" w:rsidRPr="001B0EA3" w:rsidRDefault="00D603F5" w:rsidP="00707FB7">
      <w:pPr>
        <w:numPr>
          <w:ilvl w:val="0"/>
          <w:numId w:val="99"/>
        </w:numPr>
        <w:tabs>
          <w:tab w:val="clear" w:pos="1854"/>
          <w:tab w:val="num" w:pos="1134"/>
        </w:tabs>
        <w:ind w:left="851" w:firstLine="0"/>
        <w:contextualSpacing/>
        <w:rPr>
          <w:szCs w:val="24"/>
          <w:lang w:eastAsia="en-US"/>
        </w:rPr>
      </w:pPr>
      <w:r w:rsidRPr="001B0EA3">
        <w:rPr>
          <w:szCs w:val="24"/>
          <w:lang w:eastAsia="en-US"/>
        </w:rPr>
        <w:t>Подписана декларация за поверителност.</w:t>
      </w:r>
    </w:p>
    <w:p w14:paraId="1CAE2259" w14:textId="77777777" w:rsidR="00D603F5" w:rsidRPr="001B0EA3" w:rsidRDefault="00D603F5" w:rsidP="00CC313F">
      <w:pPr>
        <w:contextualSpacing/>
        <w:rPr>
          <w:szCs w:val="24"/>
          <w:highlight w:val="yellow"/>
          <w:lang w:eastAsia="en-US"/>
        </w:rPr>
      </w:pPr>
    </w:p>
    <w:p w14:paraId="5F686E39" w14:textId="77777777" w:rsidR="00D603F5" w:rsidRPr="001B0EA3" w:rsidRDefault="00D603F5" w:rsidP="00660856">
      <w:pPr>
        <w:rPr>
          <w:szCs w:val="24"/>
          <w:lang w:eastAsia="bg-BG"/>
        </w:rPr>
      </w:pPr>
      <w:r w:rsidRPr="001B0EA3">
        <w:rPr>
          <w:szCs w:val="24"/>
          <w:lang w:eastAsia="bg-BG"/>
        </w:rPr>
        <w:t>При настъпване на промени, свързани с изменение или прекратяване на профили на служители, имащи достъп, като смяна на фамилно име, телефонен номер, ел. поща, вътрешно-ведомствени трансфери, напускане или дългосрочно отсъствие, в срок до три работни дни от настъпването на промяната се изпраща писмо от директора на дирекция „Координация на програми и проекти” до директора на дирекция ИСУСЕС с информация относно промените. Писмото се изготвя от определения за координатор служител, след като в срок до два работни дни след промяната е бил уведомен за нея от съответния началник на отдел в дирекцията.</w:t>
      </w:r>
    </w:p>
    <w:p w14:paraId="44595BE5" w14:textId="77777777" w:rsidR="00D603F5" w:rsidRPr="001B0EA3" w:rsidRDefault="00D603F5" w:rsidP="00046D61">
      <w:pPr>
        <w:rPr>
          <w:snapToGrid w:val="0"/>
          <w:szCs w:val="24"/>
        </w:rPr>
      </w:pPr>
    </w:p>
    <w:p w14:paraId="33273C34" w14:textId="77777777" w:rsidR="00D603F5" w:rsidRPr="005531CD" w:rsidRDefault="00D603F5" w:rsidP="00F058E0">
      <w:pPr>
        <w:pStyle w:val="Style1"/>
      </w:pPr>
      <w:bookmarkStart w:id="1352" w:name="_Toc479775831"/>
      <w:bookmarkStart w:id="1353" w:name="_Toc140150313"/>
      <w:r w:rsidRPr="001B0EA3">
        <w:t>ДОКЛАДИ ЗА ИЗПЪЛНЕНИЕТО НА ОПТТИ</w:t>
      </w:r>
      <w:bookmarkEnd w:id="1352"/>
      <w:bookmarkEnd w:id="1353"/>
    </w:p>
    <w:p w14:paraId="033D72D5" w14:textId="77777777" w:rsidR="00D603F5" w:rsidRDefault="00D603F5" w:rsidP="00660856">
      <w:pPr>
        <w:rPr>
          <w:szCs w:val="24"/>
          <w:lang w:eastAsia="bg-BG"/>
        </w:rPr>
      </w:pPr>
      <w:r w:rsidRPr="001B0EA3">
        <w:rPr>
          <w:szCs w:val="24"/>
          <w:lang w:eastAsia="bg-BG"/>
        </w:rPr>
        <w:t xml:space="preserve">Считано от 2016 г. до и включително 2023 г. Управляващият орган представя пред Комисията годишен доклад за изпълнението на програмата през предходната финансова година. </w:t>
      </w:r>
      <w:r w:rsidR="00624CD5" w:rsidRPr="001B0EA3">
        <w:rPr>
          <w:szCs w:val="24"/>
          <w:lang w:eastAsia="bg-BG"/>
        </w:rPr>
        <w:t>Всяка държава-членка представя на Комисията окончателен доклад за изпълнението на програмата за ЕФРР и Кохезионния фонд. Докладът, представен през 2016 г., обхваща финансовите години 2014 г. и 2015 г. Крайният срок за представяне на докладите, предадени през 2017 г. и 2019 г. е 30 юни, а за останалите е 31 май.</w:t>
      </w:r>
    </w:p>
    <w:p w14:paraId="676B03FB" w14:textId="77777777" w:rsidR="00707FB7" w:rsidRPr="001B0EA3" w:rsidRDefault="00707FB7" w:rsidP="00660856">
      <w:pPr>
        <w:rPr>
          <w:szCs w:val="24"/>
          <w:lang w:eastAsia="bg-BG"/>
        </w:rPr>
      </w:pPr>
    </w:p>
    <w:p w14:paraId="0F84B3A4" w14:textId="77777777" w:rsidR="00D603F5" w:rsidRPr="001B0EA3" w:rsidRDefault="006F2DA2" w:rsidP="00B502C7">
      <w:pPr>
        <w:pStyle w:val="Style2"/>
        <w:rPr>
          <w:snapToGrid w:val="0"/>
        </w:rPr>
      </w:pPr>
      <w:bookmarkStart w:id="1354" w:name="_Toc479775832"/>
      <w:bookmarkStart w:id="1355" w:name="_Toc140150314"/>
      <w:r w:rsidRPr="001B0EA3">
        <w:rPr>
          <w:snapToGrid w:val="0"/>
        </w:rPr>
        <w:t xml:space="preserve">Доклад </w:t>
      </w:r>
      <w:r w:rsidR="00D603F5" w:rsidRPr="001B0EA3">
        <w:rPr>
          <w:snapToGrid w:val="0"/>
        </w:rPr>
        <w:t>за изпълнение</w:t>
      </w:r>
      <w:r w:rsidRPr="001B0EA3">
        <w:rPr>
          <w:snapToGrid w:val="0"/>
        </w:rPr>
        <w:t xml:space="preserve"> на ОПТТИ</w:t>
      </w:r>
      <w:bookmarkEnd w:id="1354"/>
      <w:bookmarkEnd w:id="1355"/>
    </w:p>
    <w:p w14:paraId="70EC63EE" w14:textId="77777777" w:rsidR="00624CD5" w:rsidRPr="001B0EA3" w:rsidRDefault="00624CD5" w:rsidP="00D464B2">
      <w:pPr>
        <w:tabs>
          <w:tab w:val="left" w:pos="1134"/>
        </w:tabs>
        <w:rPr>
          <w:color w:val="000000"/>
          <w:szCs w:val="24"/>
          <w:lang w:eastAsia="bg-BG"/>
        </w:rPr>
      </w:pPr>
      <w:r w:rsidRPr="001B0EA3">
        <w:rPr>
          <w:color w:val="000000"/>
          <w:szCs w:val="24"/>
          <w:lang w:eastAsia="bg-BG"/>
        </w:rPr>
        <w:t>Докладът за изпълнението на Оперативна програма „Транспорт и транспо</w:t>
      </w:r>
      <w:r w:rsidR="00CF251C" w:rsidRPr="001B0EA3">
        <w:rPr>
          <w:color w:val="000000"/>
          <w:szCs w:val="24"/>
          <w:lang w:eastAsia="bg-BG"/>
        </w:rPr>
        <w:t xml:space="preserve">ртна инфраструктура </w:t>
      </w:r>
      <w:r w:rsidR="00CF251C" w:rsidRPr="001B0EA3">
        <w:rPr>
          <w:b/>
          <w:i/>
          <w:color w:val="000000"/>
          <w:szCs w:val="24"/>
          <w:lang w:eastAsia="bg-BG"/>
        </w:rPr>
        <w:t>(</w:t>
      </w:r>
      <w:hyperlink r:id="rId322" w:tooltip="Контролен лист - Доклад за изпълнение на ОПТТИ" w:history="1">
        <w:r w:rsidR="00AE381A" w:rsidRPr="00251D03">
          <w:rPr>
            <w:rStyle w:val="Hyperlink"/>
            <w:i/>
            <w:szCs w:val="24"/>
            <w:lang w:eastAsia="bg-BG"/>
          </w:rPr>
          <w:t>Приложение № 9.02</w:t>
        </w:r>
      </w:hyperlink>
      <w:r w:rsidRPr="001B0EA3">
        <w:rPr>
          <w:b/>
          <w:i/>
          <w:color w:val="000000"/>
          <w:szCs w:val="24"/>
          <w:lang w:eastAsia="bg-BG"/>
        </w:rPr>
        <w:t>)</w:t>
      </w:r>
      <w:r w:rsidR="006F2DA2" w:rsidRPr="001B0EA3">
        <w:rPr>
          <w:b/>
          <w:color w:val="000000"/>
          <w:szCs w:val="24"/>
          <w:lang w:eastAsia="bg-BG"/>
        </w:rPr>
        <w:t xml:space="preserve"> </w:t>
      </w:r>
      <w:r w:rsidRPr="001B0EA3">
        <w:rPr>
          <w:color w:val="000000"/>
          <w:szCs w:val="24"/>
          <w:lang w:eastAsia="bg-BG"/>
        </w:rPr>
        <w:t>се изготвя от Управляващия орган (УО) и се одобрява от КН на ОПТТИ. Съгласно Регламент № 1303/2013 годишният доклад трябва да съдържа следната информация:</w:t>
      </w:r>
    </w:p>
    <w:p w14:paraId="37C29AFF" w14:textId="77777777" w:rsidR="00D603F5" w:rsidRPr="001B0EA3" w:rsidRDefault="00D603F5" w:rsidP="00707FB7">
      <w:pPr>
        <w:numPr>
          <w:ilvl w:val="0"/>
          <w:numId w:val="89"/>
        </w:numPr>
        <w:tabs>
          <w:tab w:val="clear" w:pos="720"/>
          <w:tab w:val="left" w:pos="1134"/>
        </w:tabs>
        <w:ind w:left="0" w:firstLine="851"/>
        <w:rPr>
          <w:color w:val="000000"/>
          <w:szCs w:val="24"/>
          <w:lang w:eastAsia="bg-BG"/>
        </w:rPr>
      </w:pPr>
      <w:r w:rsidRPr="001B0EA3">
        <w:rPr>
          <w:color w:val="000000"/>
          <w:szCs w:val="24"/>
          <w:lang w:eastAsia="bg-BG"/>
        </w:rPr>
        <w:t>изпълнението на оперативната програма в съответствие с член 50, пар</w:t>
      </w:r>
      <w:r w:rsidR="00624CD5" w:rsidRPr="001B0EA3">
        <w:rPr>
          <w:color w:val="000000"/>
          <w:szCs w:val="24"/>
          <w:lang w:eastAsia="bg-BG"/>
        </w:rPr>
        <w:t>аграф 2 на Регламент 1303/2013;</w:t>
      </w:r>
    </w:p>
    <w:p w14:paraId="3FC0F417" w14:textId="77777777" w:rsidR="00D603F5" w:rsidRPr="001B0EA3" w:rsidRDefault="00D603F5" w:rsidP="00707FB7">
      <w:pPr>
        <w:numPr>
          <w:ilvl w:val="0"/>
          <w:numId w:val="89"/>
        </w:numPr>
        <w:tabs>
          <w:tab w:val="clear" w:pos="720"/>
          <w:tab w:val="left" w:pos="1134"/>
        </w:tabs>
        <w:ind w:left="0" w:firstLine="851"/>
        <w:rPr>
          <w:color w:val="000000"/>
          <w:szCs w:val="24"/>
          <w:lang w:eastAsia="bg-BG"/>
        </w:rPr>
      </w:pPr>
      <w:r w:rsidRPr="001B0EA3">
        <w:rPr>
          <w:color w:val="000000"/>
          <w:szCs w:val="24"/>
          <w:lang w:eastAsia="bg-BG"/>
        </w:rPr>
        <w:t xml:space="preserve">напредъка в изготвянето и изпълнението на големи проекти </w:t>
      </w:r>
    </w:p>
    <w:p w14:paraId="6860ECD2" w14:textId="77777777" w:rsidR="0018687D" w:rsidRPr="001B0EA3" w:rsidRDefault="0018687D" w:rsidP="00707FB7">
      <w:pPr>
        <w:numPr>
          <w:ilvl w:val="0"/>
          <w:numId w:val="89"/>
        </w:numPr>
        <w:tabs>
          <w:tab w:val="clear" w:pos="720"/>
          <w:tab w:val="left" w:pos="1134"/>
        </w:tabs>
        <w:ind w:left="0" w:firstLine="851"/>
        <w:rPr>
          <w:color w:val="000000"/>
          <w:szCs w:val="24"/>
          <w:lang w:eastAsia="bg-BG"/>
        </w:rPr>
      </w:pPr>
      <w:r w:rsidRPr="001B0EA3">
        <w:rPr>
          <w:color w:val="000000"/>
          <w:szCs w:val="24"/>
          <w:lang w:eastAsia="bg-BG"/>
        </w:rPr>
        <w:t xml:space="preserve">Докладите за изпълнението, представени през 2017 г. и 2019 г., се предоставя и оценява информацията, изисквана по член 50, параграфи 4 и 5 съответно, информацията, изложена в параграф 3 от чл. 111 на Регламент 1303/2013 заедно със  следната информация: </w:t>
      </w:r>
    </w:p>
    <w:p w14:paraId="696A25A7" w14:textId="77777777" w:rsidR="0018687D" w:rsidRPr="001B0EA3" w:rsidRDefault="0018687D" w:rsidP="00707FB7">
      <w:pPr>
        <w:numPr>
          <w:ilvl w:val="0"/>
          <w:numId w:val="89"/>
        </w:numPr>
        <w:tabs>
          <w:tab w:val="clear" w:pos="720"/>
          <w:tab w:val="left" w:pos="1134"/>
        </w:tabs>
        <w:ind w:left="0" w:firstLine="851"/>
        <w:rPr>
          <w:color w:val="000000"/>
          <w:szCs w:val="24"/>
          <w:lang w:eastAsia="bg-BG"/>
        </w:rPr>
      </w:pPr>
      <w:r w:rsidRPr="001B0EA3">
        <w:rPr>
          <w:color w:val="000000"/>
          <w:szCs w:val="24"/>
          <w:lang w:eastAsia="bg-BG"/>
        </w:rPr>
        <w:t xml:space="preserve">напредъка в изпълнението на плана за оценка и последващите мерки във връзка с констатациите от оценките; </w:t>
      </w:r>
    </w:p>
    <w:p w14:paraId="2833710E" w14:textId="77777777" w:rsidR="0018687D" w:rsidRPr="001B0EA3" w:rsidRDefault="0018687D" w:rsidP="00707FB7">
      <w:pPr>
        <w:numPr>
          <w:ilvl w:val="0"/>
          <w:numId w:val="89"/>
        </w:numPr>
        <w:tabs>
          <w:tab w:val="clear" w:pos="720"/>
          <w:tab w:val="left" w:pos="1134"/>
        </w:tabs>
        <w:ind w:left="0" w:firstLine="851"/>
        <w:rPr>
          <w:color w:val="000000"/>
          <w:szCs w:val="24"/>
          <w:lang w:eastAsia="bg-BG"/>
        </w:rPr>
      </w:pPr>
      <w:r w:rsidRPr="001B0EA3">
        <w:rPr>
          <w:color w:val="000000"/>
          <w:szCs w:val="24"/>
          <w:lang w:eastAsia="bg-BG"/>
        </w:rPr>
        <w:t xml:space="preserve">резултатите от мерките за информация и публичност относно фондовете, провеждани в рамките на комуникационната стратегия; </w:t>
      </w:r>
    </w:p>
    <w:p w14:paraId="5884E373" w14:textId="77777777" w:rsidR="0018687D" w:rsidRPr="001B0EA3" w:rsidRDefault="0018687D" w:rsidP="00707FB7">
      <w:pPr>
        <w:numPr>
          <w:ilvl w:val="0"/>
          <w:numId w:val="89"/>
        </w:numPr>
        <w:tabs>
          <w:tab w:val="clear" w:pos="720"/>
          <w:tab w:val="left" w:pos="1134"/>
        </w:tabs>
        <w:ind w:left="0" w:firstLine="851"/>
        <w:rPr>
          <w:color w:val="000000"/>
          <w:szCs w:val="24"/>
          <w:lang w:eastAsia="bg-BG"/>
        </w:rPr>
      </w:pPr>
      <w:r w:rsidRPr="001B0EA3">
        <w:rPr>
          <w:color w:val="000000"/>
          <w:szCs w:val="24"/>
          <w:lang w:eastAsia="bg-BG"/>
        </w:rPr>
        <w:t xml:space="preserve">участието на партньорите в изпълнението, мониторинга и оценката на оперативната програма. </w:t>
      </w:r>
    </w:p>
    <w:p w14:paraId="7D16A9E9" w14:textId="77777777" w:rsidR="0018687D" w:rsidRPr="001B0EA3" w:rsidRDefault="0018687D" w:rsidP="00707FB7">
      <w:pPr>
        <w:numPr>
          <w:ilvl w:val="0"/>
          <w:numId w:val="89"/>
        </w:numPr>
        <w:tabs>
          <w:tab w:val="clear" w:pos="720"/>
          <w:tab w:val="left" w:pos="1134"/>
        </w:tabs>
        <w:ind w:left="0" w:firstLine="851"/>
        <w:rPr>
          <w:color w:val="000000"/>
          <w:szCs w:val="24"/>
          <w:lang w:eastAsia="bg-BG"/>
        </w:rPr>
      </w:pPr>
      <w:r w:rsidRPr="001B0EA3">
        <w:rPr>
          <w:color w:val="000000"/>
          <w:szCs w:val="24"/>
          <w:lang w:eastAsia="bg-BG"/>
        </w:rPr>
        <w:t>Докладите за изпълнението, подадени в 2017 г. и 2019 г. могат в зависимост от съдържанието и целите на оперативните програми, да посочват информация и да оценяват следното:</w:t>
      </w:r>
    </w:p>
    <w:p w14:paraId="69814880" w14:textId="77777777" w:rsidR="0018687D" w:rsidRPr="001B0EA3" w:rsidRDefault="0018687D" w:rsidP="00707FB7">
      <w:pPr>
        <w:numPr>
          <w:ilvl w:val="0"/>
          <w:numId w:val="89"/>
        </w:numPr>
        <w:tabs>
          <w:tab w:val="clear" w:pos="720"/>
          <w:tab w:val="left" w:pos="1134"/>
        </w:tabs>
        <w:ind w:left="0" w:firstLine="851"/>
        <w:rPr>
          <w:color w:val="000000"/>
          <w:szCs w:val="24"/>
          <w:lang w:eastAsia="bg-BG"/>
        </w:rPr>
      </w:pPr>
      <w:r w:rsidRPr="001B0EA3">
        <w:rPr>
          <w:color w:val="000000"/>
          <w:szCs w:val="24"/>
          <w:lang w:eastAsia="bg-BG"/>
        </w:rPr>
        <w:t xml:space="preserve">напредъка в прилагането на интегрирания подход към териториалното развитие, включително развитието на регионите, засегнати от демографски предизвикателства и </w:t>
      </w:r>
      <w:r w:rsidRPr="001B0EA3">
        <w:rPr>
          <w:color w:val="000000"/>
          <w:szCs w:val="24"/>
          <w:lang w:eastAsia="bg-BG"/>
        </w:rPr>
        <w:lastRenderedPageBreak/>
        <w:t>неблагоприятни постоянни условия или природни бедствия, устойчивото развитие на градските райони и воденото от общностите местно развитие в рамките на оперативната програма;</w:t>
      </w:r>
    </w:p>
    <w:p w14:paraId="1FC75641" w14:textId="77777777" w:rsidR="0018687D" w:rsidRPr="001B0EA3" w:rsidRDefault="0018687D" w:rsidP="00707FB7">
      <w:pPr>
        <w:numPr>
          <w:ilvl w:val="0"/>
          <w:numId w:val="89"/>
        </w:numPr>
        <w:tabs>
          <w:tab w:val="clear" w:pos="720"/>
          <w:tab w:val="left" w:pos="1134"/>
        </w:tabs>
        <w:ind w:left="0" w:firstLine="851"/>
        <w:rPr>
          <w:color w:val="000000"/>
          <w:szCs w:val="24"/>
          <w:lang w:eastAsia="bg-BG"/>
        </w:rPr>
      </w:pPr>
      <w:r w:rsidRPr="001B0EA3">
        <w:rPr>
          <w:color w:val="000000"/>
          <w:szCs w:val="24"/>
          <w:lang w:eastAsia="bg-BG"/>
        </w:rPr>
        <w:t>напредъка в осъществяването на действия за засилване на капацитета на органите на държавите-членки и на бенефициерите за администриране и използване на средствата от фондовете;</w:t>
      </w:r>
    </w:p>
    <w:p w14:paraId="3D44C9D7" w14:textId="77777777" w:rsidR="0018687D" w:rsidRPr="001B0EA3" w:rsidRDefault="0018687D" w:rsidP="00707FB7">
      <w:pPr>
        <w:numPr>
          <w:ilvl w:val="0"/>
          <w:numId w:val="89"/>
        </w:numPr>
        <w:tabs>
          <w:tab w:val="clear" w:pos="720"/>
          <w:tab w:val="left" w:pos="1134"/>
        </w:tabs>
        <w:ind w:left="0" w:firstLine="851"/>
        <w:rPr>
          <w:color w:val="000000"/>
          <w:szCs w:val="24"/>
          <w:lang w:eastAsia="bg-BG"/>
        </w:rPr>
      </w:pPr>
      <w:r w:rsidRPr="001B0EA3">
        <w:rPr>
          <w:color w:val="000000"/>
          <w:szCs w:val="24"/>
          <w:lang w:eastAsia="bg-BG"/>
        </w:rPr>
        <w:t>напредъка в изпълнението на междурегионални и транснационални действия;</w:t>
      </w:r>
    </w:p>
    <w:p w14:paraId="130008DC" w14:textId="77777777" w:rsidR="0018687D" w:rsidRPr="001B0EA3" w:rsidRDefault="0018687D" w:rsidP="00707FB7">
      <w:pPr>
        <w:numPr>
          <w:ilvl w:val="0"/>
          <w:numId w:val="89"/>
        </w:numPr>
        <w:tabs>
          <w:tab w:val="clear" w:pos="720"/>
          <w:tab w:val="left" w:pos="1134"/>
        </w:tabs>
        <w:ind w:left="0" w:firstLine="851"/>
        <w:rPr>
          <w:color w:val="000000"/>
          <w:szCs w:val="24"/>
          <w:lang w:eastAsia="bg-BG"/>
        </w:rPr>
      </w:pPr>
      <w:r w:rsidRPr="001B0EA3">
        <w:rPr>
          <w:color w:val="000000"/>
          <w:szCs w:val="24"/>
          <w:lang w:eastAsia="bg-BG"/>
        </w:rPr>
        <w:t>когато е целесъобразно, приноса към макрорегионалните стратегии и стратегиите за морските басейни;</w:t>
      </w:r>
    </w:p>
    <w:p w14:paraId="0360ABE7" w14:textId="77777777" w:rsidR="0018687D" w:rsidRPr="001B0EA3" w:rsidRDefault="0018687D" w:rsidP="00707FB7">
      <w:pPr>
        <w:numPr>
          <w:ilvl w:val="0"/>
          <w:numId w:val="89"/>
        </w:numPr>
        <w:tabs>
          <w:tab w:val="clear" w:pos="720"/>
          <w:tab w:val="left" w:pos="1134"/>
        </w:tabs>
        <w:ind w:left="0" w:firstLine="851"/>
        <w:rPr>
          <w:color w:val="000000"/>
          <w:szCs w:val="24"/>
          <w:lang w:eastAsia="bg-BG"/>
        </w:rPr>
      </w:pPr>
      <w:r w:rsidRPr="001B0EA3">
        <w:rPr>
          <w:color w:val="000000"/>
          <w:szCs w:val="24"/>
          <w:lang w:eastAsia="bg-BG"/>
        </w:rPr>
        <w:t>специфичните действия, предприети за насърчаване на равенството между мъжете и жените и за предотвратяване на дискриминацията, по-специално насърчаване на достъпността за хората с увреждания, и разпоредбите, въведени, за да се гарантира интегрирането на аспекта за равенството между половете в оперативната програма и в операциите;</w:t>
      </w:r>
    </w:p>
    <w:p w14:paraId="2EAF7770" w14:textId="77777777" w:rsidR="0018687D" w:rsidRPr="001B0EA3" w:rsidRDefault="0018687D" w:rsidP="00707FB7">
      <w:pPr>
        <w:numPr>
          <w:ilvl w:val="0"/>
          <w:numId w:val="89"/>
        </w:numPr>
        <w:tabs>
          <w:tab w:val="clear" w:pos="720"/>
          <w:tab w:val="left" w:pos="1134"/>
        </w:tabs>
        <w:ind w:left="0" w:firstLine="851"/>
        <w:rPr>
          <w:color w:val="000000"/>
          <w:szCs w:val="24"/>
          <w:lang w:eastAsia="bg-BG"/>
        </w:rPr>
      </w:pPr>
      <w:r w:rsidRPr="001B0EA3">
        <w:rPr>
          <w:color w:val="000000"/>
          <w:szCs w:val="24"/>
          <w:lang w:eastAsia="bg-BG"/>
        </w:rPr>
        <w:t>действията, предприети за насърчаване на устойчивото развитие в съответствие с член 8 на Регламент 1303/2013;</w:t>
      </w:r>
    </w:p>
    <w:p w14:paraId="1C85D836" w14:textId="77777777" w:rsidR="0018687D" w:rsidRPr="001B0EA3" w:rsidRDefault="0018687D" w:rsidP="00707FB7">
      <w:pPr>
        <w:numPr>
          <w:ilvl w:val="0"/>
          <w:numId w:val="89"/>
        </w:numPr>
        <w:tabs>
          <w:tab w:val="clear" w:pos="720"/>
          <w:tab w:val="left" w:pos="1134"/>
        </w:tabs>
        <w:ind w:left="0" w:firstLine="851"/>
        <w:rPr>
          <w:color w:val="000000"/>
          <w:szCs w:val="24"/>
          <w:lang w:eastAsia="bg-BG"/>
        </w:rPr>
      </w:pPr>
      <w:r w:rsidRPr="001B0EA3">
        <w:rPr>
          <w:color w:val="000000"/>
          <w:szCs w:val="24"/>
          <w:lang w:eastAsia="bg-BG"/>
        </w:rPr>
        <w:t>напредъка в изпълнението на действията в областта на социалните иновации, когато това е целесъобразно;</w:t>
      </w:r>
    </w:p>
    <w:p w14:paraId="55C43EE5" w14:textId="77777777" w:rsidR="0018687D" w:rsidRPr="001B0EA3" w:rsidRDefault="0018687D" w:rsidP="00707FB7">
      <w:pPr>
        <w:numPr>
          <w:ilvl w:val="0"/>
          <w:numId w:val="89"/>
        </w:numPr>
        <w:tabs>
          <w:tab w:val="clear" w:pos="720"/>
          <w:tab w:val="left" w:pos="1134"/>
        </w:tabs>
        <w:ind w:left="0" w:firstLine="851"/>
        <w:rPr>
          <w:color w:val="000000"/>
          <w:szCs w:val="24"/>
          <w:lang w:eastAsia="bg-BG"/>
        </w:rPr>
      </w:pPr>
      <w:r w:rsidRPr="001B0EA3">
        <w:rPr>
          <w:color w:val="000000"/>
          <w:szCs w:val="24"/>
          <w:lang w:eastAsia="bg-BG"/>
        </w:rPr>
        <w:t>напредъка в изпълнението на мерките, насочени към специфичните нужди на най-силно засегнатите от бедност географски райони или на целевите групи, изложени на най-висок риск от бедност, дискриминация или социално изключване, като се обръща специално внимание на маргинализираните общности, хората с увреждания, дълготрайно безработните и младежите, които не участват в никаква форма на заетост, включително, ако е целесъобразно, използваните финансови ресурси.</w:t>
      </w:r>
    </w:p>
    <w:p w14:paraId="64ADC8A2" w14:textId="77777777" w:rsidR="0018687D" w:rsidRPr="001B0EA3" w:rsidRDefault="0018687D" w:rsidP="00660856">
      <w:pPr>
        <w:rPr>
          <w:b/>
          <w:color w:val="000000"/>
          <w:szCs w:val="24"/>
          <w:lang w:eastAsia="bg-BG"/>
        </w:rPr>
      </w:pPr>
    </w:p>
    <w:p w14:paraId="79F6C8D6" w14:textId="77777777" w:rsidR="0018687D" w:rsidRPr="001B0EA3" w:rsidRDefault="0018687D" w:rsidP="00707FB7">
      <w:pPr>
        <w:rPr>
          <w:b/>
          <w:color w:val="000000"/>
          <w:szCs w:val="24"/>
          <w:lang w:eastAsia="bg-BG"/>
        </w:rPr>
      </w:pPr>
      <w:r w:rsidRPr="001B0EA3">
        <w:rPr>
          <w:b/>
          <w:color w:val="000000"/>
          <w:szCs w:val="24"/>
          <w:lang w:eastAsia="bg-BG"/>
        </w:rPr>
        <w:t xml:space="preserve">Задълженията и типа на предоставяната информация са разпределени между отделите в УО на ОПТТИ, бенефициентите и когато е релевантно с други дирекции в </w:t>
      </w:r>
      <w:r w:rsidR="00BB6BF6">
        <w:rPr>
          <w:b/>
          <w:color w:val="000000"/>
          <w:szCs w:val="24"/>
          <w:lang w:eastAsia="bg-BG"/>
        </w:rPr>
        <w:t>МТС</w:t>
      </w:r>
      <w:r w:rsidRPr="001B0EA3">
        <w:rPr>
          <w:b/>
          <w:color w:val="000000"/>
          <w:szCs w:val="24"/>
          <w:lang w:eastAsia="bg-BG"/>
        </w:rPr>
        <w:t>, както следва:</w:t>
      </w:r>
    </w:p>
    <w:p w14:paraId="0B83BFB8" w14:textId="397CFBFC" w:rsidR="00CD6DAF" w:rsidRPr="00CD6DAF" w:rsidRDefault="00CD6DAF" w:rsidP="00CD6DAF">
      <w:pPr>
        <w:pStyle w:val="ListParagraph"/>
        <w:numPr>
          <w:ilvl w:val="0"/>
          <w:numId w:val="99"/>
        </w:numPr>
        <w:spacing w:before="120"/>
        <w:rPr>
          <w:b/>
          <w:color w:val="000000"/>
          <w:szCs w:val="24"/>
          <w:u w:val="single"/>
        </w:rPr>
      </w:pPr>
      <w:r w:rsidRPr="00CD6DAF">
        <w:rPr>
          <w:b/>
          <w:color w:val="000000"/>
          <w:szCs w:val="24"/>
          <w:u w:val="single"/>
        </w:rPr>
        <w:t xml:space="preserve">Отдел „Наблюдение и оценка” </w:t>
      </w:r>
    </w:p>
    <w:p w14:paraId="585EA0A0" w14:textId="77777777" w:rsidR="00624CD5" w:rsidRPr="00725B25" w:rsidRDefault="00624CD5" w:rsidP="00707FB7">
      <w:pPr>
        <w:numPr>
          <w:ilvl w:val="0"/>
          <w:numId w:val="99"/>
        </w:numPr>
        <w:tabs>
          <w:tab w:val="clear" w:pos="1854"/>
          <w:tab w:val="num" w:pos="1134"/>
        </w:tabs>
        <w:ind w:left="851" w:firstLine="0"/>
        <w:contextualSpacing/>
        <w:rPr>
          <w:szCs w:val="24"/>
          <w:lang w:eastAsia="en-US"/>
        </w:rPr>
      </w:pPr>
      <w:r w:rsidRPr="00725B25">
        <w:rPr>
          <w:szCs w:val="24"/>
          <w:lang w:eastAsia="en-US"/>
        </w:rPr>
        <w:t xml:space="preserve">Координира събирането на необходимата информация от отделите в УО, бенефициентите на ОПТТИ и други релевантни структури в </w:t>
      </w:r>
      <w:r w:rsidR="00BB6BF6" w:rsidRPr="00725B25">
        <w:rPr>
          <w:szCs w:val="24"/>
          <w:lang w:eastAsia="en-US"/>
        </w:rPr>
        <w:t>МТС</w:t>
      </w:r>
      <w:r w:rsidRPr="00725B25">
        <w:rPr>
          <w:szCs w:val="24"/>
          <w:lang w:eastAsia="en-US"/>
        </w:rPr>
        <w:t xml:space="preserve"> при изготвянето на доклада за изпълнението;</w:t>
      </w:r>
    </w:p>
    <w:p w14:paraId="41450F77" w14:textId="77777777" w:rsidR="00624CD5" w:rsidRPr="00725B25" w:rsidRDefault="00624CD5" w:rsidP="00707FB7">
      <w:pPr>
        <w:numPr>
          <w:ilvl w:val="0"/>
          <w:numId w:val="99"/>
        </w:numPr>
        <w:tabs>
          <w:tab w:val="clear" w:pos="1854"/>
          <w:tab w:val="num" w:pos="1134"/>
        </w:tabs>
        <w:ind w:left="851" w:firstLine="0"/>
        <w:contextualSpacing/>
        <w:rPr>
          <w:szCs w:val="24"/>
          <w:lang w:eastAsia="en-US"/>
        </w:rPr>
      </w:pPr>
      <w:r w:rsidRPr="00725B25">
        <w:rPr>
          <w:szCs w:val="24"/>
          <w:lang w:eastAsia="en-US"/>
        </w:rPr>
        <w:t xml:space="preserve">Подготвя доклада за изпълнение на ОПТТИ; </w:t>
      </w:r>
    </w:p>
    <w:p w14:paraId="116F0CF1" w14:textId="77777777" w:rsidR="00624CD5" w:rsidRPr="00725B25" w:rsidRDefault="00624CD5" w:rsidP="00707FB7">
      <w:pPr>
        <w:numPr>
          <w:ilvl w:val="0"/>
          <w:numId w:val="99"/>
        </w:numPr>
        <w:tabs>
          <w:tab w:val="clear" w:pos="1854"/>
          <w:tab w:val="num" w:pos="1134"/>
        </w:tabs>
        <w:ind w:left="851" w:firstLine="0"/>
        <w:contextualSpacing/>
        <w:rPr>
          <w:szCs w:val="24"/>
          <w:lang w:eastAsia="en-US"/>
        </w:rPr>
      </w:pPr>
      <w:r w:rsidRPr="00725B25">
        <w:rPr>
          <w:szCs w:val="24"/>
          <w:lang w:eastAsia="en-US"/>
        </w:rPr>
        <w:t>Координира вътрешното съгласуване на доклада;</w:t>
      </w:r>
    </w:p>
    <w:p w14:paraId="6C5042AE" w14:textId="77777777" w:rsidR="00624CD5" w:rsidRPr="00725B25" w:rsidRDefault="00624CD5" w:rsidP="00707FB7">
      <w:pPr>
        <w:numPr>
          <w:ilvl w:val="0"/>
          <w:numId w:val="99"/>
        </w:numPr>
        <w:tabs>
          <w:tab w:val="clear" w:pos="1854"/>
          <w:tab w:val="num" w:pos="1134"/>
        </w:tabs>
        <w:ind w:left="851" w:firstLine="0"/>
        <w:contextualSpacing/>
        <w:rPr>
          <w:szCs w:val="24"/>
          <w:lang w:eastAsia="en-US"/>
        </w:rPr>
      </w:pPr>
      <w:r w:rsidRPr="00725B25">
        <w:rPr>
          <w:szCs w:val="24"/>
          <w:lang w:eastAsia="en-US"/>
        </w:rPr>
        <w:t>Координира дейностите по одобрение на доклада за изпълнението от КН на ОПТТИ;</w:t>
      </w:r>
    </w:p>
    <w:p w14:paraId="5E1AF1D7" w14:textId="77777777" w:rsidR="00624CD5" w:rsidRPr="00725B25" w:rsidRDefault="00624CD5" w:rsidP="00707FB7">
      <w:pPr>
        <w:numPr>
          <w:ilvl w:val="0"/>
          <w:numId w:val="99"/>
        </w:numPr>
        <w:tabs>
          <w:tab w:val="clear" w:pos="1854"/>
          <w:tab w:val="num" w:pos="1134"/>
        </w:tabs>
        <w:ind w:left="851" w:firstLine="0"/>
        <w:contextualSpacing/>
        <w:rPr>
          <w:szCs w:val="24"/>
          <w:lang w:eastAsia="en-US"/>
        </w:rPr>
      </w:pPr>
      <w:r w:rsidRPr="00725B25">
        <w:rPr>
          <w:szCs w:val="24"/>
          <w:lang w:eastAsia="en-US"/>
        </w:rPr>
        <w:t>Въвежда в информационната система SFC2014 необходимата информация за изпращане на одобрения от КН доклад за изпълнението;</w:t>
      </w:r>
    </w:p>
    <w:p w14:paraId="4ABC9CD9" w14:textId="77777777" w:rsidR="00624CD5" w:rsidRPr="001B0EA3" w:rsidRDefault="00624CD5" w:rsidP="00660856">
      <w:pPr>
        <w:rPr>
          <w:color w:val="000000"/>
          <w:szCs w:val="24"/>
          <w:lang w:eastAsia="bg-BG"/>
        </w:rPr>
      </w:pPr>
    </w:p>
    <w:p w14:paraId="40D9FF35" w14:textId="77777777" w:rsidR="00624CD5" w:rsidRPr="001B0EA3" w:rsidRDefault="00624CD5" w:rsidP="00660856">
      <w:pPr>
        <w:rPr>
          <w:b/>
          <w:i/>
          <w:color w:val="000000"/>
          <w:szCs w:val="24"/>
          <w:lang w:eastAsia="bg-BG"/>
        </w:rPr>
      </w:pPr>
      <w:r w:rsidRPr="001B0EA3">
        <w:rPr>
          <w:b/>
          <w:i/>
          <w:color w:val="000000"/>
          <w:szCs w:val="24"/>
          <w:lang w:eastAsia="bg-BG"/>
        </w:rPr>
        <w:t>Предоставя информация относно:</w:t>
      </w:r>
    </w:p>
    <w:p w14:paraId="06206DF2" w14:textId="77777777" w:rsidR="00624CD5" w:rsidRPr="00725B25" w:rsidRDefault="00624CD5" w:rsidP="00707FB7">
      <w:pPr>
        <w:numPr>
          <w:ilvl w:val="0"/>
          <w:numId w:val="99"/>
        </w:numPr>
        <w:tabs>
          <w:tab w:val="clear" w:pos="1854"/>
          <w:tab w:val="num" w:pos="1134"/>
        </w:tabs>
        <w:ind w:left="851" w:firstLine="0"/>
        <w:contextualSpacing/>
        <w:rPr>
          <w:szCs w:val="24"/>
          <w:lang w:eastAsia="en-US"/>
        </w:rPr>
      </w:pPr>
      <w:r w:rsidRPr="00725B25">
        <w:rPr>
          <w:szCs w:val="24"/>
          <w:lang w:eastAsia="en-US"/>
        </w:rPr>
        <w:t>Координира отчитането на планираните в ОПТТИ индикатори на ниво програма</w:t>
      </w:r>
    </w:p>
    <w:p w14:paraId="55EDE1EF" w14:textId="77777777" w:rsidR="00624CD5" w:rsidRPr="00725B25" w:rsidRDefault="00624CD5" w:rsidP="00707FB7">
      <w:pPr>
        <w:numPr>
          <w:ilvl w:val="0"/>
          <w:numId w:val="99"/>
        </w:numPr>
        <w:tabs>
          <w:tab w:val="clear" w:pos="1854"/>
          <w:tab w:val="num" w:pos="1134"/>
        </w:tabs>
        <w:ind w:left="851" w:firstLine="0"/>
        <w:contextualSpacing/>
        <w:rPr>
          <w:szCs w:val="24"/>
          <w:lang w:eastAsia="en-US"/>
        </w:rPr>
      </w:pPr>
      <w:r w:rsidRPr="00725B25">
        <w:rPr>
          <w:szCs w:val="24"/>
          <w:lang w:eastAsia="en-US"/>
        </w:rPr>
        <w:t>Изготвя информация за използването на ИСУН от своите компетенции;</w:t>
      </w:r>
    </w:p>
    <w:p w14:paraId="220181AA" w14:textId="77777777" w:rsidR="00624CD5" w:rsidRPr="00725B25" w:rsidRDefault="00624CD5" w:rsidP="00707FB7">
      <w:pPr>
        <w:numPr>
          <w:ilvl w:val="0"/>
          <w:numId w:val="99"/>
        </w:numPr>
        <w:tabs>
          <w:tab w:val="clear" w:pos="1854"/>
          <w:tab w:val="num" w:pos="1134"/>
        </w:tabs>
        <w:ind w:left="851" w:firstLine="0"/>
        <w:contextualSpacing/>
        <w:rPr>
          <w:szCs w:val="24"/>
          <w:lang w:eastAsia="en-US"/>
        </w:rPr>
      </w:pPr>
      <w:r w:rsidRPr="00725B25">
        <w:rPr>
          <w:szCs w:val="24"/>
          <w:lang w:eastAsia="en-US"/>
        </w:rPr>
        <w:t>Изготвя информация за напредъка в изпълнението на плана за оценка и последващите мерки във връзка с констатациите от оценките, включително и резюме на констатациите от всички оценки на програмата, представени през предходната финансова година;</w:t>
      </w:r>
    </w:p>
    <w:p w14:paraId="7ABFC847" w14:textId="77777777" w:rsidR="00624CD5" w:rsidRDefault="00624CD5" w:rsidP="00707FB7">
      <w:pPr>
        <w:numPr>
          <w:ilvl w:val="0"/>
          <w:numId w:val="99"/>
        </w:numPr>
        <w:tabs>
          <w:tab w:val="clear" w:pos="1854"/>
          <w:tab w:val="num" w:pos="1134"/>
        </w:tabs>
        <w:ind w:left="851" w:firstLine="0"/>
        <w:contextualSpacing/>
        <w:rPr>
          <w:szCs w:val="24"/>
          <w:lang w:eastAsia="en-US"/>
        </w:rPr>
      </w:pPr>
      <w:r w:rsidRPr="00707FB7">
        <w:rPr>
          <w:szCs w:val="24"/>
          <w:lang w:eastAsia="en-US"/>
        </w:rPr>
        <w:t>Изготвя информация за идентифицираните проблеми, от компетенцията на отдела, и предлага съответни корективни действия;</w:t>
      </w:r>
    </w:p>
    <w:p w14:paraId="22F27613" w14:textId="77777777" w:rsidR="00F6008A" w:rsidRDefault="00F6008A" w:rsidP="00F6008A">
      <w:pPr>
        <w:spacing w:before="120"/>
        <w:rPr>
          <w:b/>
          <w:color w:val="000000"/>
          <w:szCs w:val="24"/>
          <w:u w:val="single"/>
        </w:rPr>
      </w:pPr>
      <w:r>
        <w:rPr>
          <w:b/>
          <w:color w:val="000000"/>
          <w:szCs w:val="24"/>
          <w:u w:val="single"/>
        </w:rPr>
        <w:t>Отдел „Информация, публичност и техническа помощ“</w:t>
      </w:r>
    </w:p>
    <w:p w14:paraId="4AA87D2F" w14:textId="66111D2F" w:rsidR="00F6008A" w:rsidRPr="00CA2577" w:rsidRDefault="00F6008A" w:rsidP="00614BC5">
      <w:pPr>
        <w:pStyle w:val="ListParagraph"/>
        <w:numPr>
          <w:ilvl w:val="0"/>
          <w:numId w:val="99"/>
        </w:numPr>
        <w:spacing w:before="120"/>
      </w:pPr>
      <w:r w:rsidRPr="00CA2577">
        <w:rPr>
          <w:szCs w:val="24"/>
          <w:lang w:eastAsia="en-US"/>
        </w:rPr>
        <w:lastRenderedPageBreak/>
        <w:t>Предоставя обобщена информация</w:t>
      </w:r>
      <w:r w:rsidRPr="00550BDA">
        <w:rPr>
          <w:szCs w:val="24"/>
          <w:lang w:eastAsia="en-US"/>
        </w:rPr>
        <w:t xml:space="preserve"> относно </w:t>
      </w:r>
      <w:r w:rsidR="00A71C5E" w:rsidRPr="00550BDA">
        <w:rPr>
          <w:szCs w:val="24"/>
          <w:lang w:eastAsia="en-US"/>
        </w:rPr>
        <w:t xml:space="preserve">изпълнените </w:t>
      </w:r>
      <w:r w:rsidRPr="00550BDA">
        <w:rPr>
          <w:szCs w:val="24"/>
          <w:lang w:eastAsia="en-US"/>
        </w:rPr>
        <w:t xml:space="preserve">мерки за информация и </w:t>
      </w:r>
      <w:r w:rsidRPr="006A6D08">
        <w:rPr>
          <w:szCs w:val="24"/>
          <w:lang w:eastAsia="en-US"/>
        </w:rPr>
        <w:t>публичност през отчетния период</w:t>
      </w:r>
      <w:r w:rsidRPr="00CA2577">
        <w:rPr>
          <w:szCs w:val="24"/>
          <w:lang w:eastAsia="en-US"/>
        </w:rPr>
        <w:t>.</w:t>
      </w:r>
    </w:p>
    <w:p w14:paraId="2D028298" w14:textId="77777777" w:rsidR="00D603F5" w:rsidRPr="001B0EA3" w:rsidRDefault="00D603F5" w:rsidP="00046D61">
      <w:pPr>
        <w:spacing w:before="120"/>
        <w:rPr>
          <w:b/>
          <w:color w:val="000000"/>
          <w:szCs w:val="24"/>
          <w:u w:val="single"/>
        </w:rPr>
      </w:pPr>
      <w:r w:rsidRPr="001B0EA3">
        <w:rPr>
          <w:b/>
          <w:color w:val="000000"/>
          <w:szCs w:val="24"/>
          <w:u w:val="single"/>
        </w:rPr>
        <w:t>Отдел „Финансово управление”</w:t>
      </w:r>
    </w:p>
    <w:p w14:paraId="5458BA63" w14:textId="77777777"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 xml:space="preserve">Предоставя обобщена информация относно финансовото изпълнение/напредък на ОПТТИ по приоритетни оси и фондове </w:t>
      </w:r>
    </w:p>
    <w:p w14:paraId="6AF35881" w14:textId="77777777"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Представя информация за използването на средствата по двата фонда;</w:t>
      </w:r>
    </w:p>
    <w:p w14:paraId="14974653" w14:textId="77777777"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Представя информация за изплатените от УО средства от помощта на Общността по категории;</w:t>
      </w:r>
    </w:p>
    <w:p w14:paraId="0A71A291" w14:textId="77777777"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Предоставя обобщена информация относно финансовото изпълнение/напредък на ОПТТИ по проекти (подписани договори с бенефициентите, извършени плащания от бенефициентите – разпределени като средства от ЕС и национален принос)</w:t>
      </w:r>
    </w:p>
    <w:p w14:paraId="447641EF" w14:textId="77777777"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Предоставя обобщена информация относно изготвените искания за сертифициране за изминалата финансова година</w:t>
      </w:r>
    </w:p>
    <w:p w14:paraId="07CC3C94" w14:textId="77777777"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Предоставя информация за платените разходи от органа отговорен за извършване на плащания към бенефициентите</w:t>
      </w:r>
    </w:p>
    <w:p w14:paraId="413CA992" w14:textId="77777777"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Предоставя информация за получените от ЕК плащания</w:t>
      </w:r>
    </w:p>
    <w:p w14:paraId="4F421B88" w14:textId="77777777"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Предоставя информация относно идентифицираните проблеми, от компетенцията на отдела и предлага корективни действия</w:t>
      </w:r>
    </w:p>
    <w:p w14:paraId="362713E9" w14:textId="77777777"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Предоставя информация за случаите на възстановен или повторно използван финансов ресурс</w:t>
      </w:r>
      <w:r w:rsidR="00C36768" w:rsidRPr="00707FB7">
        <w:rPr>
          <w:szCs w:val="24"/>
          <w:lang w:eastAsia="en-US"/>
        </w:rPr>
        <w:t>;</w:t>
      </w:r>
    </w:p>
    <w:p w14:paraId="1433B3E1" w14:textId="77777777" w:rsidR="00C36768" w:rsidRPr="00707FB7" w:rsidRDefault="00C36768" w:rsidP="00707FB7">
      <w:pPr>
        <w:numPr>
          <w:ilvl w:val="0"/>
          <w:numId w:val="99"/>
        </w:numPr>
        <w:tabs>
          <w:tab w:val="clear" w:pos="1854"/>
          <w:tab w:val="num" w:pos="1134"/>
        </w:tabs>
        <w:ind w:left="851" w:firstLine="0"/>
        <w:contextualSpacing/>
        <w:rPr>
          <w:szCs w:val="24"/>
          <w:lang w:eastAsia="en-US"/>
        </w:rPr>
      </w:pPr>
      <w:r w:rsidRPr="00707FB7">
        <w:rPr>
          <w:szCs w:val="24"/>
          <w:lang w:eastAsia="en-US"/>
        </w:rPr>
        <w:t>Предоставя информация за изготвените финансови прогнози и планирани средствата за ОП „Транспорт и транспортна инфраструктура” и постигнатия напредък към края на отчетната година, включващи средства от КФ, ЕФРР, национално съфинансиране и други финансови институции</w:t>
      </w:r>
    </w:p>
    <w:p w14:paraId="1E88773D" w14:textId="77777777" w:rsidR="00D603F5" w:rsidRPr="001B0EA3" w:rsidRDefault="00D603F5" w:rsidP="00046D61">
      <w:pPr>
        <w:spacing w:before="120"/>
        <w:rPr>
          <w:b/>
          <w:color w:val="000000"/>
          <w:szCs w:val="24"/>
          <w:u w:val="single"/>
        </w:rPr>
      </w:pPr>
      <w:r w:rsidRPr="001B0EA3">
        <w:rPr>
          <w:b/>
          <w:color w:val="000000"/>
          <w:szCs w:val="24"/>
          <w:u w:val="single"/>
        </w:rPr>
        <w:t>Отдел „Програмиране”</w:t>
      </w:r>
    </w:p>
    <w:p w14:paraId="745310FC" w14:textId="77777777" w:rsidR="00D603F5" w:rsidRPr="001B0EA3" w:rsidRDefault="00D603F5" w:rsidP="00660856">
      <w:pPr>
        <w:rPr>
          <w:color w:val="000000"/>
          <w:szCs w:val="24"/>
          <w:lang w:eastAsia="bg-BG"/>
        </w:rPr>
      </w:pPr>
      <w:r w:rsidRPr="001B0EA3">
        <w:rPr>
          <w:color w:val="000000"/>
          <w:szCs w:val="24"/>
          <w:lang w:eastAsia="bg-BG"/>
        </w:rPr>
        <w:t>Предоставя информация относно:</w:t>
      </w:r>
    </w:p>
    <w:p w14:paraId="31BF8BBC" w14:textId="77777777"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Предоставя информация в доклад</w:t>
      </w:r>
      <w:r w:rsidR="00FE2B2B" w:rsidRPr="00707FB7">
        <w:rPr>
          <w:szCs w:val="24"/>
          <w:lang w:eastAsia="en-US"/>
        </w:rPr>
        <w:t>а</w:t>
      </w:r>
      <w:r w:rsidRPr="00707FB7">
        <w:rPr>
          <w:szCs w:val="24"/>
          <w:lang w:eastAsia="en-US"/>
        </w:rPr>
        <w:t xml:space="preserve"> за изпълнението, който трябва да бъде представен през 2016 г., за действията, предприемани за изпълнение на предварителните условия. </w:t>
      </w:r>
    </w:p>
    <w:p w14:paraId="1C606C43" w14:textId="77777777"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Предоставя информация за предприетите действия за изпълнение на предварителните условия, които не са били изпълнени при приемането на програмата.</w:t>
      </w:r>
    </w:p>
    <w:p w14:paraId="3A260C53" w14:textId="77777777"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Предоставя информация за договорената безвъзмездна финансова помощ от Общността по категории;</w:t>
      </w:r>
    </w:p>
    <w:p w14:paraId="60B398A7" w14:textId="77777777"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Използване на ЛОТАР;</w:t>
      </w:r>
    </w:p>
    <w:p w14:paraId="64F429F7" w14:textId="77777777"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 xml:space="preserve">Информация, от компетенцията на отдела, за допълняемостта с други инструменти на Общността </w:t>
      </w:r>
    </w:p>
    <w:p w14:paraId="05FAC6C5" w14:textId="77777777"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Информация за изменение Процедурните наръчници на бенефициентите</w:t>
      </w:r>
    </w:p>
    <w:p w14:paraId="00A82579" w14:textId="77777777"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 xml:space="preserve"> Промяна в индикативния списък с големи проекти;</w:t>
      </w:r>
    </w:p>
    <w:p w14:paraId="4DB24562" w14:textId="77777777"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 xml:space="preserve">Административния капацитет на УО и на бенефициентите и предприетите мерки за подобряването му </w:t>
      </w:r>
    </w:p>
    <w:p w14:paraId="4B1CA3CF" w14:textId="77777777"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Използването на техническата помощ по ОПТТИ</w:t>
      </w:r>
    </w:p>
    <w:p w14:paraId="24C50E06" w14:textId="77777777"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Информация, от компетенцията на отдела, за съществени проблеми в подготовката на проектите от индикативния списък;</w:t>
      </w:r>
    </w:p>
    <w:p w14:paraId="36B7BD25" w14:textId="77777777"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Информация, от компетенцията на отдела, за съществени проблеми по приоритетни оси и предприети мерки</w:t>
      </w:r>
    </w:p>
    <w:p w14:paraId="41DFFA6D" w14:textId="77777777"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Изготвя информация за идентифицираните проблеми, от компетенцията на отдела и предлага съответни корективни действия;</w:t>
      </w:r>
    </w:p>
    <w:p w14:paraId="4896F419" w14:textId="77777777" w:rsidR="00D603F5" w:rsidRPr="001B0EA3" w:rsidRDefault="00D603F5" w:rsidP="00046D61">
      <w:pPr>
        <w:spacing w:before="120"/>
        <w:rPr>
          <w:b/>
          <w:color w:val="000000"/>
          <w:szCs w:val="24"/>
          <w:u w:val="single"/>
        </w:rPr>
      </w:pPr>
      <w:r w:rsidRPr="001B0EA3">
        <w:rPr>
          <w:b/>
          <w:color w:val="000000"/>
          <w:szCs w:val="24"/>
          <w:u w:val="single"/>
        </w:rPr>
        <w:t>Отдел „</w:t>
      </w:r>
      <w:r w:rsidR="00C54B40" w:rsidRPr="001B0EA3">
        <w:rPr>
          <w:b/>
          <w:color w:val="000000"/>
          <w:szCs w:val="24"/>
          <w:u w:val="single"/>
        </w:rPr>
        <w:t>Контрол по обществени поръчки</w:t>
      </w:r>
      <w:r w:rsidRPr="001B0EA3">
        <w:rPr>
          <w:b/>
          <w:color w:val="000000"/>
          <w:szCs w:val="24"/>
          <w:u w:val="single"/>
        </w:rPr>
        <w:t>”</w:t>
      </w:r>
    </w:p>
    <w:p w14:paraId="621F4E61" w14:textId="77777777"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lastRenderedPageBreak/>
        <w:t>Предоставя обобщена информация по проекти относно изпълнението на процедурите за възлагане на обществени поръчки, проведени от крайните бенефициенти под контрола на отдела</w:t>
      </w:r>
    </w:p>
    <w:p w14:paraId="660EBD45" w14:textId="77777777"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Предоставя информация за общи проблеми при провеждане на обществени поръчки и тенденции;</w:t>
      </w:r>
    </w:p>
    <w:p w14:paraId="5E7FFEB2" w14:textId="77777777"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Предоставя информация относно изменението на нормативната уредба свързана с провеждането на обществени поръчки и ролята на УО;</w:t>
      </w:r>
    </w:p>
    <w:p w14:paraId="6F5ACB74" w14:textId="77777777" w:rsidR="00FE2B2B"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Предоставя информация относно идентифицираните проблеми, от компетенцията на отдела и предлага съответстващи корективни действия</w:t>
      </w:r>
      <w:r w:rsidR="00FE2B2B" w:rsidRPr="00707FB7">
        <w:rPr>
          <w:szCs w:val="24"/>
          <w:lang w:eastAsia="en-US"/>
        </w:rPr>
        <w:t>;</w:t>
      </w:r>
    </w:p>
    <w:p w14:paraId="093C0459" w14:textId="77777777" w:rsidR="00D603F5" w:rsidRPr="001B0EA3" w:rsidRDefault="00D603F5" w:rsidP="00046D61">
      <w:pPr>
        <w:spacing w:before="120"/>
        <w:rPr>
          <w:b/>
          <w:color w:val="000000"/>
          <w:szCs w:val="24"/>
          <w:u w:val="single"/>
        </w:rPr>
      </w:pPr>
      <w:r w:rsidRPr="001B0EA3">
        <w:rPr>
          <w:b/>
          <w:color w:val="000000"/>
          <w:szCs w:val="24"/>
          <w:u w:val="single"/>
        </w:rPr>
        <w:t>Отдел „Изпълнение и координация”</w:t>
      </w:r>
    </w:p>
    <w:p w14:paraId="5E7F90B0" w14:textId="77777777"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Изготвя информация относно физическото изпълнение/напредък на отделните проекти по ОПТТИ, в т.ч. и големите;</w:t>
      </w:r>
    </w:p>
    <w:p w14:paraId="5EDE9F48" w14:textId="77777777"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Изготвя информация относно идентифицираните проблеми при изпълнението на проектите от индикативния списък на ОПТТИ;</w:t>
      </w:r>
    </w:p>
    <w:p w14:paraId="1D9163DA" w14:textId="77777777"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Изготвя информация относно съществени проблеми по приоритетни оси;</w:t>
      </w:r>
    </w:p>
    <w:p w14:paraId="6DB05BBD" w14:textId="77777777" w:rsidR="000E13E3" w:rsidRPr="00707FB7" w:rsidRDefault="000E13E3" w:rsidP="00707FB7">
      <w:pPr>
        <w:numPr>
          <w:ilvl w:val="0"/>
          <w:numId w:val="99"/>
        </w:numPr>
        <w:tabs>
          <w:tab w:val="clear" w:pos="1854"/>
          <w:tab w:val="num" w:pos="1134"/>
        </w:tabs>
        <w:ind w:left="851" w:firstLine="0"/>
        <w:contextualSpacing/>
        <w:rPr>
          <w:szCs w:val="24"/>
          <w:lang w:eastAsia="en-US"/>
        </w:rPr>
      </w:pPr>
      <w:r w:rsidRPr="00707FB7">
        <w:rPr>
          <w:szCs w:val="24"/>
          <w:lang w:eastAsia="en-US"/>
        </w:rPr>
        <w:t>Изготвя релевантна за отдела информация относно изпълнението на индикаторите на ОПТТИ;</w:t>
      </w:r>
    </w:p>
    <w:p w14:paraId="21BC4EAF" w14:textId="77777777" w:rsidR="000E13E3" w:rsidRPr="00707FB7" w:rsidRDefault="000E13E3" w:rsidP="00707FB7">
      <w:pPr>
        <w:numPr>
          <w:ilvl w:val="0"/>
          <w:numId w:val="99"/>
        </w:numPr>
        <w:tabs>
          <w:tab w:val="clear" w:pos="1854"/>
          <w:tab w:val="num" w:pos="1134"/>
        </w:tabs>
        <w:ind w:left="851" w:firstLine="0"/>
        <w:contextualSpacing/>
        <w:rPr>
          <w:szCs w:val="24"/>
          <w:lang w:eastAsia="en-US"/>
        </w:rPr>
      </w:pPr>
      <w:r w:rsidRPr="00707FB7">
        <w:rPr>
          <w:szCs w:val="24"/>
          <w:lang w:eastAsia="en-US"/>
        </w:rPr>
        <w:t>Изготвя информация за проведените проверки на място по проекти, изпълнявани по ОПТTИ и основните констатации, препоръки и предприети действия от всяка проверка на място;</w:t>
      </w:r>
    </w:p>
    <w:p w14:paraId="50234E24" w14:textId="77777777" w:rsidR="000E13E3" w:rsidRPr="00707FB7" w:rsidRDefault="000E13E3" w:rsidP="00707FB7">
      <w:pPr>
        <w:numPr>
          <w:ilvl w:val="0"/>
          <w:numId w:val="99"/>
        </w:numPr>
        <w:tabs>
          <w:tab w:val="clear" w:pos="1854"/>
          <w:tab w:val="num" w:pos="1134"/>
        </w:tabs>
        <w:ind w:left="851" w:firstLine="0"/>
        <w:contextualSpacing/>
        <w:rPr>
          <w:szCs w:val="24"/>
          <w:lang w:eastAsia="en-US"/>
        </w:rPr>
      </w:pPr>
      <w:r w:rsidRPr="00707FB7">
        <w:rPr>
          <w:szCs w:val="24"/>
          <w:lang w:eastAsia="en-US"/>
        </w:rPr>
        <w:t>Изготвя информация за идентифицираните проблеми, от компетенцията на отдела и предлага съответни корективни действия</w:t>
      </w:r>
    </w:p>
    <w:p w14:paraId="75798840" w14:textId="77777777" w:rsidR="00EC65D9" w:rsidRPr="006A6D08" w:rsidRDefault="00EC65D9" w:rsidP="00EC65D9">
      <w:pPr>
        <w:spacing w:before="120"/>
        <w:rPr>
          <w:b/>
          <w:color w:val="000000"/>
          <w:szCs w:val="24"/>
          <w:u w:val="single"/>
        </w:rPr>
      </w:pPr>
      <w:r w:rsidRPr="006A6D08">
        <w:rPr>
          <w:b/>
          <w:color w:val="000000"/>
          <w:szCs w:val="24"/>
          <w:u w:val="single"/>
        </w:rPr>
        <w:t>Отдел „Управление на риска”</w:t>
      </w:r>
    </w:p>
    <w:p w14:paraId="526D02E6" w14:textId="77777777" w:rsidR="00D417A4" w:rsidRPr="00CB2A59" w:rsidRDefault="00D417A4" w:rsidP="00D417A4">
      <w:pPr>
        <w:numPr>
          <w:ilvl w:val="0"/>
          <w:numId w:val="99"/>
        </w:numPr>
        <w:tabs>
          <w:tab w:val="clear" w:pos="1854"/>
          <w:tab w:val="num" w:pos="928"/>
          <w:tab w:val="num" w:pos="1134"/>
        </w:tabs>
        <w:ind w:left="851" w:firstLine="0"/>
        <w:contextualSpacing/>
        <w:rPr>
          <w:szCs w:val="24"/>
          <w:lang w:eastAsia="en-US"/>
        </w:rPr>
      </w:pPr>
      <w:r>
        <w:rPr>
          <w:szCs w:val="24"/>
          <w:lang w:eastAsia="en-US"/>
        </w:rPr>
        <w:t>Изготвя информация за проведените одити по ОПТТИ</w:t>
      </w:r>
      <w:r w:rsidRPr="00842ECC">
        <w:rPr>
          <w:szCs w:val="24"/>
          <w:lang w:eastAsia="en-US"/>
        </w:rPr>
        <w:t>]</w:t>
      </w:r>
    </w:p>
    <w:p w14:paraId="3B1510F0" w14:textId="77777777" w:rsidR="00D36BBD" w:rsidRPr="00D417A4" w:rsidRDefault="00D36BBD" w:rsidP="00D417A4">
      <w:pPr>
        <w:pStyle w:val="ListParagraph"/>
        <w:numPr>
          <w:ilvl w:val="0"/>
          <w:numId w:val="99"/>
        </w:numPr>
        <w:tabs>
          <w:tab w:val="clear" w:pos="1854"/>
          <w:tab w:val="num" w:pos="1276"/>
        </w:tabs>
        <w:spacing w:before="120"/>
        <w:ind w:left="1134" w:hanging="283"/>
        <w:rPr>
          <w:color w:val="000000"/>
          <w:szCs w:val="24"/>
          <w:lang w:eastAsia="bg-BG"/>
        </w:rPr>
      </w:pPr>
      <w:r w:rsidRPr="00D417A4">
        <w:rPr>
          <w:color w:val="000000"/>
          <w:szCs w:val="24"/>
          <w:lang w:eastAsia="bg-BG"/>
        </w:rPr>
        <w:t>Предоставя обобщена информация относно проведените одити през отчетния период.</w:t>
      </w:r>
    </w:p>
    <w:p w14:paraId="3237A9CB" w14:textId="77777777" w:rsidR="00D36BBD" w:rsidRPr="00D36BBD" w:rsidRDefault="00D36BBD" w:rsidP="00D36BBD">
      <w:pPr>
        <w:pStyle w:val="ListParagraph"/>
        <w:numPr>
          <w:ilvl w:val="0"/>
          <w:numId w:val="491"/>
        </w:numPr>
        <w:spacing w:before="120"/>
        <w:ind w:left="1134" w:hanging="283"/>
        <w:rPr>
          <w:color w:val="000000"/>
          <w:szCs w:val="24"/>
          <w:lang w:eastAsia="bg-BG"/>
        </w:rPr>
      </w:pPr>
      <w:r w:rsidRPr="00D36BBD">
        <w:rPr>
          <w:color w:val="000000"/>
          <w:szCs w:val="24"/>
          <w:lang w:eastAsia="bg-BG"/>
        </w:rPr>
        <w:t>Предоставя обобщена информация относно предприетите мерки за управление на риска през отчетния период.</w:t>
      </w:r>
    </w:p>
    <w:p w14:paraId="1C79AC16" w14:textId="77777777" w:rsidR="00D36BBD" w:rsidRDefault="00D36BBD" w:rsidP="00E526D1">
      <w:pPr>
        <w:spacing w:before="120"/>
        <w:ind w:firstLine="0"/>
        <w:rPr>
          <w:b/>
          <w:color w:val="000000"/>
          <w:szCs w:val="24"/>
          <w:lang w:eastAsia="bg-BG"/>
        </w:rPr>
      </w:pPr>
    </w:p>
    <w:p w14:paraId="02CB8B95" w14:textId="51537690" w:rsidR="00F003D2" w:rsidRPr="00F003D2" w:rsidRDefault="00F003D2" w:rsidP="00F003D2">
      <w:pPr>
        <w:spacing w:before="120"/>
        <w:ind w:left="851" w:firstLine="0"/>
        <w:rPr>
          <w:color w:val="000000"/>
          <w:szCs w:val="24"/>
          <w:lang w:eastAsia="bg-BG"/>
        </w:rPr>
      </w:pPr>
      <w:r w:rsidRPr="00F003D2">
        <w:rPr>
          <w:b/>
          <w:color w:val="000000"/>
          <w:szCs w:val="24"/>
          <w:lang w:eastAsia="bg-BG"/>
        </w:rPr>
        <w:t xml:space="preserve">Бенефициентите по ОПТТИ </w:t>
      </w:r>
      <w:r w:rsidRPr="00F003D2">
        <w:rPr>
          <w:color w:val="000000"/>
          <w:szCs w:val="24"/>
          <w:lang w:eastAsia="bg-BG"/>
        </w:rPr>
        <w:t>предоставят информация на отдел „Наблюдение и оценка” при поискване, като:</w:t>
      </w:r>
    </w:p>
    <w:p w14:paraId="55B68076" w14:textId="77777777"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Информация относно напредъка и подготовката на отделните проекти;</w:t>
      </w:r>
    </w:p>
    <w:p w14:paraId="556B0496" w14:textId="77777777"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Срещнати проблеми и предприети мерки по отделните проблеми;</w:t>
      </w:r>
    </w:p>
    <w:p w14:paraId="059BD78C" w14:textId="77777777"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Напредък в изпълнението на приложимите специфични и общи индикатори;</w:t>
      </w:r>
    </w:p>
    <w:p w14:paraId="46A8BC4C" w14:textId="77777777"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Друга информация при свързана с дейността им като бенефициенти по програмата</w:t>
      </w:r>
    </w:p>
    <w:p w14:paraId="524C906A" w14:textId="77777777" w:rsidR="00D603F5" w:rsidRPr="001B0EA3" w:rsidRDefault="00D603F5" w:rsidP="00660856">
      <w:pPr>
        <w:rPr>
          <w:b/>
          <w:color w:val="000000"/>
          <w:szCs w:val="24"/>
          <w:lang w:eastAsia="bg-BG"/>
        </w:rPr>
      </w:pPr>
    </w:p>
    <w:p w14:paraId="5E4D266C" w14:textId="77777777" w:rsidR="000E13E3" w:rsidRPr="001B0EA3" w:rsidRDefault="000E13E3" w:rsidP="00660856">
      <w:pPr>
        <w:rPr>
          <w:b/>
          <w:color w:val="000000"/>
          <w:szCs w:val="24"/>
          <w:lang w:eastAsia="bg-BG"/>
        </w:rPr>
      </w:pPr>
      <w:r w:rsidRPr="001B0EA3">
        <w:rPr>
          <w:b/>
          <w:color w:val="000000"/>
          <w:szCs w:val="24"/>
          <w:lang w:eastAsia="bg-BG"/>
        </w:rPr>
        <w:t xml:space="preserve">При необходимост при изготвянето на докладите за изпълнение информация може да се изисква и от други дирекции в </w:t>
      </w:r>
      <w:r w:rsidR="00BB6BF6">
        <w:rPr>
          <w:b/>
          <w:color w:val="000000"/>
          <w:szCs w:val="24"/>
          <w:lang w:eastAsia="bg-BG"/>
        </w:rPr>
        <w:t>МТС</w:t>
      </w:r>
      <w:r w:rsidRPr="001B0EA3">
        <w:rPr>
          <w:b/>
          <w:color w:val="000000"/>
          <w:szCs w:val="24"/>
          <w:lang w:eastAsia="bg-BG"/>
        </w:rPr>
        <w:t xml:space="preserve">. </w:t>
      </w:r>
    </w:p>
    <w:p w14:paraId="50C7D6FF" w14:textId="77777777" w:rsidR="000E13E3" w:rsidRPr="001B0EA3" w:rsidRDefault="000E13E3" w:rsidP="00660856">
      <w:pPr>
        <w:rPr>
          <w:b/>
          <w:color w:val="000000"/>
          <w:szCs w:val="24"/>
          <w:lang w:eastAsia="bg-BG"/>
        </w:rPr>
      </w:pPr>
    </w:p>
    <w:p w14:paraId="1D8FE5B5" w14:textId="77777777" w:rsidR="000E13E3" w:rsidRPr="001B0EA3" w:rsidRDefault="000E13E3" w:rsidP="00660856">
      <w:pPr>
        <w:rPr>
          <w:rFonts w:eastAsia="EUAlbertina-Regu-Identity-H"/>
          <w:b/>
          <w:szCs w:val="24"/>
        </w:rPr>
      </w:pPr>
      <w:r w:rsidRPr="001B0EA3">
        <w:rPr>
          <w:rFonts w:eastAsia="EUAlbertina-Regu-Identity-H"/>
          <w:b/>
          <w:szCs w:val="24"/>
        </w:rPr>
        <w:t>Отчитане на индикатори</w:t>
      </w:r>
    </w:p>
    <w:p w14:paraId="346C07E7" w14:textId="77777777" w:rsidR="000E13E3" w:rsidRPr="001B0EA3" w:rsidRDefault="000E13E3" w:rsidP="00707FB7">
      <w:pPr>
        <w:rPr>
          <w:color w:val="000000"/>
          <w:szCs w:val="24"/>
          <w:lang w:eastAsia="bg-BG"/>
        </w:rPr>
      </w:pPr>
      <w:r w:rsidRPr="001B0EA3">
        <w:rPr>
          <w:color w:val="000000"/>
          <w:szCs w:val="24"/>
          <w:lang w:eastAsia="bg-BG"/>
        </w:rPr>
        <w:t xml:space="preserve">В хода на разработването на ОПТТИ консултантът изготви методика за отчитане на индикаторите, която подлежи на верификация от НСИ. Следвайки методиката УО изисква информация от институциите, определени за източник. </w:t>
      </w:r>
    </w:p>
    <w:p w14:paraId="2F77F6C5" w14:textId="55583CDE" w:rsidR="00D03C71" w:rsidRPr="001B0EA3" w:rsidRDefault="00D03C71" w:rsidP="00D03C71">
      <w:pPr>
        <w:rPr>
          <w:color w:val="000000"/>
          <w:szCs w:val="24"/>
          <w:lang w:eastAsia="bg-BG"/>
        </w:rPr>
      </w:pPr>
      <w:r w:rsidRPr="001B0EA3">
        <w:rPr>
          <w:color w:val="000000"/>
          <w:szCs w:val="24"/>
          <w:lang w:eastAsia="bg-BG"/>
        </w:rPr>
        <w:t>В допълнение ЦКЗ разработ</w:t>
      </w:r>
      <w:r>
        <w:rPr>
          <w:color w:val="000000"/>
          <w:szCs w:val="24"/>
          <w:lang w:eastAsia="bg-BG"/>
        </w:rPr>
        <w:t>и</w:t>
      </w:r>
      <w:r w:rsidRPr="001B0EA3">
        <w:rPr>
          <w:color w:val="000000"/>
          <w:szCs w:val="24"/>
          <w:lang w:eastAsia="bg-BG"/>
        </w:rPr>
        <w:t xml:space="preserve"> система за отчитане на индикатори, която </w:t>
      </w:r>
      <w:r w:rsidR="009B7C81">
        <w:rPr>
          <w:color w:val="000000"/>
          <w:szCs w:val="24"/>
          <w:lang w:eastAsia="bg-BG"/>
        </w:rPr>
        <w:t>е</w:t>
      </w:r>
      <w:r w:rsidRPr="001B0EA3">
        <w:rPr>
          <w:color w:val="000000"/>
          <w:szCs w:val="24"/>
          <w:lang w:eastAsia="bg-BG"/>
        </w:rPr>
        <w:t xml:space="preserve"> внедрена към ИСУН. Индикаторите, които се обобщават за ниво програма/ос се задават на ниво ОП и </w:t>
      </w:r>
      <w:r>
        <w:rPr>
          <w:color w:val="000000"/>
          <w:szCs w:val="24"/>
          <w:lang w:eastAsia="bg-BG"/>
        </w:rPr>
        <w:t>се</w:t>
      </w:r>
      <w:r w:rsidRPr="001B0EA3">
        <w:rPr>
          <w:color w:val="000000"/>
          <w:szCs w:val="24"/>
          <w:lang w:eastAsia="bg-BG"/>
        </w:rPr>
        <w:t xml:space="preserve"> присъединявани към конкретни оси/инвестиционни приоритети/ специфични цели. При създаване на процедура към нея се присъединява конкретен индикатор с описания път на отчитане. За дадената процедура могат да се създават и индивидуални индикатори, които могат да се агрегират само до ниво процедура. Кандидатът може да избере само от </w:t>
      </w:r>
      <w:r w:rsidRPr="001B0EA3">
        <w:rPr>
          <w:color w:val="000000"/>
          <w:szCs w:val="24"/>
          <w:lang w:eastAsia="bg-BG"/>
        </w:rPr>
        <w:lastRenderedPageBreak/>
        <w:t xml:space="preserve">индикаторите, които са задени от УО без да си създава собствени индикатори по индивидуална преценка. В системата индикаторите се делят на агрегируеми и неагрегируеми. Система може да изведе стойност на агрегируем индикатор за всяко ниво чрез събиране резултатите от долното ниво (събират се всички стойности на индикатора по всеки проект към процедурата и извеждаме стойност на индикатора за процедурата). Индикатори, които не могат да се изчислят по този способ </w:t>
      </w:r>
      <w:r>
        <w:rPr>
          <w:color w:val="000000"/>
          <w:szCs w:val="24"/>
          <w:lang w:eastAsia="bg-BG"/>
        </w:rPr>
        <w:t>с</w:t>
      </w:r>
      <w:r w:rsidRPr="001B0EA3">
        <w:rPr>
          <w:color w:val="000000"/>
          <w:szCs w:val="24"/>
          <w:lang w:eastAsia="bg-BG"/>
        </w:rPr>
        <w:t>е въвеждат ръчно.</w:t>
      </w:r>
    </w:p>
    <w:p w14:paraId="2842B2D8" w14:textId="034EBED5" w:rsidR="00CA2EE5" w:rsidRDefault="00B17AD7" w:rsidP="00CA2EE5">
      <w:pPr>
        <w:rPr>
          <w:color w:val="000000"/>
          <w:lang w:eastAsia="bg-BG"/>
        </w:rPr>
      </w:pPr>
      <w:r w:rsidRPr="00B17AD7">
        <w:rPr>
          <w:color w:val="000000"/>
          <w:szCs w:val="24"/>
          <w:lang w:eastAsia="bg-BG"/>
        </w:rPr>
        <w:t xml:space="preserve">За целите на изготвянето на Годишния доклад за изпълнението на ОПТТИ,  информация за отчитането на индикаторите се изисква и с обща кореспонденция до </w:t>
      </w:r>
      <w:r w:rsidRPr="009B7C81">
        <w:rPr>
          <w:color w:val="000000"/>
          <w:szCs w:val="24"/>
          <w:lang w:eastAsia="bg-BG"/>
        </w:rPr>
        <w:t>бенефициентите</w:t>
      </w:r>
      <w:r w:rsidR="000E13E3" w:rsidRPr="006A6D08">
        <w:rPr>
          <w:color w:val="000000"/>
          <w:szCs w:val="24"/>
          <w:lang w:eastAsia="bg-BG"/>
        </w:rPr>
        <w:t xml:space="preserve"> Получените данни се обобщават от УО.</w:t>
      </w:r>
      <w:r w:rsidR="00CA2EE5" w:rsidRPr="006A6D08">
        <w:rPr>
          <w:color w:val="000000"/>
          <w:lang w:eastAsia="bg-BG"/>
        </w:rPr>
        <w:t xml:space="preserve"> Конкретните етапи от отчитането им са както следва:</w:t>
      </w:r>
    </w:p>
    <w:p w14:paraId="21D3C2B1" w14:textId="77777777" w:rsidR="00CA2EE5" w:rsidRDefault="00CA2EE5" w:rsidP="00CA2EE5">
      <w:pPr>
        <w:rPr>
          <w:color w:val="000000"/>
          <w:sz w:val="22"/>
          <w:lang w:eastAsia="bg-BG"/>
        </w:rPr>
      </w:pPr>
    </w:p>
    <w:p w14:paraId="53E0B8F2" w14:textId="7EFBAF1E" w:rsidR="00EA45B7" w:rsidRPr="006A6D08" w:rsidRDefault="00EA45B7" w:rsidP="00EA45B7">
      <w:pPr>
        <w:pStyle w:val="ListParagraph"/>
        <w:numPr>
          <w:ilvl w:val="0"/>
          <w:numId w:val="469"/>
        </w:numPr>
        <w:rPr>
          <w:color w:val="000000"/>
          <w:szCs w:val="24"/>
          <w:lang w:eastAsia="bg-BG"/>
        </w:rPr>
      </w:pPr>
      <w:r w:rsidRPr="006A6D08">
        <w:rPr>
          <w:color w:val="000000"/>
          <w:szCs w:val="24"/>
          <w:lang w:eastAsia="bg-BG"/>
        </w:rPr>
        <w:t xml:space="preserve">Отдел </w:t>
      </w:r>
      <w:r w:rsidRPr="009E7B73">
        <w:rPr>
          <w:color w:val="000000"/>
          <w:szCs w:val="24"/>
          <w:lang w:eastAsia="bg-BG"/>
        </w:rPr>
        <w:t>„Наблюдение и оценка“</w:t>
      </w:r>
      <w:r w:rsidRPr="006A6D08">
        <w:rPr>
          <w:color w:val="000000"/>
          <w:szCs w:val="24"/>
          <w:lang w:eastAsia="bg-BG"/>
        </w:rPr>
        <w:t xml:space="preserve"> изисква от бенефициентите и НСИ с официална кореспонденция информация относно напредъка на индикаторите за съответната година.</w:t>
      </w:r>
    </w:p>
    <w:p w14:paraId="6F24020A" w14:textId="77777777" w:rsidR="00EA45B7" w:rsidRPr="006A6D08" w:rsidRDefault="00EA45B7" w:rsidP="00EA45B7">
      <w:pPr>
        <w:pStyle w:val="ListParagraph"/>
        <w:numPr>
          <w:ilvl w:val="0"/>
          <w:numId w:val="469"/>
        </w:numPr>
        <w:rPr>
          <w:color w:val="000000"/>
          <w:szCs w:val="24"/>
          <w:lang w:eastAsia="bg-BG"/>
        </w:rPr>
      </w:pPr>
      <w:r w:rsidRPr="006A6D08">
        <w:rPr>
          <w:color w:val="000000"/>
          <w:szCs w:val="24"/>
          <w:lang w:eastAsia="bg-BG"/>
        </w:rPr>
        <w:t>Индикаторите за резултат се изчисляват съгласно утвърдени от НСИ фишове за метаданни, в които е посочен методът на изчисление на индикатора.</w:t>
      </w:r>
    </w:p>
    <w:p w14:paraId="536F2993" w14:textId="77777777" w:rsidR="00EA45B7" w:rsidRPr="006A6D08" w:rsidRDefault="00EA45B7" w:rsidP="00EA45B7">
      <w:pPr>
        <w:pStyle w:val="ListParagraph"/>
        <w:numPr>
          <w:ilvl w:val="0"/>
          <w:numId w:val="469"/>
        </w:numPr>
        <w:rPr>
          <w:color w:val="000000"/>
          <w:szCs w:val="24"/>
          <w:lang w:eastAsia="bg-BG"/>
        </w:rPr>
      </w:pPr>
      <w:r w:rsidRPr="006A6D08">
        <w:rPr>
          <w:color w:val="000000"/>
          <w:szCs w:val="24"/>
          <w:lang w:eastAsia="bg-BG"/>
        </w:rPr>
        <w:t xml:space="preserve">При верификацията на получените данни от бенефициентите участват експертите от отдели „Изпълнение и координация“ и „Финансово управление“. </w:t>
      </w:r>
    </w:p>
    <w:p w14:paraId="50DBF15D" w14:textId="77777777" w:rsidR="00D603F5" w:rsidRPr="001B0EA3" w:rsidRDefault="00D603F5" w:rsidP="00660856">
      <w:pPr>
        <w:rPr>
          <w:b/>
          <w:color w:val="000000"/>
          <w:szCs w:val="24"/>
          <w:lang w:eastAsia="bg-BG"/>
        </w:rPr>
      </w:pPr>
    </w:p>
    <w:p w14:paraId="20C76490" w14:textId="77777777" w:rsidR="00D603F5" w:rsidRPr="001B0EA3" w:rsidRDefault="00D603F5" w:rsidP="00046D61">
      <w:pPr>
        <w:spacing w:before="120"/>
        <w:rPr>
          <w:b/>
          <w:color w:val="000000"/>
          <w:szCs w:val="24"/>
          <w:lang w:eastAsia="bg-BG"/>
        </w:rPr>
      </w:pPr>
      <w:r w:rsidRPr="001B0EA3">
        <w:rPr>
          <w:b/>
          <w:color w:val="000000"/>
          <w:szCs w:val="24"/>
          <w:lang w:eastAsia="bg-BG"/>
        </w:rPr>
        <w:t>Процедура по изготвяне на Годишен доклад за изпълнението на ОПТТИ</w:t>
      </w:r>
    </w:p>
    <w:p w14:paraId="1C69B1BF" w14:textId="55ACEFF4" w:rsidR="00450E27" w:rsidRPr="001B0EA3" w:rsidRDefault="00450E27" w:rsidP="00450E27">
      <w:pPr>
        <w:spacing w:before="120"/>
        <w:rPr>
          <w:color w:val="000000"/>
          <w:szCs w:val="24"/>
          <w:lang w:eastAsia="bg-BG"/>
        </w:rPr>
      </w:pPr>
      <w:r w:rsidRPr="001B0EA3">
        <w:rPr>
          <w:color w:val="000000"/>
          <w:szCs w:val="24"/>
          <w:lang w:eastAsia="bg-BG"/>
        </w:rPr>
        <w:t>Доклада за изпълнението се изготвя от отдел „</w:t>
      </w:r>
      <w:r>
        <w:rPr>
          <w:color w:val="000000"/>
          <w:szCs w:val="24"/>
          <w:lang w:eastAsia="bg-BG"/>
        </w:rPr>
        <w:t>Наблюдение и оценка</w:t>
      </w:r>
      <w:r w:rsidRPr="001B0EA3">
        <w:rPr>
          <w:color w:val="000000"/>
          <w:szCs w:val="24"/>
          <w:lang w:eastAsia="bg-BG"/>
        </w:rPr>
        <w:t xml:space="preserve">”, като необходимата информация се предоставя от другите отдели в УО на ОПТТИ, бенефициентите по програмата и при необходимост други дирекции в </w:t>
      </w:r>
      <w:r>
        <w:rPr>
          <w:color w:val="000000"/>
          <w:szCs w:val="24"/>
          <w:lang w:eastAsia="bg-BG"/>
        </w:rPr>
        <w:t>Министерство на транспорта и съобщенията</w:t>
      </w:r>
      <w:r w:rsidRPr="001B0EA3">
        <w:rPr>
          <w:color w:val="000000"/>
          <w:szCs w:val="24"/>
          <w:lang w:eastAsia="bg-BG"/>
        </w:rPr>
        <w:t xml:space="preserve">.  </w:t>
      </w:r>
    </w:p>
    <w:p w14:paraId="1DD4A02A" w14:textId="147C642F" w:rsidR="00450E27" w:rsidRPr="001B0EA3" w:rsidRDefault="00450E27" w:rsidP="00450E27">
      <w:pPr>
        <w:spacing w:before="120"/>
        <w:rPr>
          <w:color w:val="000000"/>
          <w:szCs w:val="24"/>
          <w:lang w:eastAsia="bg-BG"/>
        </w:rPr>
      </w:pPr>
      <w:r w:rsidRPr="001B0EA3">
        <w:rPr>
          <w:color w:val="000000"/>
          <w:szCs w:val="24"/>
          <w:lang w:eastAsia="bg-BG"/>
        </w:rPr>
        <w:t>До 20 януари всяка година началник отдел „</w:t>
      </w:r>
      <w:r>
        <w:rPr>
          <w:color w:val="000000"/>
          <w:szCs w:val="24"/>
          <w:lang w:eastAsia="bg-BG"/>
        </w:rPr>
        <w:t>Наблюдение и оценка</w:t>
      </w:r>
      <w:r w:rsidRPr="001B0EA3">
        <w:rPr>
          <w:color w:val="000000"/>
          <w:szCs w:val="24"/>
          <w:lang w:eastAsia="bg-BG"/>
        </w:rPr>
        <w:t xml:space="preserve">”, в УО изпраща електронно писмо, с което иска актуална информация по отделните части на доклада за изпълнението от началниците на отдели в УО и писмо до бенефициентите по програмата в съответствие с техните компетенции. </w:t>
      </w:r>
    </w:p>
    <w:p w14:paraId="01113272" w14:textId="031C2D14" w:rsidR="00450E27" w:rsidRPr="001B0EA3" w:rsidRDefault="00450E27" w:rsidP="00450E27">
      <w:pPr>
        <w:spacing w:before="120"/>
        <w:rPr>
          <w:color w:val="000000"/>
          <w:szCs w:val="24"/>
          <w:lang w:eastAsia="bg-BG"/>
        </w:rPr>
      </w:pPr>
      <w:r w:rsidRPr="001B0EA3">
        <w:rPr>
          <w:color w:val="000000"/>
          <w:szCs w:val="24"/>
          <w:lang w:eastAsia="bg-BG"/>
        </w:rPr>
        <w:t>В срок до 20 февруари всяка година началниците на отдели и бенефициентите изпращат до началника на отдел „</w:t>
      </w:r>
      <w:r>
        <w:rPr>
          <w:color w:val="000000"/>
          <w:szCs w:val="24"/>
          <w:lang w:eastAsia="bg-BG"/>
        </w:rPr>
        <w:t>Наблюдение и оценка</w:t>
      </w:r>
      <w:r w:rsidRPr="001B0EA3">
        <w:rPr>
          <w:color w:val="000000"/>
          <w:szCs w:val="24"/>
          <w:lang w:eastAsia="bg-BG"/>
        </w:rPr>
        <w:t xml:space="preserve">”,  исканата от него информация.  </w:t>
      </w:r>
    </w:p>
    <w:p w14:paraId="0BC8E1F6" w14:textId="1622A3E1" w:rsidR="00450E27" w:rsidRPr="001B0EA3" w:rsidRDefault="00450E27" w:rsidP="00450E27">
      <w:pPr>
        <w:spacing w:before="120"/>
        <w:rPr>
          <w:color w:val="000000"/>
          <w:szCs w:val="24"/>
          <w:lang w:eastAsia="bg-BG"/>
        </w:rPr>
      </w:pPr>
      <w:r w:rsidRPr="001B0EA3">
        <w:rPr>
          <w:color w:val="000000"/>
          <w:szCs w:val="24"/>
          <w:lang w:eastAsia="bg-BG"/>
        </w:rPr>
        <w:t>В срок до 30 март експертите от отдел „</w:t>
      </w:r>
      <w:r>
        <w:rPr>
          <w:color w:val="000000"/>
          <w:szCs w:val="24"/>
          <w:lang w:eastAsia="bg-BG"/>
        </w:rPr>
        <w:t>Наблюдение и оценка</w:t>
      </w:r>
      <w:r w:rsidRPr="001B0EA3">
        <w:rPr>
          <w:color w:val="000000"/>
          <w:szCs w:val="24"/>
          <w:lang w:eastAsia="bg-BG"/>
        </w:rPr>
        <w:t xml:space="preserve">”,  изготвят проект на доклад за изпълнение на ОПТТИ в съответствие с Регламент 1303/2013, базирайки се на получената обобщена информация от другите отдели в УО, бенефициентите и другите дирекции в </w:t>
      </w:r>
      <w:r>
        <w:rPr>
          <w:color w:val="000000"/>
          <w:szCs w:val="24"/>
          <w:lang w:eastAsia="bg-BG"/>
        </w:rPr>
        <w:t>МТС</w:t>
      </w:r>
      <w:r w:rsidRPr="001B0EA3">
        <w:rPr>
          <w:color w:val="000000"/>
          <w:szCs w:val="24"/>
          <w:lang w:eastAsia="bg-BG"/>
        </w:rPr>
        <w:t>, при необходимост. След изготвянето на проекта на доклад за изпълнението, началникът отдел „</w:t>
      </w:r>
      <w:r>
        <w:rPr>
          <w:color w:val="000000"/>
          <w:szCs w:val="24"/>
          <w:lang w:eastAsia="bg-BG"/>
        </w:rPr>
        <w:t>Наблюдение и оценка</w:t>
      </w:r>
      <w:r w:rsidRPr="001B0EA3">
        <w:rPr>
          <w:color w:val="000000"/>
          <w:szCs w:val="24"/>
          <w:lang w:eastAsia="bg-BG"/>
        </w:rPr>
        <w:t xml:space="preserve">”,  го изпраща за вътрешно съгласуване до началниците на отдели в УО. Изготвянето и вътрешното съгласуване в УО на доклада за изпълнение на ОПТТИ следва да завърши в срок до 20 април или по-рано, в зависимост от датата на предстоящото заседание на КН на ОПТТИ. </w:t>
      </w:r>
    </w:p>
    <w:p w14:paraId="349143BB" w14:textId="49F5BF23" w:rsidR="00456EDE" w:rsidRPr="001B0EA3" w:rsidRDefault="00456EDE" w:rsidP="00456EDE">
      <w:pPr>
        <w:rPr>
          <w:color w:val="000000"/>
          <w:szCs w:val="24"/>
          <w:lang w:eastAsia="bg-BG"/>
        </w:rPr>
      </w:pPr>
      <w:r w:rsidRPr="001B0EA3">
        <w:rPr>
          <w:color w:val="000000"/>
          <w:szCs w:val="24"/>
          <w:lang w:eastAsia="bg-BG"/>
        </w:rPr>
        <w:t>След вътрешното съгласуване, експерти от отдел „</w:t>
      </w:r>
      <w:r>
        <w:rPr>
          <w:color w:val="000000"/>
          <w:szCs w:val="24"/>
          <w:lang w:eastAsia="bg-BG"/>
        </w:rPr>
        <w:t>Наблюдение и оценка</w:t>
      </w:r>
      <w:r w:rsidRPr="001B0EA3">
        <w:rPr>
          <w:color w:val="000000"/>
          <w:szCs w:val="24"/>
          <w:lang w:eastAsia="bg-BG"/>
        </w:rPr>
        <w:t xml:space="preserve">”,  и другите отдели в УО попълват съответните части от Контролния лист </w:t>
      </w:r>
      <w:r w:rsidRPr="001B0EA3">
        <w:rPr>
          <w:i/>
          <w:color w:val="000000"/>
          <w:szCs w:val="24"/>
          <w:lang w:eastAsia="bg-BG"/>
        </w:rPr>
        <w:t>(</w:t>
      </w:r>
      <w:hyperlink r:id="rId323" w:tooltip="Контролен лист - Доклад за изпълнение на ОПТТИ" w:history="1">
        <w:r w:rsidRPr="00251D03">
          <w:rPr>
            <w:rStyle w:val="Hyperlink"/>
            <w:i/>
            <w:szCs w:val="24"/>
            <w:lang w:eastAsia="bg-BG"/>
          </w:rPr>
          <w:t>Приложение № 9.02</w:t>
        </w:r>
      </w:hyperlink>
      <w:r w:rsidRPr="001B0EA3">
        <w:rPr>
          <w:b/>
          <w:i/>
          <w:color w:val="000000"/>
          <w:szCs w:val="24"/>
          <w:lang w:eastAsia="bg-BG"/>
        </w:rPr>
        <w:t>)</w:t>
      </w:r>
      <w:r w:rsidRPr="001B0EA3">
        <w:rPr>
          <w:color w:val="000000"/>
          <w:szCs w:val="24"/>
          <w:lang w:eastAsia="bg-BG"/>
        </w:rPr>
        <w:t>, по които изразяват отношение.</w:t>
      </w:r>
    </w:p>
    <w:p w14:paraId="23B5D86B" w14:textId="77777777" w:rsidR="007C49C2" w:rsidRPr="001B0EA3" w:rsidRDefault="007C49C2" w:rsidP="00660856">
      <w:pPr>
        <w:rPr>
          <w:b/>
          <w:color w:val="000000"/>
          <w:szCs w:val="24"/>
          <w:lang w:eastAsia="bg-BG"/>
        </w:rPr>
      </w:pPr>
    </w:p>
    <w:p w14:paraId="123C4BCD" w14:textId="77777777" w:rsidR="007C49C2" w:rsidRPr="001B0EA3" w:rsidRDefault="007C49C2" w:rsidP="00660856">
      <w:pPr>
        <w:rPr>
          <w:b/>
          <w:color w:val="000000"/>
          <w:szCs w:val="24"/>
          <w:lang w:eastAsia="bg-BG"/>
        </w:rPr>
      </w:pPr>
    </w:p>
    <w:p w14:paraId="2E34C387" w14:textId="77777777" w:rsidR="007C49C2" w:rsidRPr="001B0EA3" w:rsidRDefault="007C49C2" w:rsidP="00046D61">
      <w:pPr>
        <w:rPr>
          <w:b/>
          <w:bCs/>
          <w:i/>
          <w:color w:val="000000"/>
        </w:rPr>
      </w:pPr>
    </w:p>
    <w:p w14:paraId="393DD388" w14:textId="77777777" w:rsidR="0017279E" w:rsidRPr="001B0EA3" w:rsidRDefault="0017279E" w:rsidP="00046D61">
      <w:pPr>
        <w:rPr>
          <w:b/>
          <w:bCs/>
          <w:i/>
          <w:color w:val="000000"/>
        </w:rPr>
        <w:sectPr w:rsidR="0017279E" w:rsidRPr="001B0EA3" w:rsidSect="002305A7">
          <w:pgSz w:w="11906" w:h="16838"/>
          <w:pgMar w:top="1134" w:right="851" w:bottom="1134" w:left="1418" w:header="709" w:footer="709" w:gutter="0"/>
          <w:cols w:space="708"/>
          <w:docGrid w:linePitch="360"/>
        </w:sectPr>
      </w:pPr>
    </w:p>
    <w:p w14:paraId="13E8D8CF" w14:textId="77777777" w:rsidR="00F21CF1" w:rsidRPr="001B0EA3" w:rsidRDefault="00F21CF1" w:rsidP="00F21CF1">
      <w:pPr>
        <w:ind w:firstLine="0"/>
        <w:jc w:val="center"/>
        <w:rPr>
          <w:b/>
          <w:bCs/>
          <w:i/>
          <w:color w:val="000000"/>
        </w:rPr>
      </w:pPr>
      <w:r w:rsidRPr="001B0EA3">
        <w:rPr>
          <w:b/>
          <w:bCs/>
          <w:i/>
          <w:color w:val="000000"/>
        </w:rPr>
        <w:lastRenderedPageBreak/>
        <w:t>Схема за изготвяне, съгласуване и представяне на Доклад за изпълнение на ОПТТИ</w:t>
      </w:r>
    </w:p>
    <w:p w14:paraId="66D22CDA" w14:textId="77777777" w:rsidR="00F21CF1" w:rsidRPr="001B0EA3" w:rsidRDefault="00B878F1" w:rsidP="00F21CF1">
      <w:pPr>
        <w:ind w:firstLine="0"/>
        <w:jc w:val="center"/>
        <w:rPr>
          <w:color w:val="000000"/>
          <w:szCs w:val="24"/>
        </w:rPr>
      </w:pPr>
      <w:r>
        <w:rPr>
          <w:noProof/>
          <w:lang w:eastAsia="bg-BG"/>
        </w:rPr>
        <mc:AlternateContent>
          <mc:Choice Requires="wps">
            <w:drawing>
              <wp:anchor distT="0" distB="0" distL="114300" distR="114300" simplePos="0" relativeHeight="251715584" behindDoc="0" locked="0" layoutInCell="1" allowOverlap="1" wp14:anchorId="35631E33" wp14:editId="368A5C80">
                <wp:simplePos x="0" y="0"/>
                <wp:positionH relativeFrom="column">
                  <wp:posOffset>5747384</wp:posOffset>
                </wp:positionH>
                <wp:positionV relativeFrom="paragraph">
                  <wp:posOffset>2324100</wp:posOffset>
                </wp:positionV>
                <wp:extent cx="1019175" cy="427629"/>
                <wp:effectExtent l="0" t="0" r="28575" b="10795"/>
                <wp:wrapNone/>
                <wp:docPr id="699" name="Rectangle 699"/>
                <wp:cNvGraphicFramePr/>
                <a:graphic xmlns:a="http://schemas.openxmlformats.org/drawingml/2006/main">
                  <a:graphicData uri="http://schemas.microsoft.com/office/word/2010/wordprocessingShape">
                    <wps:wsp>
                      <wps:cNvSpPr/>
                      <wps:spPr>
                        <a:xfrm>
                          <a:off x="0" y="0"/>
                          <a:ext cx="1019175" cy="427629"/>
                        </a:xfrm>
                        <a:prstGeom prst="rect">
                          <a:avLst/>
                        </a:prstGeom>
                        <a:solidFill>
                          <a:srgbClr val="CCFFFF"/>
                        </a:solidFill>
                        <a:ln w="9525">
                          <a:solidFill>
                            <a:srgbClr val="000000"/>
                          </a:solidFill>
                          <a:miter lim="800000"/>
                          <a:headEnd/>
                          <a:tailEnd/>
                        </a:ln>
                      </wps:spPr>
                      <wps:txbx>
                        <w:txbxContent>
                          <w:p w14:paraId="461E358F" w14:textId="77777777" w:rsidR="004E3164" w:rsidRPr="006A6D08" w:rsidRDefault="004E3164" w:rsidP="00A4573C">
                            <w:pPr>
                              <w:ind w:firstLine="0"/>
                              <w:jc w:val="center"/>
                              <w:rPr>
                                <w:rFonts w:ascii="Verdana" w:hAnsi="Verdana"/>
                                <w:b/>
                                <w:sz w:val="12"/>
                                <w:szCs w:val="12"/>
                                <w:u w:val="single"/>
                              </w:rPr>
                            </w:pPr>
                            <w:r w:rsidRPr="006A6D08">
                              <w:rPr>
                                <w:rFonts w:ascii="Verdana" w:hAnsi="Verdana"/>
                                <w:b/>
                                <w:sz w:val="12"/>
                                <w:szCs w:val="12"/>
                                <w:u w:val="single"/>
                              </w:rPr>
                              <w:t xml:space="preserve">Отдел </w:t>
                            </w:r>
                            <w:r>
                              <w:rPr>
                                <w:rFonts w:ascii="Verdana" w:hAnsi="Verdana"/>
                                <w:b/>
                                <w:sz w:val="12"/>
                                <w:szCs w:val="12"/>
                                <w:u w:val="single"/>
                              </w:rPr>
                              <w:t xml:space="preserve"> </w:t>
                            </w:r>
                            <w:r w:rsidRPr="006A6D08">
                              <w:rPr>
                                <w:rFonts w:ascii="Verdana" w:hAnsi="Verdana"/>
                                <w:b/>
                                <w:sz w:val="12"/>
                                <w:szCs w:val="12"/>
                              </w:rPr>
                              <w:t>Информация, публичност и техническа помощ</w:t>
                            </w:r>
                          </w:p>
                        </w:txbxContent>
                      </wps:txbx>
                      <wps:bodyPr rot="0" spcFirstLastPara="0" vertOverflow="overflow" horzOverflow="overflow" vert="horz" wrap="square" lIns="36000" tIns="45720" rIns="3600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31E33" id="Rectangle 699" o:spid="_x0000_s1736" style="position:absolute;left:0;text-align:left;margin-left:452.55pt;margin-top:183pt;width:80.25pt;height:33.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" fillcolor="#cff">
                <v:textbox inset="1mm,,1mm">
                  <w:txbxContent>
                    <w:p w14:paraId="461E358F" w14:textId="77777777" w:rsidR="004E3164" w:rsidRPr="006A6D08" w:rsidRDefault="004E3164" w:rsidP="00A4573C">
                      <w:pPr>
                        <w:ind w:firstLine="0"/>
                        <w:jc w:val="center"/>
                        <w:rPr>
                          <w:rFonts w:ascii="Verdana" w:hAnsi="Verdana"/>
                          <w:b/>
                          <w:sz w:val="12"/>
                          <w:szCs w:val="12"/>
                          <w:u w:val="single"/>
                        </w:rPr>
                      </w:pPr>
                      <w:r w:rsidRPr="006A6D08">
                        <w:rPr>
                          <w:rFonts w:ascii="Verdana" w:hAnsi="Verdana"/>
                          <w:b/>
                          <w:sz w:val="12"/>
                          <w:szCs w:val="12"/>
                          <w:u w:val="single"/>
                        </w:rPr>
                        <w:t xml:space="preserve">Отдел </w:t>
                      </w:r>
                      <w:r>
                        <w:rPr>
                          <w:rFonts w:ascii="Verdana" w:hAnsi="Verdana"/>
                          <w:b/>
                          <w:sz w:val="12"/>
                          <w:szCs w:val="12"/>
                          <w:u w:val="single"/>
                        </w:rPr>
                        <w:t xml:space="preserve"> </w:t>
                      </w:r>
                      <w:r w:rsidRPr="006A6D08">
                        <w:rPr>
                          <w:rFonts w:ascii="Verdana" w:hAnsi="Verdana"/>
                          <w:b/>
                          <w:sz w:val="12"/>
                          <w:szCs w:val="12"/>
                        </w:rPr>
                        <w:t>Информация, публичност и техническа помощ</w:t>
                      </w:r>
                    </w:p>
                  </w:txbxContent>
                </v:textbox>
              </v:rect>
            </w:pict>
          </mc:Fallback>
        </mc:AlternateContent>
      </w:r>
      <w:r w:rsidR="00F21CF1">
        <w:rPr>
          <w:noProof/>
          <w:lang w:eastAsia="bg-BG"/>
        </w:rPr>
        <mc:AlternateContent>
          <mc:Choice Requires="wps">
            <w:drawing>
              <wp:anchor distT="0" distB="0" distL="114300" distR="114300" simplePos="0" relativeHeight="251716608" behindDoc="0" locked="0" layoutInCell="1" allowOverlap="1" wp14:anchorId="750B6966" wp14:editId="51D75228">
                <wp:simplePos x="0" y="0"/>
                <wp:positionH relativeFrom="column">
                  <wp:posOffset>1346102</wp:posOffset>
                </wp:positionH>
                <wp:positionV relativeFrom="paragraph">
                  <wp:posOffset>2111620</wp:posOffset>
                </wp:positionV>
                <wp:extent cx="0" cy="177876"/>
                <wp:effectExtent l="0" t="0" r="19050" b="31750"/>
                <wp:wrapNone/>
                <wp:docPr id="700" name="Straight Connector 700"/>
                <wp:cNvGraphicFramePr/>
                <a:graphic xmlns:a="http://schemas.openxmlformats.org/drawingml/2006/main">
                  <a:graphicData uri="http://schemas.microsoft.com/office/word/2010/wordprocessingShape">
                    <wps:wsp>
                      <wps:cNvCnPr/>
                      <wps:spPr>
                        <a:xfrm>
                          <a:off x="0" y="0"/>
                          <a:ext cx="0" cy="1778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FA34842" id="Straight Connector 700"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pt,166.25pt" to="106pt,1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"/>
            </w:pict>
          </mc:Fallback>
        </mc:AlternateContent>
      </w:r>
      <w:r w:rsidR="00F21CF1" w:rsidRPr="001B0EA3">
        <w:rPr>
          <w:noProof/>
          <w:lang w:eastAsia="bg-BG"/>
        </w:rPr>
        <mc:AlternateContent>
          <mc:Choice Requires="wpg">
            <w:drawing>
              <wp:inline distT="0" distB="0" distL="0" distR="0" wp14:anchorId="4C77BC25" wp14:editId="2879BBB2">
                <wp:extent cx="9609993" cy="4615962"/>
                <wp:effectExtent l="19050" t="0" r="10795" b="13335"/>
                <wp:docPr id="1897" name="Group 1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09993" cy="4615962"/>
                          <a:chOff x="0" y="0"/>
                          <a:chExt cx="8905492" cy="4503001"/>
                        </a:xfrm>
                      </wpg:grpSpPr>
                      <wps:wsp>
                        <wps:cNvPr id="1898" name="Straight Connector 1991"/>
                        <wps:cNvCnPr>
                          <a:cxnSpLocks noChangeShapeType="1"/>
                        </wps:cNvCnPr>
                        <wps:spPr bwMode="auto">
                          <a:xfrm flipH="1">
                            <a:off x="6202392" y="3183147"/>
                            <a:ext cx="685800" cy="0"/>
                          </a:xfrm>
                          <a:prstGeom prst="line">
                            <a:avLst/>
                          </a:prstGeom>
                          <a:noFill/>
                          <a:ln w="47625"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9" name="Straight Connector 1990"/>
                        <wps:cNvCnPr>
                          <a:cxnSpLocks noChangeShapeType="1"/>
                        </wps:cNvCnPr>
                        <wps:spPr bwMode="auto">
                          <a:xfrm flipH="1">
                            <a:off x="6211019" y="3769744"/>
                            <a:ext cx="685800" cy="0"/>
                          </a:xfrm>
                          <a:prstGeom prst="line">
                            <a:avLst/>
                          </a:prstGeom>
                          <a:noFill/>
                          <a:ln w="47625"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0" name="Straight Connector 2013"/>
                        <wps:cNvCnPr>
                          <a:cxnSpLocks noChangeShapeType="1"/>
                        </wps:cNvCnPr>
                        <wps:spPr bwMode="auto">
                          <a:xfrm flipH="1">
                            <a:off x="724619" y="1095555"/>
                            <a:ext cx="8180321" cy="0"/>
                          </a:xfrm>
                          <a:prstGeom prst="line">
                            <a:avLst/>
                          </a:prstGeom>
                          <a:noFill/>
                          <a:ln w="50800" cmpd="dbl">
                            <a:solidFill>
                              <a:srgbClr val="000000"/>
                            </a:solidFill>
                            <a:round/>
                            <a:headEnd/>
                            <a:tailEnd/>
                          </a:ln>
                          <a:extLst>
                            <a:ext uri="{909E8E84-426E-40DD-AFC4-6F175D3DCCD1}">
                              <a14:hiddenFill xmlns:a14="http://schemas.microsoft.com/office/drawing/2010/main">
                                <a:noFill/>
                              </a14:hiddenFill>
                            </a:ext>
                          </a:extLst>
                        </wps:spPr>
                        <wps:bodyPr/>
                      </wps:wsp>
                      <wps:wsp>
                        <wps:cNvPr id="1901" name="Straight Connector 2009"/>
                        <wps:cNvCnPr>
                          <a:cxnSpLocks noChangeShapeType="1"/>
                        </wps:cNvCnPr>
                        <wps:spPr bwMode="auto">
                          <a:xfrm flipH="1">
                            <a:off x="6202392" y="1889185"/>
                            <a:ext cx="685800" cy="0"/>
                          </a:xfrm>
                          <a:prstGeom prst="line">
                            <a:avLst/>
                          </a:prstGeom>
                          <a:noFill/>
                          <a:ln w="47625"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2" name="Straight Connector 1993"/>
                        <wps:cNvCnPr>
                          <a:cxnSpLocks noChangeShapeType="1"/>
                        </wps:cNvCnPr>
                        <wps:spPr bwMode="auto">
                          <a:xfrm flipH="1">
                            <a:off x="6202392" y="2355012"/>
                            <a:ext cx="685800" cy="0"/>
                          </a:xfrm>
                          <a:prstGeom prst="line">
                            <a:avLst/>
                          </a:prstGeom>
                          <a:noFill/>
                          <a:ln w="47625"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3" name="Straight Connector 2008"/>
                        <wps:cNvCnPr>
                          <a:cxnSpLocks noChangeShapeType="1"/>
                        </wps:cNvCnPr>
                        <wps:spPr bwMode="auto">
                          <a:xfrm flipH="1">
                            <a:off x="6211019" y="2829464"/>
                            <a:ext cx="685800" cy="0"/>
                          </a:xfrm>
                          <a:prstGeom prst="line">
                            <a:avLst/>
                          </a:prstGeom>
                          <a:noFill/>
                          <a:ln w="47625"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4" name="Straight Connector 2007"/>
                        <wps:cNvCnPr>
                          <a:cxnSpLocks noChangeShapeType="1"/>
                        </wps:cNvCnPr>
                        <wps:spPr bwMode="auto">
                          <a:xfrm>
                            <a:off x="715992" y="1843519"/>
                            <a:ext cx="0" cy="1904658"/>
                          </a:xfrm>
                          <a:prstGeom prst="line">
                            <a:avLst/>
                          </a:prstGeom>
                          <a:noFill/>
                          <a:ln w="38100" cmpd="dbl">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905" name="Straight Connector 98"/>
                        <wps:cNvCnPr>
                          <a:cxnSpLocks noChangeShapeType="1"/>
                        </wps:cNvCnPr>
                        <wps:spPr bwMode="auto">
                          <a:xfrm>
                            <a:off x="1302589" y="2803585"/>
                            <a:ext cx="0" cy="1174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6" name="Straight Connector 97"/>
                        <wps:cNvCnPr>
                          <a:cxnSpLocks noChangeShapeType="1"/>
                        </wps:cNvCnPr>
                        <wps:spPr bwMode="auto">
                          <a:xfrm>
                            <a:off x="5710687" y="2803585"/>
                            <a:ext cx="0" cy="1174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7" name="Straight Connector 96"/>
                        <wps:cNvCnPr>
                          <a:cxnSpLocks noChangeShapeType="1"/>
                        </wps:cNvCnPr>
                        <wps:spPr bwMode="auto">
                          <a:xfrm flipH="1">
                            <a:off x="1302589" y="3985404"/>
                            <a:ext cx="440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8" name="Straight Connector 169"/>
                        <wps:cNvCnPr>
                          <a:cxnSpLocks noChangeShapeType="1"/>
                        </wps:cNvCnPr>
                        <wps:spPr bwMode="auto">
                          <a:xfrm flipH="1">
                            <a:off x="552090" y="3545457"/>
                            <a:ext cx="1111250" cy="0"/>
                          </a:xfrm>
                          <a:prstGeom prst="line">
                            <a:avLst/>
                          </a:prstGeom>
                          <a:noFill/>
                          <a:ln w="57150" cmpd="dbl">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1909" name="Straight Connector 170"/>
                        <wps:cNvCnPr>
                          <a:cxnSpLocks noChangeShapeType="1"/>
                        </wps:cNvCnPr>
                        <wps:spPr bwMode="auto">
                          <a:xfrm flipH="1" flipV="1">
                            <a:off x="2449902" y="2829464"/>
                            <a:ext cx="0" cy="450850"/>
                          </a:xfrm>
                          <a:prstGeom prst="line">
                            <a:avLst/>
                          </a:prstGeom>
                          <a:noFill/>
                          <a:ln w="38100" cmpd="dbl">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1910" name="Straight Connector 178"/>
                        <wps:cNvCnPr>
                          <a:cxnSpLocks noChangeShapeType="1"/>
                        </wps:cNvCnPr>
                        <wps:spPr bwMode="auto">
                          <a:xfrm flipH="1">
                            <a:off x="3916392" y="681487"/>
                            <a:ext cx="1143000" cy="0"/>
                          </a:xfrm>
                          <a:prstGeom prst="line">
                            <a:avLst/>
                          </a:prstGeom>
                          <a:noFill/>
                          <a:ln w="47625" cmpd="dbl">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1911" name="Straight Connector 68"/>
                        <wps:cNvCnPr>
                          <a:cxnSpLocks noChangeShapeType="1"/>
                        </wps:cNvCnPr>
                        <wps:spPr bwMode="auto">
                          <a:xfrm>
                            <a:off x="4672166" y="2061713"/>
                            <a:ext cx="0" cy="1708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2" name="Straight Connector 69"/>
                        <wps:cNvCnPr>
                          <a:cxnSpLocks noChangeShapeType="1"/>
                        </wps:cNvCnPr>
                        <wps:spPr bwMode="auto">
                          <a:xfrm>
                            <a:off x="5759250" y="2069784"/>
                            <a:ext cx="0" cy="1945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3" name="Straight Connector 70"/>
                        <wps:cNvCnPr>
                          <a:cxnSpLocks noChangeShapeType="1"/>
                        </wps:cNvCnPr>
                        <wps:spPr bwMode="auto">
                          <a:xfrm>
                            <a:off x="3836860" y="2069850"/>
                            <a:ext cx="0" cy="1708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4" name="Straight Connector 71"/>
                        <wps:cNvCnPr>
                          <a:cxnSpLocks noChangeShapeType="1"/>
                        </wps:cNvCnPr>
                        <wps:spPr bwMode="auto">
                          <a:xfrm>
                            <a:off x="2911930" y="2051996"/>
                            <a:ext cx="0" cy="1708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5" name="Straight Connector 72"/>
                        <wps:cNvCnPr>
                          <a:cxnSpLocks noChangeShapeType="1"/>
                        </wps:cNvCnPr>
                        <wps:spPr bwMode="auto">
                          <a:xfrm>
                            <a:off x="2011921" y="2061713"/>
                            <a:ext cx="0" cy="1708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6" name="Straight Connector 74"/>
                        <wps:cNvCnPr>
                          <a:cxnSpLocks noChangeShapeType="1"/>
                        </wps:cNvCnPr>
                        <wps:spPr bwMode="auto">
                          <a:xfrm flipV="1">
                            <a:off x="4606506" y="2820838"/>
                            <a:ext cx="0" cy="457200"/>
                          </a:xfrm>
                          <a:prstGeom prst="line">
                            <a:avLst/>
                          </a:prstGeom>
                          <a:noFill/>
                          <a:ln w="38100" cmpd="dbl">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1917" name="Straight Connector 75"/>
                        <wps:cNvCnPr>
                          <a:cxnSpLocks noChangeShapeType="1"/>
                        </wps:cNvCnPr>
                        <wps:spPr bwMode="auto">
                          <a:xfrm flipV="1">
                            <a:off x="3476445" y="2829464"/>
                            <a:ext cx="0" cy="457200"/>
                          </a:xfrm>
                          <a:prstGeom prst="line">
                            <a:avLst/>
                          </a:prstGeom>
                          <a:noFill/>
                          <a:ln w="38100" cmpd="dbl">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1919" name="Text Box 67"/>
                        <wps:cNvSpPr txBox="1">
                          <a:spLocks noChangeArrowheads="1"/>
                        </wps:cNvSpPr>
                        <wps:spPr bwMode="auto">
                          <a:xfrm>
                            <a:off x="940279" y="1190445"/>
                            <a:ext cx="5139690" cy="395605"/>
                          </a:xfrm>
                          <a:prstGeom prst="rect">
                            <a:avLst/>
                          </a:prstGeom>
                          <a:solidFill>
                            <a:srgbClr val="FF99CC"/>
                          </a:solidFill>
                          <a:ln w="9525">
                            <a:solidFill>
                              <a:srgbClr val="000000"/>
                            </a:solidFill>
                            <a:miter lim="800000"/>
                            <a:headEnd/>
                            <a:tailEnd/>
                          </a:ln>
                        </wps:spPr>
                        <wps:txbx>
                          <w:txbxContent>
                            <w:p w14:paraId="7232885D" w14:textId="77777777" w:rsidR="004E3164" w:rsidRPr="00864A2F" w:rsidRDefault="004E3164" w:rsidP="00F21CF1">
                              <w:pPr>
                                <w:ind w:firstLine="0"/>
                                <w:jc w:val="center"/>
                                <w:rPr>
                                  <w:rFonts w:ascii="Verdana" w:hAnsi="Verdana"/>
                                  <w:bCs/>
                                  <w:sz w:val="20"/>
                                  <w:lang w:val="ru-RU"/>
                                </w:rPr>
                              </w:pPr>
                              <w:r>
                                <w:rPr>
                                  <w:rFonts w:ascii="Verdana" w:hAnsi="Verdana"/>
                                  <w:b/>
                                  <w:bCs/>
                                  <w:sz w:val="20"/>
                                </w:rPr>
                                <w:t>Министерство на транспорта и съобщенията</w:t>
                              </w:r>
                            </w:p>
                            <w:p w14:paraId="17A64D5A" w14:textId="77777777" w:rsidR="004E3164" w:rsidRPr="00864A2F" w:rsidRDefault="004E3164" w:rsidP="00F21CF1">
                              <w:pPr>
                                <w:ind w:firstLine="0"/>
                                <w:jc w:val="center"/>
                                <w:rPr>
                                  <w:rFonts w:ascii="Verdana" w:hAnsi="Verdana"/>
                                  <w:b/>
                                  <w:bCs/>
                                  <w:sz w:val="20"/>
                                  <w:lang w:val="ru-RU"/>
                                </w:rPr>
                              </w:pPr>
                            </w:p>
                          </w:txbxContent>
                        </wps:txbx>
                        <wps:bodyPr rot="0" vert="horz" wrap="square" lIns="91440" tIns="45720" rIns="91440" bIns="45720" anchor="t" anchorCtr="0" upright="1">
                          <a:noAutofit/>
                        </wps:bodyPr>
                      </wps:wsp>
                      <wps:wsp>
                        <wps:cNvPr id="32" name="Text Box 66"/>
                        <wps:cNvSpPr txBox="1">
                          <a:spLocks noChangeArrowheads="1"/>
                        </wps:cNvSpPr>
                        <wps:spPr bwMode="auto">
                          <a:xfrm>
                            <a:off x="923026" y="1777042"/>
                            <a:ext cx="5199380" cy="274955"/>
                          </a:xfrm>
                          <a:prstGeom prst="rect">
                            <a:avLst/>
                          </a:prstGeom>
                          <a:solidFill>
                            <a:srgbClr val="99CCFF"/>
                          </a:solidFill>
                          <a:ln w="9525">
                            <a:solidFill>
                              <a:srgbClr val="000000"/>
                            </a:solidFill>
                            <a:miter lim="800000"/>
                            <a:headEnd/>
                            <a:tailEnd/>
                          </a:ln>
                        </wps:spPr>
                        <wps:txbx>
                          <w:txbxContent>
                            <w:p w14:paraId="221C8EEB" w14:textId="77777777" w:rsidR="004E3164" w:rsidRPr="00351458" w:rsidRDefault="004E3164" w:rsidP="00F21CF1">
                              <w:pPr>
                                <w:ind w:firstLine="0"/>
                                <w:jc w:val="center"/>
                                <w:rPr>
                                  <w:rFonts w:ascii="Verdana" w:hAnsi="Verdana"/>
                                  <w:b/>
                                  <w:bCs/>
                                </w:rPr>
                              </w:pPr>
                              <w:r w:rsidRPr="00351458">
                                <w:rPr>
                                  <w:rFonts w:ascii="Verdana" w:hAnsi="Verdana"/>
                                  <w:b/>
                                  <w:bCs/>
                                </w:rPr>
                                <w:t>Дирекция „Координация на програми и проекти“</w:t>
                              </w:r>
                            </w:p>
                          </w:txbxContent>
                        </wps:txbx>
                        <wps:bodyPr rot="0" vert="horz" wrap="square" lIns="91440" tIns="45720" rIns="91440" bIns="45720" anchor="ctr" anchorCtr="0" upright="1">
                          <a:noAutofit/>
                        </wps:bodyPr>
                      </wps:wsp>
                      <wps:wsp>
                        <wps:cNvPr id="33" name="Text Box 65"/>
                        <wps:cNvSpPr txBox="1">
                          <a:spLocks noChangeArrowheads="1"/>
                        </wps:cNvSpPr>
                        <wps:spPr bwMode="auto">
                          <a:xfrm>
                            <a:off x="1653993" y="2232322"/>
                            <a:ext cx="754063" cy="469479"/>
                          </a:xfrm>
                          <a:prstGeom prst="rect">
                            <a:avLst/>
                          </a:prstGeom>
                          <a:solidFill>
                            <a:srgbClr val="CCFFFF"/>
                          </a:solidFill>
                          <a:ln w="9525">
                            <a:solidFill>
                              <a:srgbClr val="000000"/>
                            </a:solidFill>
                            <a:miter lim="800000"/>
                            <a:headEnd/>
                            <a:tailEnd/>
                          </a:ln>
                        </wps:spPr>
                        <wps:txbx>
                          <w:txbxContent>
                            <w:p w14:paraId="68BDC90D" w14:textId="77777777" w:rsidR="004E3164" w:rsidRPr="00B12C69" w:rsidRDefault="004E3164" w:rsidP="00F21CF1">
                              <w:pPr>
                                <w:ind w:firstLine="0"/>
                                <w:jc w:val="center"/>
                                <w:rPr>
                                  <w:rFonts w:ascii="Verdana" w:hAnsi="Verdana"/>
                                  <w:b/>
                                  <w:sz w:val="14"/>
                                  <w:szCs w:val="14"/>
                                </w:rPr>
                              </w:pPr>
                              <w:r w:rsidRPr="00B12C69">
                                <w:rPr>
                                  <w:rFonts w:ascii="Verdana" w:hAnsi="Verdana"/>
                                  <w:b/>
                                  <w:sz w:val="14"/>
                                  <w:szCs w:val="14"/>
                                  <w:u w:val="single"/>
                                </w:rPr>
                                <w:t>Отдел</w:t>
                              </w:r>
                            </w:p>
                            <w:p w14:paraId="53D6F0E1" w14:textId="77777777" w:rsidR="004E3164" w:rsidRPr="00B12C69" w:rsidRDefault="004E3164" w:rsidP="00F21CF1">
                              <w:pPr>
                                <w:ind w:firstLine="0"/>
                                <w:jc w:val="center"/>
                                <w:rPr>
                                  <w:rFonts w:ascii="Verdana" w:hAnsi="Verdana"/>
                                  <w:b/>
                                  <w:sz w:val="14"/>
                                  <w:szCs w:val="14"/>
                                </w:rPr>
                              </w:pPr>
                              <w:r w:rsidRPr="00B12C69">
                                <w:rPr>
                                  <w:rFonts w:ascii="Verdana" w:hAnsi="Verdana"/>
                                  <w:b/>
                                  <w:sz w:val="14"/>
                                  <w:szCs w:val="14"/>
                                </w:rPr>
                                <w:t>Финансово</w:t>
                              </w:r>
                            </w:p>
                            <w:p w14:paraId="77E3DCEC" w14:textId="77777777" w:rsidR="004E3164" w:rsidRPr="00B12C69" w:rsidRDefault="004E3164" w:rsidP="00F21CF1">
                              <w:pPr>
                                <w:ind w:firstLine="0"/>
                                <w:jc w:val="center"/>
                                <w:rPr>
                                  <w:rFonts w:ascii="Verdana" w:hAnsi="Verdana"/>
                                  <w:b/>
                                  <w:bCs/>
                                  <w:sz w:val="14"/>
                                  <w:szCs w:val="14"/>
                                  <w:lang w:val="en-US"/>
                                </w:rPr>
                              </w:pPr>
                              <w:r w:rsidRPr="00B12C69">
                                <w:rPr>
                                  <w:rFonts w:ascii="Verdana" w:hAnsi="Verdana"/>
                                  <w:b/>
                                  <w:sz w:val="14"/>
                                  <w:szCs w:val="14"/>
                                </w:rPr>
                                <w:t>управление</w:t>
                              </w:r>
                            </w:p>
                          </w:txbxContent>
                        </wps:txbx>
                        <wps:bodyPr rot="0" vert="horz" wrap="square" lIns="91440" tIns="45720" rIns="91440" bIns="45720" anchor="t" anchorCtr="0" upright="1">
                          <a:noAutofit/>
                        </wps:bodyPr>
                      </wps:wsp>
                      <wps:wsp>
                        <wps:cNvPr id="34" name="Oval 180"/>
                        <wps:cNvSpPr>
                          <a:spLocks noChangeArrowheads="1"/>
                        </wps:cNvSpPr>
                        <wps:spPr bwMode="auto">
                          <a:xfrm>
                            <a:off x="6271404" y="2898476"/>
                            <a:ext cx="342900" cy="342900"/>
                          </a:xfrm>
                          <a:prstGeom prst="ellipse">
                            <a:avLst/>
                          </a:prstGeom>
                          <a:solidFill>
                            <a:srgbClr val="FFFFFF"/>
                          </a:solidFill>
                          <a:ln w="9525">
                            <a:solidFill>
                              <a:srgbClr val="000000"/>
                            </a:solidFill>
                            <a:round/>
                            <a:headEnd/>
                            <a:tailEnd/>
                          </a:ln>
                        </wps:spPr>
                        <wps:txbx>
                          <w:txbxContent>
                            <w:p w14:paraId="2962C83F" w14:textId="77777777" w:rsidR="004E3164" w:rsidRDefault="004E3164" w:rsidP="00F21CF1">
                              <w:pPr>
                                <w:ind w:firstLine="0"/>
                                <w:jc w:val="center"/>
                                <w:rPr>
                                  <w:rFonts w:ascii="Verdana" w:hAnsi="Verdana"/>
                                  <w:b/>
                                </w:rPr>
                              </w:pPr>
                              <w:r>
                                <w:rPr>
                                  <w:b/>
                                </w:rPr>
                                <w:t>1</w:t>
                              </w:r>
                            </w:p>
                          </w:txbxContent>
                        </wps:txbx>
                        <wps:bodyPr rot="0" vert="horz" wrap="square" lIns="91440" tIns="45720" rIns="91440" bIns="45720" anchor="t" anchorCtr="0" upright="1">
                          <a:noAutofit/>
                        </wps:bodyPr>
                      </wps:wsp>
                      <wps:wsp>
                        <wps:cNvPr id="35" name="Text Box 124"/>
                        <wps:cNvSpPr txBox="1">
                          <a:spLocks noChangeArrowheads="1"/>
                        </wps:cNvSpPr>
                        <wps:spPr bwMode="auto">
                          <a:xfrm>
                            <a:off x="847272" y="2232109"/>
                            <a:ext cx="733392" cy="452366"/>
                          </a:xfrm>
                          <a:prstGeom prst="rect">
                            <a:avLst/>
                          </a:prstGeom>
                          <a:solidFill>
                            <a:srgbClr val="CCFFFF"/>
                          </a:solidFill>
                          <a:ln w="9525">
                            <a:solidFill>
                              <a:srgbClr val="000000"/>
                            </a:solidFill>
                            <a:miter lim="800000"/>
                            <a:headEnd/>
                            <a:tailEnd/>
                          </a:ln>
                        </wps:spPr>
                        <wps:txbx>
                          <w:txbxContent>
                            <w:p w14:paraId="62443FF8" w14:textId="77777777" w:rsidR="004E3164" w:rsidRPr="00B12C69" w:rsidRDefault="004E3164" w:rsidP="00F21CF1">
                              <w:pPr>
                                <w:ind w:firstLine="0"/>
                                <w:jc w:val="center"/>
                                <w:rPr>
                                  <w:rFonts w:ascii="Verdana" w:hAnsi="Verdana"/>
                                  <w:b/>
                                  <w:sz w:val="14"/>
                                  <w:szCs w:val="14"/>
                                  <w:u w:val="single"/>
                                </w:rPr>
                              </w:pPr>
                              <w:r w:rsidRPr="00B12C69">
                                <w:rPr>
                                  <w:rFonts w:ascii="Verdana" w:hAnsi="Verdana"/>
                                  <w:b/>
                                  <w:sz w:val="14"/>
                                  <w:szCs w:val="14"/>
                                  <w:u w:val="single"/>
                                </w:rPr>
                                <w:t>Отдел</w:t>
                              </w:r>
                            </w:p>
                            <w:p w14:paraId="6F56F9F6" w14:textId="77777777" w:rsidR="004E3164" w:rsidRPr="00B12C69" w:rsidRDefault="004E3164" w:rsidP="00F21CF1">
                              <w:pPr>
                                <w:ind w:firstLine="0"/>
                                <w:jc w:val="center"/>
                                <w:rPr>
                                  <w:rFonts w:ascii="Verdana" w:hAnsi="Verdana"/>
                                  <w:b/>
                                  <w:sz w:val="14"/>
                                  <w:szCs w:val="14"/>
                                </w:rPr>
                              </w:pPr>
                              <w:r w:rsidRPr="00B12C69">
                                <w:rPr>
                                  <w:rFonts w:ascii="Verdana" w:hAnsi="Verdana"/>
                                  <w:b/>
                                  <w:sz w:val="14"/>
                                  <w:szCs w:val="14"/>
                                </w:rPr>
                                <w:t>Програмиране</w:t>
                              </w:r>
                            </w:p>
                          </w:txbxContent>
                        </wps:txbx>
                        <wps:bodyPr rot="0" vert="horz" wrap="square" lIns="0" tIns="45720" rIns="0" bIns="45720" anchor="t" anchorCtr="0" upright="1">
                          <a:noAutofit/>
                        </wps:bodyPr>
                      </wps:wsp>
                      <wps:wsp>
                        <wps:cNvPr id="36" name="Text Box 123"/>
                        <wps:cNvSpPr txBox="1">
                          <a:spLocks noChangeArrowheads="1"/>
                        </wps:cNvSpPr>
                        <wps:spPr bwMode="auto">
                          <a:xfrm>
                            <a:off x="2493211" y="2232180"/>
                            <a:ext cx="854999" cy="452382"/>
                          </a:xfrm>
                          <a:prstGeom prst="rect">
                            <a:avLst/>
                          </a:prstGeom>
                          <a:solidFill>
                            <a:srgbClr val="CCFFFF"/>
                          </a:solidFill>
                          <a:ln w="9525">
                            <a:solidFill>
                              <a:srgbClr val="000000"/>
                            </a:solidFill>
                            <a:miter lim="800000"/>
                            <a:headEnd/>
                            <a:tailEnd/>
                          </a:ln>
                        </wps:spPr>
                        <wps:txbx>
                          <w:txbxContent>
                            <w:p w14:paraId="4ABC61C1" w14:textId="77777777" w:rsidR="004E3164" w:rsidRPr="00B12C69" w:rsidRDefault="004E3164" w:rsidP="00F21CF1">
                              <w:pPr>
                                <w:ind w:firstLine="0"/>
                                <w:jc w:val="center"/>
                                <w:rPr>
                                  <w:rFonts w:ascii="Verdana" w:hAnsi="Verdana"/>
                                  <w:b/>
                                  <w:sz w:val="14"/>
                                  <w:szCs w:val="14"/>
                                </w:rPr>
                              </w:pPr>
                              <w:r w:rsidRPr="00B12C69">
                                <w:rPr>
                                  <w:rFonts w:ascii="Verdana" w:hAnsi="Verdana"/>
                                  <w:b/>
                                  <w:sz w:val="14"/>
                                  <w:szCs w:val="14"/>
                                  <w:u w:val="single"/>
                                </w:rPr>
                                <w:t>Отдел</w:t>
                              </w:r>
                            </w:p>
                            <w:p w14:paraId="37FF09D9" w14:textId="77777777" w:rsidR="004E3164" w:rsidRDefault="004E3164" w:rsidP="00F21CF1">
                              <w:pPr>
                                <w:ind w:firstLine="0"/>
                                <w:jc w:val="center"/>
                                <w:rPr>
                                  <w:rFonts w:ascii="Verdana" w:hAnsi="Verdana"/>
                                  <w:b/>
                                  <w:bCs/>
                                  <w:sz w:val="16"/>
                                  <w:szCs w:val="16"/>
                                  <w:lang w:val="en-US"/>
                                </w:rPr>
                              </w:pPr>
                              <w:r w:rsidRPr="00B12C69">
                                <w:rPr>
                                  <w:rFonts w:ascii="Verdana" w:hAnsi="Verdana"/>
                                  <w:b/>
                                  <w:sz w:val="14"/>
                                  <w:szCs w:val="14"/>
                                </w:rPr>
                                <w:t>Контрол по обществени</w:t>
                              </w:r>
                              <w:r>
                                <w:rPr>
                                  <w:rFonts w:ascii="Verdana" w:hAnsi="Verdana"/>
                                  <w:b/>
                                  <w:sz w:val="16"/>
                                  <w:szCs w:val="16"/>
                                </w:rPr>
                                <w:t xml:space="preserve"> поръчки</w:t>
                              </w:r>
                            </w:p>
                          </w:txbxContent>
                        </wps:txbx>
                        <wps:bodyPr rot="0" vert="horz" wrap="square" lIns="91440" tIns="45720" rIns="91440" bIns="45720" anchor="t" anchorCtr="0" upright="1">
                          <a:noAutofit/>
                        </wps:bodyPr>
                      </wps:wsp>
                      <wps:wsp>
                        <wps:cNvPr id="37" name="Text Box 2014"/>
                        <wps:cNvSpPr txBox="1">
                          <a:spLocks noChangeArrowheads="1"/>
                        </wps:cNvSpPr>
                        <wps:spPr bwMode="auto">
                          <a:xfrm>
                            <a:off x="1285336" y="431321"/>
                            <a:ext cx="2628900" cy="571500"/>
                          </a:xfrm>
                          <a:prstGeom prst="rect">
                            <a:avLst/>
                          </a:prstGeom>
                          <a:solidFill>
                            <a:srgbClr val="CC99FF"/>
                          </a:solidFill>
                          <a:ln w="9525">
                            <a:solidFill>
                              <a:srgbClr val="000000"/>
                            </a:solidFill>
                            <a:miter lim="800000"/>
                            <a:headEnd/>
                            <a:tailEnd/>
                          </a:ln>
                        </wps:spPr>
                        <wps:txbx>
                          <w:txbxContent>
                            <w:p w14:paraId="2B961065" w14:textId="77777777" w:rsidR="004E3164" w:rsidRDefault="004E3164" w:rsidP="00F21CF1">
                              <w:pPr>
                                <w:ind w:firstLine="0"/>
                                <w:jc w:val="center"/>
                                <w:rPr>
                                  <w:rFonts w:ascii="Verdana" w:hAnsi="Verdana"/>
                                  <w:b/>
                                  <w:bCs/>
                                </w:rPr>
                              </w:pPr>
                              <w:r>
                                <w:rPr>
                                  <w:rFonts w:ascii="Verdana" w:hAnsi="Verdana"/>
                                  <w:b/>
                                  <w:bCs/>
                                </w:rPr>
                                <w:t xml:space="preserve">Управляващ орган </w:t>
                              </w:r>
                            </w:p>
                          </w:txbxContent>
                        </wps:txbx>
                        <wps:bodyPr rot="0" vert="horz" wrap="square" lIns="91440" tIns="45720" rIns="91440" bIns="45720" anchor="ctr" anchorCtr="0" upright="1">
                          <a:noAutofit/>
                        </wps:bodyPr>
                      </wps:wsp>
                      <wps:wsp>
                        <wps:cNvPr id="38" name="Text Box 119"/>
                        <wps:cNvSpPr txBox="1">
                          <a:spLocks noChangeArrowheads="1"/>
                        </wps:cNvSpPr>
                        <wps:spPr bwMode="auto">
                          <a:xfrm>
                            <a:off x="0" y="2475781"/>
                            <a:ext cx="522976" cy="2022475"/>
                          </a:xfrm>
                          <a:prstGeom prst="rect">
                            <a:avLst/>
                          </a:prstGeom>
                          <a:solidFill>
                            <a:srgbClr val="EAEAEA"/>
                          </a:solidFill>
                          <a:ln w="38100" cmpd="dbl">
                            <a:solidFill>
                              <a:srgbClr val="000000"/>
                            </a:solidFill>
                            <a:miter lim="800000"/>
                            <a:headEnd/>
                            <a:tailEnd/>
                          </a:ln>
                        </wps:spPr>
                        <wps:txbx>
                          <w:txbxContent>
                            <w:p w14:paraId="0C0349DA" w14:textId="77777777" w:rsidR="004E3164" w:rsidRPr="00864A2F" w:rsidRDefault="004E3164" w:rsidP="00F21CF1">
                              <w:pPr>
                                <w:ind w:firstLine="0"/>
                                <w:jc w:val="center"/>
                                <w:rPr>
                                  <w:rFonts w:ascii="Verdana" w:hAnsi="Verdana"/>
                                  <w:b/>
                                  <w:bCs/>
                                  <w:sz w:val="20"/>
                                </w:rPr>
                              </w:pPr>
                              <w:r w:rsidRPr="00864A2F">
                                <w:rPr>
                                  <w:rFonts w:ascii="Verdana" w:hAnsi="Verdana"/>
                                  <w:b/>
                                  <w:bCs/>
                                  <w:sz w:val="20"/>
                                </w:rPr>
                                <w:t>Комитет за наблюдение на ОПТТИ</w:t>
                              </w:r>
                            </w:p>
                          </w:txbxContent>
                        </wps:txbx>
                        <wps:bodyPr rot="0" vert="vert270" wrap="square" lIns="91440" tIns="45720" rIns="91440" bIns="45720" anchor="t" anchorCtr="0" upright="1">
                          <a:noAutofit/>
                        </wps:bodyPr>
                      </wps:wsp>
                      <wps:wsp>
                        <wps:cNvPr id="39" name="Straight Connector 2012"/>
                        <wps:cNvCnPr>
                          <a:cxnSpLocks noChangeShapeType="1"/>
                        </wps:cNvCnPr>
                        <wps:spPr bwMode="auto">
                          <a:xfrm>
                            <a:off x="1630392" y="2829464"/>
                            <a:ext cx="488950" cy="463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Straight Connector 2011"/>
                        <wps:cNvCnPr>
                          <a:cxnSpLocks noChangeShapeType="1"/>
                        </wps:cNvCnPr>
                        <wps:spPr bwMode="auto">
                          <a:xfrm>
                            <a:off x="2311879" y="2829464"/>
                            <a:ext cx="11589" cy="463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Straight Connector 1995"/>
                        <wps:cNvCnPr>
                          <a:cxnSpLocks noChangeShapeType="1"/>
                        </wps:cNvCnPr>
                        <wps:spPr bwMode="auto">
                          <a:xfrm>
                            <a:off x="6625087" y="1777042"/>
                            <a:ext cx="6350" cy="2082800"/>
                          </a:xfrm>
                          <a:prstGeom prst="line">
                            <a:avLst/>
                          </a:prstGeom>
                          <a:noFill/>
                          <a:ln w="38100" cmpd="dbl">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2" name="Text Box 118"/>
                        <wps:cNvSpPr txBox="1">
                          <a:spLocks noChangeArrowheads="1"/>
                        </wps:cNvSpPr>
                        <wps:spPr bwMode="auto">
                          <a:xfrm>
                            <a:off x="6737230" y="1708030"/>
                            <a:ext cx="2159635" cy="359410"/>
                          </a:xfrm>
                          <a:prstGeom prst="rect">
                            <a:avLst/>
                          </a:prstGeom>
                          <a:solidFill>
                            <a:srgbClr val="FFFF00"/>
                          </a:solidFill>
                          <a:ln w="9525">
                            <a:solidFill>
                              <a:srgbClr val="000000"/>
                            </a:solidFill>
                            <a:miter lim="800000"/>
                            <a:headEnd/>
                            <a:tailEnd/>
                          </a:ln>
                        </wps:spPr>
                        <wps:txbx>
                          <w:txbxContent>
                            <w:p w14:paraId="0A59A04A" w14:textId="77777777" w:rsidR="004E3164" w:rsidRPr="000D6C88" w:rsidRDefault="004E3164" w:rsidP="00F21CF1">
                              <w:pPr>
                                <w:ind w:firstLine="0"/>
                                <w:jc w:val="center"/>
                                <w:rPr>
                                  <w:b/>
                                  <w:bCs/>
                                  <w:sz w:val="16"/>
                                  <w:szCs w:val="16"/>
                                  <w:lang w:val="ru-RU"/>
                                </w:rPr>
                              </w:pPr>
                              <w:r w:rsidRPr="007840B0">
                                <w:rPr>
                                  <w:rStyle w:val="Hyperlink"/>
                                  <w:color w:val="051E2F"/>
                                  <w:sz w:val="16"/>
                                  <w:szCs w:val="16"/>
                                </w:rPr>
                                <w:t>Национална компания „Железопътна инфраструктура”</w:t>
                              </w:r>
                            </w:p>
                          </w:txbxContent>
                        </wps:txbx>
                        <wps:bodyPr rot="0" vert="horz" wrap="square" lIns="91440" tIns="45720" rIns="91440" bIns="45720" anchor="ctr" anchorCtr="0" upright="1">
                          <a:noAutofit/>
                        </wps:bodyPr>
                      </wps:wsp>
                      <wps:wsp>
                        <wps:cNvPr id="43" name="Text Box 90"/>
                        <wps:cNvSpPr txBox="1">
                          <a:spLocks noChangeArrowheads="1"/>
                        </wps:cNvSpPr>
                        <wps:spPr bwMode="auto">
                          <a:xfrm>
                            <a:off x="5055079" y="431321"/>
                            <a:ext cx="2971800" cy="571500"/>
                          </a:xfrm>
                          <a:prstGeom prst="rect">
                            <a:avLst/>
                          </a:prstGeom>
                          <a:solidFill>
                            <a:srgbClr val="CC99FF"/>
                          </a:solidFill>
                          <a:ln w="9525">
                            <a:solidFill>
                              <a:srgbClr val="000000"/>
                            </a:solidFill>
                            <a:miter lim="800000"/>
                            <a:headEnd/>
                            <a:tailEnd/>
                          </a:ln>
                        </wps:spPr>
                        <wps:txbx>
                          <w:txbxContent>
                            <w:p w14:paraId="2422F526" w14:textId="77777777" w:rsidR="004E3164" w:rsidRDefault="004E3164" w:rsidP="00F21CF1">
                              <w:pPr>
                                <w:ind w:firstLine="0"/>
                                <w:jc w:val="center"/>
                                <w:rPr>
                                  <w:rFonts w:ascii="Verdana" w:hAnsi="Verdana"/>
                                  <w:b/>
                                  <w:bCs/>
                                </w:rPr>
                              </w:pPr>
                              <w:r>
                                <w:rPr>
                                  <w:rFonts w:ascii="Verdana" w:hAnsi="Verdana"/>
                                  <w:b/>
                                  <w:bCs/>
                                </w:rPr>
                                <w:t xml:space="preserve">Европейска комисия </w:t>
                              </w:r>
                            </w:p>
                            <w:p w14:paraId="6C238B71" w14:textId="77777777" w:rsidR="004E3164" w:rsidRDefault="004E3164" w:rsidP="00F21CF1">
                              <w:pPr>
                                <w:ind w:firstLine="0"/>
                                <w:jc w:val="center"/>
                                <w:rPr>
                                  <w:rFonts w:ascii="Verdana" w:hAnsi="Verdana"/>
                                  <w:b/>
                                  <w:bCs/>
                                </w:rPr>
                              </w:pPr>
                              <w:r>
                                <w:rPr>
                                  <w:rFonts w:ascii="Verdana" w:hAnsi="Verdana"/>
                                  <w:b/>
                                  <w:bCs/>
                                </w:rPr>
                                <w:t>/ГД „Регионална политика”/</w:t>
                              </w:r>
                            </w:p>
                          </w:txbxContent>
                        </wps:txbx>
                        <wps:bodyPr rot="0" vert="horz" wrap="square" lIns="91440" tIns="45720" rIns="91440" bIns="45720" anchor="ctr" anchorCtr="0" upright="1">
                          <a:noAutofit/>
                        </wps:bodyPr>
                      </wps:wsp>
                      <wps:wsp>
                        <wps:cNvPr id="44" name="Text Box 91"/>
                        <wps:cNvSpPr txBox="1">
                          <a:spLocks noChangeArrowheads="1"/>
                        </wps:cNvSpPr>
                        <wps:spPr bwMode="auto">
                          <a:xfrm>
                            <a:off x="6728604" y="1207698"/>
                            <a:ext cx="2167710" cy="342954"/>
                          </a:xfrm>
                          <a:prstGeom prst="rect">
                            <a:avLst/>
                          </a:prstGeom>
                          <a:solidFill>
                            <a:srgbClr val="FF99CC"/>
                          </a:solidFill>
                          <a:ln w="9525">
                            <a:solidFill>
                              <a:srgbClr val="000000"/>
                            </a:solidFill>
                            <a:miter lim="800000"/>
                            <a:headEnd/>
                            <a:tailEnd/>
                          </a:ln>
                        </wps:spPr>
                        <wps:txbx>
                          <w:txbxContent>
                            <w:p w14:paraId="40482D53" w14:textId="77777777" w:rsidR="004E3164" w:rsidRDefault="004E3164" w:rsidP="00F21CF1">
                              <w:pPr>
                                <w:ind w:firstLine="0"/>
                                <w:jc w:val="center"/>
                                <w:rPr>
                                  <w:rFonts w:ascii="Verdana" w:hAnsi="Verdana"/>
                                  <w:bCs/>
                                  <w:lang w:val="en-US"/>
                                </w:rPr>
                              </w:pPr>
                              <w:r>
                                <w:rPr>
                                  <w:rFonts w:ascii="Verdana" w:hAnsi="Verdana"/>
                                  <w:b/>
                                  <w:bCs/>
                                </w:rPr>
                                <w:t>Бенефициенти</w:t>
                              </w:r>
                            </w:p>
                            <w:p w14:paraId="2BFF9F52" w14:textId="77777777" w:rsidR="004E3164" w:rsidRDefault="004E3164" w:rsidP="00F21CF1">
                              <w:pPr>
                                <w:ind w:firstLine="0"/>
                                <w:jc w:val="center"/>
                                <w:rPr>
                                  <w:rFonts w:ascii="Verdana" w:hAnsi="Verdana"/>
                                  <w:b/>
                                  <w:bCs/>
                                  <w:lang w:val="en-US"/>
                                </w:rPr>
                              </w:pPr>
                            </w:p>
                          </w:txbxContent>
                        </wps:txbx>
                        <wps:bodyPr rot="0" vert="horz" wrap="square" lIns="91440" tIns="45720" rIns="91440" bIns="45720" anchor="t" anchorCtr="0" upright="1">
                          <a:noAutofit/>
                        </wps:bodyPr>
                      </wps:wsp>
                      <wps:wsp>
                        <wps:cNvPr id="45" name="Text Box 117"/>
                        <wps:cNvSpPr txBox="1">
                          <a:spLocks noChangeArrowheads="1"/>
                        </wps:cNvSpPr>
                        <wps:spPr bwMode="auto">
                          <a:xfrm>
                            <a:off x="6737230" y="2173857"/>
                            <a:ext cx="2159635" cy="359410"/>
                          </a:xfrm>
                          <a:prstGeom prst="rect">
                            <a:avLst/>
                          </a:prstGeom>
                          <a:solidFill>
                            <a:srgbClr val="FFFF00"/>
                          </a:solidFill>
                          <a:ln w="9525">
                            <a:solidFill>
                              <a:srgbClr val="000000"/>
                            </a:solidFill>
                            <a:miter lim="800000"/>
                            <a:headEnd/>
                            <a:tailEnd/>
                          </a:ln>
                        </wps:spPr>
                        <wps:txbx>
                          <w:txbxContent>
                            <w:p w14:paraId="12E8C7AA" w14:textId="77777777" w:rsidR="004E3164" w:rsidRPr="000D6C88" w:rsidRDefault="004E3164" w:rsidP="00F21CF1">
                              <w:pPr>
                                <w:ind w:firstLine="0"/>
                                <w:jc w:val="center"/>
                                <w:rPr>
                                  <w:b/>
                                  <w:bCs/>
                                  <w:sz w:val="16"/>
                                  <w:szCs w:val="16"/>
                                </w:rPr>
                              </w:pPr>
                              <w:r w:rsidRPr="000D6C88">
                                <w:rPr>
                                  <w:b/>
                                  <w:bCs/>
                                  <w:sz w:val="16"/>
                                  <w:szCs w:val="16"/>
                                </w:rPr>
                                <w:t>Агенция „Пътна инфраструктура”</w:t>
                              </w:r>
                            </w:p>
                          </w:txbxContent>
                        </wps:txbx>
                        <wps:bodyPr rot="0" vert="horz" wrap="square" lIns="91440" tIns="45720" rIns="91440" bIns="45720" anchor="ctr" anchorCtr="0" upright="1">
                          <a:noAutofit/>
                        </wps:bodyPr>
                      </wps:wsp>
                      <wps:wsp>
                        <wps:cNvPr id="46" name="Oval 190"/>
                        <wps:cNvSpPr>
                          <a:spLocks noChangeArrowheads="1"/>
                        </wps:cNvSpPr>
                        <wps:spPr bwMode="auto">
                          <a:xfrm>
                            <a:off x="4347713" y="439947"/>
                            <a:ext cx="342900" cy="342900"/>
                          </a:xfrm>
                          <a:prstGeom prst="ellipse">
                            <a:avLst/>
                          </a:prstGeom>
                          <a:solidFill>
                            <a:srgbClr val="FFFFFF"/>
                          </a:solidFill>
                          <a:ln w="9525">
                            <a:solidFill>
                              <a:srgbClr val="000000"/>
                            </a:solidFill>
                            <a:round/>
                            <a:headEnd/>
                            <a:tailEnd/>
                          </a:ln>
                        </wps:spPr>
                        <wps:txbx>
                          <w:txbxContent>
                            <w:p w14:paraId="509358FC" w14:textId="77777777" w:rsidR="004E3164" w:rsidRDefault="004E3164" w:rsidP="00F21CF1">
                              <w:pPr>
                                <w:ind w:firstLine="0"/>
                                <w:jc w:val="center"/>
                                <w:rPr>
                                  <w:rFonts w:ascii="Verdana" w:hAnsi="Verdana"/>
                                  <w:b/>
                                </w:rPr>
                              </w:pPr>
                              <w:r>
                                <w:rPr>
                                  <w:b/>
                                </w:rPr>
                                <w:t>5</w:t>
                              </w:r>
                            </w:p>
                          </w:txbxContent>
                        </wps:txbx>
                        <wps:bodyPr rot="0" vert="horz" wrap="square" lIns="91440" tIns="45720" rIns="91440" bIns="45720" anchor="t" anchorCtr="0" upright="1">
                          <a:noAutofit/>
                        </wps:bodyPr>
                      </wps:wsp>
                      <wps:wsp>
                        <wps:cNvPr id="47" name="Text Box 2006"/>
                        <wps:cNvSpPr txBox="1">
                          <a:spLocks noChangeArrowheads="1"/>
                        </wps:cNvSpPr>
                        <wps:spPr bwMode="auto">
                          <a:xfrm>
                            <a:off x="8625" y="733245"/>
                            <a:ext cx="642445" cy="1377950"/>
                          </a:xfrm>
                          <a:prstGeom prst="rect">
                            <a:avLst/>
                          </a:prstGeom>
                          <a:solidFill>
                            <a:srgbClr val="EAEAEA"/>
                          </a:solidFill>
                          <a:ln w="38100" cmpd="dbl">
                            <a:solidFill>
                              <a:srgbClr val="000000"/>
                            </a:solidFill>
                            <a:miter lim="800000"/>
                            <a:headEnd/>
                            <a:tailEnd/>
                          </a:ln>
                        </wps:spPr>
                        <wps:txbx>
                          <w:txbxContent>
                            <w:p w14:paraId="33358B7C" w14:textId="77777777" w:rsidR="004E3164" w:rsidRDefault="004E3164" w:rsidP="00F21CF1">
                              <w:pPr>
                                <w:ind w:firstLine="0"/>
                                <w:jc w:val="center"/>
                                <w:rPr>
                                  <w:rFonts w:ascii="Verdana" w:hAnsi="Verdana"/>
                                  <w:b/>
                                  <w:bCs/>
                                  <w:sz w:val="20"/>
                                </w:rPr>
                              </w:pPr>
                              <w:r w:rsidRPr="0044728B">
                                <w:rPr>
                                  <w:rFonts w:ascii="Verdana" w:hAnsi="Verdana"/>
                                  <w:b/>
                                  <w:bCs/>
                                  <w:sz w:val="20"/>
                                </w:rPr>
                                <w:t xml:space="preserve">ЦКЗ и </w:t>
                              </w:r>
                              <w:r w:rsidRPr="00864A2F">
                                <w:rPr>
                                  <w:rFonts w:ascii="Verdana" w:hAnsi="Verdana"/>
                                  <w:b/>
                                  <w:bCs/>
                                  <w:sz w:val="20"/>
                                </w:rPr>
                                <w:t>СКУСЕС</w:t>
                              </w:r>
                            </w:p>
                            <w:p w14:paraId="2834D503" w14:textId="77777777" w:rsidR="004E3164" w:rsidRPr="00ED376C" w:rsidRDefault="004E3164" w:rsidP="00F21CF1">
                              <w:pPr>
                                <w:ind w:firstLine="0"/>
                                <w:jc w:val="center"/>
                                <w:rPr>
                                  <w:rFonts w:ascii="Verdana" w:hAnsi="Verdana"/>
                                  <w:b/>
                                  <w:bCs/>
                                  <w:sz w:val="16"/>
                                  <w:szCs w:val="16"/>
                                </w:rPr>
                              </w:pPr>
                              <w:r w:rsidRPr="00ED376C">
                                <w:rPr>
                                  <w:rFonts w:ascii="Verdana" w:hAnsi="Verdana"/>
                                  <w:b/>
                                  <w:bCs/>
                                  <w:sz w:val="16"/>
                                  <w:szCs w:val="16"/>
                                </w:rPr>
                                <w:t>(консултативни/контролни функции)</w:t>
                              </w:r>
                            </w:p>
                          </w:txbxContent>
                        </wps:txbx>
                        <wps:bodyPr rot="0" vert="vert270" wrap="square" lIns="91440" tIns="45720" rIns="91440" bIns="45720" anchor="t" anchorCtr="0" upright="1">
                          <a:noAutofit/>
                        </wps:bodyPr>
                      </wps:wsp>
                      <wps:wsp>
                        <wps:cNvPr id="49" name="Straight Connector 2005"/>
                        <wps:cNvCnPr>
                          <a:cxnSpLocks noChangeShapeType="1"/>
                        </wps:cNvCnPr>
                        <wps:spPr bwMode="auto">
                          <a:xfrm flipH="1" flipV="1">
                            <a:off x="258792" y="2147978"/>
                            <a:ext cx="1384300" cy="1289050"/>
                          </a:xfrm>
                          <a:prstGeom prst="line">
                            <a:avLst/>
                          </a:prstGeom>
                          <a:noFill/>
                          <a:ln w="57150" cmpd="dbl">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50" name="Text Box 2003"/>
                        <wps:cNvSpPr txBox="1">
                          <a:spLocks noChangeArrowheads="1"/>
                        </wps:cNvSpPr>
                        <wps:spPr bwMode="auto">
                          <a:xfrm>
                            <a:off x="4330878" y="2240458"/>
                            <a:ext cx="801962" cy="452765"/>
                          </a:xfrm>
                          <a:prstGeom prst="rect">
                            <a:avLst/>
                          </a:prstGeom>
                          <a:solidFill>
                            <a:srgbClr val="CCFFFF"/>
                          </a:solidFill>
                          <a:ln w="9525">
                            <a:solidFill>
                              <a:srgbClr val="000000"/>
                            </a:solidFill>
                            <a:miter lim="800000"/>
                            <a:headEnd/>
                            <a:tailEnd/>
                          </a:ln>
                        </wps:spPr>
                        <wps:txbx>
                          <w:txbxContent>
                            <w:p w14:paraId="630F9767" w14:textId="77777777" w:rsidR="004E3164" w:rsidRPr="00B12C69" w:rsidRDefault="004E3164" w:rsidP="00F21CF1">
                              <w:pPr>
                                <w:ind w:firstLine="0"/>
                                <w:jc w:val="center"/>
                                <w:rPr>
                                  <w:rFonts w:ascii="Verdana" w:hAnsi="Verdana"/>
                                  <w:b/>
                                  <w:sz w:val="12"/>
                                  <w:szCs w:val="12"/>
                                </w:rPr>
                              </w:pPr>
                              <w:r w:rsidRPr="00B12C69">
                                <w:rPr>
                                  <w:rFonts w:ascii="Verdana" w:hAnsi="Verdana"/>
                                  <w:b/>
                                  <w:sz w:val="12"/>
                                  <w:szCs w:val="12"/>
                                  <w:u w:val="single"/>
                                </w:rPr>
                                <w:t>Отдел</w:t>
                              </w:r>
                            </w:p>
                            <w:p w14:paraId="683035B7" w14:textId="77777777" w:rsidR="004E3164" w:rsidRDefault="004E3164" w:rsidP="00F21CF1">
                              <w:pPr>
                                <w:ind w:firstLine="0"/>
                                <w:jc w:val="center"/>
                                <w:rPr>
                                  <w:rFonts w:ascii="Verdana" w:hAnsi="Verdana"/>
                                  <w:b/>
                                  <w:bCs/>
                                  <w:sz w:val="16"/>
                                  <w:szCs w:val="16"/>
                                  <w:lang w:val="en-US"/>
                                </w:rPr>
                              </w:pPr>
                              <w:r w:rsidRPr="00B12C69">
                                <w:rPr>
                                  <w:rFonts w:ascii="Verdana" w:hAnsi="Verdana"/>
                                  <w:b/>
                                  <w:sz w:val="12"/>
                                  <w:szCs w:val="12"/>
                                </w:rPr>
                                <w:t>Изпълнение и координация</w:t>
                              </w:r>
                            </w:p>
                          </w:txbxContent>
                        </wps:txbx>
                        <wps:bodyPr rot="0" vert="horz" wrap="square" lIns="36000" tIns="45720" rIns="36000" bIns="45720" anchor="t" anchorCtr="0" upright="1">
                          <a:noAutofit/>
                        </wps:bodyPr>
                      </wps:wsp>
                      <wps:wsp>
                        <wps:cNvPr id="51" name="Text Box 173"/>
                        <wps:cNvSpPr txBox="1">
                          <a:spLocks noChangeArrowheads="1"/>
                        </wps:cNvSpPr>
                        <wps:spPr bwMode="auto">
                          <a:xfrm>
                            <a:off x="3446377" y="2244162"/>
                            <a:ext cx="781640" cy="440414"/>
                          </a:xfrm>
                          <a:prstGeom prst="rect">
                            <a:avLst/>
                          </a:prstGeom>
                          <a:solidFill>
                            <a:srgbClr val="CCFFFF"/>
                          </a:solidFill>
                          <a:ln w="9525">
                            <a:solidFill>
                              <a:srgbClr val="000000"/>
                            </a:solidFill>
                            <a:miter lim="800000"/>
                            <a:headEnd/>
                            <a:tailEnd/>
                          </a:ln>
                        </wps:spPr>
                        <wps:txbx>
                          <w:txbxContent>
                            <w:p w14:paraId="63BA1F38" w14:textId="77777777" w:rsidR="004E3164" w:rsidRPr="00B12C69" w:rsidRDefault="004E3164" w:rsidP="00F21CF1">
                              <w:pPr>
                                <w:ind w:firstLine="0"/>
                                <w:jc w:val="center"/>
                                <w:rPr>
                                  <w:rFonts w:ascii="Verdana" w:hAnsi="Verdana"/>
                                  <w:b/>
                                  <w:sz w:val="14"/>
                                  <w:szCs w:val="14"/>
                                  <w:u w:val="single"/>
                                </w:rPr>
                              </w:pPr>
                              <w:r w:rsidRPr="00B12C69">
                                <w:rPr>
                                  <w:rFonts w:ascii="Verdana" w:hAnsi="Verdana"/>
                                  <w:b/>
                                  <w:sz w:val="14"/>
                                  <w:szCs w:val="14"/>
                                  <w:u w:val="single"/>
                                </w:rPr>
                                <w:t>Отдел</w:t>
                              </w:r>
                            </w:p>
                            <w:p w14:paraId="764C8021" w14:textId="77777777" w:rsidR="004E3164" w:rsidRDefault="004E3164" w:rsidP="00F21CF1">
                              <w:pPr>
                                <w:ind w:firstLine="0"/>
                                <w:jc w:val="center"/>
                                <w:rPr>
                                  <w:rFonts w:ascii="Verdana" w:hAnsi="Verdana"/>
                                  <w:b/>
                                  <w:bCs/>
                                  <w:sz w:val="16"/>
                                  <w:szCs w:val="16"/>
                                  <w:lang w:val="en-US"/>
                                </w:rPr>
                              </w:pPr>
                              <w:r w:rsidRPr="00B12C69">
                                <w:rPr>
                                  <w:rFonts w:ascii="Verdana" w:hAnsi="Verdana"/>
                                  <w:b/>
                                  <w:sz w:val="14"/>
                                  <w:szCs w:val="14"/>
                                </w:rPr>
                                <w:t>Управление на риска</w:t>
                              </w:r>
                            </w:p>
                          </w:txbxContent>
                        </wps:txbx>
                        <wps:bodyPr rot="0" vert="horz" wrap="square" lIns="91440" tIns="45720" rIns="91440" bIns="45720" anchor="t" anchorCtr="0" upright="1">
                          <a:noAutofit/>
                        </wps:bodyPr>
                      </wps:wsp>
                      <wps:wsp>
                        <wps:cNvPr id="52" name="Text Box 2000"/>
                        <wps:cNvSpPr txBox="1">
                          <a:spLocks noChangeArrowheads="1"/>
                        </wps:cNvSpPr>
                        <wps:spPr bwMode="auto">
                          <a:xfrm>
                            <a:off x="6745857" y="2648310"/>
                            <a:ext cx="2159635" cy="359410"/>
                          </a:xfrm>
                          <a:prstGeom prst="rect">
                            <a:avLst/>
                          </a:prstGeom>
                          <a:solidFill>
                            <a:srgbClr val="FFFF00"/>
                          </a:solidFill>
                          <a:ln w="9525">
                            <a:solidFill>
                              <a:srgbClr val="000000"/>
                            </a:solidFill>
                            <a:miter lim="800000"/>
                            <a:headEnd/>
                            <a:tailEnd/>
                          </a:ln>
                        </wps:spPr>
                        <wps:txbx>
                          <w:txbxContent>
                            <w:p w14:paraId="787CE34E" w14:textId="77777777" w:rsidR="004E3164" w:rsidRPr="000D6C88" w:rsidRDefault="004E3164" w:rsidP="00F21CF1">
                              <w:pPr>
                                <w:ind w:firstLine="0"/>
                                <w:jc w:val="center"/>
                                <w:rPr>
                                  <w:b/>
                                  <w:bCs/>
                                  <w:sz w:val="16"/>
                                  <w:szCs w:val="16"/>
                                </w:rPr>
                              </w:pPr>
                              <w:r w:rsidRPr="007840B0">
                                <w:rPr>
                                  <w:rStyle w:val="Hyperlink"/>
                                  <w:color w:val="051E2F"/>
                                  <w:sz w:val="16"/>
                                  <w:szCs w:val="16"/>
                                </w:rPr>
                                <w:t>„Метрополитен” ЕАД</w:t>
                              </w:r>
                            </w:p>
                          </w:txbxContent>
                        </wps:txbx>
                        <wps:bodyPr rot="0" vert="horz" wrap="square" lIns="91440" tIns="45720" rIns="91440" bIns="45720" anchor="ctr" anchorCtr="0" upright="1">
                          <a:noAutofit/>
                        </wps:bodyPr>
                      </wps:wsp>
                      <wps:wsp>
                        <wps:cNvPr id="53" name="Straight Connector 2010"/>
                        <wps:cNvCnPr>
                          <a:cxnSpLocks noChangeShapeType="1"/>
                        </wps:cNvCnPr>
                        <wps:spPr bwMode="auto">
                          <a:xfrm flipH="1">
                            <a:off x="4917057" y="2829464"/>
                            <a:ext cx="584200" cy="469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Straight Connector 177"/>
                        <wps:cNvCnPr>
                          <a:cxnSpLocks noChangeShapeType="1"/>
                        </wps:cNvCnPr>
                        <wps:spPr bwMode="auto">
                          <a:xfrm flipH="1" flipV="1">
                            <a:off x="1319841" y="2829464"/>
                            <a:ext cx="501650" cy="463550"/>
                          </a:xfrm>
                          <a:prstGeom prst="line">
                            <a:avLst/>
                          </a:prstGeom>
                          <a:noFill/>
                          <a:ln w="38100" cmpd="dbl">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56" name="Oval 191"/>
                        <wps:cNvSpPr>
                          <a:spLocks noChangeArrowheads="1"/>
                        </wps:cNvSpPr>
                        <wps:spPr bwMode="auto">
                          <a:xfrm>
                            <a:off x="2760453" y="2786332"/>
                            <a:ext cx="342900" cy="342900"/>
                          </a:xfrm>
                          <a:prstGeom prst="ellipse">
                            <a:avLst/>
                          </a:prstGeom>
                          <a:solidFill>
                            <a:srgbClr val="FFFFFF"/>
                          </a:solidFill>
                          <a:ln w="9525">
                            <a:solidFill>
                              <a:srgbClr val="000000"/>
                            </a:solidFill>
                            <a:round/>
                            <a:headEnd/>
                            <a:tailEnd/>
                          </a:ln>
                        </wps:spPr>
                        <wps:txbx>
                          <w:txbxContent>
                            <w:p w14:paraId="455AC7D9" w14:textId="77777777" w:rsidR="004E3164" w:rsidRDefault="004E3164" w:rsidP="00F21CF1">
                              <w:pPr>
                                <w:ind w:firstLine="0"/>
                                <w:jc w:val="center"/>
                                <w:rPr>
                                  <w:rFonts w:ascii="Verdana" w:hAnsi="Verdana"/>
                                  <w:b/>
                                </w:rPr>
                              </w:pPr>
                              <w:r>
                                <w:rPr>
                                  <w:b/>
                                </w:rPr>
                                <w:t>2</w:t>
                              </w:r>
                            </w:p>
                          </w:txbxContent>
                        </wps:txbx>
                        <wps:bodyPr rot="0" vert="horz" wrap="square" lIns="91440" tIns="45720" rIns="91440" bIns="45720" anchor="t" anchorCtr="0" upright="1">
                          <a:noAutofit/>
                        </wps:bodyPr>
                      </wps:wsp>
                      <wps:wsp>
                        <wps:cNvPr id="57" name="Text Box 1888"/>
                        <wps:cNvSpPr txBox="1"/>
                        <wps:spPr bwMode="auto">
                          <a:xfrm>
                            <a:off x="1440611" y="0"/>
                            <a:ext cx="6064370" cy="362309"/>
                          </a:xfrm>
                          <a:prstGeom prst="rect">
                            <a:avLst/>
                          </a:prstGeom>
                          <a:solidFill>
                            <a:srgbClr val="FFFFFF"/>
                          </a:solidFill>
                          <a:ln w="9525">
                            <a:noFill/>
                            <a:miter lim="800000"/>
                            <a:headEnd/>
                            <a:tailEnd/>
                          </a:ln>
                          <a:extLst/>
                        </wps:spPr>
                        <wps:txbx>
                          <w:txbxContent>
                            <w:p w14:paraId="2A1D0DC5" w14:textId="77777777" w:rsidR="004E3164" w:rsidRDefault="004E3164" w:rsidP="00F21CF1">
                              <w:pPr>
                                <w:ind w:firstLine="0"/>
                                <w:jc w:val="center"/>
                              </w:pPr>
                              <w:r w:rsidRPr="00C93113">
                                <w:rPr>
                                  <w:b/>
                                  <w:color w:val="000000"/>
                                  <w:szCs w:val="24"/>
                                  <w:u w:val="single"/>
                                </w:rPr>
                                <w:t>Изготвяне, съгласуване и представяне на Доклада за изпълнение по ОПТТИ</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59" name="Straight Connector 73"/>
                        <wps:cNvCnPr>
                          <a:cxnSpLocks noChangeShapeType="1"/>
                        </wps:cNvCnPr>
                        <wps:spPr bwMode="auto">
                          <a:xfrm flipV="1">
                            <a:off x="5167223" y="2829464"/>
                            <a:ext cx="520700" cy="463550"/>
                          </a:xfrm>
                          <a:prstGeom prst="line">
                            <a:avLst/>
                          </a:prstGeom>
                          <a:noFill/>
                          <a:ln w="38100" cmpd="dbl">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60" name="Straight Connector 76"/>
                        <wps:cNvCnPr>
                          <a:cxnSpLocks noChangeShapeType="1"/>
                        </wps:cNvCnPr>
                        <wps:spPr bwMode="auto">
                          <a:xfrm>
                            <a:off x="3278038" y="2829464"/>
                            <a:ext cx="11589" cy="463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Straight Connector 77"/>
                        <wps:cNvCnPr>
                          <a:cxnSpLocks noChangeShapeType="1"/>
                        </wps:cNvCnPr>
                        <wps:spPr bwMode="auto">
                          <a:xfrm>
                            <a:off x="2311879" y="2829464"/>
                            <a:ext cx="11589" cy="463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Straight Connector 78"/>
                        <wps:cNvCnPr>
                          <a:cxnSpLocks noChangeShapeType="1"/>
                        </wps:cNvCnPr>
                        <wps:spPr bwMode="auto">
                          <a:xfrm>
                            <a:off x="4451230" y="2829464"/>
                            <a:ext cx="11430" cy="463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Straight Connector 79"/>
                        <wps:cNvCnPr>
                          <a:cxnSpLocks noChangeShapeType="1"/>
                        </wps:cNvCnPr>
                        <wps:spPr bwMode="auto">
                          <a:xfrm>
                            <a:off x="4451230" y="2829464"/>
                            <a:ext cx="11430" cy="463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Text Box 115"/>
                        <wps:cNvSpPr txBox="1">
                          <a:spLocks noChangeArrowheads="1"/>
                        </wps:cNvSpPr>
                        <wps:spPr bwMode="auto">
                          <a:xfrm>
                            <a:off x="6737230" y="3114136"/>
                            <a:ext cx="2159635" cy="359410"/>
                          </a:xfrm>
                          <a:prstGeom prst="rect">
                            <a:avLst/>
                          </a:prstGeom>
                          <a:solidFill>
                            <a:srgbClr val="FFFF00"/>
                          </a:solidFill>
                          <a:ln w="9525">
                            <a:solidFill>
                              <a:srgbClr val="000000"/>
                            </a:solidFill>
                            <a:miter lim="800000"/>
                            <a:headEnd/>
                            <a:tailEnd/>
                          </a:ln>
                        </wps:spPr>
                        <wps:txbx>
                          <w:txbxContent>
                            <w:p w14:paraId="75713416" w14:textId="77777777" w:rsidR="004E3164" w:rsidRPr="000D6C88" w:rsidRDefault="004E3164" w:rsidP="00F21CF1">
                              <w:pPr>
                                <w:ind w:firstLine="0"/>
                                <w:jc w:val="center"/>
                                <w:rPr>
                                  <w:b/>
                                </w:rPr>
                              </w:pPr>
                              <w:r w:rsidRPr="000D6C88">
                                <w:rPr>
                                  <w:b/>
                                  <w:bCs/>
                                  <w:sz w:val="16"/>
                                  <w:szCs w:val="16"/>
                                </w:rPr>
                                <w:t>Държавно предприятие „Пристанищна инфраструктура”</w:t>
                              </w:r>
                            </w:p>
                          </w:txbxContent>
                        </wps:txbx>
                        <wps:bodyPr rot="0" vert="horz" wrap="square" lIns="91440" tIns="45720" rIns="91440" bIns="45720" anchor="ctr" anchorCtr="0" upright="1">
                          <a:noAutofit/>
                        </wps:bodyPr>
                      </wps:wsp>
                      <wps:wsp>
                        <wps:cNvPr id="82" name="Oval 186"/>
                        <wps:cNvSpPr>
                          <a:spLocks noChangeArrowheads="1"/>
                        </wps:cNvSpPr>
                        <wps:spPr bwMode="auto">
                          <a:xfrm>
                            <a:off x="5357004" y="3122762"/>
                            <a:ext cx="342900" cy="342900"/>
                          </a:xfrm>
                          <a:prstGeom prst="ellipse">
                            <a:avLst/>
                          </a:prstGeom>
                          <a:solidFill>
                            <a:srgbClr val="FFFFFF"/>
                          </a:solidFill>
                          <a:ln w="9525">
                            <a:solidFill>
                              <a:srgbClr val="000000"/>
                            </a:solidFill>
                            <a:round/>
                            <a:headEnd/>
                            <a:tailEnd/>
                          </a:ln>
                        </wps:spPr>
                        <wps:txbx>
                          <w:txbxContent>
                            <w:p w14:paraId="6EE17341" w14:textId="77777777" w:rsidR="004E3164" w:rsidRDefault="004E3164" w:rsidP="00F21CF1">
                              <w:pPr>
                                <w:ind w:firstLine="0"/>
                                <w:jc w:val="center"/>
                                <w:rPr>
                                  <w:rFonts w:ascii="Verdana" w:hAnsi="Verdana"/>
                                  <w:b/>
                                </w:rPr>
                              </w:pPr>
                              <w:r>
                                <w:rPr>
                                  <w:b/>
                                </w:rPr>
                                <w:t>3</w:t>
                              </w:r>
                            </w:p>
                          </w:txbxContent>
                        </wps:txbx>
                        <wps:bodyPr rot="0" vert="horz" wrap="square" lIns="91440" tIns="45720" rIns="91440" bIns="45720" anchor="t" anchorCtr="0" upright="1">
                          <a:noAutofit/>
                        </wps:bodyPr>
                      </wps:wsp>
                      <wps:wsp>
                        <wps:cNvPr id="83" name="Text Box 64"/>
                        <wps:cNvSpPr txBox="1">
                          <a:spLocks noChangeArrowheads="1"/>
                        </wps:cNvSpPr>
                        <wps:spPr bwMode="auto">
                          <a:xfrm>
                            <a:off x="1673524" y="3312544"/>
                            <a:ext cx="3670300" cy="438150"/>
                          </a:xfrm>
                          <a:prstGeom prst="rect">
                            <a:avLst/>
                          </a:prstGeom>
                          <a:solidFill>
                            <a:srgbClr val="CCFFFF"/>
                          </a:solidFill>
                          <a:ln w="31750">
                            <a:solidFill>
                              <a:srgbClr val="000000"/>
                            </a:solidFill>
                            <a:miter lim="800000"/>
                            <a:headEnd/>
                            <a:tailEnd/>
                          </a:ln>
                        </wps:spPr>
                        <wps:txbx>
                          <w:txbxContent>
                            <w:p w14:paraId="1CB5624C" w14:textId="77777777" w:rsidR="004E3164" w:rsidRPr="00C93113" w:rsidRDefault="004E3164" w:rsidP="00F21CF1">
                              <w:pPr>
                                <w:ind w:firstLine="0"/>
                                <w:jc w:val="center"/>
                                <w:rPr>
                                  <w:rFonts w:ascii="Verdana" w:hAnsi="Verdana"/>
                                  <w:b/>
                                  <w:bCs/>
                                  <w:sz w:val="18"/>
                                  <w:szCs w:val="18"/>
                                </w:rPr>
                              </w:pPr>
                              <w:r w:rsidRPr="00C93113">
                                <w:rPr>
                                  <w:rFonts w:ascii="Verdana" w:hAnsi="Verdana"/>
                                  <w:b/>
                                  <w:sz w:val="18"/>
                                  <w:szCs w:val="18"/>
                                </w:rPr>
                                <w:t>Отдел „</w:t>
                              </w:r>
                              <w:r>
                                <w:rPr>
                                  <w:rFonts w:ascii="Verdana" w:hAnsi="Verdana"/>
                                  <w:b/>
                                  <w:sz w:val="18"/>
                                  <w:szCs w:val="18"/>
                                </w:rPr>
                                <w:t>Наблюдение и оценка</w:t>
                              </w:r>
                              <w:r w:rsidRPr="00C93113">
                                <w:rPr>
                                  <w:rFonts w:ascii="Verdana" w:hAnsi="Verdana"/>
                                  <w:b/>
                                  <w:sz w:val="18"/>
                                  <w:szCs w:val="18"/>
                                </w:rPr>
                                <w:t xml:space="preserve">” </w:t>
                              </w:r>
                            </w:p>
                          </w:txbxContent>
                        </wps:txbx>
                        <wps:bodyPr rot="0" vert="horz" wrap="square" lIns="91440" tIns="45720" rIns="91440" bIns="45720" anchor="ctr" anchorCtr="0" upright="1">
                          <a:noAutofit/>
                        </wps:bodyPr>
                      </wps:wsp>
                      <wps:wsp>
                        <wps:cNvPr id="84" name="Text Box 114"/>
                        <wps:cNvSpPr txBox="1">
                          <a:spLocks noChangeArrowheads="1"/>
                        </wps:cNvSpPr>
                        <wps:spPr bwMode="auto">
                          <a:xfrm>
                            <a:off x="6745857" y="3588589"/>
                            <a:ext cx="2159635" cy="359410"/>
                          </a:xfrm>
                          <a:prstGeom prst="rect">
                            <a:avLst/>
                          </a:prstGeom>
                          <a:solidFill>
                            <a:srgbClr val="FFFF00"/>
                          </a:solidFill>
                          <a:ln w="9525">
                            <a:solidFill>
                              <a:srgbClr val="000000"/>
                            </a:solidFill>
                            <a:miter lim="800000"/>
                            <a:headEnd/>
                            <a:tailEnd/>
                          </a:ln>
                        </wps:spPr>
                        <wps:txbx>
                          <w:txbxContent>
                            <w:p w14:paraId="1BFADCC2" w14:textId="77777777" w:rsidR="004E3164" w:rsidRPr="007840B0" w:rsidRDefault="004E3164" w:rsidP="00F21CF1">
                              <w:pPr>
                                <w:ind w:firstLine="0"/>
                                <w:jc w:val="center"/>
                                <w:rPr>
                                  <w:b/>
                                  <w:bCs/>
                                  <w:sz w:val="16"/>
                                  <w:szCs w:val="16"/>
                                </w:rPr>
                              </w:pPr>
                              <w:r w:rsidRPr="007840B0">
                                <w:rPr>
                                  <w:rStyle w:val="Hyperlink"/>
                                  <w:color w:val="051E2F"/>
                                  <w:sz w:val="16"/>
                                  <w:szCs w:val="16"/>
                                </w:rPr>
                                <w:t>Изпълнителна агенция “Проучване и поддържане на река Дунав</w:t>
                              </w:r>
                            </w:p>
                            <w:p w14:paraId="01F3AC69" w14:textId="77777777" w:rsidR="004E3164" w:rsidRPr="000D6C88" w:rsidRDefault="004E3164" w:rsidP="00F21CF1">
                              <w:pPr>
                                <w:ind w:firstLine="0"/>
                                <w:jc w:val="center"/>
                                <w:rPr>
                                  <w:b/>
                                </w:rPr>
                              </w:pPr>
                            </w:p>
                          </w:txbxContent>
                        </wps:txbx>
                        <wps:bodyPr rot="0" vert="horz" wrap="square" lIns="91440" tIns="45720" rIns="91440" bIns="45720" anchor="ctr" anchorCtr="0" upright="1">
                          <a:noAutofit/>
                        </wps:bodyPr>
                      </wps:wsp>
                      <wps:wsp>
                        <wps:cNvPr id="85" name="Oval 187"/>
                        <wps:cNvSpPr>
                          <a:spLocks noChangeArrowheads="1"/>
                        </wps:cNvSpPr>
                        <wps:spPr bwMode="auto">
                          <a:xfrm>
                            <a:off x="828136" y="3623095"/>
                            <a:ext cx="342900" cy="342900"/>
                          </a:xfrm>
                          <a:prstGeom prst="ellipse">
                            <a:avLst/>
                          </a:prstGeom>
                          <a:solidFill>
                            <a:srgbClr val="FFFFFF"/>
                          </a:solidFill>
                          <a:ln w="9525">
                            <a:solidFill>
                              <a:srgbClr val="000000"/>
                            </a:solidFill>
                            <a:round/>
                            <a:headEnd/>
                            <a:tailEnd/>
                          </a:ln>
                        </wps:spPr>
                        <wps:txbx>
                          <w:txbxContent>
                            <w:p w14:paraId="713DCD8B" w14:textId="77777777" w:rsidR="004E3164" w:rsidRDefault="004E3164" w:rsidP="00F21CF1">
                              <w:pPr>
                                <w:ind w:firstLine="0"/>
                                <w:jc w:val="center"/>
                                <w:rPr>
                                  <w:rFonts w:ascii="Verdana" w:hAnsi="Verdana"/>
                                  <w:b/>
                                </w:rPr>
                              </w:pPr>
                              <w:r>
                                <w:rPr>
                                  <w:b/>
                                </w:rPr>
                                <w:t>4</w:t>
                              </w:r>
                            </w:p>
                          </w:txbxContent>
                        </wps:txbx>
                        <wps:bodyPr rot="0" vert="horz" wrap="square" lIns="91440" tIns="45720" rIns="91440" bIns="45720" anchor="t" anchorCtr="0" upright="1">
                          <a:noAutofit/>
                        </wps:bodyPr>
                      </wps:wsp>
                      <wps:wsp>
                        <wps:cNvPr id="86" name="Oval 185"/>
                        <wps:cNvSpPr>
                          <a:spLocks noChangeArrowheads="1"/>
                        </wps:cNvSpPr>
                        <wps:spPr bwMode="auto">
                          <a:xfrm>
                            <a:off x="3804249" y="3812876"/>
                            <a:ext cx="342900" cy="342900"/>
                          </a:xfrm>
                          <a:prstGeom prst="ellipse">
                            <a:avLst/>
                          </a:prstGeom>
                          <a:solidFill>
                            <a:srgbClr val="FFFFFF"/>
                          </a:solidFill>
                          <a:ln w="9525">
                            <a:solidFill>
                              <a:srgbClr val="000000"/>
                            </a:solidFill>
                            <a:round/>
                            <a:headEnd/>
                            <a:tailEnd/>
                          </a:ln>
                        </wps:spPr>
                        <wps:txbx>
                          <w:txbxContent>
                            <w:p w14:paraId="7655F9F7" w14:textId="77777777" w:rsidR="004E3164" w:rsidRDefault="004E3164" w:rsidP="00F21CF1">
                              <w:pPr>
                                <w:ind w:firstLine="0"/>
                                <w:jc w:val="center"/>
                                <w:rPr>
                                  <w:rFonts w:ascii="Verdana" w:hAnsi="Verdana"/>
                                  <w:b/>
                                </w:rPr>
                              </w:pPr>
                              <w:r>
                                <w:rPr>
                                  <w:b/>
                                </w:rPr>
                                <w:t>2</w:t>
                              </w:r>
                            </w:p>
                          </w:txbxContent>
                        </wps:txbx>
                        <wps:bodyPr rot="0" vert="horz" wrap="square" lIns="91440" tIns="45720" rIns="91440" bIns="45720" anchor="t" anchorCtr="0" upright="1">
                          <a:noAutofit/>
                        </wps:bodyPr>
                      </wps:wsp>
                      <wps:wsp>
                        <wps:cNvPr id="87" name="Text Box 2015"/>
                        <wps:cNvSpPr txBox="1">
                          <a:spLocks noChangeArrowheads="1"/>
                        </wps:cNvSpPr>
                        <wps:spPr bwMode="auto">
                          <a:xfrm>
                            <a:off x="1449238" y="4149306"/>
                            <a:ext cx="2286000" cy="353695"/>
                          </a:xfrm>
                          <a:prstGeom prst="rect">
                            <a:avLst/>
                          </a:prstGeom>
                          <a:solidFill>
                            <a:srgbClr val="99CCFF"/>
                          </a:solidFill>
                          <a:ln w="9525">
                            <a:solidFill>
                              <a:srgbClr val="000000"/>
                            </a:solidFill>
                            <a:miter lim="800000"/>
                            <a:headEnd/>
                            <a:tailEnd/>
                          </a:ln>
                        </wps:spPr>
                        <wps:txbx>
                          <w:txbxContent>
                            <w:p w14:paraId="0FC795BC" w14:textId="77777777" w:rsidR="004E3164" w:rsidRPr="00C93113" w:rsidRDefault="004E3164" w:rsidP="00F21CF1">
                              <w:pPr>
                                <w:ind w:firstLine="0"/>
                                <w:jc w:val="center"/>
                                <w:rPr>
                                  <w:rFonts w:ascii="Verdana" w:hAnsi="Verdana"/>
                                  <w:b/>
                                  <w:sz w:val="18"/>
                                  <w:szCs w:val="18"/>
                                </w:rPr>
                              </w:pPr>
                              <w:r w:rsidRPr="00C93113">
                                <w:rPr>
                                  <w:rFonts w:ascii="Verdana" w:hAnsi="Verdana"/>
                                  <w:b/>
                                  <w:sz w:val="18"/>
                                  <w:szCs w:val="18"/>
                                </w:rPr>
                                <w:t xml:space="preserve">Други дирекции в МТИТС </w:t>
                              </w:r>
                            </w:p>
                          </w:txbxContent>
                        </wps:txbx>
                        <wps:bodyPr rot="0" vert="horz" wrap="square" lIns="91440" tIns="45720" rIns="91440" bIns="45720" anchor="ctr" anchorCtr="0" upright="1">
                          <a:noAutofit/>
                        </wps:bodyPr>
                      </wps:wsp>
                    </wpg:wgp>
                  </a:graphicData>
                </a:graphic>
              </wp:inline>
            </w:drawing>
          </mc:Choice>
          <mc:Fallback>
            <w:pict>
              <v:group w14:anchorId="4C77BC25" id="Group 1890" o:spid="_x0000_s1737" style="width:756.7pt;height:363.45pt;mso-position-horizontal-relative:char;mso-position-vertical-relative:line" coordsize="89054,4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">
                <v:line id="Straight Connector 1991" o:spid="_x0000_s1738" style="position:absolute;flip:x;visibility:visible;mso-wrap-style:square" from="62023,31831" to="68881,3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" strokeweight="3.75pt">
                  <v:stroke endarrow="block" linestyle="thinThin"/>
                </v:line>
                <v:line id="Straight Connector 1990" o:spid="_x0000_s1739" style="position:absolute;flip:x;visibility:visible;mso-wrap-style:square" from="62110,37697" to="68968,37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" strokeweight="3.75pt">
                  <v:stroke endarrow="block" linestyle="thinThin"/>
                </v:line>
                <v:line id="Straight Connector 2013" o:spid="_x0000_s1740" style="position:absolute;flip:x;visibility:visible;mso-wrap-style:square" from="7246,10955" to="89049,10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" strokeweight="4pt">
                  <v:stroke linestyle="thinThin"/>
                </v:line>
                <v:line id="Straight Connector 2009" o:spid="_x0000_s1741" style="position:absolute;flip:x;visibility:visible;mso-wrap-style:square" from="62023,18891" to="68881,18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" strokeweight="3.75pt">
                  <v:stroke endarrow="block" linestyle="thinThin"/>
                </v:line>
                <v:line id="Straight Connector 1993" o:spid="_x0000_s1742" style="position:absolute;flip:x;visibility:visible;mso-wrap-style:square" from="62023,23550" to="68881,2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" strokeweight="3.75pt">
                  <v:stroke endarrow="block" linestyle="thinThin"/>
                </v:line>
                <v:line id="Straight Connector 2008" o:spid="_x0000_s1743" style="position:absolute;flip:x;visibility:visible;mso-wrap-style:square" from="62110,28294" to="68968,2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" strokeweight="3.75pt">
                  <v:stroke endarrow="block" linestyle="thinThin"/>
                </v:line>
                <v:line id="Straight Connector 2007" o:spid="_x0000_s1744" style="position:absolute;visibility:visible;mso-wrap-style:square" from="7159,18435" to="7159,37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" strokeweight="3pt">
                  <v:stroke dashstyle="longDash" linestyle="thinThin"/>
                </v:line>
                <v:line id="Straight Connector 98" o:spid="_x0000_s1745" style="position:absolute;visibility:visible;mso-wrap-style:square" from="13025,28035" to="13025,39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"/>
                <v:line id="Straight Connector 97" o:spid="_x0000_s1746" style="position:absolute;visibility:visible;mso-wrap-style:square" from="57106,28035" to="57106,39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"/>
                <v:line id="Straight Connector 96" o:spid="_x0000_s1747" style="position:absolute;flip:x;visibility:visible;mso-wrap-style:square" from="13025,39854" to="57094,39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"/>
                <v:line id="Straight Connector 169" o:spid="_x0000_s1748" style="position:absolute;flip:x;visibility:visible;mso-wrap-style:square" from="5520,35454" to="16633,3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" strokeweight="4.5pt">
                  <v:stroke dashstyle="1 1" startarrow="block" endarrow="block" linestyle="thinThin"/>
                </v:line>
                <v:line id="Straight Connector 170" o:spid="_x0000_s1749" style="position:absolute;flip:x y;visibility:visible;mso-wrap-style:square" from="24499,28294" to="24499,32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" strokeweight="3pt">
                  <v:stroke dashstyle="1 1" startarrow="block" endarrow="block" linestyle="thinThin"/>
                </v:line>
                <v:line id="Straight Connector 178" o:spid="_x0000_s1750" style="position:absolute;flip:x;visibility:visible;mso-wrap-style:square" from="39163,6814" to="50593,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" strokeweight="3.75pt">
                  <v:stroke dashstyle="1 1" startarrow="block" endarrow="block" linestyle="thinThin"/>
                </v:line>
                <v:line id="Straight Connector 68" o:spid="_x0000_s1751" style="position:absolute;visibility:visible;mso-wrap-style:square" from="46721,20617" to="46721,2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"/>
                <v:line id="Straight Connector 69" o:spid="_x0000_s1752" style="position:absolute;visibility:visible;mso-wrap-style:square" from="57592,20697" to="57592,2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"/>
                <v:line id="Straight Connector 70" o:spid="_x0000_s1753" style="position:absolute;visibility:visible;mso-wrap-style:square" from="38368,20698" to="38368,2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"/>
                <v:line id="Straight Connector 71" o:spid="_x0000_s1754" style="position:absolute;visibility:visible;mso-wrap-style:square" from="29119,20519" to="29119,2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"/>
                <v:line id="Straight Connector 72" o:spid="_x0000_s1755" style="position:absolute;visibility:visible;mso-wrap-style:square" from="20119,20617" to="20119,2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"/>
                <v:line id="Straight Connector 74" o:spid="_x0000_s1756" style="position:absolute;flip:y;visibility:visible;mso-wrap-style:square" from="46065,28208" to="46065,3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" strokeweight="3pt">
                  <v:stroke dashstyle="1 1" startarrow="block" endarrow="block" linestyle="thinThin"/>
                </v:line>
                <v:line id="Straight Connector 75" o:spid="_x0000_s1757" style="position:absolute;flip:y;visibility:visible;mso-wrap-style:square" from="34764,28294" to="34764,3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" strokeweight="3pt">
                  <v:stroke dashstyle="1 1" startarrow="block" endarrow="block" linestyle="thinThin"/>
                </v:line>
                <v:shape id="Text Box 67" o:spid="_x0000_s1758" type="#_x0000_t202" style="position:absolute;left:9402;top:11904;width:513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" fillcolor="#f9c">
                  <v:textbox>
                    <w:txbxContent>
                      <w:p w14:paraId="7232885D" w14:textId="77777777" w:rsidR="004E3164" w:rsidRPr="00864A2F" w:rsidRDefault="004E3164" w:rsidP="00F21CF1">
                        <w:pPr>
                          <w:ind w:firstLine="0"/>
                          <w:jc w:val="center"/>
                          <w:rPr>
                            <w:rFonts w:ascii="Verdana" w:hAnsi="Verdana"/>
                            <w:bCs/>
                            <w:sz w:val="20"/>
                            <w:lang w:val="ru-RU"/>
                          </w:rPr>
                        </w:pPr>
                        <w:r>
                          <w:rPr>
                            <w:rFonts w:ascii="Verdana" w:hAnsi="Verdana"/>
                            <w:b/>
                            <w:bCs/>
                            <w:sz w:val="20"/>
                          </w:rPr>
                          <w:t>Министерство на транспорта и съобщенията</w:t>
                        </w:r>
                      </w:p>
                      <w:p w14:paraId="17A64D5A" w14:textId="77777777" w:rsidR="004E3164" w:rsidRPr="00864A2F" w:rsidRDefault="004E3164" w:rsidP="00F21CF1">
                        <w:pPr>
                          <w:ind w:firstLine="0"/>
                          <w:jc w:val="center"/>
                          <w:rPr>
                            <w:rFonts w:ascii="Verdana" w:hAnsi="Verdana"/>
                            <w:b/>
                            <w:bCs/>
                            <w:sz w:val="20"/>
                            <w:lang w:val="ru-RU"/>
                          </w:rPr>
                        </w:pPr>
                      </w:p>
                    </w:txbxContent>
                  </v:textbox>
                </v:shape>
                <v:shape id="Text Box 66" o:spid="_x0000_s1759" type="#_x0000_t202" style="position:absolute;left:9230;top:17770;width:51994;height:2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" fillcolor="#9cf">
                  <v:textbox>
                    <w:txbxContent>
                      <w:p w14:paraId="221C8EEB" w14:textId="77777777" w:rsidR="004E3164" w:rsidRPr="00351458" w:rsidRDefault="004E3164" w:rsidP="00F21CF1">
                        <w:pPr>
                          <w:ind w:firstLine="0"/>
                          <w:jc w:val="center"/>
                          <w:rPr>
                            <w:rFonts w:ascii="Verdana" w:hAnsi="Verdana"/>
                            <w:b/>
                            <w:bCs/>
                          </w:rPr>
                        </w:pPr>
                        <w:r w:rsidRPr="00351458">
                          <w:rPr>
                            <w:rFonts w:ascii="Verdana" w:hAnsi="Verdana"/>
                            <w:b/>
                            <w:bCs/>
                          </w:rPr>
                          <w:t>Дирекция „Координация на програми и проекти“</w:t>
                        </w:r>
                      </w:p>
                    </w:txbxContent>
                  </v:textbox>
                </v:shape>
                <v:shape id="Text Box 65" o:spid="_x0000_s1760" type="#_x0000_t202" style="position:absolute;left:16539;top:22323;width:7541;height:4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" fillcolor="#cff">
                  <v:textbox>
                    <w:txbxContent>
                      <w:p w14:paraId="68BDC90D" w14:textId="77777777" w:rsidR="004E3164" w:rsidRPr="00B12C69" w:rsidRDefault="004E3164" w:rsidP="00F21CF1">
                        <w:pPr>
                          <w:ind w:firstLine="0"/>
                          <w:jc w:val="center"/>
                          <w:rPr>
                            <w:rFonts w:ascii="Verdana" w:hAnsi="Verdana"/>
                            <w:b/>
                            <w:sz w:val="14"/>
                            <w:szCs w:val="14"/>
                          </w:rPr>
                        </w:pPr>
                        <w:r w:rsidRPr="00B12C69">
                          <w:rPr>
                            <w:rFonts w:ascii="Verdana" w:hAnsi="Verdana"/>
                            <w:b/>
                            <w:sz w:val="14"/>
                            <w:szCs w:val="14"/>
                            <w:u w:val="single"/>
                          </w:rPr>
                          <w:t>Отдел</w:t>
                        </w:r>
                      </w:p>
                      <w:p w14:paraId="53D6F0E1" w14:textId="77777777" w:rsidR="004E3164" w:rsidRPr="00B12C69" w:rsidRDefault="004E3164" w:rsidP="00F21CF1">
                        <w:pPr>
                          <w:ind w:firstLine="0"/>
                          <w:jc w:val="center"/>
                          <w:rPr>
                            <w:rFonts w:ascii="Verdana" w:hAnsi="Verdana"/>
                            <w:b/>
                            <w:sz w:val="14"/>
                            <w:szCs w:val="14"/>
                          </w:rPr>
                        </w:pPr>
                        <w:r w:rsidRPr="00B12C69">
                          <w:rPr>
                            <w:rFonts w:ascii="Verdana" w:hAnsi="Verdana"/>
                            <w:b/>
                            <w:sz w:val="14"/>
                            <w:szCs w:val="14"/>
                          </w:rPr>
                          <w:t>Финансово</w:t>
                        </w:r>
                      </w:p>
                      <w:p w14:paraId="77E3DCEC" w14:textId="77777777" w:rsidR="004E3164" w:rsidRPr="00B12C69" w:rsidRDefault="004E3164" w:rsidP="00F21CF1">
                        <w:pPr>
                          <w:ind w:firstLine="0"/>
                          <w:jc w:val="center"/>
                          <w:rPr>
                            <w:rFonts w:ascii="Verdana" w:hAnsi="Verdana"/>
                            <w:b/>
                            <w:bCs/>
                            <w:sz w:val="14"/>
                            <w:szCs w:val="14"/>
                            <w:lang w:val="en-US"/>
                          </w:rPr>
                        </w:pPr>
                        <w:r w:rsidRPr="00B12C69">
                          <w:rPr>
                            <w:rFonts w:ascii="Verdana" w:hAnsi="Verdana"/>
                            <w:b/>
                            <w:sz w:val="14"/>
                            <w:szCs w:val="14"/>
                          </w:rPr>
                          <w:t>управление</w:t>
                        </w:r>
                      </w:p>
                    </w:txbxContent>
                  </v:textbox>
                </v:shape>
                <v:oval id="Oval 180" o:spid="_x0000_s1761" style="position:absolute;left:62714;top:28984;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">
                  <v:textbox>
                    <w:txbxContent>
                      <w:p w14:paraId="2962C83F" w14:textId="77777777" w:rsidR="004E3164" w:rsidRDefault="004E3164" w:rsidP="00F21CF1">
                        <w:pPr>
                          <w:ind w:firstLine="0"/>
                          <w:jc w:val="center"/>
                          <w:rPr>
                            <w:rFonts w:ascii="Verdana" w:hAnsi="Verdana"/>
                            <w:b/>
                          </w:rPr>
                        </w:pPr>
                        <w:r>
                          <w:rPr>
                            <w:b/>
                          </w:rPr>
                          <w:t>1</w:t>
                        </w:r>
                      </w:p>
                    </w:txbxContent>
                  </v:textbox>
                </v:oval>
                <v:shape id="Text Box 124" o:spid="_x0000_s1762" type="#_x0000_t202" style="position:absolute;left:8472;top:22321;width:7334;height: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" fillcolor="#cff">
                  <v:textbox inset="0,,0">
                    <w:txbxContent>
                      <w:p w14:paraId="62443FF8" w14:textId="77777777" w:rsidR="004E3164" w:rsidRPr="00B12C69" w:rsidRDefault="004E3164" w:rsidP="00F21CF1">
                        <w:pPr>
                          <w:ind w:firstLine="0"/>
                          <w:jc w:val="center"/>
                          <w:rPr>
                            <w:rFonts w:ascii="Verdana" w:hAnsi="Verdana"/>
                            <w:b/>
                            <w:sz w:val="14"/>
                            <w:szCs w:val="14"/>
                            <w:u w:val="single"/>
                          </w:rPr>
                        </w:pPr>
                        <w:r w:rsidRPr="00B12C69">
                          <w:rPr>
                            <w:rFonts w:ascii="Verdana" w:hAnsi="Verdana"/>
                            <w:b/>
                            <w:sz w:val="14"/>
                            <w:szCs w:val="14"/>
                            <w:u w:val="single"/>
                          </w:rPr>
                          <w:t>Отдел</w:t>
                        </w:r>
                      </w:p>
                      <w:p w14:paraId="6F56F9F6" w14:textId="77777777" w:rsidR="004E3164" w:rsidRPr="00B12C69" w:rsidRDefault="004E3164" w:rsidP="00F21CF1">
                        <w:pPr>
                          <w:ind w:firstLine="0"/>
                          <w:jc w:val="center"/>
                          <w:rPr>
                            <w:rFonts w:ascii="Verdana" w:hAnsi="Verdana"/>
                            <w:b/>
                            <w:sz w:val="14"/>
                            <w:szCs w:val="14"/>
                          </w:rPr>
                        </w:pPr>
                        <w:r w:rsidRPr="00B12C69">
                          <w:rPr>
                            <w:rFonts w:ascii="Verdana" w:hAnsi="Verdana"/>
                            <w:b/>
                            <w:sz w:val="14"/>
                            <w:szCs w:val="14"/>
                          </w:rPr>
                          <w:t>Програмиране</w:t>
                        </w:r>
                      </w:p>
                    </w:txbxContent>
                  </v:textbox>
                </v:shape>
                <v:shape id="Text Box 123" o:spid="_x0000_s1763" type="#_x0000_t202" style="position:absolute;left:24932;top:22321;width:8550;height:4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" fillcolor="#cff">
                  <v:textbox>
                    <w:txbxContent>
                      <w:p w14:paraId="4ABC61C1" w14:textId="77777777" w:rsidR="004E3164" w:rsidRPr="00B12C69" w:rsidRDefault="004E3164" w:rsidP="00F21CF1">
                        <w:pPr>
                          <w:ind w:firstLine="0"/>
                          <w:jc w:val="center"/>
                          <w:rPr>
                            <w:rFonts w:ascii="Verdana" w:hAnsi="Verdana"/>
                            <w:b/>
                            <w:sz w:val="14"/>
                            <w:szCs w:val="14"/>
                          </w:rPr>
                        </w:pPr>
                        <w:r w:rsidRPr="00B12C69">
                          <w:rPr>
                            <w:rFonts w:ascii="Verdana" w:hAnsi="Verdana"/>
                            <w:b/>
                            <w:sz w:val="14"/>
                            <w:szCs w:val="14"/>
                            <w:u w:val="single"/>
                          </w:rPr>
                          <w:t>Отдел</w:t>
                        </w:r>
                      </w:p>
                      <w:p w14:paraId="37FF09D9" w14:textId="77777777" w:rsidR="004E3164" w:rsidRDefault="004E3164" w:rsidP="00F21CF1">
                        <w:pPr>
                          <w:ind w:firstLine="0"/>
                          <w:jc w:val="center"/>
                          <w:rPr>
                            <w:rFonts w:ascii="Verdana" w:hAnsi="Verdana"/>
                            <w:b/>
                            <w:bCs/>
                            <w:sz w:val="16"/>
                            <w:szCs w:val="16"/>
                            <w:lang w:val="en-US"/>
                          </w:rPr>
                        </w:pPr>
                        <w:r w:rsidRPr="00B12C69">
                          <w:rPr>
                            <w:rFonts w:ascii="Verdana" w:hAnsi="Verdana"/>
                            <w:b/>
                            <w:sz w:val="14"/>
                            <w:szCs w:val="14"/>
                          </w:rPr>
                          <w:t>Контрол по обществени</w:t>
                        </w:r>
                        <w:r>
                          <w:rPr>
                            <w:rFonts w:ascii="Verdana" w:hAnsi="Verdana"/>
                            <w:b/>
                            <w:sz w:val="16"/>
                            <w:szCs w:val="16"/>
                          </w:rPr>
                          <w:t xml:space="preserve"> поръчки</w:t>
                        </w:r>
                      </w:p>
                    </w:txbxContent>
                  </v:textbox>
                </v:shape>
                <v:shape id="Text Box 2014" o:spid="_x0000_s1764" type="#_x0000_t202" style="position:absolute;left:12853;top:4313;width:26289;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" fillcolor="#c9f">
                  <v:textbox>
                    <w:txbxContent>
                      <w:p w14:paraId="2B961065" w14:textId="77777777" w:rsidR="004E3164" w:rsidRDefault="004E3164" w:rsidP="00F21CF1">
                        <w:pPr>
                          <w:ind w:firstLine="0"/>
                          <w:jc w:val="center"/>
                          <w:rPr>
                            <w:rFonts w:ascii="Verdana" w:hAnsi="Verdana"/>
                            <w:b/>
                            <w:bCs/>
                          </w:rPr>
                        </w:pPr>
                        <w:r>
                          <w:rPr>
                            <w:rFonts w:ascii="Verdana" w:hAnsi="Verdana"/>
                            <w:b/>
                            <w:bCs/>
                          </w:rPr>
                          <w:t xml:space="preserve">Управляващ орган </w:t>
                        </w:r>
                      </w:p>
                    </w:txbxContent>
                  </v:textbox>
                </v:shape>
                <v:shape id="Text Box 119" o:spid="_x0000_s1765" type="#_x0000_t202" style="position:absolute;top:24757;width:5229;height:20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" fillcolor="#eaeaea" strokeweight="3pt">
                  <v:stroke linestyle="thinThin"/>
                  <v:textbox style="layout-flow:vertical;mso-layout-flow-alt:bottom-to-top">
                    <w:txbxContent>
                      <w:p w14:paraId="0C0349DA" w14:textId="77777777" w:rsidR="004E3164" w:rsidRPr="00864A2F" w:rsidRDefault="004E3164" w:rsidP="00F21CF1">
                        <w:pPr>
                          <w:ind w:firstLine="0"/>
                          <w:jc w:val="center"/>
                          <w:rPr>
                            <w:rFonts w:ascii="Verdana" w:hAnsi="Verdana"/>
                            <w:b/>
                            <w:bCs/>
                            <w:sz w:val="20"/>
                          </w:rPr>
                        </w:pPr>
                        <w:r w:rsidRPr="00864A2F">
                          <w:rPr>
                            <w:rFonts w:ascii="Verdana" w:hAnsi="Verdana"/>
                            <w:b/>
                            <w:bCs/>
                            <w:sz w:val="20"/>
                          </w:rPr>
                          <w:t>Комитет за наблюдение на ОПТТИ</w:t>
                        </w:r>
                      </w:p>
                    </w:txbxContent>
                  </v:textbox>
                </v:shape>
                <v:line id="Straight Connector 2012" o:spid="_x0000_s1766" style="position:absolute;visibility:visible;mso-wrap-style:square" from="16303,28294" to="21193,3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Straight Connector 2011" o:spid="_x0000_s1767" style="position:absolute;visibility:visible;mso-wrap-style:square" from="23118,28294" to="23234,3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Straight Connector 1995" o:spid="_x0000_s1768" style="position:absolute;visibility:visible;mso-wrap-style:square" from="66250,17770" to="66314,3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" strokeweight="3pt">
                  <v:stroke dashstyle="longDash" linestyle="thinThin"/>
                </v:line>
                <v:shape id="Text Box 118" o:spid="_x0000_s1769" type="#_x0000_t202" style="position:absolute;left:67372;top:17080;width:21596;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" fillcolor="yellow">
                  <v:textbox>
                    <w:txbxContent>
                      <w:p w14:paraId="0A59A04A" w14:textId="77777777" w:rsidR="004E3164" w:rsidRPr="000D6C88" w:rsidRDefault="004E3164" w:rsidP="00F21CF1">
                        <w:pPr>
                          <w:ind w:firstLine="0"/>
                          <w:jc w:val="center"/>
                          <w:rPr>
                            <w:b/>
                            <w:bCs/>
                            <w:sz w:val="16"/>
                            <w:szCs w:val="16"/>
                            <w:lang w:val="ru-RU"/>
                          </w:rPr>
                        </w:pPr>
                        <w:r w:rsidRPr="007840B0">
                          <w:rPr>
                            <w:rStyle w:val="Hyperlink"/>
                            <w:color w:val="051E2F"/>
                            <w:sz w:val="16"/>
                            <w:szCs w:val="16"/>
                          </w:rPr>
                          <w:t>Национална компания „Железопътна инфраструктура”</w:t>
                        </w:r>
                      </w:p>
                    </w:txbxContent>
                  </v:textbox>
                </v:shape>
                <v:shape id="Text Box 90" o:spid="_x0000_s1770" type="#_x0000_t202" style="position:absolute;left:50550;top:4313;width:29718;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" fillcolor="#c9f">
                  <v:textbox>
                    <w:txbxContent>
                      <w:p w14:paraId="2422F526" w14:textId="77777777" w:rsidR="004E3164" w:rsidRDefault="004E3164" w:rsidP="00F21CF1">
                        <w:pPr>
                          <w:ind w:firstLine="0"/>
                          <w:jc w:val="center"/>
                          <w:rPr>
                            <w:rFonts w:ascii="Verdana" w:hAnsi="Verdana"/>
                            <w:b/>
                            <w:bCs/>
                          </w:rPr>
                        </w:pPr>
                        <w:r>
                          <w:rPr>
                            <w:rFonts w:ascii="Verdana" w:hAnsi="Verdana"/>
                            <w:b/>
                            <w:bCs/>
                          </w:rPr>
                          <w:t xml:space="preserve">Европейска комисия </w:t>
                        </w:r>
                      </w:p>
                      <w:p w14:paraId="6C238B71" w14:textId="77777777" w:rsidR="004E3164" w:rsidRDefault="004E3164" w:rsidP="00F21CF1">
                        <w:pPr>
                          <w:ind w:firstLine="0"/>
                          <w:jc w:val="center"/>
                          <w:rPr>
                            <w:rFonts w:ascii="Verdana" w:hAnsi="Verdana"/>
                            <w:b/>
                            <w:bCs/>
                          </w:rPr>
                        </w:pPr>
                        <w:r>
                          <w:rPr>
                            <w:rFonts w:ascii="Verdana" w:hAnsi="Verdana"/>
                            <w:b/>
                            <w:bCs/>
                          </w:rPr>
                          <w:t>/ГД „Регионална политика”/</w:t>
                        </w:r>
                      </w:p>
                    </w:txbxContent>
                  </v:textbox>
                </v:shape>
                <v:shape id="Text Box 91" o:spid="_x0000_s1771" type="#_x0000_t202" style="position:absolute;left:67286;top:12076;width:21677;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" fillcolor="#f9c">
                  <v:textbox>
                    <w:txbxContent>
                      <w:p w14:paraId="40482D53" w14:textId="77777777" w:rsidR="004E3164" w:rsidRDefault="004E3164" w:rsidP="00F21CF1">
                        <w:pPr>
                          <w:ind w:firstLine="0"/>
                          <w:jc w:val="center"/>
                          <w:rPr>
                            <w:rFonts w:ascii="Verdana" w:hAnsi="Verdana"/>
                            <w:bCs/>
                            <w:lang w:val="en-US"/>
                          </w:rPr>
                        </w:pPr>
                        <w:r>
                          <w:rPr>
                            <w:rFonts w:ascii="Verdana" w:hAnsi="Verdana"/>
                            <w:b/>
                            <w:bCs/>
                          </w:rPr>
                          <w:t>Бенефициенти</w:t>
                        </w:r>
                      </w:p>
                      <w:p w14:paraId="2BFF9F52" w14:textId="77777777" w:rsidR="004E3164" w:rsidRDefault="004E3164" w:rsidP="00F21CF1">
                        <w:pPr>
                          <w:ind w:firstLine="0"/>
                          <w:jc w:val="center"/>
                          <w:rPr>
                            <w:rFonts w:ascii="Verdana" w:hAnsi="Verdana"/>
                            <w:b/>
                            <w:bCs/>
                            <w:lang w:val="en-US"/>
                          </w:rPr>
                        </w:pPr>
                      </w:p>
                    </w:txbxContent>
                  </v:textbox>
                </v:shape>
                <v:shape id="Text Box 117" o:spid="_x0000_s1772" type="#_x0000_t202" style="position:absolute;left:67372;top:21738;width:21596;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" fillcolor="yellow">
                  <v:textbox>
                    <w:txbxContent>
                      <w:p w14:paraId="12E8C7AA" w14:textId="77777777" w:rsidR="004E3164" w:rsidRPr="000D6C88" w:rsidRDefault="004E3164" w:rsidP="00F21CF1">
                        <w:pPr>
                          <w:ind w:firstLine="0"/>
                          <w:jc w:val="center"/>
                          <w:rPr>
                            <w:b/>
                            <w:bCs/>
                            <w:sz w:val="16"/>
                            <w:szCs w:val="16"/>
                          </w:rPr>
                        </w:pPr>
                        <w:r w:rsidRPr="000D6C88">
                          <w:rPr>
                            <w:b/>
                            <w:bCs/>
                            <w:sz w:val="16"/>
                            <w:szCs w:val="16"/>
                          </w:rPr>
                          <w:t>Агенция „Пътна инфраструктура”</w:t>
                        </w:r>
                      </w:p>
                    </w:txbxContent>
                  </v:textbox>
                </v:shape>
                <v:oval id="Oval 190" o:spid="_x0000_s1773" style="position:absolute;left:43477;top:4399;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">
                  <v:textbox>
                    <w:txbxContent>
                      <w:p w14:paraId="509358FC" w14:textId="77777777" w:rsidR="004E3164" w:rsidRDefault="004E3164" w:rsidP="00F21CF1">
                        <w:pPr>
                          <w:ind w:firstLine="0"/>
                          <w:jc w:val="center"/>
                          <w:rPr>
                            <w:rFonts w:ascii="Verdana" w:hAnsi="Verdana"/>
                            <w:b/>
                          </w:rPr>
                        </w:pPr>
                        <w:r>
                          <w:rPr>
                            <w:b/>
                          </w:rPr>
                          <w:t>5</w:t>
                        </w:r>
                      </w:p>
                    </w:txbxContent>
                  </v:textbox>
                </v:oval>
                <v:shape id="Text Box 2006" o:spid="_x0000_s1774" type="#_x0000_t202" style="position:absolute;left:86;top:7332;width:6424;height:1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" fillcolor="#eaeaea" strokeweight="3pt">
                  <v:stroke linestyle="thinThin"/>
                  <v:textbox style="layout-flow:vertical;mso-layout-flow-alt:bottom-to-top">
                    <w:txbxContent>
                      <w:p w14:paraId="33358B7C" w14:textId="77777777" w:rsidR="004E3164" w:rsidRDefault="004E3164" w:rsidP="00F21CF1">
                        <w:pPr>
                          <w:ind w:firstLine="0"/>
                          <w:jc w:val="center"/>
                          <w:rPr>
                            <w:rFonts w:ascii="Verdana" w:hAnsi="Verdana"/>
                            <w:b/>
                            <w:bCs/>
                            <w:sz w:val="20"/>
                          </w:rPr>
                        </w:pPr>
                        <w:r w:rsidRPr="0044728B">
                          <w:rPr>
                            <w:rFonts w:ascii="Verdana" w:hAnsi="Verdana"/>
                            <w:b/>
                            <w:bCs/>
                            <w:sz w:val="20"/>
                          </w:rPr>
                          <w:t xml:space="preserve">ЦКЗ и </w:t>
                        </w:r>
                        <w:r w:rsidRPr="00864A2F">
                          <w:rPr>
                            <w:rFonts w:ascii="Verdana" w:hAnsi="Verdana"/>
                            <w:b/>
                            <w:bCs/>
                            <w:sz w:val="20"/>
                          </w:rPr>
                          <w:t>СКУСЕС</w:t>
                        </w:r>
                      </w:p>
                      <w:p w14:paraId="2834D503" w14:textId="77777777" w:rsidR="004E3164" w:rsidRPr="00ED376C" w:rsidRDefault="004E3164" w:rsidP="00F21CF1">
                        <w:pPr>
                          <w:ind w:firstLine="0"/>
                          <w:jc w:val="center"/>
                          <w:rPr>
                            <w:rFonts w:ascii="Verdana" w:hAnsi="Verdana"/>
                            <w:b/>
                            <w:bCs/>
                            <w:sz w:val="16"/>
                            <w:szCs w:val="16"/>
                          </w:rPr>
                        </w:pPr>
                        <w:r w:rsidRPr="00ED376C">
                          <w:rPr>
                            <w:rFonts w:ascii="Verdana" w:hAnsi="Verdana"/>
                            <w:b/>
                            <w:bCs/>
                            <w:sz w:val="16"/>
                            <w:szCs w:val="16"/>
                          </w:rPr>
                          <w:t>(консултативни/контролни функции)</w:t>
                        </w:r>
                      </w:p>
                    </w:txbxContent>
                  </v:textbox>
                </v:shape>
                <v:line id="Straight Connector 2005" o:spid="_x0000_s1775" style="position:absolute;flip:x y;visibility:visible;mso-wrap-style:square" from="2587,21479" to="16430,3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" strokeweight="4.5pt">
                  <v:stroke dashstyle="1 1" startarrow="block" endarrow="block" linestyle="thinThin"/>
                </v:line>
                <v:shape id="Text Box 2003" o:spid="_x0000_s1776" type="#_x0000_t202" style="position:absolute;left:43308;top:22404;width:8020;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" fillcolor="#cff">
                  <v:textbox inset="1mm,,1mm">
                    <w:txbxContent>
                      <w:p w14:paraId="630F9767" w14:textId="77777777" w:rsidR="004E3164" w:rsidRPr="00B12C69" w:rsidRDefault="004E3164" w:rsidP="00F21CF1">
                        <w:pPr>
                          <w:ind w:firstLine="0"/>
                          <w:jc w:val="center"/>
                          <w:rPr>
                            <w:rFonts w:ascii="Verdana" w:hAnsi="Verdana"/>
                            <w:b/>
                            <w:sz w:val="12"/>
                            <w:szCs w:val="12"/>
                          </w:rPr>
                        </w:pPr>
                        <w:r w:rsidRPr="00B12C69">
                          <w:rPr>
                            <w:rFonts w:ascii="Verdana" w:hAnsi="Verdana"/>
                            <w:b/>
                            <w:sz w:val="12"/>
                            <w:szCs w:val="12"/>
                            <w:u w:val="single"/>
                          </w:rPr>
                          <w:t>Отдел</w:t>
                        </w:r>
                      </w:p>
                      <w:p w14:paraId="683035B7" w14:textId="77777777" w:rsidR="004E3164" w:rsidRDefault="004E3164" w:rsidP="00F21CF1">
                        <w:pPr>
                          <w:ind w:firstLine="0"/>
                          <w:jc w:val="center"/>
                          <w:rPr>
                            <w:rFonts w:ascii="Verdana" w:hAnsi="Verdana"/>
                            <w:b/>
                            <w:bCs/>
                            <w:sz w:val="16"/>
                            <w:szCs w:val="16"/>
                            <w:lang w:val="en-US"/>
                          </w:rPr>
                        </w:pPr>
                        <w:r w:rsidRPr="00B12C69">
                          <w:rPr>
                            <w:rFonts w:ascii="Verdana" w:hAnsi="Verdana"/>
                            <w:b/>
                            <w:sz w:val="12"/>
                            <w:szCs w:val="12"/>
                          </w:rPr>
                          <w:t>Изпълнение и координация</w:t>
                        </w:r>
                      </w:p>
                    </w:txbxContent>
                  </v:textbox>
                </v:shape>
                <v:shape id="Text Box 173" o:spid="_x0000_s1777" type="#_x0000_t202" style="position:absolute;left:34463;top:22441;width:7817;height:4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" fillcolor="#cff">
                  <v:textbox>
                    <w:txbxContent>
                      <w:p w14:paraId="63BA1F38" w14:textId="77777777" w:rsidR="004E3164" w:rsidRPr="00B12C69" w:rsidRDefault="004E3164" w:rsidP="00F21CF1">
                        <w:pPr>
                          <w:ind w:firstLine="0"/>
                          <w:jc w:val="center"/>
                          <w:rPr>
                            <w:rFonts w:ascii="Verdana" w:hAnsi="Verdana"/>
                            <w:b/>
                            <w:sz w:val="14"/>
                            <w:szCs w:val="14"/>
                            <w:u w:val="single"/>
                          </w:rPr>
                        </w:pPr>
                        <w:r w:rsidRPr="00B12C69">
                          <w:rPr>
                            <w:rFonts w:ascii="Verdana" w:hAnsi="Verdana"/>
                            <w:b/>
                            <w:sz w:val="14"/>
                            <w:szCs w:val="14"/>
                            <w:u w:val="single"/>
                          </w:rPr>
                          <w:t>Отдел</w:t>
                        </w:r>
                      </w:p>
                      <w:p w14:paraId="764C8021" w14:textId="77777777" w:rsidR="004E3164" w:rsidRDefault="004E3164" w:rsidP="00F21CF1">
                        <w:pPr>
                          <w:ind w:firstLine="0"/>
                          <w:jc w:val="center"/>
                          <w:rPr>
                            <w:rFonts w:ascii="Verdana" w:hAnsi="Verdana"/>
                            <w:b/>
                            <w:bCs/>
                            <w:sz w:val="16"/>
                            <w:szCs w:val="16"/>
                            <w:lang w:val="en-US"/>
                          </w:rPr>
                        </w:pPr>
                        <w:r w:rsidRPr="00B12C69">
                          <w:rPr>
                            <w:rFonts w:ascii="Verdana" w:hAnsi="Verdana"/>
                            <w:b/>
                            <w:sz w:val="14"/>
                            <w:szCs w:val="14"/>
                          </w:rPr>
                          <w:t>Управление на риска</w:t>
                        </w:r>
                      </w:p>
                    </w:txbxContent>
                  </v:textbox>
                </v:shape>
                <v:shape id="Text Box 2000" o:spid="_x0000_s1778" type="#_x0000_t202" style="position:absolute;left:67458;top:26483;width:21596;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" fillcolor="yellow">
                  <v:textbox>
                    <w:txbxContent>
                      <w:p w14:paraId="787CE34E" w14:textId="77777777" w:rsidR="004E3164" w:rsidRPr="000D6C88" w:rsidRDefault="004E3164" w:rsidP="00F21CF1">
                        <w:pPr>
                          <w:ind w:firstLine="0"/>
                          <w:jc w:val="center"/>
                          <w:rPr>
                            <w:b/>
                            <w:bCs/>
                            <w:sz w:val="16"/>
                            <w:szCs w:val="16"/>
                          </w:rPr>
                        </w:pPr>
                        <w:r w:rsidRPr="007840B0">
                          <w:rPr>
                            <w:rStyle w:val="Hyperlink"/>
                            <w:color w:val="051E2F"/>
                            <w:sz w:val="16"/>
                            <w:szCs w:val="16"/>
                          </w:rPr>
                          <w:t>„Метрополитен” ЕАД</w:t>
                        </w:r>
                      </w:p>
                    </w:txbxContent>
                  </v:textbox>
                </v:shape>
                <v:line id="Straight Connector 2010" o:spid="_x0000_s1779" style="position:absolute;flip:x;visibility:visible;mso-wrap-style:square" from="49170,28294" to="55012,3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FxQAAANsAAAAPAAAAZHJzL2Rvd25yZXYueG1sRI9Pa8JA&#10;EMXvBb/DMkIvoW5qqN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DZp6/FxQAAANsAAAAP&#10;AAAAAAAAAAAAAAAAAAcCAABkcnMvZG93bnJldi54bWxQSwUGAAAAAAMAAwC3AAAA+QIAAAAA&#10;">
                  <v:stroke endarrow="block"/>
                </v:line>
                <v:line id="Straight Connector 177" o:spid="_x0000_s1780" style="position:absolute;flip:x y;visibility:visible;mso-wrap-style:square" from="13198,28294" to="18214,3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" strokeweight="3pt">
                  <v:stroke dashstyle="1 1" startarrow="block" endarrow="block" linestyle="thinThin"/>
                </v:line>
                <v:oval id="Oval 191" o:spid="_x0000_s1781" style="position:absolute;left:27604;top:27863;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">
                  <v:textbox>
                    <w:txbxContent>
                      <w:p w14:paraId="455AC7D9" w14:textId="77777777" w:rsidR="004E3164" w:rsidRDefault="004E3164" w:rsidP="00F21CF1">
                        <w:pPr>
                          <w:ind w:firstLine="0"/>
                          <w:jc w:val="center"/>
                          <w:rPr>
                            <w:rFonts w:ascii="Verdana" w:hAnsi="Verdana"/>
                            <w:b/>
                          </w:rPr>
                        </w:pPr>
                        <w:r>
                          <w:rPr>
                            <w:b/>
                          </w:rPr>
                          <w:t>2</w:t>
                        </w:r>
                      </w:p>
                    </w:txbxContent>
                  </v:textbox>
                </v:oval>
                <v:shape id="Text Box 1888" o:spid="_x0000_s1782" type="#_x0000_t202" style="position:absolute;left:14406;width:60643;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2A1D0DC5" w14:textId="77777777" w:rsidR="004E3164" w:rsidRDefault="004E3164" w:rsidP="00F21CF1">
                        <w:pPr>
                          <w:ind w:firstLine="0"/>
                          <w:jc w:val="center"/>
                        </w:pPr>
                        <w:r w:rsidRPr="00C93113">
                          <w:rPr>
                            <w:b/>
                            <w:color w:val="000000"/>
                            <w:szCs w:val="24"/>
                            <w:u w:val="single"/>
                          </w:rPr>
                          <w:t>Изготвяне, съгласуване и представяне на Доклада за изпълнение по ОПТТИ</w:t>
                        </w:r>
                      </w:p>
                    </w:txbxContent>
                  </v:textbox>
                </v:shape>
                <v:line id="Straight Connector 73" o:spid="_x0000_s1783" style="position:absolute;flip:y;visibility:visible;mso-wrap-style:square" from="51672,28294" to="56879,3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" strokeweight="3pt">
                  <v:stroke dashstyle="1 1" startarrow="block" endarrow="block" linestyle="thinThin"/>
                </v:line>
                <v:line id="Straight Connector 76" o:spid="_x0000_s1784" style="position:absolute;visibility:visible;mso-wrap-style:square" from="32780,28294" to="32896,3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line id="Straight Connector 77" o:spid="_x0000_s1785" style="position:absolute;visibility:visible;mso-wrap-style:square" from="23118,28294" to="23234,3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line id="Straight Connector 78" o:spid="_x0000_s1786" style="position:absolute;visibility:visible;mso-wrap-style:square" from="44512,28294" to="44626,3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line id="Straight Connector 79" o:spid="_x0000_s1787" style="position:absolute;visibility:visible;mso-wrap-style:square" from="44512,28294" to="44626,3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shape id="Text Box 115" o:spid="_x0000_s1788" type="#_x0000_t202" style="position:absolute;left:67372;top:31141;width:21596;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" fillcolor="yellow">
                  <v:textbox>
                    <w:txbxContent>
                      <w:p w14:paraId="75713416" w14:textId="77777777" w:rsidR="004E3164" w:rsidRPr="000D6C88" w:rsidRDefault="004E3164" w:rsidP="00F21CF1">
                        <w:pPr>
                          <w:ind w:firstLine="0"/>
                          <w:jc w:val="center"/>
                          <w:rPr>
                            <w:b/>
                          </w:rPr>
                        </w:pPr>
                        <w:r w:rsidRPr="000D6C88">
                          <w:rPr>
                            <w:b/>
                            <w:bCs/>
                            <w:sz w:val="16"/>
                            <w:szCs w:val="16"/>
                          </w:rPr>
                          <w:t>Държавно предприятие „Пристанищна инфраструктура”</w:t>
                        </w:r>
                      </w:p>
                    </w:txbxContent>
                  </v:textbox>
                </v:shape>
                <v:oval id="Oval 186" o:spid="_x0000_s1789" style="position:absolute;left:53570;top:31227;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">
                  <v:textbox>
                    <w:txbxContent>
                      <w:p w14:paraId="6EE17341" w14:textId="77777777" w:rsidR="004E3164" w:rsidRDefault="004E3164" w:rsidP="00F21CF1">
                        <w:pPr>
                          <w:ind w:firstLine="0"/>
                          <w:jc w:val="center"/>
                          <w:rPr>
                            <w:rFonts w:ascii="Verdana" w:hAnsi="Verdana"/>
                            <w:b/>
                          </w:rPr>
                        </w:pPr>
                        <w:r>
                          <w:rPr>
                            <w:b/>
                          </w:rPr>
                          <w:t>3</w:t>
                        </w:r>
                      </w:p>
                    </w:txbxContent>
                  </v:textbox>
                </v:oval>
                <v:shape id="Text Box 64" o:spid="_x0000_s1790" type="#_x0000_t202" style="position:absolute;left:16735;top:33125;width:36703;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" fillcolor="#cff" strokeweight="2.5pt">
                  <v:textbox>
                    <w:txbxContent>
                      <w:p w14:paraId="1CB5624C" w14:textId="77777777" w:rsidR="004E3164" w:rsidRPr="00C93113" w:rsidRDefault="004E3164" w:rsidP="00F21CF1">
                        <w:pPr>
                          <w:ind w:firstLine="0"/>
                          <w:jc w:val="center"/>
                          <w:rPr>
                            <w:rFonts w:ascii="Verdana" w:hAnsi="Verdana"/>
                            <w:b/>
                            <w:bCs/>
                            <w:sz w:val="18"/>
                            <w:szCs w:val="18"/>
                          </w:rPr>
                        </w:pPr>
                        <w:r w:rsidRPr="00C93113">
                          <w:rPr>
                            <w:rFonts w:ascii="Verdana" w:hAnsi="Verdana"/>
                            <w:b/>
                            <w:sz w:val="18"/>
                            <w:szCs w:val="18"/>
                          </w:rPr>
                          <w:t>Отдел „</w:t>
                        </w:r>
                        <w:r>
                          <w:rPr>
                            <w:rFonts w:ascii="Verdana" w:hAnsi="Verdana"/>
                            <w:b/>
                            <w:sz w:val="18"/>
                            <w:szCs w:val="18"/>
                          </w:rPr>
                          <w:t>Наблюдение и оценка</w:t>
                        </w:r>
                        <w:r w:rsidRPr="00C93113">
                          <w:rPr>
                            <w:rFonts w:ascii="Verdana" w:hAnsi="Verdana"/>
                            <w:b/>
                            <w:sz w:val="18"/>
                            <w:szCs w:val="18"/>
                          </w:rPr>
                          <w:t xml:space="preserve">” </w:t>
                        </w:r>
                      </w:p>
                    </w:txbxContent>
                  </v:textbox>
                </v:shape>
                <v:shape id="Text Box 114" o:spid="_x0000_s1791" type="#_x0000_t202" style="position:absolute;left:67458;top:35885;width:21596;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" fillcolor="yellow">
                  <v:textbox>
                    <w:txbxContent>
                      <w:p w14:paraId="1BFADCC2" w14:textId="77777777" w:rsidR="004E3164" w:rsidRPr="007840B0" w:rsidRDefault="004E3164" w:rsidP="00F21CF1">
                        <w:pPr>
                          <w:ind w:firstLine="0"/>
                          <w:jc w:val="center"/>
                          <w:rPr>
                            <w:b/>
                            <w:bCs/>
                            <w:sz w:val="16"/>
                            <w:szCs w:val="16"/>
                          </w:rPr>
                        </w:pPr>
                        <w:r w:rsidRPr="007840B0">
                          <w:rPr>
                            <w:rStyle w:val="Hyperlink"/>
                            <w:color w:val="051E2F"/>
                            <w:sz w:val="16"/>
                            <w:szCs w:val="16"/>
                          </w:rPr>
                          <w:t>Изпълнителна агенция “Проучване и поддържане на река Дунав</w:t>
                        </w:r>
                      </w:p>
                      <w:p w14:paraId="01F3AC69" w14:textId="77777777" w:rsidR="004E3164" w:rsidRPr="000D6C88" w:rsidRDefault="004E3164" w:rsidP="00F21CF1">
                        <w:pPr>
                          <w:ind w:firstLine="0"/>
                          <w:jc w:val="center"/>
                          <w:rPr>
                            <w:b/>
                          </w:rPr>
                        </w:pPr>
                      </w:p>
                    </w:txbxContent>
                  </v:textbox>
                </v:shape>
                <v:oval id="Oval 187" o:spid="_x0000_s1792" style="position:absolute;left:8281;top:36230;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">
                  <v:textbox>
                    <w:txbxContent>
                      <w:p w14:paraId="713DCD8B" w14:textId="77777777" w:rsidR="004E3164" w:rsidRDefault="004E3164" w:rsidP="00F21CF1">
                        <w:pPr>
                          <w:ind w:firstLine="0"/>
                          <w:jc w:val="center"/>
                          <w:rPr>
                            <w:rFonts w:ascii="Verdana" w:hAnsi="Verdana"/>
                            <w:b/>
                          </w:rPr>
                        </w:pPr>
                        <w:r>
                          <w:rPr>
                            <w:b/>
                          </w:rPr>
                          <w:t>4</w:t>
                        </w:r>
                      </w:p>
                    </w:txbxContent>
                  </v:textbox>
                </v:oval>
                <v:oval id="Oval 185" o:spid="_x0000_s1793" style="position:absolute;left:38042;top:38128;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">
                  <v:textbox>
                    <w:txbxContent>
                      <w:p w14:paraId="7655F9F7" w14:textId="77777777" w:rsidR="004E3164" w:rsidRDefault="004E3164" w:rsidP="00F21CF1">
                        <w:pPr>
                          <w:ind w:firstLine="0"/>
                          <w:jc w:val="center"/>
                          <w:rPr>
                            <w:rFonts w:ascii="Verdana" w:hAnsi="Verdana"/>
                            <w:b/>
                          </w:rPr>
                        </w:pPr>
                        <w:r>
                          <w:rPr>
                            <w:b/>
                          </w:rPr>
                          <w:t>2</w:t>
                        </w:r>
                      </w:p>
                    </w:txbxContent>
                  </v:textbox>
                </v:oval>
                <v:shape id="Text Box 2015" o:spid="_x0000_s1794" type="#_x0000_t202" style="position:absolute;left:14492;top:41493;width:22860;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" fillcolor="#9cf">
                  <v:textbox>
                    <w:txbxContent>
                      <w:p w14:paraId="0FC795BC" w14:textId="77777777" w:rsidR="004E3164" w:rsidRPr="00C93113" w:rsidRDefault="004E3164" w:rsidP="00F21CF1">
                        <w:pPr>
                          <w:ind w:firstLine="0"/>
                          <w:jc w:val="center"/>
                          <w:rPr>
                            <w:rFonts w:ascii="Verdana" w:hAnsi="Verdana"/>
                            <w:b/>
                            <w:sz w:val="18"/>
                            <w:szCs w:val="18"/>
                          </w:rPr>
                        </w:pPr>
                        <w:r w:rsidRPr="00C93113">
                          <w:rPr>
                            <w:rFonts w:ascii="Verdana" w:hAnsi="Verdana"/>
                            <w:b/>
                            <w:sz w:val="18"/>
                            <w:szCs w:val="18"/>
                          </w:rPr>
                          <w:t xml:space="preserve">Други дирекции в МТИТС </w:t>
                        </w:r>
                      </w:p>
                    </w:txbxContent>
                  </v:textbox>
                </v:shape>
                <w10:anchorlock/>
              </v:group>
            </w:pict>
          </mc:Fallback>
        </mc:AlternateContent>
      </w:r>
    </w:p>
    <w:p w14:paraId="280F951E" w14:textId="77777777" w:rsidR="00F21CF1" w:rsidRPr="001B0EA3" w:rsidRDefault="00F21CF1" w:rsidP="00F21CF1">
      <w:pPr>
        <w:jc w:val="left"/>
        <w:rPr>
          <w:color w:val="000000"/>
        </w:rPr>
      </w:pPr>
    </w:p>
    <w:p w14:paraId="78D86547" w14:textId="77777777" w:rsidR="00F21CF1" w:rsidRPr="001B0EA3" w:rsidRDefault="00F21CF1" w:rsidP="00F21CF1">
      <w:pPr>
        <w:rPr>
          <w:color w:val="000000"/>
        </w:rPr>
      </w:pPr>
      <w:r w:rsidRPr="001B0EA3">
        <w:rPr>
          <w:color w:val="000000"/>
        </w:rPr>
        <w:t>1. Бенефициентите предоставят информация на УО; 2. Отделите в дирекция КПП предоставят информация на отдел „</w:t>
      </w:r>
      <w:r w:rsidRPr="00D46E5F">
        <w:rPr>
          <w:color w:val="000000"/>
        </w:rPr>
        <w:t>„Наблюдение и оценка”,</w:t>
      </w:r>
      <w:r w:rsidRPr="001B0EA3">
        <w:rPr>
          <w:color w:val="000000"/>
        </w:rPr>
        <w:t xml:space="preserve"> при необходимост информация се предоставя на отдел </w:t>
      </w:r>
      <w:r>
        <w:rPr>
          <w:color w:val="000000"/>
        </w:rPr>
        <w:t>„Наблюдение и оценка”</w:t>
      </w:r>
      <w:r w:rsidRPr="001B0EA3">
        <w:rPr>
          <w:color w:val="000000"/>
        </w:rPr>
        <w:t xml:space="preserve"> и от други дирекции в </w:t>
      </w:r>
      <w:r>
        <w:rPr>
          <w:color w:val="000000"/>
        </w:rPr>
        <w:t>МТС</w:t>
      </w:r>
      <w:r w:rsidRPr="001B0EA3">
        <w:rPr>
          <w:color w:val="000000"/>
        </w:rPr>
        <w:t xml:space="preserve">; 3.Изготвеният доклад се изпраща за съгласуване на отделите в дирекция КПП; 4. След отразяване на релевантните забележки, докладът се изпраща за приемане от КН на ОПТТИ </w:t>
      </w:r>
      <w:r>
        <w:rPr>
          <w:color w:val="000000"/>
        </w:rPr>
        <w:t>5</w:t>
      </w:r>
      <w:r w:rsidRPr="001B0EA3">
        <w:rPr>
          <w:color w:val="000000"/>
        </w:rPr>
        <w:t>. След отразяване на релевантните забележки, докладът се предава на ЕК чрез системата SFC 2014; ЕК изпраща коментари/забележки по доклада.</w:t>
      </w:r>
    </w:p>
    <w:p w14:paraId="20B25CA4" w14:textId="77777777" w:rsidR="0017279E" w:rsidRPr="001B0EA3" w:rsidRDefault="0017279E" w:rsidP="002E4F6D">
      <w:pPr>
        <w:rPr>
          <w:b/>
          <w:color w:val="000000"/>
          <w:szCs w:val="24"/>
          <w:lang w:eastAsia="bg-BG"/>
        </w:rPr>
        <w:sectPr w:rsidR="0017279E" w:rsidRPr="001B0EA3" w:rsidSect="002E4F6D">
          <w:pgSz w:w="16838" w:h="11906" w:orient="landscape"/>
          <w:pgMar w:top="1134" w:right="1134" w:bottom="1134" w:left="1134" w:header="709" w:footer="709" w:gutter="0"/>
          <w:cols w:space="708"/>
          <w:docGrid w:linePitch="360"/>
        </w:sectPr>
      </w:pPr>
    </w:p>
    <w:p w14:paraId="7598BF30" w14:textId="77777777" w:rsidR="00D603F5" w:rsidRPr="00842ECC" w:rsidRDefault="00D603F5" w:rsidP="00B502C7">
      <w:pPr>
        <w:pStyle w:val="Style2"/>
        <w:rPr>
          <w:snapToGrid w:val="0"/>
          <w:lang w:val="bg-BG"/>
        </w:rPr>
      </w:pPr>
      <w:bookmarkStart w:id="1356" w:name="_Toc479775833"/>
      <w:bookmarkStart w:id="1357" w:name="_Toc140150315"/>
      <w:r w:rsidRPr="00842ECC">
        <w:rPr>
          <w:snapToGrid w:val="0"/>
          <w:lang w:val="bg-BG"/>
        </w:rPr>
        <w:lastRenderedPageBreak/>
        <w:t>Процедура по одобрение на доклад</w:t>
      </w:r>
      <w:r w:rsidR="00347D1B" w:rsidRPr="00842ECC">
        <w:rPr>
          <w:snapToGrid w:val="0"/>
          <w:lang w:val="bg-BG"/>
        </w:rPr>
        <w:t>а</w:t>
      </w:r>
      <w:r w:rsidRPr="00842ECC">
        <w:rPr>
          <w:snapToGrid w:val="0"/>
          <w:lang w:val="bg-BG"/>
        </w:rPr>
        <w:t xml:space="preserve"> за изпълнение на ОПТТИ</w:t>
      </w:r>
      <w:bookmarkEnd w:id="1356"/>
      <w:bookmarkEnd w:id="1357"/>
    </w:p>
    <w:p w14:paraId="7FEB9CCE" w14:textId="77777777" w:rsidR="00347D1B" w:rsidRPr="001B0EA3" w:rsidRDefault="00347D1B" w:rsidP="00660856">
      <w:pPr>
        <w:rPr>
          <w:color w:val="000000"/>
          <w:szCs w:val="24"/>
          <w:lang w:eastAsia="bg-BG"/>
        </w:rPr>
      </w:pPr>
      <w:r w:rsidRPr="001B0EA3">
        <w:rPr>
          <w:color w:val="000000"/>
          <w:szCs w:val="24"/>
          <w:lang w:eastAsia="bg-BG"/>
        </w:rPr>
        <w:t>Докладите за изпълнение се одобряват от КН на ОПТТИ и изпращат в ЕК до 31 май 2016 г. и до същата дата на всяка следваща година до и включително през 2023 г. Доклада за изпълнение, представен през 2016 г., обхваща финансовите години 2014 г. и 2015 г.</w:t>
      </w:r>
    </w:p>
    <w:p w14:paraId="0CEB7B28" w14:textId="77777777" w:rsidR="00347D1B" w:rsidRPr="001B0EA3" w:rsidRDefault="00347D1B" w:rsidP="00660856">
      <w:pPr>
        <w:rPr>
          <w:color w:val="000000"/>
          <w:szCs w:val="24"/>
          <w:lang w:eastAsia="bg-BG"/>
        </w:rPr>
      </w:pPr>
      <w:r w:rsidRPr="001B0EA3">
        <w:rPr>
          <w:color w:val="000000"/>
          <w:szCs w:val="24"/>
          <w:lang w:eastAsia="bg-BG"/>
        </w:rPr>
        <w:t>Докладите за изпълнение, предадени през 2017 г. и 2019 г., се изпращат в ЕК до 30 юни.</w:t>
      </w:r>
    </w:p>
    <w:p w14:paraId="40E06BCC" w14:textId="77777777" w:rsidR="00347D1B" w:rsidRPr="001B0EA3" w:rsidRDefault="00347D1B" w:rsidP="00660856">
      <w:pPr>
        <w:rPr>
          <w:color w:val="000000"/>
          <w:szCs w:val="24"/>
          <w:lang w:eastAsia="bg-BG"/>
        </w:rPr>
      </w:pPr>
      <w:r w:rsidRPr="001B0EA3">
        <w:rPr>
          <w:color w:val="000000"/>
          <w:szCs w:val="24"/>
          <w:lang w:eastAsia="bg-BG"/>
        </w:rPr>
        <w:t>Ако докладът за изпълнението е недопустим, Комисията информира държавата-членка за това в срок от 15 работни дни от датата на получаването му, като в противен случай той се счита за допустим.</w:t>
      </w:r>
    </w:p>
    <w:p w14:paraId="7C9448C6" w14:textId="77777777" w:rsidR="00347D1B" w:rsidRPr="001B0EA3" w:rsidRDefault="00347D1B" w:rsidP="00660856">
      <w:pPr>
        <w:rPr>
          <w:color w:val="000000"/>
          <w:szCs w:val="24"/>
          <w:lang w:eastAsia="bg-BG"/>
        </w:rPr>
      </w:pPr>
      <w:r w:rsidRPr="001B0EA3">
        <w:rPr>
          <w:color w:val="000000"/>
          <w:szCs w:val="24"/>
          <w:lang w:eastAsia="bg-BG"/>
        </w:rPr>
        <w:t>Европейската Комисия разглежда доклада за изпълнение и окончателния доклад за изпълнението и информира държавата-членка за своите коментари в срок от два месеца от датата на получаването на доклада за изпълнението и в срок от пет месеца от датата на получаването на окончателния доклад за изпълнението. Ако Комисията не представи коментари в рамките на тези срокове, докладът се счита за приет.</w:t>
      </w:r>
    </w:p>
    <w:p w14:paraId="5FB8C1B3" w14:textId="77777777" w:rsidR="00347D1B" w:rsidRPr="001B0EA3" w:rsidRDefault="00347D1B" w:rsidP="00660856">
      <w:pPr>
        <w:rPr>
          <w:color w:val="000000"/>
          <w:szCs w:val="24"/>
          <w:lang w:eastAsia="bg-BG"/>
        </w:rPr>
      </w:pPr>
      <w:r w:rsidRPr="001B0EA3">
        <w:rPr>
          <w:color w:val="000000"/>
          <w:szCs w:val="24"/>
          <w:lang w:eastAsia="bg-BG"/>
        </w:rPr>
        <w:t xml:space="preserve">Европейската комисия може да отправя коментари към управляващия орган относно проблемите, които засягат съществено изпълнението на програмата. В случаите, в които са отправени такива коментари, управляващият орган представя цялата необходима информация във връзка с коментарите и, когато е целесъобразно, информира Комисията в срок от три месеца за предприетите мерки. </w:t>
      </w:r>
    </w:p>
    <w:p w14:paraId="4DEBCDE9" w14:textId="77777777" w:rsidR="00347D1B" w:rsidRPr="001B0EA3" w:rsidRDefault="00347D1B" w:rsidP="00660856">
      <w:pPr>
        <w:rPr>
          <w:color w:val="000000"/>
          <w:szCs w:val="24"/>
          <w:lang w:eastAsia="bg-BG"/>
        </w:rPr>
      </w:pPr>
      <w:r w:rsidRPr="001B0EA3">
        <w:rPr>
          <w:color w:val="000000"/>
          <w:szCs w:val="24"/>
          <w:lang w:eastAsia="bg-BG"/>
        </w:rPr>
        <w:t>Докладите за изпълнение и окончателния доклад за изпълнението, както и резюме за гражданите, се оповестяват публично чрез интернет страницата на ОПТТИ.</w:t>
      </w:r>
    </w:p>
    <w:p w14:paraId="6A475456" w14:textId="77777777" w:rsidR="00347D1B" w:rsidRPr="001B0EA3" w:rsidRDefault="00347D1B" w:rsidP="00660856">
      <w:pPr>
        <w:rPr>
          <w:color w:val="000000"/>
          <w:szCs w:val="24"/>
          <w:lang w:eastAsia="bg-BG"/>
        </w:rPr>
      </w:pPr>
      <w:r w:rsidRPr="001B0EA3">
        <w:rPr>
          <w:color w:val="000000"/>
          <w:szCs w:val="24"/>
          <w:lang w:eastAsia="bg-BG"/>
        </w:rPr>
        <w:t>Доклади за напредъка (съгласно чл. 52 на Регламент № 1303/2013)</w:t>
      </w:r>
    </w:p>
    <w:p w14:paraId="4D7B4846" w14:textId="40A0569C" w:rsidR="0036686A" w:rsidRPr="001B0EA3" w:rsidRDefault="0036686A" w:rsidP="0036686A">
      <w:pPr>
        <w:rPr>
          <w:color w:val="000000"/>
          <w:szCs w:val="24"/>
          <w:lang w:eastAsia="bg-BG"/>
        </w:rPr>
      </w:pPr>
      <w:r w:rsidRPr="001B0EA3">
        <w:rPr>
          <w:color w:val="000000"/>
          <w:szCs w:val="24"/>
          <w:lang w:eastAsia="bg-BG"/>
        </w:rPr>
        <w:t>При поискване УО на ОПТТИ оказва съдействие на Централното координационно звено към Администрацията на Министерския съвет за изготвяне на доклада за напредъка (стратегическия напредък). Отдел „</w:t>
      </w:r>
      <w:r>
        <w:rPr>
          <w:color w:val="000000"/>
          <w:szCs w:val="24"/>
          <w:lang w:eastAsia="bg-BG"/>
        </w:rPr>
        <w:t>Наблюдение и оценка”,</w:t>
      </w:r>
      <w:r w:rsidRPr="001B0EA3">
        <w:rPr>
          <w:color w:val="000000"/>
          <w:szCs w:val="24"/>
          <w:lang w:eastAsia="bg-BG"/>
        </w:rPr>
        <w:t xml:space="preserve"> координира обобщаването на необходимата информация, на база предоставените данни от отделите в дирекция КПП  и бенефициентите на програмата.</w:t>
      </w:r>
    </w:p>
    <w:p w14:paraId="0D9087E4" w14:textId="77777777" w:rsidR="00347D1B" w:rsidRPr="001B0EA3" w:rsidRDefault="00347D1B" w:rsidP="00660856">
      <w:pPr>
        <w:rPr>
          <w:color w:val="000000"/>
          <w:szCs w:val="24"/>
          <w:lang w:eastAsia="bg-BG"/>
        </w:rPr>
      </w:pPr>
      <w:r w:rsidRPr="001B0EA3">
        <w:rPr>
          <w:color w:val="000000"/>
          <w:szCs w:val="24"/>
          <w:lang w:eastAsia="bg-BG"/>
        </w:rPr>
        <w:t>До 31 август 2017 г. и до 31 август 2019 г. държавите- членки представят на Комисията доклад за напредъка по изпълнението на споразумението за партньорство съответно към 31 декември 2016 г. и 31 декември 2018 г.</w:t>
      </w:r>
    </w:p>
    <w:p w14:paraId="7CB9DCDD" w14:textId="77777777" w:rsidR="00AE33E8" w:rsidRPr="001B0EA3" w:rsidRDefault="00AE33E8" w:rsidP="00660856">
      <w:pPr>
        <w:rPr>
          <w:color w:val="000000"/>
          <w:szCs w:val="24"/>
          <w:lang w:eastAsia="bg-BG"/>
        </w:rPr>
      </w:pPr>
    </w:p>
    <w:p w14:paraId="015AFC7B" w14:textId="77777777" w:rsidR="00347D1B" w:rsidRPr="001B0EA3" w:rsidRDefault="00347D1B" w:rsidP="00660856">
      <w:pPr>
        <w:rPr>
          <w:color w:val="000000"/>
          <w:szCs w:val="24"/>
          <w:lang w:eastAsia="bg-BG"/>
        </w:rPr>
      </w:pPr>
      <w:r w:rsidRPr="001B0EA3">
        <w:rPr>
          <w:color w:val="000000"/>
          <w:szCs w:val="24"/>
          <w:lang w:eastAsia="bg-BG"/>
        </w:rPr>
        <w:t>Докладът за напредъка представя информация и дава оценка за:</w:t>
      </w:r>
    </w:p>
    <w:p w14:paraId="1A94A745" w14:textId="77777777" w:rsidR="00347D1B" w:rsidRPr="001B0EA3" w:rsidRDefault="00347D1B" w:rsidP="00660856">
      <w:pPr>
        <w:tabs>
          <w:tab w:val="left" w:pos="1134"/>
        </w:tabs>
        <w:rPr>
          <w:color w:val="000000"/>
          <w:szCs w:val="24"/>
          <w:lang w:eastAsia="bg-BG"/>
        </w:rPr>
      </w:pPr>
      <w:r w:rsidRPr="001B0EA3">
        <w:rPr>
          <w:color w:val="000000"/>
          <w:szCs w:val="24"/>
          <w:lang w:eastAsia="bg-BG"/>
        </w:rPr>
        <w:t>-</w:t>
      </w:r>
      <w:r w:rsidRPr="001B0EA3">
        <w:rPr>
          <w:color w:val="000000"/>
          <w:szCs w:val="24"/>
          <w:lang w:eastAsia="bg-BG"/>
        </w:rPr>
        <w:tab/>
        <w:t>промените в нуждите на развитието в държавата-членка след приемането на споразумението за партньорство;</w:t>
      </w:r>
    </w:p>
    <w:p w14:paraId="53E1B877" w14:textId="77777777" w:rsidR="00347D1B" w:rsidRPr="001B0EA3" w:rsidRDefault="00347D1B" w:rsidP="00660856">
      <w:pPr>
        <w:tabs>
          <w:tab w:val="left" w:pos="1134"/>
        </w:tabs>
        <w:rPr>
          <w:color w:val="000000"/>
          <w:szCs w:val="24"/>
          <w:lang w:eastAsia="bg-BG"/>
        </w:rPr>
      </w:pPr>
      <w:r w:rsidRPr="001B0EA3">
        <w:rPr>
          <w:color w:val="000000"/>
          <w:szCs w:val="24"/>
          <w:lang w:eastAsia="bg-BG"/>
        </w:rPr>
        <w:t>-</w:t>
      </w:r>
      <w:r w:rsidRPr="001B0EA3">
        <w:rPr>
          <w:color w:val="000000"/>
          <w:szCs w:val="24"/>
          <w:lang w:eastAsia="bg-BG"/>
        </w:rPr>
        <w:tab/>
        <w:t>напредъка в постигането на целите на стратегията на Съюза за интелигентен, устойчив и приобщаващ растеж, както и на конкретни за фонда задачи, посочени в член 4, параграф 1, чрез приноса на европейските структурни и инвестиционни фондове за избраните тематични цели, и по-специално по отношение на етапните цели, определени в рамката на изпълнението за всяка програма и на използваната за постигане на цели във връзка с борбата срещу изменението на климата подкрепа;</w:t>
      </w:r>
    </w:p>
    <w:p w14:paraId="156E8DA1" w14:textId="77777777" w:rsidR="00347D1B" w:rsidRPr="001B0EA3" w:rsidRDefault="00347D1B" w:rsidP="00660856">
      <w:pPr>
        <w:tabs>
          <w:tab w:val="left" w:pos="1134"/>
        </w:tabs>
        <w:rPr>
          <w:color w:val="000000"/>
          <w:szCs w:val="24"/>
          <w:lang w:eastAsia="bg-BG"/>
        </w:rPr>
      </w:pPr>
      <w:r w:rsidRPr="001B0EA3">
        <w:rPr>
          <w:color w:val="000000"/>
          <w:szCs w:val="24"/>
          <w:lang w:eastAsia="bg-BG"/>
        </w:rPr>
        <w:t>-</w:t>
      </w:r>
      <w:r w:rsidRPr="001B0EA3">
        <w:rPr>
          <w:color w:val="000000"/>
          <w:szCs w:val="24"/>
          <w:lang w:eastAsia="bg-BG"/>
        </w:rPr>
        <w:tab/>
        <w:t>дали действията, предприети в изпълнение на приложимите предварителни условия, посочени в споразумението за партньорство, които не са били изпълнени към датата на приемане на споразумението за партньорство, са изпълнени в съответствие с установения график. Настоящата буква се прилага само за доклада за напредъка, който трябва да се подаде за 2017 г.;</w:t>
      </w:r>
    </w:p>
    <w:p w14:paraId="4D3C13EF" w14:textId="77777777" w:rsidR="00347D1B" w:rsidRPr="001B0EA3" w:rsidRDefault="00347D1B" w:rsidP="00660856">
      <w:pPr>
        <w:tabs>
          <w:tab w:val="left" w:pos="1134"/>
        </w:tabs>
        <w:rPr>
          <w:color w:val="000000"/>
          <w:szCs w:val="24"/>
          <w:lang w:eastAsia="bg-BG"/>
        </w:rPr>
      </w:pPr>
      <w:r w:rsidRPr="001B0EA3">
        <w:rPr>
          <w:color w:val="000000"/>
          <w:szCs w:val="24"/>
          <w:lang w:eastAsia="bg-BG"/>
        </w:rPr>
        <w:t>-</w:t>
      </w:r>
      <w:r w:rsidRPr="001B0EA3">
        <w:rPr>
          <w:color w:val="000000"/>
          <w:szCs w:val="24"/>
          <w:lang w:eastAsia="bg-BG"/>
        </w:rPr>
        <w:tab/>
        <w:t>изпълнение на механизмите за осигуряване на съгласуваност между европейските структурни и инвестиционни фондове и други инструменти за финансиране на равнището на Съюза и на национално равнище, както и съгласуваност с ЕИБ;</w:t>
      </w:r>
    </w:p>
    <w:p w14:paraId="14D58561" w14:textId="77777777" w:rsidR="00347D1B" w:rsidRPr="001B0EA3" w:rsidRDefault="00347D1B" w:rsidP="00660856">
      <w:pPr>
        <w:tabs>
          <w:tab w:val="left" w:pos="1134"/>
        </w:tabs>
        <w:rPr>
          <w:color w:val="000000"/>
          <w:szCs w:val="24"/>
          <w:lang w:eastAsia="bg-BG"/>
        </w:rPr>
      </w:pPr>
      <w:r w:rsidRPr="001B0EA3">
        <w:rPr>
          <w:color w:val="000000"/>
          <w:szCs w:val="24"/>
          <w:lang w:eastAsia="bg-BG"/>
        </w:rPr>
        <w:t>-</w:t>
      </w:r>
      <w:r w:rsidRPr="001B0EA3">
        <w:rPr>
          <w:color w:val="000000"/>
          <w:szCs w:val="24"/>
          <w:lang w:eastAsia="bg-BG"/>
        </w:rPr>
        <w:tab/>
        <w:t>изпълнение на интегриран подход към териториалното развитие или обобщение на изпълнението на интегрираните подходи, които се основават на програмите, включително напредъка в постигането на определените приоритетни области за сътрудничество;</w:t>
      </w:r>
    </w:p>
    <w:p w14:paraId="5E6A8DA3" w14:textId="77777777" w:rsidR="00347D1B" w:rsidRPr="001B0EA3" w:rsidRDefault="00347D1B" w:rsidP="00660856">
      <w:pPr>
        <w:tabs>
          <w:tab w:val="left" w:pos="1134"/>
        </w:tabs>
        <w:rPr>
          <w:color w:val="000000"/>
          <w:szCs w:val="24"/>
          <w:lang w:eastAsia="bg-BG"/>
        </w:rPr>
      </w:pPr>
      <w:r w:rsidRPr="001B0EA3">
        <w:rPr>
          <w:color w:val="000000"/>
          <w:szCs w:val="24"/>
          <w:lang w:eastAsia="bg-BG"/>
        </w:rPr>
        <w:lastRenderedPageBreak/>
        <w:t>-</w:t>
      </w:r>
      <w:r w:rsidRPr="001B0EA3">
        <w:rPr>
          <w:color w:val="000000"/>
          <w:szCs w:val="24"/>
          <w:lang w:eastAsia="bg-BG"/>
        </w:rPr>
        <w:tab/>
        <w:t>когато е уместно, действията, предприети за укрепване на административния капацитет на органите на държавата- членка и на бенефициерите, за управление и използване на европейските структурни и инвестиционни фондове;</w:t>
      </w:r>
    </w:p>
    <w:p w14:paraId="38C89748" w14:textId="77777777" w:rsidR="00347D1B" w:rsidRPr="001B0EA3" w:rsidRDefault="00347D1B" w:rsidP="00660856">
      <w:pPr>
        <w:tabs>
          <w:tab w:val="left" w:pos="1134"/>
        </w:tabs>
        <w:rPr>
          <w:color w:val="000000"/>
          <w:szCs w:val="24"/>
          <w:lang w:eastAsia="bg-BG"/>
        </w:rPr>
      </w:pPr>
      <w:r w:rsidRPr="001B0EA3">
        <w:rPr>
          <w:color w:val="000000"/>
          <w:szCs w:val="24"/>
          <w:lang w:eastAsia="bg-BG"/>
        </w:rPr>
        <w:t>-</w:t>
      </w:r>
      <w:r w:rsidRPr="001B0EA3">
        <w:rPr>
          <w:color w:val="000000"/>
          <w:szCs w:val="24"/>
          <w:lang w:eastAsia="bg-BG"/>
        </w:rPr>
        <w:tab/>
        <w:t>предприетите действия и постигнатия напредък за намаляване на административната тежест за бенефициерите;</w:t>
      </w:r>
    </w:p>
    <w:p w14:paraId="026082AC" w14:textId="77777777" w:rsidR="00347D1B" w:rsidRPr="001B0EA3" w:rsidRDefault="00347D1B" w:rsidP="00660856">
      <w:pPr>
        <w:tabs>
          <w:tab w:val="left" w:pos="1134"/>
        </w:tabs>
        <w:rPr>
          <w:color w:val="000000"/>
          <w:szCs w:val="24"/>
          <w:lang w:eastAsia="bg-BG"/>
        </w:rPr>
      </w:pPr>
      <w:r w:rsidRPr="001B0EA3">
        <w:rPr>
          <w:color w:val="000000"/>
          <w:szCs w:val="24"/>
          <w:lang w:eastAsia="bg-BG"/>
        </w:rPr>
        <w:t>-</w:t>
      </w:r>
      <w:r w:rsidRPr="001B0EA3">
        <w:rPr>
          <w:color w:val="000000"/>
          <w:szCs w:val="24"/>
          <w:lang w:eastAsia="bg-BG"/>
        </w:rPr>
        <w:tab/>
        <w:t>ролята на партньорите, посочени в член 5 на Регламент 1303/2013, в изпълнението на споразумението за партньорство;</w:t>
      </w:r>
    </w:p>
    <w:p w14:paraId="4B81A7F9" w14:textId="77777777" w:rsidR="00D603F5" w:rsidRDefault="00347D1B" w:rsidP="00660856">
      <w:pPr>
        <w:tabs>
          <w:tab w:val="left" w:pos="1134"/>
        </w:tabs>
        <w:rPr>
          <w:color w:val="000000"/>
          <w:szCs w:val="24"/>
          <w:lang w:eastAsia="bg-BG"/>
        </w:rPr>
      </w:pPr>
      <w:r w:rsidRPr="001B0EA3">
        <w:rPr>
          <w:color w:val="000000"/>
          <w:szCs w:val="24"/>
          <w:lang w:eastAsia="bg-BG"/>
        </w:rPr>
        <w:t>-</w:t>
      </w:r>
      <w:r w:rsidRPr="001B0EA3">
        <w:rPr>
          <w:color w:val="000000"/>
          <w:szCs w:val="24"/>
          <w:lang w:eastAsia="bg-BG"/>
        </w:rPr>
        <w:tab/>
        <w:t>обобщение на предприетите действия по прилагането на хоризонталните принципи, посочени в членове 5, 7 и 8 на Регламент 1303/2013 и целите на политиката при усвояването на европейските структурни и инвестиционни фондове.</w:t>
      </w:r>
    </w:p>
    <w:p w14:paraId="4815CABC" w14:textId="77777777" w:rsidR="00707FB7" w:rsidRPr="001B0EA3" w:rsidRDefault="00707FB7" w:rsidP="00660856">
      <w:pPr>
        <w:tabs>
          <w:tab w:val="left" w:pos="1134"/>
        </w:tabs>
        <w:rPr>
          <w:szCs w:val="24"/>
          <w:lang w:eastAsia="bg-BG"/>
        </w:rPr>
      </w:pPr>
    </w:p>
    <w:p w14:paraId="070F5F86" w14:textId="77777777" w:rsidR="00D603F5" w:rsidRPr="001B0EA3" w:rsidRDefault="00D603F5" w:rsidP="00F058E0">
      <w:pPr>
        <w:pStyle w:val="Style1"/>
      </w:pPr>
      <w:bookmarkStart w:id="1358" w:name="_Toc479775834"/>
      <w:bookmarkStart w:id="1359" w:name="_Toc140150316"/>
      <w:r w:rsidRPr="001B0EA3">
        <w:t>ОЦЕНКИ НА ОПТТИ</w:t>
      </w:r>
      <w:bookmarkEnd w:id="1358"/>
      <w:bookmarkEnd w:id="1359"/>
    </w:p>
    <w:p w14:paraId="73D04742" w14:textId="77777777" w:rsidR="00D603F5" w:rsidRPr="001B0EA3" w:rsidRDefault="00D603F5" w:rsidP="00660856">
      <w:pPr>
        <w:rPr>
          <w:color w:val="000000"/>
          <w:szCs w:val="24"/>
          <w:lang w:eastAsia="bg-BG"/>
        </w:rPr>
      </w:pPr>
      <w:r w:rsidRPr="001B0EA3">
        <w:rPr>
          <w:color w:val="000000"/>
          <w:szCs w:val="24"/>
          <w:lang w:eastAsia="bg-BG"/>
        </w:rPr>
        <w:t>Оперативна програма „Транспорт и транспортна инфраструктура” е предмет на оценка. Съгласно Регламент 1303/2013 се извършват слените оценки:</w:t>
      </w:r>
    </w:p>
    <w:p w14:paraId="184A95EE" w14:textId="77777777" w:rsidR="00D603F5" w:rsidRPr="001B0EA3" w:rsidRDefault="00D603F5" w:rsidP="0054623A">
      <w:pPr>
        <w:numPr>
          <w:ilvl w:val="0"/>
          <w:numId w:val="95"/>
        </w:numPr>
        <w:rPr>
          <w:color w:val="000000"/>
          <w:szCs w:val="24"/>
          <w:lang w:eastAsia="bg-BG"/>
        </w:rPr>
      </w:pPr>
      <w:r w:rsidRPr="001B0EA3">
        <w:rPr>
          <w:color w:val="000000"/>
          <w:szCs w:val="24"/>
          <w:lang w:eastAsia="bg-BG"/>
        </w:rPr>
        <w:t xml:space="preserve">Предварителна оценка </w:t>
      </w:r>
    </w:p>
    <w:p w14:paraId="0066951F" w14:textId="77777777" w:rsidR="00D603F5" w:rsidRPr="001B0EA3" w:rsidRDefault="00D603F5" w:rsidP="0054623A">
      <w:pPr>
        <w:numPr>
          <w:ilvl w:val="0"/>
          <w:numId w:val="95"/>
        </w:numPr>
        <w:rPr>
          <w:color w:val="000000"/>
          <w:szCs w:val="24"/>
          <w:lang w:eastAsia="bg-BG"/>
        </w:rPr>
      </w:pPr>
      <w:r w:rsidRPr="001B0EA3">
        <w:rPr>
          <w:color w:val="000000"/>
          <w:szCs w:val="24"/>
          <w:lang w:eastAsia="bg-BG"/>
        </w:rPr>
        <w:t>Оценка по време на програмния период</w:t>
      </w:r>
    </w:p>
    <w:p w14:paraId="7A736893" w14:textId="77777777" w:rsidR="00D603F5" w:rsidRPr="001B0EA3" w:rsidRDefault="00D603F5" w:rsidP="0054623A">
      <w:pPr>
        <w:numPr>
          <w:ilvl w:val="0"/>
          <w:numId w:val="95"/>
        </w:numPr>
        <w:rPr>
          <w:color w:val="000000"/>
          <w:szCs w:val="24"/>
          <w:lang w:eastAsia="bg-BG"/>
        </w:rPr>
      </w:pPr>
      <w:r w:rsidRPr="001B0EA3">
        <w:rPr>
          <w:color w:val="000000"/>
          <w:szCs w:val="24"/>
          <w:lang w:eastAsia="bg-BG"/>
        </w:rPr>
        <w:t xml:space="preserve">Последваща оценка </w:t>
      </w:r>
    </w:p>
    <w:p w14:paraId="387FD6F3" w14:textId="77777777" w:rsidR="00D603F5" w:rsidRPr="001B0EA3" w:rsidRDefault="00D603F5" w:rsidP="00B502C7">
      <w:pPr>
        <w:pStyle w:val="Style2"/>
        <w:rPr>
          <w:snapToGrid w:val="0"/>
        </w:rPr>
      </w:pPr>
      <w:bookmarkStart w:id="1360" w:name="_Toc479775835"/>
      <w:bookmarkStart w:id="1361" w:name="_Toc140150317"/>
      <w:r w:rsidRPr="001B0EA3">
        <w:rPr>
          <w:snapToGrid w:val="0"/>
        </w:rPr>
        <w:t>Предварителната оценка</w:t>
      </w:r>
      <w:bookmarkEnd w:id="1360"/>
      <w:bookmarkEnd w:id="1361"/>
    </w:p>
    <w:p w14:paraId="1B6600C5" w14:textId="77777777" w:rsidR="00D603F5" w:rsidRPr="001B0EA3" w:rsidRDefault="00D603F5" w:rsidP="00660856">
      <w:pPr>
        <w:rPr>
          <w:color w:val="000000"/>
          <w:szCs w:val="24"/>
          <w:lang w:eastAsia="bg-BG"/>
        </w:rPr>
      </w:pPr>
      <w:r w:rsidRPr="001B0EA3">
        <w:rPr>
          <w:b/>
          <w:color w:val="000000"/>
          <w:szCs w:val="24"/>
          <w:lang w:eastAsia="bg-BG"/>
        </w:rPr>
        <w:t>Предварителната оценка</w:t>
      </w:r>
      <w:r w:rsidRPr="001B0EA3">
        <w:rPr>
          <w:color w:val="000000"/>
          <w:szCs w:val="24"/>
          <w:lang w:eastAsia="bg-BG"/>
        </w:rPr>
        <w:t xml:space="preserve"> бе извършена в процеса на подготовка на ОПТТИ и бе представена на ЕК едновременно с проекта на Оперативна програма.</w:t>
      </w:r>
    </w:p>
    <w:p w14:paraId="33384CE6" w14:textId="77777777" w:rsidR="00D603F5" w:rsidRPr="001B0EA3" w:rsidRDefault="00D603F5" w:rsidP="00660856">
      <w:pPr>
        <w:rPr>
          <w:color w:val="000000"/>
          <w:szCs w:val="24"/>
          <w:lang w:eastAsia="bg-BG"/>
        </w:rPr>
      </w:pPr>
    </w:p>
    <w:p w14:paraId="11EAEA66" w14:textId="77777777" w:rsidR="00D603F5" w:rsidRPr="001B0EA3" w:rsidRDefault="00D603F5" w:rsidP="00B502C7">
      <w:pPr>
        <w:pStyle w:val="Style2"/>
        <w:rPr>
          <w:snapToGrid w:val="0"/>
        </w:rPr>
      </w:pPr>
      <w:bookmarkStart w:id="1362" w:name="_Toc479775836"/>
      <w:bookmarkStart w:id="1363" w:name="_Toc140150318"/>
      <w:r w:rsidRPr="001B0EA3">
        <w:rPr>
          <w:snapToGrid w:val="0"/>
        </w:rPr>
        <w:t>Последващата оценка</w:t>
      </w:r>
      <w:bookmarkEnd w:id="1362"/>
      <w:bookmarkEnd w:id="1363"/>
    </w:p>
    <w:p w14:paraId="7C2F1288" w14:textId="77777777" w:rsidR="00D603F5" w:rsidRPr="001B0EA3" w:rsidRDefault="00D603F5" w:rsidP="006C6688">
      <w:pPr>
        <w:autoSpaceDE w:val="0"/>
        <w:autoSpaceDN w:val="0"/>
        <w:adjustRightInd w:val="0"/>
        <w:rPr>
          <w:szCs w:val="24"/>
          <w:lang w:eastAsia="bg-BG"/>
        </w:rPr>
      </w:pPr>
      <w:r w:rsidRPr="001B0EA3">
        <w:rPr>
          <w:b/>
          <w:szCs w:val="24"/>
          <w:lang w:eastAsia="bg-BG"/>
        </w:rPr>
        <w:t>Последващата оценка</w:t>
      </w:r>
      <w:r w:rsidRPr="001B0EA3">
        <w:rPr>
          <w:szCs w:val="24"/>
          <w:lang w:eastAsia="bg-BG"/>
        </w:rPr>
        <w:t xml:space="preserve"> се извършва на основание чл. 57 от регламент 1303/2013 от ЕК или от държавите-членки в тясно сътрудничество с Комисията. Последващата оценка разглежда ефективността и ефикасността на европейските структурни и инвестиционни фондове и техния принос за изпълнението на стратегията на Съюза за интелигентен, устойчив и приобщаващ растеж, като се отчитат заложените в тази стратегия на Съюза цели и в съответствие със специфичните изисквания, определени в правилата за отделните фондове.  </w:t>
      </w:r>
    </w:p>
    <w:p w14:paraId="34E6F68D" w14:textId="77777777" w:rsidR="00D603F5" w:rsidRPr="001B0EA3" w:rsidRDefault="00D603F5" w:rsidP="006C6688">
      <w:pPr>
        <w:rPr>
          <w:szCs w:val="24"/>
          <w:lang w:eastAsia="bg-BG"/>
        </w:rPr>
      </w:pPr>
      <w:r w:rsidRPr="001B0EA3">
        <w:rPr>
          <w:szCs w:val="24"/>
          <w:lang w:eastAsia="bg-BG"/>
        </w:rPr>
        <w:t xml:space="preserve">Съгласно изискванията на чл. 56 от регламент 1303/2013 </w:t>
      </w:r>
      <w:r w:rsidRPr="001B0EA3">
        <w:rPr>
          <w:b/>
          <w:szCs w:val="24"/>
          <w:lang w:eastAsia="bg-BG"/>
        </w:rPr>
        <w:t>оценка се извършва и по време на програмния период.</w:t>
      </w:r>
      <w:r w:rsidRPr="001B0EA3">
        <w:rPr>
          <w:szCs w:val="24"/>
          <w:lang w:eastAsia="bg-BG"/>
        </w:rPr>
        <w:t xml:space="preserve"> Управляващият орган изготвя план за оценка, който се представя за одобрение на Комитета за наблюдение в срок до една година</w:t>
      </w:r>
      <w:r w:rsidR="006C6688">
        <w:rPr>
          <w:szCs w:val="24"/>
          <w:lang w:eastAsia="bg-BG"/>
        </w:rPr>
        <w:t xml:space="preserve"> от одобрението на програмата.</w:t>
      </w:r>
    </w:p>
    <w:p w14:paraId="1B8D3E8A" w14:textId="77777777" w:rsidR="00D603F5" w:rsidRPr="001B0EA3" w:rsidRDefault="00D603F5" w:rsidP="00660856">
      <w:pPr>
        <w:rPr>
          <w:color w:val="000000"/>
          <w:szCs w:val="24"/>
          <w:lang w:eastAsia="bg-BG"/>
        </w:rPr>
      </w:pPr>
    </w:p>
    <w:p w14:paraId="14A4FA45" w14:textId="77777777" w:rsidR="00D603F5" w:rsidRPr="001B0EA3" w:rsidRDefault="00D603F5" w:rsidP="00B502C7">
      <w:pPr>
        <w:pStyle w:val="Style2"/>
        <w:rPr>
          <w:snapToGrid w:val="0"/>
        </w:rPr>
      </w:pPr>
      <w:bookmarkStart w:id="1364" w:name="_Toc479775837"/>
      <w:bookmarkStart w:id="1365" w:name="_Toc140150319"/>
      <w:r w:rsidRPr="001B0EA3">
        <w:rPr>
          <w:snapToGrid w:val="0"/>
        </w:rPr>
        <w:t>План за оценка на ОПТТИ</w:t>
      </w:r>
      <w:bookmarkEnd w:id="1364"/>
      <w:bookmarkEnd w:id="1365"/>
    </w:p>
    <w:p w14:paraId="1821DD25" w14:textId="77777777" w:rsidR="00D603F5" w:rsidRPr="001B0EA3" w:rsidRDefault="00D603F5" w:rsidP="00660856">
      <w:pPr>
        <w:rPr>
          <w:color w:val="000000"/>
          <w:szCs w:val="24"/>
          <w:lang w:eastAsia="bg-BG"/>
        </w:rPr>
      </w:pPr>
      <w:r w:rsidRPr="001B0EA3">
        <w:rPr>
          <w:color w:val="000000"/>
          <w:szCs w:val="24"/>
          <w:lang w:eastAsia="bg-BG"/>
        </w:rPr>
        <w:t>Проектът на План за оценка на ОПТТИ бе изготвен от консултант при извършването на предварителната оценка на програмата. След преглед  при необходимост нанасяне на корекции, Планът за оценка ще бъде представен на КН за одобрение</w:t>
      </w:r>
      <w:r w:rsidR="0038341D" w:rsidRPr="001B0EA3">
        <w:rPr>
          <w:color w:val="000000"/>
          <w:szCs w:val="24"/>
          <w:lang w:eastAsia="bg-BG"/>
        </w:rPr>
        <w:t xml:space="preserve"> най-късно една година след приемането на оперативната програма (до 19.12.2015 г.)</w:t>
      </w:r>
      <w:r w:rsidRPr="001B0EA3">
        <w:rPr>
          <w:color w:val="000000"/>
          <w:szCs w:val="24"/>
          <w:lang w:eastAsia="bg-BG"/>
        </w:rPr>
        <w:t xml:space="preserve">. След одобрението на Плана за оценка, той както и неговите изменения се публикуват на интернет страницата на Управляващия орган. </w:t>
      </w:r>
    </w:p>
    <w:p w14:paraId="662D9122" w14:textId="77777777" w:rsidR="00D603F5" w:rsidRPr="001B0EA3" w:rsidRDefault="00D603F5" w:rsidP="00660856">
      <w:pPr>
        <w:rPr>
          <w:color w:val="000000"/>
          <w:szCs w:val="24"/>
          <w:lang w:eastAsia="bg-BG"/>
        </w:rPr>
      </w:pPr>
      <w:r w:rsidRPr="001B0EA3">
        <w:rPr>
          <w:color w:val="000000"/>
          <w:szCs w:val="24"/>
          <w:lang w:eastAsia="bg-BG"/>
        </w:rPr>
        <w:t xml:space="preserve">При изготвянето и изменението на Плана за оценка на ОПТТИ се следват насоките на ЕК за изготвяне на планове за оценки. </w:t>
      </w:r>
    </w:p>
    <w:p w14:paraId="7D25A422" w14:textId="77777777" w:rsidR="0038341D" w:rsidRPr="001B0EA3" w:rsidRDefault="0038341D" w:rsidP="00660856">
      <w:pPr>
        <w:rPr>
          <w:color w:val="000000"/>
          <w:szCs w:val="24"/>
          <w:lang w:eastAsia="bg-BG"/>
        </w:rPr>
      </w:pPr>
    </w:p>
    <w:p w14:paraId="2816A3F0" w14:textId="77777777" w:rsidR="0038341D" w:rsidRPr="001B0EA3" w:rsidRDefault="0038341D" w:rsidP="00660856">
      <w:pPr>
        <w:rPr>
          <w:color w:val="000000"/>
          <w:szCs w:val="24"/>
          <w:lang w:eastAsia="bg-BG"/>
        </w:rPr>
      </w:pPr>
      <w:r w:rsidRPr="001B0EA3">
        <w:rPr>
          <w:color w:val="000000"/>
          <w:szCs w:val="24"/>
          <w:lang w:eastAsia="bg-BG"/>
        </w:rPr>
        <w:t>Европейската комисия може да извършва по своя собствена инициатива оценки на програмите. Тя информира управляващия орган, а резултатите се изпращат на управляващия орган и се представят на Комитета за наблюдение.</w:t>
      </w:r>
    </w:p>
    <w:p w14:paraId="079C0422" w14:textId="77777777" w:rsidR="00D603F5" w:rsidRPr="001B0EA3" w:rsidRDefault="00D603F5" w:rsidP="00046D61">
      <w:pPr>
        <w:spacing w:before="120"/>
        <w:rPr>
          <w:b/>
          <w:color w:val="000000"/>
          <w:szCs w:val="24"/>
          <w:lang w:eastAsia="bg-BG"/>
        </w:rPr>
      </w:pPr>
      <w:r w:rsidRPr="001B0EA3">
        <w:rPr>
          <w:b/>
          <w:color w:val="000000"/>
          <w:szCs w:val="24"/>
          <w:lang w:eastAsia="bg-BG"/>
        </w:rPr>
        <w:t>Процесът на оценяване трябва да включва следните етапи:</w:t>
      </w:r>
    </w:p>
    <w:p w14:paraId="07574CF2" w14:textId="77777777" w:rsidR="00D603F5" w:rsidRPr="001B0EA3" w:rsidRDefault="00D603F5" w:rsidP="00660856">
      <w:pPr>
        <w:numPr>
          <w:ilvl w:val="12"/>
          <w:numId w:val="0"/>
        </w:numPr>
        <w:ind w:firstLine="851"/>
        <w:rPr>
          <w:color w:val="000000"/>
          <w:szCs w:val="24"/>
          <w:lang w:eastAsia="bg-BG"/>
        </w:rPr>
      </w:pPr>
      <w:r w:rsidRPr="001B0EA3">
        <w:rPr>
          <w:color w:val="000000"/>
          <w:szCs w:val="24"/>
          <w:lang w:eastAsia="bg-BG"/>
        </w:rPr>
        <w:lastRenderedPageBreak/>
        <w:t xml:space="preserve">1. УО на ОПТТИ подготвя и изпраща на КН първата версия на индикативен план за оценка в срок до една година от одобрението на Оперативната програма. </w:t>
      </w:r>
    </w:p>
    <w:p w14:paraId="3B2F830E" w14:textId="62278177" w:rsidR="00D603F5" w:rsidRPr="001B0EA3" w:rsidRDefault="00D603F5" w:rsidP="00660856">
      <w:pPr>
        <w:numPr>
          <w:ilvl w:val="12"/>
          <w:numId w:val="0"/>
        </w:numPr>
        <w:ind w:firstLine="851"/>
        <w:rPr>
          <w:color w:val="000000"/>
          <w:szCs w:val="24"/>
          <w:lang w:eastAsia="bg-BG"/>
        </w:rPr>
      </w:pPr>
      <w:r w:rsidRPr="001B0EA3">
        <w:rPr>
          <w:color w:val="000000"/>
          <w:szCs w:val="24"/>
          <w:lang w:eastAsia="bg-BG"/>
        </w:rPr>
        <w:t xml:space="preserve">2. </w:t>
      </w:r>
      <w:r w:rsidR="005A1980" w:rsidRPr="001B0EA3">
        <w:rPr>
          <w:color w:val="000000"/>
          <w:szCs w:val="24"/>
          <w:lang w:eastAsia="bg-BG"/>
        </w:rPr>
        <w:t xml:space="preserve"> Отдел </w:t>
      </w:r>
      <w:r w:rsidR="005A1980">
        <w:rPr>
          <w:color w:val="000000"/>
          <w:szCs w:val="24"/>
          <w:lang w:eastAsia="bg-BG"/>
        </w:rPr>
        <w:t>„Наблюдение и оценка”</w:t>
      </w:r>
      <w:r w:rsidR="005A1980" w:rsidRPr="001B0EA3">
        <w:rPr>
          <w:bCs/>
          <w:color w:val="000000"/>
          <w:szCs w:val="24"/>
          <w:lang w:eastAsia="bg-BG"/>
        </w:rPr>
        <w:t xml:space="preserve"> извършва координация на дейностите по оценка </w:t>
      </w:r>
      <w:r w:rsidRPr="001B0EA3">
        <w:rPr>
          <w:bCs/>
          <w:color w:val="000000"/>
          <w:szCs w:val="24"/>
          <w:lang w:eastAsia="bg-BG"/>
        </w:rPr>
        <w:t>3. Извършването на оценки по време на програмния период се възлага на външни изпълнители, а в случай на необходимост УО може да извърши дадена оценка самостоятелно</w:t>
      </w:r>
    </w:p>
    <w:p w14:paraId="28C39132" w14:textId="77777777" w:rsidR="00D603F5" w:rsidRPr="001B0EA3" w:rsidRDefault="00D603F5" w:rsidP="00660856">
      <w:pPr>
        <w:rPr>
          <w:bCs/>
          <w:color w:val="000000"/>
          <w:szCs w:val="24"/>
          <w:lang w:eastAsia="bg-BG"/>
        </w:rPr>
      </w:pPr>
      <w:r w:rsidRPr="001B0EA3">
        <w:rPr>
          <w:bCs/>
          <w:color w:val="000000"/>
          <w:szCs w:val="24"/>
          <w:lang w:eastAsia="bg-BG"/>
        </w:rPr>
        <w:t xml:space="preserve">4. При извършването на всяка оценка се изготвя окончателен оценителен доклад, съгласно изискванията на ЕК за планове за оценки.  </w:t>
      </w:r>
    </w:p>
    <w:p w14:paraId="71A5EE39" w14:textId="77777777" w:rsidR="00D603F5" w:rsidRPr="001B0EA3" w:rsidRDefault="006035A9" w:rsidP="00660856">
      <w:pPr>
        <w:rPr>
          <w:bCs/>
          <w:color w:val="000000"/>
          <w:szCs w:val="24"/>
          <w:lang w:eastAsia="bg-BG"/>
        </w:rPr>
      </w:pPr>
      <w:hyperlink r:id="rId324" w:anchor="1" w:history="1">
        <w:r w:rsidR="00D603F5" w:rsidRPr="001B0EA3">
          <w:rPr>
            <w:bCs/>
            <w:color w:val="0000FF"/>
            <w:szCs w:val="24"/>
            <w:u w:val="single"/>
            <w:lang w:eastAsia="bg-BG"/>
          </w:rPr>
          <w:t>http://ec.europa.eu/regional_policy/information/evaluations/guidance_en.cfm#1</w:t>
        </w:r>
      </w:hyperlink>
    </w:p>
    <w:p w14:paraId="05B0F05B" w14:textId="77777777" w:rsidR="00D603F5" w:rsidRPr="001B0EA3" w:rsidRDefault="00D603F5" w:rsidP="006C6688">
      <w:pPr>
        <w:numPr>
          <w:ilvl w:val="12"/>
          <w:numId w:val="0"/>
        </w:numPr>
        <w:ind w:firstLine="851"/>
        <w:rPr>
          <w:bCs/>
          <w:szCs w:val="24"/>
          <w:lang w:eastAsia="bg-BG"/>
        </w:rPr>
      </w:pPr>
      <w:r w:rsidRPr="001B0EA3">
        <w:rPr>
          <w:bCs/>
          <w:szCs w:val="24"/>
          <w:lang w:eastAsia="bg-BG"/>
        </w:rPr>
        <w:t xml:space="preserve">Когато извършването на оценка е възложено на външен изпълнител приемането на окончателния доклад се извършва съгласно подписания договор с изпълнителя и действащия в момента на приемане на доклада механизъм за приемане на разработки от външни консултанти в УО. Приемането на доклада става след представяне на становище на лицата, които имат задължение или са упълномощени да представят становище за приемането на съответния окончателен доклад от оценка. </w:t>
      </w:r>
    </w:p>
    <w:p w14:paraId="7001790B" w14:textId="77777777" w:rsidR="00D603F5" w:rsidRPr="001B0EA3" w:rsidRDefault="00D603F5" w:rsidP="006C6688">
      <w:pPr>
        <w:numPr>
          <w:ilvl w:val="12"/>
          <w:numId w:val="0"/>
        </w:numPr>
        <w:ind w:firstLine="851"/>
        <w:rPr>
          <w:bCs/>
          <w:szCs w:val="24"/>
          <w:lang w:eastAsia="bg-BG"/>
        </w:rPr>
      </w:pPr>
      <w:r w:rsidRPr="001B0EA3">
        <w:rPr>
          <w:bCs/>
          <w:szCs w:val="24"/>
          <w:lang w:eastAsia="bg-BG"/>
        </w:rPr>
        <w:t>Когато оценката се извършва самостоятелно от УО окончателният доклад се приема от Ръководителя на УО след представяне на доклад за извършената работа от лицата, които са го изготвили.</w:t>
      </w:r>
    </w:p>
    <w:p w14:paraId="038D9EB9" w14:textId="77777777" w:rsidR="00D603F5" w:rsidRPr="001B0EA3" w:rsidRDefault="00D603F5" w:rsidP="006C6688">
      <w:pPr>
        <w:rPr>
          <w:b/>
          <w:color w:val="000000"/>
          <w:szCs w:val="24"/>
          <w:lang w:eastAsia="bg-BG"/>
        </w:rPr>
      </w:pPr>
      <w:r w:rsidRPr="001B0EA3">
        <w:rPr>
          <w:color w:val="000000"/>
          <w:szCs w:val="24"/>
          <w:lang w:eastAsia="bg-BG"/>
        </w:rPr>
        <w:t>Докладите за оценка се представят на КН на ОПТТИ и са предмет на дискусия. УО на ОПТТИ публикува резюме на резултатите и препоръките от одобрените доклади за оценка на Интернет страницата на ОПТТИ, съгласно правилата за прозрачност. УО подготвя план за действие за изпълнение на препоръките от оценките, които са направени, и наблюдава изпълнението.</w:t>
      </w:r>
    </w:p>
    <w:p w14:paraId="6B0EDF45" w14:textId="77777777" w:rsidR="00D603F5" w:rsidRPr="001B0EA3" w:rsidRDefault="00D603F5" w:rsidP="006C6688">
      <w:pPr>
        <w:rPr>
          <w:color w:val="000000"/>
          <w:szCs w:val="24"/>
          <w:lang w:eastAsia="bg-BG"/>
        </w:rPr>
      </w:pPr>
      <w:r w:rsidRPr="001B0EA3">
        <w:rPr>
          <w:color w:val="000000"/>
          <w:szCs w:val="24"/>
          <w:lang w:eastAsia="bg-BG"/>
        </w:rPr>
        <w:t>Съгласно чл. 114, т. 2 до 31 декември 2022 г. Управляващият орган представя на ЕК доклад, обобщаващ констатациите от оценките, извършени през програмния период и основните крайни продукти и резултати от оперативната програма, като правят коментари върху докладваната информация.</w:t>
      </w:r>
    </w:p>
    <w:p w14:paraId="34983F85" w14:textId="77777777" w:rsidR="00D603F5" w:rsidRPr="001B0EA3" w:rsidRDefault="00D603F5" w:rsidP="006C6688">
      <w:pPr>
        <w:rPr>
          <w:color w:val="000000"/>
          <w:szCs w:val="24"/>
          <w:lang w:eastAsia="bg-BG"/>
        </w:rPr>
      </w:pPr>
      <w:r w:rsidRPr="001B0EA3">
        <w:rPr>
          <w:color w:val="000000"/>
          <w:szCs w:val="24"/>
          <w:lang w:eastAsia="bg-BG"/>
        </w:rPr>
        <w:t>Европейската комисия може да извършва по своя собствена инициатива оценки на програмите. Тя информира управляващия орган, а резултатите се изпращат на управляващия орган и се представят на Комитета за наблюдение.</w:t>
      </w:r>
    </w:p>
    <w:p w14:paraId="066772D4" w14:textId="77777777" w:rsidR="002C052F" w:rsidRDefault="002C052F" w:rsidP="006C6688">
      <w:pPr>
        <w:rPr>
          <w:color w:val="000000"/>
          <w:szCs w:val="24"/>
          <w:lang w:eastAsia="bg-BG"/>
        </w:rPr>
      </w:pPr>
    </w:p>
    <w:p w14:paraId="49ACE257" w14:textId="77777777" w:rsidR="002C052F" w:rsidRPr="00842ECC" w:rsidRDefault="002C052F" w:rsidP="006A6D08">
      <w:pPr>
        <w:pStyle w:val="Style2"/>
        <w:rPr>
          <w:snapToGrid w:val="0"/>
        </w:rPr>
      </w:pPr>
      <w:bookmarkStart w:id="1366" w:name="_Toc140150320"/>
      <w:r w:rsidRPr="00842ECC">
        <w:rPr>
          <w:snapToGrid w:val="0"/>
        </w:rPr>
        <w:t>Периодична среща за отчитане на напредъка по проектите</w:t>
      </w:r>
      <w:r w:rsidRPr="002C052F">
        <w:rPr>
          <w:snapToGrid w:val="0"/>
        </w:rPr>
        <w:t>,</w:t>
      </w:r>
      <w:r w:rsidRPr="00842ECC">
        <w:rPr>
          <w:snapToGrid w:val="0"/>
        </w:rPr>
        <w:t xml:space="preserve"> изпълнявани по ОПТТИ</w:t>
      </w:r>
      <w:bookmarkEnd w:id="1366"/>
    </w:p>
    <w:p w14:paraId="08740DB5" w14:textId="636DFD33" w:rsidR="002C052F" w:rsidRPr="002C052F" w:rsidRDefault="002C052F" w:rsidP="002C052F">
      <w:r w:rsidRPr="002C052F">
        <w:t xml:space="preserve">По инициатива на Ръководителя на УО на ОПТТИ и/или директора на дирекция КПП се организират периодични срещи за отчитане на напредъка по проектите изпълнявани по ОПТТИ, които имат за цел извършването на мониторинг на изпълнението на отделните проекти и дискусии по текущи въпроси, респективно отчитане на изпълнението на Оперативната програма. Периодичната среща се организира и провежда от отдел „Наблюдение и оценка” и се води от Ръководителя на УО на ОПТТИ и/или директора на дирекция „Координация на програми и проекти” и/или от началника на отдел „Наблюдение и оценка”. В нея участват представители на Управляващия орган, бенефициентите и по преценка на УО се канят представители на Сертифициращия орган, Централното координационно звено и Одитния орган. При необходимост се канят за участие и представители на други институции, свързани с управлението и изпълнението на ОПТТИ. </w:t>
      </w:r>
    </w:p>
    <w:p w14:paraId="673E9405" w14:textId="529EF21E" w:rsidR="002C052F" w:rsidRPr="002C052F" w:rsidRDefault="002C052F" w:rsidP="002C052F">
      <w:r w:rsidRPr="002C052F">
        <w:t>Датата на периодичната среща и бенефициентите, които трябва да вземат участие в срещата се определят въз основа на преценка от УО, когато възникне необходимост от информация за проектите, както и важни въпроси и проблеми, свързани с изпълнението на проектите. УО изпраща до бенефициентите покана за участие в периодичната среща минимум 5 (пет) дни преди срещата. Всеки поканен бенефициент е длъжен да предостави предварителна информация за проектите по електронната поща на началника на отдел „</w:t>
      </w:r>
      <w:r w:rsidRPr="006A6D08">
        <w:t>Наблюдение и оценка</w:t>
      </w:r>
      <w:r w:rsidRPr="002C052F">
        <w:t>“, най-късно един ден преди срещата, като спази указания от УО формат. Началникът на отдел или експерт от отдел „</w:t>
      </w:r>
      <w:r w:rsidRPr="006A6D08">
        <w:t>Наблюдение и оценка</w:t>
      </w:r>
      <w:r w:rsidRPr="002C052F">
        <w:t xml:space="preserve">“ разпространяват представената от </w:t>
      </w:r>
      <w:r w:rsidRPr="002C052F">
        <w:lastRenderedPageBreak/>
        <w:t>бенефициентите информация до всички началници на отдели в УО. Периодичната среща се провежда с всеки бенефициент поотделно, съгласно указаните в поканата ден и час.</w:t>
      </w:r>
    </w:p>
    <w:p w14:paraId="66C177A7" w14:textId="4995684C" w:rsidR="002C052F" w:rsidRPr="002C052F" w:rsidRDefault="002C052F" w:rsidP="002C052F">
      <w:pPr>
        <w:rPr>
          <w:color w:val="000000"/>
          <w:szCs w:val="24"/>
          <w:lang w:eastAsia="bg-BG"/>
        </w:rPr>
      </w:pPr>
      <w:r w:rsidRPr="002C052F">
        <w:t xml:space="preserve">Отдел „Наблюдение и оценка” е отговорен за изготвянето на </w:t>
      </w:r>
      <w:r w:rsidR="002733BC" w:rsidRPr="002C052F">
        <w:t xml:space="preserve">кратко резюме </w:t>
      </w:r>
      <w:r w:rsidRPr="002C052F">
        <w:t>с основните ключови моменти или поети ангажименти по време на срещата</w:t>
      </w:r>
      <w:r w:rsidR="002733BC">
        <w:t>,</w:t>
      </w:r>
      <w:r w:rsidRPr="002C052F">
        <w:t xml:space="preserve"> в рамките на 10 (десет) работни дни след срещата. Изготвеното резюме от проведената периодична среща се разпространява по електронна поща до участниците в срещата, които могат да изпратят коментари в срок до 5 (пет) работни дни след неговото изпращане. В случай, че бъдат получени коментари, отдел „Наблюдение и оценка” обобщава получените коментари в срок от 3 (три) работни дни и го разпространява до участниците.</w:t>
      </w:r>
    </w:p>
    <w:p w14:paraId="10E682D7" w14:textId="77777777" w:rsidR="002C052F" w:rsidRPr="002C052F" w:rsidRDefault="002C052F" w:rsidP="002C052F">
      <w:pPr>
        <w:rPr>
          <w:b/>
          <w:color w:val="000000"/>
          <w:szCs w:val="24"/>
          <w:u w:val="single"/>
          <w:lang w:eastAsia="bg-BG"/>
        </w:rPr>
      </w:pPr>
    </w:p>
    <w:p w14:paraId="76363C95" w14:textId="77777777" w:rsidR="002C052F" w:rsidRPr="00F301D8" w:rsidRDefault="00604C18" w:rsidP="006A6D08">
      <w:pPr>
        <w:pStyle w:val="Style1"/>
        <w:numPr>
          <w:ilvl w:val="0"/>
          <w:numId w:val="0"/>
        </w:numPr>
        <w:ind w:left="360"/>
      </w:pPr>
      <w:bookmarkStart w:id="1367" w:name="_Toc140150321"/>
      <w:r>
        <w:t>35</w:t>
      </w:r>
      <w:r w:rsidRPr="00F301D8">
        <w:t xml:space="preserve">. </w:t>
      </w:r>
      <w:r w:rsidR="002C052F" w:rsidRPr="00F301D8">
        <w:t>ИНФОРМАЦИЯ, КОМУНИКАЦИЯ И ПУБЛИЧНОСТ</w:t>
      </w:r>
      <w:bookmarkEnd w:id="1367"/>
    </w:p>
    <w:p w14:paraId="19BF0F1A" w14:textId="77777777" w:rsidR="002C052F" w:rsidRPr="002C052F" w:rsidRDefault="002C052F" w:rsidP="002C052F">
      <w:pPr>
        <w:ind w:firstLine="708"/>
        <w:rPr>
          <w:color w:val="000000"/>
          <w:szCs w:val="24"/>
          <w:lang w:eastAsia="bg-BG"/>
        </w:rPr>
      </w:pPr>
      <w:r w:rsidRPr="002C052F">
        <w:rPr>
          <w:color w:val="000000"/>
          <w:szCs w:val="24"/>
          <w:lang w:eastAsia="bg-BG"/>
        </w:rPr>
        <w:t xml:space="preserve">Информацията и публичността са ключови дейности като част от управлението на Структурните и Кохезионния фондове на ЕС. Успешното представяне и изпълнение на Оперативната програма зависят и от ефективността на комуникационните дейности и спазването на принципа на партньорство. Регламент </w:t>
      </w:r>
      <w:r w:rsidRPr="002C052F">
        <w:rPr>
          <w:szCs w:val="24"/>
          <w:lang w:eastAsia="bg-BG"/>
        </w:rPr>
        <w:t xml:space="preserve">1303/2013 </w:t>
      </w:r>
      <w:r w:rsidRPr="002C052F">
        <w:rPr>
          <w:color w:val="000000"/>
          <w:szCs w:val="24"/>
          <w:lang w:eastAsia="bg-BG"/>
        </w:rPr>
        <w:t xml:space="preserve">на ЕС и Регламент за изпълнение на (ЕС) №821/ 2014 на Комисията определят обхвата и фокуса на мерките за информация и публичност, които трябва да са насочени към популяризиране на Оперативната програма сред широката аудитория и гарантиране на прозрачността по отношение на бенефициентите и разходването на европейските средства. </w:t>
      </w:r>
    </w:p>
    <w:p w14:paraId="51B30C5F" w14:textId="77777777" w:rsidR="002C052F" w:rsidRPr="002C052F" w:rsidRDefault="002C052F" w:rsidP="002C052F">
      <w:pPr>
        <w:ind w:firstLine="708"/>
        <w:rPr>
          <w:color w:val="000000"/>
          <w:szCs w:val="24"/>
          <w:lang w:eastAsia="bg-BG"/>
        </w:rPr>
      </w:pPr>
      <w:r w:rsidRPr="002C052F">
        <w:rPr>
          <w:color w:val="000000"/>
          <w:szCs w:val="24"/>
          <w:lang w:eastAsia="bg-BG"/>
        </w:rPr>
        <w:t xml:space="preserve">Информацията за ОПТТИ трябва да е адресирана до бенефициентите по програмата, заинтересованите страни и европейските граждани. Тя трябва да цели публично представяне на ролята на Общността и да гарантира прозрачността при предоставяне на помощ от фондовете.  </w:t>
      </w:r>
    </w:p>
    <w:p w14:paraId="5CEE6DA1" w14:textId="77777777" w:rsidR="002C052F" w:rsidRPr="002C052F" w:rsidRDefault="002C052F" w:rsidP="002C052F">
      <w:pPr>
        <w:ind w:firstLine="708"/>
        <w:rPr>
          <w:b/>
          <w:color w:val="000000"/>
          <w:szCs w:val="24"/>
          <w:lang w:eastAsia="bg-BG"/>
        </w:rPr>
      </w:pPr>
      <w:r w:rsidRPr="002C052F">
        <w:rPr>
          <w:b/>
          <w:color w:val="000000"/>
          <w:szCs w:val="24"/>
          <w:lang w:eastAsia="bg-BG"/>
        </w:rPr>
        <w:t>Нормативна рамка:</w:t>
      </w:r>
    </w:p>
    <w:p w14:paraId="41F0A084" w14:textId="77777777" w:rsidR="002C052F" w:rsidRPr="002C052F" w:rsidRDefault="002C052F" w:rsidP="002C052F">
      <w:pPr>
        <w:ind w:firstLine="708"/>
        <w:rPr>
          <w:color w:val="000000"/>
          <w:szCs w:val="24"/>
          <w:lang w:eastAsia="bg-BG"/>
        </w:rPr>
      </w:pPr>
      <w:r w:rsidRPr="002C052F">
        <w:rPr>
          <w:color w:val="000000"/>
          <w:szCs w:val="24"/>
          <w:lang w:eastAsia="bg-BG"/>
        </w:rPr>
        <w:t>Регламенти на ЕС:</w:t>
      </w:r>
    </w:p>
    <w:p w14:paraId="474AB86D" w14:textId="77777777" w:rsidR="002C052F" w:rsidRPr="002C052F" w:rsidRDefault="002C052F" w:rsidP="002C052F">
      <w:pPr>
        <w:ind w:firstLine="708"/>
        <w:rPr>
          <w:color w:val="000000"/>
          <w:szCs w:val="24"/>
          <w:lang w:eastAsia="bg-BG"/>
        </w:rPr>
      </w:pPr>
      <w:r w:rsidRPr="002C052F">
        <w:rPr>
          <w:color w:val="000000"/>
          <w:szCs w:val="24"/>
          <w:lang w:eastAsia="bg-BG"/>
        </w:rPr>
        <w:t>Регламент (ЕС) № 1303/2013 на ЕВРОПЕЙСКИЯ ПАРЛАМЕНТ И НА СЪВЕТА от 17 декември 2013 г.</w:t>
      </w:r>
    </w:p>
    <w:p w14:paraId="18920A96" w14:textId="77777777" w:rsidR="002C052F" w:rsidRPr="002C052F" w:rsidRDefault="002C052F" w:rsidP="002C052F">
      <w:pPr>
        <w:ind w:firstLine="708"/>
        <w:rPr>
          <w:color w:val="000000"/>
          <w:szCs w:val="24"/>
          <w:lang w:eastAsia="bg-BG"/>
        </w:rPr>
      </w:pPr>
      <w:r w:rsidRPr="002C052F">
        <w:rPr>
          <w:color w:val="000000"/>
          <w:szCs w:val="24"/>
          <w:lang w:eastAsia="bg-BG"/>
        </w:rPr>
        <w:t>Регламент за изпълнение (ЕС) № 821/ 2014 г. на КОМИСИЯТА  от 28 юли 2014 г.</w:t>
      </w:r>
    </w:p>
    <w:p w14:paraId="35ACDFEE" w14:textId="77777777" w:rsidR="002C052F" w:rsidRPr="002C052F" w:rsidRDefault="002C052F" w:rsidP="002C052F">
      <w:pPr>
        <w:ind w:firstLine="708"/>
        <w:rPr>
          <w:color w:val="000000"/>
          <w:szCs w:val="24"/>
          <w:highlight w:val="yellow"/>
          <w:lang w:eastAsia="bg-BG"/>
        </w:rPr>
      </w:pPr>
    </w:p>
    <w:p w14:paraId="44177338" w14:textId="77777777" w:rsidR="002C052F" w:rsidRPr="00842ECC" w:rsidRDefault="00604C18" w:rsidP="006A6D08">
      <w:pPr>
        <w:pStyle w:val="Style2"/>
        <w:numPr>
          <w:ilvl w:val="0"/>
          <w:numId w:val="0"/>
        </w:numPr>
        <w:ind w:left="792"/>
        <w:rPr>
          <w:snapToGrid w:val="0"/>
        </w:rPr>
      </w:pPr>
      <w:bookmarkStart w:id="1368" w:name="_Toc140150322"/>
      <w:r>
        <w:rPr>
          <w:lang w:eastAsia="bg-BG"/>
        </w:rPr>
        <w:t xml:space="preserve">35.1. </w:t>
      </w:r>
      <w:r w:rsidR="002C052F" w:rsidRPr="006A6D08">
        <w:t>Национални разпоредби и релевантни документи</w:t>
      </w:r>
      <w:bookmarkEnd w:id="1368"/>
    </w:p>
    <w:p w14:paraId="52AC094E" w14:textId="31C30650" w:rsidR="002C052F" w:rsidRPr="002C052F" w:rsidRDefault="002C052F" w:rsidP="006A6D08">
      <w:pPr>
        <w:tabs>
          <w:tab w:val="num" w:pos="1068"/>
        </w:tabs>
        <w:ind w:left="567" w:firstLine="284"/>
        <w:jc w:val="left"/>
        <w:rPr>
          <w:color w:val="000000"/>
          <w:szCs w:val="24"/>
          <w:lang w:eastAsia="bg-BG"/>
        </w:rPr>
      </w:pPr>
      <w:r w:rsidRPr="002C052F">
        <w:rPr>
          <w:color w:val="000000"/>
          <w:szCs w:val="24"/>
          <w:lang w:eastAsia="bg-BG"/>
        </w:rPr>
        <w:t>Национална комуникационна стратегия , включително  Приложение „Единен наръчник</w:t>
      </w:r>
      <w:r w:rsidR="00A30336" w:rsidRPr="006A6D08">
        <w:rPr>
          <w:color w:val="000000"/>
          <w:szCs w:val="24"/>
          <w:lang w:eastAsia="bg-BG"/>
        </w:rPr>
        <w:t xml:space="preserve"> </w:t>
      </w:r>
      <w:r w:rsidRPr="002C052F">
        <w:rPr>
          <w:color w:val="000000"/>
          <w:szCs w:val="24"/>
          <w:lang w:eastAsia="bg-BG"/>
        </w:rPr>
        <w:t>на бенефициента за прилагане на правилата за информация и комуникация 2014 -2020 г.“</w:t>
      </w:r>
    </w:p>
    <w:p w14:paraId="2CEDC6A2" w14:textId="77777777" w:rsidR="002C052F" w:rsidRPr="002C052F" w:rsidRDefault="002C052F" w:rsidP="006A6D08">
      <w:pPr>
        <w:tabs>
          <w:tab w:val="num" w:pos="1068"/>
        </w:tabs>
        <w:ind w:left="567" w:firstLine="284"/>
        <w:jc w:val="left"/>
        <w:rPr>
          <w:color w:val="000000"/>
          <w:szCs w:val="24"/>
          <w:lang w:eastAsia="bg-BG"/>
        </w:rPr>
      </w:pPr>
      <w:r w:rsidRPr="002C052F">
        <w:rPr>
          <w:color w:val="000000"/>
          <w:szCs w:val="24"/>
          <w:lang w:eastAsia="bg-BG"/>
        </w:rPr>
        <w:t>Годишен план на ОПТТИ за изпълнение на мерките по информация и публичност,</w:t>
      </w:r>
    </w:p>
    <w:p w14:paraId="38EA11C3" w14:textId="77777777" w:rsidR="002C052F" w:rsidRPr="002C052F" w:rsidRDefault="002C052F" w:rsidP="006A6D08">
      <w:pPr>
        <w:tabs>
          <w:tab w:val="num" w:pos="1068"/>
        </w:tabs>
        <w:ind w:left="567" w:firstLine="284"/>
        <w:jc w:val="left"/>
        <w:rPr>
          <w:color w:val="000000"/>
          <w:szCs w:val="24"/>
          <w:lang w:eastAsia="bg-BG"/>
        </w:rPr>
      </w:pPr>
      <w:r w:rsidRPr="002C052F">
        <w:rPr>
          <w:color w:val="000000"/>
          <w:szCs w:val="24"/>
          <w:lang w:eastAsia="bg-BG"/>
        </w:rPr>
        <w:t>Оперативни споразумения, сключени между УО на ОПТТИ и бенефициентите на програмата;</w:t>
      </w:r>
    </w:p>
    <w:p w14:paraId="06B848AD" w14:textId="21D6062D" w:rsidR="002C052F" w:rsidRPr="002C052F" w:rsidRDefault="002C052F" w:rsidP="006A6D08">
      <w:pPr>
        <w:tabs>
          <w:tab w:val="num" w:pos="1068"/>
        </w:tabs>
        <w:ind w:left="567" w:firstLine="284"/>
        <w:jc w:val="left"/>
        <w:rPr>
          <w:color w:val="000000"/>
          <w:szCs w:val="24"/>
          <w:lang w:eastAsia="bg-BG"/>
        </w:rPr>
      </w:pPr>
      <w:r w:rsidRPr="002C052F">
        <w:rPr>
          <w:color w:val="000000"/>
          <w:szCs w:val="24"/>
          <w:lang w:eastAsia="bg-BG"/>
        </w:rPr>
        <w:t>Закон за достъп до обществената информация</w:t>
      </w:r>
      <w:r w:rsidR="00A30336">
        <w:rPr>
          <w:color w:val="000000"/>
          <w:szCs w:val="24"/>
          <w:lang w:eastAsia="bg-BG"/>
        </w:rPr>
        <w:t>.</w:t>
      </w:r>
    </w:p>
    <w:p w14:paraId="66C8B85D" w14:textId="77777777" w:rsidR="002C052F" w:rsidRPr="00842ECC" w:rsidRDefault="00604C18" w:rsidP="006A6D08">
      <w:pPr>
        <w:pStyle w:val="Style2"/>
        <w:numPr>
          <w:ilvl w:val="0"/>
          <w:numId w:val="0"/>
        </w:numPr>
        <w:ind w:left="792"/>
        <w:rPr>
          <w:snapToGrid w:val="0"/>
        </w:rPr>
      </w:pPr>
      <w:bookmarkStart w:id="1369" w:name="_Toc140150323"/>
      <w:r>
        <w:rPr>
          <w:snapToGrid w:val="0"/>
        </w:rPr>
        <w:t xml:space="preserve">35.2. </w:t>
      </w:r>
      <w:r w:rsidR="002C052F" w:rsidRPr="006A6D08">
        <w:t>Роля на Управляващия орган на ОПТТИ</w:t>
      </w:r>
      <w:bookmarkEnd w:id="1369"/>
    </w:p>
    <w:p w14:paraId="3D55A55F" w14:textId="77777777" w:rsidR="002C052F" w:rsidRPr="002C052F" w:rsidRDefault="002C052F" w:rsidP="002C052F">
      <w:pPr>
        <w:rPr>
          <w:color w:val="000000"/>
          <w:szCs w:val="24"/>
          <w:lang w:eastAsia="bg-BG"/>
        </w:rPr>
      </w:pPr>
      <w:r w:rsidRPr="002C052F">
        <w:rPr>
          <w:color w:val="000000"/>
          <w:szCs w:val="24"/>
          <w:lang w:eastAsia="bg-BG"/>
        </w:rPr>
        <w:t>Съгласно чл.116 на Регламент 1303/2013 „Държавата-членка или управляващите органи съставят  комуникационна стратегия за всяка оперативна програма. Възможно е създаването на обща комуникационна стратегия за няколко оперативни програми. Комуникационната стратегия е съобразена с размера на съответната оперативна програма или програми в съответствие с принципа на пропорционалност.”  На оперативно заседание на МС на 31.07.2013 г. е предвидено създаването на обща комуникационна стратегия на национално ниво, т.нар. НКС. Където са заложени следните цели:</w:t>
      </w:r>
    </w:p>
    <w:p w14:paraId="19B60255" w14:textId="77777777" w:rsidR="002C052F" w:rsidRPr="002C052F" w:rsidRDefault="002C052F" w:rsidP="002C052F">
      <w:pPr>
        <w:rPr>
          <w:b/>
          <w:bCs/>
          <w:color w:val="000000"/>
          <w:szCs w:val="24"/>
          <w:lang w:eastAsia="bg-BG"/>
        </w:rPr>
      </w:pPr>
      <w:r w:rsidRPr="002C052F">
        <w:rPr>
          <w:b/>
          <w:bCs/>
          <w:color w:val="000000"/>
          <w:szCs w:val="24"/>
          <w:lang w:eastAsia="bg-BG"/>
        </w:rPr>
        <w:t xml:space="preserve">1. Популяризиране на ролята на Европейския съюз и информиране за възможностите за финансиране по програмите; </w:t>
      </w:r>
    </w:p>
    <w:p w14:paraId="76844207" w14:textId="77777777" w:rsidR="002C052F" w:rsidRPr="002C052F" w:rsidRDefault="002C052F" w:rsidP="002C052F">
      <w:pPr>
        <w:rPr>
          <w:b/>
          <w:bCs/>
          <w:color w:val="000000"/>
          <w:szCs w:val="24"/>
          <w:lang w:eastAsia="bg-BG"/>
        </w:rPr>
      </w:pPr>
      <w:r w:rsidRPr="002C052F">
        <w:rPr>
          <w:b/>
          <w:bCs/>
          <w:color w:val="000000"/>
          <w:szCs w:val="24"/>
          <w:lang w:eastAsia="bg-BG"/>
        </w:rPr>
        <w:t>2. Осигуряване на максимална прозрачност в процеса на изпълнение и управление на програмите;</w:t>
      </w:r>
    </w:p>
    <w:p w14:paraId="4AE60DDD" w14:textId="77777777" w:rsidR="002C052F" w:rsidRPr="002C052F" w:rsidRDefault="002C052F" w:rsidP="002C052F">
      <w:pPr>
        <w:rPr>
          <w:b/>
          <w:bCs/>
          <w:color w:val="000000"/>
          <w:szCs w:val="24"/>
          <w:lang w:eastAsia="bg-BG"/>
        </w:rPr>
      </w:pPr>
      <w:r w:rsidRPr="002C052F">
        <w:rPr>
          <w:b/>
          <w:bCs/>
          <w:color w:val="000000"/>
          <w:szCs w:val="24"/>
          <w:lang w:eastAsia="bg-BG"/>
        </w:rPr>
        <w:lastRenderedPageBreak/>
        <w:t>3. Изграждане и поддържане на високо обществено доверие към процесите по изпълнение и управление на СП и програмите.</w:t>
      </w:r>
    </w:p>
    <w:p w14:paraId="76AEB2EB" w14:textId="77777777" w:rsidR="002C052F" w:rsidRPr="002C052F" w:rsidRDefault="002C052F" w:rsidP="002C052F">
      <w:pPr>
        <w:ind w:firstLine="708"/>
        <w:rPr>
          <w:b/>
          <w:bCs/>
          <w:color w:val="000000"/>
          <w:szCs w:val="24"/>
          <w:lang w:eastAsia="bg-BG"/>
        </w:rPr>
      </w:pPr>
    </w:p>
    <w:p w14:paraId="2712E732" w14:textId="77777777" w:rsidR="002C052F" w:rsidRPr="002C052F" w:rsidRDefault="002C052F" w:rsidP="002C052F">
      <w:pPr>
        <w:rPr>
          <w:color w:val="000000"/>
          <w:szCs w:val="24"/>
          <w:lang w:eastAsia="bg-BG"/>
        </w:rPr>
      </w:pPr>
      <w:r w:rsidRPr="002C052F">
        <w:rPr>
          <w:color w:val="000000"/>
          <w:szCs w:val="24"/>
          <w:lang w:eastAsia="bg-BG"/>
        </w:rPr>
        <w:t>НКС включва елементите изложени в приложение XII на Регламент 1303/ 2013 г.</w:t>
      </w:r>
    </w:p>
    <w:p w14:paraId="1B3C2C87" w14:textId="77777777" w:rsidR="002C052F" w:rsidRPr="002C052F" w:rsidRDefault="002C052F" w:rsidP="002C052F">
      <w:pPr>
        <w:rPr>
          <w:bCs/>
          <w:color w:val="000000"/>
          <w:szCs w:val="24"/>
          <w:lang w:eastAsia="bg-BG"/>
        </w:rPr>
      </w:pPr>
      <w:r w:rsidRPr="002C052F">
        <w:rPr>
          <w:bCs/>
          <w:color w:val="000000"/>
          <w:szCs w:val="24"/>
          <w:lang w:eastAsia="bg-BG"/>
        </w:rPr>
        <w:t>НКС на СП ще се изпълнява на няколко нива:</w:t>
      </w:r>
    </w:p>
    <w:p w14:paraId="6E84F5D5" w14:textId="77777777" w:rsidR="002C052F" w:rsidRPr="002C052F" w:rsidRDefault="002C052F" w:rsidP="002C052F">
      <w:pPr>
        <w:tabs>
          <w:tab w:val="num" w:pos="720"/>
        </w:tabs>
        <w:rPr>
          <w:bCs/>
          <w:color w:val="000000"/>
          <w:szCs w:val="24"/>
          <w:lang w:eastAsia="bg-BG"/>
        </w:rPr>
      </w:pPr>
      <w:r w:rsidRPr="002C052F">
        <w:rPr>
          <w:bCs/>
          <w:color w:val="000000"/>
          <w:szCs w:val="24"/>
          <w:lang w:eastAsia="bg-BG"/>
        </w:rPr>
        <w:t>Общи комуникационни дейности по всички програми – те се изпълняват и координират от ЦИО, в сътрудничество с УО и мрежата от 28 информационни центъра;</w:t>
      </w:r>
    </w:p>
    <w:p w14:paraId="7DD7CE75" w14:textId="77777777" w:rsidR="002C052F" w:rsidRPr="002C052F" w:rsidRDefault="002C052F" w:rsidP="002C052F">
      <w:pPr>
        <w:tabs>
          <w:tab w:val="num" w:pos="720"/>
        </w:tabs>
        <w:rPr>
          <w:bCs/>
          <w:color w:val="000000"/>
          <w:szCs w:val="24"/>
          <w:lang w:eastAsia="bg-BG"/>
        </w:rPr>
      </w:pPr>
      <w:r w:rsidRPr="002C052F">
        <w:rPr>
          <w:bCs/>
          <w:color w:val="000000"/>
          <w:szCs w:val="24"/>
          <w:lang w:eastAsia="bg-BG"/>
        </w:rPr>
        <w:t xml:space="preserve">Комуникационни дейности по конкретна програма – те се изпълняват от съответния УО. </w:t>
      </w:r>
    </w:p>
    <w:p w14:paraId="5B1855DD" w14:textId="77777777" w:rsidR="002C052F" w:rsidRPr="002C052F" w:rsidRDefault="002C052F" w:rsidP="002C052F">
      <w:pPr>
        <w:rPr>
          <w:color w:val="000000"/>
          <w:szCs w:val="24"/>
          <w:lang w:eastAsia="bg-BG"/>
        </w:rPr>
      </w:pPr>
      <w:r w:rsidRPr="002C052F">
        <w:rPr>
          <w:bCs/>
          <w:color w:val="000000"/>
          <w:szCs w:val="24"/>
          <w:lang w:eastAsia="bg-BG"/>
        </w:rPr>
        <w:t>В изпълнение на НКС, всеки управляващ орган разработва Годишен план за действие, в който да бъдат конкретизирани мерките за популяризиране и публичност на програмата.</w:t>
      </w:r>
    </w:p>
    <w:p w14:paraId="4FA2E6C3" w14:textId="77777777" w:rsidR="002C052F" w:rsidRPr="002C052F" w:rsidRDefault="002C052F" w:rsidP="002C052F">
      <w:pPr>
        <w:rPr>
          <w:color w:val="000000"/>
          <w:szCs w:val="24"/>
          <w:lang w:eastAsia="bg-BG"/>
        </w:rPr>
      </w:pPr>
    </w:p>
    <w:p w14:paraId="377B9AC3" w14:textId="77777777" w:rsidR="002C052F" w:rsidRPr="002C052F" w:rsidRDefault="002C052F" w:rsidP="002C052F">
      <w:pPr>
        <w:rPr>
          <w:b/>
          <w:bCs/>
          <w:color w:val="000000"/>
          <w:szCs w:val="24"/>
          <w:lang w:eastAsia="bg-BG"/>
        </w:rPr>
      </w:pPr>
      <w:r w:rsidRPr="002C052F">
        <w:rPr>
          <w:b/>
          <w:bCs/>
          <w:color w:val="000000"/>
          <w:szCs w:val="24"/>
          <w:lang w:eastAsia="bg-BG"/>
        </w:rPr>
        <w:t>Общи комуникационни дейности по всички програми, изпълнявани от ЦИО:</w:t>
      </w:r>
    </w:p>
    <w:p w14:paraId="1BECEF1A" w14:textId="77777777" w:rsidR="002C052F" w:rsidRPr="002C052F" w:rsidRDefault="002C052F" w:rsidP="002C052F">
      <w:pPr>
        <w:tabs>
          <w:tab w:val="num" w:pos="720"/>
        </w:tabs>
        <w:rPr>
          <w:color w:val="000000"/>
          <w:szCs w:val="24"/>
          <w:lang w:eastAsia="bg-BG"/>
        </w:rPr>
      </w:pPr>
      <w:r w:rsidRPr="002C052F">
        <w:rPr>
          <w:color w:val="000000"/>
          <w:szCs w:val="24"/>
          <w:lang w:eastAsia="bg-BG"/>
        </w:rPr>
        <w:t xml:space="preserve">Избор и прилагане на общо (единно) лого и слоган за програмен период 2014-2020 г.; </w:t>
      </w:r>
    </w:p>
    <w:p w14:paraId="6B9D7E20" w14:textId="77777777" w:rsidR="002C052F" w:rsidRPr="002C052F" w:rsidRDefault="002C052F" w:rsidP="002C052F">
      <w:pPr>
        <w:tabs>
          <w:tab w:val="num" w:pos="720"/>
        </w:tabs>
        <w:rPr>
          <w:color w:val="000000"/>
          <w:szCs w:val="24"/>
          <w:lang w:eastAsia="bg-BG"/>
        </w:rPr>
      </w:pPr>
      <w:r w:rsidRPr="002C052F">
        <w:rPr>
          <w:color w:val="000000"/>
          <w:szCs w:val="24"/>
          <w:lang w:eastAsia="bg-BG"/>
        </w:rPr>
        <w:t xml:space="preserve">Организиране и провеждане на общи информационни кампании и събития; </w:t>
      </w:r>
    </w:p>
    <w:p w14:paraId="13FC8EFC" w14:textId="77777777" w:rsidR="002C052F" w:rsidRPr="002C052F" w:rsidRDefault="002C052F" w:rsidP="002C052F">
      <w:pPr>
        <w:tabs>
          <w:tab w:val="num" w:pos="720"/>
        </w:tabs>
        <w:rPr>
          <w:color w:val="000000"/>
          <w:szCs w:val="24"/>
          <w:lang w:eastAsia="bg-BG"/>
        </w:rPr>
      </w:pPr>
      <w:r w:rsidRPr="002C052F">
        <w:rPr>
          <w:color w:val="000000"/>
          <w:szCs w:val="24"/>
          <w:lang w:eastAsia="bg-BG"/>
        </w:rPr>
        <w:t>Развитие на мрежата от 28 ОИЦ;</w:t>
      </w:r>
    </w:p>
    <w:p w14:paraId="5B0608AD" w14:textId="77777777" w:rsidR="002C052F" w:rsidRPr="002C052F" w:rsidRDefault="002C052F" w:rsidP="002C052F">
      <w:pPr>
        <w:tabs>
          <w:tab w:val="num" w:pos="720"/>
        </w:tabs>
        <w:rPr>
          <w:color w:val="000000"/>
          <w:szCs w:val="24"/>
          <w:lang w:eastAsia="bg-BG"/>
        </w:rPr>
      </w:pPr>
      <w:r w:rsidRPr="002C052F">
        <w:rPr>
          <w:color w:val="000000"/>
          <w:szCs w:val="24"/>
          <w:lang w:eastAsia="bg-BG"/>
        </w:rPr>
        <w:t xml:space="preserve">Поддържане и развитие на портала </w:t>
      </w:r>
      <w:hyperlink r:id="rId325" w:history="1">
        <w:r w:rsidRPr="002C052F">
          <w:rPr>
            <w:color w:val="0000FF"/>
            <w:szCs w:val="24"/>
            <w:u w:val="single"/>
            <w:lang w:eastAsia="bg-BG"/>
          </w:rPr>
          <w:t>www.eufunds.bg</w:t>
        </w:r>
      </w:hyperlink>
      <w:r w:rsidRPr="002C052F">
        <w:rPr>
          <w:color w:val="000000"/>
          <w:szCs w:val="24"/>
          <w:lang w:eastAsia="bg-BG"/>
        </w:rPr>
        <w:t>;</w:t>
      </w:r>
    </w:p>
    <w:p w14:paraId="1187B85B" w14:textId="77777777" w:rsidR="002C052F" w:rsidRPr="002C052F" w:rsidRDefault="002C052F" w:rsidP="002C052F">
      <w:pPr>
        <w:tabs>
          <w:tab w:val="num" w:pos="720"/>
        </w:tabs>
        <w:rPr>
          <w:color w:val="000000"/>
          <w:szCs w:val="24"/>
          <w:lang w:eastAsia="bg-BG"/>
        </w:rPr>
      </w:pPr>
      <w:r w:rsidRPr="002C052F">
        <w:rPr>
          <w:color w:val="000000"/>
          <w:szCs w:val="24"/>
          <w:lang w:eastAsia="bg-BG"/>
        </w:rPr>
        <w:t>Комуникация чрез социалните мрежи;</w:t>
      </w:r>
    </w:p>
    <w:p w14:paraId="1EB836EE" w14:textId="77777777" w:rsidR="002C052F" w:rsidRPr="002C052F" w:rsidRDefault="002C052F" w:rsidP="002C052F">
      <w:pPr>
        <w:tabs>
          <w:tab w:val="num" w:pos="720"/>
        </w:tabs>
        <w:rPr>
          <w:color w:val="000000"/>
          <w:szCs w:val="24"/>
          <w:lang w:eastAsia="bg-BG"/>
        </w:rPr>
      </w:pPr>
      <w:r w:rsidRPr="002C052F">
        <w:rPr>
          <w:color w:val="000000"/>
          <w:szCs w:val="24"/>
          <w:lang w:eastAsia="bg-BG"/>
        </w:rPr>
        <w:t>Мониторинг и оценка на НКС, което включва и социологически проучвания.</w:t>
      </w:r>
    </w:p>
    <w:p w14:paraId="1C2000F6" w14:textId="77777777" w:rsidR="002C052F" w:rsidRPr="002C052F" w:rsidRDefault="002C052F" w:rsidP="002C052F">
      <w:pPr>
        <w:rPr>
          <w:color w:val="000000"/>
          <w:szCs w:val="24"/>
          <w:lang w:eastAsia="bg-BG"/>
        </w:rPr>
      </w:pPr>
      <w:r w:rsidRPr="002C052F">
        <w:rPr>
          <w:color w:val="000000"/>
          <w:szCs w:val="24"/>
          <w:lang w:eastAsia="bg-BG"/>
        </w:rPr>
        <w:t xml:space="preserve">Всички изброени дейности се изпълняват централизирано от ЦИО, ролята на УО на ОПТТИ е да сътрудничи при изпълнението им, съобразно възможностите. </w:t>
      </w:r>
    </w:p>
    <w:p w14:paraId="12D18F33" w14:textId="77777777" w:rsidR="002C052F" w:rsidRPr="002C052F" w:rsidRDefault="002C052F" w:rsidP="002C052F">
      <w:pPr>
        <w:rPr>
          <w:color w:val="000000"/>
          <w:szCs w:val="24"/>
          <w:lang w:eastAsia="bg-BG"/>
        </w:rPr>
      </w:pPr>
    </w:p>
    <w:p w14:paraId="0C6F42FD" w14:textId="77777777" w:rsidR="002C052F" w:rsidRPr="002C052F" w:rsidRDefault="002C052F" w:rsidP="002C052F">
      <w:pPr>
        <w:rPr>
          <w:color w:val="000000"/>
          <w:szCs w:val="24"/>
          <w:lang w:eastAsia="bg-BG"/>
        </w:rPr>
      </w:pPr>
      <w:r w:rsidRPr="002C052F">
        <w:rPr>
          <w:color w:val="000000"/>
          <w:szCs w:val="24"/>
          <w:lang w:eastAsia="bg-BG"/>
        </w:rPr>
        <w:t xml:space="preserve">УО на ОПТТИ носи отговорност за разпространението на информацията по програмата и промотирането й. Публичното представяне на ОПТТИ цели подчертаване на ролята на Общността в процеса на развитие на транспортната инфраструктура в България и трябва да гарантира, че помощта предоставяна от Европейския фонд за регионално развитие и Кохезионния фонд се управлява и разходва прозрачно. </w:t>
      </w:r>
    </w:p>
    <w:p w14:paraId="2369A4E0" w14:textId="363CA8F0" w:rsidR="002C052F" w:rsidRPr="002C052F" w:rsidRDefault="002C052F" w:rsidP="002C052F">
      <w:pPr>
        <w:rPr>
          <w:color w:val="000000"/>
          <w:szCs w:val="24"/>
          <w:lang w:eastAsia="bg-BG"/>
        </w:rPr>
      </w:pPr>
      <w:r w:rsidRPr="002C052F">
        <w:rPr>
          <w:color w:val="000000"/>
          <w:szCs w:val="24"/>
          <w:lang w:eastAsia="bg-BG"/>
        </w:rPr>
        <w:t>Представители на отдел „</w:t>
      </w:r>
      <w:r w:rsidR="0013412A">
        <w:rPr>
          <w:color w:val="000000"/>
          <w:szCs w:val="24"/>
          <w:lang w:eastAsia="bg-BG"/>
        </w:rPr>
        <w:t>Информация, публичност и техническа помощ</w:t>
      </w:r>
      <w:r w:rsidRPr="002C052F">
        <w:rPr>
          <w:color w:val="000000"/>
          <w:szCs w:val="24"/>
          <w:lang w:eastAsia="bg-BG"/>
        </w:rPr>
        <w:t xml:space="preserve">” участват активно в дейността на националната мрежа на експертите по информация и публичност, координирана от ЦИО. </w:t>
      </w:r>
    </w:p>
    <w:p w14:paraId="26E6EB5C" w14:textId="77777777" w:rsidR="002C052F" w:rsidRPr="002C052F" w:rsidRDefault="002C052F" w:rsidP="002C052F">
      <w:pPr>
        <w:tabs>
          <w:tab w:val="left" w:pos="1134"/>
        </w:tabs>
        <w:rPr>
          <w:b/>
          <w:bCs/>
          <w:color w:val="000000"/>
          <w:szCs w:val="24"/>
          <w:lang w:eastAsia="bg-BG"/>
        </w:rPr>
      </w:pPr>
      <w:r w:rsidRPr="002C052F">
        <w:rPr>
          <w:b/>
          <w:bCs/>
          <w:color w:val="000000"/>
          <w:szCs w:val="24"/>
          <w:lang w:eastAsia="bg-BG"/>
        </w:rPr>
        <w:t xml:space="preserve">Дейности по информация и публичност на ниво програма, които ще бъдат изпълнявани от УО  на ОПТТИ,  съгласно приложение ХII, т.2. на Регламент 1303/2013 г.  на ЕС: </w:t>
      </w:r>
    </w:p>
    <w:p w14:paraId="03DFF4ED" w14:textId="77777777" w:rsidR="002C052F" w:rsidRPr="002C052F" w:rsidRDefault="002C052F" w:rsidP="002C052F">
      <w:pPr>
        <w:tabs>
          <w:tab w:val="left" w:pos="1134"/>
        </w:tabs>
        <w:rPr>
          <w:color w:val="000000"/>
          <w:szCs w:val="24"/>
          <w:lang w:eastAsia="bg-BG"/>
        </w:rPr>
      </w:pPr>
      <w:r w:rsidRPr="002C052F">
        <w:rPr>
          <w:color w:val="000000"/>
          <w:szCs w:val="24"/>
          <w:lang w:eastAsia="bg-BG"/>
        </w:rPr>
        <w:t xml:space="preserve">Държавата-членка или управляващият орган отговаря най-малко за следните мерки за информация и комуникация: </w:t>
      </w:r>
    </w:p>
    <w:p w14:paraId="41C3ED08" w14:textId="77777777" w:rsidR="002C052F" w:rsidRPr="006A6D08" w:rsidRDefault="002C052F" w:rsidP="006A6D08">
      <w:pPr>
        <w:pStyle w:val="ListParagraph"/>
        <w:numPr>
          <w:ilvl w:val="0"/>
          <w:numId w:val="491"/>
        </w:numPr>
        <w:tabs>
          <w:tab w:val="left" w:pos="1134"/>
        </w:tabs>
        <w:rPr>
          <w:color w:val="000000"/>
          <w:szCs w:val="24"/>
          <w:lang w:eastAsia="bg-BG"/>
        </w:rPr>
      </w:pPr>
      <w:r w:rsidRPr="006A6D08">
        <w:rPr>
          <w:b/>
          <w:bCs/>
          <w:color w:val="000000"/>
          <w:szCs w:val="24"/>
          <w:u w:val="single"/>
          <w:lang w:eastAsia="bg-BG"/>
        </w:rPr>
        <w:t>организирането на една голяма информационна дейност на година,</w:t>
      </w:r>
      <w:r w:rsidRPr="006A6D08">
        <w:rPr>
          <w:color w:val="000000"/>
          <w:szCs w:val="24"/>
          <w:lang w:eastAsia="bg-BG"/>
        </w:rPr>
        <w:t xml:space="preserve"> която популяризира възможностите за финансиране и изпълняваните стратегии и представя постиженията на оперативната програма или програми, включително, в случаите, в които е целесъобразно, големи проекти, съвместни планове за действие и други примери за проекти; </w:t>
      </w:r>
    </w:p>
    <w:p w14:paraId="146929F2" w14:textId="77777777" w:rsidR="002C052F" w:rsidRPr="006A6D08" w:rsidRDefault="002C052F" w:rsidP="006A6D08">
      <w:pPr>
        <w:pStyle w:val="ListParagraph"/>
        <w:numPr>
          <w:ilvl w:val="0"/>
          <w:numId w:val="491"/>
        </w:numPr>
        <w:tabs>
          <w:tab w:val="left" w:pos="1134"/>
        </w:tabs>
        <w:rPr>
          <w:color w:val="000000"/>
          <w:szCs w:val="24"/>
          <w:lang w:eastAsia="bg-BG"/>
        </w:rPr>
      </w:pPr>
      <w:r w:rsidRPr="006A6D08">
        <w:rPr>
          <w:color w:val="000000"/>
          <w:szCs w:val="24"/>
          <w:lang w:eastAsia="bg-BG"/>
        </w:rPr>
        <w:t xml:space="preserve">поставяне на </w:t>
      </w:r>
      <w:r w:rsidRPr="006A6D08">
        <w:rPr>
          <w:b/>
          <w:bCs/>
          <w:color w:val="000000"/>
          <w:szCs w:val="24"/>
          <w:u w:val="single"/>
          <w:lang w:eastAsia="bg-BG"/>
        </w:rPr>
        <w:t>емблемата на Съюза в помещенията</w:t>
      </w:r>
      <w:r w:rsidRPr="006A6D08">
        <w:rPr>
          <w:color w:val="000000"/>
          <w:szCs w:val="24"/>
          <w:lang w:eastAsia="bg-BG"/>
        </w:rPr>
        <w:t xml:space="preserve"> на всеки управляващ орган;</w:t>
      </w:r>
    </w:p>
    <w:p w14:paraId="217ADAD2" w14:textId="77777777" w:rsidR="002C052F" w:rsidRPr="006A6D08" w:rsidRDefault="002C052F" w:rsidP="006A6D08">
      <w:pPr>
        <w:pStyle w:val="ListParagraph"/>
        <w:numPr>
          <w:ilvl w:val="0"/>
          <w:numId w:val="491"/>
        </w:numPr>
        <w:tabs>
          <w:tab w:val="left" w:pos="1134"/>
        </w:tabs>
        <w:rPr>
          <w:color w:val="000000"/>
          <w:szCs w:val="24"/>
          <w:lang w:eastAsia="bg-BG"/>
        </w:rPr>
      </w:pPr>
      <w:r w:rsidRPr="006A6D08">
        <w:rPr>
          <w:color w:val="000000"/>
          <w:szCs w:val="24"/>
          <w:lang w:eastAsia="bg-BG"/>
        </w:rPr>
        <w:t xml:space="preserve">електронно </w:t>
      </w:r>
      <w:r w:rsidRPr="006A6D08">
        <w:rPr>
          <w:b/>
          <w:bCs/>
          <w:color w:val="000000"/>
          <w:szCs w:val="24"/>
          <w:u w:val="single"/>
          <w:lang w:eastAsia="bg-BG"/>
        </w:rPr>
        <w:t>публикуване на списъка на операциите</w:t>
      </w:r>
      <w:r w:rsidRPr="006A6D08">
        <w:rPr>
          <w:color w:val="000000"/>
          <w:szCs w:val="24"/>
          <w:lang w:eastAsia="bg-BG"/>
        </w:rPr>
        <w:t xml:space="preserve">, съответстващи с раздел 1 от приложение XII на регламент 1303/ 2013 ; </w:t>
      </w:r>
    </w:p>
    <w:p w14:paraId="01295CB8" w14:textId="77777777" w:rsidR="002C052F" w:rsidRPr="006A6D08" w:rsidRDefault="002C052F" w:rsidP="006A6D08">
      <w:pPr>
        <w:pStyle w:val="ListParagraph"/>
        <w:numPr>
          <w:ilvl w:val="0"/>
          <w:numId w:val="491"/>
        </w:numPr>
        <w:tabs>
          <w:tab w:val="left" w:pos="1134"/>
        </w:tabs>
        <w:rPr>
          <w:color w:val="000000"/>
          <w:szCs w:val="24"/>
          <w:lang w:eastAsia="bg-BG"/>
        </w:rPr>
      </w:pPr>
      <w:r w:rsidRPr="006A6D08">
        <w:rPr>
          <w:color w:val="000000"/>
          <w:szCs w:val="24"/>
          <w:lang w:eastAsia="bg-BG"/>
        </w:rPr>
        <w:t xml:space="preserve">посочване на </w:t>
      </w:r>
      <w:r w:rsidRPr="006A6D08">
        <w:rPr>
          <w:b/>
          <w:bCs/>
          <w:color w:val="000000"/>
          <w:szCs w:val="24"/>
          <w:u w:val="single"/>
          <w:lang w:eastAsia="bg-BG"/>
        </w:rPr>
        <w:t>примери за операции</w:t>
      </w:r>
      <w:r w:rsidRPr="006A6D08">
        <w:rPr>
          <w:color w:val="000000"/>
          <w:szCs w:val="24"/>
          <w:lang w:eastAsia="bg-BG"/>
        </w:rPr>
        <w:t xml:space="preserve"> по оперативни програми на единния уебсайт или на уебсайта на оперативната програма, който е достъпен през портала на единния уебсайт; примерите трябва да бъдат на широко разпространен официален език на Съюза, различен от официалния език или езици на съответната държава- членка; </w:t>
      </w:r>
    </w:p>
    <w:p w14:paraId="2AD6BBB0" w14:textId="77777777" w:rsidR="002C052F" w:rsidRPr="006A6D08" w:rsidRDefault="002C052F" w:rsidP="006A6D08">
      <w:pPr>
        <w:pStyle w:val="ListParagraph"/>
        <w:numPr>
          <w:ilvl w:val="0"/>
          <w:numId w:val="491"/>
        </w:numPr>
        <w:tabs>
          <w:tab w:val="left" w:pos="1134"/>
        </w:tabs>
        <w:rPr>
          <w:color w:val="000000"/>
          <w:szCs w:val="24"/>
          <w:lang w:eastAsia="bg-BG"/>
        </w:rPr>
      </w:pPr>
      <w:r w:rsidRPr="006A6D08">
        <w:rPr>
          <w:b/>
          <w:bCs/>
          <w:color w:val="000000"/>
          <w:szCs w:val="24"/>
          <w:u w:val="single"/>
          <w:lang w:eastAsia="bg-BG"/>
        </w:rPr>
        <w:t>актуализиране на информацията</w:t>
      </w:r>
      <w:r w:rsidRPr="006A6D08">
        <w:rPr>
          <w:color w:val="000000"/>
          <w:szCs w:val="24"/>
          <w:lang w:eastAsia="bg-BG"/>
        </w:rPr>
        <w:t xml:space="preserve"> за изпълнението на оперативната програма, включително, при целесъобразност, за основните й постижения, на единния </w:t>
      </w:r>
      <w:r w:rsidRPr="006A6D08">
        <w:rPr>
          <w:color w:val="000000"/>
          <w:szCs w:val="24"/>
          <w:lang w:eastAsia="bg-BG"/>
        </w:rPr>
        <w:lastRenderedPageBreak/>
        <w:t>уебсайт или на уебсайта на оперативната програма, който е достъпен през портала на единния уебсайт.</w:t>
      </w:r>
    </w:p>
    <w:p w14:paraId="0AEB154D" w14:textId="77777777" w:rsidR="002C052F" w:rsidRPr="006A6D08" w:rsidRDefault="002C052F" w:rsidP="006A6D08">
      <w:pPr>
        <w:pStyle w:val="ListParagraph"/>
        <w:numPr>
          <w:ilvl w:val="0"/>
          <w:numId w:val="491"/>
        </w:numPr>
        <w:tabs>
          <w:tab w:val="left" w:pos="1134"/>
        </w:tabs>
        <w:rPr>
          <w:color w:val="000000"/>
          <w:szCs w:val="24"/>
          <w:lang w:eastAsia="bg-BG"/>
        </w:rPr>
      </w:pPr>
      <w:r w:rsidRPr="006A6D08">
        <w:rPr>
          <w:color w:val="000000"/>
          <w:szCs w:val="24"/>
          <w:lang w:eastAsia="bg-BG"/>
        </w:rPr>
        <w:t xml:space="preserve">разработване на Годишен план за действие </w:t>
      </w:r>
      <w:r w:rsidRPr="006A6D08">
        <w:rPr>
          <w:b/>
          <w:bCs/>
          <w:color w:val="000000"/>
          <w:szCs w:val="24"/>
          <w:lang w:eastAsia="bg-BG"/>
        </w:rPr>
        <w:t>ГПД</w:t>
      </w:r>
      <w:r w:rsidRPr="006A6D08">
        <w:rPr>
          <w:color w:val="000000"/>
          <w:szCs w:val="24"/>
          <w:lang w:eastAsia="bg-BG"/>
        </w:rPr>
        <w:t>.</w:t>
      </w:r>
    </w:p>
    <w:p w14:paraId="779CD917" w14:textId="77777777" w:rsidR="002C052F" w:rsidRPr="006A6D08" w:rsidRDefault="002C052F" w:rsidP="006A6D08">
      <w:pPr>
        <w:pStyle w:val="ListParagraph"/>
        <w:numPr>
          <w:ilvl w:val="0"/>
          <w:numId w:val="491"/>
        </w:numPr>
        <w:tabs>
          <w:tab w:val="left" w:pos="1134"/>
        </w:tabs>
        <w:rPr>
          <w:color w:val="000000"/>
          <w:szCs w:val="24"/>
          <w:lang w:eastAsia="bg-BG"/>
        </w:rPr>
      </w:pPr>
      <w:r w:rsidRPr="006A6D08">
        <w:rPr>
          <w:color w:val="000000"/>
          <w:szCs w:val="24"/>
          <w:lang w:eastAsia="bg-BG"/>
        </w:rPr>
        <w:t>поддържането на препратка от уебсайта на оперативните програми към публичния модул на ИСУН.</w:t>
      </w:r>
    </w:p>
    <w:p w14:paraId="57412CB2" w14:textId="77777777" w:rsidR="002C052F" w:rsidRPr="006A6D08" w:rsidRDefault="002C052F" w:rsidP="006A6D08">
      <w:pPr>
        <w:pStyle w:val="ListParagraph"/>
        <w:numPr>
          <w:ilvl w:val="0"/>
          <w:numId w:val="491"/>
        </w:numPr>
        <w:tabs>
          <w:tab w:val="left" w:pos="1134"/>
        </w:tabs>
        <w:rPr>
          <w:color w:val="000000"/>
          <w:szCs w:val="24"/>
          <w:lang w:eastAsia="bg-BG"/>
        </w:rPr>
      </w:pPr>
      <w:r w:rsidRPr="006A6D08">
        <w:rPr>
          <w:color w:val="000000"/>
          <w:szCs w:val="24"/>
          <w:lang w:eastAsia="bg-BG"/>
        </w:rPr>
        <w:t>публикуване електронно на списък на бенефициентите, имената на операциите.</w:t>
      </w:r>
    </w:p>
    <w:p w14:paraId="7A5C8918" w14:textId="77777777" w:rsidR="002C052F" w:rsidRPr="006A6D08" w:rsidRDefault="002C052F" w:rsidP="006A6D08">
      <w:pPr>
        <w:pStyle w:val="ListParagraph"/>
        <w:numPr>
          <w:ilvl w:val="0"/>
          <w:numId w:val="491"/>
        </w:numPr>
        <w:tabs>
          <w:tab w:val="left" w:pos="1134"/>
        </w:tabs>
        <w:rPr>
          <w:color w:val="000000"/>
          <w:szCs w:val="24"/>
          <w:lang w:eastAsia="bg-BG"/>
        </w:rPr>
      </w:pPr>
      <w:r w:rsidRPr="006A6D08">
        <w:rPr>
          <w:color w:val="000000"/>
          <w:szCs w:val="24"/>
          <w:lang w:eastAsia="bg-BG"/>
        </w:rPr>
        <w:t>популяризиране на възможностите за финансиране по новооткрити процедури за предоставяне на БФП.</w:t>
      </w:r>
    </w:p>
    <w:p w14:paraId="4B045527" w14:textId="77777777" w:rsidR="002C052F" w:rsidRPr="006A6D08" w:rsidRDefault="002C052F" w:rsidP="006A6D08">
      <w:pPr>
        <w:pStyle w:val="ListParagraph"/>
        <w:numPr>
          <w:ilvl w:val="0"/>
          <w:numId w:val="491"/>
        </w:numPr>
        <w:tabs>
          <w:tab w:val="left" w:pos="1134"/>
        </w:tabs>
        <w:rPr>
          <w:color w:val="000000"/>
          <w:szCs w:val="24"/>
          <w:lang w:eastAsia="bg-BG"/>
        </w:rPr>
      </w:pPr>
      <w:r w:rsidRPr="006A6D08">
        <w:rPr>
          <w:color w:val="000000"/>
          <w:szCs w:val="24"/>
          <w:lang w:eastAsia="bg-BG"/>
        </w:rPr>
        <w:t xml:space="preserve">поддържането на интернет страница на програмата. </w:t>
      </w:r>
    </w:p>
    <w:p w14:paraId="0043A7B1" w14:textId="77777777" w:rsidR="002C052F" w:rsidRPr="006A6D08" w:rsidRDefault="002C052F" w:rsidP="006A6D08">
      <w:pPr>
        <w:pStyle w:val="ListParagraph"/>
        <w:numPr>
          <w:ilvl w:val="0"/>
          <w:numId w:val="491"/>
        </w:numPr>
        <w:tabs>
          <w:tab w:val="left" w:pos="1134"/>
        </w:tabs>
        <w:rPr>
          <w:color w:val="000000"/>
          <w:szCs w:val="24"/>
          <w:lang w:eastAsia="bg-BG"/>
        </w:rPr>
      </w:pPr>
      <w:r w:rsidRPr="006A6D08">
        <w:rPr>
          <w:color w:val="000000"/>
          <w:szCs w:val="24"/>
          <w:lang w:eastAsia="bg-BG"/>
        </w:rPr>
        <w:t>проактивно използване на социални мрежи като комуникационен канал за разпространение на информацията.</w:t>
      </w:r>
    </w:p>
    <w:p w14:paraId="3E84E1B4" w14:textId="77777777" w:rsidR="002C052F" w:rsidRPr="002C052F" w:rsidRDefault="002C052F" w:rsidP="002C052F">
      <w:pPr>
        <w:tabs>
          <w:tab w:val="num" w:pos="720"/>
          <w:tab w:val="left" w:pos="1134"/>
        </w:tabs>
        <w:rPr>
          <w:color w:val="000000"/>
          <w:szCs w:val="24"/>
          <w:lang w:eastAsia="bg-BG"/>
        </w:rPr>
      </w:pPr>
      <w:r w:rsidRPr="002C052F">
        <w:rPr>
          <w:color w:val="000000"/>
          <w:szCs w:val="24"/>
          <w:lang w:eastAsia="bg-BG"/>
        </w:rPr>
        <w:t>Управляващите органи и бенефициентите по  съответните програми, в зависимост от спецификата  на отделните програми и проекти, могат по тяхна преценка да възлагат за изпълнение дейности по информация и публичност на съответните бенефициенти и/или изпълнители по проектите.</w:t>
      </w:r>
    </w:p>
    <w:p w14:paraId="0AD39D46" w14:textId="77777777" w:rsidR="002C052F" w:rsidRPr="002C052F" w:rsidRDefault="002C052F" w:rsidP="002C052F">
      <w:pPr>
        <w:tabs>
          <w:tab w:val="left" w:pos="1134"/>
        </w:tabs>
        <w:rPr>
          <w:color w:val="000000"/>
          <w:szCs w:val="24"/>
          <w:lang w:eastAsia="bg-BG"/>
        </w:rPr>
      </w:pPr>
    </w:p>
    <w:p w14:paraId="734530FC" w14:textId="77777777" w:rsidR="002C052F" w:rsidRPr="002C052F" w:rsidRDefault="002C052F" w:rsidP="002C052F">
      <w:pPr>
        <w:tabs>
          <w:tab w:val="left" w:pos="1134"/>
        </w:tabs>
        <w:rPr>
          <w:color w:val="000000"/>
          <w:szCs w:val="24"/>
          <w:lang w:eastAsia="bg-BG"/>
        </w:rPr>
      </w:pPr>
      <w:r w:rsidRPr="002C052F">
        <w:rPr>
          <w:color w:val="000000"/>
          <w:szCs w:val="24"/>
          <w:lang w:eastAsia="bg-BG"/>
        </w:rPr>
        <w:t>УО трябва да предостави ясна и подробна информация на потенциалните бенефициенти относно следното, съгласно т.1 от чл.115 на Регламент 1303/ 2013:</w:t>
      </w:r>
    </w:p>
    <w:p w14:paraId="40753A58" w14:textId="77777777" w:rsidR="002C052F" w:rsidRPr="006A6D08" w:rsidRDefault="002C052F" w:rsidP="006A6D08">
      <w:pPr>
        <w:pStyle w:val="ListParagraph"/>
        <w:numPr>
          <w:ilvl w:val="0"/>
          <w:numId w:val="495"/>
        </w:numPr>
        <w:tabs>
          <w:tab w:val="left" w:pos="1134"/>
        </w:tabs>
        <w:rPr>
          <w:color w:val="000000"/>
          <w:szCs w:val="24"/>
          <w:lang w:eastAsia="bg-BG"/>
        </w:rPr>
      </w:pPr>
      <w:r w:rsidRPr="006A6D08">
        <w:rPr>
          <w:color w:val="000000"/>
          <w:szCs w:val="24"/>
          <w:lang w:eastAsia="bg-BG"/>
        </w:rPr>
        <w:t>възможностите за финансиране предлагани съвместно от Общността и страната-членка чрез ОПТТИ;</w:t>
      </w:r>
    </w:p>
    <w:p w14:paraId="6C4C131D" w14:textId="77777777" w:rsidR="002C052F" w:rsidRPr="006A6D08" w:rsidRDefault="002C052F" w:rsidP="006A6D08">
      <w:pPr>
        <w:pStyle w:val="ListParagraph"/>
        <w:numPr>
          <w:ilvl w:val="0"/>
          <w:numId w:val="495"/>
        </w:numPr>
        <w:tabs>
          <w:tab w:val="left" w:pos="1134"/>
        </w:tabs>
        <w:rPr>
          <w:color w:val="000000"/>
          <w:szCs w:val="24"/>
          <w:lang w:eastAsia="bg-BG"/>
        </w:rPr>
      </w:pPr>
      <w:r w:rsidRPr="006A6D08">
        <w:rPr>
          <w:color w:val="000000"/>
          <w:szCs w:val="24"/>
          <w:lang w:eastAsia="bg-BG"/>
        </w:rPr>
        <w:t>критериите за избираемост и изискванията, които трябва да се изпълнят, за да се получи финансиране  чрез ОПТТИ;</w:t>
      </w:r>
    </w:p>
    <w:p w14:paraId="3D8634E0" w14:textId="77777777" w:rsidR="002C052F" w:rsidRPr="006A6D08" w:rsidRDefault="002C052F" w:rsidP="006A6D08">
      <w:pPr>
        <w:pStyle w:val="ListParagraph"/>
        <w:numPr>
          <w:ilvl w:val="0"/>
          <w:numId w:val="495"/>
        </w:numPr>
        <w:tabs>
          <w:tab w:val="left" w:pos="1134"/>
        </w:tabs>
        <w:rPr>
          <w:color w:val="000000"/>
          <w:szCs w:val="24"/>
          <w:lang w:eastAsia="bg-BG"/>
        </w:rPr>
      </w:pPr>
      <w:r w:rsidRPr="006A6D08">
        <w:rPr>
          <w:color w:val="000000"/>
          <w:szCs w:val="24"/>
          <w:lang w:eastAsia="bg-BG"/>
        </w:rPr>
        <w:t>процедурите, през които трябва да преминат кандидатите за финансиране и продължителността им;</w:t>
      </w:r>
    </w:p>
    <w:p w14:paraId="60A73A3C" w14:textId="77777777" w:rsidR="002C052F" w:rsidRPr="006A6D08" w:rsidRDefault="002C052F" w:rsidP="006A6D08">
      <w:pPr>
        <w:pStyle w:val="ListParagraph"/>
        <w:numPr>
          <w:ilvl w:val="0"/>
          <w:numId w:val="495"/>
        </w:numPr>
        <w:tabs>
          <w:tab w:val="left" w:pos="1134"/>
        </w:tabs>
        <w:rPr>
          <w:color w:val="000000"/>
          <w:szCs w:val="24"/>
          <w:lang w:eastAsia="bg-BG"/>
        </w:rPr>
      </w:pPr>
      <w:r w:rsidRPr="006A6D08">
        <w:rPr>
          <w:color w:val="000000"/>
          <w:szCs w:val="24"/>
          <w:lang w:eastAsia="bg-BG"/>
        </w:rPr>
        <w:t>критериите за избор на операции, които ще се финансират;</w:t>
      </w:r>
    </w:p>
    <w:p w14:paraId="0A71E6DE" w14:textId="77777777" w:rsidR="002C052F" w:rsidRPr="006A6D08" w:rsidRDefault="002C052F" w:rsidP="006A6D08">
      <w:pPr>
        <w:pStyle w:val="ListParagraph"/>
        <w:numPr>
          <w:ilvl w:val="0"/>
          <w:numId w:val="495"/>
        </w:numPr>
        <w:tabs>
          <w:tab w:val="left" w:pos="1134"/>
        </w:tabs>
        <w:rPr>
          <w:color w:val="000000"/>
          <w:szCs w:val="24"/>
          <w:lang w:eastAsia="bg-BG"/>
        </w:rPr>
      </w:pPr>
      <w:r w:rsidRPr="006A6D08">
        <w:rPr>
          <w:color w:val="000000"/>
          <w:szCs w:val="24"/>
          <w:lang w:eastAsia="bg-BG"/>
        </w:rPr>
        <w:t xml:space="preserve">контакти на национално, регионално и местно ниво, от където може да се получи информация за ОПТТИ.   </w:t>
      </w:r>
    </w:p>
    <w:p w14:paraId="4EB288AC" w14:textId="77777777" w:rsidR="002C052F" w:rsidRPr="002C052F" w:rsidRDefault="002C052F" w:rsidP="002C052F">
      <w:pPr>
        <w:tabs>
          <w:tab w:val="left" w:pos="1134"/>
        </w:tabs>
        <w:rPr>
          <w:color w:val="000000"/>
          <w:szCs w:val="24"/>
          <w:highlight w:val="yellow"/>
          <w:lang w:eastAsia="bg-BG"/>
        </w:rPr>
      </w:pPr>
    </w:p>
    <w:p w14:paraId="323206E7" w14:textId="77777777" w:rsidR="002C052F" w:rsidRPr="002C052F" w:rsidRDefault="002C052F" w:rsidP="002C052F">
      <w:pPr>
        <w:tabs>
          <w:tab w:val="left" w:pos="1134"/>
        </w:tabs>
        <w:rPr>
          <w:color w:val="000000"/>
          <w:szCs w:val="24"/>
          <w:lang w:eastAsia="bg-BG"/>
        </w:rPr>
      </w:pPr>
      <w:r w:rsidRPr="002C052F">
        <w:rPr>
          <w:color w:val="000000"/>
          <w:szCs w:val="24"/>
          <w:lang w:eastAsia="bg-BG"/>
        </w:rPr>
        <w:t>При изпълнението на мерките за информация и публичност, съгласно националното законодателство и практики, Управляващият орган трябва да привлече минимум една от долу представените структури за разпространение на информация:</w:t>
      </w:r>
    </w:p>
    <w:p w14:paraId="443F8C48" w14:textId="77777777" w:rsidR="002C052F" w:rsidRPr="006A6D08" w:rsidRDefault="002C052F" w:rsidP="006A6D08">
      <w:pPr>
        <w:pStyle w:val="ListParagraph"/>
        <w:numPr>
          <w:ilvl w:val="0"/>
          <w:numId w:val="495"/>
        </w:numPr>
        <w:tabs>
          <w:tab w:val="left" w:pos="1134"/>
        </w:tabs>
        <w:rPr>
          <w:color w:val="000000"/>
          <w:szCs w:val="24"/>
          <w:lang w:eastAsia="bg-BG"/>
        </w:rPr>
      </w:pPr>
      <w:r w:rsidRPr="006A6D08">
        <w:rPr>
          <w:color w:val="000000"/>
          <w:szCs w:val="24"/>
          <w:lang w:eastAsia="bg-BG"/>
        </w:rPr>
        <w:t>национални, регионални и местни власти и агенции за развитие;</w:t>
      </w:r>
    </w:p>
    <w:p w14:paraId="54F5811E" w14:textId="77777777" w:rsidR="002C052F" w:rsidRPr="006A6D08" w:rsidRDefault="002C052F" w:rsidP="006A6D08">
      <w:pPr>
        <w:pStyle w:val="ListParagraph"/>
        <w:numPr>
          <w:ilvl w:val="0"/>
          <w:numId w:val="495"/>
        </w:numPr>
        <w:tabs>
          <w:tab w:val="left" w:pos="1134"/>
        </w:tabs>
        <w:rPr>
          <w:color w:val="000000"/>
          <w:szCs w:val="24"/>
          <w:lang w:eastAsia="bg-BG"/>
        </w:rPr>
      </w:pPr>
      <w:r w:rsidRPr="006A6D08">
        <w:rPr>
          <w:color w:val="000000"/>
          <w:szCs w:val="24"/>
          <w:lang w:eastAsia="bg-BG"/>
        </w:rPr>
        <w:t>търговски и професионални организации;</w:t>
      </w:r>
    </w:p>
    <w:p w14:paraId="6967495E" w14:textId="77777777" w:rsidR="002C052F" w:rsidRPr="006A6D08" w:rsidRDefault="002C052F" w:rsidP="006A6D08">
      <w:pPr>
        <w:pStyle w:val="ListParagraph"/>
        <w:numPr>
          <w:ilvl w:val="0"/>
          <w:numId w:val="495"/>
        </w:numPr>
        <w:tabs>
          <w:tab w:val="left" w:pos="1134"/>
        </w:tabs>
        <w:rPr>
          <w:color w:val="000000"/>
          <w:szCs w:val="24"/>
          <w:lang w:eastAsia="bg-BG"/>
        </w:rPr>
      </w:pPr>
      <w:r w:rsidRPr="006A6D08">
        <w:rPr>
          <w:color w:val="000000"/>
          <w:szCs w:val="24"/>
          <w:lang w:eastAsia="bg-BG"/>
        </w:rPr>
        <w:t>икономически и социални партньори;</w:t>
      </w:r>
    </w:p>
    <w:p w14:paraId="3A768373" w14:textId="77777777" w:rsidR="002C052F" w:rsidRPr="006A6D08" w:rsidRDefault="002C052F" w:rsidP="006A6D08">
      <w:pPr>
        <w:pStyle w:val="ListParagraph"/>
        <w:numPr>
          <w:ilvl w:val="0"/>
          <w:numId w:val="495"/>
        </w:numPr>
        <w:tabs>
          <w:tab w:val="left" w:pos="1134"/>
        </w:tabs>
        <w:rPr>
          <w:color w:val="000000"/>
          <w:szCs w:val="24"/>
          <w:lang w:eastAsia="bg-BG"/>
        </w:rPr>
      </w:pPr>
      <w:r w:rsidRPr="006A6D08">
        <w:rPr>
          <w:color w:val="000000"/>
          <w:szCs w:val="24"/>
          <w:lang w:eastAsia="bg-BG"/>
        </w:rPr>
        <w:t>неправителствени организации;</w:t>
      </w:r>
    </w:p>
    <w:p w14:paraId="6F9DA69F" w14:textId="77777777" w:rsidR="002C052F" w:rsidRPr="006A6D08" w:rsidRDefault="002C052F" w:rsidP="006A6D08">
      <w:pPr>
        <w:pStyle w:val="ListParagraph"/>
        <w:numPr>
          <w:ilvl w:val="0"/>
          <w:numId w:val="495"/>
        </w:numPr>
        <w:tabs>
          <w:tab w:val="left" w:pos="1134"/>
        </w:tabs>
        <w:rPr>
          <w:color w:val="000000"/>
          <w:szCs w:val="24"/>
          <w:lang w:eastAsia="bg-BG"/>
        </w:rPr>
      </w:pPr>
      <w:r w:rsidRPr="006A6D08">
        <w:rPr>
          <w:color w:val="000000"/>
          <w:szCs w:val="24"/>
          <w:lang w:eastAsia="bg-BG"/>
        </w:rPr>
        <w:t>организации, представляващи бизнеса;</w:t>
      </w:r>
    </w:p>
    <w:p w14:paraId="0E0E056B" w14:textId="77777777" w:rsidR="002C052F" w:rsidRPr="006A6D08" w:rsidRDefault="002C052F" w:rsidP="006A6D08">
      <w:pPr>
        <w:pStyle w:val="ListParagraph"/>
        <w:numPr>
          <w:ilvl w:val="0"/>
          <w:numId w:val="495"/>
        </w:numPr>
        <w:tabs>
          <w:tab w:val="left" w:pos="1134"/>
        </w:tabs>
        <w:rPr>
          <w:color w:val="000000"/>
          <w:szCs w:val="24"/>
          <w:lang w:eastAsia="bg-BG"/>
        </w:rPr>
      </w:pPr>
      <w:r w:rsidRPr="006A6D08">
        <w:rPr>
          <w:color w:val="000000"/>
          <w:szCs w:val="24"/>
          <w:lang w:eastAsia="bg-BG"/>
        </w:rPr>
        <w:t>Европейските информационни центрове както и Представителствата на ЕК в страните-членки;</w:t>
      </w:r>
    </w:p>
    <w:p w14:paraId="4AF2A3D3" w14:textId="77777777" w:rsidR="002C052F" w:rsidRPr="006A6D08" w:rsidRDefault="002C052F" w:rsidP="006A6D08">
      <w:pPr>
        <w:pStyle w:val="ListParagraph"/>
        <w:numPr>
          <w:ilvl w:val="0"/>
          <w:numId w:val="495"/>
        </w:numPr>
        <w:tabs>
          <w:tab w:val="left" w:pos="1134"/>
        </w:tabs>
        <w:rPr>
          <w:color w:val="000000"/>
          <w:szCs w:val="24"/>
          <w:lang w:eastAsia="bg-BG"/>
        </w:rPr>
      </w:pPr>
      <w:r w:rsidRPr="006A6D08">
        <w:rPr>
          <w:color w:val="000000"/>
          <w:szCs w:val="24"/>
          <w:lang w:eastAsia="bg-BG"/>
        </w:rPr>
        <w:t>Образователни институции</w:t>
      </w:r>
      <w:r w:rsidR="0013412A" w:rsidRPr="006A6D08">
        <w:rPr>
          <w:color w:val="000000"/>
          <w:szCs w:val="24"/>
          <w:lang w:eastAsia="bg-BG"/>
        </w:rPr>
        <w:t>.</w:t>
      </w:r>
      <w:r w:rsidRPr="006A6D08">
        <w:rPr>
          <w:color w:val="000000"/>
          <w:szCs w:val="24"/>
          <w:lang w:eastAsia="bg-BG"/>
        </w:rPr>
        <w:t xml:space="preserve"> </w:t>
      </w:r>
    </w:p>
    <w:p w14:paraId="5983BA34" w14:textId="77777777" w:rsidR="002C052F" w:rsidRPr="002C052F" w:rsidRDefault="002C052F" w:rsidP="002C052F">
      <w:pPr>
        <w:tabs>
          <w:tab w:val="left" w:pos="1134"/>
        </w:tabs>
        <w:spacing w:before="120"/>
        <w:rPr>
          <w:b/>
          <w:bCs/>
          <w:color w:val="000000"/>
          <w:szCs w:val="24"/>
          <w:lang w:eastAsia="bg-BG"/>
        </w:rPr>
      </w:pPr>
      <w:r w:rsidRPr="002C052F">
        <w:rPr>
          <w:b/>
          <w:bCs/>
          <w:color w:val="000000"/>
          <w:szCs w:val="24"/>
          <w:lang w:eastAsia="bg-BG"/>
        </w:rPr>
        <w:t xml:space="preserve">Мониторинг и оценка на НКС: </w:t>
      </w:r>
    </w:p>
    <w:p w14:paraId="2D8B53F4" w14:textId="77777777" w:rsidR="002C052F" w:rsidRPr="002C052F" w:rsidRDefault="002C052F" w:rsidP="002C052F">
      <w:pPr>
        <w:tabs>
          <w:tab w:val="left" w:pos="1134"/>
        </w:tabs>
        <w:rPr>
          <w:b/>
          <w:bCs/>
          <w:color w:val="000000"/>
          <w:szCs w:val="24"/>
          <w:u w:val="single"/>
          <w:lang w:eastAsia="bg-BG"/>
        </w:rPr>
      </w:pPr>
      <w:r w:rsidRPr="002C052F">
        <w:rPr>
          <w:color w:val="000000"/>
          <w:szCs w:val="24"/>
          <w:lang w:eastAsia="bg-BG"/>
        </w:rPr>
        <w:t xml:space="preserve">Дейностите по информация и комуникация ще бъдат оценявани по </w:t>
      </w:r>
      <w:r w:rsidRPr="002C052F">
        <w:rPr>
          <w:b/>
          <w:bCs/>
          <w:color w:val="000000"/>
          <w:szCs w:val="24"/>
          <w:u w:val="single"/>
          <w:lang w:eastAsia="bg-BG"/>
        </w:rPr>
        <w:t xml:space="preserve">стандартизирани критерии и индикатори.  </w:t>
      </w:r>
      <w:r w:rsidRPr="002C052F">
        <w:rPr>
          <w:color w:val="000000"/>
          <w:szCs w:val="24"/>
          <w:lang w:eastAsia="bg-BG"/>
        </w:rPr>
        <w:t>Оценката на изпълнението на дейностите по информация и комуникация ще се извършва на равнище НКС като цяло (дейностите ще се извършват от ЦИО) чрез:</w:t>
      </w:r>
    </w:p>
    <w:p w14:paraId="5520832B" w14:textId="77777777" w:rsidR="002C052F" w:rsidRPr="006A6D08" w:rsidRDefault="002C052F" w:rsidP="006A6D08">
      <w:pPr>
        <w:pStyle w:val="ListParagraph"/>
        <w:numPr>
          <w:ilvl w:val="0"/>
          <w:numId w:val="496"/>
        </w:numPr>
        <w:tabs>
          <w:tab w:val="left" w:pos="1134"/>
        </w:tabs>
        <w:rPr>
          <w:color w:val="000000"/>
          <w:szCs w:val="24"/>
          <w:lang w:eastAsia="bg-BG"/>
        </w:rPr>
      </w:pPr>
      <w:r w:rsidRPr="006A6D08">
        <w:rPr>
          <w:color w:val="000000"/>
          <w:szCs w:val="24"/>
          <w:lang w:eastAsia="bg-BG"/>
        </w:rPr>
        <w:t>социологически изследвания;</w:t>
      </w:r>
    </w:p>
    <w:p w14:paraId="5B54E60E" w14:textId="77777777" w:rsidR="002C052F" w:rsidRPr="006A6D08" w:rsidRDefault="002C052F" w:rsidP="006A6D08">
      <w:pPr>
        <w:pStyle w:val="ListParagraph"/>
        <w:numPr>
          <w:ilvl w:val="0"/>
          <w:numId w:val="496"/>
        </w:numPr>
        <w:tabs>
          <w:tab w:val="left" w:pos="1134"/>
        </w:tabs>
        <w:rPr>
          <w:color w:val="000000"/>
          <w:szCs w:val="24"/>
          <w:lang w:eastAsia="bg-BG"/>
        </w:rPr>
      </w:pPr>
      <w:r w:rsidRPr="006A6D08">
        <w:rPr>
          <w:color w:val="000000"/>
          <w:szCs w:val="24"/>
          <w:lang w:eastAsia="bg-BG"/>
        </w:rPr>
        <w:t>регулярен медиен мониторинг и контент анализ на публикациите и излъчванията в медиите по теми за ЕСИФ;</w:t>
      </w:r>
    </w:p>
    <w:p w14:paraId="630A9454" w14:textId="77777777" w:rsidR="002C052F" w:rsidRPr="006A6D08" w:rsidRDefault="002C052F" w:rsidP="006A6D08">
      <w:pPr>
        <w:pStyle w:val="ListParagraph"/>
        <w:numPr>
          <w:ilvl w:val="0"/>
          <w:numId w:val="496"/>
        </w:numPr>
        <w:tabs>
          <w:tab w:val="left" w:pos="1134"/>
        </w:tabs>
        <w:rPr>
          <w:color w:val="000000"/>
          <w:szCs w:val="24"/>
          <w:lang w:eastAsia="bg-BG"/>
        </w:rPr>
      </w:pPr>
      <w:r w:rsidRPr="006A6D08">
        <w:rPr>
          <w:color w:val="000000"/>
          <w:szCs w:val="24"/>
          <w:lang w:eastAsia="bg-BG"/>
        </w:rPr>
        <w:lastRenderedPageBreak/>
        <w:t>репортинг-системата за мониторинг и обобщаване данните, подавани от отделните програми за отчитане дейностите, които те изпълняват на равнище отделна програма;</w:t>
      </w:r>
    </w:p>
    <w:p w14:paraId="27E95447" w14:textId="77777777" w:rsidR="002C052F" w:rsidRPr="006A6D08" w:rsidRDefault="002C052F" w:rsidP="006A6D08">
      <w:pPr>
        <w:pStyle w:val="ListParagraph"/>
        <w:numPr>
          <w:ilvl w:val="0"/>
          <w:numId w:val="496"/>
        </w:numPr>
        <w:tabs>
          <w:tab w:val="left" w:pos="1134"/>
        </w:tabs>
        <w:rPr>
          <w:color w:val="000000"/>
          <w:szCs w:val="24"/>
          <w:lang w:eastAsia="bg-BG"/>
        </w:rPr>
      </w:pPr>
      <w:r w:rsidRPr="006A6D08">
        <w:rPr>
          <w:color w:val="000000"/>
          <w:szCs w:val="24"/>
          <w:lang w:eastAsia="bg-BG"/>
        </w:rPr>
        <w:t>анализ-оценка на цялостното изпълнение на годишните планове за комуникация и информация по отделните програми.</w:t>
      </w:r>
    </w:p>
    <w:p w14:paraId="3D52E1A3" w14:textId="77777777" w:rsidR="002C052F" w:rsidRPr="002C052F" w:rsidRDefault="002C052F" w:rsidP="002C052F">
      <w:pPr>
        <w:ind w:firstLine="708"/>
        <w:rPr>
          <w:b/>
          <w:bCs/>
          <w:color w:val="000000"/>
          <w:szCs w:val="24"/>
          <w:lang w:eastAsia="bg-BG"/>
        </w:rPr>
      </w:pPr>
    </w:p>
    <w:p w14:paraId="2FA70CBF" w14:textId="77777777" w:rsidR="002C052F" w:rsidRPr="006A6D08" w:rsidRDefault="00604C18" w:rsidP="006A6D08">
      <w:pPr>
        <w:pStyle w:val="Style2"/>
        <w:numPr>
          <w:ilvl w:val="0"/>
          <w:numId w:val="0"/>
        </w:numPr>
        <w:ind w:left="792"/>
      </w:pPr>
      <w:bookmarkStart w:id="1370" w:name="_Toc140150324"/>
      <w:r w:rsidRPr="006A6D08">
        <w:t xml:space="preserve">35.3. </w:t>
      </w:r>
      <w:r w:rsidR="002C052F" w:rsidRPr="006A6D08">
        <w:t>Задължения на бенефициентите на ОПТТИ</w:t>
      </w:r>
      <w:bookmarkEnd w:id="1370"/>
    </w:p>
    <w:p w14:paraId="36A0CFC2" w14:textId="77777777" w:rsidR="002C052F" w:rsidRPr="002C052F" w:rsidRDefault="002C052F" w:rsidP="002C052F">
      <w:pPr>
        <w:tabs>
          <w:tab w:val="left" w:pos="1134"/>
        </w:tabs>
        <w:rPr>
          <w:color w:val="000000"/>
          <w:szCs w:val="24"/>
          <w:lang w:eastAsia="bg-BG"/>
        </w:rPr>
      </w:pPr>
      <w:r w:rsidRPr="002C052F">
        <w:rPr>
          <w:color w:val="000000"/>
          <w:szCs w:val="24"/>
          <w:lang w:eastAsia="bg-BG"/>
        </w:rPr>
        <w:t xml:space="preserve">Информацията и публичността на проектно ниво са основна отговорност на бенефициентите и това тяхно задължение е включено в текстовете на Оперативните споразумения по ОПТТИ ,  Договорите за предоставяне на безвъзмездна финансова помощ от ОПТТИ както и във формулярите за кандидатстване. </w:t>
      </w:r>
    </w:p>
    <w:p w14:paraId="524F0D2F" w14:textId="77777777" w:rsidR="002C052F" w:rsidRPr="002C052F" w:rsidRDefault="002C052F" w:rsidP="002C052F">
      <w:pPr>
        <w:tabs>
          <w:tab w:val="left" w:pos="1134"/>
        </w:tabs>
        <w:rPr>
          <w:color w:val="000000"/>
          <w:szCs w:val="24"/>
          <w:lang w:eastAsia="bg-BG"/>
        </w:rPr>
      </w:pPr>
    </w:p>
    <w:p w14:paraId="3DB99765" w14:textId="77777777" w:rsidR="002C052F" w:rsidRPr="002C052F" w:rsidRDefault="002C052F" w:rsidP="002C052F">
      <w:pPr>
        <w:tabs>
          <w:tab w:val="left" w:pos="1134"/>
        </w:tabs>
        <w:rPr>
          <w:color w:val="000000"/>
          <w:szCs w:val="24"/>
          <w:lang w:eastAsia="bg-BG"/>
        </w:rPr>
      </w:pPr>
      <w:r w:rsidRPr="002C052F">
        <w:rPr>
          <w:color w:val="000000"/>
          <w:szCs w:val="24"/>
          <w:lang w:eastAsia="bg-BG"/>
        </w:rPr>
        <w:t>1. Минимални изисквания.</w:t>
      </w:r>
    </w:p>
    <w:p w14:paraId="13F1D6EF" w14:textId="77777777" w:rsidR="002C052F" w:rsidRPr="002C052F" w:rsidRDefault="002C052F" w:rsidP="002C052F">
      <w:pPr>
        <w:tabs>
          <w:tab w:val="left" w:pos="1134"/>
        </w:tabs>
        <w:rPr>
          <w:color w:val="000000"/>
          <w:szCs w:val="24"/>
          <w:lang w:eastAsia="bg-BG"/>
        </w:rPr>
      </w:pPr>
      <w:r w:rsidRPr="002C052F">
        <w:rPr>
          <w:color w:val="000000"/>
          <w:szCs w:val="24"/>
          <w:lang w:eastAsia="bg-BG"/>
        </w:rPr>
        <w:t>Съгласно приложение XII на Регламент 1303/ 2013 на ЕК, бенефициентите трябва да изпълняват следните минимални изисквания по отношение всички мерки за информация и комуникация на проектите съфинансирани от Структурните инструменти, като се популяризира подкрепата от фондовете за операцията чрез поставяне на:</w:t>
      </w:r>
    </w:p>
    <w:p w14:paraId="3FCF4F1D" w14:textId="77777777" w:rsidR="002C052F" w:rsidRPr="002C052F" w:rsidRDefault="002C052F" w:rsidP="002C052F">
      <w:pPr>
        <w:tabs>
          <w:tab w:val="left" w:pos="1134"/>
        </w:tabs>
        <w:rPr>
          <w:color w:val="000000"/>
          <w:szCs w:val="24"/>
          <w:lang w:eastAsia="bg-BG"/>
        </w:rPr>
      </w:pPr>
      <w:r w:rsidRPr="002C052F">
        <w:rPr>
          <w:color w:val="000000"/>
          <w:szCs w:val="24"/>
          <w:lang w:eastAsia="bg-BG"/>
        </w:rPr>
        <w:t xml:space="preserve">а) емблемата на Съюза в съответствие с техническите характеристики, предвидени в акта за изпълнение, приет от Комисията съгласно член 115, параграф 4 на Регламент 1303/ 2013, заедно с упоменаване на Съюза; </w:t>
      </w:r>
    </w:p>
    <w:p w14:paraId="0F1ADF88" w14:textId="77777777" w:rsidR="002C052F" w:rsidRPr="002C052F" w:rsidRDefault="002C052F" w:rsidP="002C052F">
      <w:pPr>
        <w:tabs>
          <w:tab w:val="left" w:pos="1134"/>
        </w:tabs>
        <w:rPr>
          <w:color w:val="000000"/>
          <w:szCs w:val="24"/>
          <w:lang w:eastAsia="bg-BG"/>
        </w:rPr>
      </w:pPr>
      <w:r w:rsidRPr="002C052F">
        <w:rPr>
          <w:color w:val="000000"/>
          <w:szCs w:val="24"/>
          <w:lang w:eastAsia="bg-BG"/>
        </w:rPr>
        <w:t xml:space="preserve">б) упоменаване на фонда или фондовете, които оказват подкрепа на операцията. </w:t>
      </w:r>
    </w:p>
    <w:p w14:paraId="14FE2FA3" w14:textId="77777777" w:rsidR="002C052F" w:rsidRPr="002C052F" w:rsidRDefault="002C052F" w:rsidP="002C052F">
      <w:pPr>
        <w:tabs>
          <w:tab w:val="left" w:pos="1134"/>
        </w:tabs>
        <w:rPr>
          <w:color w:val="000000"/>
          <w:szCs w:val="24"/>
          <w:lang w:eastAsia="bg-BG"/>
        </w:rPr>
      </w:pPr>
      <w:r w:rsidRPr="002C052F">
        <w:rPr>
          <w:color w:val="000000"/>
          <w:szCs w:val="24"/>
          <w:lang w:eastAsia="bg-BG"/>
        </w:rPr>
        <w:t>Когато мерките за информация или комуникация са свързани с операция или с няколко операции, съфинансирани от повече от един фонд, предвиденото в точка б) упоменаване може да се замени с упоменаване на европейските структурни и инвестиционни фондове.</w:t>
      </w:r>
    </w:p>
    <w:p w14:paraId="767641C6" w14:textId="77777777" w:rsidR="002C052F" w:rsidRPr="002C052F" w:rsidRDefault="002C052F" w:rsidP="002C052F">
      <w:pPr>
        <w:numPr>
          <w:ilvl w:val="1"/>
          <w:numId w:val="0"/>
        </w:numPr>
        <w:tabs>
          <w:tab w:val="left" w:pos="1134"/>
          <w:tab w:val="num" w:pos="1495"/>
        </w:tabs>
        <w:ind w:firstLine="851"/>
        <w:rPr>
          <w:color w:val="000000"/>
          <w:szCs w:val="24"/>
          <w:lang w:eastAsia="bg-BG"/>
        </w:rPr>
      </w:pPr>
      <w:r w:rsidRPr="002C052F">
        <w:rPr>
          <w:color w:val="000000"/>
          <w:szCs w:val="24"/>
          <w:lang w:eastAsia="bg-BG"/>
        </w:rPr>
        <w:t>Постоянна табела, временен билборд и плакат.</w:t>
      </w:r>
    </w:p>
    <w:p w14:paraId="31C646A9" w14:textId="77777777" w:rsidR="002C052F" w:rsidRPr="002C052F" w:rsidRDefault="002C052F" w:rsidP="002C052F">
      <w:pPr>
        <w:tabs>
          <w:tab w:val="left" w:pos="1134"/>
        </w:tabs>
        <w:rPr>
          <w:color w:val="000000"/>
          <w:szCs w:val="24"/>
          <w:lang w:eastAsia="bg-BG"/>
        </w:rPr>
      </w:pPr>
      <w:r w:rsidRPr="002C052F">
        <w:rPr>
          <w:color w:val="000000"/>
          <w:szCs w:val="24"/>
          <w:lang w:eastAsia="bg-BG"/>
        </w:rPr>
        <w:t xml:space="preserve">Бенефициентите трябва да поставят </w:t>
      </w:r>
      <w:r w:rsidRPr="002C052F">
        <w:rPr>
          <w:b/>
          <w:color w:val="000000"/>
          <w:szCs w:val="24"/>
          <w:lang w:eastAsia="bg-BG"/>
        </w:rPr>
        <w:t>постоянна табела или постоянен билборд</w:t>
      </w:r>
      <w:r w:rsidRPr="002C052F">
        <w:rPr>
          <w:color w:val="000000"/>
          <w:szCs w:val="24"/>
          <w:lang w:eastAsia="bg-BG"/>
        </w:rPr>
        <w:t xml:space="preserve">  с големи размери  на видимо за обществеността място не по-късно от 3 месеца след приключване на проекта в случаите, когато са изпълнени следните условия: </w:t>
      </w:r>
    </w:p>
    <w:p w14:paraId="1E919372" w14:textId="77777777" w:rsidR="002C052F" w:rsidRPr="002C052F" w:rsidRDefault="002C052F" w:rsidP="002C052F">
      <w:pPr>
        <w:widowControl w:val="0"/>
        <w:tabs>
          <w:tab w:val="left" w:pos="1134"/>
        </w:tabs>
        <w:autoSpaceDE w:val="0"/>
        <w:autoSpaceDN w:val="0"/>
        <w:adjustRightInd w:val="0"/>
        <w:rPr>
          <w:szCs w:val="24"/>
          <w:lang w:eastAsia="bg-BG"/>
        </w:rPr>
      </w:pPr>
      <w:r w:rsidRPr="002C052F">
        <w:rPr>
          <w:szCs w:val="24"/>
          <w:lang w:eastAsia="bg-BG"/>
        </w:rPr>
        <w:t>а) общата публична подкрепа  за операцията надхвърля  EUR 500 000 ;</w:t>
      </w:r>
    </w:p>
    <w:p w14:paraId="51D22BEB" w14:textId="77777777" w:rsidR="002C052F" w:rsidRPr="002C052F" w:rsidRDefault="002C052F" w:rsidP="002C052F">
      <w:pPr>
        <w:widowControl w:val="0"/>
        <w:tabs>
          <w:tab w:val="left" w:pos="1134"/>
        </w:tabs>
        <w:autoSpaceDE w:val="0"/>
        <w:autoSpaceDN w:val="0"/>
        <w:adjustRightInd w:val="0"/>
        <w:rPr>
          <w:szCs w:val="24"/>
          <w:lang w:eastAsia="bg-BG"/>
        </w:rPr>
      </w:pPr>
      <w:r w:rsidRPr="002C052F">
        <w:rPr>
          <w:szCs w:val="24"/>
          <w:lang w:eastAsia="bg-BG"/>
        </w:rPr>
        <w:t>б) операцията да се отнася до закупуване на физически предмет или за финансиране на инфраструктурни или строителни работи;</w:t>
      </w:r>
    </w:p>
    <w:p w14:paraId="06EBB65C" w14:textId="77777777" w:rsidR="002C052F" w:rsidRPr="002C052F" w:rsidRDefault="002C052F" w:rsidP="002C052F">
      <w:pPr>
        <w:widowControl w:val="0"/>
        <w:tabs>
          <w:tab w:val="left" w:pos="1134"/>
        </w:tabs>
        <w:autoSpaceDE w:val="0"/>
        <w:autoSpaceDN w:val="0"/>
        <w:adjustRightInd w:val="0"/>
        <w:rPr>
          <w:szCs w:val="24"/>
          <w:lang w:eastAsia="bg-BG"/>
        </w:rPr>
      </w:pPr>
      <w:r w:rsidRPr="002C052F">
        <w:rPr>
          <w:color w:val="000000"/>
          <w:szCs w:val="24"/>
          <w:lang w:eastAsia="bg-BG"/>
        </w:rPr>
        <w:t xml:space="preserve">Постоянната табела или постоянния билборд посочват наименованието и основното предназначение на операцията. Те се изготвят в съответствие с техническите характеристики, приети от Комисията съгласно член 115, параграф 4. </w:t>
      </w:r>
      <w:r w:rsidRPr="002C052F">
        <w:rPr>
          <w:color w:val="000000"/>
          <w:szCs w:val="24"/>
          <w:lang w:eastAsia="bg-BG"/>
        </w:rPr>
        <w:cr/>
      </w:r>
    </w:p>
    <w:p w14:paraId="1BBF8EB0" w14:textId="77777777" w:rsidR="002C052F" w:rsidRPr="002C052F" w:rsidRDefault="002C052F" w:rsidP="002C052F">
      <w:pPr>
        <w:tabs>
          <w:tab w:val="left" w:pos="1134"/>
        </w:tabs>
        <w:rPr>
          <w:lang w:eastAsia="bg-BG"/>
        </w:rPr>
      </w:pPr>
      <w:r w:rsidRPr="002C052F">
        <w:rPr>
          <w:lang w:eastAsia="bg-BG"/>
        </w:rPr>
        <w:t xml:space="preserve">По време на изпълнението на дейност, подпомагана от ЕФРР или Кохезионния фонд, бенефициентът поставя на видимо за обществеността място </w:t>
      </w:r>
      <w:r w:rsidRPr="002C052F">
        <w:rPr>
          <w:b/>
          <w:lang w:eastAsia="bg-BG"/>
        </w:rPr>
        <w:t>временен билборд</w:t>
      </w:r>
      <w:r w:rsidRPr="002C052F">
        <w:rPr>
          <w:lang w:eastAsia="bg-BG"/>
        </w:rPr>
        <w:t xml:space="preserve"> с големи размери за всяка операцията, която представлява финансиране на инфраструктура или строителни дейности и за която общата публична подкрепа надхвърля 500 000 EUR.</w:t>
      </w:r>
    </w:p>
    <w:p w14:paraId="1ED1B04F" w14:textId="77777777" w:rsidR="002C052F" w:rsidRPr="002C052F" w:rsidRDefault="002C052F" w:rsidP="002C052F">
      <w:pPr>
        <w:tabs>
          <w:tab w:val="left" w:pos="1134"/>
        </w:tabs>
        <w:rPr>
          <w:lang w:eastAsia="bg-BG"/>
        </w:rPr>
      </w:pPr>
      <w:r w:rsidRPr="002C052F">
        <w:rPr>
          <w:lang w:eastAsia="bg-BG"/>
        </w:rPr>
        <w:t xml:space="preserve">Информацията отнасяща се до чл.5, глава II от Прилагащия регламент трябва да заема минимум 25% от площта на билборда. Когато операцията е завършена, билбордът трябва да бъде заменен с постоянна обяснителна табела, както е указано в по-горе. </w:t>
      </w:r>
    </w:p>
    <w:p w14:paraId="6D658D47" w14:textId="77777777" w:rsidR="002C052F" w:rsidRPr="002C052F" w:rsidRDefault="002C052F" w:rsidP="002C052F">
      <w:pPr>
        <w:tabs>
          <w:tab w:val="left" w:pos="1134"/>
        </w:tabs>
        <w:rPr>
          <w:lang w:eastAsia="bg-BG"/>
        </w:rPr>
      </w:pPr>
      <w:r w:rsidRPr="002C052F">
        <w:rPr>
          <w:lang w:eastAsia="bg-BG"/>
        </w:rPr>
        <w:t xml:space="preserve">По време на осъществяването на дадена операция бенефициентът информира обществеността за получената от Фондовете подкрепа, като: </w:t>
      </w:r>
    </w:p>
    <w:p w14:paraId="6BE9E10A" w14:textId="77777777" w:rsidR="002C052F" w:rsidRPr="002C052F" w:rsidRDefault="002C052F" w:rsidP="002C052F">
      <w:pPr>
        <w:tabs>
          <w:tab w:val="left" w:pos="1134"/>
        </w:tabs>
        <w:rPr>
          <w:color w:val="000000"/>
          <w:szCs w:val="24"/>
          <w:lang w:eastAsia="bg-BG"/>
        </w:rPr>
      </w:pPr>
      <w:r w:rsidRPr="002C052F">
        <w:rPr>
          <w:color w:val="000000"/>
          <w:szCs w:val="24"/>
          <w:lang w:eastAsia="bg-BG"/>
        </w:rPr>
        <w:t xml:space="preserve">а) включва на уебсайта на бенефициента — когато такъв съществува — кратко описание на операцията, пропорционално на равнището на подкрепа, включително на нейните цели и резултатите от нея, и откроява финансовата подкрепа от Съюза; </w:t>
      </w:r>
    </w:p>
    <w:p w14:paraId="066B2D67" w14:textId="77777777" w:rsidR="002C052F" w:rsidRPr="002C052F" w:rsidRDefault="002C052F" w:rsidP="002C052F">
      <w:pPr>
        <w:tabs>
          <w:tab w:val="left" w:pos="1134"/>
        </w:tabs>
        <w:rPr>
          <w:color w:val="000000"/>
          <w:szCs w:val="24"/>
          <w:lang w:eastAsia="bg-BG"/>
        </w:rPr>
      </w:pPr>
      <w:r w:rsidRPr="002C052F">
        <w:rPr>
          <w:color w:val="000000"/>
          <w:szCs w:val="24"/>
          <w:lang w:eastAsia="bg-BG"/>
        </w:rPr>
        <w:t xml:space="preserve">б) поставя, за операциите, които не попадат в обхвата на точки 4 и 5, поне един плакат с информация за проекта (поне размер А3), в който се споменава финансовата подкрепа от Съюза, на видно за обществеността място, като например входа на сграда. </w:t>
      </w:r>
    </w:p>
    <w:p w14:paraId="58B98A21" w14:textId="77777777" w:rsidR="002C052F" w:rsidRPr="002C052F" w:rsidRDefault="002C052F" w:rsidP="002C052F">
      <w:pPr>
        <w:tabs>
          <w:tab w:val="left" w:pos="1134"/>
        </w:tabs>
        <w:rPr>
          <w:color w:val="000000"/>
          <w:szCs w:val="24"/>
          <w:lang w:eastAsia="bg-BG"/>
        </w:rPr>
      </w:pPr>
      <w:r w:rsidRPr="002C052F">
        <w:rPr>
          <w:color w:val="000000"/>
          <w:szCs w:val="24"/>
          <w:lang w:eastAsia="bg-BG"/>
        </w:rPr>
        <w:lastRenderedPageBreak/>
        <w:t xml:space="preserve">По отношение на дейностите, подпомагани от ЕСФ, и в целесъобразните случаи дейностите, подпомагани от ЕФРР или Кохезионния фонд, бенефициентът прави необходимото участващите в дадена операцията да бъдат уведомени за това финансиране. </w:t>
      </w:r>
    </w:p>
    <w:p w14:paraId="60F4F94A" w14:textId="77777777" w:rsidR="002C052F" w:rsidRPr="002C052F" w:rsidRDefault="002C052F" w:rsidP="002C052F">
      <w:pPr>
        <w:tabs>
          <w:tab w:val="left" w:pos="1134"/>
        </w:tabs>
        <w:rPr>
          <w:color w:val="000000"/>
          <w:szCs w:val="24"/>
          <w:lang w:eastAsia="bg-BG"/>
        </w:rPr>
      </w:pPr>
    </w:p>
    <w:p w14:paraId="310C7BE7" w14:textId="77777777" w:rsidR="002C052F" w:rsidRPr="002C052F" w:rsidRDefault="002C052F" w:rsidP="002C052F">
      <w:pPr>
        <w:numPr>
          <w:ilvl w:val="1"/>
          <w:numId w:val="0"/>
        </w:numPr>
        <w:tabs>
          <w:tab w:val="left" w:pos="1134"/>
          <w:tab w:val="num" w:pos="1418"/>
          <w:tab w:val="num" w:pos="1495"/>
        </w:tabs>
        <w:ind w:firstLine="851"/>
        <w:jc w:val="left"/>
        <w:rPr>
          <w:color w:val="000000"/>
          <w:szCs w:val="24"/>
          <w:lang w:eastAsia="bg-BG"/>
        </w:rPr>
      </w:pPr>
      <w:r w:rsidRPr="002C052F">
        <w:rPr>
          <w:color w:val="000000"/>
          <w:szCs w:val="24"/>
          <w:lang w:eastAsia="bg-BG"/>
        </w:rPr>
        <w:t>Други документи.</w:t>
      </w:r>
    </w:p>
    <w:p w14:paraId="46FA1599" w14:textId="77777777" w:rsidR="002C052F" w:rsidRPr="002C052F" w:rsidRDefault="002C052F" w:rsidP="002C052F">
      <w:pPr>
        <w:tabs>
          <w:tab w:val="left" w:pos="1134"/>
        </w:tabs>
        <w:rPr>
          <w:color w:val="000000"/>
          <w:szCs w:val="24"/>
          <w:lang w:eastAsia="bg-BG"/>
        </w:rPr>
      </w:pPr>
      <w:r w:rsidRPr="002C052F">
        <w:rPr>
          <w:color w:val="000000"/>
          <w:szCs w:val="24"/>
          <w:lang w:eastAsia="bg-BG"/>
        </w:rPr>
        <w:t xml:space="preserve">Във всеки документ, свързан с изпълнението на операция, който се използва за обществеността или за участниците, включително всяко присъствено или друго удостоверение, се посочва, че оперативната програма е била осъществена с подкрепата на Фонда или Фондовете. </w:t>
      </w:r>
    </w:p>
    <w:p w14:paraId="031B6FC5" w14:textId="77777777" w:rsidR="002C052F" w:rsidRPr="002C052F" w:rsidRDefault="002C052F" w:rsidP="002C052F">
      <w:pPr>
        <w:tabs>
          <w:tab w:val="left" w:pos="1134"/>
        </w:tabs>
        <w:rPr>
          <w:color w:val="000000"/>
          <w:szCs w:val="24"/>
          <w:lang w:eastAsia="bg-BG"/>
        </w:rPr>
      </w:pPr>
      <w:r w:rsidRPr="002C052F">
        <w:rPr>
          <w:color w:val="000000"/>
          <w:szCs w:val="24"/>
          <w:lang w:eastAsia="bg-BG"/>
        </w:rPr>
        <w:t>Бенефициентите са длъжни да предвидят и изпълнят релевантни спрямо проекта мерки за информиране и публичност на проекти, финансирани по приоритетна ос „Техническа помощ” на ОПТТИ. Когато не е приложимо нищо друго, мерките по информиране и публичност се свеждат до изпълнение на мерки за визуална идентичност.</w:t>
      </w:r>
    </w:p>
    <w:p w14:paraId="4E9B7C3B" w14:textId="77777777" w:rsidR="002C052F" w:rsidRPr="002C052F" w:rsidRDefault="002C052F" w:rsidP="002C052F">
      <w:pPr>
        <w:tabs>
          <w:tab w:val="left" w:pos="1134"/>
        </w:tabs>
        <w:rPr>
          <w:color w:val="000000"/>
          <w:szCs w:val="24"/>
          <w:lang w:eastAsia="bg-BG"/>
        </w:rPr>
      </w:pPr>
      <w:r w:rsidRPr="002C052F">
        <w:rPr>
          <w:color w:val="000000"/>
          <w:szCs w:val="24"/>
          <w:lang w:eastAsia="bg-BG"/>
        </w:rPr>
        <w:t xml:space="preserve">В случаите на закупена техника по проекта или друг материален обект, бенефициентите следва да поставят на видно място стикер или друг информационен обект, съдържащ логото и слогана на ОПТТИ, знамето на ЕС и позоваването на Европейския фонд за регионално развитие/Кохезионния фонд. </w:t>
      </w:r>
    </w:p>
    <w:p w14:paraId="3DF9CEF5" w14:textId="77777777" w:rsidR="002C052F" w:rsidRPr="002C052F" w:rsidRDefault="002C052F" w:rsidP="002C052F">
      <w:pPr>
        <w:tabs>
          <w:tab w:val="left" w:pos="1134"/>
        </w:tabs>
        <w:rPr>
          <w:color w:val="000000"/>
          <w:szCs w:val="24"/>
          <w:lang w:eastAsia="bg-BG"/>
        </w:rPr>
      </w:pPr>
      <w:r w:rsidRPr="002C052F">
        <w:rPr>
          <w:color w:val="000000"/>
          <w:szCs w:val="24"/>
          <w:lang w:eastAsia="bg-BG"/>
        </w:rPr>
        <w:t xml:space="preserve"> При подготовката на тръжна документация за възлагане на договор по проектите, бенефициентите, в качеството си на възложители, са длъжни да информират изпълнителите, че договорът ще се финансира със средства по ОПТТИ, както и всички произтичащи задължения по изпълнение на мерки по информация и публичност.</w:t>
      </w:r>
    </w:p>
    <w:p w14:paraId="33857096" w14:textId="77777777" w:rsidR="002C052F" w:rsidRPr="002C052F" w:rsidRDefault="002C052F" w:rsidP="002C052F">
      <w:pPr>
        <w:tabs>
          <w:tab w:val="left" w:pos="1134"/>
        </w:tabs>
        <w:rPr>
          <w:color w:val="000000"/>
          <w:szCs w:val="24"/>
          <w:lang w:eastAsia="bg-BG"/>
        </w:rPr>
      </w:pPr>
      <w:r w:rsidRPr="002C052F">
        <w:rPr>
          <w:color w:val="000000"/>
          <w:szCs w:val="24"/>
          <w:lang w:eastAsia="bg-BG"/>
        </w:rPr>
        <w:t xml:space="preserve">Когато една операция получава финансиране от ЕФРР и КФ, бенефициентът трябва да гарантира, че тези които участват в операцията са информирани за това финансиране.  Бенефициентът трябва да съобщи и да подчертае, че операцията е избрана за финансиране от оперативна програма съфинансирана от ЕФРР или КФ.   </w:t>
      </w:r>
    </w:p>
    <w:p w14:paraId="213CED55" w14:textId="77777777" w:rsidR="002C052F" w:rsidRPr="002C052F" w:rsidRDefault="002C052F" w:rsidP="002C052F">
      <w:pPr>
        <w:tabs>
          <w:tab w:val="left" w:pos="1134"/>
        </w:tabs>
        <w:rPr>
          <w:color w:val="000000"/>
          <w:szCs w:val="24"/>
          <w:lang w:eastAsia="bg-BG"/>
        </w:rPr>
      </w:pPr>
      <w:r w:rsidRPr="002C052F">
        <w:rPr>
          <w:color w:val="000000"/>
          <w:szCs w:val="24"/>
          <w:lang w:eastAsia="bg-BG"/>
        </w:rPr>
        <w:t xml:space="preserve">Всеки документ, включително сертификат за участие или друг вид сертификат, касаещ операцията трябва да съдържа информация или послание, чрез което да се подчертава, когато е подходящо, че операцията е съфинансирана от ЕФРР или КФ. </w:t>
      </w:r>
    </w:p>
    <w:p w14:paraId="39698A41" w14:textId="77777777" w:rsidR="002C052F" w:rsidRPr="002C052F" w:rsidRDefault="002C052F" w:rsidP="002C052F">
      <w:pPr>
        <w:tabs>
          <w:tab w:val="left" w:pos="1134"/>
        </w:tabs>
        <w:rPr>
          <w:color w:val="000000"/>
          <w:szCs w:val="24"/>
          <w:lang w:eastAsia="bg-BG"/>
        </w:rPr>
      </w:pPr>
    </w:p>
    <w:p w14:paraId="20E9B82E" w14:textId="77777777" w:rsidR="002C052F" w:rsidRPr="002C052F" w:rsidRDefault="002C052F" w:rsidP="002C052F">
      <w:pPr>
        <w:tabs>
          <w:tab w:val="left" w:pos="1134"/>
        </w:tabs>
        <w:rPr>
          <w:color w:val="000000"/>
          <w:szCs w:val="24"/>
          <w:lang w:eastAsia="bg-BG"/>
        </w:rPr>
      </w:pPr>
      <w:r w:rsidRPr="002C052F">
        <w:rPr>
          <w:color w:val="000000"/>
          <w:szCs w:val="24"/>
          <w:lang w:eastAsia="bg-BG"/>
        </w:rPr>
        <w:t>4. Експерти по информация и публичност от страна на бенефициентите</w:t>
      </w:r>
    </w:p>
    <w:p w14:paraId="414B8B03" w14:textId="6CDD1F8F" w:rsidR="002C052F" w:rsidRPr="002C052F" w:rsidRDefault="002C052F" w:rsidP="002C052F">
      <w:pPr>
        <w:tabs>
          <w:tab w:val="left" w:pos="1134"/>
        </w:tabs>
        <w:rPr>
          <w:color w:val="000000"/>
          <w:szCs w:val="24"/>
          <w:lang w:eastAsia="bg-BG"/>
        </w:rPr>
      </w:pPr>
      <w:r w:rsidRPr="002C052F">
        <w:rPr>
          <w:color w:val="000000"/>
          <w:szCs w:val="24"/>
          <w:lang w:eastAsia="bg-BG"/>
        </w:rPr>
        <w:t>Задължение на всеки бенефициент е да определи по един експерт и негов заместник, които пряко ще отговарят за изпълнението на комуникационните дейности, свързани с проектите, финансирани от ОПТТИ. Определените експерти по информация и публичност участват в координационните срещи на информационната мрежа, управлявана от  отдел „</w:t>
      </w:r>
      <w:r w:rsidR="0013412A" w:rsidRPr="0013412A">
        <w:rPr>
          <w:color w:val="000000"/>
          <w:szCs w:val="24"/>
          <w:lang w:eastAsia="bg-BG"/>
        </w:rPr>
        <w:t>Информация, публичност и техническа помощ</w:t>
      </w:r>
      <w:r w:rsidRPr="002C052F">
        <w:rPr>
          <w:color w:val="000000"/>
          <w:szCs w:val="24"/>
          <w:lang w:eastAsia="bg-BG"/>
        </w:rPr>
        <w:t>”.</w:t>
      </w:r>
    </w:p>
    <w:p w14:paraId="0A20C4D0" w14:textId="6CA29FE9" w:rsidR="002C052F" w:rsidRPr="002C052F" w:rsidRDefault="002C052F" w:rsidP="002C052F">
      <w:pPr>
        <w:tabs>
          <w:tab w:val="left" w:pos="1134"/>
        </w:tabs>
        <w:rPr>
          <w:color w:val="000000"/>
          <w:szCs w:val="24"/>
          <w:lang w:eastAsia="bg-BG"/>
        </w:rPr>
      </w:pPr>
      <w:r w:rsidRPr="002C052F">
        <w:rPr>
          <w:color w:val="000000"/>
          <w:szCs w:val="24"/>
          <w:lang w:eastAsia="bg-BG"/>
        </w:rPr>
        <w:t>Отдел „</w:t>
      </w:r>
      <w:r w:rsidR="0013412A" w:rsidRPr="0013412A">
        <w:rPr>
          <w:color w:val="000000"/>
          <w:szCs w:val="24"/>
          <w:lang w:eastAsia="bg-BG"/>
        </w:rPr>
        <w:t>Информация, публичност и техническа помощ</w:t>
      </w:r>
      <w:r w:rsidRPr="002C052F">
        <w:rPr>
          <w:color w:val="000000"/>
          <w:szCs w:val="24"/>
          <w:lang w:eastAsia="bg-BG"/>
        </w:rPr>
        <w:t>” организира на всеки три месеца координационни срещи, на които присъстват задължително: представител(и) на отдел „</w:t>
      </w:r>
      <w:r w:rsidR="00A71C5E" w:rsidRPr="00A71C5E">
        <w:rPr>
          <w:color w:val="000000"/>
          <w:szCs w:val="24"/>
          <w:lang w:eastAsia="bg-BG"/>
        </w:rPr>
        <w:t>„Информация, публичност и техническа помощ</w:t>
      </w:r>
      <w:r w:rsidRPr="002C052F">
        <w:rPr>
          <w:color w:val="000000"/>
          <w:szCs w:val="24"/>
          <w:lang w:eastAsia="bg-BG"/>
        </w:rPr>
        <w:t>” в УО, експертите по информация и публичност на бенефициентите, а в случаите, когато дневният ред го изисква –  представители на изпълнителите и др. заинтересовани страни.</w:t>
      </w:r>
    </w:p>
    <w:p w14:paraId="60941520" w14:textId="130A3F1A" w:rsidR="002C052F" w:rsidRPr="002C052F" w:rsidRDefault="002C052F" w:rsidP="0013412A">
      <w:pPr>
        <w:tabs>
          <w:tab w:val="left" w:pos="1134"/>
        </w:tabs>
        <w:rPr>
          <w:color w:val="000000"/>
          <w:szCs w:val="24"/>
          <w:lang w:eastAsia="bg-BG"/>
        </w:rPr>
      </w:pPr>
      <w:r w:rsidRPr="002C052F">
        <w:rPr>
          <w:color w:val="000000"/>
          <w:szCs w:val="24"/>
          <w:lang w:eastAsia="bg-BG"/>
        </w:rPr>
        <w:t>Бенефициентите се задължават да координират всички планирани комуникационни дейности по проекта с отдел „</w:t>
      </w:r>
      <w:r w:rsidR="0013412A" w:rsidRPr="0013412A">
        <w:rPr>
          <w:color w:val="000000"/>
          <w:szCs w:val="24"/>
          <w:lang w:eastAsia="bg-BG"/>
        </w:rPr>
        <w:t>Информация, публичност и техническа помощ</w:t>
      </w:r>
      <w:r w:rsidRPr="002C052F">
        <w:rPr>
          <w:color w:val="000000"/>
          <w:szCs w:val="24"/>
          <w:lang w:eastAsia="bg-BG"/>
        </w:rPr>
        <w:t>” , ситуиран в УО на ОПТТИ.</w:t>
      </w:r>
    </w:p>
    <w:p w14:paraId="2BFB63FD" w14:textId="77777777" w:rsidR="002C052F" w:rsidRPr="002C052F" w:rsidRDefault="002C052F" w:rsidP="002C052F">
      <w:pPr>
        <w:tabs>
          <w:tab w:val="left" w:pos="1134"/>
        </w:tabs>
        <w:rPr>
          <w:bCs/>
          <w:color w:val="000000"/>
          <w:szCs w:val="24"/>
          <w:lang w:eastAsia="bg-BG"/>
        </w:rPr>
      </w:pPr>
      <w:r w:rsidRPr="002C052F">
        <w:rPr>
          <w:bCs/>
          <w:color w:val="000000"/>
          <w:szCs w:val="24"/>
          <w:lang w:eastAsia="bg-BG"/>
        </w:rPr>
        <w:t>Задължения на експертите по информация и публичност на бенефициентите:</w:t>
      </w:r>
    </w:p>
    <w:p w14:paraId="6637A1F2" w14:textId="77777777" w:rsidR="002C052F" w:rsidRPr="002C052F" w:rsidRDefault="002C052F" w:rsidP="002C052F">
      <w:pPr>
        <w:tabs>
          <w:tab w:val="left" w:pos="1134"/>
        </w:tabs>
        <w:rPr>
          <w:color w:val="000000"/>
          <w:szCs w:val="24"/>
          <w:lang w:eastAsia="bg-BG"/>
        </w:rPr>
      </w:pPr>
      <w:r w:rsidRPr="002C052F">
        <w:rPr>
          <w:color w:val="000000"/>
          <w:szCs w:val="24"/>
          <w:lang w:eastAsia="bg-BG"/>
        </w:rPr>
        <w:t>Публикуването съдържанието на проекта в най-подходяща форма и по най-подходящ начин, с цел популяризирането му сред широката общественост;</w:t>
      </w:r>
    </w:p>
    <w:p w14:paraId="7F4CB43A" w14:textId="77777777" w:rsidR="002C052F" w:rsidRPr="002C052F" w:rsidRDefault="002C052F" w:rsidP="002C052F">
      <w:pPr>
        <w:tabs>
          <w:tab w:val="left" w:pos="1134"/>
        </w:tabs>
        <w:rPr>
          <w:color w:val="000000"/>
          <w:szCs w:val="24"/>
          <w:lang w:eastAsia="bg-BG"/>
        </w:rPr>
      </w:pPr>
      <w:r w:rsidRPr="002C052F">
        <w:rPr>
          <w:color w:val="000000"/>
          <w:szCs w:val="24"/>
          <w:lang w:eastAsia="bg-BG"/>
        </w:rPr>
        <w:t>Промотирането на проекта и приноса на Общността за неговото осъществяване;</w:t>
      </w:r>
    </w:p>
    <w:p w14:paraId="3CAB03D1" w14:textId="77777777" w:rsidR="002C052F" w:rsidRPr="002C052F" w:rsidRDefault="002C052F" w:rsidP="002C052F">
      <w:pPr>
        <w:tabs>
          <w:tab w:val="left" w:pos="1134"/>
        </w:tabs>
        <w:rPr>
          <w:color w:val="000000"/>
          <w:szCs w:val="24"/>
          <w:lang w:eastAsia="bg-BG"/>
        </w:rPr>
      </w:pPr>
      <w:r w:rsidRPr="002C052F">
        <w:rPr>
          <w:color w:val="000000"/>
          <w:szCs w:val="24"/>
          <w:lang w:eastAsia="bg-BG"/>
        </w:rPr>
        <w:t>Работа с всички заинтересовани лица и структури на гражданското общество, имащи отношение от реализирането на проекта;</w:t>
      </w:r>
    </w:p>
    <w:p w14:paraId="07BE2E63" w14:textId="77777777" w:rsidR="002C052F" w:rsidRPr="002C052F" w:rsidRDefault="002C052F" w:rsidP="002C052F">
      <w:pPr>
        <w:tabs>
          <w:tab w:val="left" w:pos="1134"/>
        </w:tabs>
        <w:rPr>
          <w:color w:val="000000"/>
          <w:szCs w:val="24"/>
          <w:lang w:eastAsia="bg-BG"/>
        </w:rPr>
      </w:pPr>
      <w:r w:rsidRPr="002C052F">
        <w:rPr>
          <w:color w:val="000000"/>
          <w:szCs w:val="24"/>
          <w:lang w:eastAsia="bg-BG"/>
        </w:rPr>
        <w:t>Участие в координационните срещи на експертите, отговорни за изпълнението на мерките по информация и публичност;</w:t>
      </w:r>
    </w:p>
    <w:p w14:paraId="26064E0E" w14:textId="0B237E3F" w:rsidR="002C052F" w:rsidRPr="002C052F" w:rsidRDefault="002C052F" w:rsidP="002C052F">
      <w:pPr>
        <w:tabs>
          <w:tab w:val="left" w:pos="1134"/>
        </w:tabs>
        <w:rPr>
          <w:color w:val="000000"/>
          <w:szCs w:val="24"/>
          <w:lang w:eastAsia="bg-BG"/>
        </w:rPr>
      </w:pPr>
      <w:r w:rsidRPr="002C052F">
        <w:rPr>
          <w:color w:val="000000"/>
          <w:szCs w:val="24"/>
          <w:lang w:eastAsia="bg-BG"/>
        </w:rPr>
        <w:lastRenderedPageBreak/>
        <w:t>Информирането на отдел „</w:t>
      </w:r>
      <w:r w:rsidR="0013412A" w:rsidRPr="0013412A">
        <w:rPr>
          <w:color w:val="000000"/>
          <w:szCs w:val="24"/>
          <w:lang w:eastAsia="bg-BG"/>
        </w:rPr>
        <w:t>Информация, публичност и техническа помощ</w:t>
      </w:r>
      <w:r w:rsidRPr="002C052F">
        <w:rPr>
          <w:color w:val="000000"/>
          <w:szCs w:val="24"/>
          <w:lang w:eastAsia="bg-BG"/>
        </w:rPr>
        <w:t>” за откриването на тръжни процедури по проекти, финансирани или предвидени за финансиране по ОПТТИ;</w:t>
      </w:r>
    </w:p>
    <w:p w14:paraId="5AED2A81" w14:textId="6BAEFA65" w:rsidR="002C052F" w:rsidRPr="002C052F" w:rsidRDefault="002C052F" w:rsidP="002C052F">
      <w:pPr>
        <w:tabs>
          <w:tab w:val="left" w:pos="1134"/>
        </w:tabs>
        <w:rPr>
          <w:color w:val="000000"/>
          <w:szCs w:val="24"/>
          <w:lang w:eastAsia="bg-BG"/>
        </w:rPr>
      </w:pPr>
      <w:r w:rsidRPr="002C052F">
        <w:rPr>
          <w:color w:val="000000"/>
          <w:szCs w:val="24"/>
          <w:lang w:eastAsia="bg-BG"/>
        </w:rPr>
        <w:t>Предоставяне на отдел „</w:t>
      </w:r>
      <w:r w:rsidR="0013412A" w:rsidRPr="0013412A">
        <w:rPr>
          <w:color w:val="000000"/>
          <w:szCs w:val="24"/>
          <w:lang w:eastAsia="bg-BG"/>
        </w:rPr>
        <w:t>Информация, публичност и техническа помощ</w:t>
      </w:r>
      <w:r w:rsidRPr="002C052F">
        <w:rPr>
          <w:color w:val="000000"/>
          <w:szCs w:val="24"/>
          <w:lang w:eastAsia="bg-BG"/>
        </w:rPr>
        <w:t>”  на релевантна и актуална информация за всеки един етап от провеждането на тръжни процедури по проекти, финансирани или предвидени за финансиране по ОПТТИ;</w:t>
      </w:r>
    </w:p>
    <w:p w14:paraId="57847246" w14:textId="77777777" w:rsidR="002C052F" w:rsidRPr="002C052F" w:rsidRDefault="002C052F" w:rsidP="002C052F">
      <w:pPr>
        <w:tabs>
          <w:tab w:val="left" w:pos="1134"/>
        </w:tabs>
        <w:rPr>
          <w:color w:val="000000"/>
          <w:szCs w:val="24"/>
          <w:lang w:eastAsia="bg-BG"/>
        </w:rPr>
      </w:pPr>
      <w:r w:rsidRPr="002C052F">
        <w:rPr>
          <w:color w:val="000000"/>
          <w:szCs w:val="24"/>
          <w:lang w:eastAsia="bg-BG"/>
        </w:rPr>
        <w:t>Изготвянето на прессъобщения и други материали (снимки), предназначени за представителите на средствата за масово осведомяване;</w:t>
      </w:r>
    </w:p>
    <w:p w14:paraId="0F20D85A" w14:textId="77777777" w:rsidR="002C052F" w:rsidRPr="002C052F" w:rsidRDefault="002C052F" w:rsidP="002C052F">
      <w:pPr>
        <w:tabs>
          <w:tab w:val="left" w:pos="1134"/>
        </w:tabs>
        <w:rPr>
          <w:color w:val="000000"/>
          <w:szCs w:val="24"/>
          <w:lang w:eastAsia="bg-BG"/>
        </w:rPr>
      </w:pPr>
      <w:r w:rsidRPr="002C052F">
        <w:rPr>
          <w:color w:val="000000"/>
          <w:szCs w:val="24"/>
          <w:lang w:eastAsia="bg-BG"/>
        </w:rPr>
        <w:t>Планиране и организиране на публични събития по проекта;</w:t>
      </w:r>
    </w:p>
    <w:p w14:paraId="7A189DE7" w14:textId="77777777" w:rsidR="002C052F" w:rsidRPr="002C052F" w:rsidRDefault="002C052F" w:rsidP="002C052F">
      <w:pPr>
        <w:tabs>
          <w:tab w:val="left" w:pos="1134"/>
        </w:tabs>
        <w:rPr>
          <w:color w:val="000000"/>
          <w:szCs w:val="24"/>
          <w:lang w:eastAsia="bg-BG"/>
        </w:rPr>
      </w:pPr>
      <w:r w:rsidRPr="002C052F">
        <w:rPr>
          <w:color w:val="000000"/>
          <w:szCs w:val="24"/>
          <w:lang w:eastAsia="bg-BG"/>
        </w:rPr>
        <w:t xml:space="preserve">Предоставяне на релевантна актуална информация по проекта на интернет страницата на бенефициента. </w:t>
      </w:r>
    </w:p>
    <w:p w14:paraId="1D6EA360" w14:textId="32C8E7C8" w:rsidR="002C052F" w:rsidRPr="002C052F" w:rsidRDefault="002C052F" w:rsidP="002C052F">
      <w:pPr>
        <w:tabs>
          <w:tab w:val="left" w:pos="1134"/>
        </w:tabs>
        <w:rPr>
          <w:color w:val="000000"/>
          <w:szCs w:val="24"/>
          <w:lang w:eastAsia="bg-BG"/>
        </w:rPr>
      </w:pPr>
      <w:r w:rsidRPr="002C052F">
        <w:rPr>
          <w:color w:val="000000"/>
          <w:szCs w:val="24"/>
          <w:lang w:eastAsia="bg-BG"/>
        </w:rPr>
        <w:t>Оценяване на предложените от изпълнителите дейности по информация и публичност, в случаите, че мерките по информация и публичност са възложени изцяло или частично на изпълнителите.</w:t>
      </w:r>
    </w:p>
    <w:p w14:paraId="387E687A" w14:textId="77777777" w:rsidR="002C052F" w:rsidRPr="002C052F" w:rsidRDefault="002C052F" w:rsidP="002C052F">
      <w:pPr>
        <w:tabs>
          <w:tab w:val="left" w:pos="1134"/>
        </w:tabs>
        <w:rPr>
          <w:color w:val="000000"/>
          <w:szCs w:val="24"/>
          <w:lang w:eastAsia="bg-BG"/>
        </w:rPr>
      </w:pPr>
      <w:r w:rsidRPr="002C052F">
        <w:rPr>
          <w:color w:val="000000"/>
          <w:szCs w:val="24"/>
          <w:lang w:eastAsia="bg-BG"/>
        </w:rPr>
        <w:t>Контрол и мониторинг на изпълнението на дейностите по информация и публичност на изпълнителите, в случаите, когато мерките по информация и публичност са възложени изцяло или частично на изпълнителите.</w:t>
      </w:r>
    </w:p>
    <w:p w14:paraId="647AD88D" w14:textId="77777777" w:rsidR="002C052F" w:rsidRPr="002C052F" w:rsidRDefault="002C052F" w:rsidP="002C052F">
      <w:pPr>
        <w:tabs>
          <w:tab w:val="left" w:pos="1134"/>
        </w:tabs>
        <w:rPr>
          <w:color w:val="000000"/>
          <w:szCs w:val="24"/>
          <w:lang w:eastAsia="bg-BG"/>
        </w:rPr>
      </w:pPr>
      <w:r w:rsidRPr="002C052F">
        <w:rPr>
          <w:color w:val="000000"/>
          <w:szCs w:val="24"/>
          <w:lang w:eastAsia="bg-BG"/>
        </w:rPr>
        <w:t>Изпълнение на мерките по информиране и публичност по проект,.</w:t>
      </w:r>
    </w:p>
    <w:p w14:paraId="57D276F5" w14:textId="77777777" w:rsidR="002C052F" w:rsidRPr="002C052F" w:rsidRDefault="002C052F" w:rsidP="002C052F">
      <w:pPr>
        <w:tabs>
          <w:tab w:val="left" w:pos="1134"/>
        </w:tabs>
        <w:rPr>
          <w:color w:val="000000"/>
          <w:szCs w:val="24"/>
          <w:lang w:eastAsia="bg-BG"/>
        </w:rPr>
      </w:pPr>
      <w:r w:rsidRPr="002C052F">
        <w:rPr>
          <w:color w:val="000000"/>
          <w:szCs w:val="24"/>
          <w:lang w:eastAsia="bg-BG"/>
        </w:rPr>
        <w:t xml:space="preserve">Отчетност пред УО на напредъка в изпълнението на мерките по информиране и публичност. </w:t>
      </w:r>
    </w:p>
    <w:p w14:paraId="402A77C2" w14:textId="77777777" w:rsidR="002C052F" w:rsidRPr="002C052F" w:rsidRDefault="002C052F" w:rsidP="002C052F">
      <w:pPr>
        <w:tabs>
          <w:tab w:val="left" w:pos="1134"/>
        </w:tabs>
        <w:rPr>
          <w:color w:val="000000"/>
          <w:szCs w:val="24"/>
          <w:lang w:eastAsia="bg-BG"/>
        </w:rPr>
      </w:pPr>
      <w:r w:rsidRPr="002C052F">
        <w:rPr>
          <w:color w:val="000000"/>
          <w:szCs w:val="24"/>
          <w:lang w:eastAsia="bg-BG"/>
        </w:rPr>
        <w:t>Съгласувателни задължения на бенефициентите с УО: Всяко публично събитие и планирани мерки по информация и публичност по проекта се съгласуват с отдел „Мониторинг, информация и комуникация”  в Управляващия орган на ОПТТИ.</w:t>
      </w:r>
    </w:p>
    <w:p w14:paraId="384136C0" w14:textId="77777777" w:rsidR="002C052F" w:rsidRPr="002C052F" w:rsidRDefault="002C052F" w:rsidP="002C052F">
      <w:pPr>
        <w:ind w:firstLine="708"/>
        <w:rPr>
          <w:b/>
          <w:bCs/>
          <w:color w:val="000000"/>
          <w:szCs w:val="24"/>
          <w:lang w:eastAsia="bg-BG"/>
        </w:rPr>
      </w:pPr>
    </w:p>
    <w:p w14:paraId="38DE4575" w14:textId="77777777" w:rsidR="002C052F" w:rsidRPr="00842ECC" w:rsidRDefault="00604C18" w:rsidP="006A6D08">
      <w:pPr>
        <w:pStyle w:val="Style2"/>
        <w:numPr>
          <w:ilvl w:val="0"/>
          <w:numId w:val="0"/>
        </w:numPr>
        <w:ind w:left="792"/>
        <w:rPr>
          <w:snapToGrid w:val="0"/>
        </w:rPr>
      </w:pPr>
      <w:bookmarkStart w:id="1371" w:name="_Toc140150325"/>
      <w:r>
        <w:rPr>
          <w:snapToGrid w:val="0"/>
        </w:rPr>
        <w:t>35.4</w:t>
      </w:r>
      <w:r w:rsidRPr="006A6D08">
        <w:t xml:space="preserve">. </w:t>
      </w:r>
      <w:r w:rsidR="002C052F" w:rsidRPr="006A6D08">
        <w:t>Координация и сътрудничество</w:t>
      </w:r>
      <w:bookmarkEnd w:id="1371"/>
    </w:p>
    <w:p w14:paraId="421B6DF3" w14:textId="77777777" w:rsidR="002C052F" w:rsidRPr="002C052F" w:rsidRDefault="002C052F" w:rsidP="002C052F">
      <w:pPr>
        <w:rPr>
          <w:color w:val="000000"/>
          <w:szCs w:val="24"/>
          <w:lang w:eastAsia="bg-BG"/>
        </w:rPr>
      </w:pPr>
      <w:r w:rsidRPr="002C052F">
        <w:rPr>
          <w:color w:val="000000"/>
          <w:szCs w:val="24"/>
          <w:lang w:eastAsia="bg-BG"/>
        </w:rPr>
        <w:t xml:space="preserve">За успешното и ефикасно изпълнение на мерките за информация и публичност, заложени в НКС, е необходима координация и съгласуваност на информационната политика и на мерките за информация и публичност на следните нива: </w:t>
      </w:r>
    </w:p>
    <w:p w14:paraId="3155D1F4" w14:textId="77777777" w:rsidR="002C052F" w:rsidRPr="002C052F" w:rsidRDefault="002C052F" w:rsidP="002C052F">
      <w:pPr>
        <w:rPr>
          <w:color w:val="000000"/>
          <w:szCs w:val="24"/>
          <w:lang w:eastAsia="bg-BG"/>
        </w:rPr>
      </w:pPr>
      <w:r w:rsidRPr="002C052F">
        <w:rPr>
          <w:color w:val="000000"/>
          <w:szCs w:val="24"/>
          <w:lang w:eastAsia="bg-BG"/>
        </w:rPr>
        <w:t>Управляващ орган и Централен информационен офис;</w:t>
      </w:r>
    </w:p>
    <w:p w14:paraId="44644CD7" w14:textId="77777777" w:rsidR="002C052F" w:rsidRPr="002C052F" w:rsidRDefault="002C052F" w:rsidP="002C052F">
      <w:pPr>
        <w:rPr>
          <w:color w:val="000000"/>
          <w:szCs w:val="24"/>
          <w:lang w:eastAsia="bg-BG"/>
        </w:rPr>
      </w:pPr>
      <w:r w:rsidRPr="002C052F">
        <w:rPr>
          <w:color w:val="000000"/>
          <w:szCs w:val="24"/>
          <w:lang w:eastAsia="bg-BG"/>
        </w:rPr>
        <w:t>Управляващ орган и бенефициенти на ОПТТИ;</w:t>
      </w:r>
    </w:p>
    <w:p w14:paraId="56E4ADB8" w14:textId="77777777" w:rsidR="002C052F" w:rsidRPr="002C052F" w:rsidRDefault="002C052F" w:rsidP="002C052F">
      <w:pPr>
        <w:rPr>
          <w:color w:val="000000"/>
          <w:szCs w:val="24"/>
          <w:lang w:eastAsia="bg-BG"/>
        </w:rPr>
      </w:pPr>
      <w:r w:rsidRPr="002C052F">
        <w:rPr>
          <w:color w:val="000000"/>
          <w:szCs w:val="24"/>
          <w:lang w:eastAsia="bg-BG"/>
        </w:rPr>
        <w:t>Управляващ орган и дирекция „Връзки с обществеността и протокол” в Министерството на транспорта и съобщенията;</w:t>
      </w:r>
    </w:p>
    <w:p w14:paraId="1DE94EFA" w14:textId="77777777" w:rsidR="002C052F" w:rsidRPr="002C052F" w:rsidRDefault="002C052F" w:rsidP="002C052F">
      <w:pPr>
        <w:rPr>
          <w:color w:val="000000"/>
          <w:szCs w:val="24"/>
          <w:lang w:eastAsia="bg-BG"/>
        </w:rPr>
      </w:pPr>
      <w:r w:rsidRPr="002C052F">
        <w:rPr>
          <w:color w:val="000000"/>
          <w:szCs w:val="24"/>
          <w:lang w:eastAsia="bg-BG"/>
        </w:rPr>
        <w:t>Управляващ орган и Министерството на регионалното развитие и благоустройството;</w:t>
      </w:r>
    </w:p>
    <w:p w14:paraId="1A878C36" w14:textId="77777777" w:rsidR="002C052F" w:rsidRPr="002C052F" w:rsidRDefault="002C052F" w:rsidP="002C052F">
      <w:pPr>
        <w:rPr>
          <w:color w:val="000000"/>
          <w:szCs w:val="24"/>
          <w:lang w:eastAsia="bg-BG"/>
        </w:rPr>
      </w:pPr>
      <w:r w:rsidRPr="002C052F">
        <w:rPr>
          <w:color w:val="000000"/>
          <w:szCs w:val="24"/>
          <w:lang w:eastAsia="bg-BG"/>
        </w:rPr>
        <w:t>Управляващ орган, бенефициенти на ОПТТИ и избраните изпълнители за изграждане на инвестиционни проекти;</w:t>
      </w:r>
    </w:p>
    <w:p w14:paraId="5D1AC0B8" w14:textId="77777777" w:rsidR="002C052F" w:rsidRPr="002C052F" w:rsidRDefault="002C052F" w:rsidP="002C052F">
      <w:pPr>
        <w:rPr>
          <w:color w:val="000000"/>
          <w:szCs w:val="24"/>
          <w:lang w:eastAsia="bg-BG"/>
        </w:rPr>
      </w:pPr>
      <w:r w:rsidRPr="002C052F">
        <w:rPr>
          <w:color w:val="000000"/>
          <w:szCs w:val="24"/>
          <w:lang w:eastAsia="bg-BG"/>
        </w:rPr>
        <w:t>Сътрудничество със Съвета за управление на средствата от  Европейския съюз;</w:t>
      </w:r>
    </w:p>
    <w:p w14:paraId="66602929" w14:textId="77777777" w:rsidR="002C052F" w:rsidRPr="002C052F" w:rsidRDefault="002C052F" w:rsidP="002C052F">
      <w:pPr>
        <w:rPr>
          <w:color w:val="000000"/>
          <w:szCs w:val="24"/>
          <w:lang w:eastAsia="bg-BG"/>
        </w:rPr>
      </w:pPr>
      <w:r w:rsidRPr="002C052F">
        <w:rPr>
          <w:color w:val="000000"/>
          <w:szCs w:val="24"/>
          <w:lang w:eastAsia="bg-BG"/>
        </w:rPr>
        <w:t>Сътрудничество с всички държавни, неправителствени и обществени институции на национално и регионално ниво, които имат участие и/или са заинтересовани от реализирането на целите на Оперативната програма;</w:t>
      </w:r>
    </w:p>
    <w:p w14:paraId="1217ED54" w14:textId="77777777" w:rsidR="002C052F" w:rsidRPr="002C052F" w:rsidRDefault="002C052F" w:rsidP="002C052F">
      <w:pPr>
        <w:rPr>
          <w:color w:val="000000"/>
          <w:szCs w:val="24"/>
          <w:lang w:eastAsia="bg-BG"/>
        </w:rPr>
      </w:pPr>
      <w:r w:rsidRPr="002C052F">
        <w:rPr>
          <w:color w:val="000000"/>
          <w:szCs w:val="24"/>
          <w:lang w:eastAsia="bg-BG"/>
        </w:rPr>
        <w:t>Сътрудничество с пресцентъра на Представителството на Европейската комисия в Р България;.</w:t>
      </w:r>
    </w:p>
    <w:p w14:paraId="3AF8646A" w14:textId="77777777" w:rsidR="002C052F" w:rsidRPr="002C052F" w:rsidRDefault="002C052F" w:rsidP="002C052F">
      <w:pPr>
        <w:rPr>
          <w:color w:val="000000"/>
          <w:szCs w:val="24"/>
          <w:lang w:eastAsia="bg-BG"/>
        </w:rPr>
      </w:pPr>
      <w:r w:rsidRPr="002C052F">
        <w:rPr>
          <w:color w:val="000000"/>
          <w:szCs w:val="24"/>
          <w:lang w:eastAsia="bg-BG"/>
        </w:rPr>
        <w:t>Сътрудничество с мрежата INFORM на експертите по информация и публичност, координирана с ГД ”Регионална политика” на ЕК.</w:t>
      </w:r>
    </w:p>
    <w:p w14:paraId="6631197C" w14:textId="77777777" w:rsidR="002C052F" w:rsidRPr="002C052F" w:rsidRDefault="002C052F" w:rsidP="002C052F">
      <w:pPr>
        <w:rPr>
          <w:b/>
          <w:bCs/>
          <w:color w:val="000000"/>
          <w:szCs w:val="24"/>
          <w:lang w:eastAsia="bg-BG"/>
        </w:rPr>
      </w:pPr>
    </w:p>
    <w:p w14:paraId="04ABA83B" w14:textId="77777777" w:rsidR="002C052F" w:rsidRPr="002C052F" w:rsidRDefault="002C052F" w:rsidP="002C052F">
      <w:pPr>
        <w:spacing w:before="120"/>
        <w:rPr>
          <w:b/>
          <w:bCs/>
          <w:color w:val="000000"/>
          <w:szCs w:val="24"/>
          <w:lang w:eastAsia="bg-BG"/>
        </w:rPr>
      </w:pPr>
      <w:r w:rsidRPr="002C052F">
        <w:rPr>
          <w:b/>
          <w:bCs/>
          <w:color w:val="000000"/>
          <w:szCs w:val="24"/>
          <w:lang w:eastAsia="bg-BG"/>
        </w:rPr>
        <w:t>Схема на координационния механизъм на комуникационните дейности</w:t>
      </w:r>
    </w:p>
    <w:p w14:paraId="48618E6A" w14:textId="77777777" w:rsidR="002C052F" w:rsidRPr="002C052F" w:rsidRDefault="002C052F" w:rsidP="002C052F">
      <w:pPr>
        <w:ind w:firstLine="708"/>
        <w:rPr>
          <w:b/>
          <w:bCs/>
          <w:color w:val="000000"/>
          <w:szCs w:val="24"/>
          <w:lang w:eastAsia="bg-BG"/>
        </w:rPr>
      </w:pPr>
    </w:p>
    <w:p w14:paraId="61A14E13" w14:textId="77777777" w:rsidR="002C052F" w:rsidRPr="002C052F" w:rsidRDefault="002C052F" w:rsidP="002C052F">
      <w:pPr>
        <w:ind w:firstLine="0"/>
        <w:jc w:val="center"/>
        <w:rPr>
          <w:b/>
          <w:bCs/>
          <w:color w:val="000000"/>
          <w:szCs w:val="24"/>
          <w:lang w:eastAsia="bg-BG"/>
        </w:rPr>
      </w:pPr>
      <w:r w:rsidRPr="002C052F">
        <w:rPr>
          <w:noProof/>
          <w:lang w:eastAsia="bg-BG"/>
        </w:rPr>
        <w:lastRenderedPageBreak/>
        <mc:AlternateContent>
          <mc:Choice Requires="wpg">
            <w:drawing>
              <wp:inline distT="0" distB="0" distL="0" distR="0" wp14:anchorId="4AAC5FBC" wp14:editId="51E185EA">
                <wp:extent cx="6028690" cy="4631055"/>
                <wp:effectExtent l="0" t="0" r="0" b="0"/>
                <wp:docPr id="790" name="Group 1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8690" cy="4631055"/>
                          <a:chOff x="0" y="0"/>
                          <a:chExt cx="6028858" cy="4631115"/>
                        </a:xfrm>
                      </wpg:grpSpPr>
                      <wps:wsp>
                        <wps:cNvPr id="791" name="Oval 1321"/>
                        <wps:cNvSpPr>
                          <a:spLocks noChangeArrowheads="1"/>
                        </wps:cNvSpPr>
                        <wps:spPr bwMode="auto">
                          <a:xfrm>
                            <a:off x="1725283" y="0"/>
                            <a:ext cx="2201545" cy="1054100"/>
                          </a:xfrm>
                          <a:prstGeom prst="ellipse">
                            <a:avLst/>
                          </a:prstGeom>
                          <a:solidFill>
                            <a:srgbClr val="000080"/>
                          </a:solidFill>
                          <a:ln w="9525">
                            <a:solidFill>
                              <a:srgbClr val="000000"/>
                            </a:solidFill>
                            <a:round/>
                            <a:headEnd/>
                            <a:tailEnd/>
                          </a:ln>
                        </wps:spPr>
                        <wps:txbx>
                          <w:txbxContent>
                            <w:p w14:paraId="7042EF93" w14:textId="77777777" w:rsidR="004E3164" w:rsidRPr="00864A2F" w:rsidRDefault="004E3164" w:rsidP="002C052F">
                              <w:pPr>
                                <w:ind w:firstLine="0"/>
                                <w:jc w:val="center"/>
                                <w:rPr>
                                  <w:rFonts w:ascii="Trebuchet MS" w:hAnsi="Trebuchet MS" w:cs="Trebuchet MS"/>
                                  <w:b/>
                                  <w:bCs/>
                                  <w:sz w:val="20"/>
                                </w:rPr>
                              </w:pPr>
                            </w:p>
                            <w:p w14:paraId="52EDD79B" w14:textId="77777777" w:rsidR="004E3164" w:rsidRPr="00864A2F" w:rsidRDefault="004E3164" w:rsidP="002C052F">
                              <w:pPr>
                                <w:ind w:firstLine="0"/>
                                <w:jc w:val="center"/>
                                <w:rPr>
                                  <w:sz w:val="20"/>
                                  <w:lang w:val="ru-RU"/>
                                </w:rPr>
                              </w:pPr>
                              <w:r w:rsidRPr="00864A2F">
                                <w:rPr>
                                  <w:b/>
                                  <w:bCs/>
                                  <w:color w:val="FFFF00"/>
                                  <w:sz w:val="20"/>
                                </w:rPr>
                                <w:t>Централен информационен офис</w:t>
                              </w:r>
                            </w:p>
                          </w:txbxContent>
                        </wps:txbx>
                        <wps:bodyPr rot="0" vert="horz" wrap="square" lIns="91440" tIns="45720" rIns="91440" bIns="45720" anchor="t" anchorCtr="0" upright="1">
                          <a:noAutofit/>
                        </wps:bodyPr>
                      </wps:wsp>
                      <wps:wsp>
                        <wps:cNvPr id="792" name="Oval 1311"/>
                        <wps:cNvSpPr>
                          <a:spLocks noChangeArrowheads="1"/>
                        </wps:cNvSpPr>
                        <wps:spPr bwMode="auto">
                          <a:xfrm>
                            <a:off x="2104845" y="1742536"/>
                            <a:ext cx="1544320" cy="869315"/>
                          </a:xfrm>
                          <a:prstGeom prst="ellipse">
                            <a:avLst/>
                          </a:prstGeom>
                          <a:solidFill>
                            <a:srgbClr val="3366FF"/>
                          </a:solidFill>
                          <a:ln w="9525">
                            <a:solidFill>
                              <a:srgbClr val="000000"/>
                            </a:solidFill>
                            <a:round/>
                            <a:headEnd/>
                            <a:tailEnd/>
                          </a:ln>
                        </wps:spPr>
                        <wps:txbx>
                          <w:txbxContent>
                            <w:p w14:paraId="72A0F3D0" w14:textId="77777777" w:rsidR="004E3164" w:rsidRPr="00864A2F" w:rsidRDefault="004E3164" w:rsidP="002C052F">
                              <w:pPr>
                                <w:ind w:firstLine="0"/>
                                <w:jc w:val="center"/>
                                <w:rPr>
                                  <w:b/>
                                  <w:bCs/>
                                  <w:sz w:val="20"/>
                                </w:rPr>
                              </w:pPr>
                              <w:r w:rsidRPr="00864A2F">
                                <w:rPr>
                                  <w:b/>
                                  <w:bCs/>
                                  <w:sz w:val="20"/>
                                </w:rPr>
                                <w:t>Отдел „МИК”</w:t>
                              </w:r>
                            </w:p>
                            <w:p w14:paraId="23B67A69" w14:textId="77777777" w:rsidR="004E3164" w:rsidRPr="00864A2F" w:rsidRDefault="004E3164" w:rsidP="002C052F">
                              <w:pPr>
                                <w:ind w:firstLine="0"/>
                                <w:jc w:val="center"/>
                                <w:rPr>
                                  <w:b/>
                                  <w:bCs/>
                                  <w:sz w:val="20"/>
                                </w:rPr>
                              </w:pPr>
                              <w:r w:rsidRPr="00864A2F">
                                <w:rPr>
                                  <w:b/>
                                  <w:bCs/>
                                  <w:sz w:val="20"/>
                                </w:rPr>
                                <w:t xml:space="preserve"> в УО на ОПТТИ</w:t>
                              </w:r>
                            </w:p>
                          </w:txbxContent>
                        </wps:txbx>
                        <wps:bodyPr rot="0" vert="horz" wrap="square" lIns="91440" tIns="45720" rIns="91440" bIns="45720" anchor="t" anchorCtr="0" upright="1">
                          <a:noAutofit/>
                        </wps:bodyPr>
                      </wps:wsp>
                      <wps:wsp>
                        <wps:cNvPr id="793" name="Oval 1315"/>
                        <wps:cNvSpPr>
                          <a:spLocks noChangeArrowheads="1"/>
                        </wps:cNvSpPr>
                        <wps:spPr bwMode="auto">
                          <a:xfrm>
                            <a:off x="664234" y="1371600"/>
                            <a:ext cx="1079500" cy="784860"/>
                          </a:xfrm>
                          <a:prstGeom prst="ellipse">
                            <a:avLst/>
                          </a:prstGeom>
                          <a:solidFill>
                            <a:srgbClr val="00CCFF"/>
                          </a:solidFill>
                          <a:ln w="9525">
                            <a:solidFill>
                              <a:srgbClr val="000000"/>
                            </a:solidFill>
                            <a:round/>
                            <a:headEnd/>
                            <a:tailEnd/>
                          </a:ln>
                        </wps:spPr>
                        <wps:txbx>
                          <w:txbxContent>
                            <w:p w14:paraId="771C6D7B" w14:textId="77777777" w:rsidR="004E3164" w:rsidRPr="00864A2F" w:rsidRDefault="004E3164" w:rsidP="002C052F">
                              <w:pPr>
                                <w:ind w:firstLine="0"/>
                                <w:jc w:val="center"/>
                                <w:rPr>
                                  <w:sz w:val="20"/>
                                  <w:lang w:val="ru-RU"/>
                                </w:rPr>
                              </w:pPr>
                              <w:r w:rsidRPr="00864A2F">
                                <w:rPr>
                                  <w:sz w:val="20"/>
                                </w:rPr>
                                <w:t>Експерт И</w:t>
                              </w:r>
                              <w:r w:rsidRPr="00864A2F">
                                <w:rPr>
                                  <w:sz w:val="20"/>
                                  <w:lang w:val="ru-RU"/>
                                </w:rPr>
                                <w:t>&amp;</w:t>
                              </w:r>
                              <w:r w:rsidRPr="00864A2F">
                                <w:rPr>
                                  <w:sz w:val="20"/>
                                </w:rPr>
                                <w:t>П</w:t>
                              </w:r>
                            </w:p>
                            <w:p w14:paraId="18A0F801" w14:textId="77777777" w:rsidR="004E3164" w:rsidRPr="00864A2F" w:rsidRDefault="004E3164" w:rsidP="002C052F">
                              <w:pPr>
                                <w:ind w:firstLine="0"/>
                                <w:jc w:val="center"/>
                                <w:rPr>
                                  <w:sz w:val="20"/>
                                </w:rPr>
                              </w:pPr>
                              <w:r w:rsidRPr="00864A2F">
                                <w:rPr>
                                  <w:sz w:val="20"/>
                                </w:rPr>
                                <w:t>Бенеф.1</w:t>
                              </w:r>
                            </w:p>
                            <w:p w14:paraId="7256FCA0" w14:textId="77777777" w:rsidR="004E3164" w:rsidRPr="00864A2F" w:rsidRDefault="004E3164" w:rsidP="002C052F">
                              <w:pPr>
                                <w:ind w:firstLine="0"/>
                                <w:jc w:val="center"/>
                                <w:rPr>
                                  <w:sz w:val="20"/>
                                  <w:lang w:val="ru-RU"/>
                                </w:rPr>
                              </w:pPr>
                            </w:p>
                          </w:txbxContent>
                        </wps:txbx>
                        <wps:bodyPr rot="0" vert="horz" wrap="square" lIns="91440" tIns="45720" rIns="91440" bIns="45720" anchor="t" anchorCtr="0" upright="1">
                          <a:noAutofit/>
                        </wps:bodyPr>
                      </wps:wsp>
                      <wps:wsp>
                        <wps:cNvPr id="794" name="Oval 1314"/>
                        <wps:cNvSpPr>
                          <a:spLocks noChangeArrowheads="1"/>
                        </wps:cNvSpPr>
                        <wps:spPr bwMode="auto">
                          <a:xfrm>
                            <a:off x="3942272" y="1345721"/>
                            <a:ext cx="1143000" cy="861060"/>
                          </a:xfrm>
                          <a:prstGeom prst="ellipse">
                            <a:avLst/>
                          </a:prstGeom>
                          <a:solidFill>
                            <a:srgbClr val="00CCFF"/>
                          </a:solidFill>
                          <a:ln w="9525">
                            <a:solidFill>
                              <a:srgbClr val="000000"/>
                            </a:solidFill>
                            <a:round/>
                            <a:headEnd/>
                            <a:tailEnd/>
                          </a:ln>
                        </wps:spPr>
                        <wps:txbx>
                          <w:txbxContent>
                            <w:p w14:paraId="76A8BA16" w14:textId="77777777" w:rsidR="004E3164" w:rsidRPr="00864A2F" w:rsidRDefault="004E3164" w:rsidP="002C052F">
                              <w:pPr>
                                <w:ind w:firstLine="0"/>
                                <w:jc w:val="center"/>
                                <w:rPr>
                                  <w:sz w:val="20"/>
                                  <w:lang w:val="en-US"/>
                                </w:rPr>
                              </w:pPr>
                              <w:r w:rsidRPr="00864A2F">
                                <w:rPr>
                                  <w:sz w:val="20"/>
                                </w:rPr>
                                <w:t>Експерт И</w:t>
                              </w:r>
                              <w:r w:rsidRPr="00864A2F">
                                <w:rPr>
                                  <w:sz w:val="20"/>
                                  <w:lang w:val="en-US"/>
                                </w:rPr>
                                <w:t>&amp;</w:t>
                              </w:r>
                              <w:r w:rsidRPr="00864A2F">
                                <w:rPr>
                                  <w:sz w:val="20"/>
                                </w:rPr>
                                <w:t>П</w:t>
                              </w:r>
                            </w:p>
                            <w:p w14:paraId="41F7C9BD" w14:textId="77777777" w:rsidR="004E3164" w:rsidRPr="00864A2F" w:rsidRDefault="004E3164" w:rsidP="002C052F">
                              <w:pPr>
                                <w:ind w:firstLine="0"/>
                                <w:jc w:val="center"/>
                                <w:rPr>
                                  <w:sz w:val="20"/>
                                </w:rPr>
                              </w:pPr>
                              <w:r w:rsidRPr="00864A2F">
                                <w:rPr>
                                  <w:sz w:val="20"/>
                                </w:rPr>
                                <w:t>Бенеф.5</w:t>
                              </w:r>
                            </w:p>
                          </w:txbxContent>
                        </wps:txbx>
                        <wps:bodyPr rot="0" vert="horz" wrap="square" lIns="91440" tIns="45720" rIns="91440" bIns="45720" anchor="t" anchorCtr="0" upright="1">
                          <a:noAutofit/>
                        </wps:bodyPr>
                      </wps:wsp>
                      <wps:wsp>
                        <wps:cNvPr id="795" name="Oval 1307"/>
                        <wps:cNvSpPr>
                          <a:spLocks noChangeArrowheads="1"/>
                        </wps:cNvSpPr>
                        <wps:spPr bwMode="auto">
                          <a:xfrm>
                            <a:off x="112144" y="2700068"/>
                            <a:ext cx="1333500" cy="784225"/>
                          </a:xfrm>
                          <a:prstGeom prst="ellipse">
                            <a:avLst/>
                          </a:prstGeom>
                          <a:solidFill>
                            <a:srgbClr val="00CCFF"/>
                          </a:solidFill>
                          <a:ln w="9525">
                            <a:solidFill>
                              <a:srgbClr val="000000"/>
                            </a:solidFill>
                            <a:round/>
                            <a:headEnd/>
                            <a:tailEnd/>
                          </a:ln>
                        </wps:spPr>
                        <wps:txbx>
                          <w:txbxContent>
                            <w:p w14:paraId="48B9BFB9" w14:textId="77777777" w:rsidR="004E3164" w:rsidRPr="00864A2F" w:rsidRDefault="004E3164" w:rsidP="002C052F">
                              <w:pPr>
                                <w:ind w:firstLine="0"/>
                                <w:jc w:val="center"/>
                                <w:rPr>
                                  <w:sz w:val="20"/>
                                  <w:lang w:val="en-US"/>
                                </w:rPr>
                              </w:pPr>
                              <w:r w:rsidRPr="00864A2F">
                                <w:rPr>
                                  <w:sz w:val="20"/>
                                </w:rPr>
                                <w:t>Експерт И</w:t>
                              </w:r>
                              <w:r w:rsidRPr="00864A2F">
                                <w:rPr>
                                  <w:sz w:val="20"/>
                                  <w:lang w:val="en-US"/>
                                </w:rPr>
                                <w:t>&amp;</w:t>
                              </w:r>
                              <w:r w:rsidRPr="00864A2F">
                                <w:rPr>
                                  <w:sz w:val="20"/>
                                </w:rPr>
                                <w:t>П</w:t>
                              </w:r>
                            </w:p>
                            <w:p w14:paraId="18FCEF01" w14:textId="77777777" w:rsidR="004E3164" w:rsidRPr="00864A2F" w:rsidRDefault="004E3164" w:rsidP="002C052F">
                              <w:pPr>
                                <w:ind w:firstLine="0"/>
                                <w:jc w:val="center"/>
                                <w:rPr>
                                  <w:sz w:val="20"/>
                                </w:rPr>
                              </w:pPr>
                              <w:r w:rsidRPr="00864A2F">
                                <w:rPr>
                                  <w:sz w:val="20"/>
                                </w:rPr>
                                <w:t>Бенеф.2</w:t>
                              </w:r>
                            </w:p>
                            <w:p w14:paraId="3A69C830" w14:textId="77777777" w:rsidR="004E3164" w:rsidRPr="00864A2F" w:rsidRDefault="004E3164" w:rsidP="002C052F">
                              <w:pPr>
                                <w:ind w:firstLine="0"/>
                                <w:jc w:val="center"/>
                                <w:rPr>
                                  <w:sz w:val="20"/>
                                  <w:lang w:val="en-GB"/>
                                </w:rPr>
                              </w:pPr>
                            </w:p>
                          </w:txbxContent>
                        </wps:txbx>
                        <wps:bodyPr rot="0" vert="horz" wrap="square" lIns="91440" tIns="45720" rIns="91440" bIns="45720" anchor="t" anchorCtr="0" upright="1">
                          <a:noAutofit/>
                        </wps:bodyPr>
                      </wps:wsp>
                      <wps:wsp>
                        <wps:cNvPr id="796" name="Oval 1308"/>
                        <wps:cNvSpPr>
                          <a:spLocks noChangeArrowheads="1"/>
                        </wps:cNvSpPr>
                        <wps:spPr bwMode="auto">
                          <a:xfrm>
                            <a:off x="1647645" y="2794959"/>
                            <a:ext cx="1219200" cy="739140"/>
                          </a:xfrm>
                          <a:prstGeom prst="ellipse">
                            <a:avLst/>
                          </a:prstGeom>
                          <a:solidFill>
                            <a:srgbClr val="00CCFF"/>
                          </a:solidFill>
                          <a:ln w="9525">
                            <a:solidFill>
                              <a:srgbClr val="000000"/>
                            </a:solidFill>
                            <a:round/>
                            <a:headEnd/>
                            <a:tailEnd/>
                          </a:ln>
                        </wps:spPr>
                        <wps:txbx>
                          <w:txbxContent>
                            <w:p w14:paraId="1935F6C7" w14:textId="77777777" w:rsidR="004E3164" w:rsidRPr="00864A2F" w:rsidRDefault="004E3164" w:rsidP="002C052F">
                              <w:pPr>
                                <w:ind w:firstLine="0"/>
                                <w:jc w:val="center"/>
                                <w:rPr>
                                  <w:sz w:val="20"/>
                                  <w:lang w:val="en-US"/>
                                </w:rPr>
                              </w:pPr>
                              <w:r w:rsidRPr="00864A2F">
                                <w:rPr>
                                  <w:sz w:val="20"/>
                                </w:rPr>
                                <w:t>Експерт И</w:t>
                              </w:r>
                              <w:r w:rsidRPr="00864A2F">
                                <w:rPr>
                                  <w:sz w:val="20"/>
                                  <w:lang w:val="en-US"/>
                                </w:rPr>
                                <w:t>&amp;</w:t>
                              </w:r>
                              <w:r w:rsidRPr="00864A2F">
                                <w:rPr>
                                  <w:sz w:val="20"/>
                                </w:rPr>
                                <w:t>П</w:t>
                              </w:r>
                            </w:p>
                            <w:p w14:paraId="4648EDCF" w14:textId="77777777" w:rsidR="004E3164" w:rsidRPr="00864A2F" w:rsidRDefault="004E3164" w:rsidP="002C052F">
                              <w:pPr>
                                <w:ind w:firstLine="0"/>
                                <w:jc w:val="center"/>
                                <w:rPr>
                                  <w:sz w:val="20"/>
                                </w:rPr>
                              </w:pPr>
                              <w:r w:rsidRPr="00864A2F">
                                <w:rPr>
                                  <w:sz w:val="20"/>
                                </w:rPr>
                                <w:t>Бенеф.2</w:t>
                              </w:r>
                            </w:p>
                            <w:p w14:paraId="76D7FCE8" w14:textId="77777777" w:rsidR="004E3164" w:rsidRPr="00864A2F" w:rsidRDefault="004E3164" w:rsidP="002C052F">
                              <w:pPr>
                                <w:ind w:firstLine="0"/>
                                <w:jc w:val="center"/>
                                <w:rPr>
                                  <w:sz w:val="20"/>
                                  <w:lang w:val="en-GB"/>
                                </w:rPr>
                              </w:pPr>
                            </w:p>
                          </w:txbxContent>
                        </wps:txbx>
                        <wps:bodyPr rot="0" vert="horz" wrap="square" lIns="91440" tIns="45720" rIns="91440" bIns="45720" anchor="t" anchorCtr="0" upright="1">
                          <a:noAutofit/>
                        </wps:bodyPr>
                      </wps:wsp>
                      <wps:wsp>
                        <wps:cNvPr id="797" name="Oval 1299"/>
                        <wps:cNvSpPr>
                          <a:spLocks noChangeArrowheads="1"/>
                        </wps:cNvSpPr>
                        <wps:spPr bwMode="auto">
                          <a:xfrm>
                            <a:off x="4528868" y="2700068"/>
                            <a:ext cx="1270000" cy="739140"/>
                          </a:xfrm>
                          <a:prstGeom prst="ellipse">
                            <a:avLst/>
                          </a:prstGeom>
                          <a:solidFill>
                            <a:srgbClr val="00CCFF"/>
                          </a:solidFill>
                          <a:ln w="9525">
                            <a:solidFill>
                              <a:srgbClr val="000000"/>
                            </a:solidFill>
                            <a:round/>
                            <a:headEnd/>
                            <a:tailEnd/>
                          </a:ln>
                        </wps:spPr>
                        <wps:txbx>
                          <w:txbxContent>
                            <w:p w14:paraId="58DC91B1" w14:textId="77777777" w:rsidR="004E3164" w:rsidRPr="00864A2F" w:rsidRDefault="004E3164" w:rsidP="002C052F">
                              <w:pPr>
                                <w:ind w:firstLine="0"/>
                                <w:jc w:val="center"/>
                                <w:rPr>
                                  <w:sz w:val="20"/>
                                  <w:lang w:val="ru-RU"/>
                                </w:rPr>
                              </w:pPr>
                              <w:r w:rsidRPr="00864A2F">
                                <w:rPr>
                                  <w:sz w:val="20"/>
                                </w:rPr>
                                <w:t>Експерт И</w:t>
                              </w:r>
                              <w:r w:rsidRPr="00864A2F">
                                <w:rPr>
                                  <w:sz w:val="20"/>
                                  <w:lang w:val="ru-RU"/>
                                </w:rPr>
                                <w:t>&amp;</w:t>
                              </w:r>
                              <w:r w:rsidRPr="00864A2F">
                                <w:rPr>
                                  <w:sz w:val="20"/>
                                </w:rPr>
                                <w:t>П</w:t>
                              </w:r>
                            </w:p>
                            <w:p w14:paraId="20CE20D9" w14:textId="77777777" w:rsidR="004E3164" w:rsidRPr="00864A2F" w:rsidRDefault="004E3164" w:rsidP="002C052F">
                              <w:pPr>
                                <w:ind w:firstLine="0"/>
                                <w:jc w:val="center"/>
                                <w:rPr>
                                  <w:sz w:val="20"/>
                                </w:rPr>
                              </w:pPr>
                              <w:r w:rsidRPr="00864A2F">
                                <w:rPr>
                                  <w:sz w:val="20"/>
                                </w:rPr>
                                <w:t>Бенеф.4</w:t>
                              </w:r>
                            </w:p>
                            <w:p w14:paraId="1ECEEDBD" w14:textId="77777777" w:rsidR="004E3164" w:rsidRPr="00864A2F" w:rsidRDefault="004E3164" w:rsidP="002C052F">
                              <w:pPr>
                                <w:ind w:firstLine="0"/>
                                <w:jc w:val="center"/>
                                <w:rPr>
                                  <w:sz w:val="20"/>
                                  <w:lang w:val="ru-RU"/>
                                </w:rPr>
                              </w:pPr>
                            </w:p>
                          </w:txbxContent>
                        </wps:txbx>
                        <wps:bodyPr rot="0" vert="horz" wrap="square" lIns="91440" tIns="45720" rIns="91440" bIns="45720" anchor="t" anchorCtr="0" upright="1">
                          <a:noAutofit/>
                        </wps:bodyPr>
                      </wps:wsp>
                      <wps:wsp>
                        <wps:cNvPr id="798" name="Straight Connector 1318"/>
                        <wps:cNvCnPr>
                          <a:cxnSpLocks noChangeShapeType="1"/>
                        </wps:cNvCnPr>
                        <wps:spPr bwMode="auto">
                          <a:xfrm flipH="1" flipV="1">
                            <a:off x="2838091" y="1052423"/>
                            <a:ext cx="0" cy="685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99" name="Straight Connector 1310"/>
                        <wps:cNvCnPr>
                          <a:cxnSpLocks noChangeShapeType="1"/>
                        </wps:cNvCnPr>
                        <wps:spPr bwMode="auto">
                          <a:xfrm flipV="1">
                            <a:off x="1285336" y="2372264"/>
                            <a:ext cx="914400" cy="4419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20" name="Straight Connector 1309"/>
                        <wps:cNvCnPr>
                          <a:cxnSpLocks noChangeShapeType="1"/>
                        </wps:cNvCnPr>
                        <wps:spPr bwMode="auto">
                          <a:xfrm>
                            <a:off x="3666227" y="2225615"/>
                            <a:ext cx="137922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21" name="Straight Connector 1312"/>
                        <wps:cNvCnPr>
                          <a:cxnSpLocks noChangeShapeType="1"/>
                        </wps:cNvCnPr>
                        <wps:spPr bwMode="auto">
                          <a:xfrm>
                            <a:off x="1785668" y="1854679"/>
                            <a:ext cx="320040" cy="1219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22" name="Straight Connector 1313"/>
                        <wps:cNvCnPr>
                          <a:cxnSpLocks noChangeShapeType="1"/>
                        </wps:cNvCnPr>
                        <wps:spPr bwMode="auto">
                          <a:xfrm flipV="1">
                            <a:off x="3623094" y="1863306"/>
                            <a:ext cx="314960" cy="1524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23" name="Straight Connector 1301"/>
                        <wps:cNvCnPr>
                          <a:cxnSpLocks noChangeShapeType="1"/>
                        </wps:cNvCnPr>
                        <wps:spPr bwMode="auto">
                          <a:xfrm flipV="1">
                            <a:off x="2294627" y="2570672"/>
                            <a:ext cx="25400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24" name="Oval 1303"/>
                        <wps:cNvSpPr>
                          <a:spLocks noChangeArrowheads="1"/>
                        </wps:cNvSpPr>
                        <wps:spPr bwMode="auto">
                          <a:xfrm>
                            <a:off x="0" y="3709359"/>
                            <a:ext cx="1348740" cy="913130"/>
                          </a:xfrm>
                          <a:prstGeom prst="ellipse">
                            <a:avLst/>
                          </a:prstGeom>
                          <a:solidFill>
                            <a:srgbClr val="CCFFFF"/>
                          </a:solidFill>
                          <a:ln w="9525">
                            <a:solidFill>
                              <a:srgbClr val="000000"/>
                            </a:solidFill>
                            <a:round/>
                            <a:headEnd/>
                            <a:tailEnd/>
                          </a:ln>
                        </wps:spPr>
                        <wps:txbx>
                          <w:txbxContent>
                            <w:p w14:paraId="5C8A02A1" w14:textId="77777777" w:rsidR="004E3164" w:rsidRPr="00864A2F" w:rsidRDefault="004E3164" w:rsidP="002C052F">
                              <w:pPr>
                                <w:ind w:firstLine="0"/>
                                <w:jc w:val="center"/>
                                <w:rPr>
                                  <w:sz w:val="20"/>
                                </w:rPr>
                              </w:pPr>
                              <w:r w:rsidRPr="00864A2F">
                                <w:rPr>
                                  <w:sz w:val="20"/>
                                </w:rPr>
                                <w:t>Изпълнител</w:t>
                              </w:r>
                            </w:p>
                            <w:p w14:paraId="3593C723" w14:textId="77777777" w:rsidR="004E3164" w:rsidRPr="00864A2F" w:rsidRDefault="004E3164" w:rsidP="002C052F">
                              <w:pPr>
                                <w:ind w:firstLine="0"/>
                                <w:jc w:val="center"/>
                                <w:rPr>
                                  <w:sz w:val="20"/>
                                  <w:lang w:val="en-GB"/>
                                </w:rPr>
                              </w:pPr>
                              <w:r w:rsidRPr="00864A2F">
                                <w:rPr>
                                  <w:sz w:val="20"/>
                                </w:rPr>
                                <w:t>Инфраструктурен проект</w:t>
                              </w:r>
                            </w:p>
                          </w:txbxContent>
                        </wps:txbx>
                        <wps:bodyPr rot="0" vert="horz" wrap="square" lIns="91440" tIns="45720" rIns="91440" bIns="45720" anchor="t" anchorCtr="0" upright="1">
                          <a:noAutofit/>
                        </wps:bodyPr>
                      </wps:wsp>
                      <wps:wsp>
                        <wps:cNvPr id="2225" name="Oval 1304"/>
                        <wps:cNvSpPr>
                          <a:spLocks noChangeArrowheads="1"/>
                        </wps:cNvSpPr>
                        <wps:spPr bwMode="auto">
                          <a:xfrm>
                            <a:off x="1613140" y="3709359"/>
                            <a:ext cx="1409700" cy="913130"/>
                          </a:xfrm>
                          <a:prstGeom prst="ellipse">
                            <a:avLst/>
                          </a:prstGeom>
                          <a:solidFill>
                            <a:srgbClr val="CCFFFF"/>
                          </a:solidFill>
                          <a:ln w="9525">
                            <a:solidFill>
                              <a:srgbClr val="000000"/>
                            </a:solidFill>
                            <a:round/>
                            <a:headEnd/>
                            <a:tailEnd/>
                          </a:ln>
                        </wps:spPr>
                        <wps:txbx>
                          <w:txbxContent>
                            <w:p w14:paraId="40A4F962" w14:textId="77777777" w:rsidR="004E3164" w:rsidRPr="00864A2F" w:rsidRDefault="004E3164" w:rsidP="002C052F">
                              <w:pPr>
                                <w:ind w:firstLine="0"/>
                                <w:jc w:val="center"/>
                                <w:rPr>
                                  <w:sz w:val="20"/>
                                </w:rPr>
                              </w:pPr>
                              <w:r w:rsidRPr="00864A2F">
                                <w:rPr>
                                  <w:sz w:val="20"/>
                                </w:rPr>
                                <w:t>Изпълнител</w:t>
                              </w:r>
                            </w:p>
                            <w:p w14:paraId="14000424" w14:textId="77777777" w:rsidR="004E3164" w:rsidRPr="00864A2F" w:rsidRDefault="004E3164" w:rsidP="002C052F">
                              <w:pPr>
                                <w:ind w:firstLine="0"/>
                                <w:jc w:val="center"/>
                                <w:rPr>
                                  <w:sz w:val="20"/>
                                  <w:lang w:val="en-GB"/>
                                </w:rPr>
                              </w:pPr>
                              <w:r w:rsidRPr="00864A2F">
                                <w:rPr>
                                  <w:sz w:val="20"/>
                                </w:rPr>
                                <w:t>Инфраструктурен проект</w:t>
                              </w:r>
                            </w:p>
                          </w:txbxContent>
                        </wps:txbx>
                        <wps:bodyPr rot="0" vert="horz" wrap="square" lIns="91440" tIns="45720" rIns="91440" bIns="45720" anchor="t" anchorCtr="0" upright="1">
                          <a:noAutofit/>
                        </wps:bodyPr>
                      </wps:wsp>
                      <wps:wsp>
                        <wps:cNvPr id="2226" name="Oval 1296"/>
                        <wps:cNvSpPr>
                          <a:spLocks noChangeArrowheads="1"/>
                        </wps:cNvSpPr>
                        <wps:spPr bwMode="auto">
                          <a:xfrm>
                            <a:off x="4649638" y="3709359"/>
                            <a:ext cx="1379220" cy="913130"/>
                          </a:xfrm>
                          <a:prstGeom prst="ellipse">
                            <a:avLst/>
                          </a:prstGeom>
                          <a:solidFill>
                            <a:srgbClr val="CCFFFF"/>
                          </a:solidFill>
                          <a:ln w="9525">
                            <a:solidFill>
                              <a:srgbClr val="000000"/>
                            </a:solidFill>
                            <a:round/>
                            <a:headEnd/>
                            <a:tailEnd/>
                          </a:ln>
                        </wps:spPr>
                        <wps:txbx>
                          <w:txbxContent>
                            <w:p w14:paraId="529AFC80" w14:textId="77777777" w:rsidR="004E3164" w:rsidRPr="00864A2F" w:rsidRDefault="004E3164" w:rsidP="002C052F">
                              <w:pPr>
                                <w:ind w:firstLine="0"/>
                                <w:jc w:val="center"/>
                                <w:rPr>
                                  <w:sz w:val="20"/>
                                </w:rPr>
                              </w:pPr>
                              <w:r w:rsidRPr="00864A2F">
                                <w:rPr>
                                  <w:sz w:val="20"/>
                                </w:rPr>
                                <w:t>Изпълнител</w:t>
                              </w:r>
                            </w:p>
                            <w:p w14:paraId="1ED5947E" w14:textId="77777777" w:rsidR="004E3164" w:rsidRPr="00864A2F" w:rsidRDefault="004E3164" w:rsidP="002C052F">
                              <w:pPr>
                                <w:ind w:firstLine="0"/>
                                <w:jc w:val="center"/>
                                <w:rPr>
                                  <w:sz w:val="20"/>
                                  <w:lang w:val="en-GB"/>
                                </w:rPr>
                              </w:pPr>
                              <w:r w:rsidRPr="00864A2F">
                                <w:rPr>
                                  <w:sz w:val="20"/>
                                </w:rPr>
                                <w:t>Инфраструктурен проект</w:t>
                              </w:r>
                            </w:p>
                          </w:txbxContent>
                        </wps:txbx>
                        <wps:bodyPr rot="0" vert="horz" wrap="square" lIns="91440" tIns="45720" rIns="91440" bIns="45720" anchor="t" anchorCtr="0" upright="1">
                          <a:noAutofit/>
                        </wps:bodyPr>
                      </wps:wsp>
                      <wps:wsp>
                        <wps:cNvPr id="2227" name="Oval 1319"/>
                        <wps:cNvSpPr>
                          <a:spLocks noChangeArrowheads="1"/>
                        </wps:cNvSpPr>
                        <wps:spPr bwMode="auto">
                          <a:xfrm>
                            <a:off x="4779034" y="431321"/>
                            <a:ext cx="1249680" cy="913130"/>
                          </a:xfrm>
                          <a:prstGeom prst="ellipse">
                            <a:avLst/>
                          </a:prstGeom>
                          <a:solidFill>
                            <a:srgbClr val="CCFFFF"/>
                          </a:solidFill>
                          <a:ln w="9525">
                            <a:solidFill>
                              <a:srgbClr val="000000"/>
                            </a:solidFill>
                            <a:round/>
                            <a:headEnd/>
                            <a:tailEnd/>
                          </a:ln>
                        </wps:spPr>
                        <wps:txbx>
                          <w:txbxContent>
                            <w:p w14:paraId="768013F6" w14:textId="77777777" w:rsidR="004E3164" w:rsidRPr="00864A2F" w:rsidRDefault="004E3164" w:rsidP="002C052F">
                              <w:pPr>
                                <w:ind w:firstLine="0"/>
                                <w:jc w:val="center"/>
                                <w:rPr>
                                  <w:sz w:val="20"/>
                                </w:rPr>
                              </w:pPr>
                              <w:r w:rsidRPr="00864A2F">
                                <w:rPr>
                                  <w:sz w:val="20"/>
                                </w:rPr>
                                <w:t>Изпълнител</w:t>
                              </w:r>
                            </w:p>
                            <w:p w14:paraId="2A8AB9B5" w14:textId="77777777" w:rsidR="004E3164" w:rsidRPr="00864A2F" w:rsidRDefault="004E3164" w:rsidP="002C052F">
                              <w:pPr>
                                <w:ind w:firstLine="0"/>
                                <w:jc w:val="center"/>
                                <w:rPr>
                                  <w:sz w:val="20"/>
                                </w:rPr>
                              </w:pPr>
                              <w:r w:rsidRPr="00864A2F">
                                <w:rPr>
                                  <w:sz w:val="20"/>
                                </w:rPr>
                                <w:t>Инфраструктурен проект</w:t>
                              </w:r>
                            </w:p>
                            <w:p w14:paraId="2703308B" w14:textId="77777777" w:rsidR="004E3164" w:rsidRPr="00864A2F" w:rsidRDefault="004E3164" w:rsidP="002C052F">
                              <w:pPr>
                                <w:ind w:firstLine="0"/>
                                <w:jc w:val="center"/>
                                <w:rPr>
                                  <w:sz w:val="20"/>
                                  <w:lang w:val="en-GB"/>
                                </w:rPr>
                              </w:pPr>
                            </w:p>
                          </w:txbxContent>
                        </wps:txbx>
                        <wps:bodyPr rot="0" vert="horz" wrap="square" lIns="91440" tIns="45720" rIns="91440" bIns="45720" anchor="t" anchorCtr="0" upright="1">
                          <a:noAutofit/>
                        </wps:bodyPr>
                      </wps:wsp>
                      <wps:wsp>
                        <wps:cNvPr id="2228" name="Oval 1320"/>
                        <wps:cNvSpPr>
                          <a:spLocks noChangeArrowheads="1"/>
                        </wps:cNvSpPr>
                        <wps:spPr bwMode="auto">
                          <a:xfrm>
                            <a:off x="17253" y="422694"/>
                            <a:ext cx="1280160" cy="838200"/>
                          </a:xfrm>
                          <a:prstGeom prst="ellipse">
                            <a:avLst/>
                          </a:prstGeom>
                          <a:solidFill>
                            <a:srgbClr val="CCFFFF"/>
                          </a:solidFill>
                          <a:ln w="9525">
                            <a:solidFill>
                              <a:srgbClr val="000000"/>
                            </a:solidFill>
                            <a:round/>
                            <a:headEnd/>
                            <a:tailEnd/>
                          </a:ln>
                        </wps:spPr>
                        <wps:txbx>
                          <w:txbxContent>
                            <w:p w14:paraId="3F491B60" w14:textId="77777777" w:rsidR="004E3164" w:rsidRPr="00864A2F" w:rsidRDefault="004E3164" w:rsidP="002C052F">
                              <w:pPr>
                                <w:ind w:firstLine="0"/>
                                <w:jc w:val="center"/>
                                <w:rPr>
                                  <w:sz w:val="20"/>
                                </w:rPr>
                              </w:pPr>
                              <w:r w:rsidRPr="00864A2F">
                                <w:rPr>
                                  <w:sz w:val="20"/>
                                </w:rPr>
                                <w:t>Изпълнител</w:t>
                              </w:r>
                            </w:p>
                            <w:p w14:paraId="72AC09D7" w14:textId="77777777" w:rsidR="004E3164" w:rsidRPr="00864A2F" w:rsidRDefault="004E3164" w:rsidP="002C052F">
                              <w:pPr>
                                <w:ind w:firstLine="0"/>
                                <w:jc w:val="center"/>
                                <w:rPr>
                                  <w:sz w:val="20"/>
                                  <w:lang w:val="en-GB"/>
                                </w:rPr>
                              </w:pPr>
                              <w:r w:rsidRPr="00864A2F">
                                <w:rPr>
                                  <w:sz w:val="20"/>
                                </w:rPr>
                                <w:t>Инфраструктурен проект</w:t>
                              </w:r>
                            </w:p>
                          </w:txbxContent>
                        </wps:txbx>
                        <wps:bodyPr rot="0" vert="horz" wrap="square" lIns="91440" tIns="45720" rIns="91440" bIns="45720" anchor="t" anchorCtr="0" upright="1">
                          <a:noAutofit/>
                        </wps:bodyPr>
                      </wps:wsp>
                      <wps:wsp>
                        <wps:cNvPr id="2229" name="Straight Connector 1305"/>
                        <wps:cNvCnPr>
                          <a:cxnSpLocks noChangeShapeType="1"/>
                        </wps:cNvCnPr>
                        <wps:spPr bwMode="auto">
                          <a:xfrm flipV="1">
                            <a:off x="715993" y="3485072"/>
                            <a:ext cx="0" cy="22796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30" name="Straight Connector 1306"/>
                        <wps:cNvCnPr>
                          <a:cxnSpLocks noChangeShapeType="1"/>
                        </wps:cNvCnPr>
                        <wps:spPr bwMode="auto">
                          <a:xfrm flipV="1">
                            <a:off x="2303253" y="3485072"/>
                            <a:ext cx="0" cy="22796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31" name="Straight Connector 1316"/>
                        <wps:cNvCnPr>
                          <a:cxnSpLocks noChangeShapeType="1"/>
                        </wps:cNvCnPr>
                        <wps:spPr bwMode="auto">
                          <a:xfrm flipH="1" flipV="1">
                            <a:off x="879894" y="1233577"/>
                            <a:ext cx="160020" cy="1676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32" name="Straight Connector 1317"/>
                        <wps:cNvCnPr>
                          <a:cxnSpLocks noChangeShapeType="1"/>
                        </wps:cNvCnPr>
                        <wps:spPr bwMode="auto">
                          <a:xfrm flipV="1">
                            <a:off x="4839419" y="1224951"/>
                            <a:ext cx="152400" cy="1981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33" name="Oval 1300"/>
                        <wps:cNvSpPr>
                          <a:spLocks noChangeArrowheads="1"/>
                        </wps:cNvSpPr>
                        <wps:spPr bwMode="auto">
                          <a:xfrm>
                            <a:off x="3001993" y="2794959"/>
                            <a:ext cx="1318260" cy="762000"/>
                          </a:xfrm>
                          <a:prstGeom prst="ellipse">
                            <a:avLst/>
                          </a:prstGeom>
                          <a:solidFill>
                            <a:srgbClr val="00CCFF"/>
                          </a:solidFill>
                          <a:ln w="9525">
                            <a:solidFill>
                              <a:srgbClr val="000000"/>
                            </a:solidFill>
                            <a:round/>
                            <a:headEnd/>
                            <a:tailEnd/>
                          </a:ln>
                        </wps:spPr>
                        <wps:txbx>
                          <w:txbxContent>
                            <w:p w14:paraId="6F38835D" w14:textId="77777777" w:rsidR="004E3164" w:rsidRPr="00864A2F" w:rsidRDefault="004E3164" w:rsidP="002C052F">
                              <w:pPr>
                                <w:ind w:firstLine="0"/>
                                <w:jc w:val="center"/>
                                <w:rPr>
                                  <w:sz w:val="20"/>
                                  <w:lang w:val="ru-RU"/>
                                </w:rPr>
                              </w:pPr>
                              <w:r w:rsidRPr="00864A2F">
                                <w:rPr>
                                  <w:sz w:val="20"/>
                                </w:rPr>
                                <w:t>Експерт И</w:t>
                              </w:r>
                              <w:r w:rsidRPr="00864A2F">
                                <w:rPr>
                                  <w:sz w:val="20"/>
                                  <w:lang w:val="ru-RU"/>
                                </w:rPr>
                                <w:t>&amp;</w:t>
                              </w:r>
                              <w:r w:rsidRPr="00864A2F">
                                <w:rPr>
                                  <w:sz w:val="20"/>
                                </w:rPr>
                                <w:t>П</w:t>
                              </w:r>
                            </w:p>
                            <w:p w14:paraId="661478F9" w14:textId="77777777" w:rsidR="004E3164" w:rsidRPr="00864A2F" w:rsidRDefault="004E3164" w:rsidP="002C052F">
                              <w:pPr>
                                <w:ind w:firstLine="0"/>
                                <w:jc w:val="center"/>
                                <w:rPr>
                                  <w:sz w:val="20"/>
                                </w:rPr>
                              </w:pPr>
                              <w:r w:rsidRPr="00864A2F">
                                <w:rPr>
                                  <w:sz w:val="20"/>
                                </w:rPr>
                                <w:t>Бенеф.3</w:t>
                              </w:r>
                            </w:p>
                            <w:p w14:paraId="3A71E1C4" w14:textId="77777777" w:rsidR="004E3164" w:rsidRPr="00864A2F" w:rsidRDefault="004E3164" w:rsidP="002C052F">
                              <w:pPr>
                                <w:ind w:firstLine="0"/>
                                <w:jc w:val="center"/>
                                <w:rPr>
                                  <w:sz w:val="20"/>
                                  <w:lang w:val="ru-RU"/>
                                </w:rPr>
                              </w:pPr>
                            </w:p>
                          </w:txbxContent>
                        </wps:txbx>
                        <wps:bodyPr rot="0" vert="horz" wrap="square" lIns="91440" tIns="45720" rIns="91440" bIns="45720" anchor="t" anchorCtr="0" upright="1">
                          <a:noAutofit/>
                        </wps:bodyPr>
                      </wps:wsp>
                      <wps:wsp>
                        <wps:cNvPr id="2234" name="Oval 1295"/>
                        <wps:cNvSpPr>
                          <a:spLocks noChangeArrowheads="1"/>
                        </wps:cNvSpPr>
                        <wps:spPr bwMode="auto">
                          <a:xfrm>
                            <a:off x="3157268" y="3717985"/>
                            <a:ext cx="1394460" cy="913130"/>
                          </a:xfrm>
                          <a:prstGeom prst="ellipse">
                            <a:avLst/>
                          </a:prstGeom>
                          <a:solidFill>
                            <a:srgbClr val="CCFFFF"/>
                          </a:solidFill>
                          <a:ln w="9525">
                            <a:solidFill>
                              <a:srgbClr val="000000"/>
                            </a:solidFill>
                            <a:round/>
                            <a:headEnd/>
                            <a:tailEnd/>
                          </a:ln>
                        </wps:spPr>
                        <wps:txbx>
                          <w:txbxContent>
                            <w:p w14:paraId="13D1F0A1" w14:textId="77777777" w:rsidR="004E3164" w:rsidRPr="00864A2F" w:rsidRDefault="004E3164" w:rsidP="002C052F">
                              <w:pPr>
                                <w:ind w:firstLine="0"/>
                                <w:jc w:val="center"/>
                                <w:rPr>
                                  <w:sz w:val="20"/>
                                </w:rPr>
                              </w:pPr>
                              <w:r w:rsidRPr="00864A2F">
                                <w:rPr>
                                  <w:sz w:val="20"/>
                                </w:rPr>
                                <w:t>Изпълнител</w:t>
                              </w:r>
                            </w:p>
                            <w:p w14:paraId="7808FC3E" w14:textId="77777777" w:rsidR="004E3164" w:rsidRPr="00864A2F" w:rsidRDefault="004E3164" w:rsidP="002C052F">
                              <w:pPr>
                                <w:ind w:firstLine="0"/>
                                <w:jc w:val="center"/>
                                <w:rPr>
                                  <w:sz w:val="20"/>
                                  <w:lang w:val="en-GB"/>
                                </w:rPr>
                              </w:pPr>
                              <w:r w:rsidRPr="00864A2F">
                                <w:rPr>
                                  <w:sz w:val="20"/>
                                </w:rPr>
                                <w:t>Инфраструктурен проект</w:t>
                              </w:r>
                            </w:p>
                          </w:txbxContent>
                        </wps:txbx>
                        <wps:bodyPr rot="0" vert="horz" wrap="square" lIns="91440" tIns="45720" rIns="91440" bIns="45720" anchor="t" anchorCtr="0" upright="1">
                          <a:noAutofit/>
                        </wps:bodyPr>
                      </wps:wsp>
                      <wps:wsp>
                        <wps:cNvPr id="2235" name="Straight Connector 1302"/>
                        <wps:cNvCnPr>
                          <a:cxnSpLocks noChangeShapeType="1"/>
                        </wps:cNvCnPr>
                        <wps:spPr bwMode="auto">
                          <a:xfrm flipH="1" flipV="1">
                            <a:off x="3191774" y="2562045"/>
                            <a:ext cx="327660" cy="2362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36" name="Straight Connector 1298"/>
                        <wps:cNvCnPr>
                          <a:cxnSpLocks noChangeShapeType="1"/>
                        </wps:cNvCnPr>
                        <wps:spPr bwMode="auto">
                          <a:xfrm flipV="1">
                            <a:off x="3804249" y="3510951"/>
                            <a:ext cx="0" cy="22796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37" name="Straight Connector 1891"/>
                        <wps:cNvCnPr>
                          <a:cxnSpLocks noChangeShapeType="1"/>
                        </wps:cNvCnPr>
                        <wps:spPr bwMode="auto">
                          <a:xfrm flipV="1">
                            <a:off x="5244861" y="3459192"/>
                            <a:ext cx="0" cy="22796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AAC5FBC" id="Group 1892" o:spid="_x0000_s1795" style="width:474.7pt;height:364.65pt;mso-position-horizontal-relative:char;mso-position-vertical-relative:line" coordsize="60288,4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">
                <v:oval id="Oval 1321" o:spid="_x0000_s1796" style="position:absolute;left:17252;width:22016;height:10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" fillcolor="navy">
                  <v:textbox>
                    <w:txbxContent>
                      <w:p w14:paraId="7042EF93" w14:textId="77777777" w:rsidR="004E3164" w:rsidRPr="00864A2F" w:rsidRDefault="004E3164" w:rsidP="002C052F">
                        <w:pPr>
                          <w:ind w:firstLine="0"/>
                          <w:jc w:val="center"/>
                          <w:rPr>
                            <w:rFonts w:ascii="Trebuchet MS" w:hAnsi="Trebuchet MS" w:cs="Trebuchet MS"/>
                            <w:b/>
                            <w:bCs/>
                            <w:sz w:val="20"/>
                          </w:rPr>
                        </w:pPr>
                      </w:p>
                      <w:p w14:paraId="52EDD79B" w14:textId="77777777" w:rsidR="004E3164" w:rsidRPr="00864A2F" w:rsidRDefault="004E3164" w:rsidP="002C052F">
                        <w:pPr>
                          <w:ind w:firstLine="0"/>
                          <w:jc w:val="center"/>
                          <w:rPr>
                            <w:sz w:val="20"/>
                            <w:lang w:val="ru-RU"/>
                          </w:rPr>
                        </w:pPr>
                        <w:r w:rsidRPr="00864A2F">
                          <w:rPr>
                            <w:b/>
                            <w:bCs/>
                            <w:color w:val="FFFF00"/>
                            <w:sz w:val="20"/>
                          </w:rPr>
                          <w:t>Централен информационен офис</w:t>
                        </w:r>
                      </w:p>
                    </w:txbxContent>
                  </v:textbox>
                </v:oval>
                <v:oval id="Oval 1311" o:spid="_x0000_s1797" style="position:absolute;left:21048;top:17425;width:15443;height:8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" fillcolor="#36f">
                  <v:textbox>
                    <w:txbxContent>
                      <w:p w14:paraId="72A0F3D0" w14:textId="77777777" w:rsidR="004E3164" w:rsidRPr="00864A2F" w:rsidRDefault="004E3164" w:rsidP="002C052F">
                        <w:pPr>
                          <w:ind w:firstLine="0"/>
                          <w:jc w:val="center"/>
                          <w:rPr>
                            <w:b/>
                            <w:bCs/>
                            <w:sz w:val="20"/>
                          </w:rPr>
                        </w:pPr>
                        <w:r w:rsidRPr="00864A2F">
                          <w:rPr>
                            <w:b/>
                            <w:bCs/>
                            <w:sz w:val="20"/>
                          </w:rPr>
                          <w:t>Отдел „МИК”</w:t>
                        </w:r>
                      </w:p>
                      <w:p w14:paraId="23B67A69" w14:textId="77777777" w:rsidR="004E3164" w:rsidRPr="00864A2F" w:rsidRDefault="004E3164" w:rsidP="002C052F">
                        <w:pPr>
                          <w:ind w:firstLine="0"/>
                          <w:jc w:val="center"/>
                          <w:rPr>
                            <w:b/>
                            <w:bCs/>
                            <w:sz w:val="20"/>
                          </w:rPr>
                        </w:pPr>
                        <w:r w:rsidRPr="00864A2F">
                          <w:rPr>
                            <w:b/>
                            <w:bCs/>
                            <w:sz w:val="20"/>
                          </w:rPr>
                          <w:t xml:space="preserve"> в УО на ОПТТИ</w:t>
                        </w:r>
                      </w:p>
                    </w:txbxContent>
                  </v:textbox>
                </v:oval>
                <v:oval id="Oval 1315" o:spid="_x0000_s1798" style="position:absolute;left:6642;top:13716;width:10795;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" fillcolor="#0cf">
                  <v:textbox>
                    <w:txbxContent>
                      <w:p w14:paraId="771C6D7B" w14:textId="77777777" w:rsidR="004E3164" w:rsidRPr="00864A2F" w:rsidRDefault="004E3164" w:rsidP="002C052F">
                        <w:pPr>
                          <w:ind w:firstLine="0"/>
                          <w:jc w:val="center"/>
                          <w:rPr>
                            <w:sz w:val="20"/>
                            <w:lang w:val="ru-RU"/>
                          </w:rPr>
                        </w:pPr>
                        <w:r w:rsidRPr="00864A2F">
                          <w:rPr>
                            <w:sz w:val="20"/>
                          </w:rPr>
                          <w:t>Експерт И</w:t>
                        </w:r>
                        <w:r w:rsidRPr="00864A2F">
                          <w:rPr>
                            <w:sz w:val="20"/>
                            <w:lang w:val="ru-RU"/>
                          </w:rPr>
                          <w:t>&amp;</w:t>
                        </w:r>
                        <w:r w:rsidRPr="00864A2F">
                          <w:rPr>
                            <w:sz w:val="20"/>
                          </w:rPr>
                          <w:t>П</w:t>
                        </w:r>
                      </w:p>
                      <w:p w14:paraId="18A0F801" w14:textId="77777777" w:rsidR="004E3164" w:rsidRPr="00864A2F" w:rsidRDefault="004E3164" w:rsidP="002C052F">
                        <w:pPr>
                          <w:ind w:firstLine="0"/>
                          <w:jc w:val="center"/>
                          <w:rPr>
                            <w:sz w:val="20"/>
                          </w:rPr>
                        </w:pPr>
                        <w:r w:rsidRPr="00864A2F">
                          <w:rPr>
                            <w:sz w:val="20"/>
                          </w:rPr>
                          <w:t>Бенеф.1</w:t>
                        </w:r>
                      </w:p>
                      <w:p w14:paraId="7256FCA0" w14:textId="77777777" w:rsidR="004E3164" w:rsidRPr="00864A2F" w:rsidRDefault="004E3164" w:rsidP="002C052F">
                        <w:pPr>
                          <w:ind w:firstLine="0"/>
                          <w:jc w:val="center"/>
                          <w:rPr>
                            <w:sz w:val="20"/>
                            <w:lang w:val="ru-RU"/>
                          </w:rPr>
                        </w:pPr>
                      </w:p>
                    </w:txbxContent>
                  </v:textbox>
                </v:oval>
                <v:oval id="Oval 1314" o:spid="_x0000_s1799" style="position:absolute;left:39422;top:13457;width:11430;height:8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" fillcolor="#0cf">
                  <v:textbox>
                    <w:txbxContent>
                      <w:p w14:paraId="76A8BA16" w14:textId="77777777" w:rsidR="004E3164" w:rsidRPr="00864A2F" w:rsidRDefault="004E3164" w:rsidP="002C052F">
                        <w:pPr>
                          <w:ind w:firstLine="0"/>
                          <w:jc w:val="center"/>
                          <w:rPr>
                            <w:sz w:val="20"/>
                            <w:lang w:val="en-US"/>
                          </w:rPr>
                        </w:pPr>
                        <w:r w:rsidRPr="00864A2F">
                          <w:rPr>
                            <w:sz w:val="20"/>
                          </w:rPr>
                          <w:t>Експерт И</w:t>
                        </w:r>
                        <w:r w:rsidRPr="00864A2F">
                          <w:rPr>
                            <w:sz w:val="20"/>
                            <w:lang w:val="en-US"/>
                          </w:rPr>
                          <w:t>&amp;</w:t>
                        </w:r>
                        <w:r w:rsidRPr="00864A2F">
                          <w:rPr>
                            <w:sz w:val="20"/>
                          </w:rPr>
                          <w:t>П</w:t>
                        </w:r>
                      </w:p>
                      <w:p w14:paraId="41F7C9BD" w14:textId="77777777" w:rsidR="004E3164" w:rsidRPr="00864A2F" w:rsidRDefault="004E3164" w:rsidP="002C052F">
                        <w:pPr>
                          <w:ind w:firstLine="0"/>
                          <w:jc w:val="center"/>
                          <w:rPr>
                            <w:sz w:val="20"/>
                          </w:rPr>
                        </w:pPr>
                        <w:r w:rsidRPr="00864A2F">
                          <w:rPr>
                            <w:sz w:val="20"/>
                          </w:rPr>
                          <w:t>Бенеф.5</w:t>
                        </w:r>
                      </w:p>
                    </w:txbxContent>
                  </v:textbox>
                </v:oval>
                <v:oval id="Oval 1307" o:spid="_x0000_s1800" style="position:absolute;left:1121;top:27000;width:13335;height:7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" fillcolor="#0cf">
                  <v:textbox>
                    <w:txbxContent>
                      <w:p w14:paraId="48B9BFB9" w14:textId="77777777" w:rsidR="004E3164" w:rsidRPr="00864A2F" w:rsidRDefault="004E3164" w:rsidP="002C052F">
                        <w:pPr>
                          <w:ind w:firstLine="0"/>
                          <w:jc w:val="center"/>
                          <w:rPr>
                            <w:sz w:val="20"/>
                            <w:lang w:val="en-US"/>
                          </w:rPr>
                        </w:pPr>
                        <w:r w:rsidRPr="00864A2F">
                          <w:rPr>
                            <w:sz w:val="20"/>
                          </w:rPr>
                          <w:t>Експерт И</w:t>
                        </w:r>
                        <w:r w:rsidRPr="00864A2F">
                          <w:rPr>
                            <w:sz w:val="20"/>
                            <w:lang w:val="en-US"/>
                          </w:rPr>
                          <w:t>&amp;</w:t>
                        </w:r>
                        <w:r w:rsidRPr="00864A2F">
                          <w:rPr>
                            <w:sz w:val="20"/>
                          </w:rPr>
                          <w:t>П</w:t>
                        </w:r>
                      </w:p>
                      <w:p w14:paraId="18FCEF01" w14:textId="77777777" w:rsidR="004E3164" w:rsidRPr="00864A2F" w:rsidRDefault="004E3164" w:rsidP="002C052F">
                        <w:pPr>
                          <w:ind w:firstLine="0"/>
                          <w:jc w:val="center"/>
                          <w:rPr>
                            <w:sz w:val="20"/>
                          </w:rPr>
                        </w:pPr>
                        <w:r w:rsidRPr="00864A2F">
                          <w:rPr>
                            <w:sz w:val="20"/>
                          </w:rPr>
                          <w:t>Бенеф.2</w:t>
                        </w:r>
                      </w:p>
                      <w:p w14:paraId="3A69C830" w14:textId="77777777" w:rsidR="004E3164" w:rsidRPr="00864A2F" w:rsidRDefault="004E3164" w:rsidP="002C052F">
                        <w:pPr>
                          <w:ind w:firstLine="0"/>
                          <w:jc w:val="center"/>
                          <w:rPr>
                            <w:sz w:val="20"/>
                            <w:lang w:val="en-GB"/>
                          </w:rPr>
                        </w:pPr>
                      </w:p>
                    </w:txbxContent>
                  </v:textbox>
                </v:oval>
                <v:oval id="Oval 1308" o:spid="_x0000_s1801" style="position:absolute;left:16476;top:27949;width:12192;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" fillcolor="#0cf">
                  <v:textbox>
                    <w:txbxContent>
                      <w:p w14:paraId="1935F6C7" w14:textId="77777777" w:rsidR="004E3164" w:rsidRPr="00864A2F" w:rsidRDefault="004E3164" w:rsidP="002C052F">
                        <w:pPr>
                          <w:ind w:firstLine="0"/>
                          <w:jc w:val="center"/>
                          <w:rPr>
                            <w:sz w:val="20"/>
                            <w:lang w:val="en-US"/>
                          </w:rPr>
                        </w:pPr>
                        <w:r w:rsidRPr="00864A2F">
                          <w:rPr>
                            <w:sz w:val="20"/>
                          </w:rPr>
                          <w:t>Експерт И</w:t>
                        </w:r>
                        <w:r w:rsidRPr="00864A2F">
                          <w:rPr>
                            <w:sz w:val="20"/>
                            <w:lang w:val="en-US"/>
                          </w:rPr>
                          <w:t>&amp;</w:t>
                        </w:r>
                        <w:r w:rsidRPr="00864A2F">
                          <w:rPr>
                            <w:sz w:val="20"/>
                          </w:rPr>
                          <w:t>П</w:t>
                        </w:r>
                      </w:p>
                      <w:p w14:paraId="4648EDCF" w14:textId="77777777" w:rsidR="004E3164" w:rsidRPr="00864A2F" w:rsidRDefault="004E3164" w:rsidP="002C052F">
                        <w:pPr>
                          <w:ind w:firstLine="0"/>
                          <w:jc w:val="center"/>
                          <w:rPr>
                            <w:sz w:val="20"/>
                          </w:rPr>
                        </w:pPr>
                        <w:r w:rsidRPr="00864A2F">
                          <w:rPr>
                            <w:sz w:val="20"/>
                          </w:rPr>
                          <w:t>Бенеф.2</w:t>
                        </w:r>
                      </w:p>
                      <w:p w14:paraId="76D7FCE8" w14:textId="77777777" w:rsidR="004E3164" w:rsidRPr="00864A2F" w:rsidRDefault="004E3164" w:rsidP="002C052F">
                        <w:pPr>
                          <w:ind w:firstLine="0"/>
                          <w:jc w:val="center"/>
                          <w:rPr>
                            <w:sz w:val="20"/>
                            <w:lang w:val="en-GB"/>
                          </w:rPr>
                        </w:pPr>
                      </w:p>
                    </w:txbxContent>
                  </v:textbox>
                </v:oval>
                <v:oval id="Oval 1299" o:spid="_x0000_s1802" style="position:absolute;left:45288;top:27000;width:12700;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" fillcolor="#0cf">
                  <v:textbox>
                    <w:txbxContent>
                      <w:p w14:paraId="58DC91B1" w14:textId="77777777" w:rsidR="004E3164" w:rsidRPr="00864A2F" w:rsidRDefault="004E3164" w:rsidP="002C052F">
                        <w:pPr>
                          <w:ind w:firstLine="0"/>
                          <w:jc w:val="center"/>
                          <w:rPr>
                            <w:sz w:val="20"/>
                            <w:lang w:val="ru-RU"/>
                          </w:rPr>
                        </w:pPr>
                        <w:r w:rsidRPr="00864A2F">
                          <w:rPr>
                            <w:sz w:val="20"/>
                          </w:rPr>
                          <w:t>Експерт И</w:t>
                        </w:r>
                        <w:r w:rsidRPr="00864A2F">
                          <w:rPr>
                            <w:sz w:val="20"/>
                            <w:lang w:val="ru-RU"/>
                          </w:rPr>
                          <w:t>&amp;</w:t>
                        </w:r>
                        <w:r w:rsidRPr="00864A2F">
                          <w:rPr>
                            <w:sz w:val="20"/>
                          </w:rPr>
                          <w:t>П</w:t>
                        </w:r>
                      </w:p>
                      <w:p w14:paraId="20CE20D9" w14:textId="77777777" w:rsidR="004E3164" w:rsidRPr="00864A2F" w:rsidRDefault="004E3164" w:rsidP="002C052F">
                        <w:pPr>
                          <w:ind w:firstLine="0"/>
                          <w:jc w:val="center"/>
                          <w:rPr>
                            <w:sz w:val="20"/>
                          </w:rPr>
                        </w:pPr>
                        <w:r w:rsidRPr="00864A2F">
                          <w:rPr>
                            <w:sz w:val="20"/>
                          </w:rPr>
                          <w:t>Бенеф.4</w:t>
                        </w:r>
                      </w:p>
                      <w:p w14:paraId="1ECEEDBD" w14:textId="77777777" w:rsidR="004E3164" w:rsidRPr="00864A2F" w:rsidRDefault="004E3164" w:rsidP="002C052F">
                        <w:pPr>
                          <w:ind w:firstLine="0"/>
                          <w:jc w:val="center"/>
                          <w:rPr>
                            <w:sz w:val="20"/>
                            <w:lang w:val="ru-RU"/>
                          </w:rPr>
                        </w:pPr>
                      </w:p>
                    </w:txbxContent>
                  </v:textbox>
                </v:oval>
                <v:line id="Straight Connector 1318" o:spid="_x0000_s1803" style="position:absolute;flip:x y;visibility:visible;mso-wrap-style:square" from="28380,10524" to="28380,17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">
                  <v:stroke startarrow="block" endarrow="block"/>
                </v:line>
                <v:line id="Straight Connector 1310" o:spid="_x0000_s1804" style="position:absolute;flip:y;visibility:visible;mso-wrap-style:square" from="12853,23722" to="21997,2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">
                  <v:stroke startarrow="block" endarrow="block"/>
                </v:line>
                <v:line id="Straight Connector 1309" o:spid="_x0000_s1805" style="position:absolute;visibility:visible;mso-wrap-style:square" from="36662,22256" to="50454,26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">
                  <v:stroke startarrow="block" endarrow="block"/>
                </v:line>
                <v:line id="Straight Connector 1312" o:spid="_x0000_s1806" style="position:absolute;visibility:visible;mso-wrap-style:square" from="17856,18546" to="21057,1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">
                  <v:stroke startarrow="block" endarrow="block"/>
                </v:line>
                <v:line id="Straight Connector 1313" o:spid="_x0000_s1807" style="position:absolute;flip:y;visibility:visible;mso-wrap-style:square" from="36230,18633" to="39380,20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">
                  <v:stroke startarrow="block" endarrow="block"/>
                </v:line>
                <v:line id="Straight Connector 1301" o:spid="_x0000_s1808" style="position:absolute;flip:y;visibility:visible;mso-wrap-style:square" from="22946,25706" to="25486,27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">
                  <v:stroke startarrow="block" endarrow="block"/>
                </v:line>
                <v:oval id="Oval 1303" o:spid="_x0000_s1809" style="position:absolute;top:37093;width:13487;height:9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" fillcolor="#cff">
                  <v:textbox>
                    <w:txbxContent>
                      <w:p w14:paraId="5C8A02A1" w14:textId="77777777" w:rsidR="004E3164" w:rsidRPr="00864A2F" w:rsidRDefault="004E3164" w:rsidP="002C052F">
                        <w:pPr>
                          <w:ind w:firstLine="0"/>
                          <w:jc w:val="center"/>
                          <w:rPr>
                            <w:sz w:val="20"/>
                          </w:rPr>
                        </w:pPr>
                        <w:r w:rsidRPr="00864A2F">
                          <w:rPr>
                            <w:sz w:val="20"/>
                          </w:rPr>
                          <w:t>Изпълнител</w:t>
                        </w:r>
                      </w:p>
                      <w:p w14:paraId="3593C723" w14:textId="77777777" w:rsidR="004E3164" w:rsidRPr="00864A2F" w:rsidRDefault="004E3164" w:rsidP="002C052F">
                        <w:pPr>
                          <w:ind w:firstLine="0"/>
                          <w:jc w:val="center"/>
                          <w:rPr>
                            <w:sz w:val="20"/>
                            <w:lang w:val="en-GB"/>
                          </w:rPr>
                        </w:pPr>
                        <w:r w:rsidRPr="00864A2F">
                          <w:rPr>
                            <w:sz w:val="20"/>
                          </w:rPr>
                          <w:t>Инфраструктурен проект</w:t>
                        </w:r>
                      </w:p>
                    </w:txbxContent>
                  </v:textbox>
                </v:oval>
                <v:oval id="Oval 1304" o:spid="_x0000_s1810" style="position:absolute;left:16131;top:37093;width:14097;height:9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" fillcolor="#cff">
                  <v:textbox>
                    <w:txbxContent>
                      <w:p w14:paraId="40A4F962" w14:textId="77777777" w:rsidR="004E3164" w:rsidRPr="00864A2F" w:rsidRDefault="004E3164" w:rsidP="002C052F">
                        <w:pPr>
                          <w:ind w:firstLine="0"/>
                          <w:jc w:val="center"/>
                          <w:rPr>
                            <w:sz w:val="20"/>
                          </w:rPr>
                        </w:pPr>
                        <w:r w:rsidRPr="00864A2F">
                          <w:rPr>
                            <w:sz w:val="20"/>
                          </w:rPr>
                          <w:t>Изпълнител</w:t>
                        </w:r>
                      </w:p>
                      <w:p w14:paraId="14000424" w14:textId="77777777" w:rsidR="004E3164" w:rsidRPr="00864A2F" w:rsidRDefault="004E3164" w:rsidP="002C052F">
                        <w:pPr>
                          <w:ind w:firstLine="0"/>
                          <w:jc w:val="center"/>
                          <w:rPr>
                            <w:sz w:val="20"/>
                            <w:lang w:val="en-GB"/>
                          </w:rPr>
                        </w:pPr>
                        <w:r w:rsidRPr="00864A2F">
                          <w:rPr>
                            <w:sz w:val="20"/>
                          </w:rPr>
                          <w:t>Инфраструктурен проект</w:t>
                        </w:r>
                      </w:p>
                    </w:txbxContent>
                  </v:textbox>
                </v:oval>
                <v:oval id="Oval 1296" o:spid="_x0000_s1811" style="position:absolute;left:46496;top:37093;width:13792;height:9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" fillcolor="#cff">
                  <v:textbox>
                    <w:txbxContent>
                      <w:p w14:paraId="529AFC80" w14:textId="77777777" w:rsidR="004E3164" w:rsidRPr="00864A2F" w:rsidRDefault="004E3164" w:rsidP="002C052F">
                        <w:pPr>
                          <w:ind w:firstLine="0"/>
                          <w:jc w:val="center"/>
                          <w:rPr>
                            <w:sz w:val="20"/>
                          </w:rPr>
                        </w:pPr>
                        <w:r w:rsidRPr="00864A2F">
                          <w:rPr>
                            <w:sz w:val="20"/>
                          </w:rPr>
                          <w:t>Изпълнител</w:t>
                        </w:r>
                      </w:p>
                      <w:p w14:paraId="1ED5947E" w14:textId="77777777" w:rsidR="004E3164" w:rsidRPr="00864A2F" w:rsidRDefault="004E3164" w:rsidP="002C052F">
                        <w:pPr>
                          <w:ind w:firstLine="0"/>
                          <w:jc w:val="center"/>
                          <w:rPr>
                            <w:sz w:val="20"/>
                            <w:lang w:val="en-GB"/>
                          </w:rPr>
                        </w:pPr>
                        <w:r w:rsidRPr="00864A2F">
                          <w:rPr>
                            <w:sz w:val="20"/>
                          </w:rPr>
                          <w:t>Инфраструктурен проект</w:t>
                        </w:r>
                      </w:p>
                    </w:txbxContent>
                  </v:textbox>
                </v:oval>
                <v:oval id="Oval 1319" o:spid="_x0000_s1812" style="position:absolute;left:47790;top:4313;width:12497;height:9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" fillcolor="#cff">
                  <v:textbox>
                    <w:txbxContent>
                      <w:p w14:paraId="768013F6" w14:textId="77777777" w:rsidR="004E3164" w:rsidRPr="00864A2F" w:rsidRDefault="004E3164" w:rsidP="002C052F">
                        <w:pPr>
                          <w:ind w:firstLine="0"/>
                          <w:jc w:val="center"/>
                          <w:rPr>
                            <w:sz w:val="20"/>
                          </w:rPr>
                        </w:pPr>
                        <w:r w:rsidRPr="00864A2F">
                          <w:rPr>
                            <w:sz w:val="20"/>
                          </w:rPr>
                          <w:t>Изпълнител</w:t>
                        </w:r>
                      </w:p>
                      <w:p w14:paraId="2A8AB9B5" w14:textId="77777777" w:rsidR="004E3164" w:rsidRPr="00864A2F" w:rsidRDefault="004E3164" w:rsidP="002C052F">
                        <w:pPr>
                          <w:ind w:firstLine="0"/>
                          <w:jc w:val="center"/>
                          <w:rPr>
                            <w:sz w:val="20"/>
                          </w:rPr>
                        </w:pPr>
                        <w:r w:rsidRPr="00864A2F">
                          <w:rPr>
                            <w:sz w:val="20"/>
                          </w:rPr>
                          <w:t>Инфраструктурен проект</w:t>
                        </w:r>
                      </w:p>
                      <w:p w14:paraId="2703308B" w14:textId="77777777" w:rsidR="004E3164" w:rsidRPr="00864A2F" w:rsidRDefault="004E3164" w:rsidP="002C052F">
                        <w:pPr>
                          <w:ind w:firstLine="0"/>
                          <w:jc w:val="center"/>
                          <w:rPr>
                            <w:sz w:val="20"/>
                            <w:lang w:val="en-GB"/>
                          </w:rPr>
                        </w:pPr>
                      </w:p>
                    </w:txbxContent>
                  </v:textbox>
                </v:oval>
                <v:oval id="Oval 1320" o:spid="_x0000_s1813" style="position:absolute;left:172;top:4226;width:12802;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" fillcolor="#cff">
                  <v:textbox>
                    <w:txbxContent>
                      <w:p w14:paraId="3F491B60" w14:textId="77777777" w:rsidR="004E3164" w:rsidRPr="00864A2F" w:rsidRDefault="004E3164" w:rsidP="002C052F">
                        <w:pPr>
                          <w:ind w:firstLine="0"/>
                          <w:jc w:val="center"/>
                          <w:rPr>
                            <w:sz w:val="20"/>
                          </w:rPr>
                        </w:pPr>
                        <w:r w:rsidRPr="00864A2F">
                          <w:rPr>
                            <w:sz w:val="20"/>
                          </w:rPr>
                          <w:t>Изпълнител</w:t>
                        </w:r>
                      </w:p>
                      <w:p w14:paraId="72AC09D7" w14:textId="77777777" w:rsidR="004E3164" w:rsidRPr="00864A2F" w:rsidRDefault="004E3164" w:rsidP="002C052F">
                        <w:pPr>
                          <w:ind w:firstLine="0"/>
                          <w:jc w:val="center"/>
                          <w:rPr>
                            <w:sz w:val="20"/>
                            <w:lang w:val="en-GB"/>
                          </w:rPr>
                        </w:pPr>
                        <w:r w:rsidRPr="00864A2F">
                          <w:rPr>
                            <w:sz w:val="20"/>
                          </w:rPr>
                          <w:t>Инфраструктурен проект</w:t>
                        </w:r>
                      </w:p>
                    </w:txbxContent>
                  </v:textbox>
                </v:oval>
                <v:line id="Straight Connector 1305" o:spid="_x0000_s1814" style="position:absolute;flip:y;visibility:visible;mso-wrap-style:square" from="7159,34850" to="7159,37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">
                  <v:stroke startarrow="block" endarrow="block"/>
                </v:line>
                <v:line id="Straight Connector 1306" o:spid="_x0000_s1815" style="position:absolute;flip:y;visibility:visible;mso-wrap-style:square" from="23032,34850" to="23032,37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">
                  <v:stroke startarrow="block" endarrow="block"/>
                </v:line>
                <v:line id="Straight Connector 1316" o:spid="_x0000_s1816" style="position:absolute;flip:x y;visibility:visible;mso-wrap-style:square" from="8798,12335" to="10399,14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">
                  <v:stroke startarrow="block" endarrow="block"/>
                </v:line>
                <v:line id="Straight Connector 1317" o:spid="_x0000_s1817" style="position:absolute;flip:y;visibility:visible;mso-wrap-style:square" from="48394,12249" to="49918,1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">
                  <v:stroke startarrow="block" endarrow="block"/>
                </v:line>
                <v:oval id="Oval 1300" o:spid="_x0000_s1818" style="position:absolute;left:30019;top:27949;width:13183;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" fillcolor="#0cf">
                  <v:textbox>
                    <w:txbxContent>
                      <w:p w14:paraId="6F38835D" w14:textId="77777777" w:rsidR="004E3164" w:rsidRPr="00864A2F" w:rsidRDefault="004E3164" w:rsidP="002C052F">
                        <w:pPr>
                          <w:ind w:firstLine="0"/>
                          <w:jc w:val="center"/>
                          <w:rPr>
                            <w:sz w:val="20"/>
                            <w:lang w:val="ru-RU"/>
                          </w:rPr>
                        </w:pPr>
                        <w:r w:rsidRPr="00864A2F">
                          <w:rPr>
                            <w:sz w:val="20"/>
                          </w:rPr>
                          <w:t>Експерт И</w:t>
                        </w:r>
                        <w:r w:rsidRPr="00864A2F">
                          <w:rPr>
                            <w:sz w:val="20"/>
                            <w:lang w:val="ru-RU"/>
                          </w:rPr>
                          <w:t>&amp;</w:t>
                        </w:r>
                        <w:r w:rsidRPr="00864A2F">
                          <w:rPr>
                            <w:sz w:val="20"/>
                          </w:rPr>
                          <w:t>П</w:t>
                        </w:r>
                      </w:p>
                      <w:p w14:paraId="661478F9" w14:textId="77777777" w:rsidR="004E3164" w:rsidRPr="00864A2F" w:rsidRDefault="004E3164" w:rsidP="002C052F">
                        <w:pPr>
                          <w:ind w:firstLine="0"/>
                          <w:jc w:val="center"/>
                          <w:rPr>
                            <w:sz w:val="20"/>
                          </w:rPr>
                        </w:pPr>
                        <w:r w:rsidRPr="00864A2F">
                          <w:rPr>
                            <w:sz w:val="20"/>
                          </w:rPr>
                          <w:t>Бенеф.3</w:t>
                        </w:r>
                      </w:p>
                      <w:p w14:paraId="3A71E1C4" w14:textId="77777777" w:rsidR="004E3164" w:rsidRPr="00864A2F" w:rsidRDefault="004E3164" w:rsidP="002C052F">
                        <w:pPr>
                          <w:ind w:firstLine="0"/>
                          <w:jc w:val="center"/>
                          <w:rPr>
                            <w:sz w:val="20"/>
                            <w:lang w:val="ru-RU"/>
                          </w:rPr>
                        </w:pPr>
                      </w:p>
                    </w:txbxContent>
                  </v:textbox>
                </v:oval>
                <v:oval id="Oval 1295" o:spid="_x0000_s1819" style="position:absolute;left:31572;top:37179;width:13945;height:9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" fillcolor="#cff">
                  <v:textbox>
                    <w:txbxContent>
                      <w:p w14:paraId="13D1F0A1" w14:textId="77777777" w:rsidR="004E3164" w:rsidRPr="00864A2F" w:rsidRDefault="004E3164" w:rsidP="002C052F">
                        <w:pPr>
                          <w:ind w:firstLine="0"/>
                          <w:jc w:val="center"/>
                          <w:rPr>
                            <w:sz w:val="20"/>
                          </w:rPr>
                        </w:pPr>
                        <w:r w:rsidRPr="00864A2F">
                          <w:rPr>
                            <w:sz w:val="20"/>
                          </w:rPr>
                          <w:t>Изпълнител</w:t>
                        </w:r>
                      </w:p>
                      <w:p w14:paraId="7808FC3E" w14:textId="77777777" w:rsidR="004E3164" w:rsidRPr="00864A2F" w:rsidRDefault="004E3164" w:rsidP="002C052F">
                        <w:pPr>
                          <w:ind w:firstLine="0"/>
                          <w:jc w:val="center"/>
                          <w:rPr>
                            <w:sz w:val="20"/>
                            <w:lang w:val="en-GB"/>
                          </w:rPr>
                        </w:pPr>
                        <w:r w:rsidRPr="00864A2F">
                          <w:rPr>
                            <w:sz w:val="20"/>
                          </w:rPr>
                          <w:t>Инфраструктурен проект</w:t>
                        </w:r>
                      </w:p>
                    </w:txbxContent>
                  </v:textbox>
                </v:oval>
                <v:line id="Straight Connector 1302" o:spid="_x0000_s1820" style="position:absolute;flip:x y;visibility:visible;mso-wrap-style:square" from="31917,25620" to="35194,27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">
                  <v:stroke startarrow="block" endarrow="block"/>
                </v:line>
                <v:line id="Straight Connector 1298" o:spid="_x0000_s1821" style="position:absolute;flip:y;visibility:visible;mso-wrap-style:square" from="38042,35109" to="38042,3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">
                  <v:stroke startarrow="block" endarrow="block"/>
                </v:line>
                <v:line id="Straight Connector 1891" o:spid="_x0000_s1822" style="position:absolute;flip:y;visibility:visible;mso-wrap-style:square" from="52448,34591" to="52448,3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">
                  <v:stroke startarrow="block" endarrow="block"/>
                </v:line>
                <w10:anchorlock/>
              </v:group>
            </w:pict>
          </mc:Fallback>
        </mc:AlternateContent>
      </w:r>
    </w:p>
    <w:p w14:paraId="043D1961" w14:textId="77777777" w:rsidR="002C052F" w:rsidRPr="002C052F" w:rsidRDefault="002C052F" w:rsidP="002C052F">
      <w:pPr>
        <w:ind w:firstLine="708"/>
        <w:rPr>
          <w:b/>
          <w:bCs/>
          <w:color w:val="000000"/>
          <w:szCs w:val="24"/>
          <w:lang w:eastAsia="bg-BG"/>
        </w:rPr>
      </w:pPr>
    </w:p>
    <w:p w14:paraId="370355FC" w14:textId="77777777" w:rsidR="002C052F" w:rsidRPr="002C052F" w:rsidRDefault="002C052F" w:rsidP="002C052F">
      <w:pPr>
        <w:ind w:firstLine="708"/>
        <w:rPr>
          <w:b/>
          <w:bCs/>
          <w:color w:val="000000"/>
          <w:szCs w:val="24"/>
          <w:lang w:eastAsia="bg-BG"/>
        </w:rPr>
      </w:pPr>
    </w:p>
    <w:p w14:paraId="160683C9" w14:textId="77777777" w:rsidR="002C052F" w:rsidRPr="002C052F" w:rsidRDefault="002C052F" w:rsidP="002C052F">
      <w:pPr>
        <w:ind w:firstLine="708"/>
        <w:rPr>
          <w:b/>
          <w:bCs/>
          <w:color w:val="000000"/>
          <w:szCs w:val="24"/>
          <w:lang w:eastAsia="bg-BG"/>
        </w:rPr>
      </w:pPr>
    </w:p>
    <w:p w14:paraId="12FA6454" w14:textId="77777777" w:rsidR="002C052F" w:rsidRPr="00842ECC" w:rsidRDefault="002C052F" w:rsidP="002C052F">
      <w:pPr>
        <w:numPr>
          <w:ilvl w:val="2"/>
          <w:numId w:val="0"/>
        </w:numPr>
        <w:spacing w:before="120" w:after="120"/>
        <w:ind w:left="1072" w:hanging="504"/>
        <w:contextualSpacing/>
        <w:outlineLvl w:val="3"/>
        <w:rPr>
          <w:b/>
          <w:szCs w:val="24"/>
          <w:lang w:eastAsia="bg-BG"/>
        </w:rPr>
      </w:pPr>
      <w:r w:rsidRPr="00842ECC">
        <w:rPr>
          <w:b/>
          <w:szCs w:val="24"/>
          <w:lang w:eastAsia="bg-BG"/>
        </w:rPr>
        <w:t>Координация между УО на ОПТТИ, бенефициентите на ОПТТИ и избраните изпълнители за изграждане на инвестиционни проекти</w:t>
      </w:r>
    </w:p>
    <w:p w14:paraId="2AE7A7BC" w14:textId="77777777" w:rsidR="002C052F" w:rsidRPr="002C052F" w:rsidRDefault="002C052F" w:rsidP="002C052F">
      <w:pPr>
        <w:ind w:firstLine="708"/>
        <w:rPr>
          <w:b/>
          <w:bCs/>
          <w:color w:val="000000"/>
          <w:szCs w:val="24"/>
          <w:lang w:eastAsia="bg-BG"/>
        </w:rPr>
      </w:pPr>
    </w:p>
    <w:p w14:paraId="141A9A23" w14:textId="77777777" w:rsidR="002C052F" w:rsidRPr="002C052F" w:rsidRDefault="002C052F" w:rsidP="002C052F">
      <w:pPr>
        <w:rPr>
          <w:color w:val="000000"/>
          <w:szCs w:val="24"/>
          <w:lang w:eastAsia="bg-BG"/>
        </w:rPr>
      </w:pPr>
      <w:r w:rsidRPr="002C052F">
        <w:rPr>
          <w:color w:val="000000"/>
          <w:szCs w:val="24"/>
          <w:lang w:eastAsia="bg-BG"/>
        </w:rPr>
        <w:t xml:space="preserve">Съгласно НКС УО на ОПТТИ има водеща роля в координацията на мерките на информация и публичност на бенефициентите на програмата.  </w:t>
      </w:r>
    </w:p>
    <w:p w14:paraId="5B97E517" w14:textId="77777777" w:rsidR="002C052F" w:rsidRPr="002C052F" w:rsidRDefault="002C052F" w:rsidP="002C052F">
      <w:pPr>
        <w:rPr>
          <w:color w:val="000000"/>
          <w:szCs w:val="24"/>
          <w:lang w:eastAsia="bg-BG"/>
        </w:rPr>
      </w:pPr>
    </w:p>
    <w:p w14:paraId="6D3C7BEB" w14:textId="77777777" w:rsidR="002C052F" w:rsidRPr="002C052F" w:rsidRDefault="002C052F" w:rsidP="002C052F">
      <w:pPr>
        <w:rPr>
          <w:color w:val="000000"/>
          <w:szCs w:val="24"/>
          <w:lang w:eastAsia="bg-BG"/>
        </w:rPr>
      </w:pPr>
      <w:r w:rsidRPr="002C052F">
        <w:rPr>
          <w:color w:val="000000"/>
          <w:szCs w:val="24"/>
          <w:lang w:eastAsia="bg-BG"/>
        </w:rPr>
        <w:t>Основната отговорност за комуникирането на ОПТТИ е на УО на ОПТТИ. Предвид спецификата на програмата, успешното изпълнение на целите на КП на ОПТТИ може да бъде постигнато с активното участие на бенефициентите на програмата.</w:t>
      </w:r>
    </w:p>
    <w:p w14:paraId="446ADB09" w14:textId="77777777" w:rsidR="002C052F" w:rsidRPr="002C052F" w:rsidRDefault="002C052F" w:rsidP="002C052F">
      <w:pPr>
        <w:ind w:firstLine="708"/>
        <w:rPr>
          <w:color w:val="000000"/>
          <w:szCs w:val="24"/>
          <w:lang w:eastAsia="bg-BG"/>
        </w:rPr>
      </w:pPr>
    </w:p>
    <w:p w14:paraId="5261BB11" w14:textId="77777777" w:rsidR="002C052F" w:rsidRPr="00842ECC" w:rsidRDefault="00604C18" w:rsidP="006A6D08">
      <w:pPr>
        <w:pStyle w:val="Style2"/>
        <w:numPr>
          <w:ilvl w:val="0"/>
          <w:numId w:val="0"/>
        </w:numPr>
        <w:ind w:left="792"/>
        <w:rPr>
          <w:snapToGrid w:val="0"/>
        </w:rPr>
      </w:pPr>
      <w:bookmarkStart w:id="1372" w:name="_Toc140150326"/>
      <w:r>
        <w:rPr>
          <w:snapToGrid w:val="0"/>
        </w:rPr>
        <w:t xml:space="preserve">35.5. </w:t>
      </w:r>
      <w:r w:rsidR="002C052F" w:rsidRPr="006A6D08">
        <w:t>Годишен план за действие  на ОПТТИ</w:t>
      </w:r>
      <w:bookmarkEnd w:id="1372"/>
    </w:p>
    <w:p w14:paraId="0A524A01" w14:textId="77777777" w:rsidR="002C052F" w:rsidRPr="002C052F" w:rsidRDefault="002C052F" w:rsidP="002C052F">
      <w:pPr>
        <w:tabs>
          <w:tab w:val="left" w:pos="1134"/>
        </w:tabs>
        <w:spacing w:before="60"/>
        <w:rPr>
          <w:szCs w:val="24"/>
        </w:rPr>
      </w:pPr>
      <w:r w:rsidRPr="002C052F">
        <w:rPr>
          <w:szCs w:val="24"/>
        </w:rPr>
        <w:t xml:space="preserve">Преди започването на календарната година, УО изготвя Годишен план за действие (ГПД), като неговият образец се предоставя от ЦИО и е общовалиден за всички ОП. ГПД подлежи на одобрение от Ръководителя на УО и на докладване пред Комитета за наблюдение на програмата. </w:t>
      </w:r>
    </w:p>
    <w:p w14:paraId="11EDBF24" w14:textId="77777777" w:rsidR="002C052F" w:rsidRPr="002C052F" w:rsidRDefault="002C052F" w:rsidP="002C052F">
      <w:pPr>
        <w:numPr>
          <w:ilvl w:val="1"/>
          <w:numId w:val="0"/>
        </w:numPr>
        <w:tabs>
          <w:tab w:val="left" w:pos="1134"/>
        </w:tabs>
        <w:spacing w:before="3"/>
        <w:ind w:firstLine="851"/>
        <w:rPr>
          <w:szCs w:val="24"/>
        </w:rPr>
      </w:pPr>
      <w:r w:rsidRPr="002C052F">
        <w:rPr>
          <w:szCs w:val="24"/>
        </w:rPr>
        <w:t>Изпълнението на ГПД се докладва минимум веднъж годишно на заседание на КН на програмата.</w:t>
      </w:r>
    </w:p>
    <w:p w14:paraId="68CA7316" w14:textId="77777777" w:rsidR="002C052F" w:rsidRPr="002C052F" w:rsidRDefault="002C052F" w:rsidP="002C052F">
      <w:pPr>
        <w:numPr>
          <w:ilvl w:val="1"/>
          <w:numId w:val="0"/>
        </w:numPr>
        <w:tabs>
          <w:tab w:val="left" w:pos="1134"/>
        </w:tabs>
        <w:ind w:firstLine="851"/>
        <w:jc w:val="left"/>
        <w:rPr>
          <w:szCs w:val="24"/>
        </w:rPr>
      </w:pPr>
      <w:r w:rsidRPr="002C052F">
        <w:rPr>
          <w:szCs w:val="24"/>
        </w:rPr>
        <w:t>В случай на промяна в ГПД, се следва редът за одобрението му.</w:t>
      </w:r>
    </w:p>
    <w:p w14:paraId="39ADF6DF" w14:textId="77777777" w:rsidR="002C052F" w:rsidRPr="002C052F" w:rsidRDefault="002C052F" w:rsidP="002C052F">
      <w:pPr>
        <w:tabs>
          <w:tab w:val="left" w:pos="1134"/>
        </w:tabs>
        <w:spacing w:before="65"/>
        <w:rPr>
          <w:szCs w:val="24"/>
        </w:rPr>
      </w:pPr>
      <w:r w:rsidRPr="002C052F">
        <w:rPr>
          <w:szCs w:val="24"/>
        </w:rPr>
        <w:t>Заложените и изпълнявани от ЦИО и отделните УО комуникационни мерки трябва да отговарят на принципите за добро финансово управление, да бъдат ефективни, ефикасни и релевантни спрямо нуждите на целевата група.</w:t>
      </w:r>
    </w:p>
    <w:p w14:paraId="61E4A7B8" w14:textId="77777777" w:rsidR="002C052F" w:rsidRPr="002C052F" w:rsidRDefault="002C052F" w:rsidP="002C052F">
      <w:pPr>
        <w:tabs>
          <w:tab w:val="left" w:pos="1134"/>
        </w:tabs>
        <w:spacing w:before="65"/>
        <w:rPr>
          <w:szCs w:val="24"/>
        </w:rPr>
      </w:pPr>
    </w:p>
    <w:p w14:paraId="1C032E77" w14:textId="77777777" w:rsidR="002C052F" w:rsidRPr="006A6D08" w:rsidRDefault="00604C18" w:rsidP="006A6D08">
      <w:pPr>
        <w:pStyle w:val="Style2"/>
        <w:numPr>
          <w:ilvl w:val="0"/>
          <w:numId w:val="0"/>
        </w:numPr>
        <w:ind w:left="792"/>
        <w:rPr>
          <w:b w:val="0"/>
        </w:rPr>
      </w:pPr>
      <w:bookmarkStart w:id="1373" w:name="_Toc140150327"/>
      <w:r>
        <w:rPr>
          <w:snapToGrid w:val="0"/>
        </w:rPr>
        <w:t xml:space="preserve">35.6. </w:t>
      </w:r>
      <w:r w:rsidR="002C052F" w:rsidRPr="006A6D08">
        <w:t>Комуникационни дейности по  проекти, предвидени за финансиране от ОПТТИ</w:t>
      </w:r>
      <w:bookmarkEnd w:id="1373"/>
    </w:p>
    <w:p w14:paraId="411A3EEE" w14:textId="77777777" w:rsidR="002C052F" w:rsidRPr="002C052F" w:rsidRDefault="002C052F" w:rsidP="002C052F">
      <w:pPr>
        <w:tabs>
          <w:tab w:val="left" w:pos="1134"/>
        </w:tabs>
        <w:rPr>
          <w:color w:val="000000"/>
          <w:szCs w:val="24"/>
          <w:lang w:eastAsia="bg-BG"/>
        </w:rPr>
      </w:pPr>
      <w:r w:rsidRPr="002C052F">
        <w:rPr>
          <w:color w:val="000000"/>
          <w:szCs w:val="24"/>
          <w:lang w:eastAsia="bg-BG"/>
        </w:rPr>
        <w:t xml:space="preserve">Отчитайки ключовата роля на комуникирането на европейските проекти и изискванията към мерките за информация и публичност на ниво проект, УО на ОПТТИ изисква от бенефициентите или избрания изпълнител да предвидят разработването и изпълнението на комуникационни дейности на ниво проект. </w:t>
      </w:r>
    </w:p>
    <w:p w14:paraId="26ED170A" w14:textId="77777777" w:rsidR="002C052F" w:rsidRPr="002C052F" w:rsidRDefault="002C052F" w:rsidP="002C052F">
      <w:pPr>
        <w:tabs>
          <w:tab w:val="left" w:pos="1134"/>
        </w:tabs>
        <w:rPr>
          <w:color w:val="000000"/>
          <w:szCs w:val="24"/>
          <w:lang w:eastAsia="bg-BG"/>
        </w:rPr>
      </w:pPr>
      <w:r w:rsidRPr="002C052F">
        <w:rPr>
          <w:color w:val="000000"/>
          <w:szCs w:val="24"/>
          <w:lang w:eastAsia="bg-BG"/>
        </w:rPr>
        <w:t>Общи положения:</w:t>
      </w:r>
    </w:p>
    <w:p w14:paraId="7099A7A8" w14:textId="77777777" w:rsidR="002C052F" w:rsidRPr="002C052F" w:rsidRDefault="002C052F" w:rsidP="002C052F">
      <w:pPr>
        <w:tabs>
          <w:tab w:val="left" w:pos="1134"/>
        </w:tabs>
        <w:rPr>
          <w:color w:val="000000"/>
          <w:szCs w:val="24"/>
          <w:lang w:eastAsia="bg-BG"/>
        </w:rPr>
      </w:pPr>
      <w:r w:rsidRPr="002C052F">
        <w:rPr>
          <w:color w:val="000000"/>
          <w:szCs w:val="24"/>
          <w:lang w:eastAsia="bg-BG"/>
        </w:rPr>
        <w:t>- Комуникационните дейности за всеки проект предвиден за финансиране от ОПТТИ се подготвят от бенефициента  във формуляр за кандидатстване по проекта. По преценка на бенефициента задължението за подготовка и изпълнение на дейностите по информация и публичност може да бъде прехвърлено частично или изцяло на избрания изпълнител, без това решение да освобождава бенефициента от отговорността за изпълнение на мерките за информация и публичност.</w:t>
      </w:r>
    </w:p>
    <w:p w14:paraId="51C1CDBE" w14:textId="77777777" w:rsidR="002C052F" w:rsidRPr="002C052F" w:rsidRDefault="002C052F" w:rsidP="002C052F">
      <w:pPr>
        <w:tabs>
          <w:tab w:val="left" w:pos="1134"/>
        </w:tabs>
        <w:rPr>
          <w:color w:val="000000"/>
          <w:szCs w:val="24"/>
          <w:lang w:eastAsia="bg-BG"/>
        </w:rPr>
      </w:pPr>
      <w:r w:rsidRPr="002C052F">
        <w:rPr>
          <w:color w:val="000000"/>
          <w:szCs w:val="24"/>
          <w:lang w:eastAsia="bg-BG"/>
        </w:rPr>
        <w:t>- Комуникационните дейности обхващат целия период на изпълнение на проекта, считано от датата на сключване на договор с избрания изпълнител до последната планирана дейност по публичност, в т. ч. поставяне на постоянните обяснителни табели.</w:t>
      </w:r>
    </w:p>
    <w:p w14:paraId="12FED9A7" w14:textId="77777777" w:rsidR="002C052F" w:rsidRPr="002C052F" w:rsidRDefault="002C052F" w:rsidP="002C052F">
      <w:pPr>
        <w:tabs>
          <w:tab w:val="left" w:pos="1134"/>
        </w:tabs>
        <w:rPr>
          <w:color w:val="000000"/>
          <w:szCs w:val="24"/>
          <w:lang w:eastAsia="bg-BG"/>
        </w:rPr>
      </w:pPr>
      <w:r w:rsidRPr="002C052F">
        <w:rPr>
          <w:color w:val="000000"/>
          <w:szCs w:val="24"/>
          <w:lang w:eastAsia="bg-BG"/>
        </w:rPr>
        <w:t>- При подготовката на комуникационните дейности се отчитат всички изисквания по отношение на мерките за информация и публичност, заложени в Регламент1303/ 2013, Националната комуникационна стратегия, както и добрите практики в областта на комуникациите и връзките с обществеността.</w:t>
      </w:r>
    </w:p>
    <w:p w14:paraId="55F09729" w14:textId="77777777" w:rsidR="002C052F" w:rsidRPr="002C052F" w:rsidRDefault="002C052F" w:rsidP="002C052F">
      <w:pPr>
        <w:tabs>
          <w:tab w:val="left" w:pos="1134"/>
        </w:tabs>
        <w:rPr>
          <w:color w:val="000000"/>
          <w:szCs w:val="24"/>
          <w:lang w:eastAsia="bg-BG"/>
        </w:rPr>
      </w:pPr>
      <w:r w:rsidRPr="002C052F">
        <w:rPr>
          <w:color w:val="000000"/>
          <w:szCs w:val="24"/>
          <w:lang w:eastAsia="bg-BG"/>
        </w:rPr>
        <w:t>- Комуникационните дейности за проекта се планират в съответствие с изискванията на „Насоки за кандидатстване по ОПТТИ“.</w:t>
      </w:r>
    </w:p>
    <w:p w14:paraId="09E3E247" w14:textId="77777777" w:rsidR="002C052F" w:rsidRPr="002C052F" w:rsidRDefault="002C052F" w:rsidP="002C052F">
      <w:pPr>
        <w:ind w:firstLine="708"/>
        <w:rPr>
          <w:b/>
          <w:bCs/>
          <w:color w:val="000000"/>
          <w:szCs w:val="24"/>
          <w:lang w:eastAsia="bg-BG"/>
        </w:rPr>
      </w:pPr>
    </w:p>
    <w:p w14:paraId="066C843B" w14:textId="77777777" w:rsidR="002C052F" w:rsidRPr="00842ECC" w:rsidRDefault="00604C18" w:rsidP="006A6D08">
      <w:pPr>
        <w:pStyle w:val="Style2"/>
        <w:numPr>
          <w:ilvl w:val="0"/>
          <w:numId w:val="0"/>
        </w:numPr>
        <w:ind w:left="792"/>
        <w:rPr>
          <w:snapToGrid w:val="0"/>
        </w:rPr>
      </w:pPr>
      <w:bookmarkStart w:id="1374" w:name="_Toc140150328"/>
      <w:r>
        <w:rPr>
          <w:snapToGrid w:val="0"/>
        </w:rPr>
        <w:t>35.7</w:t>
      </w:r>
      <w:r w:rsidRPr="006A6D08">
        <w:t xml:space="preserve">. </w:t>
      </w:r>
      <w:r w:rsidR="002C052F" w:rsidRPr="006A6D08">
        <w:t>Отчитане на изпълнението на мерките за информация и публичност на инвестиционни проекти, предвидени за финансиране от ОПТТИ</w:t>
      </w:r>
      <w:bookmarkEnd w:id="1374"/>
    </w:p>
    <w:p w14:paraId="0C197506" w14:textId="77777777" w:rsidR="002C052F" w:rsidRPr="002C052F" w:rsidRDefault="002C052F" w:rsidP="002C052F">
      <w:pPr>
        <w:tabs>
          <w:tab w:val="left" w:pos="1134"/>
        </w:tabs>
        <w:rPr>
          <w:bCs/>
          <w:color w:val="000000"/>
          <w:szCs w:val="24"/>
          <w:lang w:eastAsia="bg-BG"/>
        </w:rPr>
      </w:pPr>
      <w:r w:rsidRPr="002C052F">
        <w:rPr>
          <w:bCs/>
          <w:color w:val="000000"/>
          <w:szCs w:val="24"/>
          <w:lang w:eastAsia="bg-BG"/>
        </w:rPr>
        <w:t xml:space="preserve">1. Бенефициентът създава, организира и поддържа архив на доказателствени материали за изпълнението на комуникационните дейности по проекта, в т.ч. снимков материал, мостри, присъствени списъци и др. подходящи. </w:t>
      </w:r>
    </w:p>
    <w:p w14:paraId="47AB1363" w14:textId="1100262F" w:rsidR="002C052F" w:rsidRPr="002C052F" w:rsidRDefault="002C052F" w:rsidP="002C052F">
      <w:pPr>
        <w:tabs>
          <w:tab w:val="left" w:pos="1134"/>
        </w:tabs>
        <w:rPr>
          <w:bCs/>
          <w:color w:val="000000"/>
          <w:szCs w:val="24"/>
          <w:lang w:eastAsia="bg-BG"/>
        </w:rPr>
      </w:pPr>
      <w:r w:rsidRPr="002C052F">
        <w:rPr>
          <w:bCs/>
          <w:color w:val="000000"/>
          <w:szCs w:val="24"/>
          <w:lang w:eastAsia="bg-BG"/>
        </w:rPr>
        <w:t>2.</w:t>
      </w:r>
      <w:r w:rsidRPr="002C052F">
        <w:rPr>
          <w:bCs/>
          <w:color w:val="000000"/>
          <w:szCs w:val="24"/>
          <w:lang w:eastAsia="bg-BG"/>
        </w:rPr>
        <w:tab/>
        <w:t>Отдел „</w:t>
      </w:r>
      <w:r w:rsidR="0013412A" w:rsidRPr="0013412A">
        <w:rPr>
          <w:bCs/>
          <w:color w:val="000000"/>
          <w:szCs w:val="24"/>
          <w:lang w:eastAsia="bg-BG"/>
        </w:rPr>
        <w:t>Информация, публичност и техническа помощ</w:t>
      </w:r>
      <w:r w:rsidRPr="002C052F">
        <w:rPr>
          <w:bCs/>
          <w:color w:val="000000"/>
          <w:szCs w:val="24"/>
          <w:lang w:eastAsia="bg-BG"/>
        </w:rPr>
        <w:t>” осъществява текущ мониторинг на изпълнението на мерките по информация и публичност по проекти, изпълнявани по ОПТТИ. Всички планирани мерки/дейности по проекта се съгласуват с отдел „</w:t>
      </w:r>
      <w:r w:rsidR="0013412A" w:rsidRPr="0013412A">
        <w:rPr>
          <w:bCs/>
          <w:color w:val="000000"/>
          <w:szCs w:val="24"/>
          <w:lang w:eastAsia="bg-BG"/>
        </w:rPr>
        <w:t>Информация, публичност и техническа помощ</w:t>
      </w:r>
      <w:r w:rsidRPr="002C052F">
        <w:rPr>
          <w:bCs/>
          <w:color w:val="000000"/>
          <w:szCs w:val="24"/>
          <w:lang w:eastAsia="bg-BG"/>
        </w:rPr>
        <w:t xml:space="preserve">” в Управляващия орган на ОПТТИ. </w:t>
      </w:r>
    </w:p>
    <w:p w14:paraId="09139D40" w14:textId="77777777" w:rsidR="002C052F" w:rsidRPr="002C052F" w:rsidRDefault="002C052F" w:rsidP="002C052F">
      <w:pPr>
        <w:tabs>
          <w:tab w:val="left" w:pos="1134"/>
        </w:tabs>
        <w:rPr>
          <w:bCs/>
          <w:color w:val="000000"/>
          <w:szCs w:val="24"/>
          <w:lang w:eastAsia="bg-BG"/>
        </w:rPr>
      </w:pPr>
      <w:r w:rsidRPr="002C052F">
        <w:rPr>
          <w:bCs/>
          <w:color w:val="000000"/>
          <w:szCs w:val="24"/>
          <w:lang w:eastAsia="bg-BG"/>
        </w:rPr>
        <w:t>3.</w:t>
      </w:r>
      <w:r w:rsidRPr="002C052F">
        <w:rPr>
          <w:bCs/>
          <w:color w:val="000000"/>
          <w:szCs w:val="24"/>
          <w:lang w:eastAsia="bg-BG"/>
        </w:rPr>
        <w:tab/>
        <w:t>Бенефициентът е длъжен да предостави при поискване от УО на ОПТТИ релевантна и актуална информация на/за всеки един етап от изпълнението на комуникационните дейности за проекти, финансирани по ОПТТИ, както и отчет и доказателства на изпълнените мерки по информация и публичност.</w:t>
      </w:r>
    </w:p>
    <w:p w14:paraId="50846363" w14:textId="77777777" w:rsidR="002C052F" w:rsidRPr="002C052F" w:rsidRDefault="002C052F" w:rsidP="002C052F">
      <w:pPr>
        <w:tabs>
          <w:tab w:val="left" w:pos="1134"/>
        </w:tabs>
        <w:rPr>
          <w:bCs/>
          <w:color w:val="000000"/>
          <w:szCs w:val="24"/>
          <w:lang w:eastAsia="bg-BG"/>
        </w:rPr>
      </w:pPr>
      <w:r w:rsidRPr="002C052F">
        <w:rPr>
          <w:bCs/>
          <w:color w:val="000000"/>
          <w:szCs w:val="24"/>
          <w:lang w:eastAsia="bg-BG"/>
        </w:rPr>
        <w:t>4.</w:t>
      </w:r>
      <w:r w:rsidRPr="002C052F">
        <w:rPr>
          <w:bCs/>
          <w:color w:val="000000"/>
          <w:szCs w:val="24"/>
          <w:lang w:eastAsia="bg-BG"/>
        </w:rPr>
        <w:tab/>
        <w:t>По преценка УО на ОПТТИ може да изпрати в писмен вид искане, вкл. по електронен път за предоставяне на информация (отчет, доказателства) по изпълнението на комуникационните дейности, като бенефициентът предоставя информацията в срок до 3 работни дни от получаването на искането.</w:t>
      </w:r>
    </w:p>
    <w:p w14:paraId="01E59D38" w14:textId="77777777" w:rsidR="002C052F" w:rsidRPr="002C052F" w:rsidRDefault="002C052F" w:rsidP="002C052F">
      <w:pPr>
        <w:tabs>
          <w:tab w:val="left" w:pos="1134"/>
        </w:tabs>
        <w:rPr>
          <w:bCs/>
          <w:color w:val="000000"/>
          <w:szCs w:val="24"/>
          <w:lang w:eastAsia="bg-BG"/>
        </w:rPr>
      </w:pPr>
      <w:r w:rsidRPr="002C052F">
        <w:rPr>
          <w:bCs/>
          <w:color w:val="000000"/>
          <w:szCs w:val="24"/>
          <w:lang w:eastAsia="bg-BG"/>
        </w:rPr>
        <w:t>5.</w:t>
      </w:r>
      <w:r w:rsidRPr="002C052F">
        <w:rPr>
          <w:bCs/>
          <w:color w:val="000000"/>
          <w:szCs w:val="24"/>
          <w:lang w:eastAsia="bg-BG"/>
        </w:rPr>
        <w:tab/>
        <w:t>УО на ОПТТИ има право във всеки един момент да провери събрания архив и отчети по проекта относно мерките за информация и публичност, като спазва процедурата за непланирана проверка на място, съгласно т. 28.3.2.4  от ПНУИ на ОПТТИ.</w:t>
      </w:r>
    </w:p>
    <w:p w14:paraId="60CD0F0F" w14:textId="77777777" w:rsidR="002C052F" w:rsidRPr="002C052F" w:rsidRDefault="002C052F" w:rsidP="002C052F">
      <w:pPr>
        <w:tabs>
          <w:tab w:val="left" w:pos="1134"/>
        </w:tabs>
        <w:rPr>
          <w:b/>
          <w:bCs/>
          <w:i/>
          <w:color w:val="000000"/>
          <w:szCs w:val="24"/>
          <w:lang w:eastAsia="bg-BG"/>
        </w:rPr>
      </w:pPr>
      <w:r w:rsidRPr="002C052F">
        <w:rPr>
          <w:bCs/>
          <w:color w:val="000000"/>
          <w:szCs w:val="24"/>
          <w:lang w:eastAsia="bg-BG"/>
        </w:rPr>
        <w:t>6.</w:t>
      </w:r>
      <w:r w:rsidRPr="002C052F">
        <w:rPr>
          <w:bCs/>
          <w:color w:val="000000"/>
          <w:szCs w:val="24"/>
          <w:lang w:eastAsia="bg-BG"/>
        </w:rPr>
        <w:tab/>
        <w:t xml:space="preserve">В срок до 1 месец след приключване на последната комуникационна дейност, но не по-късно от представянето на окончателния доклад по проекта, бенефициентът предоставя на УО на ОПТТИ отчет и доказателства (1 оригинал и 1 копие) за изпълнението на мерките за информация и публичност за инфраструктурния проект. Окончателният отчет следва да бъде изготвен по </w:t>
      </w:r>
      <w:hyperlink r:id="rId326" w:tooltip="Доклад за изпълнение на дейностите по информация и публичност за проект" w:history="1">
        <w:r w:rsidRPr="002C052F">
          <w:rPr>
            <w:bCs/>
            <w:i/>
            <w:color w:val="0000FF"/>
            <w:szCs w:val="24"/>
            <w:u w:val="single"/>
            <w:lang w:eastAsia="bg-BG"/>
          </w:rPr>
          <w:t>Приложение № 9.06</w:t>
        </w:r>
      </w:hyperlink>
      <w:r w:rsidRPr="002C052F">
        <w:rPr>
          <w:b/>
          <w:bCs/>
          <w:i/>
          <w:color w:val="000000"/>
          <w:szCs w:val="24"/>
          <w:lang w:eastAsia="bg-BG"/>
        </w:rPr>
        <w:t>,</w:t>
      </w:r>
      <w:r w:rsidRPr="002C052F">
        <w:rPr>
          <w:bCs/>
          <w:color w:val="000000"/>
          <w:szCs w:val="24"/>
          <w:lang w:eastAsia="bg-BG"/>
        </w:rPr>
        <w:t xml:space="preserve"> като е придружен от декларация образец </w:t>
      </w:r>
      <w:hyperlink r:id="rId327" w:tooltip="Декларация на бенефициента" w:history="1">
        <w:r w:rsidRPr="002C052F">
          <w:rPr>
            <w:bCs/>
            <w:i/>
            <w:color w:val="0000FF"/>
            <w:szCs w:val="24"/>
            <w:u w:val="single"/>
            <w:lang w:eastAsia="bg-BG"/>
          </w:rPr>
          <w:t>Приложение № 9.07</w:t>
        </w:r>
      </w:hyperlink>
    </w:p>
    <w:p w14:paraId="35C7A89D" w14:textId="77777777" w:rsidR="002C052F" w:rsidRPr="002C052F" w:rsidRDefault="002C052F" w:rsidP="002C052F">
      <w:pPr>
        <w:tabs>
          <w:tab w:val="left" w:pos="1134"/>
        </w:tabs>
        <w:rPr>
          <w:bCs/>
          <w:color w:val="000000"/>
          <w:szCs w:val="24"/>
          <w:lang w:eastAsia="bg-BG"/>
        </w:rPr>
      </w:pPr>
      <w:r w:rsidRPr="002C052F">
        <w:rPr>
          <w:bCs/>
          <w:color w:val="000000"/>
          <w:szCs w:val="24"/>
          <w:lang w:eastAsia="bg-BG"/>
        </w:rPr>
        <w:lastRenderedPageBreak/>
        <w:t>7.</w:t>
      </w:r>
      <w:r w:rsidRPr="002C052F">
        <w:rPr>
          <w:bCs/>
          <w:color w:val="000000"/>
          <w:szCs w:val="24"/>
          <w:lang w:eastAsia="bg-BG"/>
        </w:rPr>
        <w:tab/>
        <w:t>При липса на информация или грешна такава УО на ОПТТИ може да изисква от бенефициента представянето й или коригирането й.</w:t>
      </w:r>
    </w:p>
    <w:p w14:paraId="479C6AAC" w14:textId="77777777" w:rsidR="002C052F" w:rsidRPr="002C052F" w:rsidRDefault="002C052F" w:rsidP="002C052F">
      <w:pPr>
        <w:tabs>
          <w:tab w:val="left" w:pos="1134"/>
        </w:tabs>
        <w:rPr>
          <w:szCs w:val="24"/>
          <w:lang w:eastAsia="bg-BG"/>
        </w:rPr>
      </w:pPr>
      <w:r w:rsidRPr="002C052F">
        <w:rPr>
          <w:szCs w:val="24"/>
          <w:lang w:eastAsia="bg-BG"/>
        </w:rPr>
        <w:t xml:space="preserve">8. След приемането от УО на ОПТТИ представените от бенефициента отчет и доказателства за изпълнението на мерките за информация и публичност за инфраструктурния проект, се изпраща уведомление по електронен път до бенефициента и до началниците на отдели „Изпълнение и координация“ и „Финансово управление“. </w:t>
      </w:r>
    </w:p>
    <w:p w14:paraId="56B527F1" w14:textId="77777777" w:rsidR="002C052F" w:rsidRPr="002C052F" w:rsidRDefault="002C052F" w:rsidP="002C052F">
      <w:pPr>
        <w:tabs>
          <w:tab w:val="left" w:pos="1134"/>
        </w:tabs>
        <w:rPr>
          <w:bCs/>
          <w:color w:val="000000"/>
          <w:szCs w:val="24"/>
          <w:lang w:eastAsia="bg-BG"/>
        </w:rPr>
      </w:pPr>
      <w:r w:rsidRPr="002C052F">
        <w:rPr>
          <w:bCs/>
          <w:color w:val="000000"/>
          <w:szCs w:val="24"/>
          <w:lang w:eastAsia="bg-BG"/>
        </w:rPr>
        <w:t xml:space="preserve"> </w:t>
      </w:r>
    </w:p>
    <w:p w14:paraId="7ECA321F" w14:textId="77777777" w:rsidR="002C052F" w:rsidRPr="002C052F" w:rsidRDefault="002C052F" w:rsidP="002C052F">
      <w:pPr>
        <w:tabs>
          <w:tab w:val="left" w:pos="1134"/>
        </w:tabs>
        <w:rPr>
          <w:b/>
          <w:bCs/>
          <w:color w:val="000000"/>
          <w:szCs w:val="24"/>
          <w:lang w:eastAsia="bg-BG"/>
        </w:rPr>
      </w:pPr>
    </w:p>
    <w:p w14:paraId="2DF1CCD8" w14:textId="77777777" w:rsidR="002C052F" w:rsidRPr="006A6D08" w:rsidRDefault="00604C18" w:rsidP="006A6D08">
      <w:pPr>
        <w:pStyle w:val="Style2"/>
        <w:numPr>
          <w:ilvl w:val="0"/>
          <w:numId w:val="0"/>
        </w:numPr>
        <w:ind w:left="792"/>
      </w:pPr>
      <w:bookmarkStart w:id="1375" w:name="_Toc140150329"/>
      <w:r w:rsidRPr="006A6D08">
        <w:t xml:space="preserve">35.8. </w:t>
      </w:r>
      <w:r w:rsidR="002C052F" w:rsidRPr="006A6D08">
        <w:t>Интернет страницата на УО на ОПТТИ</w:t>
      </w:r>
      <w:bookmarkEnd w:id="1375"/>
      <w:r w:rsidR="002C052F" w:rsidRPr="006A6D08">
        <w:t xml:space="preserve">  </w:t>
      </w:r>
    </w:p>
    <w:p w14:paraId="304C3E6E" w14:textId="77777777" w:rsidR="002C052F" w:rsidRPr="00842ECC" w:rsidRDefault="002C052F" w:rsidP="002C052F">
      <w:pPr>
        <w:numPr>
          <w:ilvl w:val="2"/>
          <w:numId w:val="0"/>
        </w:numPr>
        <w:spacing w:before="120" w:after="120"/>
        <w:ind w:left="1072" w:hanging="504"/>
        <w:contextualSpacing/>
        <w:outlineLvl w:val="3"/>
        <w:rPr>
          <w:b/>
          <w:szCs w:val="24"/>
          <w:lang w:eastAsia="bg-BG"/>
        </w:rPr>
      </w:pPr>
      <w:r w:rsidRPr="00842ECC">
        <w:rPr>
          <w:b/>
          <w:szCs w:val="24"/>
          <w:lang w:eastAsia="bg-BG"/>
        </w:rPr>
        <w:t>Администриране на интернет страницата</w:t>
      </w:r>
    </w:p>
    <w:p w14:paraId="7803D222" w14:textId="77777777" w:rsidR="002C052F" w:rsidRPr="002C052F" w:rsidRDefault="002C052F" w:rsidP="002C052F">
      <w:pPr>
        <w:rPr>
          <w:color w:val="000000"/>
          <w:szCs w:val="24"/>
          <w:lang w:eastAsia="bg-BG"/>
        </w:rPr>
      </w:pPr>
      <w:r w:rsidRPr="002C052F">
        <w:rPr>
          <w:color w:val="000000"/>
          <w:szCs w:val="24"/>
          <w:lang w:eastAsia="bg-BG"/>
        </w:rPr>
        <w:t xml:space="preserve">Официалната интернет страница на ОПТТИ </w:t>
      </w:r>
      <w:hyperlink r:id="rId328" w:history="1">
        <w:r w:rsidR="0013412A" w:rsidRPr="000B4479">
          <w:rPr>
            <w:rStyle w:val="Hyperlink"/>
            <w:szCs w:val="24"/>
            <w:lang w:eastAsia="bg-BG"/>
          </w:rPr>
          <w:t>www.eufunds.bg/bg/optti</w:t>
        </w:r>
      </w:hyperlink>
      <w:r w:rsidR="0013412A">
        <w:rPr>
          <w:color w:val="000000"/>
          <w:szCs w:val="24"/>
          <w:lang w:eastAsia="bg-BG"/>
        </w:rPr>
        <w:t xml:space="preserve"> </w:t>
      </w:r>
      <w:r w:rsidRPr="002C052F">
        <w:rPr>
          <w:color w:val="000000"/>
          <w:szCs w:val="24"/>
          <w:lang w:eastAsia="bg-BG"/>
        </w:rPr>
        <w:t xml:space="preserve"> е част от общия, единен интернет-базиран портал за цялостна информация по управлението и използването на Структурните и Кохезионния фондове в България www.eufunds.bg, съгласно утвърдената Национална комуникационна стратегия.</w:t>
      </w:r>
    </w:p>
    <w:p w14:paraId="45A149D4" w14:textId="77777777" w:rsidR="002C052F" w:rsidRPr="002C052F" w:rsidRDefault="002C052F" w:rsidP="002C052F">
      <w:pPr>
        <w:rPr>
          <w:color w:val="000000"/>
          <w:szCs w:val="24"/>
          <w:lang w:eastAsia="bg-BG"/>
        </w:rPr>
      </w:pPr>
      <w:r w:rsidRPr="002C052F">
        <w:rPr>
          <w:color w:val="000000"/>
          <w:szCs w:val="24"/>
          <w:lang w:eastAsia="bg-BG"/>
        </w:rPr>
        <w:t>Интернет страницата се обновява от УО при възникване на информационен повод, актуализиране на стратегически документи, оповестяване на съобщения до заинтересовани страни и други активности, които са съществено значение за информиране на аудиторията и заинтересованите страни.</w:t>
      </w:r>
    </w:p>
    <w:p w14:paraId="579A1E02" w14:textId="6EC39B54" w:rsidR="002C052F" w:rsidRPr="002C052F" w:rsidRDefault="002C052F" w:rsidP="002C052F">
      <w:pPr>
        <w:rPr>
          <w:color w:val="000000"/>
          <w:szCs w:val="24"/>
          <w:lang w:eastAsia="bg-BG"/>
        </w:rPr>
      </w:pPr>
      <w:r w:rsidRPr="002C052F">
        <w:rPr>
          <w:color w:val="000000"/>
          <w:szCs w:val="24"/>
          <w:lang w:eastAsia="bg-BG"/>
        </w:rPr>
        <w:t xml:space="preserve">Администрирането на интернет страницата на ОПТТИ </w:t>
      </w:r>
      <w:hyperlink r:id="rId329" w:history="1">
        <w:r w:rsidR="0013412A" w:rsidRPr="000B4479">
          <w:rPr>
            <w:rStyle w:val="Hyperlink"/>
            <w:szCs w:val="24"/>
            <w:lang w:eastAsia="bg-BG"/>
          </w:rPr>
          <w:t>www.eufunds.bg/bg/optti</w:t>
        </w:r>
      </w:hyperlink>
      <w:r w:rsidR="0013412A">
        <w:rPr>
          <w:color w:val="000000"/>
          <w:szCs w:val="24"/>
          <w:lang w:eastAsia="bg-BG"/>
        </w:rPr>
        <w:t xml:space="preserve"> </w:t>
      </w:r>
      <w:r w:rsidRPr="002C052F">
        <w:rPr>
          <w:color w:val="000000"/>
          <w:szCs w:val="24"/>
          <w:lang w:eastAsia="bg-BG"/>
        </w:rPr>
        <w:t xml:space="preserve"> се извършва от отдел „</w:t>
      </w:r>
      <w:r w:rsidR="0013412A" w:rsidRPr="0013412A">
        <w:rPr>
          <w:color w:val="000000"/>
          <w:szCs w:val="24"/>
          <w:lang w:eastAsia="bg-BG"/>
        </w:rPr>
        <w:t>Информация, публичност и техническа помощ</w:t>
      </w:r>
      <w:r w:rsidRPr="002C052F">
        <w:rPr>
          <w:color w:val="000000"/>
          <w:szCs w:val="24"/>
          <w:lang w:eastAsia="bg-BG"/>
        </w:rPr>
        <w:t xml:space="preserve">”, а при необходимост - с помощта на избрания изпълнител за „Надграждане на Единния информационен портал”. Интернет страницата на ОПТТИ поддържа двуезичен режим - български и английски език. </w:t>
      </w:r>
    </w:p>
    <w:p w14:paraId="4E7E2451" w14:textId="427FBAD6" w:rsidR="002C052F" w:rsidRPr="002C052F" w:rsidRDefault="002C052F" w:rsidP="002C052F">
      <w:pPr>
        <w:rPr>
          <w:color w:val="000000"/>
          <w:szCs w:val="24"/>
          <w:lang w:eastAsia="bg-BG"/>
        </w:rPr>
      </w:pPr>
      <w:r w:rsidRPr="002C052F">
        <w:rPr>
          <w:color w:val="000000"/>
          <w:szCs w:val="24"/>
          <w:lang w:eastAsia="bg-BG"/>
        </w:rPr>
        <w:t>Началникът на отдел „</w:t>
      </w:r>
      <w:r w:rsidR="0013412A" w:rsidRPr="0013412A">
        <w:rPr>
          <w:color w:val="000000"/>
          <w:szCs w:val="24"/>
          <w:lang w:eastAsia="bg-BG"/>
        </w:rPr>
        <w:t>Информация, публичност и техническа помощ</w:t>
      </w:r>
      <w:r w:rsidRPr="002C052F">
        <w:rPr>
          <w:color w:val="000000"/>
          <w:szCs w:val="24"/>
          <w:lang w:eastAsia="bg-BG"/>
        </w:rPr>
        <w:t>” определя служители, които отговарят за публикуване, актуализиране на съдържанието на отделните рубрики и секции. Интернет сайтът на ОПТТИ има публично достъпна част и административна част. Достъпът до административната част на страницата се осъществява от определени институционални потребители*, които имат потребителски достъп. Те притежават право да редактират съдържанието – добавяне, преглед, изменение и др. При необходимост за актуализация на документи и/или информация, които са от компетентността на други отдели в рамките на дирекция „Координация на програми и проекти”, съответните служители предоставят информацията в електронен формат по електронна поща на отговорните служители от отдел „</w:t>
      </w:r>
      <w:r w:rsidR="0013412A" w:rsidRPr="0013412A">
        <w:rPr>
          <w:color w:val="000000"/>
          <w:szCs w:val="24"/>
          <w:lang w:eastAsia="bg-BG"/>
        </w:rPr>
        <w:t>Информация, публичност и техническа помощ</w:t>
      </w:r>
      <w:r w:rsidRPr="002C052F">
        <w:rPr>
          <w:color w:val="000000"/>
          <w:szCs w:val="24"/>
          <w:lang w:eastAsia="bg-BG"/>
        </w:rPr>
        <w:t>” за публикуване на страницата.</w:t>
      </w:r>
    </w:p>
    <w:p w14:paraId="58441F5A" w14:textId="77777777" w:rsidR="002C052F" w:rsidRPr="002C052F" w:rsidRDefault="002C052F" w:rsidP="002C052F">
      <w:pPr>
        <w:rPr>
          <w:color w:val="000000"/>
          <w:szCs w:val="24"/>
          <w:lang w:eastAsia="bg-BG"/>
        </w:rPr>
      </w:pPr>
      <w:r w:rsidRPr="002C052F">
        <w:rPr>
          <w:color w:val="000000"/>
          <w:szCs w:val="24"/>
          <w:lang w:eastAsia="bg-BG"/>
        </w:rPr>
        <w:t xml:space="preserve">С цел улеснение на трансфера на информация на </w:t>
      </w:r>
      <w:hyperlink r:id="rId330" w:history="1">
        <w:r w:rsidR="0013412A" w:rsidRPr="000B4479">
          <w:rPr>
            <w:rStyle w:val="Hyperlink"/>
            <w:szCs w:val="24"/>
            <w:lang w:eastAsia="bg-BG"/>
          </w:rPr>
          <w:t>www.eufunds.bg/bg/optti</w:t>
        </w:r>
      </w:hyperlink>
      <w:r w:rsidR="0013412A">
        <w:rPr>
          <w:color w:val="000000"/>
          <w:szCs w:val="24"/>
          <w:lang w:eastAsia="bg-BG"/>
        </w:rPr>
        <w:t xml:space="preserve"> </w:t>
      </w:r>
      <w:r w:rsidRPr="002C052F">
        <w:rPr>
          <w:color w:val="000000"/>
          <w:szCs w:val="24"/>
          <w:lang w:eastAsia="bg-BG"/>
        </w:rPr>
        <w:t xml:space="preserve"> в меню „Управление“ е създадена секция „Комитет за наблюдение за членове“. В тази секция се публикуват актуални документи, свързани с работата и заседанията на Комитета за наблюдение, които не са публични. Достъпът до тази секция се осъществява чрез потребителско име и парола, които членовете на КН получават от УО на ОПТТИ.</w:t>
      </w:r>
    </w:p>
    <w:p w14:paraId="48739710" w14:textId="77777777" w:rsidR="002C052F" w:rsidRPr="002C052F" w:rsidRDefault="002C052F" w:rsidP="002C052F">
      <w:pPr>
        <w:rPr>
          <w:color w:val="000000"/>
          <w:szCs w:val="24"/>
          <w:lang w:eastAsia="bg-BG"/>
        </w:rPr>
      </w:pPr>
      <w:r w:rsidRPr="002C052F">
        <w:rPr>
          <w:color w:val="000000"/>
          <w:szCs w:val="24"/>
          <w:lang w:eastAsia="bg-BG"/>
        </w:rPr>
        <w:t xml:space="preserve">УО на ОПТТИ осигурява свободен достъп до съдържанието на предходната интернет страница на програмата, която се намира на адрес www.optransport.bg (архив) на всички заинтересовани потребители. Планира се съдържанието да бъде публично достъпно до края на програмния период, а най-важната информация е поместена и на адрес </w:t>
      </w:r>
      <w:hyperlink r:id="rId331" w:history="1">
        <w:r w:rsidR="0013412A" w:rsidRPr="000B4479">
          <w:rPr>
            <w:rStyle w:val="Hyperlink"/>
            <w:szCs w:val="24"/>
            <w:lang w:eastAsia="bg-BG"/>
          </w:rPr>
          <w:t>www.eufunds.bg/bg/optti</w:t>
        </w:r>
      </w:hyperlink>
      <w:r w:rsidR="0013412A">
        <w:rPr>
          <w:color w:val="000000"/>
          <w:szCs w:val="24"/>
          <w:lang w:eastAsia="bg-BG"/>
        </w:rPr>
        <w:t xml:space="preserve"> </w:t>
      </w:r>
      <w:r w:rsidRPr="002C052F">
        <w:rPr>
          <w:color w:val="000000"/>
          <w:szCs w:val="24"/>
          <w:lang w:eastAsia="bg-BG"/>
        </w:rPr>
        <w:t>.</w:t>
      </w:r>
    </w:p>
    <w:p w14:paraId="157712B6" w14:textId="77777777" w:rsidR="002C052F" w:rsidRPr="00842ECC" w:rsidRDefault="002C052F" w:rsidP="002C052F">
      <w:pPr>
        <w:numPr>
          <w:ilvl w:val="2"/>
          <w:numId w:val="0"/>
        </w:numPr>
        <w:spacing w:before="120" w:after="120"/>
        <w:ind w:left="1072" w:hanging="504"/>
        <w:contextualSpacing/>
        <w:outlineLvl w:val="3"/>
        <w:rPr>
          <w:b/>
          <w:szCs w:val="24"/>
          <w:lang w:eastAsia="bg-BG"/>
        </w:rPr>
      </w:pPr>
      <w:r w:rsidRPr="00842ECC">
        <w:rPr>
          <w:b/>
          <w:szCs w:val="24"/>
          <w:lang w:eastAsia="bg-BG"/>
        </w:rPr>
        <w:t>Минимални изисквания за публикуване на информация на интернет страницата</w:t>
      </w:r>
    </w:p>
    <w:p w14:paraId="1415980D" w14:textId="392F81B4" w:rsidR="002C052F" w:rsidRPr="002C052F" w:rsidRDefault="002C052F" w:rsidP="002C052F">
      <w:r w:rsidRPr="002C052F">
        <w:t>В съответствие с изискванията на нормативната уредба, отдел „</w:t>
      </w:r>
      <w:r w:rsidR="0013412A" w:rsidRPr="0013412A">
        <w:t>Информация, публичност и техническа помощ</w:t>
      </w:r>
      <w:r w:rsidR="0013412A">
        <w:t xml:space="preserve">“ </w:t>
      </w:r>
      <w:r w:rsidRPr="002C052F">
        <w:t>публикува задължително следната информация, подготвена от компетентните отдели, на интернет страницата на програмата: актуална версия на ПНИУОПТТИ; индикативна годишна работна програма на ОПТТИ на основание чл. 26, ал. 7 от Постановление № 162 на Министерския съвет от 2016 г., не по-късно от 30 ноември всяка година; насоки за кандидатстване за предоставяне на безвъзмездна финансова помощ от ОПТТИ.</w:t>
      </w:r>
    </w:p>
    <w:p w14:paraId="1B76EC96" w14:textId="77777777" w:rsidR="002C052F" w:rsidRPr="002C052F" w:rsidRDefault="002C052F" w:rsidP="002C052F"/>
    <w:p w14:paraId="3C5F035F" w14:textId="77777777" w:rsidR="002C052F" w:rsidRPr="002C052F" w:rsidRDefault="002C052F" w:rsidP="002C052F">
      <w:pPr>
        <w:rPr>
          <w:lang w:val="ru-RU"/>
        </w:rPr>
      </w:pPr>
      <w:r w:rsidRPr="002C052F">
        <w:t xml:space="preserve">*Институционални потребители – това са служители на административните структури, които управляват съдържанието в частите от портала </w:t>
      </w:r>
      <w:hyperlink r:id="rId332" w:history="1">
        <w:r w:rsidRPr="002C052F">
          <w:rPr>
            <w:color w:val="0000FF"/>
            <w:u w:val="single"/>
          </w:rPr>
          <w:t>https://eufunds.bg</w:t>
        </w:r>
      </w:hyperlink>
      <w:r w:rsidRPr="002C052F">
        <w:rPr>
          <w:lang w:val="ru-RU"/>
        </w:rPr>
        <w:t xml:space="preserve">, до които са им предоставени права. </w:t>
      </w:r>
    </w:p>
    <w:p w14:paraId="241114ED" w14:textId="77777777" w:rsidR="002C052F" w:rsidRPr="002C052F" w:rsidRDefault="002C052F" w:rsidP="002C052F">
      <w:pPr>
        <w:tabs>
          <w:tab w:val="left" w:pos="1134"/>
        </w:tabs>
        <w:rPr>
          <w:b/>
          <w:bCs/>
          <w:color w:val="000000"/>
          <w:szCs w:val="24"/>
          <w:lang w:eastAsia="bg-BG"/>
        </w:rPr>
      </w:pPr>
    </w:p>
    <w:p w14:paraId="3E5C9187" w14:textId="77777777" w:rsidR="002C052F" w:rsidRPr="00842ECC" w:rsidRDefault="002C052F" w:rsidP="006A6D08">
      <w:pPr>
        <w:pStyle w:val="Style2"/>
        <w:numPr>
          <w:ilvl w:val="0"/>
          <w:numId w:val="0"/>
        </w:numPr>
        <w:ind w:left="792"/>
        <w:rPr>
          <w:snapToGrid w:val="0"/>
        </w:rPr>
      </w:pPr>
      <w:bookmarkStart w:id="1376" w:name="_Toc140150330"/>
      <w:r w:rsidRPr="002C052F">
        <w:rPr>
          <w:color w:val="000000"/>
          <w:lang w:eastAsia="bg-BG"/>
        </w:rPr>
        <w:t xml:space="preserve">35.9. </w:t>
      </w:r>
      <w:r w:rsidRPr="006A6D08">
        <w:t>Комуникация чрез социални мрежи</w:t>
      </w:r>
      <w:bookmarkEnd w:id="1376"/>
      <w:r w:rsidRPr="00842ECC">
        <w:rPr>
          <w:snapToGrid w:val="0"/>
        </w:rPr>
        <w:t xml:space="preserve">  </w:t>
      </w:r>
    </w:p>
    <w:p w14:paraId="0047C230" w14:textId="77777777" w:rsidR="002C052F" w:rsidRPr="002C052F" w:rsidRDefault="002C052F" w:rsidP="002C052F"/>
    <w:p w14:paraId="5BF14C41" w14:textId="77777777" w:rsidR="002C052F" w:rsidRPr="002C052F" w:rsidRDefault="002C052F" w:rsidP="002C052F">
      <w:pPr>
        <w:tabs>
          <w:tab w:val="left" w:pos="1134"/>
        </w:tabs>
        <w:rPr>
          <w:color w:val="000000"/>
          <w:szCs w:val="24"/>
          <w:lang w:eastAsia="bg-BG"/>
        </w:rPr>
      </w:pPr>
      <w:r w:rsidRPr="002C052F">
        <w:rPr>
          <w:color w:val="000000"/>
          <w:szCs w:val="24"/>
          <w:lang w:eastAsia="bg-BG"/>
        </w:rPr>
        <w:t>Използването на социалните мрежи надгражда и допълва останалите комуникационни дейности по ОПТТИ, за които се използват класически способи и традиционни канали. Понастоящем УО на ОПТТИ поддържа потребителски профили в две дигитални платформи за споделяне на съдържание (YouTube и Instagram). Социалните мрежи позволяват генериране на авторско съдържание: снимки, клипове, кратки филми, интервюта и др., които имат преди всичко информационна функция. Предимството на онлайн базираните медии е осигуряването на лесен и бърз достъп на аудиторията (най-често от мобилно устройство).</w:t>
      </w:r>
    </w:p>
    <w:p w14:paraId="530748E2" w14:textId="77777777" w:rsidR="002C052F" w:rsidRPr="002C052F" w:rsidRDefault="002C052F" w:rsidP="002C052F">
      <w:pPr>
        <w:tabs>
          <w:tab w:val="left" w:pos="1134"/>
        </w:tabs>
        <w:rPr>
          <w:color w:val="000000"/>
          <w:szCs w:val="24"/>
          <w:lang w:eastAsia="bg-BG"/>
        </w:rPr>
      </w:pPr>
    </w:p>
    <w:p w14:paraId="5983E436" w14:textId="6E8FA7AF" w:rsidR="002C052F" w:rsidRPr="002C052F" w:rsidRDefault="002C052F" w:rsidP="002C052F">
      <w:pPr>
        <w:tabs>
          <w:tab w:val="left" w:pos="1134"/>
        </w:tabs>
        <w:rPr>
          <w:color w:val="000000"/>
          <w:szCs w:val="24"/>
          <w:lang w:eastAsia="bg-BG"/>
        </w:rPr>
      </w:pPr>
      <w:r w:rsidRPr="002C052F">
        <w:rPr>
          <w:color w:val="000000"/>
          <w:szCs w:val="24"/>
          <w:lang w:eastAsia="bg-BG"/>
        </w:rPr>
        <w:t>Създадените профили в социалните мрежи се администрират от УО на ОПТТИ, по-конкретно от служители на отдел „</w:t>
      </w:r>
      <w:r w:rsidR="0013412A" w:rsidRPr="0013412A">
        <w:rPr>
          <w:color w:val="000000"/>
          <w:szCs w:val="24"/>
          <w:lang w:eastAsia="bg-BG"/>
        </w:rPr>
        <w:t>Информация, публичност и техническа помощ</w:t>
      </w:r>
      <w:r w:rsidRPr="002C052F">
        <w:rPr>
          <w:color w:val="000000"/>
          <w:szCs w:val="24"/>
          <w:lang w:eastAsia="bg-BG"/>
        </w:rPr>
        <w:t>“. Профилите в социалните мрежи се актуализират регулярно и се захранват с материали, които информират аудиторията с актуално и достоверно съдържание, като по този начин допринасят за по-висока разпознаваемост и одобрение на ОПТТИ.</w:t>
      </w:r>
    </w:p>
    <w:p w14:paraId="33D6CADA" w14:textId="77777777" w:rsidR="002C052F" w:rsidRPr="002C052F" w:rsidRDefault="002C052F" w:rsidP="002C052F"/>
    <w:p w14:paraId="5230E1DD" w14:textId="77777777" w:rsidR="002C052F" w:rsidRPr="002C052F" w:rsidRDefault="002C052F" w:rsidP="002C052F">
      <w:pPr>
        <w:rPr>
          <w:color w:val="000000"/>
          <w:szCs w:val="24"/>
          <w:lang w:eastAsia="bg-BG"/>
        </w:rPr>
      </w:pPr>
    </w:p>
    <w:p w14:paraId="3855BEDE" w14:textId="77777777" w:rsidR="002C052F" w:rsidRDefault="002C052F" w:rsidP="006C6688">
      <w:pPr>
        <w:rPr>
          <w:color w:val="000000"/>
          <w:szCs w:val="24"/>
          <w:lang w:eastAsia="bg-BG"/>
        </w:rPr>
      </w:pPr>
    </w:p>
    <w:p w14:paraId="18C5E354" w14:textId="77777777" w:rsidR="00F23F9B" w:rsidRPr="005531CD" w:rsidRDefault="00203706" w:rsidP="006A6D08">
      <w:pPr>
        <w:pStyle w:val="Style1"/>
        <w:numPr>
          <w:ilvl w:val="4"/>
          <w:numId w:val="4"/>
        </w:numPr>
        <w:ind w:left="284" w:firstLine="0"/>
      </w:pPr>
      <w:bookmarkStart w:id="1377" w:name="_Toc140150347"/>
      <w:r w:rsidRPr="005531CD">
        <w:t xml:space="preserve">ПРОЦЕДУРА ЗА ИЗГОТВЯНЕ НА ДЕКЛАРАЦИЯТА ЗА УПРАВЛЕНИЕТО И НА </w:t>
      </w:r>
      <w:r>
        <w:rPr>
          <w:iCs/>
        </w:rPr>
        <w:t>ГОДИШНИЯ</w:t>
      </w:r>
      <w:r w:rsidRPr="00215A8C">
        <w:rPr>
          <w:iCs/>
        </w:rPr>
        <w:t xml:space="preserve"> ОТЧЕТ ЗА </w:t>
      </w:r>
      <w:r w:rsidRPr="005531CD">
        <w:t xml:space="preserve">ОКОНЧАТЕЛНИТЕ ОДИТНИ ДОКЛАДИ И </w:t>
      </w:r>
      <w:r w:rsidRPr="00215A8C">
        <w:rPr>
          <w:iCs/>
        </w:rPr>
        <w:t>ОСЪЩЕСТВЕНИЯ КОНТРОЛ</w:t>
      </w:r>
      <w:bookmarkEnd w:id="1377"/>
    </w:p>
    <w:p w14:paraId="7AAED212" w14:textId="77777777" w:rsidR="00F23F9B" w:rsidRPr="006A6D08" w:rsidRDefault="00A75AE4" w:rsidP="006A6D08">
      <w:pPr>
        <w:pStyle w:val="Style2"/>
        <w:numPr>
          <w:ilvl w:val="0"/>
          <w:numId w:val="0"/>
        </w:numPr>
        <w:ind w:left="792"/>
        <w:rPr>
          <w:snapToGrid w:val="0"/>
          <w:lang w:val="bg-BG"/>
        </w:rPr>
      </w:pPr>
      <w:bookmarkStart w:id="1378" w:name="_Toc140150348"/>
      <w:r>
        <w:rPr>
          <w:lang w:val="bg-BG" w:eastAsia="bg-BG"/>
        </w:rPr>
        <w:t>36.1.</w:t>
      </w:r>
      <w:r w:rsidR="00391204">
        <w:rPr>
          <w:lang w:val="bg-BG" w:eastAsia="bg-BG"/>
        </w:rPr>
        <w:t xml:space="preserve">  </w:t>
      </w:r>
      <w:r w:rsidR="00F23F9B" w:rsidRPr="006A6D08">
        <w:rPr>
          <w:lang w:val="bg-BG" w:eastAsia="bg-BG"/>
        </w:rPr>
        <w:t>Декларация за управлението (член 125, параграф 4, буква д) от Регламент (ЕС) № 1303/2013)</w:t>
      </w:r>
      <w:bookmarkEnd w:id="1378"/>
      <w:r w:rsidR="00F23F9B" w:rsidRPr="006A6D08">
        <w:rPr>
          <w:lang w:val="bg-BG" w:eastAsia="bg-BG"/>
        </w:rPr>
        <w:t xml:space="preserve"> </w:t>
      </w:r>
    </w:p>
    <w:p w14:paraId="57BDE986" w14:textId="77777777" w:rsidR="00F23F9B" w:rsidRPr="001B0EA3" w:rsidRDefault="00F23F9B" w:rsidP="006A6D08">
      <w:pPr>
        <w:ind w:firstLine="0"/>
        <w:jc w:val="left"/>
        <w:rPr>
          <w:b/>
          <w:bCs/>
          <w:kern w:val="28"/>
          <w:szCs w:val="24"/>
          <w:lang w:eastAsia="bg-BG"/>
        </w:rPr>
      </w:pPr>
    </w:p>
    <w:p w14:paraId="2BB49E89" w14:textId="77777777" w:rsidR="00FD38F9" w:rsidRPr="00FD38F9" w:rsidRDefault="00FD38F9" w:rsidP="00AE1F0D">
      <w:pPr>
        <w:rPr>
          <w:i/>
          <w:iCs/>
          <w:color w:val="000000"/>
          <w:szCs w:val="24"/>
          <w:lang w:eastAsia="bg-BG"/>
        </w:rPr>
      </w:pPr>
      <w:r w:rsidRPr="00FD38F9">
        <w:rPr>
          <w:color w:val="000000"/>
          <w:szCs w:val="24"/>
          <w:lang w:eastAsia="bg-BG"/>
        </w:rPr>
        <w:t>В съответствие с чл.138 от Регламент (ЕС) № 1303/2013, за всяка година от 2016 г. Управляващият орган изготвя декларация за управлението. Декларацията се изготвя по образец</w:t>
      </w:r>
      <w:r w:rsidRPr="00842ECC">
        <w:rPr>
          <w:color w:val="000000"/>
          <w:szCs w:val="24"/>
          <w:lang w:eastAsia="bg-BG"/>
        </w:rPr>
        <w:t xml:space="preserve"> </w:t>
      </w:r>
      <w:r w:rsidRPr="00FD38F9">
        <w:rPr>
          <w:color w:val="000000"/>
          <w:szCs w:val="24"/>
          <w:lang w:eastAsia="bg-BG"/>
        </w:rPr>
        <w:t xml:space="preserve">и се придружава от </w:t>
      </w:r>
      <w:r w:rsidRPr="00FD38F9">
        <w:rPr>
          <w:iCs/>
          <w:color w:val="000000"/>
          <w:szCs w:val="24"/>
          <w:lang w:eastAsia="bg-BG"/>
        </w:rPr>
        <w:t>Годишен отчет за окончателните одитни доклади и за осъществения контрол, включително анализ на естеството и размера на установените грешки и слабости в системите, както и коригиращите действия, които са предприети или планирани</w:t>
      </w:r>
      <w:r w:rsidRPr="00FD38F9">
        <w:rPr>
          <w:i/>
          <w:iCs/>
          <w:color w:val="000000"/>
          <w:szCs w:val="24"/>
          <w:lang w:eastAsia="bg-BG"/>
        </w:rPr>
        <w:t xml:space="preserve"> </w:t>
      </w:r>
      <w:r w:rsidRPr="00FD38F9">
        <w:rPr>
          <w:color w:val="000000"/>
          <w:szCs w:val="24"/>
          <w:lang w:eastAsia="bg-BG"/>
        </w:rPr>
        <w:t xml:space="preserve">(член 125, параграф 4, буква д) от Регламент (ЕС) № 1303/2013) (годишен отчет). </w:t>
      </w:r>
    </w:p>
    <w:p w14:paraId="4B32B3FA" w14:textId="77777777" w:rsidR="00FD38F9" w:rsidRPr="00FD38F9" w:rsidRDefault="00FD38F9" w:rsidP="00AE1F0D">
      <w:pPr>
        <w:rPr>
          <w:color w:val="000000"/>
          <w:szCs w:val="24"/>
          <w:lang w:eastAsia="bg-BG"/>
        </w:rPr>
      </w:pPr>
      <w:r w:rsidRPr="00FD38F9">
        <w:rPr>
          <w:color w:val="000000"/>
          <w:szCs w:val="24"/>
          <w:lang w:eastAsia="bg-BG"/>
        </w:rPr>
        <w:t>Подготовката на декларацията за управление и на Приложение 1 „Годишен отчет“ отразява работата на Управляващия орган през цялата счетоводна година. Текстовете на декларацията препотвърждават спазването на процедурите, залегнали в настоящия Процедурен наръчник за управление и изпълнение на Оперативна програма</w:t>
      </w:r>
      <w:r w:rsidRPr="00842ECC">
        <w:rPr>
          <w:color w:val="000000"/>
          <w:szCs w:val="24"/>
          <w:lang w:eastAsia="bg-BG"/>
        </w:rPr>
        <w:t xml:space="preserve"> </w:t>
      </w:r>
      <w:r w:rsidRPr="00FD38F9">
        <w:rPr>
          <w:color w:val="000000"/>
          <w:szCs w:val="24"/>
          <w:lang w:eastAsia="bg-BG"/>
        </w:rPr>
        <w:t>„Транспорт и транспортна инфраструктура“ 2014-2020 г. в съответствие със системите за управление и контрол на УО на ОПТТИ. Документът се проверява за пълнота от всички началници на отдели съобразно компетентността им, съгласува се от директора на дирекция „Координация на програми и проекти“ и се подписва от Ръководителя на Управляващия орган.</w:t>
      </w:r>
    </w:p>
    <w:p w14:paraId="732F5F39" w14:textId="07AF9927" w:rsidR="00FD38F9" w:rsidRPr="00FD38F9" w:rsidRDefault="00FD38F9" w:rsidP="00AE1F0D">
      <w:pPr>
        <w:rPr>
          <w:color w:val="000000"/>
          <w:szCs w:val="24"/>
          <w:lang w:eastAsia="bg-BG"/>
        </w:rPr>
      </w:pPr>
      <w:r w:rsidRPr="00FD38F9">
        <w:rPr>
          <w:color w:val="000000"/>
          <w:szCs w:val="24"/>
          <w:lang w:eastAsia="bg-BG"/>
        </w:rPr>
        <w:t>Подготовката на декларацията за управление и на годишния отчет се координира от отдел „</w:t>
      </w:r>
      <w:r w:rsidR="00D402A4">
        <w:rPr>
          <w:color w:val="000000"/>
          <w:szCs w:val="24"/>
          <w:lang w:eastAsia="bg-BG"/>
        </w:rPr>
        <w:t>Наблюдение и оценка</w:t>
      </w:r>
      <w:r w:rsidRPr="00FD38F9">
        <w:rPr>
          <w:color w:val="000000"/>
          <w:szCs w:val="24"/>
          <w:lang w:eastAsia="bg-BG"/>
        </w:rPr>
        <w:t>“. В срок до 20 октомври на годината „n+1“ началникът на отдел</w:t>
      </w:r>
      <w:r w:rsidR="00BF63EA">
        <w:rPr>
          <w:color w:val="000000"/>
          <w:szCs w:val="24"/>
          <w:lang w:eastAsia="bg-BG"/>
        </w:rPr>
        <w:t>а</w:t>
      </w:r>
      <w:r w:rsidRPr="00FD38F9">
        <w:rPr>
          <w:color w:val="000000"/>
          <w:szCs w:val="24"/>
          <w:lang w:eastAsia="bg-BG"/>
        </w:rPr>
        <w:t xml:space="preserve">  изпраща по електронен път до останалите отдели в УО на ОПТТИ писмо с искане за актуална информация за осъществения управленски контрол и за анализа на естеството и размера на установените грешки и слабости в съответствие с техните компетентности</w:t>
      </w:r>
      <w:r w:rsidR="00BF63EA">
        <w:rPr>
          <w:color w:val="000000"/>
          <w:szCs w:val="24"/>
          <w:lang w:eastAsia="bg-BG"/>
        </w:rPr>
        <w:t xml:space="preserve">, както и за </w:t>
      </w:r>
      <w:r w:rsidR="00BF63EA" w:rsidRPr="00FD38F9">
        <w:rPr>
          <w:color w:val="000000"/>
          <w:szCs w:val="24"/>
          <w:lang w:eastAsia="bg-BG"/>
        </w:rPr>
        <w:t>актуализирания регистър с извършените одити</w:t>
      </w:r>
      <w:r w:rsidR="00BF63EA">
        <w:rPr>
          <w:color w:val="000000"/>
          <w:szCs w:val="24"/>
          <w:lang w:eastAsia="bg-BG"/>
        </w:rPr>
        <w:t>.</w:t>
      </w:r>
      <w:r w:rsidRPr="00FD38F9">
        <w:rPr>
          <w:color w:val="000000"/>
          <w:szCs w:val="24"/>
          <w:lang w:eastAsia="bg-BG"/>
        </w:rPr>
        <w:t xml:space="preserve">. Информацията се изготвя съгласно </w:t>
      </w:r>
      <w:r w:rsidRPr="00FD38F9">
        <w:rPr>
          <w:color w:val="000000"/>
          <w:szCs w:val="24"/>
          <w:lang w:eastAsia="bg-BG"/>
        </w:rPr>
        <w:lastRenderedPageBreak/>
        <w:t>издадените от ЕК указания. Към искането се прилага актуализираният регистър с извършените одити.</w:t>
      </w:r>
    </w:p>
    <w:p w14:paraId="7B651300" w14:textId="769310C2" w:rsidR="00FD38F9" w:rsidRPr="00FD38F9" w:rsidRDefault="00FD38F9" w:rsidP="00AE1F0D">
      <w:pPr>
        <w:rPr>
          <w:color w:val="000000"/>
          <w:szCs w:val="24"/>
          <w:lang w:eastAsia="bg-BG"/>
        </w:rPr>
      </w:pPr>
      <w:r w:rsidRPr="00FD38F9">
        <w:rPr>
          <w:color w:val="000000"/>
          <w:szCs w:val="24"/>
          <w:lang w:eastAsia="bg-BG"/>
        </w:rPr>
        <w:t xml:space="preserve">В срок до 25 ноември на годината „n+1“ експертите, на които е възложено, изпращат информация от компетенцията на съответния отдел до посочения в електронното писмо експерт от отдел </w:t>
      </w:r>
      <w:r w:rsidR="00A22E6C" w:rsidRPr="00FD38F9">
        <w:rPr>
          <w:color w:val="000000"/>
          <w:szCs w:val="24"/>
          <w:lang w:eastAsia="bg-BG"/>
        </w:rPr>
        <w:t>„</w:t>
      </w:r>
      <w:r w:rsidR="00A22E6C">
        <w:rPr>
          <w:color w:val="000000"/>
          <w:szCs w:val="24"/>
          <w:lang w:eastAsia="bg-BG"/>
        </w:rPr>
        <w:t>Наблюдение и оценка</w:t>
      </w:r>
      <w:r w:rsidR="00A22E6C" w:rsidRPr="00FD38F9">
        <w:rPr>
          <w:color w:val="000000"/>
          <w:szCs w:val="24"/>
          <w:lang w:eastAsia="bg-BG"/>
        </w:rPr>
        <w:t>“</w:t>
      </w:r>
      <w:r w:rsidRPr="00FD38F9">
        <w:rPr>
          <w:color w:val="000000"/>
          <w:szCs w:val="24"/>
          <w:lang w:eastAsia="bg-BG"/>
        </w:rPr>
        <w:t xml:space="preserve"> за обобщаване. При необходимост се организира и вътрешна координационна среща. </w:t>
      </w:r>
    </w:p>
    <w:p w14:paraId="6F96EC98" w14:textId="02F6C709" w:rsidR="00FD38F9" w:rsidRPr="00FD38F9" w:rsidRDefault="00FD38F9" w:rsidP="00AE1F0D">
      <w:pPr>
        <w:rPr>
          <w:color w:val="000000"/>
          <w:szCs w:val="24"/>
          <w:lang w:eastAsia="bg-BG"/>
        </w:rPr>
      </w:pPr>
      <w:r w:rsidRPr="00FD38F9">
        <w:rPr>
          <w:color w:val="000000"/>
          <w:szCs w:val="24"/>
          <w:lang w:eastAsia="bg-BG"/>
        </w:rPr>
        <w:t xml:space="preserve">Отговорният експерт от отдел </w:t>
      </w:r>
      <w:r w:rsidR="00A22E6C" w:rsidRPr="00A22E6C">
        <w:rPr>
          <w:color w:val="000000"/>
          <w:szCs w:val="24"/>
          <w:lang w:eastAsia="bg-BG"/>
        </w:rPr>
        <w:t>„Наблюдение и оценка“</w:t>
      </w:r>
      <w:r w:rsidRPr="00FD38F9">
        <w:rPr>
          <w:color w:val="000000"/>
          <w:szCs w:val="24"/>
          <w:lang w:eastAsia="bg-BG"/>
        </w:rPr>
        <w:t xml:space="preserve"> подготвя проект на Декларация за управлението и на годишен отчет на окончателните одитни доклади и на извършените проверки. Същите се съгласуват с началниците на отдели в УО и се изпращат до ОО и СО в срок до 15 декември на година „n+1“. </w:t>
      </w:r>
    </w:p>
    <w:p w14:paraId="0BFF7E54" w14:textId="77777777" w:rsidR="00FD38F9" w:rsidRPr="00FD38F9" w:rsidRDefault="00FD38F9" w:rsidP="00AE1F0D">
      <w:pPr>
        <w:rPr>
          <w:color w:val="000000"/>
          <w:szCs w:val="24"/>
          <w:lang w:eastAsia="bg-BG"/>
        </w:rPr>
      </w:pPr>
      <w:r w:rsidRPr="00FD38F9">
        <w:rPr>
          <w:color w:val="000000"/>
          <w:szCs w:val="24"/>
          <w:lang w:eastAsia="bg-BG"/>
        </w:rPr>
        <w:t xml:space="preserve">В периода от 15 декември до 25 януари на година „n+2”, УО извършва корекции (ако е необходимо) в проекта на Декларацията за управление и в проекта на годишен отчет и ги изпраща до ОО и СО. Релевантните забележки се отразяват от участвалите в подготовката на документите експерти от отговорните отдели. </w:t>
      </w:r>
    </w:p>
    <w:p w14:paraId="639E20C6" w14:textId="77777777" w:rsidR="00FD38F9" w:rsidRPr="00FD38F9" w:rsidRDefault="00FD38F9" w:rsidP="00AE1F0D">
      <w:pPr>
        <w:rPr>
          <w:color w:val="000000"/>
          <w:szCs w:val="24"/>
          <w:lang w:eastAsia="bg-BG"/>
        </w:rPr>
      </w:pPr>
      <w:r w:rsidRPr="00FD38F9">
        <w:rPr>
          <w:color w:val="000000"/>
          <w:szCs w:val="24"/>
          <w:lang w:eastAsia="bg-BG"/>
        </w:rPr>
        <w:t>До 12 февруари на година „n+2”, експерт със съответните права за достъп до SFC 2014 попълва декларацията за управлението в системата и прикачва годишния отчет. Ръководителят на УО подписва декларацията в системата SFC 2014  или при негово отсъствие определен от него заместник с профил в системата. Пакетът от документи за приключване на счетоводната година се изпраща до ЕК от СО в срок до 15 февруари на годината „n+2“.</w:t>
      </w:r>
    </w:p>
    <w:p w14:paraId="445C37FA" w14:textId="77777777" w:rsidR="006C6688" w:rsidRPr="001B0EA3" w:rsidRDefault="006C6688" w:rsidP="00F23F9B">
      <w:pPr>
        <w:rPr>
          <w:color w:val="000000"/>
        </w:rPr>
      </w:pPr>
    </w:p>
    <w:p w14:paraId="20DC48D0" w14:textId="77777777" w:rsidR="008D5F3A" w:rsidRPr="00AE1F0D" w:rsidRDefault="00E8307C" w:rsidP="006A6D08">
      <w:pPr>
        <w:pStyle w:val="Style2"/>
        <w:numPr>
          <w:ilvl w:val="0"/>
          <w:numId w:val="0"/>
        </w:numPr>
        <w:ind w:left="360"/>
        <w:rPr>
          <w:lang w:eastAsia="bg-BG"/>
        </w:rPr>
      </w:pPr>
      <w:bookmarkStart w:id="1379" w:name="_Toc140150349"/>
      <w:r>
        <w:rPr>
          <w:lang w:val="bg-BG" w:eastAsia="bg-BG"/>
        </w:rPr>
        <w:t>36.2</w:t>
      </w:r>
      <w:r w:rsidR="00391204">
        <w:rPr>
          <w:lang w:val="bg-BG" w:eastAsia="bg-BG"/>
        </w:rPr>
        <w:t>.</w:t>
      </w:r>
      <w:r w:rsidR="008D5F3A">
        <w:rPr>
          <w:lang w:eastAsia="bg-BG"/>
        </w:rPr>
        <w:t xml:space="preserve"> </w:t>
      </w:r>
      <w:r w:rsidR="00391204">
        <w:rPr>
          <w:lang w:val="bg-BG" w:eastAsia="bg-BG"/>
        </w:rPr>
        <w:t xml:space="preserve"> </w:t>
      </w:r>
      <w:r w:rsidR="008D5F3A" w:rsidRPr="00842ECC">
        <w:rPr>
          <w:lang w:eastAsia="bg-BG"/>
        </w:rPr>
        <w:t>Годишен отчет за окончателните одитни доклади и за осъществения контрол, включително анализ на естеството и размера на установените грешки и слабости в системите, както и коригиращите действия, които са предприети или планирани.</w:t>
      </w:r>
      <w:r w:rsidR="008D5F3A" w:rsidRPr="00842ECC" w:rsidDel="00F10B6E">
        <w:rPr>
          <w:lang w:eastAsia="bg-BG"/>
        </w:rPr>
        <w:t xml:space="preserve"> </w:t>
      </w:r>
      <w:r w:rsidR="008D5F3A" w:rsidRPr="00AE1F0D">
        <w:rPr>
          <w:lang w:eastAsia="bg-BG"/>
        </w:rPr>
        <w:t>(член 125, параграф 4, буква д) от Регламент (ЕС) № 1303/2013)</w:t>
      </w:r>
      <w:bookmarkEnd w:id="1379"/>
    </w:p>
    <w:p w14:paraId="608DD632" w14:textId="77777777" w:rsidR="00112137" w:rsidRDefault="00112137" w:rsidP="00112137">
      <w:pPr>
        <w:pStyle w:val="ListParagraph"/>
        <w:ind w:left="420" w:firstLine="0"/>
        <w:rPr>
          <w:rFonts w:eastAsiaTheme="minorHAnsi"/>
          <w:lang w:eastAsia="en-US"/>
        </w:rPr>
      </w:pPr>
    </w:p>
    <w:p w14:paraId="3C5F1AA6" w14:textId="77777777" w:rsidR="002B6491" w:rsidRPr="002B6491" w:rsidRDefault="002B6491" w:rsidP="00112137">
      <w:pPr>
        <w:pStyle w:val="ListParagraph"/>
        <w:ind w:left="420" w:firstLine="0"/>
        <w:rPr>
          <w:rFonts w:eastAsiaTheme="minorHAnsi"/>
          <w:lang w:eastAsia="en-US"/>
        </w:rPr>
      </w:pPr>
      <w:r w:rsidRPr="002B6491">
        <w:rPr>
          <w:rFonts w:eastAsiaTheme="minorHAnsi"/>
          <w:lang w:eastAsia="en-US"/>
        </w:rPr>
        <w:t>Годишният отчет се изготвя съгласно Ръководството на ЕК за декларация за управление и годишно обобщение, като следва да включва информация относно:</w:t>
      </w:r>
    </w:p>
    <w:p w14:paraId="278E2E05" w14:textId="77777777" w:rsidR="002B6491" w:rsidRPr="002B6491" w:rsidRDefault="002B6491" w:rsidP="002B6491">
      <w:pPr>
        <w:numPr>
          <w:ilvl w:val="0"/>
          <w:numId w:val="268"/>
        </w:numPr>
        <w:spacing w:after="160" w:line="259" w:lineRule="auto"/>
        <w:jc w:val="left"/>
        <w:rPr>
          <w:rFonts w:eastAsiaTheme="minorHAnsi"/>
          <w:szCs w:val="24"/>
          <w:lang w:eastAsia="en-US"/>
        </w:rPr>
      </w:pPr>
      <w:r w:rsidRPr="002B6491">
        <w:rPr>
          <w:rFonts w:eastAsiaTheme="minorHAnsi"/>
          <w:szCs w:val="24"/>
          <w:lang w:eastAsia="en-US"/>
        </w:rPr>
        <w:t>Отчет на окончателните одитни доклади, свързани с: одити на системите за управление и контрол на УО на ОПТТИ за отчетния период; одити на операциите за съответната счетоводна година; одити на отчетите съгласно чл. 127, т. 5а от Регламент 1303/2013 г. на ЕК и чл. 59, т. 5а от Финансовия регламент.</w:t>
      </w:r>
    </w:p>
    <w:p w14:paraId="148835E2" w14:textId="77777777" w:rsidR="002B6491" w:rsidRPr="002B6491" w:rsidRDefault="002B6491" w:rsidP="002B6491">
      <w:pPr>
        <w:numPr>
          <w:ilvl w:val="0"/>
          <w:numId w:val="268"/>
        </w:numPr>
        <w:spacing w:after="160" w:line="259" w:lineRule="auto"/>
        <w:jc w:val="left"/>
        <w:rPr>
          <w:rFonts w:eastAsiaTheme="minorHAnsi"/>
          <w:szCs w:val="24"/>
          <w:lang w:eastAsia="en-US"/>
        </w:rPr>
      </w:pPr>
      <w:r w:rsidRPr="002B6491">
        <w:rPr>
          <w:rFonts w:eastAsiaTheme="minorHAnsi"/>
          <w:szCs w:val="24"/>
          <w:lang w:eastAsia="en-US"/>
        </w:rPr>
        <w:t>Отчет на управленските проверки, направени във връзка с декларираните разходи за съответната счетоводна година: извършените документални проверки във връзка с верификацията съгласно чл. 125, т. 5а от Регламент 1303/2013 г. на ЕК.</w:t>
      </w:r>
    </w:p>
    <w:p w14:paraId="4887DE31" w14:textId="77777777" w:rsidR="002B6491" w:rsidRPr="002B6491" w:rsidRDefault="002B6491" w:rsidP="002B6491">
      <w:pPr>
        <w:numPr>
          <w:ilvl w:val="0"/>
          <w:numId w:val="268"/>
        </w:numPr>
        <w:spacing w:after="160" w:line="259" w:lineRule="auto"/>
        <w:jc w:val="left"/>
        <w:rPr>
          <w:rFonts w:eastAsiaTheme="minorHAnsi"/>
          <w:szCs w:val="24"/>
          <w:lang w:eastAsia="en-US"/>
        </w:rPr>
      </w:pPr>
      <w:r w:rsidRPr="002B6491">
        <w:rPr>
          <w:rFonts w:eastAsiaTheme="minorHAnsi"/>
          <w:szCs w:val="24"/>
          <w:lang w:eastAsia="en-US"/>
        </w:rPr>
        <w:t>Отчет на управленските проверки, направени във връзка с декларираните разходи за съответната счетоводна година: извършените проверки на място съгласно чл. 125, т. 5б от Регламент 1303/2013 г. на ЕК.</w:t>
      </w:r>
    </w:p>
    <w:p w14:paraId="1F63D565" w14:textId="77777777" w:rsidR="002B6491" w:rsidRPr="002B6491" w:rsidRDefault="002B6491" w:rsidP="002B6491">
      <w:pPr>
        <w:spacing w:after="160" w:line="259" w:lineRule="auto"/>
        <w:ind w:firstLine="0"/>
        <w:rPr>
          <w:rFonts w:eastAsiaTheme="minorHAnsi"/>
          <w:szCs w:val="24"/>
          <w:lang w:eastAsia="en-US"/>
        </w:rPr>
      </w:pPr>
      <w:r w:rsidRPr="002B6491">
        <w:rPr>
          <w:rFonts w:eastAsiaTheme="minorHAnsi"/>
          <w:szCs w:val="24"/>
          <w:lang w:eastAsia="en-US"/>
        </w:rPr>
        <w:t>Данните включени в годишния отчет кореспондират с информацията, която е включена в годишния доклад по сертификация и декларация за допустимите разходи.</w:t>
      </w:r>
    </w:p>
    <w:p w14:paraId="53FE4421" w14:textId="2DDC5485" w:rsidR="00CD008F" w:rsidRPr="002B6491" w:rsidRDefault="00CD008F" w:rsidP="00CD008F">
      <w:pPr>
        <w:spacing w:after="160" w:line="259" w:lineRule="auto"/>
        <w:ind w:firstLine="0"/>
        <w:rPr>
          <w:rFonts w:eastAsiaTheme="minorHAnsi"/>
          <w:szCs w:val="24"/>
          <w:lang w:eastAsia="en-US"/>
        </w:rPr>
      </w:pPr>
      <w:r w:rsidRPr="002B6491">
        <w:rPr>
          <w:rFonts w:eastAsiaTheme="minorHAnsi"/>
          <w:szCs w:val="24"/>
          <w:lang w:eastAsia="en-US"/>
        </w:rPr>
        <w:t>По отношение на подготовката на годишния отчет отдели „Изпълнение и координация“, „Финансово управление“, „Контрол по обществените поръчки“ и „Управление на риска</w:t>
      </w:r>
      <w:r>
        <w:rPr>
          <w:rFonts w:eastAsiaTheme="minorHAnsi"/>
          <w:szCs w:val="24"/>
          <w:lang w:eastAsia="en-US"/>
        </w:rPr>
        <w:t>“</w:t>
      </w:r>
      <w:r w:rsidRPr="002B6491">
        <w:rPr>
          <w:rFonts w:eastAsiaTheme="minorHAnsi"/>
          <w:szCs w:val="24"/>
          <w:lang w:eastAsia="en-US"/>
        </w:rPr>
        <w:t>, следват долупосочените стъпки:</w:t>
      </w:r>
    </w:p>
    <w:p w14:paraId="5C8887EB" w14:textId="77777777" w:rsidR="002B6491" w:rsidRPr="002B6491" w:rsidRDefault="002B6491" w:rsidP="002B6491">
      <w:pPr>
        <w:spacing w:after="160" w:line="259" w:lineRule="auto"/>
        <w:ind w:firstLine="0"/>
        <w:jc w:val="left"/>
        <w:rPr>
          <w:rFonts w:eastAsiaTheme="minorHAnsi"/>
          <w:szCs w:val="24"/>
          <w:u w:val="single"/>
          <w:lang w:eastAsia="en-US"/>
        </w:rPr>
      </w:pPr>
    </w:p>
    <w:p w14:paraId="7CD32BB8" w14:textId="77777777" w:rsidR="002B6491" w:rsidRPr="002B6491" w:rsidRDefault="002B6491" w:rsidP="002B6491">
      <w:pPr>
        <w:spacing w:after="160" w:line="259" w:lineRule="auto"/>
        <w:ind w:firstLine="0"/>
        <w:jc w:val="left"/>
        <w:rPr>
          <w:rFonts w:eastAsiaTheme="minorHAnsi"/>
          <w:b/>
          <w:szCs w:val="24"/>
          <w:u w:val="single"/>
          <w:lang w:eastAsia="en-US"/>
        </w:rPr>
      </w:pPr>
      <w:r w:rsidRPr="002B6491">
        <w:rPr>
          <w:rFonts w:eastAsiaTheme="minorHAnsi"/>
          <w:b/>
          <w:szCs w:val="24"/>
          <w:u w:val="single"/>
          <w:lang w:eastAsia="en-US"/>
        </w:rPr>
        <w:t xml:space="preserve">Отдел „Изпълнение и координация“ </w:t>
      </w:r>
    </w:p>
    <w:p w14:paraId="78A330B6" w14:textId="77777777" w:rsidR="002B6491" w:rsidRPr="002B6491" w:rsidRDefault="002B6491" w:rsidP="002B6491">
      <w:pPr>
        <w:spacing w:after="160" w:line="259" w:lineRule="auto"/>
        <w:ind w:firstLine="0"/>
        <w:rPr>
          <w:rFonts w:eastAsiaTheme="minorHAnsi"/>
          <w:szCs w:val="24"/>
          <w:lang w:eastAsia="en-US"/>
        </w:rPr>
      </w:pPr>
      <w:r w:rsidRPr="002B6491">
        <w:rPr>
          <w:rFonts w:eastAsiaTheme="minorHAnsi"/>
          <w:szCs w:val="24"/>
          <w:lang w:eastAsia="en-US"/>
        </w:rPr>
        <w:lastRenderedPageBreak/>
        <w:t xml:space="preserve">За целите на всеки годишен отчет към Декларацията за управление се </w:t>
      </w:r>
      <w:r w:rsidRPr="002B6491">
        <w:rPr>
          <w:rFonts w:eastAsiaTheme="minorHAnsi"/>
          <w:szCs w:val="24"/>
          <w:u w:val="single"/>
          <w:lang w:eastAsia="en-US"/>
        </w:rPr>
        <w:t>ползва наличната информация от вече изготвените годишни планове за проверки на място</w:t>
      </w:r>
      <w:r w:rsidRPr="002B6491">
        <w:rPr>
          <w:rFonts w:eastAsiaTheme="minorHAnsi"/>
          <w:szCs w:val="24"/>
          <w:lang w:eastAsia="en-US"/>
        </w:rPr>
        <w:t>, която се систематизира и обобщава, съобразно периодите на отчитане в отчета (обхващат периоди от по шест месеца от две календарни години и съответно информацията за извършените проверки от УО на ОПТТИ се взима и резюмира от два годишни плана).</w:t>
      </w:r>
    </w:p>
    <w:p w14:paraId="2790B280" w14:textId="77777777" w:rsidR="002B6491" w:rsidRPr="002B6491" w:rsidRDefault="002B6491" w:rsidP="002B6491">
      <w:pPr>
        <w:spacing w:after="160" w:line="259" w:lineRule="auto"/>
        <w:ind w:firstLine="0"/>
        <w:rPr>
          <w:rFonts w:eastAsiaTheme="minorHAnsi"/>
          <w:szCs w:val="24"/>
          <w:lang w:eastAsia="en-US"/>
        </w:rPr>
      </w:pPr>
    </w:p>
    <w:p w14:paraId="751CA00E" w14:textId="77777777" w:rsidR="002B6491" w:rsidRPr="002B6491" w:rsidRDefault="002B6491" w:rsidP="002B6491">
      <w:pPr>
        <w:tabs>
          <w:tab w:val="left" w:pos="709"/>
        </w:tabs>
        <w:spacing w:after="160" w:line="259" w:lineRule="auto"/>
        <w:ind w:firstLine="0"/>
        <w:rPr>
          <w:rFonts w:eastAsiaTheme="minorHAnsi"/>
          <w:szCs w:val="24"/>
          <w:lang w:eastAsia="en-US"/>
        </w:rPr>
      </w:pPr>
      <w:r w:rsidRPr="002B6491">
        <w:rPr>
          <w:rFonts w:eastAsiaTheme="minorHAnsi"/>
          <w:szCs w:val="24"/>
          <w:lang w:eastAsia="en-US"/>
        </w:rPr>
        <w:t>Процедурата за изготвянето на годишните планове за проверки на място е разписана подробно в т. 28.3 „Проверки на място” ПНУИ на ОПТТИ и по специално в т. 28.3.3 „Годишен план за провеждане на проверки на място“, подточки 28.3.3.1 „Организиране и подготовка на изготвянето на годишен план за провеждане на проверки на място“ и 28.3.3.2 „Изготвяне на годишен план за провеждане на проверки на място“, и т. 28.3.11 „Методология за оценка на риска“.</w:t>
      </w:r>
    </w:p>
    <w:p w14:paraId="663524D5" w14:textId="77777777" w:rsidR="002B6491" w:rsidRPr="002B6491" w:rsidRDefault="002B6491" w:rsidP="002B6491">
      <w:pPr>
        <w:tabs>
          <w:tab w:val="left" w:pos="709"/>
        </w:tabs>
        <w:spacing w:after="160" w:line="259" w:lineRule="auto"/>
        <w:ind w:firstLine="0"/>
        <w:rPr>
          <w:rFonts w:eastAsiaTheme="minorHAnsi"/>
          <w:szCs w:val="24"/>
          <w:lang w:eastAsia="en-US"/>
        </w:rPr>
      </w:pPr>
    </w:p>
    <w:p w14:paraId="1FD2E103" w14:textId="77777777" w:rsidR="002B6491" w:rsidRPr="002B6491" w:rsidRDefault="002B6491" w:rsidP="002B6491">
      <w:pPr>
        <w:spacing w:after="160" w:line="259" w:lineRule="auto"/>
        <w:ind w:firstLine="0"/>
        <w:rPr>
          <w:rFonts w:eastAsiaTheme="minorHAnsi"/>
          <w:szCs w:val="24"/>
          <w:lang w:eastAsia="en-US"/>
        </w:rPr>
      </w:pPr>
      <w:r w:rsidRPr="002B6491">
        <w:rPr>
          <w:rFonts w:eastAsiaTheme="minorHAnsi"/>
          <w:szCs w:val="24"/>
          <w:lang w:eastAsia="en-US"/>
        </w:rPr>
        <w:t xml:space="preserve">Годишният план за провеждане на проверки на място се изготвя на база резултатите от проведената оценка на риска, като се взема под внимание наличната информация от </w:t>
      </w:r>
      <w:r w:rsidRPr="002B6491">
        <w:rPr>
          <w:rFonts w:eastAsiaTheme="minorHAnsi"/>
          <w:szCs w:val="24"/>
          <w:lang w:eastAsia="bg-BG"/>
        </w:rPr>
        <w:t xml:space="preserve">проверки и одити от одитния орган за системите за управление и контрол като цяло, </w:t>
      </w:r>
      <w:r w:rsidRPr="002B6491">
        <w:rPr>
          <w:rFonts w:eastAsiaTheme="minorHAnsi"/>
          <w:szCs w:val="24"/>
          <w:lang w:eastAsia="en-US"/>
        </w:rPr>
        <w:t xml:space="preserve">външни проверки и мисии по проект/и, за които УО е информиран. За целите на годишното планиране се </w:t>
      </w:r>
      <w:r w:rsidRPr="002B6491">
        <w:rPr>
          <w:rFonts w:eastAsiaTheme="minorHAnsi"/>
          <w:color w:val="000000"/>
          <w:szCs w:val="24"/>
          <w:lang w:eastAsia="en-US"/>
        </w:rPr>
        <w:t>осигуряват систематизирани данни от: регистрите на проверките на място от УО на ОПТТИ за изминалите календарни години (</w:t>
      </w:r>
      <w:hyperlink r:id="rId333" w:tooltip="Регистър на проверките на място от УО на ОПТТИ за ……. година" w:history="1">
        <w:r w:rsidRPr="002B6491">
          <w:rPr>
            <w:rFonts w:eastAsiaTheme="minorHAnsi"/>
            <w:color w:val="000000"/>
            <w:szCs w:val="24"/>
            <w:lang w:eastAsia="en-US"/>
          </w:rPr>
          <w:t>Приложение № 7.10</w:t>
        </w:r>
      </w:hyperlink>
      <w:r w:rsidRPr="002B6491">
        <w:rPr>
          <w:rFonts w:eastAsiaTheme="minorHAnsi"/>
          <w:color w:val="000000"/>
          <w:szCs w:val="24"/>
          <w:lang w:eastAsia="en-US"/>
        </w:rPr>
        <w:t xml:space="preserve">) от ПНУИ на ОПТТИ 2014-2020; справки от „АРАХНЕ“ с най-рисковите проекти, изпълнявани по ОПТТИ; опис на транзакциите, идентифицирани при административните проверки като необичайни и изискващи допълнително разглеждане, и наличната в УО документация в тази връзка; справка по образец съгласно </w:t>
      </w:r>
      <w:hyperlink r:id="rId334" w:tooltip="Сигнали за нередности и Рискови фактори за извършване на проверки на място от УО на ОПТТИ за ……. година" w:history="1">
        <w:r w:rsidRPr="002B6491">
          <w:rPr>
            <w:rFonts w:eastAsiaTheme="minorHAnsi"/>
            <w:color w:val="000000"/>
            <w:szCs w:val="24"/>
            <w:lang w:eastAsia="en-US"/>
          </w:rPr>
          <w:t>Приложение № 7.05.2</w:t>
        </w:r>
      </w:hyperlink>
      <w:r w:rsidRPr="002B6491">
        <w:rPr>
          <w:rFonts w:eastAsiaTheme="minorHAnsi"/>
          <w:color w:val="000000"/>
          <w:szCs w:val="24"/>
          <w:lang w:eastAsia="en-US"/>
        </w:rPr>
        <w:t xml:space="preserve"> от ПНУИ на ОПТТИ 2014-2020, съдържаща данни за проектите по ОПТТИ с потенциални нередности при техническото им изпълнение.</w:t>
      </w:r>
      <w:r w:rsidRPr="002B6491">
        <w:rPr>
          <w:rFonts w:eastAsiaTheme="minorHAnsi"/>
          <w:szCs w:val="24"/>
          <w:lang w:eastAsia="en-US"/>
        </w:rPr>
        <w:t xml:space="preserve"> Съобразяват се всички обстоятелства, които могат да повлияят негативно/позитивно върху провеждането на проверка на място по даден проект.</w:t>
      </w:r>
    </w:p>
    <w:p w14:paraId="780EFD90" w14:textId="77777777" w:rsidR="002B6491" w:rsidRPr="002B6491" w:rsidRDefault="002B6491" w:rsidP="002B6491">
      <w:pPr>
        <w:tabs>
          <w:tab w:val="left" w:pos="1080"/>
        </w:tabs>
        <w:spacing w:after="160" w:line="259" w:lineRule="auto"/>
        <w:ind w:firstLine="0"/>
        <w:rPr>
          <w:rFonts w:eastAsiaTheme="minorHAnsi"/>
          <w:szCs w:val="24"/>
          <w:lang w:eastAsia="en-US"/>
        </w:rPr>
      </w:pPr>
    </w:p>
    <w:p w14:paraId="72227678" w14:textId="77777777" w:rsidR="002B6491" w:rsidRPr="002B6491" w:rsidRDefault="002B6491" w:rsidP="002B6491">
      <w:pPr>
        <w:tabs>
          <w:tab w:val="left" w:pos="1080"/>
        </w:tabs>
        <w:spacing w:after="160" w:line="259" w:lineRule="auto"/>
        <w:ind w:firstLine="0"/>
        <w:rPr>
          <w:rFonts w:eastAsiaTheme="minorHAnsi"/>
          <w:szCs w:val="24"/>
          <w:lang w:eastAsia="en-US"/>
        </w:rPr>
      </w:pPr>
      <w:r w:rsidRPr="002B6491">
        <w:rPr>
          <w:rFonts w:eastAsiaTheme="minorHAnsi"/>
          <w:szCs w:val="24"/>
          <w:lang w:eastAsia="en-US"/>
        </w:rPr>
        <w:t>Пакетът документи, който се изготвя от експертите в отдел „Изпълнение и координация“ за целите на годишното планиране на проверките на място съдържа:</w:t>
      </w:r>
    </w:p>
    <w:p w14:paraId="2F27CEDC" w14:textId="77777777" w:rsidR="002B6491" w:rsidRPr="002B6491" w:rsidRDefault="002B6491" w:rsidP="002B6491">
      <w:pPr>
        <w:numPr>
          <w:ilvl w:val="0"/>
          <w:numId w:val="476"/>
        </w:numPr>
        <w:tabs>
          <w:tab w:val="left" w:pos="1080"/>
        </w:tabs>
        <w:spacing w:after="160" w:line="259" w:lineRule="auto"/>
        <w:contextualSpacing/>
        <w:jc w:val="left"/>
        <w:rPr>
          <w:rFonts w:eastAsiaTheme="minorHAnsi"/>
          <w:szCs w:val="24"/>
          <w:lang w:eastAsia="en-US"/>
        </w:rPr>
      </w:pPr>
      <w:r w:rsidRPr="002B6491">
        <w:rPr>
          <w:rFonts w:eastAsiaTheme="minorHAnsi"/>
          <w:szCs w:val="24"/>
          <w:lang w:eastAsia="en-US"/>
        </w:rPr>
        <w:t>Докладна записка, одобрена от Ръководителя на УО на ОПТТИ, в която подробно е описан процеса на изготвяне на годишния план за проверки на място.</w:t>
      </w:r>
    </w:p>
    <w:p w14:paraId="25378BBD" w14:textId="77777777" w:rsidR="002B6491" w:rsidRPr="002B6491" w:rsidRDefault="002B6491" w:rsidP="002B6491">
      <w:pPr>
        <w:numPr>
          <w:ilvl w:val="0"/>
          <w:numId w:val="476"/>
        </w:numPr>
        <w:tabs>
          <w:tab w:val="left" w:pos="1080"/>
        </w:tabs>
        <w:spacing w:after="160" w:line="259" w:lineRule="auto"/>
        <w:contextualSpacing/>
        <w:jc w:val="left"/>
        <w:rPr>
          <w:rFonts w:eastAsiaTheme="minorHAnsi"/>
          <w:szCs w:val="24"/>
          <w:lang w:eastAsia="en-US"/>
        </w:rPr>
      </w:pPr>
      <w:r w:rsidRPr="002B6491">
        <w:rPr>
          <w:rFonts w:eastAsiaTheme="minorHAnsi"/>
          <w:szCs w:val="24"/>
          <w:lang w:eastAsia="en-US"/>
        </w:rPr>
        <w:t xml:space="preserve">Годишен план за проверки на място с неговите приложения: таблица с интегрирания риск, в която проектите от годишния план са подредени в низходящ ред, съобразно изчисления комплексен рисков фактор и подробни оценки на риска на проектите от годишния план. </w:t>
      </w:r>
    </w:p>
    <w:p w14:paraId="5EF8A5E1" w14:textId="77777777" w:rsidR="002B6491" w:rsidRPr="002B6491" w:rsidRDefault="002B6491" w:rsidP="002B6491">
      <w:pPr>
        <w:numPr>
          <w:ilvl w:val="0"/>
          <w:numId w:val="476"/>
        </w:numPr>
        <w:tabs>
          <w:tab w:val="left" w:pos="1080"/>
        </w:tabs>
        <w:spacing w:after="160" w:line="259" w:lineRule="auto"/>
        <w:contextualSpacing/>
        <w:jc w:val="left"/>
        <w:rPr>
          <w:szCs w:val="24"/>
          <w:lang w:eastAsia="bg-BG"/>
        </w:rPr>
      </w:pPr>
      <w:r w:rsidRPr="002B6491">
        <w:rPr>
          <w:rFonts w:eastAsiaTheme="minorHAnsi"/>
          <w:szCs w:val="24"/>
          <w:lang w:eastAsia="en-US"/>
        </w:rPr>
        <w:t>Регистър на сигнали за нередности  - разпечатка от ИСУН за текущата календарна година, информацията от която се използва за планиране на проверките на място за следващата календарна година.</w:t>
      </w:r>
    </w:p>
    <w:p w14:paraId="040088E0" w14:textId="77777777" w:rsidR="002B6491" w:rsidRPr="002B6491" w:rsidRDefault="002B6491" w:rsidP="002B6491">
      <w:pPr>
        <w:numPr>
          <w:ilvl w:val="0"/>
          <w:numId w:val="476"/>
        </w:numPr>
        <w:tabs>
          <w:tab w:val="left" w:pos="1080"/>
        </w:tabs>
        <w:spacing w:after="160" w:line="259" w:lineRule="auto"/>
        <w:contextualSpacing/>
        <w:jc w:val="left"/>
        <w:rPr>
          <w:szCs w:val="24"/>
          <w:lang w:eastAsia="bg-BG"/>
        </w:rPr>
      </w:pPr>
      <w:r w:rsidRPr="002B6491">
        <w:rPr>
          <w:rFonts w:eastAsiaTheme="minorHAnsi"/>
          <w:szCs w:val="24"/>
          <w:lang w:eastAsia="en-US"/>
        </w:rPr>
        <w:t>Регистър на нередности - разпечатка от ИСУН за текущата календарна година, информацията от която се използва за планиране на проверките на място за следващата календарна година.</w:t>
      </w:r>
    </w:p>
    <w:p w14:paraId="238FAE93" w14:textId="77777777" w:rsidR="002B6491" w:rsidRPr="002B6491" w:rsidRDefault="002B6491" w:rsidP="002B6491">
      <w:pPr>
        <w:numPr>
          <w:ilvl w:val="0"/>
          <w:numId w:val="476"/>
        </w:numPr>
        <w:tabs>
          <w:tab w:val="left" w:pos="1080"/>
        </w:tabs>
        <w:spacing w:after="160" w:line="259" w:lineRule="auto"/>
        <w:contextualSpacing/>
        <w:jc w:val="left"/>
        <w:rPr>
          <w:szCs w:val="24"/>
          <w:lang w:eastAsia="bg-BG"/>
        </w:rPr>
      </w:pPr>
      <w:r w:rsidRPr="002B6491">
        <w:rPr>
          <w:rFonts w:eastAsiaTheme="minorHAnsi"/>
          <w:color w:val="000000"/>
          <w:szCs w:val="24"/>
          <w:lang w:eastAsia="en-US"/>
        </w:rPr>
        <w:t>Справка по образец Приложение 7.05.02, съдържащо данни за проектите по ОПТТИ с потенциални нередности при техническото им изпълнение</w:t>
      </w:r>
      <w:r w:rsidRPr="002B6491">
        <w:rPr>
          <w:rFonts w:eastAsiaTheme="minorHAnsi"/>
          <w:szCs w:val="24"/>
          <w:lang w:eastAsia="en-US"/>
        </w:rPr>
        <w:t xml:space="preserve">, </w:t>
      </w:r>
      <w:r w:rsidRPr="002B6491">
        <w:rPr>
          <w:rFonts w:eastAsiaTheme="minorHAnsi"/>
          <w:szCs w:val="24"/>
          <w:u w:val="single"/>
          <w:lang w:eastAsia="en-US"/>
        </w:rPr>
        <w:t>ако е приложимо</w:t>
      </w:r>
      <w:r w:rsidRPr="002B6491">
        <w:rPr>
          <w:rFonts w:eastAsiaTheme="minorHAnsi"/>
          <w:szCs w:val="24"/>
          <w:lang w:eastAsia="en-US"/>
        </w:rPr>
        <w:t xml:space="preserve">. </w:t>
      </w:r>
      <w:r w:rsidRPr="002B6491">
        <w:rPr>
          <w:rFonts w:eastAsiaTheme="minorHAnsi"/>
          <w:szCs w:val="24"/>
          <w:lang w:eastAsia="en-US"/>
        </w:rPr>
        <w:lastRenderedPageBreak/>
        <w:t>Справката се попълва в случаите, когато информацията от ИСУН (по т.3 и т.4) показва наличие на нередности при техническото изпълнение на даден проект.</w:t>
      </w:r>
    </w:p>
    <w:p w14:paraId="5A2915E4" w14:textId="77777777" w:rsidR="002B6491" w:rsidRPr="002B6491" w:rsidRDefault="002B6491" w:rsidP="002B6491">
      <w:pPr>
        <w:numPr>
          <w:ilvl w:val="0"/>
          <w:numId w:val="476"/>
        </w:numPr>
        <w:tabs>
          <w:tab w:val="left" w:pos="1080"/>
        </w:tabs>
        <w:spacing w:after="160" w:line="259" w:lineRule="auto"/>
        <w:contextualSpacing/>
        <w:jc w:val="left"/>
        <w:rPr>
          <w:szCs w:val="24"/>
          <w:lang w:eastAsia="bg-BG"/>
        </w:rPr>
      </w:pPr>
      <w:r w:rsidRPr="002B6491">
        <w:rPr>
          <w:rFonts w:eastAsiaTheme="minorHAnsi"/>
          <w:color w:val="000000"/>
          <w:szCs w:val="24"/>
          <w:lang w:eastAsia="en-US"/>
        </w:rPr>
        <w:t xml:space="preserve">Справката на „ниво проекти по ОПТТИ“ за десетте най-рискови проекта от системата АРАХНЕ към м. декември на текущата година, </w:t>
      </w:r>
      <w:r w:rsidRPr="002B6491">
        <w:rPr>
          <w:rFonts w:eastAsiaTheme="minorHAnsi"/>
          <w:szCs w:val="24"/>
          <w:lang w:eastAsia="en-US"/>
        </w:rPr>
        <w:t>която се използва за планиране на проверките на място за следващата календарна година</w:t>
      </w:r>
      <w:r w:rsidRPr="002B6491">
        <w:rPr>
          <w:rFonts w:eastAsiaTheme="minorHAnsi"/>
          <w:color w:val="000000"/>
          <w:szCs w:val="24"/>
          <w:lang w:eastAsia="en-US"/>
        </w:rPr>
        <w:t>.</w:t>
      </w:r>
    </w:p>
    <w:p w14:paraId="7539B985" w14:textId="77777777" w:rsidR="002B6491" w:rsidRPr="002B6491" w:rsidRDefault="002B6491" w:rsidP="002B6491">
      <w:pPr>
        <w:numPr>
          <w:ilvl w:val="0"/>
          <w:numId w:val="476"/>
        </w:numPr>
        <w:tabs>
          <w:tab w:val="left" w:pos="1080"/>
        </w:tabs>
        <w:spacing w:after="160" w:line="259" w:lineRule="auto"/>
        <w:contextualSpacing/>
        <w:jc w:val="left"/>
        <w:rPr>
          <w:rFonts w:eastAsiaTheme="minorHAnsi"/>
          <w:color w:val="000000"/>
          <w:szCs w:val="24"/>
          <w:lang w:eastAsia="en-US"/>
        </w:rPr>
      </w:pPr>
      <w:r w:rsidRPr="002B6491">
        <w:rPr>
          <w:rFonts w:eastAsiaTheme="minorHAnsi"/>
          <w:color w:val="000000"/>
          <w:szCs w:val="24"/>
          <w:lang w:eastAsia="en-US"/>
        </w:rPr>
        <w:t xml:space="preserve">Опис на транзакциите, идентифицирани при административните проверки като необичайни и изискващи допълнително разглеждане, </w:t>
      </w:r>
      <w:r w:rsidRPr="002B6491">
        <w:rPr>
          <w:rFonts w:eastAsiaTheme="minorHAnsi"/>
          <w:color w:val="000000"/>
          <w:szCs w:val="24"/>
          <w:u w:val="single"/>
          <w:lang w:eastAsia="en-US"/>
        </w:rPr>
        <w:t>ако е приложим</w:t>
      </w:r>
      <w:r w:rsidRPr="002B6491">
        <w:rPr>
          <w:rFonts w:eastAsiaTheme="minorHAnsi"/>
          <w:color w:val="000000"/>
          <w:szCs w:val="24"/>
          <w:lang w:eastAsia="en-US"/>
        </w:rPr>
        <w:t xml:space="preserve">. Описът е за текущата </w:t>
      </w:r>
      <w:r w:rsidRPr="002B6491">
        <w:rPr>
          <w:rFonts w:eastAsiaTheme="minorHAnsi"/>
          <w:szCs w:val="24"/>
          <w:lang w:eastAsia="en-US"/>
        </w:rPr>
        <w:t>календарна</w:t>
      </w:r>
      <w:r w:rsidRPr="002B6491">
        <w:rPr>
          <w:rFonts w:eastAsiaTheme="minorHAnsi"/>
          <w:color w:val="000000"/>
          <w:szCs w:val="24"/>
          <w:lang w:eastAsia="en-US"/>
        </w:rPr>
        <w:t xml:space="preserve"> година, информацията от който</w:t>
      </w:r>
      <w:r w:rsidRPr="002B6491">
        <w:rPr>
          <w:rFonts w:eastAsiaTheme="minorHAnsi"/>
          <w:szCs w:val="24"/>
          <w:lang w:eastAsia="en-US"/>
        </w:rPr>
        <w:t xml:space="preserve"> се използва за планиране на проверките на място за следващата календарна година</w:t>
      </w:r>
      <w:r w:rsidRPr="002B6491">
        <w:rPr>
          <w:rFonts w:eastAsiaTheme="minorHAnsi"/>
          <w:color w:val="000000"/>
          <w:szCs w:val="24"/>
          <w:lang w:eastAsia="en-US"/>
        </w:rPr>
        <w:t>.</w:t>
      </w:r>
    </w:p>
    <w:p w14:paraId="428F2086" w14:textId="77777777" w:rsidR="002B6491" w:rsidRPr="002B6491" w:rsidRDefault="002B6491" w:rsidP="002B6491">
      <w:pPr>
        <w:tabs>
          <w:tab w:val="left" w:pos="709"/>
        </w:tabs>
        <w:spacing w:after="160" w:line="259" w:lineRule="auto"/>
        <w:ind w:left="2160" w:hanging="2160"/>
        <w:rPr>
          <w:rFonts w:eastAsiaTheme="minorHAnsi"/>
          <w:szCs w:val="24"/>
          <w:lang w:eastAsia="en-US"/>
        </w:rPr>
      </w:pPr>
    </w:p>
    <w:p w14:paraId="23ADF58C" w14:textId="77777777" w:rsidR="002B6491" w:rsidRPr="002B6491" w:rsidRDefault="002B6491" w:rsidP="002B6491">
      <w:pPr>
        <w:tabs>
          <w:tab w:val="left" w:pos="709"/>
        </w:tabs>
        <w:spacing w:after="160" w:line="259" w:lineRule="auto"/>
        <w:ind w:firstLine="0"/>
        <w:rPr>
          <w:rFonts w:eastAsiaTheme="minorHAnsi"/>
          <w:b/>
          <w:szCs w:val="24"/>
          <w:u w:val="single"/>
          <w:lang w:eastAsia="en-US"/>
        </w:rPr>
      </w:pPr>
      <w:r w:rsidRPr="002B6491">
        <w:rPr>
          <w:rFonts w:eastAsiaTheme="minorHAnsi"/>
          <w:b/>
          <w:szCs w:val="24"/>
          <w:u w:val="single"/>
          <w:lang w:eastAsia="en-US"/>
        </w:rPr>
        <w:t>Отдел „Финансово управление“ (ФУ)</w:t>
      </w:r>
    </w:p>
    <w:p w14:paraId="33C57AB9" w14:textId="77777777" w:rsidR="002B6491" w:rsidRPr="002B6491" w:rsidRDefault="002B6491" w:rsidP="002B6491">
      <w:pPr>
        <w:spacing w:after="160" w:line="259" w:lineRule="auto"/>
        <w:ind w:firstLine="0"/>
        <w:rPr>
          <w:rFonts w:eastAsiaTheme="minorHAnsi"/>
          <w:szCs w:val="24"/>
          <w:lang w:eastAsia="en-US"/>
        </w:rPr>
      </w:pPr>
      <w:r w:rsidRPr="002B6491">
        <w:rPr>
          <w:rFonts w:eastAsiaTheme="minorHAnsi"/>
          <w:szCs w:val="24"/>
          <w:lang w:eastAsia="en-US"/>
        </w:rPr>
        <w:t>При изготвяне на информацията за целите на годишния отчет отдел ФУ използва информация за сертифицираните разходи, които влизат в обхвата на счетоводната година на база Приложение 4А (Приложение № 5.02.1.2. от ПНУИ на ОПТТИ), което е задължителен елементи при изготвяне на докладите по сертификация (ГЛАВА 5 ФИНАНСОВО УПРАВЛЕНИЕ/25.6 Доклади по сертификация и Декларации за допустимите разходи на УО към СО). Обединените приложения се ползват за извличане на информацията за таблиците които УО прилага към годишния отчет за непризнатите разходи във връзка с наложени финансови корекции и свързани с други управленски проверки.</w:t>
      </w:r>
    </w:p>
    <w:p w14:paraId="3A01E63F" w14:textId="77777777" w:rsidR="002B6491" w:rsidRPr="002B6491" w:rsidRDefault="002B6491" w:rsidP="002B6491">
      <w:pPr>
        <w:spacing w:after="160" w:line="259" w:lineRule="auto"/>
        <w:ind w:firstLine="0"/>
        <w:rPr>
          <w:rFonts w:eastAsiaTheme="minorHAnsi"/>
          <w:szCs w:val="24"/>
          <w:lang w:eastAsia="en-US"/>
        </w:rPr>
      </w:pPr>
      <w:r w:rsidRPr="002B6491">
        <w:rPr>
          <w:rFonts w:eastAsiaTheme="minorHAnsi"/>
          <w:szCs w:val="24"/>
          <w:lang w:eastAsia="en-US"/>
        </w:rPr>
        <w:t>По отношение на информацията свързана с административните проверки, които УО извършва по време на процедиране на исканията, касаеща наложените финансови корекции, активно се използва регистъра за финансовите корекции (ГЛАВА 5 ФИНАНСОВО УПРАВЛЕНИЕ/25.7. Финансови корекции от страна на българските власти/Приложение № 5.02.2 от ПНУИ на ОПТТИ), който съдържа информация за сигналите, наложените финансови корекции, нередностите и нередните разходи по конкретни искания и проекти. С оглед попълване на специфичната информация свързана с основанието съгласно методология/наредба за ФК и основание (съгласно Анекс 2 от Насоките на ЕК от 03.12.2018 г.) таблицата се предоставя за преглед и актуализация на експертите</w:t>
      </w:r>
      <w:r w:rsidRPr="00842ECC">
        <w:rPr>
          <w:rFonts w:eastAsiaTheme="minorHAnsi"/>
          <w:szCs w:val="24"/>
          <w:lang w:eastAsia="en-US"/>
        </w:rPr>
        <w:t xml:space="preserve"> </w:t>
      </w:r>
      <w:r w:rsidRPr="002B6491">
        <w:rPr>
          <w:rFonts w:eastAsiaTheme="minorHAnsi"/>
          <w:szCs w:val="24"/>
          <w:lang w:eastAsia="en-US"/>
        </w:rPr>
        <w:t>в отдел КОП, отговорни за изготвянето на отчета.</w:t>
      </w:r>
    </w:p>
    <w:p w14:paraId="75EACCF6" w14:textId="77777777" w:rsidR="002B6491" w:rsidRPr="00842ECC" w:rsidRDefault="002B6491" w:rsidP="002B6491">
      <w:pPr>
        <w:spacing w:after="160" w:line="259" w:lineRule="auto"/>
        <w:ind w:firstLine="0"/>
        <w:rPr>
          <w:rFonts w:eastAsiaTheme="minorHAnsi"/>
          <w:szCs w:val="24"/>
          <w:lang w:eastAsia="en-US"/>
        </w:rPr>
      </w:pPr>
      <w:r w:rsidRPr="002B6491">
        <w:rPr>
          <w:rFonts w:eastAsiaTheme="minorHAnsi"/>
          <w:szCs w:val="24"/>
          <w:lang w:eastAsia="en-US"/>
        </w:rPr>
        <w:t>За допълване на таблицата описваща задържаните суми в резултат на управленски проверки и категоризиране на причините за отказ от верификация се ползват становищата и/или решенията за верификация на отговорните експерти, които са част от документите удостоверяващи верификацията и са налични в ИСУН (ГЛАВА 5 ФИНАНСОВО УПРАВЛЕНИЕ/25.3. Процес на верифициране/сертифициране на разходи по ОПТТИ). След това таблицата се имплементира в текста на годишния отчет от отдел ФУ.</w:t>
      </w:r>
    </w:p>
    <w:p w14:paraId="4BC5DD8C" w14:textId="77777777" w:rsidR="002B6491" w:rsidRPr="002B6491" w:rsidRDefault="002B6491" w:rsidP="002B6491">
      <w:pPr>
        <w:spacing w:after="160" w:line="259" w:lineRule="auto"/>
        <w:ind w:firstLine="0"/>
        <w:jc w:val="left"/>
        <w:rPr>
          <w:rFonts w:eastAsiaTheme="minorHAnsi"/>
          <w:color w:val="1F497D"/>
          <w:szCs w:val="24"/>
          <w:lang w:eastAsia="en-US"/>
        </w:rPr>
      </w:pPr>
    </w:p>
    <w:p w14:paraId="70987744" w14:textId="77777777" w:rsidR="002B6491" w:rsidRPr="002B6491" w:rsidRDefault="002B6491" w:rsidP="002B6491">
      <w:pPr>
        <w:tabs>
          <w:tab w:val="left" w:pos="709"/>
        </w:tabs>
        <w:spacing w:after="160" w:line="259" w:lineRule="auto"/>
        <w:ind w:firstLine="0"/>
        <w:rPr>
          <w:rFonts w:eastAsiaTheme="minorHAnsi"/>
          <w:b/>
          <w:szCs w:val="24"/>
          <w:u w:val="single"/>
          <w:lang w:eastAsia="en-US"/>
        </w:rPr>
      </w:pPr>
      <w:r w:rsidRPr="002B6491">
        <w:rPr>
          <w:rFonts w:eastAsiaTheme="minorHAnsi"/>
          <w:b/>
          <w:szCs w:val="24"/>
          <w:u w:val="single"/>
          <w:lang w:eastAsia="en-US"/>
        </w:rPr>
        <w:t>Отдел „Контрол по обществените поръчки“ (КОП)</w:t>
      </w:r>
    </w:p>
    <w:p w14:paraId="23F084B5" w14:textId="77777777" w:rsidR="002B6491" w:rsidRPr="002B6491" w:rsidRDefault="002B6491" w:rsidP="002B6491">
      <w:pPr>
        <w:spacing w:after="160" w:line="259" w:lineRule="auto"/>
        <w:ind w:firstLine="0"/>
        <w:rPr>
          <w:rFonts w:eastAsiaTheme="minorHAnsi"/>
          <w:szCs w:val="24"/>
          <w:lang w:eastAsia="en-US"/>
        </w:rPr>
      </w:pPr>
      <w:r w:rsidRPr="002B6491">
        <w:rPr>
          <w:rFonts w:eastAsiaTheme="minorHAnsi"/>
          <w:szCs w:val="24"/>
          <w:lang w:eastAsia="en-US"/>
        </w:rPr>
        <w:t>За изготвяне на информацията за целите на годишния отчет експерт от отдел „КОП“ използва регистъра за финансовите корекции (ГЛАВА 5 ФИНАНСОВО УПРАВЛЕНИЕ/25.7. Финансови корекции от страна на българските власти/Приложение № 5.02.2 от ПНУИ на ОПТТИ). Регистърът съдържа информация за сигналите, наложените финансови корекции, нередностите и нередните разходи по конкретни искания и проекти.</w:t>
      </w:r>
      <w:r w:rsidRPr="00842ECC">
        <w:rPr>
          <w:rFonts w:eastAsiaTheme="minorHAnsi"/>
          <w:szCs w:val="24"/>
          <w:lang w:eastAsia="en-US"/>
        </w:rPr>
        <w:t xml:space="preserve"> </w:t>
      </w:r>
      <w:r w:rsidRPr="002B6491">
        <w:rPr>
          <w:rFonts w:eastAsiaTheme="minorHAnsi"/>
          <w:szCs w:val="24"/>
          <w:lang w:eastAsia="en-US"/>
        </w:rPr>
        <w:t xml:space="preserve">На негова база се обобщават издадените решения за ФК за съответния период. Въз основа на изготвеното обобщение се правят преглед и анализ на най-честите нарушения на законодателството за обществени поръчки в съответния период. Същите се описват накратко в относимите точки в </w:t>
      </w:r>
      <w:r w:rsidRPr="002B6491">
        <w:rPr>
          <w:rFonts w:eastAsiaTheme="minorHAnsi"/>
          <w:szCs w:val="24"/>
          <w:lang w:eastAsia="en-US"/>
        </w:rPr>
        <w:lastRenderedPageBreak/>
        <w:t>годишното обобщение. Част от дейността по годишния отчет се извършва съвместно с отдел „ФУ“ като от същия</w:t>
      </w:r>
      <w:r w:rsidRPr="00842ECC">
        <w:rPr>
          <w:rFonts w:eastAsiaTheme="minorHAnsi"/>
          <w:szCs w:val="24"/>
          <w:lang w:eastAsia="en-US"/>
        </w:rPr>
        <w:t xml:space="preserve"> </w:t>
      </w:r>
      <w:r w:rsidRPr="002B6491">
        <w:rPr>
          <w:rFonts w:eastAsiaTheme="minorHAnsi"/>
          <w:szCs w:val="24"/>
          <w:lang w:eastAsia="en-US"/>
        </w:rPr>
        <w:t>постъпва таблица</w:t>
      </w:r>
      <w:r w:rsidRPr="00842ECC">
        <w:rPr>
          <w:rFonts w:eastAsiaTheme="minorHAnsi"/>
          <w:szCs w:val="24"/>
          <w:lang w:eastAsia="en-US"/>
        </w:rPr>
        <w:t xml:space="preserve"> </w:t>
      </w:r>
      <w:r w:rsidRPr="002B6491">
        <w:rPr>
          <w:rFonts w:eastAsiaTheme="minorHAnsi"/>
          <w:szCs w:val="24"/>
          <w:lang w:eastAsia="en-US"/>
        </w:rPr>
        <w:t>за наложените през счетоводната година финансови корекции, в която експерт от отдел „КОП“ попълва специфичната информация свързана с основанието съгласно методология/наредба за ФК и основанието (съгласно Анекс 2 от Насоките на ЕК от 03.12.2018 г.). След това таблицата се имплементира в текста на годишния отчет от отдел ФУ.</w:t>
      </w:r>
    </w:p>
    <w:p w14:paraId="5D1FDD7B" w14:textId="77777777" w:rsidR="002B6491" w:rsidRPr="002B6491" w:rsidRDefault="002B6491" w:rsidP="002B6491">
      <w:pPr>
        <w:spacing w:after="160" w:line="259" w:lineRule="auto"/>
        <w:ind w:firstLine="0"/>
        <w:rPr>
          <w:rFonts w:eastAsiaTheme="minorHAnsi"/>
          <w:szCs w:val="24"/>
          <w:lang w:eastAsia="en-US"/>
        </w:rPr>
      </w:pPr>
    </w:p>
    <w:p w14:paraId="2A80ADB3" w14:textId="0FBCCEE8" w:rsidR="002B6491" w:rsidRPr="001B7E27" w:rsidRDefault="001B7E27" w:rsidP="002B6491">
      <w:pPr>
        <w:tabs>
          <w:tab w:val="left" w:pos="709"/>
        </w:tabs>
        <w:spacing w:after="160" w:line="259" w:lineRule="auto"/>
        <w:ind w:firstLine="0"/>
        <w:rPr>
          <w:rFonts w:eastAsiaTheme="minorHAnsi"/>
          <w:b/>
          <w:szCs w:val="24"/>
          <w:u w:val="single"/>
          <w:lang w:eastAsia="en-US"/>
        </w:rPr>
      </w:pPr>
      <w:r w:rsidRPr="002B6491">
        <w:rPr>
          <w:rFonts w:eastAsiaTheme="minorHAnsi"/>
          <w:b/>
          <w:szCs w:val="24"/>
          <w:u w:val="single"/>
          <w:lang w:eastAsia="en-US"/>
        </w:rPr>
        <w:t xml:space="preserve">Отдел „Управление на риска“ </w:t>
      </w:r>
    </w:p>
    <w:p w14:paraId="259462BA" w14:textId="595A473D" w:rsidR="001B7E27" w:rsidRDefault="001B7E27" w:rsidP="001B7E27">
      <w:pPr>
        <w:tabs>
          <w:tab w:val="left" w:pos="709"/>
        </w:tabs>
        <w:spacing w:after="160" w:line="259" w:lineRule="auto"/>
        <w:ind w:firstLine="0"/>
        <w:rPr>
          <w:rFonts w:eastAsiaTheme="minorHAnsi"/>
          <w:szCs w:val="24"/>
          <w:lang w:eastAsia="en-US"/>
        </w:rPr>
      </w:pPr>
      <w:r w:rsidRPr="002B6491">
        <w:rPr>
          <w:rFonts w:eastAsiaTheme="minorHAnsi"/>
          <w:szCs w:val="24"/>
          <w:lang w:eastAsia="en-US"/>
        </w:rPr>
        <w:t xml:space="preserve">При изготвяне на информацията за целите на годишния отчет на окончателните одитни доклади и извършените проверки отдел </w:t>
      </w:r>
      <w:r>
        <w:rPr>
          <w:rFonts w:eastAsiaTheme="minorHAnsi"/>
          <w:szCs w:val="24"/>
          <w:lang w:eastAsia="en-US"/>
        </w:rPr>
        <w:t>„Управление на риска“</w:t>
      </w:r>
      <w:r w:rsidRPr="002B6491">
        <w:rPr>
          <w:rFonts w:eastAsiaTheme="minorHAnsi"/>
          <w:szCs w:val="24"/>
          <w:lang w:eastAsia="en-US"/>
        </w:rPr>
        <w:t xml:space="preserve"> прави проверка за съответствие на попълнена в годишния отчет информация относно извършените финансови корекции </w:t>
      </w:r>
      <w:r w:rsidRPr="00842ECC">
        <w:rPr>
          <w:rFonts w:eastAsiaTheme="minorHAnsi"/>
          <w:szCs w:val="24"/>
          <w:lang w:eastAsia="en-US"/>
        </w:rPr>
        <w:t>(</w:t>
      </w:r>
      <w:r w:rsidRPr="002B6491">
        <w:rPr>
          <w:rFonts w:eastAsiaTheme="minorHAnsi"/>
          <w:szCs w:val="24"/>
          <w:lang w:eastAsia="en-US"/>
        </w:rPr>
        <w:t>проверяват се елементите описание на нарушението, източник на сигнала, № и дата на решението за Финансова корекция, № на нередността</w:t>
      </w:r>
      <w:r w:rsidRPr="00842ECC">
        <w:rPr>
          <w:rFonts w:eastAsiaTheme="minorHAnsi"/>
          <w:szCs w:val="24"/>
          <w:lang w:eastAsia="en-US"/>
        </w:rPr>
        <w:t xml:space="preserve">) </w:t>
      </w:r>
      <w:r w:rsidRPr="002B6491">
        <w:rPr>
          <w:rFonts w:eastAsiaTheme="minorHAnsi"/>
          <w:szCs w:val="24"/>
          <w:lang w:eastAsia="en-US"/>
        </w:rPr>
        <w:t xml:space="preserve">с информацията от раздел „Проверки“, под-раздел „База данни нередности“ на ИСУН 2020, както и с информацията докладвана в </w:t>
      </w:r>
      <w:r w:rsidRPr="002B6491">
        <w:rPr>
          <w:rFonts w:eastAsiaTheme="minorHAnsi"/>
          <w:szCs w:val="24"/>
          <w:lang w:val="en-US" w:eastAsia="en-US"/>
        </w:rPr>
        <w:t>IMS</w:t>
      </w:r>
      <w:r w:rsidRPr="002B6491">
        <w:rPr>
          <w:rFonts w:eastAsiaTheme="minorHAnsi"/>
          <w:szCs w:val="24"/>
          <w:lang w:eastAsia="en-US"/>
        </w:rPr>
        <w:t xml:space="preserve"> за съответната нередност. </w:t>
      </w:r>
    </w:p>
    <w:p w14:paraId="489C43F9" w14:textId="77777777" w:rsidR="003556A0" w:rsidRPr="006A6D08" w:rsidRDefault="003556A0" w:rsidP="003556A0">
      <w:pPr>
        <w:spacing w:after="160" w:line="259" w:lineRule="auto"/>
        <w:ind w:firstLine="0"/>
        <w:rPr>
          <w:rFonts w:eastAsiaTheme="minorHAnsi"/>
          <w:szCs w:val="24"/>
          <w:lang w:eastAsia="en-US"/>
        </w:rPr>
      </w:pPr>
      <w:r w:rsidRPr="006A6D08">
        <w:rPr>
          <w:rFonts w:eastAsiaTheme="minorHAnsi"/>
          <w:szCs w:val="24"/>
          <w:lang w:eastAsia="en-US"/>
        </w:rPr>
        <w:t xml:space="preserve">Не по-късно от 5 октомври на годината „n+1“, експертът, отговорен за одитите в отдел „Управление на риска“, </w:t>
      </w:r>
      <w:bookmarkStart w:id="1380" w:name="_GoBack"/>
      <w:bookmarkEnd w:id="1380"/>
      <w:r w:rsidRPr="006A6D08">
        <w:rPr>
          <w:rFonts w:eastAsiaTheme="minorHAnsi"/>
          <w:szCs w:val="24"/>
          <w:lang w:eastAsia="en-US"/>
        </w:rPr>
        <w:t>стартира процедура на преглед на наличната информация и актуализиране статуса на изпълнение на свързаните с провеждането на одите ангажименти. При възникнала необходимост може да се проведе кореспонденция с отговорните по изпълнението на препоръките лица. След извършения преглед на наличната информация отговорният за одитите експерт актуализира общия електронен регистър за извършените одити и на тези в процес на изпълнение. Актуализираният регистър се изпраща до отговорните за изготвянето на декларацията за управлението и годишния отчет отдели в срок до 20 октомври на годината „n+1“.</w:t>
      </w:r>
    </w:p>
    <w:p w14:paraId="2DE88F75" w14:textId="77777777" w:rsidR="003556A0" w:rsidRPr="002B6491" w:rsidRDefault="003556A0" w:rsidP="003556A0">
      <w:pPr>
        <w:spacing w:after="160" w:line="259" w:lineRule="auto"/>
        <w:ind w:firstLine="0"/>
        <w:rPr>
          <w:rFonts w:eastAsiaTheme="minorHAnsi"/>
          <w:szCs w:val="24"/>
          <w:lang w:eastAsia="en-US"/>
        </w:rPr>
      </w:pPr>
      <w:r w:rsidRPr="006A6D08">
        <w:rPr>
          <w:rFonts w:eastAsiaTheme="minorHAnsi"/>
          <w:szCs w:val="24"/>
          <w:lang w:eastAsia="en-US"/>
        </w:rPr>
        <w:t>Отговорният за одите експерт изготвя проект на обобщена информация за получените окончателни одитни доклади съгласно указанията на ЕК в срок до 25 ноември на годината „n+1“. Проектът следва изискванията и указанията по въпроса и включва коригиращите действия – планирани и предприети. Отговорните лица по препоръките предоставят необходимата актуална информация.</w:t>
      </w:r>
      <w:r w:rsidRPr="002B6491">
        <w:rPr>
          <w:rFonts w:eastAsiaTheme="minorHAnsi"/>
          <w:szCs w:val="24"/>
          <w:lang w:eastAsia="en-US"/>
        </w:rPr>
        <w:t xml:space="preserve"> </w:t>
      </w:r>
    </w:p>
    <w:p w14:paraId="4DD459D7" w14:textId="77777777" w:rsidR="003556A0" w:rsidRDefault="003556A0" w:rsidP="001B7E27">
      <w:pPr>
        <w:tabs>
          <w:tab w:val="left" w:pos="709"/>
        </w:tabs>
        <w:spacing w:after="160" w:line="259" w:lineRule="auto"/>
        <w:ind w:firstLine="0"/>
        <w:rPr>
          <w:rFonts w:eastAsiaTheme="minorHAnsi"/>
          <w:szCs w:val="24"/>
          <w:lang w:eastAsia="en-US"/>
        </w:rPr>
      </w:pPr>
    </w:p>
    <w:p w14:paraId="66875AE1" w14:textId="77777777" w:rsidR="00B96494" w:rsidRDefault="00B96494" w:rsidP="005455E4">
      <w:pPr>
        <w:tabs>
          <w:tab w:val="left" w:pos="1134"/>
        </w:tabs>
        <w:rPr>
          <w:b/>
          <w:bCs/>
          <w:kern w:val="28"/>
          <w:szCs w:val="24"/>
          <w:lang w:eastAsia="bg-BG"/>
        </w:rPr>
      </w:pPr>
      <w:r>
        <w:rPr>
          <w:b/>
          <w:bCs/>
          <w:kern w:val="28"/>
          <w:szCs w:val="24"/>
          <w:lang w:eastAsia="bg-BG"/>
        </w:rPr>
        <w:br w:type="page"/>
      </w:r>
    </w:p>
    <w:p w14:paraId="71B65868" w14:textId="77777777" w:rsidR="002D3766" w:rsidRPr="001B0EA3" w:rsidRDefault="002D3766" w:rsidP="00046D61">
      <w:pPr>
        <w:pStyle w:val="Title"/>
        <w:spacing w:after="240"/>
        <w:ind w:firstLine="0"/>
        <w:jc w:val="center"/>
        <w:rPr>
          <w:rFonts w:ascii="Times New Roman" w:hAnsi="Times New Roman"/>
          <w:sz w:val="24"/>
          <w:szCs w:val="24"/>
          <w:lang w:eastAsia="bg-BG"/>
        </w:rPr>
      </w:pPr>
      <w:bookmarkStart w:id="1381" w:name="_Toc479775857"/>
      <w:bookmarkStart w:id="1382" w:name="_Toc140150350"/>
      <w:r w:rsidRPr="001B0EA3">
        <w:rPr>
          <w:rFonts w:ascii="Times New Roman" w:hAnsi="Times New Roman"/>
          <w:sz w:val="24"/>
          <w:szCs w:val="24"/>
          <w:lang w:eastAsia="bg-BG"/>
        </w:rPr>
        <w:lastRenderedPageBreak/>
        <w:t>ГЛАВА 10</w:t>
      </w:r>
      <w:r w:rsidRPr="001B0EA3">
        <w:rPr>
          <w:rFonts w:ascii="Times New Roman" w:hAnsi="Times New Roman"/>
          <w:sz w:val="24"/>
          <w:szCs w:val="24"/>
          <w:lang w:eastAsia="bg-BG"/>
        </w:rPr>
        <w:br/>
        <w:t>АДМИНИСТРАТИВЕН КАПАЦИТЕТ</w:t>
      </w:r>
      <w:bookmarkEnd w:id="1381"/>
      <w:bookmarkEnd w:id="1382"/>
    </w:p>
    <w:p w14:paraId="7B6A727B" w14:textId="77777777" w:rsidR="00D603F5" w:rsidRPr="005531CD" w:rsidRDefault="00D603F5" w:rsidP="00F058E0">
      <w:pPr>
        <w:pStyle w:val="Style1"/>
      </w:pPr>
      <w:bookmarkStart w:id="1383" w:name="_Toc479775858"/>
      <w:bookmarkStart w:id="1384" w:name="_Toc140150351"/>
      <w:r w:rsidRPr="005531CD">
        <w:t>АДМИНИСТРАТИВЕН КАПАЦИТЕТ В СЕКТОР „ТРАНСПОРТ”</w:t>
      </w:r>
      <w:bookmarkEnd w:id="1383"/>
      <w:bookmarkEnd w:id="1384"/>
    </w:p>
    <w:p w14:paraId="3DB6DDAF" w14:textId="77777777" w:rsidR="00D603F5" w:rsidRPr="00842ECC" w:rsidRDefault="00D603F5" w:rsidP="00B502C7">
      <w:pPr>
        <w:pStyle w:val="Style2"/>
        <w:rPr>
          <w:snapToGrid w:val="0"/>
          <w:lang w:val="bg-BG"/>
        </w:rPr>
      </w:pPr>
      <w:bookmarkStart w:id="1385" w:name="_Toc479775859"/>
      <w:bookmarkStart w:id="1386" w:name="_Toc140150352"/>
      <w:r w:rsidRPr="00842ECC">
        <w:rPr>
          <w:snapToGrid w:val="0"/>
          <w:lang w:val="bg-BG"/>
        </w:rPr>
        <w:t>Основните резултати са постигнати чрез целенасочени инвестиции от ОПТ 2007-2013 г.</w:t>
      </w:r>
      <w:bookmarkEnd w:id="1385"/>
      <w:bookmarkEnd w:id="1386"/>
    </w:p>
    <w:p w14:paraId="2B6345F0" w14:textId="77777777" w:rsidR="00D603F5" w:rsidRPr="001B0EA3" w:rsidRDefault="00D603F5" w:rsidP="005455E4">
      <w:pPr>
        <w:rPr>
          <w:szCs w:val="24"/>
          <w:lang w:eastAsia="bg-BG"/>
        </w:rPr>
      </w:pPr>
      <w:r w:rsidRPr="001B0EA3">
        <w:rPr>
          <w:szCs w:val="24"/>
          <w:lang w:eastAsia="bg-BG"/>
        </w:rPr>
        <w:t>През първата половина на програмен период 2007-2013 г. основните предизвикателства при създаването и съхранението на административния капацитет на УО и особено на бенефициентите бяха свързани с недостиг на човешки ресурс с необходимото ниво на компетентност, високата степен на текучество на служителите, липсата на достатъчно обучения, стимули и материално-технически условия за работата на служителите, чиито функции са пряко свързани с подготовка, изпълнение и контрола на проекти по ОПТ 2007-2013 г.</w:t>
      </w:r>
    </w:p>
    <w:p w14:paraId="1A7EC6FB" w14:textId="77777777" w:rsidR="00D603F5" w:rsidRPr="001B0EA3" w:rsidRDefault="00D603F5" w:rsidP="005455E4">
      <w:pPr>
        <w:rPr>
          <w:szCs w:val="24"/>
          <w:lang w:eastAsia="bg-BG"/>
        </w:rPr>
      </w:pPr>
      <w:r w:rsidRPr="001B0EA3">
        <w:rPr>
          <w:szCs w:val="24"/>
          <w:lang w:eastAsia="bg-BG"/>
        </w:rPr>
        <w:t xml:space="preserve">Съгласно извършената през 2011 г. текуща оценка, всички бенефициенти без „Метрополитен“ ЕАД (включително и УО като бенефициент по ПО 5 „Техническа помощ“) срещат затруднения с административния си капацитет за подготовка, управление, изпълнение, мониторинг, контрол и докладване на проекти по ОПТ 2007-2013: „усложнени процедури за управление и контрол (АПИ и НКЖИ), несъпоставимост между системите за управление и контрол и изискванията на ОПТ и неефективно прилагане на разписаните процедури (ИАППД); припокриване на функциите в рамките на съответно звено (НКЖИ и ДППИ); ниска степен на ефективност (НКЖИ, АПИ и ДППИ), ниска (НКЖИ и АПИ) или незадоволителна (ДППИ и ИАППД) степен на изпълнение на отделните фази на проектите”. Проблемите на административния капацитет в железопътния и пътния сектор са неизменно посочвани в Препоръките на Съвета относно НПР 2012 и 2013 г., както и в Позицията на службите на Комисията относно разработването на Споразумението за партньорство и програми за периода 2014-2020 г. </w:t>
      </w:r>
    </w:p>
    <w:p w14:paraId="0CA446E8" w14:textId="77777777" w:rsidR="00D603F5" w:rsidRPr="001B0EA3" w:rsidRDefault="00D603F5" w:rsidP="005455E4">
      <w:pPr>
        <w:rPr>
          <w:szCs w:val="24"/>
          <w:lang w:eastAsia="bg-BG"/>
        </w:rPr>
      </w:pPr>
      <w:r w:rsidRPr="001B0EA3">
        <w:rPr>
          <w:szCs w:val="24"/>
          <w:lang w:eastAsia="bg-BG"/>
        </w:rPr>
        <w:t xml:space="preserve">Анализът на силните и слаби страни, благоприятните възможности и заплахите (SWOT анализ) на транспортната система и на видовете транспорт, разработен от Работната група за подготовка на ОПТТИ 2014-2020 г., в процеса на изготвяне на Стратегията за програмата, показва, че към настоящия момент някои от основните предизвикателства са преодолени в значителна степен. Основните резултати са постигнати чрез изпълнението на поредица от мерки (проекти) от ОПТ 2007-2013 г. (по ПО 5„Техническа помощ”) и предоставянето на външна експертиза (инициативата JASPERS на ЕИБ, други МФИ), а именно: </w:t>
      </w:r>
    </w:p>
    <w:p w14:paraId="1540DCD8" w14:textId="77777777" w:rsidR="00D603F5" w:rsidRPr="001B0EA3" w:rsidRDefault="00D603F5" w:rsidP="005455E4">
      <w:pPr>
        <w:rPr>
          <w:szCs w:val="24"/>
          <w:lang w:eastAsia="bg-BG"/>
        </w:rPr>
      </w:pPr>
      <w:r w:rsidRPr="001B0EA3">
        <w:rPr>
          <w:szCs w:val="24"/>
          <w:lang w:eastAsia="bg-BG"/>
        </w:rPr>
        <w:t>-</w:t>
      </w:r>
      <w:r w:rsidRPr="001B0EA3">
        <w:rPr>
          <w:szCs w:val="24"/>
          <w:lang w:eastAsia="bg-BG"/>
        </w:rPr>
        <w:tab/>
        <w:t>в железопътния сектор бяха разработени и приложени модели за бизнес процесите; методика за управление на проекти, включително институционални мерки за нейното изпълнение; стратегически насоки за развитие и оптимизиране на човешките ресурси и процесите, свързани с въвеждане на нови модели за експлоатация и поддръжка на железния път. В края на януари, 2014 г. приключи проекта „Предоставяне на консултантски услуги във връзка с преструктурирането на железопътния сектор в Република България” с бенефициент УО на ОПТ 2007–2013 г. В процес на изпълнение с бенефициент ДП „НКЖИ” са проекти за  подобряване на материално-техническата база, за покриване на разходи, свързани с обучения и развитие на човешките ресурси и за проектиране и внедряване на система за планиране и управление на ресурсите в компанията;</w:t>
      </w:r>
    </w:p>
    <w:p w14:paraId="74650489" w14:textId="77777777" w:rsidR="00D603F5" w:rsidRPr="001B0EA3" w:rsidRDefault="00D603F5" w:rsidP="005455E4">
      <w:pPr>
        <w:rPr>
          <w:szCs w:val="24"/>
          <w:lang w:eastAsia="bg-BG"/>
        </w:rPr>
      </w:pPr>
      <w:r w:rsidRPr="001B0EA3">
        <w:rPr>
          <w:szCs w:val="24"/>
          <w:lang w:eastAsia="bg-BG"/>
        </w:rPr>
        <w:t>-</w:t>
      </w:r>
      <w:r w:rsidRPr="001B0EA3">
        <w:rPr>
          <w:szCs w:val="24"/>
          <w:lang w:eastAsia="bg-BG"/>
        </w:rPr>
        <w:tab/>
        <w:t xml:space="preserve">в пътния сектор беше разработен стратегически бизнес план на АПИ и бизнес модел за функционирането на НК „Стратегически инфраструктурни проекти“. В процес на изпълнение с бенефициент АПИ са проекти за подобряване на ефективността на пътния сектор в Република България, за  подобряване на материално-техническата база и за покриване на разходи, свързани с обучения и семинари служители, пряко свързани с подготовка, изпълнение и контрол на проекти по ОПТ 2007-2013 г.. Приключи проекта за  подобряване на материално-техническата база, а в процес на изпълнение е проект за външна експертиза от </w:t>
      </w:r>
      <w:r w:rsidRPr="001B0EA3">
        <w:rPr>
          <w:szCs w:val="24"/>
          <w:lang w:eastAsia="bg-BG"/>
        </w:rPr>
        <w:lastRenderedPageBreak/>
        <w:t>ЕИБ при разработването на основните пътни проекти с бенефициент НК „Стратегически инфраструктурни проекти“;</w:t>
      </w:r>
    </w:p>
    <w:p w14:paraId="626BF334" w14:textId="77777777" w:rsidR="00D603F5" w:rsidRPr="001B0EA3" w:rsidRDefault="00D603F5" w:rsidP="005455E4">
      <w:pPr>
        <w:rPr>
          <w:szCs w:val="24"/>
          <w:lang w:eastAsia="bg-BG"/>
        </w:rPr>
      </w:pPr>
      <w:r w:rsidRPr="001B0EA3">
        <w:rPr>
          <w:szCs w:val="24"/>
          <w:lang w:eastAsia="bg-BG"/>
        </w:rPr>
        <w:t>-</w:t>
      </w:r>
      <w:r w:rsidRPr="001B0EA3">
        <w:rPr>
          <w:szCs w:val="24"/>
          <w:lang w:eastAsia="bg-BG"/>
        </w:rPr>
        <w:tab/>
        <w:t>през февруари 2014 г. приключи проектът „Повишаване на административния капацитет на ДППИ за изпълнение на проекти по ОПТ 2007-2013 г.”, финансиран по ПО</w:t>
      </w:r>
      <w:r w:rsidR="00EF5415" w:rsidRPr="001B0EA3">
        <w:rPr>
          <w:szCs w:val="24"/>
          <w:lang w:eastAsia="bg-BG"/>
        </w:rPr>
        <w:t xml:space="preserve"> </w:t>
      </w:r>
      <w:r w:rsidRPr="001B0EA3">
        <w:rPr>
          <w:szCs w:val="24"/>
          <w:lang w:eastAsia="bg-BG"/>
        </w:rPr>
        <w:t xml:space="preserve">„Техническа помощ”, а в процес на изпълнение е проектът „Подобряване на материално – техническите условия на ДППИ, в качеството му на конкретен бенефициент по ОПТ 2007-2013 г.” </w:t>
      </w:r>
    </w:p>
    <w:p w14:paraId="625E0068" w14:textId="77777777" w:rsidR="00D603F5" w:rsidRPr="001B0EA3" w:rsidRDefault="00D603F5" w:rsidP="005455E4">
      <w:pPr>
        <w:rPr>
          <w:szCs w:val="24"/>
          <w:lang w:eastAsia="bg-BG"/>
        </w:rPr>
      </w:pPr>
      <w:r w:rsidRPr="001B0EA3">
        <w:rPr>
          <w:szCs w:val="24"/>
          <w:lang w:eastAsia="bg-BG"/>
        </w:rPr>
        <w:t xml:space="preserve">В последните три години се запазва тенденцията за ниско ниво на текучество на персонала. След проведената през 2012 г. административна реформа нивата на възнаграждения на служителите, ангажирани с подготовка, изпълнение и контрол на проекти по ОПТ 2007-2013 г. в УО и в бенефициентите не се отличават и дори са по-високи от тези на останалите служители. В зависимост от функциите им по длъжностна характеристика, възнаграждението на служителите в УО и на тези в бенефициентите заети с подготовка и контрол на проекти се изплаща изцяло или частично от ПО5 „Техническа помощ” на  ОПТ 2007-2013 г., а на заетите в звената за изпълнение (и управление) на инфраструктурни проекти – от бюджета на конкретния проект. </w:t>
      </w:r>
    </w:p>
    <w:p w14:paraId="4B4292E9" w14:textId="77777777" w:rsidR="00D603F5" w:rsidRPr="001B0EA3" w:rsidRDefault="00D603F5" w:rsidP="00046D61">
      <w:pPr>
        <w:rPr>
          <w:szCs w:val="24"/>
          <w:lang w:eastAsia="bg-BG"/>
        </w:rPr>
      </w:pPr>
    </w:p>
    <w:p w14:paraId="540ADB85" w14:textId="77777777" w:rsidR="00D603F5" w:rsidRPr="00842ECC" w:rsidRDefault="00D603F5" w:rsidP="00B502C7">
      <w:pPr>
        <w:pStyle w:val="Style2"/>
        <w:rPr>
          <w:snapToGrid w:val="0"/>
          <w:lang w:val="bg-BG"/>
        </w:rPr>
      </w:pPr>
      <w:bookmarkStart w:id="1387" w:name="_Toc479775860"/>
      <w:bookmarkStart w:id="1388" w:name="_Toc140150353"/>
      <w:r w:rsidRPr="00842ECC">
        <w:rPr>
          <w:snapToGrid w:val="0"/>
          <w:lang w:val="bg-BG"/>
        </w:rPr>
        <w:t>Изграждане и укрепване на административния капацитет</w:t>
      </w:r>
      <w:bookmarkEnd w:id="1387"/>
      <w:bookmarkEnd w:id="1388"/>
    </w:p>
    <w:p w14:paraId="3F946637" w14:textId="77777777" w:rsidR="00D603F5" w:rsidRPr="001B0EA3" w:rsidRDefault="00D603F5" w:rsidP="00046D61">
      <w:pPr>
        <w:rPr>
          <w:szCs w:val="24"/>
          <w:lang w:eastAsia="bg-BG"/>
        </w:rPr>
      </w:pPr>
      <w:r w:rsidRPr="001B0EA3">
        <w:rPr>
          <w:szCs w:val="24"/>
          <w:lang w:eastAsia="bg-BG"/>
        </w:rPr>
        <w:t xml:space="preserve">Административният капацитет е ключов фактор и основна предпоставка за гарантиране успешното управление и изпълнение на проектите по ОП „Транспорт  и транспортна инфраструктура“ 2014 – 2020 г. </w:t>
      </w:r>
    </w:p>
    <w:p w14:paraId="3B223136" w14:textId="77777777" w:rsidR="00D603F5" w:rsidRPr="001B0EA3" w:rsidRDefault="00D603F5" w:rsidP="00046D61">
      <w:pPr>
        <w:rPr>
          <w:szCs w:val="24"/>
          <w:lang w:eastAsia="bg-BG"/>
        </w:rPr>
      </w:pPr>
      <w:r w:rsidRPr="001B0EA3">
        <w:rPr>
          <w:szCs w:val="24"/>
          <w:lang w:eastAsia="bg-BG"/>
        </w:rPr>
        <w:t>През програмния период 2014 – 2020 г. ще е необходимо предприемането на мерки за осигуряване на устойчивост на постигнатите резултати по отношение на повишаване и надграждане на административния капацитет на   УО и бенефициентите на ОПТ 2007-2013 г., както чрез използването на ПО 5 „Техническа помощ” на ОПТТИ 2014-2020, така и чрез продължаване на прилагането на инициативата JASPERS и чрез привличане на експертизата на МФИ - Световна банка, ЕБВР, ЕИБ и др., предоставящи консултантски услуги на управляващи органи и бенефициенти на програмите в областта на укрепването на административния им капацитет и за подготовката и изпълнението на транспортни инфраструктурни проекти.</w:t>
      </w:r>
    </w:p>
    <w:p w14:paraId="29C6A74E" w14:textId="77777777" w:rsidR="00D603F5" w:rsidRPr="001B0EA3" w:rsidRDefault="00D603F5" w:rsidP="00046D61">
      <w:pPr>
        <w:rPr>
          <w:szCs w:val="24"/>
          <w:lang w:eastAsia="bg-BG"/>
        </w:rPr>
      </w:pPr>
      <w:r w:rsidRPr="001B0EA3">
        <w:rPr>
          <w:szCs w:val="24"/>
          <w:lang w:eastAsia="bg-BG"/>
        </w:rPr>
        <w:t xml:space="preserve">С оглед на обстоятелството, че до приключване изготвянето на ОПТТИ 2014-2020 г. проектът на нов Закон за държавните помощи, с който се въвежда разпоредба за поддържане на административен капацитет от всички администратори на помощ, включително Управляващите органи по Оперативните програми, все още не е одобрен, то за да се гарантира изпълнението на т. 5 от Общите предварителни условия - „Държавни помощи“, задължение на Управляващия орган на ОПТТИ 2014-2020 г. е да изгражда и поддържа капацитет в областта на държавните помощи. </w:t>
      </w:r>
    </w:p>
    <w:p w14:paraId="450D2823" w14:textId="77777777" w:rsidR="00D603F5" w:rsidRPr="001B0EA3" w:rsidRDefault="00D603F5" w:rsidP="00046D61">
      <w:pPr>
        <w:rPr>
          <w:szCs w:val="24"/>
          <w:lang w:eastAsia="bg-BG"/>
        </w:rPr>
      </w:pPr>
      <w:r w:rsidRPr="001B0EA3">
        <w:rPr>
          <w:szCs w:val="24"/>
          <w:lang w:eastAsia="bg-BG"/>
        </w:rPr>
        <w:t xml:space="preserve">Идентифицираните проблеми със забавянето при провеждането на обществените поръчки за избор на изпълнители също </w:t>
      </w:r>
      <w:r w:rsidR="00EF5415" w:rsidRPr="001B0EA3">
        <w:rPr>
          <w:szCs w:val="24"/>
          <w:lang w:eastAsia="bg-BG"/>
        </w:rPr>
        <w:t>с</w:t>
      </w:r>
      <w:r w:rsidRPr="001B0EA3">
        <w:rPr>
          <w:szCs w:val="24"/>
          <w:lang w:eastAsia="bg-BG"/>
        </w:rPr>
        <w:t xml:space="preserve">а взети </w:t>
      </w:r>
      <w:r w:rsidR="00EF5415" w:rsidRPr="001B0EA3">
        <w:rPr>
          <w:szCs w:val="24"/>
          <w:lang w:eastAsia="bg-BG"/>
        </w:rPr>
        <w:t>предвид</w:t>
      </w:r>
      <w:r w:rsidRPr="001B0EA3">
        <w:rPr>
          <w:szCs w:val="24"/>
          <w:lang w:eastAsia="bg-BG"/>
        </w:rPr>
        <w:t xml:space="preserve"> при разработването на ОПТТИ 2014-2020. С цел максимално намаляване на риска от приключване на проектите в рамките на допустимия период на програмата усилията са насочени към провеждане на обществени поръчки за избор на изпълнители през първата й половина – до средата на 2018 г. Това ще даде възможност, както навременно приключване на </w:t>
      </w:r>
      <w:r w:rsidR="00EF5415" w:rsidRPr="001B0EA3">
        <w:rPr>
          <w:szCs w:val="24"/>
          <w:lang w:eastAsia="bg-BG"/>
        </w:rPr>
        <w:t>съответните</w:t>
      </w:r>
      <w:r w:rsidRPr="001B0EA3">
        <w:rPr>
          <w:szCs w:val="24"/>
          <w:lang w:eastAsia="bg-BG"/>
        </w:rPr>
        <w:t xml:space="preserve"> договори за изпълнение, така и последващите дейности, свързани с верифициране, сертифициране и одитиране на средствата от ЕС.</w:t>
      </w:r>
    </w:p>
    <w:p w14:paraId="24C9A786" w14:textId="77777777" w:rsidR="00D603F5" w:rsidRPr="001B0EA3" w:rsidRDefault="00D603F5" w:rsidP="00046D61">
      <w:pPr>
        <w:rPr>
          <w:szCs w:val="24"/>
          <w:lang w:eastAsia="bg-BG"/>
        </w:rPr>
      </w:pPr>
      <w:r w:rsidRPr="001B0EA3">
        <w:rPr>
          <w:szCs w:val="24"/>
          <w:lang w:eastAsia="bg-BG"/>
        </w:rPr>
        <w:t>При разработването на цялостната ОПТТИ 2014-2020 са взети под внимание  и отразени следните, приложими елементи на Позицията на службите на Комисията относно изготвянето на споразумение за партньорство и програми в България за периода 2014-2020 година:</w:t>
      </w:r>
    </w:p>
    <w:p w14:paraId="672C8D3A" w14:textId="77777777" w:rsidR="00D603F5" w:rsidRPr="001B0EA3" w:rsidRDefault="00D603F5" w:rsidP="00046D61">
      <w:pPr>
        <w:tabs>
          <w:tab w:val="left" w:pos="993"/>
        </w:tabs>
        <w:rPr>
          <w:szCs w:val="24"/>
          <w:lang w:eastAsia="bg-BG"/>
        </w:rPr>
      </w:pPr>
      <w:r w:rsidRPr="001B0EA3">
        <w:rPr>
          <w:szCs w:val="24"/>
          <w:lang w:eastAsia="bg-BG"/>
        </w:rPr>
        <w:t>-</w:t>
      </w:r>
      <w:r w:rsidRPr="001B0EA3">
        <w:rPr>
          <w:szCs w:val="24"/>
          <w:lang w:eastAsia="bg-BG"/>
        </w:rPr>
        <w:tab/>
        <w:t xml:space="preserve">Идентифицираните като основни предизвикателства недостатъчно развитие на инфраструктурата (не добра свързаност и недостатъчна поддръжка и реконструиране на </w:t>
      </w:r>
      <w:r w:rsidRPr="001B0EA3">
        <w:rPr>
          <w:szCs w:val="24"/>
          <w:lang w:eastAsia="bg-BG"/>
        </w:rPr>
        <w:lastRenderedPageBreak/>
        <w:t>националната и Трансевропейската транспортна мрежа; ниска международната достъпност на „основната”  Трансевропейска транспортна мрежа, включително железопътния, сухопътния, вътрешноводния и морския транспорт; лошото техническо състояние на железопътната инфраструктура), проблемите на бенефициентите на ОПТ 2007-2013 (с изключение на „Метрополитен“ ЕАД) по отношение на административния им капацитет за подготовка и за управление на проекти и необходимостта от цялостни реформи в сухопътния и железопътния сектор;</w:t>
      </w:r>
    </w:p>
    <w:p w14:paraId="3332EA33" w14:textId="77777777" w:rsidR="00D603F5" w:rsidRPr="001B0EA3" w:rsidRDefault="00D603F5" w:rsidP="00046D61">
      <w:pPr>
        <w:tabs>
          <w:tab w:val="left" w:pos="993"/>
        </w:tabs>
        <w:rPr>
          <w:szCs w:val="24"/>
          <w:lang w:eastAsia="bg-BG"/>
        </w:rPr>
      </w:pPr>
      <w:r w:rsidRPr="001B0EA3">
        <w:rPr>
          <w:szCs w:val="24"/>
          <w:lang w:eastAsia="bg-BG"/>
        </w:rPr>
        <w:t>-</w:t>
      </w:r>
      <w:r w:rsidRPr="001B0EA3">
        <w:rPr>
          <w:szCs w:val="24"/>
          <w:lang w:eastAsia="bg-BG"/>
        </w:rPr>
        <w:tab/>
        <w:t>Всички препоръки за насочване и пренасочване на инвестициите по определените от Комисията финансови приоритети „Модерна инфраструктура за растеж и работни места” и „Екологосъобразна икономика с ефективно използване на ресурсите”;</w:t>
      </w:r>
    </w:p>
    <w:p w14:paraId="434F713B" w14:textId="77777777" w:rsidR="00D603F5" w:rsidRPr="001B0EA3" w:rsidRDefault="00D603F5" w:rsidP="00046D61">
      <w:pPr>
        <w:tabs>
          <w:tab w:val="left" w:pos="993"/>
        </w:tabs>
        <w:rPr>
          <w:szCs w:val="24"/>
          <w:lang w:eastAsia="bg-BG"/>
        </w:rPr>
      </w:pPr>
      <w:r w:rsidRPr="001B0EA3">
        <w:rPr>
          <w:szCs w:val="24"/>
          <w:lang w:eastAsia="bg-BG"/>
        </w:rPr>
        <w:t>-</w:t>
      </w:r>
      <w:r w:rsidRPr="001B0EA3">
        <w:rPr>
          <w:szCs w:val="24"/>
          <w:lang w:eastAsia="bg-BG"/>
        </w:rPr>
        <w:tab/>
        <w:t>Специфичните предварителни условия, които са от решаващо значение за успешното изпълнение на горепосочения приоритет за финансиране, включително и на необходимостта от цялостен национален план за транспорта с изрична глава за развитие на железопътния транспорт, включващ подходящо приоритизиране на инвестициите в „основната” и „разширената” Трансевропейска транспортна мрежа и във второстепенната мрежа (включително обществения транспорт на регионално и местно равнище);</w:t>
      </w:r>
    </w:p>
    <w:p w14:paraId="59B7C1F1" w14:textId="77777777" w:rsidR="00D603F5" w:rsidRPr="001B0EA3" w:rsidRDefault="00D603F5" w:rsidP="00046D61">
      <w:pPr>
        <w:tabs>
          <w:tab w:val="left" w:pos="993"/>
        </w:tabs>
        <w:rPr>
          <w:szCs w:val="24"/>
          <w:lang w:eastAsia="bg-BG"/>
        </w:rPr>
      </w:pPr>
      <w:r w:rsidRPr="001B0EA3">
        <w:rPr>
          <w:szCs w:val="24"/>
          <w:lang w:eastAsia="bg-BG"/>
        </w:rPr>
        <w:t>-</w:t>
      </w:r>
      <w:r w:rsidRPr="001B0EA3">
        <w:rPr>
          <w:szCs w:val="24"/>
          <w:lang w:eastAsia="bg-BG"/>
        </w:rPr>
        <w:tab/>
        <w:t>Приоритетите за Европейско Териториално Сътрудничество и най-вече изискването да се включват целите на стратегията на ЕС за региона на река Дунав (EUSDR), като инвестиционните приоритети, които са от най-голямо значение за EUSDR в България, са връзките с Трансевропейската транспортна мрежа и подобряването на корабоплаването по река Дунав;</w:t>
      </w:r>
    </w:p>
    <w:p w14:paraId="79982EC3" w14:textId="77777777" w:rsidR="00D603F5" w:rsidRPr="001B0EA3" w:rsidRDefault="00D603F5" w:rsidP="00046D61">
      <w:pPr>
        <w:tabs>
          <w:tab w:val="left" w:pos="993"/>
        </w:tabs>
        <w:rPr>
          <w:szCs w:val="24"/>
          <w:lang w:eastAsia="bg-BG"/>
        </w:rPr>
      </w:pPr>
      <w:r w:rsidRPr="001B0EA3">
        <w:rPr>
          <w:szCs w:val="24"/>
          <w:lang w:eastAsia="bg-BG"/>
        </w:rPr>
        <w:t>-</w:t>
      </w:r>
      <w:r w:rsidRPr="001B0EA3">
        <w:rPr>
          <w:szCs w:val="24"/>
          <w:lang w:eastAsia="bg-BG"/>
        </w:rPr>
        <w:tab/>
        <w:t xml:space="preserve">Възможностите за допълване с други инструменти на ЕС и по-специално на Механизма за свързване на Европа (за финансиране на проекти във връзка с „основната” Трансевропейска транспортна мрежа, както и с изграждането на системи за управление на трафика или на връзки между различни видове транспорт) и съответните финансови инструменти за привличане на частни средства за изграждане на транспортна инфраструктура. Взета е под внимание и възможността за финансиране на финансовия недостиг за проектите по ОПТТИ от ЕИБ чрез заемни средства; </w:t>
      </w:r>
    </w:p>
    <w:p w14:paraId="5E46E47A" w14:textId="77777777" w:rsidR="00D603F5" w:rsidRPr="001B0EA3" w:rsidRDefault="00D603F5" w:rsidP="00046D61">
      <w:pPr>
        <w:tabs>
          <w:tab w:val="left" w:pos="993"/>
        </w:tabs>
        <w:rPr>
          <w:szCs w:val="24"/>
          <w:lang w:eastAsia="bg-BG"/>
        </w:rPr>
      </w:pPr>
      <w:r w:rsidRPr="001B0EA3">
        <w:rPr>
          <w:szCs w:val="24"/>
          <w:lang w:eastAsia="bg-BG"/>
        </w:rPr>
        <w:t>-</w:t>
      </w:r>
      <w:r w:rsidRPr="001B0EA3">
        <w:rPr>
          <w:szCs w:val="24"/>
          <w:lang w:eastAsia="bg-BG"/>
        </w:rPr>
        <w:tab/>
        <w:t>Разпоредбите за ефективно програмиране и изпълнение на програми;</w:t>
      </w:r>
    </w:p>
    <w:p w14:paraId="60B7FD0D" w14:textId="77777777" w:rsidR="00D603F5" w:rsidRPr="001B0EA3" w:rsidRDefault="00D603F5" w:rsidP="00046D61">
      <w:pPr>
        <w:tabs>
          <w:tab w:val="left" w:pos="993"/>
        </w:tabs>
        <w:rPr>
          <w:szCs w:val="24"/>
          <w:lang w:eastAsia="bg-BG"/>
        </w:rPr>
      </w:pPr>
      <w:r w:rsidRPr="001B0EA3">
        <w:rPr>
          <w:szCs w:val="24"/>
          <w:lang w:eastAsia="bg-BG"/>
        </w:rPr>
        <w:t>-</w:t>
      </w:r>
      <w:r w:rsidRPr="001B0EA3">
        <w:rPr>
          <w:szCs w:val="24"/>
          <w:lang w:eastAsia="bg-BG"/>
        </w:rPr>
        <w:tab/>
        <w:t>Оценката на нуждите от финансиране във връзка с тематичните цели;</w:t>
      </w:r>
    </w:p>
    <w:p w14:paraId="0D73C8AC" w14:textId="77777777" w:rsidR="00D603F5" w:rsidRPr="001B0EA3" w:rsidRDefault="00D603F5" w:rsidP="00046D61">
      <w:pPr>
        <w:tabs>
          <w:tab w:val="left" w:pos="993"/>
        </w:tabs>
        <w:rPr>
          <w:szCs w:val="24"/>
          <w:lang w:eastAsia="bg-BG"/>
        </w:rPr>
      </w:pPr>
      <w:r w:rsidRPr="001B0EA3">
        <w:rPr>
          <w:szCs w:val="24"/>
          <w:lang w:eastAsia="bg-BG"/>
        </w:rPr>
        <w:t>-</w:t>
      </w:r>
      <w:r w:rsidRPr="001B0EA3">
        <w:rPr>
          <w:szCs w:val="24"/>
          <w:lang w:eastAsia="bg-BG"/>
        </w:rPr>
        <w:tab/>
        <w:t>Административните разпоредби по отношение на административния капацитет, човешките ресурси, системите за управление и контрол, ефективността на процедурите, участието на заинтересовани страни и партньорството.</w:t>
      </w:r>
    </w:p>
    <w:p w14:paraId="2DE62602" w14:textId="77777777" w:rsidR="00D603F5" w:rsidRPr="001B0EA3" w:rsidRDefault="00D603F5" w:rsidP="00046D61">
      <w:pPr>
        <w:rPr>
          <w:szCs w:val="24"/>
        </w:rPr>
      </w:pPr>
    </w:p>
    <w:p w14:paraId="714CE50E" w14:textId="77777777" w:rsidR="00D603F5" w:rsidRPr="001B0EA3" w:rsidRDefault="00D603F5" w:rsidP="00046D61">
      <w:pPr>
        <w:rPr>
          <w:szCs w:val="24"/>
        </w:rPr>
      </w:pPr>
      <w:r w:rsidRPr="001B0EA3">
        <w:rPr>
          <w:szCs w:val="24"/>
        </w:rPr>
        <w:t>Изграждането и укрепването на административния капацитет на бенефициентите на програмата е част от цялостен цикъл, който може да бъде обобщен в следните стъпки:</w:t>
      </w:r>
    </w:p>
    <w:p w14:paraId="2DFC2B1F" w14:textId="77777777" w:rsidR="00D603F5" w:rsidRPr="001B0EA3" w:rsidRDefault="00D603F5" w:rsidP="00046D61">
      <w:pPr>
        <w:rPr>
          <w:b/>
          <w:szCs w:val="24"/>
        </w:rPr>
      </w:pPr>
    </w:p>
    <w:p w14:paraId="3E0F006E" w14:textId="77777777" w:rsidR="00D603F5" w:rsidRPr="001B0EA3" w:rsidRDefault="00D603F5" w:rsidP="00046D61">
      <w:pPr>
        <w:rPr>
          <w:szCs w:val="24"/>
        </w:rPr>
      </w:pPr>
      <w:r w:rsidRPr="001B0EA3">
        <w:rPr>
          <w:b/>
          <w:szCs w:val="24"/>
        </w:rPr>
        <w:t xml:space="preserve">Стъпка 1: </w:t>
      </w:r>
      <w:r w:rsidRPr="001B0EA3">
        <w:rPr>
          <w:szCs w:val="24"/>
        </w:rPr>
        <w:t>Оценка на наличния административния капацитет, вкл. идентифициране на текущото състояние на съответния бенефициент и определяне на области на подобрение.</w:t>
      </w:r>
    </w:p>
    <w:p w14:paraId="60905054" w14:textId="77777777" w:rsidR="00D603F5" w:rsidRPr="001B0EA3" w:rsidRDefault="00D603F5" w:rsidP="00046D61">
      <w:pPr>
        <w:rPr>
          <w:szCs w:val="24"/>
        </w:rPr>
      </w:pPr>
      <w:r w:rsidRPr="001B0EA3">
        <w:rPr>
          <w:b/>
          <w:szCs w:val="24"/>
        </w:rPr>
        <w:t xml:space="preserve">Стъпка 2: </w:t>
      </w:r>
      <w:r w:rsidRPr="001B0EA3">
        <w:rPr>
          <w:szCs w:val="24"/>
        </w:rPr>
        <w:t>Определяне на подходящи мерки/стратегии за укрепване и подобряване на административния капацитет</w:t>
      </w:r>
    </w:p>
    <w:p w14:paraId="1B669496" w14:textId="77777777" w:rsidR="00D603F5" w:rsidRPr="001B0EA3" w:rsidRDefault="00D603F5" w:rsidP="00046D61">
      <w:pPr>
        <w:rPr>
          <w:szCs w:val="24"/>
        </w:rPr>
      </w:pPr>
      <w:r w:rsidRPr="001B0EA3">
        <w:rPr>
          <w:b/>
          <w:szCs w:val="24"/>
        </w:rPr>
        <w:t xml:space="preserve">Стъпка 3: </w:t>
      </w:r>
      <w:r w:rsidRPr="001B0EA3">
        <w:rPr>
          <w:szCs w:val="24"/>
        </w:rPr>
        <w:t>Изпълнение на мерките/стратегиите за укрепване на административния капацитет</w:t>
      </w:r>
    </w:p>
    <w:p w14:paraId="495F11D0" w14:textId="77777777" w:rsidR="00D603F5" w:rsidRPr="001B0EA3" w:rsidRDefault="00D603F5" w:rsidP="00046D61">
      <w:pPr>
        <w:rPr>
          <w:szCs w:val="24"/>
        </w:rPr>
      </w:pPr>
      <w:r w:rsidRPr="001B0EA3">
        <w:rPr>
          <w:b/>
          <w:szCs w:val="24"/>
        </w:rPr>
        <w:t xml:space="preserve">Стъпка 4: </w:t>
      </w:r>
      <w:r w:rsidRPr="001B0EA3">
        <w:rPr>
          <w:szCs w:val="24"/>
        </w:rPr>
        <w:t>Мониторинг и проследяване на постигнатите резултати от изпълнението на мерките/стратегиите за упрекване на административния капацитет.</w:t>
      </w:r>
    </w:p>
    <w:p w14:paraId="5F3B31CD" w14:textId="77777777" w:rsidR="00D603F5" w:rsidRPr="001B0EA3" w:rsidRDefault="00D603F5" w:rsidP="00046D61">
      <w:pPr>
        <w:rPr>
          <w:szCs w:val="24"/>
        </w:rPr>
      </w:pPr>
    </w:p>
    <w:p w14:paraId="7CF26C1F" w14:textId="77777777" w:rsidR="00D603F5" w:rsidRPr="001B0EA3" w:rsidRDefault="00D603F5" w:rsidP="00046D61">
      <w:pPr>
        <w:spacing w:before="120"/>
        <w:rPr>
          <w:b/>
          <w:szCs w:val="24"/>
        </w:rPr>
      </w:pPr>
      <w:r w:rsidRPr="001B0EA3">
        <w:rPr>
          <w:b/>
          <w:szCs w:val="24"/>
        </w:rPr>
        <w:t xml:space="preserve">Стъпка 1: </w:t>
      </w:r>
    </w:p>
    <w:p w14:paraId="7B2ADB9E" w14:textId="77777777" w:rsidR="00D603F5" w:rsidRPr="001B0EA3" w:rsidRDefault="00D603F5" w:rsidP="00046D61">
      <w:pPr>
        <w:rPr>
          <w:szCs w:val="24"/>
        </w:rPr>
      </w:pPr>
      <w:r w:rsidRPr="001B0EA3">
        <w:rPr>
          <w:szCs w:val="24"/>
        </w:rPr>
        <w:t>С оглед провеждането на регулярни оценки на състоянието на административния капацитет на бенефициентите по програмата да управляват и изпълняват проектите по ОП „Транспорт и транспортна инфраструктура“ 2014 – 2020 г., ще бъдат идентифицирани и проследявани следните типове капацитет отнасящи се до работата на съответната институция:</w:t>
      </w:r>
    </w:p>
    <w:p w14:paraId="36382E11" w14:textId="77777777" w:rsidR="00D603F5" w:rsidRPr="001B0EA3" w:rsidRDefault="00D603F5" w:rsidP="005455E4">
      <w:pPr>
        <w:pStyle w:val="ListParagraph"/>
        <w:numPr>
          <w:ilvl w:val="0"/>
          <w:numId w:val="75"/>
        </w:numPr>
        <w:tabs>
          <w:tab w:val="left" w:pos="1134"/>
        </w:tabs>
        <w:spacing w:after="200"/>
        <w:ind w:left="0" w:firstLine="851"/>
        <w:rPr>
          <w:szCs w:val="24"/>
        </w:rPr>
      </w:pPr>
      <w:r w:rsidRPr="001B0EA3">
        <w:rPr>
          <w:i/>
          <w:szCs w:val="24"/>
        </w:rPr>
        <w:lastRenderedPageBreak/>
        <w:t>Институционален капацитет</w:t>
      </w:r>
      <w:r w:rsidRPr="001B0EA3">
        <w:rPr>
          <w:szCs w:val="24"/>
        </w:rPr>
        <w:t xml:space="preserve"> – вкл. преглед и оценка на нормативната база – законови и подзаконови нормативни актове и политиките на национално ниво регулиращи работата на съответните бенефициенти на програмата. При извършване на прегледа и оценката на нормативната база и политиките ще бъде обърнато специално внимание на предоставяната информация от страна на бенефициентите отнасяща се до областите на подобрение на институционално ниво, за гарантиране на по – ефективно управление и изпълнение на проектите им по ОП „Транспорт и транспортна инфраструктура“ 2014 – 2020 г.</w:t>
      </w:r>
    </w:p>
    <w:p w14:paraId="244C0AC9" w14:textId="77777777" w:rsidR="00D603F5" w:rsidRPr="001B0EA3" w:rsidRDefault="00D603F5" w:rsidP="005455E4">
      <w:pPr>
        <w:pStyle w:val="ListParagraph"/>
        <w:numPr>
          <w:ilvl w:val="0"/>
          <w:numId w:val="75"/>
        </w:numPr>
        <w:tabs>
          <w:tab w:val="left" w:pos="1134"/>
        </w:tabs>
        <w:spacing w:after="200"/>
        <w:ind w:left="0" w:firstLine="851"/>
        <w:rPr>
          <w:szCs w:val="24"/>
        </w:rPr>
      </w:pPr>
      <w:r w:rsidRPr="001B0EA3">
        <w:rPr>
          <w:i/>
          <w:szCs w:val="24"/>
        </w:rPr>
        <w:t>Организационен капацитет</w:t>
      </w:r>
      <w:r w:rsidRPr="001B0EA3">
        <w:rPr>
          <w:szCs w:val="24"/>
        </w:rPr>
        <w:t xml:space="preserve"> – вкл.  описание на организационните ангажименти на съответния бенефициент по ОПТТИ и по – конкретно, предоставяне на информация за административните звена за изпълнение на проектите, в съответствие с функциите на бенефициента/Звена за изпълнение на проекти; описание на функциите на административните звена – съответствие на функциите на административните звена с установената структура на бенефициентите, броя на служителите, ангажирани с дейности по ОПТТИ и текущия статус на проектите. Генериране на предложения от страна на бенефициентите на ОПТТИ за оптимизация и формулиране на области на подобрение на вътрешните документи, регулиращи изпълнение на проектите по програмата – Процедурни наръчници, Оперативни споразумения и др.;</w:t>
      </w:r>
    </w:p>
    <w:p w14:paraId="144674DF" w14:textId="77777777" w:rsidR="00D603F5" w:rsidRPr="001B0EA3" w:rsidRDefault="00D603F5" w:rsidP="005455E4">
      <w:pPr>
        <w:pStyle w:val="ListParagraph"/>
        <w:numPr>
          <w:ilvl w:val="0"/>
          <w:numId w:val="75"/>
        </w:numPr>
        <w:tabs>
          <w:tab w:val="left" w:pos="1134"/>
        </w:tabs>
        <w:spacing w:after="200"/>
        <w:ind w:left="0" w:firstLine="851"/>
        <w:rPr>
          <w:szCs w:val="24"/>
        </w:rPr>
      </w:pPr>
      <w:r w:rsidRPr="001B0EA3">
        <w:rPr>
          <w:i/>
          <w:szCs w:val="24"/>
        </w:rPr>
        <w:t xml:space="preserve">Индивидуален капацитет – </w:t>
      </w:r>
      <w:r w:rsidRPr="001B0EA3">
        <w:rPr>
          <w:szCs w:val="24"/>
        </w:rPr>
        <w:t>вкл. предоставяне на информация за броя на служителите на бенефициентите, ангажирани с изпълнението на проектите (за всяко административно звено), движение на персонала – новодошли, напуснали, повишени, свободни позиции (за всяко административни звено); имат ли бенефициентите съществуващи процедури за набелязване и подбор на квалифициран персонал; съществуващи механизми за оценка на представянето – атестации и т.н.; описание на предвидените стимули за насърчаване на доброто представяне на служителите; квалификация и опит на служителите на бенефициентите в сферата на изпълнение на проекти; съществуващи нужди от обучения и планове за обучения на всеки от бенефициентите; описание на други мерки и програми за развитие на уменията и компетенциите на служителите ангажирани с дейности по ОПТТИ 2014 – 2020 г.</w:t>
      </w:r>
    </w:p>
    <w:p w14:paraId="6DFE5D29" w14:textId="77777777" w:rsidR="00D603F5" w:rsidRPr="001B0EA3" w:rsidRDefault="00D603F5" w:rsidP="005455E4">
      <w:pPr>
        <w:tabs>
          <w:tab w:val="left" w:pos="1134"/>
        </w:tabs>
        <w:spacing w:before="120"/>
        <w:rPr>
          <w:b/>
          <w:szCs w:val="24"/>
        </w:rPr>
      </w:pPr>
      <w:r w:rsidRPr="001B0EA3">
        <w:rPr>
          <w:b/>
          <w:szCs w:val="24"/>
        </w:rPr>
        <w:t>Стъпка 2:</w:t>
      </w:r>
    </w:p>
    <w:p w14:paraId="5248D90B" w14:textId="77777777" w:rsidR="00D603F5" w:rsidRPr="001B0EA3" w:rsidRDefault="00D603F5" w:rsidP="005455E4">
      <w:pPr>
        <w:tabs>
          <w:tab w:val="left" w:pos="1134"/>
        </w:tabs>
        <w:rPr>
          <w:szCs w:val="24"/>
        </w:rPr>
      </w:pPr>
      <w:r w:rsidRPr="001B0EA3">
        <w:rPr>
          <w:szCs w:val="24"/>
        </w:rPr>
        <w:t>На база събраната информация за капацитета на бенефициентите по ОП „Транспорт и транспортна инфраструктура“ 2014 -  2020 г., Управляващия орган на програмата ще идентифицира и предложи подходящи мерки/стратегии за укрепване и подобряване на административния капацитет на всеки от бенефициентите.  Предложените стратегии/мерки ще бъдат обсъдени с бенефициентите, с оглед постигане на съгласуваност.  Идентифицираните и предложени мерки и стратегии за укрепване и подобряване на административния капацитет на бенефициентите ще бъде оформен във вид на периодични доклади (6 месечни). Заключенията и препоръките, съдържащи се в докладите ще бъдат обсъждани на периодични срещи между УО на ОПТТИ и бенефициентите на програмата.</w:t>
      </w:r>
    </w:p>
    <w:p w14:paraId="4FBB4B3E" w14:textId="77777777" w:rsidR="00D603F5" w:rsidRPr="001B0EA3" w:rsidRDefault="00D603F5" w:rsidP="005455E4">
      <w:pPr>
        <w:tabs>
          <w:tab w:val="left" w:pos="1134"/>
        </w:tabs>
        <w:spacing w:before="120"/>
        <w:rPr>
          <w:b/>
          <w:szCs w:val="24"/>
        </w:rPr>
      </w:pPr>
      <w:r w:rsidRPr="001B0EA3">
        <w:rPr>
          <w:b/>
          <w:szCs w:val="24"/>
        </w:rPr>
        <w:t>Стъпка 3:</w:t>
      </w:r>
    </w:p>
    <w:p w14:paraId="5F4277F7" w14:textId="77777777" w:rsidR="00D603F5" w:rsidRPr="001B0EA3" w:rsidRDefault="00D603F5" w:rsidP="005455E4">
      <w:pPr>
        <w:tabs>
          <w:tab w:val="left" w:pos="1134"/>
        </w:tabs>
        <w:rPr>
          <w:szCs w:val="24"/>
        </w:rPr>
      </w:pPr>
      <w:r w:rsidRPr="001B0EA3">
        <w:rPr>
          <w:szCs w:val="24"/>
        </w:rPr>
        <w:t xml:space="preserve">След комуникиране на предложените мерки и стратегии за подобряване на административния капацитет на бенефициентите, те следва да се ангажират с тяхното внедряване на практика, с оглед постигане на ефективност и ефикасност на управлението на проектите по ОП „Транспорт и транспортна инфраструктура“ 2014 – 2020 г. </w:t>
      </w:r>
    </w:p>
    <w:p w14:paraId="140134E5" w14:textId="77777777" w:rsidR="00D603F5" w:rsidRPr="001B0EA3" w:rsidRDefault="00D603F5" w:rsidP="005455E4">
      <w:pPr>
        <w:tabs>
          <w:tab w:val="left" w:pos="1134"/>
        </w:tabs>
        <w:spacing w:before="120"/>
        <w:rPr>
          <w:b/>
          <w:szCs w:val="24"/>
        </w:rPr>
      </w:pPr>
      <w:r w:rsidRPr="001B0EA3">
        <w:rPr>
          <w:b/>
          <w:szCs w:val="24"/>
        </w:rPr>
        <w:t>Стъпка 4:</w:t>
      </w:r>
    </w:p>
    <w:p w14:paraId="0D56F9D4" w14:textId="77777777" w:rsidR="00D603F5" w:rsidRPr="001B0EA3" w:rsidRDefault="00D603F5" w:rsidP="005455E4">
      <w:pPr>
        <w:tabs>
          <w:tab w:val="left" w:pos="1134"/>
        </w:tabs>
        <w:rPr>
          <w:szCs w:val="24"/>
        </w:rPr>
      </w:pPr>
      <w:r w:rsidRPr="001B0EA3">
        <w:rPr>
          <w:szCs w:val="24"/>
        </w:rPr>
        <w:t xml:space="preserve">Мониторингът и проследяването постигнатите резултати от изпълнението на мерките/стратегиите за упрекване на административния капацитет ще се извършва посредством регулярните оценки извършвани от УО на ОПТТИ 2014 – 2020 г. (на 6 месеца). Там, където Управляващия орган идентифицира съществуващи слабости, те ще бъдат включени с последващите периодични доклади. </w:t>
      </w:r>
    </w:p>
    <w:p w14:paraId="5CBAFC2D" w14:textId="77777777" w:rsidR="00D603F5" w:rsidRPr="001B0EA3" w:rsidRDefault="00D603F5" w:rsidP="005455E4">
      <w:pPr>
        <w:tabs>
          <w:tab w:val="left" w:pos="1134"/>
        </w:tabs>
        <w:rPr>
          <w:szCs w:val="24"/>
        </w:rPr>
      </w:pPr>
      <w:r w:rsidRPr="001B0EA3">
        <w:rPr>
          <w:szCs w:val="24"/>
        </w:rPr>
        <w:lastRenderedPageBreak/>
        <w:t>За отразяване на предложенията и областите за подобрение, предоставени от бенефициентите по отношение на институционалния капацитет – съществуваща нормативна база и политики, ще се ангажира Управляващия орган на ОПТТИ, като ги отнася до съответните институции и органи на национално ниво.</w:t>
      </w:r>
    </w:p>
    <w:p w14:paraId="0C69331A" w14:textId="77777777" w:rsidR="00D603F5" w:rsidRPr="001B0EA3" w:rsidRDefault="00D603F5" w:rsidP="005455E4">
      <w:pPr>
        <w:tabs>
          <w:tab w:val="left" w:pos="1134"/>
        </w:tabs>
        <w:rPr>
          <w:szCs w:val="24"/>
        </w:rPr>
      </w:pPr>
      <w:r w:rsidRPr="001B0EA3">
        <w:rPr>
          <w:i/>
          <w:szCs w:val="24"/>
        </w:rPr>
        <w:t>Заключение:</w:t>
      </w:r>
      <w:r w:rsidR="00BB3C1F" w:rsidRPr="001B0EA3">
        <w:rPr>
          <w:i/>
          <w:szCs w:val="24"/>
        </w:rPr>
        <w:t xml:space="preserve"> </w:t>
      </w:r>
      <w:r w:rsidRPr="001B0EA3">
        <w:rPr>
          <w:szCs w:val="24"/>
        </w:rPr>
        <w:t xml:space="preserve">Резултатите от изготвените доклади за подобряване на административния капацитет на бенефициентите ще бъдат представени на кратко на срещите на Мониторинговите комитети по програмата. </w:t>
      </w:r>
    </w:p>
    <w:p w14:paraId="3ADA1D60" w14:textId="77777777" w:rsidR="00BA2A78" w:rsidRPr="001B0EA3" w:rsidRDefault="00BA2A78" w:rsidP="005455E4">
      <w:pPr>
        <w:tabs>
          <w:tab w:val="left" w:pos="1134"/>
        </w:tabs>
        <w:spacing w:before="120"/>
        <w:rPr>
          <w:b/>
          <w:szCs w:val="24"/>
          <w:lang w:eastAsia="bg-BG"/>
        </w:rPr>
      </w:pPr>
      <w:r w:rsidRPr="001B0EA3">
        <w:rPr>
          <w:b/>
          <w:szCs w:val="24"/>
          <w:lang w:eastAsia="bg-BG"/>
        </w:rPr>
        <w:t>Дейности, насочени към укрепване и повишаване на административния капацитет</w:t>
      </w:r>
    </w:p>
    <w:p w14:paraId="5CA5B6CD" w14:textId="77777777" w:rsidR="00BA2A78" w:rsidRPr="001B0EA3" w:rsidRDefault="00BA2A78" w:rsidP="005455E4">
      <w:pPr>
        <w:tabs>
          <w:tab w:val="left" w:pos="1134"/>
        </w:tabs>
        <w:rPr>
          <w:szCs w:val="24"/>
          <w:lang w:eastAsia="bg-BG"/>
        </w:rPr>
      </w:pPr>
      <w:r w:rsidRPr="001B0EA3">
        <w:rPr>
          <w:szCs w:val="24"/>
          <w:lang w:eastAsia="bg-BG"/>
        </w:rPr>
        <w:t xml:space="preserve">Организацията и провеждането на обучение и квалификация в  </w:t>
      </w:r>
      <w:r w:rsidR="00BB6BF6">
        <w:rPr>
          <w:szCs w:val="24"/>
          <w:lang w:eastAsia="bg-BG"/>
        </w:rPr>
        <w:t>МТС</w:t>
      </w:r>
      <w:r w:rsidRPr="001B0EA3">
        <w:rPr>
          <w:szCs w:val="24"/>
          <w:lang w:eastAsia="bg-BG"/>
        </w:rPr>
        <w:t xml:space="preserve"> е определена в Вътрешни правила за реда и условията за обучение и квалификация на служителите в </w:t>
      </w:r>
      <w:r w:rsidR="00D34044">
        <w:rPr>
          <w:szCs w:val="24"/>
          <w:lang w:eastAsia="bg-BG"/>
        </w:rPr>
        <w:t>Министерството на транспорта и съобщенията</w:t>
      </w:r>
      <w:r w:rsidRPr="001B0EA3">
        <w:rPr>
          <w:szCs w:val="24"/>
          <w:lang w:eastAsia="bg-BG"/>
        </w:rPr>
        <w:t xml:space="preserve"> № ВП-3от 16.02.2015 г.</w:t>
      </w:r>
    </w:p>
    <w:p w14:paraId="5C62C8E3" w14:textId="77777777" w:rsidR="00BA2A78" w:rsidRPr="001B0EA3" w:rsidRDefault="00BA2A78" w:rsidP="005455E4">
      <w:pPr>
        <w:shd w:val="clear" w:color="auto" w:fill="FFFFFF"/>
        <w:tabs>
          <w:tab w:val="left" w:pos="1134"/>
        </w:tabs>
        <w:autoSpaceDE w:val="0"/>
        <w:autoSpaceDN w:val="0"/>
        <w:adjustRightInd w:val="0"/>
        <w:contextualSpacing/>
        <w:rPr>
          <w:szCs w:val="24"/>
        </w:rPr>
      </w:pPr>
      <w:r w:rsidRPr="001B0EA3">
        <w:rPr>
          <w:szCs w:val="24"/>
        </w:rPr>
        <w:t xml:space="preserve">Обучението на служителите, в съответствие със стратегическите и оперативни цели на </w:t>
      </w:r>
      <w:r w:rsidR="00BB6BF6">
        <w:rPr>
          <w:szCs w:val="24"/>
        </w:rPr>
        <w:t>МТС</w:t>
      </w:r>
      <w:r w:rsidRPr="001B0EA3">
        <w:rPr>
          <w:szCs w:val="24"/>
        </w:rPr>
        <w:t xml:space="preserve"> се реализира, чрез участието на служителите в:</w:t>
      </w:r>
    </w:p>
    <w:p w14:paraId="54C19451" w14:textId="77777777" w:rsidR="00BA2A78" w:rsidRPr="001B0EA3" w:rsidRDefault="00BA2A78" w:rsidP="005455E4">
      <w:pPr>
        <w:numPr>
          <w:ilvl w:val="0"/>
          <w:numId w:val="175"/>
        </w:numPr>
        <w:shd w:val="clear" w:color="auto" w:fill="FFFFFF"/>
        <w:autoSpaceDE w:val="0"/>
        <w:autoSpaceDN w:val="0"/>
        <w:adjustRightInd w:val="0"/>
        <w:spacing w:after="200"/>
        <w:ind w:left="1134" w:hanging="283"/>
        <w:contextualSpacing/>
        <w:rPr>
          <w:bCs/>
          <w:szCs w:val="24"/>
        </w:rPr>
      </w:pPr>
      <w:r w:rsidRPr="001B0EA3">
        <w:rPr>
          <w:bCs/>
          <w:szCs w:val="24"/>
        </w:rPr>
        <w:t>въвеждащо обучение на постъпили за първи път на държавна служба и назначени за първи път на ръководна длъжност;</w:t>
      </w:r>
    </w:p>
    <w:p w14:paraId="2163B7D3" w14:textId="77777777" w:rsidR="00BA2A78" w:rsidRPr="001B0EA3" w:rsidRDefault="00BA2A78" w:rsidP="005455E4">
      <w:pPr>
        <w:numPr>
          <w:ilvl w:val="0"/>
          <w:numId w:val="175"/>
        </w:numPr>
        <w:shd w:val="clear" w:color="auto" w:fill="FFFFFF"/>
        <w:autoSpaceDE w:val="0"/>
        <w:autoSpaceDN w:val="0"/>
        <w:adjustRightInd w:val="0"/>
        <w:spacing w:after="200"/>
        <w:ind w:left="1134" w:hanging="283"/>
        <w:contextualSpacing/>
        <w:rPr>
          <w:bCs/>
          <w:szCs w:val="24"/>
        </w:rPr>
      </w:pPr>
      <w:r w:rsidRPr="001B0EA3">
        <w:rPr>
          <w:bCs/>
          <w:szCs w:val="24"/>
        </w:rPr>
        <w:t>придобиване или повишаване на образователно-квалификационна или образователна степен във висши учебни заведения без откъсване от работа;</w:t>
      </w:r>
    </w:p>
    <w:p w14:paraId="098FEFAC" w14:textId="77777777" w:rsidR="00BA2A78" w:rsidRPr="001B0EA3" w:rsidRDefault="00BA2A78" w:rsidP="005455E4">
      <w:pPr>
        <w:numPr>
          <w:ilvl w:val="0"/>
          <w:numId w:val="175"/>
        </w:numPr>
        <w:shd w:val="clear" w:color="auto" w:fill="FFFFFF"/>
        <w:autoSpaceDE w:val="0"/>
        <w:autoSpaceDN w:val="0"/>
        <w:adjustRightInd w:val="0"/>
        <w:spacing w:after="200"/>
        <w:ind w:left="1134" w:hanging="283"/>
        <w:contextualSpacing/>
        <w:rPr>
          <w:bCs/>
          <w:szCs w:val="24"/>
        </w:rPr>
      </w:pPr>
      <w:r w:rsidRPr="001B0EA3">
        <w:rPr>
          <w:bCs/>
          <w:szCs w:val="24"/>
        </w:rPr>
        <w:t>обучение на работното място от по-опитен служител - наставничество;</w:t>
      </w:r>
    </w:p>
    <w:p w14:paraId="71EA610A" w14:textId="77777777" w:rsidR="00BA2A78" w:rsidRPr="001B0EA3" w:rsidRDefault="00BA2A78" w:rsidP="005455E4">
      <w:pPr>
        <w:numPr>
          <w:ilvl w:val="0"/>
          <w:numId w:val="175"/>
        </w:numPr>
        <w:shd w:val="clear" w:color="auto" w:fill="FFFFFF"/>
        <w:autoSpaceDE w:val="0"/>
        <w:autoSpaceDN w:val="0"/>
        <w:adjustRightInd w:val="0"/>
        <w:spacing w:after="200"/>
        <w:ind w:left="1134" w:hanging="283"/>
        <w:contextualSpacing/>
        <w:rPr>
          <w:bCs/>
          <w:szCs w:val="24"/>
        </w:rPr>
      </w:pPr>
      <w:r w:rsidRPr="001B0EA3">
        <w:rPr>
          <w:bCs/>
          <w:szCs w:val="24"/>
        </w:rPr>
        <w:t>други форми на обучение във връзка с настъпили законодателни промени;</w:t>
      </w:r>
    </w:p>
    <w:p w14:paraId="4799A861" w14:textId="77777777" w:rsidR="00BA2A78" w:rsidRPr="001B0EA3" w:rsidRDefault="00BA2A78" w:rsidP="005455E4">
      <w:pPr>
        <w:numPr>
          <w:ilvl w:val="0"/>
          <w:numId w:val="175"/>
        </w:numPr>
        <w:shd w:val="clear" w:color="auto" w:fill="FFFFFF"/>
        <w:autoSpaceDE w:val="0"/>
        <w:autoSpaceDN w:val="0"/>
        <w:adjustRightInd w:val="0"/>
        <w:spacing w:after="200"/>
        <w:ind w:left="1134" w:hanging="283"/>
        <w:contextualSpacing/>
        <w:rPr>
          <w:bCs/>
          <w:szCs w:val="24"/>
        </w:rPr>
      </w:pPr>
      <w:r w:rsidRPr="001B0EA3">
        <w:rPr>
          <w:bCs/>
          <w:szCs w:val="24"/>
        </w:rPr>
        <w:t>други обучения за професионално развитие и квалификация;</w:t>
      </w:r>
    </w:p>
    <w:p w14:paraId="6CDD72DE" w14:textId="77777777" w:rsidR="00BA2A78" w:rsidRPr="001B0EA3" w:rsidRDefault="00BA2A78" w:rsidP="005455E4">
      <w:pPr>
        <w:numPr>
          <w:ilvl w:val="0"/>
          <w:numId w:val="175"/>
        </w:numPr>
        <w:shd w:val="clear" w:color="auto" w:fill="FFFFFF"/>
        <w:autoSpaceDE w:val="0"/>
        <w:autoSpaceDN w:val="0"/>
        <w:adjustRightInd w:val="0"/>
        <w:spacing w:after="200"/>
        <w:ind w:left="1134" w:hanging="283"/>
        <w:contextualSpacing/>
        <w:rPr>
          <w:bCs/>
          <w:szCs w:val="24"/>
        </w:rPr>
      </w:pPr>
      <w:r w:rsidRPr="001B0EA3">
        <w:rPr>
          <w:bCs/>
          <w:szCs w:val="24"/>
        </w:rPr>
        <w:t>дългосрочни специализации и обучения, предлагани от български  и международни организации;</w:t>
      </w:r>
    </w:p>
    <w:p w14:paraId="068CA27E" w14:textId="77777777" w:rsidR="00BA2A78" w:rsidRPr="001B0EA3" w:rsidRDefault="00BA2A78" w:rsidP="005455E4">
      <w:pPr>
        <w:numPr>
          <w:ilvl w:val="0"/>
          <w:numId w:val="175"/>
        </w:numPr>
        <w:shd w:val="clear" w:color="auto" w:fill="FFFFFF"/>
        <w:autoSpaceDE w:val="0"/>
        <w:autoSpaceDN w:val="0"/>
        <w:adjustRightInd w:val="0"/>
        <w:spacing w:after="200"/>
        <w:ind w:left="1134" w:hanging="283"/>
        <w:contextualSpacing/>
        <w:rPr>
          <w:bCs/>
          <w:szCs w:val="24"/>
        </w:rPr>
      </w:pPr>
      <w:r w:rsidRPr="001B0EA3">
        <w:rPr>
          <w:bCs/>
          <w:szCs w:val="24"/>
        </w:rPr>
        <w:t>курсове за подобряване на компютърни умения;</w:t>
      </w:r>
    </w:p>
    <w:p w14:paraId="5C42685B" w14:textId="77777777" w:rsidR="00BA2A78" w:rsidRPr="001B0EA3" w:rsidRDefault="00BA2A78" w:rsidP="005455E4">
      <w:pPr>
        <w:numPr>
          <w:ilvl w:val="0"/>
          <w:numId w:val="175"/>
        </w:numPr>
        <w:shd w:val="clear" w:color="auto" w:fill="FFFFFF"/>
        <w:autoSpaceDE w:val="0"/>
        <w:autoSpaceDN w:val="0"/>
        <w:adjustRightInd w:val="0"/>
        <w:spacing w:after="200"/>
        <w:ind w:left="1134" w:hanging="283"/>
        <w:contextualSpacing/>
        <w:rPr>
          <w:bCs/>
          <w:szCs w:val="24"/>
        </w:rPr>
      </w:pPr>
      <w:r w:rsidRPr="001B0EA3">
        <w:rPr>
          <w:bCs/>
          <w:szCs w:val="24"/>
        </w:rPr>
        <w:t>езиково обучение;</w:t>
      </w:r>
    </w:p>
    <w:p w14:paraId="7AAA47D1" w14:textId="77777777" w:rsidR="00BA2A78" w:rsidRPr="001B0EA3" w:rsidRDefault="00BA2A78" w:rsidP="005455E4">
      <w:pPr>
        <w:numPr>
          <w:ilvl w:val="0"/>
          <w:numId w:val="175"/>
        </w:numPr>
        <w:shd w:val="clear" w:color="auto" w:fill="FFFFFF"/>
        <w:autoSpaceDE w:val="0"/>
        <w:autoSpaceDN w:val="0"/>
        <w:adjustRightInd w:val="0"/>
        <w:spacing w:after="200"/>
        <w:ind w:left="1134" w:hanging="283"/>
        <w:contextualSpacing/>
        <w:rPr>
          <w:bCs/>
          <w:szCs w:val="24"/>
        </w:rPr>
      </w:pPr>
      <w:r w:rsidRPr="001B0EA3">
        <w:rPr>
          <w:bCs/>
          <w:szCs w:val="24"/>
        </w:rPr>
        <w:t>курсове, семинари, конференции, самоподготовка и други форми на обучение</w:t>
      </w:r>
    </w:p>
    <w:p w14:paraId="7192182E" w14:textId="77777777" w:rsidR="00BA2A78" w:rsidRPr="001B0EA3" w:rsidRDefault="00BA2A78" w:rsidP="00CC313F">
      <w:pPr>
        <w:shd w:val="clear" w:color="auto" w:fill="FFFFFF"/>
        <w:autoSpaceDE w:val="0"/>
        <w:autoSpaceDN w:val="0"/>
        <w:adjustRightInd w:val="0"/>
        <w:ind w:firstLine="731"/>
        <w:contextualSpacing/>
        <w:rPr>
          <w:szCs w:val="24"/>
        </w:rPr>
      </w:pPr>
      <w:r w:rsidRPr="001B0EA3">
        <w:rPr>
          <w:szCs w:val="24"/>
        </w:rPr>
        <w:t xml:space="preserve"> Съгласно Закона за държавния служител органът по назначаването осигурява условия за повишаване на професионалната квалификация и преквалификация на държавния служител. Обучението за повишаване на професионалната квалификация и преквалификация на служителите в държавната администрация се осъществява от Института по публична администрация, който е юридическо лице към Министерския съвет.</w:t>
      </w:r>
    </w:p>
    <w:p w14:paraId="0CB69546" w14:textId="77777777" w:rsidR="00BA2A78" w:rsidRPr="001B0EA3" w:rsidRDefault="00BA2A78" w:rsidP="00CC313F">
      <w:pPr>
        <w:shd w:val="clear" w:color="auto" w:fill="FFFFFF"/>
        <w:autoSpaceDE w:val="0"/>
        <w:autoSpaceDN w:val="0"/>
        <w:adjustRightInd w:val="0"/>
        <w:ind w:firstLine="731"/>
        <w:contextualSpacing/>
        <w:rPr>
          <w:szCs w:val="24"/>
        </w:rPr>
      </w:pPr>
      <w:r w:rsidRPr="001B0EA3">
        <w:rPr>
          <w:szCs w:val="24"/>
        </w:rPr>
        <w:t xml:space="preserve">Дирекция „Човешки ресурси“ в </w:t>
      </w:r>
      <w:r w:rsidR="00BB6BF6">
        <w:rPr>
          <w:szCs w:val="24"/>
        </w:rPr>
        <w:t>МТС</w:t>
      </w:r>
      <w:r w:rsidRPr="001B0EA3">
        <w:rPr>
          <w:szCs w:val="24"/>
        </w:rPr>
        <w:t>, организира дейностите, свързани с въвеждащо обучение и за повишаване на професионална квалификация, провеждани от Института по публична администрация (ИПА). ИПА подпомага развитието на служителите, чрез организиране на следните основни групи обучения:</w:t>
      </w:r>
    </w:p>
    <w:p w14:paraId="53895BF2" w14:textId="77777777" w:rsidR="00BA2A78" w:rsidRPr="001B0EA3" w:rsidRDefault="00BA2A78" w:rsidP="00CC313F">
      <w:pPr>
        <w:shd w:val="clear" w:color="auto" w:fill="FFFFFF"/>
        <w:autoSpaceDE w:val="0"/>
        <w:autoSpaceDN w:val="0"/>
        <w:adjustRightInd w:val="0"/>
        <w:contextualSpacing/>
        <w:rPr>
          <w:szCs w:val="24"/>
        </w:rPr>
      </w:pPr>
      <w:r w:rsidRPr="001B0EA3">
        <w:rPr>
          <w:szCs w:val="24"/>
        </w:rPr>
        <w:t xml:space="preserve"> </w:t>
      </w:r>
    </w:p>
    <w:p w14:paraId="5799319F" w14:textId="77777777" w:rsidR="00BA2A78" w:rsidRPr="001B0EA3" w:rsidRDefault="00BA2A78" w:rsidP="00D26A1C">
      <w:pPr>
        <w:numPr>
          <w:ilvl w:val="0"/>
          <w:numId w:val="172"/>
        </w:numPr>
        <w:shd w:val="clear" w:color="auto" w:fill="FFFFFF"/>
        <w:tabs>
          <w:tab w:val="left" w:pos="284"/>
        </w:tabs>
        <w:autoSpaceDE w:val="0"/>
        <w:autoSpaceDN w:val="0"/>
        <w:adjustRightInd w:val="0"/>
        <w:spacing w:after="200"/>
        <w:ind w:left="0" w:firstLine="0"/>
        <w:contextualSpacing/>
        <w:rPr>
          <w:b/>
          <w:bCs/>
          <w:i/>
          <w:szCs w:val="24"/>
        </w:rPr>
      </w:pPr>
      <w:r w:rsidRPr="001B0EA3">
        <w:rPr>
          <w:b/>
          <w:bCs/>
          <w:i/>
          <w:szCs w:val="24"/>
        </w:rPr>
        <w:t>Задължително обучение за служебно развитие, съгласно чл. 35 от Закона за държавния служител за:</w:t>
      </w:r>
    </w:p>
    <w:p w14:paraId="2B119161" w14:textId="77777777" w:rsidR="00BA2A78" w:rsidRPr="001B0EA3" w:rsidRDefault="00BA2A78" w:rsidP="005455E4">
      <w:pPr>
        <w:numPr>
          <w:ilvl w:val="0"/>
          <w:numId w:val="174"/>
        </w:numPr>
        <w:shd w:val="clear" w:color="auto" w:fill="FFFFFF"/>
        <w:tabs>
          <w:tab w:val="left" w:pos="284"/>
        </w:tabs>
        <w:autoSpaceDE w:val="0"/>
        <w:autoSpaceDN w:val="0"/>
        <w:adjustRightInd w:val="0"/>
        <w:spacing w:after="200"/>
        <w:ind w:left="1134" w:hanging="283"/>
        <w:contextualSpacing/>
        <w:rPr>
          <w:bCs/>
          <w:szCs w:val="24"/>
        </w:rPr>
      </w:pPr>
      <w:r w:rsidRPr="001B0EA3">
        <w:rPr>
          <w:bCs/>
          <w:szCs w:val="24"/>
        </w:rPr>
        <w:t>постъпили за първи път на държавна служба;</w:t>
      </w:r>
    </w:p>
    <w:p w14:paraId="5C03104D" w14:textId="77777777" w:rsidR="00BA2A78" w:rsidRPr="001B0EA3" w:rsidRDefault="00BA2A78" w:rsidP="005455E4">
      <w:pPr>
        <w:numPr>
          <w:ilvl w:val="0"/>
          <w:numId w:val="174"/>
        </w:numPr>
        <w:shd w:val="clear" w:color="auto" w:fill="FFFFFF"/>
        <w:tabs>
          <w:tab w:val="left" w:pos="284"/>
        </w:tabs>
        <w:autoSpaceDE w:val="0"/>
        <w:autoSpaceDN w:val="0"/>
        <w:adjustRightInd w:val="0"/>
        <w:spacing w:after="200"/>
        <w:ind w:left="1134" w:hanging="283"/>
        <w:contextualSpacing/>
        <w:rPr>
          <w:bCs/>
          <w:szCs w:val="24"/>
        </w:rPr>
      </w:pPr>
      <w:r w:rsidRPr="001B0EA3">
        <w:rPr>
          <w:bCs/>
          <w:szCs w:val="24"/>
        </w:rPr>
        <w:t>назначени за първи път на ръководна длъжност;</w:t>
      </w:r>
    </w:p>
    <w:p w14:paraId="7C95408C" w14:textId="77777777" w:rsidR="00BA2A78" w:rsidRPr="001B0EA3" w:rsidRDefault="00BA2A78" w:rsidP="005455E4">
      <w:pPr>
        <w:numPr>
          <w:ilvl w:val="0"/>
          <w:numId w:val="174"/>
        </w:numPr>
        <w:shd w:val="clear" w:color="auto" w:fill="FFFFFF"/>
        <w:tabs>
          <w:tab w:val="left" w:pos="284"/>
        </w:tabs>
        <w:autoSpaceDE w:val="0"/>
        <w:autoSpaceDN w:val="0"/>
        <w:adjustRightInd w:val="0"/>
        <w:spacing w:after="200"/>
        <w:ind w:left="1134" w:hanging="283"/>
        <w:contextualSpacing/>
        <w:rPr>
          <w:bCs/>
          <w:szCs w:val="24"/>
        </w:rPr>
      </w:pPr>
      <w:r w:rsidRPr="001B0EA3">
        <w:rPr>
          <w:bCs/>
          <w:szCs w:val="24"/>
        </w:rPr>
        <w:t>висши държавни служители.</w:t>
      </w:r>
    </w:p>
    <w:p w14:paraId="04DA2E41" w14:textId="77777777" w:rsidR="00BA2A78" w:rsidRPr="001B0EA3" w:rsidRDefault="00BA2A78" w:rsidP="005455E4">
      <w:pPr>
        <w:shd w:val="clear" w:color="auto" w:fill="FFFFFF"/>
        <w:autoSpaceDE w:val="0"/>
        <w:autoSpaceDN w:val="0"/>
        <w:adjustRightInd w:val="0"/>
        <w:contextualSpacing/>
        <w:rPr>
          <w:szCs w:val="24"/>
        </w:rPr>
      </w:pPr>
      <w:r w:rsidRPr="001B0EA3">
        <w:rPr>
          <w:szCs w:val="24"/>
        </w:rPr>
        <w:t xml:space="preserve">На задължително обучение подлежат постъпилите за първи път на държавна служба, както и назначените за първи път на ръководна длъжност държавни служители. Органът по назначаване е длъжен да представи в Института по публична администрация списък на лицата в едномесечен срок от встъпването им в длъжност. Органът по назначаването в </w:t>
      </w:r>
      <w:r w:rsidR="00BB6BF6">
        <w:rPr>
          <w:szCs w:val="24"/>
        </w:rPr>
        <w:t>МТС</w:t>
      </w:r>
      <w:r w:rsidRPr="001B0EA3">
        <w:rPr>
          <w:szCs w:val="24"/>
        </w:rPr>
        <w:t xml:space="preserve"> е длъжен да осигури обучението на горепосочените държавни служители в тримесечен срок от встъпването им в длъжност. Висшите държавни служители преминават обучение, организирано от Института по публична администрация, поне веднъж годишно.</w:t>
      </w:r>
    </w:p>
    <w:p w14:paraId="412D1C99" w14:textId="77777777" w:rsidR="00BA2A78" w:rsidRPr="001B0EA3" w:rsidRDefault="00BA2A78" w:rsidP="00046D61">
      <w:pPr>
        <w:shd w:val="clear" w:color="auto" w:fill="FFFFFF"/>
        <w:autoSpaceDE w:val="0"/>
        <w:autoSpaceDN w:val="0"/>
        <w:adjustRightInd w:val="0"/>
        <w:ind w:left="851"/>
        <w:contextualSpacing/>
        <w:rPr>
          <w:szCs w:val="24"/>
        </w:rPr>
      </w:pPr>
      <w:r w:rsidRPr="001B0EA3">
        <w:rPr>
          <w:szCs w:val="24"/>
        </w:rPr>
        <w:t xml:space="preserve"> </w:t>
      </w:r>
    </w:p>
    <w:p w14:paraId="7AAF0121" w14:textId="77777777" w:rsidR="00BA2A78" w:rsidRPr="001B0EA3" w:rsidRDefault="00BA2A78" w:rsidP="00D26A1C">
      <w:pPr>
        <w:numPr>
          <w:ilvl w:val="0"/>
          <w:numId w:val="172"/>
        </w:numPr>
        <w:shd w:val="clear" w:color="auto" w:fill="FFFFFF"/>
        <w:tabs>
          <w:tab w:val="left" w:pos="284"/>
        </w:tabs>
        <w:autoSpaceDE w:val="0"/>
        <w:autoSpaceDN w:val="0"/>
        <w:adjustRightInd w:val="0"/>
        <w:spacing w:after="200"/>
        <w:ind w:left="0" w:firstLine="0"/>
        <w:contextualSpacing/>
        <w:rPr>
          <w:b/>
          <w:bCs/>
          <w:i/>
          <w:szCs w:val="24"/>
        </w:rPr>
      </w:pPr>
      <w:r w:rsidRPr="001B0EA3">
        <w:rPr>
          <w:b/>
          <w:bCs/>
          <w:i/>
          <w:szCs w:val="24"/>
        </w:rPr>
        <w:t>Обучение за професионално развитие.</w:t>
      </w:r>
    </w:p>
    <w:p w14:paraId="26CB503E" w14:textId="77777777" w:rsidR="00BA2A78" w:rsidRPr="001B0EA3" w:rsidRDefault="00BA2A78" w:rsidP="005455E4">
      <w:pPr>
        <w:shd w:val="clear" w:color="auto" w:fill="FFFFFF"/>
        <w:tabs>
          <w:tab w:val="left" w:pos="1134"/>
        </w:tabs>
        <w:autoSpaceDE w:val="0"/>
        <w:autoSpaceDN w:val="0"/>
        <w:adjustRightInd w:val="0"/>
        <w:ind w:firstLine="873"/>
        <w:contextualSpacing/>
        <w:rPr>
          <w:szCs w:val="24"/>
        </w:rPr>
      </w:pPr>
      <w:r w:rsidRPr="001B0EA3">
        <w:rPr>
          <w:szCs w:val="24"/>
        </w:rPr>
        <w:lastRenderedPageBreak/>
        <w:t xml:space="preserve">Курсовете за професионално развитие са структурирани тематично в програми, част от които имат обособени подпрограми. Графиците и съобщенията, свързани с участието в обучения на ИПА се изпращат до лицата за контакт, определени от ръководителя на съответната администрация. Тези лица отговарят за поддържането на комуникацията с ИПА и за своевременното информиране на служителите от администрацията за участие в обучения на Института. Служителите от администрацията </w:t>
      </w:r>
    </w:p>
    <w:p w14:paraId="60D21ABC" w14:textId="77777777" w:rsidR="00BA2A78" w:rsidRPr="001B0EA3" w:rsidRDefault="00BA2A78" w:rsidP="005455E4">
      <w:pPr>
        <w:tabs>
          <w:tab w:val="left" w:pos="1134"/>
        </w:tabs>
        <w:ind w:firstLine="873"/>
        <w:rPr>
          <w:szCs w:val="24"/>
          <w:lang w:eastAsia="bg-BG"/>
        </w:rPr>
      </w:pPr>
    </w:p>
    <w:p w14:paraId="775891AF" w14:textId="77777777" w:rsidR="00BA2A78" w:rsidRPr="001B0EA3" w:rsidRDefault="00BA2A78" w:rsidP="005455E4">
      <w:pPr>
        <w:tabs>
          <w:tab w:val="left" w:pos="1134"/>
        </w:tabs>
        <w:ind w:firstLine="873"/>
        <w:rPr>
          <w:szCs w:val="24"/>
          <w:lang w:eastAsia="en-US"/>
        </w:rPr>
      </w:pPr>
      <w:r w:rsidRPr="001B0EA3">
        <w:rPr>
          <w:szCs w:val="24"/>
          <w:lang w:eastAsia="bg-BG"/>
        </w:rPr>
        <w:t>По приоритетна ос 5 „Техническа помощ“ на ОПТТИ са предвидени дейности, насочени към укрепване и повишаване на административния капацитет на Управляващия орган и бенефициентите по ОПТТИ. Обученията са предвидени да се провеждат в страната и в чужбина и включват:</w:t>
      </w:r>
    </w:p>
    <w:p w14:paraId="1BD9DC4A" w14:textId="77777777" w:rsidR="00AB4DBC" w:rsidRPr="001B0EA3" w:rsidRDefault="00AB4DBC" w:rsidP="005455E4">
      <w:pPr>
        <w:numPr>
          <w:ilvl w:val="0"/>
          <w:numId w:val="173"/>
        </w:numPr>
        <w:shd w:val="clear" w:color="auto" w:fill="FFFFFF"/>
        <w:tabs>
          <w:tab w:val="left" w:pos="284"/>
          <w:tab w:val="left" w:pos="1134"/>
        </w:tabs>
        <w:autoSpaceDE w:val="0"/>
        <w:autoSpaceDN w:val="0"/>
        <w:adjustRightInd w:val="0"/>
        <w:spacing w:after="200"/>
        <w:ind w:left="0" w:firstLine="873"/>
        <w:contextualSpacing/>
        <w:rPr>
          <w:bCs/>
          <w:szCs w:val="24"/>
          <w:lang w:eastAsia="bg-BG"/>
        </w:rPr>
      </w:pPr>
      <w:r w:rsidRPr="001B0EA3">
        <w:rPr>
          <w:bCs/>
          <w:szCs w:val="24"/>
          <w:lang w:eastAsia="bg-BG"/>
        </w:rPr>
        <w:t>обучения управление и изпълнение на европейските фондове;</w:t>
      </w:r>
    </w:p>
    <w:p w14:paraId="0FE4C426" w14:textId="77777777" w:rsidR="00AB4DBC" w:rsidRPr="001B0EA3" w:rsidRDefault="00AB4DBC" w:rsidP="005455E4">
      <w:pPr>
        <w:numPr>
          <w:ilvl w:val="0"/>
          <w:numId w:val="173"/>
        </w:numPr>
        <w:shd w:val="clear" w:color="auto" w:fill="FFFFFF"/>
        <w:tabs>
          <w:tab w:val="left" w:pos="284"/>
          <w:tab w:val="left" w:pos="1134"/>
        </w:tabs>
        <w:autoSpaceDE w:val="0"/>
        <w:autoSpaceDN w:val="0"/>
        <w:adjustRightInd w:val="0"/>
        <w:spacing w:after="200"/>
        <w:ind w:left="0" w:firstLine="873"/>
        <w:contextualSpacing/>
        <w:rPr>
          <w:bCs/>
          <w:szCs w:val="24"/>
          <w:lang w:eastAsia="bg-BG"/>
        </w:rPr>
      </w:pPr>
      <w:r w:rsidRPr="001B0EA3">
        <w:rPr>
          <w:bCs/>
          <w:szCs w:val="24"/>
          <w:lang w:eastAsia="bg-BG"/>
        </w:rPr>
        <w:t>обучения в областта на програмирането и оценката на проектните предложения;</w:t>
      </w:r>
    </w:p>
    <w:p w14:paraId="5645A14C" w14:textId="77777777" w:rsidR="00AB4DBC" w:rsidRPr="001B0EA3" w:rsidRDefault="00AB4DBC" w:rsidP="005455E4">
      <w:pPr>
        <w:numPr>
          <w:ilvl w:val="0"/>
          <w:numId w:val="173"/>
        </w:numPr>
        <w:shd w:val="clear" w:color="auto" w:fill="FFFFFF"/>
        <w:tabs>
          <w:tab w:val="left" w:pos="284"/>
          <w:tab w:val="left" w:pos="1134"/>
        </w:tabs>
        <w:autoSpaceDE w:val="0"/>
        <w:autoSpaceDN w:val="0"/>
        <w:adjustRightInd w:val="0"/>
        <w:spacing w:after="200"/>
        <w:ind w:left="0" w:firstLine="873"/>
        <w:contextualSpacing/>
        <w:rPr>
          <w:bCs/>
          <w:szCs w:val="24"/>
          <w:lang w:eastAsia="bg-BG"/>
        </w:rPr>
      </w:pPr>
      <w:r w:rsidRPr="001B0EA3">
        <w:rPr>
          <w:bCs/>
          <w:szCs w:val="24"/>
          <w:lang w:eastAsia="bg-BG"/>
        </w:rPr>
        <w:t>обучения в областта на обществени поръчки;</w:t>
      </w:r>
    </w:p>
    <w:p w14:paraId="4849C2FD" w14:textId="77777777" w:rsidR="00AB4DBC" w:rsidRPr="001B0EA3" w:rsidRDefault="00AB4DBC" w:rsidP="005455E4">
      <w:pPr>
        <w:numPr>
          <w:ilvl w:val="0"/>
          <w:numId w:val="173"/>
        </w:numPr>
        <w:shd w:val="clear" w:color="auto" w:fill="FFFFFF"/>
        <w:tabs>
          <w:tab w:val="left" w:pos="284"/>
          <w:tab w:val="left" w:pos="1134"/>
        </w:tabs>
        <w:autoSpaceDE w:val="0"/>
        <w:autoSpaceDN w:val="0"/>
        <w:adjustRightInd w:val="0"/>
        <w:spacing w:after="200"/>
        <w:ind w:left="0" w:firstLine="873"/>
        <w:contextualSpacing/>
        <w:rPr>
          <w:bCs/>
          <w:szCs w:val="24"/>
          <w:lang w:eastAsia="bg-BG"/>
        </w:rPr>
      </w:pPr>
      <w:r w:rsidRPr="001B0EA3">
        <w:rPr>
          <w:bCs/>
          <w:szCs w:val="24"/>
          <w:lang w:eastAsia="bg-BG"/>
        </w:rPr>
        <w:t>специализирани обучения в областта на управление на риска;</w:t>
      </w:r>
    </w:p>
    <w:p w14:paraId="50CA50B5" w14:textId="77777777" w:rsidR="00AB4DBC" w:rsidRPr="001B0EA3" w:rsidRDefault="00AB4DBC" w:rsidP="005455E4">
      <w:pPr>
        <w:numPr>
          <w:ilvl w:val="0"/>
          <w:numId w:val="173"/>
        </w:numPr>
        <w:shd w:val="clear" w:color="auto" w:fill="FFFFFF"/>
        <w:tabs>
          <w:tab w:val="left" w:pos="284"/>
          <w:tab w:val="left" w:pos="1134"/>
        </w:tabs>
        <w:autoSpaceDE w:val="0"/>
        <w:autoSpaceDN w:val="0"/>
        <w:adjustRightInd w:val="0"/>
        <w:spacing w:after="200"/>
        <w:ind w:left="0" w:firstLine="873"/>
        <w:contextualSpacing/>
        <w:rPr>
          <w:bCs/>
          <w:szCs w:val="24"/>
          <w:lang w:eastAsia="bg-BG"/>
        </w:rPr>
      </w:pPr>
      <w:r w:rsidRPr="001B0EA3">
        <w:rPr>
          <w:bCs/>
          <w:szCs w:val="24"/>
          <w:lang w:eastAsia="bg-BG"/>
        </w:rPr>
        <w:t>обучения/ обмяна на опит в областта на прилагането на правилата за държавните помощи;</w:t>
      </w:r>
    </w:p>
    <w:p w14:paraId="7C86FFB3" w14:textId="77777777" w:rsidR="00AB4DBC" w:rsidRPr="001B0EA3" w:rsidRDefault="00AB4DBC" w:rsidP="005455E4">
      <w:pPr>
        <w:numPr>
          <w:ilvl w:val="0"/>
          <w:numId w:val="173"/>
        </w:numPr>
        <w:shd w:val="clear" w:color="auto" w:fill="FFFFFF"/>
        <w:tabs>
          <w:tab w:val="left" w:pos="284"/>
          <w:tab w:val="left" w:pos="1134"/>
        </w:tabs>
        <w:autoSpaceDE w:val="0"/>
        <w:autoSpaceDN w:val="0"/>
        <w:adjustRightInd w:val="0"/>
        <w:spacing w:after="200"/>
        <w:ind w:left="0" w:firstLine="873"/>
        <w:contextualSpacing/>
        <w:rPr>
          <w:bCs/>
          <w:szCs w:val="24"/>
          <w:lang w:eastAsia="bg-BG"/>
        </w:rPr>
      </w:pPr>
      <w:r w:rsidRPr="001B0EA3">
        <w:rPr>
          <w:bCs/>
          <w:szCs w:val="24"/>
          <w:lang w:eastAsia="bg-BG"/>
        </w:rPr>
        <w:t>обучения за прилагане на процедурите и правилата относно нередностите;</w:t>
      </w:r>
    </w:p>
    <w:p w14:paraId="620C6EF6" w14:textId="77777777" w:rsidR="00AB4DBC" w:rsidRPr="001B0EA3" w:rsidRDefault="00AB4DBC" w:rsidP="005455E4">
      <w:pPr>
        <w:numPr>
          <w:ilvl w:val="0"/>
          <w:numId w:val="173"/>
        </w:numPr>
        <w:shd w:val="clear" w:color="auto" w:fill="FFFFFF"/>
        <w:tabs>
          <w:tab w:val="left" w:pos="284"/>
          <w:tab w:val="left" w:pos="1134"/>
        </w:tabs>
        <w:autoSpaceDE w:val="0"/>
        <w:autoSpaceDN w:val="0"/>
        <w:adjustRightInd w:val="0"/>
        <w:spacing w:after="200"/>
        <w:ind w:left="0" w:firstLine="873"/>
        <w:contextualSpacing/>
        <w:rPr>
          <w:bCs/>
          <w:szCs w:val="24"/>
          <w:lang w:eastAsia="bg-BG"/>
        </w:rPr>
      </w:pPr>
      <w:r w:rsidRPr="001B0EA3">
        <w:rPr>
          <w:bCs/>
          <w:szCs w:val="24"/>
          <w:lang w:eastAsia="bg-BG"/>
        </w:rPr>
        <w:t>избягване на конфликт на интереси;</w:t>
      </w:r>
    </w:p>
    <w:p w14:paraId="1209B3CE" w14:textId="77777777" w:rsidR="00AB4DBC" w:rsidRPr="001B0EA3" w:rsidRDefault="00AB4DBC" w:rsidP="005455E4">
      <w:pPr>
        <w:numPr>
          <w:ilvl w:val="0"/>
          <w:numId w:val="173"/>
        </w:numPr>
        <w:shd w:val="clear" w:color="auto" w:fill="FFFFFF"/>
        <w:tabs>
          <w:tab w:val="left" w:pos="284"/>
          <w:tab w:val="left" w:pos="1134"/>
        </w:tabs>
        <w:autoSpaceDE w:val="0"/>
        <w:autoSpaceDN w:val="0"/>
        <w:adjustRightInd w:val="0"/>
        <w:spacing w:after="200"/>
        <w:ind w:left="0" w:firstLine="873"/>
        <w:contextualSpacing/>
        <w:rPr>
          <w:bCs/>
          <w:szCs w:val="24"/>
          <w:lang w:eastAsia="bg-BG"/>
        </w:rPr>
      </w:pPr>
      <w:r w:rsidRPr="001B0EA3">
        <w:rPr>
          <w:bCs/>
          <w:szCs w:val="24"/>
          <w:lang w:eastAsia="bg-BG"/>
        </w:rPr>
        <w:t>семинари, свързани с разяснения по Насоките за кандидатстване по ОПТТИ</w:t>
      </w:r>
    </w:p>
    <w:p w14:paraId="1943908C" w14:textId="77777777" w:rsidR="00AB4DBC" w:rsidRPr="001B0EA3" w:rsidRDefault="00AB4DBC" w:rsidP="005455E4">
      <w:pPr>
        <w:numPr>
          <w:ilvl w:val="0"/>
          <w:numId w:val="173"/>
        </w:numPr>
        <w:shd w:val="clear" w:color="auto" w:fill="FFFFFF"/>
        <w:tabs>
          <w:tab w:val="left" w:pos="284"/>
          <w:tab w:val="left" w:pos="1134"/>
        </w:tabs>
        <w:autoSpaceDE w:val="0"/>
        <w:autoSpaceDN w:val="0"/>
        <w:adjustRightInd w:val="0"/>
        <w:spacing w:after="200"/>
        <w:ind w:left="0" w:firstLine="873"/>
        <w:contextualSpacing/>
        <w:rPr>
          <w:bCs/>
          <w:szCs w:val="24"/>
          <w:lang w:eastAsia="bg-BG"/>
        </w:rPr>
      </w:pPr>
      <w:r w:rsidRPr="001B0EA3">
        <w:rPr>
          <w:bCs/>
          <w:szCs w:val="24"/>
          <w:lang w:eastAsia="bg-BG"/>
        </w:rPr>
        <w:t>специализирани обучения в конкретни области;</w:t>
      </w:r>
    </w:p>
    <w:p w14:paraId="500D12DD" w14:textId="77777777" w:rsidR="00AB4DBC" w:rsidRPr="001B0EA3" w:rsidRDefault="00AB4DBC" w:rsidP="005455E4">
      <w:pPr>
        <w:numPr>
          <w:ilvl w:val="0"/>
          <w:numId w:val="173"/>
        </w:numPr>
        <w:shd w:val="clear" w:color="auto" w:fill="FFFFFF"/>
        <w:tabs>
          <w:tab w:val="left" w:pos="284"/>
          <w:tab w:val="left" w:pos="1134"/>
        </w:tabs>
        <w:autoSpaceDE w:val="0"/>
        <w:autoSpaceDN w:val="0"/>
        <w:adjustRightInd w:val="0"/>
        <w:spacing w:after="200"/>
        <w:ind w:left="0" w:firstLine="873"/>
        <w:contextualSpacing/>
        <w:rPr>
          <w:bCs/>
          <w:szCs w:val="24"/>
          <w:lang w:eastAsia="bg-BG"/>
        </w:rPr>
      </w:pPr>
      <w:r w:rsidRPr="001B0EA3">
        <w:rPr>
          <w:bCs/>
          <w:szCs w:val="24"/>
          <w:lang w:eastAsia="bg-BG"/>
        </w:rPr>
        <w:t>други</w:t>
      </w:r>
    </w:p>
    <w:p w14:paraId="2099977B" w14:textId="77777777" w:rsidR="00BA2A78" w:rsidRPr="001B0EA3" w:rsidRDefault="00BA2A78" w:rsidP="005455E4">
      <w:pPr>
        <w:tabs>
          <w:tab w:val="left" w:pos="1134"/>
        </w:tabs>
        <w:ind w:firstLine="873"/>
        <w:rPr>
          <w:szCs w:val="24"/>
        </w:rPr>
      </w:pPr>
    </w:p>
    <w:p w14:paraId="3F551270" w14:textId="77777777" w:rsidR="00BA2A78" w:rsidRPr="001B0EA3" w:rsidRDefault="00BA2A78" w:rsidP="005455E4">
      <w:pPr>
        <w:tabs>
          <w:tab w:val="left" w:pos="1134"/>
        </w:tabs>
        <w:ind w:firstLine="873"/>
        <w:rPr>
          <w:szCs w:val="24"/>
        </w:rPr>
      </w:pPr>
      <w:r w:rsidRPr="001B0EA3">
        <w:rPr>
          <w:szCs w:val="24"/>
        </w:rPr>
        <w:t>След приключване на обучение, обученият служител информира прекия си ръководител за придобитите умения, знания и учебни материали и при необходимост оказва съдействие на колегите си при възникване на въпроси по темата на проведеното обучение.</w:t>
      </w:r>
    </w:p>
    <w:p w14:paraId="3DB13AD7" w14:textId="77777777" w:rsidR="00D603F5" w:rsidRPr="001B0EA3" w:rsidRDefault="00D603F5" w:rsidP="00046D61">
      <w:pPr>
        <w:rPr>
          <w:szCs w:val="24"/>
        </w:rPr>
      </w:pPr>
    </w:p>
    <w:p w14:paraId="532B1003" w14:textId="77777777" w:rsidR="00D603F5" w:rsidRPr="00842ECC" w:rsidRDefault="00D603F5" w:rsidP="00B502C7">
      <w:pPr>
        <w:pStyle w:val="Style2"/>
        <w:rPr>
          <w:snapToGrid w:val="0"/>
          <w:lang w:val="bg-BG"/>
        </w:rPr>
      </w:pPr>
      <w:bookmarkStart w:id="1389" w:name="_Toc479775861"/>
      <w:bookmarkStart w:id="1390" w:name="_Toc140150354"/>
      <w:r w:rsidRPr="00842ECC">
        <w:rPr>
          <w:snapToGrid w:val="0"/>
          <w:lang w:val="bg-BG"/>
        </w:rPr>
        <w:t>Организация на работата в дирекция „Координация на програми и проекти“</w:t>
      </w:r>
      <w:bookmarkEnd w:id="1389"/>
      <w:bookmarkEnd w:id="1390"/>
    </w:p>
    <w:p w14:paraId="36122EFD" w14:textId="77777777" w:rsidR="00252C36" w:rsidRPr="001B0EA3" w:rsidRDefault="00252C36" w:rsidP="005455E4">
      <w:pPr>
        <w:pStyle w:val="ListParagraph"/>
        <w:shd w:val="clear" w:color="auto" w:fill="FFFFFF"/>
        <w:tabs>
          <w:tab w:val="left" w:pos="1134"/>
        </w:tabs>
        <w:autoSpaceDE w:val="0"/>
        <w:autoSpaceDN w:val="0"/>
        <w:adjustRightInd w:val="0"/>
        <w:spacing w:after="200"/>
        <w:ind w:left="0"/>
        <w:rPr>
          <w:szCs w:val="24"/>
        </w:rPr>
      </w:pPr>
      <w:r w:rsidRPr="001B0EA3">
        <w:rPr>
          <w:szCs w:val="24"/>
        </w:rPr>
        <w:t xml:space="preserve">Дейността и организацията на управление на човешките ресурси в </w:t>
      </w:r>
      <w:r w:rsidR="00BB6BF6">
        <w:rPr>
          <w:szCs w:val="24"/>
        </w:rPr>
        <w:t>МТС</w:t>
      </w:r>
      <w:r w:rsidRPr="001B0EA3">
        <w:rPr>
          <w:szCs w:val="24"/>
        </w:rPr>
        <w:t xml:space="preserve"> се определя от Вътрешни правила за дейността и организацията на управлението на човешките ресурси в </w:t>
      </w:r>
      <w:r w:rsidR="00D34044">
        <w:rPr>
          <w:szCs w:val="24"/>
        </w:rPr>
        <w:t>Министерството на транспорта и съобщенията</w:t>
      </w:r>
      <w:r w:rsidRPr="001B0EA3">
        <w:rPr>
          <w:szCs w:val="24"/>
        </w:rPr>
        <w:t xml:space="preserve"> № ВП-5 от 11.03.2013 г., последно изменени с Вътрешни правила № ВП-2 от 19.01.2015 г.</w:t>
      </w:r>
    </w:p>
    <w:p w14:paraId="72A168F6" w14:textId="77777777" w:rsidR="00CA21D5" w:rsidRPr="001B0EA3" w:rsidRDefault="00CA21D5" w:rsidP="005455E4">
      <w:pPr>
        <w:pStyle w:val="ListParagraph"/>
        <w:shd w:val="clear" w:color="auto" w:fill="FFFFFF"/>
        <w:tabs>
          <w:tab w:val="left" w:pos="1134"/>
        </w:tabs>
        <w:autoSpaceDE w:val="0"/>
        <w:autoSpaceDN w:val="0"/>
        <w:adjustRightInd w:val="0"/>
        <w:spacing w:after="200"/>
        <w:ind w:left="0"/>
        <w:rPr>
          <w:szCs w:val="24"/>
        </w:rPr>
      </w:pPr>
      <w:r w:rsidRPr="001B0EA3">
        <w:rPr>
          <w:szCs w:val="24"/>
        </w:rPr>
        <w:t xml:space="preserve">Организацията на трудовия процес в </w:t>
      </w:r>
      <w:r w:rsidR="00BB6BF6">
        <w:rPr>
          <w:szCs w:val="24"/>
        </w:rPr>
        <w:t>МТС</w:t>
      </w:r>
      <w:r w:rsidRPr="001B0EA3">
        <w:rPr>
          <w:szCs w:val="24"/>
        </w:rPr>
        <w:t xml:space="preserve">, правата и задълженията на всички служители и тези на органа на назначаването, установени в Кодекса на труда, Закона за държавния служител и нормативните актове по тяхното прилагане са уредени в Правилника за вътрешния трудов ред  в </w:t>
      </w:r>
      <w:r w:rsidR="00D34044">
        <w:rPr>
          <w:szCs w:val="24"/>
        </w:rPr>
        <w:t>Министерството на транспорта и съобщенията</w:t>
      </w:r>
      <w:r w:rsidRPr="001B0EA3">
        <w:rPr>
          <w:szCs w:val="24"/>
        </w:rPr>
        <w:t xml:space="preserve"> № Пр-6 от 03.11.2014 г.</w:t>
      </w:r>
    </w:p>
    <w:p w14:paraId="3544A964" w14:textId="77777777" w:rsidR="00895615" w:rsidRPr="001B0EA3" w:rsidRDefault="00895615" w:rsidP="005455E4">
      <w:pPr>
        <w:pStyle w:val="ListParagraph"/>
        <w:shd w:val="clear" w:color="auto" w:fill="FFFFFF"/>
        <w:tabs>
          <w:tab w:val="left" w:pos="1134"/>
        </w:tabs>
        <w:autoSpaceDE w:val="0"/>
        <w:autoSpaceDN w:val="0"/>
        <w:adjustRightInd w:val="0"/>
        <w:spacing w:after="200"/>
        <w:ind w:left="0"/>
        <w:rPr>
          <w:szCs w:val="24"/>
        </w:rPr>
      </w:pPr>
      <w:r w:rsidRPr="001B0EA3">
        <w:rPr>
          <w:szCs w:val="24"/>
        </w:rPr>
        <w:t>Правилника регламентира въпросите, свързани с:</w:t>
      </w:r>
    </w:p>
    <w:p w14:paraId="26233D44" w14:textId="77777777" w:rsidR="00895615" w:rsidRPr="001B0EA3" w:rsidRDefault="009C1FEB" w:rsidP="005455E4">
      <w:pPr>
        <w:pStyle w:val="ListParagraph"/>
        <w:numPr>
          <w:ilvl w:val="0"/>
          <w:numId w:val="176"/>
        </w:numPr>
        <w:shd w:val="clear" w:color="auto" w:fill="FFFFFF"/>
        <w:tabs>
          <w:tab w:val="left" w:pos="1134"/>
        </w:tabs>
        <w:autoSpaceDE w:val="0"/>
        <w:autoSpaceDN w:val="0"/>
        <w:adjustRightInd w:val="0"/>
        <w:spacing w:after="200"/>
        <w:ind w:left="0" w:firstLine="851"/>
        <w:rPr>
          <w:szCs w:val="24"/>
        </w:rPr>
      </w:pPr>
      <w:r w:rsidRPr="001B0EA3">
        <w:rPr>
          <w:szCs w:val="24"/>
        </w:rPr>
        <w:t>правомощията на органа по назначаването;</w:t>
      </w:r>
    </w:p>
    <w:p w14:paraId="30F22EAC" w14:textId="77777777" w:rsidR="00895615" w:rsidRPr="001B0EA3" w:rsidRDefault="009C1FEB" w:rsidP="005455E4">
      <w:pPr>
        <w:pStyle w:val="ListParagraph"/>
        <w:numPr>
          <w:ilvl w:val="0"/>
          <w:numId w:val="176"/>
        </w:numPr>
        <w:shd w:val="clear" w:color="auto" w:fill="FFFFFF"/>
        <w:tabs>
          <w:tab w:val="left" w:pos="1134"/>
        </w:tabs>
        <w:autoSpaceDE w:val="0"/>
        <w:autoSpaceDN w:val="0"/>
        <w:adjustRightInd w:val="0"/>
        <w:spacing w:after="200"/>
        <w:ind w:left="0" w:firstLine="851"/>
        <w:rPr>
          <w:szCs w:val="24"/>
        </w:rPr>
      </w:pPr>
      <w:r w:rsidRPr="001B0EA3">
        <w:rPr>
          <w:szCs w:val="24"/>
        </w:rPr>
        <w:t>правата и задълженията на служителите в министерството;</w:t>
      </w:r>
    </w:p>
    <w:p w14:paraId="55F55593" w14:textId="77777777" w:rsidR="00895615" w:rsidRPr="001B0EA3" w:rsidRDefault="009C1FEB" w:rsidP="005455E4">
      <w:pPr>
        <w:pStyle w:val="ListParagraph"/>
        <w:numPr>
          <w:ilvl w:val="0"/>
          <w:numId w:val="176"/>
        </w:numPr>
        <w:shd w:val="clear" w:color="auto" w:fill="FFFFFF"/>
        <w:tabs>
          <w:tab w:val="left" w:pos="1134"/>
        </w:tabs>
        <w:autoSpaceDE w:val="0"/>
        <w:autoSpaceDN w:val="0"/>
        <w:adjustRightInd w:val="0"/>
        <w:spacing w:after="200"/>
        <w:ind w:left="0" w:firstLine="851"/>
        <w:rPr>
          <w:szCs w:val="24"/>
        </w:rPr>
      </w:pPr>
      <w:r w:rsidRPr="001B0EA3">
        <w:rPr>
          <w:szCs w:val="24"/>
        </w:rPr>
        <w:t>изискванията за спазване на трудова дисциплина;</w:t>
      </w:r>
    </w:p>
    <w:p w14:paraId="3FE0C11E" w14:textId="77777777" w:rsidR="00895615" w:rsidRPr="001B0EA3" w:rsidRDefault="009C1FEB" w:rsidP="005455E4">
      <w:pPr>
        <w:pStyle w:val="ListParagraph"/>
        <w:numPr>
          <w:ilvl w:val="0"/>
          <w:numId w:val="176"/>
        </w:numPr>
        <w:shd w:val="clear" w:color="auto" w:fill="FFFFFF"/>
        <w:tabs>
          <w:tab w:val="left" w:pos="1134"/>
        </w:tabs>
        <w:autoSpaceDE w:val="0"/>
        <w:autoSpaceDN w:val="0"/>
        <w:adjustRightInd w:val="0"/>
        <w:spacing w:after="200"/>
        <w:ind w:left="0" w:firstLine="851"/>
        <w:rPr>
          <w:szCs w:val="24"/>
        </w:rPr>
      </w:pPr>
      <w:r w:rsidRPr="001B0EA3">
        <w:rPr>
          <w:szCs w:val="24"/>
        </w:rPr>
        <w:t>реда за възникване, изменение и прекратяване на правоотношенията на служителите в министерството;</w:t>
      </w:r>
    </w:p>
    <w:p w14:paraId="2C5D7823" w14:textId="77777777" w:rsidR="009C1FEB" w:rsidRPr="001B0EA3" w:rsidRDefault="009C1FEB" w:rsidP="005455E4">
      <w:pPr>
        <w:pStyle w:val="ListParagraph"/>
        <w:numPr>
          <w:ilvl w:val="0"/>
          <w:numId w:val="176"/>
        </w:numPr>
        <w:shd w:val="clear" w:color="auto" w:fill="FFFFFF"/>
        <w:tabs>
          <w:tab w:val="left" w:pos="1134"/>
        </w:tabs>
        <w:autoSpaceDE w:val="0"/>
        <w:autoSpaceDN w:val="0"/>
        <w:adjustRightInd w:val="0"/>
        <w:spacing w:after="200"/>
        <w:ind w:left="0" w:firstLine="851"/>
        <w:rPr>
          <w:szCs w:val="24"/>
        </w:rPr>
      </w:pPr>
      <w:r w:rsidRPr="001B0EA3">
        <w:rPr>
          <w:szCs w:val="24"/>
        </w:rPr>
        <w:t>работното време почивките и отпуските;</w:t>
      </w:r>
    </w:p>
    <w:p w14:paraId="18D6A132" w14:textId="77777777" w:rsidR="009C1FEB" w:rsidRPr="001B0EA3" w:rsidRDefault="009C1FEB" w:rsidP="005455E4">
      <w:pPr>
        <w:pStyle w:val="ListParagraph"/>
        <w:numPr>
          <w:ilvl w:val="0"/>
          <w:numId w:val="176"/>
        </w:numPr>
        <w:shd w:val="clear" w:color="auto" w:fill="FFFFFF"/>
        <w:tabs>
          <w:tab w:val="left" w:pos="1134"/>
        </w:tabs>
        <w:autoSpaceDE w:val="0"/>
        <w:autoSpaceDN w:val="0"/>
        <w:adjustRightInd w:val="0"/>
        <w:spacing w:after="200"/>
        <w:ind w:left="0" w:firstLine="851"/>
        <w:rPr>
          <w:szCs w:val="24"/>
        </w:rPr>
      </w:pPr>
      <w:r w:rsidRPr="001B0EA3">
        <w:rPr>
          <w:szCs w:val="24"/>
        </w:rPr>
        <w:t>нарушението на трудовата дисциплина и мерките на въздействие;</w:t>
      </w:r>
    </w:p>
    <w:p w14:paraId="7CF2C3C4" w14:textId="77777777" w:rsidR="009C1FEB" w:rsidRPr="001B0EA3" w:rsidRDefault="009C1FEB" w:rsidP="005455E4">
      <w:pPr>
        <w:pStyle w:val="ListParagraph"/>
        <w:numPr>
          <w:ilvl w:val="0"/>
          <w:numId w:val="176"/>
        </w:numPr>
        <w:shd w:val="clear" w:color="auto" w:fill="FFFFFF"/>
        <w:tabs>
          <w:tab w:val="left" w:pos="1134"/>
        </w:tabs>
        <w:autoSpaceDE w:val="0"/>
        <w:autoSpaceDN w:val="0"/>
        <w:adjustRightInd w:val="0"/>
        <w:spacing w:after="200"/>
        <w:ind w:left="0" w:firstLine="851"/>
        <w:rPr>
          <w:szCs w:val="24"/>
        </w:rPr>
      </w:pPr>
      <w:r w:rsidRPr="001B0EA3">
        <w:rPr>
          <w:szCs w:val="24"/>
        </w:rPr>
        <w:t>пропускателния режим в сградите на министерството;</w:t>
      </w:r>
    </w:p>
    <w:p w14:paraId="084D36C9" w14:textId="77777777" w:rsidR="009C1FEB" w:rsidRPr="001B0EA3" w:rsidRDefault="009C1FEB" w:rsidP="005455E4">
      <w:pPr>
        <w:pStyle w:val="ListParagraph"/>
        <w:numPr>
          <w:ilvl w:val="0"/>
          <w:numId w:val="176"/>
        </w:numPr>
        <w:shd w:val="clear" w:color="auto" w:fill="FFFFFF"/>
        <w:tabs>
          <w:tab w:val="left" w:pos="1134"/>
        </w:tabs>
        <w:autoSpaceDE w:val="0"/>
        <w:autoSpaceDN w:val="0"/>
        <w:adjustRightInd w:val="0"/>
        <w:spacing w:after="200"/>
        <w:ind w:left="0" w:firstLine="851"/>
        <w:rPr>
          <w:szCs w:val="24"/>
        </w:rPr>
      </w:pPr>
      <w:r w:rsidRPr="001B0EA3">
        <w:rPr>
          <w:szCs w:val="24"/>
        </w:rPr>
        <w:t>социално битовото обслужване</w:t>
      </w:r>
    </w:p>
    <w:p w14:paraId="153B64CF" w14:textId="77777777" w:rsidR="00252C36" w:rsidRPr="001B0EA3" w:rsidRDefault="00252C36" w:rsidP="005455E4">
      <w:pPr>
        <w:pStyle w:val="ListParagraph"/>
        <w:shd w:val="clear" w:color="auto" w:fill="FFFFFF"/>
        <w:tabs>
          <w:tab w:val="left" w:pos="1134"/>
        </w:tabs>
        <w:autoSpaceDE w:val="0"/>
        <w:autoSpaceDN w:val="0"/>
        <w:adjustRightInd w:val="0"/>
        <w:spacing w:after="200"/>
        <w:ind w:left="0"/>
        <w:rPr>
          <w:szCs w:val="24"/>
        </w:rPr>
      </w:pPr>
    </w:p>
    <w:p w14:paraId="22971DFC" w14:textId="77777777" w:rsidR="00D603F5" w:rsidRPr="001B0EA3" w:rsidRDefault="00D603F5" w:rsidP="005455E4">
      <w:pPr>
        <w:pStyle w:val="ListParagraph"/>
        <w:numPr>
          <w:ilvl w:val="1"/>
          <w:numId w:val="77"/>
        </w:numPr>
        <w:shd w:val="clear" w:color="auto" w:fill="FFFFFF"/>
        <w:tabs>
          <w:tab w:val="left" w:pos="567"/>
          <w:tab w:val="left" w:pos="1134"/>
        </w:tabs>
        <w:autoSpaceDE w:val="0"/>
        <w:autoSpaceDN w:val="0"/>
        <w:adjustRightInd w:val="0"/>
        <w:spacing w:after="200"/>
        <w:ind w:left="0" w:firstLine="851"/>
        <w:rPr>
          <w:szCs w:val="24"/>
        </w:rPr>
      </w:pPr>
      <w:r w:rsidRPr="001B0EA3">
        <w:rPr>
          <w:szCs w:val="24"/>
        </w:rPr>
        <w:lastRenderedPageBreak/>
        <w:t>Непосредственото ръководство на дирекция се осъществява от нейния директор, който носи отговорност за точното и срочното изпълнение на конкретните задачи при осъществяване на функциите й.</w:t>
      </w:r>
    </w:p>
    <w:p w14:paraId="1A661CA6" w14:textId="77777777" w:rsidR="00D603F5" w:rsidRPr="001B0EA3" w:rsidRDefault="00D603F5" w:rsidP="005455E4">
      <w:pPr>
        <w:pStyle w:val="ListParagraph"/>
        <w:numPr>
          <w:ilvl w:val="1"/>
          <w:numId w:val="77"/>
        </w:numPr>
        <w:shd w:val="clear" w:color="auto" w:fill="FFFFFF"/>
        <w:tabs>
          <w:tab w:val="left" w:pos="567"/>
          <w:tab w:val="left" w:pos="1134"/>
        </w:tabs>
        <w:autoSpaceDE w:val="0"/>
        <w:autoSpaceDN w:val="0"/>
        <w:adjustRightInd w:val="0"/>
        <w:spacing w:after="200"/>
        <w:ind w:left="0" w:firstLine="851"/>
        <w:rPr>
          <w:szCs w:val="24"/>
        </w:rPr>
      </w:pPr>
      <w:r w:rsidRPr="001B0EA3">
        <w:rPr>
          <w:szCs w:val="24"/>
        </w:rPr>
        <w:t>Директорът на дирекция КПП дава задължителни указания в рамките на своята компетентност за осигуряване изпълнението на актовете на Министерския съвет, на министъра и на заместник-министрите.</w:t>
      </w:r>
    </w:p>
    <w:p w14:paraId="5A65C673" w14:textId="77777777" w:rsidR="00D603F5" w:rsidRPr="001B0EA3" w:rsidRDefault="00D603F5" w:rsidP="005455E4">
      <w:pPr>
        <w:pStyle w:val="ListParagraph"/>
        <w:numPr>
          <w:ilvl w:val="1"/>
          <w:numId w:val="77"/>
        </w:numPr>
        <w:shd w:val="clear" w:color="auto" w:fill="FFFFFF"/>
        <w:tabs>
          <w:tab w:val="left" w:pos="567"/>
          <w:tab w:val="left" w:pos="1134"/>
        </w:tabs>
        <w:autoSpaceDE w:val="0"/>
        <w:autoSpaceDN w:val="0"/>
        <w:adjustRightInd w:val="0"/>
        <w:spacing w:after="200"/>
        <w:ind w:left="0" w:firstLine="851"/>
        <w:rPr>
          <w:szCs w:val="24"/>
        </w:rPr>
      </w:pPr>
      <w:r w:rsidRPr="001B0EA3">
        <w:rPr>
          <w:szCs w:val="24"/>
        </w:rPr>
        <w:t>Директорът на дирекция КПП:</w:t>
      </w:r>
    </w:p>
    <w:p w14:paraId="0D7B01D2" w14:textId="77777777" w:rsidR="00D603F5" w:rsidRPr="001B0EA3" w:rsidRDefault="00D603F5" w:rsidP="005455E4">
      <w:pPr>
        <w:pStyle w:val="ListParagraph"/>
        <w:numPr>
          <w:ilvl w:val="0"/>
          <w:numId w:val="76"/>
        </w:numPr>
        <w:shd w:val="clear" w:color="auto" w:fill="FFFFFF"/>
        <w:tabs>
          <w:tab w:val="left" w:pos="567"/>
          <w:tab w:val="left" w:pos="1134"/>
        </w:tabs>
        <w:autoSpaceDE w:val="0"/>
        <w:autoSpaceDN w:val="0"/>
        <w:adjustRightInd w:val="0"/>
        <w:spacing w:after="200"/>
        <w:ind w:left="0" w:firstLine="851"/>
        <w:rPr>
          <w:szCs w:val="24"/>
        </w:rPr>
      </w:pPr>
      <w:r w:rsidRPr="001B0EA3">
        <w:rPr>
          <w:szCs w:val="24"/>
        </w:rPr>
        <w:t>подписва и насочва материали, подготвени по въпроси, включени във функциите на дирекция КПП;</w:t>
      </w:r>
    </w:p>
    <w:p w14:paraId="4301992D" w14:textId="77777777" w:rsidR="00D603F5" w:rsidRPr="001B0EA3" w:rsidRDefault="00D603F5" w:rsidP="005455E4">
      <w:pPr>
        <w:pStyle w:val="ListParagraph"/>
        <w:numPr>
          <w:ilvl w:val="0"/>
          <w:numId w:val="76"/>
        </w:numPr>
        <w:shd w:val="clear" w:color="auto" w:fill="FFFFFF"/>
        <w:tabs>
          <w:tab w:val="left" w:pos="567"/>
          <w:tab w:val="left" w:pos="1134"/>
        </w:tabs>
        <w:autoSpaceDE w:val="0"/>
        <w:autoSpaceDN w:val="0"/>
        <w:adjustRightInd w:val="0"/>
        <w:spacing w:after="200"/>
        <w:ind w:left="0" w:firstLine="851"/>
        <w:rPr>
          <w:szCs w:val="24"/>
        </w:rPr>
      </w:pPr>
      <w:r w:rsidRPr="001B0EA3">
        <w:rPr>
          <w:szCs w:val="24"/>
        </w:rPr>
        <w:t>разпределя работата и задълженията между служителите в дирекцията.</w:t>
      </w:r>
    </w:p>
    <w:p w14:paraId="2F5E1C8E" w14:textId="77777777" w:rsidR="00D603F5" w:rsidRPr="001B0EA3" w:rsidRDefault="00D603F5" w:rsidP="005455E4">
      <w:pPr>
        <w:pStyle w:val="ListParagraph"/>
        <w:numPr>
          <w:ilvl w:val="1"/>
          <w:numId w:val="77"/>
        </w:numPr>
        <w:shd w:val="clear" w:color="auto" w:fill="FFFFFF"/>
        <w:tabs>
          <w:tab w:val="left" w:pos="567"/>
          <w:tab w:val="left" w:pos="1134"/>
        </w:tabs>
        <w:autoSpaceDE w:val="0"/>
        <w:autoSpaceDN w:val="0"/>
        <w:adjustRightInd w:val="0"/>
        <w:spacing w:after="200"/>
        <w:ind w:left="0" w:firstLine="851"/>
        <w:rPr>
          <w:szCs w:val="24"/>
        </w:rPr>
      </w:pPr>
      <w:r w:rsidRPr="001B0EA3">
        <w:rPr>
          <w:szCs w:val="24"/>
        </w:rPr>
        <w:t>Структурата на дирекция КПП се утвърждава от министъра по предложение на главния секретар.</w:t>
      </w:r>
    </w:p>
    <w:p w14:paraId="487A38D2" w14:textId="77777777" w:rsidR="00D603F5" w:rsidRPr="001B0EA3" w:rsidRDefault="00D603F5" w:rsidP="005455E4">
      <w:pPr>
        <w:pStyle w:val="ListParagraph"/>
        <w:numPr>
          <w:ilvl w:val="1"/>
          <w:numId w:val="77"/>
        </w:numPr>
        <w:shd w:val="clear" w:color="auto" w:fill="FFFFFF"/>
        <w:tabs>
          <w:tab w:val="left" w:pos="567"/>
          <w:tab w:val="left" w:pos="1134"/>
        </w:tabs>
        <w:autoSpaceDE w:val="0"/>
        <w:autoSpaceDN w:val="0"/>
        <w:adjustRightInd w:val="0"/>
        <w:spacing w:after="200"/>
        <w:ind w:left="0" w:firstLine="851"/>
        <w:rPr>
          <w:szCs w:val="24"/>
        </w:rPr>
      </w:pPr>
      <w:r w:rsidRPr="001B0EA3">
        <w:rPr>
          <w:szCs w:val="24"/>
        </w:rPr>
        <w:t>Правата и задълженията на служителите в дирекция КПП, както и изискванията за заемане на съответната длъжност се определят в длъжностни характеристики, които се утвърждават от главния секретар.</w:t>
      </w:r>
    </w:p>
    <w:p w14:paraId="13E2A3D6" w14:textId="77777777" w:rsidR="00D603F5" w:rsidRPr="001B0EA3" w:rsidRDefault="00D603F5" w:rsidP="005455E4">
      <w:pPr>
        <w:pStyle w:val="ListParagraph"/>
        <w:numPr>
          <w:ilvl w:val="1"/>
          <w:numId w:val="77"/>
        </w:numPr>
        <w:shd w:val="clear" w:color="auto" w:fill="FFFFFF"/>
        <w:tabs>
          <w:tab w:val="left" w:pos="567"/>
          <w:tab w:val="left" w:pos="1134"/>
        </w:tabs>
        <w:autoSpaceDE w:val="0"/>
        <w:autoSpaceDN w:val="0"/>
        <w:adjustRightInd w:val="0"/>
        <w:spacing w:after="200"/>
        <w:ind w:left="0" w:firstLine="851"/>
        <w:rPr>
          <w:szCs w:val="24"/>
        </w:rPr>
      </w:pPr>
      <w:r w:rsidRPr="001B0EA3">
        <w:rPr>
          <w:szCs w:val="24"/>
        </w:rPr>
        <w:t>Работното време на служителите е 8 часа дневно и 40 часа седмично при 5-дневна работна седмица. Работното време е от 7,30 до 18,30 ч. с период на задължително присъствие от 10,00 до 16,00 ч. при задължително отработване на нормалната продължителност на 8-часовия работен ден и с обедна почивка 30 минути между 12,00 и 14,00 ч.</w:t>
      </w:r>
    </w:p>
    <w:p w14:paraId="78B41085" w14:textId="77777777" w:rsidR="00D603F5" w:rsidRPr="001B0EA3" w:rsidRDefault="00D603F5" w:rsidP="005455E4">
      <w:pPr>
        <w:pStyle w:val="ListParagraph"/>
        <w:tabs>
          <w:tab w:val="left" w:pos="1134"/>
        </w:tabs>
        <w:ind w:left="0"/>
        <w:rPr>
          <w:szCs w:val="24"/>
        </w:rPr>
      </w:pPr>
    </w:p>
    <w:p w14:paraId="2EEABEF8" w14:textId="77777777" w:rsidR="00D603F5" w:rsidRPr="001B0EA3" w:rsidRDefault="00D603F5" w:rsidP="005455E4">
      <w:pPr>
        <w:shd w:val="clear" w:color="auto" w:fill="FFFFFF"/>
        <w:tabs>
          <w:tab w:val="left" w:pos="1134"/>
        </w:tabs>
        <w:autoSpaceDE w:val="0"/>
        <w:autoSpaceDN w:val="0"/>
        <w:adjustRightInd w:val="0"/>
        <w:contextualSpacing/>
        <w:rPr>
          <w:i/>
          <w:szCs w:val="24"/>
        </w:rPr>
      </w:pPr>
      <w:r w:rsidRPr="001B0EA3">
        <w:rPr>
          <w:i/>
          <w:szCs w:val="24"/>
        </w:rPr>
        <w:t>Длъжностни характеристики на служителите</w:t>
      </w:r>
    </w:p>
    <w:p w14:paraId="7EAD0549" w14:textId="77777777" w:rsidR="00D603F5" w:rsidRPr="001B0EA3" w:rsidRDefault="00D603F5" w:rsidP="005455E4">
      <w:pPr>
        <w:shd w:val="clear" w:color="auto" w:fill="FFFFFF"/>
        <w:tabs>
          <w:tab w:val="left" w:pos="1134"/>
        </w:tabs>
        <w:autoSpaceDE w:val="0"/>
        <w:autoSpaceDN w:val="0"/>
        <w:adjustRightInd w:val="0"/>
        <w:contextualSpacing/>
        <w:rPr>
          <w:szCs w:val="24"/>
        </w:rPr>
      </w:pPr>
      <w:r w:rsidRPr="001B0EA3">
        <w:rPr>
          <w:szCs w:val="24"/>
        </w:rPr>
        <w:t>Прекият ръководител на съответния служител изготвя проект на длъжностна характеристика по образец, утвърден с Наредбата за длъжностните характеристики на държавните служители за заетите и свободни длъжности в ръководеното от него звено, а за длъжностите, които са на пряко подчинение на министъра, директорите на дирекции и главния секретар, проектът се разработва от дирекция „Човешки ресурси“.</w:t>
      </w:r>
    </w:p>
    <w:p w14:paraId="4EB0AF84" w14:textId="77777777" w:rsidR="00D603F5" w:rsidRPr="001B0EA3" w:rsidRDefault="00D603F5" w:rsidP="005455E4">
      <w:pPr>
        <w:shd w:val="clear" w:color="auto" w:fill="FFFFFF"/>
        <w:tabs>
          <w:tab w:val="left" w:pos="1134"/>
        </w:tabs>
        <w:autoSpaceDE w:val="0"/>
        <w:autoSpaceDN w:val="0"/>
        <w:adjustRightInd w:val="0"/>
        <w:contextualSpacing/>
        <w:rPr>
          <w:szCs w:val="24"/>
        </w:rPr>
      </w:pPr>
      <w:r w:rsidRPr="001B0EA3">
        <w:rPr>
          <w:szCs w:val="24"/>
        </w:rPr>
        <w:t xml:space="preserve">Дирекция „Човешки ресурси” в </w:t>
      </w:r>
      <w:r w:rsidR="00BB6BF6">
        <w:rPr>
          <w:szCs w:val="24"/>
        </w:rPr>
        <w:t>МТС</w:t>
      </w:r>
      <w:r w:rsidRPr="001B0EA3">
        <w:rPr>
          <w:szCs w:val="24"/>
        </w:rPr>
        <w:t xml:space="preserve"> извършва общ контрол, методическа, организационна и техническа подкрепа при изготвянето на длъжности характеристики.</w:t>
      </w:r>
    </w:p>
    <w:p w14:paraId="6B4A274E" w14:textId="77777777" w:rsidR="00D603F5" w:rsidRPr="001B0EA3" w:rsidRDefault="00D603F5" w:rsidP="005455E4">
      <w:pPr>
        <w:shd w:val="clear" w:color="auto" w:fill="FFFFFF"/>
        <w:tabs>
          <w:tab w:val="left" w:pos="1134"/>
        </w:tabs>
        <w:autoSpaceDE w:val="0"/>
        <w:autoSpaceDN w:val="0"/>
        <w:adjustRightInd w:val="0"/>
        <w:contextualSpacing/>
        <w:rPr>
          <w:szCs w:val="24"/>
        </w:rPr>
      </w:pPr>
      <w:r w:rsidRPr="001B0EA3">
        <w:rPr>
          <w:szCs w:val="24"/>
        </w:rPr>
        <w:t>Длъжностните характеристики се съгласуват от по-горестоящ/от контролиращия ръководител и директора на дирекция „Човешки ресурси“ и се утвърждават от главния секретар. Оригиналите се съхраняват от дирекция „Човешки ресурси”.</w:t>
      </w:r>
    </w:p>
    <w:p w14:paraId="16D2B8B3" w14:textId="77777777" w:rsidR="00D603F5" w:rsidRPr="001B0EA3" w:rsidRDefault="00D603F5" w:rsidP="005455E4">
      <w:pPr>
        <w:shd w:val="clear" w:color="auto" w:fill="FFFFFF"/>
        <w:tabs>
          <w:tab w:val="left" w:pos="1134"/>
        </w:tabs>
        <w:autoSpaceDE w:val="0"/>
        <w:autoSpaceDN w:val="0"/>
        <w:adjustRightInd w:val="0"/>
        <w:contextualSpacing/>
        <w:rPr>
          <w:szCs w:val="24"/>
        </w:rPr>
      </w:pPr>
      <w:r w:rsidRPr="001B0EA3">
        <w:rPr>
          <w:szCs w:val="24"/>
        </w:rPr>
        <w:t>Длъжностните характеристики могат да бъдат изменяни по инициатива на дирекция „Човешки ресурси” или на преките ръководители при настъпили структурни промени, изменения на функциите на звеното и други възникнали обстоятелства. Копие от утвърдената длъжностна характеристика с оригинален подпис на служителя се съхранява в служебното му досие.</w:t>
      </w:r>
    </w:p>
    <w:p w14:paraId="2D046B18" w14:textId="77777777" w:rsidR="00D603F5" w:rsidRPr="001B0EA3" w:rsidRDefault="00D603F5" w:rsidP="005455E4">
      <w:pPr>
        <w:shd w:val="clear" w:color="auto" w:fill="FFFFFF"/>
        <w:tabs>
          <w:tab w:val="left" w:pos="1134"/>
        </w:tabs>
        <w:autoSpaceDE w:val="0"/>
        <w:autoSpaceDN w:val="0"/>
        <w:adjustRightInd w:val="0"/>
        <w:contextualSpacing/>
        <w:rPr>
          <w:i/>
          <w:szCs w:val="24"/>
        </w:rPr>
      </w:pPr>
    </w:p>
    <w:p w14:paraId="1D8D36D0" w14:textId="77777777" w:rsidR="00D603F5" w:rsidRPr="001B0EA3" w:rsidRDefault="00D603F5" w:rsidP="005455E4">
      <w:pPr>
        <w:shd w:val="clear" w:color="auto" w:fill="FFFFFF"/>
        <w:tabs>
          <w:tab w:val="left" w:pos="1134"/>
        </w:tabs>
        <w:autoSpaceDE w:val="0"/>
        <w:autoSpaceDN w:val="0"/>
        <w:adjustRightInd w:val="0"/>
        <w:contextualSpacing/>
        <w:rPr>
          <w:i/>
          <w:szCs w:val="24"/>
        </w:rPr>
      </w:pPr>
      <w:r w:rsidRPr="001B0EA3">
        <w:rPr>
          <w:i/>
          <w:szCs w:val="24"/>
        </w:rPr>
        <w:t xml:space="preserve">Материално-техническо обезпечаване </w:t>
      </w:r>
    </w:p>
    <w:p w14:paraId="4D7C7ACA" w14:textId="77777777" w:rsidR="00D603F5" w:rsidRPr="001B0EA3" w:rsidRDefault="00D603F5" w:rsidP="005455E4">
      <w:pPr>
        <w:shd w:val="clear" w:color="auto" w:fill="FFFFFF"/>
        <w:tabs>
          <w:tab w:val="left" w:pos="1134"/>
        </w:tabs>
        <w:autoSpaceDE w:val="0"/>
        <w:autoSpaceDN w:val="0"/>
        <w:adjustRightInd w:val="0"/>
        <w:contextualSpacing/>
        <w:rPr>
          <w:szCs w:val="24"/>
        </w:rPr>
      </w:pPr>
      <w:r w:rsidRPr="001B0EA3">
        <w:rPr>
          <w:szCs w:val="24"/>
        </w:rPr>
        <w:t xml:space="preserve">Стабилното управление и контрол на ОПТТИ, съфинансирана от Кохезионния фонд и Европейския фонд за регионално развитие, изисква специфични мерки за техническа помощ, целящи удовлетворяване на  основните нужди от подкрепа за програмната координация, както и засилване на административния капацитет на структурите, участващи в процеса на програмиране, мониторинг, изпълнение, оценка и финансов контрол. Ефективното и ефикасно управление и контрол на средствата от ЕФРР и КФ е в пряка зависимост от наличието на административен капацитет и материално техническо обезпечаване на звената, ангажирани с управлението на ОПТТИ.  Осигуряването на необходимата техническа база ще облекчи ежедневната работа на експертите и ще съкрати сроковете за изпълнение на административните дейности. </w:t>
      </w:r>
    </w:p>
    <w:p w14:paraId="3B7F7E2F" w14:textId="77777777" w:rsidR="00D603F5" w:rsidRPr="001B0EA3" w:rsidRDefault="00D603F5" w:rsidP="005455E4">
      <w:pPr>
        <w:shd w:val="clear" w:color="auto" w:fill="FFFFFF"/>
        <w:tabs>
          <w:tab w:val="left" w:pos="1134"/>
        </w:tabs>
        <w:autoSpaceDE w:val="0"/>
        <w:autoSpaceDN w:val="0"/>
        <w:adjustRightInd w:val="0"/>
        <w:contextualSpacing/>
        <w:rPr>
          <w:szCs w:val="24"/>
        </w:rPr>
      </w:pPr>
      <w:r w:rsidRPr="001B0EA3">
        <w:rPr>
          <w:szCs w:val="24"/>
        </w:rPr>
        <w:t>Поради бързото морално остаряване на техниката се предвижда, както през програмен период 2007-2013 г., чрез проекти за техническа помощ да бъдат обезпечавани на разходите за доставка и инсталиране на компютърна и периферна техника и доставка на офис консумативи и други за нуждите на УО на ОПТТИ.</w:t>
      </w:r>
    </w:p>
    <w:p w14:paraId="2518B302" w14:textId="77777777" w:rsidR="00D603F5" w:rsidRPr="001B0EA3" w:rsidRDefault="00D603F5" w:rsidP="005455E4">
      <w:pPr>
        <w:tabs>
          <w:tab w:val="left" w:pos="1134"/>
          <w:tab w:val="left" w:pos="2268"/>
          <w:tab w:val="left" w:pos="2835"/>
          <w:tab w:val="left" w:pos="3402"/>
          <w:tab w:val="left" w:pos="3969"/>
          <w:tab w:val="left" w:pos="4536"/>
          <w:tab w:val="left" w:pos="5103"/>
          <w:tab w:val="left" w:pos="5670"/>
          <w:tab w:val="left" w:pos="6237"/>
        </w:tabs>
        <w:rPr>
          <w:i/>
          <w:szCs w:val="24"/>
        </w:rPr>
      </w:pPr>
    </w:p>
    <w:p w14:paraId="3F9816B6" w14:textId="77777777" w:rsidR="00D603F5" w:rsidRPr="001B0EA3" w:rsidRDefault="00D603F5" w:rsidP="005455E4">
      <w:pPr>
        <w:tabs>
          <w:tab w:val="left" w:pos="1134"/>
          <w:tab w:val="left" w:pos="2268"/>
          <w:tab w:val="left" w:pos="2835"/>
          <w:tab w:val="left" w:pos="3402"/>
          <w:tab w:val="left" w:pos="3969"/>
          <w:tab w:val="left" w:pos="4536"/>
          <w:tab w:val="left" w:pos="5103"/>
          <w:tab w:val="left" w:pos="5670"/>
          <w:tab w:val="left" w:pos="6237"/>
        </w:tabs>
        <w:rPr>
          <w:i/>
          <w:szCs w:val="24"/>
        </w:rPr>
      </w:pPr>
      <w:r w:rsidRPr="001B0EA3">
        <w:rPr>
          <w:i/>
          <w:szCs w:val="24"/>
        </w:rPr>
        <w:t>Работни офис площи</w:t>
      </w:r>
    </w:p>
    <w:p w14:paraId="48AC2CCB" w14:textId="77777777" w:rsidR="00D603F5" w:rsidRPr="001B0EA3" w:rsidRDefault="00D603F5" w:rsidP="005455E4">
      <w:pPr>
        <w:shd w:val="clear" w:color="auto" w:fill="FFFFFF"/>
        <w:tabs>
          <w:tab w:val="left" w:pos="1134"/>
        </w:tabs>
        <w:autoSpaceDE w:val="0"/>
        <w:autoSpaceDN w:val="0"/>
        <w:adjustRightInd w:val="0"/>
        <w:contextualSpacing/>
        <w:rPr>
          <w:szCs w:val="24"/>
        </w:rPr>
      </w:pPr>
      <w:r w:rsidRPr="001B0EA3">
        <w:rPr>
          <w:szCs w:val="24"/>
        </w:rPr>
        <w:t xml:space="preserve">Към момент, експертите са настанени в сградата на </w:t>
      </w:r>
      <w:r w:rsidR="00BB6BF6">
        <w:rPr>
          <w:szCs w:val="24"/>
        </w:rPr>
        <w:t>МТС</w:t>
      </w:r>
      <w:r w:rsidRPr="001B0EA3">
        <w:rPr>
          <w:szCs w:val="24"/>
        </w:rPr>
        <w:t xml:space="preserve"> на ул. Дякон Игнатий № 9, съобразно възможностите на сградния фонд, като служители на дирекцията се помещават на различни етажи в министерството (3, 5, 7, 10, 12, 13, 14, 15 и 16) и се намират между служители на други дирекции на </w:t>
      </w:r>
      <w:r w:rsidR="00BB6BF6">
        <w:rPr>
          <w:szCs w:val="24"/>
        </w:rPr>
        <w:t>МТС</w:t>
      </w:r>
      <w:r w:rsidRPr="001B0EA3">
        <w:rPr>
          <w:szCs w:val="24"/>
        </w:rPr>
        <w:t xml:space="preserve">. Това води до известни затруднения при изпълнение на ежедневните задължения на служителите, отговорни за ОПТТИ. Преобладаващата част от личния състав са настанени по двама човека в стая с площ приблизително 15 м2, но не са малко и стаите с по трима човека. </w:t>
      </w:r>
    </w:p>
    <w:p w14:paraId="103F3813" w14:textId="77777777" w:rsidR="00D603F5" w:rsidRPr="001B0EA3" w:rsidRDefault="00D603F5" w:rsidP="005455E4">
      <w:pPr>
        <w:shd w:val="clear" w:color="auto" w:fill="FFFFFF"/>
        <w:tabs>
          <w:tab w:val="left" w:pos="1134"/>
        </w:tabs>
        <w:autoSpaceDE w:val="0"/>
        <w:autoSpaceDN w:val="0"/>
        <w:adjustRightInd w:val="0"/>
        <w:contextualSpacing/>
        <w:rPr>
          <w:szCs w:val="24"/>
        </w:rPr>
      </w:pPr>
      <w:r w:rsidRPr="001B0EA3">
        <w:rPr>
          <w:szCs w:val="24"/>
        </w:rPr>
        <w:t xml:space="preserve">Ограничените възможности на наличния сграден фонд предопределиха необходимостта от извършване на анализ на възможните решения за осигуряване на адекватни условия за изпълнение на задачите на УО на ОПТТИ. </w:t>
      </w:r>
    </w:p>
    <w:p w14:paraId="6456D996" w14:textId="77777777" w:rsidR="00D603F5" w:rsidRPr="001B0EA3" w:rsidRDefault="00D603F5" w:rsidP="005455E4">
      <w:pPr>
        <w:shd w:val="clear" w:color="auto" w:fill="FFFFFF"/>
        <w:tabs>
          <w:tab w:val="left" w:pos="1134"/>
        </w:tabs>
        <w:autoSpaceDE w:val="0"/>
        <w:autoSpaceDN w:val="0"/>
        <w:adjustRightInd w:val="0"/>
        <w:contextualSpacing/>
        <w:rPr>
          <w:szCs w:val="24"/>
        </w:rPr>
      </w:pPr>
      <w:r w:rsidRPr="001B0EA3">
        <w:rPr>
          <w:szCs w:val="24"/>
        </w:rPr>
        <w:t>В основата за ефективността на работа на дирекция КПП стои добрата организация. Основна предпоставка за това е качеството и комфорта на работната среда. Тя се изразява в ефективното разпределение на площите в работните помещения и осигуряването на достатъчно пространство за работа на служителите, организиране на работни срещи и семинари и за изпълнение на всички дейности, съпътстващи подготовката и контрола на значими инфраструктурни проекти.  В подкрепа на набелязаните цели ще бъдат предприети действия за осигуряване на по-добра материално-техническа база за постигане на работна среда, даваща перспективи за подобряване качеството на подготовката, наблюдението, контрола и реализацията на проектите, финансирани от ОПТ.</w:t>
      </w:r>
    </w:p>
    <w:p w14:paraId="72E64188" w14:textId="77777777" w:rsidR="00D603F5" w:rsidRPr="001B0EA3" w:rsidRDefault="00D603F5" w:rsidP="005455E4">
      <w:pPr>
        <w:shd w:val="clear" w:color="auto" w:fill="FFFFFF"/>
        <w:tabs>
          <w:tab w:val="left" w:pos="1134"/>
        </w:tabs>
        <w:autoSpaceDE w:val="0"/>
        <w:autoSpaceDN w:val="0"/>
        <w:adjustRightInd w:val="0"/>
        <w:contextualSpacing/>
        <w:rPr>
          <w:szCs w:val="24"/>
        </w:rPr>
      </w:pPr>
      <w:r w:rsidRPr="001B0EA3">
        <w:rPr>
          <w:szCs w:val="24"/>
        </w:rPr>
        <w:t>Първи стъпки са предприети през програмен период 2007-2013 г. с изпълнение на проект за техническа помощ за подготовката на изпълнението на дейности за разширяване и подобряване на материално-техническата база, чрез подготовка за преустройство на част от VI-тия етаж на сграда на ул. „Гурко” № 6 за нуждите на дирекция „Координация на програми и проекти”. Той е насочен към директно подпомагане на работата на дирекция КПП, в качеството й на Управляващ орган на програмата.</w:t>
      </w:r>
    </w:p>
    <w:p w14:paraId="066CE9C8" w14:textId="77777777" w:rsidR="00D603F5" w:rsidRPr="001B0EA3" w:rsidRDefault="00D603F5" w:rsidP="005455E4">
      <w:pPr>
        <w:shd w:val="clear" w:color="auto" w:fill="FFFFFF"/>
        <w:tabs>
          <w:tab w:val="left" w:pos="1134"/>
        </w:tabs>
        <w:autoSpaceDE w:val="0"/>
        <w:autoSpaceDN w:val="0"/>
        <w:adjustRightInd w:val="0"/>
        <w:contextualSpacing/>
        <w:rPr>
          <w:szCs w:val="24"/>
        </w:rPr>
      </w:pPr>
    </w:p>
    <w:p w14:paraId="1B515C60" w14:textId="77777777" w:rsidR="00D603F5" w:rsidRPr="001B0EA3" w:rsidRDefault="00D603F5" w:rsidP="00B502C7">
      <w:pPr>
        <w:pStyle w:val="Style2"/>
        <w:rPr>
          <w:snapToGrid w:val="0"/>
        </w:rPr>
      </w:pPr>
      <w:bookmarkStart w:id="1391" w:name="_Toc479775862"/>
      <w:bookmarkStart w:id="1392" w:name="_Toc140150355"/>
      <w:r w:rsidRPr="001B0EA3">
        <w:rPr>
          <w:snapToGrid w:val="0"/>
        </w:rPr>
        <w:t>Кодекс за поведение</w:t>
      </w:r>
      <w:bookmarkEnd w:id="1391"/>
      <w:bookmarkEnd w:id="1392"/>
    </w:p>
    <w:p w14:paraId="1B5183A1" w14:textId="77777777" w:rsidR="00AE1CF8" w:rsidRPr="001B0EA3" w:rsidRDefault="00AE1CF8" w:rsidP="005455E4">
      <w:pPr>
        <w:shd w:val="clear" w:color="auto" w:fill="FFFFFF"/>
        <w:autoSpaceDE w:val="0"/>
        <w:autoSpaceDN w:val="0"/>
        <w:adjustRightInd w:val="0"/>
        <w:contextualSpacing/>
        <w:rPr>
          <w:szCs w:val="24"/>
        </w:rPr>
      </w:pPr>
      <w:r w:rsidRPr="001B0EA3">
        <w:rPr>
          <w:szCs w:val="24"/>
        </w:rPr>
        <w:t xml:space="preserve">В </w:t>
      </w:r>
      <w:r w:rsidR="00D34044">
        <w:rPr>
          <w:szCs w:val="24"/>
        </w:rPr>
        <w:t>Министерството на транспорта и съобщенията</w:t>
      </w:r>
      <w:r w:rsidRPr="001B0EA3">
        <w:rPr>
          <w:szCs w:val="24"/>
        </w:rPr>
        <w:t xml:space="preserve"> (</w:t>
      </w:r>
      <w:r w:rsidR="00BB6BF6">
        <w:rPr>
          <w:szCs w:val="24"/>
        </w:rPr>
        <w:t>МТС</w:t>
      </w:r>
      <w:r w:rsidRPr="001B0EA3">
        <w:rPr>
          <w:szCs w:val="24"/>
        </w:rPr>
        <w:t xml:space="preserve">) е приет Кодекс за поведение на служителя в </w:t>
      </w:r>
      <w:r w:rsidR="00D34044">
        <w:rPr>
          <w:szCs w:val="24"/>
        </w:rPr>
        <w:t>Министерството на транспорта и съобщенията</w:t>
      </w:r>
      <w:r w:rsidRPr="001B0EA3">
        <w:rPr>
          <w:szCs w:val="24"/>
        </w:rPr>
        <w:t xml:space="preserve">. Този кодекс определя задължителните етични норми за поведение на служителя на </w:t>
      </w:r>
      <w:r w:rsidR="00BB6BF6">
        <w:rPr>
          <w:szCs w:val="24"/>
        </w:rPr>
        <w:t>МТС</w:t>
      </w:r>
      <w:r w:rsidRPr="001B0EA3">
        <w:rPr>
          <w:szCs w:val="24"/>
        </w:rPr>
        <w:t xml:space="preserve"> и има за цел да укрепва общественото доверие в морала и професионализма на служителите, както и да повишава престижа на администрацията на </w:t>
      </w:r>
      <w:r w:rsidR="00BB6BF6">
        <w:rPr>
          <w:szCs w:val="24"/>
        </w:rPr>
        <w:t>МТС</w:t>
      </w:r>
      <w:r w:rsidRPr="001B0EA3">
        <w:rPr>
          <w:szCs w:val="24"/>
        </w:rPr>
        <w:t xml:space="preserve">. Кодексът е публикуван на вътрешната интернет страница на </w:t>
      </w:r>
      <w:r w:rsidR="00BB6BF6">
        <w:rPr>
          <w:szCs w:val="24"/>
        </w:rPr>
        <w:t>МТС</w:t>
      </w:r>
      <w:r w:rsidRPr="001B0EA3">
        <w:rPr>
          <w:szCs w:val="24"/>
        </w:rPr>
        <w:t xml:space="preserve"> и е постоянно достъпна за запознаване и преглед от служителите.  В случай на изменение актуалната версия на документа също се публикува. Дирекция „Човешки ресурси” на </w:t>
      </w:r>
      <w:r w:rsidR="00BB6BF6">
        <w:rPr>
          <w:szCs w:val="24"/>
        </w:rPr>
        <w:t>МТС</w:t>
      </w:r>
      <w:r w:rsidRPr="001B0EA3">
        <w:rPr>
          <w:szCs w:val="24"/>
        </w:rPr>
        <w:t xml:space="preserve"> оказва  съдействие при запознаването на лицата, които надлежно се осведомяват и са длъжни да изпълняват.</w:t>
      </w:r>
    </w:p>
    <w:p w14:paraId="2133662C" w14:textId="77777777" w:rsidR="00AE1CF8" w:rsidRPr="001B0EA3" w:rsidRDefault="00AE1CF8" w:rsidP="005455E4">
      <w:pPr>
        <w:shd w:val="clear" w:color="auto" w:fill="FFFFFF"/>
        <w:autoSpaceDE w:val="0"/>
        <w:autoSpaceDN w:val="0"/>
        <w:adjustRightInd w:val="0"/>
        <w:contextualSpacing/>
        <w:rPr>
          <w:szCs w:val="24"/>
        </w:rPr>
      </w:pPr>
      <w:r w:rsidRPr="001B0EA3">
        <w:rPr>
          <w:szCs w:val="24"/>
        </w:rPr>
        <w:t>Държавният служител при изпълнение на своята служба се ръководи от закона и законосъобразните актове на органите на държавната власт, от спазването и защитата на правата, законните интереси и свободите на гражданите и интересите на държавата. Държавният служител при изпълнение на своята служба трябва да бъде политически неутрален.</w:t>
      </w:r>
    </w:p>
    <w:p w14:paraId="4BE35FAE" w14:textId="77777777" w:rsidR="00AE1CF8" w:rsidRPr="001B0EA3" w:rsidRDefault="00AE1CF8" w:rsidP="005455E4">
      <w:pPr>
        <w:shd w:val="clear" w:color="auto" w:fill="FFFFFF"/>
        <w:autoSpaceDE w:val="0"/>
        <w:autoSpaceDN w:val="0"/>
        <w:adjustRightInd w:val="0"/>
        <w:contextualSpacing/>
        <w:rPr>
          <w:szCs w:val="24"/>
        </w:rPr>
      </w:pPr>
      <w:r w:rsidRPr="001B0EA3">
        <w:rPr>
          <w:szCs w:val="24"/>
        </w:rPr>
        <w:t xml:space="preserve">Служителите следва се отнасят с особено внимание към действията и решенията си, които засягат правата и интересите на личността, както и обществените интереси и ползи. Поведението и дейността на служителите се основава на принципите на лоялност, честност, безпристрастност, политическа неутралност, ефективност, отговорност и отчетност както пред обществото, така и в служебната йерархия. При изпълнение на служебните си задължения и в отношенията с колегите си служителите не допускат различно третиране и дискриминация, основани на националност, пол, раса, цвят, етнически или социален произход, генетични особености, език, религия или вяра, политически или други мнения, принадлежност </w:t>
      </w:r>
      <w:r w:rsidRPr="001B0EA3">
        <w:rPr>
          <w:szCs w:val="24"/>
        </w:rPr>
        <w:lastRenderedPageBreak/>
        <w:t xml:space="preserve">към национално малцинство, имотно състояние, произход, намалена трудоспособност, възраст или сексуална ориентация. Служителите следват поведение, което не би могло да накърни престижа на администрацията на </w:t>
      </w:r>
      <w:r w:rsidR="00BB6BF6">
        <w:rPr>
          <w:szCs w:val="24"/>
        </w:rPr>
        <w:t>МТС</w:t>
      </w:r>
      <w:r w:rsidRPr="001B0EA3">
        <w:rPr>
          <w:szCs w:val="24"/>
        </w:rPr>
        <w:t>, не само при изпълнение на служебните си задължения, но и в неговия обществен и личен живот.</w:t>
      </w:r>
    </w:p>
    <w:p w14:paraId="6CDA6ACD" w14:textId="77777777" w:rsidR="00AE1CF8" w:rsidRPr="001B0EA3" w:rsidRDefault="00AE1CF8" w:rsidP="005455E4">
      <w:pPr>
        <w:shd w:val="clear" w:color="auto" w:fill="FFFFFF"/>
        <w:autoSpaceDE w:val="0"/>
        <w:autoSpaceDN w:val="0"/>
        <w:adjustRightInd w:val="0"/>
        <w:contextualSpacing/>
        <w:rPr>
          <w:szCs w:val="24"/>
        </w:rPr>
      </w:pPr>
      <w:r w:rsidRPr="001B0EA3">
        <w:rPr>
          <w:szCs w:val="24"/>
        </w:rPr>
        <w:t>Служителите не трябва да допускат поведение и облекло, което би било несъвместимо с добрите нрави. Служителите следва да придобиват, управляват и стопанисват личното и на семейството си имущество по начин, който да не създава съмнение за злоупотреба със служебното им положение. Служителите не могат да упражняват дейности, забранени му от Закона за държавния служител и други нормативни актове, както и да получават доходи от такива дейности.</w:t>
      </w:r>
    </w:p>
    <w:p w14:paraId="12403D73" w14:textId="77777777" w:rsidR="00AE1CF8" w:rsidRPr="001B0EA3" w:rsidRDefault="00AE1CF8" w:rsidP="005455E4">
      <w:pPr>
        <w:rPr>
          <w:b/>
          <w:szCs w:val="24"/>
        </w:rPr>
      </w:pPr>
    </w:p>
    <w:p w14:paraId="45822BBC" w14:textId="77777777" w:rsidR="00AE1CF8" w:rsidRPr="001B0EA3" w:rsidRDefault="00AE1CF8" w:rsidP="005455E4">
      <w:pPr>
        <w:rPr>
          <w:b/>
          <w:szCs w:val="24"/>
        </w:rPr>
      </w:pPr>
      <w:r w:rsidRPr="001B0EA3">
        <w:rPr>
          <w:b/>
          <w:szCs w:val="24"/>
        </w:rPr>
        <w:t>Професионално поведение и квалификация</w:t>
      </w:r>
    </w:p>
    <w:p w14:paraId="2DD4A5A9" w14:textId="77777777" w:rsidR="00AE1CF8" w:rsidRPr="001B0EA3" w:rsidRDefault="00AE1CF8" w:rsidP="005455E4">
      <w:pPr>
        <w:shd w:val="clear" w:color="auto" w:fill="FFFFFF"/>
        <w:autoSpaceDE w:val="0"/>
        <w:autoSpaceDN w:val="0"/>
        <w:adjustRightInd w:val="0"/>
        <w:contextualSpacing/>
        <w:rPr>
          <w:szCs w:val="24"/>
        </w:rPr>
      </w:pPr>
      <w:r w:rsidRPr="001B0EA3">
        <w:rPr>
          <w:szCs w:val="24"/>
        </w:rPr>
        <w:t xml:space="preserve">Експертът от УО на ОПТТИ е длъжен да познава и спазва своите професионални права и задължения, произтичащи от нормативните актове, вътрешните документи в </w:t>
      </w:r>
      <w:r w:rsidR="00BB6BF6">
        <w:rPr>
          <w:szCs w:val="24"/>
        </w:rPr>
        <w:t>МТС</w:t>
      </w:r>
      <w:r w:rsidRPr="001B0EA3">
        <w:rPr>
          <w:szCs w:val="24"/>
        </w:rPr>
        <w:t>. Експертът от УО на ОПТТИ извършва дейността си компетентно, обективно и добросъвестно, като се стреми непрекъснато да подобрява работата си в защита на националните интереси и тези на Европейския съюз. Служебната информация, с която разполага служителите от УО на ОПТТИ, не може да бъде използвана с користна цел, нито да бъде разгласявана пред други лица, освен по предвидените законови разпоредби. Експертът от УО на ОПТТИ не трябва да предприема действия, които надхвърлят неговата професионална компетентност. Експертът от УО на ОПТТИ е длъжен да поддържа и повишава своите професионални знания и умения. Експертът от УО на ОПТТИ е длъжен да помага за обучението на колегите си, да споделя своя опит с тях и да съдейства за тяхната специализация и усъвършенстване.</w:t>
      </w:r>
    </w:p>
    <w:p w14:paraId="51E4207B" w14:textId="77777777" w:rsidR="000F3F2A" w:rsidRPr="001B0EA3" w:rsidRDefault="000F3F2A" w:rsidP="005455E4">
      <w:pPr>
        <w:rPr>
          <w:b/>
          <w:szCs w:val="24"/>
        </w:rPr>
      </w:pPr>
    </w:p>
    <w:p w14:paraId="37BEF197" w14:textId="77777777" w:rsidR="00AE1CF8" w:rsidRPr="001B0EA3" w:rsidRDefault="00AE1CF8" w:rsidP="005455E4">
      <w:pPr>
        <w:rPr>
          <w:b/>
          <w:szCs w:val="24"/>
        </w:rPr>
      </w:pPr>
      <w:r w:rsidRPr="001B0EA3">
        <w:rPr>
          <w:b/>
          <w:szCs w:val="24"/>
        </w:rPr>
        <w:t>Конфликт на интереси</w:t>
      </w:r>
    </w:p>
    <w:p w14:paraId="3346FEB4" w14:textId="77777777" w:rsidR="00AE1CF8" w:rsidRPr="001B0EA3" w:rsidRDefault="00AE1CF8" w:rsidP="005455E4">
      <w:pPr>
        <w:rPr>
          <w:szCs w:val="24"/>
        </w:rPr>
      </w:pPr>
      <w:r w:rsidRPr="001B0EA3">
        <w:rPr>
          <w:szCs w:val="24"/>
        </w:rPr>
        <w:t>Експертът от УО на ОПТТИ трябва да избягва ситуации, при които с действията си използва професионалните си правомощия и статут в личен интерес или в интерес на свързани лица. При възлагането на служебна задача, чието изпълнение може да доведе до конфликт между служебните му задължения и неговите частни интереси, Експертът от УО на ОПТТИ следва своевременно да уведоми своя ръководител. Експертът от УО на ОПТТИ, на когото станат известни факти и обстоятелства за възникнал конфликт на интереси в администрацията може да подаде писмен сигнал до органа по назначаването. Информация, станала известна на експертът от УО на ОПТТИ по силата на служебното положение, не може да се използва от тях в личен интерес или в интерес на свързани лица, през цялото време докато заемат публична длъжност и една година след напускането.</w:t>
      </w:r>
    </w:p>
    <w:p w14:paraId="45A618DB" w14:textId="77777777" w:rsidR="00AE1CF8" w:rsidRPr="001B0EA3" w:rsidRDefault="00AE1CF8" w:rsidP="005455E4">
      <w:pPr>
        <w:rPr>
          <w:szCs w:val="24"/>
        </w:rPr>
      </w:pPr>
    </w:p>
    <w:p w14:paraId="10145EC1" w14:textId="77777777" w:rsidR="00AE1CF8" w:rsidRPr="001B0EA3" w:rsidRDefault="00AE1CF8" w:rsidP="005455E4">
      <w:pPr>
        <w:rPr>
          <w:b/>
          <w:szCs w:val="24"/>
        </w:rPr>
      </w:pPr>
      <w:r w:rsidRPr="001B0EA3">
        <w:rPr>
          <w:b/>
          <w:szCs w:val="24"/>
        </w:rPr>
        <w:t>Лично поведение на служителите от УО на ОПТТИ в обществото</w:t>
      </w:r>
    </w:p>
    <w:p w14:paraId="7883D9BE" w14:textId="77777777" w:rsidR="00AE1CF8" w:rsidRPr="001B0EA3" w:rsidRDefault="00AE1CF8" w:rsidP="005455E4">
      <w:pPr>
        <w:rPr>
          <w:szCs w:val="24"/>
        </w:rPr>
      </w:pPr>
      <w:r w:rsidRPr="001B0EA3">
        <w:rPr>
          <w:szCs w:val="24"/>
        </w:rPr>
        <w:t>При изпълнение на служебните си задължения и в обществения живот, служителят следва поведение, което е съвместимо с добрите нрави и не уронва престижа на УО на ОПТТИ. Служителят не може да използва служебното си положение с цел получаване на облаги за него или свързани с него лица. Служителят не трябва да изразява лично мнение по обществени или служебни въпроси по начин, по който би могъл да се тълкува като официална позиция на УО на ОПТТИ.</w:t>
      </w:r>
    </w:p>
    <w:p w14:paraId="754540BC" w14:textId="77777777" w:rsidR="00B73B14" w:rsidRPr="001B0EA3" w:rsidRDefault="00B73B14" w:rsidP="005455E4">
      <w:pPr>
        <w:rPr>
          <w:b/>
          <w:szCs w:val="24"/>
        </w:rPr>
      </w:pPr>
    </w:p>
    <w:p w14:paraId="7CD17018" w14:textId="77777777" w:rsidR="00AE1CF8" w:rsidRPr="001B0EA3" w:rsidRDefault="00AE1CF8" w:rsidP="005455E4">
      <w:pPr>
        <w:rPr>
          <w:b/>
          <w:szCs w:val="24"/>
        </w:rPr>
      </w:pPr>
      <w:r w:rsidRPr="001B0EA3">
        <w:rPr>
          <w:b/>
          <w:szCs w:val="24"/>
        </w:rPr>
        <w:t>Взаимоотношения между служителите от УО на ОПТТИ</w:t>
      </w:r>
    </w:p>
    <w:p w14:paraId="09C6360B" w14:textId="77777777" w:rsidR="00E95633" w:rsidRDefault="00AE1CF8" w:rsidP="005455E4">
      <w:pPr>
        <w:rPr>
          <w:szCs w:val="24"/>
        </w:rPr>
      </w:pPr>
      <w:r w:rsidRPr="001B0EA3">
        <w:rPr>
          <w:szCs w:val="24"/>
        </w:rPr>
        <w:t xml:space="preserve">Служителят оказва професионална помощ на колегите си при изпълнение на служебните задачи в рамките на своята компетентност. В отношенията между служителите не се допускат никакви форми на дискриминация. В отношенията с колегите си служителят проявява уважение, коректност и колегиалност, като не допуска поведение, което накърнява достойнството и правата на отделната личност. Когато противоречията между колеги не могат да бъдат разрешени от самите тях, те търсят съдействието на непосредствения си ръководител. </w:t>
      </w:r>
    </w:p>
    <w:sectPr w:rsidR="00E95633" w:rsidSect="007D7FCA">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73873B" w14:textId="77777777" w:rsidR="004C5DDA" w:rsidRDefault="004C5DDA">
      <w:r>
        <w:separator/>
      </w:r>
    </w:p>
  </w:endnote>
  <w:endnote w:type="continuationSeparator" w:id="0">
    <w:p w14:paraId="4B8490C1" w14:textId="77777777" w:rsidR="004C5DDA" w:rsidRDefault="004C5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EUAlbertina">
    <w:altName w:val="Times New Roman"/>
    <w:panose1 w:val="00000000000000000000"/>
    <w:charset w:val="CC"/>
    <w:family w:val="roman"/>
    <w:notTrueType/>
    <w:pitch w:val="default"/>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Futura Bk">
    <w:charset w:val="CC"/>
    <w:family w:val="swiss"/>
    <w:pitch w:val="variable"/>
    <w:sig w:usb0="00000287" w:usb1="00000000" w:usb2="00000000" w:usb3="00000000" w:csb0="0000009F" w:csb1="00000000"/>
  </w:font>
  <w:font w:name="Unv">
    <w:altName w:val="Tahoma"/>
    <w:charset w:val="00"/>
    <w:family w:val="swiss"/>
    <w:pitch w:val="variable"/>
    <w:sig w:usb0="00000003" w:usb1="00000000" w:usb2="00000000" w:usb3="00000000" w:csb0="00000001" w:csb1="00000000"/>
  </w:font>
  <w:font w:name="EUAlbertina-Regu-Identity-H">
    <w:altName w:val="MS Gothic"/>
    <w:panose1 w:val="00000000000000000000"/>
    <w:charset w:val="80"/>
    <w:family w:val="auto"/>
    <w:notTrueType/>
    <w:pitch w:val="default"/>
    <w:sig w:usb0="00000001" w:usb1="08070000" w:usb2="00000010" w:usb3="00000000" w:csb0="00020000" w:csb1="00000000"/>
  </w:font>
  <w:font w:name="OWBUTZ+HelenBg-Regular">
    <w:altName w:val="Arial"/>
    <w:panose1 w:val="00000000000000000000"/>
    <w:charset w:val="CC"/>
    <w:family w:val="swiss"/>
    <w:notTrueType/>
    <w:pitch w:val="default"/>
    <w:sig w:usb0="00000201" w:usb1="00000000" w:usb2="00000000" w:usb3="00000000" w:csb0="00000004" w:csb1="00000000"/>
  </w:font>
  <w:font w:name="TimesNewRomanPSMT-Identity-H">
    <w:altName w:val="Yu Gothic UI"/>
    <w:panose1 w:val="00000000000000000000"/>
    <w:charset w:val="80"/>
    <w:family w:val="auto"/>
    <w:notTrueType/>
    <w:pitch w:val="default"/>
    <w:sig w:usb0="00000000" w:usb1="08070000" w:usb2="00000010" w:usb3="00000000" w:csb0="00020000" w:csb1="00000000"/>
  </w:font>
  <w:font w:name="Times New Roman CYR">
    <w:panose1 w:val="02020603050405020304"/>
    <w:charset w:val="CC"/>
    <w:family w:val="roman"/>
    <w:pitch w:val="variable"/>
    <w:sig w:usb0="E0002EFF" w:usb1="C0007843" w:usb2="00000009" w:usb3="00000000" w:csb0="000001FF" w:csb1="00000000"/>
  </w:font>
  <w:font w:name="TimesNewRoman">
    <w:altName w:val="Times New Roman"/>
    <w:panose1 w:val="00000000000000000000"/>
    <w:charset w:val="CC"/>
    <w:family w:val="auto"/>
    <w:notTrueType/>
    <w:pitch w:val="default"/>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CE9B7" w14:textId="77777777" w:rsidR="004E3164" w:rsidRDefault="004E3164" w:rsidP="007A24B3">
    <w:pPr>
      <w:pStyle w:val="TOCHeading"/>
      <w:framePr w:wrap="around" w:vAnchor="text" w:hAnchor="margin" w:xAlign="right" w:y="1"/>
    </w:pPr>
    <w:r>
      <w:fldChar w:fldCharType="begin"/>
    </w:r>
    <w:r>
      <w:instrText xml:space="preserve">PAGE  </w:instrText>
    </w:r>
    <w:r>
      <w:fldChar w:fldCharType="end"/>
    </w:r>
  </w:p>
  <w:p w14:paraId="75EEF728" w14:textId="77777777" w:rsidR="004E3164" w:rsidRDefault="004E3164" w:rsidP="007A24B3">
    <w:pPr>
      <w:pStyle w:val="TOCHeading"/>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640" w:type="dxa"/>
      <w:jc w:val="right"/>
      <w:tblLook w:val="04A0" w:firstRow="1" w:lastRow="0" w:firstColumn="1" w:lastColumn="0" w:noHBand="0" w:noVBand="1"/>
    </w:tblPr>
    <w:tblGrid>
      <w:gridCol w:w="8370"/>
      <w:gridCol w:w="1270"/>
    </w:tblGrid>
    <w:tr w:rsidR="004E3164" w14:paraId="639836D0" w14:textId="77777777" w:rsidTr="00861006">
      <w:trPr>
        <w:jc w:val="right"/>
      </w:trPr>
      <w:tc>
        <w:tcPr>
          <w:tcW w:w="8370" w:type="dxa"/>
          <w:tcBorders>
            <w:top w:val="single" w:sz="4" w:space="0" w:color="auto"/>
            <w:left w:val="nil"/>
            <w:bottom w:val="nil"/>
            <w:right w:val="single" w:sz="4" w:space="0" w:color="auto"/>
          </w:tcBorders>
        </w:tcPr>
        <w:p w14:paraId="0DCA34FC" w14:textId="03CF175C" w:rsidR="004E3164" w:rsidRPr="00CB4799" w:rsidRDefault="004E3164" w:rsidP="00CB4799">
          <w:pPr>
            <w:pStyle w:val="Footer"/>
            <w:ind w:left="1437"/>
            <w:jc w:val="right"/>
            <w:rPr>
              <w:lang w:val="en-US"/>
            </w:rPr>
          </w:pPr>
          <w:r w:rsidRPr="001F7A96">
            <w:rPr>
              <w:i/>
            </w:rPr>
            <w:t>В</w:t>
          </w:r>
          <w:r>
            <w:rPr>
              <w:i/>
            </w:rPr>
            <w:t>ерсия</w:t>
          </w:r>
          <w:r w:rsidRPr="001F7A96">
            <w:rPr>
              <w:i/>
            </w:rPr>
            <w:t xml:space="preserve"> </w:t>
          </w:r>
          <w:r>
            <w:rPr>
              <w:i/>
            </w:rPr>
            <w:t>4.7</w:t>
          </w:r>
        </w:p>
      </w:tc>
      <w:tc>
        <w:tcPr>
          <w:tcW w:w="1270" w:type="dxa"/>
          <w:tcBorders>
            <w:top w:val="single" w:sz="4" w:space="0" w:color="auto"/>
            <w:left w:val="single" w:sz="4" w:space="0" w:color="auto"/>
            <w:bottom w:val="nil"/>
            <w:right w:val="nil"/>
          </w:tcBorders>
        </w:tcPr>
        <w:p w14:paraId="215F6451" w14:textId="5CBE0370" w:rsidR="004E3164" w:rsidRDefault="004E3164" w:rsidP="008D4CF7">
          <w:pPr>
            <w:pStyle w:val="Footer"/>
            <w:ind w:left="32" w:firstLine="76"/>
            <w:jc w:val="right"/>
          </w:pPr>
          <w:r>
            <w:rPr>
              <w:lang w:val="en-US"/>
            </w:rPr>
            <w:t>стр</w:t>
          </w:r>
          <w:r w:rsidRPr="001F7A96">
            <w:t xml:space="preserve">. </w:t>
          </w:r>
          <w:r w:rsidRPr="008B5813">
            <w:fldChar w:fldCharType="begin"/>
          </w:r>
          <w:r w:rsidRPr="008B5813">
            <w:instrText xml:space="preserve"> PAGE   \* MERGEFORMAT </w:instrText>
          </w:r>
          <w:r w:rsidRPr="008B5813">
            <w:fldChar w:fldCharType="separate"/>
          </w:r>
          <w:r w:rsidR="006035A9">
            <w:rPr>
              <w:noProof/>
            </w:rPr>
            <w:t>365</w:t>
          </w:r>
          <w:r w:rsidRPr="008B5813">
            <w:fldChar w:fldCharType="end"/>
          </w:r>
        </w:p>
      </w:tc>
    </w:tr>
  </w:tbl>
  <w:p w14:paraId="617BBD06" w14:textId="77777777" w:rsidR="004E3164" w:rsidRPr="008B5813" w:rsidRDefault="004E3164" w:rsidP="004238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55A5A" w14:textId="77777777" w:rsidR="004E3164" w:rsidRPr="001F7A96" w:rsidRDefault="004E3164" w:rsidP="008C39C0">
    <w:pPr>
      <w:pStyle w:val="Footer"/>
    </w:pPr>
    <w:r w:rsidRPr="001F7A96">
      <w:t xml:space="preserve">                                                                           </w:t>
    </w:r>
  </w:p>
  <w:p w14:paraId="3F1809F5" w14:textId="77777777" w:rsidR="004E3164" w:rsidRPr="001F7A96" w:rsidRDefault="004E3164" w:rsidP="00217173">
    <w:pPr>
      <w:pStyle w:val="Footer"/>
      <w:ind w:left="7090"/>
    </w:pPr>
    <w:r w:rsidRPr="001F7A96">
      <w:tab/>
    </w:r>
    <w:r w:rsidRPr="001F7A96">
      <w:tab/>
    </w:r>
    <w:r w:rsidRPr="001F7A96">
      <w:tab/>
    </w:r>
  </w:p>
  <w:p w14:paraId="1842DEFD" w14:textId="77777777" w:rsidR="004E3164" w:rsidRDefault="004E3164">
    <w:pPr>
      <w:pStyle w:val="Footer"/>
      <w:tabs>
        <w:tab w:val="center" w:pos="5358"/>
        <w:tab w:val="right" w:pos="9923"/>
      </w:tabs>
      <w:ind w:left="-855"/>
      <w:rPr>
        <w:rFonts w:ascii="Times New Roman CYR" w:hAnsi="Times New Roman CYR"/>
        <w:b/>
        <w:color w:val="000000"/>
        <w:sz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56222" w14:textId="77777777" w:rsidR="004E3164" w:rsidRDefault="004E3164" w:rsidP="00D862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F2618E" w14:textId="77777777" w:rsidR="004E3164" w:rsidRDefault="004E3164" w:rsidP="00D8626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178417" w14:textId="77777777" w:rsidR="004C5DDA" w:rsidRDefault="004C5DDA">
      <w:r>
        <w:separator/>
      </w:r>
    </w:p>
  </w:footnote>
  <w:footnote w:type="continuationSeparator" w:id="0">
    <w:p w14:paraId="6391148C" w14:textId="77777777" w:rsidR="004C5DDA" w:rsidRDefault="004C5DDA">
      <w:r>
        <w:continuationSeparator/>
      </w:r>
    </w:p>
  </w:footnote>
  <w:footnote w:id="1">
    <w:p w14:paraId="342B54CF" w14:textId="77777777" w:rsidR="004E3164" w:rsidRDefault="004E3164" w:rsidP="0042520D">
      <w:pPr>
        <w:pStyle w:val="FootnoteText"/>
      </w:pPr>
      <w:r>
        <w:rPr>
          <w:rStyle w:val="FootnoteReference"/>
        </w:rPr>
        <w:footnoteRef/>
      </w:r>
      <w:hyperlink r:id="rId1" w:history="1">
        <w:r w:rsidRPr="0037158A">
          <w:rPr>
            <w:rStyle w:val="Hyperlink"/>
          </w:rPr>
          <w:t>http</w:t>
        </w:r>
        <w:r w:rsidRPr="00F20D1F">
          <w:rPr>
            <w:rStyle w:val="Hyperlink"/>
            <w:lang w:val="bg-BG"/>
          </w:rPr>
          <w:t>://</w:t>
        </w:r>
        <w:r w:rsidRPr="0037158A">
          <w:rPr>
            <w:rStyle w:val="Hyperlink"/>
          </w:rPr>
          <w:t>www</w:t>
        </w:r>
        <w:r w:rsidRPr="00F20D1F">
          <w:rPr>
            <w:rStyle w:val="Hyperlink"/>
            <w:lang w:val="bg-BG"/>
          </w:rPr>
          <w:t>.</w:t>
        </w:r>
        <w:r w:rsidRPr="0037158A">
          <w:rPr>
            <w:rStyle w:val="Hyperlink"/>
          </w:rPr>
          <w:t>eufunds</w:t>
        </w:r>
        <w:r w:rsidRPr="00F20D1F">
          <w:rPr>
            <w:rStyle w:val="Hyperlink"/>
            <w:lang w:val="bg-BG"/>
          </w:rPr>
          <w:t>.</w:t>
        </w:r>
        <w:r w:rsidRPr="0037158A">
          <w:rPr>
            <w:rStyle w:val="Hyperlink"/>
          </w:rPr>
          <w:t>bg</w:t>
        </w:r>
        <w:r w:rsidRPr="00F20D1F">
          <w:rPr>
            <w:rStyle w:val="Hyperlink"/>
            <w:lang w:val="bg-BG"/>
          </w:rPr>
          <w:t>/</w:t>
        </w:r>
        <w:r w:rsidRPr="0037158A">
          <w:rPr>
            <w:rStyle w:val="Hyperlink"/>
          </w:rPr>
          <w:t>document</w:t>
        </w:r>
        <w:r w:rsidRPr="00F20D1F">
          <w:rPr>
            <w:rStyle w:val="Hyperlink"/>
            <w:lang w:val="bg-BG"/>
          </w:rPr>
          <w:t>/1064</w:t>
        </w:r>
      </w:hyperlink>
    </w:p>
  </w:footnote>
  <w:footnote w:id="2">
    <w:p w14:paraId="7D614883" w14:textId="77777777" w:rsidR="004E3164" w:rsidRDefault="004E3164" w:rsidP="0042520D">
      <w:pPr>
        <w:pStyle w:val="FootnoteText"/>
      </w:pPr>
      <w:r>
        <w:rPr>
          <w:rStyle w:val="FootnoteReference"/>
        </w:rPr>
        <w:footnoteRef/>
      </w:r>
      <w:hyperlink r:id="rId2" w:history="1">
        <w:r w:rsidRPr="00973A88">
          <w:rPr>
            <w:rStyle w:val="Hyperlink"/>
          </w:rPr>
          <w:t>http</w:t>
        </w:r>
        <w:r w:rsidRPr="00F20D1F">
          <w:rPr>
            <w:rStyle w:val="Hyperlink"/>
            <w:lang w:val="bg-BG"/>
          </w:rPr>
          <w:t>://</w:t>
        </w:r>
        <w:r w:rsidRPr="00973A88">
          <w:rPr>
            <w:rStyle w:val="Hyperlink"/>
          </w:rPr>
          <w:t>www</w:t>
        </w:r>
        <w:r w:rsidRPr="00F20D1F">
          <w:rPr>
            <w:rStyle w:val="Hyperlink"/>
            <w:lang w:val="bg-BG"/>
          </w:rPr>
          <w:t>.</w:t>
        </w:r>
        <w:r w:rsidRPr="00973A88">
          <w:rPr>
            <w:rStyle w:val="Hyperlink"/>
          </w:rPr>
          <w:t>eufunds</w:t>
        </w:r>
        <w:r w:rsidRPr="00F20D1F">
          <w:rPr>
            <w:rStyle w:val="Hyperlink"/>
            <w:lang w:val="bg-BG"/>
          </w:rPr>
          <w:t>.</w:t>
        </w:r>
        <w:r w:rsidRPr="00973A88">
          <w:rPr>
            <w:rStyle w:val="Hyperlink"/>
          </w:rPr>
          <w:t>bg</w:t>
        </w:r>
        <w:r w:rsidRPr="00F20D1F">
          <w:rPr>
            <w:rStyle w:val="Hyperlink"/>
            <w:lang w:val="bg-BG"/>
          </w:rPr>
          <w:t>/</w:t>
        </w:r>
        <w:r w:rsidRPr="00973A88">
          <w:rPr>
            <w:rStyle w:val="Hyperlink"/>
          </w:rPr>
          <w:t>document</w:t>
        </w:r>
        <w:r w:rsidRPr="00F20D1F">
          <w:rPr>
            <w:rStyle w:val="Hyperlink"/>
            <w:lang w:val="bg-BG"/>
          </w:rPr>
          <w:t>/4354</w:t>
        </w:r>
      </w:hyperlink>
    </w:p>
  </w:footnote>
  <w:footnote w:id="3">
    <w:p w14:paraId="1827B617" w14:textId="77777777" w:rsidR="004E3164" w:rsidRPr="00842ECC" w:rsidRDefault="004E3164" w:rsidP="004F4D9E">
      <w:pPr>
        <w:pStyle w:val="FootnoteText"/>
        <w:ind w:left="142" w:hanging="142"/>
        <w:rPr>
          <w:rFonts w:eastAsia="Calibri"/>
          <w:lang w:val="bg-BG" w:eastAsia="en-US"/>
        </w:rPr>
      </w:pPr>
      <w:r>
        <w:rPr>
          <w:rStyle w:val="FootnoteReference"/>
        </w:rPr>
        <w:footnoteRef/>
      </w:r>
      <w:r>
        <w:t xml:space="preserve"> </w:t>
      </w:r>
      <w:r w:rsidRPr="00BC2FC2">
        <w:rPr>
          <w:rFonts w:eastAsia="Calibri"/>
          <w:lang w:val="bg-BG" w:eastAsia="en-US"/>
        </w:rPr>
        <w:t>На 22.12.2015 г. е обнародван Закон за управление на средствата от европейските структурни и инвестиционни фондове. От датата на влизане в сила на този закон и след изтичане на срока за приемане или привеждане в съответствие на предвидените в него нормативни актове се прилагат текстовете на закона.</w:t>
      </w:r>
      <w:r w:rsidRPr="00842ECC">
        <w:rPr>
          <w:rFonts w:eastAsia="Calibri"/>
          <w:lang w:val="bg-BG" w:eastAsia="en-US"/>
        </w:rPr>
        <w:t xml:space="preserve"> </w:t>
      </w:r>
    </w:p>
    <w:p w14:paraId="4681446E" w14:textId="77777777" w:rsidR="004E3164" w:rsidRPr="00E97A20" w:rsidRDefault="004E3164">
      <w:pPr>
        <w:pStyle w:val="FootnoteText"/>
        <w:rPr>
          <w:lang w:val="bg-BG"/>
        </w:rPr>
      </w:pPr>
    </w:p>
  </w:footnote>
  <w:footnote w:id="4">
    <w:p w14:paraId="682B1304" w14:textId="77777777" w:rsidR="004E3164" w:rsidRPr="00E11CDD" w:rsidRDefault="004E3164" w:rsidP="00B47BD5">
      <w:pPr>
        <w:pStyle w:val="FootnoteText"/>
        <w:ind w:left="284" w:hanging="142"/>
        <w:rPr>
          <w:lang w:val="bg-BG"/>
        </w:rPr>
      </w:pPr>
      <w:r>
        <w:rPr>
          <w:rStyle w:val="FootnoteReference"/>
        </w:rPr>
        <w:footnoteRef/>
      </w:r>
      <w:r w:rsidRPr="009C1DE5">
        <w:rPr>
          <w:lang w:val="bg-BG"/>
        </w:rPr>
        <w:t xml:space="preserve"> </w:t>
      </w:r>
      <w:r w:rsidRPr="00E11CDD">
        <w:rPr>
          <w:lang w:val="bg-BG"/>
        </w:rPr>
        <w:t>В този случай номерацията на под-версията на наръчника се  определя като „M“ е номерът на актуалната версия, а „N“ е поредният номер на под-версията. Първата под-версия е със стойност на „N“ - 1, а  всяка следваща стойност е възходящо цяло число.</w:t>
      </w:r>
    </w:p>
  </w:footnote>
  <w:footnote w:id="5">
    <w:p w14:paraId="57855F3C" w14:textId="77777777" w:rsidR="004E3164" w:rsidRPr="00E11CDD" w:rsidRDefault="004E3164" w:rsidP="00B47BD5">
      <w:pPr>
        <w:pStyle w:val="FootnoteText"/>
        <w:ind w:left="284" w:hanging="142"/>
        <w:rPr>
          <w:lang w:val="bg-BG"/>
        </w:rPr>
      </w:pPr>
      <w:r w:rsidRPr="00E11CDD">
        <w:rPr>
          <w:rStyle w:val="FootnoteReference"/>
          <w:lang w:val="bg-BG"/>
        </w:rPr>
        <w:footnoteRef/>
      </w:r>
      <w:r w:rsidRPr="00E11CDD">
        <w:rPr>
          <w:lang w:val="bg-BG"/>
        </w:rPr>
        <w:t xml:space="preserve"> По преценка на Ръководителя на УО на ОПТТИ. В общия случай процедурата се извършва, като промените в процедурния наръчник се отразяват от иницииращото звено в УО на ОПТТИ (отдел на дирекция КПП).</w:t>
      </w:r>
    </w:p>
  </w:footnote>
  <w:footnote w:id="6">
    <w:p w14:paraId="32A37862" w14:textId="77777777" w:rsidR="004E3164" w:rsidRPr="00E11CDD" w:rsidRDefault="004E3164" w:rsidP="00B47BD5">
      <w:pPr>
        <w:pStyle w:val="FootnoteText"/>
        <w:ind w:left="284" w:hanging="142"/>
        <w:rPr>
          <w:lang w:val="bg-BG"/>
        </w:rPr>
      </w:pPr>
      <w:r w:rsidRPr="00E11CDD">
        <w:rPr>
          <w:rStyle w:val="FootnoteReference"/>
          <w:lang w:val="bg-BG"/>
        </w:rPr>
        <w:footnoteRef/>
      </w:r>
      <w:r w:rsidRPr="00E11CDD">
        <w:rPr>
          <w:lang w:val="bg-BG"/>
        </w:rPr>
        <w:t xml:space="preserve"> Сроковете в процедурата могат да бъдат различни във всеки конкретен случай, ако следва да бъдат съобразени със срокове, даден от одитни/контролни органи, срокове, свързани с влизането в сила на нормативни актове, на документи, свързани с управлението и изпълнението на ОПТТИ</w:t>
      </w:r>
    </w:p>
  </w:footnote>
  <w:footnote w:id="7">
    <w:p w14:paraId="444E1D8B" w14:textId="77777777" w:rsidR="004E3164" w:rsidRPr="001C7ED2" w:rsidRDefault="004E3164" w:rsidP="006D058B">
      <w:pPr>
        <w:pStyle w:val="FootnoteText"/>
        <w:rPr>
          <w:lang w:val="bg-BG"/>
        </w:rPr>
      </w:pPr>
      <w:r>
        <w:rPr>
          <w:rStyle w:val="FootnoteReference"/>
        </w:rPr>
        <w:footnoteRef/>
      </w:r>
      <w:hyperlink r:id="rId3" w:history="1">
        <w:r w:rsidRPr="00973A88">
          <w:rPr>
            <w:rStyle w:val="Hyperlink"/>
          </w:rPr>
          <w:t>http</w:t>
        </w:r>
        <w:r w:rsidRPr="00F20D1F">
          <w:rPr>
            <w:rStyle w:val="Hyperlink"/>
            <w:lang w:val="bg-BG"/>
          </w:rPr>
          <w:t>://</w:t>
        </w:r>
        <w:r w:rsidRPr="00973A88">
          <w:rPr>
            <w:rStyle w:val="Hyperlink"/>
          </w:rPr>
          <w:t>www</w:t>
        </w:r>
        <w:r w:rsidRPr="00F20D1F">
          <w:rPr>
            <w:rStyle w:val="Hyperlink"/>
            <w:lang w:val="bg-BG"/>
          </w:rPr>
          <w:t>.</w:t>
        </w:r>
        <w:r w:rsidRPr="00973A88">
          <w:rPr>
            <w:rStyle w:val="Hyperlink"/>
          </w:rPr>
          <w:t>eufunds</w:t>
        </w:r>
        <w:r w:rsidRPr="00F20D1F">
          <w:rPr>
            <w:rStyle w:val="Hyperlink"/>
            <w:lang w:val="bg-BG"/>
          </w:rPr>
          <w:t>.</w:t>
        </w:r>
        <w:r w:rsidRPr="00973A88">
          <w:rPr>
            <w:rStyle w:val="Hyperlink"/>
          </w:rPr>
          <w:t>bg</w:t>
        </w:r>
        <w:r w:rsidRPr="00F20D1F">
          <w:rPr>
            <w:rStyle w:val="Hyperlink"/>
            <w:lang w:val="bg-BG"/>
          </w:rPr>
          <w:t>/</w:t>
        </w:r>
        <w:r w:rsidRPr="00973A88">
          <w:rPr>
            <w:rStyle w:val="Hyperlink"/>
          </w:rPr>
          <w:t>document</w:t>
        </w:r>
        <w:r w:rsidRPr="00F20D1F">
          <w:rPr>
            <w:rStyle w:val="Hyperlink"/>
            <w:lang w:val="bg-BG"/>
          </w:rPr>
          <w:t>/4354</w:t>
        </w:r>
      </w:hyperlink>
    </w:p>
  </w:footnote>
  <w:footnote w:id="8">
    <w:p w14:paraId="03D04474" w14:textId="77777777" w:rsidR="004E3164" w:rsidRPr="001C7ED2" w:rsidRDefault="004E3164" w:rsidP="00BF01F5">
      <w:pPr>
        <w:pStyle w:val="FootnoteText"/>
        <w:rPr>
          <w:lang w:val="bg-BG"/>
        </w:rPr>
      </w:pPr>
      <w:r w:rsidRPr="00C675CB">
        <w:rPr>
          <w:rStyle w:val="FootnoteReference"/>
          <w:rFonts w:cs="Tahoma"/>
          <w:sz w:val="16"/>
          <w:szCs w:val="16"/>
        </w:rPr>
        <w:footnoteRef/>
      </w:r>
      <w:hyperlink r:id="rId4" w:history="1">
        <w:r w:rsidRPr="00C675CB">
          <w:rPr>
            <w:rStyle w:val="Hyperlink"/>
            <w:rFonts w:cs="Tahoma"/>
            <w:sz w:val="16"/>
            <w:szCs w:val="16"/>
          </w:rPr>
          <w:t>http</w:t>
        </w:r>
        <w:r w:rsidRPr="001C7ED2">
          <w:rPr>
            <w:rStyle w:val="Hyperlink"/>
            <w:rFonts w:cs="Tahoma"/>
            <w:sz w:val="16"/>
            <w:szCs w:val="16"/>
            <w:lang w:val="bg-BG"/>
          </w:rPr>
          <w:t>://</w:t>
        </w:r>
        <w:r w:rsidRPr="00C675CB">
          <w:rPr>
            <w:rStyle w:val="Hyperlink"/>
            <w:rFonts w:cs="Tahoma"/>
            <w:sz w:val="16"/>
            <w:szCs w:val="16"/>
          </w:rPr>
          <w:t>www</w:t>
        </w:r>
        <w:r w:rsidRPr="001C7ED2">
          <w:rPr>
            <w:rStyle w:val="Hyperlink"/>
            <w:rFonts w:cs="Tahoma"/>
            <w:sz w:val="16"/>
            <w:szCs w:val="16"/>
            <w:lang w:val="bg-BG"/>
          </w:rPr>
          <w:t>.</w:t>
        </w:r>
        <w:r w:rsidRPr="00C675CB">
          <w:rPr>
            <w:rStyle w:val="Hyperlink"/>
            <w:rFonts w:cs="Tahoma"/>
            <w:sz w:val="16"/>
            <w:szCs w:val="16"/>
          </w:rPr>
          <w:t>moew</w:t>
        </w:r>
        <w:r w:rsidRPr="001C7ED2">
          <w:rPr>
            <w:rStyle w:val="Hyperlink"/>
            <w:rFonts w:cs="Tahoma"/>
            <w:sz w:val="16"/>
            <w:szCs w:val="16"/>
            <w:lang w:val="bg-BG"/>
          </w:rPr>
          <w:t>.</w:t>
        </w:r>
        <w:r w:rsidRPr="00C675CB">
          <w:rPr>
            <w:rStyle w:val="Hyperlink"/>
            <w:rFonts w:cs="Tahoma"/>
            <w:sz w:val="16"/>
            <w:szCs w:val="16"/>
          </w:rPr>
          <w:t>government</w:t>
        </w:r>
        <w:r w:rsidRPr="001C7ED2">
          <w:rPr>
            <w:rStyle w:val="Hyperlink"/>
            <w:rFonts w:cs="Tahoma"/>
            <w:sz w:val="16"/>
            <w:szCs w:val="16"/>
            <w:lang w:val="bg-BG"/>
          </w:rPr>
          <w:t>.</w:t>
        </w:r>
        <w:r w:rsidRPr="00C675CB">
          <w:rPr>
            <w:rStyle w:val="Hyperlink"/>
            <w:rFonts w:cs="Tahoma"/>
            <w:sz w:val="16"/>
            <w:szCs w:val="16"/>
          </w:rPr>
          <w:t>bg</w:t>
        </w:r>
        <w:r w:rsidRPr="001C7ED2">
          <w:rPr>
            <w:rStyle w:val="Hyperlink"/>
            <w:rFonts w:cs="Tahoma"/>
            <w:sz w:val="16"/>
            <w:szCs w:val="16"/>
            <w:lang w:val="bg-BG"/>
          </w:rPr>
          <w:t>/?</w:t>
        </w:r>
        <w:r w:rsidRPr="00C675CB">
          <w:rPr>
            <w:rStyle w:val="Hyperlink"/>
            <w:rFonts w:cs="Tahoma"/>
            <w:sz w:val="16"/>
            <w:szCs w:val="16"/>
          </w:rPr>
          <w:t>show</w:t>
        </w:r>
        <w:r w:rsidRPr="001C7ED2">
          <w:rPr>
            <w:rStyle w:val="Hyperlink"/>
            <w:rFonts w:cs="Tahoma"/>
            <w:sz w:val="16"/>
            <w:szCs w:val="16"/>
            <w:lang w:val="bg-BG"/>
          </w:rPr>
          <w:t>=19</w:t>
        </w:r>
      </w:hyperlink>
    </w:p>
  </w:footnote>
  <w:footnote w:id="9">
    <w:p w14:paraId="67DEB948" w14:textId="77777777" w:rsidR="004E3164" w:rsidRPr="001C7ED2" w:rsidRDefault="004E3164" w:rsidP="001C7ED2">
      <w:pPr>
        <w:pStyle w:val="FootnoteText"/>
        <w:ind w:left="142" w:hanging="142"/>
        <w:rPr>
          <w:lang w:val="bg-BG"/>
        </w:rPr>
      </w:pPr>
      <w:r w:rsidRPr="005C41DC">
        <w:rPr>
          <w:rStyle w:val="FootnoteReference"/>
          <w:sz w:val="16"/>
          <w:szCs w:val="16"/>
        </w:rPr>
        <w:footnoteRef/>
      </w:r>
      <w:r w:rsidRPr="001C7ED2">
        <w:rPr>
          <w:sz w:val="16"/>
          <w:szCs w:val="16"/>
          <w:lang w:val="bg-BG"/>
        </w:rPr>
        <w:t xml:space="preserve"> </w:t>
      </w:r>
      <w:r w:rsidRPr="004C2191">
        <w:rPr>
          <w:sz w:val="16"/>
          <w:szCs w:val="16"/>
          <w:lang w:val="bg-BG"/>
        </w:rPr>
        <w:t>Закон за опазване на околната среда, Закон за защита при бедствия,</w:t>
      </w:r>
      <w:r>
        <w:rPr>
          <w:sz w:val="16"/>
          <w:szCs w:val="16"/>
          <w:lang w:val="bg-BG"/>
        </w:rPr>
        <w:t xml:space="preserve"> </w:t>
      </w:r>
      <w:r w:rsidRPr="004C2191">
        <w:rPr>
          <w:sz w:val="16"/>
          <w:szCs w:val="16"/>
          <w:lang w:val="bg-BG"/>
        </w:rPr>
        <w:t>Национален план за действие за насърчаване производството и ускореното навлизане на екологични превозни средства, включително на електрическата мобилност в Република България, за периода 2012-2014 г., Национална стратегия за регионално развитие за периода 2012–2022 г., Закон за водите, Закон за управление на отпадъците, Национална стратегия за управление и развитие на водния сектор в Република България, Стратегия за устойчиво енергийно развитие 2011 – 2020г.,Националната стратегия за устойчиво развитие на горския сектор (2006-2015 г.), Национална стратегия за устойчиво развитие на земеделието в България в периода 2014-2020, Морска стратегия на Република България, Стратегически план да действие за опазване на околната среда и възстановяване на Черно море, Национална програма за необходимите мерки в условията на тенденция към засушаване, Национална стратегия за опазване на биологичното разнообразие, Национална програма за управление на дейностите по отпадъците за периода 2009-2013 г.</w:t>
      </w:r>
      <w:r>
        <w:rPr>
          <w:sz w:val="16"/>
          <w:szCs w:val="16"/>
          <w:lang w:val="bg-BG"/>
        </w:rPr>
        <w:t>*</w:t>
      </w:r>
      <w:r w:rsidRPr="004C2191">
        <w:rPr>
          <w:sz w:val="16"/>
          <w:szCs w:val="16"/>
          <w:lang w:val="bg-BG"/>
        </w:rPr>
        <w:t>, Национален план за управление на отпадъците за периода 2014 – 2020 г., Национална програма за действие за устойчиво управление на земите и борба с опустяването (2007-2013), Национална програма за защита при бедствия 2009-2013 г., Трети национален план за действие по изменение на климата 2013-2020 г., Национален план за защита при бедствия, Национална дългосрочна програма за насърчаване използването на възобновяемите енергийни източници 2005 – 2015г., Национален план за действие за енергията от възобновяеми източници, валиден до 2020, Енергийна стратегия на Република България до 2020 г., която съдържа цели, свързани с повишаването на енергийната ефективност и използването на възобновяеми енергийни източници, Втори национален план за действие по енергийна ефективност 2011-2013 г. и отчет към него.</w:t>
      </w:r>
    </w:p>
  </w:footnote>
  <w:footnote w:id="10">
    <w:p w14:paraId="6676E043" w14:textId="77777777" w:rsidR="004E3164" w:rsidRPr="001C7ED2" w:rsidRDefault="004E3164" w:rsidP="00BF01F5">
      <w:pPr>
        <w:pStyle w:val="FootnoteText"/>
        <w:rPr>
          <w:lang w:val="bg-BG"/>
        </w:rPr>
      </w:pPr>
      <w:r>
        <w:rPr>
          <w:rStyle w:val="FootnoteReference"/>
        </w:rPr>
        <w:footnoteRef/>
      </w:r>
      <w:hyperlink r:id="rId5" w:history="1">
        <w:r w:rsidRPr="00791805">
          <w:rPr>
            <w:rStyle w:val="Hyperlink"/>
          </w:rPr>
          <w:t>http</w:t>
        </w:r>
        <w:r w:rsidRPr="001C7ED2">
          <w:rPr>
            <w:rStyle w:val="Hyperlink"/>
            <w:lang w:val="bg-BG"/>
          </w:rPr>
          <w:t>://</w:t>
        </w:r>
        <w:r w:rsidRPr="00791805">
          <w:rPr>
            <w:rStyle w:val="Hyperlink"/>
          </w:rPr>
          <w:t>eur</w:t>
        </w:r>
        <w:r w:rsidRPr="001C7ED2">
          <w:rPr>
            <w:rStyle w:val="Hyperlink"/>
            <w:lang w:val="bg-BG"/>
          </w:rPr>
          <w:t>-</w:t>
        </w:r>
        <w:r w:rsidRPr="00791805">
          <w:rPr>
            <w:rStyle w:val="Hyperlink"/>
          </w:rPr>
          <w:t>lex</w:t>
        </w:r>
        <w:r w:rsidRPr="001C7ED2">
          <w:rPr>
            <w:rStyle w:val="Hyperlink"/>
            <w:lang w:val="bg-BG"/>
          </w:rPr>
          <w:t>.</w:t>
        </w:r>
        <w:r w:rsidRPr="00791805">
          <w:rPr>
            <w:rStyle w:val="Hyperlink"/>
          </w:rPr>
          <w:t>europa</w:t>
        </w:r>
        <w:r w:rsidRPr="001C7ED2">
          <w:rPr>
            <w:rStyle w:val="Hyperlink"/>
            <w:lang w:val="bg-BG"/>
          </w:rPr>
          <w:t>.</w:t>
        </w:r>
        <w:r w:rsidRPr="00791805">
          <w:rPr>
            <w:rStyle w:val="Hyperlink"/>
          </w:rPr>
          <w:t>eu</w:t>
        </w:r>
        <w:r w:rsidRPr="001C7ED2">
          <w:rPr>
            <w:rStyle w:val="Hyperlink"/>
            <w:lang w:val="bg-BG"/>
          </w:rPr>
          <w:t>/</w:t>
        </w:r>
        <w:r w:rsidRPr="00791805">
          <w:rPr>
            <w:rStyle w:val="Hyperlink"/>
          </w:rPr>
          <w:t>LexUriServ</w:t>
        </w:r>
        <w:r w:rsidRPr="001C7ED2">
          <w:rPr>
            <w:rStyle w:val="Hyperlink"/>
            <w:lang w:val="bg-BG"/>
          </w:rPr>
          <w:t>/</w:t>
        </w:r>
        <w:r w:rsidRPr="00791805">
          <w:rPr>
            <w:rStyle w:val="Hyperlink"/>
          </w:rPr>
          <w:t>LexUriServ</w:t>
        </w:r>
        <w:r w:rsidRPr="001C7ED2">
          <w:rPr>
            <w:rStyle w:val="Hyperlink"/>
            <w:lang w:val="bg-BG"/>
          </w:rPr>
          <w:t>.</w:t>
        </w:r>
        <w:r w:rsidRPr="00791805">
          <w:rPr>
            <w:rStyle w:val="Hyperlink"/>
          </w:rPr>
          <w:t>do</w:t>
        </w:r>
        <w:r w:rsidRPr="001C7ED2">
          <w:rPr>
            <w:rStyle w:val="Hyperlink"/>
            <w:lang w:val="bg-BG"/>
          </w:rPr>
          <w:t>?</w:t>
        </w:r>
        <w:r w:rsidRPr="00791805">
          <w:rPr>
            <w:rStyle w:val="Hyperlink"/>
          </w:rPr>
          <w:t>uri</w:t>
        </w:r>
        <w:r w:rsidRPr="001C7ED2">
          <w:rPr>
            <w:rStyle w:val="Hyperlink"/>
            <w:lang w:val="bg-BG"/>
          </w:rPr>
          <w:t>=</w:t>
        </w:r>
        <w:r w:rsidRPr="00791805">
          <w:rPr>
            <w:rStyle w:val="Hyperlink"/>
          </w:rPr>
          <w:t>COM</w:t>
        </w:r>
        <w:r w:rsidRPr="001C7ED2">
          <w:rPr>
            <w:rStyle w:val="Hyperlink"/>
            <w:lang w:val="bg-BG"/>
          </w:rPr>
          <w:t>:2011:0144:</w:t>
        </w:r>
        <w:r w:rsidRPr="00791805">
          <w:rPr>
            <w:rStyle w:val="Hyperlink"/>
          </w:rPr>
          <w:t>FIN</w:t>
        </w:r>
        <w:r w:rsidRPr="001C7ED2">
          <w:rPr>
            <w:rStyle w:val="Hyperlink"/>
            <w:lang w:val="bg-BG"/>
          </w:rPr>
          <w:t>:</w:t>
        </w:r>
        <w:r w:rsidRPr="00791805">
          <w:rPr>
            <w:rStyle w:val="Hyperlink"/>
          </w:rPr>
          <w:t>BG</w:t>
        </w:r>
        <w:r w:rsidRPr="001C7ED2">
          <w:rPr>
            <w:rStyle w:val="Hyperlink"/>
            <w:lang w:val="bg-BG"/>
          </w:rPr>
          <w:t>:</w:t>
        </w:r>
        <w:r w:rsidRPr="00791805">
          <w:rPr>
            <w:rStyle w:val="Hyperlink"/>
          </w:rPr>
          <w:t>PDF</w:t>
        </w:r>
      </w:hyperlink>
    </w:p>
  </w:footnote>
  <w:footnote w:id="11">
    <w:p w14:paraId="798653C3" w14:textId="77777777" w:rsidR="004E3164" w:rsidRPr="00A234F6" w:rsidRDefault="004E3164" w:rsidP="00217C6B">
      <w:pPr>
        <w:pStyle w:val="FootnoteText"/>
        <w:rPr>
          <w:lang w:val="bg-BG"/>
        </w:rPr>
      </w:pPr>
      <w:r>
        <w:rPr>
          <w:rStyle w:val="FootnoteReference"/>
        </w:rPr>
        <w:footnoteRef/>
      </w:r>
      <w:r w:rsidRPr="00842ECC">
        <w:rPr>
          <w:lang w:val="bg-BG"/>
        </w:rPr>
        <w:t xml:space="preserve"> </w:t>
      </w:r>
      <w:r w:rsidRPr="00FB7D7F">
        <w:t>http</w:t>
      </w:r>
      <w:r w:rsidRPr="00842ECC">
        <w:rPr>
          <w:lang w:val="bg-BG"/>
        </w:rPr>
        <w:t>://</w:t>
      </w:r>
      <w:r w:rsidRPr="00FB7D7F">
        <w:t>ec</w:t>
      </w:r>
      <w:r w:rsidRPr="00842ECC">
        <w:rPr>
          <w:lang w:val="bg-BG"/>
        </w:rPr>
        <w:t>.</w:t>
      </w:r>
      <w:r w:rsidRPr="00FB7D7F">
        <w:t>europa</w:t>
      </w:r>
      <w:r w:rsidRPr="00842ECC">
        <w:rPr>
          <w:lang w:val="bg-BG"/>
        </w:rPr>
        <w:t>.</w:t>
      </w:r>
      <w:r w:rsidRPr="00FB7D7F">
        <w:t>eu</w:t>
      </w:r>
      <w:r w:rsidRPr="00842ECC">
        <w:rPr>
          <w:lang w:val="bg-BG"/>
        </w:rPr>
        <w:t>/</w:t>
      </w:r>
      <w:r w:rsidRPr="00FB7D7F">
        <w:t>competition</w:t>
      </w:r>
      <w:r w:rsidRPr="00842ECC">
        <w:rPr>
          <w:lang w:val="bg-BG"/>
        </w:rPr>
        <w:t>/</w:t>
      </w:r>
      <w:r w:rsidRPr="00FB7D7F">
        <w:t>state</w:t>
      </w:r>
      <w:r w:rsidRPr="00842ECC">
        <w:rPr>
          <w:lang w:val="bg-BG"/>
        </w:rPr>
        <w:t>_</w:t>
      </w:r>
      <w:r w:rsidRPr="00FB7D7F">
        <w:t>aid</w:t>
      </w:r>
      <w:r w:rsidRPr="00842ECC">
        <w:rPr>
          <w:lang w:val="bg-BG"/>
        </w:rPr>
        <w:t>/</w:t>
      </w:r>
      <w:r w:rsidRPr="00FB7D7F">
        <w:t>modernisation</w:t>
      </w:r>
      <w:r w:rsidRPr="00842ECC">
        <w:rPr>
          <w:lang w:val="bg-BG"/>
        </w:rPr>
        <w:t>/</w:t>
      </w:r>
      <w:r w:rsidRPr="00FB7D7F">
        <w:t>notice</w:t>
      </w:r>
      <w:r w:rsidRPr="00842ECC">
        <w:rPr>
          <w:lang w:val="bg-BG"/>
        </w:rPr>
        <w:t>_</w:t>
      </w:r>
      <w:r w:rsidRPr="00FB7D7F">
        <w:t>aid</w:t>
      </w:r>
      <w:r w:rsidRPr="00842ECC">
        <w:rPr>
          <w:lang w:val="bg-BG"/>
        </w:rPr>
        <w:t>_</w:t>
      </w:r>
      <w:r w:rsidRPr="00FB7D7F">
        <w:t>en</w:t>
      </w:r>
      <w:r w:rsidRPr="00842ECC">
        <w:rPr>
          <w:lang w:val="bg-BG"/>
        </w:rPr>
        <w:t>.</w:t>
      </w:r>
      <w:r w:rsidRPr="00FB7D7F">
        <w:t>html</w:t>
      </w:r>
    </w:p>
  </w:footnote>
  <w:footnote w:id="12">
    <w:p w14:paraId="31484F7C" w14:textId="77777777" w:rsidR="004E3164" w:rsidRPr="00A234F6" w:rsidRDefault="004E3164" w:rsidP="00760F33">
      <w:pPr>
        <w:pStyle w:val="FootnoteText"/>
        <w:rPr>
          <w:lang w:val="bg-BG"/>
        </w:rPr>
      </w:pPr>
      <w:r>
        <w:rPr>
          <w:rStyle w:val="FootnoteReference"/>
        </w:rPr>
        <w:footnoteRef/>
      </w:r>
      <w:r w:rsidRPr="00842ECC">
        <w:rPr>
          <w:lang w:val="bg-BG"/>
        </w:rPr>
        <w:t xml:space="preserve"> </w:t>
      </w:r>
      <w:r w:rsidRPr="00FB7D7F">
        <w:t>http</w:t>
      </w:r>
      <w:r w:rsidRPr="00842ECC">
        <w:rPr>
          <w:lang w:val="bg-BG"/>
        </w:rPr>
        <w:t>://</w:t>
      </w:r>
      <w:r w:rsidRPr="00FB7D7F">
        <w:t>ec</w:t>
      </w:r>
      <w:r w:rsidRPr="00842ECC">
        <w:rPr>
          <w:lang w:val="bg-BG"/>
        </w:rPr>
        <w:t>.</w:t>
      </w:r>
      <w:r w:rsidRPr="00FB7D7F">
        <w:t>europa</w:t>
      </w:r>
      <w:r w:rsidRPr="00842ECC">
        <w:rPr>
          <w:lang w:val="bg-BG"/>
        </w:rPr>
        <w:t>.</w:t>
      </w:r>
      <w:r w:rsidRPr="00FB7D7F">
        <w:t>eu</w:t>
      </w:r>
      <w:r w:rsidRPr="00842ECC">
        <w:rPr>
          <w:lang w:val="bg-BG"/>
        </w:rPr>
        <w:t>/</w:t>
      </w:r>
      <w:r w:rsidRPr="00FB7D7F">
        <w:t>competition</w:t>
      </w:r>
      <w:r w:rsidRPr="00842ECC">
        <w:rPr>
          <w:lang w:val="bg-BG"/>
        </w:rPr>
        <w:t>/</w:t>
      </w:r>
      <w:r w:rsidRPr="00FB7D7F">
        <w:t>state</w:t>
      </w:r>
      <w:r w:rsidRPr="00842ECC">
        <w:rPr>
          <w:lang w:val="bg-BG"/>
        </w:rPr>
        <w:t>_</w:t>
      </w:r>
      <w:r w:rsidRPr="00FB7D7F">
        <w:t>aid</w:t>
      </w:r>
      <w:r w:rsidRPr="00842ECC">
        <w:rPr>
          <w:lang w:val="bg-BG"/>
        </w:rPr>
        <w:t>/</w:t>
      </w:r>
      <w:r w:rsidRPr="00FB7D7F">
        <w:t>modernisation</w:t>
      </w:r>
      <w:r w:rsidRPr="00842ECC">
        <w:rPr>
          <w:lang w:val="bg-BG"/>
        </w:rPr>
        <w:t>/</w:t>
      </w:r>
      <w:r w:rsidRPr="00FB7D7F">
        <w:t>notice</w:t>
      </w:r>
      <w:r w:rsidRPr="00842ECC">
        <w:rPr>
          <w:lang w:val="bg-BG"/>
        </w:rPr>
        <w:t>_</w:t>
      </w:r>
      <w:r w:rsidRPr="00FB7D7F">
        <w:t>aid</w:t>
      </w:r>
      <w:r w:rsidRPr="00842ECC">
        <w:rPr>
          <w:lang w:val="bg-BG"/>
        </w:rPr>
        <w:t>_</w:t>
      </w:r>
      <w:r w:rsidRPr="00FB7D7F">
        <w:t>en</w:t>
      </w:r>
      <w:r w:rsidRPr="00842ECC">
        <w:rPr>
          <w:lang w:val="bg-BG"/>
        </w:rPr>
        <w:t>.</w:t>
      </w:r>
      <w:r w:rsidRPr="00FB7D7F">
        <w:t>html</w:t>
      </w:r>
    </w:p>
  </w:footnote>
  <w:footnote w:id="13">
    <w:p w14:paraId="3E1E1466" w14:textId="77777777" w:rsidR="004E3164" w:rsidRPr="001C7ED2" w:rsidRDefault="004E3164" w:rsidP="00C143A5">
      <w:pPr>
        <w:pStyle w:val="FootnoteText"/>
        <w:rPr>
          <w:lang w:val="bg-BG"/>
        </w:rPr>
      </w:pPr>
      <w:r>
        <w:rPr>
          <w:rStyle w:val="FootnoteReference"/>
        </w:rPr>
        <w:footnoteRef/>
      </w:r>
      <w:r w:rsidRPr="001C7ED2">
        <w:rPr>
          <w:lang w:val="bg-BG"/>
        </w:rPr>
        <w:t xml:space="preserve"> </w:t>
      </w:r>
      <w:r w:rsidRPr="002B1525">
        <w:rPr>
          <w:rStyle w:val="Hyperlink"/>
          <w:rFonts w:ascii="Cambria" w:hAnsi="Cambria"/>
          <w:sz w:val="18"/>
          <w:szCs w:val="18"/>
          <w:lang w:val="bg-BG"/>
        </w:rPr>
        <w:t>http://ec.europa.eu/competition/state_aid/studies_reports/state_aid_grids_2015_en.pdf</w:t>
      </w:r>
    </w:p>
  </w:footnote>
  <w:footnote w:id="14">
    <w:p w14:paraId="23016A6B" w14:textId="77777777" w:rsidR="004E3164" w:rsidRPr="001C7ED2" w:rsidRDefault="004E3164" w:rsidP="006B2563">
      <w:pPr>
        <w:pStyle w:val="FootnoteText"/>
        <w:ind w:left="142" w:hanging="153"/>
        <w:rPr>
          <w:lang w:val="bg-BG"/>
        </w:rPr>
      </w:pPr>
      <w:r>
        <w:rPr>
          <w:rStyle w:val="FootnoteReference"/>
        </w:rPr>
        <w:footnoteRef/>
      </w:r>
      <w:r w:rsidRPr="001C7ED2">
        <w:rPr>
          <w:lang w:val="bg-BG"/>
        </w:rPr>
        <w:t xml:space="preserve">Съединени дела </w:t>
      </w:r>
      <w:r w:rsidRPr="00E14BE1">
        <w:t>T</w:t>
      </w:r>
      <w:r w:rsidRPr="001C7ED2">
        <w:rPr>
          <w:lang w:val="bg-BG"/>
        </w:rPr>
        <w:t xml:space="preserve">-443/08 и </w:t>
      </w:r>
      <w:r w:rsidRPr="00E14BE1">
        <w:t>T</w:t>
      </w:r>
      <w:r w:rsidRPr="001C7ED2">
        <w:rPr>
          <w:lang w:val="bg-BG"/>
        </w:rPr>
        <w:t xml:space="preserve">-455/08, </w:t>
      </w:r>
      <w:r w:rsidRPr="00E14BE1">
        <w:rPr>
          <w:i/>
        </w:rPr>
        <w:t>Freistaat</w:t>
      </w:r>
      <w:r w:rsidRPr="001C7ED2">
        <w:rPr>
          <w:i/>
          <w:lang w:val="bg-BG"/>
        </w:rPr>
        <w:t xml:space="preserve"> </w:t>
      </w:r>
      <w:r w:rsidRPr="00E14BE1">
        <w:rPr>
          <w:i/>
        </w:rPr>
        <w:t>Sachsen</w:t>
      </w:r>
      <w:r w:rsidRPr="001C7ED2">
        <w:rPr>
          <w:i/>
          <w:lang w:val="bg-BG"/>
        </w:rPr>
        <w:t xml:space="preserve"> и </w:t>
      </w:r>
      <w:r w:rsidRPr="00E14BE1">
        <w:rPr>
          <w:i/>
        </w:rPr>
        <w:t>Land</w:t>
      </w:r>
      <w:r w:rsidRPr="001C7ED2">
        <w:rPr>
          <w:i/>
          <w:lang w:val="bg-BG"/>
        </w:rPr>
        <w:t xml:space="preserve"> </w:t>
      </w:r>
      <w:r w:rsidRPr="00E14BE1">
        <w:rPr>
          <w:i/>
        </w:rPr>
        <w:t>Sachsen</w:t>
      </w:r>
      <w:r w:rsidRPr="001C7ED2">
        <w:rPr>
          <w:i/>
          <w:lang w:val="bg-BG"/>
        </w:rPr>
        <w:t>-</w:t>
      </w:r>
      <w:r w:rsidRPr="00E14BE1">
        <w:rPr>
          <w:i/>
        </w:rPr>
        <w:t>Anhalt</w:t>
      </w:r>
      <w:r w:rsidRPr="001C7ED2">
        <w:rPr>
          <w:i/>
          <w:lang w:val="bg-BG"/>
        </w:rPr>
        <w:t>(</w:t>
      </w:r>
      <w:r w:rsidRPr="00E14BE1">
        <w:rPr>
          <w:i/>
        </w:rPr>
        <w:t>T</w:t>
      </w:r>
      <w:r w:rsidRPr="001C7ED2">
        <w:rPr>
          <w:i/>
          <w:lang w:val="bg-BG"/>
        </w:rPr>
        <w:t xml:space="preserve">-443/08) и </w:t>
      </w:r>
      <w:r w:rsidRPr="00E14BE1">
        <w:rPr>
          <w:i/>
        </w:rPr>
        <w:t>Mitteldeutsche</w:t>
      </w:r>
      <w:r w:rsidRPr="001C7ED2">
        <w:rPr>
          <w:i/>
          <w:lang w:val="bg-BG"/>
        </w:rPr>
        <w:t xml:space="preserve"> </w:t>
      </w:r>
      <w:r w:rsidRPr="00E14BE1">
        <w:rPr>
          <w:i/>
        </w:rPr>
        <w:t>Flughafen</w:t>
      </w:r>
      <w:r w:rsidRPr="001C7ED2">
        <w:rPr>
          <w:i/>
          <w:lang w:val="bg-BG"/>
        </w:rPr>
        <w:t xml:space="preserve"> </w:t>
      </w:r>
      <w:r w:rsidRPr="00E14BE1">
        <w:rPr>
          <w:i/>
        </w:rPr>
        <w:t>AG</w:t>
      </w:r>
      <w:r w:rsidRPr="001C7ED2">
        <w:rPr>
          <w:i/>
          <w:lang w:val="bg-BG"/>
        </w:rPr>
        <w:t xml:space="preserve"> и </w:t>
      </w:r>
      <w:r w:rsidRPr="00E14BE1">
        <w:rPr>
          <w:i/>
        </w:rPr>
        <w:t>Flughafen</w:t>
      </w:r>
      <w:r w:rsidRPr="001C7ED2">
        <w:rPr>
          <w:i/>
          <w:lang w:val="bg-BG"/>
        </w:rPr>
        <w:t xml:space="preserve"> </w:t>
      </w:r>
      <w:r w:rsidRPr="00E14BE1">
        <w:rPr>
          <w:i/>
        </w:rPr>
        <w:t>Leipzig</w:t>
      </w:r>
      <w:r w:rsidRPr="001C7ED2">
        <w:rPr>
          <w:i/>
          <w:lang w:val="bg-BG"/>
        </w:rPr>
        <w:t>-</w:t>
      </w:r>
      <w:r w:rsidRPr="00E14BE1">
        <w:rPr>
          <w:i/>
        </w:rPr>
        <w:t>Halle</w:t>
      </w:r>
      <w:r w:rsidRPr="001C7ED2">
        <w:rPr>
          <w:i/>
          <w:lang w:val="bg-BG"/>
        </w:rPr>
        <w:t xml:space="preserve"> </w:t>
      </w:r>
      <w:r w:rsidRPr="00E14BE1">
        <w:rPr>
          <w:i/>
        </w:rPr>
        <w:t>GmbH</w:t>
      </w:r>
      <w:r w:rsidRPr="001C7ED2">
        <w:rPr>
          <w:i/>
          <w:lang w:val="bg-BG"/>
        </w:rPr>
        <w:t>(</w:t>
      </w:r>
      <w:r w:rsidRPr="00E14BE1">
        <w:rPr>
          <w:i/>
        </w:rPr>
        <w:t>T</w:t>
      </w:r>
      <w:r w:rsidRPr="001C7ED2">
        <w:rPr>
          <w:i/>
          <w:lang w:val="bg-BG"/>
        </w:rPr>
        <w:t>-455/08) срещу Европейска комисия</w:t>
      </w:r>
      <w:r w:rsidRPr="001C7ED2">
        <w:rPr>
          <w:lang w:val="bg-BG"/>
        </w:rPr>
        <w:t xml:space="preserve">, Сборник, 2011 г., стр. </w:t>
      </w:r>
      <w:r w:rsidRPr="00E14BE1">
        <w:t>II</w:t>
      </w:r>
      <w:r w:rsidRPr="001C7ED2">
        <w:rPr>
          <w:lang w:val="bg-BG"/>
        </w:rPr>
        <w:t xml:space="preserve">-1311, по-специално точки 93 и 94, потвърдено, след обжалване; вж. дело </w:t>
      </w:r>
      <w:r w:rsidRPr="00E14BE1">
        <w:t>C</w:t>
      </w:r>
      <w:r w:rsidRPr="001C7ED2">
        <w:rPr>
          <w:lang w:val="bg-BG"/>
        </w:rPr>
        <w:t xml:space="preserve">-288/11, </w:t>
      </w:r>
      <w:r w:rsidRPr="00E14BE1">
        <w:rPr>
          <w:i/>
        </w:rPr>
        <w:t>Mitteldeutsche</w:t>
      </w:r>
      <w:r w:rsidRPr="001C7ED2">
        <w:rPr>
          <w:i/>
          <w:lang w:val="bg-BG"/>
        </w:rPr>
        <w:t xml:space="preserve"> </w:t>
      </w:r>
      <w:r w:rsidRPr="00E14BE1">
        <w:rPr>
          <w:i/>
        </w:rPr>
        <w:t>Flughafen</w:t>
      </w:r>
      <w:r w:rsidRPr="001C7ED2">
        <w:rPr>
          <w:i/>
          <w:lang w:val="bg-BG"/>
        </w:rPr>
        <w:t xml:space="preserve"> </w:t>
      </w:r>
      <w:r w:rsidRPr="00E14BE1">
        <w:rPr>
          <w:i/>
        </w:rPr>
        <w:t>AG</w:t>
      </w:r>
      <w:r w:rsidRPr="001C7ED2">
        <w:rPr>
          <w:i/>
          <w:lang w:val="bg-BG"/>
        </w:rPr>
        <w:t xml:space="preserve"> и </w:t>
      </w:r>
      <w:r w:rsidRPr="00E14BE1">
        <w:rPr>
          <w:i/>
        </w:rPr>
        <w:t>Flughafen</w:t>
      </w:r>
      <w:r w:rsidRPr="001C7ED2">
        <w:rPr>
          <w:i/>
          <w:lang w:val="bg-BG"/>
        </w:rPr>
        <w:t xml:space="preserve"> </w:t>
      </w:r>
      <w:r w:rsidRPr="00E14BE1">
        <w:rPr>
          <w:i/>
        </w:rPr>
        <w:t>Leipzig</w:t>
      </w:r>
      <w:r w:rsidRPr="001C7ED2">
        <w:rPr>
          <w:i/>
          <w:lang w:val="bg-BG"/>
        </w:rPr>
        <w:t>-</w:t>
      </w:r>
      <w:r w:rsidRPr="00E14BE1">
        <w:rPr>
          <w:i/>
        </w:rPr>
        <w:t>Halle</w:t>
      </w:r>
      <w:r w:rsidRPr="001C7ED2">
        <w:rPr>
          <w:i/>
          <w:lang w:val="bg-BG"/>
        </w:rPr>
        <w:t xml:space="preserve"> </w:t>
      </w:r>
      <w:r w:rsidRPr="00E14BE1">
        <w:rPr>
          <w:i/>
        </w:rPr>
        <w:t>GmbH</w:t>
      </w:r>
      <w:r w:rsidRPr="001C7ED2">
        <w:rPr>
          <w:i/>
          <w:lang w:val="bg-BG"/>
        </w:rPr>
        <w:t xml:space="preserve"> срещу Европейска комисия</w:t>
      </w:r>
      <w:r w:rsidRPr="001C7ED2">
        <w:rPr>
          <w:lang w:val="bg-BG"/>
        </w:rPr>
        <w:t xml:space="preserve">, Сборник, 2012 г., стр. </w:t>
      </w:r>
      <w:r w:rsidRPr="00E14BE1">
        <w:t>I</w:t>
      </w:r>
      <w:r w:rsidRPr="001C7ED2">
        <w:rPr>
          <w:lang w:val="bg-BG"/>
        </w:rPr>
        <w:t>-0000.</w:t>
      </w:r>
    </w:p>
  </w:footnote>
  <w:footnote w:id="15">
    <w:p w14:paraId="085C4ACA" w14:textId="77777777" w:rsidR="004E3164" w:rsidRDefault="004E3164" w:rsidP="008B2D84">
      <w:pPr>
        <w:pStyle w:val="FootnoteText"/>
        <w:rPr>
          <w:lang w:val="bg-BG"/>
        </w:rPr>
      </w:pPr>
      <w:r>
        <w:rPr>
          <w:rStyle w:val="FootnoteReference"/>
        </w:rPr>
        <w:footnoteRef/>
      </w:r>
      <w:r w:rsidRPr="001C7ED2">
        <w:rPr>
          <w:lang w:val="bg-BG"/>
        </w:rPr>
        <w:t xml:space="preserve"> </w:t>
      </w:r>
      <w:r>
        <w:rPr>
          <w:lang w:val="bg-BG"/>
        </w:rPr>
        <w:t xml:space="preserve">Регламент (ЕС) № 1407/2013 </w:t>
      </w:r>
      <w:r w:rsidRPr="00F90A76">
        <w:rPr>
          <w:lang w:val="bg-BG"/>
        </w:rPr>
        <w:t xml:space="preserve">на Комисията </w:t>
      </w:r>
      <w:r w:rsidRPr="001C7ED2">
        <w:rPr>
          <w:lang w:val="bg-BG"/>
        </w:rPr>
        <w:t>от 18 декември 2013 година</w:t>
      </w:r>
      <w:r>
        <w:rPr>
          <w:lang w:val="bg-BG"/>
        </w:rPr>
        <w:t xml:space="preserve"> </w:t>
      </w:r>
      <w:r w:rsidRPr="001C7ED2">
        <w:rPr>
          <w:lang w:val="bg-BG"/>
        </w:rPr>
        <w:t xml:space="preserve">относно прилагането на членове 107 и </w:t>
      </w:r>
    </w:p>
    <w:p w14:paraId="57ADD889" w14:textId="77777777" w:rsidR="004E3164" w:rsidRPr="00AD3C25" w:rsidRDefault="004E3164" w:rsidP="008B2D84">
      <w:pPr>
        <w:pStyle w:val="FootnoteText"/>
        <w:rPr>
          <w:lang w:val="bg-BG"/>
        </w:rPr>
      </w:pPr>
      <w:r w:rsidRPr="001C7ED2">
        <w:rPr>
          <w:lang w:val="bg-BG"/>
        </w:rPr>
        <w:t xml:space="preserve">108 от Договора за функционирането на Европейския съюз към помощта </w:t>
      </w:r>
      <w:r w:rsidRPr="00AD65F4">
        <w:rPr>
          <w:i/>
        </w:rPr>
        <w:t>de</w:t>
      </w:r>
      <w:r w:rsidRPr="001C7ED2">
        <w:rPr>
          <w:i/>
          <w:lang w:val="bg-BG"/>
        </w:rPr>
        <w:t xml:space="preserve"> </w:t>
      </w:r>
      <w:r w:rsidRPr="00AD65F4">
        <w:rPr>
          <w:i/>
        </w:rPr>
        <w:t>minimis</w:t>
      </w:r>
      <w:r w:rsidRPr="001C7ED2">
        <w:rPr>
          <w:i/>
          <w:lang w:val="bg-BG"/>
        </w:rPr>
        <w:t xml:space="preserve"> </w:t>
      </w:r>
      <w:r w:rsidRPr="001C7ED2">
        <w:rPr>
          <w:lang w:val="bg-BG"/>
        </w:rPr>
        <w:t xml:space="preserve">(ОВ, </w:t>
      </w:r>
      <w:r w:rsidRPr="000C0FD8">
        <w:t>L</w:t>
      </w:r>
      <w:r w:rsidRPr="001C7ED2">
        <w:rPr>
          <w:lang w:val="bg-BG"/>
        </w:rPr>
        <w:t xml:space="preserve"> 352 от 24.12.2013 г.)</w:t>
      </w:r>
      <w:r>
        <w:rPr>
          <w:lang w:val="bg-BG"/>
        </w:rPr>
        <w:t>;</w:t>
      </w:r>
    </w:p>
  </w:footnote>
  <w:footnote w:id="16">
    <w:p w14:paraId="4358DF9A" w14:textId="77777777" w:rsidR="004E3164" w:rsidRDefault="004E3164" w:rsidP="007B4916">
      <w:pPr>
        <w:pStyle w:val="FootnoteText"/>
        <w:rPr>
          <w:lang w:val="bg-BG"/>
        </w:rPr>
      </w:pPr>
      <w:r>
        <w:rPr>
          <w:rStyle w:val="FootnoteReference"/>
        </w:rPr>
        <w:footnoteRef/>
      </w:r>
      <w:r w:rsidRPr="001C7ED2">
        <w:rPr>
          <w:lang w:val="bg-BG"/>
        </w:rPr>
        <w:t xml:space="preserve"> </w:t>
      </w:r>
      <w:r>
        <w:rPr>
          <w:lang w:val="bg-BG"/>
        </w:rPr>
        <w:t xml:space="preserve">Регламент (ЕС) № 360/2012 на Комисията от 25април 2012 г. относно прилагането на членове 107 и 108 от </w:t>
      </w:r>
    </w:p>
    <w:p w14:paraId="4386FCFF" w14:textId="77777777" w:rsidR="004E3164" w:rsidRDefault="004E3164" w:rsidP="007B4916">
      <w:pPr>
        <w:pStyle w:val="FootnoteText"/>
        <w:rPr>
          <w:lang w:val="bg-BG"/>
        </w:rPr>
      </w:pPr>
      <w:r>
        <w:rPr>
          <w:lang w:val="bg-BG"/>
        </w:rPr>
        <w:t>ДФЕС към минимална помощ (</w:t>
      </w:r>
      <w:r>
        <w:rPr>
          <w:lang w:val="en-US"/>
        </w:rPr>
        <w:t>de</w:t>
      </w:r>
      <w:r w:rsidRPr="001C7ED2">
        <w:rPr>
          <w:lang w:val="bg-BG"/>
        </w:rPr>
        <w:t xml:space="preserve"> </w:t>
      </w:r>
      <w:r>
        <w:rPr>
          <w:lang w:val="en-US"/>
        </w:rPr>
        <w:t>minmis</w:t>
      </w:r>
      <w:r>
        <w:rPr>
          <w:lang w:val="bg-BG"/>
        </w:rPr>
        <w:t>)</w:t>
      </w:r>
      <w:r w:rsidRPr="001C7ED2">
        <w:rPr>
          <w:lang w:val="bg-BG"/>
        </w:rPr>
        <w:t xml:space="preserve"> </w:t>
      </w:r>
      <w:r>
        <w:rPr>
          <w:lang w:val="bg-BG"/>
        </w:rPr>
        <w:t xml:space="preserve">за предприятия, предоставящи услуги от общ икономически интерес </w:t>
      </w:r>
    </w:p>
    <w:p w14:paraId="2CA4AB9D" w14:textId="77777777" w:rsidR="004E3164" w:rsidRPr="00F12C17" w:rsidRDefault="004E3164" w:rsidP="007B4916">
      <w:pPr>
        <w:pStyle w:val="FootnoteText"/>
        <w:rPr>
          <w:lang w:val="bg-BG"/>
        </w:rPr>
      </w:pPr>
      <w:r w:rsidRPr="00B928A0">
        <w:rPr>
          <w:lang w:val="bg-BG"/>
        </w:rPr>
        <w:t xml:space="preserve">(ОВ, L </w:t>
      </w:r>
      <w:r>
        <w:rPr>
          <w:lang w:val="bg-BG"/>
        </w:rPr>
        <w:t>114</w:t>
      </w:r>
      <w:r w:rsidRPr="00B928A0">
        <w:rPr>
          <w:lang w:val="bg-BG"/>
        </w:rPr>
        <w:t xml:space="preserve"> от </w:t>
      </w:r>
      <w:r>
        <w:rPr>
          <w:lang w:val="bg-BG"/>
        </w:rPr>
        <w:t>26</w:t>
      </w:r>
      <w:r w:rsidRPr="00B928A0">
        <w:rPr>
          <w:lang w:val="bg-BG"/>
        </w:rPr>
        <w:t>.0</w:t>
      </w:r>
      <w:r>
        <w:rPr>
          <w:lang w:val="bg-BG"/>
        </w:rPr>
        <w:t>4</w:t>
      </w:r>
      <w:r w:rsidRPr="00B928A0">
        <w:rPr>
          <w:lang w:val="bg-BG"/>
        </w:rPr>
        <w:t>.2012 г.)</w:t>
      </w:r>
    </w:p>
  </w:footnote>
  <w:footnote w:id="17">
    <w:p w14:paraId="44586BDE" w14:textId="77777777" w:rsidR="004E3164" w:rsidRPr="000C0FD8" w:rsidRDefault="004E3164" w:rsidP="00512C85">
      <w:pPr>
        <w:pStyle w:val="FootnoteText"/>
        <w:ind w:left="0" w:firstLine="0"/>
        <w:rPr>
          <w:lang w:val="bg-BG"/>
        </w:rPr>
      </w:pPr>
      <w:r>
        <w:rPr>
          <w:rStyle w:val="FootnoteReference"/>
        </w:rPr>
        <w:footnoteRef/>
      </w:r>
      <w:r w:rsidRPr="001C7ED2">
        <w:rPr>
          <w:lang w:val="bg-BG"/>
        </w:rPr>
        <w:t xml:space="preserve"> </w:t>
      </w:r>
      <w:r>
        <w:rPr>
          <w:lang w:val="bg-BG"/>
        </w:rPr>
        <w:t xml:space="preserve">Регламент (ЕС) № 651/2014 на Комисията от 17 юни 2014 г. за обявяване на някои категории помощи за съвместими с вътрешния пазар в приложение на членове 107 и 108 от Договора (ОВ, </w:t>
      </w:r>
      <w:r>
        <w:rPr>
          <w:lang w:val="en-US"/>
        </w:rPr>
        <w:t>L</w:t>
      </w:r>
      <w:r>
        <w:rPr>
          <w:lang w:val="bg-BG"/>
        </w:rPr>
        <w:t xml:space="preserve"> 187 от 26.06.2014 г.);</w:t>
      </w:r>
    </w:p>
  </w:footnote>
  <w:footnote w:id="18">
    <w:p w14:paraId="0F2F0895" w14:textId="77777777" w:rsidR="004E3164" w:rsidRDefault="004E3164" w:rsidP="00512C85">
      <w:pPr>
        <w:pStyle w:val="FootnoteText"/>
        <w:rPr>
          <w:bCs/>
          <w:color w:val="000000"/>
          <w:lang w:val="bg-BG" w:eastAsia="bg-BG"/>
        </w:rPr>
      </w:pPr>
      <w:r>
        <w:rPr>
          <w:rStyle w:val="FootnoteReference"/>
        </w:rPr>
        <w:footnoteRef/>
      </w:r>
      <w:r w:rsidRPr="001C7ED2">
        <w:rPr>
          <w:lang w:val="bg-BG"/>
        </w:rPr>
        <w:t xml:space="preserve"> </w:t>
      </w:r>
      <w:r w:rsidRPr="001C7ED2">
        <w:rPr>
          <w:bCs/>
          <w:color w:val="000000"/>
          <w:lang w:val="bg-BG" w:eastAsia="bg-BG"/>
        </w:rPr>
        <w:t>Р</w:t>
      </w:r>
      <w:r w:rsidRPr="001C7ED2">
        <w:rPr>
          <w:rFonts w:hint="eastAsia"/>
          <w:bCs/>
          <w:color w:val="000000"/>
          <w:lang w:val="bg-BG" w:eastAsia="bg-BG"/>
        </w:rPr>
        <w:t>егламент</w:t>
      </w:r>
      <w:r w:rsidRPr="001C7ED2">
        <w:rPr>
          <w:bCs/>
          <w:color w:val="000000"/>
          <w:lang w:val="bg-BG" w:eastAsia="bg-BG"/>
        </w:rPr>
        <w:t xml:space="preserve"> (</w:t>
      </w:r>
      <w:r w:rsidRPr="001C7ED2">
        <w:rPr>
          <w:rFonts w:hint="eastAsia"/>
          <w:bCs/>
          <w:color w:val="000000"/>
          <w:lang w:val="bg-BG" w:eastAsia="bg-BG"/>
        </w:rPr>
        <w:t>ЕО</w:t>
      </w:r>
      <w:r w:rsidRPr="001C7ED2">
        <w:rPr>
          <w:bCs/>
          <w:color w:val="000000"/>
          <w:lang w:val="bg-BG" w:eastAsia="bg-BG"/>
        </w:rPr>
        <w:t xml:space="preserve">) </w:t>
      </w:r>
      <w:r w:rsidRPr="001C7ED2">
        <w:rPr>
          <w:rFonts w:hint="eastAsia"/>
          <w:bCs/>
          <w:color w:val="000000"/>
          <w:lang w:val="bg-BG" w:eastAsia="bg-BG"/>
        </w:rPr>
        <w:t>№</w:t>
      </w:r>
      <w:r w:rsidRPr="001C7ED2">
        <w:rPr>
          <w:bCs/>
          <w:color w:val="000000"/>
          <w:lang w:val="bg-BG" w:eastAsia="bg-BG"/>
        </w:rPr>
        <w:t xml:space="preserve"> 1370/2007 </w:t>
      </w:r>
      <w:r w:rsidRPr="001C7ED2">
        <w:rPr>
          <w:rFonts w:hint="eastAsia"/>
          <w:bCs/>
          <w:color w:val="000000"/>
          <w:lang w:val="bg-BG" w:eastAsia="bg-BG"/>
        </w:rPr>
        <w:t>на</w:t>
      </w:r>
      <w:r w:rsidRPr="001C7ED2">
        <w:rPr>
          <w:bCs/>
          <w:color w:val="000000"/>
          <w:lang w:val="bg-BG" w:eastAsia="bg-BG"/>
        </w:rPr>
        <w:t xml:space="preserve"> Е</w:t>
      </w:r>
      <w:r w:rsidRPr="001C7ED2">
        <w:rPr>
          <w:rFonts w:hint="eastAsia"/>
          <w:bCs/>
          <w:color w:val="000000"/>
          <w:lang w:val="bg-BG" w:eastAsia="bg-BG"/>
        </w:rPr>
        <w:t>вропейския</w:t>
      </w:r>
      <w:r w:rsidRPr="001C7ED2">
        <w:rPr>
          <w:bCs/>
          <w:color w:val="000000"/>
          <w:lang w:val="bg-BG" w:eastAsia="bg-BG"/>
        </w:rPr>
        <w:t xml:space="preserve"> </w:t>
      </w:r>
      <w:r w:rsidRPr="001C7ED2">
        <w:rPr>
          <w:rFonts w:hint="eastAsia"/>
          <w:bCs/>
          <w:color w:val="000000"/>
          <w:lang w:val="bg-BG" w:eastAsia="bg-BG"/>
        </w:rPr>
        <w:t>парламент</w:t>
      </w:r>
      <w:r w:rsidRPr="001C7ED2">
        <w:rPr>
          <w:bCs/>
          <w:color w:val="000000"/>
          <w:lang w:val="bg-BG" w:eastAsia="bg-BG"/>
        </w:rPr>
        <w:t xml:space="preserve"> </w:t>
      </w:r>
      <w:r w:rsidRPr="001C7ED2">
        <w:rPr>
          <w:rFonts w:hint="eastAsia"/>
          <w:bCs/>
          <w:color w:val="000000"/>
          <w:lang w:val="bg-BG" w:eastAsia="bg-BG"/>
        </w:rPr>
        <w:t>и</w:t>
      </w:r>
      <w:r w:rsidRPr="001C7ED2">
        <w:rPr>
          <w:bCs/>
          <w:color w:val="000000"/>
          <w:lang w:val="bg-BG" w:eastAsia="bg-BG"/>
        </w:rPr>
        <w:t xml:space="preserve"> </w:t>
      </w:r>
      <w:r w:rsidRPr="001C7ED2">
        <w:rPr>
          <w:rFonts w:hint="eastAsia"/>
          <w:bCs/>
          <w:color w:val="000000"/>
          <w:lang w:val="bg-BG" w:eastAsia="bg-BG"/>
        </w:rPr>
        <w:t>на</w:t>
      </w:r>
      <w:r w:rsidRPr="001C7ED2">
        <w:rPr>
          <w:bCs/>
          <w:color w:val="000000"/>
          <w:lang w:val="bg-BG" w:eastAsia="bg-BG"/>
        </w:rPr>
        <w:t xml:space="preserve"> С</w:t>
      </w:r>
      <w:r w:rsidRPr="001C7ED2">
        <w:rPr>
          <w:rFonts w:hint="eastAsia"/>
          <w:bCs/>
          <w:color w:val="000000"/>
          <w:lang w:val="bg-BG" w:eastAsia="bg-BG"/>
        </w:rPr>
        <w:t>ъвета</w:t>
      </w:r>
      <w:r w:rsidRPr="001C7ED2">
        <w:rPr>
          <w:bCs/>
          <w:color w:val="000000"/>
          <w:lang w:val="bg-BG" w:eastAsia="bg-BG"/>
        </w:rPr>
        <w:t xml:space="preserve"> </w:t>
      </w:r>
      <w:r w:rsidRPr="001C7ED2">
        <w:rPr>
          <w:rFonts w:hint="eastAsia"/>
          <w:bCs/>
          <w:color w:val="000000"/>
          <w:lang w:val="bg-BG" w:eastAsia="bg-BG"/>
        </w:rPr>
        <w:t>от</w:t>
      </w:r>
      <w:r w:rsidRPr="001C7ED2">
        <w:rPr>
          <w:bCs/>
          <w:color w:val="000000"/>
          <w:lang w:val="bg-BG" w:eastAsia="bg-BG"/>
        </w:rPr>
        <w:t xml:space="preserve"> 23 </w:t>
      </w:r>
      <w:r w:rsidRPr="001C7ED2">
        <w:rPr>
          <w:rFonts w:hint="eastAsia"/>
          <w:bCs/>
          <w:color w:val="000000"/>
          <w:lang w:val="bg-BG" w:eastAsia="bg-BG"/>
        </w:rPr>
        <w:t>октомври</w:t>
      </w:r>
      <w:r w:rsidRPr="001C7ED2">
        <w:rPr>
          <w:bCs/>
          <w:color w:val="000000"/>
          <w:lang w:val="bg-BG" w:eastAsia="bg-BG"/>
        </w:rPr>
        <w:t xml:space="preserve"> 2007 </w:t>
      </w:r>
      <w:r w:rsidRPr="001C7ED2">
        <w:rPr>
          <w:rFonts w:hint="eastAsia"/>
          <w:bCs/>
          <w:color w:val="000000"/>
          <w:lang w:val="bg-BG" w:eastAsia="bg-BG"/>
        </w:rPr>
        <w:t>година</w:t>
      </w:r>
      <w:r w:rsidRPr="001C7ED2">
        <w:rPr>
          <w:bCs/>
          <w:color w:val="000000"/>
          <w:lang w:val="bg-BG" w:eastAsia="bg-BG"/>
        </w:rPr>
        <w:t xml:space="preserve"> </w:t>
      </w:r>
      <w:r w:rsidRPr="001C7ED2">
        <w:rPr>
          <w:rFonts w:hint="eastAsia"/>
          <w:bCs/>
          <w:color w:val="000000"/>
          <w:lang w:val="bg-BG" w:eastAsia="bg-BG"/>
        </w:rPr>
        <w:t>относно</w:t>
      </w:r>
      <w:r w:rsidRPr="001C7ED2">
        <w:rPr>
          <w:bCs/>
          <w:color w:val="000000"/>
          <w:lang w:val="bg-BG" w:eastAsia="bg-BG"/>
        </w:rPr>
        <w:t xml:space="preserve"> </w:t>
      </w:r>
    </w:p>
    <w:p w14:paraId="1A68E2F2" w14:textId="77777777" w:rsidR="004E3164" w:rsidRDefault="004E3164" w:rsidP="00512C85">
      <w:pPr>
        <w:pStyle w:val="FootnoteText"/>
        <w:rPr>
          <w:bCs/>
          <w:color w:val="000000"/>
          <w:lang w:val="bg-BG" w:eastAsia="bg-BG"/>
        </w:rPr>
      </w:pPr>
      <w:r w:rsidRPr="001C7ED2">
        <w:rPr>
          <w:rFonts w:hint="eastAsia"/>
          <w:bCs/>
          <w:color w:val="000000"/>
          <w:lang w:val="bg-BG" w:eastAsia="bg-BG"/>
        </w:rPr>
        <w:t>обществените</w:t>
      </w:r>
      <w:r w:rsidRPr="001C7ED2">
        <w:rPr>
          <w:bCs/>
          <w:color w:val="000000"/>
          <w:lang w:val="bg-BG" w:eastAsia="bg-BG"/>
        </w:rPr>
        <w:t xml:space="preserve"> </w:t>
      </w:r>
      <w:r w:rsidRPr="001C7ED2">
        <w:rPr>
          <w:rFonts w:hint="eastAsia"/>
          <w:bCs/>
          <w:color w:val="000000"/>
          <w:lang w:val="bg-BG" w:eastAsia="bg-BG"/>
        </w:rPr>
        <w:t>услуги</w:t>
      </w:r>
      <w:r w:rsidRPr="001C7ED2">
        <w:rPr>
          <w:bCs/>
          <w:color w:val="000000"/>
          <w:lang w:val="bg-BG" w:eastAsia="bg-BG"/>
        </w:rPr>
        <w:t xml:space="preserve"> </w:t>
      </w:r>
      <w:r w:rsidRPr="001C7ED2">
        <w:rPr>
          <w:rFonts w:hint="eastAsia"/>
          <w:bCs/>
          <w:color w:val="000000"/>
          <w:lang w:val="bg-BG" w:eastAsia="bg-BG"/>
        </w:rPr>
        <w:t>за</w:t>
      </w:r>
      <w:r w:rsidRPr="001C7ED2">
        <w:rPr>
          <w:bCs/>
          <w:color w:val="000000"/>
          <w:lang w:val="bg-BG" w:eastAsia="bg-BG"/>
        </w:rPr>
        <w:t xml:space="preserve"> </w:t>
      </w:r>
      <w:r w:rsidRPr="001C7ED2">
        <w:rPr>
          <w:rFonts w:hint="eastAsia"/>
          <w:bCs/>
          <w:color w:val="000000"/>
          <w:lang w:val="bg-BG" w:eastAsia="bg-BG"/>
        </w:rPr>
        <w:t>пътнически</w:t>
      </w:r>
      <w:r w:rsidRPr="001C7ED2">
        <w:rPr>
          <w:bCs/>
          <w:color w:val="000000"/>
          <w:lang w:val="bg-BG" w:eastAsia="bg-BG"/>
        </w:rPr>
        <w:t xml:space="preserve"> </w:t>
      </w:r>
      <w:r w:rsidRPr="001C7ED2">
        <w:rPr>
          <w:rFonts w:hint="eastAsia"/>
          <w:bCs/>
          <w:color w:val="000000"/>
          <w:lang w:val="bg-BG" w:eastAsia="bg-BG"/>
        </w:rPr>
        <w:t>превоз</w:t>
      </w:r>
      <w:r w:rsidRPr="001C7ED2">
        <w:rPr>
          <w:bCs/>
          <w:color w:val="000000"/>
          <w:lang w:val="bg-BG" w:eastAsia="bg-BG"/>
        </w:rPr>
        <w:t xml:space="preserve"> </w:t>
      </w:r>
      <w:r w:rsidRPr="001C7ED2">
        <w:rPr>
          <w:rFonts w:hint="eastAsia"/>
          <w:bCs/>
          <w:color w:val="000000"/>
          <w:lang w:val="bg-BG" w:eastAsia="bg-BG"/>
        </w:rPr>
        <w:t>с</w:t>
      </w:r>
      <w:r w:rsidRPr="001C7ED2">
        <w:rPr>
          <w:bCs/>
          <w:color w:val="000000"/>
          <w:lang w:val="bg-BG" w:eastAsia="bg-BG"/>
        </w:rPr>
        <w:t xml:space="preserve"> </w:t>
      </w:r>
      <w:r w:rsidRPr="001C7ED2">
        <w:rPr>
          <w:rFonts w:hint="eastAsia"/>
          <w:bCs/>
          <w:color w:val="000000"/>
          <w:lang w:val="bg-BG" w:eastAsia="bg-BG"/>
        </w:rPr>
        <w:t>железопътен</w:t>
      </w:r>
      <w:r w:rsidRPr="001C7ED2">
        <w:rPr>
          <w:bCs/>
          <w:color w:val="000000"/>
          <w:lang w:val="bg-BG" w:eastAsia="bg-BG"/>
        </w:rPr>
        <w:t xml:space="preserve"> </w:t>
      </w:r>
      <w:r w:rsidRPr="001C7ED2">
        <w:rPr>
          <w:rFonts w:hint="eastAsia"/>
          <w:bCs/>
          <w:color w:val="000000"/>
          <w:lang w:val="bg-BG" w:eastAsia="bg-BG"/>
        </w:rPr>
        <w:t>и</w:t>
      </w:r>
      <w:r w:rsidRPr="001C7ED2">
        <w:rPr>
          <w:bCs/>
          <w:color w:val="000000"/>
          <w:lang w:val="bg-BG" w:eastAsia="bg-BG"/>
        </w:rPr>
        <w:t xml:space="preserve"> </w:t>
      </w:r>
      <w:r w:rsidRPr="001C7ED2">
        <w:rPr>
          <w:rFonts w:hint="eastAsia"/>
          <w:bCs/>
          <w:color w:val="000000"/>
          <w:lang w:val="bg-BG" w:eastAsia="bg-BG"/>
        </w:rPr>
        <w:t>автомобилен</w:t>
      </w:r>
      <w:r w:rsidRPr="001C7ED2">
        <w:rPr>
          <w:bCs/>
          <w:color w:val="000000"/>
          <w:lang w:val="bg-BG" w:eastAsia="bg-BG"/>
        </w:rPr>
        <w:t xml:space="preserve"> </w:t>
      </w:r>
      <w:r w:rsidRPr="001C7ED2">
        <w:rPr>
          <w:rFonts w:hint="eastAsia"/>
          <w:bCs/>
          <w:color w:val="000000"/>
          <w:lang w:val="bg-BG" w:eastAsia="bg-BG"/>
        </w:rPr>
        <w:t>транспорт</w:t>
      </w:r>
      <w:r w:rsidRPr="001C7ED2">
        <w:rPr>
          <w:bCs/>
          <w:color w:val="000000"/>
          <w:lang w:val="bg-BG" w:eastAsia="bg-BG"/>
        </w:rPr>
        <w:t xml:space="preserve"> </w:t>
      </w:r>
      <w:r w:rsidRPr="001C7ED2">
        <w:rPr>
          <w:rFonts w:hint="eastAsia"/>
          <w:bCs/>
          <w:color w:val="000000"/>
          <w:lang w:val="bg-BG" w:eastAsia="bg-BG"/>
        </w:rPr>
        <w:t>и</w:t>
      </w:r>
      <w:r w:rsidRPr="001C7ED2">
        <w:rPr>
          <w:bCs/>
          <w:color w:val="000000"/>
          <w:lang w:val="bg-BG" w:eastAsia="bg-BG"/>
        </w:rPr>
        <w:t xml:space="preserve"> </w:t>
      </w:r>
      <w:r w:rsidRPr="001C7ED2">
        <w:rPr>
          <w:rFonts w:hint="eastAsia"/>
          <w:bCs/>
          <w:color w:val="000000"/>
          <w:lang w:val="bg-BG" w:eastAsia="bg-BG"/>
        </w:rPr>
        <w:t>за</w:t>
      </w:r>
      <w:r w:rsidRPr="001C7ED2">
        <w:rPr>
          <w:bCs/>
          <w:color w:val="000000"/>
          <w:lang w:val="bg-BG" w:eastAsia="bg-BG"/>
        </w:rPr>
        <w:t xml:space="preserve"> </w:t>
      </w:r>
      <w:r w:rsidRPr="001C7ED2">
        <w:rPr>
          <w:rFonts w:hint="eastAsia"/>
          <w:bCs/>
          <w:color w:val="000000"/>
          <w:lang w:val="bg-BG" w:eastAsia="bg-BG"/>
        </w:rPr>
        <w:t>отмяна</w:t>
      </w:r>
      <w:r w:rsidRPr="001C7ED2">
        <w:rPr>
          <w:bCs/>
          <w:color w:val="000000"/>
          <w:lang w:val="bg-BG" w:eastAsia="bg-BG"/>
        </w:rPr>
        <w:t xml:space="preserve"> </w:t>
      </w:r>
      <w:r w:rsidRPr="001C7ED2">
        <w:rPr>
          <w:rFonts w:hint="eastAsia"/>
          <w:bCs/>
          <w:color w:val="000000"/>
          <w:lang w:val="bg-BG" w:eastAsia="bg-BG"/>
        </w:rPr>
        <w:t>на</w:t>
      </w:r>
      <w:r w:rsidRPr="001C7ED2">
        <w:rPr>
          <w:bCs/>
          <w:color w:val="000000"/>
          <w:lang w:val="bg-BG" w:eastAsia="bg-BG"/>
        </w:rPr>
        <w:t xml:space="preserve"> </w:t>
      </w:r>
      <w:r w:rsidRPr="001C7ED2">
        <w:rPr>
          <w:rFonts w:hint="eastAsia"/>
          <w:bCs/>
          <w:color w:val="000000"/>
          <w:lang w:val="bg-BG" w:eastAsia="bg-BG"/>
        </w:rPr>
        <w:t>регламенти</w:t>
      </w:r>
      <w:r w:rsidRPr="001C7ED2">
        <w:rPr>
          <w:bCs/>
          <w:color w:val="000000"/>
          <w:lang w:val="bg-BG" w:eastAsia="bg-BG"/>
        </w:rPr>
        <w:t xml:space="preserve"> </w:t>
      </w:r>
    </w:p>
    <w:p w14:paraId="44D714D6" w14:textId="77777777" w:rsidR="004E3164" w:rsidRPr="001C7ED2" w:rsidRDefault="004E3164" w:rsidP="00512C85">
      <w:pPr>
        <w:pStyle w:val="FootnoteText"/>
        <w:rPr>
          <w:lang w:val="bg-BG"/>
        </w:rPr>
      </w:pPr>
      <w:r w:rsidRPr="001C7ED2">
        <w:rPr>
          <w:bCs/>
          <w:color w:val="000000"/>
          <w:lang w:val="bg-BG" w:eastAsia="bg-BG"/>
        </w:rPr>
        <w:t>(</w:t>
      </w:r>
      <w:r w:rsidRPr="001C7ED2">
        <w:rPr>
          <w:rFonts w:hint="eastAsia"/>
          <w:bCs/>
          <w:color w:val="000000"/>
          <w:lang w:val="bg-BG" w:eastAsia="bg-BG"/>
        </w:rPr>
        <w:t>ЕИО</w:t>
      </w:r>
      <w:r w:rsidRPr="001C7ED2">
        <w:rPr>
          <w:bCs/>
          <w:color w:val="000000"/>
          <w:lang w:val="bg-BG" w:eastAsia="bg-BG"/>
        </w:rPr>
        <w:t xml:space="preserve">) </w:t>
      </w:r>
      <w:r w:rsidRPr="001C7ED2">
        <w:rPr>
          <w:rFonts w:hint="eastAsia"/>
          <w:bCs/>
          <w:color w:val="000000"/>
          <w:lang w:val="bg-BG" w:eastAsia="bg-BG"/>
        </w:rPr>
        <w:t>№</w:t>
      </w:r>
      <w:r w:rsidRPr="001C7ED2">
        <w:rPr>
          <w:bCs/>
          <w:color w:val="000000"/>
          <w:lang w:val="bg-BG" w:eastAsia="bg-BG"/>
        </w:rPr>
        <w:t xml:space="preserve"> 1191/69 </w:t>
      </w:r>
      <w:r w:rsidRPr="001C7ED2">
        <w:rPr>
          <w:rFonts w:hint="eastAsia"/>
          <w:bCs/>
          <w:color w:val="000000"/>
          <w:lang w:val="bg-BG" w:eastAsia="bg-BG"/>
        </w:rPr>
        <w:t>и</w:t>
      </w:r>
      <w:r w:rsidRPr="001C7ED2">
        <w:rPr>
          <w:bCs/>
          <w:color w:val="000000"/>
          <w:lang w:val="bg-BG" w:eastAsia="bg-BG"/>
        </w:rPr>
        <w:t xml:space="preserve"> (</w:t>
      </w:r>
      <w:r w:rsidRPr="001C7ED2">
        <w:rPr>
          <w:rFonts w:hint="eastAsia"/>
          <w:bCs/>
          <w:color w:val="000000"/>
          <w:lang w:val="bg-BG" w:eastAsia="bg-BG"/>
        </w:rPr>
        <w:t>ЕИО</w:t>
      </w:r>
      <w:r w:rsidRPr="001C7ED2">
        <w:rPr>
          <w:bCs/>
          <w:color w:val="000000"/>
          <w:lang w:val="bg-BG" w:eastAsia="bg-BG"/>
        </w:rPr>
        <w:t xml:space="preserve">) </w:t>
      </w:r>
      <w:r w:rsidRPr="001C7ED2">
        <w:rPr>
          <w:rFonts w:hint="eastAsia"/>
          <w:bCs/>
          <w:color w:val="000000"/>
          <w:lang w:val="bg-BG" w:eastAsia="bg-BG"/>
        </w:rPr>
        <w:t>№</w:t>
      </w:r>
      <w:r w:rsidRPr="001C7ED2">
        <w:rPr>
          <w:bCs/>
          <w:color w:val="000000"/>
          <w:lang w:val="bg-BG" w:eastAsia="bg-BG"/>
        </w:rPr>
        <w:t xml:space="preserve"> 1107/70 </w:t>
      </w:r>
      <w:r w:rsidRPr="001C7ED2">
        <w:rPr>
          <w:rFonts w:hint="eastAsia"/>
          <w:bCs/>
          <w:color w:val="000000"/>
          <w:lang w:val="bg-BG" w:eastAsia="bg-BG"/>
        </w:rPr>
        <w:t>на</w:t>
      </w:r>
      <w:r w:rsidRPr="001C7ED2">
        <w:rPr>
          <w:bCs/>
          <w:color w:val="000000"/>
          <w:lang w:val="bg-BG" w:eastAsia="bg-BG"/>
        </w:rPr>
        <w:t xml:space="preserve"> </w:t>
      </w:r>
      <w:r w:rsidRPr="001C7ED2">
        <w:rPr>
          <w:rFonts w:hint="eastAsia"/>
          <w:bCs/>
          <w:color w:val="000000"/>
          <w:lang w:val="bg-BG" w:eastAsia="bg-BG"/>
        </w:rPr>
        <w:t>Съвета</w:t>
      </w:r>
      <w:r w:rsidRPr="001C7ED2">
        <w:rPr>
          <w:bCs/>
          <w:color w:val="000000"/>
          <w:lang w:val="bg-BG" w:eastAsia="bg-BG"/>
        </w:rPr>
        <w:t xml:space="preserve">  (</w:t>
      </w:r>
      <w:r w:rsidRPr="001C7ED2">
        <w:rPr>
          <w:bCs/>
          <w:iCs/>
          <w:lang w:val="bg-BG"/>
        </w:rPr>
        <w:t xml:space="preserve">ОВ, </w:t>
      </w:r>
      <w:r>
        <w:rPr>
          <w:bCs/>
          <w:iCs/>
          <w:lang w:val="en-US"/>
        </w:rPr>
        <w:t>L</w:t>
      </w:r>
      <w:r w:rsidRPr="001C7ED2">
        <w:rPr>
          <w:bCs/>
          <w:iCs/>
          <w:lang w:val="bg-BG"/>
        </w:rPr>
        <w:t xml:space="preserve"> 315 от 03.12.2007 г.);</w:t>
      </w:r>
    </w:p>
  </w:footnote>
  <w:footnote w:id="19">
    <w:p w14:paraId="0A47350E" w14:textId="77777777" w:rsidR="004E3164" w:rsidRDefault="004E3164" w:rsidP="00512C85">
      <w:pPr>
        <w:pStyle w:val="FootnoteText"/>
        <w:rPr>
          <w:bCs/>
          <w:color w:val="000000"/>
          <w:lang w:val="bg-BG" w:eastAsia="bg-BG"/>
        </w:rPr>
      </w:pPr>
      <w:r>
        <w:rPr>
          <w:rStyle w:val="FootnoteReference"/>
        </w:rPr>
        <w:footnoteRef/>
      </w:r>
      <w:r w:rsidRPr="001C7ED2">
        <w:rPr>
          <w:lang w:val="bg-BG"/>
        </w:rPr>
        <w:t xml:space="preserve"> </w:t>
      </w:r>
      <w:r w:rsidRPr="001C7ED2">
        <w:rPr>
          <w:bCs/>
          <w:color w:val="000000"/>
          <w:lang w:val="bg-BG" w:eastAsia="bg-BG"/>
        </w:rPr>
        <w:t xml:space="preserve">Решение на Комисията от 20 декември 2011 година относно прилагането на член 106, параграф 2 от Договора </w:t>
      </w:r>
    </w:p>
    <w:p w14:paraId="68CB0F5C" w14:textId="77777777" w:rsidR="004E3164" w:rsidRDefault="004E3164" w:rsidP="00512C85">
      <w:pPr>
        <w:pStyle w:val="FootnoteText"/>
        <w:rPr>
          <w:bCs/>
          <w:color w:val="000000"/>
          <w:lang w:val="bg-BG" w:eastAsia="bg-BG"/>
        </w:rPr>
      </w:pPr>
      <w:r w:rsidRPr="001C7ED2">
        <w:rPr>
          <w:bCs/>
          <w:color w:val="000000"/>
          <w:lang w:val="bg-BG" w:eastAsia="bg-BG"/>
        </w:rPr>
        <w:t xml:space="preserve">за функционирането на Европейския съюз за държавната помощ под формата на компенсация за обществена </w:t>
      </w:r>
    </w:p>
    <w:p w14:paraId="51191BE1" w14:textId="77777777" w:rsidR="004E3164" w:rsidRDefault="004E3164" w:rsidP="00512C85">
      <w:pPr>
        <w:pStyle w:val="FootnoteText"/>
        <w:rPr>
          <w:bCs/>
          <w:color w:val="000000"/>
          <w:lang w:val="bg-BG" w:eastAsia="bg-BG"/>
        </w:rPr>
      </w:pPr>
      <w:r w:rsidRPr="001C7ED2">
        <w:rPr>
          <w:bCs/>
          <w:color w:val="000000"/>
          <w:lang w:val="bg-BG" w:eastAsia="bg-BG"/>
        </w:rPr>
        <w:t xml:space="preserve">услуга, предоставена на определени предприятия, натоварени с извършването на услуги от общ икономически </w:t>
      </w:r>
    </w:p>
    <w:p w14:paraId="4B4F7050" w14:textId="77777777" w:rsidR="004E3164" w:rsidRPr="001C7ED2" w:rsidRDefault="004E3164" w:rsidP="00512C85">
      <w:pPr>
        <w:pStyle w:val="FootnoteText"/>
        <w:rPr>
          <w:bCs/>
          <w:color w:val="000000"/>
          <w:lang w:val="bg-BG" w:eastAsia="bg-BG"/>
        </w:rPr>
      </w:pPr>
      <w:r w:rsidRPr="001C7ED2">
        <w:rPr>
          <w:bCs/>
          <w:color w:val="000000"/>
          <w:lang w:val="bg-BG" w:eastAsia="bg-BG"/>
        </w:rPr>
        <w:t xml:space="preserve">интерес </w:t>
      </w:r>
      <w:r w:rsidRPr="001C7ED2">
        <w:rPr>
          <w:rFonts w:hint="eastAsia"/>
          <w:bCs/>
          <w:color w:val="000000"/>
          <w:lang w:val="bg-BG" w:eastAsia="bg-BG"/>
        </w:rPr>
        <w:t>Съвета</w:t>
      </w:r>
      <w:r w:rsidRPr="001C7ED2">
        <w:rPr>
          <w:bCs/>
          <w:color w:val="000000"/>
          <w:lang w:val="bg-BG" w:eastAsia="bg-BG"/>
        </w:rPr>
        <w:t xml:space="preserve"> (</w:t>
      </w:r>
      <w:r w:rsidRPr="001C7ED2">
        <w:rPr>
          <w:bCs/>
          <w:iCs/>
          <w:lang w:val="bg-BG"/>
        </w:rPr>
        <w:t xml:space="preserve">ОВ, </w:t>
      </w:r>
      <w:r>
        <w:rPr>
          <w:bCs/>
          <w:iCs/>
          <w:lang w:val="en-US"/>
        </w:rPr>
        <w:t>L</w:t>
      </w:r>
      <w:r w:rsidRPr="001C7ED2">
        <w:rPr>
          <w:bCs/>
          <w:iCs/>
          <w:lang w:val="bg-BG"/>
        </w:rPr>
        <w:t xml:space="preserve"> 7 от 11.01.2012 г.);</w:t>
      </w:r>
    </w:p>
  </w:footnote>
  <w:footnote w:id="20">
    <w:p w14:paraId="41948447" w14:textId="77777777" w:rsidR="004E3164" w:rsidRPr="001C7ED2" w:rsidRDefault="004E3164" w:rsidP="00512C85">
      <w:pPr>
        <w:pStyle w:val="FootnoteText"/>
        <w:rPr>
          <w:bCs/>
          <w:color w:val="000000"/>
          <w:lang w:val="bg-BG" w:eastAsia="bg-BG"/>
        </w:rPr>
      </w:pPr>
      <w:r>
        <w:rPr>
          <w:rStyle w:val="FootnoteReference"/>
        </w:rPr>
        <w:footnoteRef/>
      </w:r>
      <w:r w:rsidRPr="001C7ED2">
        <w:rPr>
          <w:lang w:val="bg-BG"/>
        </w:rPr>
        <w:t xml:space="preserve"> </w:t>
      </w:r>
      <w:r w:rsidRPr="001C7ED2">
        <w:rPr>
          <w:bCs/>
          <w:color w:val="000000"/>
          <w:lang w:val="bg-BG" w:eastAsia="bg-BG"/>
        </w:rPr>
        <w:t>Насоки за регионалната помощ за периода 2014 — 2020 г. (</w:t>
      </w:r>
      <w:r w:rsidRPr="001C7ED2">
        <w:rPr>
          <w:bCs/>
          <w:iCs/>
          <w:lang w:val="bg-BG"/>
        </w:rPr>
        <w:t>ОВ, С 209 от 23.01.2012 г.);</w:t>
      </w:r>
    </w:p>
  </w:footnote>
  <w:footnote w:id="21">
    <w:p w14:paraId="79A3821D" w14:textId="77777777" w:rsidR="004E3164" w:rsidRDefault="004E3164" w:rsidP="00512C85">
      <w:pPr>
        <w:pStyle w:val="FootnoteText"/>
        <w:rPr>
          <w:bCs/>
          <w:color w:val="000000"/>
          <w:lang w:val="bg-BG" w:eastAsia="bg-BG"/>
        </w:rPr>
      </w:pPr>
      <w:r>
        <w:rPr>
          <w:rStyle w:val="FootnoteReference"/>
        </w:rPr>
        <w:footnoteRef/>
      </w:r>
      <w:r w:rsidRPr="001C7ED2">
        <w:rPr>
          <w:lang w:val="bg-BG"/>
        </w:rPr>
        <w:t xml:space="preserve"> </w:t>
      </w:r>
      <w:r w:rsidRPr="001C7ED2">
        <w:rPr>
          <w:bCs/>
          <w:color w:val="000000"/>
          <w:lang w:val="bg-BG" w:eastAsia="bg-BG"/>
        </w:rPr>
        <w:t xml:space="preserve">Насоки на ЕС относно прилагането на правилата за държавна помощ във връзка с бързото разполагане на </w:t>
      </w:r>
    </w:p>
    <w:p w14:paraId="10C38913" w14:textId="77777777" w:rsidR="004E3164" w:rsidRPr="001C7ED2" w:rsidRDefault="004E3164" w:rsidP="00512C85">
      <w:pPr>
        <w:pStyle w:val="FootnoteText"/>
        <w:rPr>
          <w:lang w:val="bg-BG"/>
        </w:rPr>
      </w:pPr>
      <w:r w:rsidRPr="001C7ED2">
        <w:rPr>
          <w:bCs/>
          <w:color w:val="000000"/>
          <w:lang w:val="bg-BG" w:eastAsia="bg-BG"/>
        </w:rPr>
        <w:t>широколентови мрежи (ОВ, С 25 от 26.01.2013 г.);</w:t>
      </w:r>
    </w:p>
  </w:footnote>
  <w:footnote w:id="22">
    <w:p w14:paraId="386E5F2A" w14:textId="77777777" w:rsidR="004E3164" w:rsidRDefault="004E3164" w:rsidP="00512C85">
      <w:pPr>
        <w:spacing w:after="60"/>
      </w:pPr>
      <w:r>
        <w:rPr>
          <w:rStyle w:val="FootnoteReference"/>
        </w:rPr>
        <w:footnoteRef/>
      </w:r>
      <w:r>
        <w:t xml:space="preserve"> </w:t>
      </w:r>
      <w:r w:rsidRPr="003A0A27">
        <w:rPr>
          <w:bCs/>
          <w:color w:val="000000"/>
          <w:lang w:eastAsia="bg-BG"/>
        </w:rPr>
        <w:t>Насоки относно държавните помощи за насърчаване на инвестициите в рисково финансиране</w:t>
      </w:r>
      <w:r>
        <w:rPr>
          <w:bCs/>
          <w:color w:val="000000"/>
          <w:lang w:eastAsia="bg-BG"/>
        </w:rPr>
        <w:t xml:space="preserve"> </w:t>
      </w:r>
      <w:r w:rsidRPr="003A0A27">
        <w:rPr>
          <w:bCs/>
          <w:color w:val="000000"/>
          <w:lang w:eastAsia="bg-BG"/>
        </w:rPr>
        <w:t xml:space="preserve">(ОВ, С </w:t>
      </w:r>
      <w:r>
        <w:rPr>
          <w:bCs/>
          <w:color w:val="000000"/>
          <w:lang w:eastAsia="bg-BG"/>
        </w:rPr>
        <w:t>19</w:t>
      </w:r>
      <w:r w:rsidRPr="003A0A27">
        <w:rPr>
          <w:bCs/>
          <w:color w:val="000000"/>
          <w:lang w:eastAsia="bg-BG"/>
        </w:rPr>
        <w:t xml:space="preserve"> от </w:t>
      </w:r>
      <w:r>
        <w:rPr>
          <w:bCs/>
          <w:color w:val="000000"/>
          <w:lang w:eastAsia="bg-BG"/>
        </w:rPr>
        <w:t>22</w:t>
      </w:r>
      <w:r w:rsidRPr="003A0A27">
        <w:rPr>
          <w:bCs/>
          <w:color w:val="000000"/>
          <w:lang w:eastAsia="bg-BG"/>
        </w:rPr>
        <w:t>.0</w:t>
      </w:r>
      <w:r>
        <w:rPr>
          <w:bCs/>
          <w:color w:val="000000"/>
          <w:lang w:eastAsia="bg-BG"/>
        </w:rPr>
        <w:t>1</w:t>
      </w:r>
      <w:r w:rsidRPr="003A0A27">
        <w:rPr>
          <w:bCs/>
          <w:color w:val="000000"/>
          <w:lang w:eastAsia="bg-BG"/>
        </w:rPr>
        <w:t>.2014 г.);</w:t>
      </w:r>
    </w:p>
  </w:footnote>
  <w:footnote w:id="23">
    <w:p w14:paraId="7D45B01C" w14:textId="77777777" w:rsidR="004E3164" w:rsidRDefault="004E3164" w:rsidP="00512C85">
      <w:pPr>
        <w:pStyle w:val="FootnoteText"/>
        <w:rPr>
          <w:bCs/>
          <w:color w:val="000000"/>
          <w:lang w:val="bg-BG" w:eastAsia="bg-BG"/>
        </w:rPr>
      </w:pPr>
      <w:r>
        <w:rPr>
          <w:rStyle w:val="FootnoteReference"/>
        </w:rPr>
        <w:footnoteRef/>
      </w:r>
      <w:r w:rsidRPr="001C7ED2">
        <w:rPr>
          <w:lang w:val="bg-BG"/>
        </w:rPr>
        <w:t xml:space="preserve"> </w:t>
      </w:r>
      <w:r w:rsidRPr="001C7ED2">
        <w:rPr>
          <w:bCs/>
          <w:color w:val="000000"/>
          <w:lang w:val="bg-BG" w:eastAsia="bg-BG"/>
        </w:rPr>
        <w:t xml:space="preserve">Насоки за държавна помощ за оздравяване и преструктуриране на нефинансови предприятия в затруднено </w:t>
      </w:r>
    </w:p>
    <w:p w14:paraId="75822AEA" w14:textId="77777777" w:rsidR="004E3164" w:rsidRPr="001C7ED2" w:rsidRDefault="004E3164" w:rsidP="00512C85">
      <w:pPr>
        <w:pStyle w:val="FootnoteText"/>
        <w:rPr>
          <w:lang w:val="bg-BG"/>
        </w:rPr>
      </w:pPr>
      <w:r w:rsidRPr="001C7ED2">
        <w:rPr>
          <w:bCs/>
          <w:color w:val="000000"/>
          <w:lang w:val="bg-BG" w:eastAsia="bg-BG"/>
        </w:rPr>
        <w:t>положение (ОВ, С 200 от 31.07.2014 г.);</w:t>
      </w:r>
    </w:p>
  </w:footnote>
  <w:footnote w:id="24">
    <w:p w14:paraId="1DB53FE2" w14:textId="77777777" w:rsidR="004E3164" w:rsidRPr="001C7ED2" w:rsidRDefault="004E3164" w:rsidP="00512C85">
      <w:pPr>
        <w:pStyle w:val="FootnoteText"/>
        <w:rPr>
          <w:lang w:val="bg-BG"/>
        </w:rPr>
      </w:pPr>
      <w:r>
        <w:rPr>
          <w:rStyle w:val="FootnoteReference"/>
        </w:rPr>
        <w:footnoteRef/>
      </w:r>
      <w:r w:rsidRPr="001C7ED2">
        <w:rPr>
          <w:lang w:val="bg-BG"/>
        </w:rPr>
        <w:t xml:space="preserve"> </w:t>
      </w:r>
      <w:r w:rsidRPr="001C7ED2">
        <w:rPr>
          <w:bCs/>
          <w:color w:val="000000"/>
          <w:lang w:val="bg-BG" w:eastAsia="bg-BG"/>
        </w:rPr>
        <w:t>Насоки относно държавните помощи за летища и авиокомпании (ОВ, С 99 от 04.04.2014 г.);</w:t>
      </w:r>
    </w:p>
  </w:footnote>
  <w:footnote w:id="25">
    <w:p w14:paraId="4D6071BB" w14:textId="77777777" w:rsidR="004E3164" w:rsidRDefault="004E3164" w:rsidP="00512C85">
      <w:pPr>
        <w:spacing w:after="60"/>
      </w:pPr>
      <w:r>
        <w:rPr>
          <w:rStyle w:val="FootnoteReference"/>
        </w:rPr>
        <w:footnoteRef/>
      </w:r>
      <w:r>
        <w:t xml:space="preserve"> </w:t>
      </w:r>
      <w:r w:rsidRPr="00563401">
        <w:rPr>
          <w:bCs/>
          <w:color w:val="000000"/>
          <w:lang w:eastAsia="bg-BG"/>
        </w:rPr>
        <w:t>Насоки относно държавната помощ за опазване на околната среда и за енергетика за периода 2014 — 2020 г.</w:t>
      </w:r>
      <w:r>
        <w:rPr>
          <w:bCs/>
          <w:color w:val="000000"/>
          <w:lang w:eastAsia="bg-BG"/>
        </w:rPr>
        <w:t xml:space="preserve"> </w:t>
      </w:r>
      <w:r w:rsidRPr="00563401">
        <w:rPr>
          <w:bCs/>
          <w:color w:val="000000"/>
          <w:lang w:eastAsia="bg-BG"/>
        </w:rPr>
        <w:t xml:space="preserve">(ОВ, С </w:t>
      </w:r>
      <w:r w:rsidRPr="00026D1E">
        <w:rPr>
          <w:bCs/>
          <w:color w:val="000000"/>
          <w:lang w:eastAsia="bg-BG"/>
        </w:rPr>
        <w:t>2</w:t>
      </w:r>
      <w:r>
        <w:rPr>
          <w:bCs/>
          <w:color w:val="000000"/>
          <w:lang w:eastAsia="bg-BG"/>
        </w:rPr>
        <w:t>49</w:t>
      </w:r>
      <w:r w:rsidRPr="00026D1E">
        <w:rPr>
          <w:bCs/>
          <w:color w:val="000000"/>
          <w:lang w:eastAsia="bg-BG"/>
        </w:rPr>
        <w:t xml:space="preserve"> </w:t>
      </w:r>
      <w:r w:rsidRPr="00563401">
        <w:rPr>
          <w:bCs/>
          <w:color w:val="000000"/>
          <w:lang w:eastAsia="bg-BG"/>
        </w:rPr>
        <w:t>от 2</w:t>
      </w:r>
      <w:r>
        <w:rPr>
          <w:bCs/>
          <w:color w:val="000000"/>
          <w:lang w:eastAsia="bg-BG"/>
        </w:rPr>
        <w:t>8</w:t>
      </w:r>
      <w:r w:rsidRPr="00563401">
        <w:rPr>
          <w:bCs/>
          <w:color w:val="000000"/>
          <w:lang w:eastAsia="bg-BG"/>
        </w:rPr>
        <w:t>.0</w:t>
      </w:r>
      <w:r>
        <w:rPr>
          <w:bCs/>
          <w:color w:val="000000"/>
          <w:lang w:eastAsia="bg-BG"/>
        </w:rPr>
        <w:t>6</w:t>
      </w:r>
      <w:r w:rsidRPr="00563401">
        <w:rPr>
          <w:bCs/>
          <w:color w:val="000000"/>
          <w:lang w:eastAsia="bg-BG"/>
        </w:rPr>
        <w:t>.201</w:t>
      </w:r>
      <w:r>
        <w:rPr>
          <w:bCs/>
          <w:color w:val="000000"/>
          <w:lang w:eastAsia="bg-BG"/>
        </w:rPr>
        <w:t>4</w:t>
      </w:r>
      <w:r w:rsidRPr="00563401">
        <w:rPr>
          <w:bCs/>
          <w:color w:val="000000"/>
          <w:lang w:eastAsia="bg-BG"/>
        </w:rPr>
        <w:t xml:space="preserve"> г.);</w:t>
      </w:r>
    </w:p>
  </w:footnote>
  <w:footnote w:id="26">
    <w:p w14:paraId="07F7E85B" w14:textId="77777777" w:rsidR="004E3164" w:rsidRPr="004446E9" w:rsidRDefault="004E3164" w:rsidP="00512C85">
      <w:pPr>
        <w:spacing w:after="60"/>
      </w:pPr>
      <w:r>
        <w:rPr>
          <w:rStyle w:val="FootnoteReference"/>
        </w:rPr>
        <w:footnoteRef/>
      </w:r>
      <w:r>
        <w:t xml:space="preserve"> </w:t>
      </w:r>
      <w:r w:rsidRPr="00BF6DB0">
        <w:rPr>
          <w:bCs/>
          <w:color w:val="000000"/>
          <w:lang w:eastAsia="bg-BG"/>
        </w:rPr>
        <w:t>Насоки относно определени мерки за държавна помощ в контекста на схемата за търговия с квоти за емисии на</w:t>
      </w:r>
      <w:r>
        <w:rPr>
          <w:bCs/>
          <w:color w:val="000000"/>
          <w:lang w:eastAsia="bg-BG"/>
        </w:rPr>
        <w:t xml:space="preserve"> </w:t>
      </w:r>
      <w:r w:rsidRPr="00BF6DB0">
        <w:rPr>
          <w:bCs/>
          <w:color w:val="000000"/>
          <w:lang w:eastAsia="bg-BG"/>
        </w:rPr>
        <w:t>парников газ след 2012 година</w:t>
      </w:r>
      <w:r>
        <w:rPr>
          <w:bCs/>
          <w:color w:val="000000"/>
          <w:lang w:eastAsia="bg-BG"/>
        </w:rPr>
        <w:t xml:space="preserve"> </w:t>
      </w:r>
      <w:r w:rsidRPr="003A0A27">
        <w:rPr>
          <w:bCs/>
          <w:color w:val="000000"/>
          <w:lang w:eastAsia="bg-BG"/>
        </w:rPr>
        <w:t xml:space="preserve">(ОВ, С </w:t>
      </w:r>
      <w:r>
        <w:rPr>
          <w:bCs/>
          <w:color w:val="000000"/>
          <w:lang w:eastAsia="bg-BG"/>
        </w:rPr>
        <w:t>158</w:t>
      </w:r>
      <w:r w:rsidRPr="003A0A27">
        <w:rPr>
          <w:bCs/>
          <w:color w:val="000000"/>
          <w:lang w:eastAsia="bg-BG"/>
        </w:rPr>
        <w:t xml:space="preserve"> от </w:t>
      </w:r>
      <w:r>
        <w:rPr>
          <w:bCs/>
          <w:color w:val="000000"/>
          <w:lang w:eastAsia="bg-BG"/>
        </w:rPr>
        <w:t>05</w:t>
      </w:r>
      <w:r w:rsidRPr="003A0A27">
        <w:rPr>
          <w:bCs/>
          <w:color w:val="000000"/>
          <w:lang w:eastAsia="bg-BG"/>
        </w:rPr>
        <w:t>.0</w:t>
      </w:r>
      <w:r>
        <w:rPr>
          <w:bCs/>
          <w:color w:val="000000"/>
          <w:lang w:eastAsia="bg-BG"/>
        </w:rPr>
        <w:t>6</w:t>
      </w:r>
      <w:r w:rsidRPr="003A0A27">
        <w:rPr>
          <w:bCs/>
          <w:color w:val="000000"/>
          <w:lang w:eastAsia="bg-BG"/>
        </w:rPr>
        <w:t>.201</w:t>
      </w:r>
      <w:r>
        <w:rPr>
          <w:bCs/>
          <w:color w:val="000000"/>
          <w:lang w:eastAsia="bg-BG"/>
        </w:rPr>
        <w:t>2</w:t>
      </w:r>
      <w:r w:rsidRPr="003A0A27">
        <w:rPr>
          <w:bCs/>
          <w:color w:val="000000"/>
          <w:lang w:eastAsia="bg-BG"/>
        </w:rPr>
        <w:t xml:space="preserve"> г.);</w:t>
      </w:r>
    </w:p>
  </w:footnote>
  <w:footnote w:id="27">
    <w:p w14:paraId="4C99A13B" w14:textId="77777777" w:rsidR="004E3164" w:rsidRPr="002B1525" w:rsidRDefault="004E3164" w:rsidP="00512C85">
      <w:pPr>
        <w:pStyle w:val="FootnoteText"/>
        <w:ind w:left="0" w:firstLine="0"/>
        <w:rPr>
          <w:rFonts w:ascii="EUAlbertina" w:eastAsia="Calibri" w:hAnsi="EUAlbertina" w:cs="EUAlbertina"/>
          <w:color w:val="000000"/>
          <w:szCs w:val="24"/>
          <w:lang w:val="bg-BG"/>
        </w:rPr>
      </w:pPr>
      <w:r>
        <w:rPr>
          <w:rStyle w:val="FootnoteReference"/>
        </w:rPr>
        <w:footnoteRef/>
      </w:r>
      <w:r w:rsidRPr="001C7ED2">
        <w:rPr>
          <w:lang w:val="bg-BG"/>
        </w:rPr>
        <w:t xml:space="preserve"> </w:t>
      </w:r>
      <w:r w:rsidRPr="001C7ED2">
        <w:rPr>
          <w:bCs/>
          <w:color w:val="000000"/>
          <w:lang w:val="bg-BG" w:eastAsia="bg-BG"/>
        </w:rPr>
        <w:t>Съобщение на Комисията относно държавната помощ за филми и други аудиовизуални произведения (ОВ, С 332 от 15.11.2013 г.);</w:t>
      </w:r>
    </w:p>
  </w:footnote>
  <w:footnote w:id="28">
    <w:p w14:paraId="3CCB3AC9" w14:textId="77777777" w:rsidR="004E3164" w:rsidRDefault="004E3164" w:rsidP="00512C85">
      <w:pPr>
        <w:spacing w:after="60"/>
      </w:pPr>
      <w:r>
        <w:rPr>
          <w:rStyle w:val="FootnoteReference"/>
        </w:rPr>
        <w:footnoteRef/>
      </w:r>
      <w:r>
        <w:t xml:space="preserve"> </w:t>
      </w:r>
      <w:r w:rsidRPr="007926DC">
        <w:rPr>
          <w:bCs/>
          <w:color w:val="000000"/>
          <w:lang w:eastAsia="bg-BG"/>
        </w:rPr>
        <w:t>Съобщение на Комисията относно прилагането от 1 януари 2012 г. на правилата за държавни помощи за подкрепата на мерки в полза на банки в контекста на финансовата криза</w:t>
      </w:r>
      <w:r>
        <w:rPr>
          <w:bCs/>
          <w:color w:val="000000"/>
          <w:lang w:eastAsia="bg-BG"/>
        </w:rPr>
        <w:t xml:space="preserve"> </w:t>
      </w:r>
      <w:r w:rsidRPr="00026D1E">
        <w:rPr>
          <w:bCs/>
          <w:color w:val="000000"/>
          <w:lang w:eastAsia="bg-BG"/>
        </w:rPr>
        <w:t>(ОВ, С 3</w:t>
      </w:r>
      <w:r>
        <w:rPr>
          <w:bCs/>
          <w:color w:val="000000"/>
          <w:lang w:eastAsia="bg-BG"/>
        </w:rPr>
        <w:t>56</w:t>
      </w:r>
      <w:r w:rsidRPr="00026D1E">
        <w:rPr>
          <w:bCs/>
          <w:color w:val="000000"/>
          <w:lang w:eastAsia="bg-BG"/>
        </w:rPr>
        <w:t xml:space="preserve"> от </w:t>
      </w:r>
      <w:r>
        <w:rPr>
          <w:bCs/>
          <w:color w:val="000000"/>
          <w:lang w:eastAsia="bg-BG"/>
        </w:rPr>
        <w:t>06</w:t>
      </w:r>
      <w:r w:rsidRPr="00026D1E">
        <w:rPr>
          <w:bCs/>
          <w:color w:val="000000"/>
          <w:lang w:eastAsia="bg-BG"/>
        </w:rPr>
        <w:t>.1</w:t>
      </w:r>
      <w:r>
        <w:rPr>
          <w:bCs/>
          <w:color w:val="000000"/>
          <w:lang w:eastAsia="bg-BG"/>
        </w:rPr>
        <w:t>2</w:t>
      </w:r>
      <w:r w:rsidRPr="00026D1E">
        <w:rPr>
          <w:bCs/>
          <w:color w:val="000000"/>
          <w:lang w:eastAsia="bg-BG"/>
        </w:rPr>
        <w:t>.201</w:t>
      </w:r>
      <w:r>
        <w:rPr>
          <w:bCs/>
          <w:color w:val="000000"/>
          <w:lang w:eastAsia="bg-BG"/>
        </w:rPr>
        <w:t>1</w:t>
      </w:r>
      <w:r w:rsidRPr="00026D1E">
        <w:rPr>
          <w:bCs/>
          <w:color w:val="000000"/>
          <w:lang w:eastAsia="bg-BG"/>
        </w:rPr>
        <w:t xml:space="preserve"> г.);</w:t>
      </w:r>
    </w:p>
  </w:footnote>
  <w:footnote w:id="29">
    <w:p w14:paraId="5B9B0F81" w14:textId="77777777" w:rsidR="004E3164" w:rsidRPr="001C7ED2" w:rsidRDefault="004E3164" w:rsidP="00512C85">
      <w:pPr>
        <w:pStyle w:val="FootnoteText"/>
        <w:ind w:left="0" w:firstLine="0"/>
        <w:rPr>
          <w:lang w:val="bg-BG"/>
        </w:rPr>
      </w:pPr>
      <w:r>
        <w:rPr>
          <w:rStyle w:val="FootnoteReference"/>
        </w:rPr>
        <w:footnoteRef/>
      </w:r>
      <w:r w:rsidRPr="001C7ED2">
        <w:rPr>
          <w:lang w:val="bg-BG"/>
        </w:rPr>
        <w:t xml:space="preserve"> </w:t>
      </w:r>
      <w:r w:rsidRPr="001C7ED2">
        <w:rPr>
          <w:bCs/>
          <w:color w:val="000000"/>
          <w:lang w:val="bg-BG" w:eastAsia="bg-BG"/>
        </w:rPr>
        <w:t>Рамка за държавна помощ за научни изследвания, развитие и иновации (ОВ, С 198 от 27.06.2014 г.);</w:t>
      </w:r>
    </w:p>
  </w:footnote>
  <w:footnote w:id="30">
    <w:p w14:paraId="66AEA393" w14:textId="77777777" w:rsidR="004E3164" w:rsidRPr="001C7ED2" w:rsidRDefault="004E3164" w:rsidP="00512C85">
      <w:pPr>
        <w:pStyle w:val="FootnoteText"/>
        <w:ind w:left="0" w:firstLine="0"/>
        <w:rPr>
          <w:lang w:val="bg-BG"/>
        </w:rPr>
      </w:pPr>
      <w:r>
        <w:rPr>
          <w:rStyle w:val="FootnoteReference"/>
        </w:rPr>
        <w:footnoteRef/>
      </w:r>
      <w:r w:rsidRPr="001C7ED2">
        <w:rPr>
          <w:lang w:val="bg-BG"/>
        </w:rPr>
        <w:t xml:space="preserve"> </w:t>
      </w:r>
      <w:r w:rsidRPr="001C7ED2">
        <w:rPr>
          <w:bCs/>
          <w:color w:val="000000"/>
          <w:lang w:val="bg-BG" w:eastAsia="bg-BG"/>
        </w:rPr>
        <w:t>Рамка на Европейския съюз за държавна помощ под формата на компенсации за обществени услуги (2011 г.) (</w:t>
      </w:r>
      <w:r w:rsidRPr="001C7ED2">
        <w:rPr>
          <w:bCs/>
          <w:iCs/>
          <w:lang w:val="bg-BG"/>
        </w:rPr>
        <w:t xml:space="preserve">ОВ, </w:t>
      </w:r>
      <w:r>
        <w:rPr>
          <w:bCs/>
          <w:iCs/>
          <w:lang w:val="en-US"/>
        </w:rPr>
        <w:t>L</w:t>
      </w:r>
      <w:r w:rsidRPr="001C7ED2">
        <w:rPr>
          <w:bCs/>
          <w:iCs/>
          <w:lang w:val="bg-BG"/>
        </w:rPr>
        <w:t xml:space="preserve"> 7 от 11.01.2012 г.);</w:t>
      </w:r>
    </w:p>
  </w:footnote>
  <w:footnote w:id="31">
    <w:p w14:paraId="54C624D4" w14:textId="77777777" w:rsidR="004E3164" w:rsidRPr="001C7ED2" w:rsidRDefault="004E3164" w:rsidP="00512C85">
      <w:pPr>
        <w:pStyle w:val="FootnoteText"/>
        <w:ind w:left="0" w:firstLine="0"/>
        <w:rPr>
          <w:lang w:val="bg-BG"/>
        </w:rPr>
      </w:pPr>
      <w:r>
        <w:rPr>
          <w:rStyle w:val="FootnoteReference"/>
        </w:rPr>
        <w:footnoteRef/>
      </w:r>
      <w:r w:rsidRPr="001C7ED2">
        <w:rPr>
          <w:lang w:val="bg-BG"/>
        </w:rPr>
        <w:t xml:space="preserve"> </w:t>
      </w:r>
      <w:r w:rsidRPr="001C7ED2">
        <w:rPr>
          <w:bCs/>
          <w:color w:val="000000"/>
          <w:lang w:val="bg-BG" w:eastAsia="bg-BG"/>
        </w:rPr>
        <w:t>(ОВ, С 188 от 20.06.2014 г.);</w:t>
      </w:r>
    </w:p>
  </w:footnote>
  <w:footnote w:id="32">
    <w:p w14:paraId="507FBE78" w14:textId="77777777" w:rsidR="004E3164" w:rsidRPr="001C7ED2" w:rsidRDefault="004E3164" w:rsidP="00512C85">
      <w:pPr>
        <w:pStyle w:val="FootnoteText"/>
        <w:ind w:left="0" w:firstLine="0"/>
        <w:rPr>
          <w:lang w:val="bg-BG"/>
        </w:rPr>
      </w:pPr>
      <w:r>
        <w:rPr>
          <w:rStyle w:val="FootnoteReference"/>
        </w:rPr>
        <w:footnoteRef/>
      </w:r>
      <w:r w:rsidRPr="001C7ED2">
        <w:rPr>
          <w:lang w:val="bg-BG"/>
        </w:rPr>
        <w:t xml:space="preserve"> </w:t>
      </w:r>
      <w:r w:rsidRPr="001C7ED2">
        <w:rPr>
          <w:bCs/>
          <w:color w:val="000000"/>
          <w:lang w:val="bg-BG" w:eastAsia="bg-BG"/>
        </w:rPr>
        <w:t>(ОВ, С 209 от 10.07.1997 г.);</w:t>
      </w:r>
    </w:p>
  </w:footnote>
  <w:footnote w:id="33">
    <w:p w14:paraId="4FBAD92F" w14:textId="77777777" w:rsidR="004E3164" w:rsidRPr="001C7ED2" w:rsidRDefault="004E3164" w:rsidP="00512C85">
      <w:pPr>
        <w:pStyle w:val="FootnoteText"/>
        <w:ind w:left="0" w:firstLine="0"/>
        <w:rPr>
          <w:lang w:val="bg-BG"/>
        </w:rPr>
      </w:pPr>
      <w:r>
        <w:rPr>
          <w:rStyle w:val="FootnoteReference"/>
        </w:rPr>
        <w:footnoteRef/>
      </w:r>
      <w:r w:rsidRPr="001C7ED2">
        <w:rPr>
          <w:lang w:val="bg-BG"/>
        </w:rPr>
        <w:t xml:space="preserve"> </w:t>
      </w:r>
      <w:r w:rsidRPr="001C7ED2">
        <w:rPr>
          <w:bCs/>
          <w:color w:val="000000"/>
          <w:lang w:val="bg-BG" w:eastAsia="bg-BG"/>
        </w:rPr>
        <w:t>(ОВ, С 155 от 20.06.2008 г.);</w:t>
      </w:r>
    </w:p>
  </w:footnote>
  <w:footnote w:id="34">
    <w:p w14:paraId="4E2AC6E0" w14:textId="77777777" w:rsidR="004E3164" w:rsidRPr="001C7ED2" w:rsidRDefault="004E3164" w:rsidP="00512C85">
      <w:pPr>
        <w:pStyle w:val="FootnoteText"/>
        <w:ind w:left="0" w:firstLine="0"/>
        <w:rPr>
          <w:lang w:val="bg-BG"/>
        </w:rPr>
      </w:pPr>
      <w:r>
        <w:rPr>
          <w:rStyle w:val="FootnoteReference"/>
        </w:rPr>
        <w:footnoteRef/>
      </w:r>
      <w:r w:rsidRPr="001C7ED2">
        <w:rPr>
          <w:lang w:val="bg-BG"/>
        </w:rPr>
        <w:t xml:space="preserve"> </w:t>
      </w:r>
      <w:r w:rsidRPr="001C7ED2">
        <w:rPr>
          <w:bCs/>
          <w:color w:val="000000"/>
          <w:lang w:val="bg-BG" w:eastAsia="bg-BG"/>
        </w:rPr>
        <w:t>(ОВ, С 392 от 19.12.2012 г.);</w:t>
      </w:r>
    </w:p>
  </w:footnote>
  <w:footnote w:id="35">
    <w:p w14:paraId="5A1C614E" w14:textId="77777777" w:rsidR="004E3164" w:rsidRPr="00DF2E8E" w:rsidRDefault="004E3164" w:rsidP="00863760">
      <w:pPr>
        <w:pStyle w:val="FootnoteText"/>
        <w:ind w:left="284" w:hanging="284"/>
        <w:rPr>
          <w:lang w:val="bg-BG"/>
        </w:rPr>
      </w:pPr>
      <w:r>
        <w:rPr>
          <w:rStyle w:val="FootnoteReference"/>
        </w:rPr>
        <w:footnoteRef/>
      </w:r>
      <w:r w:rsidRPr="00842ECC">
        <w:rPr>
          <w:lang w:val="bg-BG"/>
        </w:rPr>
        <w:t xml:space="preserve"> </w:t>
      </w:r>
      <w:r>
        <w:rPr>
          <w:lang w:val="bg-BG"/>
        </w:rPr>
        <w:t>Р</w:t>
      </w:r>
      <w:r w:rsidRPr="00DF2E8E">
        <w:rPr>
          <w:lang w:val="bg-BG"/>
        </w:rPr>
        <w:t>егламент (ЕС) 2015/1589 на Съвета от 13 юли 2015 година за установяване на подробни правила за</w:t>
      </w:r>
      <w:r>
        <w:rPr>
          <w:lang w:val="bg-BG"/>
        </w:rPr>
        <w:t xml:space="preserve"> </w:t>
      </w:r>
      <w:r w:rsidRPr="00DF2E8E">
        <w:rPr>
          <w:lang w:val="bg-BG"/>
        </w:rPr>
        <w:t>прилагането на член 108 от Договора за функционирането на Европейския съюз</w:t>
      </w:r>
      <w:r>
        <w:rPr>
          <w:lang w:val="bg-BG"/>
        </w:rPr>
        <w:t>;</w:t>
      </w:r>
    </w:p>
  </w:footnote>
  <w:footnote w:id="36">
    <w:p w14:paraId="0DCDD6B0" w14:textId="77777777" w:rsidR="004E3164" w:rsidRPr="001C7ED2" w:rsidRDefault="004E3164" w:rsidP="006B2563">
      <w:pPr>
        <w:pStyle w:val="FootnoteText"/>
        <w:ind w:left="142" w:hanging="142"/>
        <w:rPr>
          <w:lang w:val="bg-BG"/>
        </w:rPr>
      </w:pPr>
      <w:r w:rsidRPr="00EA08B1">
        <w:rPr>
          <w:rStyle w:val="FootnoteReference"/>
        </w:rPr>
        <w:footnoteRef/>
      </w:r>
      <w:r w:rsidRPr="001C7ED2">
        <w:rPr>
          <w:lang w:val="bg-BG"/>
        </w:rPr>
        <w:t xml:space="preserve"> </w:t>
      </w:r>
      <w:r w:rsidRPr="005F641B">
        <w:rPr>
          <w:lang w:val="bg-BG"/>
        </w:rPr>
        <w:t>Регламент (ЕО) № 794/2004 г. на Комисията от 21 април 2004 г. година за прилагането от Регламент (ЕО) № 659/1999 г. на Съвета относно определянето на подробни правила за прилагането на член 93 от Договора за създаване на Европейската общност (ОВ L 140, 30.4.2004 г. г., стр. 1), вкл. всички регламенти, които до допълват и изменят</w:t>
      </w:r>
    </w:p>
  </w:footnote>
  <w:footnote w:id="37">
    <w:p w14:paraId="2CB1E040" w14:textId="77777777" w:rsidR="004E3164" w:rsidRPr="001C7ED2" w:rsidRDefault="004E3164" w:rsidP="00897133">
      <w:pPr>
        <w:pStyle w:val="FootnoteText"/>
        <w:rPr>
          <w:lang w:val="bg-BG"/>
        </w:rPr>
      </w:pPr>
      <w:r>
        <w:rPr>
          <w:rStyle w:val="FootnoteReference"/>
        </w:rPr>
        <w:footnoteRef/>
      </w:r>
      <w:r w:rsidRPr="001C7ED2">
        <w:rPr>
          <w:lang w:val="bg-BG"/>
        </w:rPr>
        <w:t xml:space="preserve"> </w:t>
      </w:r>
      <w:r>
        <w:rPr>
          <w:lang w:val="bg-BG"/>
        </w:rPr>
        <w:t>Съгласно чл. 12, ал. 4 на Закона за държавните помощи</w:t>
      </w:r>
    </w:p>
  </w:footnote>
  <w:footnote w:id="38">
    <w:p w14:paraId="3EF4C793" w14:textId="77777777" w:rsidR="004E3164" w:rsidRPr="00004CF6" w:rsidRDefault="004E3164" w:rsidP="00200ACD">
      <w:pPr>
        <w:pStyle w:val="FootnoteText"/>
        <w:ind w:left="-142" w:firstLine="142"/>
        <w:rPr>
          <w:lang w:val="bg-BG"/>
        </w:rPr>
      </w:pPr>
      <w:r>
        <w:rPr>
          <w:rStyle w:val="FootnoteReference"/>
        </w:rPr>
        <w:footnoteRef/>
      </w:r>
      <w:r w:rsidRPr="00842ECC">
        <w:rPr>
          <w:lang w:val="bg-BG"/>
        </w:rPr>
        <w:t xml:space="preserve"> </w:t>
      </w:r>
      <w:r>
        <w:rPr>
          <w:lang w:val="bg-BG"/>
        </w:rPr>
        <w:t xml:space="preserve">Съобщение на Комисията </w:t>
      </w:r>
      <w:r w:rsidRPr="00004CF6">
        <w:rPr>
          <w:lang w:val="bg-BG"/>
        </w:rPr>
        <w:t>за изменение на съобщенията на Комисията, свързани съответно с Насоките на ЕС относно прилагането на правилата за държавна помощ във връзка с бързото разгръщане на широколентови мрежи, Насоките за регионална държавна помощ за периода 2014 — 2020 г., Насоките за държавната помощ за филми и други аудио-визуални произведения, Насоките относно държавните помощи за насърчаване на инвестициите в рисково финансиране и Насоките относно държавните помощи за летища и авиокомпании</w:t>
      </w:r>
      <w:r>
        <w:rPr>
          <w:lang w:val="bg-BG"/>
        </w:rPr>
        <w:t xml:space="preserve"> </w:t>
      </w:r>
      <w:r w:rsidRPr="00DF3674">
        <w:rPr>
          <w:lang w:val="bg-BG"/>
        </w:rPr>
        <w:t>(2014/C 198/02)</w:t>
      </w:r>
    </w:p>
  </w:footnote>
  <w:footnote w:id="39">
    <w:p w14:paraId="4F992173" w14:textId="77777777" w:rsidR="004E3164" w:rsidRPr="00004CF6" w:rsidRDefault="004E3164" w:rsidP="00174533">
      <w:pPr>
        <w:pStyle w:val="FootnoteText"/>
        <w:rPr>
          <w:lang w:val="bg-BG"/>
        </w:rPr>
      </w:pPr>
      <w:r>
        <w:rPr>
          <w:rStyle w:val="FootnoteReference"/>
        </w:rPr>
        <w:footnoteRef/>
      </w:r>
      <w:r w:rsidRPr="00842ECC">
        <w:rPr>
          <w:lang w:val="bg-BG"/>
        </w:rPr>
        <w:t xml:space="preserve"> </w:t>
      </w:r>
      <w:r w:rsidRPr="00BA010F">
        <w:rPr>
          <w:lang w:val="bg-BG"/>
        </w:rPr>
        <w:t>State Aid Transparency Award Module</w:t>
      </w:r>
      <w:r>
        <w:rPr>
          <w:lang w:val="bg-BG"/>
        </w:rPr>
        <w:t xml:space="preserve"> (</w:t>
      </w:r>
      <w:r>
        <w:rPr>
          <w:lang w:val="en-US"/>
        </w:rPr>
        <w:t>TAM</w:t>
      </w:r>
      <w:r>
        <w:rPr>
          <w:lang w:val="bg-BG"/>
        </w:rPr>
        <w:t>)- разработен от Комисията в партньорство с</w:t>
      </w:r>
      <w:r w:rsidRPr="00842ECC">
        <w:rPr>
          <w:lang w:val="bg-BG"/>
        </w:rPr>
        <w:t xml:space="preserve"> </w:t>
      </w:r>
      <w:r>
        <w:rPr>
          <w:lang w:val="bg-BG"/>
        </w:rPr>
        <w:t xml:space="preserve">държавите-членки </w:t>
      </w:r>
    </w:p>
  </w:footnote>
  <w:footnote w:id="40">
    <w:p w14:paraId="40A52AD2" w14:textId="77777777" w:rsidR="004E3164" w:rsidRPr="001C7ED2" w:rsidRDefault="004E3164" w:rsidP="006B2563">
      <w:pPr>
        <w:pStyle w:val="FootnoteText"/>
        <w:ind w:left="284" w:hanging="284"/>
        <w:rPr>
          <w:lang w:val="bg-BG"/>
        </w:rPr>
      </w:pPr>
      <w:r w:rsidRPr="009D055B">
        <w:rPr>
          <w:rFonts w:cs="Arial"/>
          <w:bCs/>
          <w:iCs/>
          <w:szCs w:val="21"/>
          <w:shd w:val="clear" w:color="auto" w:fill="FFFFFF"/>
          <w:lang w:val="bg-BG"/>
        </w:rPr>
        <w:footnoteRef/>
      </w:r>
      <w:r w:rsidRPr="009D055B">
        <w:rPr>
          <w:rFonts w:cs="Arial"/>
          <w:bCs/>
          <w:iCs/>
          <w:szCs w:val="21"/>
          <w:shd w:val="clear" w:color="auto" w:fill="FFFFFF"/>
          <w:lang w:val="bg-BG"/>
        </w:rPr>
        <w:t xml:space="preserve"> В см</w:t>
      </w:r>
      <w:r>
        <w:rPr>
          <w:rFonts w:cs="Arial"/>
          <w:bCs/>
          <w:iCs/>
          <w:szCs w:val="21"/>
          <w:shd w:val="clear" w:color="auto" w:fill="FFFFFF"/>
          <w:lang w:val="bg-BG"/>
        </w:rPr>
        <w:t>исъл</w:t>
      </w:r>
      <w:r w:rsidRPr="009D055B">
        <w:rPr>
          <w:rFonts w:cs="Arial"/>
          <w:bCs/>
          <w:iCs/>
          <w:szCs w:val="21"/>
          <w:shd w:val="clear" w:color="auto" w:fill="FFFFFF"/>
          <w:lang w:val="bg-BG"/>
        </w:rPr>
        <w:t xml:space="preserve"> на индивидуален случай на предоставяне на помощ по схема</w:t>
      </w:r>
    </w:p>
  </w:footnote>
  <w:footnote w:id="41">
    <w:p w14:paraId="1B687F4D" w14:textId="77777777" w:rsidR="004E3164" w:rsidRPr="001C7ED2" w:rsidRDefault="004E3164" w:rsidP="006B2563">
      <w:pPr>
        <w:pStyle w:val="FootnoteText"/>
        <w:ind w:left="284" w:hanging="284"/>
        <w:rPr>
          <w:lang w:val="bg-BG"/>
        </w:rPr>
      </w:pPr>
      <w:r w:rsidRPr="009D055B">
        <w:rPr>
          <w:rStyle w:val="FootnoteReference"/>
          <w:lang w:val="bg-BG"/>
        </w:rPr>
        <w:footnoteRef/>
      </w:r>
      <w:r w:rsidRPr="009D055B">
        <w:rPr>
          <w:lang w:val="bg-BG"/>
        </w:rPr>
        <w:t xml:space="preserve"> Представляват ли „предприятия” за целите на режима по държавните помощи – вж. случай </w:t>
      </w:r>
      <w:r w:rsidRPr="009D055B">
        <w:rPr>
          <w:rFonts w:cs="Arial"/>
          <w:bCs/>
          <w:iCs/>
          <w:color w:val="252525"/>
          <w:szCs w:val="21"/>
          <w:shd w:val="clear" w:color="auto" w:fill="FFFFFF"/>
          <w:lang w:val="bg-BG"/>
        </w:rPr>
        <w:t>Höfner and Elser v Macrotron GmbH</w:t>
      </w:r>
      <w:r w:rsidRPr="009D055B">
        <w:rPr>
          <w:rStyle w:val="apple-converted-space"/>
          <w:rFonts w:cs="Arial"/>
          <w:color w:val="252525"/>
          <w:szCs w:val="21"/>
          <w:shd w:val="clear" w:color="auto" w:fill="FFFFFF"/>
          <w:lang w:val="bg-BG"/>
        </w:rPr>
        <w:t> </w:t>
      </w:r>
      <w:r w:rsidRPr="009D055B">
        <w:rPr>
          <w:rFonts w:cs="Arial"/>
          <w:color w:val="252525"/>
          <w:szCs w:val="21"/>
          <w:shd w:val="clear" w:color="auto" w:fill="FFFFFF"/>
          <w:lang w:val="bg-BG"/>
        </w:rPr>
        <w:t>(1991)</w:t>
      </w:r>
      <w:r w:rsidRPr="009D055B">
        <w:rPr>
          <w:rStyle w:val="apple-converted-space"/>
          <w:rFonts w:cs="Arial"/>
          <w:color w:val="252525"/>
          <w:szCs w:val="21"/>
          <w:shd w:val="clear" w:color="auto" w:fill="FFFFFF"/>
          <w:lang w:val="bg-BG"/>
        </w:rPr>
        <w:t> </w:t>
      </w:r>
      <w:r w:rsidRPr="009D055B">
        <w:rPr>
          <w:rFonts w:cs="Arial"/>
          <w:szCs w:val="21"/>
          <w:lang w:val="bg-BG"/>
        </w:rPr>
        <w:t>Case C-41/90</w:t>
      </w:r>
    </w:p>
  </w:footnote>
  <w:footnote w:id="42">
    <w:p w14:paraId="12E86B9E" w14:textId="77777777" w:rsidR="004E3164" w:rsidRPr="00653F41" w:rsidRDefault="004E3164" w:rsidP="00BE4FDF">
      <w:pPr>
        <w:pStyle w:val="FootnoteText"/>
        <w:ind w:left="426" w:hanging="426"/>
        <w:rPr>
          <w:lang w:val="bg-BG"/>
        </w:rPr>
      </w:pPr>
      <w:r>
        <w:rPr>
          <w:rStyle w:val="FootnoteReference"/>
        </w:rPr>
        <w:footnoteRef/>
      </w:r>
      <w:r>
        <w:rPr>
          <w:lang w:val="bg-BG"/>
        </w:rPr>
        <w:t xml:space="preserve"> </w:t>
      </w:r>
      <w:r w:rsidRPr="004C2191">
        <w:rPr>
          <w:lang w:val="bg-BG"/>
        </w:rPr>
        <w:t>Когато искането за изменение на ОПТТИ се представя на Комисията с цел преразпределяне на резерва за изпълнение вследствие на преразглеждане на изпълнението, срокът на Комисията за одобрение на преработената ОПТТИ е 2 месеца.</w:t>
      </w:r>
    </w:p>
  </w:footnote>
  <w:footnote w:id="43">
    <w:p w14:paraId="79753A2D" w14:textId="77777777" w:rsidR="004E3164" w:rsidRPr="00B513AC" w:rsidRDefault="004E3164">
      <w:pPr>
        <w:pStyle w:val="FootnoteText"/>
        <w:rPr>
          <w:lang w:val="bg-BG"/>
        </w:rPr>
      </w:pPr>
      <w:r w:rsidRPr="00B513AC">
        <w:rPr>
          <w:rStyle w:val="FootnoteReference"/>
        </w:rPr>
        <w:footnoteRef/>
      </w:r>
      <w:r w:rsidRPr="00B513AC">
        <w:rPr>
          <w:lang w:val="bg-BG"/>
        </w:rPr>
        <w:t xml:space="preserve"> </w:t>
      </w:r>
      <w:r w:rsidRPr="00B513AC">
        <w:rPr>
          <w:rFonts w:eastAsia="EUAlbertina-Regu-Identity-H"/>
          <w:sz w:val="17"/>
          <w:szCs w:val="17"/>
          <w:lang w:val="bg-BG" w:eastAsia="bg-BG"/>
        </w:rPr>
        <w:t>Съгласно член 71, параграф 2 от Регламент (ЕС) № 1303/2013.</w:t>
      </w:r>
    </w:p>
  </w:footnote>
  <w:footnote w:id="44">
    <w:p w14:paraId="2145CFE1" w14:textId="77777777" w:rsidR="004E3164" w:rsidRPr="00B513AC" w:rsidRDefault="004E3164" w:rsidP="009322C4">
      <w:pPr>
        <w:pStyle w:val="FootnoteText"/>
        <w:ind w:left="284" w:hanging="284"/>
        <w:rPr>
          <w:lang w:val="bg-BG"/>
        </w:rPr>
      </w:pPr>
      <w:r w:rsidRPr="00B513AC">
        <w:rPr>
          <w:rStyle w:val="FootnoteReference"/>
        </w:rPr>
        <w:footnoteRef/>
      </w:r>
      <w:r w:rsidRPr="00B513AC">
        <w:rPr>
          <w:lang w:val="bg-BG"/>
        </w:rPr>
        <w:t xml:space="preserve"> </w:t>
      </w:r>
      <w:r w:rsidRPr="00B513AC">
        <w:rPr>
          <w:rFonts w:eastAsia="EUAlbertina-Regu-Identity-H"/>
          <w:lang w:val="bg-BG" w:eastAsia="bg-BG"/>
        </w:rPr>
        <w:t>В декларацията от допълнение 1 се посочват наименованието на съответния(ите) обект(и), референтният номер, разстоянието от мястото на проекта до най-близката територия(и) от „Натура 2000“, природозащитните цели на проекта, както и обосновка за това, че няма вероятност проектът (самостоятелно или в съчетание с други проекти) да има значително отрицателно въздействие върху обект(и) по „Натура 2000“, включени или предвидени за включване в мрежата, и, ако е приложимо, административното решение.</w:t>
      </w:r>
    </w:p>
  </w:footnote>
  <w:footnote w:id="45">
    <w:p w14:paraId="0E44A436" w14:textId="77777777" w:rsidR="004E3164" w:rsidRPr="000158F1" w:rsidRDefault="004E3164" w:rsidP="009322C4">
      <w:pPr>
        <w:pStyle w:val="FootnoteText"/>
        <w:ind w:left="284" w:hanging="284"/>
        <w:rPr>
          <w:rFonts w:eastAsia="EUAlbertina-Regu-Identity-H"/>
          <w:lang w:val="bg-BG" w:eastAsia="bg-BG"/>
        </w:rPr>
      </w:pPr>
      <w:r w:rsidRPr="000158F1">
        <w:rPr>
          <w:rStyle w:val="FootnoteReference"/>
        </w:rPr>
        <w:footnoteRef/>
      </w:r>
      <w:r w:rsidRPr="00653F41">
        <w:rPr>
          <w:rFonts w:eastAsia="EUAlbertina-Regu-Identity-H"/>
          <w:lang w:val="bg-BG" w:eastAsia="bg-BG"/>
        </w:rPr>
        <w:t xml:space="preserve"> В съответствие с член 3, параграф 2 от Директива 2000/60/</w:t>
      </w:r>
      <w:r w:rsidRPr="000158F1">
        <w:rPr>
          <w:rFonts w:eastAsia="EUAlbertina-Regu-Identity-H"/>
          <w:lang w:eastAsia="bg-BG"/>
        </w:rPr>
        <w:t>E</w:t>
      </w:r>
      <w:r w:rsidRPr="00653F41">
        <w:rPr>
          <w:rFonts w:eastAsia="EUAlbertina-Regu-Identity-H"/>
          <w:lang w:val="bg-BG" w:eastAsia="bg-BG"/>
        </w:rPr>
        <w:t xml:space="preserve">О на Европейския парламент и на Съвета от 23 октомври 2000 г. за установяване на рамка за действията на Общността в областта на политиката за водите (ОВ </w:t>
      </w:r>
      <w:r w:rsidRPr="000158F1">
        <w:rPr>
          <w:rFonts w:eastAsia="EUAlbertina-Regu-Identity-H"/>
          <w:lang w:eastAsia="bg-BG"/>
        </w:rPr>
        <w:t>L</w:t>
      </w:r>
      <w:r w:rsidRPr="00222076">
        <w:rPr>
          <w:rFonts w:eastAsia="EUAlbertina-Regu-Identity-H"/>
          <w:lang w:val="bg-BG" w:eastAsia="bg-BG"/>
        </w:rPr>
        <w:t xml:space="preserve"> 327, 22.12.2000 г., стр. 1).</w:t>
      </w:r>
    </w:p>
  </w:footnote>
  <w:footnote w:id="46">
    <w:p w14:paraId="7A5C6B4E" w14:textId="77777777" w:rsidR="004E3164" w:rsidRPr="009322C4" w:rsidRDefault="004E3164" w:rsidP="009322C4">
      <w:pPr>
        <w:pStyle w:val="FootnoteText"/>
        <w:ind w:left="284" w:hanging="284"/>
        <w:rPr>
          <w:rFonts w:eastAsia="EUAlbertina-Regu-Identity-H"/>
          <w:lang w:val="bg-BG" w:eastAsia="bg-BG"/>
        </w:rPr>
      </w:pPr>
      <w:r>
        <w:rPr>
          <w:rStyle w:val="FootnoteReference"/>
        </w:rPr>
        <w:footnoteRef/>
      </w:r>
      <w:r w:rsidRPr="00653F41">
        <w:rPr>
          <w:lang w:val="bg-BG"/>
        </w:rPr>
        <w:t xml:space="preserve"> </w:t>
      </w:r>
      <w:r w:rsidRPr="00653F41">
        <w:rPr>
          <w:rFonts w:eastAsia="EUAlbertina-Regu-Identity-H"/>
          <w:lang w:val="bg-BG" w:eastAsia="bg-BG"/>
        </w:rPr>
        <w:t xml:space="preserve">Директива 91/271/ЕИО на Съвета от 21 май 1991 г. за пречистването на градските отпадъчни води (ОВ </w:t>
      </w:r>
      <w:r w:rsidRPr="000158F1">
        <w:rPr>
          <w:rFonts w:eastAsia="EUAlbertina-Regu-Identity-H"/>
          <w:lang w:eastAsia="bg-BG"/>
        </w:rPr>
        <w:t>L</w:t>
      </w:r>
      <w:r w:rsidRPr="00653F41">
        <w:rPr>
          <w:rFonts w:eastAsia="EUAlbertina-Regu-Identity-H"/>
          <w:lang w:val="bg-BG" w:eastAsia="bg-BG"/>
        </w:rPr>
        <w:t xml:space="preserve"> 135, </w:t>
      </w:r>
      <w:r w:rsidRPr="009322C4">
        <w:rPr>
          <w:rFonts w:eastAsia="EUAlbertina-Regu-Identity-H"/>
          <w:lang w:val="bg-BG" w:eastAsia="bg-BG"/>
        </w:rPr>
        <w:t>30.5.1991 г., стр. 40).</w:t>
      </w:r>
    </w:p>
  </w:footnote>
  <w:footnote w:id="47">
    <w:p w14:paraId="468D784F" w14:textId="77777777" w:rsidR="004E3164" w:rsidRPr="00653F41" w:rsidRDefault="004E3164">
      <w:pPr>
        <w:pStyle w:val="FootnoteText"/>
        <w:rPr>
          <w:lang w:val="bg-BG"/>
        </w:rPr>
      </w:pPr>
      <w:r>
        <w:rPr>
          <w:rStyle w:val="FootnoteReference"/>
        </w:rPr>
        <w:footnoteRef/>
      </w:r>
      <w:r w:rsidRPr="00653F41">
        <w:rPr>
          <w:lang w:val="bg-BG"/>
        </w:rPr>
        <w:t xml:space="preserve"> </w:t>
      </w:r>
      <w:r w:rsidRPr="00653F41">
        <w:rPr>
          <w:spacing w:val="10"/>
          <w:lang w:val="bg-BG"/>
        </w:rPr>
        <w:t>чл. 6, ал. 2 на ПМС № 107 от 10.05.2014 г.</w:t>
      </w:r>
    </w:p>
  </w:footnote>
  <w:footnote w:id="48">
    <w:p w14:paraId="3C4D5AF9" w14:textId="77777777" w:rsidR="004E3164" w:rsidRPr="00201B15" w:rsidRDefault="004E3164" w:rsidP="00AA1743">
      <w:pPr>
        <w:pStyle w:val="FootnoteText"/>
        <w:ind w:left="284" w:hanging="284"/>
        <w:rPr>
          <w:lang w:val="bg-BG"/>
        </w:rPr>
      </w:pPr>
      <w:r>
        <w:rPr>
          <w:rStyle w:val="FootnoteReference"/>
        </w:rPr>
        <w:footnoteRef/>
      </w:r>
      <w:r w:rsidRPr="005B2C5D">
        <w:rPr>
          <w:lang w:val="bg-BG"/>
        </w:rPr>
        <w:t xml:space="preserve"> За производствата започнали след 22.12.2015 г., или </w:t>
      </w:r>
      <w:r>
        <w:rPr>
          <w:lang w:val="bg-BG"/>
        </w:rPr>
        <w:t>„90 дни“ (</w:t>
      </w:r>
      <w:r w:rsidRPr="0086186E">
        <w:rPr>
          <w:lang w:val="bg-BG"/>
        </w:rPr>
        <w:t>чл. 28, ал. 3 от ПМС № 107 от 10.05.2014 г.</w:t>
      </w:r>
      <w:r>
        <w:rPr>
          <w:lang w:val="bg-BG"/>
        </w:rPr>
        <w:t>) за производствата</w:t>
      </w:r>
      <w:r w:rsidRPr="005B2C5D">
        <w:rPr>
          <w:lang w:val="bg-BG"/>
        </w:rPr>
        <w:t xml:space="preserve"> започнали преди 22.12.2015 г. (виж § 10, ал. 1 от ЗУСЕСИФ)</w:t>
      </w:r>
    </w:p>
  </w:footnote>
  <w:footnote w:id="49">
    <w:p w14:paraId="7EA7C7FD" w14:textId="77777777" w:rsidR="004E3164" w:rsidRPr="009B0FC7" w:rsidRDefault="004E3164" w:rsidP="00213496">
      <w:pPr>
        <w:pStyle w:val="FootnoteText"/>
        <w:ind w:left="284" w:hanging="284"/>
        <w:rPr>
          <w:lang w:val="bg-BG"/>
        </w:rPr>
      </w:pPr>
      <w:r>
        <w:rPr>
          <w:rStyle w:val="FootnoteReference"/>
        </w:rPr>
        <w:footnoteRef/>
      </w:r>
      <w:r>
        <w:rPr>
          <w:lang w:val="bg-BG"/>
        </w:rPr>
        <w:t xml:space="preserve"> Декларацията за липса на конфликт на интереси се подписва от </w:t>
      </w:r>
      <w:r w:rsidRPr="00C720CB">
        <w:rPr>
          <w:lang w:val="bg-BG"/>
        </w:rPr>
        <w:t>на</w:t>
      </w:r>
      <w:r>
        <w:rPr>
          <w:lang w:val="bg-BG"/>
        </w:rPr>
        <w:t>чалника на отдел „Програмиране“</w:t>
      </w:r>
      <w:r w:rsidRPr="00C720CB">
        <w:rPr>
          <w:lang w:val="bg-BG"/>
        </w:rPr>
        <w:t>, директора на дирекция „Координация на програми и проекти“</w:t>
      </w:r>
      <w:r>
        <w:rPr>
          <w:lang w:val="bg-BG"/>
        </w:rPr>
        <w:t xml:space="preserve"> и Ръководителя на УО на ОПТТИ непосредствено преди подписване на оценителния доклад и вземането на решението за предоставяне/ отказ на БФП на проектното предложение.</w:t>
      </w:r>
    </w:p>
  </w:footnote>
  <w:footnote w:id="50">
    <w:p w14:paraId="05B02455" w14:textId="77777777" w:rsidR="004E3164" w:rsidRPr="006F047E" w:rsidRDefault="004E3164" w:rsidP="00A35960">
      <w:pPr>
        <w:pStyle w:val="FootnoteText"/>
        <w:rPr>
          <w:lang w:val="bg-BG"/>
        </w:rPr>
      </w:pPr>
      <w:r>
        <w:rPr>
          <w:rStyle w:val="FootnoteReference"/>
        </w:rPr>
        <w:footnoteRef/>
      </w:r>
      <w:r w:rsidRPr="00653F41">
        <w:rPr>
          <w:lang w:val="bg-BG"/>
        </w:rPr>
        <w:t xml:space="preserve"> </w:t>
      </w:r>
      <w:r>
        <w:rPr>
          <w:lang w:val="bg-BG"/>
        </w:rPr>
        <w:t>В зависимост от начина на подаване на проектното предложение: при подаване чрез системата ИСУН 2020 се проверява наличието на електронен подпис, а при подаване на хартиен носител се проверява наличие на подпис на Декларацията, към която е приложен на електронен носител ФК.</w:t>
      </w:r>
    </w:p>
  </w:footnote>
  <w:footnote w:id="51">
    <w:p w14:paraId="516E8840" w14:textId="77777777" w:rsidR="004E3164" w:rsidRPr="00653F41" w:rsidRDefault="004E3164" w:rsidP="00853AB7">
      <w:pPr>
        <w:pStyle w:val="FootnoteText"/>
        <w:rPr>
          <w:lang w:val="bg-BG"/>
        </w:rPr>
      </w:pPr>
      <w:r>
        <w:rPr>
          <w:rStyle w:val="FootnoteReference"/>
        </w:rPr>
        <w:footnoteRef/>
      </w:r>
      <w:hyperlink r:id="rId6" w:history="1">
        <w:r w:rsidRPr="00973A88">
          <w:rPr>
            <w:rStyle w:val="Hyperlink"/>
          </w:rPr>
          <w:t>http</w:t>
        </w:r>
        <w:r w:rsidRPr="00F20D1F">
          <w:rPr>
            <w:rStyle w:val="Hyperlink"/>
            <w:lang w:val="bg-BG"/>
          </w:rPr>
          <w:t>://</w:t>
        </w:r>
        <w:r w:rsidRPr="00973A88">
          <w:rPr>
            <w:rStyle w:val="Hyperlink"/>
          </w:rPr>
          <w:t>www</w:t>
        </w:r>
        <w:r w:rsidRPr="00F20D1F">
          <w:rPr>
            <w:rStyle w:val="Hyperlink"/>
            <w:lang w:val="bg-BG"/>
          </w:rPr>
          <w:t>.</w:t>
        </w:r>
        <w:r w:rsidRPr="00973A88">
          <w:rPr>
            <w:rStyle w:val="Hyperlink"/>
          </w:rPr>
          <w:t>eufunds</w:t>
        </w:r>
        <w:r w:rsidRPr="00F20D1F">
          <w:rPr>
            <w:rStyle w:val="Hyperlink"/>
            <w:lang w:val="bg-BG"/>
          </w:rPr>
          <w:t>.</w:t>
        </w:r>
        <w:r w:rsidRPr="00973A88">
          <w:rPr>
            <w:rStyle w:val="Hyperlink"/>
          </w:rPr>
          <w:t>bg</w:t>
        </w:r>
        <w:r w:rsidRPr="00F20D1F">
          <w:rPr>
            <w:rStyle w:val="Hyperlink"/>
            <w:lang w:val="bg-BG"/>
          </w:rPr>
          <w:t>/</w:t>
        </w:r>
        <w:r w:rsidRPr="00973A88">
          <w:rPr>
            <w:rStyle w:val="Hyperlink"/>
          </w:rPr>
          <w:t>document</w:t>
        </w:r>
        <w:r w:rsidRPr="00F20D1F">
          <w:rPr>
            <w:rStyle w:val="Hyperlink"/>
            <w:lang w:val="bg-BG"/>
          </w:rPr>
          <w:t>/4354</w:t>
        </w:r>
      </w:hyperlink>
    </w:p>
  </w:footnote>
  <w:footnote w:id="52">
    <w:p w14:paraId="186DE202" w14:textId="77777777" w:rsidR="004E3164" w:rsidRPr="00332EDA" w:rsidRDefault="004E3164" w:rsidP="00A53162">
      <w:pPr>
        <w:pStyle w:val="FootnoteText"/>
        <w:ind w:left="142" w:hanging="142"/>
        <w:rPr>
          <w:lang w:val="bg-BG"/>
        </w:rPr>
      </w:pPr>
      <w:r>
        <w:rPr>
          <w:rStyle w:val="FootnoteReference"/>
        </w:rPr>
        <w:footnoteRef/>
      </w:r>
      <w:r w:rsidRPr="00653F41">
        <w:rPr>
          <w:lang w:val="bg-BG"/>
        </w:rPr>
        <w:t xml:space="preserve"> </w:t>
      </w:r>
      <w:r>
        <w:rPr>
          <w:lang w:val="bg-BG"/>
        </w:rPr>
        <w:t xml:space="preserve">В съответствие с </w:t>
      </w:r>
      <w:r w:rsidRPr="00B947DB">
        <w:rPr>
          <w:spacing w:val="10"/>
          <w:lang w:val="bg-BG"/>
        </w:rPr>
        <w:t>П</w:t>
      </w:r>
      <w:r>
        <w:rPr>
          <w:spacing w:val="10"/>
          <w:lang w:val="bg-BG"/>
        </w:rPr>
        <w:t xml:space="preserve">остановление </w:t>
      </w:r>
      <w:r w:rsidRPr="00B947DB">
        <w:rPr>
          <w:spacing w:val="10"/>
          <w:lang w:val="bg-BG"/>
        </w:rPr>
        <w:t>№ 119 от 20.05.2014 г.</w:t>
      </w:r>
      <w:r>
        <w:rPr>
          <w:spacing w:val="10"/>
          <w:lang w:val="bg-BG"/>
        </w:rPr>
        <w:t xml:space="preserve"> на Министерския съвет </w:t>
      </w:r>
      <w:r w:rsidRPr="009216E6">
        <w:rPr>
          <w:spacing w:val="10"/>
          <w:lang w:val="bg-BG"/>
        </w:rPr>
        <w:t>или с действаща</w:t>
      </w:r>
      <w:r>
        <w:rPr>
          <w:spacing w:val="10"/>
          <w:lang w:val="bg-BG"/>
        </w:rPr>
        <w:t>та</w:t>
      </w:r>
      <w:r w:rsidRPr="009216E6">
        <w:rPr>
          <w:spacing w:val="10"/>
          <w:lang w:val="bg-BG"/>
        </w:rPr>
        <w:t xml:space="preserve"> нормативна уредба</w:t>
      </w:r>
      <w:r>
        <w:rPr>
          <w:spacing w:val="10"/>
          <w:lang w:val="bg-BG"/>
        </w:rPr>
        <w:t>,</w:t>
      </w:r>
      <w:r w:rsidRPr="009216E6">
        <w:rPr>
          <w:spacing w:val="10"/>
          <w:lang w:val="bg-BG"/>
        </w:rPr>
        <w:t xml:space="preserve"> в случай на отмяна/ изменение на тази разпоредба</w:t>
      </w:r>
      <w:r>
        <w:rPr>
          <w:spacing w:val="10"/>
          <w:lang w:val="bg-BG"/>
        </w:rPr>
        <w:t>.</w:t>
      </w:r>
    </w:p>
    <w:p w14:paraId="4A8429A3" w14:textId="77777777" w:rsidR="004E3164" w:rsidRPr="00653F41" w:rsidRDefault="004E3164" w:rsidP="00A53162">
      <w:pPr>
        <w:pStyle w:val="FootnoteText"/>
        <w:ind w:left="142" w:hanging="142"/>
        <w:rPr>
          <w:lang w:val="bg-BG"/>
        </w:rPr>
      </w:pPr>
    </w:p>
  </w:footnote>
  <w:footnote w:id="53">
    <w:p w14:paraId="4B3E33EC" w14:textId="77777777" w:rsidR="004E3164" w:rsidRPr="00653F41" w:rsidRDefault="004E3164" w:rsidP="00A53162">
      <w:pPr>
        <w:pStyle w:val="FootnoteText"/>
        <w:ind w:left="142" w:hanging="142"/>
        <w:rPr>
          <w:lang w:val="bg-BG"/>
        </w:rPr>
      </w:pPr>
      <w:r>
        <w:rPr>
          <w:rStyle w:val="FootnoteReference"/>
        </w:rPr>
        <w:footnoteRef/>
      </w:r>
      <w:r w:rsidRPr="00653F41">
        <w:rPr>
          <w:lang w:val="bg-BG"/>
        </w:rPr>
        <w:t xml:space="preserve"> </w:t>
      </w:r>
      <w:r w:rsidRPr="004C2191">
        <w:rPr>
          <w:lang w:val="bg-BG"/>
        </w:rPr>
        <w:t xml:space="preserve">В съответствие с чл. </w:t>
      </w:r>
      <w:r w:rsidRPr="00842ECC">
        <w:rPr>
          <w:lang w:val="bg-BG"/>
        </w:rPr>
        <w:t>196</w:t>
      </w:r>
      <w:r>
        <w:rPr>
          <w:lang w:val="bg-BG"/>
        </w:rPr>
        <w:t>, пар.1, б. „г“</w:t>
      </w:r>
      <w:r w:rsidRPr="004C2191">
        <w:rPr>
          <w:lang w:val="bg-BG"/>
        </w:rPr>
        <w:t xml:space="preserve"> от Регламент (ЕС, Евратом) № </w:t>
      </w:r>
      <w:r w:rsidRPr="00842ECC">
        <w:rPr>
          <w:lang w:val="bg-BG"/>
        </w:rPr>
        <w:t>1046</w:t>
      </w:r>
      <w:r w:rsidRPr="004C2191">
        <w:rPr>
          <w:lang w:val="bg-BG"/>
        </w:rPr>
        <w:t>/201</w:t>
      </w:r>
      <w:r w:rsidRPr="00842ECC">
        <w:rPr>
          <w:lang w:val="bg-BG"/>
        </w:rPr>
        <w:t>8</w:t>
      </w:r>
      <w:r w:rsidRPr="004C2191">
        <w:rPr>
          <w:lang w:val="bg-BG"/>
        </w:rPr>
        <w:t xml:space="preserve"> на Европейския парламент и на Съвета </w:t>
      </w:r>
    </w:p>
  </w:footnote>
  <w:footnote w:id="54">
    <w:p w14:paraId="2C5AB92E" w14:textId="77777777" w:rsidR="004E3164" w:rsidRPr="00653F41" w:rsidRDefault="004E3164" w:rsidP="00A53162">
      <w:pPr>
        <w:pStyle w:val="FootnoteText"/>
        <w:ind w:left="284" w:hanging="142"/>
        <w:rPr>
          <w:lang w:val="bg-BG"/>
        </w:rPr>
      </w:pPr>
      <w:r>
        <w:rPr>
          <w:rStyle w:val="FootnoteReference"/>
        </w:rPr>
        <w:footnoteRef/>
      </w:r>
      <w:r w:rsidRPr="00D122B0">
        <w:rPr>
          <w:szCs w:val="24"/>
          <w:lang w:val="bg-BG" w:eastAsia="en-GB"/>
        </w:rPr>
        <w:t>Насърчаване на стратегии за нисковъглеродно развитие във всички видове територии, по-специално градските райони, включително насърчаването на устойчива мултимодална градска мобилност и мерки за приспособяване и смекчаване, свързани с изменението на климата</w:t>
      </w:r>
    </w:p>
  </w:footnote>
  <w:footnote w:id="55">
    <w:p w14:paraId="2F7EE863" w14:textId="77777777" w:rsidR="004E3164" w:rsidRPr="00653F41" w:rsidRDefault="004E3164" w:rsidP="00A53162">
      <w:pPr>
        <w:pStyle w:val="FootnoteText"/>
        <w:ind w:left="284" w:hanging="142"/>
        <w:rPr>
          <w:lang w:val="bg-BG"/>
        </w:rPr>
      </w:pPr>
      <w:r w:rsidRPr="00D122B0">
        <w:rPr>
          <w:rStyle w:val="FootnoteReference"/>
          <w:lang w:val="bg-BG"/>
        </w:rPr>
        <w:footnoteRef/>
      </w:r>
      <w:r w:rsidRPr="00D122B0">
        <w:rPr>
          <w:lang w:val="bg-BG" w:eastAsia="en-GB"/>
        </w:rPr>
        <w:t>Предоставяне на подкрепа за мултимодалното единно европейско транспортно пространство, посредством инвестиции в Трансевропейската транспортна мрежа</w:t>
      </w:r>
    </w:p>
  </w:footnote>
  <w:footnote w:id="56">
    <w:p w14:paraId="32A5ED2A" w14:textId="77777777" w:rsidR="004E3164" w:rsidRPr="00653F41" w:rsidRDefault="004E3164" w:rsidP="00A53162">
      <w:pPr>
        <w:pStyle w:val="FootnoteText"/>
        <w:ind w:left="284" w:hanging="142"/>
        <w:rPr>
          <w:lang w:val="bg-BG"/>
        </w:rPr>
      </w:pPr>
      <w:r w:rsidRPr="00D122B0">
        <w:rPr>
          <w:rStyle w:val="FootnoteReference"/>
          <w:lang w:val="bg-BG"/>
        </w:rPr>
        <w:footnoteRef/>
      </w:r>
      <w:r w:rsidRPr="00D122B0">
        <w:rPr>
          <w:lang w:val="bg-BG" w:eastAsia="en-GB"/>
        </w:rPr>
        <w:t>Разработване и подобряване на екологосъобразни, включително с ниски емисии на шум, и ниско-въглеродни транспортни системи, включително вътрешни водни пътища и морски транспорт, пристанища, мултимодални връзки и летищна инфраструктура с цел насърчаване на устойчиво развита регионална и местна достъпност</w:t>
      </w:r>
    </w:p>
  </w:footnote>
  <w:footnote w:id="57">
    <w:p w14:paraId="22883DE0" w14:textId="77777777" w:rsidR="004E3164" w:rsidRPr="00653F41" w:rsidRDefault="004E3164" w:rsidP="00A53162">
      <w:pPr>
        <w:pStyle w:val="FootnoteText"/>
        <w:ind w:left="284" w:hanging="142"/>
        <w:rPr>
          <w:lang w:val="bg-BG"/>
        </w:rPr>
      </w:pPr>
      <w:r w:rsidRPr="00D122B0">
        <w:rPr>
          <w:rStyle w:val="FootnoteReference"/>
          <w:lang w:val="bg-BG"/>
        </w:rPr>
        <w:footnoteRef/>
      </w:r>
      <w:r w:rsidRPr="00D122B0">
        <w:rPr>
          <w:lang w:val="bg-BG" w:eastAsia="en-GB"/>
        </w:rPr>
        <w:t>Изграждане и рехабилитация на всеобхватни, висококачествени и оперативно съвместими железопътни системи и насърчаване на мерки за намаляване на шума</w:t>
      </w:r>
    </w:p>
  </w:footnote>
  <w:footnote w:id="58">
    <w:p w14:paraId="5FBA7724" w14:textId="77777777" w:rsidR="004E3164" w:rsidRPr="00653F41" w:rsidRDefault="004E3164">
      <w:pPr>
        <w:pStyle w:val="FootnoteText"/>
        <w:rPr>
          <w:lang w:val="bg-BG"/>
        </w:rPr>
      </w:pPr>
      <w:r>
        <w:rPr>
          <w:rStyle w:val="FootnoteReference"/>
        </w:rPr>
        <w:footnoteRef/>
      </w:r>
      <w:r w:rsidRPr="00653F41">
        <w:rPr>
          <w:lang w:val="bg-BG"/>
        </w:rPr>
        <w:t xml:space="preserve"> </w:t>
      </w:r>
      <w:r>
        <w:rPr>
          <w:lang w:val="bg-BG"/>
        </w:rPr>
        <w:t xml:space="preserve">За целите на изпълнение на изискванията по чл. 101 от Регламент (ЕС) № 1303/2013 г. </w:t>
      </w:r>
    </w:p>
  </w:footnote>
  <w:footnote w:id="59">
    <w:p w14:paraId="0F7985D6" w14:textId="77777777" w:rsidR="004E3164" w:rsidRPr="005B2C5D" w:rsidRDefault="004E3164" w:rsidP="0003219D">
      <w:pPr>
        <w:pStyle w:val="FootnoteText"/>
        <w:ind w:left="142" w:hanging="142"/>
        <w:rPr>
          <w:lang w:val="bg-BG"/>
        </w:rPr>
      </w:pPr>
      <w:r>
        <w:rPr>
          <w:rStyle w:val="FootnoteReference"/>
        </w:rPr>
        <w:footnoteRef/>
      </w:r>
      <w:r>
        <w:rPr>
          <w:lang w:val="bg-BG"/>
        </w:rPr>
        <w:t>При оценка на бюджетни линии не се извършва техническа и финансова оценка на финансовия план, а само оценка по отношение на административното съответствие и допустимост на разходите</w:t>
      </w:r>
    </w:p>
  </w:footnote>
  <w:footnote w:id="60">
    <w:p w14:paraId="4410097B" w14:textId="77777777" w:rsidR="004E3164" w:rsidRPr="005B2C5D" w:rsidRDefault="004E3164" w:rsidP="00597253">
      <w:pPr>
        <w:pStyle w:val="FootnoteText"/>
        <w:ind w:left="142" w:hanging="142"/>
        <w:rPr>
          <w:lang w:val="bg-BG"/>
        </w:rPr>
      </w:pPr>
      <w:r>
        <w:rPr>
          <w:rStyle w:val="FootnoteReference"/>
        </w:rPr>
        <w:footnoteRef/>
      </w:r>
      <w:r>
        <w:rPr>
          <w:lang w:val="bg-BG"/>
        </w:rPr>
        <w:t>При оценка на бюджетни линии не се извършва техническа и финансова оценка на финансовия план, а само оценка по отношение на административното съответствие и допустимост на разходите</w:t>
      </w:r>
    </w:p>
  </w:footnote>
  <w:footnote w:id="61">
    <w:p w14:paraId="36488A00" w14:textId="77777777" w:rsidR="004E3164" w:rsidRPr="00222851" w:rsidRDefault="004E3164" w:rsidP="00782434">
      <w:pPr>
        <w:pStyle w:val="FootnoteText"/>
        <w:rPr>
          <w:lang w:val="bg-BG"/>
        </w:rPr>
      </w:pPr>
      <w:r w:rsidRPr="00550875">
        <w:rPr>
          <w:rStyle w:val="FootnoteReference"/>
        </w:rPr>
        <w:footnoteRef/>
      </w:r>
      <w:r w:rsidRPr="00222851">
        <w:rPr>
          <w:lang w:val="bg-BG"/>
        </w:rPr>
        <w:t xml:space="preserve"> </w:t>
      </w:r>
      <w:r w:rsidRPr="00550875">
        <w:rPr>
          <w:lang w:val="bg-BG"/>
        </w:rPr>
        <w:t>Съгласно чл. 12, ал. 4 на Закона за държавните помощи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270A3" w14:textId="77777777" w:rsidR="004E3164" w:rsidRPr="002E4F6D" w:rsidRDefault="004E3164" w:rsidP="002E4F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FF6EC4AC"/>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8"/>
    <w:multiLevelType w:val="singleLevel"/>
    <w:tmpl w:val="7DB8775E"/>
    <w:lvl w:ilvl="0">
      <w:start w:val="1"/>
      <w:numFmt w:val="decimal"/>
      <w:lvlText w:val="%1."/>
      <w:lvlJc w:val="left"/>
      <w:pPr>
        <w:tabs>
          <w:tab w:val="num" w:pos="360"/>
        </w:tabs>
        <w:ind w:left="360" w:hanging="360"/>
      </w:pPr>
    </w:lvl>
  </w:abstractNum>
  <w:abstractNum w:abstractNumId="2" w15:restartNumberingAfterBreak="0">
    <w:nsid w:val="0000001E"/>
    <w:multiLevelType w:val="singleLevel"/>
    <w:tmpl w:val="0000001E"/>
    <w:name w:val="WW8Num9"/>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38"/>
    <w:multiLevelType w:val="multilevel"/>
    <w:tmpl w:val="00000038"/>
    <w:name w:val="WW8Num64"/>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sz w:val="24"/>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sz w:val="24"/>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3B"/>
    <w:multiLevelType w:val="multilevel"/>
    <w:tmpl w:val="0000003B"/>
    <w:name w:val="WW8Num69"/>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sz w:val="24"/>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sz w:val="24"/>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8C"/>
    <w:multiLevelType w:val="singleLevel"/>
    <w:tmpl w:val="0000008C"/>
    <w:name w:val="WW8Num204"/>
    <w:lvl w:ilvl="0">
      <w:start w:val="1"/>
      <w:numFmt w:val="bullet"/>
      <w:lvlText w:val="-"/>
      <w:lvlJc w:val="left"/>
      <w:pPr>
        <w:tabs>
          <w:tab w:val="num" w:pos="720"/>
        </w:tabs>
        <w:ind w:left="720" w:hanging="360"/>
      </w:pPr>
      <w:rPr>
        <w:rFonts w:ascii="Times New Roman" w:hAnsi="Times New Roman"/>
      </w:rPr>
    </w:lvl>
  </w:abstractNum>
  <w:abstractNum w:abstractNumId="6" w15:restartNumberingAfterBreak="0">
    <w:nsid w:val="000000C7"/>
    <w:multiLevelType w:val="multilevel"/>
    <w:tmpl w:val="000000C7"/>
    <w:name w:val="WW8Num18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15:restartNumberingAfterBreak="0">
    <w:nsid w:val="00170EF2"/>
    <w:multiLevelType w:val="hybridMultilevel"/>
    <w:tmpl w:val="0406B56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00334A13"/>
    <w:multiLevelType w:val="hybridMultilevel"/>
    <w:tmpl w:val="877AD58C"/>
    <w:name w:val="WW8Num188"/>
    <w:lvl w:ilvl="0" w:tplc="FFFFFFFF">
      <w:start w:val="1"/>
      <w:numFmt w:val="bullet"/>
      <w:lvlText w:val="o"/>
      <w:lvlJc w:val="left"/>
      <w:pPr>
        <w:tabs>
          <w:tab w:val="num" w:pos="360"/>
        </w:tabs>
        <w:ind w:left="360" w:hanging="360"/>
      </w:pPr>
      <w:rPr>
        <w:rFonts w:ascii="Courier New" w:hAnsi="Courier New"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0666FE0"/>
    <w:multiLevelType w:val="hybridMultilevel"/>
    <w:tmpl w:val="25DE3496"/>
    <w:lvl w:ilvl="0" w:tplc="26F25864">
      <w:start w:val="1"/>
      <mc:AlternateContent>
        <mc:Choice Requires="w14">
          <w:numFmt w:val="custom" w:format="а, й, к, ..."/>
        </mc:Choice>
        <mc:Fallback>
          <w:numFmt w:val="decimal"/>
        </mc:Fallback>
      </mc:AlternateContent>
      <w:lvlText w:val="%1)"/>
      <w:lvlJc w:val="left"/>
      <w:pPr>
        <w:ind w:left="720" w:hanging="360"/>
      </w:pPr>
      <w:rPr>
        <w:rFonts w:cs="Times New Roman" w:hint="default"/>
      </w:rPr>
    </w:lvl>
    <w:lvl w:ilvl="1" w:tplc="C22A524E">
      <w:start w:val="1"/>
      <mc:AlternateContent>
        <mc:Choice Requires="w14">
          <w:numFmt w:val="custom" w:format="а, й, к, ..."/>
        </mc:Choice>
        <mc:Fallback>
          <w:numFmt w:val="decimal"/>
        </mc:Fallback>
      </mc:AlternateContent>
      <w:lvlText w:val="%2)"/>
      <w:lvlJc w:val="left"/>
      <w:pPr>
        <w:ind w:left="1440" w:hanging="360"/>
      </w:pPr>
      <w:rPr>
        <w:rFonts w:cs="Times New Roman" w:hint="default"/>
        <w:b/>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0081009C"/>
    <w:multiLevelType w:val="hybridMultilevel"/>
    <w:tmpl w:val="820A2176"/>
    <w:lvl w:ilvl="0" w:tplc="6BEEEDE6">
      <w:start w:val="1"/>
      <w:numFmt w:val="decimal"/>
      <w:lvlText w:val="%1)"/>
      <w:lvlJc w:val="left"/>
      <w:pPr>
        <w:tabs>
          <w:tab w:val="num" w:pos="360"/>
        </w:tabs>
        <w:ind w:left="360" w:hanging="360"/>
      </w:pPr>
      <w:rPr>
        <w:rFonts w:cs="Times New Roman"/>
        <w:b/>
        <w:i w:val="0"/>
      </w:rPr>
    </w:lvl>
    <w:lvl w:ilvl="1" w:tplc="CBD8CA52">
      <w:start w:val="1"/>
      <w:numFmt w:val="decimal"/>
      <w:lvlText w:val="%2."/>
      <w:lvlJc w:val="left"/>
      <w:pPr>
        <w:tabs>
          <w:tab w:val="num" w:pos="1440"/>
        </w:tabs>
        <w:ind w:left="1440" w:hanging="360"/>
      </w:pPr>
      <w:rPr>
        <w:rFonts w:cs="Times New Roman" w:hint="default"/>
      </w:rPr>
    </w:lvl>
    <w:lvl w:ilvl="2" w:tplc="0402001B">
      <w:start w:val="1"/>
      <w:numFmt w:val="lowerRoman"/>
      <w:lvlText w:val="%3."/>
      <w:lvlJc w:val="right"/>
      <w:pPr>
        <w:tabs>
          <w:tab w:val="num" w:pos="2160"/>
        </w:tabs>
        <w:ind w:left="2160" w:hanging="180"/>
      </w:pPr>
      <w:rPr>
        <w:rFonts w:cs="Times New Roman"/>
      </w:rPr>
    </w:lvl>
    <w:lvl w:ilvl="3" w:tplc="0402000F">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0851023"/>
    <w:multiLevelType w:val="hybridMultilevel"/>
    <w:tmpl w:val="71D2274C"/>
    <w:lvl w:ilvl="0" w:tplc="04020001">
      <w:start w:val="1"/>
      <w:numFmt w:val="bullet"/>
      <w:lvlText w:val=""/>
      <w:lvlJc w:val="left"/>
      <w:pPr>
        <w:ind w:left="1637"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2" w15:restartNumberingAfterBreak="0">
    <w:nsid w:val="00C64983"/>
    <w:multiLevelType w:val="hybridMultilevel"/>
    <w:tmpl w:val="CA408B20"/>
    <w:lvl w:ilvl="0" w:tplc="47E0B608">
      <w:numFmt w:val="bullet"/>
      <w:lvlText w:val="-"/>
      <w:lvlJc w:val="left"/>
      <w:pPr>
        <w:tabs>
          <w:tab w:val="num" w:pos="851"/>
        </w:tabs>
        <w:ind w:left="851" w:hanging="851"/>
      </w:pPr>
      <w:rPr>
        <w:rFonts w:ascii="Times New Roman" w:eastAsia="Times New Roman" w:hAnsi="Times New Roman" w:hint="default"/>
        <w:b/>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1A67A2D"/>
    <w:multiLevelType w:val="hybridMultilevel"/>
    <w:tmpl w:val="B4188DD6"/>
    <w:lvl w:ilvl="0" w:tplc="04020001">
      <w:start w:val="1"/>
      <w:numFmt w:val="bullet"/>
      <w:lvlText w:val=""/>
      <w:lvlJc w:val="left"/>
      <w:pPr>
        <w:tabs>
          <w:tab w:val="num" w:pos="1140"/>
        </w:tabs>
        <w:ind w:left="1140" w:hanging="360"/>
      </w:pPr>
      <w:rPr>
        <w:rFonts w:ascii="Symbol" w:hAnsi="Symbol" w:hint="default"/>
      </w:rPr>
    </w:lvl>
    <w:lvl w:ilvl="1" w:tplc="04020003" w:tentative="1">
      <w:start w:val="1"/>
      <w:numFmt w:val="bullet"/>
      <w:lvlText w:val="o"/>
      <w:lvlJc w:val="left"/>
      <w:pPr>
        <w:tabs>
          <w:tab w:val="num" w:pos="1860"/>
        </w:tabs>
        <w:ind w:left="1860" w:hanging="360"/>
      </w:pPr>
      <w:rPr>
        <w:rFonts w:ascii="Courier New" w:hAnsi="Courier New" w:hint="default"/>
      </w:rPr>
    </w:lvl>
    <w:lvl w:ilvl="2" w:tplc="04020005" w:tentative="1">
      <w:start w:val="1"/>
      <w:numFmt w:val="bullet"/>
      <w:lvlText w:val=""/>
      <w:lvlJc w:val="left"/>
      <w:pPr>
        <w:tabs>
          <w:tab w:val="num" w:pos="2580"/>
        </w:tabs>
        <w:ind w:left="2580" w:hanging="360"/>
      </w:pPr>
      <w:rPr>
        <w:rFonts w:ascii="Wingdings" w:hAnsi="Wingdings" w:hint="default"/>
      </w:rPr>
    </w:lvl>
    <w:lvl w:ilvl="3" w:tplc="04020001" w:tentative="1">
      <w:start w:val="1"/>
      <w:numFmt w:val="bullet"/>
      <w:lvlText w:val=""/>
      <w:lvlJc w:val="left"/>
      <w:pPr>
        <w:tabs>
          <w:tab w:val="num" w:pos="3300"/>
        </w:tabs>
        <w:ind w:left="3300" w:hanging="360"/>
      </w:pPr>
      <w:rPr>
        <w:rFonts w:ascii="Symbol" w:hAnsi="Symbol" w:hint="default"/>
      </w:rPr>
    </w:lvl>
    <w:lvl w:ilvl="4" w:tplc="04020003" w:tentative="1">
      <w:start w:val="1"/>
      <w:numFmt w:val="bullet"/>
      <w:lvlText w:val="o"/>
      <w:lvlJc w:val="left"/>
      <w:pPr>
        <w:tabs>
          <w:tab w:val="num" w:pos="4020"/>
        </w:tabs>
        <w:ind w:left="4020" w:hanging="360"/>
      </w:pPr>
      <w:rPr>
        <w:rFonts w:ascii="Courier New" w:hAnsi="Courier New" w:hint="default"/>
      </w:rPr>
    </w:lvl>
    <w:lvl w:ilvl="5" w:tplc="04020005" w:tentative="1">
      <w:start w:val="1"/>
      <w:numFmt w:val="bullet"/>
      <w:lvlText w:val=""/>
      <w:lvlJc w:val="left"/>
      <w:pPr>
        <w:tabs>
          <w:tab w:val="num" w:pos="4740"/>
        </w:tabs>
        <w:ind w:left="4740" w:hanging="360"/>
      </w:pPr>
      <w:rPr>
        <w:rFonts w:ascii="Wingdings" w:hAnsi="Wingdings" w:hint="default"/>
      </w:rPr>
    </w:lvl>
    <w:lvl w:ilvl="6" w:tplc="04020001" w:tentative="1">
      <w:start w:val="1"/>
      <w:numFmt w:val="bullet"/>
      <w:lvlText w:val=""/>
      <w:lvlJc w:val="left"/>
      <w:pPr>
        <w:tabs>
          <w:tab w:val="num" w:pos="5460"/>
        </w:tabs>
        <w:ind w:left="5460" w:hanging="360"/>
      </w:pPr>
      <w:rPr>
        <w:rFonts w:ascii="Symbol" w:hAnsi="Symbol" w:hint="default"/>
      </w:rPr>
    </w:lvl>
    <w:lvl w:ilvl="7" w:tplc="04020003" w:tentative="1">
      <w:start w:val="1"/>
      <w:numFmt w:val="bullet"/>
      <w:lvlText w:val="o"/>
      <w:lvlJc w:val="left"/>
      <w:pPr>
        <w:tabs>
          <w:tab w:val="num" w:pos="6180"/>
        </w:tabs>
        <w:ind w:left="6180" w:hanging="360"/>
      </w:pPr>
      <w:rPr>
        <w:rFonts w:ascii="Courier New" w:hAnsi="Courier New" w:hint="default"/>
      </w:rPr>
    </w:lvl>
    <w:lvl w:ilvl="8" w:tplc="04020005" w:tentative="1">
      <w:start w:val="1"/>
      <w:numFmt w:val="bullet"/>
      <w:lvlText w:val=""/>
      <w:lvlJc w:val="left"/>
      <w:pPr>
        <w:tabs>
          <w:tab w:val="num" w:pos="6900"/>
        </w:tabs>
        <w:ind w:left="6900" w:hanging="360"/>
      </w:pPr>
      <w:rPr>
        <w:rFonts w:ascii="Wingdings" w:hAnsi="Wingdings" w:hint="default"/>
      </w:rPr>
    </w:lvl>
  </w:abstractNum>
  <w:abstractNum w:abstractNumId="14" w15:restartNumberingAfterBreak="0">
    <w:nsid w:val="02145D95"/>
    <w:multiLevelType w:val="hybridMultilevel"/>
    <w:tmpl w:val="E1980764"/>
    <w:lvl w:ilvl="0" w:tplc="0402000D">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5" w15:restartNumberingAfterBreak="0">
    <w:nsid w:val="02935EA4"/>
    <w:multiLevelType w:val="hybridMultilevel"/>
    <w:tmpl w:val="E37CD1A6"/>
    <w:lvl w:ilvl="0" w:tplc="538EE82C">
      <w:start w:val="1"/>
      <w:numFmt w:val="bullet"/>
      <w:lvlText w:val="•"/>
      <w:lvlJc w:val="left"/>
      <w:pPr>
        <w:tabs>
          <w:tab w:val="num" w:pos="1425"/>
        </w:tabs>
        <w:ind w:left="1425" w:hanging="360"/>
      </w:pPr>
      <w:rPr>
        <w:rFonts w:ascii="Times New Roman" w:hAnsi="Times New Roman" w:hint="default"/>
        <w:b/>
      </w:rPr>
    </w:lvl>
    <w:lvl w:ilvl="1" w:tplc="AE2E8E80">
      <w:start w:val="1"/>
      <w:numFmt w:val="decimal"/>
      <w:lvlText w:val="10.%2."/>
      <w:lvlJc w:val="left"/>
      <w:pPr>
        <w:tabs>
          <w:tab w:val="num" w:pos="2145"/>
        </w:tabs>
        <w:ind w:left="2145" w:hanging="360"/>
      </w:pPr>
      <w:rPr>
        <w:rFonts w:cs="Times New Roman" w:hint="default"/>
        <w:b/>
      </w:rPr>
    </w:lvl>
    <w:lvl w:ilvl="2" w:tplc="0402001B" w:tentative="1">
      <w:start w:val="1"/>
      <w:numFmt w:val="lowerRoman"/>
      <w:lvlText w:val="%3."/>
      <w:lvlJc w:val="right"/>
      <w:pPr>
        <w:tabs>
          <w:tab w:val="num" w:pos="2865"/>
        </w:tabs>
        <w:ind w:left="2865" w:hanging="180"/>
      </w:pPr>
      <w:rPr>
        <w:rFonts w:cs="Times New Roman"/>
      </w:rPr>
    </w:lvl>
    <w:lvl w:ilvl="3" w:tplc="0402000F" w:tentative="1">
      <w:start w:val="1"/>
      <w:numFmt w:val="decimal"/>
      <w:lvlText w:val="%4."/>
      <w:lvlJc w:val="left"/>
      <w:pPr>
        <w:tabs>
          <w:tab w:val="num" w:pos="3585"/>
        </w:tabs>
        <w:ind w:left="3585" w:hanging="360"/>
      </w:pPr>
      <w:rPr>
        <w:rFonts w:cs="Times New Roman"/>
      </w:rPr>
    </w:lvl>
    <w:lvl w:ilvl="4" w:tplc="04020019" w:tentative="1">
      <w:start w:val="1"/>
      <w:numFmt w:val="lowerLetter"/>
      <w:lvlText w:val="%5."/>
      <w:lvlJc w:val="left"/>
      <w:pPr>
        <w:tabs>
          <w:tab w:val="num" w:pos="4305"/>
        </w:tabs>
        <w:ind w:left="4305" w:hanging="360"/>
      </w:pPr>
      <w:rPr>
        <w:rFonts w:cs="Times New Roman"/>
      </w:rPr>
    </w:lvl>
    <w:lvl w:ilvl="5" w:tplc="0402001B" w:tentative="1">
      <w:start w:val="1"/>
      <w:numFmt w:val="lowerRoman"/>
      <w:lvlText w:val="%6."/>
      <w:lvlJc w:val="right"/>
      <w:pPr>
        <w:tabs>
          <w:tab w:val="num" w:pos="5025"/>
        </w:tabs>
        <w:ind w:left="5025" w:hanging="180"/>
      </w:pPr>
      <w:rPr>
        <w:rFonts w:cs="Times New Roman"/>
      </w:rPr>
    </w:lvl>
    <w:lvl w:ilvl="6" w:tplc="0402000F" w:tentative="1">
      <w:start w:val="1"/>
      <w:numFmt w:val="decimal"/>
      <w:lvlText w:val="%7."/>
      <w:lvlJc w:val="left"/>
      <w:pPr>
        <w:tabs>
          <w:tab w:val="num" w:pos="5745"/>
        </w:tabs>
        <w:ind w:left="5745" w:hanging="360"/>
      </w:pPr>
      <w:rPr>
        <w:rFonts w:cs="Times New Roman"/>
      </w:rPr>
    </w:lvl>
    <w:lvl w:ilvl="7" w:tplc="04020019" w:tentative="1">
      <w:start w:val="1"/>
      <w:numFmt w:val="lowerLetter"/>
      <w:lvlText w:val="%8."/>
      <w:lvlJc w:val="left"/>
      <w:pPr>
        <w:tabs>
          <w:tab w:val="num" w:pos="6465"/>
        </w:tabs>
        <w:ind w:left="6465" w:hanging="360"/>
      </w:pPr>
      <w:rPr>
        <w:rFonts w:cs="Times New Roman"/>
      </w:rPr>
    </w:lvl>
    <w:lvl w:ilvl="8" w:tplc="0402001B" w:tentative="1">
      <w:start w:val="1"/>
      <w:numFmt w:val="lowerRoman"/>
      <w:lvlText w:val="%9."/>
      <w:lvlJc w:val="right"/>
      <w:pPr>
        <w:tabs>
          <w:tab w:val="num" w:pos="7185"/>
        </w:tabs>
        <w:ind w:left="7185" w:hanging="180"/>
      </w:pPr>
      <w:rPr>
        <w:rFonts w:cs="Times New Roman"/>
      </w:rPr>
    </w:lvl>
  </w:abstractNum>
  <w:abstractNum w:abstractNumId="16" w15:restartNumberingAfterBreak="0">
    <w:nsid w:val="03A44A81"/>
    <w:multiLevelType w:val="hybridMultilevel"/>
    <w:tmpl w:val="F86030FE"/>
    <w:lvl w:ilvl="0" w:tplc="04020001">
      <w:start w:val="1"/>
      <w:numFmt w:val="bullet"/>
      <w:lvlText w:val=""/>
      <w:lvlJc w:val="left"/>
      <w:pPr>
        <w:tabs>
          <w:tab w:val="num" w:pos="2340"/>
        </w:tabs>
        <w:ind w:left="2340" w:hanging="360"/>
      </w:pPr>
      <w:rPr>
        <w:rFonts w:ascii="Symbol" w:hAnsi="Symbol" w:hint="default"/>
      </w:rPr>
    </w:lvl>
    <w:lvl w:ilvl="1" w:tplc="04020003" w:tentative="1">
      <w:start w:val="1"/>
      <w:numFmt w:val="bullet"/>
      <w:lvlText w:val="o"/>
      <w:lvlJc w:val="left"/>
      <w:pPr>
        <w:tabs>
          <w:tab w:val="num" w:pos="3060"/>
        </w:tabs>
        <w:ind w:left="3060" w:hanging="360"/>
      </w:pPr>
      <w:rPr>
        <w:rFonts w:ascii="Courier New" w:hAnsi="Courier New" w:hint="default"/>
      </w:rPr>
    </w:lvl>
    <w:lvl w:ilvl="2" w:tplc="04020005">
      <w:start w:val="1"/>
      <w:numFmt w:val="bullet"/>
      <w:lvlText w:val=""/>
      <w:lvlJc w:val="left"/>
      <w:pPr>
        <w:tabs>
          <w:tab w:val="num" w:pos="3780"/>
        </w:tabs>
        <w:ind w:left="3780" w:hanging="360"/>
      </w:pPr>
      <w:rPr>
        <w:rFonts w:ascii="Wingdings" w:hAnsi="Wingdings" w:hint="default"/>
      </w:rPr>
    </w:lvl>
    <w:lvl w:ilvl="3" w:tplc="04020001" w:tentative="1">
      <w:start w:val="1"/>
      <w:numFmt w:val="bullet"/>
      <w:lvlText w:val=""/>
      <w:lvlJc w:val="left"/>
      <w:pPr>
        <w:tabs>
          <w:tab w:val="num" w:pos="4500"/>
        </w:tabs>
        <w:ind w:left="4500" w:hanging="360"/>
      </w:pPr>
      <w:rPr>
        <w:rFonts w:ascii="Symbol" w:hAnsi="Symbol" w:hint="default"/>
      </w:rPr>
    </w:lvl>
    <w:lvl w:ilvl="4" w:tplc="04020003" w:tentative="1">
      <w:start w:val="1"/>
      <w:numFmt w:val="bullet"/>
      <w:lvlText w:val="o"/>
      <w:lvlJc w:val="left"/>
      <w:pPr>
        <w:tabs>
          <w:tab w:val="num" w:pos="5220"/>
        </w:tabs>
        <w:ind w:left="5220" w:hanging="360"/>
      </w:pPr>
      <w:rPr>
        <w:rFonts w:ascii="Courier New" w:hAnsi="Courier New" w:hint="default"/>
      </w:rPr>
    </w:lvl>
    <w:lvl w:ilvl="5" w:tplc="04020005" w:tentative="1">
      <w:start w:val="1"/>
      <w:numFmt w:val="bullet"/>
      <w:lvlText w:val=""/>
      <w:lvlJc w:val="left"/>
      <w:pPr>
        <w:tabs>
          <w:tab w:val="num" w:pos="5940"/>
        </w:tabs>
        <w:ind w:left="5940" w:hanging="360"/>
      </w:pPr>
      <w:rPr>
        <w:rFonts w:ascii="Wingdings" w:hAnsi="Wingdings" w:hint="default"/>
      </w:rPr>
    </w:lvl>
    <w:lvl w:ilvl="6" w:tplc="04020001" w:tentative="1">
      <w:start w:val="1"/>
      <w:numFmt w:val="bullet"/>
      <w:lvlText w:val=""/>
      <w:lvlJc w:val="left"/>
      <w:pPr>
        <w:tabs>
          <w:tab w:val="num" w:pos="6660"/>
        </w:tabs>
        <w:ind w:left="6660" w:hanging="360"/>
      </w:pPr>
      <w:rPr>
        <w:rFonts w:ascii="Symbol" w:hAnsi="Symbol" w:hint="default"/>
      </w:rPr>
    </w:lvl>
    <w:lvl w:ilvl="7" w:tplc="04020003" w:tentative="1">
      <w:start w:val="1"/>
      <w:numFmt w:val="bullet"/>
      <w:lvlText w:val="o"/>
      <w:lvlJc w:val="left"/>
      <w:pPr>
        <w:tabs>
          <w:tab w:val="num" w:pos="7380"/>
        </w:tabs>
        <w:ind w:left="7380" w:hanging="360"/>
      </w:pPr>
      <w:rPr>
        <w:rFonts w:ascii="Courier New" w:hAnsi="Courier New" w:hint="default"/>
      </w:rPr>
    </w:lvl>
    <w:lvl w:ilvl="8" w:tplc="04020005" w:tentative="1">
      <w:start w:val="1"/>
      <w:numFmt w:val="bullet"/>
      <w:lvlText w:val=""/>
      <w:lvlJc w:val="left"/>
      <w:pPr>
        <w:tabs>
          <w:tab w:val="num" w:pos="8100"/>
        </w:tabs>
        <w:ind w:left="8100" w:hanging="360"/>
      </w:pPr>
      <w:rPr>
        <w:rFonts w:ascii="Wingdings" w:hAnsi="Wingdings" w:hint="default"/>
      </w:rPr>
    </w:lvl>
  </w:abstractNum>
  <w:abstractNum w:abstractNumId="17" w15:restartNumberingAfterBreak="0">
    <w:nsid w:val="040442C7"/>
    <w:multiLevelType w:val="hybridMultilevel"/>
    <w:tmpl w:val="2D50A44E"/>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8" w15:restartNumberingAfterBreak="0">
    <w:nsid w:val="04560823"/>
    <w:multiLevelType w:val="multilevel"/>
    <w:tmpl w:val="454AB2D6"/>
    <w:lvl w:ilvl="0">
      <w:start w:val="35"/>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045610FB"/>
    <w:multiLevelType w:val="hybridMultilevel"/>
    <w:tmpl w:val="B8425FF8"/>
    <w:lvl w:ilvl="0" w:tplc="4C7E020C">
      <w:start w:val="1"/>
      <w:numFmt w:val="decimal"/>
      <w:lvlText w:val="%1."/>
      <w:lvlJc w:val="left"/>
      <w:pPr>
        <w:tabs>
          <w:tab w:val="num" w:pos="720"/>
        </w:tabs>
        <w:ind w:left="720" w:hanging="360"/>
      </w:pPr>
      <w:rPr>
        <w:b w:val="0"/>
      </w:rPr>
    </w:lvl>
    <w:lvl w:ilvl="1" w:tplc="B49E99A4">
      <w:start w:val="1"/>
      <w:numFmt w:val="bullet"/>
      <w:lvlText w:val=""/>
      <w:lvlJc w:val="left"/>
      <w:pPr>
        <w:tabs>
          <w:tab w:val="num" w:pos="1440"/>
        </w:tabs>
        <w:ind w:left="1440" w:hanging="360"/>
      </w:pPr>
      <w:rPr>
        <w:rFonts w:ascii="Symbol" w:hAnsi="Symbol" w:hint="default"/>
        <w:b/>
        <w:i w:val="0"/>
        <w:sz w:val="16"/>
        <w:szCs w:val="16"/>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0" w15:restartNumberingAfterBreak="0">
    <w:nsid w:val="045D115D"/>
    <w:multiLevelType w:val="hybridMultilevel"/>
    <w:tmpl w:val="333A98F0"/>
    <w:lvl w:ilvl="0" w:tplc="B3BE29A6">
      <w:numFmt w:val="bullet"/>
      <w:lvlText w:val="-"/>
      <w:lvlJc w:val="left"/>
      <w:pPr>
        <w:tabs>
          <w:tab w:val="num" w:pos="1800"/>
        </w:tabs>
        <w:ind w:left="1800" w:hanging="360"/>
      </w:pPr>
      <w:rPr>
        <w:rFonts w:ascii="Times New Roman" w:eastAsia="Times New Roman" w:hAnsi="Times New Roman" w:hint="default"/>
      </w:rPr>
    </w:lvl>
    <w:lvl w:ilvl="1" w:tplc="B3BE29A6">
      <w:numFmt w:val="bullet"/>
      <w:lvlText w:val="-"/>
      <w:lvlJc w:val="left"/>
      <w:pPr>
        <w:tabs>
          <w:tab w:val="num" w:pos="2520"/>
        </w:tabs>
        <w:ind w:left="2520" w:hanging="360"/>
      </w:pPr>
      <w:rPr>
        <w:rFonts w:ascii="Times New Roman" w:eastAsia="Times New Roman" w:hAnsi="Times New Roman" w:hint="default"/>
      </w:rPr>
    </w:lvl>
    <w:lvl w:ilvl="2" w:tplc="04020005" w:tentative="1">
      <w:start w:val="1"/>
      <w:numFmt w:val="bullet"/>
      <w:lvlText w:val=""/>
      <w:lvlJc w:val="left"/>
      <w:pPr>
        <w:tabs>
          <w:tab w:val="num" w:pos="3240"/>
        </w:tabs>
        <w:ind w:left="3240" w:hanging="360"/>
      </w:pPr>
      <w:rPr>
        <w:rFonts w:ascii="Wingdings" w:hAnsi="Wingdings" w:hint="default"/>
      </w:rPr>
    </w:lvl>
    <w:lvl w:ilvl="3" w:tplc="04020001" w:tentative="1">
      <w:start w:val="1"/>
      <w:numFmt w:val="bullet"/>
      <w:lvlText w:val=""/>
      <w:lvlJc w:val="left"/>
      <w:pPr>
        <w:tabs>
          <w:tab w:val="num" w:pos="3960"/>
        </w:tabs>
        <w:ind w:left="3960" w:hanging="360"/>
      </w:pPr>
      <w:rPr>
        <w:rFonts w:ascii="Symbol" w:hAnsi="Symbol" w:hint="default"/>
      </w:rPr>
    </w:lvl>
    <w:lvl w:ilvl="4" w:tplc="04020003" w:tentative="1">
      <w:start w:val="1"/>
      <w:numFmt w:val="bullet"/>
      <w:lvlText w:val="o"/>
      <w:lvlJc w:val="left"/>
      <w:pPr>
        <w:tabs>
          <w:tab w:val="num" w:pos="4680"/>
        </w:tabs>
        <w:ind w:left="4680" w:hanging="360"/>
      </w:pPr>
      <w:rPr>
        <w:rFonts w:ascii="Courier New" w:hAnsi="Courier New" w:hint="default"/>
      </w:rPr>
    </w:lvl>
    <w:lvl w:ilvl="5" w:tplc="04020005" w:tentative="1">
      <w:start w:val="1"/>
      <w:numFmt w:val="bullet"/>
      <w:lvlText w:val=""/>
      <w:lvlJc w:val="left"/>
      <w:pPr>
        <w:tabs>
          <w:tab w:val="num" w:pos="5400"/>
        </w:tabs>
        <w:ind w:left="5400" w:hanging="360"/>
      </w:pPr>
      <w:rPr>
        <w:rFonts w:ascii="Wingdings" w:hAnsi="Wingdings" w:hint="default"/>
      </w:rPr>
    </w:lvl>
    <w:lvl w:ilvl="6" w:tplc="04020001" w:tentative="1">
      <w:start w:val="1"/>
      <w:numFmt w:val="bullet"/>
      <w:lvlText w:val=""/>
      <w:lvlJc w:val="left"/>
      <w:pPr>
        <w:tabs>
          <w:tab w:val="num" w:pos="6120"/>
        </w:tabs>
        <w:ind w:left="6120" w:hanging="360"/>
      </w:pPr>
      <w:rPr>
        <w:rFonts w:ascii="Symbol" w:hAnsi="Symbol" w:hint="default"/>
      </w:rPr>
    </w:lvl>
    <w:lvl w:ilvl="7" w:tplc="04020003" w:tentative="1">
      <w:start w:val="1"/>
      <w:numFmt w:val="bullet"/>
      <w:lvlText w:val="o"/>
      <w:lvlJc w:val="left"/>
      <w:pPr>
        <w:tabs>
          <w:tab w:val="num" w:pos="6840"/>
        </w:tabs>
        <w:ind w:left="6840" w:hanging="360"/>
      </w:pPr>
      <w:rPr>
        <w:rFonts w:ascii="Courier New" w:hAnsi="Courier New" w:hint="default"/>
      </w:rPr>
    </w:lvl>
    <w:lvl w:ilvl="8" w:tplc="04020005" w:tentative="1">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05083008"/>
    <w:multiLevelType w:val="hybridMultilevel"/>
    <w:tmpl w:val="C976438E"/>
    <w:lvl w:ilvl="0" w:tplc="04020011">
      <w:start w:val="1"/>
      <w:numFmt w:val="decimal"/>
      <w:lvlText w:val="%1)"/>
      <w:lvlJc w:val="left"/>
      <w:pPr>
        <w:ind w:left="1571" w:hanging="360"/>
      </w:p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2" w15:restartNumberingAfterBreak="0">
    <w:nsid w:val="055B2E63"/>
    <w:multiLevelType w:val="hybridMultilevel"/>
    <w:tmpl w:val="74FA35F8"/>
    <w:lvl w:ilvl="0" w:tplc="04020001">
      <w:start w:val="1"/>
      <w:numFmt w:val="bullet"/>
      <w:lvlText w:val=""/>
      <w:lvlJc w:val="left"/>
      <w:pPr>
        <w:tabs>
          <w:tab w:val="num" w:pos="1495"/>
        </w:tabs>
        <w:ind w:left="1495" w:hanging="360"/>
      </w:pPr>
      <w:rPr>
        <w:rFonts w:ascii="Symbol" w:hAnsi="Symbol" w:hint="default"/>
      </w:rPr>
    </w:lvl>
    <w:lvl w:ilvl="1" w:tplc="04020003" w:tentative="1">
      <w:start w:val="1"/>
      <w:numFmt w:val="bullet"/>
      <w:lvlText w:val="o"/>
      <w:lvlJc w:val="left"/>
      <w:pPr>
        <w:tabs>
          <w:tab w:val="num" w:pos="2215"/>
        </w:tabs>
        <w:ind w:left="2215" w:hanging="360"/>
      </w:pPr>
      <w:rPr>
        <w:rFonts w:ascii="Courier New" w:hAnsi="Courier New" w:hint="default"/>
      </w:rPr>
    </w:lvl>
    <w:lvl w:ilvl="2" w:tplc="04020005" w:tentative="1">
      <w:start w:val="1"/>
      <w:numFmt w:val="bullet"/>
      <w:lvlText w:val=""/>
      <w:lvlJc w:val="left"/>
      <w:pPr>
        <w:tabs>
          <w:tab w:val="num" w:pos="2935"/>
        </w:tabs>
        <w:ind w:left="2935" w:hanging="360"/>
      </w:pPr>
      <w:rPr>
        <w:rFonts w:ascii="Wingdings" w:hAnsi="Wingdings" w:hint="default"/>
      </w:rPr>
    </w:lvl>
    <w:lvl w:ilvl="3" w:tplc="04020001" w:tentative="1">
      <w:start w:val="1"/>
      <w:numFmt w:val="bullet"/>
      <w:lvlText w:val=""/>
      <w:lvlJc w:val="left"/>
      <w:pPr>
        <w:tabs>
          <w:tab w:val="num" w:pos="3655"/>
        </w:tabs>
        <w:ind w:left="3655" w:hanging="360"/>
      </w:pPr>
      <w:rPr>
        <w:rFonts w:ascii="Symbol" w:hAnsi="Symbol" w:hint="default"/>
      </w:rPr>
    </w:lvl>
    <w:lvl w:ilvl="4" w:tplc="04020003" w:tentative="1">
      <w:start w:val="1"/>
      <w:numFmt w:val="bullet"/>
      <w:lvlText w:val="o"/>
      <w:lvlJc w:val="left"/>
      <w:pPr>
        <w:tabs>
          <w:tab w:val="num" w:pos="4375"/>
        </w:tabs>
        <w:ind w:left="4375" w:hanging="360"/>
      </w:pPr>
      <w:rPr>
        <w:rFonts w:ascii="Courier New" w:hAnsi="Courier New" w:hint="default"/>
      </w:rPr>
    </w:lvl>
    <w:lvl w:ilvl="5" w:tplc="04020005" w:tentative="1">
      <w:start w:val="1"/>
      <w:numFmt w:val="bullet"/>
      <w:lvlText w:val=""/>
      <w:lvlJc w:val="left"/>
      <w:pPr>
        <w:tabs>
          <w:tab w:val="num" w:pos="5095"/>
        </w:tabs>
        <w:ind w:left="5095" w:hanging="360"/>
      </w:pPr>
      <w:rPr>
        <w:rFonts w:ascii="Wingdings" w:hAnsi="Wingdings" w:hint="default"/>
      </w:rPr>
    </w:lvl>
    <w:lvl w:ilvl="6" w:tplc="04020001" w:tentative="1">
      <w:start w:val="1"/>
      <w:numFmt w:val="bullet"/>
      <w:lvlText w:val=""/>
      <w:lvlJc w:val="left"/>
      <w:pPr>
        <w:tabs>
          <w:tab w:val="num" w:pos="5815"/>
        </w:tabs>
        <w:ind w:left="5815" w:hanging="360"/>
      </w:pPr>
      <w:rPr>
        <w:rFonts w:ascii="Symbol" w:hAnsi="Symbol" w:hint="default"/>
      </w:rPr>
    </w:lvl>
    <w:lvl w:ilvl="7" w:tplc="04020003" w:tentative="1">
      <w:start w:val="1"/>
      <w:numFmt w:val="bullet"/>
      <w:lvlText w:val="o"/>
      <w:lvlJc w:val="left"/>
      <w:pPr>
        <w:tabs>
          <w:tab w:val="num" w:pos="6535"/>
        </w:tabs>
        <w:ind w:left="6535" w:hanging="360"/>
      </w:pPr>
      <w:rPr>
        <w:rFonts w:ascii="Courier New" w:hAnsi="Courier New" w:hint="default"/>
      </w:rPr>
    </w:lvl>
    <w:lvl w:ilvl="8" w:tplc="04020005" w:tentative="1">
      <w:start w:val="1"/>
      <w:numFmt w:val="bullet"/>
      <w:lvlText w:val=""/>
      <w:lvlJc w:val="left"/>
      <w:pPr>
        <w:tabs>
          <w:tab w:val="num" w:pos="7255"/>
        </w:tabs>
        <w:ind w:left="7255" w:hanging="360"/>
      </w:pPr>
      <w:rPr>
        <w:rFonts w:ascii="Wingdings" w:hAnsi="Wingdings" w:hint="default"/>
      </w:rPr>
    </w:lvl>
  </w:abstractNum>
  <w:abstractNum w:abstractNumId="23" w15:restartNumberingAfterBreak="0">
    <w:nsid w:val="056C1D2A"/>
    <w:multiLevelType w:val="hybridMultilevel"/>
    <w:tmpl w:val="149889CC"/>
    <w:lvl w:ilvl="0" w:tplc="2EC232BE">
      <w:start w:val="1"/>
      <w:numFmt w:val="bullet"/>
      <w:lvlText w:val="-"/>
      <w:lvlJc w:val="left"/>
      <w:pPr>
        <w:ind w:left="1571" w:hanging="360"/>
      </w:pPr>
      <w:rPr>
        <w:rFonts w:ascii="Times New Roman" w:hAnsi="Times New Roman" w:cs="Times New Roman" w:hint="default"/>
      </w:rPr>
    </w:lvl>
    <w:lvl w:ilvl="1" w:tplc="04020003">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4" w15:restartNumberingAfterBreak="0">
    <w:nsid w:val="05A411CB"/>
    <w:multiLevelType w:val="hybridMultilevel"/>
    <w:tmpl w:val="A9883BF0"/>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5" w15:restartNumberingAfterBreak="0">
    <w:nsid w:val="06163875"/>
    <w:multiLevelType w:val="hybridMultilevel"/>
    <w:tmpl w:val="45982F2E"/>
    <w:lvl w:ilvl="0" w:tplc="6C7AE3FC">
      <w:start w:val="10"/>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6" w15:restartNumberingAfterBreak="0">
    <w:nsid w:val="06B87B91"/>
    <w:multiLevelType w:val="hybridMultilevel"/>
    <w:tmpl w:val="89C4A596"/>
    <w:lvl w:ilvl="0" w:tplc="E85CC0BA">
      <w:start w:val="1"/>
      <w:numFmt w:val="bullet"/>
      <w:lvlText w:val="•"/>
      <w:lvlJc w:val="left"/>
      <w:pPr>
        <w:tabs>
          <w:tab w:val="num" w:pos="720"/>
        </w:tabs>
        <w:ind w:left="720" w:hanging="360"/>
      </w:pPr>
      <w:rPr>
        <w:rFonts w:ascii="Arial" w:hAnsi="Arial" w:hint="default"/>
      </w:rPr>
    </w:lvl>
    <w:lvl w:ilvl="1" w:tplc="57C21142" w:tentative="1">
      <w:start w:val="1"/>
      <w:numFmt w:val="bullet"/>
      <w:lvlText w:val="•"/>
      <w:lvlJc w:val="left"/>
      <w:pPr>
        <w:tabs>
          <w:tab w:val="num" w:pos="1440"/>
        </w:tabs>
        <w:ind w:left="1440" w:hanging="360"/>
      </w:pPr>
      <w:rPr>
        <w:rFonts w:ascii="Arial" w:hAnsi="Arial" w:hint="default"/>
      </w:rPr>
    </w:lvl>
    <w:lvl w:ilvl="2" w:tplc="704A4344" w:tentative="1">
      <w:start w:val="1"/>
      <w:numFmt w:val="bullet"/>
      <w:lvlText w:val="•"/>
      <w:lvlJc w:val="left"/>
      <w:pPr>
        <w:tabs>
          <w:tab w:val="num" w:pos="2160"/>
        </w:tabs>
        <w:ind w:left="2160" w:hanging="360"/>
      </w:pPr>
      <w:rPr>
        <w:rFonts w:ascii="Arial" w:hAnsi="Arial" w:hint="default"/>
      </w:rPr>
    </w:lvl>
    <w:lvl w:ilvl="3" w:tplc="F02A152C" w:tentative="1">
      <w:start w:val="1"/>
      <w:numFmt w:val="bullet"/>
      <w:lvlText w:val="•"/>
      <w:lvlJc w:val="left"/>
      <w:pPr>
        <w:tabs>
          <w:tab w:val="num" w:pos="2880"/>
        </w:tabs>
        <w:ind w:left="2880" w:hanging="360"/>
      </w:pPr>
      <w:rPr>
        <w:rFonts w:ascii="Arial" w:hAnsi="Arial" w:hint="default"/>
      </w:rPr>
    </w:lvl>
    <w:lvl w:ilvl="4" w:tplc="9D3ECD6E" w:tentative="1">
      <w:start w:val="1"/>
      <w:numFmt w:val="bullet"/>
      <w:lvlText w:val="•"/>
      <w:lvlJc w:val="left"/>
      <w:pPr>
        <w:tabs>
          <w:tab w:val="num" w:pos="3600"/>
        </w:tabs>
        <w:ind w:left="3600" w:hanging="360"/>
      </w:pPr>
      <w:rPr>
        <w:rFonts w:ascii="Arial" w:hAnsi="Arial" w:hint="default"/>
      </w:rPr>
    </w:lvl>
    <w:lvl w:ilvl="5" w:tplc="9702C8EE" w:tentative="1">
      <w:start w:val="1"/>
      <w:numFmt w:val="bullet"/>
      <w:lvlText w:val="•"/>
      <w:lvlJc w:val="left"/>
      <w:pPr>
        <w:tabs>
          <w:tab w:val="num" w:pos="4320"/>
        </w:tabs>
        <w:ind w:left="4320" w:hanging="360"/>
      </w:pPr>
      <w:rPr>
        <w:rFonts w:ascii="Arial" w:hAnsi="Arial" w:hint="default"/>
      </w:rPr>
    </w:lvl>
    <w:lvl w:ilvl="6" w:tplc="F222A72A" w:tentative="1">
      <w:start w:val="1"/>
      <w:numFmt w:val="bullet"/>
      <w:lvlText w:val="•"/>
      <w:lvlJc w:val="left"/>
      <w:pPr>
        <w:tabs>
          <w:tab w:val="num" w:pos="5040"/>
        </w:tabs>
        <w:ind w:left="5040" w:hanging="360"/>
      </w:pPr>
      <w:rPr>
        <w:rFonts w:ascii="Arial" w:hAnsi="Arial" w:hint="default"/>
      </w:rPr>
    </w:lvl>
    <w:lvl w:ilvl="7" w:tplc="65B66FDA" w:tentative="1">
      <w:start w:val="1"/>
      <w:numFmt w:val="bullet"/>
      <w:lvlText w:val="•"/>
      <w:lvlJc w:val="left"/>
      <w:pPr>
        <w:tabs>
          <w:tab w:val="num" w:pos="5760"/>
        </w:tabs>
        <w:ind w:left="5760" w:hanging="360"/>
      </w:pPr>
      <w:rPr>
        <w:rFonts w:ascii="Arial" w:hAnsi="Arial" w:hint="default"/>
      </w:rPr>
    </w:lvl>
    <w:lvl w:ilvl="8" w:tplc="8752CC9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06C571BE"/>
    <w:multiLevelType w:val="hybridMultilevel"/>
    <w:tmpl w:val="2736B734"/>
    <w:lvl w:ilvl="0" w:tplc="04020001">
      <w:start w:val="1"/>
      <w:numFmt w:val="bullet"/>
      <w:lvlText w:val=""/>
      <w:lvlJc w:val="left"/>
      <w:pPr>
        <w:ind w:left="1211" w:hanging="360"/>
      </w:pPr>
      <w:rPr>
        <w:rFonts w:ascii="Symbol" w:hAnsi="Symbol" w:hint="default"/>
      </w:rPr>
    </w:lvl>
    <w:lvl w:ilvl="1" w:tplc="04020003">
      <w:start w:val="1"/>
      <w:numFmt w:val="bullet"/>
      <w:lvlText w:val="o"/>
      <w:lvlJc w:val="left"/>
      <w:pPr>
        <w:ind w:left="1931" w:hanging="360"/>
      </w:pPr>
      <w:rPr>
        <w:rFonts w:ascii="Courier New" w:hAnsi="Courier New" w:cs="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cs="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cs="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28" w15:restartNumberingAfterBreak="0">
    <w:nsid w:val="06E95B0B"/>
    <w:multiLevelType w:val="hybridMultilevel"/>
    <w:tmpl w:val="6826FC84"/>
    <w:lvl w:ilvl="0" w:tplc="0402000F">
      <w:start w:val="9"/>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9" w15:restartNumberingAfterBreak="0">
    <w:nsid w:val="070752E9"/>
    <w:multiLevelType w:val="hybridMultilevel"/>
    <w:tmpl w:val="2EACCDEC"/>
    <w:lvl w:ilvl="0" w:tplc="538EE82C">
      <w:start w:val="1"/>
      <w:numFmt w:val="bullet"/>
      <w:lvlText w:val="•"/>
      <w:lvlJc w:val="left"/>
      <w:pPr>
        <w:ind w:left="1380" w:hanging="360"/>
      </w:pPr>
      <w:rPr>
        <w:rFonts w:ascii="Times New Roman" w:hAnsi="Times New Roman" w:hint="default"/>
      </w:rPr>
    </w:lvl>
    <w:lvl w:ilvl="1" w:tplc="04020003" w:tentative="1">
      <w:start w:val="1"/>
      <w:numFmt w:val="bullet"/>
      <w:lvlText w:val="o"/>
      <w:lvlJc w:val="left"/>
      <w:pPr>
        <w:ind w:left="2100" w:hanging="360"/>
      </w:pPr>
      <w:rPr>
        <w:rFonts w:ascii="Courier New" w:hAnsi="Courier New" w:hint="default"/>
      </w:rPr>
    </w:lvl>
    <w:lvl w:ilvl="2" w:tplc="04020005" w:tentative="1">
      <w:start w:val="1"/>
      <w:numFmt w:val="bullet"/>
      <w:lvlText w:val=""/>
      <w:lvlJc w:val="left"/>
      <w:pPr>
        <w:ind w:left="2820" w:hanging="360"/>
      </w:pPr>
      <w:rPr>
        <w:rFonts w:ascii="Wingdings" w:hAnsi="Wingdings" w:hint="default"/>
      </w:rPr>
    </w:lvl>
    <w:lvl w:ilvl="3" w:tplc="04020001" w:tentative="1">
      <w:start w:val="1"/>
      <w:numFmt w:val="bullet"/>
      <w:lvlText w:val=""/>
      <w:lvlJc w:val="left"/>
      <w:pPr>
        <w:ind w:left="3540" w:hanging="360"/>
      </w:pPr>
      <w:rPr>
        <w:rFonts w:ascii="Symbol" w:hAnsi="Symbol" w:hint="default"/>
      </w:rPr>
    </w:lvl>
    <w:lvl w:ilvl="4" w:tplc="04020003" w:tentative="1">
      <w:start w:val="1"/>
      <w:numFmt w:val="bullet"/>
      <w:lvlText w:val="o"/>
      <w:lvlJc w:val="left"/>
      <w:pPr>
        <w:ind w:left="4260" w:hanging="360"/>
      </w:pPr>
      <w:rPr>
        <w:rFonts w:ascii="Courier New" w:hAnsi="Courier New" w:hint="default"/>
      </w:rPr>
    </w:lvl>
    <w:lvl w:ilvl="5" w:tplc="04020005" w:tentative="1">
      <w:start w:val="1"/>
      <w:numFmt w:val="bullet"/>
      <w:lvlText w:val=""/>
      <w:lvlJc w:val="left"/>
      <w:pPr>
        <w:ind w:left="4980" w:hanging="360"/>
      </w:pPr>
      <w:rPr>
        <w:rFonts w:ascii="Wingdings" w:hAnsi="Wingdings" w:hint="default"/>
      </w:rPr>
    </w:lvl>
    <w:lvl w:ilvl="6" w:tplc="04020001" w:tentative="1">
      <w:start w:val="1"/>
      <w:numFmt w:val="bullet"/>
      <w:lvlText w:val=""/>
      <w:lvlJc w:val="left"/>
      <w:pPr>
        <w:ind w:left="5700" w:hanging="360"/>
      </w:pPr>
      <w:rPr>
        <w:rFonts w:ascii="Symbol" w:hAnsi="Symbol" w:hint="default"/>
      </w:rPr>
    </w:lvl>
    <w:lvl w:ilvl="7" w:tplc="04020003" w:tentative="1">
      <w:start w:val="1"/>
      <w:numFmt w:val="bullet"/>
      <w:lvlText w:val="o"/>
      <w:lvlJc w:val="left"/>
      <w:pPr>
        <w:ind w:left="6420" w:hanging="360"/>
      </w:pPr>
      <w:rPr>
        <w:rFonts w:ascii="Courier New" w:hAnsi="Courier New" w:hint="default"/>
      </w:rPr>
    </w:lvl>
    <w:lvl w:ilvl="8" w:tplc="04020005" w:tentative="1">
      <w:start w:val="1"/>
      <w:numFmt w:val="bullet"/>
      <w:lvlText w:val=""/>
      <w:lvlJc w:val="left"/>
      <w:pPr>
        <w:ind w:left="7140" w:hanging="360"/>
      </w:pPr>
      <w:rPr>
        <w:rFonts w:ascii="Wingdings" w:hAnsi="Wingdings" w:hint="default"/>
      </w:rPr>
    </w:lvl>
  </w:abstractNum>
  <w:abstractNum w:abstractNumId="30" w15:restartNumberingAfterBreak="0">
    <w:nsid w:val="07253C98"/>
    <w:multiLevelType w:val="hybridMultilevel"/>
    <w:tmpl w:val="99D4CFD0"/>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1" w15:restartNumberingAfterBreak="0">
    <w:nsid w:val="07405269"/>
    <w:multiLevelType w:val="hybridMultilevel"/>
    <w:tmpl w:val="187C8D66"/>
    <w:lvl w:ilvl="0" w:tplc="0402000D">
      <w:start w:val="1"/>
      <w:numFmt w:val="bullet"/>
      <w:lvlText w:val=""/>
      <w:lvlJc w:val="left"/>
      <w:pPr>
        <w:tabs>
          <w:tab w:val="num" w:pos="1160"/>
        </w:tabs>
        <w:ind w:left="1160" w:hanging="360"/>
      </w:pPr>
      <w:rPr>
        <w:rFonts w:ascii="Wingdings" w:hAnsi="Wingdings" w:hint="default"/>
        <w:b/>
      </w:rPr>
    </w:lvl>
    <w:lvl w:ilvl="1" w:tplc="0402000D">
      <w:start w:val="1"/>
      <w:numFmt w:val="bullet"/>
      <w:lvlText w:val=""/>
      <w:lvlJc w:val="left"/>
      <w:pPr>
        <w:tabs>
          <w:tab w:val="num" w:pos="980"/>
        </w:tabs>
        <w:ind w:left="980" w:hanging="360"/>
      </w:pPr>
      <w:rPr>
        <w:rFonts w:ascii="Wingdings" w:hAnsi="Wingdings" w:hint="default"/>
        <w:b/>
      </w:rPr>
    </w:lvl>
    <w:lvl w:ilvl="2" w:tplc="0402001B" w:tentative="1">
      <w:start w:val="1"/>
      <w:numFmt w:val="lowerRoman"/>
      <w:lvlText w:val="%3."/>
      <w:lvlJc w:val="right"/>
      <w:pPr>
        <w:tabs>
          <w:tab w:val="num" w:pos="1700"/>
        </w:tabs>
        <w:ind w:left="1700" w:hanging="180"/>
      </w:pPr>
      <w:rPr>
        <w:rFonts w:cs="Times New Roman"/>
      </w:rPr>
    </w:lvl>
    <w:lvl w:ilvl="3" w:tplc="0402000F" w:tentative="1">
      <w:start w:val="1"/>
      <w:numFmt w:val="decimal"/>
      <w:lvlText w:val="%4."/>
      <w:lvlJc w:val="left"/>
      <w:pPr>
        <w:tabs>
          <w:tab w:val="num" w:pos="2420"/>
        </w:tabs>
        <w:ind w:left="2420" w:hanging="360"/>
      </w:pPr>
      <w:rPr>
        <w:rFonts w:cs="Times New Roman"/>
      </w:rPr>
    </w:lvl>
    <w:lvl w:ilvl="4" w:tplc="04020019" w:tentative="1">
      <w:start w:val="1"/>
      <w:numFmt w:val="lowerLetter"/>
      <w:lvlText w:val="%5."/>
      <w:lvlJc w:val="left"/>
      <w:pPr>
        <w:tabs>
          <w:tab w:val="num" w:pos="3140"/>
        </w:tabs>
        <w:ind w:left="3140" w:hanging="360"/>
      </w:pPr>
      <w:rPr>
        <w:rFonts w:cs="Times New Roman"/>
      </w:rPr>
    </w:lvl>
    <w:lvl w:ilvl="5" w:tplc="0402001B" w:tentative="1">
      <w:start w:val="1"/>
      <w:numFmt w:val="lowerRoman"/>
      <w:lvlText w:val="%6."/>
      <w:lvlJc w:val="right"/>
      <w:pPr>
        <w:tabs>
          <w:tab w:val="num" w:pos="3860"/>
        </w:tabs>
        <w:ind w:left="3860" w:hanging="180"/>
      </w:pPr>
      <w:rPr>
        <w:rFonts w:cs="Times New Roman"/>
      </w:rPr>
    </w:lvl>
    <w:lvl w:ilvl="6" w:tplc="0402000F" w:tentative="1">
      <w:start w:val="1"/>
      <w:numFmt w:val="decimal"/>
      <w:lvlText w:val="%7."/>
      <w:lvlJc w:val="left"/>
      <w:pPr>
        <w:tabs>
          <w:tab w:val="num" w:pos="4580"/>
        </w:tabs>
        <w:ind w:left="4580" w:hanging="360"/>
      </w:pPr>
      <w:rPr>
        <w:rFonts w:cs="Times New Roman"/>
      </w:rPr>
    </w:lvl>
    <w:lvl w:ilvl="7" w:tplc="04020019" w:tentative="1">
      <w:start w:val="1"/>
      <w:numFmt w:val="lowerLetter"/>
      <w:lvlText w:val="%8."/>
      <w:lvlJc w:val="left"/>
      <w:pPr>
        <w:tabs>
          <w:tab w:val="num" w:pos="5300"/>
        </w:tabs>
        <w:ind w:left="5300" w:hanging="360"/>
      </w:pPr>
      <w:rPr>
        <w:rFonts w:cs="Times New Roman"/>
      </w:rPr>
    </w:lvl>
    <w:lvl w:ilvl="8" w:tplc="0402001B" w:tentative="1">
      <w:start w:val="1"/>
      <w:numFmt w:val="lowerRoman"/>
      <w:lvlText w:val="%9."/>
      <w:lvlJc w:val="right"/>
      <w:pPr>
        <w:tabs>
          <w:tab w:val="num" w:pos="6020"/>
        </w:tabs>
        <w:ind w:left="6020" w:hanging="180"/>
      </w:pPr>
      <w:rPr>
        <w:rFonts w:cs="Times New Roman"/>
      </w:rPr>
    </w:lvl>
  </w:abstractNum>
  <w:abstractNum w:abstractNumId="32" w15:restartNumberingAfterBreak="0">
    <w:nsid w:val="07451C66"/>
    <w:multiLevelType w:val="hybridMultilevel"/>
    <w:tmpl w:val="C540E020"/>
    <w:lvl w:ilvl="0" w:tplc="04090001">
      <w:start w:val="1"/>
      <w:numFmt w:val="bullet"/>
      <w:lvlText w:val=""/>
      <w:lvlJc w:val="left"/>
      <w:pPr>
        <w:tabs>
          <w:tab w:val="num" w:pos="720"/>
        </w:tabs>
        <w:ind w:left="720" w:hanging="360"/>
      </w:pPr>
      <w:rPr>
        <w:rFonts w:ascii="Symbol" w:hAnsi="Symbol" w:hint="default"/>
      </w:rPr>
    </w:lvl>
    <w:lvl w:ilvl="1" w:tplc="0402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7817F32"/>
    <w:multiLevelType w:val="hybridMultilevel"/>
    <w:tmpl w:val="E1EA72CE"/>
    <w:lvl w:ilvl="0" w:tplc="AE02FFE8">
      <w:start w:val="1"/>
      <w:numFmt w:val="bullet"/>
      <w:pStyle w:val="Bullet"/>
      <w:lvlText w:val="-"/>
      <w:lvlJc w:val="left"/>
      <w:pPr>
        <w:tabs>
          <w:tab w:val="num" w:pos="360"/>
        </w:tabs>
        <w:ind w:left="360" w:hanging="360"/>
      </w:pPr>
      <w:rPr>
        <w:rFonts w:ascii="Times New Roman" w:hAnsi="Times New Roman"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07822B99"/>
    <w:multiLevelType w:val="hybridMultilevel"/>
    <w:tmpl w:val="A26EC790"/>
    <w:lvl w:ilvl="0" w:tplc="EE26D7D2">
      <w:start w:val="1"/>
      <w:numFmt w:val="bullet"/>
      <w:lvlText w:val=""/>
      <w:lvlJc w:val="left"/>
      <w:pPr>
        <w:tabs>
          <w:tab w:val="num" w:pos="720"/>
        </w:tabs>
        <w:ind w:left="720" w:hanging="360"/>
      </w:pPr>
      <w:rPr>
        <w:rFonts w:ascii="Wingdings" w:hAnsi="Wingdings" w:hint="default"/>
        <w:b w:val="0"/>
      </w:rPr>
    </w:lvl>
    <w:lvl w:ilvl="1" w:tplc="9B0EDAB8">
      <w:start w:val="1"/>
      <w:numFmt w:val="decimal"/>
      <w:lvlText w:val="13.%2."/>
      <w:lvlJc w:val="left"/>
      <w:pPr>
        <w:tabs>
          <w:tab w:val="num" w:pos="1931"/>
        </w:tabs>
        <w:ind w:left="1931" w:hanging="851"/>
      </w:pPr>
      <w:rPr>
        <w:rFonts w:cs="Times New Roman" w:hint="default"/>
        <w:b/>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07A03BC1"/>
    <w:multiLevelType w:val="multilevel"/>
    <w:tmpl w:val="0402001D"/>
    <w:lvl w:ilvl="0">
      <w:start w:val="1"/>
      <w:numFmt w:val="decimal"/>
      <w:lvlText w:val="%1)"/>
      <w:lvlJc w:val="left"/>
      <w:pPr>
        <w:ind w:left="360" w:hanging="360"/>
      </w:pPr>
      <w:rPr>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08125DFE"/>
    <w:multiLevelType w:val="hybridMultilevel"/>
    <w:tmpl w:val="23B08B92"/>
    <w:lvl w:ilvl="0" w:tplc="0402000F">
      <w:start w:val="1"/>
      <w:numFmt w:val="decimal"/>
      <w:lvlText w:val="%1."/>
      <w:lvlJc w:val="left"/>
      <w:pPr>
        <w:ind w:left="1635" w:hanging="360"/>
      </w:pPr>
    </w:lvl>
    <w:lvl w:ilvl="1" w:tplc="04020019" w:tentative="1">
      <w:start w:val="1"/>
      <w:numFmt w:val="lowerLetter"/>
      <w:lvlText w:val="%2."/>
      <w:lvlJc w:val="left"/>
      <w:pPr>
        <w:ind w:left="2355" w:hanging="360"/>
      </w:pPr>
    </w:lvl>
    <w:lvl w:ilvl="2" w:tplc="0402001B" w:tentative="1">
      <w:start w:val="1"/>
      <w:numFmt w:val="lowerRoman"/>
      <w:lvlText w:val="%3."/>
      <w:lvlJc w:val="right"/>
      <w:pPr>
        <w:ind w:left="3075" w:hanging="180"/>
      </w:pPr>
    </w:lvl>
    <w:lvl w:ilvl="3" w:tplc="0402000F" w:tentative="1">
      <w:start w:val="1"/>
      <w:numFmt w:val="decimal"/>
      <w:lvlText w:val="%4."/>
      <w:lvlJc w:val="left"/>
      <w:pPr>
        <w:ind w:left="3795" w:hanging="360"/>
      </w:pPr>
    </w:lvl>
    <w:lvl w:ilvl="4" w:tplc="04020019" w:tentative="1">
      <w:start w:val="1"/>
      <w:numFmt w:val="lowerLetter"/>
      <w:lvlText w:val="%5."/>
      <w:lvlJc w:val="left"/>
      <w:pPr>
        <w:ind w:left="4515" w:hanging="360"/>
      </w:pPr>
    </w:lvl>
    <w:lvl w:ilvl="5" w:tplc="0402001B" w:tentative="1">
      <w:start w:val="1"/>
      <w:numFmt w:val="lowerRoman"/>
      <w:lvlText w:val="%6."/>
      <w:lvlJc w:val="right"/>
      <w:pPr>
        <w:ind w:left="5235" w:hanging="180"/>
      </w:pPr>
    </w:lvl>
    <w:lvl w:ilvl="6" w:tplc="0402000F" w:tentative="1">
      <w:start w:val="1"/>
      <w:numFmt w:val="decimal"/>
      <w:lvlText w:val="%7."/>
      <w:lvlJc w:val="left"/>
      <w:pPr>
        <w:ind w:left="5955" w:hanging="360"/>
      </w:pPr>
    </w:lvl>
    <w:lvl w:ilvl="7" w:tplc="04020019" w:tentative="1">
      <w:start w:val="1"/>
      <w:numFmt w:val="lowerLetter"/>
      <w:lvlText w:val="%8."/>
      <w:lvlJc w:val="left"/>
      <w:pPr>
        <w:ind w:left="6675" w:hanging="360"/>
      </w:pPr>
    </w:lvl>
    <w:lvl w:ilvl="8" w:tplc="0402001B" w:tentative="1">
      <w:start w:val="1"/>
      <w:numFmt w:val="lowerRoman"/>
      <w:lvlText w:val="%9."/>
      <w:lvlJc w:val="right"/>
      <w:pPr>
        <w:ind w:left="7395" w:hanging="180"/>
      </w:pPr>
    </w:lvl>
  </w:abstractNum>
  <w:abstractNum w:abstractNumId="37" w15:restartNumberingAfterBreak="0">
    <w:nsid w:val="083D4D02"/>
    <w:multiLevelType w:val="hybridMultilevel"/>
    <w:tmpl w:val="3CC0F62C"/>
    <w:lvl w:ilvl="0" w:tplc="E14CCEEE">
      <w:numFmt w:val="bullet"/>
      <w:lvlText w:val="-"/>
      <w:lvlJc w:val="left"/>
      <w:pPr>
        <w:ind w:left="720" w:hanging="360"/>
      </w:pPr>
      <w:rPr>
        <w:rFonts w:ascii="Calibri" w:eastAsia="Times New Roman" w:hAnsi="Calibri"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15:restartNumberingAfterBreak="0">
    <w:nsid w:val="08861DB2"/>
    <w:multiLevelType w:val="hybridMultilevel"/>
    <w:tmpl w:val="30709440"/>
    <w:lvl w:ilvl="0" w:tplc="C19C1AB2">
      <w:start w:val="1"/>
      <w:numFmt w:val="decimal"/>
      <w:lvlText w:val="%1)"/>
      <w:lvlJc w:val="left"/>
      <w:pPr>
        <w:ind w:left="720" w:hanging="360"/>
      </w:pPr>
      <w:rPr>
        <w:rFonts w:cs="Times New Roman"/>
        <w:b/>
        <w:i w:val="0"/>
      </w:rPr>
    </w:lvl>
    <w:lvl w:ilvl="1" w:tplc="04020019">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39" w15:restartNumberingAfterBreak="0">
    <w:nsid w:val="08B71260"/>
    <w:multiLevelType w:val="hybridMultilevel"/>
    <w:tmpl w:val="0E18EA44"/>
    <w:lvl w:ilvl="0" w:tplc="285CB388">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40" w15:restartNumberingAfterBreak="0">
    <w:nsid w:val="08F1477E"/>
    <w:multiLevelType w:val="hybridMultilevel"/>
    <w:tmpl w:val="D47066FA"/>
    <w:lvl w:ilvl="0" w:tplc="FBC41044">
      <w:start w:val="1"/>
      <w:numFmt w:val="bullet"/>
      <w:lvlText w:val=""/>
      <w:lvlJc w:val="left"/>
      <w:pPr>
        <w:tabs>
          <w:tab w:val="num" w:pos="720"/>
        </w:tabs>
        <w:ind w:left="720" w:hanging="360"/>
      </w:pPr>
      <w:rPr>
        <w:rFonts w:ascii="Wingdings" w:hAnsi="Wingdings" w:hint="default"/>
      </w:rPr>
    </w:lvl>
    <w:lvl w:ilvl="1" w:tplc="71B6E428">
      <w:start w:val="1"/>
      <w:numFmt w:val="bullet"/>
      <w:lvlText w:val=""/>
      <w:lvlJc w:val="left"/>
      <w:pPr>
        <w:tabs>
          <w:tab w:val="num" w:pos="1440"/>
        </w:tabs>
        <w:ind w:left="1440" w:hanging="360"/>
      </w:pPr>
      <w:rPr>
        <w:rFonts w:ascii="Wingdings" w:hAnsi="Wingdings" w:hint="default"/>
      </w:rPr>
    </w:lvl>
    <w:lvl w:ilvl="2" w:tplc="93AC9F02">
      <w:start w:val="159"/>
      <w:numFmt w:val="bullet"/>
      <w:lvlText w:val="•"/>
      <w:lvlJc w:val="left"/>
      <w:pPr>
        <w:tabs>
          <w:tab w:val="num" w:pos="2160"/>
        </w:tabs>
        <w:ind w:left="2160" w:hanging="360"/>
      </w:pPr>
      <w:rPr>
        <w:rFonts w:ascii="Times New Roman" w:hAnsi="Times New Roman" w:hint="default"/>
      </w:rPr>
    </w:lvl>
    <w:lvl w:ilvl="3" w:tplc="7E6C71DC" w:tentative="1">
      <w:start w:val="1"/>
      <w:numFmt w:val="bullet"/>
      <w:lvlText w:val=""/>
      <w:lvlJc w:val="left"/>
      <w:pPr>
        <w:tabs>
          <w:tab w:val="num" w:pos="2880"/>
        </w:tabs>
        <w:ind w:left="2880" w:hanging="360"/>
      </w:pPr>
      <w:rPr>
        <w:rFonts w:ascii="Wingdings" w:hAnsi="Wingdings" w:hint="default"/>
      </w:rPr>
    </w:lvl>
    <w:lvl w:ilvl="4" w:tplc="8AE64336" w:tentative="1">
      <w:start w:val="1"/>
      <w:numFmt w:val="bullet"/>
      <w:lvlText w:val=""/>
      <w:lvlJc w:val="left"/>
      <w:pPr>
        <w:tabs>
          <w:tab w:val="num" w:pos="3600"/>
        </w:tabs>
        <w:ind w:left="3600" w:hanging="360"/>
      </w:pPr>
      <w:rPr>
        <w:rFonts w:ascii="Wingdings" w:hAnsi="Wingdings" w:hint="default"/>
      </w:rPr>
    </w:lvl>
    <w:lvl w:ilvl="5" w:tplc="BCAC8BE2" w:tentative="1">
      <w:start w:val="1"/>
      <w:numFmt w:val="bullet"/>
      <w:lvlText w:val=""/>
      <w:lvlJc w:val="left"/>
      <w:pPr>
        <w:tabs>
          <w:tab w:val="num" w:pos="4320"/>
        </w:tabs>
        <w:ind w:left="4320" w:hanging="360"/>
      </w:pPr>
      <w:rPr>
        <w:rFonts w:ascii="Wingdings" w:hAnsi="Wingdings" w:hint="default"/>
      </w:rPr>
    </w:lvl>
    <w:lvl w:ilvl="6" w:tplc="D248A7DC" w:tentative="1">
      <w:start w:val="1"/>
      <w:numFmt w:val="bullet"/>
      <w:lvlText w:val=""/>
      <w:lvlJc w:val="left"/>
      <w:pPr>
        <w:tabs>
          <w:tab w:val="num" w:pos="5040"/>
        </w:tabs>
        <w:ind w:left="5040" w:hanging="360"/>
      </w:pPr>
      <w:rPr>
        <w:rFonts w:ascii="Wingdings" w:hAnsi="Wingdings" w:hint="default"/>
      </w:rPr>
    </w:lvl>
    <w:lvl w:ilvl="7" w:tplc="34C60B00" w:tentative="1">
      <w:start w:val="1"/>
      <w:numFmt w:val="bullet"/>
      <w:lvlText w:val=""/>
      <w:lvlJc w:val="left"/>
      <w:pPr>
        <w:tabs>
          <w:tab w:val="num" w:pos="5760"/>
        </w:tabs>
        <w:ind w:left="5760" w:hanging="360"/>
      </w:pPr>
      <w:rPr>
        <w:rFonts w:ascii="Wingdings" w:hAnsi="Wingdings" w:hint="default"/>
      </w:rPr>
    </w:lvl>
    <w:lvl w:ilvl="8" w:tplc="3C9211CC"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097D2F5B"/>
    <w:multiLevelType w:val="hybridMultilevel"/>
    <w:tmpl w:val="D5CA3BBA"/>
    <w:lvl w:ilvl="0" w:tplc="FFFFFFFF">
      <w:start w:val="1"/>
      <w:numFmt w:val="bullet"/>
      <w:lvlText w:val=""/>
      <w:lvlJc w:val="left"/>
      <w:pPr>
        <w:tabs>
          <w:tab w:val="num" w:pos="1854"/>
        </w:tabs>
        <w:ind w:left="1854"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15:restartNumberingAfterBreak="0">
    <w:nsid w:val="099D0CDF"/>
    <w:multiLevelType w:val="hybridMultilevel"/>
    <w:tmpl w:val="0C8254D0"/>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3" w15:restartNumberingAfterBreak="0">
    <w:nsid w:val="09E55225"/>
    <w:multiLevelType w:val="hybridMultilevel"/>
    <w:tmpl w:val="C9D8FDF4"/>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44" w15:restartNumberingAfterBreak="0">
    <w:nsid w:val="09E955F3"/>
    <w:multiLevelType w:val="hybridMultilevel"/>
    <w:tmpl w:val="39248FD8"/>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5" w15:restartNumberingAfterBreak="0">
    <w:nsid w:val="0AB03278"/>
    <w:multiLevelType w:val="hybridMultilevel"/>
    <w:tmpl w:val="D46CD264"/>
    <w:lvl w:ilvl="0" w:tplc="952C525E">
      <w:start w:val="3"/>
      <w:numFmt w:val="bullet"/>
      <w:lvlText w:val="-"/>
      <w:lvlJc w:val="left"/>
      <w:pPr>
        <w:ind w:left="900" w:hanging="360"/>
      </w:pPr>
      <w:rPr>
        <w:rFonts w:ascii="Times New Roman" w:eastAsia="Times New Roman" w:hAnsi="Times New Roman" w:hint="default"/>
        <w:b/>
      </w:rPr>
    </w:lvl>
    <w:lvl w:ilvl="1" w:tplc="08090019" w:tentative="1">
      <w:start w:val="1"/>
      <w:numFmt w:val="lowerLetter"/>
      <w:lvlText w:val="%2."/>
      <w:lvlJc w:val="left"/>
      <w:pPr>
        <w:ind w:left="1620" w:hanging="360"/>
      </w:pPr>
      <w:rPr>
        <w:rFonts w:cs="Times New Roman"/>
      </w:rPr>
    </w:lvl>
    <w:lvl w:ilvl="2" w:tplc="0809001B" w:tentative="1">
      <w:start w:val="1"/>
      <w:numFmt w:val="lowerRoman"/>
      <w:lvlText w:val="%3."/>
      <w:lvlJc w:val="right"/>
      <w:pPr>
        <w:ind w:left="2340" w:hanging="180"/>
      </w:pPr>
      <w:rPr>
        <w:rFonts w:cs="Times New Roman"/>
      </w:rPr>
    </w:lvl>
    <w:lvl w:ilvl="3" w:tplc="0809000F" w:tentative="1">
      <w:start w:val="1"/>
      <w:numFmt w:val="decimal"/>
      <w:lvlText w:val="%4."/>
      <w:lvlJc w:val="left"/>
      <w:pPr>
        <w:ind w:left="3060" w:hanging="360"/>
      </w:pPr>
      <w:rPr>
        <w:rFonts w:cs="Times New Roman"/>
      </w:rPr>
    </w:lvl>
    <w:lvl w:ilvl="4" w:tplc="08090019" w:tentative="1">
      <w:start w:val="1"/>
      <w:numFmt w:val="lowerLetter"/>
      <w:lvlText w:val="%5."/>
      <w:lvlJc w:val="left"/>
      <w:pPr>
        <w:ind w:left="3780" w:hanging="360"/>
      </w:pPr>
      <w:rPr>
        <w:rFonts w:cs="Times New Roman"/>
      </w:rPr>
    </w:lvl>
    <w:lvl w:ilvl="5" w:tplc="0809001B" w:tentative="1">
      <w:start w:val="1"/>
      <w:numFmt w:val="lowerRoman"/>
      <w:lvlText w:val="%6."/>
      <w:lvlJc w:val="right"/>
      <w:pPr>
        <w:ind w:left="4500" w:hanging="180"/>
      </w:pPr>
      <w:rPr>
        <w:rFonts w:cs="Times New Roman"/>
      </w:rPr>
    </w:lvl>
    <w:lvl w:ilvl="6" w:tplc="0809000F" w:tentative="1">
      <w:start w:val="1"/>
      <w:numFmt w:val="decimal"/>
      <w:lvlText w:val="%7."/>
      <w:lvlJc w:val="left"/>
      <w:pPr>
        <w:ind w:left="5220" w:hanging="360"/>
      </w:pPr>
      <w:rPr>
        <w:rFonts w:cs="Times New Roman"/>
      </w:rPr>
    </w:lvl>
    <w:lvl w:ilvl="7" w:tplc="08090019" w:tentative="1">
      <w:start w:val="1"/>
      <w:numFmt w:val="lowerLetter"/>
      <w:lvlText w:val="%8."/>
      <w:lvlJc w:val="left"/>
      <w:pPr>
        <w:ind w:left="5940" w:hanging="360"/>
      </w:pPr>
      <w:rPr>
        <w:rFonts w:cs="Times New Roman"/>
      </w:rPr>
    </w:lvl>
    <w:lvl w:ilvl="8" w:tplc="0809001B" w:tentative="1">
      <w:start w:val="1"/>
      <w:numFmt w:val="lowerRoman"/>
      <w:lvlText w:val="%9."/>
      <w:lvlJc w:val="right"/>
      <w:pPr>
        <w:ind w:left="6660" w:hanging="180"/>
      </w:pPr>
      <w:rPr>
        <w:rFonts w:cs="Times New Roman"/>
      </w:rPr>
    </w:lvl>
  </w:abstractNum>
  <w:abstractNum w:abstractNumId="46" w15:restartNumberingAfterBreak="0">
    <w:nsid w:val="0ADE2072"/>
    <w:multiLevelType w:val="hybridMultilevel"/>
    <w:tmpl w:val="B9DEF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B671F0A"/>
    <w:multiLevelType w:val="hybridMultilevel"/>
    <w:tmpl w:val="E32C919E"/>
    <w:lvl w:ilvl="0" w:tplc="F8FEF114">
      <w:start w:val="1"/>
      <w:numFmt w:val="decimal"/>
      <w:lvlText w:val="%1)"/>
      <w:lvlJc w:val="left"/>
      <w:pPr>
        <w:ind w:left="1571" w:hanging="360"/>
      </w:pPr>
      <w:rPr>
        <w:b/>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48" w15:restartNumberingAfterBreak="0">
    <w:nsid w:val="0BB54861"/>
    <w:multiLevelType w:val="hybridMultilevel"/>
    <w:tmpl w:val="DEEC8D98"/>
    <w:lvl w:ilvl="0" w:tplc="9170F88A">
      <w:numFmt w:val="bullet"/>
      <w:lvlText w:val="-"/>
      <w:lvlJc w:val="left"/>
      <w:pPr>
        <w:ind w:left="1080" w:hanging="360"/>
      </w:pPr>
      <w:rPr>
        <w:rFonts w:ascii="Times New Roman" w:eastAsia="Times New Roman" w:hAnsi="Times New Roman"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0BC95775"/>
    <w:multiLevelType w:val="hybridMultilevel"/>
    <w:tmpl w:val="3558CB6A"/>
    <w:lvl w:ilvl="0" w:tplc="29A89002">
      <w:start w:val="13"/>
      <w:numFmt w:val="decimal"/>
      <w:lvlText w:val="%1."/>
      <w:lvlJc w:val="left"/>
      <w:pPr>
        <w:ind w:left="1004" w:hanging="360"/>
      </w:pPr>
      <w:rPr>
        <w:rFonts w:hint="default"/>
        <w:b w:val="0"/>
      </w:rPr>
    </w:lvl>
    <w:lvl w:ilvl="1" w:tplc="04020019" w:tentative="1">
      <w:start w:val="1"/>
      <w:numFmt w:val="lowerLetter"/>
      <w:lvlText w:val="%2."/>
      <w:lvlJc w:val="left"/>
      <w:pPr>
        <w:ind w:left="1724" w:hanging="360"/>
      </w:pPr>
    </w:lvl>
    <w:lvl w:ilvl="2" w:tplc="0402001B" w:tentative="1">
      <w:start w:val="1"/>
      <w:numFmt w:val="lowerRoman"/>
      <w:lvlText w:val="%3."/>
      <w:lvlJc w:val="right"/>
      <w:pPr>
        <w:ind w:left="2444" w:hanging="180"/>
      </w:pPr>
    </w:lvl>
    <w:lvl w:ilvl="3" w:tplc="0402000F" w:tentative="1">
      <w:start w:val="1"/>
      <w:numFmt w:val="decimal"/>
      <w:lvlText w:val="%4."/>
      <w:lvlJc w:val="left"/>
      <w:pPr>
        <w:ind w:left="3164" w:hanging="360"/>
      </w:pPr>
    </w:lvl>
    <w:lvl w:ilvl="4" w:tplc="04020019" w:tentative="1">
      <w:start w:val="1"/>
      <w:numFmt w:val="lowerLetter"/>
      <w:lvlText w:val="%5."/>
      <w:lvlJc w:val="left"/>
      <w:pPr>
        <w:ind w:left="3884" w:hanging="360"/>
      </w:pPr>
    </w:lvl>
    <w:lvl w:ilvl="5" w:tplc="0402001B" w:tentative="1">
      <w:start w:val="1"/>
      <w:numFmt w:val="lowerRoman"/>
      <w:lvlText w:val="%6."/>
      <w:lvlJc w:val="right"/>
      <w:pPr>
        <w:ind w:left="4604" w:hanging="180"/>
      </w:pPr>
    </w:lvl>
    <w:lvl w:ilvl="6" w:tplc="0402000F" w:tentative="1">
      <w:start w:val="1"/>
      <w:numFmt w:val="decimal"/>
      <w:lvlText w:val="%7."/>
      <w:lvlJc w:val="left"/>
      <w:pPr>
        <w:ind w:left="5324" w:hanging="360"/>
      </w:pPr>
    </w:lvl>
    <w:lvl w:ilvl="7" w:tplc="04020019" w:tentative="1">
      <w:start w:val="1"/>
      <w:numFmt w:val="lowerLetter"/>
      <w:lvlText w:val="%8."/>
      <w:lvlJc w:val="left"/>
      <w:pPr>
        <w:ind w:left="6044" w:hanging="360"/>
      </w:pPr>
    </w:lvl>
    <w:lvl w:ilvl="8" w:tplc="0402001B" w:tentative="1">
      <w:start w:val="1"/>
      <w:numFmt w:val="lowerRoman"/>
      <w:lvlText w:val="%9."/>
      <w:lvlJc w:val="right"/>
      <w:pPr>
        <w:ind w:left="6764" w:hanging="180"/>
      </w:pPr>
    </w:lvl>
  </w:abstractNum>
  <w:abstractNum w:abstractNumId="50" w15:restartNumberingAfterBreak="0">
    <w:nsid w:val="0C0F5DE6"/>
    <w:multiLevelType w:val="hybridMultilevel"/>
    <w:tmpl w:val="2F2AA980"/>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51" w15:restartNumberingAfterBreak="0">
    <w:nsid w:val="0C431EC0"/>
    <w:multiLevelType w:val="hybridMultilevel"/>
    <w:tmpl w:val="A67C76EA"/>
    <w:lvl w:ilvl="0" w:tplc="04020011">
      <w:start w:val="1"/>
      <w:numFmt w:val="decimal"/>
      <w:lvlText w:val="%1)"/>
      <w:lvlJc w:val="left"/>
      <w:pPr>
        <w:ind w:left="1571" w:hanging="360"/>
      </w:p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52" w15:restartNumberingAfterBreak="0">
    <w:nsid w:val="0CE017F8"/>
    <w:multiLevelType w:val="hybridMultilevel"/>
    <w:tmpl w:val="24F67CF8"/>
    <w:lvl w:ilvl="0" w:tplc="47E0B608">
      <w:numFmt w:val="bullet"/>
      <w:lvlText w:val="-"/>
      <w:lvlJc w:val="left"/>
      <w:pPr>
        <w:tabs>
          <w:tab w:val="num" w:pos="1578"/>
        </w:tabs>
        <w:ind w:left="1578" w:hanging="870"/>
      </w:pPr>
      <w:rPr>
        <w:rFonts w:ascii="Times New Roman" w:eastAsia="Times New Roman" w:hAnsi="Times New Roman" w:hint="default"/>
      </w:rPr>
    </w:lvl>
    <w:lvl w:ilvl="1" w:tplc="04020003">
      <w:start w:val="1"/>
      <w:numFmt w:val="bullet"/>
      <w:lvlText w:val="o"/>
      <w:lvlJc w:val="left"/>
      <w:pPr>
        <w:tabs>
          <w:tab w:val="num" w:pos="1788"/>
        </w:tabs>
        <w:ind w:left="1788" w:hanging="360"/>
      </w:pPr>
      <w:rPr>
        <w:rFonts w:ascii="Courier New" w:hAnsi="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53" w15:restartNumberingAfterBreak="0">
    <w:nsid w:val="0D582DCA"/>
    <w:multiLevelType w:val="multilevel"/>
    <w:tmpl w:val="583A17E2"/>
    <w:lvl w:ilvl="0">
      <w:start w:val="1"/>
      <w:numFmt w:val="decimal"/>
      <w:pStyle w:val="Style1"/>
      <w:lvlText w:val="%1."/>
      <w:lvlJc w:val="left"/>
      <w:pPr>
        <w:ind w:left="360" w:hanging="360"/>
      </w:pPr>
    </w:lvl>
    <w:lvl w:ilvl="1">
      <w:start w:val="1"/>
      <w:numFmt w:val="decimal"/>
      <w:pStyle w:val="Style2"/>
      <w:lvlText w:val="%1.%2."/>
      <w:lvlJc w:val="left"/>
      <w:pPr>
        <w:ind w:left="792" w:hanging="432"/>
      </w:pPr>
    </w:lvl>
    <w:lvl w:ilvl="2">
      <w:start w:val="1"/>
      <w:numFmt w:val="decimal"/>
      <w:pStyle w:val="Style3"/>
      <w:lvlText w:val="%1.%2.%3."/>
      <w:lvlJc w:val="left"/>
      <w:pPr>
        <w:ind w:left="1072" w:hanging="504"/>
      </w:pPr>
    </w:lvl>
    <w:lvl w:ilvl="3">
      <w:start w:val="1"/>
      <w:numFmt w:val="decimal"/>
      <w:pStyle w:val="Style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0DF10E64"/>
    <w:multiLevelType w:val="hybridMultilevel"/>
    <w:tmpl w:val="9E72F482"/>
    <w:styleLink w:val="11111111"/>
    <w:lvl w:ilvl="0" w:tplc="FFFFFFFF">
      <w:start w:val="1"/>
      <w:numFmt w:val="bullet"/>
      <w:lvlText w:val=""/>
      <w:lvlJc w:val="left"/>
      <w:pPr>
        <w:tabs>
          <w:tab w:val="num" w:pos="720"/>
        </w:tabs>
        <w:ind w:left="720" w:hanging="360"/>
      </w:pPr>
      <w:rPr>
        <w:rFonts w:ascii="Symbol" w:hAnsi="Symbol" w:hint="default"/>
      </w:rPr>
    </w:lvl>
    <w:lvl w:ilvl="1" w:tplc="A6EE9EBA">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0E405730"/>
    <w:multiLevelType w:val="hybridMultilevel"/>
    <w:tmpl w:val="C17C3774"/>
    <w:lvl w:ilvl="0" w:tplc="CECC2036">
      <w:start w:val="1"/>
      <w:numFmt w:val="decimal"/>
      <w:lvlText w:val="%1)"/>
      <w:lvlJc w:val="left"/>
      <w:pPr>
        <w:ind w:left="1211" w:hanging="360"/>
      </w:pPr>
      <w:rPr>
        <w:rFonts w:hint="default"/>
        <w:b/>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56" w15:restartNumberingAfterBreak="0">
    <w:nsid w:val="0E481079"/>
    <w:multiLevelType w:val="hybridMultilevel"/>
    <w:tmpl w:val="32ECFFBA"/>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7" w15:restartNumberingAfterBreak="0">
    <w:nsid w:val="0E517075"/>
    <w:multiLevelType w:val="hybridMultilevel"/>
    <w:tmpl w:val="22AC7F26"/>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58" w15:restartNumberingAfterBreak="0">
    <w:nsid w:val="0EA15899"/>
    <w:multiLevelType w:val="hybridMultilevel"/>
    <w:tmpl w:val="CCCAE52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9" w15:restartNumberingAfterBreak="0">
    <w:nsid w:val="0FE16564"/>
    <w:multiLevelType w:val="hybridMultilevel"/>
    <w:tmpl w:val="15EC4D02"/>
    <w:lvl w:ilvl="0" w:tplc="04020005">
      <w:start w:val="1"/>
      <w:numFmt w:val="bullet"/>
      <w:lvlText w:val=""/>
      <w:lvlJc w:val="left"/>
      <w:pPr>
        <w:tabs>
          <w:tab w:val="num" w:pos="1620"/>
        </w:tabs>
        <w:ind w:left="1620" w:hanging="360"/>
      </w:pPr>
      <w:rPr>
        <w:rFonts w:ascii="Wingdings" w:hAnsi="Wingdings" w:hint="default"/>
      </w:rPr>
    </w:lvl>
    <w:lvl w:ilvl="1" w:tplc="04020003" w:tentative="1">
      <w:start w:val="1"/>
      <w:numFmt w:val="bullet"/>
      <w:lvlText w:val="o"/>
      <w:lvlJc w:val="left"/>
      <w:pPr>
        <w:tabs>
          <w:tab w:val="num" w:pos="2340"/>
        </w:tabs>
        <w:ind w:left="2340" w:hanging="360"/>
      </w:pPr>
      <w:rPr>
        <w:rFonts w:ascii="Courier New" w:hAnsi="Courier New" w:hint="default"/>
      </w:rPr>
    </w:lvl>
    <w:lvl w:ilvl="2" w:tplc="04020005" w:tentative="1">
      <w:start w:val="1"/>
      <w:numFmt w:val="bullet"/>
      <w:lvlText w:val=""/>
      <w:lvlJc w:val="left"/>
      <w:pPr>
        <w:tabs>
          <w:tab w:val="num" w:pos="3060"/>
        </w:tabs>
        <w:ind w:left="3060" w:hanging="360"/>
      </w:pPr>
      <w:rPr>
        <w:rFonts w:ascii="Wingdings" w:hAnsi="Wingdings" w:hint="default"/>
      </w:rPr>
    </w:lvl>
    <w:lvl w:ilvl="3" w:tplc="04020001" w:tentative="1">
      <w:start w:val="1"/>
      <w:numFmt w:val="bullet"/>
      <w:lvlText w:val=""/>
      <w:lvlJc w:val="left"/>
      <w:pPr>
        <w:tabs>
          <w:tab w:val="num" w:pos="3780"/>
        </w:tabs>
        <w:ind w:left="3780" w:hanging="360"/>
      </w:pPr>
      <w:rPr>
        <w:rFonts w:ascii="Symbol" w:hAnsi="Symbol" w:hint="default"/>
      </w:rPr>
    </w:lvl>
    <w:lvl w:ilvl="4" w:tplc="04020003" w:tentative="1">
      <w:start w:val="1"/>
      <w:numFmt w:val="bullet"/>
      <w:lvlText w:val="o"/>
      <w:lvlJc w:val="left"/>
      <w:pPr>
        <w:tabs>
          <w:tab w:val="num" w:pos="4500"/>
        </w:tabs>
        <w:ind w:left="4500" w:hanging="360"/>
      </w:pPr>
      <w:rPr>
        <w:rFonts w:ascii="Courier New" w:hAnsi="Courier New" w:hint="default"/>
      </w:rPr>
    </w:lvl>
    <w:lvl w:ilvl="5" w:tplc="04020005" w:tentative="1">
      <w:start w:val="1"/>
      <w:numFmt w:val="bullet"/>
      <w:lvlText w:val=""/>
      <w:lvlJc w:val="left"/>
      <w:pPr>
        <w:tabs>
          <w:tab w:val="num" w:pos="5220"/>
        </w:tabs>
        <w:ind w:left="5220" w:hanging="360"/>
      </w:pPr>
      <w:rPr>
        <w:rFonts w:ascii="Wingdings" w:hAnsi="Wingdings" w:hint="default"/>
      </w:rPr>
    </w:lvl>
    <w:lvl w:ilvl="6" w:tplc="04020001" w:tentative="1">
      <w:start w:val="1"/>
      <w:numFmt w:val="bullet"/>
      <w:lvlText w:val=""/>
      <w:lvlJc w:val="left"/>
      <w:pPr>
        <w:tabs>
          <w:tab w:val="num" w:pos="5940"/>
        </w:tabs>
        <w:ind w:left="5940" w:hanging="360"/>
      </w:pPr>
      <w:rPr>
        <w:rFonts w:ascii="Symbol" w:hAnsi="Symbol" w:hint="default"/>
      </w:rPr>
    </w:lvl>
    <w:lvl w:ilvl="7" w:tplc="04020003" w:tentative="1">
      <w:start w:val="1"/>
      <w:numFmt w:val="bullet"/>
      <w:lvlText w:val="o"/>
      <w:lvlJc w:val="left"/>
      <w:pPr>
        <w:tabs>
          <w:tab w:val="num" w:pos="6660"/>
        </w:tabs>
        <w:ind w:left="6660" w:hanging="360"/>
      </w:pPr>
      <w:rPr>
        <w:rFonts w:ascii="Courier New" w:hAnsi="Courier New" w:hint="default"/>
      </w:rPr>
    </w:lvl>
    <w:lvl w:ilvl="8" w:tplc="04020005" w:tentative="1">
      <w:start w:val="1"/>
      <w:numFmt w:val="bullet"/>
      <w:lvlText w:val=""/>
      <w:lvlJc w:val="left"/>
      <w:pPr>
        <w:tabs>
          <w:tab w:val="num" w:pos="7380"/>
        </w:tabs>
        <w:ind w:left="7380" w:hanging="360"/>
      </w:pPr>
      <w:rPr>
        <w:rFonts w:ascii="Wingdings" w:hAnsi="Wingdings" w:hint="default"/>
      </w:rPr>
    </w:lvl>
  </w:abstractNum>
  <w:abstractNum w:abstractNumId="60" w15:restartNumberingAfterBreak="0">
    <w:nsid w:val="100303B9"/>
    <w:multiLevelType w:val="hybridMultilevel"/>
    <w:tmpl w:val="F45874C4"/>
    <w:lvl w:ilvl="0" w:tplc="04020001">
      <w:start w:val="1"/>
      <w:numFmt w:val="bullet"/>
      <w:lvlText w:val=""/>
      <w:lvlJc w:val="left"/>
      <w:pPr>
        <w:ind w:left="1065" w:hanging="705"/>
      </w:pPr>
      <w:rPr>
        <w:rFonts w:ascii="Symbol" w:hAnsi="Symbol"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61" w15:restartNumberingAfterBreak="0">
    <w:nsid w:val="116C1ED8"/>
    <w:multiLevelType w:val="hybridMultilevel"/>
    <w:tmpl w:val="DAC20754"/>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62" w15:restartNumberingAfterBreak="0">
    <w:nsid w:val="117D0F50"/>
    <w:multiLevelType w:val="hybridMultilevel"/>
    <w:tmpl w:val="43BA8A28"/>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63" w15:restartNumberingAfterBreak="0">
    <w:nsid w:val="11A9422F"/>
    <w:multiLevelType w:val="hybridMultilevel"/>
    <w:tmpl w:val="AAEA4D9A"/>
    <w:lvl w:ilvl="0" w:tplc="0402000D">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64" w15:restartNumberingAfterBreak="0">
    <w:nsid w:val="125B6184"/>
    <w:multiLevelType w:val="hybridMultilevel"/>
    <w:tmpl w:val="2A84576E"/>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start w:val="1"/>
      <w:numFmt w:val="decimal"/>
      <w:lvlText w:val="%3."/>
      <w:lvlJc w:val="left"/>
      <w:pPr>
        <w:tabs>
          <w:tab w:val="num" w:pos="2160"/>
        </w:tabs>
        <w:ind w:left="2160" w:hanging="360"/>
      </w:pPr>
      <w:rPr>
        <w:rFonts w:cs="Times New Roman"/>
      </w:rPr>
    </w:lvl>
    <w:lvl w:ilvl="3" w:tplc="04020001">
      <w:start w:val="1"/>
      <w:numFmt w:val="decimal"/>
      <w:lvlText w:val="%4."/>
      <w:lvlJc w:val="left"/>
      <w:pPr>
        <w:tabs>
          <w:tab w:val="num" w:pos="2880"/>
        </w:tabs>
        <w:ind w:left="2880" w:hanging="360"/>
      </w:pPr>
      <w:rPr>
        <w:rFonts w:cs="Times New Roman"/>
      </w:rPr>
    </w:lvl>
    <w:lvl w:ilvl="4" w:tplc="04020003">
      <w:start w:val="1"/>
      <w:numFmt w:val="decimal"/>
      <w:lvlText w:val="%5."/>
      <w:lvlJc w:val="left"/>
      <w:pPr>
        <w:tabs>
          <w:tab w:val="num" w:pos="3600"/>
        </w:tabs>
        <w:ind w:left="3600" w:hanging="360"/>
      </w:pPr>
      <w:rPr>
        <w:rFonts w:cs="Times New Roman"/>
      </w:rPr>
    </w:lvl>
    <w:lvl w:ilvl="5" w:tplc="04020005">
      <w:start w:val="1"/>
      <w:numFmt w:val="decimal"/>
      <w:lvlText w:val="%6."/>
      <w:lvlJc w:val="left"/>
      <w:pPr>
        <w:tabs>
          <w:tab w:val="num" w:pos="4320"/>
        </w:tabs>
        <w:ind w:left="4320" w:hanging="360"/>
      </w:pPr>
      <w:rPr>
        <w:rFonts w:cs="Times New Roman"/>
      </w:rPr>
    </w:lvl>
    <w:lvl w:ilvl="6" w:tplc="04020001">
      <w:start w:val="1"/>
      <w:numFmt w:val="decimal"/>
      <w:lvlText w:val="%7."/>
      <w:lvlJc w:val="left"/>
      <w:pPr>
        <w:tabs>
          <w:tab w:val="num" w:pos="5040"/>
        </w:tabs>
        <w:ind w:left="5040" w:hanging="360"/>
      </w:pPr>
      <w:rPr>
        <w:rFonts w:cs="Times New Roman"/>
      </w:rPr>
    </w:lvl>
    <w:lvl w:ilvl="7" w:tplc="04020003">
      <w:start w:val="1"/>
      <w:numFmt w:val="decimal"/>
      <w:lvlText w:val="%8."/>
      <w:lvlJc w:val="left"/>
      <w:pPr>
        <w:tabs>
          <w:tab w:val="num" w:pos="5760"/>
        </w:tabs>
        <w:ind w:left="5760" w:hanging="360"/>
      </w:pPr>
      <w:rPr>
        <w:rFonts w:cs="Times New Roman"/>
      </w:rPr>
    </w:lvl>
    <w:lvl w:ilvl="8" w:tplc="04020005">
      <w:start w:val="1"/>
      <w:numFmt w:val="decimal"/>
      <w:lvlText w:val="%9."/>
      <w:lvlJc w:val="left"/>
      <w:pPr>
        <w:tabs>
          <w:tab w:val="num" w:pos="6480"/>
        </w:tabs>
        <w:ind w:left="6480" w:hanging="360"/>
      </w:pPr>
      <w:rPr>
        <w:rFonts w:cs="Times New Roman"/>
      </w:rPr>
    </w:lvl>
  </w:abstractNum>
  <w:abstractNum w:abstractNumId="65" w15:restartNumberingAfterBreak="0">
    <w:nsid w:val="12AC7B44"/>
    <w:multiLevelType w:val="hybridMultilevel"/>
    <w:tmpl w:val="D6562AAC"/>
    <w:lvl w:ilvl="0" w:tplc="954ADCF4">
      <w:start w:val="9"/>
      <w:numFmt w:val="decimal"/>
      <w:lvlText w:val="%1."/>
      <w:lvlJc w:val="left"/>
      <w:pPr>
        <w:ind w:left="1080" w:hanging="360"/>
      </w:pPr>
      <w:rPr>
        <w:rFonts w:hint="default"/>
        <w:b w:val="0"/>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66" w15:restartNumberingAfterBreak="0">
    <w:nsid w:val="12B00E4F"/>
    <w:multiLevelType w:val="hybridMultilevel"/>
    <w:tmpl w:val="32D8126A"/>
    <w:lvl w:ilvl="0" w:tplc="0402000D">
      <w:start w:val="1"/>
      <w:numFmt w:val="bullet"/>
      <w:lvlText w:val=""/>
      <w:lvlJc w:val="left"/>
      <w:pPr>
        <w:ind w:left="1160" w:hanging="360"/>
      </w:pPr>
      <w:rPr>
        <w:rFonts w:ascii="Wingdings" w:hAnsi="Wingdings" w:hint="default"/>
      </w:rPr>
    </w:lvl>
    <w:lvl w:ilvl="1" w:tplc="04020003" w:tentative="1">
      <w:start w:val="1"/>
      <w:numFmt w:val="bullet"/>
      <w:lvlText w:val="o"/>
      <w:lvlJc w:val="left"/>
      <w:pPr>
        <w:ind w:left="1880" w:hanging="360"/>
      </w:pPr>
      <w:rPr>
        <w:rFonts w:ascii="Courier New" w:hAnsi="Courier New" w:hint="default"/>
      </w:rPr>
    </w:lvl>
    <w:lvl w:ilvl="2" w:tplc="04020005" w:tentative="1">
      <w:start w:val="1"/>
      <w:numFmt w:val="bullet"/>
      <w:lvlText w:val=""/>
      <w:lvlJc w:val="left"/>
      <w:pPr>
        <w:ind w:left="2600" w:hanging="360"/>
      </w:pPr>
      <w:rPr>
        <w:rFonts w:ascii="Wingdings" w:hAnsi="Wingdings" w:hint="default"/>
      </w:rPr>
    </w:lvl>
    <w:lvl w:ilvl="3" w:tplc="04020001" w:tentative="1">
      <w:start w:val="1"/>
      <w:numFmt w:val="bullet"/>
      <w:lvlText w:val=""/>
      <w:lvlJc w:val="left"/>
      <w:pPr>
        <w:ind w:left="3320" w:hanging="360"/>
      </w:pPr>
      <w:rPr>
        <w:rFonts w:ascii="Symbol" w:hAnsi="Symbol" w:hint="default"/>
      </w:rPr>
    </w:lvl>
    <w:lvl w:ilvl="4" w:tplc="04020003" w:tentative="1">
      <w:start w:val="1"/>
      <w:numFmt w:val="bullet"/>
      <w:lvlText w:val="o"/>
      <w:lvlJc w:val="left"/>
      <w:pPr>
        <w:ind w:left="4040" w:hanging="360"/>
      </w:pPr>
      <w:rPr>
        <w:rFonts w:ascii="Courier New" w:hAnsi="Courier New" w:hint="default"/>
      </w:rPr>
    </w:lvl>
    <w:lvl w:ilvl="5" w:tplc="04020005" w:tentative="1">
      <w:start w:val="1"/>
      <w:numFmt w:val="bullet"/>
      <w:lvlText w:val=""/>
      <w:lvlJc w:val="left"/>
      <w:pPr>
        <w:ind w:left="4760" w:hanging="360"/>
      </w:pPr>
      <w:rPr>
        <w:rFonts w:ascii="Wingdings" w:hAnsi="Wingdings" w:hint="default"/>
      </w:rPr>
    </w:lvl>
    <w:lvl w:ilvl="6" w:tplc="04020001" w:tentative="1">
      <w:start w:val="1"/>
      <w:numFmt w:val="bullet"/>
      <w:lvlText w:val=""/>
      <w:lvlJc w:val="left"/>
      <w:pPr>
        <w:ind w:left="5480" w:hanging="360"/>
      </w:pPr>
      <w:rPr>
        <w:rFonts w:ascii="Symbol" w:hAnsi="Symbol" w:hint="default"/>
      </w:rPr>
    </w:lvl>
    <w:lvl w:ilvl="7" w:tplc="04020003" w:tentative="1">
      <w:start w:val="1"/>
      <w:numFmt w:val="bullet"/>
      <w:lvlText w:val="o"/>
      <w:lvlJc w:val="left"/>
      <w:pPr>
        <w:ind w:left="6200" w:hanging="360"/>
      </w:pPr>
      <w:rPr>
        <w:rFonts w:ascii="Courier New" w:hAnsi="Courier New" w:hint="default"/>
      </w:rPr>
    </w:lvl>
    <w:lvl w:ilvl="8" w:tplc="04020005" w:tentative="1">
      <w:start w:val="1"/>
      <w:numFmt w:val="bullet"/>
      <w:lvlText w:val=""/>
      <w:lvlJc w:val="left"/>
      <w:pPr>
        <w:ind w:left="6920" w:hanging="360"/>
      </w:pPr>
      <w:rPr>
        <w:rFonts w:ascii="Wingdings" w:hAnsi="Wingdings" w:hint="default"/>
      </w:rPr>
    </w:lvl>
  </w:abstractNum>
  <w:abstractNum w:abstractNumId="67" w15:restartNumberingAfterBreak="0">
    <w:nsid w:val="13B10F38"/>
    <w:multiLevelType w:val="hybridMultilevel"/>
    <w:tmpl w:val="A55423CE"/>
    <w:lvl w:ilvl="0" w:tplc="04020001">
      <w:start w:val="1"/>
      <w:numFmt w:val="bullet"/>
      <w:lvlText w:val=""/>
      <w:lvlJc w:val="left"/>
      <w:pPr>
        <w:ind w:left="338" w:hanging="360"/>
      </w:pPr>
      <w:rPr>
        <w:rFonts w:ascii="Symbol" w:hAnsi="Symbol" w:hint="default"/>
      </w:rPr>
    </w:lvl>
    <w:lvl w:ilvl="1" w:tplc="04020019" w:tentative="1">
      <w:start w:val="1"/>
      <w:numFmt w:val="lowerLetter"/>
      <w:lvlText w:val="%2."/>
      <w:lvlJc w:val="left"/>
      <w:pPr>
        <w:ind w:left="1058" w:hanging="360"/>
      </w:pPr>
    </w:lvl>
    <w:lvl w:ilvl="2" w:tplc="0402001B" w:tentative="1">
      <w:start w:val="1"/>
      <w:numFmt w:val="lowerRoman"/>
      <w:lvlText w:val="%3."/>
      <w:lvlJc w:val="right"/>
      <w:pPr>
        <w:ind w:left="1778" w:hanging="180"/>
      </w:pPr>
    </w:lvl>
    <w:lvl w:ilvl="3" w:tplc="0402000F" w:tentative="1">
      <w:start w:val="1"/>
      <w:numFmt w:val="decimal"/>
      <w:lvlText w:val="%4."/>
      <w:lvlJc w:val="left"/>
      <w:pPr>
        <w:ind w:left="2498" w:hanging="360"/>
      </w:pPr>
    </w:lvl>
    <w:lvl w:ilvl="4" w:tplc="04020019" w:tentative="1">
      <w:start w:val="1"/>
      <w:numFmt w:val="lowerLetter"/>
      <w:lvlText w:val="%5."/>
      <w:lvlJc w:val="left"/>
      <w:pPr>
        <w:ind w:left="3218" w:hanging="360"/>
      </w:pPr>
    </w:lvl>
    <w:lvl w:ilvl="5" w:tplc="0402001B" w:tentative="1">
      <w:start w:val="1"/>
      <w:numFmt w:val="lowerRoman"/>
      <w:lvlText w:val="%6."/>
      <w:lvlJc w:val="right"/>
      <w:pPr>
        <w:ind w:left="3938" w:hanging="180"/>
      </w:pPr>
    </w:lvl>
    <w:lvl w:ilvl="6" w:tplc="0402000F" w:tentative="1">
      <w:start w:val="1"/>
      <w:numFmt w:val="decimal"/>
      <w:lvlText w:val="%7."/>
      <w:lvlJc w:val="left"/>
      <w:pPr>
        <w:ind w:left="4658" w:hanging="360"/>
      </w:pPr>
    </w:lvl>
    <w:lvl w:ilvl="7" w:tplc="04020019" w:tentative="1">
      <w:start w:val="1"/>
      <w:numFmt w:val="lowerLetter"/>
      <w:lvlText w:val="%8."/>
      <w:lvlJc w:val="left"/>
      <w:pPr>
        <w:ind w:left="5378" w:hanging="360"/>
      </w:pPr>
    </w:lvl>
    <w:lvl w:ilvl="8" w:tplc="0402001B" w:tentative="1">
      <w:start w:val="1"/>
      <w:numFmt w:val="lowerRoman"/>
      <w:lvlText w:val="%9."/>
      <w:lvlJc w:val="right"/>
      <w:pPr>
        <w:ind w:left="6098" w:hanging="180"/>
      </w:pPr>
    </w:lvl>
  </w:abstractNum>
  <w:abstractNum w:abstractNumId="68" w15:restartNumberingAfterBreak="0">
    <w:nsid w:val="13BE2468"/>
    <w:multiLevelType w:val="hybridMultilevel"/>
    <w:tmpl w:val="E60C18E0"/>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69" w15:restartNumberingAfterBreak="0">
    <w:nsid w:val="142B6BB8"/>
    <w:multiLevelType w:val="hybridMultilevel"/>
    <w:tmpl w:val="A2F87FA4"/>
    <w:lvl w:ilvl="0" w:tplc="2ECA7E72">
      <w:start w:val="1"/>
      <w:numFmt w:val="bullet"/>
      <w:lvlText w:val=""/>
      <w:lvlJc w:val="left"/>
      <w:pPr>
        <w:ind w:left="0" w:hanging="708"/>
      </w:pPr>
      <w:rPr>
        <w:rFonts w:ascii="Wingdings" w:eastAsia="Wingdings" w:hAnsi="Wingdings" w:hint="default"/>
        <w:sz w:val="24"/>
        <w:szCs w:val="24"/>
      </w:rPr>
    </w:lvl>
    <w:lvl w:ilvl="1" w:tplc="7BB20092">
      <w:start w:val="1"/>
      <w:numFmt w:val="bullet"/>
      <w:lvlText w:val=""/>
      <w:lvlJc w:val="left"/>
      <w:pPr>
        <w:ind w:left="0" w:hanging="708"/>
      </w:pPr>
      <w:rPr>
        <w:rFonts w:ascii="Wingdings" w:eastAsia="Wingdings" w:hAnsi="Wingdings" w:hint="default"/>
        <w:sz w:val="24"/>
        <w:szCs w:val="24"/>
      </w:rPr>
    </w:lvl>
    <w:lvl w:ilvl="2" w:tplc="502074A2">
      <w:start w:val="1"/>
      <w:numFmt w:val="bullet"/>
      <w:lvlText w:val=""/>
      <w:lvlJc w:val="left"/>
      <w:pPr>
        <w:ind w:left="0" w:hanging="706"/>
      </w:pPr>
      <w:rPr>
        <w:rFonts w:ascii="Symbol" w:eastAsia="Symbol" w:hAnsi="Symbol" w:hint="default"/>
        <w:sz w:val="24"/>
        <w:szCs w:val="24"/>
      </w:rPr>
    </w:lvl>
    <w:lvl w:ilvl="3" w:tplc="08C01C1C">
      <w:start w:val="1"/>
      <w:numFmt w:val="bullet"/>
      <w:lvlText w:val="•"/>
      <w:lvlJc w:val="left"/>
      <w:pPr>
        <w:ind w:left="0" w:firstLine="0"/>
      </w:pPr>
    </w:lvl>
    <w:lvl w:ilvl="4" w:tplc="D932F634">
      <w:start w:val="1"/>
      <w:numFmt w:val="bullet"/>
      <w:lvlText w:val="•"/>
      <w:lvlJc w:val="left"/>
      <w:pPr>
        <w:ind w:left="0" w:firstLine="0"/>
      </w:pPr>
    </w:lvl>
    <w:lvl w:ilvl="5" w:tplc="C338C446">
      <w:start w:val="1"/>
      <w:numFmt w:val="bullet"/>
      <w:lvlText w:val="•"/>
      <w:lvlJc w:val="left"/>
      <w:pPr>
        <w:ind w:left="0" w:firstLine="0"/>
      </w:pPr>
    </w:lvl>
    <w:lvl w:ilvl="6" w:tplc="573889AC">
      <w:start w:val="1"/>
      <w:numFmt w:val="bullet"/>
      <w:lvlText w:val="•"/>
      <w:lvlJc w:val="left"/>
      <w:pPr>
        <w:ind w:left="0" w:firstLine="0"/>
      </w:pPr>
    </w:lvl>
    <w:lvl w:ilvl="7" w:tplc="35BCE058">
      <w:start w:val="1"/>
      <w:numFmt w:val="bullet"/>
      <w:lvlText w:val="•"/>
      <w:lvlJc w:val="left"/>
      <w:pPr>
        <w:ind w:left="0" w:firstLine="0"/>
      </w:pPr>
    </w:lvl>
    <w:lvl w:ilvl="8" w:tplc="258A79BA">
      <w:start w:val="1"/>
      <w:numFmt w:val="bullet"/>
      <w:lvlText w:val="•"/>
      <w:lvlJc w:val="left"/>
      <w:pPr>
        <w:ind w:left="0" w:firstLine="0"/>
      </w:pPr>
    </w:lvl>
  </w:abstractNum>
  <w:abstractNum w:abstractNumId="70" w15:restartNumberingAfterBreak="0">
    <w:nsid w:val="147B5EBF"/>
    <w:multiLevelType w:val="hybridMultilevel"/>
    <w:tmpl w:val="31840DBE"/>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71" w15:restartNumberingAfterBreak="0">
    <w:nsid w:val="150D5365"/>
    <w:multiLevelType w:val="hybridMultilevel"/>
    <w:tmpl w:val="C8E46CD8"/>
    <w:lvl w:ilvl="0" w:tplc="1526978E">
      <w:start w:val="1"/>
      <w:numFmt w:val="upperLetter"/>
      <w:lvlText w:val="%1."/>
      <w:lvlJc w:val="left"/>
      <w:pPr>
        <w:tabs>
          <w:tab w:val="num" w:pos="851"/>
        </w:tabs>
        <w:ind w:left="720" w:hanging="720"/>
      </w:pPr>
      <w:rPr>
        <w:rFonts w:ascii="Times New Roman Bold" w:hAnsi="Times New Roman Bold" w:cs="Times New Roman" w:hint="default"/>
        <w:b/>
      </w:rPr>
    </w:lvl>
    <w:lvl w:ilvl="1" w:tplc="04020005">
      <w:start w:val="1"/>
      <w:numFmt w:val="bullet"/>
      <w:lvlText w:val=""/>
      <w:lvlJc w:val="left"/>
      <w:pPr>
        <w:tabs>
          <w:tab w:val="num" w:pos="1440"/>
        </w:tabs>
        <w:ind w:left="1440" w:hanging="360"/>
      </w:pPr>
      <w:rPr>
        <w:rFonts w:ascii="Wingdings" w:hAnsi="Wingdings" w:hint="default"/>
        <w:b/>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15A93178"/>
    <w:multiLevelType w:val="hybridMultilevel"/>
    <w:tmpl w:val="5056852A"/>
    <w:lvl w:ilvl="0" w:tplc="19844416">
      <w:start w:val="1"/>
      <w:numFmt w:val="decimal"/>
      <w:lvlText w:val="%1."/>
      <w:lvlJc w:val="left"/>
      <w:pPr>
        <w:tabs>
          <w:tab w:val="num" w:pos="720"/>
        </w:tabs>
        <w:ind w:left="720" w:hanging="360"/>
      </w:pPr>
      <w:rPr>
        <w:rFonts w:hint="default"/>
        <w:b/>
      </w:rPr>
    </w:lvl>
    <w:lvl w:ilvl="1" w:tplc="04020019">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16016998"/>
    <w:multiLevelType w:val="hybridMultilevel"/>
    <w:tmpl w:val="52C261A6"/>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74" w15:restartNumberingAfterBreak="0">
    <w:nsid w:val="165B49C4"/>
    <w:multiLevelType w:val="hybridMultilevel"/>
    <w:tmpl w:val="32D22D44"/>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75" w15:restartNumberingAfterBreak="0">
    <w:nsid w:val="16986B6E"/>
    <w:multiLevelType w:val="hybridMultilevel"/>
    <w:tmpl w:val="724C3358"/>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76" w15:restartNumberingAfterBreak="0">
    <w:nsid w:val="171356AB"/>
    <w:multiLevelType w:val="hybridMultilevel"/>
    <w:tmpl w:val="393C1CDC"/>
    <w:lvl w:ilvl="0" w:tplc="62561886">
      <w:start w:val="156"/>
      <w:numFmt w:val="bullet"/>
      <w:lvlText w:val="-"/>
      <w:lvlJc w:val="left"/>
      <w:pPr>
        <w:tabs>
          <w:tab w:val="num" w:pos="720"/>
        </w:tabs>
        <w:ind w:left="720" w:hanging="360"/>
      </w:pPr>
      <w:rPr>
        <w:rFonts w:ascii="Times New Roman" w:eastAsia="Times New Roman" w:hAnsi="Times New Roman"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17C33F38"/>
    <w:multiLevelType w:val="hybridMultilevel"/>
    <w:tmpl w:val="203042B6"/>
    <w:lvl w:ilvl="0" w:tplc="26F25864">
      <w:start w:val="1"/>
      <mc:AlternateContent>
        <mc:Choice Requires="w14">
          <w:numFmt w:val="custom" w:format="а, й, к, ..."/>
        </mc:Choice>
        <mc:Fallback>
          <w:numFmt w:val="decimal"/>
        </mc:Fallback>
      </mc:AlternateContent>
      <w:lvlText w:val="%1)"/>
      <w:lvlJc w:val="left"/>
      <w:pPr>
        <w:ind w:left="720" w:hanging="360"/>
      </w:pPr>
      <w:rPr>
        <w:rFonts w:cs="Times New Roman" w:hint="default"/>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8" w15:restartNumberingAfterBreak="0">
    <w:nsid w:val="17FC667F"/>
    <w:multiLevelType w:val="hybridMultilevel"/>
    <w:tmpl w:val="BAA614B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18274F1F"/>
    <w:multiLevelType w:val="hybridMultilevel"/>
    <w:tmpl w:val="7E04D2A4"/>
    <w:lvl w:ilvl="0" w:tplc="26F25864">
      <w:start w:val="1"/>
      <mc:AlternateContent>
        <mc:Choice Requires="w14">
          <w:numFmt w:val="custom" w:format="а, й, к, ..."/>
        </mc:Choice>
        <mc:Fallback>
          <w:numFmt w:val="decimal"/>
        </mc:Fallback>
      </mc:AlternateContent>
      <w:lvlText w:val="%1)"/>
      <w:lvlJc w:val="left"/>
      <w:pPr>
        <w:ind w:left="1571" w:hanging="360"/>
      </w:pPr>
      <w:rPr>
        <w:rFonts w:cs="Times New Roman" w:hint="default"/>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80" w15:restartNumberingAfterBreak="0">
    <w:nsid w:val="183D1AD5"/>
    <w:multiLevelType w:val="hybridMultilevel"/>
    <w:tmpl w:val="8B769878"/>
    <w:lvl w:ilvl="0" w:tplc="0402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1" w15:restartNumberingAfterBreak="0">
    <w:nsid w:val="18814061"/>
    <w:multiLevelType w:val="hybridMultilevel"/>
    <w:tmpl w:val="33D8451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2" w15:restartNumberingAfterBreak="0">
    <w:nsid w:val="189B299B"/>
    <w:multiLevelType w:val="hybridMultilevel"/>
    <w:tmpl w:val="A5D0AF96"/>
    <w:lvl w:ilvl="0" w:tplc="08090001">
      <w:start w:val="1"/>
      <w:numFmt w:val="bullet"/>
      <w:lvlText w:val=""/>
      <w:lvlJc w:val="left"/>
      <w:pPr>
        <w:ind w:left="720" w:hanging="360"/>
      </w:pPr>
      <w:rPr>
        <w:rFonts w:ascii="Symbol" w:hAnsi="Symbol"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83" w15:restartNumberingAfterBreak="0">
    <w:nsid w:val="18B76CEE"/>
    <w:multiLevelType w:val="hybridMultilevel"/>
    <w:tmpl w:val="52BA1D3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4" w15:restartNumberingAfterBreak="0">
    <w:nsid w:val="18C72FDF"/>
    <w:multiLevelType w:val="hybridMultilevel"/>
    <w:tmpl w:val="56E03D62"/>
    <w:lvl w:ilvl="0" w:tplc="04020005">
      <w:start w:val="1"/>
      <w:numFmt w:val="bullet"/>
      <w:lvlText w:val=""/>
      <w:lvlJc w:val="left"/>
      <w:pPr>
        <w:ind w:left="1440" w:hanging="360"/>
      </w:pPr>
      <w:rPr>
        <w:rFonts w:ascii="Symbol" w:hAnsi="Symbol" w:hint="default"/>
      </w:rPr>
    </w:lvl>
    <w:lvl w:ilvl="1" w:tplc="04020003">
      <w:start w:val="1"/>
      <w:numFmt w:val="bullet"/>
      <w:lvlText w:val="o"/>
      <w:lvlJc w:val="left"/>
      <w:pPr>
        <w:ind w:left="2160" w:hanging="360"/>
      </w:pPr>
      <w:rPr>
        <w:rFonts w:ascii="Courier New" w:hAnsi="Courier New" w:hint="default"/>
      </w:rPr>
    </w:lvl>
    <w:lvl w:ilvl="2" w:tplc="04020005">
      <w:start w:val="1"/>
      <w:numFmt w:val="bullet"/>
      <w:lvlText w:val=""/>
      <w:lvlJc w:val="left"/>
      <w:pPr>
        <w:ind w:left="2880" w:hanging="360"/>
      </w:pPr>
      <w:rPr>
        <w:rFonts w:ascii="Wingdings" w:hAnsi="Wingdings" w:hint="default"/>
      </w:rPr>
    </w:lvl>
    <w:lvl w:ilvl="3" w:tplc="04020001">
      <w:start w:val="1"/>
      <w:numFmt w:val="bullet"/>
      <w:lvlText w:val=""/>
      <w:lvlJc w:val="left"/>
      <w:pPr>
        <w:ind w:left="3600" w:hanging="360"/>
      </w:pPr>
      <w:rPr>
        <w:rFonts w:ascii="Symbol" w:hAnsi="Symbol" w:hint="default"/>
      </w:rPr>
    </w:lvl>
    <w:lvl w:ilvl="4" w:tplc="04020003">
      <w:start w:val="1"/>
      <w:numFmt w:val="bullet"/>
      <w:lvlText w:val="o"/>
      <w:lvlJc w:val="left"/>
      <w:pPr>
        <w:ind w:left="4320" w:hanging="360"/>
      </w:pPr>
      <w:rPr>
        <w:rFonts w:ascii="Courier New" w:hAnsi="Courier New" w:hint="default"/>
      </w:rPr>
    </w:lvl>
    <w:lvl w:ilvl="5" w:tplc="04020005">
      <w:start w:val="1"/>
      <w:numFmt w:val="bullet"/>
      <w:lvlText w:val=""/>
      <w:lvlJc w:val="left"/>
      <w:pPr>
        <w:ind w:left="5040" w:hanging="360"/>
      </w:pPr>
      <w:rPr>
        <w:rFonts w:ascii="Wingdings" w:hAnsi="Wingdings" w:hint="default"/>
      </w:rPr>
    </w:lvl>
    <w:lvl w:ilvl="6" w:tplc="04020001">
      <w:start w:val="1"/>
      <w:numFmt w:val="bullet"/>
      <w:lvlText w:val=""/>
      <w:lvlJc w:val="left"/>
      <w:pPr>
        <w:ind w:left="5760" w:hanging="360"/>
      </w:pPr>
      <w:rPr>
        <w:rFonts w:ascii="Symbol" w:hAnsi="Symbol" w:hint="default"/>
      </w:rPr>
    </w:lvl>
    <w:lvl w:ilvl="7" w:tplc="04020003">
      <w:start w:val="1"/>
      <w:numFmt w:val="bullet"/>
      <w:lvlText w:val="o"/>
      <w:lvlJc w:val="left"/>
      <w:pPr>
        <w:ind w:left="6480" w:hanging="360"/>
      </w:pPr>
      <w:rPr>
        <w:rFonts w:ascii="Courier New" w:hAnsi="Courier New" w:hint="default"/>
      </w:rPr>
    </w:lvl>
    <w:lvl w:ilvl="8" w:tplc="04020005">
      <w:start w:val="1"/>
      <w:numFmt w:val="bullet"/>
      <w:lvlText w:val=""/>
      <w:lvlJc w:val="left"/>
      <w:pPr>
        <w:ind w:left="7200" w:hanging="360"/>
      </w:pPr>
      <w:rPr>
        <w:rFonts w:ascii="Wingdings" w:hAnsi="Wingdings" w:hint="default"/>
      </w:rPr>
    </w:lvl>
  </w:abstractNum>
  <w:abstractNum w:abstractNumId="85" w15:restartNumberingAfterBreak="0">
    <w:nsid w:val="1900485E"/>
    <w:multiLevelType w:val="hybridMultilevel"/>
    <w:tmpl w:val="EF0E8FB2"/>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86" w15:restartNumberingAfterBreak="0">
    <w:nsid w:val="1909339B"/>
    <w:multiLevelType w:val="hybridMultilevel"/>
    <w:tmpl w:val="252AFE70"/>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87" w15:restartNumberingAfterBreak="0">
    <w:nsid w:val="19115381"/>
    <w:multiLevelType w:val="hybridMultilevel"/>
    <w:tmpl w:val="7BA4AB06"/>
    <w:lvl w:ilvl="0" w:tplc="073E1444">
      <w:start w:val="87"/>
      <w:numFmt w:val="bullet"/>
      <w:lvlText w:val="-"/>
      <w:lvlJc w:val="left"/>
      <w:pPr>
        <w:ind w:left="1260" w:hanging="360"/>
      </w:pPr>
      <w:rPr>
        <w:rFonts w:ascii="Arial" w:eastAsia="Times New Roman" w:hAnsi="A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8" w15:restartNumberingAfterBreak="0">
    <w:nsid w:val="192022FF"/>
    <w:multiLevelType w:val="hybridMultilevel"/>
    <w:tmpl w:val="6D6AD7D2"/>
    <w:lvl w:ilvl="0" w:tplc="0402001B">
      <w:start w:val="1"/>
      <w:numFmt w:val="lowerRoman"/>
      <w:lvlText w:val="%1."/>
      <w:lvlJc w:val="right"/>
      <w:pPr>
        <w:ind w:left="1571" w:hanging="360"/>
      </w:pPr>
    </w:lvl>
    <w:lvl w:ilvl="1" w:tplc="04020019">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89" w15:restartNumberingAfterBreak="0">
    <w:nsid w:val="19D65397"/>
    <w:multiLevelType w:val="hybridMultilevel"/>
    <w:tmpl w:val="164E0E0E"/>
    <w:lvl w:ilvl="0" w:tplc="0409000F">
      <w:start w:val="1"/>
      <w:numFmt w:val="decimal"/>
      <w:lvlText w:val="%1."/>
      <w:lvlJc w:val="left"/>
      <w:pPr>
        <w:ind w:left="720" w:hanging="360"/>
      </w:pPr>
      <w:rPr>
        <w:rFonts w:hint="default"/>
      </w:rPr>
    </w:lvl>
    <w:lvl w:ilvl="1" w:tplc="0402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A2D73AB"/>
    <w:multiLevelType w:val="multilevel"/>
    <w:tmpl w:val="F0C0BA8C"/>
    <w:lvl w:ilvl="0">
      <w:start w:val="30"/>
      <w:numFmt w:val="decimal"/>
      <w:lvlText w:val="%1"/>
      <w:lvlJc w:val="left"/>
      <w:pPr>
        <w:ind w:left="780" w:hanging="780"/>
      </w:pPr>
      <w:rPr>
        <w:rFonts w:hint="default"/>
      </w:rPr>
    </w:lvl>
    <w:lvl w:ilvl="1">
      <w:start w:val="6"/>
      <w:numFmt w:val="decimal"/>
      <w:lvlText w:val="%1.%2"/>
      <w:lvlJc w:val="left"/>
      <w:pPr>
        <w:ind w:left="1230" w:hanging="780"/>
      </w:pPr>
      <w:rPr>
        <w:rFonts w:hint="default"/>
      </w:rPr>
    </w:lvl>
    <w:lvl w:ilvl="2">
      <w:start w:val="1"/>
      <w:numFmt w:val="decimal"/>
      <w:lvlText w:val="%1.%2.%3"/>
      <w:lvlJc w:val="left"/>
      <w:pPr>
        <w:ind w:left="1680" w:hanging="780"/>
      </w:pPr>
      <w:rPr>
        <w:rFonts w:hint="default"/>
      </w:rPr>
    </w:lvl>
    <w:lvl w:ilvl="3">
      <w:start w:val="1"/>
      <w:numFmt w:val="decimal"/>
      <w:lvlText w:val="%1.%2.%3.%4"/>
      <w:lvlJc w:val="left"/>
      <w:pPr>
        <w:ind w:left="2130" w:hanging="780"/>
      </w:pPr>
      <w:rPr>
        <w:rFonts w:hint="default"/>
        <w:b/>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1" w15:restartNumberingAfterBreak="0">
    <w:nsid w:val="1A3E6CC4"/>
    <w:multiLevelType w:val="hybridMultilevel"/>
    <w:tmpl w:val="C4569B7A"/>
    <w:lvl w:ilvl="0" w:tplc="26F25864">
      <w:start w:val="1"/>
      <mc:AlternateContent>
        <mc:Choice Requires="w14">
          <w:numFmt w:val="custom" w:format="а, й, к, ..."/>
        </mc:Choice>
        <mc:Fallback>
          <w:numFmt w:val="decimal"/>
        </mc:Fallback>
      </mc:AlternateContent>
      <w:lvlText w:val="%1)"/>
      <w:lvlJc w:val="left"/>
      <w:pPr>
        <w:ind w:left="1571" w:hanging="360"/>
      </w:pPr>
      <w:rPr>
        <w:rFonts w:cs="Times New Roman" w:hint="default"/>
      </w:rPr>
    </w:lvl>
    <w:lvl w:ilvl="1" w:tplc="04020011">
      <w:start w:val="1"/>
      <w:numFmt w:val="decimal"/>
      <w:lvlText w:val="%2)"/>
      <w:lvlJc w:val="left"/>
      <w:pPr>
        <w:ind w:left="2291" w:hanging="360"/>
      </w:pPr>
      <w:rPr>
        <w:rFonts w:hint="default"/>
      </w:r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92" w15:restartNumberingAfterBreak="0">
    <w:nsid w:val="1A56023E"/>
    <w:multiLevelType w:val="hybridMultilevel"/>
    <w:tmpl w:val="6512F4A4"/>
    <w:lvl w:ilvl="0" w:tplc="26F25864">
      <w:start w:val="1"/>
      <mc:AlternateContent>
        <mc:Choice Requires="w14">
          <w:numFmt w:val="custom" w:format="а, й, к, ..."/>
        </mc:Choice>
        <mc:Fallback>
          <w:numFmt w:val="decimal"/>
        </mc:Fallback>
      </mc:AlternateContent>
      <w:lvlText w:val="%1)"/>
      <w:lvlJc w:val="left"/>
      <w:pPr>
        <w:ind w:left="1571" w:hanging="360"/>
      </w:pPr>
      <w:rPr>
        <w:rFonts w:cs="Times New Roman" w:hint="default"/>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93" w15:restartNumberingAfterBreak="0">
    <w:nsid w:val="1A782B1A"/>
    <w:multiLevelType w:val="hybridMultilevel"/>
    <w:tmpl w:val="8DCEBDF4"/>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94" w15:restartNumberingAfterBreak="0">
    <w:nsid w:val="1AD75DF0"/>
    <w:multiLevelType w:val="hybridMultilevel"/>
    <w:tmpl w:val="0BB22378"/>
    <w:lvl w:ilvl="0" w:tplc="0402000F">
      <w:start w:val="1"/>
      <w:numFmt w:val="decimal"/>
      <w:lvlText w:val="%1."/>
      <w:lvlJc w:val="left"/>
      <w:pPr>
        <w:ind w:left="1571" w:hanging="360"/>
      </w:p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95" w15:restartNumberingAfterBreak="0">
    <w:nsid w:val="1B5E20A7"/>
    <w:multiLevelType w:val="hybridMultilevel"/>
    <w:tmpl w:val="ACFE3DCE"/>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1B6C33DD"/>
    <w:multiLevelType w:val="hybridMultilevel"/>
    <w:tmpl w:val="E918D244"/>
    <w:lvl w:ilvl="0" w:tplc="91143956">
      <w:numFmt w:val="bullet"/>
      <w:lvlText w:val="-"/>
      <w:lvlJc w:val="left"/>
      <w:pPr>
        <w:ind w:left="960" w:hanging="360"/>
      </w:pPr>
      <w:rPr>
        <w:rFonts w:ascii="Times New Roman" w:eastAsia="Times New Roman" w:hAnsi="Times New Roman" w:hint="default"/>
      </w:rPr>
    </w:lvl>
    <w:lvl w:ilvl="1" w:tplc="04020003" w:tentative="1">
      <w:start w:val="1"/>
      <w:numFmt w:val="bullet"/>
      <w:lvlText w:val="o"/>
      <w:lvlJc w:val="left"/>
      <w:pPr>
        <w:ind w:left="1680" w:hanging="360"/>
      </w:pPr>
      <w:rPr>
        <w:rFonts w:ascii="Courier New" w:hAnsi="Courier New" w:hint="default"/>
      </w:rPr>
    </w:lvl>
    <w:lvl w:ilvl="2" w:tplc="04020005" w:tentative="1">
      <w:start w:val="1"/>
      <w:numFmt w:val="bullet"/>
      <w:lvlText w:val=""/>
      <w:lvlJc w:val="left"/>
      <w:pPr>
        <w:ind w:left="2400" w:hanging="360"/>
      </w:pPr>
      <w:rPr>
        <w:rFonts w:ascii="Wingdings" w:hAnsi="Wingdings" w:hint="default"/>
      </w:rPr>
    </w:lvl>
    <w:lvl w:ilvl="3" w:tplc="04020001">
      <w:start w:val="1"/>
      <w:numFmt w:val="bullet"/>
      <w:lvlText w:val=""/>
      <w:lvlJc w:val="left"/>
      <w:pPr>
        <w:ind w:left="3120" w:hanging="360"/>
      </w:pPr>
      <w:rPr>
        <w:rFonts w:ascii="Symbol" w:hAnsi="Symbol" w:hint="default"/>
      </w:rPr>
    </w:lvl>
    <w:lvl w:ilvl="4" w:tplc="04020003" w:tentative="1">
      <w:start w:val="1"/>
      <w:numFmt w:val="bullet"/>
      <w:lvlText w:val="o"/>
      <w:lvlJc w:val="left"/>
      <w:pPr>
        <w:ind w:left="3840" w:hanging="360"/>
      </w:pPr>
      <w:rPr>
        <w:rFonts w:ascii="Courier New" w:hAnsi="Courier New" w:hint="default"/>
      </w:rPr>
    </w:lvl>
    <w:lvl w:ilvl="5" w:tplc="04020005" w:tentative="1">
      <w:start w:val="1"/>
      <w:numFmt w:val="bullet"/>
      <w:lvlText w:val=""/>
      <w:lvlJc w:val="left"/>
      <w:pPr>
        <w:ind w:left="4560" w:hanging="360"/>
      </w:pPr>
      <w:rPr>
        <w:rFonts w:ascii="Wingdings" w:hAnsi="Wingdings" w:hint="default"/>
      </w:rPr>
    </w:lvl>
    <w:lvl w:ilvl="6" w:tplc="04020001" w:tentative="1">
      <w:start w:val="1"/>
      <w:numFmt w:val="bullet"/>
      <w:lvlText w:val=""/>
      <w:lvlJc w:val="left"/>
      <w:pPr>
        <w:ind w:left="5280" w:hanging="360"/>
      </w:pPr>
      <w:rPr>
        <w:rFonts w:ascii="Symbol" w:hAnsi="Symbol" w:hint="default"/>
      </w:rPr>
    </w:lvl>
    <w:lvl w:ilvl="7" w:tplc="04020003" w:tentative="1">
      <w:start w:val="1"/>
      <w:numFmt w:val="bullet"/>
      <w:lvlText w:val="o"/>
      <w:lvlJc w:val="left"/>
      <w:pPr>
        <w:ind w:left="6000" w:hanging="360"/>
      </w:pPr>
      <w:rPr>
        <w:rFonts w:ascii="Courier New" w:hAnsi="Courier New" w:hint="default"/>
      </w:rPr>
    </w:lvl>
    <w:lvl w:ilvl="8" w:tplc="04020005" w:tentative="1">
      <w:start w:val="1"/>
      <w:numFmt w:val="bullet"/>
      <w:lvlText w:val=""/>
      <w:lvlJc w:val="left"/>
      <w:pPr>
        <w:ind w:left="6720" w:hanging="360"/>
      </w:pPr>
      <w:rPr>
        <w:rFonts w:ascii="Wingdings" w:hAnsi="Wingdings" w:hint="default"/>
      </w:rPr>
    </w:lvl>
  </w:abstractNum>
  <w:abstractNum w:abstractNumId="97" w15:restartNumberingAfterBreak="0">
    <w:nsid w:val="1B862077"/>
    <w:multiLevelType w:val="hybridMultilevel"/>
    <w:tmpl w:val="E15E7530"/>
    <w:lvl w:ilvl="0" w:tplc="4A5279D6">
      <w:start w:val="8"/>
      <w:numFmt w:val="decimal"/>
      <w:lvlText w:val="%1."/>
      <w:lvlJc w:val="left"/>
      <w:pPr>
        <w:ind w:left="1080" w:hanging="360"/>
      </w:pPr>
      <w:rPr>
        <w:rFonts w:hint="default"/>
        <w:b w:val="0"/>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98" w15:restartNumberingAfterBreak="0">
    <w:nsid w:val="1C535562"/>
    <w:multiLevelType w:val="hybridMultilevel"/>
    <w:tmpl w:val="B69C2268"/>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99" w15:restartNumberingAfterBreak="0">
    <w:nsid w:val="1C5818CF"/>
    <w:multiLevelType w:val="hybridMultilevel"/>
    <w:tmpl w:val="CD920440"/>
    <w:lvl w:ilvl="0" w:tplc="31AC21B6">
      <w:numFmt w:val="bullet"/>
      <w:lvlText w:val="-"/>
      <w:lvlJc w:val="left"/>
      <w:pPr>
        <w:ind w:left="720" w:hanging="360"/>
      </w:pPr>
      <w:rPr>
        <w:rFonts w:ascii="Calibri" w:eastAsia="Times New Roman" w:hAnsi="Calibri"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0" w15:restartNumberingAfterBreak="0">
    <w:nsid w:val="1D365091"/>
    <w:multiLevelType w:val="hybridMultilevel"/>
    <w:tmpl w:val="0CEE5E50"/>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01" w15:restartNumberingAfterBreak="0">
    <w:nsid w:val="1D655F73"/>
    <w:multiLevelType w:val="hybridMultilevel"/>
    <w:tmpl w:val="EF64767A"/>
    <w:lvl w:ilvl="0" w:tplc="0402000D">
      <w:start w:val="1"/>
      <w:numFmt w:val="bullet"/>
      <w:lvlText w:val=""/>
      <w:lvlJc w:val="left"/>
      <w:pPr>
        <w:ind w:left="1789" w:hanging="360"/>
      </w:pPr>
      <w:rPr>
        <w:rFonts w:ascii="Wingdings" w:hAnsi="Wingdings" w:hint="default"/>
      </w:rPr>
    </w:lvl>
    <w:lvl w:ilvl="1" w:tplc="04020003" w:tentative="1">
      <w:start w:val="1"/>
      <w:numFmt w:val="bullet"/>
      <w:lvlText w:val="o"/>
      <w:lvlJc w:val="left"/>
      <w:pPr>
        <w:ind w:left="2509" w:hanging="360"/>
      </w:pPr>
      <w:rPr>
        <w:rFonts w:ascii="Courier New" w:hAnsi="Courier New" w:cs="Courier New" w:hint="default"/>
      </w:rPr>
    </w:lvl>
    <w:lvl w:ilvl="2" w:tplc="04020005" w:tentative="1">
      <w:start w:val="1"/>
      <w:numFmt w:val="bullet"/>
      <w:lvlText w:val=""/>
      <w:lvlJc w:val="left"/>
      <w:pPr>
        <w:ind w:left="3229" w:hanging="360"/>
      </w:pPr>
      <w:rPr>
        <w:rFonts w:ascii="Wingdings" w:hAnsi="Wingdings" w:hint="default"/>
      </w:rPr>
    </w:lvl>
    <w:lvl w:ilvl="3" w:tplc="04020001" w:tentative="1">
      <w:start w:val="1"/>
      <w:numFmt w:val="bullet"/>
      <w:lvlText w:val=""/>
      <w:lvlJc w:val="left"/>
      <w:pPr>
        <w:ind w:left="3949" w:hanging="360"/>
      </w:pPr>
      <w:rPr>
        <w:rFonts w:ascii="Symbol" w:hAnsi="Symbol" w:hint="default"/>
      </w:rPr>
    </w:lvl>
    <w:lvl w:ilvl="4" w:tplc="04020003" w:tentative="1">
      <w:start w:val="1"/>
      <w:numFmt w:val="bullet"/>
      <w:lvlText w:val="o"/>
      <w:lvlJc w:val="left"/>
      <w:pPr>
        <w:ind w:left="4669" w:hanging="360"/>
      </w:pPr>
      <w:rPr>
        <w:rFonts w:ascii="Courier New" w:hAnsi="Courier New" w:cs="Courier New" w:hint="default"/>
      </w:rPr>
    </w:lvl>
    <w:lvl w:ilvl="5" w:tplc="04020005" w:tentative="1">
      <w:start w:val="1"/>
      <w:numFmt w:val="bullet"/>
      <w:lvlText w:val=""/>
      <w:lvlJc w:val="left"/>
      <w:pPr>
        <w:ind w:left="5389" w:hanging="360"/>
      </w:pPr>
      <w:rPr>
        <w:rFonts w:ascii="Wingdings" w:hAnsi="Wingdings" w:hint="default"/>
      </w:rPr>
    </w:lvl>
    <w:lvl w:ilvl="6" w:tplc="04020001" w:tentative="1">
      <w:start w:val="1"/>
      <w:numFmt w:val="bullet"/>
      <w:lvlText w:val=""/>
      <w:lvlJc w:val="left"/>
      <w:pPr>
        <w:ind w:left="6109" w:hanging="360"/>
      </w:pPr>
      <w:rPr>
        <w:rFonts w:ascii="Symbol" w:hAnsi="Symbol" w:hint="default"/>
      </w:rPr>
    </w:lvl>
    <w:lvl w:ilvl="7" w:tplc="04020003" w:tentative="1">
      <w:start w:val="1"/>
      <w:numFmt w:val="bullet"/>
      <w:lvlText w:val="o"/>
      <w:lvlJc w:val="left"/>
      <w:pPr>
        <w:ind w:left="6829" w:hanging="360"/>
      </w:pPr>
      <w:rPr>
        <w:rFonts w:ascii="Courier New" w:hAnsi="Courier New" w:cs="Courier New" w:hint="default"/>
      </w:rPr>
    </w:lvl>
    <w:lvl w:ilvl="8" w:tplc="04020005" w:tentative="1">
      <w:start w:val="1"/>
      <w:numFmt w:val="bullet"/>
      <w:lvlText w:val=""/>
      <w:lvlJc w:val="left"/>
      <w:pPr>
        <w:ind w:left="7549" w:hanging="360"/>
      </w:pPr>
      <w:rPr>
        <w:rFonts w:ascii="Wingdings" w:hAnsi="Wingdings" w:hint="default"/>
      </w:rPr>
    </w:lvl>
  </w:abstractNum>
  <w:abstractNum w:abstractNumId="102" w15:restartNumberingAfterBreak="0">
    <w:nsid w:val="1D737E07"/>
    <w:multiLevelType w:val="hybridMultilevel"/>
    <w:tmpl w:val="FF4CA506"/>
    <w:lvl w:ilvl="0" w:tplc="0402000F">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03" w15:restartNumberingAfterBreak="0">
    <w:nsid w:val="1D8E14FE"/>
    <w:multiLevelType w:val="hybridMultilevel"/>
    <w:tmpl w:val="98EC1114"/>
    <w:lvl w:ilvl="0" w:tplc="3C1C7DE8">
      <w:start w:val="1"/>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04" w15:restartNumberingAfterBreak="0">
    <w:nsid w:val="1D9808C0"/>
    <w:multiLevelType w:val="hybridMultilevel"/>
    <w:tmpl w:val="DECCBDF6"/>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05" w15:restartNumberingAfterBreak="0">
    <w:nsid w:val="1DB86397"/>
    <w:multiLevelType w:val="hybridMultilevel"/>
    <w:tmpl w:val="86E6A69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6" w15:restartNumberingAfterBreak="0">
    <w:nsid w:val="1E1555F4"/>
    <w:multiLevelType w:val="hybridMultilevel"/>
    <w:tmpl w:val="94D40346"/>
    <w:lvl w:ilvl="0" w:tplc="A394E4F8">
      <w:start w:val="1"/>
      <w:numFmt w:val="bullet"/>
      <w:lvlText w:val="-"/>
      <w:lvlJc w:val="left"/>
      <w:pPr>
        <w:ind w:left="760" w:hanging="360"/>
      </w:pPr>
      <w:rPr>
        <w:rFonts w:ascii="Times New Roman" w:hAnsi="Times New Roman" w:hint="default"/>
      </w:rPr>
    </w:lvl>
    <w:lvl w:ilvl="1" w:tplc="04020003">
      <w:start w:val="1"/>
      <w:numFmt w:val="bullet"/>
      <w:lvlText w:val="o"/>
      <w:lvlJc w:val="left"/>
      <w:pPr>
        <w:ind w:left="1480" w:hanging="360"/>
      </w:pPr>
      <w:rPr>
        <w:rFonts w:ascii="Courier New" w:hAnsi="Courier New" w:hint="default"/>
      </w:rPr>
    </w:lvl>
    <w:lvl w:ilvl="2" w:tplc="04020005" w:tentative="1">
      <w:start w:val="1"/>
      <w:numFmt w:val="bullet"/>
      <w:lvlText w:val=""/>
      <w:lvlJc w:val="left"/>
      <w:pPr>
        <w:ind w:left="2200" w:hanging="360"/>
      </w:pPr>
      <w:rPr>
        <w:rFonts w:ascii="Wingdings" w:hAnsi="Wingdings" w:hint="default"/>
      </w:rPr>
    </w:lvl>
    <w:lvl w:ilvl="3" w:tplc="04020001" w:tentative="1">
      <w:start w:val="1"/>
      <w:numFmt w:val="bullet"/>
      <w:lvlText w:val=""/>
      <w:lvlJc w:val="left"/>
      <w:pPr>
        <w:ind w:left="2920" w:hanging="360"/>
      </w:pPr>
      <w:rPr>
        <w:rFonts w:ascii="Symbol" w:hAnsi="Symbol" w:hint="default"/>
      </w:rPr>
    </w:lvl>
    <w:lvl w:ilvl="4" w:tplc="04020003" w:tentative="1">
      <w:start w:val="1"/>
      <w:numFmt w:val="bullet"/>
      <w:lvlText w:val="o"/>
      <w:lvlJc w:val="left"/>
      <w:pPr>
        <w:ind w:left="3640" w:hanging="360"/>
      </w:pPr>
      <w:rPr>
        <w:rFonts w:ascii="Courier New" w:hAnsi="Courier New" w:hint="default"/>
      </w:rPr>
    </w:lvl>
    <w:lvl w:ilvl="5" w:tplc="04020005" w:tentative="1">
      <w:start w:val="1"/>
      <w:numFmt w:val="bullet"/>
      <w:lvlText w:val=""/>
      <w:lvlJc w:val="left"/>
      <w:pPr>
        <w:ind w:left="4360" w:hanging="360"/>
      </w:pPr>
      <w:rPr>
        <w:rFonts w:ascii="Wingdings" w:hAnsi="Wingdings" w:hint="default"/>
      </w:rPr>
    </w:lvl>
    <w:lvl w:ilvl="6" w:tplc="04020001" w:tentative="1">
      <w:start w:val="1"/>
      <w:numFmt w:val="bullet"/>
      <w:lvlText w:val=""/>
      <w:lvlJc w:val="left"/>
      <w:pPr>
        <w:ind w:left="5080" w:hanging="360"/>
      </w:pPr>
      <w:rPr>
        <w:rFonts w:ascii="Symbol" w:hAnsi="Symbol" w:hint="default"/>
      </w:rPr>
    </w:lvl>
    <w:lvl w:ilvl="7" w:tplc="04020003" w:tentative="1">
      <w:start w:val="1"/>
      <w:numFmt w:val="bullet"/>
      <w:lvlText w:val="o"/>
      <w:lvlJc w:val="left"/>
      <w:pPr>
        <w:ind w:left="5800" w:hanging="360"/>
      </w:pPr>
      <w:rPr>
        <w:rFonts w:ascii="Courier New" w:hAnsi="Courier New" w:hint="default"/>
      </w:rPr>
    </w:lvl>
    <w:lvl w:ilvl="8" w:tplc="04020005" w:tentative="1">
      <w:start w:val="1"/>
      <w:numFmt w:val="bullet"/>
      <w:lvlText w:val=""/>
      <w:lvlJc w:val="left"/>
      <w:pPr>
        <w:ind w:left="6520" w:hanging="360"/>
      </w:pPr>
      <w:rPr>
        <w:rFonts w:ascii="Wingdings" w:hAnsi="Wingdings" w:hint="default"/>
      </w:rPr>
    </w:lvl>
  </w:abstractNum>
  <w:abstractNum w:abstractNumId="107" w15:restartNumberingAfterBreak="0">
    <w:nsid w:val="1E4573F2"/>
    <w:multiLevelType w:val="hybridMultilevel"/>
    <w:tmpl w:val="91AAD406"/>
    <w:lvl w:ilvl="0" w:tplc="0CEC0C38">
      <w:start w:val="1"/>
      <w:numFmt w:val="decimal"/>
      <w:lvlText w:val="10.4.%1."/>
      <w:lvlJc w:val="left"/>
      <w:pPr>
        <w:tabs>
          <w:tab w:val="num" w:pos="851"/>
        </w:tabs>
        <w:ind w:left="1425" w:hanging="1425"/>
      </w:pPr>
      <w:rPr>
        <w:rFonts w:cs="Times New Roman" w:hint="default"/>
        <w:b/>
      </w:rPr>
    </w:lvl>
    <w:lvl w:ilvl="1" w:tplc="0402000D">
      <w:start w:val="1"/>
      <w:numFmt w:val="bullet"/>
      <w:lvlText w:val=""/>
      <w:lvlJc w:val="left"/>
      <w:pPr>
        <w:tabs>
          <w:tab w:val="num" w:pos="1440"/>
        </w:tabs>
        <w:ind w:left="1440" w:hanging="360"/>
      </w:pPr>
      <w:rPr>
        <w:rFonts w:ascii="Wingdings" w:hAnsi="Wingdings" w:hint="default"/>
        <w:b/>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08" w15:restartNumberingAfterBreak="0">
    <w:nsid w:val="1E4C70D4"/>
    <w:multiLevelType w:val="hybridMultilevel"/>
    <w:tmpl w:val="9294BF68"/>
    <w:lvl w:ilvl="0" w:tplc="0402000F">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09" w15:restartNumberingAfterBreak="0">
    <w:nsid w:val="1E52719B"/>
    <w:multiLevelType w:val="hybridMultilevel"/>
    <w:tmpl w:val="E0E4298E"/>
    <w:lvl w:ilvl="0" w:tplc="08090001">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1E6115AD"/>
    <w:multiLevelType w:val="hybridMultilevel"/>
    <w:tmpl w:val="717E5E4A"/>
    <w:lvl w:ilvl="0" w:tplc="2EC232BE">
      <w:start w:val="1"/>
      <w:numFmt w:val="bullet"/>
      <w:lvlText w:val="-"/>
      <w:lvlJc w:val="left"/>
      <w:pPr>
        <w:ind w:left="1635" w:hanging="360"/>
      </w:pPr>
      <w:rPr>
        <w:rFonts w:ascii="Times New Roman" w:hAnsi="Times New Roman" w:cs="Times New Roman" w:hint="default"/>
      </w:rPr>
    </w:lvl>
    <w:lvl w:ilvl="1" w:tplc="04020003" w:tentative="1">
      <w:start w:val="1"/>
      <w:numFmt w:val="bullet"/>
      <w:lvlText w:val="o"/>
      <w:lvlJc w:val="left"/>
      <w:pPr>
        <w:ind w:left="2355" w:hanging="360"/>
      </w:pPr>
      <w:rPr>
        <w:rFonts w:ascii="Courier New" w:hAnsi="Courier New" w:cs="Courier New" w:hint="default"/>
      </w:rPr>
    </w:lvl>
    <w:lvl w:ilvl="2" w:tplc="04020005" w:tentative="1">
      <w:start w:val="1"/>
      <w:numFmt w:val="bullet"/>
      <w:lvlText w:val=""/>
      <w:lvlJc w:val="left"/>
      <w:pPr>
        <w:ind w:left="3075" w:hanging="360"/>
      </w:pPr>
      <w:rPr>
        <w:rFonts w:ascii="Wingdings" w:hAnsi="Wingdings" w:hint="default"/>
      </w:rPr>
    </w:lvl>
    <w:lvl w:ilvl="3" w:tplc="04020001" w:tentative="1">
      <w:start w:val="1"/>
      <w:numFmt w:val="bullet"/>
      <w:lvlText w:val=""/>
      <w:lvlJc w:val="left"/>
      <w:pPr>
        <w:ind w:left="3795" w:hanging="360"/>
      </w:pPr>
      <w:rPr>
        <w:rFonts w:ascii="Symbol" w:hAnsi="Symbol" w:hint="default"/>
      </w:rPr>
    </w:lvl>
    <w:lvl w:ilvl="4" w:tplc="04020003" w:tentative="1">
      <w:start w:val="1"/>
      <w:numFmt w:val="bullet"/>
      <w:lvlText w:val="o"/>
      <w:lvlJc w:val="left"/>
      <w:pPr>
        <w:ind w:left="4515" w:hanging="360"/>
      </w:pPr>
      <w:rPr>
        <w:rFonts w:ascii="Courier New" w:hAnsi="Courier New" w:cs="Courier New" w:hint="default"/>
      </w:rPr>
    </w:lvl>
    <w:lvl w:ilvl="5" w:tplc="04020005" w:tentative="1">
      <w:start w:val="1"/>
      <w:numFmt w:val="bullet"/>
      <w:lvlText w:val=""/>
      <w:lvlJc w:val="left"/>
      <w:pPr>
        <w:ind w:left="5235" w:hanging="360"/>
      </w:pPr>
      <w:rPr>
        <w:rFonts w:ascii="Wingdings" w:hAnsi="Wingdings" w:hint="default"/>
      </w:rPr>
    </w:lvl>
    <w:lvl w:ilvl="6" w:tplc="04020001" w:tentative="1">
      <w:start w:val="1"/>
      <w:numFmt w:val="bullet"/>
      <w:lvlText w:val=""/>
      <w:lvlJc w:val="left"/>
      <w:pPr>
        <w:ind w:left="5955" w:hanging="360"/>
      </w:pPr>
      <w:rPr>
        <w:rFonts w:ascii="Symbol" w:hAnsi="Symbol" w:hint="default"/>
      </w:rPr>
    </w:lvl>
    <w:lvl w:ilvl="7" w:tplc="04020003" w:tentative="1">
      <w:start w:val="1"/>
      <w:numFmt w:val="bullet"/>
      <w:lvlText w:val="o"/>
      <w:lvlJc w:val="left"/>
      <w:pPr>
        <w:ind w:left="6675" w:hanging="360"/>
      </w:pPr>
      <w:rPr>
        <w:rFonts w:ascii="Courier New" w:hAnsi="Courier New" w:cs="Courier New" w:hint="default"/>
      </w:rPr>
    </w:lvl>
    <w:lvl w:ilvl="8" w:tplc="04020005" w:tentative="1">
      <w:start w:val="1"/>
      <w:numFmt w:val="bullet"/>
      <w:lvlText w:val=""/>
      <w:lvlJc w:val="left"/>
      <w:pPr>
        <w:ind w:left="7395" w:hanging="360"/>
      </w:pPr>
      <w:rPr>
        <w:rFonts w:ascii="Wingdings" w:hAnsi="Wingdings" w:hint="default"/>
      </w:rPr>
    </w:lvl>
  </w:abstractNum>
  <w:abstractNum w:abstractNumId="111" w15:restartNumberingAfterBreak="0">
    <w:nsid w:val="1F095D6F"/>
    <w:multiLevelType w:val="hybridMultilevel"/>
    <w:tmpl w:val="5D12130C"/>
    <w:lvl w:ilvl="0" w:tplc="075C8D84">
      <w:start w:val="1"/>
      <w:numFmt w:val="decimal"/>
      <w:lvlText w:val="13.%1."/>
      <w:lvlJc w:val="left"/>
      <w:pPr>
        <w:tabs>
          <w:tab w:val="num" w:pos="1152"/>
        </w:tabs>
        <w:ind w:left="1152" w:hanging="851"/>
      </w:pPr>
      <w:rPr>
        <w:rFonts w:cs="Times New Roman" w:hint="default"/>
        <w:b/>
      </w:rPr>
    </w:lvl>
    <w:lvl w:ilvl="1" w:tplc="04020005">
      <w:start w:val="1"/>
      <w:numFmt w:val="bullet"/>
      <w:lvlText w:val=""/>
      <w:lvlJc w:val="left"/>
      <w:pPr>
        <w:tabs>
          <w:tab w:val="num" w:pos="1440"/>
        </w:tabs>
        <w:ind w:left="1440" w:hanging="360"/>
      </w:pPr>
      <w:rPr>
        <w:rFonts w:ascii="Wingdings" w:hAnsi="Wingdings" w:hint="default"/>
        <w:b/>
      </w:rPr>
    </w:lvl>
    <w:lvl w:ilvl="2" w:tplc="9B0EDAB8">
      <w:start w:val="1"/>
      <w:numFmt w:val="decimal"/>
      <w:lvlText w:val="13.%3."/>
      <w:lvlJc w:val="left"/>
      <w:pPr>
        <w:tabs>
          <w:tab w:val="num" w:pos="2831"/>
        </w:tabs>
        <w:ind w:left="2831" w:hanging="851"/>
      </w:pPr>
      <w:rPr>
        <w:rFonts w:cs="Times New Roman" w:hint="default"/>
        <w:b/>
      </w:rPr>
    </w:lvl>
    <w:lvl w:ilvl="3" w:tplc="0402000D">
      <w:start w:val="1"/>
      <w:numFmt w:val="bullet"/>
      <w:lvlText w:val=""/>
      <w:lvlJc w:val="left"/>
      <w:pPr>
        <w:ind w:left="2970" w:hanging="450"/>
      </w:pPr>
      <w:rPr>
        <w:rFonts w:ascii="Wingdings" w:hAnsi="Wingdings" w:hint="default"/>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12" w15:restartNumberingAfterBreak="0">
    <w:nsid w:val="1F826ECB"/>
    <w:multiLevelType w:val="hybridMultilevel"/>
    <w:tmpl w:val="45A88C1E"/>
    <w:lvl w:ilvl="0" w:tplc="C332E5A2">
      <w:start w:val="1"/>
      <w:numFmt w:val="lowerLetter"/>
      <w:lvlText w:val="%1)"/>
      <w:lvlJc w:val="left"/>
      <w:pPr>
        <w:ind w:left="1571" w:hanging="360"/>
      </w:pPr>
      <w:rPr>
        <w:rFonts w:hint="default"/>
        <w:b/>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13" w15:restartNumberingAfterBreak="0">
    <w:nsid w:val="1FDA1CB6"/>
    <w:multiLevelType w:val="hybridMultilevel"/>
    <w:tmpl w:val="65A8337E"/>
    <w:lvl w:ilvl="0" w:tplc="26F25864">
      <w:start w:val="1"/>
      <mc:AlternateContent>
        <mc:Choice Requires="w14">
          <w:numFmt w:val="custom" w:format="а, й, к, ..."/>
        </mc:Choice>
        <mc:Fallback>
          <w:numFmt w:val="decimal"/>
        </mc:Fallback>
      </mc:AlternateContent>
      <w:lvlText w:val="%1)"/>
      <w:lvlJc w:val="left"/>
      <w:pPr>
        <w:ind w:left="1571" w:hanging="360"/>
      </w:pPr>
      <w:rPr>
        <w:rFonts w:cs="Times New Roman" w:hint="default"/>
        <w:b/>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14" w15:restartNumberingAfterBreak="0">
    <w:nsid w:val="1FFF2B8D"/>
    <w:multiLevelType w:val="hybridMultilevel"/>
    <w:tmpl w:val="16B0C4E6"/>
    <w:lvl w:ilvl="0" w:tplc="6BEEEDE6">
      <w:start w:val="1"/>
      <w:numFmt w:val="decimal"/>
      <w:lvlText w:val="%1)"/>
      <w:lvlJc w:val="left"/>
      <w:pPr>
        <w:ind w:left="8157"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15" w15:restartNumberingAfterBreak="0">
    <w:nsid w:val="20853A3D"/>
    <w:multiLevelType w:val="hybridMultilevel"/>
    <w:tmpl w:val="CA84B748"/>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16" w15:restartNumberingAfterBreak="0">
    <w:nsid w:val="20A51989"/>
    <w:multiLevelType w:val="hybridMultilevel"/>
    <w:tmpl w:val="884C6AF6"/>
    <w:lvl w:ilvl="0" w:tplc="04020005">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210F7D40"/>
    <w:multiLevelType w:val="hybridMultilevel"/>
    <w:tmpl w:val="F6EC5436"/>
    <w:lvl w:ilvl="0" w:tplc="2B8CE1EA">
      <w:start w:val="1"/>
      <w:numFmt w:val="decimal"/>
      <w:lvlText w:val="%1)"/>
      <w:lvlJc w:val="left"/>
      <w:pPr>
        <w:ind w:left="1571" w:hanging="360"/>
      </w:pPr>
      <w:rPr>
        <w:b/>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18" w15:restartNumberingAfterBreak="0">
    <w:nsid w:val="21160143"/>
    <w:multiLevelType w:val="hybridMultilevel"/>
    <w:tmpl w:val="8E0AA4B6"/>
    <w:lvl w:ilvl="0" w:tplc="7632E04E">
      <w:start w:val="6"/>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19" w15:restartNumberingAfterBreak="0">
    <w:nsid w:val="212E26ED"/>
    <w:multiLevelType w:val="hybridMultilevel"/>
    <w:tmpl w:val="84DEADF0"/>
    <w:lvl w:ilvl="0" w:tplc="04020011">
      <w:start w:val="1"/>
      <w:numFmt w:val="decimal"/>
      <w:lvlText w:val="%1)"/>
      <w:lvlJc w:val="left"/>
      <w:pPr>
        <w:ind w:left="720" w:hanging="360"/>
      </w:pPr>
      <w:rPr>
        <w:rFonts w:cs="Times New Roman"/>
      </w:rPr>
    </w:lvl>
    <w:lvl w:ilvl="1" w:tplc="76401462">
      <w:start w:val="1"/>
      <w:numFmt w:val="decimal"/>
      <w:lvlText w:val="%2)"/>
      <w:lvlJc w:val="left"/>
      <w:pPr>
        <w:ind w:left="1440" w:hanging="360"/>
      </w:pPr>
      <w:rPr>
        <w:rFonts w:ascii="Times New Roman" w:hAnsi="Times New Roman" w:cs="Times New Roman" w:hint="default"/>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20" w15:restartNumberingAfterBreak="0">
    <w:nsid w:val="21B840E0"/>
    <w:multiLevelType w:val="hybridMultilevel"/>
    <w:tmpl w:val="26168F5C"/>
    <w:lvl w:ilvl="0" w:tplc="6BEEEDE6">
      <w:start w:val="1"/>
      <w:numFmt w:val="decimal"/>
      <w:lvlText w:val="%1)"/>
      <w:lvlJc w:val="left"/>
      <w:pPr>
        <w:ind w:left="1429" w:hanging="360"/>
      </w:pPr>
      <w:rPr>
        <w:rFonts w:cs="Times New Roman"/>
        <w:b/>
        <w:i w:val="0"/>
      </w:rPr>
    </w:lvl>
    <w:lvl w:ilvl="1" w:tplc="04020019" w:tentative="1">
      <w:start w:val="1"/>
      <w:numFmt w:val="lowerLetter"/>
      <w:lvlText w:val="%2."/>
      <w:lvlJc w:val="left"/>
      <w:pPr>
        <w:ind w:left="2149" w:hanging="360"/>
      </w:pPr>
      <w:rPr>
        <w:rFonts w:cs="Times New Roman"/>
      </w:rPr>
    </w:lvl>
    <w:lvl w:ilvl="2" w:tplc="0402001B" w:tentative="1">
      <w:start w:val="1"/>
      <w:numFmt w:val="lowerRoman"/>
      <w:lvlText w:val="%3."/>
      <w:lvlJc w:val="right"/>
      <w:pPr>
        <w:ind w:left="2869" w:hanging="180"/>
      </w:pPr>
      <w:rPr>
        <w:rFonts w:cs="Times New Roman"/>
      </w:rPr>
    </w:lvl>
    <w:lvl w:ilvl="3" w:tplc="0402000F" w:tentative="1">
      <w:start w:val="1"/>
      <w:numFmt w:val="decimal"/>
      <w:lvlText w:val="%4."/>
      <w:lvlJc w:val="left"/>
      <w:pPr>
        <w:ind w:left="3589" w:hanging="360"/>
      </w:pPr>
      <w:rPr>
        <w:rFonts w:cs="Times New Roman"/>
      </w:rPr>
    </w:lvl>
    <w:lvl w:ilvl="4" w:tplc="04020019" w:tentative="1">
      <w:start w:val="1"/>
      <w:numFmt w:val="lowerLetter"/>
      <w:lvlText w:val="%5."/>
      <w:lvlJc w:val="left"/>
      <w:pPr>
        <w:ind w:left="4309" w:hanging="360"/>
      </w:pPr>
      <w:rPr>
        <w:rFonts w:cs="Times New Roman"/>
      </w:rPr>
    </w:lvl>
    <w:lvl w:ilvl="5" w:tplc="0402001B" w:tentative="1">
      <w:start w:val="1"/>
      <w:numFmt w:val="lowerRoman"/>
      <w:lvlText w:val="%6."/>
      <w:lvlJc w:val="right"/>
      <w:pPr>
        <w:ind w:left="5029" w:hanging="180"/>
      </w:pPr>
      <w:rPr>
        <w:rFonts w:cs="Times New Roman"/>
      </w:rPr>
    </w:lvl>
    <w:lvl w:ilvl="6" w:tplc="0402000F" w:tentative="1">
      <w:start w:val="1"/>
      <w:numFmt w:val="decimal"/>
      <w:lvlText w:val="%7."/>
      <w:lvlJc w:val="left"/>
      <w:pPr>
        <w:ind w:left="5749" w:hanging="360"/>
      </w:pPr>
      <w:rPr>
        <w:rFonts w:cs="Times New Roman"/>
      </w:rPr>
    </w:lvl>
    <w:lvl w:ilvl="7" w:tplc="04020019" w:tentative="1">
      <w:start w:val="1"/>
      <w:numFmt w:val="lowerLetter"/>
      <w:lvlText w:val="%8."/>
      <w:lvlJc w:val="left"/>
      <w:pPr>
        <w:ind w:left="6469" w:hanging="360"/>
      </w:pPr>
      <w:rPr>
        <w:rFonts w:cs="Times New Roman"/>
      </w:rPr>
    </w:lvl>
    <w:lvl w:ilvl="8" w:tplc="0402001B" w:tentative="1">
      <w:start w:val="1"/>
      <w:numFmt w:val="lowerRoman"/>
      <w:lvlText w:val="%9."/>
      <w:lvlJc w:val="right"/>
      <w:pPr>
        <w:ind w:left="7189" w:hanging="180"/>
      </w:pPr>
      <w:rPr>
        <w:rFonts w:cs="Times New Roman"/>
      </w:rPr>
    </w:lvl>
  </w:abstractNum>
  <w:abstractNum w:abstractNumId="121" w15:restartNumberingAfterBreak="0">
    <w:nsid w:val="22106CDF"/>
    <w:multiLevelType w:val="hybridMultilevel"/>
    <w:tmpl w:val="D4CE75B8"/>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22" w15:restartNumberingAfterBreak="0">
    <w:nsid w:val="228458C0"/>
    <w:multiLevelType w:val="hybridMultilevel"/>
    <w:tmpl w:val="2E608D36"/>
    <w:lvl w:ilvl="0" w:tplc="04020001">
      <w:start w:val="1"/>
      <w:numFmt w:val="bullet"/>
      <w:lvlText w:val=""/>
      <w:lvlJc w:val="left"/>
      <w:pPr>
        <w:ind w:left="1368" w:hanging="360"/>
      </w:pPr>
      <w:rPr>
        <w:rFonts w:ascii="Symbol" w:hAnsi="Symbol" w:hint="default"/>
      </w:rPr>
    </w:lvl>
    <w:lvl w:ilvl="1" w:tplc="04020003" w:tentative="1">
      <w:start w:val="1"/>
      <w:numFmt w:val="bullet"/>
      <w:lvlText w:val="o"/>
      <w:lvlJc w:val="left"/>
      <w:pPr>
        <w:ind w:left="2088" w:hanging="360"/>
      </w:pPr>
      <w:rPr>
        <w:rFonts w:ascii="Courier New" w:hAnsi="Courier New" w:cs="Courier New" w:hint="default"/>
      </w:rPr>
    </w:lvl>
    <w:lvl w:ilvl="2" w:tplc="04020005" w:tentative="1">
      <w:start w:val="1"/>
      <w:numFmt w:val="bullet"/>
      <w:lvlText w:val=""/>
      <w:lvlJc w:val="left"/>
      <w:pPr>
        <w:ind w:left="2808" w:hanging="360"/>
      </w:pPr>
      <w:rPr>
        <w:rFonts w:ascii="Wingdings" w:hAnsi="Wingdings" w:hint="default"/>
      </w:rPr>
    </w:lvl>
    <w:lvl w:ilvl="3" w:tplc="04020001" w:tentative="1">
      <w:start w:val="1"/>
      <w:numFmt w:val="bullet"/>
      <w:lvlText w:val=""/>
      <w:lvlJc w:val="left"/>
      <w:pPr>
        <w:ind w:left="3528" w:hanging="360"/>
      </w:pPr>
      <w:rPr>
        <w:rFonts w:ascii="Symbol" w:hAnsi="Symbol" w:hint="default"/>
      </w:rPr>
    </w:lvl>
    <w:lvl w:ilvl="4" w:tplc="04020003" w:tentative="1">
      <w:start w:val="1"/>
      <w:numFmt w:val="bullet"/>
      <w:lvlText w:val="o"/>
      <w:lvlJc w:val="left"/>
      <w:pPr>
        <w:ind w:left="4248" w:hanging="360"/>
      </w:pPr>
      <w:rPr>
        <w:rFonts w:ascii="Courier New" w:hAnsi="Courier New" w:cs="Courier New" w:hint="default"/>
      </w:rPr>
    </w:lvl>
    <w:lvl w:ilvl="5" w:tplc="04020005" w:tentative="1">
      <w:start w:val="1"/>
      <w:numFmt w:val="bullet"/>
      <w:lvlText w:val=""/>
      <w:lvlJc w:val="left"/>
      <w:pPr>
        <w:ind w:left="4968" w:hanging="360"/>
      </w:pPr>
      <w:rPr>
        <w:rFonts w:ascii="Wingdings" w:hAnsi="Wingdings" w:hint="default"/>
      </w:rPr>
    </w:lvl>
    <w:lvl w:ilvl="6" w:tplc="04020001" w:tentative="1">
      <w:start w:val="1"/>
      <w:numFmt w:val="bullet"/>
      <w:lvlText w:val=""/>
      <w:lvlJc w:val="left"/>
      <w:pPr>
        <w:ind w:left="5688" w:hanging="360"/>
      </w:pPr>
      <w:rPr>
        <w:rFonts w:ascii="Symbol" w:hAnsi="Symbol" w:hint="default"/>
      </w:rPr>
    </w:lvl>
    <w:lvl w:ilvl="7" w:tplc="04020003" w:tentative="1">
      <w:start w:val="1"/>
      <w:numFmt w:val="bullet"/>
      <w:lvlText w:val="o"/>
      <w:lvlJc w:val="left"/>
      <w:pPr>
        <w:ind w:left="6408" w:hanging="360"/>
      </w:pPr>
      <w:rPr>
        <w:rFonts w:ascii="Courier New" w:hAnsi="Courier New" w:cs="Courier New" w:hint="default"/>
      </w:rPr>
    </w:lvl>
    <w:lvl w:ilvl="8" w:tplc="04020005" w:tentative="1">
      <w:start w:val="1"/>
      <w:numFmt w:val="bullet"/>
      <w:lvlText w:val=""/>
      <w:lvlJc w:val="left"/>
      <w:pPr>
        <w:ind w:left="7128" w:hanging="360"/>
      </w:pPr>
      <w:rPr>
        <w:rFonts w:ascii="Wingdings" w:hAnsi="Wingdings" w:hint="default"/>
      </w:rPr>
    </w:lvl>
  </w:abstractNum>
  <w:abstractNum w:abstractNumId="123" w15:restartNumberingAfterBreak="0">
    <w:nsid w:val="228F0A43"/>
    <w:multiLevelType w:val="hybridMultilevel"/>
    <w:tmpl w:val="ABD23564"/>
    <w:lvl w:ilvl="0" w:tplc="37CC0E58">
      <w:start w:val="1"/>
      <w:numFmt w:val="decimal"/>
      <w:lvlText w:val="1.%1."/>
      <w:lvlJc w:val="left"/>
      <w:pPr>
        <w:ind w:left="1571" w:hanging="360"/>
      </w:pPr>
      <w:rPr>
        <w:rFonts w:cs="Times New Roman" w:hint="default"/>
        <w:b/>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24" w15:restartNumberingAfterBreak="0">
    <w:nsid w:val="22CC1735"/>
    <w:multiLevelType w:val="hybridMultilevel"/>
    <w:tmpl w:val="9C68AD50"/>
    <w:lvl w:ilvl="0" w:tplc="7FECEAC0">
      <w:start w:val="1"/>
      <w:numFmt w:val="decimal"/>
      <w:lvlText w:val="%1)"/>
      <w:lvlJc w:val="left"/>
      <w:pPr>
        <w:ind w:left="1571" w:hanging="360"/>
      </w:pPr>
      <w:rPr>
        <w:b/>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25" w15:restartNumberingAfterBreak="0">
    <w:nsid w:val="232332C4"/>
    <w:multiLevelType w:val="hybridMultilevel"/>
    <w:tmpl w:val="8CC038DA"/>
    <w:lvl w:ilvl="0" w:tplc="0402000D">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23360950"/>
    <w:multiLevelType w:val="hybridMultilevel"/>
    <w:tmpl w:val="D4A2D5C6"/>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27" w15:restartNumberingAfterBreak="0">
    <w:nsid w:val="235A7348"/>
    <w:multiLevelType w:val="hybridMultilevel"/>
    <w:tmpl w:val="FF6A474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23885755"/>
    <w:multiLevelType w:val="hybridMultilevel"/>
    <w:tmpl w:val="5824B99C"/>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29" w15:restartNumberingAfterBreak="0">
    <w:nsid w:val="2399550F"/>
    <w:multiLevelType w:val="hybridMultilevel"/>
    <w:tmpl w:val="C19058A8"/>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30" w15:restartNumberingAfterBreak="0">
    <w:nsid w:val="240F0E45"/>
    <w:multiLevelType w:val="hybridMultilevel"/>
    <w:tmpl w:val="31A8560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1" w15:restartNumberingAfterBreak="0">
    <w:nsid w:val="24661C22"/>
    <w:multiLevelType w:val="hybridMultilevel"/>
    <w:tmpl w:val="F8186AB6"/>
    <w:lvl w:ilvl="0" w:tplc="0402000B">
      <w:start w:val="1"/>
      <w:numFmt w:val="bullet"/>
      <w:lvlText w:val=""/>
      <w:lvlJc w:val="left"/>
      <w:pPr>
        <w:ind w:left="1008" w:hanging="360"/>
      </w:pPr>
      <w:rPr>
        <w:rFonts w:ascii="Wingdings" w:hAnsi="Wingdings" w:hint="default"/>
      </w:rPr>
    </w:lvl>
    <w:lvl w:ilvl="1" w:tplc="04020003" w:tentative="1">
      <w:start w:val="1"/>
      <w:numFmt w:val="bullet"/>
      <w:lvlText w:val="o"/>
      <w:lvlJc w:val="left"/>
      <w:pPr>
        <w:ind w:left="1728" w:hanging="360"/>
      </w:pPr>
      <w:rPr>
        <w:rFonts w:ascii="Courier New" w:hAnsi="Courier New" w:cs="Courier New" w:hint="default"/>
      </w:rPr>
    </w:lvl>
    <w:lvl w:ilvl="2" w:tplc="04020005" w:tentative="1">
      <w:start w:val="1"/>
      <w:numFmt w:val="bullet"/>
      <w:lvlText w:val=""/>
      <w:lvlJc w:val="left"/>
      <w:pPr>
        <w:ind w:left="2448" w:hanging="360"/>
      </w:pPr>
      <w:rPr>
        <w:rFonts w:ascii="Wingdings" w:hAnsi="Wingdings" w:hint="default"/>
      </w:rPr>
    </w:lvl>
    <w:lvl w:ilvl="3" w:tplc="04020001" w:tentative="1">
      <w:start w:val="1"/>
      <w:numFmt w:val="bullet"/>
      <w:lvlText w:val=""/>
      <w:lvlJc w:val="left"/>
      <w:pPr>
        <w:ind w:left="3168" w:hanging="360"/>
      </w:pPr>
      <w:rPr>
        <w:rFonts w:ascii="Symbol" w:hAnsi="Symbol" w:hint="default"/>
      </w:rPr>
    </w:lvl>
    <w:lvl w:ilvl="4" w:tplc="04020003" w:tentative="1">
      <w:start w:val="1"/>
      <w:numFmt w:val="bullet"/>
      <w:lvlText w:val="o"/>
      <w:lvlJc w:val="left"/>
      <w:pPr>
        <w:ind w:left="3888" w:hanging="360"/>
      </w:pPr>
      <w:rPr>
        <w:rFonts w:ascii="Courier New" w:hAnsi="Courier New" w:cs="Courier New" w:hint="default"/>
      </w:rPr>
    </w:lvl>
    <w:lvl w:ilvl="5" w:tplc="04020005" w:tentative="1">
      <w:start w:val="1"/>
      <w:numFmt w:val="bullet"/>
      <w:lvlText w:val=""/>
      <w:lvlJc w:val="left"/>
      <w:pPr>
        <w:ind w:left="4608" w:hanging="360"/>
      </w:pPr>
      <w:rPr>
        <w:rFonts w:ascii="Wingdings" w:hAnsi="Wingdings" w:hint="default"/>
      </w:rPr>
    </w:lvl>
    <w:lvl w:ilvl="6" w:tplc="04020001" w:tentative="1">
      <w:start w:val="1"/>
      <w:numFmt w:val="bullet"/>
      <w:lvlText w:val=""/>
      <w:lvlJc w:val="left"/>
      <w:pPr>
        <w:ind w:left="5328" w:hanging="360"/>
      </w:pPr>
      <w:rPr>
        <w:rFonts w:ascii="Symbol" w:hAnsi="Symbol" w:hint="default"/>
      </w:rPr>
    </w:lvl>
    <w:lvl w:ilvl="7" w:tplc="04020003" w:tentative="1">
      <w:start w:val="1"/>
      <w:numFmt w:val="bullet"/>
      <w:lvlText w:val="o"/>
      <w:lvlJc w:val="left"/>
      <w:pPr>
        <w:ind w:left="6048" w:hanging="360"/>
      </w:pPr>
      <w:rPr>
        <w:rFonts w:ascii="Courier New" w:hAnsi="Courier New" w:cs="Courier New" w:hint="default"/>
      </w:rPr>
    </w:lvl>
    <w:lvl w:ilvl="8" w:tplc="04020005" w:tentative="1">
      <w:start w:val="1"/>
      <w:numFmt w:val="bullet"/>
      <w:lvlText w:val=""/>
      <w:lvlJc w:val="left"/>
      <w:pPr>
        <w:ind w:left="6768" w:hanging="360"/>
      </w:pPr>
      <w:rPr>
        <w:rFonts w:ascii="Wingdings" w:hAnsi="Wingdings" w:hint="default"/>
      </w:rPr>
    </w:lvl>
  </w:abstractNum>
  <w:abstractNum w:abstractNumId="132" w15:restartNumberingAfterBreak="0">
    <w:nsid w:val="247002F6"/>
    <w:multiLevelType w:val="hybridMultilevel"/>
    <w:tmpl w:val="6C5A17C8"/>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24B32AE4"/>
    <w:multiLevelType w:val="multilevel"/>
    <w:tmpl w:val="74C410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4" w15:restartNumberingAfterBreak="0">
    <w:nsid w:val="25143213"/>
    <w:multiLevelType w:val="hybridMultilevel"/>
    <w:tmpl w:val="87BCC9F2"/>
    <w:lvl w:ilvl="0" w:tplc="FB96581E">
      <w:start w:val="1"/>
      <w:numFmt w:val="bullet"/>
      <w:lvlText w:val=""/>
      <w:lvlJc w:val="left"/>
      <w:pPr>
        <w:tabs>
          <w:tab w:val="num" w:pos="900"/>
        </w:tabs>
        <w:ind w:left="900" w:hanging="360"/>
      </w:pPr>
      <w:rPr>
        <w:rFonts w:ascii="Symbol" w:hAnsi="Symbol" w:hint="default"/>
        <w:color w:val="auto"/>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25A138A8"/>
    <w:multiLevelType w:val="hybridMultilevel"/>
    <w:tmpl w:val="5D3A097A"/>
    <w:lvl w:ilvl="0" w:tplc="D862E972">
      <w:numFmt w:val="bullet"/>
      <w:lvlText w:val="-"/>
      <w:lvlJc w:val="left"/>
      <w:pPr>
        <w:tabs>
          <w:tab w:val="num" w:pos="2139"/>
        </w:tabs>
        <w:ind w:left="2139" w:hanging="1170"/>
      </w:pPr>
      <w:rPr>
        <w:rFonts w:ascii="Times New Roman" w:eastAsia="Times New Roman" w:hAnsi="Times New Roman" w:hint="default"/>
      </w:rPr>
    </w:lvl>
    <w:lvl w:ilvl="1" w:tplc="04020003" w:tentative="1">
      <w:start w:val="1"/>
      <w:numFmt w:val="bullet"/>
      <w:lvlText w:val="o"/>
      <w:lvlJc w:val="left"/>
      <w:pPr>
        <w:tabs>
          <w:tab w:val="num" w:pos="2049"/>
        </w:tabs>
        <w:ind w:left="2049" w:hanging="360"/>
      </w:pPr>
      <w:rPr>
        <w:rFonts w:ascii="Courier New" w:hAnsi="Courier New" w:hint="default"/>
      </w:rPr>
    </w:lvl>
    <w:lvl w:ilvl="2" w:tplc="04020005" w:tentative="1">
      <w:start w:val="1"/>
      <w:numFmt w:val="bullet"/>
      <w:lvlText w:val=""/>
      <w:lvlJc w:val="left"/>
      <w:pPr>
        <w:tabs>
          <w:tab w:val="num" w:pos="2769"/>
        </w:tabs>
        <w:ind w:left="2769" w:hanging="360"/>
      </w:pPr>
      <w:rPr>
        <w:rFonts w:ascii="Wingdings" w:hAnsi="Wingdings" w:hint="default"/>
      </w:rPr>
    </w:lvl>
    <w:lvl w:ilvl="3" w:tplc="04020001" w:tentative="1">
      <w:start w:val="1"/>
      <w:numFmt w:val="bullet"/>
      <w:lvlText w:val=""/>
      <w:lvlJc w:val="left"/>
      <w:pPr>
        <w:tabs>
          <w:tab w:val="num" w:pos="3489"/>
        </w:tabs>
        <w:ind w:left="3489" w:hanging="360"/>
      </w:pPr>
      <w:rPr>
        <w:rFonts w:ascii="Symbol" w:hAnsi="Symbol" w:hint="default"/>
      </w:rPr>
    </w:lvl>
    <w:lvl w:ilvl="4" w:tplc="04020003" w:tentative="1">
      <w:start w:val="1"/>
      <w:numFmt w:val="bullet"/>
      <w:lvlText w:val="o"/>
      <w:lvlJc w:val="left"/>
      <w:pPr>
        <w:tabs>
          <w:tab w:val="num" w:pos="4209"/>
        </w:tabs>
        <w:ind w:left="4209" w:hanging="360"/>
      </w:pPr>
      <w:rPr>
        <w:rFonts w:ascii="Courier New" w:hAnsi="Courier New" w:hint="default"/>
      </w:rPr>
    </w:lvl>
    <w:lvl w:ilvl="5" w:tplc="04020005" w:tentative="1">
      <w:start w:val="1"/>
      <w:numFmt w:val="bullet"/>
      <w:lvlText w:val=""/>
      <w:lvlJc w:val="left"/>
      <w:pPr>
        <w:tabs>
          <w:tab w:val="num" w:pos="4929"/>
        </w:tabs>
        <w:ind w:left="4929" w:hanging="360"/>
      </w:pPr>
      <w:rPr>
        <w:rFonts w:ascii="Wingdings" w:hAnsi="Wingdings" w:hint="default"/>
      </w:rPr>
    </w:lvl>
    <w:lvl w:ilvl="6" w:tplc="04020001" w:tentative="1">
      <w:start w:val="1"/>
      <w:numFmt w:val="bullet"/>
      <w:lvlText w:val=""/>
      <w:lvlJc w:val="left"/>
      <w:pPr>
        <w:tabs>
          <w:tab w:val="num" w:pos="5649"/>
        </w:tabs>
        <w:ind w:left="5649" w:hanging="360"/>
      </w:pPr>
      <w:rPr>
        <w:rFonts w:ascii="Symbol" w:hAnsi="Symbol" w:hint="default"/>
      </w:rPr>
    </w:lvl>
    <w:lvl w:ilvl="7" w:tplc="04020003" w:tentative="1">
      <w:start w:val="1"/>
      <w:numFmt w:val="bullet"/>
      <w:lvlText w:val="o"/>
      <w:lvlJc w:val="left"/>
      <w:pPr>
        <w:tabs>
          <w:tab w:val="num" w:pos="6369"/>
        </w:tabs>
        <w:ind w:left="6369" w:hanging="360"/>
      </w:pPr>
      <w:rPr>
        <w:rFonts w:ascii="Courier New" w:hAnsi="Courier New" w:hint="default"/>
      </w:rPr>
    </w:lvl>
    <w:lvl w:ilvl="8" w:tplc="04020005" w:tentative="1">
      <w:start w:val="1"/>
      <w:numFmt w:val="bullet"/>
      <w:lvlText w:val=""/>
      <w:lvlJc w:val="left"/>
      <w:pPr>
        <w:tabs>
          <w:tab w:val="num" w:pos="7089"/>
        </w:tabs>
        <w:ind w:left="7089" w:hanging="360"/>
      </w:pPr>
      <w:rPr>
        <w:rFonts w:ascii="Wingdings" w:hAnsi="Wingdings" w:hint="default"/>
      </w:rPr>
    </w:lvl>
  </w:abstractNum>
  <w:abstractNum w:abstractNumId="136" w15:restartNumberingAfterBreak="0">
    <w:nsid w:val="25E3221D"/>
    <w:multiLevelType w:val="hybridMultilevel"/>
    <w:tmpl w:val="59BC11EE"/>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37" w15:restartNumberingAfterBreak="0">
    <w:nsid w:val="25FD275D"/>
    <w:multiLevelType w:val="multilevel"/>
    <w:tmpl w:val="8A5A341E"/>
    <w:lvl w:ilvl="0">
      <w:start w:val="1"/>
      <w:numFmt w:val="decimal"/>
      <w:lvlText w:val="%1."/>
      <w:lvlJc w:val="left"/>
      <w:pPr>
        <w:ind w:left="1571" w:hanging="360"/>
      </w:pPr>
    </w:lvl>
    <w:lvl w:ilvl="1">
      <w:start w:val="3"/>
      <w:numFmt w:val="decimal"/>
      <w:isLgl/>
      <w:lvlText w:val="%1.%2."/>
      <w:lvlJc w:val="left"/>
      <w:pPr>
        <w:ind w:left="1871" w:hanging="660"/>
      </w:pPr>
      <w:rPr>
        <w:rFonts w:hint="default"/>
      </w:rPr>
    </w:lvl>
    <w:lvl w:ilvl="2">
      <w:start w:val="2"/>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138" w15:restartNumberingAfterBreak="0">
    <w:nsid w:val="261C3614"/>
    <w:multiLevelType w:val="hybridMultilevel"/>
    <w:tmpl w:val="F5AA1790"/>
    <w:lvl w:ilvl="0" w:tplc="700010C0">
      <w:start w:val="1"/>
      <w:numFmt w:val="decimal"/>
      <w:lvlText w:val="%1)"/>
      <w:lvlJc w:val="left"/>
      <w:pPr>
        <w:ind w:left="900" w:hanging="360"/>
      </w:pPr>
      <w:rPr>
        <w:rFonts w:cs="Times New Roman" w:hint="default"/>
      </w:rPr>
    </w:lvl>
    <w:lvl w:ilvl="1" w:tplc="08090019" w:tentative="1">
      <w:start w:val="1"/>
      <w:numFmt w:val="lowerLetter"/>
      <w:lvlText w:val="%2."/>
      <w:lvlJc w:val="left"/>
      <w:pPr>
        <w:ind w:left="1620" w:hanging="360"/>
      </w:pPr>
      <w:rPr>
        <w:rFonts w:cs="Times New Roman"/>
      </w:rPr>
    </w:lvl>
    <w:lvl w:ilvl="2" w:tplc="0809001B" w:tentative="1">
      <w:start w:val="1"/>
      <w:numFmt w:val="lowerRoman"/>
      <w:lvlText w:val="%3."/>
      <w:lvlJc w:val="right"/>
      <w:pPr>
        <w:ind w:left="2340" w:hanging="180"/>
      </w:pPr>
      <w:rPr>
        <w:rFonts w:cs="Times New Roman"/>
      </w:rPr>
    </w:lvl>
    <w:lvl w:ilvl="3" w:tplc="0809000F" w:tentative="1">
      <w:start w:val="1"/>
      <w:numFmt w:val="decimal"/>
      <w:lvlText w:val="%4."/>
      <w:lvlJc w:val="left"/>
      <w:pPr>
        <w:ind w:left="3060" w:hanging="360"/>
      </w:pPr>
      <w:rPr>
        <w:rFonts w:cs="Times New Roman"/>
      </w:rPr>
    </w:lvl>
    <w:lvl w:ilvl="4" w:tplc="08090019" w:tentative="1">
      <w:start w:val="1"/>
      <w:numFmt w:val="lowerLetter"/>
      <w:lvlText w:val="%5."/>
      <w:lvlJc w:val="left"/>
      <w:pPr>
        <w:ind w:left="3780" w:hanging="360"/>
      </w:pPr>
      <w:rPr>
        <w:rFonts w:cs="Times New Roman"/>
      </w:rPr>
    </w:lvl>
    <w:lvl w:ilvl="5" w:tplc="0809001B" w:tentative="1">
      <w:start w:val="1"/>
      <w:numFmt w:val="lowerRoman"/>
      <w:lvlText w:val="%6."/>
      <w:lvlJc w:val="right"/>
      <w:pPr>
        <w:ind w:left="4500" w:hanging="180"/>
      </w:pPr>
      <w:rPr>
        <w:rFonts w:cs="Times New Roman"/>
      </w:rPr>
    </w:lvl>
    <w:lvl w:ilvl="6" w:tplc="0809000F" w:tentative="1">
      <w:start w:val="1"/>
      <w:numFmt w:val="decimal"/>
      <w:lvlText w:val="%7."/>
      <w:lvlJc w:val="left"/>
      <w:pPr>
        <w:ind w:left="5220" w:hanging="360"/>
      </w:pPr>
      <w:rPr>
        <w:rFonts w:cs="Times New Roman"/>
      </w:rPr>
    </w:lvl>
    <w:lvl w:ilvl="7" w:tplc="08090019" w:tentative="1">
      <w:start w:val="1"/>
      <w:numFmt w:val="lowerLetter"/>
      <w:lvlText w:val="%8."/>
      <w:lvlJc w:val="left"/>
      <w:pPr>
        <w:ind w:left="5940" w:hanging="360"/>
      </w:pPr>
      <w:rPr>
        <w:rFonts w:cs="Times New Roman"/>
      </w:rPr>
    </w:lvl>
    <w:lvl w:ilvl="8" w:tplc="0809001B" w:tentative="1">
      <w:start w:val="1"/>
      <w:numFmt w:val="lowerRoman"/>
      <w:lvlText w:val="%9."/>
      <w:lvlJc w:val="right"/>
      <w:pPr>
        <w:ind w:left="6660" w:hanging="180"/>
      </w:pPr>
      <w:rPr>
        <w:rFonts w:cs="Times New Roman"/>
      </w:rPr>
    </w:lvl>
  </w:abstractNum>
  <w:abstractNum w:abstractNumId="139" w15:restartNumberingAfterBreak="0">
    <w:nsid w:val="265118ED"/>
    <w:multiLevelType w:val="hybridMultilevel"/>
    <w:tmpl w:val="C24A48F8"/>
    <w:lvl w:ilvl="0" w:tplc="6BEEEDE6">
      <w:start w:val="1"/>
      <w:numFmt w:val="decimal"/>
      <w:lvlText w:val="%1)"/>
      <w:lvlJc w:val="left"/>
      <w:pPr>
        <w:tabs>
          <w:tab w:val="num" w:pos="928"/>
        </w:tabs>
        <w:ind w:left="928" w:hanging="360"/>
      </w:pPr>
      <w:rPr>
        <w:rFonts w:cs="Times New Roman"/>
        <w:b/>
        <w:i w:val="0"/>
      </w:rPr>
    </w:lvl>
    <w:lvl w:ilvl="1" w:tplc="CBD8CA52">
      <w:start w:val="1"/>
      <w:numFmt w:val="decimal"/>
      <w:lvlText w:val="%2."/>
      <w:lvlJc w:val="left"/>
      <w:pPr>
        <w:tabs>
          <w:tab w:val="num" w:pos="1440"/>
        </w:tabs>
        <w:ind w:left="1440" w:hanging="360"/>
      </w:pPr>
      <w:rPr>
        <w:rFonts w:cs="Times New Roman" w:hint="default"/>
      </w:rPr>
    </w:lvl>
    <w:lvl w:ilvl="2" w:tplc="0402001B">
      <w:start w:val="1"/>
      <w:numFmt w:val="lowerRoman"/>
      <w:lvlText w:val="%3."/>
      <w:lvlJc w:val="right"/>
      <w:pPr>
        <w:tabs>
          <w:tab w:val="num" w:pos="2160"/>
        </w:tabs>
        <w:ind w:left="2160" w:hanging="180"/>
      </w:pPr>
      <w:rPr>
        <w:rFonts w:cs="Times New Roman"/>
      </w:rPr>
    </w:lvl>
    <w:lvl w:ilvl="3" w:tplc="0402000F">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40" w15:restartNumberingAfterBreak="0">
    <w:nsid w:val="26F77FBD"/>
    <w:multiLevelType w:val="hybridMultilevel"/>
    <w:tmpl w:val="7EC0059A"/>
    <w:lvl w:ilvl="0" w:tplc="0402000F">
      <w:start w:val="1"/>
      <w:numFmt w:val="decimal"/>
      <w:lvlText w:val="%1."/>
      <w:lvlJc w:val="left"/>
      <w:pPr>
        <w:ind w:left="1571" w:hanging="360"/>
      </w:pPr>
    </w:lvl>
    <w:lvl w:ilvl="1" w:tplc="04020019">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41" w15:restartNumberingAfterBreak="0">
    <w:nsid w:val="27220E1A"/>
    <w:multiLevelType w:val="hybridMultilevel"/>
    <w:tmpl w:val="5C2A2A92"/>
    <w:lvl w:ilvl="0" w:tplc="0402000F">
      <w:start w:val="1"/>
      <w:numFmt w:val="decimal"/>
      <w:lvlText w:val="%1."/>
      <w:lvlJc w:val="left"/>
      <w:pPr>
        <w:ind w:left="1571" w:hanging="360"/>
      </w:p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42" w15:restartNumberingAfterBreak="0">
    <w:nsid w:val="272D2CF8"/>
    <w:multiLevelType w:val="hybridMultilevel"/>
    <w:tmpl w:val="C012E3F2"/>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43" w15:restartNumberingAfterBreak="0">
    <w:nsid w:val="274069EB"/>
    <w:multiLevelType w:val="hybridMultilevel"/>
    <w:tmpl w:val="41B8854A"/>
    <w:lvl w:ilvl="0" w:tplc="0402000B">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44" w15:restartNumberingAfterBreak="0">
    <w:nsid w:val="2794019D"/>
    <w:multiLevelType w:val="hybridMultilevel"/>
    <w:tmpl w:val="C2ACDCF4"/>
    <w:lvl w:ilvl="0" w:tplc="0402000F">
      <w:start w:val="1"/>
      <w:numFmt w:val="decimal"/>
      <w:lvlText w:val="%1."/>
      <w:lvlJc w:val="left"/>
      <w:pPr>
        <w:tabs>
          <w:tab w:val="num" w:pos="720"/>
        </w:tabs>
        <w:ind w:left="720" w:hanging="360"/>
      </w:pPr>
      <w:rPr>
        <w:rFonts w:hint="default"/>
      </w:rPr>
    </w:lvl>
    <w:lvl w:ilvl="1" w:tplc="04020019">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45" w15:restartNumberingAfterBreak="0">
    <w:nsid w:val="27F22D7D"/>
    <w:multiLevelType w:val="multilevel"/>
    <w:tmpl w:val="C36EF66A"/>
    <w:numStyleLink w:val="1111111"/>
  </w:abstractNum>
  <w:abstractNum w:abstractNumId="146" w15:restartNumberingAfterBreak="0">
    <w:nsid w:val="27FA6DE1"/>
    <w:multiLevelType w:val="multilevel"/>
    <w:tmpl w:val="25849720"/>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i w:val="0"/>
      </w:rPr>
    </w:lvl>
    <w:lvl w:ilvl="2">
      <w:start w:val="1"/>
      <w:numFmt w:val="decimal"/>
      <w:lvlText w:val="%1.%2.%3."/>
      <w:lvlJc w:val="left"/>
      <w:pPr>
        <w:ind w:left="1224" w:hanging="504"/>
      </w:pPr>
      <w:rPr>
        <w:rFonts w:cs="Times New Roman" w:hint="default"/>
        <w:i w:val="0"/>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7" w15:restartNumberingAfterBreak="0">
    <w:nsid w:val="28435F76"/>
    <w:multiLevelType w:val="hybridMultilevel"/>
    <w:tmpl w:val="565A0FEE"/>
    <w:lvl w:ilvl="0" w:tplc="1F74EAAC">
      <w:start w:val="1"/>
      <w:numFmt w:val="decimal"/>
      <w:lvlText w:val="%1)"/>
      <w:lvlJc w:val="left"/>
      <w:pPr>
        <w:ind w:left="786" w:hanging="360"/>
      </w:pPr>
      <w:rPr>
        <w:rFonts w:cs="Times New Roman"/>
        <w:b/>
        <w:i w:val="0"/>
      </w:rPr>
    </w:lvl>
    <w:lvl w:ilvl="1" w:tplc="04020019">
      <w:start w:val="1"/>
      <w:numFmt w:val="lowerLetter"/>
      <w:lvlText w:val="%2."/>
      <w:lvlJc w:val="left"/>
      <w:pPr>
        <w:ind w:left="1506" w:hanging="360"/>
      </w:pPr>
      <w:rPr>
        <w:rFonts w:cs="Times New Roman"/>
      </w:rPr>
    </w:lvl>
    <w:lvl w:ilvl="2" w:tplc="0402001B" w:tentative="1">
      <w:start w:val="1"/>
      <w:numFmt w:val="lowerRoman"/>
      <w:lvlText w:val="%3."/>
      <w:lvlJc w:val="right"/>
      <w:pPr>
        <w:ind w:left="2226" w:hanging="180"/>
      </w:pPr>
      <w:rPr>
        <w:rFonts w:cs="Times New Roman"/>
      </w:rPr>
    </w:lvl>
    <w:lvl w:ilvl="3" w:tplc="0402000F" w:tentative="1">
      <w:start w:val="1"/>
      <w:numFmt w:val="decimal"/>
      <w:lvlText w:val="%4."/>
      <w:lvlJc w:val="left"/>
      <w:pPr>
        <w:ind w:left="2946" w:hanging="360"/>
      </w:pPr>
      <w:rPr>
        <w:rFonts w:cs="Times New Roman"/>
      </w:rPr>
    </w:lvl>
    <w:lvl w:ilvl="4" w:tplc="04020019" w:tentative="1">
      <w:start w:val="1"/>
      <w:numFmt w:val="lowerLetter"/>
      <w:lvlText w:val="%5."/>
      <w:lvlJc w:val="left"/>
      <w:pPr>
        <w:ind w:left="3666" w:hanging="360"/>
      </w:pPr>
      <w:rPr>
        <w:rFonts w:cs="Times New Roman"/>
      </w:rPr>
    </w:lvl>
    <w:lvl w:ilvl="5" w:tplc="0402001B" w:tentative="1">
      <w:start w:val="1"/>
      <w:numFmt w:val="lowerRoman"/>
      <w:lvlText w:val="%6."/>
      <w:lvlJc w:val="right"/>
      <w:pPr>
        <w:ind w:left="4386" w:hanging="180"/>
      </w:pPr>
      <w:rPr>
        <w:rFonts w:cs="Times New Roman"/>
      </w:rPr>
    </w:lvl>
    <w:lvl w:ilvl="6" w:tplc="0402000F" w:tentative="1">
      <w:start w:val="1"/>
      <w:numFmt w:val="decimal"/>
      <w:lvlText w:val="%7."/>
      <w:lvlJc w:val="left"/>
      <w:pPr>
        <w:ind w:left="5106" w:hanging="360"/>
      </w:pPr>
      <w:rPr>
        <w:rFonts w:cs="Times New Roman"/>
      </w:rPr>
    </w:lvl>
    <w:lvl w:ilvl="7" w:tplc="04020019" w:tentative="1">
      <w:start w:val="1"/>
      <w:numFmt w:val="lowerLetter"/>
      <w:lvlText w:val="%8."/>
      <w:lvlJc w:val="left"/>
      <w:pPr>
        <w:ind w:left="5826" w:hanging="360"/>
      </w:pPr>
      <w:rPr>
        <w:rFonts w:cs="Times New Roman"/>
      </w:rPr>
    </w:lvl>
    <w:lvl w:ilvl="8" w:tplc="0402001B" w:tentative="1">
      <w:start w:val="1"/>
      <w:numFmt w:val="lowerRoman"/>
      <w:lvlText w:val="%9."/>
      <w:lvlJc w:val="right"/>
      <w:pPr>
        <w:ind w:left="6546" w:hanging="180"/>
      </w:pPr>
      <w:rPr>
        <w:rFonts w:cs="Times New Roman"/>
      </w:rPr>
    </w:lvl>
  </w:abstractNum>
  <w:abstractNum w:abstractNumId="148" w15:restartNumberingAfterBreak="0">
    <w:nsid w:val="285E50C5"/>
    <w:multiLevelType w:val="hybridMultilevel"/>
    <w:tmpl w:val="DB029F30"/>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49" w15:restartNumberingAfterBreak="0">
    <w:nsid w:val="28754EF7"/>
    <w:multiLevelType w:val="hybridMultilevel"/>
    <w:tmpl w:val="414ED914"/>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50" w15:restartNumberingAfterBreak="0">
    <w:nsid w:val="28BF68AB"/>
    <w:multiLevelType w:val="hybridMultilevel"/>
    <w:tmpl w:val="27BEE73C"/>
    <w:lvl w:ilvl="0" w:tplc="538EE82C">
      <w:start w:val="1"/>
      <w:numFmt w:val="bullet"/>
      <w:lvlText w:val="•"/>
      <w:lvlJc w:val="left"/>
      <w:pPr>
        <w:ind w:left="1380" w:hanging="360"/>
      </w:pPr>
      <w:rPr>
        <w:rFonts w:ascii="Times New Roman" w:hAnsi="Times New Roman" w:hint="default"/>
        <w:color w:val="auto"/>
      </w:rPr>
    </w:lvl>
    <w:lvl w:ilvl="1" w:tplc="04020003" w:tentative="1">
      <w:start w:val="1"/>
      <w:numFmt w:val="bullet"/>
      <w:lvlText w:val="o"/>
      <w:lvlJc w:val="left"/>
      <w:pPr>
        <w:ind w:left="2100" w:hanging="360"/>
      </w:pPr>
      <w:rPr>
        <w:rFonts w:ascii="Courier New" w:hAnsi="Courier New" w:hint="default"/>
      </w:rPr>
    </w:lvl>
    <w:lvl w:ilvl="2" w:tplc="04020005" w:tentative="1">
      <w:start w:val="1"/>
      <w:numFmt w:val="bullet"/>
      <w:lvlText w:val=""/>
      <w:lvlJc w:val="left"/>
      <w:pPr>
        <w:ind w:left="2820" w:hanging="360"/>
      </w:pPr>
      <w:rPr>
        <w:rFonts w:ascii="Wingdings" w:hAnsi="Wingdings" w:hint="default"/>
      </w:rPr>
    </w:lvl>
    <w:lvl w:ilvl="3" w:tplc="04020001" w:tentative="1">
      <w:start w:val="1"/>
      <w:numFmt w:val="bullet"/>
      <w:lvlText w:val=""/>
      <w:lvlJc w:val="left"/>
      <w:pPr>
        <w:ind w:left="3540" w:hanging="360"/>
      </w:pPr>
      <w:rPr>
        <w:rFonts w:ascii="Symbol" w:hAnsi="Symbol" w:hint="default"/>
      </w:rPr>
    </w:lvl>
    <w:lvl w:ilvl="4" w:tplc="04020003" w:tentative="1">
      <w:start w:val="1"/>
      <w:numFmt w:val="bullet"/>
      <w:lvlText w:val="o"/>
      <w:lvlJc w:val="left"/>
      <w:pPr>
        <w:ind w:left="4260" w:hanging="360"/>
      </w:pPr>
      <w:rPr>
        <w:rFonts w:ascii="Courier New" w:hAnsi="Courier New" w:hint="default"/>
      </w:rPr>
    </w:lvl>
    <w:lvl w:ilvl="5" w:tplc="04020005" w:tentative="1">
      <w:start w:val="1"/>
      <w:numFmt w:val="bullet"/>
      <w:lvlText w:val=""/>
      <w:lvlJc w:val="left"/>
      <w:pPr>
        <w:ind w:left="4980" w:hanging="360"/>
      </w:pPr>
      <w:rPr>
        <w:rFonts w:ascii="Wingdings" w:hAnsi="Wingdings" w:hint="default"/>
      </w:rPr>
    </w:lvl>
    <w:lvl w:ilvl="6" w:tplc="04020001" w:tentative="1">
      <w:start w:val="1"/>
      <w:numFmt w:val="bullet"/>
      <w:lvlText w:val=""/>
      <w:lvlJc w:val="left"/>
      <w:pPr>
        <w:ind w:left="5700" w:hanging="360"/>
      </w:pPr>
      <w:rPr>
        <w:rFonts w:ascii="Symbol" w:hAnsi="Symbol" w:hint="default"/>
      </w:rPr>
    </w:lvl>
    <w:lvl w:ilvl="7" w:tplc="04020003" w:tentative="1">
      <w:start w:val="1"/>
      <w:numFmt w:val="bullet"/>
      <w:lvlText w:val="o"/>
      <w:lvlJc w:val="left"/>
      <w:pPr>
        <w:ind w:left="6420" w:hanging="360"/>
      </w:pPr>
      <w:rPr>
        <w:rFonts w:ascii="Courier New" w:hAnsi="Courier New" w:hint="default"/>
      </w:rPr>
    </w:lvl>
    <w:lvl w:ilvl="8" w:tplc="04020005" w:tentative="1">
      <w:start w:val="1"/>
      <w:numFmt w:val="bullet"/>
      <w:lvlText w:val=""/>
      <w:lvlJc w:val="left"/>
      <w:pPr>
        <w:ind w:left="7140" w:hanging="360"/>
      </w:pPr>
      <w:rPr>
        <w:rFonts w:ascii="Wingdings" w:hAnsi="Wingdings" w:hint="default"/>
      </w:rPr>
    </w:lvl>
  </w:abstractNum>
  <w:abstractNum w:abstractNumId="151" w15:restartNumberingAfterBreak="0">
    <w:nsid w:val="28CE0E2B"/>
    <w:multiLevelType w:val="hybridMultilevel"/>
    <w:tmpl w:val="F2041F62"/>
    <w:lvl w:ilvl="0" w:tplc="04020011">
      <w:start w:val="1"/>
      <w:numFmt w:val="decimal"/>
      <w:lvlText w:val="%1)"/>
      <w:lvlJc w:val="left"/>
      <w:pPr>
        <w:tabs>
          <w:tab w:val="num" w:pos="360"/>
        </w:tabs>
        <w:ind w:left="360" w:hanging="360"/>
      </w:pPr>
      <w:rPr>
        <w:rFonts w:cs="Times New Roman"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66D21B02"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2" w15:restartNumberingAfterBreak="0">
    <w:nsid w:val="2921182B"/>
    <w:multiLevelType w:val="multilevel"/>
    <w:tmpl w:val="65CCA6DC"/>
    <w:lvl w:ilvl="0">
      <w:start w:val="1"/>
      <w:numFmt w:val="decimal"/>
      <w:lvlText w:val="%1."/>
      <w:lvlJc w:val="left"/>
      <w:pPr>
        <w:ind w:left="1411" w:hanging="360"/>
      </w:pPr>
      <w:rPr>
        <w:rFonts w:eastAsia="Times New Roman" w:hint="default"/>
        <w:color w:val="0000FF"/>
        <w:sz w:val="24"/>
        <w:u w:val="single"/>
      </w:rPr>
    </w:lvl>
    <w:lvl w:ilvl="1">
      <w:start w:val="1"/>
      <w:numFmt w:val="decimal"/>
      <w:isLgl/>
      <w:lvlText w:val="%1.%2."/>
      <w:lvlJc w:val="left"/>
      <w:pPr>
        <w:ind w:left="1486" w:hanging="435"/>
      </w:pPr>
      <w:rPr>
        <w:rFonts w:ascii="Times New Roman" w:eastAsia="Times New Roman" w:hAnsi="Times New Roman" w:hint="default"/>
        <w:color w:val="0000FF"/>
        <w:sz w:val="24"/>
        <w:u w:val="single"/>
      </w:rPr>
    </w:lvl>
    <w:lvl w:ilvl="2">
      <w:start w:val="1"/>
      <w:numFmt w:val="decimal"/>
      <w:isLgl/>
      <w:lvlText w:val="%1.%2.%3."/>
      <w:lvlJc w:val="left"/>
      <w:pPr>
        <w:ind w:left="1771" w:hanging="720"/>
      </w:pPr>
      <w:rPr>
        <w:rFonts w:ascii="Times New Roman" w:eastAsia="Times New Roman" w:hAnsi="Times New Roman" w:hint="default"/>
        <w:color w:val="0000FF"/>
        <w:sz w:val="24"/>
        <w:u w:val="single"/>
      </w:rPr>
    </w:lvl>
    <w:lvl w:ilvl="3">
      <w:start w:val="1"/>
      <w:numFmt w:val="decimal"/>
      <w:isLgl/>
      <w:lvlText w:val="%1.%2.%3.%4."/>
      <w:lvlJc w:val="left"/>
      <w:pPr>
        <w:ind w:left="1771" w:hanging="720"/>
      </w:pPr>
      <w:rPr>
        <w:rFonts w:ascii="Times New Roman" w:eastAsia="Times New Roman" w:hAnsi="Times New Roman" w:hint="default"/>
        <w:color w:val="0000FF"/>
        <w:sz w:val="24"/>
        <w:u w:val="single"/>
      </w:rPr>
    </w:lvl>
    <w:lvl w:ilvl="4">
      <w:start w:val="1"/>
      <w:numFmt w:val="decimal"/>
      <w:isLgl/>
      <w:lvlText w:val="%1.%2.%3.%4.%5."/>
      <w:lvlJc w:val="left"/>
      <w:pPr>
        <w:ind w:left="2131" w:hanging="1080"/>
      </w:pPr>
      <w:rPr>
        <w:rFonts w:ascii="Times New Roman" w:eastAsia="Times New Roman" w:hAnsi="Times New Roman" w:hint="default"/>
        <w:color w:val="0000FF"/>
        <w:sz w:val="24"/>
        <w:u w:val="single"/>
      </w:rPr>
    </w:lvl>
    <w:lvl w:ilvl="5">
      <w:start w:val="1"/>
      <w:numFmt w:val="decimal"/>
      <w:isLgl/>
      <w:lvlText w:val="%1.%2.%3.%4.%5.%6."/>
      <w:lvlJc w:val="left"/>
      <w:pPr>
        <w:ind w:left="2131" w:hanging="1080"/>
      </w:pPr>
      <w:rPr>
        <w:rFonts w:ascii="Times New Roman" w:eastAsia="Times New Roman" w:hAnsi="Times New Roman" w:hint="default"/>
        <w:color w:val="0000FF"/>
        <w:sz w:val="24"/>
        <w:u w:val="single"/>
      </w:rPr>
    </w:lvl>
    <w:lvl w:ilvl="6">
      <w:start w:val="1"/>
      <w:numFmt w:val="decimal"/>
      <w:isLgl/>
      <w:lvlText w:val="%1.%2.%3.%4.%5.%6.%7."/>
      <w:lvlJc w:val="left"/>
      <w:pPr>
        <w:ind w:left="2491" w:hanging="1440"/>
      </w:pPr>
      <w:rPr>
        <w:rFonts w:ascii="Times New Roman" w:eastAsia="Times New Roman" w:hAnsi="Times New Roman" w:hint="default"/>
        <w:color w:val="0000FF"/>
        <w:sz w:val="24"/>
        <w:u w:val="single"/>
      </w:rPr>
    </w:lvl>
    <w:lvl w:ilvl="7">
      <w:start w:val="1"/>
      <w:numFmt w:val="decimal"/>
      <w:isLgl/>
      <w:lvlText w:val="%1.%2.%3.%4.%5.%6.%7.%8."/>
      <w:lvlJc w:val="left"/>
      <w:pPr>
        <w:ind w:left="2491" w:hanging="1440"/>
      </w:pPr>
      <w:rPr>
        <w:rFonts w:ascii="Times New Roman" w:eastAsia="Times New Roman" w:hAnsi="Times New Roman" w:hint="default"/>
        <w:color w:val="0000FF"/>
        <w:sz w:val="24"/>
        <w:u w:val="single"/>
      </w:rPr>
    </w:lvl>
    <w:lvl w:ilvl="8">
      <w:start w:val="1"/>
      <w:numFmt w:val="decimal"/>
      <w:isLgl/>
      <w:lvlText w:val="%1.%2.%3.%4.%5.%6.%7.%8.%9."/>
      <w:lvlJc w:val="left"/>
      <w:pPr>
        <w:ind w:left="2851" w:hanging="1800"/>
      </w:pPr>
      <w:rPr>
        <w:rFonts w:ascii="Times New Roman" w:eastAsia="Times New Roman" w:hAnsi="Times New Roman" w:hint="default"/>
        <w:color w:val="0000FF"/>
        <w:sz w:val="24"/>
        <w:u w:val="single"/>
      </w:rPr>
    </w:lvl>
  </w:abstractNum>
  <w:abstractNum w:abstractNumId="153" w15:restartNumberingAfterBreak="0">
    <w:nsid w:val="2926503B"/>
    <w:multiLevelType w:val="hybridMultilevel"/>
    <w:tmpl w:val="3D16E12E"/>
    <w:lvl w:ilvl="0" w:tplc="04020011">
      <w:start w:val="1"/>
      <w:numFmt w:val="decimal"/>
      <w:lvlText w:val="%1)"/>
      <w:lvlJc w:val="left"/>
      <w:pPr>
        <w:ind w:left="720" w:hanging="360"/>
      </w:pPr>
      <w:rPr>
        <w:rFonts w:cs="Times New Roman"/>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54" w15:restartNumberingAfterBreak="0">
    <w:nsid w:val="2948770C"/>
    <w:multiLevelType w:val="hybridMultilevel"/>
    <w:tmpl w:val="B2B20E7C"/>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55" w15:restartNumberingAfterBreak="0">
    <w:nsid w:val="298C0AF1"/>
    <w:multiLevelType w:val="hybridMultilevel"/>
    <w:tmpl w:val="BE94B9D0"/>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6" w15:restartNumberingAfterBreak="0">
    <w:nsid w:val="29D10129"/>
    <w:multiLevelType w:val="hybridMultilevel"/>
    <w:tmpl w:val="F2065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29FE3E3A"/>
    <w:multiLevelType w:val="hybridMultilevel"/>
    <w:tmpl w:val="01F433C2"/>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58" w15:restartNumberingAfterBreak="0">
    <w:nsid w:val="2AA245AE"/>
    <w:multiLevelType w:val="hybridMultilevel"/>
    <w:tmpl w:val="C670722C"/>
    <w:lvl w:ilvl="0" w:tplc="75F24BD0">
      <w:start w:val="2"/>
      <w:numFmt w:val="decimal"/>
      <w:lvlText w:val="%1."/>
      <w:lvlJc w:val="left"/>
      <w:pPr>
        <w:ind w:left="1080" w:hanging="360"/>
      </w:pPr>
      <w:rPr>
        <w:rFonts w:hint="default"/>
        <w:b w:val="0"/>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59" w15:restartNumberingAfterBreak="0">
    <w:nsid w:val="2ABC30E8"/>
    <w:multiLevelType w:val="hybridMultilevel"/>
    <w:tmpl w:val="A8DCB100"/>
    <w:lvl w:ilvl="0" w:tplc="04020001">
      <w:start w:val="1"/>
      <w:numFmt w:val="bullet"/>
      <w:lvlText w:val=""/>
      <w:lvlJc w:val="left"/>
      <w:pPr>
        <w:ind w:left="765" w:hanging="360"/>
      </w:pPr>
      <w:rPr>
        <w:rFonts w:ascii="Symbol" w:hAnsi="Symbol" w:hint="default"/>
      </w:rPr>
    </w:lvl>
    <w:lvl w:ilvl="1" w:tplc="04020003" w:tentative="1">
      <w:start w:val="1"/>
      <w:numFmt w:val="bullet"/>
      <w:lvlText w:val="o"/>
      <w:lvlJc w:val="left"/>
      <w:pPr>
        <w:ind w:left="1485" w:hanging="360"/>
      </w:pPr>
      <w:rPr>
        <w:rFonts w:ascii="Courier New" w:hAnsi="Courier New" w:hint="default"/>
      </w:rPr>
    </w:lvl>
    <w:lvl w:ilvl="2" w:tplc="04020005" w:tentative="1">
      <w:start w:val="1"/>
      <w:numFmt w:val="bullet"/>
      <w:lvlText w:val=""/>
      <w:lvlJc w:val="left"/>
      <w:pPr>
        <w:ind w:left="2205" w:hanging="360"/>
      </w:pPr>
      <w:rPr>
        <w:rFonts w:ascii="Wingdings" w:hAnsi="Wingdings" w:hint="default"/>
      </w:rPr>
    </w:lvl>
    <w:lvl w:ilvl="3" w:tplc="04020001" w:tentative="1">
      <w:start w:val="1"/>
      <w:numFmt w:val="bullet"/>
      <w:lvlText w:val=""/>
      <w:lvlJc w:val="left"/>
      <w:pPr>
        <w:ind w:left="2925" w:hanging="360"/>
      </w:pPr>
      <w:rPr>
        <w:rFonts w:ascii="Symbol" w:hAnsi="Symbol" w:hint="default"/>
      </w:rPr>
    </w:lvl>
    <w:lvl w:ilvl="4" w:tplc="04020003" w:tentative="1">
      <w:start w:val="1"/>
      <w:numFmt w:val="bullet"/>
      <w:lvlText w:val="o"/>
      <w:lvlJc w:val="left"/>
      <w:pPr>
        <w:ind w:left="3645" w:hanging="360"/>
      </w:pPr>
      <w:rPr>
        <w:rFonts w:ascii="Courier New" w:hAnsi="Courier New" w:hint="default"/>
      </w:rPr>
    </w:lvl>
    <w:lvl w:ilvl="5" w:tplc="04020005" w:tentative="1">
      <w:start w:val="1"/>
      <w:numFmt w:val="bullet"/>
      <w:lvlText w:val=""/>
      <w:lvlJc w:val="left"/>
      <w:pPr>
        <w:ind w:left="4365" w:hanging="360"/>
      </w:pPr>
      <w:rPr>
        <w:rFonts w:ascii="Wingdings" w:hAnsi="Wingdings" w:hint="default"/>
      </w:rPr>
    </w:lvl>
    <w:lvl w:ilvl="6" w:tplc="04020001" w:tentative="1">
      <w:start w:val="1"/>
      <w:numFmt w:val="bullet"/>
      <w:lvlText w:val=""/>
      <w:lvlJc w:val="left"/>
      <w:pPr>
        <w:ind w:left="5085" w:hanging="360"/>
      </w:pPr>
      <w:rPr>
        <w:rFonts w:ascii="Symbol" w:hAnsi="Symbol" w:hint="default"/>
      </w:rPr>
    </w:lvl>
    <w:lvl w:ilvl="7" w:tplc="04020003" w:tentative="1">
      <w:start w:val="1"/>
      <w:numFmt w:val="bullet"/>
      <w:lvlText w:val="o"/>
      <w:lvlJc w:val="left"/>
      <w:pPr>
        <w:ind w:left="5805" w:hanging="360"/>
      </w:pPr>
      <w:rPr>
        <w:rFonts w:ascii="Courier New" w:hAnsi="Courier New" w:hint="default"/>
      </w:rPr>
    </w:lvl>
    <w:lvl w:ilvl="8" w:tplc="04020005" w:tentative="1">
      <w:start w:val="1"/>
      <w:numFmt w:val="bullet"/>
      <w:lvlText w:val=""/>
      <w:lvlJc w:val="left"/>
      <w:pPr>
        <w:ind w:left="6525" w:hanging="360"/>
      </w:pPr>
      <w:rPr>
        <w:rFonts w:ascii="Wingdings" w:hAnsi="Wingdings" w:hint="default"/>
      </w:rPr>
    </w:lvl>
  </w:abstractNum>
  <w:abstractNum w:abstractNumId="160" w15:restartNumberingAfterBreak="0">
    <w:nsid w:val="2B0F2A23"/>
    <w:multiLevelType w:val="singleLevel"/>
    <w:tmpl w:val="04150001"/>
    <w:lvl w:ilvl="0">
      <w:start w:val="1"/>
      <w:numFmt w:val="bullet"/>
      <w:pStyle w:val="NormalIndent"/>
      <w:lvlText w:val=""/>
      <w:lvlJc w:val="left"/>
      <w:pPr>
        <w:tabs>
          <w:tab w:val="num" w:pos="360"/>
        </w:tabs>
        <w:ind w:left="360" w:hanging="360"/>
      </w:pPr>
      <w:rPr>
        <w:rFonts w:ascii="Symbol" w:hAnsi="Symbol" w:hint="default"/>
      </w:rPr>
    </w:lvl>
  </w:abstractNum>
  <w:abstractNum w:abstractNumId="161"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62" w15:restartNumberingAfterBreak="0">
    <w:nsid w:val="2C365B45"/>
    <w:multiLevelType w:val="hybridMultilevel"/>
    <w:tmpl w:val="D144D70C"/>
    <w:lvl w:ilvl="0" w:tplc="6BEEEDE6">
      <w:start w:val="1"/>
      <w:numFmt w:val="decimal"/>
      <w:lvlText w:val="%1)"/>
      <w:lvlJc w:val="left"/>
      <w:pPr>
        <w:tabs>
          <w:tab w:val="num" w:pos="1020"/>
        </w:tabs>
        <w:ind w:left="1020" w:hanging="360"/>
      </w:pPr>
      <w:rPr>
        <w:rFonts w:cs="Times New Roman"/>
        <w:b/>
        <w:i w:val="0"/>
      </w:rPr>
    </w:lvl>
    <w:lvl w:ilvl="1" w:tplc="88024D46">
      <w:start w:val="1"/>
      <w:numFmt w:val="decimal"/>
      <w:lvlText w:val="%2."/>
      <w:lvlJc w:val="left"/>
      <w:pPr>
        <w:tabs>
          <w:tab w:val="num" w:pos="1440"/>
        </w:tabs>
        <w:ind w:left="1440" w:hanging="360"/>
      </w:pPr>
      <w:rPr>
        <w:rFonts w:ascii="Times New Roman" w:eastAsia="Times New Roman" w:hAnsi="Times New Roman" w:cs="Times New Roman"/>
      </w:rPr>
    </w:lvl>
    <w:lvl w:ilvl="2" w:tplc="0402001B">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63" w15:restartNumberingAfterBreak="0">
    <w:nsid w:val="2C7C5CB1"/>
    <w:multiLevelType w:val="hybridMultilevel"/>
    <w:tmpl w:val="77626F0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2C8A6373"/>
    <w:multiLevelType w:val="hybridMultilevel"/>
    <w:tmpl w:val="0FDA5CE8"/>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65" w15:restartNumberingAfterBreak="0">
    <w:nsid w:val="2CD527CD"/>
    <w:multiLevelType w:val="hybridMultilevel"/>
    <w:tmpl w:val="C24A48F8"/>
    <w:lvl w:ilvl="0" w:tplc="6BEEEDE6">
      <w:start w:val="1"/>
      <w:numFmt w:val="decimal"/>
      <w:lvlText w:val="%1)"/>
      <w:lvlJc w:val="left"/>
      <w:pPr>
        <w:tabs>
          <w:tab w:val="num" w:pos="360"/>
        </w:tabs>
        <w:ind w:left="360" w:hanging="360"/>
      </w:pPr>
      <w:rPr>
        <w:rFonts w:cs="Times New Roman"/>
        <w:b/>
        <w:i w:val="0"/>
      </w:rPr>
    </w:lvl>
    <w:lvl w:ilvl="1" w:tplc="CBD8CA52">
      <w:start w:val="1"/>
      <w:numFmt w:val="decimal"/>
      <w:lvlText w:val="%2."/>
      <w:lvlJc w:val="left"/>
      <w:pPr>
        <w:tabs>
          <w:tab w:val="num" w:pos="1440"/>
        </w:tabs>
        <w:ind w:left="1440" w:hanging="360"/>
      </w:pPr>
      <w:rPr>
        <w:rFonts w:cs="Times New Roman" w:hint="default"/>
      </w:rPr>
    </w:lvl>
    <w:lvl w:ilvl="2" w:tplc="0402001B">
      <w:start w:val="1"/>
      <w:numFmt w:val="lowerRoman"/>
      <w:lvlText w:val="%3."/>
      <w:lvlJc w:val="right"/>
      <w:pPr>
        <w:tabs>
          <w:tab w:val="num" w:pos="2160"/>
        </w:tabs>
        <w:ind w:left="2160" w:hanging="180"/>
      </w:pPr>
      <w:rPr>
        <w:rFonts w:cs="Times New Roman"/>
      </w:rPr>
    </w:lvl>
    <w:lvl w:ilvl="3" w:tplc="0402000F">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66" w15:restartNumberingAfterBreak="0">
    <w:nsid w:val="2D07314B"/>
    <w:multiLevelType w:val="hybridMultilevel"/>
    <w:tmpl w:val="B2247C4C"/>
    <w:lvl w:ilvl="0" w:tplc="CCE640A2">
      <w:start w:val="1"/>
      <w:numFmt w:val="upperRoman"/>
      <w:lvlText w:val="%1."/>
      <w:lvlJc w:val="left"/>
      <w:pPr>
        <w:ind w:left="780" w:hanging="720"/>
      </w:pPr>
      <w:rPr>
        <w:rFonts w:hint="default"/>
      </w:rPr>
    </w:lvl>
    <w:lvl w:ilvl="1" w:tplc="04020019" w:tentative="1">
      <w:start w:val="1"/>
      <w:numFmt w:val="lowerLetter"/>
      <w:lvlText w:val="%2."/>
      <w:lvlJc w:val="left"/>
      <w:pPr>
        <w:ind w:left="1140" w:hanging="360"/>
      </w:pPr>
    </w:lvl>
    <w:lvl w:ilvl="2" w:tplc="0402001B" w:tentative="1">
      <w:start w:val="1"/>
      <w:numFmt w:val="lowerRoman"/>
      <w:lvlText w:val="%3."/>
      <w:lvlJc w:val="right"/>
      <w:pPr>
        <w:ind w:left="1860" w:hanging="180"/>
      </w:pPr>
    </w:lvl>
    <w:lvl w:ilvl="3" w:tplc="0402000F" w:tentative="1">
      <w:start w:val="1"/>
      <w:numFmt w:val="decimal"/>
      <w:lvlText w:val="%4."/>
      <w:lvlJc w:val="left"/>
      <w:pPr>
        <w:ind w:left="2580" w:hanging="360"/>
      </w:pPr>
    </w:lvl>
    <w:lvl w:ilvl="4" w:tplc="04020019" w:tentative="1">
      <w:start w:val="1"/>
      <w:numFmt w:val="lowerLetter"/>
      <w:lvlText w:val="%5."/>
      <w:lvlJc w:val="left"/>
      <w:pPr>
        <w:ind w:left="3300" w:hanging="360"/>
      </w:pPr>
    </w:lvl>
    <w:lvl w:ilvl="5" w:tplc="0402001B" w:tentative="1">
      <w:start w:val="1"/>
      <w:numFmt w:val="lowerRoman"/>
      <w:lvlText w:val="%6."/>
      <w:lvlJc w:val="right"/>
      <w:pPr>
        <w:ind w:left="4020" w:hanging="180"/>
      </w:pPr>
    </w:lvl>
    <w:lvl w:ilvl="6" w:tplc="0402000F" w:tentative="1">
      <w:start w:val="1"/>
      <w:numFmt w:val="decimal"/>
      <w:lvlText w:val="%7."/>
      <w:lvlJc w:val="left"/>
      <w:pPr>
        <w:ind w:left="4740" w:hanging="360"/>
      </w:pPr>
    </w:lvl>
    <w:lvl w:ilvl="7" w:tplc="04020019" w:tentative="1">
      <w:start w:val="1"/>
      <w:numFmt w:val="lowerLetter"/>
      <w:lvlText w:val="%8."/>
      <w:lvlJc w:val="left"/>
      <w:pPr>
        <w:ind w:left="5460" w:hanging="360"/>
      </w:pPr>
    </w:lvl>
    <w:lvl w:ilvl="8" w:tplc="0402001B" w:tentative="1">
      <w:start w:val="1"/>
      <w:numFmt w:val="lowerRoman"/>
      <w:lvlText w:val="%9."/>
      <w:lvlJc w:val="right"/>
      <w:pPr>
        <w:ind w:left="6180" w:hanging="180"/>
      </w:pPr>
    </w:lvl>
  </w:abstractNum>
  <w:abstractNum w:abstractNumId="167" w15:restartNumberingAfterBreak="0">
    <w:nsid w:val="2D18257E"/>
    <w:multiLevelType w:val="hybridMultilevel"/>
    <w:tmpl w:val="2736B90C"/>
    <w:lvl w:ilvl="0" w:tplc="04020001">
      <w:start w:val="1"/>
      <w:numFmt w:val="bullet"/>
      <w:lvlText w:val=""/>
      <w:lvlJc w:val="left"/>
      <w:pPr>
        <w:ind w:left="1788" w:hanging="360"/>
      </w:pPr>
      <w:rPr>
        <w:rFonts w:ascii="Symbol" w:hAnsi="Symbol" w:hint="default"/>
      </w:rPr>
    </w:lvl>
    <w:lvl w:ilvl="1" w:tplc="04020003" w:tentative="1">
      <w:start w:val="1"/>
      <w:numFmt w:val="bullet"/>
      <w:lvlText w:val="o"/>
      <w:lvlJc w:val="left"/>
      <w:pPr>
        <w:ind w:left="2508" w:hanging="360"/>
      </w:pPr>
      <w:rPr>
        <w:rFonts w:ascii="Courier New" w:hAnsi="Courier New" w:cs="Courier New" w:hint="default"/>
      </w:rPr>
    </w:lvl>
    <w:lvl w:ilvl="2" w:tplc="04020005" w:tentative="1">
      <w:start w:val="1"/>
      <w:numFmt w:val="bullet"/>
      <w:lvlText w:val=""/>
      <w:lvlJc w:val="left"/>
      <w:pPr>
        <w:ind w:left="3228" w:hanging="360"/>
      </w:pPr>
      <w:rPr>
        <w:rFonts w:ascii="Wingdings" w:hAnsi="Wingdings" w:hint="default"/>
      </w:rPr>
    </w:lvl>
    <w:lvl w:ilvl="3" w:tplc="04020001" w:tentative="1">
      <w:start w:val="1"/>
      <w:numFmt w:val="bullet"/>
      <w:lvlText w:val=""/>
      <w:lvlJc w:val="left"/>
      <w:pPr>
        <w:ind w:left="3948" w:hanging="360"/>
      </w:pPr>
      <w:rPr>
        <w:rFonts w:ascii="Symbol" w:hAnsi="Symbol" w:hint="default"/>
      </w:rPr>
    </w:lvl>
    <w:lvl w:ilvl="4" w:tplc="04020003" w:tentative="1">
      <w:start w:val="1"/>
      <w:numFmt w:val="bullet"/>
      <w:lvlText w:val="o"/>
      <w:lvlJc w:val="left"/>
      <w:pPr>
        <w:ind w:left="4668" w:hanging="360"/>
      </w:pPr>
      <w:rPr>
        <w:rFonts w:ascii="Courier New" w:hAnsi="Courier New" w:cs="Courier New" w:hint="default"/>
      </w:rPr>
    </w:lvl>
    <w:lvl w:ilvl="5" w:tplc="04020005" w:tentative="1">
      <w:start w:val="1"/>
      <w:numFmt w:val="bullet"/>
      <w:lvlText w:val=""/>
      <w:lvlJc w:val="left"/>
      <w:pPr>
        <w:ind w:left="5388" w:hanging="360"/>
      </w:pPr>
      <w:rPr>
        <w:rFonts w:ascii="Wingdings" w:hAnsi="Wingdings" w:hint="default"/>
      </w:rPr>
    </w:lvl>
    <w:lvl w:ilvl="6" w:tplc="04020001" w:tentative="1">
      <w:start w:val="1"/>
      <w:numFmt w:val="bullet"/>
      <w:lvlText w:val=""/>
      <w:lvlJc w:val="left"/>
      <w:pPr>
        <w:ind w:left="6108" w:hanging="360"/>
      </w:pPr>
      <w:rPr>
        <w:rFonts w:ascii="Symbol" w:hAnsi="Symbol" w:hint="default"/>
      </w:rPr>
    </w:lvl>
    <w:lvl w:ilvl="7" w:tplc="04020003" w:tentative="1">
      <w:start w:val="1"/>
      <w:numFmt w:val="bullet"/>
      <w:lvlText w:val="o"/>
      <w:lvlJc w:val="left"/>
      <w:pPr>
        <w:ind w:left="6828" w:hanging="360"/>
      </w:pPr>
      <w:rPr>
        <w:rFonts w:ascii="Courier New" w:hAnsi="Courier New" w:cs="Courier New" w:hint="default"/>
      </w:rPr>
    </w:lvl>
    <w:lvl w:ilvl="8" w:tplc="04020005" w:tentative="1">
      <w:start w:val="1"/>
      <w:numFmt w:val="bullet"/>
      <w:lvlText w:val=""/>
      <w:lvlJc w:val="left"/>
      <w:pPr>
        <w:ind w:left="7548" w:hanging="360"/>
      </w:pPr>
      <w:rPr>
        <w:rFonts w:ascii="Wingdings" w:hAnsi="Wingdings" w:hint="default"/>
      </w:rPr>
    </w:lvl>
  </w:abstractNum>
  <w:abstractNum w:abstractNumId="168" w15:restartNumberingAfterBreak="0">
    <w:nsid w:val="2DA248C1"/>
    <w:multiLevelType w:val="hybridMultilevel"/>
    <w:tmpl w:val="D960E838"/>
    <w:lvl w:ilvl="0" w:tplc="2E3C10FC">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9" w15:restartNumberingAfterBreak="0">
    <w:nsid w:val="2DB06F65"/>
    <w:multiLevelType w:val="hybridMultilevel"/>
    <w:tmpl w:val="9F842FE0"/>
    <w:lvl w:ilvl="0" w:tplc="04020005">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2DB65F54"/>
    <w:multiLevelType w:val="hybridMultilevel"/>
    <w:tmpl w:val="DB665CB4"/>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71" w15:restartNumberingAfterBreak="0">
    <w:nsid w:val="2E471222"/>
    <w:multiLevelType w:val="hybridMultilevel"/>
    <w:tmpl w:val="34864936"/>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72" w15:restartNumberingAfterBreak="0">
    <w:nsid w:val="2E6E5B32"/>
    <w:multiLevelType w:val="hybridMultilevel"/>
    <w:tmpl w:val="9B1C08A6"/>
    <w:lvl w:ilvl="0" w:tplc="6BEEEDE6">
      <w:start w:val="1"/>
      <w:numFmt w:val="decimal"/>
      <w:lvlText w:val="%1)"/>
      <w:lvlJc w:val="left"/>
      <w:pPr>
        <w:tabs>
          <w:tab w:val="num" w:pos="1020"/>
        </w:tabs>
        <w:ind w:left="1020" w:hanging="360"/>
      </w:pPr>
      <w:rPr>
        <w:rFonts w:cs="Times New Roman"/>
        <w:b/>
        <w:i w:val="0"/>
      </w:rPr>
    </w:lvl>
    <w:lvl w:ilvl="1" w:tplc="CBD8CA52">
      <w:start w:val="1"/>
      <w:numFmt w:val="decimal"/>
      <w:lvlText w:val="%2."/>
      <w:lvlJc w:val="left"/>
      <w:pPr>
        <w:tabs>
          <w:tab w:val="num" w:pos="1440"/>
        </w:tabs>
        <w:ind w:left="1440" w:hanging="360"/>
      </w:pPr>
      <w:rPr>
        <w:rFonts w:cs="Times New Roman" w:hint="default"/>
      </w:rPr>
    </w:lvl>
    <w:lvl w:ilvl="2" w:tplc="0402001B">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73" w15:restartNumberingAfterBreak="0">
    <w:nsid w:val="2F354E67"/>
    <w:multiLevelType w:val="hybridMultilevel"/>
    <w:tmpl w:val="0BD07BBC"/>
    <w:lvl w:ilvl="0" w:tplc="47E0B608">
      <w:numFmt w:val="bullet"/>
      <w:lvlText w:val="-"/>
      <w:lvlJc w:val="left"/>
      <w:pPr>
        <w:tabs>
          <w:tab w:val="num" w:pos="720"/>
        </w:tabs>
        <w:ind w:left="720" w:hanging="360"/>
      </w:pPr>
      <w:rPr>
        <w:rFonts w:ascii="Times New Roman" w:eastAsia="Times New Roman" w:hAnsi="Times New Roman"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2F5C25DF"/>
    <w:multiLevelType w:val="hybridMultilevel"/>
    <w:tmpl w:val="387E9B68"/>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75" w15:restartNumberingAfterBreak="0">
    <w:nsid w:val="2FA92F6D"/>
    <w:multiLevelType w:val="hybridMultilevel"/>
    <w:tmpl w:val="E1F625D2"/>
    <w:lvl w:ilvl="0" w:tplc="26F25864">
      <w:start w:val="1"/>
      <mc:AlternateContent>
        <mc:Choice Requires="w14">
          <w:numFmt w:val="custom" w:format="а, й, к, ..."/>
        </mc:Choice>
        <mc:Fallback>
          <w:numFmt w:val="decimal"/>
        </mc:Fallback>
      </mc:AlternateContent>
      <w:lvlText w:val="%1)"/>
      <w:lvlJc w:val="left"/>
      <w:pPr>
        <w:ind w:left="1571" w:hanging="360"/>
      </w:pPr>
      <w:rPr>
        <w:rFonts w:cs="Times New Roman" w:hint="default"/>
      </w:rPr>
    </w:lvl>
    <w:lvl w:ilvl="1" w:tplc="6E9CCC9C">
      <w:start w:val="1"/>
      <w:numFmt w:val="decimal"/>
      <w:lvlText w:val="%2)"/>
      <w:lvlJc w:val="left"/>
      <w:pPr>
        <w:ind w:left="2291" w:hanging="360"/>
      </w:pPr>
      <w:rPr>
        <w:rFonts w:hint="default"/>
      </w:r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76" w15:restartNumberingAfterBreak="0">
    <w:nsid w:val="2FAF0E6B"/>
    <w:multiLevelType w:val="multilevel"/>
    <w:tmpl w:val="934C4ACC"/>
    <w:lvl w:ilvl="0">
      <w:start w:val="1"/>
      <w:numFmt w:val="decimal"/>
      <w:lvlText w:val="%1."/>
      <w:lvlJc w:val="left"/>
      <w:pPr>
        <w:ind w:left="435" w:hanging="435"/>
      </w:pPr>
      <w:rPr>
        <w:rFonts w:cs="Times New Roman" w:hint="default"/>
      </w:rPr>
    </w:lvl>
    <w:lvl w:ilvl="1">
      <w:start w:val="1"/>
      <w:numFmt w:val="decimal"/>
      <w:lvlText w:val="%1.%2)"/>
      <w:lvlJc w:val="left"/>
      <w:pPr>
        <w:ind w:left="2160" w:hanging="720"/>
      </w:pPr>
      <w:rPr>
        <w:rFonts w:cs="Times New Roman" w:hint="default"/>
        <w:b/>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680" w:hanging="2160"/>
      </w:pPr>
      <w:rPr>
        <w:rFonts w:cs="Times New Roman" w:hint="default"/>
      </w:rPr>
    </w:lvl>
  </w:abstractNum>
  <w:abstractNum w:abstractNumId="177" w15:restartNumberingAfterBreak="0">
    <w:nsid w:val="2FBC6943"/>
    <w:multiLevelType w:val="hybridMultilevel"/>
    <w:tmpl w:val="FCE8EAEC"/>
    <w:lvl w:ilvl="0" w:tplc="24786326">
      <w:start w:val="1"/>
      <w:numFmt w:val="decimal"/>
      <w:lvlText w:val="%1)"/>
      <w:lvlJc w:val="left"/>
      <w:pPr>
        <w:ind w:left="900" w:hanging="360"/>
      </w:pPr>
      <w:rPr>
        <w:rFonts w:cs="Times New Roman" w:hint="default"/>
      </w:rPr>
    </w:lvl>
    <w:lvl w:ilvl="1" w:tplc="08090019" w:tentative="1">
      <w:start w:val="1"/>
      <w:numFmt w:val="lowerLetter"/>
      <w:lvlText w:val="%2."/>
      <w:lvlJc w:val="left"/>
      <w:pPr>
        <w:ind w:left="1620" w:hanging="360"/>
      </w:pPr>
      <w:rPr>
        <w:rFonts w:cs="Times New Roman"/>
      </w:rPr>
    </w:lvl>
    <w:lvl w:ilvl="2" w:tplc="0809001B" w:tentative="1">
      <w:start w:val="1"/>
      <w:numFmt w:val="lowerRoman"/>
      <w:lvlText w:val="%3."/>
      <w:lvlJc w:val="right"/>
      <w:pPr>
        <w:ind w:left="2340" w:hanging="180"/>
      </w:pPr>
      <w:rPr>
        <w:rFonts w:cs="Times New Roman"/>
      </w:rPr>
    </w:lvl>
    <w:lvl w:ilvl="3" w:tplc="0809000F" w:tentative="1">
      <w:start w:val="1"/>
      <w:numFmt w:val="decimal"/>
      <w:lvlText w:val="%4."/>
      <w:lvlJc w:val="left"/>
      <w:pPr>
        <w:ind w:left="3060" w:hanging="360"/>
      </w:pPr>
      <w:rPr>
        <w:rFonts w:cs="Times New Roman"/>
      </w:rPr>
    </w:lvl>
    <w:lvl w:ilvl="4" w:tplc="08090019" w:tentative="1">
      <w:start w:val="1"/>
      <w:numFmt w:val="lowerLetter"/>
      <w:lvlText w:val="%5."/>
      <w:lvlJc w:val="left"/>
      <w:pPr>
        <w:ind w:left="3780" w:hanging="360"/>
      </w:pPr>
      <w:rPr>
        <w:rFonts w:cs="Times New Roman"/>
      </w:rPr>
    </w:lvl>
    <w:lvl w:ilvl="5" w:tplc="0809001B" w:tentative="1">
      <w:start w:val="1"/>
      <w:numFmt w:val="lowerRoman"/>
      <w:lvlText w:val="%6."/>
      <w:lvlJc w:val="right"/>
      <w:pPr>
        <w:ind w:left="4500" w:hanging="180"/>
      </w:pPr>
      <w:rPr>
        <w:rFonts w:cs="Times New Roman"/>
      </w:rPr>
    </w:lvl>
    <w:lvl w:ilvl="6" w:tplc="0809000F" w:tentative="1">
      <w:start w:val="1"/>
      <w:numFmt w:val="decimal"/>
      <w:lvlText w:val="%7."/>
      <w:lvlJc w:val="left"/>
      <w:pPr>
        <w:ind w:left="5220" w:hanging="360"/>
      </w:pPr>
      <w:rPr>
        <w:rFonts w:cs="Times New Roman"/>
      </w:rPr>
    </w:lvl>
    <w:lvl w:ilvl="7" w:tplc="08090019" w:tentative="1">
      <w:start w:val="1"/>
      <w:numFmt w:val="lowerLetter"/>
      <w:lvlText w:val="%8."/>
      <w:lvlJc w:val="left"/>
      <w:pPr>
        <w:ind w:left="5940" w:hanging="360"/>
      </w:pPr>
      <w:rPr>
        <w:rFonts w:cs="Times New Roman"/>
      </w:rPr>
    </w:lvl>
    <w:lvl w:ilvl="8" w:tplc="0809001B" w:tentative="1">
      <w:start w:val="1"/>
      <w:numFmt w:val="lowerRoman"/>
      <w:lvlText w:val="%9."/>
      <w:lvlJc w:val="right"/>
      <w:pPr>
        <w:ind w:left="6660" w:hanging="180"/>
      </w:pPr>
      <w:rPr>
        <w:rFonts w:cs="Times New Roman"/>
      </w:rPr>
    </w:lvl>
  </w:abstractNum>
  <w:abstractNum w:abstractNumId="178" w15:restartNumberingAfterBreak="0">
    <w:nsid w:val="301666DF"/>
    <w:multiLevelType w:val="hybridMultilevel"/>
    <w:tmpl w:val="F75E9538"/>
    <w:lvl w:ilvl="0" w:tplc="1F882CF4">
      <w:start w:val="4"/>
      <w:numFmt w:val="decimal"/>
      <w:lvlText w:val="%1."/>
      <w:lvlJc w:val="left"/>
      <w:pPr>
        <w:ind w:left="1287" w:hanging="360"/>
      </w:pPr>
      <w:rPr>
        <w:rFonts w:hint="default"/>
        <w:b w:val="0"/>
      </w:r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179" w15:restartNumberingAfterBreak="0">
    <w:nsid w:val="301B3525"/>
    <w:multiLevelType w:val="hybridMultilevel"/>
    <w:tmpl w:val="1CA41A10"/>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80" w15:restartNumberingAfterBreak="0">
    <w:nsid w:val="307C5180"/>
    <w:multiLevelType w:val="hybridMultilevel"/>
    <w:tmpl w:val="D3E6D246"/>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81" w15:restartNumberingAfterBreak="0">
    <w:nsid w:val="30EE4AF6"/>
    <w:multiLevelType w:val="hybridMultilevel"/>
    <w:tmpl w:val="D6B6BE6A"/>
    <w:lvl w:ilvl="0" w:tplc="0402000F">
      <w:start w:val="1"/>
      <w:numFmt w:val="decimal"/>
      <w:lvlText w:val="%1."/>
      <w:lvlJc w:val="left"/>
      <w:pPr>
        <w:tabs>
          <w:tab w:val="num" w:pos="720"/>
        </w:tabs>
        <w:ind w:left="720" w:hanging="360"/>
      </w:pPr>
      <w:rPr>
        <w:rFonts w:cs="Times New Roman" w:hint="default"/>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82" w15:restartNumberingAfterBreak="0">
    <w:nsid w:val="30F610D6"/>
    <w:multiLevelType w:val="hybridMultilevel"/>
    <w:tmpl w:val="A98E1D0C"/>
    <w:lvl w:ilvl="0" w:tplc="1070F1FA">
      <w:start w:val="1"/>
      <w:numFmt w:val="decimal"/>
      <w:lvlText w:val="%1."/>
      <w:lvlJc w:val="left"/>
      <w:pPr>
        <w:tabs>
          <w:tab w:val="num" w:pos="720"/>
        </w:tabs>
        <w:ind w:left="720" w:hanging="360"/>
      </w:pPr>
      <w:rPr>
        <w:rFonts w:cs="Times New Roman" w:hint="default"/>
      </w:rPr>
    </w:lvl>
    <w:lvl w:ilvl="1" w:tplc="37CC0E58">
      <w:start w:val="1"/>
      <w:numFmt w:val="decimal"/>
      <w:lvlText w:val="1.%2."/>
      <w:lvlJc w:val="left"/>
      <w:pPr>
        <w:tabs>
          <w:tab w:val="num" w:pos="540"/>
        </w:tabs>
        <w:ind w:left="540" w:hanging="360"/>
      </w:pPr>
      <w:rPr>
        <w:rFonts w:cs="Times New Roman" w:hint="default"/>
        <w:b/>
      </w:rPr>
    </w:lvl>
    <w:lvl w:ilvl="2" w:tplc="D6FC3390">
      <w:numFmt w:val="none"/>
      <w:lvlText w:val=""/>
      <w:lvlJc w:val="left"/>
      <w:pPr>
        <w:tabs>
          <w:tab w:val="num" w:pos="360"/>
        </w:tabs>
      </w:pPr>
      <w:rPr>
        <w:rFonts w:cs="Times New Roman"/>
      </w:rPr>
    </w:lvl>
    <w:lvl w:ilvl="3" w:tplc="748A6CD2">
      <w:numFmt w:val="none"/>
      <w:lvlText w:val=""/>
      <w:lvlJc w:val="left"/>
      <w:pPr>
        <w:tabs>
          <w:tab w:val="num" w:pos="360"/>
        </w:tabs>
      </w:pPr>
      <w:rPr>
        <w:rFonts w:cs="Times New Roman"/>
      </w:rPr>
    </w:lvl>
    <w:lvl w:ilvl="4" w:tplc="4C362ABE">
      <w:numFmt w:val="none"/>
      <w:lvlText w:val=""/>
      <w:lvlJc w:val="left"/>
      <w:pPr>
        <w:tabs>
          <w:tab w:val="num" w:pos="360"/>
        </w:tabs>
      </w:pPr>
      <w:rPr>
        <w:rFonts w:cs="Times New Roman"/>
      </w:rPr>
    </w:lvl>
    <w:lvl w:ilvl="5" w:tplc="27CE56DC">
      <w:numFmt w:val="none"/>
      <w:lvlText w:val=""/>
      <w:lvlJc w:val="left"/>
      <w:pPr>
        <w:tabs>
          <w:tab w:val="num" w:pos="360"/>
        </w:tabs>
      </w:pPr>
      <w:rPr>
        <w:rFonts w:cs="Times New Roman"/>
      </w:rPr>
    </w:lvl>
    <w:lvl w:ilvl="6" w:tplc="8754286C">
      <w:numFmt w:val="none"/>
      <w:lvlText w:val=""/>
      <w:lvlJc w:val="left"/>
      <w:pPr>
        <w:tabs>
          <w:tab w:val="num" w:pos="360"/>
        </w:tabs>
      </w:pPr>
      <w:rPr>
        <w:rFonts w:cs="Times New Roman"/>
      </w:rPr>
    </w:lvl>
    <w:lvl w:ilvl="7" w:tplc="226258A2">
      <w:numFmt w:val="none"/>
      <w:lvlText w:val=""/>
      <w:lvlJc w:val="left"/>
      <w:pPr>
        <w:tabs>
          <w:tab w:val="num" w:pos="360"/>
        </w:tabs>
      </w:pPr>
      <w:rPr>
        <w:rFonts w:cs="Times New Roman"/>
      </w:rPr>
    </w:lvl>
    <w:lvl w:ilvl="8" w:tplc="9EAC9450">
      <w:numFmt w:val="none"/>
      <w:lvlText w:val=""/>
      <w:lvlJc w:val="left"/>
      <w:pPr>
        <w:tabs>
          <w:tab w:val="num" w:pos="360"/>
        </w:tabs>
      </w:pPr>
      <w:rPr>
        <w:rFonts w:cs="Times New Roman"/>
      </w:rPr>
    </w:lvl>
  </w:abstractNum>
  <w:abstractNum w:abstractNumId="183" w15:restartNumberingAfterBreak="0">
    <w:nsid w:val="31331BE1"/>
    <w:multiLevelType w:val="hybridMultilevel"/>
    <w:tmpl w:val="8AC8B6F6"/>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84" w15:restartNumberingAfterBreak="0">
    <w:nsid w:val="31350806"/>
    <w:multiLevelType w:val="hybridMultilevel"/>
    <w:tmpl w:val="34F03508"/>
    <w:lvl w:ilvl="0" w:tplc="538EE82C">
      <w:start w:val="1"/>
      <w:numFmt w:val="bullet"/>
      <w:lvlText w:val="•"/>
      <w:lvlJc w:val="left"/>
      <w:pPr>
        <w:tabs>
          <w:tab w:val="num" w:pos="720"/>
        </w:tabs>
        <w:ind w:left="720" w:hanging="360"/>
      </w:pPr>
      <w:rPr>
        <w:rFonts w:ascii="Times New Roman" w:hAnsi="Times New Roman"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31695683"/>
    <w:multiLevelType w:val="hybridMultilevel"/>
    <w:tmpl w:val="63F419FE"/>
    <w:lvl w:ilvl="0" w:tplc="04020001">
      <w:start w:val="1"/>
      <w:numFmt w:val="bullet"/>
      <w:lvlText w:val=""/>
      <w:lvlJc w:val="left"/>
      <w:pPr>
        <w:ind w:left="1713" w:hanging="360"/>
      </w:pPr>
      <w:rPr>
        <w:rFonts w:ascii="Symbol" w:hAnsi="Symbol" w:hint="default"/>
      </w:rPr>
    </w:lvl>
    <w:lvl w:ilvl="1" w:tplc="04020003" w:tentative="1">
      <w:start w:val="1"/>
      <w:numFmt w:val="bullet"/>
      <w:lvlText w:val="o"/>
      <w:lvlJc w:val="left"/>
      <w:pPr>
        <w:ind w:left="2433" w:hanging="360"/>
      </w:pPr>
      <w:rPr>
        <w:rFonts w:ascii="Courier New" w:hAnsi="Courier New" w:cs="Courier New" w:hint="default"/>
      </w:rPr>
    </w:lvl>
    <w:lvl w:ilvl="2" w:tplc="04020005" w:tentative="1">
      <w:start w:val="1"/>
      <w:numFmt w:val="bullet"/>
      <w:lvlText w:val=""/>
      <w:lvlJc w:val="left"/>
      <w:pPr>
        <w:ind w:left="3153" w:hanging="360"/>
      </w:pPr>
      <w:rPr>
        <w:rFonts w:ascii="Wingdings" w:hAnsi="Wingdings" w:hint="default"/>
      </w:rPr>
    </w:lvl>
    <w:lvl w:ilvl="3" w:tplc="04020001" w:tentative="1">
      <w:start w:val="1"/>
      <w:numFmt w:val="bullet"/>
      <w:lvlText w:val=""/>
      <w:lvlJc w:val="left"/>
      <w:pPr>
        <w:ind w:left="3873" w:hanging="360"/>
      </w:pPr>
      <w:rPr>
        <w:rFonts w:ascii="Symbol" w:hAnsi="Symbol" w:hint="default"/>
      </w:rPr>
    </w:lvl>
    <w:lvl w:ilvl="4" w:tplc="04020003" w:tentative="1">
      <w:start w:val="1"/>
      <w:numFmt w:val="bullet"/>
      <w:lvlText w:val="o"/>
      <w:lvlJc w:val="left"/>
      <w:pPr>
        <w:ind w:left="4593" w:hanging="360"/>
      </w:pPr>
      <w:rPr>
        <w:rFonts w:ascii="Courier New" w:hAnsi="Courier New" w:cs="Courier New" w:hint="default"/>
      </w:rPr>
    </w:lvl>
    <w:lvl w:ilvl="5" w:tplc="04020005" w:tentative="1">
      <w:start w:val="1"/>
      <w:numFmt w:val="bullet"/>
      <w:lvlText w:val=""/>
      <w:lvlJc w:val="left"/>
      <w:pPr>
        <w:ind w:left="5313" w:hanging="360"/>
      </w:pPr>
      <w:rPr>
        <w:rFonts w:ascii="Wingdings" w:hAnsi="Wingdings" w:hint="default"/>
      </w:rPr>
    </w:lvl>
    <w:lvl w:ilvl="6" w:tplc="04020001" w:tentative="1">
      <w:start w:val="1"/>
      <w:numFmt w:val="bullet"/>
      <w:lvlText w:val=""/>
      <w:lvlJc w:val="left"/>
      <w:pPr>
        <w:ind w:left="6033" w:hanging="360"/>
      </w:pPr>
      <w:rPr>
        <w:rFonts w:ascii="Symbol" w:hAnsi="Symbol" w:hint="default"/>
      </w:rPr>
    </w:lvl>
    <w:lvl w:ilvl="7" w:tplc="04020003" w:tentative="1">
      <w:start w:val="1"/>
      <w:numFmt w:val="bullet"/>
      <w:lvlText w:val="o"/>
      <w:lvlJc w:val="left"/>
      <w:pPr>
        <w:ind w:left="6753" w:hanging="360"/>
      </w:pPr>
      <w:rPr>
        <w:rFonts w:ascii="Courier New" w:hAnsi="Courier New" w:cs="Courier New" w:hint="default"/>
      </w:rPr>
    </w:lvl>
    <w:lvl w:ilvl="8" w:tplc="04020005" w:tentative="1">
      <w:start w:val="1"/>
      <w:numFmt w:val="bullet"/>
      <w:lvlText w:val=""/>
      <w:lvlJc w:val="left"/>
      <w:pPr>
        <w:ind w:left="7473" w:hanging="360"/>
      </w:pPr>
      <w:rPr>
        <w:rFonts w:ascii="Wingdings" w:hAnsi="Wingdings" w:hint="default"/>
      </w:rPr>
    </w:lvl>
  </w:abstractNum>
  <w:abstractNum w:abstractNumId="186" w15:restartNumberingAfterBreak="0">
    <w:nsid w:val="31827CC3"/>
    <w:multiLevelType w:val="hybridMultilevel"/>
    <w:tmpl w:val="CCAA4E1A"/>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87" w15:restartNumberingAfterBreak="0">
    <w:nsid w:val="319675DD"/>
    <w:multiLevelType w:val="hybridMultilevel"/>
    <w:tmpl w:val="1ADCBDFC"/>
    <w:lvl w:ilvl="0" w:tplc="6714FC14">
      <w:start w:val="3"/>
      <w:numFmt w:val="decimal"/>
      <w:lvlText w:val="%1."/>
      <w:lvlJc w:val="left"/>
      <w:pPr>
        <w:ind w:left="1004" w:hanging="360"/>
      </w:pPr>
      <w:rPr>
        <w:rFonts w:hint="default"/>
      </w:rPr>
    </w:lvl>
    <w:lvl w:ilvl="1" w:tplc="04020019" w:tentative="1">
      <w:start w:val="1"/>
      <w:numFmt w:val="lowerLetter"/>
      <w:lvlText w:val="%2."/>
      <w:lvlJc w:val="left"/>
      <w:pPr>
        <w:ind w:left="1724" w:hanging="360"/>
      </w:pPr>
    </w:lvl>
    <w:lvl w:ilvl="2" w:tplc="0402001B" w:tentative="1">
      <w:start w:val="1"/>
      <w:numFmt w:val="lowerRoman"/>
      <w:lvlText w:val="%3."/>
      <w:lvlJc w:val="right"/>
      <w:pPr>
        <w:ind w:left="2444" w:hanging="180"/>
      </w:pPr>
    </w:lvl>
    <w:lvl w:ilvl="3" w:tplc="0402000F" w:tentative="1">
      <w:start w:val="1"/>
      <w:numFmt w:val="decimal"/>
      <w:lvlText w:val="%4."/>
      <w:lvlJc w:val="left"/>
      <w:pPr>
        <w:ind w:left="3164" w:hanging="360"/>
      </w:pPr>
    </w:lvl>
    <w:lvl w:ilvl="4" w:tplc="04020019" w:tentative="1">
      <w:start w:val="1"/>
      <w:numFmt w:val="lowerLetter"/>
      <w:lvlText w:val="%5."/>
      <w:lvlJc w:val="left"/>
      <w:pPr>
        <w:ind w:left="3884" w:hanging="360"/>
      </w:pPr>
    </w:lvl>
    <w:lvl w:ilvl="5" w:tplc="0402001B" w:tentative="1">
      <w:start w:val="1"/>
      <w:numFmt w:val="lowerRoman"/>
      <w:lvlText w:val="%6."/>
      <w:lvlJc w:val="right"/>
      <w:pPr>
        <w:ind w:left="4604" w:hanging="180"/>
      </w:pPr>
    </w:lvl>
    <w:lvl w:ilvl="6" w:tplc="0402000F" w:tentative="1">
      <w:start w:val="1"/>
      <w:numFmt w:val="decimal"/>
      <w:lvlText w:val="%7."/>
      <w:lvlJc w:val="left"/>
      <w:pPr>
        <w:ind w:left="5324" w:hanging="360"/>
      </w:pPr>
    </w:lvl>
    <w:lvl w:ilvl="7" w:tplc="04020019" w:tentative="1">
      <w:start w:val="1"/>
      <w:numFmt w:val="lowerLetter"/>
      <w:lvlText w:val="%8."/>
      <w:lvlJc w:val="left"/>
      <w:pPr>
        <w:ind w:left="6044" w:hanging="360"/>
      </w:pPr>
    </w:lvl>
    <w:lvl w:ilvl="8" w:tplc="0402001B" w:tentative="1">
      <w:start w:val="1"/>
      <w:numFmt w:val="lowerRoman"/>
      <w:lvlText w:val="%9."/>
      <w:lvlJc w:val="right"/>
      <w:pPr>
        <w:ind w:left="6764" w:hanging="180"/>
      </w:pPr>
    </w:lvl>
  </w:abstractNum>
  <w:abstractNum w:abstractNumId="188" w15:restartNumberingAfterBreak="0">
    <w:nsid w:val="31A00E11"/>
    <w:multiLevelType w:val="hybridMultilevel"/>
    <w:tmpl w:val="9594C5A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9" w15:restartNumberingAfterBreak="0">
    <w:nsid w:val="31FB2161"/>
    <w:multiLevelType w:val="hybridMultilevel"/>
    <w:tmpl w:val="8A1A73D4"/>
    <w:lvl w:ilvl="0" w:tplc="0402000D">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90" w15:restartNumberingAfterBreak="0">
    <w:nsid w:val="32132E0A"/>
    <w:multiLevelType w:val="hybridMultilevel"/>
    <w:tmpl w:val="F7204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325118A5"/>
    <w:multiLevelType w:val="hybridMultilevel"/>
    <w:tmpl w:val="45D08FB6"/>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92" w15:restartNumberingAfterBreak="0">
    <w:nsid w:val="329961FF"/>
    <w:multiLevelType w:val="hybridMultilevel"/>
    <w:tmpl w:val="F2041F62"/>
    <w:lvl w:ilvl="0" w:tplc="04020011">
      <w:start w:val="1"/>
      <w:numFmt w:val="decimal"/>
      <w:lvlText w:val="%1)"/>
      <w:lvlJc w:val="left"/>
      <w:pPr>
        <w:tabs>
          <w:tab w:val="num" w:pos="360"/>
        </w:tabs>
        <w:ind w:left="360" w:hanging="360"/>
      </w:pPr>
      <w:rPr>
        <w:rFonts w:cs="Times New Roman"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66D21B02"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3" w15:restartNumberingAfterBreak="0">
    <w:nsid w:val="32F2370F"/>
    <w:multiLevelType w:val="hybridMultilevel"/>
    <w:tmpl w:val="15969C08"/>
    <w:lvl w:ilvl="0" w:tplc="E52C8E10">
      <w:start w:val="2"/>
      <w:numFmt w:val="bullet"/>
      <w:lvlText w:val="-"/>
      <w:lvlJc w:val="left"/>
      <w:pPr>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4" w15:restartNumberingAfterBreak="0">
    <w:nsid w:val="336A30F5"/>
    <w:multiLevelType w:val="hybridMultilevel"/>
    <w:tmpl w:val="BC348B60"/>
    <w:lvl w:ilvl="0" w:tplc="04020001">
      <w:start w:val="1"/>
      <w:numFmt w:val="bullet"/>
      <w:lvlText w:val=""/>
      <w:lvlJc w:val="left"/>
      <w:pPr>
        <w:ind w:left="698" w:hanging="360"/>
      </w:pPr>
      <w:rPr>
        <w:rFonts w:ascii="Symbol" w:hAnsi="Symbol" w:hint="default"/>
      </w:rPr>
    </w:lvl>
    <w:lvl w:ilvl="1" w:tplc="04020003" w:tentative="1">
      <w:start w:val="1"/>
      <w:numFmt w:val="bullet"/>
      <w:lvlText w:val="o"/>
      <w:lvlJc w:val="left"/>
      <w:pPr>
        <w:ind w:left="1418" w:hanging="360"/>
      </w:pPr>
      <w:rPr>
        <w:rFonts w:ascii="Courier New" w:hAnsi="Courier New" w:cs="Courier New" w:hint="default"/>
      </w:rPr>
    </w:lvl>
    <w:lvl w:ilvl="2" w:tplc="04020005" w:tentative="1">
      <w:start w:val="1"/>
      <w:numFmt w:val="bullet"/>
      <w:lvlText w:val=""/>
      <w:lvlJc w:val="left"/>
      <w:pPr>
        <w:ind w:left="2138" w:hanging="360"/>
      </w:pPr>
      <w:rPr>
        <w:rFonts w:ascii="Wingdings" w:hAnsi="Wingdings" w:hint="default"/>
      </w:rPr>
    </w:lvl>
    <w:lvl w:ilvl="3" w:tplc="04020001" w:tentative="1">
      <w:start w:val="1"/>
      <w:numFmt w:val="bullet"/>
      <w:lvlText w:val=""/>
      <w:lvlJc w:val="left"/>
      <w:pPr>
        <w:ind w:left="2858" w:hanging="360"/>
      </w:pPr>
      <w:rPr>
        <w:rFonts w:ascii="Symbol" w:hAnsi="Symbol" w:hint="default"/>
      </w:rPr>
    </w:lvl>
    <w:lvl w:ilvl="4" w:tplc="04020003" w:tentative="1">
      <w:start w:val="1"/>
      <w:numFmt w:val="bullet"/>
      <w:lvlText w:val="o"/>
      <w:lvlJc w:val="left"/>
      <w:pPr>
        <w:ind w:left="3578" w:hanging="360"/>
      </w:pPr>
      <w:rPr>
        <w:rFonts w:ascii="Courier New" w:hAnsi="Courier New" w:cs="Courier New" w:hint="default"/>
      </w:rPr>
    </w:lvl>
    <w:lvl w:ilvl="5" w:tplc="04020005" w:tentative="1">
      <w:start w:val="1"/>
      <w:numFmt w:val="bullet"/>
      <w:lvlText w:val=""/>
      <w:lvlJc w:val="left"/>
      <w:pPr>
        <w:ind w:left="4298" w:hanging="360"/>
      </w:pPr>
      <w:rPr>
        <w:rFonts w:ascii="Wingdings" w:hAnsi="Wingdings" w:hint="default"/>
      </w:rPr>
    </w:lvl>
    <w:lvl w:ilvl="6" w:tplc="04020001" w:tentative="1">
      <w:start w:val="1"/>
      <w:numFmt w:val="bullet"/>
      <w:lvlText w:val=""/>
      <w:lvlJc w:val="left"/>
      <w:pPr>
        <w:ind w:left="5018" w:hanging="360"/>
      </w:pPr>
      <w:rPr>
        <w:rFonts w:ascii="Symbol" w:hAnsi="Symbol" w:hint="default"/>
      </w:rPr>
    </w:lvl>
    <w:lvl w:ilvl="7" w:tplc="04020003" w:tentative="1">
      <w:start w:val="1"/>
      <w:numFmt w:val="bullet"/>
      <w:lvlText w:val="o"/>
      <w:lvlJc w:val="left"/>
      <w:pPr>
        <w:ind w:left="5738" w:hanging="360"/>
      </w:pPr>
      <w:rPr>
        <w:rFonts w:ascii="Courier New" w:hAnsi="Courier New" w:cs="Courier New" w:hint="default"/>
      </w:rPr>
    </w:lvl>
    <w:lvl w:ilvl="8" w:tplc="04020005" w:tentative="1">
      <w:start w:val="1"/>
      <w:numFmt w:val="bullet"/>
      <w:lvlText w:val=""/>
      <w:lvlJc w:val="left"/>
      <w:pPr>
        <w:ind w:left="6458" w:hanging="360"/>
      </w:pPr>
      <w:rPr>
        <w:rFonts w:ascii="Wingdings" w:hAnsi="Wingdings" w:hint="default"/>
      </w:rPr>
    </w:lvl>
  </w:abstractNum>
  <w:abstractNum w:abstractNumId="195" w15:restartNumberingAfterBreak="0">
    <w:nsid w:val="337F3DF9"/>
    <w:multiLevelType w:val="hybridMultilevel"/>
    <w:tmpl w:val="5A0CF7F0"/>
    <w:lvl w:ilvl="0" w:tplc="58D8EF16">
      <w:start w:val="1"/>
      <w:numFmt w:val="decimal"/>
      <w:lvlText w:val="%1)"/>
      <w:lvlJc w:val="left"/>
      <w:pPr>
        <w:ind w:left="1571" w:hanging="360"/>
      </w:pPr>
      <w:rPr>
        <w:b/>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96" w15:restartNumberingAfterBreak="0">
    <w:nsid w:val="33947798"/>
    <w:multiLevelType w:val="hybridMultilevel"/>
    <w:tmpl w:val="BB7C1C1A"/>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97" w15:restartNumberingAfterBreak="0">
    <w:nsid w:val="33950A88"/>
    <w:multiLevelType w:val="multilevel"/>
    <w:tmpl w:val="53A8AA04"/>
    <w:lvl w:ilvl="0">
      <w:start w:val="1"/>
      <w:numFmt w:val="bullet"/>
      <w:pStyle w:val="Application4"/>
      <w:lvlText w:val=""/>
      <w:lvlJc w:val="left"/>
      <w:pPr>
        <w:tabs>
          <w:tab w:val="num" w:pos="1134"/>
        </w:tabs>
        <w:ind w:left="1134" w:hanging="567"/>
      </w:pPr>
      <w:rPr>
        <w:rFonts w:ascii="Wingdings" w:hAnsi="Wingdings" w:hint="default"/>
        <w:sz w:val="16"/>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8" w15:restartNumberingAfterBreak="0">
    <w:nsid w:val="33DA71A9"/>
    <w:multiLevelType w:val="hybridMultilevel"/>
    <w:tmpl w:val="3D16E12E"/>
    <w:lvl w:ilvl="0" w:tplc="04020011">
      <w:start w:val="1"/>
      <w:numFmt w:val="decimal"/>
      <w:lvlText w:val="%1)"/>
      <w:lvlJc w:val="left"/>
      <w:pPr>
        <w:ind w:left="720" w:hanging="360"/>
      </w:pPr>
      <w:rPr>
        <w:rFonts w:cs="Times New Roman"/>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99" w15:restartNumberingAfterBreak="0">
    <w:nsid w:val="35007BCE"/>
    <w:multiLevelType w:val="multilevel"/>
    <w:tmpl w:val="D6B20AC4"/>
    <w:lvl w:ilvl="0">
      <w:start w:val="3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0" w15:restartNumberingAfterBreak="0">
    <w:nsid w:val="350D6C12"/>
    <w:multiLevelType w:val="hybridMultilevel"/>
    <w:tmpl w:val="61580416"/>
    <w:lvl w:ilvl="0" w:tplc="26F25864">
      <w:start w:val="1"/>
      <mc:AlternateContent>
        <mc:Choice Requires="w14">
          <w:numFmt w:val="custom" w:format="а, й, к, ..."/>
        </mc:Choice>
        <mc:Fallback>
          <w:numFmt w:val="decimal"/>
        </mc:Fallback>
      </mc:AlternateContent>
      <w:lvlText w:val="%1)"/>
      <w:lvlJc w:val="left"/>
      <w:pPr>
        <w:ind w:left="1571" w:hanging="360"/>
      </w:pPr>
      <w:rPr>
        <w:rFonts w:cs="Times New Roman" w:hint="default"/>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01" w15:restartNumberingAfterBreak="0">
    <w:nsid w:val="354C74B0"/>
    <w:multiLevelType w:val="hybridMultilevel"/>
    <w:tmpl w:val="8D660040"/>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02" w15:restartNumberingAfterBreak="0">
    <w:nsid w:val="35967B26"/>
    <w:multiLevelType w:val="hybridMultilevel"/>
    <w:tmpl w:val="5DF4E5FC"/>
    <w:lvl w:ilvl="0" w:tplc="E5DE160E">
      <w:start w:val="28"/>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03" w15:restartNumberingAfterBreak="0">
    <w:nsid w:val="364D5C03"/>
    <w:multiLevelType w:val="hybridMultilevel"/>
    <w:tmpl w:val="2EACCDFC"/>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36686B36"/>
    <w:multiLevelType w:val="hybridMultilevel"/>
    <w:tmpl w:val="7E32A75E"/>
    <w:lvl w:ilvl="0" w:tplc="04020001">
      <w:start w:val="1"/>
      <w:numFmt w:val="bullet"/>
      <w:lvlText w:val=""/>
      <w:lvlJc w:val="left"/>
      <w:pPr>
        <w:tabs>
          <w:tab w:val="num" w:pos="780"/>
        </w:tabs>
        <w:ind w:left="780" w:hanging="360"/>
      </w:pPr>
      <w:rPr>
        <w:rFonts w:ascii="Symbol" w:hAnsi="Symbol" w:hint="default"/>
      </w:rPr>
    </w:lvl>
    <w:lvl w:ilvl="1" w:tplc="B3BE29A6">
      <w:numFmt w:val="bullet"/>
      <w:lvlText w:val="-"/>
      <w:lvlJc w:val="left"/>
      <w:pPr>
        <w:tabs>
          <w:tab w:val="num" w:pos="1500"/>
        </w:tabs>
        <w:ind w:left="1500" w:hanging="360"/>
      </w:pPr>
      <w:rPr>
        <w:rFonts w:ascii="Times New Roman" w:eastAsia="Times New Roman" w:hAnsi="Times New Roman" w:hint="default"/>
      </w:rPr>
    </w:lvl>
    <w:lvl w:ilvl="2" w:tplc="04020005" w:tentative="1">
      <w:start w:val="1"/>
      <w:numFmt w:val="bullet"/>
      <w:lvlText w:val=""/>
      <w:lvlJc w:val="left"/>
      <w:pPr>
        <w:tabs>
          <w:tab w:val="num" w:pos="2220"/>
        </w:tabs>
        <w:ind w:left="2220" w:hanging="360"/>
      </w:pPr>
      <w:rPr>
        <w:rFonts w:ascii="Wingdings" w:hAnsi="Wingdings" w:hint="default"/>
      </w:rPr>
    </w:lvl>
    <w:lvl w:ilvl="3" w:tplc="04020001" w:tentative="1">
      <w:start w:val="1"/>
      <w:numFmt w:val="bullet"/>
      <w:lvlText w:val=""/>
      <w:lvlJc w:val="left"/>
      <w:pPr>
        <w:tabs>
          <w:tab w:val="num" w:pos="2940"/>
        </w:tabs>
        <w:ind w:left="2940" w:hanging="360"/>
      </w:pPr>
      <w:rPr>
        <w:rFonts w:ascii="Symbol" w:hAnsi="Symbol" w:hint="default"/>
      </w:rPr>
    </w:lvl>
    <w:lvl w:ilvl="4" w:tplc="04020003" w:tentative="1">
      <w:start w:val="1"/>
      <w:numFmt w:val="bullet"/>
      <w:lvlText w:val="o"/>
      <w:lvlJc w:val="left"/>
      <w:pPr>
        <w:tabs>
          <w:tab w:val="num" w:pos="3660"/>
        </w:tabs>
        <w:ind w:left="3660" w:hanging="360"/>
      </w:pPr>
      <w:rPr>
        <w:rFonts w:ascii="Courier New" w:hAnsi="Courier New" w:hint="default"/>
      </w:rPr>
    </w:lvl>
    <w:lvl w:ilvl="5" w:tplc="04020005" w:tentative="1">
      <w:start w:val="1"/>
      <w:numFmt w:val="bullet"/>
      <w:lvlText w:val=""/>
      <w:lvlJc w:val="left"/>
      <w:pPr>
        <w:tabs>
          <w:tab w:val="num" w:pos="4380"/>
        </w:tabs>
        <w:ind w:left="4380" w:hanging="360"/>
      </w:pPr>
      <w:rPr>
        <w:rFonts w:ascii="Wingdings" w:hAnsi="Wingdings" w:hint="default"/>
      </w:rPr>
    </w:lvl>
    <w:lvl w:ilvl="6" w:tplc="04020001" w:tentative="1">
      <w:start w:val="1"/>
      <w:numFmt w:val="bullet"/>
      <w:lvlText w:val=""/>
      <w:lvlJc w:val="left"/>
      <w:pPr>
        <w:tabs>
          <w:tab w:val="num" w:pos="5100"/>
        </w:tabs>
        <w:ind w:left="5100" w:hanging="360"/>
      </w:pPr>
      <w:rPr>
        <w:rFonts w:ascii="Symbol" w:hAnsi="Symbol" w:hint="default"/>
      </w:rPr>
    </w:lvl>
    <w:lvl w:ilvl="7" w:tplc="04020003" w:tentative="1">
      <w:start w:val="1"/>
      <w:numFmt w:val="bullet"/>
      <w:lvlText w:val="o"/>
      <w:lvlJc w:val="left"/>
      <w:pPr>
        <w:tabs>
          <w:tab w:val="num" w:pos="5820"/>
        </w:tabs>
        <w:ind w:left="5820" w:hanging="360"/>
      </w:pPr>
      <w:rPr>
        <w:rFonts w:ascii="Courier New" w:hAnsi="Courier New" w:hint="default"/>
      </w:rPr>
    </w:lvl>
    <w:lvl w:ilvl="8" w:tplc="04020005" w:tentative="1">
      <w:start w:val="1"/>
      <w:numFmt w:val="bullet"/>
      <w:lvlText w:val=""/>
      <w:lvlJc w:val="left"/>
      <w:pPr>
        <w:tabs>
          <w:tab w:val="num" w:pos="6540"/>
        </w:tabs>
        <w:ind w:left="6540" w:hanging="360"/>
      </w:pPr>
      <w:rPr>
        <w:rFonts w:ascii="Wingdings" w:hAnsi="Wingdings" w:hint="default"/>
      </w:rPr>
    </w:lvl>
  </w:abstractNum>
  <w:abstractNum w:abstractNumId="205" w15:restartNumberingAfterBreak="0">
    <w:nsid w:val="370E5CB1"/>
    <w:multiLevelType w:val="hybridMultilevel"/>
    <w:tmpl w:val="7B561F28"/>
    <w:lvl w:ilvl="0" w:tplc="04020011">
      <w:start w:val="1"/>
      <w:numFmt w:val="decimal"/>
      <w:lvlText w:val="%1)"/>
      <w:lvlJc w:val="left"/>
      <w:pPr>
        <w:ind w:left="1571" w:hanging="360"/>
      </w:pPr>
    </w:lvl>
    <w:lvl w:ilvl="1" w:tplc="04020019">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06" w15:restartNumberingAfterBreak="0">
    <w:nsid w:val="3736647F"/>
    <w:multiLevelType w:val="hybridMultilevel"/>
    <w:tmpl w:val="1C5C5D42"/>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07" w15:restartNumberingAfterBreak="0">
    <w:nsid w:val="376967FD"/>
    <w:multiLevelType w:val="hybridMultilevel"/>
    <w:tmpl w:val="4CAE38CE"/>
    <w:lvl w:ilvl="0" w:tplc="0402000F">
      <w:start w:val="1"/>
      <w:numFmt w:val="decimal"/>
      <w:lvlText w:val="%1."/>
      <w:lvlJc w:val="left"/>
      <w:pPr>
        <w:ind w:left="1571" w:hanging="360"/>
      </w:p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08" w15:restartNumberingAfterBreak="0">
    <w:nsid w:val="382368AE"/>
    <w:multiLevelType w:val="hybridMultilevel"/>
    <w:tmpl w:val="4E28EA78"/>
    <w:lvl w:ilvl="0" w:tplc="073E1444">
      <w:start w:val="87"/>
      <w:numFmt w:val="bullet"/>
      <w:lvlText w:val="-"/>
      <w:lvlJc w:val="left"/>
      <w:pPr>
        <w:ind w:left="900" w:hanging="360"/>
      </w:pPr>
      <w:rPr>
        <w:rFonts w:ascii="Arial" w:eastAsia="Times New Roman" w:hAnsi="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9" w15:restartNumberingAfterBreak="0">
    <w:nsid w:val="38252162"/>
    <w:multiLevelType w:val="hybridMultilevel"/>
    <w:tmpl w:val="A7E8F48A"/>
    <w:lvl w:ilvl="0" w:tplc="0402000F">
      <w:start w:val="1"/>
      <w:numFmt w:val="decimal"/>
      <w:lvlText w:val="%1."/>
      <w:lvlJc w:val="left"/>
      <w:pPr>
        <w:ind w:left="1571" w:hanging="360"/>
      </w:pPr>
    </w:lvl>
    <w:lvl w:ilvl="1" w:tplc="04020019">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10" w15:restartNumberingAfterBreak="0">
    <w:nsid w:val="38641F14"/>
    <w:multiLevelType w:val="hybridMultilevel"/>
    <w:tmpl w:val="E452C0EA"/>
    <w:lvl w:ilvl="0" w:tplc="0402000F">
      <w:start w:val="1"/>
      <w:numFmt w:val="decimal"/>
      <w:lvlText w:val="%1."/>
      <w:lvlJc w:val="left"/>
      <w:pPr>
        <w:ind w:left="1571" w:hanging="360"/>
      </w:pPr>
    </w:lvl>
    <w:lvl w:ilvl="1" w:tplc="04020019">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11" w15:restartNumberingAfterBreak="0">
    <w:nsid w:val="38D169D5"/>
    <w:multiLevelType w:val="hybridMultilevel"/>
    <w:tmpl w:val="07BAECFA"/>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12" w15:restartNumberingAfterBreak="0">
    <w:nsid w:val="38D80439"/>
    <w:multiLevelType w:val="hybridMultilevel"/>
    <w:tmpl w:val="382AFCF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38F37545"/>
    <w:multiLevelType w:val="hybridMultilevel"/>
    <w:tmpl w:val="370E7D8A"/>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14" w15:restartNumberingAfterBreak="0">
    <w:nsid w:val="391D5FAF"/>
    <w:multiLevelType w:val="hybridMultilevel"/>
    <w:tmpl w:val="BBCAADE4"/>
    <w:lvl w:ilvl="0" w:tplc="77905FD4">
      <w:start w:val="1"/>
      <w:numFmt w:val="decimal"/>
      <w:lvlText w:val="%1."/>
      <w:lvlJc w:val="left"/>
      <w:pPr>
        <w:tabs>
          <w:tab w:val="num" w:pos="720"/>
        </w:tabs>
        <w:ind w:left="720" w:hanging="360"/>
      </w:pPr>
      <w:rPr>
        <w:rFonts w:cs="Times New Roman"/>
        <w:sz w:val="20"/>
        <w:szCs w:val="20"/>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215" w15:restartNumberingAfterBreak="0">
    <w:nsid w:val="39472224"/>
    <w:multiLevelType w:val="hybridMultilevel"/>
    <w:tmpl w:val="DA129880"/>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16" w15:restartNumberingAfterBreak="0">
    <w:nsid w:val="39A24E7C"/>
    <w:multiLevelType w:val="hybridMultilevel"/>
    <w:tmpl w:val="64C430E2"/>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17" w15:restartNumberingAfterBreak="0">
    <w:nsid w:val="39D140CF"/>
    <w:multiLevelType w:val="hybridMultilevel"/>
    <w:tmpl w:val="0E4CD144"/>
    <w:lvl w:ilvl="0" w:tplc="9366355A">
      <w:start w:val="12"/>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8" w15:restartNumberingAfterBreak="0">
    <w:nsid w:val="3A2A0B2D"/>
    <w:multiLevelType w:val="hybridMultilevel"/>
    <w:tmpl w:val="BF34CC0A"/>
    <w:lvl w:ilvl="0" w:tplc="1070F1FA">
      <w:start w:val="1"/>
      <w:numFmt w:val="decimal"/>
      <w:lvlText w:val="%1."/>
      <w:lvlJc w:val="left"/>
      <w:pPr>
        <w:ind w:left="1080" w:hanging="360"/>
      </w:pPr>
      <w:rPr>
        <w:rFonts w:cs="Times New Roman"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19" w15:restartNumberingAfterBreak="0">
    <w:nsid w:val="3AA63222"/>
    <w:multiLevelType w:val="hybridMultilevel"/>
    <w:tmpl w:val="DA44FB50"/>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20" w15:restartNumberingAfterBreak="0">
    <w:nsid w:val="3B2B133C"/>
    <w:multiLevelType w:val="hybridMultilevel"/>
    <w:tmpl w:val="C24A48F8"/>
    <w:lvl w:ilvl="0" w:tplc="6BEEEDE6">
      <w:start w:val="1"/>
      <w:numFmt w:val="decimal"/>
      <w:lvlText w:val="%1)"/>
      <w:lvlJc w:val="left"/>
      <w:pPr>
        <w:tabs>
          <w:tab w:val="num" w:pos="360"/>
        </w:tabs>
        <w:ind w:left="360" w:hanging="360"/>
      </w:pPr>
      <w:rPr>
        <w:rFonts w:cs="Times New Roman"/>
        <w:b/>
        <w:i w:val="0"/>
      </w:rPr>
    </w:lvl>
    <w:lvl w:ilvl="1" w:tplc="CBD8CA52">
      <w:start w:val="1"/>
      <w:numFmt w:val="decimal"/>
      <w:lvlText w:val="%2."/>
      <w:lvlJc w:val="left"/>
      <w:pPr>
        <w:tabs>
          <w:tab w:val="num" w:pos="1440"/>
        </w:tabs>
        <w:ind w:left="1440" w:hanging="360"/>
      </w:pPr>
      <w:rPr>
        <w:rFonts w:cs="Times New Roman" w:hint="default"/>
      </w:rPr>
    </w:lvl>
    <w:lvl w:ilvl="2" w:tplc="0402001B">
      <w:start w:val="1"/>
      <w:numFmt w:val="lowerRoman"/>
      <w:lvlText w:val="%3."/>
      <w:lvlJc w:val="right"/>
      <w:pPr>
        <w:tabs>
          <w:tab w:val="num" w:pos="2160"/>
        </w:tabs>
        <w:ind w:left="2160" w:hanging="180"/>
      </w:pPr>
      <w:rPr>
        <w:rFonts w:cs="Times New Roman"/>
      </w:rPr>
    </w:lvl>
    <w:lvl w:ilvl="3" w:tplc="0402000F">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221" w15:restartNumberingAfterBreak="0">
    <w:nsid w:val="3B864580"/>
    <w:multiLevelType w:val="hybridMultilevel"/>
    <w:tmpl w:val="1A78F676"/>
    <w:lvl w:ilvl="0" w:tplc="6BEEEDE6">
      <w:start w:val="1"/>
      <w:numFmt w:val="decimal"/>
      <w:lvlText w:val="%1)"/>
      <w:lvlJc w:val="left"/>
      <w:pPr>
        <w:ind w:left="1065" w:hanging="705"/>
      </w:pPr>
      <w:rPr>
        <w:rFonts w:cs="Times New Roman" w:hint="default"/>
        <w:b/>
        <w:i w:val="0"/>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222" w15:restartNumberingAfterBreak="0">
    <w:nsid w:val="3BA90D3B"/>
    <w:multiLevelType w:val="hybridMultilevel"/>
    <w:tmpl w:val="750000DE"/>
    <w:lvl w:ilvl="0" w:tplc="04020009">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3BDC3943"/>
    <w:multiLevelType w:val="hybridMultilevel"/>
    <w:tmpl w:val="34F276A4"/>
    <w:lvl w:ilvl="0" w:tplc="CF265AE4">
      <w:start w:val="1"/>
      <w:numFmt w:val="decimal"/>
      <w:lvlText w:val="%1)"/>
      <w:lvlJc w:val="left"/>
      <w:pPr>
        <w:ind w:left="900" w:hanging="360"/>
      </w:pPr>
      <w:rPr>
        <w:rFonts w:cs="Times New Roman" w:hint="default"/>
      </w:rPr>
    </w:lvl>
    <w:lvl w:ilvl="1" w:tplc="08090019" w:tentative="1">
      <w:start w:val="1"/>
      <w:numFmt w:val="lowerLetter"/>
      <w:lvlText w:val="%2."/>
      <w:lvlJc w:val="left"/>
      <w:pPr>
        <w:ind w:left="1620" w:hanging="360"/>
      </w:pPr>
      <w:rPr>
        <w:rFonts w:cs="Times New Roman"/>
      </w:rPr>
    </w:lvl>
    <w:lvl w:ilvl="2" w:tplc="0809001B" w:tentative="1">
      <w:start w:val="1"/>
      <w:numFmt w:val="lowerRoman"/>
      <w:lvlText w:val="%3."/>
      <w:lvlJc w:val="right"/>
      <w:pPr>
        <w:ind w:left="2340" w:hanging="180"/>
      </w:pPr>
      <w:rPr>
        <w:rFonts w:cs="Times New Roman"/>
      </w:rPr>
    </w:lvl>
    <w:lvl w:ilvl="3" w:tplc="0809000F" w:tentative="1">
      <w:start w:val="1"/>
      <w:numFmt w:val="decimal"/>
      <w:lvlText w:val="%4."/>
      <w:lvlJc w:val="left"/>
      <w:pPr>
        <w:ind w:left="3060" w:hanging="360"/>
      </w:pPr>
      <w:rPr>
        <w:rFonts w:cs="Times New Roman"/>
      </w:rPr>
    </w:lvl>
    <w:lvl w:ilvl="4" w:tplc="08090019" w:tentative="1">
      <w:start w:val="1"/>
      <w:numFmt w:val="lowerLetter"/>
      <w:lvlText w:val="%5."/>
      <w:lvlJc w:val="left"/>
      <w:pPr>
        <w:ind w:left="3780" w:hanging="360"/>
      </w:pPr>
      <w:rPr>
        <w:rFonts w:cs="Times New Roman"/>
      </w:rPr>
    </w:lvl>
    <w:lvl w:ilvl="5" w:tplc="0809001B" w:tentative="1">
      <w:start w:val="1"/>
      <w:numFmt w:val="lowerRoman"/>
      <w:lvlText w:val="%6."/>
      <w:lvlJc w:val="right"/>
      <w:pPr>
        <w:ind w:left="4500" w:hanging="180"/>
      </w:pPr>
      <w:rPr>
        <w:rFonts w:cs="Times New Roman"/>
      </w:rPr>
    </w:lvl>
    <w:lvl w:ilvl="6" w:tplc="0809000F" w:tentative="1">
      <w:start w:val="1"/>
      <w:numFmt w:val="decimal"/>
      <w:lvlText w:val="%7."/>
      <w:lvlJc w:val="left"/>
      <w:pPr>
        <w:ind w:left="5220" w:hanging="360"/>
      </w:pPr>
      <w:rPr>
        <w:rFonts w:cs="Times New Roman"/>
      </w:rPr>
    </w:lvl>
    <w:lvl w:ilvl="7" w:tplc="08090019" w:tentative="1">
      <w:start w:val="1"/>
      <w:numFmt w:val="lowerLetter"/>
      <w:lvlText w:val="%8."/>
      <w:lvlJc w:val="left"/>
      <w:pPr>
        <w:ind w:left="5940" w:hanging="360"/>
      </w:pPr>
      <w:rPr>
        <w:rFonts w:cs="Times New Roman"/>
      </w:rPr>
    </w:lvl>
    <w:lvl w:ilvl="8" w:tplc="0809001B" w:tentative="1">
      <w:start w:val="1"/>
      <w:numFmt w:val="lowerRoman"/>
      <w:lvlText w:val="%9."/>
      <w:lvlJc w:val="right"/>
      <w:pPr>
        <w:ind w:left="6660" w:hanging="180"/>
      </w:pPr>
      <w:rPr>
        <w:rFonts w:cs="Times New Roman"/>
      </w:rPr>
    </w:lvl>
  </w:abstractNum>
  <w:abstractNum w:abstractNumId="224" w15:restartNumberingAfterBreak="0">
    <w:nsid w:val="3BE33B40"/>
    <w:multiLevelType w:val="hybridMultilevel"/>
    <w:tmpl w:val="6838BC10"/>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25" w15:restartNumberingAfterBreak="0">
    <w:nsid w:val="3C1E7A6D"/>
    <w:multiLevelType w:val="hybridMultilevel"/>
    <w:tmpl w:val="5ED6D208"/>
    <w:lvl w:ilvl="0" w:tplc="04020011">
      <w:start w:val="1"/>
      <w:numFmt w:val="decimal"/>
      <w:lvlText w:val="%1)"/>
      <w:lvlJc w:val="left"/>
      <w:pPr>
        <w:ind w:left="720" w:hanging="360"/>
      </w:pPr>
      <w:rPr>
        <w:rFonts w:cs="Times New Roman" w:hint="default"/>
      </w:rPr>
    </w:lvl>
    <w:lvl w:ilvl="1" w:tplc="04020019">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226" w15:restartNumberingAfterBreak="0">
    <w:nsid w:val="3C3910D8"/>
    <w:multiLevelType w:val="hybridMultilevel"/>
    <w:tmpl w:val="F7ECCEBC"/>
    <w:lvl w:ilvl="0" w:tplc="AE9281BA">
      <w:start w:val="5"/>
      <w:numFmt w:val="decimal"/>
      <w:lvlText w:val="%1."/>
      <w:lvlJc w:val="left"/>
      <w:pPr>
        <w:ind w:left="1080" w:hanging="360"/>
      </w:pPr>
      <w:rPr>
        <w:rFonts w:hint="default"/>
        <w:b w:val="0"/>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27" w15:restartNumberingAfterBreak="0">
    <w:nsid w:val="3C4562AC"/>
    <w:multiLevelType w:val="hybridMultilevel"/>
    <w:tmpl w:val="7D92D4E6"/>
    <w:lvl w:ilvl="0" w:tplc="0A9670C0">
      <w:start w:val="1"/>
      <w:numFmt w:val="decimal"/>
      <w:lvlText w:val="%1."/>
      <w:lvlJc w:val="left"/>
      <w:pPr>
        <w:tabs>
          <w:tab w:val="num" w:pos="1494"/>
        </w:tabs>
        <w:ind w:left="1494" w:hanging="360"/>
      </w:pPr>
      <w:rPr>
        <w:rFonts w:cs="Times New Roman" w:hint="default"/>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228" w15:restartNumberingAfterBreak="0">
    <w:nsid w:val="3CA967B1"/>
    <w:multiLevelType w:val="hybridMultilevel"/>
    <w:tmpl w:val="507E7BDE"/>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29" w15:restartNumberingAfterBreak="0">
    <w:nsid w:val="3D261D3F"/>
    <w:multiLevelType w:val="hybridMultilevel"/>
    <w:tmpl w:val="51CA3030"/>
    <w:lvl w:ilvl="0" w:tplc="0402000B">
      <w:start w:val="1"/>
      <w:numFmt w:val="bullet"/>
      <w:lvlText w:val=""/>
      <w:lvlJc w:val="left"/>
      <w:pPr>
        <w:tabs>
          <w:tab w:val="num" w:pos="648"/>
        </w:tabs>
        <w:ind w:left="648" w:hanging="360"/>
      </w:pPr>
      <w:rPr>
        <w:rFonts w:ascii="Wingdings" w:hAnsi="Wingdings" w:hint="default"/>
      </w:rPr>
    </w:lvl>
    <w:lvl w:ilvl="1" w:tplc="EA069BDC">
      <w:numFmt w:val="bullet"/>
      <w:lvlText w:val="–"/>
      <w:lvlJc w:val="left"/>
      <w:pPr>
        <w:ind w:left="1368" w:hanging="360"/>
      </w:pPr>
      <w:rPr>
        <w:rFonts w:ascii="Times New Roman" w:eastAsia="Times New Roman" w:hAnsi="Times New Roman" w:cs="Times New Roman" w:hint="default"/>
      </w:rPr>
    </w:lvl>
    <w:lvl w:ilvl="2" w:tplc="04020005" w:tentative="1">
      <w:start w:val="1"/>
      <w:numFmt w:val="bullet"/>
      <w:lvlText w:val=""/>
      <w:lvlJc w:val="left"/>
      <w:pPr>
        <w:tabs>
          <w:tab w:val="num" w:pos="2088"/>
        </w:tabs>
        <w:ind w:left="2088" w:hanging="360"/>
      </w:pPr>
      <w:rPr>
        <w:rFonts w:ascii="Wingdings" w:hAnsi="Wingdings" w:hint="default"/>
      </w:rPr>
    </w:lvl>
    <w:lvl w:ilvl="3" w:tplc="04020001" w:tentative="1">
      <w:start w:val="1"/>
      <w:numFmt w:val="bullet"/>
      <w:lvlText w:val=""/>
      <w:lvlJc w:val="left"/>
      <w:pPr>
        <w:tabs>
          <w:tab w:val="num" w:pos="2808"/>
        </w:tabs>
        <w:ind w:left="2808" w:hanging="360"/>
      </w:pPr>
      <w:rPr>
        <w:rFonts w:ascii="Symbol" w:hAnsi="Symbol" w:hint="default"/>
      </w:rPr>
    </w:lvl>
    <w:lvl w:ilvl="4" w:tplc="04020003" w:tentative="1">
      <w:start w:val="1"/>
      <w:numFmt w:val="bullet"/>
      <w:lvlText w:val="o"/>
      <w:lvlJc w:val="left"/>
      <w:pPr>
        <w:tabs>
          <w:tab w:val="num" w:pos="3528"/>
        </w:tabs>
        <w:ind w:left="3528" w:hanging="360"/>
      </w:pPr>
      <w:rPr>
        <w:rFonts w:ascii="Courier New" w:hAnsi="Courier New" w:hint="default"/>
      </w:rPr>
    </w:lvl>
    <w:lvl w:ilvl="5" w:tplc="04020005" w:tentative="1">
      <w:start w:val="1"/>
      <w:numFmt w:val="bullet"/>
      <w:lvlText w:val=""/>
      <w:lvlJc w:val="left"/>
      <w:pPr>
        <w:tabs>
          <w:tab w:val="num" w:pos="4248"/>
        </w:tabs>
        <w:ind w:left="4248" w:hanging="360"/>
      </w:pPr>
      <w:rPr>
        <w:rFonts w:ascii="Wingdings" w:hAnsi="Wingdings" w:hint="default"/>
      </w:rPr>
    </w:lvl>
    <w:lvl w:ilvl="6" w:tplc="04020001" w:tentative="1">
      <w:start w:val="1"/>
      <w:numFmt w:val="bullet"/>
      <w:lvlText w:val=""/>
      <w:lvlJc w:val="left"/>
      <w:pPr>
        <w:tabs>
          <w:tab w:val="num" w:pos="4968"/>
        </w:tabs>
        <w:ind w:left="4968" w:hanging="360"/>
      </w:pPr>
      <w:rPr>
        <w:rFonts w:ascii="Symbol" w:hAnsi="Symbol" w:hint="default"/>
      </w:rPr>
    </w:lvl>
    <w:lvl w:ilvl="7" w:tplc="04020003" w:tentative="1">
      <w:start w:val="1"/>
      <w:numFmt w:val="bullet"/>
      <w:lvlText w:val="o"/>
      <w:lvlJc w:val="left"/>
      <w:pPr>
        <w:tabs>
          <w:tab w:val="num" w:pos="5688"/>
        </w:tabs>
        <w:ind w:left="5688" w:hanging="360"/>
      </w:pPr>
      <w:rPr>
        <w:rFonts w:ascii="Courier New" w:hAnsi="Courier New" w:hint="default"/>
      </w:rPr>
    </w:lvl>
    <w:lvl w:ilvl="8" w:tplc="04020005" w:tentative="1">
      <w:start w:val="1"/>
      <w:numFmt w:val="bullet"/>
      <w:lvlText w:val=""/>
      <w:lvlJc w:val="left"/>
      <w:pPr>
        <w:tabs>
          <w:tab w:val="num" w:pos="6408"/>
        </w:tabs>
        <w:ind w:left="6408" w:hanging="360"/>
      </w:pPr>
      <w:rPr>
        <w:rFonts w:ascii="Wingdings" w:hAnsi="Wingdings" w:hint="default"/>
      </w:rPr>
    </w:lvl>
  </w:abstractNum>
  <w:abstractNum w:abstractNumId="230" w15:restartNumberingAfterBreak="0">
    <w:nsid w:val="3D620F4F"/>
    <w:multiLevelType w:val="hybridMultilevel"/>
    <w:tmpl w:val="E1F8A4A2"/>
    <w:lvl w:ilvl="0" w:tplc="0402000F">
      <w:start w:val="1"/>
      <w:numFmt w:val="decimal"/>
      <w:lvlText w:val="%1."/>
      <w:lvlJc w:val="left"/>
      <w:pPr>
        <w:ind w:left="1571" w:hanging="360"/>
      </w:pPr>
    </w:lvl>
    <w:lvl w:ilvl="1" w:tplc="04020019">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31" w15:restartNumberingAfterBreak="0">
    <w:nsid w:val="3D680C62"/>
    <w:multiLevelType w:val="hybridMultilevel"/>
    <w:tmpl w:val="6B46E7A4"/>
    <w:lvl w:ilvl="0" w:tplc="6BEEEDE6">
      <w:start w:val="1"/>
      <w:numFmt w:val="decimal"/>
      <w:lvlText w:val="%1)"/>
      <w:lvlJc w:val="left"/>
      <w:pPr>
        <w:tabs>
          <w:tab w:val="num" w:pos="360"/>
        </w:tabs>
        <w:ind w:left="360" w:hanging="360"/>
      </w:pPr>
      <w:rPr>
        <w:rFonts w:cs="Times New Roman"/>
        <w:b/>
        <w:i w:val="0"/>
      </w:rPr>
    </w:lvl>
    <w:lvl w:ilvl="1" w:tplc="CBD8CA52">
      <w:start w:val="1"/>
      <w:numFmt w:val="decimal"/>
      <w:lvlText w:val="%2."/>
      <w:lvlJc w:val="left"/>
      <w:pPr>
        <w:tabs>
          <w:tab w:val="num" w:pos="1440"/>
        </w:tabs>
        <w:ind w:left="1440" w:hanging="360"/>
      </w:pPr>
      <w:rPr>
        <w:rFonts w:cs="Times New Roman" w:hint="default"/>
      </w:rPr>
    </w:lvl>
    <w:lvl w:ilvl="2" w:tplc="0402001B">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232" w15:restartNumberingAfterBreak="0">
    <w:nsid w:val="3DC27AB2"/>
    <w:multiLevelType w:val="hybridMultilevel"/>
    <w:tmpl w:val="B8A8AE36"/>
    <w:lvl w:ilvl="0" w:tplc="0402000F">
      <w:start w:val="1"/>
      <w:numFmt w:val="decimal"/>
      <w:lvlText w:val="%1."/>
      <w:lvlJc w:val="left"/>
      <w:pPr>
        <w:ind w:left="1571" w:hanging="360"/>
      </w:p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33" w15:restartNumberingAfterBreak="0">
    <w:nsid w:val="3DFB7ABB"/>
    <w:multiLevelType w:val="hybridMultilevel"/>
    <w:tmpl w:val="6AD28128"/>
    <w:lvl w:ilvl="0" w:tplc="47E0B608">
      <w:numFmt w:val="bullet"/>
      <w:lvlText w:val="-"/>
      <w:lvlJc w:val="left"/>
      <w:pPr>
        <w:ind w:left="1571" w:hanging="360"/>
      </w:pPr>
      <w:rPr>
        <w:rFonts w:ascii="Times New Roman" w:eastAsia="Times New Roman" w:hAnsi="Times New Roman" w:hint="default"/>
        <w:b/>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34" w15:restartNumberingAfterBreak="0">
    <w:nsid w:val="3DFD55D3"/>
    <w:multiLevelType w:val="hybridMultilevel"/>
    <w:tmpl w:val="6B8C488E"/>
    <w:lvl w:ilvl="0" w:tplc="26F25864">
      <w:start w:val="1"/>
      <mc:AlternateContent>
        <mc:Choice Requires="w14">
          <w:numFmt w:val="custom" w:format="а, й, к, ..."/>
        </mc:Choice>
        <mc:Fallback>
          <w:numFmt w:val="decimal"/>
        </mc:Fallback>
      </mc:AlternateContent>
      <w:lvlText w:val="%1)"/>
      <w:lvlJc w:val="left"/>
      <w:pPr>
        <w:ind w:left="1571" w:hanging="360"/>
      </w:pPr>
      <w:rPr>
        <w:rFonts w:cs="Times New Roman" w:hint="default"/>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35" w15:restartNumberingAfterBreak="0">
    <w:nsid w:val="3DFE7AE1"/>
    <w:multiLevelType w:val="hybridMultilevel"/>
    <w:tmpl w:val="58A2CB08"/>
    <w:lvl w:ilvl="0" w:tplc="538EE82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3ED93960"/>
    <w:multiLevelType w:val="hybridMultilevel"/>
    <w:tmpl w:val="6518A884"/>
    <w:lvl w:ilvl="0" w:tplc="04020011">
      <w:start w:val="1"/>
      <w:numFmt w:val="decimal"/>
      <w:lvlText w:val="%1)"/>
      <w:lvlJc w:val="left"/>
      <w:pPr>
        <w:ind w:left="720" w:hanging="360"/>
      </w:pPr>
      <w:rPr>
        <w:rFonts w:cs="Times New Roman"/>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237" w15:restartNumberingAfterBreak="0">
    <w:nsid w:val="3FBD7DFA"/>
    <w:multiLevelType w:val="hybridMultilevel"/>
    <w:tmpl w:val="517202A4"/>
    <w:lvl w:ilvl="0" w:tplc="0402000F">
      <w:start w:val="1"/>
      <w:numFmt w:val="decimal"/>
      <w:lvlText w:val="%1."/>
      <w:lvlJc w:val="left"/>
      <w:pPr>
        <w:ind w:left="1571" w:hanging="360"/>
      </w:p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38" w15:restartNumberingAfterBreak="0">
    <w:nsid w:val="40A422A2"/>
    <w:multiLevelType w:val="hybridMultilevel"/>
    <w:tmpl w:val="A626B412"/>
    <w:lvl w:ilvl="0" w:tplc="0402000F">
      <w:start w:val="1"/>
      <w:numFmt w:val="decimal"/>
      <w:lvlText w:val="%1."/>
      <w:lvlJc w:val="left"/>
      <w:pPr>
        <w:ind w:left="1571" w:hanging="360"/>
      </w:p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39" w15:restartNumberingAfterBreak="0">
    <w:nsid w:val="40A8305E"/>
    <w:multiLevelType w:val="hybridMultilevel"/>
    <w:tmpl w:val="B120BBD6"/>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40" w15:restartNumberingAfterBreak="0">
    <w:nsid w:val="40C46071"/>
    <w:multiLevelType w:val="hybridMultilevel"/>
    <w:tmpl w:val="41887D40"/>
    <w:lvl w:ilvl="0" w:tplc="0402001B">
      <w:start w:val="1"/>
      <w:numFmt w:val="lowerRoman"/>
      <w:lvlText w:val="%1."/>
      <w:lvlJc w:val="right"/>
      <w:pPr>
        <w:ind w:left="1571" w:hanging="360"/>
      </w:p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41" w15:restartNumberingAfterBreak="0">
    <w:nsid w:val="423A6639"/>
    <w:multiLevelType w:val="hybridMultilevel"/>
    <w:tmpl w:val="C1D476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2" w15:restartNumberingAfterBreak="0">
    <w:nsid w:val="42574450"/>
    <w:multiLevelType w:val="hybridMultilevel"/>
    <w:tmpl w:val="381A915E"/>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43" w15:restartNumberingAfterBreak="0">
    <w:nsid w:val="426B3BBB"/>
    <w:multiLevelType w:val="hybridMultilevel"/>
    <w:tmpl w:val="6AAA6A6A"/>
    <w:lvl w:ilvl="0" w:tplc="9170F88A">
      <w:numFmt w:val="bullet"/>
      <w:lvlText w:val="-"/>
      <w:lvlJc w:val="left"/>
      <w:pPr>
        <w:ind w:left="2160" w:hanging="360"/>
      </w:pPr>
      <w:rPr>
        <w:rFonts w:ascii="Times New Roman" w:eastAsia="Times New Roman" w:hAnsi="Times New Roman" w:hint="default"/>
      </w:rPr>
    </w:lvl>
    <w:lvl w:ilvl="1" w:tplc="04020003" w:tentative="1">
      <w:start w:val="1"/>
      <w:numFmt w:val="bullet"/>
      <w:lvlText w:val="o"/>
      <w:lvlJc w:val="left"/>
      <w:pPr>
        <w:ind w:left="2880" w:hanging="360"/>
      </w:pPr>
      <w:rPr>
        <w:rFonts w:ascii="Courier New" w:hAnsi="Courier New" w:hint="default"/>
      </w:rPr>
    </w:lvl>
    <w:lvl w:ilvl="2" w:tplc="04020005" w:tentative="1">
      <w:start w:val="1"/>
      <w:numFmt w:val="bullet"/>
      <w:lvlText w:val=""/>
      <w:lvlJc w:val="left"/>
      <w:pPr>
        <w:ind w:left="3600" w:hanging="360"/>
      </w:pPr>
      <w:rPr>
        <w:rFonts w:ascii="Wingdings" w:hAnsi="Wingdings" w:hint="default"/>
      </w:rPr>
    </w:lvl>
    <w:lvl w:ilvl="3" w:tplc="04020001" w:tentative="1">
      <w:start w:val="1"/>
      <w:numFmt w:val="bullet"/>
      <w:lvlText w:val=""/>
      <w:lvlJc w:val="left"/>
      <w:pPr>
        <w:ind w:left="4320" w:hanging="360"/>
      </w:pPr>
      <w:rPr>
        <w:rFonts w:ascii="Symbol" w:hAnsi="Symbol" w:hint="default"/>
      </w:rPr>
    </w:lvl>
    <w:lvl w:ilvl="4" w:tplc="04020003" w:tentative="1">
      <w:start w:val="1"/>
      <w:numFmt w:val="bullet"/>
      <w:lvlText w:val="o"/>
      <w:lvlJc w:val="left"/>
      <w:pPr>
        <w:ind w:left="5040" w:hanging="360"/>
      </w:pPr>
      <w:rPr>
        <w:rFonts w:ascii="Courier New" w:hAnsi="Courier New" w:hint="default"/>
      </w:rPr>
    </w:lvl>
    <w:lvl w:ilvl="5" w:tplc="04020005" w:tentative="1">
      <w:start w:val="1"/>
      <w:numFmt w:val="bullet"/>
      <w:lvlText w:val=""/>
      <w:lvlJc w:val="left"/>
      <w:pPr>
        <w:ind w:left="5760" w:hanging="360"/>
      </w:pPr>
      <w:rPr>
        <w:rFonts w:ascii="Wingdings" w:hAnsi="Wingdings" w:hint="default"/>
      </w:rPr>
    </w:lvl>
    <w:lvl w:ilvl="6" w:tplc="04020001" w:tentative="1">
      <w:start w:val="1"/>
      <w:numFmt w:val="bullet"/>
      <w:lvlText w:val=""/>
      <w:lvlJc w:val="left"/>
      <w:pPr>
        <w:ind w:left="6480" w:hanging="360"/>
      </w:pPr>
      <w:rPr>
        <w:rFonts w:ascii="Symbol" w:hAnsi="Symbol" w:hint="default"/>
      </w:rPr>
    </w:lvl>
    <w:lvl w:ilvl="7" w:tplc="04020003" w:tentative="1">
      <w:start w:val="1"/>
      <w:numFmt w:val="bullet"/>
      <w:lvlText w:val="o"/>
      <w:lvlJc w:val="left"/>
      <w:pPr>
        <w:ind w:left="7200" w:hanging="360"/>
      </w:pPr>
      <w:rPr>
        <w:rFonts w:ascii="Courier New" w:hAnsi="Courier New" w:hint="default"/>
      </w:rPr>
    </w:lvl>
    <w:lvl w:ilvl="8" w:tplc="04020005" w:tentative="1">
      <w:start w:val="1"/>
      <w:numFmt w:val="bullet"/>
      <w:lvlText w:val=""/>
      <w:lvlJc w:val="left"/>
      <w:pPr>
        <w:ind w:left="7920" w:hanging="360"/>
      </w:pPr>
      <w:rPr>
        <w:rFonts w:ascii="Wingdings" w:hAnsi="Wingdings" w:hint="default"/>
      </w:rPr>
    </w:lvl>
  </w:abstractNum>
  <w:abstractNum w:abstractNumId="244" w15:restartNumberingAfterBreak="0">
    <w:nsid w:val="42E51ADC"/>
    <w:multiLevelType w:val="hybridMultilevel"/>
    <w:tmpl w:val="6518A884"/>
    <w:lvl w:ilvl="0" w:tplc="04020011">
      <w:start w:val="1"/>
      <w:numFmt w:val="decimal"/>
      <w:lvlText w:val="%1)"/>
      <w:lvlJc w:val="left"/>
      <w:pPr>
        <w:ind w:left="720" w:hanging="360"/>
      </w:pPr>
      <w:rPr>
        <w:rFonts w:cs="Times New Roman"/>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245" w15:restartNumberingAfterBreak="0">
    <w:nsid w:val="42EB76C3"/>
    <w:multiLevelType w:val="hybridMultilevel"/>
    <w:tmpl w:val="F3362092"/>
    <w:lvl w:ilvl="0" w:tplc="0402000F">
      <w:start w:val="1"/>
      <w:numFmt w:val="decimal"/>
      <w:lvlText w:val="%1."/>
      <w:lvlJc w:val="left"/>
      <w:pPr>
        <w:ind w:left="1429" w:hanging="360"/>
      </w:p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246" w15:restartNumberingAfterBreak="0">
    <w:nsid w:val="43140FC7"/>
    <w:multiLevelType w:val="multilevel"/>
    <w:tmpl w:val="F9DAE750"/>
    <w:lvl w:ilvl="0">
      <w:start w:val="87"/>
      <w:numFmt w:val="bullet"/>
      <w:lvlText w:val="-"/>
      <w:lvlJc w:val="left"/>
      <w:pPr>
        <w:ind w:left="3510" w:hanging="360"/>
      </w:pPr>
      <w:rPr>
        <w:rFonts w:ascii="Arial" w:eastAsia="Times New Roman" w:hAnsi="Arial" w:hint="default"/>
        <w:b/>
        <w:sz w:val="24"/>
      </w:rPr>
    </w:lvl>
    <w:lvl w:ilvl="1">
      <w:start w:val="1"/>
      <w:numFmt w:val="decimal"/>
      <w:lvlText w:val="%1.%2."/>
      <w:lvlJc w:val="left"/>
      <w:pPr>
        <w:ind w:left="792" w:hanging="432"/>
      </w:pPr>
      <w:rPr>
        <w:rFonts w:cs="Times New Roman"/>
        <w:i w:val="0"/>
      </w:rPr>
    </w:lvl>
    <w:lvl w:ilvl="2">
      <w:start w:val="1"/>
      <w:numFmt w:val="decimal"/>
      <w:lvlText w:val="%1.%2.%3."/>
      <w:lvlJc w:val="left"/>
      <w:pPr>
        <w:ind w:left="788" w:hanging="504"/>
      </w:pPr>
      <w:rPr>
        <w:rFonts w:cs="Times New Roman"/>
        <w:i w:val="0"/>
        <w:sz w:val="24"/>
        <w:szCs w:val="24"/>
      </w:rPr>
    </w:lvl>
    <w:lvl w:ilvl="3">
      <w:start w:val="1"/>
      <w:numFmt w:val="decimal"/>
      <w:lvlText w:val="%1.%2.%3.%4."/>
      <w:lvlJc w:val="left"/>
      <w:pPr>
        <w:ind w:left="2775" w:hanging="648"/>
      </w:pPr>
      <w:rPr>
        <w:rFonts w:cs="Times New Roman"/>
        <w:i w:val="0"/>
      </w:rPr>
    </w:lvl>
    <w:lvl w:ilvl="4">
      <w:start w:val="1"/>
      <w:numFmt w:val="decimal"/>
      <w:lvlText w:val="%1.%2.%3.%4.%5."/>
      <w:lvlJc w:val="left"/>
      <w:pPr>
        <w:ind w:left="79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7" w15:restartNumberingAfterBreak="0">
    <w:nsid w:val="435B3345"/>
    <w:multiLevelType w:val="hybridMultilevel"/>
    <w:tmpl w:val="1808626C"/>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48" w15:restartNumberingAfterBreak="0">
    <w:nsid w:val="437E03F4"/>
    <w:multiLevelType w:val="hybridMultilevel"/>
    <w:tmpl w:val="03006CB4"/>
    <w:lvl w:ilvl="0" w:tplc="0409000D">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9" w15:restartNumberingAfterBreak="0">
    <w:nsid w:val="43EB4ED9"/>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0" w15:restartNumberingAfterBreak="0">
    <w:nsid w:val="440C46C5"/>
    <w:multiLevelType w:val="hybridMultilevel"/>
    <w:tmpl w:val="2F76412C"/>
    <w:lvl w:ilvl="0" w:tplc="6BEEEDE6">
      <w:start w:val="1"/>
      <w:numFmt w:val="decimal"/>
      <w:lvlText w:val="%1)"/>
      <w:lvlJc w:val="left"/>
      <w:pPr>
        <w:tabs>
          <w:tab w:val="num" w:pos="1020"/>
        </w:tabs>
        <w:ind w:left="1020" w:hanging="360"/>
      </w:pPr>
      <w:rPr>
        <w:rFonts w:cs="Times New Roman"/>
        <w:b/>
        <w:i w:val="0"/>
      </w:rPr>
    </w:lvl>
    <w:lvl w:ilvl="1" w:tplc="CBD8CA52">
      <w:start w:val="1"/>
      <w:numFmt w:val="decimal"/>
      <w:lvlText w:val="%2."/>
      <w:lvlJc w:val="left"/>
      <w:pPr>
        <w:tabs>
          <w:tab w:val="num" w:pos="1620"/>
        </w:tabs>
        <w:ind w:left="1620" w:hanging="360"/>
      </w:pPr>
      <w:rPr>
        <w:rFonts w:cs="Times New Roman" w:hint="default"/>
      </w:rPr>
    </w:lvl>
    <w:lvl w:ilvl="2" w:tplc="0402001B">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251" w15:restartNumberingAfterBreak="0">
    <w:nsid w:val="446B10BB"/>
    <w:multiLevelType w:val="hybridMultilevel"/>
    <w:tmpl w:val="1BCA608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2" w15:restartNumberingAfterBreak="0">
    <w:nsid w:val="448C7E20"/>
    <w:multiLevelType w:val="hybridMultilevel"/>
    <w:tmpl w:val="A0427D94"/>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53" w15:restartNumberingAfterBreak="0">
    <w:nsid w:val="44995B37"/>
    <w:multiLevelType w:val="hybridMultilevel"/>
    <w:tmpl w:val="38FCAC92"/>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54" w15:restartNumberingAfterBreak="0">
    <w:nsid w:val="4560454C"/>
    <w:multiLevelType w:val="hybridMultilevel"/>
    <w:tmpl w:val="86222FF2"/>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55" w15:restartNumberingAfterBreak="0">
    <w:nsid w:val="461B2FA8"/>
    <w:multiLevelType w:val="hybridMultilevel"/>
    <w:tmpl w:val="FCF83E10"/>
    <w:lvl w:ilvl="0" w:tplc="62409CA4">
      <w:start w:val="2"/>
      <w:numFmt w:val="bullet"/>
      <w:lvlText w:val="•"/>
      <w:lvlJc w:val="left"/>
      <w:pPr>
        <w:ind w:left="1070" w:hanging="360"/>
      </w:pPr>
      <w:rPr>
        <w:rFonts w:ascii="Times New Roman" w:eastAsia="Times New Roman" w:hAnsi="Times New Roman" w:hint="default"/>
      </w:rPr>
    </w:lvl>
    <w:lvl w:ilvl="1" w:tplc="04090003">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56" w15:restartNumberingAfterBreak="0">
    <w:nsid w:val="462B1B4E"/>
    <w:multiLevelType w:val="hybridMultilevel"/>
    <w:tmpl w:val="72E06706"/>
    <w:lvl w:ilvl="0" w:tplc="B3728DC4">
      <w:start w:val="1"/>
      <w:numFmt w:val="decimal"/>
      <w:lvlText w:val="%1)"/>
      <w:lvlJc w:val="left"/>
      <w:pPr>
        <w:ind w:left="1571" w:hanging="360"/>
      </w:pPr>
      <w:rPr>
        <w:b/>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57" w15:restartNumberingAfterBreak="0">
    <w:nsid w:val="4637736F"/>
    <w:multiLevelType w:val="hybridMultilevel"/>
    <w:tmpl w:val="676E842E"/>
    <w:lvl w:ilvl="0" w:tplc="0402000F">
      <w:start w:val="1"/>
      <w:numFmt w:val="decimal"/>
      <w:lvlText w:val="%1."/>
      <w:lvlJc w:val="left"/>
      <w:pPr>
        <w:ind w:left="1571" w:hanging="360"/>
      </w:pPr>
    </w:lvl>
    <w:lvl w:ilvl="1" w:tplc="04020019">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58" w15:restartNumberingAfterBreak="0">
    <w:nsid w:val="46A73A88"/>
    <w:multiLevelType w:val="multilevel"/>
    <w:tmpl w:val="5E6A91C4"/>
    <w:lvl w:ilvl="0">
      <w:start w:val="1"/>
      <w:numFmt w:val="decimal"/>
      <w:pStyle w:val="SUK3"/>
      <w:lvlText w:val="%1."/>
      <w:lvlJc w:val="left"/>
      <w:pPr>
        <w:ind w:left="433" w:hanging="360"/>
      </w:pPr>
      <w:rPr>
        <w:rFonts w:cs="Times New Roman" w:hint="default"/>
      </w:rPr>
    </w:lvl>
    <w:lvl w:ilvl="1">
      <w:start w:val="1"/>
      <w:numFmt w:val="decimal"/>
      <w:pStyle w:val="suk3-1"/>
      <w:lvlText w:val="%1.%2."/>
      <w:lvlJc w:val="left"/>
      <w:pPr>
        <w:ind w:left="865" w:hanging="432"/>
      </w:pPr>
      <w:rPr>
        <w:rFonts w:ascii="Times New Roman Bold" w:hAnsi="Times New Roman Bold" w:cs="Times New Roman"/>
        <w:i w:val="0"/>
      </w:rPr>
    </w:lvl>
    <w:lvl w:ilvl="2">
      <w:start w:val="1"/>
      <w:numFmt w:val="decimal"/>
      <w:pStyle w:val="SUK3"/>
      <w:lvlText w:val="%1.%2.%3."/>
      <w:lvlJc w:val="left"/>
      <w:pPr>
        <w:ind w:left="930" w:hanging="504"/>
      </w:pPr>
      <w:rPr>
        <w:rFonts w:cs="Times New Roman"/>
        <w:b/>
        <w:bCs w:val="0"/>
        <w:i w:val="0"/>
        <w:iCs w:val="0"/>
        <w:caps w:val="0"/>
        <w:smallCaps w:val="0"/>
        <w:strike w:val="0"/>
        <w:dstrike w:val="0"/>
        <w:vanish w:val="0"/>
        <w:spacing w:val="0"/>
        <w:kern w:val="0"/>
        <w:position w:val="0"/>
        <w:sz w:val="24"/>
        <w:szCs w:val="24"/>
        <w:u w:val="none"/>
        <w:effect w:val="none"/>
        <w:vertAlign w:val="baseline"/>
      </w:rPr>
    </w:lvl>
    <w:lvl w:ilvl="3">
      <w:start w:val="1"/>
      <w:numFmt w:val="decimal"/>
      <w:lvlText w:val="%1.%2.%3.%4."/>
      <w:lvlJc w:val="left"/>
      <w:pPr>
        <w:ind w:left="1783" w:hanging="648"/>
      </w:pPr>
      <w:rPr>
        <w:rFonts w:cs="Times New Roman"/>
        <w:b/>
      </w:rPr>
    </w:lvl>
    <w:lvl w:ilvl="4">
      <w:start w:val="1"/>
      <w:numFmt w:val="decimal"/>
      <w:lvlText w:val="%1.%2.%3.%4.%5."/>
      <w:lvlJc w:val="left"/>
      <w:pPr>
        <w:ind w:left="2305" w:hanging="792"/>
      </w:pPr>
      <w:rPr>
        <w:rFonts w:cs="Times New Roman"/>
      </w:rPr>
    </w:lvl>
    <w:lvl w:ilvl="5">
      <w:start w:val="1"/>
      <w:numFmt w:val="decimal"/>
      <w:lvlText w:val="%1.%2.%3.%4.%5.%6."/>
      <w:lvlJc w:val="left"/>
      <w:pPr>
        <w:ind w:left="2809" w:hanging="936"/>
      </w:pPr>
      <w:rPr>
        <w:rFonts w:cs="Times New Roman"/>
      </w:rPr>
    </w:lvl>
    <w:lvl w:ilvl="6">
      <w:start w:val="1"/>
      <w:numFmt w:val="decimal"/>
      <w:lvlText w:val="%1.%2.%3.%4.%5.%6.%7."/>
      <w:lvlJc w:val="left"/>
      <w:pPr>
        <w:ind w:left="3313" w:hanging="1080"/>
      </w:pPr>
      <w:rPr>
        <w:rFonts w:cs="Times New Roman"/>
      </w:rPr>
    </w:lvl>
    <w:lvl w:ilvl="7">
      <w:start w:val="1"/>
      <w:numFmt w:val="decimal"/>
      <w:lvlText w:val="%1.%2.%3.%4.%5.%6.%7.%8."/>
      <w:lvlJc w:val="left"/>
      <w:pPr>
        <w:ind w:left="3817" w:hanging="1224"/>
      </w:pPr>
      <w:rPr>
        <w:rFonts w:cs="Times New Roman"/>
      </w:rPr>
    </w:lvl>
    <w:lvl w:ilvl="8">
      <w:start w:val="1"/>
      <w:numFmt w:val="decimal"/>
      <w:lvlText w:val="%1.%2.%3.%4.%5.%6.%7.%8.%9."/>
      <w:lvlJc w:val="left"/>
      <w:pPr>
        <w:ind w:left="4393" w:hanging="1440"/>
      </w:pPr>
      <w:rPr>
        <w:rFonts w:cs="Times New Roman"/>
      </w:rPr>
    </w:lvl>
  </w:abstractNum>
  <w:abstractNum w:abstractNumId="259" w15:restartNumberingAfterBreak="0">
    <w:nsid w:val="46C7067C"/>
    <w:multiLevelType w:val="multilevel"/>
    <w:tmpl w:val="0402001D"/>
    <w:lvl w:ilvl="0">
      <w:start w:val="1"/>
      <w:numFmt w:val="decimal"/>
      <w:lvlText w:val="%1)"/>
      <w:lvlJc w:val="left"/>
      <w:pPr>
        <w:ind w:left="360" w:hanging="360"/>
      </w:pPr>
      <w:rPr>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0" w15:restartNumberingAfterBreak="0">
    <w:nsid w:val="471815EC"/>
    <w:multiLevelType w:val="hybridMultilevel"/>
    <w:tmpl w:val="7C846104"/>
    <w:lvl w:ilvl="0" w:tplc="0402000D">
      <w:start w:val="1"/>
      <w:numFmt w:val="bullet"/>
      <w:lvlText w:val=""/>
      <w:lvlJc w:val="left"/>
      <w:pPr>
        <w:ind w:left="1571" w:hanging="360"/>
      </w:pPr>
      <w:rPr>
        <w:rFonts w:ascii="Wingdings" w:hAnsi="Wingdings" w:hint="default"/>
      </w:rPr>
    </w:lvl>
    <w:lvl w:ilvl="1" w:tplc="04020003">
      <w:start w:val="1"/>
      <w:numFmt w:val="bullet"/>
      <w:lvlText w:val="o"/>
      <w:lvlJc w:val="left"/>
      <w:pPr>
        <w:ind w:left="2291" w:hanging="360"/>
      </w:pPr>
      <w:rPr>
        <w:rFonts w:ascii="Courier New" w:hAnsi="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61" w15:restartNumberingAfterBreak="0">
    <w:nsid w:val="47321F72"/>
    <w:multiLevelType w:val="hybridMultilevel"/>
    <w:tmpl w:val="045A421A"/>
    <w:lvl w:ilvl="0" w:tplc="C004E2D0">
      <w:numFmt w:val="bullet"/>
      <w:lvlText w:val="-"/>
      <w:lvlJc w:val="left"/>
      <w:pPr>
        <w:ind w:left="720" w:hanging="360"/>
      </w:pPr>
      <w:rPr>
        <w:rFonts w:ascii="Calibri" w:eastAsia="Times New Roman" w:hAnsi="Calibri" w:hint="default"/>
        <w:b/>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2" w15:restartNumberingAfterBreak="0">
    <w:nsid w:val="48257C12"/>
    <w:multiLevelType w:val="hybridMultilevel"/>
    <w:tmpl w:val="32A8D688"/>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63" w15:restartNumberingAfterBreak="0">
    <w:nsid w:val="486B73F6"/>
    <w:multiLevelType w:val="hybridMultilevel"/>
    <w:tmpl w:val="F61E8DF0"/>
    <w:lvl w:ilvl="0" w:tplc="04090017">
      <w:start w:val="1"/>
      <w:numFmt w:val="lowerLetter"/>
      <w:lvlText w:val="%1)"/>
      <w:lvlJc w:val="left"/>
      <w:pPr>
        <w:ind w:left="1571" w:hanging="360"/>
      </w:pPr>
      <w:rPr>
        <w:rFonts w:cs="Times New Roman"/>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64" w15:restartNumberingAfterBreak="0">
    <w:nsid w:val="48802936"/>
    <w:multiLevelType w:val="hybridMultilevel"/>
    <w:tmpl w:val="4C42165A"/>
    <w:lvl w:ilvl="0" w:tplc="0402000F">
      <w:start w:val="1"/>
      <w:numFmt w:val="decimal"/>
      <w:lvlText w:val="%1."/>
      <w:lvlJc w:val="left"/>
      <w:pPr>
        <w:tabs>
          <w:tab w:val="num" w:pos="1428"/>
        </w:tabs>
        <w:ind w:left="1428" w:hanging="360"/>
      </w:pPr>
      <w:rPr>
        <w:rFonts w:cs="Times New Roman"/>
      </w:rPr>
    </w:lvl>
    <w:lvl w:ilvl="1" w:tplc="04020019" w:tentative="1">
      <w:start w:val="1"/>
      <w:numFmt w:val="lowerLetter"/>
      <w:lvlText w:val="%2."/>
      <w:lvlJc w:val="left"/>
      <w:pPr>
        <w:tabs>
          <w:tab w:val="num" w:pos="2148"/>
        </w:tabs>
        <w:ind w:left="2148" w:hanging="360"/>
      </w:pPr>
      <w:rPr>
        <w:rFonts w:cs="Times New Roman"/>
      </w:rPr>
    </w:lvl>
    <w:lvl w:ilvl="2" w:tplc="0402001B" w:tentative="1">
      <w:start w:val="1"/>
      <w:numFmt w:val="lowerRoman"/>
      <w:lvlText w:val="%3."/>
      <w:lvlJc w:val="right"/>
      <w:pPr>
        <w:tabs>
          <w:tab w:val="num" w:pos="2868"/>
        </w:tabs>
        <w:ind w:left="2868" w:hanging="180"/>
      </w:pPr>
      <w:rPr>
        <w:rFonts w:cs="Times New Roman"/>
      </w:rPr>
    </w:lvl>
    <w:lvl w:ilvl="3" w:tplc="0402000F" w:tentative="1">
      <w:start w:val="1"/>
      <w:numFmt w:val="decimal"/>
      <w:lvlText w:val="%4."/>
      <w:lvlJc w:val="left"/>
      <w:pPr>
        <w:tabs>
          <w:tab w:val="num" w:pos="3588"/>
        </w:tabs>
        <w:ind w:left="3588" w:hanging="360"/>
      </w:pPr>
      <w:rPr>
        <w:rFonts w:cs="Times New Roman"/>
      </w:rPr>
    </w:lvl>
    <w:lvl w:ilvl="4" w:tplc="04020019" w:tentative="1">
      <w:start w:val="1"/>
      <w:numFmt w:val="lowerLetter"/>
      <w:lvlText w:val="%5."/>
      <w:lvlJc w:val="left"/>
      <w:pPr>
        <w:tabs>
          <w:tab w:val="num" w:pos="4308"/>
        </w:tabs>
        <w:ind w:left="4308" w:hanging="360"/>
      </w:pPr>
      <w:rPr>
        <w:rFonts w:cs="Times New Roman"/>
      </w:rPr>
    </w:lvl>
    <w:lvl w:ilvl="5" w:tplc="0402001B" w:tentative="1">
      <w:start w:val="1"/>
      <w:numFmt w:val="lowerRoman"/>
      <w:lvlText w:val="%6."/>
      <w:lvlJc w:val="right"/>
      <w:pPr>
        <w:tabs>
          <w:tab w:val="num" w:pos="5028"/>
        </w:tabs>
        <w:ind w:left="5028" w:hanging="180"/>
      </w:pPr>
      <w:rPr>
        <w:rFonts w:cs="Times New Roman"/>
      </w:rPr>
    </w:lvl>
    <w:lvl w:ilvl="6" w:tplc="0402000F" w:tentative="1">
      <w:start w:val="1"/>
      <w:numFmt w:val="decimal"/>
      <w:lvlText w:val="%7."/>
      <w:lvlJc w:val="left"/>
      <w:pPr>
        <w:tabs>
          <w:tab w:val="num" w:pos="5748"/>
        </w:tabs>
        <w:ind w:left="5748" w:hanging="360"/>
      </w:pPr>
      <w:rPr>
        <w:rFonts w:cs="Times New Roman"/>
      </w:rPr>
    </w:lvl>
    <w:lvl w:ilvl="7" w:tplc="04020019" w:tentative="1">
      <w:start w:val="1"/>
      <w:numFmt w:val="lowerLetter"/>
      <w:lvlText w:val="%8."/>
      <w:lvlJc w:val="left"/>
      <w:pPr>
        <w:tabs>
          <w:tab w:val="num" w:pos="6468"/>
        </w:tabs>
        <w:ind w:left="6468" w:hanging="360"/>
      </w:pPr>
      <w:rPr>
        <w:rFonts w:cs="Times New Roman"/>
      </w:rPr>
    </w:lvl>
    <w:lvl w:ilvl="8" w:tplc="0402001B" w:tentative="1">
      <w:start w:val="1"/>
      <w:numFmt w:val="lowerRoman"/>
      <w:lvlText w:val="%9."/>
      <w:lvlJc w:val="right"/>
      <w:pPr>
        <w:tabs>
          <w:tab w:val="num" w:pos="7188"/>
        </w:tabs>
        <w:ind w:left="7188" w:hanging="180"/>
      </w:pPr>
      <w:rPr>
        <w:rFonts w:cs="Times New Roman"/>
      </w:rPr>
    </w:lvl>
  </w:abstractNum>
  <w:abstractNum w:abstractNumId="265" w15:restartNumberingAfterBreak="0">
    <w:nsid w:val="489B1AD5"/>
    <w:multiLevelType w:val="hybridMultilevel"/>
    <w:tmpl w:val="D07CE560"/>
    <w:lvl w:ilvl="0" w:tplc="6BEEEDE6">
      <w:start w:val="1"/>
      <w:numFmt w:val="decimal"/>
      <w:lvlText w:val="%1)"/>
      <w:lvlJc w:val="left"/>
      <w:pPr>
        <w:tabs>
          <w:tab w:val="num" w:pos="1871"/>
        </w:tabs>
        <w:ind w:left="1871" w:hanging="360"/>
      </w:pPr>
      <w:rPr>
        <w:rFonts w:cs="Times New Roman"/>
        <w:b/>
        <w:i w:val="0"/>
      </w:rPr>
    </w:lvl>
    <w:lvl w:ilvl="1" w:tplc="04020019">
      <w:start w:val="1"/>
      <w:numFmt w:val="lowerLetter"/>
      <w:lvlText w:val="%2."/>
      <w:lvlJc w:val="left"/>
      <w:pPr>
        <w:ind w:left="2291" w:hanging="360"/>
      </w:pPr>
      <w:rPr>
        <w:rFonts w:cs="Times New Roman"/>
      </w:rPr>
    </w:lvl>
    <w:lvl w:ilvl="2" w:tplc="3A38DA5C">
      <w:start w:val="26"/>
      <w:numFmt w:val="decimal"/>
      <w:lvlText w:val="%3"/>
      <w:lvlJc w:val="left"/>
      <w:pPr>
        <w:ind w:left="3191" w:hanging="360"/>
      </w:pPr>
      <w:rPr>
        <w:rFonts w:hint="default"/>
      </w:rPr>
    </w:lvl>
    <w:lvl w:ilvl="3" w:tplc="ABA44BE4">
      <w:start w:val="1"/>
      <w:numFmt w:val="upperRoman"/>
      <w:lvlText w:val="%4."/>
      <w:lvlJc w:val="left"/>
      <w:pPr>
        <w:ind w:left="4091" w:hanging="720"/>
      </w:pPr>
      <w:rPr>
        <w:rFonts w:hint="default"/>
      </w:rPr>
    </w:lvl>
    <w:lvl w:ilvl="4" w:tplc="1A686F3C">
      <w:start w:val="28"/>
      <w:numFmt w:val="decimal"/>
      <w:lvlText w:val="%5."/>
      <w:lvlJc w:val="left"/>
      <w:pPr>
        <w:ind w:left="4451" w:hanging="360"/>
      </w:pPr>
      <w:rPr>
        <w:rFonts w:hint="default"/>
      </w:rPr>
    </w:lvl>
    <w:lvl w:ilvl="5" w:tplc="0402001B" w:tentative="1">
      <w:start w:val="1"/>
      <w:numFmt w:val="lowerRoman"/>
      <w:lvlText w:val="%6."/>
      <w:lvlJc w:val="right"/>
      <w:pPr>
        <w:ind w:left="5171" w:hanging="180"/>
      </w:pPr>
      <w:rPr>
        <w:rFonts w:cs="Times New Roman"/>
      </w:rPr>
    </w:lvl>
    <w:lvl w:ilvl="6" w:tplc="0402000F" w:tentative="1">
      <w:start w:val="1"/>
      <w:numFmt w:val="decimal"/>
      <w:lvlText w:val="%7."/>
      <w:lvlJc w:val="left"/>
      <w:pPr>
        <w:ind w:left="5891" w:hanging="360"/>
      </w:pPr>
      <w:rPr>
        <w:rFonts w:cs="Times New Roman"/>
      </w:rPr>
    </w:lvl>
    <w:lvl w:ilvl="7" w:tplc="04020019" w:tentative="1">
      <w:start w:val="1"/>
      <w:numFmt w:val="lowerLetter"/>
      <w:lvlText w:val="%8."/>
      <w:lvlJc w:val="left"/>
      <w:pPr>
        <w:ind w:left="6611" w:hanging="360"/>
      </w:pPr>
      <w:rPr>
        <w:rFonts w:cs="Times New Roman"/>
      </w:rPr>
    </w:lvl>
    <w:lvl w:ilvl="8" w:tplc="0402001B" w:tentative="1">
      <w:start w:val="1"/>
      <w:numFmt w:val="lowerRoman"/>
      <w:lvlText w:val="%9."/>
      <w:lvlJc w:val="right"/>
      <w:pPr>
        <w:ind w:left="7331" w:hanging="180"/>
      </w:pPr>
      <w:rPr>
        <w:rFonts w:cs="Times New Roman"/>
      </w:rPr>
    </w:lvl>
  </w:abstractNum>
  <w:abstractNum w:abstractNumId="266" w15:restartNumberingAfterBreak="0">
    <w:nsid w:val="48C57D28"/>
    <w:multiLevelType w:val="hybridMultilevel"/>
    <w:tmpl w:val="69F2D560"/>
    <w:lvl w:ilvl="0" w:tplc="0402000F">
      <w:start w:val="1"/>
      <w:numFmt w:val="decimal"/>
      <w:lvlText w:val="%1."/>
      <w:lvlJc w:val="lef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67" w15:restartNumberingAfterBreak="0">
    <w:nsid w:val="48F35E00"/>
    <w:multiLevelType w:val="hybridMultilevel"/>
    <w:tmpl w:val="E716E51C"/>
    <w:lvl w:ilvl="0" w:tplc="04020011">
      <w:start w:val="1"/>
      <w:numFmt w:val="decimal"/>
      <w:lvlText w:val="%1)"/>
      <w:lvlJc w:val="left"/>
      <w:pPr>
        <w:ind w:left="1571" w:hanging="360"/>
      </w:pPr>
    </w:lvl>
    <w:lvl w:ilvl="1" w:tplc="04020019">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68" w15:restartNumberingAfterBreak="0">
    <w:nsid w:val="491911E4"/>
    <w:multiLevelType w:val="hybridMultilevel"/>
    <w:tmpl w:val="00BECF8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9" w15:restartNumberingAfterBreak="0">
    <w:nsid w:val="494401CE"/>
    <w:multiLevelType w:val="hybridMultilevel"/>
    <w:tmpl w:val="BD667020"/>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70" w15:restartNumberingAfterBreak="0">
    <w:nsid w:val="496F663D"/>
    <w:multiLevelType w:val="hybridMultilevel"/>
    <w:tmpl w:val="D2E8BB9A"/>
    <w:lvl w:ilvl="0" w:tplc="73AABD46">
      <w:start w:val="6"/>
      <w:numFmt w:val="decimal"/>
      <w:lvlText w:val="%1."/>
      <w:lvlJc w:val="left"/>
      <w:pPr>
        <w:ind w:left="1004" w:hanging="360"/>
      </w:pPr>
      <w:rPr>
        <w:rFonts w:hint="default"/>
      </w:rPr>
    </w:lvl>
    <w:lvl w:ilvl="1" w:tplc="04020019" w:tentative="1">
      <w:start w:val="1"/>
      <w:numFmt w:val="lowerLetter"/>
      <w:lvlText w:val="%2."/>
      <w:lvlJc w:val="left"/>
      <w:pPr>
        <w:ind w:left="1724" w:hanging="360"/>
      </w:pPr>
    </w:lvl>
    <w:lvl w:ilvl="2" w:tplc="0402001B" w:tentative="1">
      <w:start w:val="1"/>
      <w:numFmt w:val="lowerRoman"/>
      <w:lvlText w:val="%3."/>
      <w:lvlJc w:val="right"/>
      <w:pPr>
        <w:ind w:left="2444" w:hanging="180"/>
      </w:pPr>
    </w:lvl>
    <w:lvl w:ilvl="3" w:tplc="0402000F" w:tentative="1">
      <w:start w:val="1"/>
      <w:numFmt w:val="decimal"/>
      <w:lvlText w:val="%4."/>
      <w:lvlJc w:val="left"/>
      <w:pPr>
        <w:ind w:left="3164" w:hanging="360"/>
      </w:pPr>
    </w:lvl>
    <w:lvl w:ilvl="4" w:tplc="04020019" w:tentative="1">
      <w:start w:val="1"/>
      <w:numFmt w:val="lowerLetter"/>
      <w:lvlText w:val="%5."/>
      <w:lvlJc w:val="left"/>
      <w:pPr>
        <w:ind w:left="3884" w:hanging="360"/>
      </w:pPr>
    </w:lvl>
    <w:lvl w:ilvl="5" w:tplc="0402001B" w:tentative="1">
      <w:start w:val="1"/>
      <w:numFmt w:val="lowerRoman"/>
      <w:lvlText w:val="%6."/>
      <w:lvlJc w:val="right"/>
      <w:pPr>
        <w:ind w:left="4604" w:hanging="180"/>
      </w:pPr>
    </w:lvl>
    <w:lvl w:ilvl="6" w:tplc="0402000F" w:tentative="1">
      <w:start w:val="1"/>
      <w:numFmt w:val="decimal"/>
      <w:lvlText w:val="%7."/>
      <w:lvlJc w:val="left"/>
      <w:pPr>
        <w:ind w:left="5324" w:hanging="360"/>
      </w:pPr>
    </w:lvl>
    <w:lvl w:ilvl="7" w:tplc="04020019" w:tentative="1">
      <w:start w:val="1"/>
      <w:numFmt w:val="lowerLetter"/>
      <w:lvlText w:val="%8."/>
      <w:lvlJc w:val="left"/>
      <w:pPr>
        <w:ind w:left="6044" w:hanging="360"/>
      </w:pPr>
    </w:lvl>
    <w:lvl w:ilvl="8" w:tplc="0402001B" w:tentative="1">
      <w:start w:val="1"/>
      <w:numFmt w:val="lowerRoman"/>
      <w:lvlText w:val="%9."/>
      <w:lvlJc w:val="right"/>
      <w:pPr>
        <w:ind w:left="6764" w:hanging="180"/>
      </w:pPr>
    </w:lvl>
  </w:abstractNum>
  <w:abstractNum w:abstractNumId="271" w15:restartNumberingAfterBreak="0">
    <w:nsid w:val="49B147CB"/>
    <w:multiLevelType w:val="hybridMultilevel"/>
    <w:tmpl w:val="FD926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4A724855"/>
    <w:multiLevelType w:val="hybridMultilevel"/>
    <w:tmpl w:val="6FE8B63C"/>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73" w15:restartNumberingAfterBreak="0">
    <w:nsid w:val="4AE15A28"/>
    <w:multiLevelType w:val="multilevel"/>
    <w:tmpl w:val="0FDCD3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4" w15:restartNumberingAfterBreak="0">
    <w:nsid w:val="4B496671"/>
    <w:multiLevelType w:val="hybridMultilevel"/>
    <w:tmpl w:val="705CF7DC"/>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75" w15:restartNumberingAfterBreak="0">
    <w:nsid w:val="4BC74423"/>
    <w:multiLevelType w:val="hybridMultilevel"/>
    <w:tmpl w:val="854C201C"/>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76" w15:restartNumberingAfterBreak="0">
    <w:nsid w:val="4C192B43"/>
    <w:multiLevelType w:val="hybridMultilevel"/>
    <w:tmpl w:val="79E6DB3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7" w15:restartNumberingAfterBreak="0">
    <w:nsid w:val="4C31266C"/>
    <w:multiLevelType w:val="hybridMultilevel"/>
    <w:tmpl w:val="6F1625B4"/>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78" w15:restartNumberingAfterBreak="0">
    <w:nsid w:val="4C5637D1"/>
    <w:multiLevelType w:val="multilevel"/>
    <w:tmpl w:val="04020021"/>
    <w:lvl w:ilvl="0">
      <w:start w:val="1"/>
      <w:numFmt w:val="bullet"/>
      <w:lvlText w:val=""/>
      <w:lvlJc w:val="left"/>
      <w:pPr>
        <w:ind w:left="360" w:hanging="360"/>
      </w:pPr>
      <w:rPr>
        <w:rFonts w:ascii="Wingdings" w:hAnsi="Wingdings" w:hint="default"/>
        <w:b/>
        <w:i w:val="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9" w15:restartNumberingAfterBreak="0">
    <w:nsid w:val="4C826F47"/>
    <w:multiLevelType w:val="hybridMultilevel"/>
    <w:tmpl w:val="7BEEC7F0"/>
    <w:lvl w:ilvl="0" w:tplc="04090017">
      <w:start w:val="1"/>
      <w:numFmt w:val="lowerLetter"/>
      <w:lvlText w:val="%1)"/>
      <w:lvlJc w:val="left"/>
      <w:pPr>
        <w:ind w:left="1854" w:hanging="360"/>
      </w:pPr>
      <w:rPr>
        <w:rFonts w:cs="Times New Roman"/>
      </w:rPr>
    </w:lvl>
    <w:lvl w:ilvl="1" w:tplc="47E0B608">
      <w:numFmt w:val="bullet"/>
      <w:lvlText w:val="-"/>
      <w:lvlJc w:val="left"/>
      <w:pPr>
        <w:ind w:left="2574" w:hanging="360"/>
      </w:pPr>
      <w:rPr>
        <w:rFonts w:ascii="Times New Roman" w:eastAsia="Times New Roman" w:hAnsi="Times New Roman" w:hint="default"/>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280" w15:restartNumberingAfterBreak="0">
    <w:nsid w:val="4CCA1DEF"/>
    <w:multiLevelType w:val="hybridMultilevel"/>
    <w:tmpl w:val="F03E0DE4"/>
    <w:lvl w:ilvl="0" w:tplc="6BEEEDE6">
      <w:start w:val="1"/>
      <w:numFmt w:val="decimal"/>
      <w:lvlText w:val="%1)"/>
      <w:lvlJc w:val="left"/>
      <w:pPr>
        <w:tabs>
          <w:tab w:val="num" w:pos="360"/>
        </w:tabs>
        <w:ind w:left="360" w:hanging="360"/>
      </w:pPr>
      <w:rPr>
        <w:rFonts w:cs="Times New Roman"/>
        <w:b/>
        <w:i w:val="0"/>
      </w:rPr>
    </w:lvl>
    <w:lvl w:ilvl="1" w:tplc="6E9CCAA4">
      <w:start w:val="1"/>
      <w:numFmt w:val="decimal"/>
      <w:lvlText w:val="%2."/>
      <w:lvlJc w:val="left"/>
      <w:pPr>
        <w:tabs>
          <w:tab w:val="num" w:pos="1440"/>
        </w:tabs>
        <w:ind w:left="1440" w:hanging="360"/>
      </w:pPr>
      <w:rPr>
        <w:rFonts w:cs="Times New Roman" w:hint="default"/>
        <w:b w:val="0"/>
      </w:rPr>
    </w:lvl>
    <w:lvl w:ilvl="2" w:tplc="0402001B">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281" w15:restartNumberingAfterBreak="0">
    <w:nsid w:val="4CE11AE2"/>
    <w:multiLevelType w:val="multilevel"/>
    <w:tmpl w:val="F6326028"/>
    <w:lvl w:ilvl="0">
      <w:start w:val="1"/>
      <w:numFmt w:val="decimal"/>
      <w:lvlText w:val="%1."/>
      <w:lvlJc w:val="left"/>
      <w:pPr>
        <w:ind w:left="360" w:hanging="360"/>
      </w:pPr>
      <w:rPr>
        <w:rFonts w:cs="Times New Roman" w:hint="default"/>
        <w:b/>
        <w:sz w:val="24"/>
        <w:szCs w:val="24"/>
      </w:rPr>
    </w:lvl>
    <w:lvl w:ilvl="1">
      <w:start w:val="1"/>
      <w:numFmt w:val="decimal"/>
      <w:pStyle w:val="SUK2"/>
      <w:lvlText w:val="%1.%2."/>
      <w:lvlJc w:val="left"/>
      <w:pPr>
        <w:ind w:left="792" w:hanging="432"/>
      </w:pPr>
      <w:rPr>
        <w:rFonts w:cs="Times New Roman"/>
        <w:i w:val="0"/>
      </w:rPr>
    </w:lvl>
    <w:lvl w:ilvl="2">
      <w:start w:val="1"/>
      <w:numFmt w:val="decimal"/>
      <w:lvlText w:val="%1.%2.%3."/>
      <w:lvlJc w:val="left"/>
      <w:pPr>
        <w:ind w:left="788" w:hanging="504"/>
      </w:pPr>
      <w:rPr>
        <w:rFonts w:cs="Times New Roman"/>
        <w:i w:val="0"/>
        <w:sz w:val="24"/>
        <w:szCs w:val="24"/>
      </w:rPr>
    </w:lvl>
    <w:lvl w:ilvl="3">
      <w:start w:val="1"/>
      <w:numFmt w:val="decimal"/>
      <w:lvlText w:val="%1.%2.%3.%4."/>
      <w:lvlJc w:val="left"/>
      <w:pPr>
        <w:ind w:left="2775" w:hanging="648"/>
      </w:pPr>
      <w:rPr>
        <w:rFonts w:cs="Times New Roman"/>
        <w:i w:val="0"/>
      </w:rPr>
    </w:lvl>
    <w:lvl w:ilvl="4">
      <w:start w:val="1"/>
      <w:numFmt w:val="decimal"/>
      <w:lvlText w:val="%1.%2.%3.%4.%5."/>
      <w:lvlJc w:val="left"/>
      <w:pPr>
        <w:ind w:left="79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2" w15:restartNumberingAfterBreak="0">
    <w:nsid w:val="4CE251B9"/>
    <w:multiLevelType w:val="hybridMultilevel"/>
    <w:tmpl w:val="2F40F20C"/>
    <w:lvl w:ilvl="0" w:tplc="7BFE5F36">
      <w:start w:val="1"/>
      <w:numFmt w:val="bullet"/>
      <w:lvlText w:val=""/>
      <w:lvlJc w:val="left"/>
      <w:pPr>
        <w:tabs>
          <w:tab w:val="num" w:pos="720"/>
        </w:tabs>
        <w:ind w:left="720" w:hanging="360"/>
      </w:pPr>
      <w:rPr>
        <w:rFonts w:ascii="Symbol" w:hAnsi="Symbol" w:hint="default"/>
        <w:sz w:val="18"/>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3" w15:restartNumberingAfterBreak="0">
    <w:nsid w:val="4D22695B"/>
    <w:multiLevelType w:val="hybridMultilevel"/>
    <w:tmpl w:val="577CAD40"/>
    <w:lvl w:ilvl="0" w:tplc="6BEEEDE6">
      <w:start w:val="1"/>
      <w:numFmt w:val="decimal"/>
      <w:lvlText w:val="%1)"/>
      <w:lvlJc w:val="left"/>
      <w:pPr>
        <w:tabs>
          <w:tab w:val="num" w:pos="360"/>
        </w:tabs>
        <w:ind w:left="360" w:hanging="360"/>
      </w:pPr>
      <w:rPr>
        <w:rFonts w:cs="Times New Roman"/>
        <w:b/>
        <w:i w:val="0"/>
      </w:rPr>
    </w:lvl>
    <w:lvl w:ilvl="1" w:tplc="CBD8CA52">
      <w:start w:val="1"/>
      <w:numFmt w:val="decimal"/>
      <w:lvlText w:val="%2."/>
      <w:lvlJc w:val="left"/>
      <w:pPr>
        <w:tabs>
          <w:tab w:val="num" w:pos="1440"/>
        </w:tabs>
        <w:ind w:left="1440" w:hanging="360"/>
      </w:pPr>
      <w:rPr>
        <w:rFonts w:cs="Times New Roman" w:hint="default"/>
      </w:rPr>
    </w:lvl>
    <w:lvl w:ilvl="2" w:tplc="0402001B">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284" w15:restartNumberingAfterBreak="0">
    <w:nsid w:val="4D6A25DF"/>
    <w:multiLevelType w:val="hybridMultilevel"/>
    <w:tmpl w:val="38D800DC"/>
    <w:lvl w:ilvl="0" w:tplc="04020001">
      <w:numFmt w:val="bullet"/>
      <w:lvlText w:val="-"/>
      <w:lvlJc w:val="left"/>
      <w:pPr>
        <w:tabs>
          <w:tab w:val="num" w:pos="720"/>
        </w:tabs>
        <w:ind w:left="720" w:hanging="360"/>
      </w:pPr>
      <w:rPr>
        <w:rFonts w:ascii="Times New Roman" w:eastAsia="Times New Roman" w:hAnsi="Times New Roman" w:hint="default"/>
      </w:rPr>
    </w:lvl>
    <w:lvl w:ilvl="1" w:tplc="04020003">
      <w:start w:val="1"/>
      <w:numFmt w:val="bullet"/>
      <w:lvlText w:val=""/>
      <w:lvlJc w:val="left"/>
      <w:pPr>
        <w:tabs>
          <w:tab w:val="num" w:pos="1440"/>
        </w:tabs>
        <w:ind w:left="1440" w:hanging="360"/>
      </w:pPr>
      <w:rPr>
        <w:rFonts w:ascii="Symbol" w:hAnsi="Symbol"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520"/>
        </w:tabs>
        <w:ind w:left="2520"/>
      </w:pPr>
      <w:rPr>
        <w:rFonts w:ascii="Wingdings" w:hAnsi="Wingdings" w:hint="default"/>
        <w:sz w:val="24"/>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85" w15:restartNumberingAfterBreak="0">
    <w:nsid w:val="4D8D5A22"/>
    <w:multiLevelType w:val="hybridMultilevel"/>
    <w:tmpl w:val="C7C688D8"/>
    <w:lvl w:ilvl="0" w:tplc="26305E2C">
      <w:start w:val="1"/>
      <w:numFmt w:val="decimal"/>
      <w:lvlText w:val="%1."/>
      <w:lvlJc w:val="left"/>
      <w:pPr>
        <w:ind w:left="4050" w:hanging="360"/>
      </w:pPr>
      <w:rPr>
        <w:rFonts w:ascii="Times New Roman" w:eastAsia="Times New Roman" w:hAnsi="Times New Roman" w:cs="Times New Roman"/>
        <w:b w:val="0"/>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6" w15:restartNumberingAfterBreak="0">
    <w:nsid w:val="4D8D6F44"/>
    <w:multiLevelType w:val="hybridMultilevel"/>
    <w:tmpl w:val="87CE8E68"/>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87" w15:restartNumberingAfterBreak="0">
    <w:nsid w:val="4DAB693F"/>
    <w:multiLevelType w:val="hybridMultilevel"/>
    <w:tmpl w:val="CDA81C90"/>
    <w:styleLink w:val="1111112"/>
    <w:lvl w:ilvl="0" w:tplc="04020005">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88" w15:restartNumberingAfterBreak="0">
    <w:nsid w:val="4DC00453"/>
    <w:multiLevelType w:val="hybridMultilevel"/>
    <w:tmpl w:val="1A0ED8A6"/>
    <w:lvl w:ilvl="0" w:tplc="D46A72D6">
      <w:start w:val="1"/>
      <w:numFmt w:val="decimal"/>
      <w:lvlText w:val="%1."/>
      <w:lvlJc w:val="left"/>
      <w:pPr>
        <w:tabs>
          <w:tab w:val="num" w:pos="720"/>
        </w:tabs>
        <w:ind w:left="720" w:hanging="360"/>
      </w:pPr>
      <w:rPr>
        <w:rFonts w:cs="Times New Roman"/>
      </w:rPr>
    </w:lvl>
    <w:lvl w:ilvl="1" w:tplc="F732CE92" w:tentative="1">
      <w:start w:val="1"/>
      <w:numFmt w:val="decimal"/>
      <w:lvlText w:val="%2."/>
      <w:lvlJc w:val="left"/>
      <w:pPr>
        <w:tabs>
          <w:tab w:val="num" w:pos="1440"/>
        </w:tabs>
        <w:ind w:left="1440" w:hanging="360"/>
      </w:pPr>
      <w:rPr>
        <w:rFonts w:cs="Times New Roman"/>
      </w:rPr>
    </w:lvl>
    <w:lvl w:ilvl="2" w:tplc="5B1C9B84" w:tentative="1">
      <w:start w:val="1"/>
      <w:numFmt w:val="decimal"/>
      <w:lvlText w:val="%3."/>
      <w:lvlJc w:val="left"/>
      <w:pPr>
        <w:tabs>
          <w:tab w:val="num" w:pos="2160"/>
        </w:tabs>
        <w:ind w:left="2160" w:hanging="360"/>
      </w:pPr>
      <w:rPr>
        <w:rFonts w:cs="Times New Roman"/>
      </w:rPr>
    </w:lvl>
    <w:lvl w:ilvl="3" w:tplc="94F86F34" w:tentative="1">
      <w:start w:val="1"/>
      <w:numFmt w:val="decimal"/>
      <w:lvlText w:val="%4."/>
      <w:lvlJc w:val="left"/>
      <w:pPr>
        <w:tabs>
          <w:tab w:val="num" w:pos="2880"/>
        </w:tabs>
        <w:ind w:left="2880" w:hanging="360"/>
      </w:pPr>
      <w:rPr>
        <w:rFonts w:cs="Times New Roman"/>
      </w:rPr>
    </w:lvl>
    <w:lvl w:ilvl="4" w:tplc="AB568470" w:tentative="1">
      <w:start w:val="1"/>
      <w:numFmt w:val="decimal"/>
      <w:lvlText w:val="%5."/>
      <w:lvlJc w:val="left"/>
      <w:pPr>
        <w:tabs>
          <w:tab w:val="num" w:pos="3600"/>
        </w:tabs>
        <w:ind w:left="3600" w:hanging="360"/>
      </w:pPr>
      <w:rPr>
        <w:rFonts w:cs="Times New Roman"/>
      </w:rPr>
    </w:lvl>
    <w:lvl w:ilvl="5" w:tplc="414C8586" w:tentative="1">
      <w:start w:val="1"/>
      <w:numFmt w:val="decimal"/>
      <w:lvlText w:val="%6."/>
      <w:lvlJc w:val="left"/>
      <w:pPr>
        <w:tabs>
          <w:tab w:val="num" w:pos="4320"/>
        </w:tabs>
        <w:ind w:left="4320" w:hanging="360"/>
      </w:pPr>
      <w:rPr>
        <w:rFonts w:cs="Times New Roman"/>
      </w:rPr>
    </w:lvl>
    <w:lvl w:ilvl="6" w:tplc="DA243FD0" w:tentative="1">
      <w:start w:val="1"/>
      <w:numFmt w:val="decimal"/>
      <w:lvlText w:val="%7."/>
      <w:lvlJc w:val="left"/>
      <w:pPr>
        <w:tabs>
          <w:tab w:val="num" w:pos="5040"/>
        </w:tabs>
        <w:ind w:left="5040" w:hanging="360"/>
      </w:pPr>
      <w:rPr>
        <w:rFonts w:cs="Times New Roman"/>
      </w:rPr>
    </w:lvl>
    <w:lvl w:ilvl="7" w:tplc="628AE0EC" w:tentative="1">
      <w:start w:val="1"/>
      <w:numFmt w:val="decimal"/>
      <w:lvlText w:val="%8."/>
      <w:lvlJc w:val="left"/>
      <w:pPr>
        <w:tabs>
          <w:tab w:val="num" w:pos="5760"/>
        </w:tabs>
        <w:ind w:left="5760" w:hanging="360"/>
      </w:pPr>
      <w:rPr>
        <w:rFonts w:cs="Times New Roman"/>
      </w:rPr>
    </w:lvl>
    <w:lvl w:ilvl="8" w:tplc="4EE03D78" w:tentative="1">
      <w:start w:val="1"/>
      <w:numFmt w:val="decimal"/>
      <w:lvlText w:val="%9."/>
      <w:lvlJc w:val="left"/>
      <w:pPr>
        <w:tabs>
          <w:tab w:val="num" w:pos="6480"/>
        </w:tabs>
        <w:ind w:left="6480" w:hanging="360"/>
      </w:pPr>
      <w:rPr>
        <w:rFonts w:cs="Times New Roman"/>
      </w:rPr>
    </w:lvl>
  </w:abstractNum>
  <w:abstractNum w:abstractNumId="289" w15:restartNumberingAfterBreak="0">
    <w:nsid w:val="4DF4415A"/>
    <w:multiLevelType w:val="hybridMultilevel"/>
    <w:tmpl w:val="9266DADA"/>
    <w:lvl w:ilvl="0" w:tplc="04020001">
      <w:start w:val="1"/>
      <w:numFmt w:val="bullet"/>
      <w:lvlText w:val=""/>
      <w:lvlJc w:val="left"/>
      <w:pPr>
        <w:tabs>
          <w:tab w:val="num" w:pos="1428"/>
        </w:tabs>
        <w:ind w:left="1428" w:hanging="360"/>
      </w:pPr>
      <w:rPr>
        <w:rFonts w:ascii="Symbol" w:hAnsi="Symbol" w:hint="default"/>
      </w:rPr>
    </w:lvl>
    <w:lvl w:ilvl="1" w:tplc="04020003" w:tentative="1">
      <w:start w:val="1"/>
      <w:numFmt w:val="bullet"/>
      <w:lvlText w:val="o"/>
      <w:lvlJc w:val="left"/>
      <w:pPr>
        <w:tabs>
          <w:tab w:val="num" w:pos="2148"/>
        </w:tabs>
        <w:ind w:left="2148" w:hanging="360"/>
      </w:pPr>
      <w:rPr>
        <w:rFonts w:ascii="Courier New" w:hAnsi="Courier New" w:hint="default"/>
      </w:rPr>
    </w:lvl>
    <w:lvl w:ilvl="2" w:tplc="04020005">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290" w15:restartNumberingAfterBreak="0">
    <w:nsid w:val="4DF5764C"/>
    <w:multiLevelType w:val="hybridMultilevel"/>
    <w:tmpl w:val="01E4FE26"/>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91" w15:restartNumberingAfterBreak="0">
    <w:nsid w:val="4E6E26ED"/>
    <w:multiLevelType w:val="hybridMultilevel"/>
    <w:tmpl w:val="21F4D866"/>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92" w15:restartNumberingAfterBreak="0">
    <w:nsid w:val="4EB5352C"/>
    <w:multiLevelType w:val="hybridMultilevel"/>
    <w:tmpl w:val="5EBA5B56"/>
    <w:lvl w:ilvl="0" w:tplc="F5DA64F4">
      <w:start w:val="7"/>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93" w15:restartNumberingAfterBreak="0">
    <w:nsid w:val="4EF318C7"/>
    <w:multiLevelType w:val="multilevel"/>
    <w:tmpl w:val="28C20466"/>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4" w15:restartNumberingAfterBreak="0">
    <w:nsid w:val="4F2A4A80"/>
    <w:multiLevelType w:val="hybridMultilevel"/>
    <w:tmpl w:val="9FFAC754"/>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95" w15:restartNumberingAfterBreak="0">
    <w:nsid w:val="4F3B62F7"/>
    <w:multiLevelType w:val="hybridMultilevel"/>
    <w:tmpl w:val="D048F1AE"/>
    <w:lvl w:ilvl="0" w:tplc="3CA6F926">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296" w15:restartNumberingAfterBreak="0">
    <w:nsid w:val="4FC33AE7"/>
    <w:multiLevelType w:val="hybridMultilevel"/>
    <w:tmpl w:val="99002BB6"/>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97" w15:restartNumberingAfterBreak="0">
    <w:nsid w:val="4FCF74A0"/>
    <w:multiLevelType w:val="multilevel"/>
    <w:tmpl w:val="6FA8E234"/>
    <w:lvl w:ilvl="0">
      <w:start w:val="1"/>
      <w:numFmt w:val="decimal"/>
      <w:lvlText w:val="%1"/>
      <w:lvlJc w:val="left"/>
      <w:pPr>
        <w:tabs>
          <w:tab w:val="num" w:pos="432"/>
        </w:tabs>
        <w:ind w:left="432" w:hanging="432"/>
      </w:pPr>
      <w:rPr>
        <w:rFonts w:cs="Times New Roman"/>
        <w:sz w:val="32"/>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298" w15:restartNumberingAfterBreak="0">
    <w:nsid w:val="501D376A"/>
    <w:multiLevelType w:val="hybridMultilevel"/>
    <w:tmpl w:val="35D6BD7A"/>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99" w15:restartNumberingAfterBreak="0">
    <w:nsid w:val="50201B72"/>
    <w:multiLevelType w:val="hybridMultilevel"/>
    <w:tmpl w:val="485AFACC"/>
    <w:lvl w:ilvl="0" w:tplc="44A8754E">
      <w:start w:val="1"/>
      <w:numFmt w:val="bullet"/>
      <w:lvlText w:val=""/>
      <w:lvlJc w:val="left"/>
      <w:pPr>
        <w:ind w:left="860" w:hanging="360"/>
      </w:pPr>
      <w:rPr>
        <w:rFonts w:ascii="Symbol" w:hAnsi="Symbol" w:hint="default"/>
      </w:rPr>
    </w:lvl>
    <w:lvl w:ilvl="1" w:tplc="04020003">
      <w:start w:val="1"/>
      <w:numFmt w:val="bullet"/>
      <w:lvlText w:val="o"/>
      <w:lvlJc w:val="left"/>
      <w:pPr>
        <w:ind w:left="1580" w:hanging="360"/>
      </w:pPr>
      <w:rPr>
        <w:rFonts w:ascii="Courier New" w:hAnsi="Courier New" w:hint="default"/>
      </w:rPr>
    </w:lvl>
    <w:lvl w:ilvl="2" w:tplc="04020005" w:tentative="1">
      <w:start w:val="1"/>
      <w:numFmt w:val="bullet"/>
      <w:lvlText w:val=""/>
      <w:lvlJc w:val="left"/>
      <w:pPr>
        <w:ind w:left="2300" w:hanging="360"/>
      </w:pPr>
      <w:rPr>
        <w:rFonts w:ascii="Wingdings" w:hAnsi="Wingdings" w:hint="default"/>
      </w:rPr>
    </w:lvl>
    <w:lvl w:ilvl="3" w:tplc="04020001" w:tentative="1">
      <w:start w:val="1"/>
      <w:numFmt w:val="bullet"/>
      <w:lvlText w:val=""/>
      <w:lvlJc w:val="left"/>
      <w:pPr>
        <w:ind w:left="3020" w:hanging="360"/>
      </w:pPr>
      <w:rPr>
        <w:rFonts w:ascii="Symbol" w:hAnsi="Symbol" w:hint="default"/>
      </w:rPr>
    </w:lvl>
    <w:lvl w:ilvl="4" w:tplc="04020003" w:tentative="1">
      <w:start w:val="1"/>
      <w:numFmt w:val="bullet"/>
      <w:lvlText w:val="o"/>
      <w:lvlJc w:val="left"/>
      <w:pPr>
        <w:ind w:left="3740" w:hanging="360"/>
      </w:pPr>
      <w:rPr>
        <w:rFonts w:ascii="Courier New" w:hAnsi="Courier New" w:hint="default"/>
      </w:rPr>
    </w:lvl>
    <w:lvl w:ilvl="5" w:tplc="04020005" w:tentative="1">
      <w:start w:val="1"/>
      <w:numFmt w:val="bullet"/>
      <w:lvlText w:val=""/>
      <w:lvlJc w:val="left"/>
      <w:pPr>
        <w:ind w:left="4460" w:hanging="360"/>
      </w:pPr>
      <w:rPr>
        <w:rFonts w:ascii="Wingdings" w:hAnsi="Wingdings" w:hint="default"/>
      </w:rPr>
    </w:lvl>
    <w:lvl w:ilvl="6" w:tplc="04020001" w:tentative="1">
      <w:start w:val="1"/>
      <w:numFmt w:val="bullet"/>
      <w:lvlText w:val=""/>
      <w:lvlJc w:val="left"/>
      <w:pPr>
        <w:ind w:left="5180" w:hanging="360"/>
      </w:pPr>
      <w:rPr>
        <w:rFonts w:ascii="Symbol" w:hAnsi="Symbol" w:hint="default"/>
      </w:rPr>
    </w:lvl>
    <w:lvl w:ilvl="7" w:tplc="04020003" w:tentative="1">
      <w:start w:val="1"/>
      <w:numFmt w:val="bullet"/>
      <w:lvlText w:val="o"/>
      <w:lvlJc w:val="left"/>
      <w:pPr>
        <w:ind w:left="5900" w:hanging="360"/>
      </w:pPr>
      <w:rPr>
        <w:rFonts w:ascii="Courier New" w:hAnsi="Courier New" w:hint="default"/>
      </w:rPr>
    </w:lvl>
    <w:lvl w:ilvl="8" w:tplc="04020005" w:tentative="1">
      <w:start w:val="1"/>
      <w:numFmt w:val="bullet"/>
      <w:lvlText w:val=""/>
      <w:lvlJc w:val="left"/>
      <w:pPr>
        <w:ind w:left="6620" w:hanging="360"/>
      </w:pPr>
      <w:rPr>
        <w:rFonts w:ascii="Wingdings" w:hAnsi="Wingdings" w:hint="default"/>
      </w:rPr>
    </w:lvl>
  </w:abstractNum>
  <w:abstractNum w:abstractNumId="300" w15:restartNumberingAfterBreak="0">
    <w:nsid w:val="50366C7D"/>
    <w:multiLevelType w:val="multilevel"/>
    <w:tmpl w:val="0409001F"/>
    <w:styleLink w:val="111111"/>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01" w15:restartNumberingAfterBreak="0">
    <w:nsid w:val="509C3342"/>
    <w:multiLevelType w:val="multilevel"/>
    <w:tmpl w:val="47BC87B4"/>
    <w:lvl w:ilvl="0">
      <w:start w:val="28"/>
      <w:numFmt w:val="decimal"/>
      <w:lvlText w:val="%1."/>
      <w:lvlJc w:val="left"/>
      <w:pPr>
        <w:ind w:left="660" w:hanging="660"/>
      </w:pPr>
      <w:rPr>
        <w:rFonts w:hint="default"/>
      </w:rPr>
    </w:lvl>
    <w:lvl w:ilvl="1">
      <w:start w:val="1"/>
      <w:numFmt w:val="decimal"/>
      <w:lvlText w:val="%1.%2."/>
      <w:lvlJc w:val="left"/>
      <w:pPr>
        <w:ind w:left="750" w:hanging="660"/>
      </w:pPr>
      <w:rPr>
        <w:rFonts w:hint="default"/>
      </w:rPr>
    </w:lvl>
    <w:lvl w:ilvl="2">
      <w:start w:val="1"/>
      <w:numFmt w:val="decimal"/>
      <w:lvlText w:val="%1.%2.%3."/>
      <w:lvlJc w:val="left"/>
      <w:pPr>
        <w:ind w:left="900" w:hanging="720"/>
      </w:pPr>
      <w:rPr>
        <w:rFonts w:hint="default"/>
        <w:b/>
        <w:color w:val="auto"/>
      </w:rPr>
    </w:lvl>
    <w:lvl w:ilvl="3">
      <w:start w:val="1"/>
      <w:numFmt w:val="decimal"/>
      <w:lvlText w:val="%1.%2.%3.%4."/>
      <w:lvlJc w:val="left"/>
      <w:pPr>
        <w:ind w:left="990" w:hanging="720"/>
      </w:pPr>
      <w:rPr>
        <w:rFonts w:hint="default"/>
        <w:b/>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302" w15:restartNumberingAfterBreak="0">
    <w:nsid w:val="519E6976"/>
    <w:multiLevelType w:val="hybridMultilevel"/>
    <w:tmpl w:val="C24A48F8"/>
    <w:lvl w:ilvl="0" w:tplc="6BEEEDE6">
      <w:start w:val="1"/>
      <w:numFmt w:val="decimal"/>
      <w:lvlText w:val="%1)"/>
      <w:lvlJc w:val="left"/>
      <w:pPr>
        <w:tabs>
          <w:tab w:val="num" w:pos="360"/>
        </w:tabs>
        <w:ind w:left="360" w:hanging="360"/>
      </w:pPr>
      <w:rPr>
        <w:rFonts w:cs="Times New Roman"/>
        <w:b/>
        <w:i w:val="0"/>
      </w:rPr>
    </w:lvl>
    <w:lvl w:ilvl="1" w:tplc="CBD8CA52">
      <w:start w:val="1"/>
      <w:numFmt w:val="decimal"/>
      <w:lvlText w:val="%2."/>
      <w:lvlJc w:val="left"/>
      <w:pPr>
        <w:tabs>
          <w:tab w:val="num" w:pos="1440"/>
        </w:tabs>
        <w:ind w:left="1440" w:hanging="360"/>
      </w:pPr>
      <w:rPr>
        <w:rFonts w:cs="Times New Roman" w:hint="default"/>
      </w:rPr>
    </w:lvl>
    <w:lvl w:ilvl="2" w:tplc="0402001B">
      <w:start w:val="1"/>
      <w:numFmt w:val="lowerRoman"/>
      <w:lvlText w:val="%3."/>
      <w:lvlJc w:val="right"/>
      <w:pPr>
        <w:tabs>
          <w:tab w:val="num" w:pos="2160"/>
        </w:tabs>
        <w:ind w:left="2160" w:hanging="180"/>
      </w:pPr>
      <w:rPr>
        <w:rFonts w:cs="Times New Roman"/>
      </w:rPr>
    </w:lvl>
    <w:lvl w:ilvl="3" w:tplc="0402000F">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303" w15:restartNumberingAfterBreak="0">
    <w:nsid w:val="51A31F69"/>
    <w:multiLevelType w:val="hybridMultilevel"/>
    <w:tmpl w:val="82C43F68"/>
    <w:lvl w:ilvl="0" w:tplc="04020011">
      <w:start w:val="1"/>
      <w:numFmt w:val="decimal"/>
      <w:lvlText w:val="%1)"/>
      <w:lvlJc w:val="left"/>
      <w:pPr>
        <w:tabs>
          <w:tab w:val="num" w:pos="360"/>
        </w:tabs>
        <w:ind w:left="360" w:hanging="360"/>
      </w:pPr>
      <w:rPr>
        <w:b/>
        <w:i w:val="0"/>
      </w:rPr>
    </w:lvl>
    <w:lvl w:ilvl="1" w:tplc="CBD8CA52">
      <w:start w:val="1"/>
      <w:numFmt w:val="decimal"/>
      <w:lvlText w:val="%2."/>
      <w:lvlJc w:val="left"/>
      <w:pPr>
        <w:tabs>
          <w:tab w:val="num" w:pos="1440"/>
        </w:tabs>
        <w:ind w:left="1440" w:hanging="360"/>
      </w:pPr>
      <w:rPr>
        <w:rFonts w:cs="Times New Roman" w:hint="default"/>
      </w:rPr>
    </w:lvl>
    <w:lvl w:ilvl="2" w:tplc="0402001B">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304" w15:restartNumberingAfterBreak="0">
    <w:nsid w:val="520315EB"/>
    <w:multiLevelType w:val="hybridMultilevel"/>
    <w:tmpl w:val="25AED3E2"/>
    <w:lvl w:ilvl="0" w:tplc="6E9CCAA4">
      <w:start w:val="1"/>
      <w:numFmt w:val="decimal"/>
      <w:lvlText w:val="%1."/>
      <w:lvlJc w:val="left"/>
      <w:pPr>
        <w:tabs>
          <w:tab w:val="num" w:pos="1440"/>
        </w:tabs>
        <w:ind w:left="144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52443DAF"/>
    <w:multiLevelType w:val="hybridMultilevel"/>
    <w:tmpl w:val="97D08216"/>
    <w:lvl w:ilvl="0" w:tplc="0402000F">
      <w:start w:val="10"/>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6" w15:restartNumberingAfterBreak="0">
    <w:nsid w:val="527C1DB7"/>
    <w:multiLevelType w:val="hybridMultilevel"/>
    <w:tmpl w:val="EDB27BB8"/>
    <w:lvl w:ilvl="0" w:tplc="C0ECD01E">
      <w:start w:val="1"/>
      <w:numFmt w:val="decimal"/>
      <w:lvlText w:val="%1)"/>
      <w:lvlJc w:val="left"/>
      <w:pPr>
        <w:ind w:left="1571" w:hanging="360"/>
      </w:pPr>
      <w:rPr>
        <w:b/>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07" w15:restartNumberingAfterBreak="0">
    <w:nsid w:val="52A258B8"/>
    <w:multiLevelType w:val="hybridMultilevel"/>
    <w:tmpl w:val="8C9247FA"/>
    <w:lvl w:ilvl="0" w:tplc="73F4B23C">
      <w:start w:val="1"/>
      <w:numFmt w:val="bullet"/>
      <w:lvlText w:val="-"/>
      <w:lvlJc w:val="left"/>
      <w:pPr>
        <w:tabs>
          <w:tab w:val="num" w:pos="720"/>
        </w:tabs>
        <w:ind w:left="720" w:hanging="360"/>
      </w:pPr>
      <w:rPr>
        <w:rFonts w:ascii="Times New Roman" w:eastAsia="Times New Roman" w:hAnsi="Times New Roman"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08" w15:restartNumberingAfterBreak="0">
    <w:nsid w:val="52C467C3"/>
    <w:multiLevelType w:val="hybridMultilevel"/>
    <w:tmpl w:val="D17AEC80"/>
    <w:lvl w:ilvl="0" w:tplc="0402000F">
      <w:start w:val="1"/>
      <w:numFmt w:val="decimal"/>
      <w:lvlText w:val="%1."/>
      <w:lvlJc w:val="left"/>
      <w:pPr>
        <w:ind w:left="1571" w:hanging="360"/>
      </w:pPr>
    </w:lvl>
    <w:lvl w:ilvl="1" w:tplc="04020019">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09" w15:restartNumberingAfterBreak="0">
    <w:nsid w:val="52EB5051"/>
    <w:multiLevelType w:val="hybridMultilevel"/>
    <w:tmpl w:val="325AF146"/>
    <w:lvl w:ilvl="0" w:tplc="96BEA4C2">
      <w:numFmt w:val="bullet"/>
      <w:lvlText w:val="-"/>
      <w:lvlJc w:val="left"/>
      <w:pPr>
        <w:ind w:left="720" w:hanging="360"/>
      </w:pPr>
      <w:rPr>
        <w:rFonts w:ascii="Calibri" w:eastAsiaTheme="minorHAns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0" w15:restartNumberingAfterBreak="0">
    <w:nsid w:val="537E4434"/>
    <w:multiLevelType w:val="multilevel"/>
    <w:tmpl w:val="6226A5A0"/>
    <w:lvl w:ilvl="0">
      <w:start w:val="1"/>
      <w:numFmt w:val="decimal"/>
      <w:lvlText w:val="%1."/>
      <w:lvlJc w:val="left"/>
      <w:pPr>
        <w:ind w:left="360" w:hanging="360"/>
      </w:pPr>
      <w:rPr>
        <w:rFonts w:hint="default"/>
      </w:rPr>
    </w:lvl>
    <w:lvl w:ilvl="1">
      <w:start w:val="1"/>
      <w:numFmt w:val="decimal"/>
      <w:lvlText w:val="%2.%1)"/>
      <w:lvlJc w:val="left"/>
      <w:pPr>
        <w:ind w:left="792" w:hanging="432"/>
      </w:pPr>
      <w:rPr>
        <w:rFonts w:cs="Times New Roman"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1" w15:restartNumberingAfterBreak="0">
    <w:nsid w:val="53A532C0"/>
    <w:multiLevelType w:val="hybridMultilevel"/>
    <w:tmpl w:val="41860DF2"/>
    <w:lvl w:ilvl="0" w:tplc="04020005">
      <w:start w:val="1"/>
      <w:numFmt w:val="bullet"/>
      <w:lvlText w:val=""/>
      <w:lvlJc w:val="left"/>
      <w:pPr>
        <w:tabs>
          <w:tab w:val="num" w:pos="1320"/>
        </w:tabs>
        <w:ind w:left="1320" w:hanging="360"/>
      </w:pPr>
      <w:rPr>
        <w:rFonts w:ascii="Wingdings" w:hAnsi="Wingdings" w:hint="default"/>
      </w:rPr>
    </w:lvl>
    <w:lvl w:ilvl="1" w:tplc="04020003" w:tentative="1">
      <w:start w:val="1"/>
      <w:numFmt w:val="bullet"/>
      <w:lvlText w:val="o"/>
      <w:lvlJc w:val="left"/>
      <w:pPr>
        <w:tabs>
          <w:tab w:val="num" w:pos="2040"/>
        </w:tabs>
        <w:ind w:left="2040" w:hanging="360"/>
      </w:pPr>
      <w:rPr>
        <w:rFonts w:ascii="Courier New" w:hAnsi="Courier New" w:hint="default"/>
      </w:rPr>
    </w:lvl>
    <w:lvl w:ilvl="2" w:tplc="04020005" w:tentative="1">
      <w:start w:val="1"/>
      <w:numFmt w:val="bullet"/>
      <w:lvlText w:val=""/>
      <w:lvlJc w:val="left"/>
      <w:pPr>
        <w:tabs>
          <w:tab w:val="num" w:pos="2760"/>
        </w:tabs>
        <w:ind w:left="2760" w:hanging="360"/>
      </w:pPr>
      <w:rPr>
        <w:rFonts w:ascii="Wingdings" w:hAnsi="Wingdings" w:hint="default"/>
      </w:rPr>
    </w:lvl>
    <w:lvl w:ilvl="3" w:tplc="04020001" w:tentative="1">
      <w:start w:val="1"/>
      <w:numFmt w:val="bullet"/>
      <w:lvlText w:val=""/>
      <w:lvlJc w:val="left"/>
      <w:pPr>
        <w:tabs>
          <w:tab w:val="num" w:pos="3480"/>
        </w:tabs>
        <w:ind w:left="3480" w:hanging="360"/>
      </w:pPr>
      <w:rPr>
        <w:rFonts w:ascii="Symbol" w:hAnsi="Symbol" w:hint="default"/>
      </w:rPr>
    </w:lvl>
    <w:lvl w:ilvl="4" w:tplc="04020003" w:tentative="1">
      <w:start w:val="1"/>
      <w:numFmt w:val="bullet"/>
      <w:lvlText w:val="o"/>
      <w:lvlJc w:val="left"/>
      <w:pPr>
        <w:tabs>
          <w:tab w:val="num" w:pos="4200"/>
        </w:tabs>
        <w:ind w:left="4200" w:hanging="360"/>
      </w:pPr>
      <w:rPr>
        <w:rFonts w:ascii="Courier New" w:hAnsi="Courier New" w:hint="default"/>
      </w:rPr>
    </w:lvl>
    <w:lvl w:ilvl="5" w:tplc="04020005" w:tentative="1">
      <w:start w:val="1"/>
      <w:numFmt w:val="bullet"/>
      <w:lvlText w:val=""/>
      <w:lvlJc w:val="left"/>
      <w:pPr>
        <w:tabs>
          <w:tab w:val="num" w:pos="4920"/>
        </w:tabs>
        <w:ind w:left="4920" w:hanging="360"/>
      </w:pPr>
      <w:rPr>
        <w:rFonts w:ascii="Wingdings" w:hAnsi="Wingdings" w:hint="default"/>
      </w:rPr>
    </w:lvl>
    <w:lvl w:ilvl="6" w:tplc="04020001" w:tentative="1">
      <w:start w:val="1"/>
      <w:numFmt w:val="bullet"/>
      <w:lvlText w:val=""/>
      <w:lvlJc w:val="left"/>
      <w:pPr>
        <w:tabs>
          <w:tab w:val="num" w:pos="5640"/>
        </w:tabs>
        <w:ind w:left="5640" w:hanging="360"/>
      </w:pPr>
      <w:rPr>
        <w:rFonts w:ascii="Symbol" w:hAnsi="Symbol" w:hint="default"/>
      </w:rPr>
    </w:lvl>
    <w:lvl w:ilvl="7" w:tplc="04020003" w:tentative="1">
      <w:start w:val="1"/>
      <w:numFmt w:val="bullet"/>
      <w:lvlText w:val="o"/>
      <w:lvlJc w:val="left"/>
      <w:pPr>
        <w:tabs>
          <w:tab w:val="num" w:pos="6360"/>
        </w:tabs>
        <w:ind w:left="6360" w:hanging="360"/>
      </w:pPr>
      <w:rPr>
        <w:rFonts w:ascii="Courier New" w:hAnsi="Courier New" w:hint="default"/>
      </w:rPr>
    </w:lvl>
    <w:lvl w:ilvl="8" w:tplc="04020005" w:tentative="1">
      <w:start w:val="1"/>
      <w:numFmt w:val="bullet"/>
      <w:lvlText w:val=""/>
      <w:lvlJc w:val="left"/>
      <w:pPr>
        <w:tabs>
          <w:tab w:val="num" w:pos="7080"/>
        </w:tabs>
        <w:ind w:left="7080" w:hanging="360"/>
      </w:pPr>
      <w:rPr>
        <w:rFonts w:ascii="Wingdings" w:hAnsi="Wingdings" w:hint="default"/>
      </w:rPr>
    </w:lvl>
  </w:abstractNum>
  <w:abstractNum w:abstractNumId="312" w15:restartNumberingAfterBreak="0">
    <w:nsid w:val="542E380A"/>
    <w:multiLevelType w:val="hybridMultilevel"/>
    <w:tmpl w:val="11EC0FB4"/>
    <w:lvl w:ilvl="0" w:tplc="D286E050">
      <w:start w:val="5"/>
      <w:numFmt w:val="decimal"/>
      <w:lvlText w:val="%1."/>
      <w:lvlJc w:val="left"/>
      <w:pPr>
        <w:ind w:left="1364" w:hanging="360"/>
      </w:pPr>
      <w:rPr>
        <w:rFonts w:hint="default"/>
        <w:b w:val="0"/>
      </w:rPr>
    </w:lvl>
    <w:lvl w:ilvl="1" w:tplc="04020019" w:tentative="1">
      <w:start w:val="1"/>
      <w:numFmt w:val="lowerLetter"/>
      <w:lvlText w:val="%2."/>
      <w:lvlJc w:val="left"/>
      <w:pPr>
        <w:ind w:left="2084" w:hanging="360"/>
      </w:pPr>
    </w:lvl>
    <w:lvl w:ilvl="2" w:tplc="0402001B" w:tentative="1">
      <w:start w:val="1"/>
      <w:numFmt w:val="lowerRoman"/>
      <w:lvlText w:val="%3."/>
      <w:lvlJc w:val="right"/>
      <w:pPr>
        <w:ind w:left="2804" w:hanging="180"/>
      </w:pPr>
    </w:lvl>
    <w:lvl w:ilvl="3" w:tplc="0402000F" w:tentative="1">
      <w:start w:val="1"/>
      <w:numFmt w:val="decimal"/>
      <w:lvlText w:val="%4."/>
      <w:lvlJc w:val="left"/>
      <w:pPr>
        <w:ind w:left="3524" w:hanging="360"/>
      </w:pPr>
    </w:lvl>
    <w:lvl w:ilvl="4" w:tplc="04020019" w:tentative="1">
      <w:start w:val="1"/>
      <w:numFmt w:val="lowerLetter"/>
      <w:lvlText w:val="%5."/>
      <w:lvlJc w:val="left"/>
      <w:pPr>
        <w:ind w:left="4244" w:hanging="360"/>
      </w:pPr>
    </w:lvl>
    <w:lvl w:ilvl="5" w:tplc="0402001B" w:tentative="1">
      <w:start w:val="1"/>
      <w:numFmt w:val="lowerRoman"/>
      <w:lvlText w:val="%6."/>
      <w:lvlJc w:val="right"/>
      <w:pPr>
        <w:ind w:left="4964" w:hanging="180"/>
      </w:pPr>
    </w:lvl>
    <w:lvl w:ilvl="6" w:tplc="0402000F" w:tentative="1">
      <w:start w:val="1"/>
      <w:numFmt w:val="decimal"/>
      <w:lvlText w:val="%7."/>
      <w:lvlJc w:val="left"/>
      <w:pPr>
        <w:ind w:left="5684" w:hanging="360"/>
      </w:pPr>
    </w:lvl>
    <w:lvl w:ilvl="7" w:tplc="04020019" w:tentative="1">
      <w:start w:val="1"/>
      <w:numFmt w:val="lowerLetter"/>
      <w:lvlText w:val="%8."/>
      <w:lvlJc w:val="left"/>
      <w:pPr>
        <w:ind w:left="6404" w:hanging="360"/>
      </w:pPr>
    </w:lvl>
    <w:lvl w:ilvl="8" w:tplc="0402001B" w:tentative="1">
      <w:start w:val="1"/>
      <w:numFmt w:val="lowerRoman"/>
      <w:lvlText w:val="%9."/>
      <w:lvlJc w:val="right"/>
      <w:pPr>
        <w:ind w:left="7124" w:hanging="180"/>
      </w:pPr>
    </w:lvl>
  </w:abstractNum>
  <w:abstractNum w:abstractNumId="313" w15:restartNumberingAfterBreak="0">
    <w:nsid w:val="54533A56"/>
    <w:multiLevelType w:val="hybridMultilevel"/>
    <w:tmpl w:val="507E7BDE"/>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14" w15:restartNumberingAfterBreak="0">
    <w:nsid w:val="547A06C8"/>
    <w:multiLevelType w:val="hybridMultilevel"/>
    <w:tmpl w:val="A2E6BBBA"/>
    <w:lvl w:ilvl="0" w:tplc="70C23F5A">
      <w:start w:val="1"/>
      <w:numFmt w:val="decimal"/>
      <w:lvlText w:val="%1)"/>
      <w:lvlJc w:val="left"/>
      <w:pPr>
        <w:ind w:left="1571" w:hanging="360"/>
      </w:pPr>
      <w:rPr>
        <w:b/>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15" w15:restartNumberingAfterBreak="0">
    <w:nsid w:val="548F3FFD"/>
    <w:multiLevelType w:val="hybridMultilevel"/>
    <w:tmpl w:val="B9D6E21E"/>
    <w:lvl w:ilvl="0" w:tplc="04020001">
      <w:start w:val="1"/>
      <w:numFmt w:val="bullet"/>
      <w:lvlText w:val=""/>
      <w:lvlJc w:val="left"/>
      <w:pPr>
        <w:tabs>
          <w:tab w:val="num" w:pos="760"/>
        </w:tabs>
        <w:ind w:left="76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16" w15:restartNumberingAfterBreak="0">
    <w:nsid w:val="54905A4E"/>
    <w:multiLevelType w:val="hybridMultilevel"/>
    <w:tmpl w:val="C1B0137E"/>
    <w:lvl w:ilvl="0" w:tplc="04020011">
      <w:start w:val="1"/>
      <w:numFmt w:val="decimal"/>
      <w:lvlText w:val="%1)"/>
      <w:lvlJc w:val="left"/>
      <w:pPr>
        <w:ind w:left="1571" w:hanging="360"/>
      </w:pPr>
      <w:rPr>
        <w:rFonts w:cs="Times New Roman"/>
      </w:rPr>
    </w:lvl>
    <w:lvl w:ilvl="1" w:tplc="04020019" w:tentative="1">
      <w:start w:val="1"/>
      <w:numFmt w:val="lowerLetter"/>
      <w:lvlText w:val="%2."/>
      <w:lvlJc w:val="left"/>
      <w:pPr>
        <w:ind w:left="2291" w:hanging="360"/>
      </w:pPr>
      <w:rPr>
        <w:rFonts w:cs="Times New Roman"/>
      </w:rPr>
    </w:lvl>
    <w:lvl w:ilvl="2" w:tplc="0402001B" w:tentative="1">
      <w:start w:val="1"/>
      <w:numFmt w:val="lowerRoman"/>
      <w:lvlText w:val="%3."/>
      <w:lvlJc w:val="right"/>
      <w:pPr>
        <w:ind w:left="3011" w:hanging="180"/>
      </w:pPr>
      <w:rPr>
        <w:rFonts w:cs="Times New Roman"/>
      </w:rPr>
    </w:lvl>
    <w:lvl w:ilvl="3" w:tplc="0402000F" w:tentative="1">
      <w:start w:val="1"/>
      <w:numFmt w:val="decimal"/>
      <w:lvlText w:val="%4."/>
      <w:lvlJc w:val="left"/>
      <w:pPr>
        <w:ind w:left="3731" w:hanging="360"/>
      </w:pPr>
      <w:rPr>
        <w:rFonts w:cs="Times New Roman"/>
      </w:rPr>
    </w:lvl>
    <w:lvl w:ilvl="4" w:tplc="04020019" w:tentative="1">
      <w:start w:val="1"/>
      <w:numFmt w:val="lowerLetter"/>
      <w:lvlText w:val="%5."/>
      <w:lvlJc w:val="left"/>
      <w:pPr>
        <w:ind w:left="4451" w:hanging="360"/>
      </w:pPr>
      <w:rPr>
        <w:rFonts w:cs="Times New Roman"/>
      </w:rPr>
    </w:lvl>
    <w:lvl w:ilvl="5" w:tplc="0402001B" w:tentative="1">
      <w:start w:val="1"/>
      <w:numFmt w:val="lowerRoman"/>
      <w:lvlText w:val="%6."/>
      <w:lvlJc w:val="right"/>
      <w:pPr>
        <w:ind w:left="5171" w:hanging="180"/>
      </w:pPr>
      <w:rPr>
        <w:rFonts w:cs="Times New Roman"/>
      </w:rPr>
    </w:lvl>
    <w:lvl w:ilvl="6" w:tplc="0402000F" w:tentative="1">
      <w:start w:val="1"/>
      <w:numFmt w:val="decimal"/>
      <w:lvlText w:val="%7."/>
      <w:lvlJc w:val="left"/>
      <w:pPr>
        <w:ind w:left="5891" w:hanging="360"/>
      </w:pPr>
      <w:rPr>
        <w:rFonts w:cs="Times New Roman"/>
      </w:rPr>
    </w:lvl>
    <w:lvl w:ilvl="7" w:tplc="04020019" w:tentative="1">
      <w:start w:val="1"/>
      <w:numFmt w:val="lowerLetter"/>
      <w:lvlText w:val="%8."/>
      <w:lvlJc w:val="left"/>
      <w:pPr>
        <w:ind w:left="6611" w:hanging="360"/>
      </w:pPr>
      <w:rPr>
        <w:rFonts w:cs="Times New Roman"/>
      </w:rPr>
    </w:lvl>
    <w:lvl w:ilvl="8" w:tplc="0402001B" w:tentative="1">
      <w:start w:val="1"/>
      <w:numFmt w:val="lowerRoman"/>
      <w:lvlText w:val="%9."/>
      <w:lvlJc w:val="right"/>
      <w:pPr>
        <w:ind w:left="7331" w:hanging="180"/>
      </w:pPr>
      <w:rPr>
        <w:rFonts w:cs="Times New Roman"/>
      </w:rPr>
    </w:lvl>
  </w:abstractNum>
  <w:abstractNum w:abstractNumId="317" w15:restartNumberingAfterBreak="0">
    <w:nsid w:val="54A33B3A"/>
    <w:multiLevelType w:val="hybridMultilevel"/>
    <w:tmpl w:val="D37AA9BC"/>
    <w:lvl w:ilvl="0" w:tplc="0402000F">
      <w:start w:val="1"/>
      <w:numFmt w:val="decimal"/>
      <w:lvlText w:val="%1."/>
      <w:lvlJc w:val="left"/>
      <w:pPr>
        <w:ind w:left="927" w:hanging="360"/>
      </w:pPr>
      <w:rPr>
        <w:rFonts w:hint="default"/>
        <w:b/>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18" w15:restartNumberingAfterBreak="0">
    <w:nsid w:val="55CF3BE7"/>
    <w:multiLevelType w:val="hybridMultilevel"/>
    <w:tmpl w:val="89E2235E"/>
    <w:lvl w:ilvl="0" w:tplc="04090001">
      <w:start w:val="1"/>
      <w:numFmt w:val="bullet"/>
      <w:lvlText w:val=""/>
      <w:lvlJc w:val="left"/>
      <w:pPr>
        <w:ind w:left="1509" w:hanging="360"/>
      </w:pPr>
      <w:rPr>
        <w:rFonts w:ascii="Symbol" w:hAnsi="Symbol"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319" w15:restartNumberingAfterBreak="0">
    <w:nsid w:val="5625012D"/>
    <w:multiLevelType w:val="hybridMultilevel"/>
    <w:tmpl w:val="A8F44D64"/>
    <w:lvl w:ilvl="0" w:tplc="47E0B608">
      <w:numFmt w:val="bullet"/>
      <w:lvlText w:val="-"/>
      <w:lvlJc w:val="left"/>
      <w:pPr>
        <w:tabs>
          <w:tab w:val="num" w:pos="1428"/>
        </w:tabs>
        <w:ind w:left="1428" w:hanging="360"/>
      </w:pPr>
      <w:rPr>
        <w:rFonts w:ascii="Times New Roman" w:eastAsia="Times New Roman" w:hAnsi="Times New Roman" w:hint="default"/>
      </w:rPr>
    </w:lvl>
    <w:lvl w:ilvl="1" w:tplc="04020003" w:tentative="1">
      <w:start w:val="1"/>
      <w:numFmt w:val="bullet"/>
      <w:lvlText w:val="o"/>
      <w:lvlJc w:val="left"/>
      <w:pPr>
        <w:tabs>
          <w:tab w:val="num" w:pos="2148"/>
        </w:tabs>
        <w:ind w:left="2148" w:hanging="360"/>
      </w:pPr>
      <w:rPr>
        <w:rFonts w:ascii="Courier New" w:hAnsi="Courier New" w:hint="default"/>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320" w15:restartNumberingAfterBreak="0">
    <w:nsid w:val="563E5CCF"/>
    <w:multiLevelType w:val="hybridMultilevel"/>
    <w:tmpl w:val="617C6342"/>
    <w:lvl w:ilvl="0" w:tplc="B5C4C958">
      <w:start w:val="1"/>
      <mc:AlternateContent>
        <mc:Choice Requires="w14">
          <w:numFmt w:val="custom" w:format="а, й, к, ..."/>
        </mc:Choice>
        <mc:Fallback>
          <w:numFmt w:val="decimal"/>
        </mc:Fallback>
      </mc:AlternateContent>
      <w:lvlText w:val="%1."/>
      <w:lvlJc w:val="left"/>
      <w:pPr>
        <w:ind w:left="1571" w:hanging="360"/>
      </w:pPr>
      <w:rPr>
        <w:rFonts w:cs="Times New Roman" w:hint="default"/>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21" w15:restartNumberingAfterBreak="0">
    <w:nsid w:val="577561E9"/>
    <w:multiLevelType w:val="hybridMultilevel"/>
    <w:tmpl w:val="43C8D3BC"/>
    <w:lvl w:ilvl="0" w:tplc="426224AA">
      <w:start w:val="1"/>
      <w:numFmt w:val="decimal"/>
      <w:lvlText w:val="%1)"/>
      <w:lvlJc w:val="left"/>
      <w:pPr>
        <w:ind w:left="1571" w:hanging="360"/>
      </w:pPr>
      <w:rPr>
        <w:b/>
      </w:rPr>
    </w:lvl>
    <w:lvl w:ilvl="1" w:tplc="594E941E">
      <w:start w:val="1"/>
      <w:numFmt w:val="lowerRoman"/>
      <w:lvlText w:val="%2)"/>
      <w:lvlJc w:val="left"/>
      <w:pPr>
        <w:ind w:left="2651" w:hanging="720"/>
      </w:pPr>
      <w:rPr>
        <w:rFonts w:hint="default"/>
      </w:r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22" w15:restartNumberingAfterBreak="0">
    <w:nsid w:val="579371A7"/>
    <w:multiLevelType w:val="hybridMultilevel"/>
    <w:tmpl w:val="D520E4C0"/>
    <w:lvl w:ilvl="0" w:tplc="0402000B">
      <w:start w:val="1"/>
      <w:numFmt w:val="bullet"/>
      <w:lvlText w:val=""/>
      <w:lvlJc w:val="left"/>
      <w:pPr>
        <w:tabs>
          <w:tab w:val="num" w:pos="720"/>
        </w:tabs>
        <w:ind w:left="720" w:hanging="360"/>
      </w:pPr>
      <w:rPr>
        <w:rFonts w:ascii="Wingdings" w:hAnsi="Wingdings" w:hint="default"/>
      </w:rPr>
    </w:lvl>
    <w:lvl w:ilvl="1" w:tplc="9170F88A">
      <w:numFmt w:val="bullet"/>
      <w:lvlText w:val="-"/>
      <w:lvlJc w:val="left"/>
      <w:pPr>
        <w:tabs>
          <w:tab w:val="num" w:pos="1440"/>
        </w:tabs>
        <w:ind w:left="1440" w:hanging="360"/>
      </w:pPr>
      <w:rPr>
        <w:rFonts w:ascii="Times New Roman" w:eastAsia="Times New Roman" w:hAnsi="Times New Roman"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23" w15:restartNumberingAfterBreak="0">
    <w:nsid w:val="57C85DBA"/>
    <w:multiLevelType w:val="hybridMultilevel"/>
    <w:tmpl w:val="E014F9C4"/>
    <w:lvl w:ilvl="0" w:tplc="6554CE24">
      <w:start w:val="1"/>
      <w:numFmt w:val="bullet"/>
      <w:lvlText w:val="•"/>
      <w:lvlJc w:val="left"/>
      <w:pPr>
        <w:tabs>
          <w:tab w:val="num" w:pos="720"/>
        </w:tabs>
        <w:ind w:left="720" w:hanging="360"/>
      </w:pPr>
      <w:rPr>
        <w:rFonts w:ascii="Arial" w:hAnsi="Arial" w:hint="default"/>
      </w:rPr>
    </w:lvl>
    <w:lvl w:ilvl="1" w:tplc="BC604B96" w:tentative="1">
      <w:start w:val="1"/>
      <w:numFmt w:val="bullet"/>
      <w:lvlText w:val="•"/>
      <w:lvlJc w:val="left"/>
      <w:pPr>
        <w:tabs>
          <w:tab w:val="num" w:pos="1440"/>
        </w:tabs>
        <w:ind w:left="1440" w:hanging="360"/>
      </w:pPr>
      <w:rPr>
        <w:rFonts w:ascii="Arial" w:hAnsi="Arial" w:hint="default"/>
      </w:rPr>
    </w:lvl>
    <w:lvl w:ilvl="2" w:tplc="1402F2A4" w:tentative="1">
      <w:start w:val="1"/>
      <w:numFmt w:val="bullet"/>
      <w:lvlText w:val="•"/>
      <w:lvlJc w:val="left"/>
      <w:pPr>
        <w:tabs>
          <w:tab w:val="num" w:pos="2160"/>
        </w:tabs>
        <w:ind w:left="2160" w:hanging="360"/>
      </w:pPr>
      <w:rPr>
        <w:rFonts w:ascii="Arial" w:hAnsi="Arial" w:hint="default"/>
      </w:rPr>
    </w:lvl>
    <w:lvl w:ilvl="3" w:tplc="1E2A944A" w:tentative="1">
      <w:start w:val="1"/>
      <w:numFmt w:val="bullet"/>
      <w:lvlText w:val="•"/>
      <w:lvlJc w:val="left"/>
      <w:pPr>
        <w:tabs>
          <w:tab w:val="num" w:pos="2880"/>
        </w:tabs>
        <w:ind w:left="2880" w:hanging="360"/>
      </w:pPr>
      <w:rPr>
        <w:rFonts w:ascii="Arial" w:hAnsi="Arial" w:hint="default"/>
      </w:rPr>
    </w:lvl>
    <w:lvl w:ilvl="4" w:tplc="43B0285A" w:tentative="1">
      <w:start w:val="1"/>
      <w:numFmt w:val="bullet"/>
      <w:lvlText w:val="•"/>
      <w:lvlJc w:val="left"/>
      <w:pPr>
        <w:tabs>
          <w:tab w:val="num" w:pos="3600"/>
        </w:tabs>
        <w:ind w:left="3600" w:hanging="360"/>
      </w:pPr>
      <w:rPr>
        <w:rFonts w:ascii="Arial" w:hAnsi="Arial" w:hint="default"/>
      </w:rPr>
    </w:lvl>
    <w:lvl w:ilvl="5" w:tplc="70085EBA" w:tentative="1">
      <w:start w:val="1"/>
      <w:numFmt w:val="bullet"/>
      <w:lvlText w:val="•"/>
      <w:lvlJc w:val="left"/>
      <w:pPr>
        <w:tabs>
          <w:tab w:val="num" w:pos="4320"/>
        </w:tabs>
        <w:ind w:left="4320" w:hanging="360"/>
      </w:pPr>
      <w:rPr>
        <w:rFonts w:ascii="Arial" w:hAnsi="Arial" w:hint="default"/>
      </w:rPr>
    </w:lvl>
    <w:lvl w:ilvl="6" w:tplc="876A7A0C" w:tentative="1">
      <w:start w:val="1"/>
      <w:numFmt w:val="bullet"/>
      <w:lvlText w:val="•"/>
      <w:lvlJc w:val="left"/>
      <w:pPr>
        <w:tabs>
          <w:tab w:val="num" w:pos="5040"/>
        </w:tabs>
        <w:ind w:left="5040" w:hanging="360"/>
      </w:pPr>
      <w:rPr>
        <w:rFonts w:ascii="Arial" w:hAnsi="Arial" w:hint="default"/>
      </w:rPr>
    </w:lvl>
    <w:lvl w:ilvl="7" w:tplc="8F7021A8" w:tentative="1">
      <w:start w:val="1"/>
      <w:numFmt w:val="bullet"/>
      <w:lvlText w:val="•"/>
      <w:lvlJc w:val="left"/>
      <w:pPr>
        <w:tabs>
          <w:tab w:val="num" w:pos="5760"/>
        </w:tabs>
        <w:ind w:left="5760" w:hanging="360"/>
      </w:pPr>
      <w:rPr>
        <w:rFonts w:ascii="Arial" w:hAnsi="Arial" w:hint="default"/>
      </w:rPr>
    </w:lvl>
    <w:lvl w:ilvl="8" w:tplc="7CB25242" w:tentative="1">
      <w:start w:val="1"/>
      <w:numFmt w:val="bullet"/>
      <w:lvlText w:val="•"/>
      <w:lvlJc w:val="left"/>
      <w:pPr>
        <w:tabs>
          <w:tab w:val="num" w:pos="6480"/>
        </w:tabs>
        <w:ind w:left="6480" w:hanging="360"/>
      </w:pPr>
      <w:rPr>
        <w:rFonts w:ascii="Arial" w:hAnsi="Arial" w:hint="default"/>
      </w:rPr>
    </w:lvl>
  </w:abstractNum>
  <w:abstractNum w:abstractNumId="324" w15:restartNumberingAfterBreak="0">
    <w:nsid w:val="57DD094F"/>
    <w:multiLevelType w:val="hybridMultilevel"/>
    <w:tmpl w:val="89D889BA"/>
    <w:lvl w:ilvl="0" w:tplc="0402001B">
      <w:start w:val="1"/>
      <w:numFmt w:val="lowerRoman"/>
      <w:lvlText w:val="%1."/>
      <w:lvlJc w:val="right"/>
      <w:pPr>
        <w:ind w:left="1571" w:hanging="360"/>
      </w:pPr>
    </w:lvl>
    <w:lvl w:ilvl="1" w:tplc="0402001B">
      <w:start w:val="1"/>
      <w:numFmt w:val="lowerRoman"/>
      <w:lvlText w:val="%2."/>
      <w:lvlJc w:val="righ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25" w15:restartNumberingAfterBreak="0">
    <w:nsid w:val="58975C54"/>
    <w:multiLevelType w:val="hybridMultilevel"/>
    <w:tmpl w:val="8F6EEB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59572741"/>
    <w:multiLevelType w:val="hybridMultilevel"/>
    <w:tmpl w:val="40CEAD46"/>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27" w15:restartNumberingAfterBreak="0">
    <w:nsid w:val="59705B79"/>
    <w:multiLevelType w:val="hybridMultilevel"/>
    <w:tmpl w:val="18002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59FB2E47"/>
    <w:multiLevelType w:val="hybridMultilevel"/>
    <w:tmpl w:val="CB947E4E"/>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29" w15:restartNumberingAfterBreak="0">
    <w:nsid w:val="5A0374FE"/>
    <w:multiLevelType w:val="hybridMultilevel"/>
    <w:tmpl w:val="064E3FBC"/>
    <w:lvl w:ilvl="0" w:tplc="6BEEEDE6">
      <w:start w:val="1"/>
      <w:numFmt w:val="decimal"/>
      <w:lvlText w:val="%1)"/>
      <w:lvlJc w:val="left"/>
      <w:pPr>
        <w:ind w:left="1070"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30" w15:restartNumberingAfterBreak="0">
    <w:nsid w:val="5A412E54"/>
    <w:multiLevelType w:val="hybridMultilevel"/>
    <w:tmpl w:val="3B14F4D4"/>
    <w:lvl w:ilvl="0" w:tplc="CD523E2A">
      <w:start w:val="1"/>
      <w:numFmt w:val="decimal"/>
      <w:lvlText w:val="%1."/>
      <w:lvlJc w:val="left"/>
      <w:pPr>
        <w:ind w:left="927" w:hanging="360"/>
      </w:pPr>
      <w:rPr>
        <w:rFonts w:hint="default"/>
        <w:b/>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31" w15:restartNumberingAfterBreak="0">
    <w:nsid w:val="5A5D6AD4"/>
    <w:multiLevelType w:val="hybridMultilevel"/>
    <w:tmpl w:val="1F10F7B8"/>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32" w15:restartNumberingAfterBreak="0">
    <w:nsid w:val="5A913281"/>
    <w:multiLevelType w:val="hybridMultilevel"/>
    <w:tmpl w:val="89528CFE"/>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33" w15:restartNumberingAfterBreak="0">
    <w:nsid w:val="5A954F23"/>
    <w:multiLevelType w:val="hybridMultilevel"/>
    <w:tmpl w:val="64D0FF42"/>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34" w15:restartNumberingAfterBreak="0">
    <w:nsid w:val="5AB2239A"/>
    <w:multiLevelType w:val="hybridMultilevel"/>
    <w:tmpl w:val="E2DC9438"/>
    <w:lvl w:ilvl="0" w:tplc="3D7C16C8">
      <w:start w:val="1"/>
      <w:numFmt w:val="bullet"/>
      <w:lvlText w:val="•"/>
      <w:lvlJc w:val="left"/>
      <w:pPr>
        <w:tabs>
          <w:tab w:val="num" w:pos="720"/>
        </w:tabs>
        <w:ind w:left="720" w:hanging="360"/>
      </w:pPr>
      <w:rPr>
        <w:rFonts w:ascii="Times New Roman" w:hAnsi="Times New Roman" w:hint="default"/>
      </w:rPr>
    </w:lvl>
    <w:lvl w:ilvl="1" w:tplc="5660F102" w:tentative="1">
      <w:start w:val="1"/>
      <w:numFmt w:val="bullet"/>
      <w:lvlText w:val="•"/>
      <w:lvlJc w:val="left"/>
      <w:pPr>
        <w:tabs>
          <w:tab w:val="num" w:pos="1440"/>
        </w:tabs>
        <w:ind w:left="1440" w:hanging="360"/>
      </w:pPr>
      <w:rPr>
        <w:rFonts w:ascii="Times New Roman" w:hAnsi="Times New Roman" w:hint="default"/>
      </w:rPr>
    </w:lvl>
    <w:lvl w:ilvl="2" w:tplc="71A67B50" w:tentative="1">
      <w:start w:val="1"/>
      <w:numFmt w:val="bullet"/>
      <w:lvlText w:val="•"/>
      <w:lvlJc w:val="left"/>
      <w:pPr>
        <w:tabs>
          <w:tab w:val="num" w:pos="2160"/>
        </w:tabs>
        <w:ind w:left="2160" w:hanging="360"/>
      </w:pPr>
      <w:rPr>
        <w:rFonts w:ascii="Times New Roman" w:hAnsi="Times New Roman" w:hint="default"/>
      </w:rPr>
    </w:lvl>
    <w:lvl w:ilvl="3" w:tplc="214CD390" w:tentative="1">
      <w:start w:val="1"/>
      <w:numFmt w:val="bullet"/>
      <w:lvlText w:val="•"/>
      <w:lvlJc w:val="left"/>
      <w:pPr>
        <w:tabs>
          <w:tab w:val="num" w:pos="2880"/>
        </w:tabs>
        <w:ind w:left="2880" w:hanging="360"/>
      </w:pPr>
      <w:rPr>
        <w:rFonts w:ascii="Times New Roman" w:hAnsi="Times New Roman" w:hint="default"/>
      </w:rPr>
    </w:lvl>
    <w:lvl w:ilvl="4" w:tplc="EC366F34" w:tentative="1">
      <w:start w:val="1"/>
      <w:numFmt w:val="bullet"/>
      <w:lvlText w:val="•"/>
      <w:lvlJc w:val="left"/>
      <w:pPr>
        <w:tabs>
          <w:tab w:val="num" w:pos="3600"/>
        </w:tabs>
        <w:ind w:left="3600" w:hanging="360"/>
      </w:pPr>
      <w:rPr>
        <w:rFonts w:ascii="Times New Roman" w:hAnsi="Times New Roman" w:hint="default"/>
      </w:rPr>
    </w:lvl>
    <w:lvl w:ilvl="5" w:tplc="A18289A2" w:tentative="1">
      <w:start w:val="1"/>
      <w:numFmt w:val="bullet"/>
      <w:lvlText w:val="•"/>
      <w:lvlJc w:val="left"/>
      <w:pPr>
        <w:tabs>
          <w:tab w:val="num" w:pos="4320"/>
        </w:tabs>
        <w:ind w:left="4320" w:hanging="360"/>
      </w:pPr>
      <w:rPr>
        <w:rFonts w:ascii="Times New Roman" w:hAnsi="Times New Roman" w:hint="default"/>
      </w:rPr>
    </w:lvl>
    <w:lvl w:ilvl="6" w:tplc="7A36DA66" w:tentative="1">
      <w:start w:val="1"/>
      <w:numFmt w:val="bullet"/>
      <w:lvlText w:val="•"/>
      <w:lvlJc w:val="left"/>
      <w:pPr>
        <w:tabs>
          <w:tab w:val="num" w:pos="5040"/>
        </w:tabs>
        <w:ind w:left="5040" w:hanging="360"/>
      </w:pPr>
      <w:rPr>
        <w:rFonts w:ascii="Times New Roman" w:hAnsi="Times New Roman" w:hint="default"/>
      </w:rPr>
    </w:lvl>
    <w:lvl w:ilvl="7" w:tplc="2FC629DE" w:tentative="1">
      <w:start w:val="1"/>
      <w:numFmt w:val="bullet"/>
      <w:lvlText w:val="•"/>
      <w:lvlJc w:val="left"/>
      <w:pPr>
        <w:tabs>
          <w:tab w:val="num" w:pos="5760"/>
        </w:tabs>
        <w:ind w:left="5760" w:hanging="360"/>
      </w:pPr>
      <w:rPr>
        <w:rFonts w:ascii="Times New Roman" w:hAnsi="Times New Roman" w:hint="default"/>
      </w:rPr>
    </w:lvl>
    <w:lvl w:ilvl="8" w:tplc="7082A0F6" w:tentative="1">
      <w:start w:val="1"/>
      <w:numFmt w:val="bullet"/>
      <w:lvlText w:val="•"/>
      <w:lvlJc w:val="left"/>
      <w:pPr>
        <w:tabs>
          <w:tab w:val="num" w:pos="6480"/>
        </w:tabs>
        <w:ind w:left="6480" w:hanging="360"/>
      </w:pPr>
      <w:rPr>
        <w:rFonts w:ascii="Times New Roman" w:hAnsi="Times New Roman" w:hint="default"/>
      </w:rPr>
    </w:lvl>
  </w:abstractNum>
  <w:abstractNum w:abstractNumId="335" w15:restartNumberingAfterBreak="0">
    <w:nsid w:val="5AFE0995"/>
    <w:multiLevelType w:val="hybridMultilevel"/>
    <w:tmpl w:val="9AE6D546"/>
    <w:lvl w:ilvl="0" w:tplc="0402000F">
      <w:start w:val="1"/>
      <w:numFmt w:val="decimal"/>
      <w:lvlText w:val="%1."/>
      <w:lvlJc w:val="left"/>
      <w:pPr>
        <w:ind w:left="1571" w:hanging="360"/>
      </w:p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36" w15:restartNumberingAfterBreak="0">
    <w:nsid w:val="5B4B1DA1"/>
    <w:multiLevelType w:val="multilevel"/>
    <w:tmpl w:val="57806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5B8A0EB8"/>
    <w:multiLevelType w:val="hybridMultilevel"/>
    <w:tmpl w:val="91EA41EE"/>
    <w:lvl w:ilvl="0" w:tplc="04020005">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38" w15:restartNumberingAfterBreak="0">
    <w:nsid w:val="5BF75E07"/>
    <w:multiLevelType w:val="hybridMultilevel"/>
    <w:tmpl w:val="1B563BBA"/>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39" w15:restartNumberingAfterBreak="0">
    <w:nsid w:val="5C0573D3"/>
    <w:multiLevelType w:val="hybridMultilevel"/>
    <w:tmpl w:val="48EE571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40" w15:restartNumberingAfterBreak="0">
    <w:nsid w:val="5C9E75B7"/>
    <w:multiLevelType w:val="hybridMultilevel"/>
    <w:tmpl w:val="67A0039E"/>
    <w:lvl w:ilvl="0" w:tplc="04020001">
      <w:start w:val="1"/>
      <w:numFmt w:val="bullet"/>
      <w:lvlText w:val=""/>
      <w:lvlJc w:val="left"/>
      <w:pPr>
        <w:ind w:left="1276" w:hanging="360"/>
      </w:pPr>
      <w:rPr>
        <w:rFonts w:ascii="Symbol" w:hAnsi="Symbol" w:hint="default"/>
      </w:rPr>
    </w:lvl>
    <w:lvl w:ilvl="1" w:tplc="04020003" w:tentative="1">
      <w:start w:val="1"/>
      <w:numFmt w:val="bullet"/>
      <w:lvlText w:val="o"/>
      <w:lvlJc w:val="left"/>
      <w:pPr>
        <w:ind w:left="1996" w:hanging="360"/>
      </w:pPr>
      <w:rPr>
        <w:rFonts w:ascii="Courier New" w:hAnsi="Courier New" w:hint="default"/>
      </w:rPr>
    </w:lvl>
    <w:lvl w:ilvl="2" w:tplc="04020005" w:tentative="1">
      <w:start w:val="1"/>
      <w:numFmt w:val="bullet"/>
      <w:lvlText w:val=""/>
      <w:lvlJc w:val="left"/>
      <w:pPr>
        <w:ind w:left="2716" w:hanging="360"/>
      </w:pPr>
      <w:rPr>
        <w:rFonts w:ascii="Wingdings" w:hAnsi="Wingdings" w:hint="default"/>
      </w:rPr>
    </w:lvl>
    <w:lvl w:ilvl="3" w:tplc="04020001" w:tentative="1">
      <w:start w:val="1"/>
      <w:numFmt w:val="bullet"/>
      <w:lvlText w:val=""/>
      <w:lvlJc w:val="left"/>
      <w:pPr>
        <w:ind w:left="3436" w:hanging="360"/>
      </w:pPr>
      <w:rPr>
        <w:rFonts w:ascii="Symbol" w:hAnsi="Symbol" w:hint="default"/>
      </w:rPr>
    </w:lvl>
    <w:lvl w:ilvl="4" w:tplc="04020003" w:tentative="1">
      <w:start w:val="1"/>
      <w:numFmt w:val="bullet"/>
      <w:lvlText w:val="o"/>
      <w:lvlJc w:val="left"/>
      <w:pPr>
        <w:ind w:left="4156" w:hanging="360"/>
      </w:pPr>
      <w:rPr>
        <w:rFonts w:ascii="Courier New" w:hAnsi="Courier New" w:hint="default"/>
      </w:rPr>
    </w:lvl>
    <w:lvl w:ilvl="5" w:tplc="04020005" w:tentative="1">
      <w:start w:val="1"/>
      <w:numFmt w:val="bullet"/>
      <w:lvlText w:val=""/>
      <w:lvlJc w:val="left"/>
      <w:pPr>
        <w:ind w:left="4876" w:hanging="360"/>
      </w:pPr>
      <w:rPr>
        <w:rFonts w:ascii="Wingdings" w:hAnsi="Wingdings" w:hint="default"/>
      </w:rPr>
    </w:lvl>
    <w:lvl w:ilvl="6" w:tplc="04020001" w:tentative="1">
      <w:start w:val="1"/>
      <w:numFmt w:val="bullet"/>
      <w:lvlText w:val=""/>
      <w:lvlJc w:val="left"/>
      <w:pPr>
        <w:ind w:left="5596" w:hanging="360"/>
      </w:pPr>
      <w:rPr>
        <w:rFonts w:ascii="Symbol" w:hAnsi="Symbol" w:hint="default"/>
      </w:rPr>
    </w:lvl>
    <w:lvl w:ilvl="7" w:tplc="04020003" w:tentative="1">
      <w:start w:val="1"/>
      <w:numFmt w:val="bullet"/>
      <w:lvlText w:val="o"/>
      <w:lvlJc w:val="left"/>
      <w:pPr>
        <w:ind w:left="6316" w:hanging="360"/>
      </w:pPr>
      <w:rPr>
        <w:rFonts w:ascii="Courier New" w:hAnsi="Courier New" w:hint="default"/>
      </w:rPr>
    </w:lvl>
    <w:lvl w:ilvl="8" w:tplc="04020005" w:tentative="1">
      <w:start w:val="1"/>
      <w:numFmt w:val="bullet"/>
      <w:lvlText w:val=""/>
      <w:lvlJc w:val="left"/>
      <w:pPr>
        <w:ind w:left="7036" w:hanging="360"/>
      </w:pPr>
      <w:rPr>
        <w:rFonts w:ascii="Wingdings" w:hAnsi="Wingdings" w:hint="default"/>
      </w:rPr>
    </w:lvl>
  </w:abstractNum>
  <w:abstractNum w:abstractNumId="341" w15:restartNumberingAfterBreak="0">
    <w:nsid w:val="5CC37365"/>
    <w:multiLevelType w:val="hybridMultilevel"/>
    <w:tmpl w:val="7F882A70"/>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42" w15:restartNumberingAfterBreak="0">
    <w:nsid w:val="5CE32EEF"/>
    <w:multiLevelType w:val="hybridMultilevel"/>
    <w:tmpl w:val="8E8E5A4C"/>
    <w:lvl w:ilvl="0" w:tplc="04020001">
      <w:start w:val="1"/>
      <w:numFmt w:val="bullet"/>
      <w:pStyle w:val="PMnumeric"/>
      <w:lvlText w:val=""/>
      <w:lvlJc w:val="left"/>
      <w:pPr>
        <w:ind w:left="3130" w:hanging="360"/>
      </w:pPr>
      <w:rPr>
        <w:rFonts w:ascii="Symbol" w:hAnsi="Symbol" w:hint="default"/>
      </w:rPr>
    </w:lvl>
    <w:lvl w:ilvl="1" w:tplc="04020003" w:tentative="1">
      <w:start w:val="1"/>
      <w:numFmt w:val="bullet"/>
      <w:lvlText w:val="o"/>
      <w:lvlJc w:val="left"/>
      <w:pPr>
        <w:ind w:left="3850" w:hanging="360"/>
      </w:pPr>
      <w:rPr>
        <w:rFonts w:ascii="Courier New" w:hAnsi="Courier New" w:hint="default"/>
      </w:rPr>
    </w:lvl>
    <w:lvl w:ilvl="2" w:tplc="04020005" w:tentative="1">
      <w:start w:val="1"/>
      <w:numFmt w:val="bullet"/>
      <w:lvlText w:val=""/>
      <w:lvlJc w:val="left"/>
      <w:pPr>
        <w:ind w:left="4570" w:hanging="360"/>
      </w:pPr>
      <w:rPr>
        <w:rFonts w:ascii="Wingdings" w:hAnsi="Wingdings" w:hint="default"/>
      </w:rPr>
    </w:lvl>
    <w:lvl w:ilvl="3" w:tplc="04020001" w:tentative="1">
      <w:start w:val="1"/>
      <w:numFmt w:val="bullet"/>
      <w:lvlText w:val=""/>
      <w:lvlJc w:val="left"/>
      <w:pPr>
        <w:ind w:left="5290" w:hanging="360"/>
      </w:pPr>
      <w:rPr>
        <w:rFonts w:ascii="Symbol" w:hAnsi="Symbol" w:hint="default"/>
      </w:rPr>
    </w:lvl>
    <w:lvl w:ilvl="4" w:tplc="04020003" w:tentative="1">
      <w:start w:val="1"/>
      <w:numFmt w:val="bullet"/>
      <w:lvlText w:val="o"/>
      <w:lvlJc w:val="left"/>
      <w:pPr>
        <w:ind w:left="6010" w:hanging="360"/>
      </w:pPr>
      <w:rPr>
        <w:rFonts w:ascii="Courier New" w:hAnsi="Courier New" w:hint="default"/>
      </w:rPr>
    </w:lvl>
    <w:lvl w:ilvl="5" w:tplc="04020005" w:tentative="1">
      <w:start w:val="1"/>
      <w:numFmt w:val="bullet"/>
      <w:lvlText w:val=""/>
      <w:lvlJc w:val="left"/>
      <w:pPr>
        <w:ind w:left="6730" w:hanging="360"/>
      </w:pPr>
      <w:rPr>
        <w:rFonts w:ascii="Wingdings" w:hAnsi="Wingdings" w:hint="default"/>
      </w:rPr>
    </w:lvl>
    <w:lvl w:ilvl="6" w:tplc="04020001" w:tentative="1">
      <w:start w:val="1"/>
      <w:numFmt w:val="bullet"/>
      <w:lvlText w:val=""/>
      <w:lvlJc w:val="left"/>
      <w:pPr>
        <w:ind w:left="7450" w:hanging="360"/>
      </w:pPr>
      <w:rPr>
        <w:rFonts w:ascii="Symbol" w:hAnsi="Symbol" w:hint="default"/>
      </w:rPr>
    </w:lvl>
    <w:lvl w:ilvl="7" w:tplc="04020003" w:tentative="1">
      <w:start w:val="1"/>
      <w:numFmt w:val="bullet"/>
      <w:lvlText w:val="o"/>
      <w:lvlJc w:val="left"/>
      <w:pPr>
        <w:ind w:left="8170" w:hanging="360"/>
      </w:pPr>
      <w:rPr>
        <w:rFonts w:ascii="Courier New" w:hAnsi="Courier New" w:hint="default"/>
      </w:rPr>
    </w:lvl>
    <w:lvl w:ilvl="8" w:tplc="04020005" w:tentative="1">
      <w:start w:val="1"/>
      <w:numFmt w:val="bullet"/>
      <w:lvlText w:val=""/>
      <w:lvlJc w:val="left"/>
      <w:pPr>
        <w:ind w:left="8890" w:hanging="360"/>
      </w:pPr>
      <w:rPr>
        <w:rFonts w:ascii="Wingdings" w:hAnsi="Wingdings" w:hint="default"/>
      </w:rPr>
    </w:lvl>
  </w:abstractNum>
  <w:abstractNum w:abstractNumId="343" w15:restartNumberingAfterBreak="0">
    <w:nsid w:val="5CF55C0F"/>
    <w:multiLevelType w:val="hybridMultilevel"/>
    <w:tmpl w:val="DB2CBBC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44" w15:restartNumberingAfterBreak="0">
    <w:nsid w:val="5D5B46A5"/>
    <w:multiLevelType w:val="hybridMultilevel"/>
    <w:tmpl w:val="C26AFE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5" w15:restartNumberingAfterBreak="0">
    <w:nsid w:val="5DEA2B79"/>
    <w:multiLevelType w:val="hybridMultilevel"/>
    <w:tmpl w:val="C24A48F8"/>
    <w:lvl w:ilvl="0" w:tplc="6BEEEDE6">
      <w:start w:val="1"/>
      <w:numFmt w:val="decimal"/>
      <w:lvlText w:val="%1)"/>
      <w:lvlJc w:val="left"/>
      <w:pPr>
        <w:tabs>
          <w:tab w:val="num" w:pos="360"/>
        </w:tabs>
        <w:ind w:left="360" w:hanging="360"/>
      </w:pPr>
      <w:rPr>
        <w:rFonts w:cs="Times New Roman"/>
        <w:b/>
        <w:i w:val="0"/>
      </w:rPr>
    </w:lvl>
    <w:lvl w:ilvl="1" w:tplc="CBD8CA52">
      <w:start w:val="1"/>
      <w:numFmt w:val="decimal"/>
      <w:lvlText w:val="%2."/>
      <w:lvlJc w:val="left"/>
      <w:pPr>
        <w:tabs>
          <w:tab w:val="num" w:pos="1440"/>
        </w:tabs>
        <w:ind w:left="1440" w:hanging="360"/>
      </w:pPr>
      <w:rPr>
        <w:rFonts w:cs="Times New Roman" w:hint="default"/>
      </w:rPr>
    </w:lvl>
    <w:lvl w:ilvl="2" w:tplc="0402001B">
      <w:start w:val="1"/>
      <w:numFmt w:val="lowerRoman"/>
      <w:lvlText w:val="%3."/>
      <w:lvlJc w:val="right"/>
      <w:pPr>
        <w:tabs>
          <w:tab w:val="num" w:pos="2160"/>
        </w:tabs>
        <w:ind w:left="2160" w:hanging="180"/>
      </w:pPr>
      <w:rPr>
        <w:rFonts w:cs="Times New Roman"/>
      </w:rPr>
    </w:lvl>
    <w:lvl w:ilvl="3" w:tplc="0402000F">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346" w15:restartNumberingAfterBreak="0">
    <w:nsid w:val="5E372542"/>
    <w:multiLevelType w:val="hybridMultilevel"/>
    <w:tmpl w:val="158E671E"/>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47" w15:restartNumberingAfterBreak="0">
    <w:nsid w:val="5E9D7369"/>
    <w:multiLevelType w:val="hybridMultilevel"/>
    <w:tmpl w:val="C7721B56"/>
    <w:lvl w:ilvl="0" w:tplc="27F0A7C0">
      <w:start w:val="1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48" w15:restartNumberingAfterBreak="0">
    <w:nsid w:val="5F03464B"/>
    <w:multiLevelType w:val="hybridMultilevel"/>
    <w:tmpl w:val="FDF674DA"/>
    <w:lvl w:ilvl="0" w:tplc="0402000F">
      <w:start w:val="1"/>
      <w:numFmt w:val="decimal"/>
      <w:lvlText w:val="%1."/>
      <w:lvlJc w:val="left"/>
      <w:pPr>
        <w:ind w:left="1571" w:hanging="360"/>
      </w:pPr>
    </w:lvl>
    <w:lvl w:ilvl="1" w:tplc="0402000F">
      <w:start w:val="1"/>
      <w:numFmt w:val="decimal"/>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49" w15:restartNumberingAfterBreak="0">
    <w:nsid w:val="5F8258E2"/>
    <w:multiLevelType w:val="hybridMultilevel"/>
    <w:tmpl w:val="2528F098"/>
    <w:lvl w:ilvl="0" w:tplc="26F25864">
      <w:start w:val="1"/>
      <mc:AlternateContent>
        <mc:Choice Requires="w14">
          <w:numFmt w:val="custom" w:format="а, й, к, ..."/>
        </mc:Choice>
        <mc:Fallback>
          <w:numFmt w:val="decimal"/>
        </mc:Fallback>
      </mc:AlternateContent>
      <w:lvlText w:val="%1)"/>
      <w:lvlJc w:val="left"/>
      <w:pPr>
        <w:ind w:left="1571" w:hanging="360"/>
      </w:pPr>
      <w:rPr>
        <w:rFonts w:cs="Times New Roman" w:hint="default"/>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50" w15:restartNumberingAfterBreak="0">
    <w:nsid w:val="601D15F3"/>
    <w:multiLevelType w:val="hybridMultilevel"/>
    <w:tmpl w:val="F0CA3CCC"/>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51" w15:restartNumberingAfterBreak="0">
    <w:nsid w:val="60597B20"/>
    <w:multiLevelType w:val="hybridMultilevel"/>
    <w:tmpl w:val="9E0A6C0C"/>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52" w15:restartNumberingAfterBreak="0">
    <w:nsid w:val="605A21C4"/>
    <w:multiLevelType w:val="hybridMultilevel"/>
    <w:tmpl w:val="3A1CAAA4"/>
    <w:lvl w:ilvl="0" w:tplc="0402000D">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53" w15:restartNumberingAfterBreak="0">
    <w:nsid w:val="609B56AE"/>
    <w:multiLevelType w:val="hybridMultilevel"/>
    <w:tmpl w:val="4476D7D8"/>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54" w15:restartNumberingAfterBreak="0">
    <w:nsid w:val="60D4604C"/>
    <w:multiLevelType w:val="hybridMultilevel"/>
    <w:tmpl w:val="B74EC874"/>
    <w:lvl w:ilvl="0" w:tplc="6BEEEDE6">
      <w:start w:val="1"/>
      <w:numFmt w:val="decimal"/>
      <w:lvlText w:val="%1)"/>
      <w:lvlJc w:val="left"/>
      <w:pPr>
        <w:tabs>
          <w:tab w:val="num" w:pos="1495"/>
        </w:tabs>
        <w:ind w:left="1495" w:hanging="360"/>
      </w:pPr>
      <w:rPr>
        <w:rFonts w:cs="Times New Roman"/>
        <w:b/>
        <w:i w:val="0"/>
      </w:rPr>
    </w:lvl>
    <w:lvl w:ilvl="1" w:tplc="CBD8CA52">
      <w:start w:val="1"/>
      <w:numFmt w:val="decimal"/>
      <w:lvlText w:val="%2."/>
      <w:lvlJc w:val="left"/>
      <w:pPr>
        <w:tabs>
          <w:tab w:val="num" w:pos="1440"/>
        </w:tabs>
        <w:ind w:left="1440" w:hanging="360"/>
      </w:pPr>
      <w:rPr>
        <w:rFonts w:cs="Times New Roman" w:hint="default"/>
      </w:rPr>
    </w:lvl>
    <w:lvl w:ilvl="2" w:tplc="0402001B">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355" w15:restartNumberingAfterBreak="0">
    <w:nsid w:val="611D62E9"/>
    <w:multiLevelType w:val="hybridMultilevel"/>
    <w:tmpl w:val="B94AC4F4"/>
    <w:lvl w:ilvl="0" w:tplc="0402000B">
      <w:start w:val="1"/>
      <w:numFmt w:val="bullet"/>
      <w:lvlText w:val=""/>
      <w:lvlJc w:val="left"/>
      <w:pPr>
        <w:tabs>
          <w:tab w:val="num" w:pos="648"/>
        </w:tabs>
        <w:ind w:left="648" w:hanging="360"/>
      </w:pPr>
      <w:rPr>
        <w:rFonts w:ascii="Wingdings" w:hAnsi="Wingdings" w:hint="default"/>
      </w:rPr>
    </w:lvl>
    <w:lvl w:ilvl="1" w:tplc="04020003" w:tentative="1">
      <w:start w:val="1"/>
      <w:numFmt w:val="bullet"/>
      <w:lvlText w:val="o"/>
      <w:lvlJc w:val="left"/>
      <w:pPr>
        <w:tabs>
          <w:tab w:val="num" w:pos="1368"/>
        </w:tabs>
        <w:ind w:left="1368" w:hanging="360"/>
      </w:pPr>
      <w:rPr>
        <w:rFonts w:ascii="Courier New" w:hAnsi="Courier New" w:hint="default"/>
      </w:rPr>
    </w:lvl>
    <w:lvl w:ilvl="2" w:tplc="04020005" w:tentative="1">
      <w:start w:val="1"/>
      <w:numFmt w:val="bullet"/>
      <w:lvlText w:val=""/>
      <w:lvlJc w:val="left"/>
      <w:pPr>
        <w:tabs>
          <w:tab w:val="num" w:pos="2088"/>
        </w:tabs>
        <w:ind w:left="2088" w:hanging="360"/>
      </w:pPr>
      <w:rPr>
        <w:rFonts w:ascii="Wingdings" w:hAnsi="Wingdings" w:hint="default"/>
      </w:rPr>
    </w:lvl>
    <w:lvl w:ilvl="3" w:tplc="04020001" w:tentative="1">
      <w:start w:val="1"/>
      <w:numFmt w:val="bullet"/>
      <w:lvlText w:val=""/>
      <w:lvlJc w:val="left"/>
      <w:pPr>
        <w:tabs>
          <w:tab w:val="num" w:pos="2808"/>
        </w:tabs>
        <w:ind w:left="2808" w:hanging="360"/>
      </w:pPr>
      <w:rPr>
        <w:rFonts w:ascii="Symbol" w:hAnsi="Symbol" w:hint="default"/>
      </w:rPr>
    </w:lvl>
    <w:lvl w:ilvl="4" w:tplc="04020003" w:tentative="1">
      <w:start w:val="1"/>
      <w:numFmt w:val="bullet"/>
      <w:lvlText w:val="o"/>
      <w:lvlJc w:val="left"/>
      <w:pPr>
        <w:tabs>
          <w:tab w:val="num" w:pos="3528"/>
        </w:tabs>
        <w:ind w:left="3528" w:hanging="360"/>
      </w:pPr>
      <w:rPr>
        <w:rFonts w:ascii="Courier New" w:hAnsi="Courier New" w:hint="default"/>
      </w:rPr>
    </w:lvl>
    <w:lvl w:ilvl="5" w:tplc="04020005" w:tentative="1">
      <w:start w:val="1"/>
      <w:numFmt w:val="bullet"/>
      <w:lvlText w:val=""/>
      <w:lvlJc w:val="left"/>
      <w:pPr>
        <w:tabs>
          <w:tab w:val="num" w:pos="4248"/>
        </w:tabs>
        <w:ind w:left="4248" w:hanging="360"/>
      </w:pPr>
      <w:rPr>
        <w:rFonts w:ascii="Wingdings" w:hAnsi="Wingdings" w:hint="default"/>
      </w:rPr>
    </w:lvl>
    <w:lvl w:ilvl="6" w:tplc="04020001" w:tentative="1">
      <w:start w:val="1"/>
      <w:numFmt w:val="bullet"/>
      <w:lvlText w:val=""/>
      <w:lvlJc w:val="left"/>
      <w:pPr>
        <w:tabs>
          <w:tab w:val="num" w:pos="4968"/>
        </w:tabs>
        <w:ind w:left="4968" w:hanging="360"/>
      </w:pPr>
      <w:rPr>
        <w:rFonts w:ascii="Symbol" w:hAnsi="Symbol" w:hint="default"/>
      </w:rPr>
    </w:lvl>
    <w:lvl w:ilvl="7" w:tplc="04020003" w:tentative="1">
      <w:start w:val="1"/>
      <w:numFmt w:val="bullet"/>
      <w:lvlText w:val="o"/>
      <w:lvlJc w:val="left"/>
      <w:pPr>
        <w:tabs>
          <w:tab w:val="num" w:pos="5688"/>
        </w:tabs>
        <w:ind w:left="5688" w:hanging="360"/>
      </w:pPr>
      <w:rPr>
        <w:rFonts w:ascii="Courier New" w:hAnsi="Courier New" w:hint="default"/>
      </w:rPr>
    </w:lvl>
    <w:lvl w:ilvl="8" w:tplc="04020005" w:tentative="1">
      <w:start w:val="1"/>
      <w:numFmt w:val="bullet"/>
      <w:lvlText w:val=""/>
      <w:lvlJc w:val="left"/>
      <w:pPr>
        <w:tabs>
          <w:tab w:val="num" w:pos="6408"/>
        </w:tabs>
        <w:ind w:left="6408" w:hanging="360"/>
      </w:pPr>
      <w:rPr>
        <w:rFonts w:ascii="Wingdings" w:hAnsi="Wingdings" w:hint="default"/>
      </w:rPr>
    </w:lvl>
  </w:abstractNum>
  <w:abstractNum w:abstractNumId="356" w15:restartNumberingAfterBreak="0">
    <w:nsid w:val="612803E3"/>
    <w:multiLevelType w:val="hybridMultilevel"/>
    <w:tmpl w:val="86E6A69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57" w15:restartNumberingAfterBreak="0">
    <w:nsid w:val="61996A1F"/>
    <w:multiLevelType w:val="hybridMultilevel"/>
    <w:tmpl w:val="ADC8527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58" w15:restartNumberingAfterBreak="0">
    <w:nsid w:val="61B81EE6"/>
    <w:multiLevelType w:val="hybridMultilevel"/>
    <w:tmpl w:val="1AE65CD2"/>
    <w:lvl w:ilvl="0" w:tplc="0A9670C0">
      <w:start w:val="1"/>
      <w:numFmt w:val="decimal"/>
      <w:lvlText w:val="%1."/>
      <w:lvlJc w:val="left"/>
      <w:pPr>
        <w:tabs>
          <w:tab w:val="num" w:pos="1494"/>
        </w:tabs>
        <w:ind w:left="1494" w:hanging="360"/>
      </w:pPr>
      <w:rPr>
        <w:rFonts w:cs="Times New Roman" w:hint="default"/>
      </w:rPr>
    </w:lvl>
    <w:lvl w:ilvl="1" w:tplc="04020019" w:tentative="1">
      <w:start w:val="1"/>
      <w:numFmt w:val="lowerLetter"/>
      <w:lvlText w:val="%2."/>
      <w:lvlJc w:val="left"/>
      <w:pPr>
        <w:tabs>
          <w:tab w:val="num" w:pos="2214"/>
        </w:tabs>
        <w:ind w:left="2214" w:hanging="360"/>
      </w:pPr>
      <w:rPr>
        <w:rFonts w:cs="Times New Roman"/>
      </w:rPr>
    </w:lvl>
    <w:lvl w:ilvl="2" w:tplc="0402001B" w:tentative="1">
      <w:start w:val="1"/>
      <w:numFmt w:val="lowerRoman"/>
      <w:lvlText w:val="%3."/>
      <w:lvlJc w:val="right"/>
      <w:pPr>
        <w:tabs>
          <w:tab w:val="num" w:pos="2934"/>
        </w:tabs>
        <w:ind w:left="2934" w:hanging="180"/>
      </w:pPr>
      <w:rPr>
        <w:rFonts w:cs="Times New Roman"/>
      </w:rPr>
    </w:lvl>
    <w:lvl w:ilvl="3" w:tplc="0402000F" w:tentative="1">
      <w:start w:val="1"/>
      <w:numFmt w:val="decimal"/>
      <w:lvlText w:val="%4."/>
      <w:lvlJc w:val="left"/>
      <w:pPr>
        <w:tabs>
          <w:tab w:val="num" w:pos="3654"/>
        </w:tabs>
        <w:ind w:left="3654" w:hanging="360"/>
      </w:pPr>
      <w:rPr>
        <w:rFonts w:cs="Times New Roman"/>
      </w:rPr>
    </w:lvl>
    <w:lvl w:ilvl="4" w:tplc="04020019" w:tentative="1">
      <w:start w:val="1"/>
      <w:numFmt w:val="lowerLetter"/>
      <w:lvlText w:val="%5."/>
      <w:lvlJc w:val="left"/>
      <w:pPr>
        <w:tabs>
          <w:tab w:val="num" w:pos="4374"/>
        </w:tabs>
        <w:ind w:left="4374" w:hanging="360"/>
      </w:pPr>
      <w:rPr>
        <w:rFonts w:cs="Times New Roman"/>
      </w:rPr>
    </w:lvl>
    <w:lvl w:ilvl="5" w:tplc="0402001B" w:tentative="1">
      <w:start w:val="1"/>
      <w:numFmt w:val="lowerRoman"/>
      <w:lvlText w:val="%6."/>
      <w:lvlJc w:val="right"/>
      <w:pPr>
        <w:tabs>
          <w:tab w:val="num" w:pos="5094"/>
        </w:tabs>
        <w:ind w:left="5094" w:hanging="180"/>
      </w:pPr>
      <w:rPr>
        <w:rFonts w:cs="Times New Roman"/>
      </w:rPr>
    </w:lvl>
    <w:lvl w:ilvl="6" w:tplc="0402000F" w:tentative="1">
      <w:start w:val="1"/>
      <w:numFmt w:val="decimal"/>
      <w:lvlText w:val="%7."/>
      <w:lvlJc w:val="left"/>
      <w:pPr>
        <w:tabs>
          <w:tab w:val="num" w:pos="5814"/>
        </w:tabs>
        <w:ind w:left="5814" w:hanging="360"/>
      </w:pPr>
      <w:rPr>
        <w:rFonts w:cs="Times New Roman"/>
      </w:rPr>
    </w:lvl>
    <w:lvl w:ilvl="7" w:tplc="04020019" w:tentative="1">
      <w:start w:val="1"/>
      <w:numFmt w:val="lowerLetter"/>
      <w:lvlText w:val="%8."/>
      <w:lvlJc w:val="left"/>
      <w:pPr>
        <w:tabs>
          <w:tab w:val="num" w:pos="6534"/>
        </w:tabs>
        <w:ind w:left="6534" w:hanging="360"/>
      </w:pPr>
      <w:rPr>
        <w:rFonts w:cs="Times New Roman"/>
      </w:rPr>
    </w:lvl>
    <w:lvl w:ilvl="8" w:tplc="0402001B" w:tentative="1">
      <w:start w:val="1"/>
      <w:numFmt w:val="lowerRoman"/>
      <w:lvlText w:val="%9."/>
      <w:lvlJc w:val="right"/>
      <w:pPr>
        <w:tabs>
          <w:tab w:val="num" w:pos="7254"/>
        </w:tabs>
        <w:ind w:left="7254" w:hanging="180"/>
      </w:pPr>
      <w:rPr>
        <w:rFonts w:cs="Times New Roman"/>
      </w:rPr>
    </w:lvl>
  </w:abstractNum>
  <w:abstractNum w:abstractNumId="359" w15:restartNumberingAfterBreak="0">
    <w:nsid w:val="629828A2"/>
    <w:multiLevelType w:val="hybridMultilevel"/>
    <w:tmpl w:val="2C6EC080"/>
    <w:lvl w:ilvl="0" w:tplc="04020001">
      <w:start w:val="1"/>
      <w:numFmt w:val="bullet"/>
      <w:lvlText w:val=""/>
      <w:lvlJc w:val="left"/>
      <w:pPr>
        <w:ind w:left="1635" w:hanging="360"/>
      </w:pPr>
      <w:rPr>
        <w:rFonts w:ascii="Symbol" w:hAnsi="Symbol" w:hint="default"/>
      </w:rPr>
    </w:lvl>
    <w:lvl w:ilvl="1" w:tplc="04020003" w:tentative="1">
      <w:start w:val="1"/>
      <w:numFmt w:val="bullet"/>
      <w:lvlText w:val="o"/>
      <w:lvlJc w:val="left"/>
      <w:pPr>
        <w:ind w:left="2355" w:hanging="360"/>
      </w:pPr>
      <w:rPr>
        <w:rFonts w:ascii="Courier New" w:hAnsi="Courier New" w:cs="Courier New" w:hint="default"/>
      </w:rPr>
    </w:lvl>
    <w:lvl w:ilvl="2" w:tplc="04020005" w:tentative="1">
      <w:start w:val="1"/>
      <w:numFmt w:val="bullet"/>
      <w:lvlText w:val=""/>
      <w:lvlJc w:val="left"/>
      <w:pPr>
        <w:ind w:left="3075" w:hanging="360"/>
      </w:pPr>
      <w:rPr>
        <w:rFonts w:ascii="Wingdings" w:hAnsi="Wingdings" w:hint="default"/>
      </w:rPr>
    </w:lvl>
    <w:lvl w:ilvl="3" w:tplc="04020001" w:tentative="1">
      <w:start w:val="1"/>
      <w:numFmt w:val="bullet"/>
      <w:lvlText w:val=""/>
      <w:lvlJc w:val="left"/>
      <w:pPr>
        <w:ind w:left="3795" w:hanging="360"/>
      </w:pPr>
      <w:rPr>
        <w:rFonts w:ascii="Symbol" w:hAnsi="Symbol" w:hint="default"/>
      </w:rPr>
    </w:lvl>
    <w:lvl w:ilvl="4" w:tplc="04020003" w:tentative="1">
      <w:start w:val="1"/>
      <w:numFmt w:val="bullet"/>
      <w:lvlText w:val="o"/>
      <w:lvlJc w:val="left"/>
      <w:pPr>
        <w:ind w:left="4515" w:hanging="360"/>
      </w:pPr>
      <w:rPr>
        <w:rFonts w:ascii="Courier New" w:hAnsi="Courier New" w:cs="Courier New" w:hint="default"/>
      </w:rPr>
    </w:lvl>
    <w:lvl w:ilvl="5" w:tplc="04020005" w:tentative="1">
      <w:start w:val="1"/>
      <w:numFmt w:val="bullet"/>
      <w:lvlText w:val=""/>
      <w:lvlJc w:val="left"/>
      <w:pPr>
        <w:ind w:left="5235" w:hanging="360"/>
      </w:pPr>
      <w:rPr>
        <w:rFonts w:ascii="Wingdings" w:hAnsi="Wingdings" w:hint="default"/>
      </w:rPr>
    </w:lvl>
    <w:lvl w:ilvl="6" w:tplc="04020001" w:tentative="1">
      <w:start w:val="1"/>
      <w:numFmt w:val="bullet"/>
      <w:lvlText w:val=""/>
      <w:lvlJc w:val="left"/>
      <w:pPr>
        <w:ind w:left="5955" w:hanging="360"/>
      </w:pPr>
      <w:rPr>
        <w:rFonts w:ascii="Symbol" w:hAnsi="Symbol" w:hint="default"/>
      </w:rPr>
    </w:lvl>
    <w:lvl w:ilvl="7" w:tplc="04020003" w:tentative="1">
      <w:start w:val="1"/>
      <w:numFmt w:val="bullet"/>
      <w:lvlText w:val="o"/>
      <w:lvlJc w:val="left"/>
      <w:pPr>
        <w:ind w:left="6675" w:hanging="360"/>
      </w:pPr>
      <w:rPr>
        <w:rFonts w:ascii="Courier New" w:hAnsi="Courier New" w:cs="Courier New" w:hint="default"/>
      </w:rPr>
    </w:lvl>
    <w:lvl w:ilvl="8" w:tplc="04020005" w:tentative="1">
      <w:start w:val="1"/>
      <w:numFmt w:val="bullet"/>
      <w:lvlText w:val=""/>
      <w:lvlJc w:val="left"/>
      <w:pPr>
        <w:ind w:left="7395" w:hanging="360"/>
      </w:pPr>
      <w:rPr>
        <w:rFonts w:ascii="Wingdings" w:hAnsi="Wingdings" w:hint="default"/>
      </w:rPr>
    </w:lvl>
  </w:abstractNum>
  <w:abstractNum w:abstractNumId="360" w15:restartNumberingAfterBreak="0">
    <w:nsid w:val="62AA592E"/>
    <w:multiLevelType w:val="hybridMultilevel"/>
    <w:tmpl w:val="82322BA2"/>
    <w:lvl w:ilvl="0" w:tplc="C7A46E9A">
      <w:start w:val="1"/>
      <w:numFmt w:val="decimal"/>
      <w:lvlText w:val="4.%1."/>
      <w:lvlJc w:val="left"/>
      <w:pPr>
        <w:tabs>
          <w:tab w:val="num" w:pos="660"/>
        </w:tabs>
        <w:ind w:left="660" w:hanging="360"/>
      </w:pPr>
      <w:rPr>
        <w:rFonts w:cs="Times New Roman" w:hint="default"/>
        <w:b/>
      </w:rPr>
    </w:lvl>
    <w:lvl w:ilvl="1" w:tplc="04020001">
      <w:start w:val="1"/>
      <w:numFmt w:val="bullet"/>
      <w:lvlText w:val=""/>
      <w:lvlJc w:val="left"/>
      <w:pPr>
        <w:tabs>
          <w:tab w:val="num" w:pos="1440"/>
        </w:tabs>
        <w:ind w:left="1440" w:hanging="360"/>
      </w:pPr>
      <w:rPr>
        <w:rFonts w:ascii="Symbol" w:hAnsi="Symbol" w:hint="default"/>
      </w:rPr>
    </w:lvl>
    <w:lvl w:ilvl="2" w:tplc="04020001">
      <w:start w:val="1"/>
      <w:numFmt w:val="bullet"/>
      <w:lvlText w:val=""/>
      <w:lvlJc w:val="left"/>
      <w:pPr>
        <w:tabs>
          <w:tab w:val="num" w:pos="2340"/>
        </w:tabs>
        <w:ind w:left="2340" w:hanging="360"/>
      </w:pPr>
      <w:rPr>
        <w:rFonts w:ascii="Symbol" w:hAnsi="Symbol" w:hint="default"/>
        <w:b/>
      </w:rPr>
    </w:lvl>
    <w:lvl w:ilvl="3" w:tplc="40C6637A">
      <w:start w:val="1"/>
      <w:numFmt w:val="decimal"/>
      <w:lvlText w:val="%4)"/>
      <w:lvlJc w:val="left"/>
      <w:pPr>
        <w:ind w:left="2895" w:hanging="375"/>
      </w:pPr>
      <w:rPr>
        <w:rFonts w:cs="Times New Roman" w:hint="default"/>
        <w:b/>
      </w:rPr>
    </w:lvl>
    <w:lvl w:ilvl="4" w:tplc="3F1EAB74">
      <w:start w:val="36"/>
      <w:numFmt w:val="decimal"/>
      <w:lvlText w:val="%5."/>
      <w:lvlJc w:val="left"/>
      <w:pPr>
        <w:ind w:left="3600" w:hanging="360"/>
      </w:pPr>
      <w:rPr>
        <w:rFonts w:hint="default"/>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361" w15:restartNumberingAfterBreak="0">
    <w:nsid w:val="631F5AC3"/>
    <w:multiLevelType w:val="hybridMultilevel"/>
    <w:tmpl w:val="71ECD348"/>
    <w:lvl w:ilvl="0" w:tplc="0402000F">
      <w:start w:val="1"/>
      <w:numFmt w:val="decimal"/>
      <w:lvlText w:val="%1."/>
      <w:lvlJc w:val="left"/>
      <w:pPr>
        <w:ind w:left="1571" w:hanging="360"/>
      </w:pPr>
    </w:lvl>
    <w:lvl w:ilvl="1" w:tplc="04020019">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62" w15:restartNumberingAfterBreak="0">
    <w:nsid w:val="63C41766"/>
    <w:multiLevelType w:val="hybridMultilevel"/>
    <w:tmpl w:val="B25AC406"/>
    <w:lvl w:ilvl="0" w:tplc="9170F88A">
      <w:numFmt w:val="bullet"/>
      <w:lvlText w:val="-"/>
      <w:lvlJc w:val="left"/>
      <w:pPr>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3" w15:restartNumberingAfterBreak="0">
    <w:nsid w:val="6405723E"/>
    <w:multiLevelType w:val="hybridMultilevel"/>
    <w:tmpl w:val="0720D8F8"/>
    <w:lvl w:ilvl="0" w:tplc="0402000F">
      <w:start w:val="1"/>
      <w:numFmt w:val="decimal"/>
      <w:lvlText w:val="%1."/>
      <w:lvlJc w:val="left"/>
      <w:pPr>
        <w:ind w:left="1571" w:hanging="360"/>
      </w:p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64" w15:restartNumberingAfterBreak="0">
    <w:nsid w:val="64527A48"/>
    <w:multiLevelType w:val="hybridMultilevel"/>
    <w:tmpl w:val="E5F8D9FA"/>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65" w15:restartNumberingAfterBreak="0">
    <w:nsid w:val="64C7659A"/>
    <w:multiLevelType w:val="hybridMultilevel"/>
    <w:tmpl w:val="CA40AFEA"/>
    <w:lvl w:ilvl="0" w:tplc="30FA6994">
      <w:start w:val="4"/>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66" w15:restartNumberingAfterBreak="0">
    <w:nsid w:val="64F72872"/>
    <w:multiLevelType w:val="hybridMultilevel"/>
    <w:tmpl w:val="7794E5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67" w15:restartNumberingAfterBreak="0">
    <w:nsid w:val="65F94D15"/>
    <w:multiLevelType w:val="hybridMultilevel"/>
    <w:tmpl w:val="1136BE4A"/>
    <w:lvl w:ilvl="0" w:tplc="9636228E">
      <w:numFmt w:val="bullet"/>
      <w:lvlText w:val="-"/>
      <w:lvlJc w:val="left"/>
      <w:pPr>
        <w:tabs>
          <w:tab w:val="num" w:pos="648"/>
        </w:tabs>
        <w:ind w:left="648" w:hanging="360"/>
      </w:pPr>
      <w:rPr>
        <w:rFonts w:ascii="Times New Roman" w:eastAsia="Times New Roman" w:hAnsi="Times New Roman" w:hint="default"/>
      </w:rPr>
    </w:lvl>
    <w:lvl w:ilvl="1" w:tplc="04020003" w:tentative="1">
      <w:start w:val="1"/>
      <w:numFmt w:val="bullet"/>
      <w:lvlText w:val="o"/>
      <w:lvlJc w:val="left"/>
      <w:pPr>
        <w:tabs>
          <w:tab w:val="num" w:pos="1368"/>
        </w:tabs>
        <w:ind w:left="1368" w:hanging="360"/>
      </w:pPr>
      <w:rPr>
        <w:rFonts w:ascii="Courier New" w:hAnsi="Courier New" w:hint="default"/>
      </w:rPr>
    </w:lvl>
    <w:lvl w:ilvl="2" w:tplc="04020005" w:tentative="1">
      <w:start w:val="1"/>
      <w:numFmt w:val="bullet"/>
      <w:lvlText w:val=""/>
      <w:lvlJc w:val="left"/>
      <w:pPr>
        <w:tabs>
          <w:tab w:val="num" w:pos="2088"/>
        </w:tabs>
        <w:ind w:left="2088" w:hanging="360"/>
      </w:pPr>
      <w:rPr>
        <w:rFonts w:ascii="Wingdings" w:hAnsi="Wingdings" w:hint="default"/>
      </w:rPr>
    </w:lvl>
    <w:lvl w:ilvl="3" w:tplc="04020001" w:tentative="1">
      <w:start w:val="1"/>
      <w:numFmt w:val="bullet"/>
      <w:lvlText w:val=""/>
      <w:lvlJc w:val="left"/>
      <w:pPr>
        <w:tabs>
          <w:tab w:val="num" w:pos="2808"/>
        </w:tabs>
        <w:ind w:left="2808" w:hanging="360"/>
      </w:pPr>
      <w:rPr>
        <w:rFonts w:ascii="Symbol" w:hAnsi="Symbol" w:hint="default"/>
      </w:rPr>
    </w:lvl>
    <w:lvl w:ilvl="4" w:tplc="04020003" w:tentative="1">
      <w:start w:val="1"/>
      <w:numFmt w:val="bullet"/>
      <w:lvlText w:val="o"/>
      <w:lvlJc w:val="left"/>
      <w:pPr>
        <w:tabs>
          <w:tab w:val="num" w:pos="3528"/>
        </w:tabs>
        <w:ind w:left="3528" w:hanging="360"/>
      </w:pPr>
      <w:rPr>
        <w:rFonts w:ascii="Courier New" w:hAnsi="Courier New" w:hint="default"/>
      </w:rPr>
    </w:lvl>
    <w:lvl w:ilvl="5" w:tplc="04020005" w:tentative="1">
      <w:start w:val="1"/>
      <w:numFmt w:val="bullet"/>
      <w:lvlText w:val=""/>
      <w:lvlJc w:val="left"/>
      <w:pPr>
        <w:tabs>
          <w:tab w:val="num" w:pos="4248"/>
        </w:tabs>
        <w:ind w:left="4248" w:hanging="360"/>
      </w:pPr>
      <w:rPr>
        <w:rFonts w:ascii="Wingdings" w:hAnsi="Wingdings" w:hint="default"/>
      </w:rPr>
    </w:lvl>
    <w:lvl w:ilvl="6" w:tplc="04020001" w:tentative="1">
      <w:start w:val="1"/>
      <w:numFmt w:val="bullet"/>
      <w:lvlText w:val=""/>
      <w:lvlJc w:val="left"/>
      <w:pPr>
        <w:tabs>
          <w:tab w:val="num" w:pos="4968"/>
        </w:tabs>
        <w:ind w:left="4968" w:hanging="360"/>
      </w:pPr>
      <w:rPr>
        <w:rFonts w:ascii="Symbol" w:hAnsi="Symbol" w:hint="default"/>
      </w:rPr>
    </w:lvl>
    <w:lvl w:ilvl="7" w:tplc="04020003" w:tentative="1">
      <w:start w:val="1"/>
      <w:numFmt w:val="bullet"/>
      <w:lvlText w:val="o"/>
      <w:lvlJc w:val="left"/>
      <w:pPr>
        <w:tabs>
          <w:tab w:val="num" w:pos="5688"/>
        </w:tabs>
        <w:ind w:left="5688" w:hanging="360"/>
      </w:pPr>
      <w:rPr>
        <w:rFonts w:ascii="Courier New" w:hAnsi="Courier New" w:hint="default"/>
      </w:rPr>
    </w:lvl>
    <w:lvl w:ilvl="8" w:tplc="04020005" w:tentative="1">
      <w:start w:val="1"/>
      <w:numFmt w:val="bullet"/>
      <w:lvlText w:val=""/>
      <w:lvlJc w:val="left"/>
      <w:pPr>
        <w:tabs>
          <w:tab w:val="num" w:pos="6408"/>
        </w:tabs>
        <w:ind w:left="6408" w:hanging="360"/>
      </w:pPr>
      <w:rPr>
        <w:rFonts w:ascii="Wingdings" w:hAnsi="Wingdings" w:hint="default"/>
      </w:rPr>
    </w:lvl>
  </w:abstractNum>
  <w:abstractNum w:abstractNumId="368" w15:restartNumberingAfterBreak="0">
    <w:nsid w:val="665F1567"/>
    <w:multiLevelType w:val="hybridMultilevel"/>
    <w:tmpl w:val="A7A4EA42"/>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69" w15:restartNumberingAfterBreak="0">
    <w:nsid w:val="6714439D"/>
    <w:multiLevelType w:val="hybridMultilevel"/>
    <w:tmpl w:val="1BBEAE68"/>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70" w15:restartNumberingAfterBreak="0">
    <w:nsid w:val="68211986"/>
    <w:multiLevelType w:val="hybridMultilevel"/>
    <w:tmpl w:val="AC501332"/>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71" w15:restartNumberingAfterBreak="0">
    <w:nsid w:val="68607E8B"/>
    <w:multiLevelType w:val="hybridMultilevel"/>
    <w:tmpl w:val="EEEEE240"/>
    <w:lvl w:ilvl="0" w:tplc="B8C269CE">
      <w:start w:val="1"/>
      <w:numFmt w:val="decimal"/>
      <w:lvlText w:val="%1."/>
      <w:lvlJc w:val="left"/>
      <w:pPr>
        <w:tabs>
          <w:tab w:val="num" w:pos="720"/>
        </w:tabs>
        <w:ind w:left="720" w:hanging="360"/>
      </w:pPr>
      <w:rPr>
        <w:rFonts w:cs="Times New Roman"/>
      </w:rPr>
    </w:lvl>
    <w:lvl w:ilvl="1" w:tplc="740A2A6A" w:tentative="1">
      <w:start w:val="1"/>
      <w:numFmt w:val="lowerLetter"/>
      <w:lvlText w:val="%2."/>
      <w:lvlJc w:val="left"/>
      <w:pPr>
        <w:tabs>
          <w:tab w:val="num" w:pos="1440"/>
        </w:tabs>
        <w:ind w:left="1440" w:hanging="360"/>
      </w:pPr>
      <w:rPr>
        <w:rFonts w:cs="Times New Roman"/>
      </w:rPr>
    </w:lvl>
    <w:lvl w:ilvl="2" w:tplc="8FFA0450" w:tentative="1">
      <w:start w:val="1"/>
      <w:numFmt w:val="lowerRoman"/>
      <w:lvlText w:val="%3."/>
      <w:lvlJc w:val="right"/>
      <w:pPr>
        <w:tabs>
          <w:tab w:val="num" w:pos="2160"/>
        </w:tabs>
        <w:ind w:left="2160" w:hanging="180"/>
      </w:pPr>
      <w:rPr>
        <w:rFonts w:cs="Times New Roman"/>
      </w:rPr>
    </w:lvl>
    <w:lvl w:ilvl="3" w:tplc="F0745BDC" w:tentative="1">
      <w:start w:val="1"/>
      <w:numFmt w:val="decimal"/>
      <w:lvlText w:val="%4."/>
      <w:lvlJc w:val="left"/>
      <w:pPr>
        <w:tabs>
          <w:tab w:val="num" w:pos="2880"/>
        </w:tabs>
        <w:ind w:left="2880" w:hanging="360"/>
      </w:pPr>
      <w:rPr>
        <w:rFonts w:cs="Times New Roman"/>
      </w:rPr>
    </w:lvl>
    <w:lvl w:ilvl="4" w:tplc="A4F8621E" w:tentative="1">
      <w:start w:val="1"/>
      <w:numFmt w:val="lowerLetter"/>
      <w:lvlText w:val="%5."/>
      <w:lvlJc w:val="left"/>
      <w:pPr>
        <w:tabs>
          <w:tab w:val="num" w:pos="3600"/>
        </w:tabs>
        <w:ind w:left="3600" w:hanging="360"/>
      </w:pPr>
      <w:rPr>
        <w:rFonts w:cs="Times New Roman"/>
      </w:rPr>
    </w:lvl>
    <w:lvl w:ilvl="5" w:tplc="8A4047A4" w:tentative="1">
      <w:start w:val="1"/>
      <w:numFmt w:val="lowerRoman"/>
      <w:lvlText w:val="%6."/>
      <w:lvlJc w:val="right"/>
      <w:pPr>
        <w:tabs>
          <w:tab w:val="num" w:pos="4320"/>
        </w:tabs>
        <w:ind w:left="4320" w:hanging="180"/>
      </w:pPr>
      <w:rPr>
        <w:rFonts w:cs="Times New Roman"/>
      </w:rPr>
    </w:lvl>
    <w:lvl w:ilvl="6" w:tplc="B5889404" w:tentative="1">
      <w:start w:val="1"/>
      <w:numFmt w:val="decimal"/>
      <w:lvlText w:val="%7."/>
      <w:lvlJc w:val="left"/>
      <w:pPr>
        <w:tabs>
          <w:tab w:val="num" w:pos="5040"/>
        </w:tabs>
        <w:ind w:left="5040" w:hanging="360"/>
      </w:pPr>
      <w:rPr>
        <w:rFonts w:cs="Times New Roman"/>
      </w:rPr>
    </w:lvl>
    <w:lvl w:ilvl="7" w:tplc="DD7EBA7E" w:tentative="1">
      <w:start w:val="1"/>
      <w:numFmt w:val="lowerLetter"/>
      <w:lvlText w:val="%8."/>
      <w:lvlJc w:val="left"/>
      <w:pPr>
        <w:tabs>
          <w:tab w:val="num" w:pos="5760"/>
        </w:tabs>
        <w:ind w:left="5760" w:hanging="360"/>
      </w:pPr>
      <w:rPr>
        <w:rFonts w:cs="Times New Roman"/>
      </w:rPr>
    </w:lvl>
    <w:lvl w:ilvl="8" w:tplc="F8AA53B8" w:tentative="1">
      <w:start w:val="1"/>
      <w:numFmt w:val="lowerRoman"/>
      <w:lvlText w:val="%9."/>
      <w:lvlJc w:val="right"/>
      <w:pPr>
        <w:tabs>
          <w:tab w:val="num" w:pos="6480"/>
        </w:tabs>
        <w:ind w:left="6480" w:hanging="180"/>
      </w:pPr>
      <w:rPr>
        <w:rFonts w:cs="Times New Roman"/>
      </w:rPr>
    </w:lvl>
  </w:abstractNum>
  <w:abstractNum w:abstractNumId="372" w15:restartNumberingAfterBreak="0">
    <w:nsid w:val="68E30BFB"/>
    <w:multiLevelType w:val="hybridMultilevel"/>
    <w:tmpl w:val="78E442BC"/>
    <w:lvl w:ilvl="0" w:tplc="04020001">
      <w:start w:val="1"/>
      <w:numFmt w:val="bullet"/>
      <w:lvlText w:val=""/>
      <w:lvlJc w:val="left"/>
      <w:pPr>
        <w:tabs>
          <w:tab w:val="num" w:pos="360"/>
        </w:tabs>
        <w:ind w:left="360" w:hanging="360"/>
      </w:pPr>
      <w:rPr>
        <w:rFonts w:ascii="Symbol" w:hAnsi="Symbol" w:hint="default"/>
      </w:rPr>
    </w:lvl>
    <w:lvl w:ilvl="1" w:tplc="04020003">
      <w:start w:val="1"/>
      <w:numFmt w:val="bullet"/>
      <w:lvlText w:val="o"/>
      <w:lvlJc w:val="left"/>
      <w:pPr>
        <w:tabs>
          <w:tab w:val="num" w:pos="1080"/>
        </w:tabs>
        <w:ind w:left="1080" w:hanging="360"/>
      </w:pPr>
      <w:rPr>
        <w:rFonts w:ascii="Courier New" w:hAnsi="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373" w15:restartNumberingAfterBreak="0">
    <w:nsid w:val="68E742FC"/>
    <w:multiLevelType w:val="hybridMultilevel"/>
    <w:tmpl w:val="1EF4F574"/>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74" w15:restartNumberingAfterBreak="0">
    <w:nsid w:val="68F84879"/>
    <w:multiLevelType w:val="hybridMultilevel"/>
    <w:tmpl w:val="A6801412"/>
    <w:lvl w:ilvl="0" w:tplc="0402000B">
      <w:start w:val="1"/>
      <w:numFmt w:val="bullet"/>
      <w:lvlText w:val=""/>
      <w:lvlJc w:val="left"/>
      <w:pPr>
        <w:tabs>
          <w:tab w:val="num" w:pos="1260"/>
        </w:tabs>
        <w:ind w:left="126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75" w15:restartNumberingAfterBreak="0">
    <w:nsid w:val="69750145"/>
    <w:multiLevelType w:val="hybridMultilevel"/>
    <w:tmpl w:val="C8D41A4E"/>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76" w15:restartNumberingAfterBreak="0">
    <w:nsid w:val="69AB1EF4"/>
    <w:multiLevelType w:val="hybridMultilevel"/>
    <w:tmpl w:val="4998D35E"/>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77" w15:restartNumberingAfterBreak="0">
    <w:nsid w:val="69B63290"/>
    <w:multiLevelType w:val="multilevel"/>
    <w:tmpl w:val="05A4B52A"/>
    <w:lvl w:ilvl="0">
      <w:start w:val="1"/>
      <w:numFmt w:val="decimal"/>
      <w:lvlText w:val="%1."/>
      <w:lvlJc w:val="left"/>
      <w:pPr>
        <w:ind w:left="644" w:hanging="360"/>
      </w:pPr>
      <w:rPr>
        <w:rFonts w:hint="default"/>
        <w:b w:val="0"/>
        <w:i w:val="0"/>
        <w:sz w:val="24"/>
      </w:rPr>
    </w:lvl>
    <w:lvl w:ilvl="1">
      <w:start w:val="1"/>
      <w:numFmt w:val="decimal"/>
      <w:lvlText w:val="%1.%2."/>
      <w:lvlJc w:val="left"/>
      <w:pPr>
        <w:ind w:left="792" w:hanging="432"/>
      </w:pPr>
      <w:rPr>
        <w:rFonts w:hint="default"/>
        <w:b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8" w15:restartNumberingAfterBreak="0">
    <w:nsid w:val="6A2F53CC"/>
    <w:multiLevelType w:val="hybridMultilevel"/>
    <w:tmpl w:val="26B2FECE"/>
    <w:lvl w:ilvl="0" w:tplc="04020011">
      <w:start w:val="1"/>
      <w:numFmt w:val="decimal"/>
      <w:lvlText w:val="%1)"/>
      <w:lvlJc w:val="left"/>
      <w:pPr>
        <w:ind w:left="1571" w:hanging="360"/>
      </w:p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79" w15:restartNumberingAfterBreak="0">
    <w:nsid w:val="6A580C6F"/>
    <w:multiLevelType w:val="hybridMultilevel"/>
    <w:tmpl w:val="B72CA33E"/>
    <w:lvl w:ilvl="0" w:tplc="04020001">
      <w:start w:val="1"/>
      <w:numFmt w:val="bullet"/>
      <w:pStyle w:val="OPACbullet"/>
      <w:lvlText w:val=""/>
      <w:lvlJc w:val="left"/>
      <w:pPr>
        <w:tabs>
          <w:tab w:val="num" w:pos="1134"/>
        </w:tabs>
        <w:ind w:firstLine="851"/>
      </w:pPr>
      <w:rPr>
        <w:rFonts w:ascii="Symbol" w:hAnsi="Symbol" w:hint="default"/>
        <w:color w:val="auto"/>
        <w:sz w:val="20"/>
      </w:rPr>
    </w:lvl>
    <w:lvl w:ilvl="1" w:tplc="04020003">
      <w:start w:val="1"/>
      <w:numFmt w:val="bullet"/>
      <w:lvlText w:val=""/>
      <w:lvlJc w:val="left"/>
      <w:pPr>
        <w:tabs>
          <w:tab w:val="num" w:pos="360"/>
        </w:tabs>
        <w:ind w:left="360" w:hanging="360"/>
      </w:pPr>
      <w:rPr>
        <w:rFonts w:ascii="Symbol" w:hAnsi="Symbol" w:hint="default"/>
        <w:color w:val="auto"/>
        <w:sz w:val="20"/>
      </w:rPr>
    </w:lvl>
    <w:lvl w:ilvl="2" w:tplc="04020005">
      <w:start w:val="1"/>
      <w:numFmt w:val="bullet"/>
      <w:lvlText w:val=""/>
      <w:lvlJc w:val="left"/>
      <w:pPr>
        <w:tabs>
          <w:tab w:val="num" w:pos="1080"/>
        </w:tabs>
        <w:ind w:left="1080" w:hanging="360"/>
      </w:pPr>
      <w:rPr>
        <w:rFonts w:ascii="Wingdings" w:hAnsi="Wingdings" w:hint="default"/>
      </w:rPr>
    </w:lvl>
    <w:lvl w:ilvl="3" w:tplc="04020001">
      <w:start w:val="1"/>
      <w:numFmt w:val="bullet"/>
      <w:lvlText w:val=""/>
      <w:lvlJc w:val="left"/>
      <w:pPr>
        <w:tabs>
          <w:tab w:val="num" w:pos="1797"/>
        </w:tabs>
        <w:ind w:left="1797" w:hanging="360"/>
      </w:pPr>
      <w:rPr>
        <w:rFonts w:ascii="Symbol" w:hAnsi="Symbol" w:hint="default"/>
        <w:color w:val="auto"/>
        <w:sz w:val="20"/>
      </w:rPr>
    </w:lvl>
    <w:lvl w:ilvl="4" w:tplc="04020003">
      <w:start w:val="1"/>
      <w:numFmt w:val="bullet"/>
      <w:lvlText w:val="o"/>
      <w:lvlJc w:val="left"/>
      <w:pPr>
        <w:tabs>
          <w:tab w:val="num" w:pos="2520"/>
        </w:tabs>
        <w:ind w:left="2520" w:hanging="360"/>
      </w:pPr>
      <w:rPr>
        <w:rFonts w:ascii="Courier New" w:hAnsi="Courier New" w:hint="default"/>
      </w:rPr>
    </w:lvl>
    <w:lvl w:ilvl="5" w:tplc="04020005">
      <w:numFmt w:val="bullet"/>
      <w:lvlText w:val="-"/>
      <w:lvlJc w:val="left"/>
      <w:pPr>
        <w:tabs>
          <w:tab w:val="num" w:pos="3435"/>
        </w:tabs>
        <w:ind w:left="3435" w:hanging="555"/>
      </w:pPr>
      <w:rPr>
        <w:rFonts w:ascii="Times New Roman" w:eastAsia="Times New Roman" w:hAnsi="Times New Roman" w:hint="default"/>
      </w:rPr>
    </w:lvl>
    <w:lvl w:ilvl="6" w:tplc="04020001" w:tentative="1">
      <w:start w:val="1"/>
      <w:numFmt w:val="bullet"/>
      <w:lvlText w:val=""/>
      <w:lvlJc w:val="left"/>
      <w:pPr>
        <w:tabs>
          <w:tab w:val="num" w:pos="3960"/>
        </w:tabs>
        <w:ind w:left="3960" w:hanging="360"/>
      </w:pPr>
      <w:rPr>
        <w:rFonts w:ascii="Symbol" w:hAnsi="Symbol" w:hint="default"/>
      </w:rPr>
    </w:lvl>
    <w:lvl w:ilvl="7" w:tplc="04020003" w:tentative="1">
      <w:start w:val="1"/>
      <w:numFmt w:val="bullet"/>
      <w:lvlText w:val="o"/>
      <w:lvlJc w:val="left"/>
      <w:pPr>
        <w:tabs>
          <w:tab w:val="num" w:pos="4680"/>
        </w:tabs>
        <w:ind w:left="4680" w:hanging="360"/>
      </w:pPr>
      <w:rPr>
        <w:rFonts w:ascii="Courier New" w:hAnsi="Courier New" w:hint="default"/>
      </w:rPr>
    </w:lvl>
    <w:lvl w:ilvl="8" w:tplc="04020005" w:tentative="1">
      <w:start w:val="1"/>
      <w:numFmt w:val="bullet"/>
      <w:lvlText w:val=""/>
      <w:lvlJc w:val="left"/>
      <w:pPr>
        <w:tabs>
          <w:tab w:val="num" w:pos="5400"/>
        </w:tabs>
        <w:ind w:left="5400" w:hanging="360"/>
      </w:pPr>
      <w:rPr>
        <w:rFonts w:ascii="Wingdings" w:hAnsi="Wingdings" w:hint="default"/>
      </w:rPr>
    </w:lvl>
  </w:abstractNum>
  <w:abstractNum w:abstractNumId="380" w15:restartNumberingAfterBreak="0">
    <w:nsid w:val="6A6C1044"/>
    <w:multiLevelType w:val="hybridMultilevel"/>
    <w:tmpl w:val="5934AB04"/>
    <w:lvl w:ilvl="0" w:tplc="26F25864">
      <w:start w:val="1"/>
      <mc:AlternateContent>
        <mc:Choice Requires="w14">
          <w:numFmt w:val="custom" w:format="а, й, к, ..."/>
        </mc:Choice>
        <mc:Fallback>
          <w:numFmt w:val="decimal"/>
        </mc:Fallback>
      </mc:AlternateContent>
      <w:lvlText w:val="%1)"/>
      <w:lvlJc w:val="left"/>
      <w:pPr>
        <w:ind w:left="1287" w:hanging="360"/>
      </w:pPr>
      <w:rPr>
        <w:rFonts w:cs="Times New Roman" w:hint="default"/>
      </w:r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381" w15:restartNumberingAfterBreak="0">
    <w:nsid w:val="6ACF5483"/>
    <w:multiLevelType w:val="hybridMultilevel"/>
    <w:tmpl w:val="EF542FEC"/>
    <w:lvl w:ilvl="0" w:tplc="04020001">
      <w:start w:val="1"/>
      <w:numFmt w:val="bullet"/>
      <w:lvlText w:val=""/>
      <w:lvlJc w:val="left"/>
      <w:pPr>
        <w:ind w:left="420" w:hanging="360"/>
      </w:pPr>
      <w:rPr>
        <w:rFonts w:ascii="Symbol" w:hAnsi="Symbol" w:hint="default"/>
      </w:rPr>
    </w:lvl>
    <w:lvl w:ilvl="1" w:tplc="04020003">
      <w:start w:val="1"/>
      <w:numFmt w:val="bullet"/>
      <w:lvlText w:val="o"/>
      <w:lvlJc w:val="left"/>
      <w:pPr>
        <w:ind w:left="1140" w:hanging="360"/>
      </w:pPr>
      <w:rPr>
        <w:rFonts w:ascii="Courier New" w:hAnsi="Courier New" w:cs="Courier New" w:hint="default"/>
      </w:rPr>
    </w:lvl>
    <w:lvl w:ilvl="2" w:tplc="04020005" w:tentative="1">
      <w:start w:val="1"/>
      <w:numFmt w:val="bullet"/>
      <w:lvlText w:val=""/>
      <w:lvlJc w:val="left"/>
      <w:pPr>
        <w:ind w:left="1860" w:hanging="360"/>
      </w:pPr>
      <w:rPr>
        <w:rFonts w:ascii="Wingdings" w:hAnsi="Wingdings" w:hint="default"/>
      </w:rPr>
    </w:lvl>
    <w:lvl w:ilvl="3" w:tplc="04020001" w:tentative="1">
      <w:start w:val="1"/>
      <w:numFmt w:val="bullet"/>
      <w:lvlText w:val=""/>
      <w:lvlJc w:val="left"/>
      <w:pPr>
        <w:ind w:left="2580" w:hanging="360"/>
      </w:pPr>
      <w:rPr>
        <w:rFonts w:ascii="Symbol" w:hAnsi="Symbol" w:hint="default"/>
      </w:rPr>
    </w:lvl>
    <w:lvl w:ilvl="4" w:tplc="04020003" w:tentative="1">
      <w:start w:val="1"/>
      <w:numFmt w:val="bullet"/>
      <w:lvlText w:val="o"/>
      <w:lvlJc w:val="left"/>
      <w:pPr>
        <w:ind w:left="3300" w:hanging="360"/>
      </w:pPr>
      <w:rPr>
        <w:rFonts w:ascii="Courier New" w:hAnsi="Courier New" w:cs="Courier New" w:hint="default"/>
      </w:rPr>
    </w:lvl>
    <w:lvl w:ilvl="5" w:tplc="04020005" w:tentative="1">
      <w:start w:val="1"/>
      <w:numFmt w:val="bullet"/>
      <w:lvlText w:val=""/>
      <w:lvlJc w:val="left"/>
      <w:pPr>
        <w:ind w:left="4020" w:hanging="360"/>
      </w:pPr>
      <w:rPr>
        <w:rFonts w:ascii="Wingdings" w:hAnsi="Wingdings" w:hint="default"/>
      </w:rPr>
    </w:lvl>
    <w:lvl w:ilvl="6" w:tplc="04020001" w:tentative="1">
      <w:start w:val="1"/>
      <w:numFmt w:val="bullet"/>
      <w:lvlText w:val=""/>
      <w:lvlJc w:val="left"/>
      <w:pPr>
        <w:ind w:left="4740" w:hanging="360"/>
      </w:pPr>
      <w:rPr>
        <w:rFonts w:ascii="Symbol" w:hAnsi="Symbol" w:hint="default"/>
      </w:rPr>
    </w:lvl>
    <w:lvl w:ilvl="7" w:tplc="04020003" w:tentative="1">
      <w:start w:val="1"/>
      <w:numFmt w:val="bullet"/>
      <w:lvlText w:val="o"/>
      <w:lvlJc w:val="left"/>
      <w:pPr>
        <w:ind w:left="5460" w:hanging="360"/>
      </w:pPr>
      <w:rPr>
        <w:rFonts w:ascii="Courier New" w:hAnsi="Courier New" w:cs="Courier New" w:hint="default"/>
      </w:rPr>
    </w:lvl>
    <w:lvl w:ilvl="8" w:tplc="04020005" w:tentative="1">
      <w:start w:val="1"/>
      <w:numFmt w:val="bullet"/>
      <w:lvlText w:val=""/>
      <w:lvlJc w:val="left"/>
      <w:pPr>
        <w:ind w:left="6180" w:hanging="360"/>
      </w:pPr>
      <w:rPr>
        <w:rFonts w:ascii="Wingdings" w:hAnsi="Wingdings" w:hint="default"/>
      </w:rPr>
    </w:lvl>
  </w:abstractNum>
  <w:abstractNum w:abstractNumId="382" w15:restartNumberingAfterBreak="0">
    <w:nsid w:val="6B712B52"/>
    <w:multiLevelType w:val="hybridMultilevel"/>
    <w:tmpl w:val="6DDE430A"/>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83" w15:restartNumberingAfterBreak="0">
    <w:nsid w:val="6B945A98"/>
    <w:multiLevelType w:val="hybridMultilevel"/>
    <w:tmpl w:val="6D6EA73A"/>
    <w:lvl w:ilvl="0" w:tplc="8CC83B0A">
      <w:start w:val="7"/>
      <w:numFmt w:val="decimal"/>
      <w:lvlText w:val="%1."/>
      <w:lvlJc w:val="left"/>
      <w:pPr>
        <w:ind w:left="1004" w:hanging="360"/>
      </w:pPr>
      <w:rPr>
        <w:rFonts w:hint="default"/>
      </w:rPr>
    </w:lvl>
    <w:lvl w:ilvl="1" w:tplc="04020019" w:tentative="1">
      <w:start w:val="1"/>
      <w:numFmt w:val="lowerLetter"/>
      <w:lvlText w:val="%2."/>
      <w:lvlJc w:val="left"/>
      <w:pPr>
        <w:ind w:left="1724" w:hanging="360"/>
      </w:pPr>
    </w:lvl>
    <w:lvl w:ilvl="2" w:tplc="0402001B" w:tentative="1">
      <w:start w:val="1"/>
      <w:numFmt w:val="lowerRoman"/>
      <w:lvlText w:val="%3."/>
      <w:lvlJc w:val="right"/>
      <w:pPr>
        <w:ind w:left="2444" w:hanging="180"/>
      </w:pPr>
    </w:lvl>
    <w:lvl w:ilvl="3" w:tplc="0402000F" w:tentative="1">
      <w:start w:val="1"/>
      <w:numFmt w:val="decimal"/>
      <w:lvlText w:val="%4."/>
      <w:lvlJc w:val="left"/>
      <w:pPr>
        <w:ind w:left="3164" w:hanging="360"/>
      </w:pPr>
    </w:lvl>
    <w:lvl w:ilvl="4" w:tplc="04020019" w:tentative="1">
      <w:start w:val="1"/>
      <w:numFmt w:val="lowerLetter"/>
      <w:lvlText w:val="%5."/>
      <w:lvlJc w:val="left"/>
      <w:pPr>
        <w:ind w:left="3884" w:hanging="360"/>
      </w:pPr>
    </w:lvl>
    <w:lvl w:ilvl="5" w:tplc="0402001B" w:tentative="1">
      <w:start w:val="1"/>
      <w:numFmt w:val="lowerRoman"/>
      <w:lvlText w:val="%6."/>
      <w:lvlJc w:val="right"/>
      <w:pPr>
        <w:ind w:left="4604" w:hanging="180"/>
      </w:pPr>
    </w:lvl>
    <w:lvl w:ilvl="6" w:tplc="0402000F" w:tentative="1">
      <w:start w:val="1"/>
      <w:numFmt w:val="decimal"/>
      <w:lvlText w:val="%7."/>
      <w:lvlJc w:val="left"/>
      <w:pPr>
        <w:ind w:left="5324" w:hanging="360"/>
      </w:pPr>
    </w:lvl>
    <w:lvl w:ilvl="7" w:tplc="04020019" w:tentative="1">
      <w:start w:val="1"/>
      <w:numFmt w:val="lowerLetter"/>
      <w:lvlText w:val="%8."/>
      <w:lvlJc w:val="left"/>
      <w:pPr>
        <w:ind w:left="6044" w:hanging="360"/>
      </w:pPr>
    </w:lvl>
    <w:lvl w:ilvl="8" w:tplc="0402001B" w:tentative="1">
      <w:start w:val="1"/>
      <w:numFmt w:val="lowerRoman"/>
      <w:lvlText w:val="%9."/>
      <w:lvlJc w:val="right"/>
      <w:pPr>
        <w:ind w:left="6764" w:hanging="180"/>
      </w:pPr>
    </w:lvl>
  </w:abstractNum>
  <w:abstractNum w:abstractNumId="384" w15:restartNumberingAfterBreak="0">
    <w:nsid w:val="6BA1416A"/>
    <w:multiLevelType w:val="hybridMultilevel"/>
    <w:tmpl w:val="8660BBC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85" w15:restartNumberingAfterBreak="0">
    <w:nsid w:val="6BB247C4"/>
    <w:multiLevelType w:val="hybridMultilevel"/>
    <w:tmpl w:val="39389562"/>
    <w:lvl w:ilvl="0" w:tplc="7520C74A">
      <w:start w:val="1"/>
      <w:numFmt w:val="decimal"/>
      <w:lvlText w:val="%1)"/>
      <w:lvlJc w:val="left"/>
      <w:pPr>
        <w:ind w:left="1571" w:hanging="360"/>
      </w:pPr>
      <w:rPr>
        <w:b/>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86" w15:restartNumberingAfterBreak="0">
    <w:nsid w:val="6C1824AB"/>
    <w:multiLevelType w:val="hybridMultilevel"/>
    <w:tmpl w:val="C6A4068C"/>
    <w:lvl w:ilvl="0" w:tplc="0402000D">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87" w15:restartNumberingAfterBreak="0">
    <w:nsid w:val="6C956748"/>
    <w:multiLevelType w:val="hybridMultilevel"/>
    <w:tmpl w:val="E5A20F22"/>
    <w:lvl w:ilvl="0" w:tplc="04020019">
      <w:start w:val="1"/>
      <w:numFmt w:val="lowerLetter"/>
      <w:lvlText w:val="%1."/>
      <w:lvlJc w:val="left"/>
      <w:pPr>
        <w:ind w:left="1571" w:hanging="360"/>
      </w:p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88" w15:restartNumberingAfterBreak="0">
    <w:nsid w:val="6CDA3642"/>
    <w:multiLevelType w:val="hybridMultilevel"/>
    <w:tmpl w:val="ACF26848"/>
    <w:lvl w:ilvl="0" w:tplc="1E668CDC">
      <w:start w:val="1"/>
      <w:numFmt w:val="lowerLetter"/>
      <w:lvlText w:val="%1)"/>
      <w:lvlJc w:val="left"/>
      <w:pPr>
        <w:ind w:left="1571" w:hanging="360"/>
      </w:pPr>
      <w:rPr>
        <w:b/>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89" w15:restartNumberingAfterBreak="0">
    <w:nsid w:val="6E296B20"/>
    <w:multiLevelType w:val="hybridMultilevel"/>
    <w:tmpl w:val="09A20106"/>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90" w15:restartNumberingAfterBreak="0">
    <w:nsid w:val="6F7B1451"/>
    <w:multiLevelType w:val="hybridMultilevel"/>
    <w:tmpl w:val="1E04F7AC"/>
    <w:lvl w:ilvl="0" w:tplc="0402000F">
      <w:start w:val="1"/>
      <w:numFmt w:val="decimal"/>
      <w:lvlText w:val="%1."/>
      <w:lvlJc w:val="left"/>
      <w:pPr>
        <w:ind w:left="1571" w:hanging="360"/>
      </w:p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91" w15:restartNumberingAfterBreak="0">
    <w:nsid w:val="6FDF0562"/>
    <w:multiLevelType w:val="hybridMultilevel"/>
    <w:tmpl w:val="6540A976"/>
    <w:lvl w:ilvl="0" w:tplc="0402000F">
      <w:start w:val="1"/>
      <w:numFmt w:val="decimal"/>
      <w:lvlText w:val="%1."/>
      <w:lvlJc w:val="left"/>
      <w:pPr>
        <w:ind w:left="1571" w:hanging="360"/>
      </w:p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92" w15:restartNumberingAfterBreak="0">
    <w:nsid w:val="6FEE431A"/>
    <w:multiLevelType w:val="hybridMultilevel"/>
    <w:tmpl w:val="54663E60"/>
    <w:lvl w:ilvl="0" w:tplc="0CEC0C38">
      <w:start w:val="1"/>
      <w:numFmt w:val="decimal"/>
      <w:lvlText w:val="10.4.%1."/>
      <w:lvlJc w:val="left"/>
      <w:pPr>
        <w:tabs>
          <w:tab w:val="num" w:pos="851"/>
        </w:tabs>
        <w:ind w:left="1425" w:hanging="1425"/>
      </w:pPr>
      <w:rPr>
        <w:rFonts w:cs="Times New Roman" w:hint="default"/>
        <w:b/>
      </w:rPr>
    </w:lvl>
    <w:lvl w:ilvl="1" w:tplc="47E0B608">
      <w:numFmt w:val="bullet"/>
      <w:lvlText w:val="-"/>
      <w:lvlJc w:val="left"/>
      <w:pPr>
        <w:tabs>
          <w:tab w:val="num" w:pos="1440"/>
        </w:tabs>
        <w:ind w:left="1440" w:hanging="360"/>
      </w:pPr>
      <w:rPr>
        <w:rFonts w:ascii="Times New Roman" w:eastAsia="Times New Roman" w:hAnsi="Times New Roman" w:hint="default"/>
        <w:b/>
      </w:rPr>
    </w:lvl>
    <w:lvl w:ilvl="2" w:tplc="6C6620EE">
      <w:start w:val="2"/>
      <w:numFmt w:val="lowerLetter"/>
      <w:lvlText w:val="%3)"/>
      <w:lvlJc w:val="left"/>
      <w:pPr>
        <w:ind w:left="2340" w:hanging="360"/>
      </w:pPr>
      <w:rPr>
        <w:rFonts w:hint="default"/>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393" w15:restartNumberingAfterBreak="0">
    <w:nsid w:val="70234070"/>
    <w:multiLevelType w:val="hybridMultilevel"/>
    <w:tmpl w:val="C046E016"/>
    <w:lvl w:ilvl="0" w:tplc="04020011">
      <w:start w:val="1"/>
      <w:numFmt w:val="decimal"/>
      <w:lvlText w:val="%1)"/>
      <w:lvlJc w:val="left"/>
      <w:pPr>
        <w:ind w:left="720" w:hanging="360"/>
      </w:pPr>
      <w:rPr>
        <w:rFonts w:cs="Times New Roman"/>
      </w:rPr>
    </w:lvl>
    <w:lvl w:ilvl="1" w:tplc="B5C4C958">
      <w:start w:val="1"/>
      <mc:AlternateContent>
        <mc:Choice Requires="w14">
          <w:numFmt w:val="custom" w:format="а, й, к, ..."/>
        </mc:Choice>
        <mc:Fallback>
          <w:numFmt w:val="decimal"/>
        </mc:Fallback>
      </mc:AlternateContent>
      <w:lvlText w:val="%2."/>
      <w:lvlJc w:val="left"/>
      <w:pPr>
        <w:ind w:left="1440" w:hanging="360"/>
      </w:pPr>
      <w:rPr>
        <w:rFonts w:cs="Times New Roman" w:hint="default"/>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394" w15:restartNumberingAfterBreak="0">
    <w:nsid w:val="70251CD3"/>
    <w:multiLevelType w:val="hybridMultilevel"/>
    <w:tmpl w:val="0D6AF278"/>
    <w:lvl w:ilvl="0" w:tplc="7C94D174">
      <w:start w:val="3"/>
      <w:numFmt w:val="decimal"/>
      <w:lvlText w:val="%1."/>
      <w:lvlJc w:val="left"/>
      <w:pPr>
        <w:ind w:left="1080" w:hanging="360"/>
      </w:pPr>
      <w:rPr>
        <w:rFonts w:hint="default"/>
        <w:b w:val="0"/>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95" w15:restartNumberingAfterBreak="0">
    <w:nsid w:val="703E37C1"/>
    <w:multiLevelType w:val="hybridMultilevel"/>
    <w:tmpl w:val="99C4699A"/>
    <w:lvl w:ilvl="0" w:tplc="A4E8D270">
      <w:start w:val="1"/>
      <w:numFmt w:val="decimal"/>
      <w:lvlText w:val="%1)"/>
      <w:lvlJc w:val="left"/>
      <w:pPr>
        <w:ind w:left="7165" w:hanging="360"/>
      </w:pPr>
      <w:rPr>
        <w:rFonts w:cs="Times New Roman"/>
        <w:b/>
        <w:i w:val="0"/>
        <w:sz w:val="24"/>
        <w:szCs w:val="24"/>
      </w:rPr>
    </w:lvl>
    <w:lvl w:ilvl="1" w:tplc="04020019">
      <w:start w:val="1"/>
      <w:numFmt w:val="lowerLetter"/>
      <w:lvlText w:val="%2."/>
      <w:lvlJc w:val="left"/>
      <w:pPr>
        <w:ind w:left="7885" w:hanging="360"/>
      </w:pPr>
      <w:rPr>
        <w:rFonts w:cs="Times New Roman"/>
      </w:rPr>
    </w:lvl>
    <w:lvl w:ilvl="2" w:tplc="0402001B" w:tentative="1">
      <w:start w:val="1"/>
      <w:numFmt w:val="lowerRoman"/>
      <w:lvlText w:val="%3."/>
      <w:lvlJc w:val="right"/>
      <w:pPr>
        <w:ind w:left="8605" w:hanging="180"/>
      </w:pPr>
      <w:rPr>
        <w:rFonts w:cs="Times New Roman"/>
      </w:rPr>
    </w:lvl>
    <w:lvl w:ilvl="3" w:tplc="0402000F" w:tentative="1">
      <w:start w:val="1"/>
      <w:numFmt w:val="decimal"/>
      <w:lvlText w:val="%4."/>
      <w:lvlJc w:val="left"/>
      <w:pPr>
        <w:ind w:left="9325" w:hanging="360"/>
      </w:pPr>
      <w:rPr>
        <w:rFonts w:cs="Times New Roman"/>
      </w:rPr>
    </w:lvl>
    <w:lvl w:ilvl="4" w:tplc="04020019" w:tentative="1">
      <w:start w:val="1"/>
      <w:numFmt w:val="lowerLetter"/>
      <w:lvlText w:val="%5."/>
      <w:lvlJc w:val="left"/>
      <w:pPr>
        <w:ind w:left="10045" w:hanging="360"/>
      </w:pPr>
      <w:rPr>
        <w:rFonts w:cs="Times New Roman"/>
      </w:rPr>
    </w:lvl>
    <w:lvl w:ilvl="5" w:tplc="0402001B" w:tentative="1">
      <w:start w:val="1"/>
      <w:numFmt w:val="lowerRoman"/>
      <w:lvlText w:val="%6."/>
      <w:lvlJc w:val="right"/>
      <w:pPr>
        <w:ind w:left="10765" w:hanging="180"/>
      </w:pPr>
      <w:rPr>
        <w:rFonts w:cs="Times New Roman"/>
      </w:rPr>
    </w:lvl>
    <w:lvl w:ilvl="6" w:tplc="0402000F" w:tentative="1">
      <w:start w:val="1"/>
      <w:numFmt w:val="decimal"/>
      <w:lvlText w:val="%7."/>
      <w:lvlJc w:val="left"/>
      <w:pPr>
        <w:ind w:left="11485" w:hanging="360"/>
      </w:pPr>
      <w:rPr>
        <w:rFonts w:cs="Times New Roman"/>
      </w:rPr>
    </w:lvl>
    <w:lvl w:ilvl="7" w:tplc="04020019" w:tentative="1">
      <w:start w:val="1"/>
      <w:numFmt w:val="lowerLetter"/>
      <w:lvlText w:val="%8."/>
      <w:lvlJc w:val="left"/>
      <w:pPr>
        <w:ind w:left="12205" w:hanging="360"/>
      </w:pPr>
      <w:rPr>
        <w:rFonts w:cs="Times New Roman"/>
      </w:rPr>
    </w:lvl>
    <w:lvl w:ilvl="8" w:tplc="0402001B" w:tentative="1">
      <w:start w:val="1"/>
      <w:numFmt w:val="lowerRoman"/>
      <w:lvlText w:val="%9."/>
      <w:lvlJc w:val="right"/>
      <w:pPr>
        <w:ind w:left="12925" w:hanging="180"/>
      </w:pPr>
      <w:rPr>
        <w:rFonts w:cs="Times New Roman"/>
      </w:rPr>
    </w:lvl>
  </w:abstractNum>
  <w:abstractNum w:abstractNumId="396" w15:restartNumberingAfterBreak="0">
    <w:nsid w:val="70553C86"/>
    <w:multiLevelType w:val="hybridMultilevel"/>
    <w:tmpl w:val="B3368B54"/>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97" w15:restartNumberingAfterBreak="0">
    <w:nsid w:val="705B25C4"/>
    <w:multiLevelType w:val="hybridMultilevel"/>
    <w:tmpl w:val="81F063EE"/>
    <w:lvl w:ilvl="0" w:tplc="EBA472D2">
      <w:numFmt w:val="bullet"/>
      <w:lvlText w:val="-"/>
      <w:lvlJc w:val="left"/>
      <w:pPr>
        <w:ind w:left="1211" w:hanging="360"/>
      </w:pPr>
      <w:rPr>
        <w:rFonts w:ascii="Times New Roman" w:eastAsia="Times New Roman" w:hAnsi="Times New Roman" w:cs="Times New Roman" w:hint="default"/>
      </w:rPr>
    </w:lvl>
    <w:lvl w:ilvl="1" w:tplc="04020003" w:tentative="1">
      <w:start w:val="1"/>
      <w:numFmt w:val="bullet"/>
      <w:lvlText w:val="o"/>
      <w:lvlJc w:val="left"/>
      <w:pPr>
        <w:ind w:left="1931" w:hanging="360"/>
      </w:pPr>
      <w:rPr>
        <w:rFonts w:ascii="Courier New" w:hAnsi="Courier New" w:cs="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cs="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cs="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398" w15:restartNumberingAfterBreak="0">
    <w:nsid w:val="70831CB9"/>
    <w:multiLevelType w:val="hybridMultilevel"/>
    <w:tmpl w:val="1FDCAB16"/>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709C63D6"/>
    <w:multiLevelType w:val="hybridMultilevel"/>
    <w:tmpl w:val="8902AEEE"/>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00" w15:restartNumberingAfterBreak="0">
    <w:nsid w:val="70EF6294"/>
    <w:multiLevelType w:val="hybridMultilevel"/>
    <w:tmpl w:val="C1B0137E"/>
    <w:lvl w:ilvl="0" w:tplc="04020011">
      <w:start w:val="1"/>
      <w:numFmt w:val="decimal"/>
      <w:lvlText w:val="%1)"/>
      <w:lvlJc w:val="left"/>
      <w:pPr>
        <w:ind w:left="1571" w:hanging="360"/>
      </w:pPr>
      <w:rPr>
        <w:rFonts w:cs="Times New Roman"/>
      </w:rPr>
    </w:lvl>
    <w:lvl w:ilvl="1" w:tplc="04020019" w:tentative="1">
      <w:start w:val="1"/>
      <w:numFmt w:val="lowerLetter"/>
      <w:lvlText w:val="%2."/>
      <w:lvlJc w:val="left"/>
      <w:pPr>
        <w:ind w:left="2291" w:hanging="360"/>
      </w:pPr>
      <w:rPr>
        <w:rFonts w:cs="Times New Roman"/>
      </w:rPr>
    </w:lvl>
    <w:lvl w:ilvl="2" w:tplc="0402001B" w:tentative="1">
      <w:start w:val="1"/>
      <w:numFmt w:val="lowerRoman"/>
      <w:lvlText w:val="%3."/>
      <w:lvlJc w:val="right"/>
      <w:pPr>
        <w:ind w:left="3011" w:hanging="180"/>
      </w:pPr>
      <w:rPr>
        <w:rFonts w:cs="Times New Roman"/>
      </w:rPr>
    </w:lvl>
    <w:lvl w:ilvl="3" w:tplc="0402000F" w:tentative="1">
      <w:start w:val="1"/>
      <w:numFmt w:val="decimal"/>
      <w:lvlText w:val="%4."/>
      <w:lvlJc w:val="left"/>
      <w:pPr>
        <w:ind w:left="3731" w:hanging="360"/>
      </w:pPr>
      <w:rPr>
        <w:rFonts w:cs="Times New Roman"/>
      </w:rPr>
    </w:lvl>
    <w:lvl w:ilvl="4" w:tplc="04020019" w:tentative="1">
      <w:start w:val="1"/>
      <w:numFmt w:val="lowerLetter"/>
      <w:lvlText w:val="%5."/>
      <w:lvlJc w:val="left"/>
      <w:pPr>
        <w:ind w:left="4451" w:hanging="360"/>
      </w:pPr>
      <w:rPr>
        <w:rFonts w:cs="Times New Roman"/>
      </w:rPr>
    </w:lvl>
    <w:lvl w:ilvl="5" w:tplc="0402001B" w:tentative="1">
      <w:start w:val="1"/>
      <w:numFmt w:val="lowerRoman"/>
      <w:lvlText w:val="%6."/>
      <w:lvlJc w:val="right"/>
      <w:pPr>
        <w:ind w:left="5171" w:hanging="180"/>
      </w:pPr>
      <w:rPr>
        <w:rFonts w:cs="Times New Roman"/>
      </w:rPr>
    </w:lvl>
    <w:lvl w:ilvl="6" w:tplc="0402000F" w:tentative="1">
      <w:start w:val="1"/>
      <w:numFmt w:val="decimal"/>
      <w:lvlText w:val="%7."/>
      <w:lvlJc w:val="left"/>
      <w:pPr>
        <w:ind w:left="5891" w:hanging="360"/>
      </w:pPr>
      <w:rPr>
        <w:rFonts w:cs="Times New Roman"/>
      </w:rPr>
    </w:lvl>
    <w:lvl w:ilvl="7" w:tplc="04020019" w:tentative="1">
      <w:start w:val="1"/>
      <w:numFmt w:val="lowerLetter"/>
      <w:lvlText w:val="%8."/>
      <w:lvlJc w:val="left"/>
      <w:pPr>
        <w:ind w:left="6611" w:hanging="360"/>
      </w:pPr>
      <w:rPr>
        <w:rFonts w:cs="Times New Roman"/>
      </w:rPr>
    </w:lvl>
    <w:lvl w:ilvl="8" w:tplc="0402001B" w:tentative="1">
      <w:start w:val="1"/>
      <w:numFmt w:val="lowerRoman"/>
      <w:lvlText w:val="%9."/>
      <w:lvlJc w:val="right"/>
      <w:pPr>
        <w:ind w:left="7331" w:hanging="180"/>
      </w:pPr>
      <w:rPr>
        <w:rFonts w:cs="Times New Roman"/>
      </w:rPr>
    </w:lvl>
  </w:abstractNum>
  <w:abstractNum w:abstractNumId="401" w15:restartNumberingAfterBreak="0">
    <w:nsid w:val="71354126"/>
    <w:multiLevelType w:val="hybridMultilevel"/>
    <w:tmpl w:val="FFF27796"/>
    <w:lvl w:ilvl="0" w:tplc="04020003">
      <w:start w:val="1"/>
      <w:numFmt w:val="bullet"/>
      <w:lvlText w:val="o"/>
      <w:lvlJc w:val="left"/>
      <w:pPr>
        <w:tabs>
          <w:tab w:val="num" w:pos="1428"/>
        </w:tabs>
        <w:ind w:left="1428" w:hanging="360"/>
      </w:pPr>
      <w:rPr>
        <w:rFonts w:ascii="Courier New" w:hAnsi="Courier New" w:hint="default"/>
      </w:rPr>
    </w:lvl>
    <w:lvl w:ilvl="1" w:tplc="04020003" w:tentative="1">
      <w:start w:val="1"/>
      <w:numFmt w:val="bullet"/>
      <w:lvlText w:val="o"/>
      <w:lvlJc w:val="left"/>
      <w:pPr>
        <w:tabs>
          <w:tab w:val="num" w:pos="2148"/>
        </w:tabs>
        <w:ind w:left="2148" w:hanging="360"/>
      </w:pPr>
      <w:rPr>
        <w:rFonts w:ascii="Courier New" w:hAnsi="Courier New" w:hint="default"/>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402" w15:restartNumberingAfterBreak="0">
    <w:nsid w:val="71493CA6"/>
    <w:multiLevelType w:val="hybridMultilevel"/>
    <w:tmpl w:val="BDF25CBA"/>
    <w:lvl w:ilvl="0" w:tplc="04020001">
      <w:start w:val="1"/>
      <w:numFmt w:val="bullet"/>
      <w:lvlText w:val=""/>
      <w:lvlJc w:val="left"/>
      <w:pPr>
        <w:ind w:left="1785" w:hanging="360"/>
      </w:pPr>
      <w:rPr>
        <w:rFonts w:ascii="Symbol" w:hAnsi="Symbol" w:hint="default"/>
      </w:rPr>
    </w:lvl>
    <w:lvl w:ilvl="1" w:tplc="04020003" w:tentative="1">
      <w:start w:val="1"/>
      <w:numFmt w:val="bullet"/>
      <w:lvlText w:val="o"/>
      <w:lvlJc w:val="left"/>
      <w:pPr>
        <w:ind w:left="2505" w:hanging="360"/>
      </w:pPr>
      <w:rPr>
        <w:rFonts w:ascii="Courier New" w:hAnsi="Courier New" w:hint="default"/>
      </w:rPr>
    </w:lvl>
    <w:lvl w:ilvl="2" w:tplc="04020005" w:tentative="1">
      <w:start w:val="1"/>
      <w:numFmt w:val="bullet"/>
      <w:lvlText w:val=""/>
      <w:lvlJc w:val="left"/>
      <w:pPr>
        <w:ind w:left="3225" w:hanging="360"/>
      </w:pPr>
      <w:rPr>
        <w:rFonts w:ascii="Wingdings" w:hAnsi="Wingdings" w:hint="default"/>
      </w:rPr>
    </w:lvl>
    <w:lvl w:ilvl="3" w:tplc="04020001" w:tentative="1">
      <w:start w:val="1"/>
      <w:numFmt w:val="bullet"/>
      <w:lvlText w:val=""/>
      <w:lvlJc w:val="left"/>
      <w:pPr>
        <w:ind w:left="3945" w:hanging="360"/>
      </w:pPr>
      <w:rPr>
        <w:rFonts w:ascii="Symbol" w:hAnsi="Symbol" w:hint="default"/>
      </w:rPr>
    </w:lvl>
    <w:lvl w:ilvl="4" w:tplc="04020003" w:tentative="1">
      <w:start w:val="1"/>
      <w:numFmt w:val="bullet"/>
      <w:lvlText w:val="o"/>
      <w:lvlJc w:val="left"/>
      <w:pPr>
        <w:ind w:left="4665" w:hanging="360"/>
      </w:pPr>
      <w:rPr>
        <w:rFonts w:ascii="Courier New" w:hAnsi="Courier New" w:hint="default"/>
      </w:rPr>
    </w:lvl>
    <w:lvl w:ilvl="5" w:tplc="04020005" w:tentative="1">
      <w:start w:val="1"/>
      <w:numFmt w:val="bullet"/>
      <w:lvlText w:val=""/>
      <w:lvlJc w:val="left"/>
      <w:pPr>
        <w:ind w:left="5385" w:hanging="360"/>
      </w:pPr>
      <w:rPr>
        <w:rFonts w:ascii="Wingdings" w:hAnsi="Wingdings" w:hint="default"/>
      </w:rPr>
    </w:lvl>
    <w:lvl w:ilvl="6" w:tplc="04020001" w:tentative="1">
      <w:start w:val="1"/>
      <w:numFmt w:val="bullet"/>
      <w:lvlText w:val=""/>
      <w:lvlJc w:val="left"/>
      <w:pPr>
        <w:ind w:left="6105" w:hanging="360"/>
      </w:pPr>
      <w:rPr>
        <w:rFonts w:ascii="Symbol" w:hAnsi="Symbol" w:hint="default"/>
      </w:rPr>
    </w:lvl>
    <w:lvl w:ilvl="7" w:tplc="04020003" w:tentative="1">
      <w:start w:val="1"/>
      <w:numFmt w:val="bullet"/>
      <w:lvlText w:val="o"/>
      <w:lvlJc w:val="left"/>
      <w:pPr>
        <w:ind w:left="6825" w:hanging="360"/>
      </w:pPr>
      <w:rPr>
        <w:rFonts w:ascii="Courier New" w:hAnsi="Courier New" w:hint="default"/>
      </w:rPr>
    </w:lvl>
    <w:lvl w:ilvl="8" w:tplc="04020005" w:tentative="1">
      <w:start w:val="1"/>
      <w:numFmt w:val="bullet"/>
      <w:lvlText w:val=""/>
      <w:lvlJc w:val="left"/>
      <w:pPr>
        <w:ind w:left="7545" w:hanging="360"/>
      </w:pPr>
      <w:rPr>
        <w:rFonts w:ascii="Wingdings" w:hAnsi="Wingdings" w:hint="default"/>
      </w:rPr>
    </w:lvl>
  </w:abstractNum>
  <w:abstractNum w:abstractNumId="403" w15:restartNumberingAfterBreak="0">
    <w:nsid w:val="71DF45C3"/>
    <w:multiLevelType w:val="hybridMultilevel"/>
    <w:tmpl w:val="1E24BC6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4" w15:restartNumberingAfterBreak="0">
    <w:nsid w:val="726C7808"/>
    <w:multiLevelType w:val="multilevel"/>
    <w:tmpl w:val="C36EF66A"/>
    <w:styleLink w:val="1111111"/>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i w:val="0"/>
      </w:rPr>
    </w:lvl>
    <w:lvl w:ilvl="2">
      <w:start w:val="1"/>
      <w:numFmt w:val="decimal"/>
      <w:lvlText w:val="%1.%2.%3."/>
      <w:lvlJc w:val="left"/>
      <w:pPr>
        <w:ind w:left="1224" w:hanging="504"/>
      </w:pPr>
      <w:rPr>
        <w:rFonts w:cs="Times New Roman" w:hint="default"/>
        <w:i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05" w15:restartNumberingAfterBreak="0">
    <w:nsid w:val="72EA3AF4"/>
    <w:multiLevelType w:val="hybridMultilevel"/>
    <w:tmpl w:val="1304E22C"/>
    <w:lvl w:ilvl="0" w:tplc="6BEEEDE6">
      <w:start w:val="1"/>
      <w:numFmt w:val="decimal"/>
      <w:lvlText w:val="%1)"/>
      <w:lvlJc w:val="left"/>
      <w:pPr>
        <w:tabs>
          <w:tab w:val="num" w:pos="360"/>
        </w:tabs>
        <w:ind w:left="360" w:hanging="360"/>
      </w:pPr>
      <w:rPr>
        <w:rFonts w:cs="Times New Roman"/>
        <w:b/>
        <w:i w:val="0"/>
      </w:rPr>
    </w:lvl>
    <w:lvl w:ilvl="1" w:tplc="CBD8CA52">
      <w:start w:val="1"/>
      <w:numFmt w:val="decimal"/>
      <w:lvlText w:val="%2."/>
      <w:lvlJc w:val="left"/>
      <w:pPr>
        <w:tabs>
          <w:tab w:val="num" w:pos="1440"/>
        </w:tabs>
        <w:ind w:left="1440" w:hanging="360"/>
      </w:pPr>
      <w:rPr>
        <w:rFonts w:cs="Times New Roman" w:hint="default"/>
      </w:rPr>
    </w:lvl>
    <w:lvl w:ilvl="2" w:tplc="0402001B">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406" w15:restartNumberingAfterBreak="0">
    <w:nsid w:val="73294F4B"/>
    <w:multiLevelType w:val="hybridMultilevel"/>
    <w:tmpl w:val="5C5A6C46"/>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07" w15:restartNumberingAfterBreak="0">
    <w:nsid w:val="737F30A8"/>
    <w:multiLevelType w:val="hybridMultilevel"/>
    <w:tmpl w:val="97B6AEE0"/>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408" w15:restartNumberingAfterBreak="0">
    <w:nsid w:val="73D2231F"/>
    <w:multiLevelType w:val="hybridMultilevel"/>
    <w:tmpl w:val="B74EC874"/>
    <w:lvl w:ilvl="0" w:tplc="6BEEEDE6">
      <w:start w:val="1"/>
      <w:numFmt w:val="decimal"/>
      <w:lvlText w:val="%1)"/>
      <w:lvlJc w:val="left"/>
      <w:pPr>
        <w:tabs>
          <w:tab w:val="num" w:pos="5747"/>
        </w:tabs>
        <w:ind w:left="5747" w:hanging="360"/>
      </w:pPr>
      <w:rPr>
        <w:rFonts w:cs="Times New Roman"/>
        <w:b/>
        <w:i w:val="0"/>
      </w:rPr>
    </w:lvl>
    <w:lvl w:ilvl="1" w:tplc="CBD8CA52">
      <w:start w:val="1"/>
      <w:numFmt w:val="decimal"/>
      <w:lvlText w:val="%2."/>
      <w:lvlJc w:val="left"/>
      <w:pPr>
        <w:tabs>
          <w:tab w:val="num" w:pos="6827"/>
        </w:tabs>
        <w:ind w:left="6827" w:hanging="360"/>
      </w:pPr>
      <w:rPr>
        <w:rFonts w:cs="Times New Roman" w:hint="default"/>
      </w:rPr>
    </w:lvl>
    <w:lvl w:ilvl="2" w:tplc="0402001B">
      <w:start w:val="1"/>
      <w:numFmt w:val="lowerRoman"/>
      <w:lvlText w:val="%3."/>
      <w:lvlJc w:val="right"/>
      <w:pPr>
        <w:tabs>
          <w:tab w:val="num" w:pos="7547"/>
        </w:tabs>
        <w:ind w:left="7547" w:hanging="180"/>
      </w:pPr>
      <w:rPr>
        <w:rFonts w:cs="Times New Roman"/>
      </w:rPr>
    </w:lvl>
    <w:lvl w:ilvl="3" w:tplc="0402000F" w:tentative="1">
      <w:start w:val="1"/>
      <w:numFmt w:val="decimal"/>
      <w:lvlText w:val="%4."/>
      <w:lvlJc w:val="left"/>
      <w:pPr>
        <w:tabs>
          <w:tab w:val="num" w:pos="8267"/>
        </w:tabs>
        <w:ind w:left="8267" w:hanging="360"/>
      </w:pPr>
      <w:rPr>
        <w:rFonts w:cs="Times New Roman"/>
      </w:rPr>
    </w:lvl>
    <w:lvl w:ilvl="4" w:tplc="04020019" w:tentative="1">
      <w:start w:val="1"/>
      <w:numFmt w:val="lowerLetter"/>
      <w:lvlText w:val="%5."/>
      <w:lvlJc w:val="left"/>
      <w:pPr>
        <w:tabs>
          <w:tab w:val="num" w:pos="8987"/>
        </w:tabs>
        <w:ind w:left="8987" w:hanging="360"/>
      </w:pPr>
      <w:rPr>
        <w:rFonts w:cs="Times New Roman"/>
      </w:rPr>
    </w:lvl>
    <w:lvl w:ilvl="5" w:tplc="0402001B" w:tentative="1">
      <w:start w:val="1"/>
      <w:numFmt w:val="lowerRoman"/>
      <w:lvlText w:val="%6."/>
      <w:lvlJc w:val="right"/>
      <w:pPr>
        <w:tabs>
          <w:tab w:val="num" w:pos="9707"/>
        </w:tabs>
        <w:ind w:left="9707" w:hanging="180"/>
      </w:pPr>
      <w:rPr>
        <w:rFonts w:cs="Times New Roman"/>
      </w:rPr>
    </w:lvl>
    <w:lvl w:ilvl="6" w:tplc="0402000F" w:tentative="1">
      <w:start w:val="1"/>
      <w:numFmt w:val="decimal"/>
      <w:lvlText w:val="%7."/>
      <w:lvlJc w:val="left"/>
      <w:pPr>
        <w:tabs>
          <w:tab w:val="num" w:pos="10427"/>
        </w:tabs>
        <w:ind w:left="10427" w:hanging="360"/>
      </w:pPr>
      <w:rPr>
        <w:rFonts w:cs="Times New Roman"/>
      </w:rPr>
    </w:lvl>
    <w:lvl w:ilvl="7" w:tplc="04020019" w:tentative="1">
      <w:start w:val="1"/>
      <w:numFmt w:val="lowerLetter"/>
      <w:lvlText w:val="%8."/>
      <w:lvlJc w:val="left"/>
      <w:pPr>
        <w:tabs>
          <w:tab w:val="num" w:pos="11147"/>
        </w:tabs>
        <w:ind w:left="11147" w:hanging="360"/>
      </w:pPr>
      <w:rPr>
        <w:rFonts w:cs="Times New Roman"/>
      </w:rPr>
    </w:lvl>
    <w:lvl w:ilvl="8" w:tplc="0402001B" w:tentative="1">
      <w:start w:val="1"/>
      <w:numFmt w:val="lowerRoman"/>
      <w:lvlText w:val="%9."/>
      <w:lvlJc w:val="right"/>
      <w:pPr>
        <w:tabs>
          <w:tab w:val="num" w:pos="11867"/>
        </w:tabs>
        <w:ind w:left="11867" w:hanging="180"/>
      </w:pPr>
      <w:rPr>
        <w:rFonts w:cs="Times New Roman"/>
      </w:rPr>
    </w:lvl>
  </w:abstractNum>
  <w:abstractNum w:abstractNumId="409" w15:restartNumberingAfterBreak="0">
    <w:nsid w:val="73EC0216"/>
    <w:multiLevelType w:val="hybridMultilevel"/>
    <w:tmpl w:val="591885C8"/>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10" w15:restartNumberingAfterBreak="0">
    <w:nsid w:val="74F77D09"/>
    <w:multiLevelType w:val="hybridMultilevel"/>
    <w:tmpl w:val="CBFE8D20"/>
    <w:lvl w:ilvl="0" w:tplc="B7385E5E">
      <w:start w:val="1"/>
      <w:numFmt w:val="bullet"/>
      <w:lvlText w:val="-"/>
      <w:lvlJc w:val="left"/>
      <w:pPr>
        <w:ind w:left="2484" w:hanging="360"/>
      </w:pPr>
      <w:rPr>
        <w:rFonts w:ascii="Times New Roman" w:eastAsia="Times New Roman" w:hAnsi="Times New Roman" w:hint="default"/>
        <w:color w:val="auto"/>
      </w:rPr>
    </w:lvl>
    <w:lvl w:ilvl="1" w:tplc="78BADCA6">
      <w:start w:val="1"/>
      <w:numFmt w:val="decimal"/>
      <w:lvlText w:val="%2."/>
      <w:lvlJc w:val="left"/>
      <w:pPr>
        <w:ind w:left="1920" w:hanging="360"/>
      </w:pPr>
      <w:rPr>
        <w:rFonts w:cs="Times New Roman" w:hint="default"/>
      </w:rPr>
    </w:lvl>
    <w:lvl w:ilvl="2" w:tplc="0402001B">
      <w:start w:val="1"/>
      <w:numFmt w:val="lowerRoman"/>
      <w:lvlText w:val="%3."/>
      <w:lvlJc w:val="right"/>
      <w:pPr>
        <w:ind w:left="3924" w:hanging="180"/>
      </w:pPr>
      <w:rPr>
        <w:rFonts w:cs="Times New Roman"/>
      </w:rPr>
    </w:lvl>
    <w:lvl w:ilvl="3" w:tplc="0402000F" w:tentative="1">
      <w:start w:val="1"/>
      <w:numFmt w:val="decimal"/>
      <w:lvlText w:val="%4."/>
      <w:lvlJc w:val="left"/>
      <w:pPr>
        <w:ind w:left="4644" w:hanging="360"/>
      </w:pPr>
      <w:rPr>
        <w:rFonts w:cs="Times New Roman"/>
      </w:rPr>
    </w:lvl>
    <w:lvl w:ilvl="4" w:tplc="04020019" w:tentative="1">
      <w:start w:val="1"/>
      <w:numFmt w:val="lowerLetter"/>
      <w:lvlText w:val="%5."/>
      <w:lvlJc w:val="left"/>
      <w:pPr>
        <w:ind w:left="5364" w:hanging="360"/>
      </w:pPr>
      <w:rPr>
        <w:rFonts w:cs="Times New Roman"/>
      </w:rPr>
    </w:lvl>
    <w:lvl w:ilvl="5" w:tplc="0402001B" w:tentative="1">
      <w:start w:val="1"/>
      <w:numFmt w:val="lowerRoman"/>
      <w:lvlText w:val="%6."/>
      <w:lvlJc w:val="right"/>
      <w:pPr>
        <w:ind w:left="6084" w:hanging="180"/>
      </w:pPr>
      <w:rPr>
        <w:rFonts w:cs="Times New Roman"/>
      </w:rPr>
    </w:lvl>
    <w:lvl w:ilvl="6" w:tplc="0402000F" w:tentative="1">
      <w:start w:val="1"/>
      <w:numFmt w:val="decimal"/>
      <w:lvlText w:val="%7."/>
      <w:lvlJc w:val="left"/>
      <w:pPr>
        <w:ind w:left="6804" w:hanging="360"/>
      </w:pPr>
      <w:rPr>
        <w:rFonts w:cs="Times New Roman"/>
      </w:rPr>
    </w:lvl>
    <w:lvl w:ilvl="7" w:tplc="04020019" w:tentative="1">
      <w:start w:val="1"/>
      <w:numFmt w:val="lowerLetter"/>
      <w:lvlText w:val="%8."/>
      <w:lvlJc w:val="left"/>
      <w:pPr>
        <w:ind w:left="7524" w:hanging="360"/>
      </w:pPr>
      <w:rPr>
        <w:rFonts w:cs="Times New Roman"/>
      </w:rPr>
    </w:lvl>
    <w:lvl w:ilvl="8" w:tplc="0402001B" w:tentative="1">
      <w:start w:val="1"/>
      <w:numFmt w:val="lowerRoman"/>
      <w:lvlText w:val="%9."/>
      <w:lvlJc w:val="right"/>
      <w:pPr>
        <w:ind w:left="8244" w:hanging="180"/>
      </w:pPr>
      <w:rPr>
        <w:rFonts w:cs="Times New Roman"/>
      </w:rPr>
    </w:lvl>
  </w:abstractNum>
  <w:abstractNum w:abstractNumId="411" w15:restartNumberingAfterBreak="0">
    <w:nsid w:val="75BF0388"/>
    <w:multiLevelType w:val="hybridMultilevel"/>
    <w:tmpl w:val="37ECD2D2"/>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12" w15:restartNumberingAfterBreak="0">
    <w:nsid w:val="75F21208"/>
    <w:multiLevelType w:val="hybridMultilevel"/>
    <w:tmpl w:val="C33C47B0"/>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413" w15:restartNumberingAfterBreak="0">
    <w:nsid w:val="76130348"/>
    <w:multiLevelType w:val="hybridMultilevel"/>
    <w:tmpl w:val="3CA4E8D8"/>
    <w:lvl w:ilvl="0" w:tplc="59385372">
      <w:start w:val="1"/>
      <w:numFmt w:val="bullet"/>
      <w:lvlText w:val="•"/>
      <w:lvlJc w:val="left"/>
      <w:pPr>
        <w:tabs>
          <w:tab w:val="num" w:pos="720"/>
        </w:tabs>
        <w:ind w:left="720" w:hanging="360"/>
      </w:pPr>
      <w:rPr>
        <w:rFonts w:ascii="Arial" w:hAnsi="Arial" w:hint="default"/>
      </w:rPr>
    </w:lvl>
    <w:lvl w:ilvl="1" w:tplc="97901B82" w:tentative="1">
      <w:start w:val="1"/>
      <w:numFmt w:val="bullet"/>
      <w:lvlText w:val="•"/>
      <w:lvlJc w:val="left"/>
      <w:pPr>
        <w:tabs>
          <w:tab w:val="num" w:pos="1440"/>
        </w:tabs>
        <w:ind w:left="1440" w:hanging="360"/>
      </w:pPr>
      <w:rPr>
        <w:rFonts w:ascii="Arial" w:hAnsi="Arial" w:hint="default"/>
      </w:rPr>
    </w:lvl>
    <w:lvl w:ilvl="2" w:tplc="9FE4713A" w:tentative="1">
      <w:start w:val="1"/>
      <w:numFmt w:val="bullet"/>
      <w:lvlText w:val="•"/>
      <w:lvlJc w:val="left"/>
      <w:pPr>
        <w:tabs>
          <w:tab w:val="num" w:pos="2160"/>
        </w:tabs>
        <w:ind w:left="2160" w:hanging="360"/>
      </w:pPr>
      <w:rPr>
        <w:rFonts w:ascii="Arial" w:hAnsi="Arial" w:hint="default"/>
      </w:rPr>
    </w:lvl>
    <w:lvl w:ilvl="3" w:tplc="2C04E716" w:tentative="1">
      <w:start w:val="1"/>
      <w:numFmt w:val="bullet"/>
      <w:lvlText w:val="•"/>
      <w:lvlJc w:val="left"/>
      <w:pPr>
        <w:tabs>
          <w:tab w:val="num" w:pos="2880"/>
        </w:tabs>
        <w:ind w:left="2880" w:hanging="360"/>
      </w:pPr>
      <w:rPr>
        <w:rFonts w:ascii="Arial" w:hAnsi="Arial" w:hint="default"/>
      </w:rPr>
    </w:lvl>
    <w:lvl w:ilvl="4" w:tplc="C974E090" w:tentative="1">
      <w:start w:val="1"/>
      <w:numFmt w:val="bullet"/>
      <w:lvlText w:val="•"/>
      <w:lvlJc w:val="left"/>
      <w:pPr>
        <w:tabs>
          <w:tab w:val="num" w:pos="3600"/>
        </w:tabs>
        <w:ind w:left="3600" w:hanging="360"/>
      </w:pPr>
      <w:rPr>
        <w:rFonts w:ascii="Arial" w:hAnsi="Arial" w:hint="default"/>
      </w:rPr>
    </w:lvl>
    <w:lvl w:ilvl="5" w:tplc="B12EC24C" w:tentative="1">
      <w:start w:val="1"/>
      <w:numFmt w:val="bullet"/>
      <w:lvlText w:val="•"/>
      <w:lvlJc w:val="left"/>
      <w:pPr>
        <w:tabs>
          <w:tab w:val="num" w:pos="4320"/>
        </w:tabs>
        <w:ind w:left="4320" w:hanging="360"/>
      </w:pPr>
      <w:rPr>
        <w:rFonts w:ascii="Arial" w:hAnsi="Arial" w:hint="default"/>
      </w:rPr>
    </w:lvl>
    <w:lvl w:ilvl="6" w:tplc="76308C18" w:tentative="1">
      <w:start w:val="1"/>
      <w:numFmt w:val="bullet"/>
      <w:lvlText w:val="•"/>
      <w:lvlJc w:val="left"/>
      <w:pPr>
        <w:tabs>
          <w:tab w:val="num" w:pos="5040"/>
        </w:tabs>
        <w:ind w:left="5040" w:hanging="360"/>
      </w:pPr>
      <w:rPr>
        <w:rFonts w:ascii="Arial" w:hAnsi="Arial" w:hint="default"/>
      </w:rPr>
    </w:lvl>
    <w:lvl w:ilvl="7" w:tplc="1C565FDA" w:tentative="1">
      <w:start w:val="1"/>
      <w:numFmt w:val="bullet"/>
      <w:lvlText w:val="•"/>
      <w:lvlJc w:val="left"/>
      <w:pPr>
        <w:tabs>
          <w:tab w:val="num" w:pos="5760"/>
        </w:tabs>
        <w:ind w:left="5760" w:hanging="360"/>
      </w:pPr>
      <w:rPr>
        <w:rFonts w:ascii="Arial" w:hAnsi="Arial" w:hint="default"/>
      </w:rPr>
    </w:lvl>
    <w:lvl w:ilvl="8" w:tplc="986E1B00" w:tentative="1">
      <w:start w:val="1"/>
      <w:numFmt w:val="bullet"/>
      <w:lvlText w:val="•"/>
      <w:lvlJc w:val="left"/>
      <w:pPr>
        <w:tabs>
          <w:tab w:val="num" w:pos="6480"/>
        </w:tabs>
        <w:ind w:left="6480" w:hanging="360"/>
      </w:pPr>
      <w:rPr>
        <w:rFonts w:ascii="Arial" w:hAnsi="Arial" w:hint="default"/>
      </w:rPr>
    </w:lvl>
  </w:abstractNum>
  <w:abstractNum w:abstractNumId="414" w15:restartNumberingAfterBreak="0">
    <w:nsid w:val="76376FFE"/>
    <w:multiLevelType w:val="hybridMultilevel"/>
    <w:tmpl w:val="B178E5A0"/>
    <w:lvl w:ilvl="0" w:tplc="DF72D776">
      <w:start w:val="1"/>
      <w:numFmt w:val="decimal"/>
      <w:lvlText w:val="%1)"/>
      <w:lvlJc w:val="left"/>
      <w:pPr>
        <w:ind w:left="1065" w:hanging="705"/>
      </w:pPr>
      <w:rPr>
        <w:rFonts w:cs="Times New Roman" w:hint="default"/>
        <w:b/>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415" w15:restartNumberingAfterBreak="0">
    <w:nsid w:val="769C0E2F"/>
    <w:multiLevelType w:val="hybridMultilevel"/>
    <w:tmpl w:val="859423D0"/>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6" w15:restartNumberingAfterBreak="0">
    <w:nsid w:val="76C35C8C"/>
    <w:multiLevelType w:val="hybridMultilevel"/>
    <w:tmpl w:val="732617A2"/>
    <w:lvl w:ilvl="0" w:tplc="9170F88A">
      <w:numFmt w:val="bullet"/>
      <w:lvlText w:val="-"/>
      <w:lvlJc w:val="left"/>
      <w:pPr>
        <w:ind w:left="1800" w:hanging="360"/>
      </w:pPr>
      <w:rPr>
        <w:rFonts w:ascii="Times New Roman" w:eastAsia="Times New Roman" w:hAnsi="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7" w15:restartNumberingAfterBreak="0">
    <w:nsid w:val="77B665C1"/>
    <w:multiLevelType w:val="hybridMultilevel"/>
    <w:tmpl w:val="BE24F2B6"/>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18" w15:restartNumberingAfterBreak="0">
    <w:nsid w:val="782027BE"/>
    <w:multiLevelType w:val="hybridMultilevel"/>
    <w:tmpl w:val="A9B05A8A"/>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19" w15:restartNumberingAfterBreak="0">
    <w:nsid w:val="799B7105"/>
    <w:multiLevelType w:val="hybridMultilevel"/>
    <w:tmpl w:val="93E65E28"/>
    <w:lvl w:ilvl="0" w:tplc="04020001">
      <w:start w:val="1"/>
      <w:numFmt w:val="decimal"/>
      <w:lvlText w:val="%1)"/>
      <w:lvlJc w:val="left"/>
      <w:pPr>
        <w:tabs>
          <w:tab w:val="num" w:pos="3165"/>
        </w:tabs>
        <w:ind w:left="3165" w:hanging="1005"/>
      </w:pPr>
      <w:rPr>
        <w:rFonts w:cs="Times New Roman" w:hint="default"/>
      </w:rPr>
    </w:lvl>
    <w:lvl w:ilvl="1" w:tplc="F642FE62">
      <w:start w:val="1"/>
      <w:numFmt w:val="bullet"/>
      <w:lvlText w:val=""/>
      <w:lvlJc w:val="left"/>
      <w:pPr>
        <w:tabs>
          <w:tab w:val="num" w:pos="3240"/>
        </w:tabs>
        <w:ind w:left="3240" w:hanging="360"/>
      </w:pPr>
      <w:rPr>
        <w:rFonts w:ascii="Symbol" w:hAnsi="Symbol" w:hint="default"/>
        <w:sz w:val="18"/>
      </w:rPr>
    </w:lvl>
    <w:lvl w:ilvl="2" w:tplc="82F8C580">
      <w:start w:val="1"/>
      <w:numFmt w:val="lowerRoman"/>
      <w:lvlText w:val="%3."/>
      <w:lvlJc w:val="right"/>
      <w:pPr>
        <w:tabs>
          <w:tab w:val="num" w:pos="3960"/>
        </w:tabs>
        <w:ind w:left="3960" w:hanging="180"/>
      </w:pPr>
      <w:rPr>
        <w:rFonts w:cs="Times New Roman"/>
      </w:rPr>
    </w:lvl>
    <w:lvl w:ilvl="3" w:tplc="5720D47E">
      <w:start w:val="1"/>
      <w:numFmt w:val="decimal"/>
      <w:lvlText w:val="%4."/>
      <w:lvlJc w:val="left"/>
      <w:pPr>
        <w:tabs>
          <w:tab w:val="num" w:pos="4680"/>
        </w:tabs>
        <w:ind w:left="4680" w:hanging="360"/>
      </w:pPr>
      <w:rPr>
        <w:rFonts w:cs="Times New Roman" w:hint="default"/>
      </w:rPr>
    </w:lvl>
    <w:lvl w:ilvl="4" w:tplc="5FACDA58" w:tentative="1">
      <w:start w:val="1"/>
      <w:numFmt w:val="lowerLetter"/>
      <w:lvlText w:val="%5."/>
      <w:lvlJc w:val="left"/>
      <w:pPr>
        <w:tabs>
          <w:tab w:val="num" w:pos="5400"/>
        </w:tabs>
        <w:ind w:left="5400" w:hanging="360"/>
      </w:pPr>
      <w:rPr>
        <w:rFonts w:cs="Times New Roman"/>
      </w:rPr>
    </w:lvl>
    <w:lvl w:ilvl="5" w:tplc="F8A20C18" w:tentative="1">
      <w:start w:val="1"/>
      <w:numFmt w:val="lowerRoman"/>
      <w:lvlText w:val="%6."/>
      <w:lvlJc w:val="right"/>
      <w:pPr>
        <w:tabs>
          <w:tab w:val="num" w:pos="6120"/>
        </w:tabs>
        <w:ind w:left="6120" w:hanging="180"/>
      </w:pPr>
      <w:rPr>
        <w:rFonts w:cs="Times New Roman"/>
      </w:rPr>
    </w:lvl>
    <w:lvl w:ilvl="6" w:tplc="3E781704" w:tentative="1">
      <w:start w:val="1"/>
      <w:numFmt w:val="decimal"/>
      <w:lvlText w:val="%7."/>
      <w:lvlJc w:val="left"/>
      <w:pPr>
        <w:tabs>
          <w:tab w:val="num" w:pos="6840"/>
        </w:tabs>
        <w:ind w:left="6840" w:hanging="360"/>
      </w:pPr>
      <w:rPr>
        <w:rFonts w:cs="Times New Roman"/>
      </w:rPr>
    </w:lvl>
    <w:lvl w:ilvl="7" w:tplc="57D84A6E" w:tentative="1">
      <w:start w:val="1"/>
      <w:numFmt w:val="lowerLetter"/>
      <w:lvlText w:val="%8."/>
      <w:lvlJc w:val="left"/>
      <w:pPr>
        <w:tabs>
          <w:tab w:val="num" w:pos="7560"/>
        </w:tabs>
        <w:ind w:left="7560" w:hanging="360"/>
      </w:pPr>
      <w:rPr>
        <w:rFonts w:cs="Times New Roman"/>
      </w:rPr>
    </w:lvl>
    <w:lvl w:ilvl="8" w:tplc="ED567FA4" w:tentative="1">
      <w:start w:val="1"/>
      <w:numFmt w:val="lowerRoman"/>
      <w:lvlText w:val="%9."/>
      <w:lvlJc w:val="right"/>
      <w:pPr>
        <w:tabs>
          <w:tab w:val="num" w:pos="8280"/>
        </w:tabs>
        <w:ind w:left="8280" w:hanging="180"/>
      </w:pPr>
      <w:rPr>
        <w:rFonts w:cs="Times New Roman"/>
      </w:rPr>
    </w:lvl>
  </w:abstractNum>
  <w:abstractNum w:abstractNumId="420" w15:restartNumberingAfterBreak="0">
    <w:nsid w:val="79CB2B37"/>
    <w:multiLevelType w:val="hybridMultilevel"/>
    <w:tmpl w:val="21C83FEC"/>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21" w15:restartNumberingAfterBreak="0">
    <w:nsid w:val="7A210AC2"/>
    <w:multiLevelType w:val="hybridMultilevel"/>
    <w:tmpl w:val="B61A7D14"/>
    <w:lvl w:ilvl="0" w:tplc="47E0B608">
      <w:numFmt w:val="bullet"/>
      <w:lvlText w:val="-"/>
      <w:lvlJc w:val="left"/>
      <w:pPr>
        <w:ind w:left="2136" w:hanging="360"/>
      </w:pPr>
      <w:rPr>
        <w:rFonts w:ascii="Times New Roman" w:eastAsia="Times New Roman" w:hAnsi="Times New Roman" w:hint="default"/>
      </w:rPr>
    </w:lvl>
    <w:lvl w:ilvl="1" w:tplc="04020003" w:tentative="1">
      <w:start w:val="1"/>
      <w:numFmt w:val="bullet"/>
      <w:lvlText w:val="o"/>
      <w:lvlJc w:val="left"/>
      <w:pPr>
        <w:ind w:left="2856" w:hanging="360"/>
      </w:pPr>
      <w:rPr>
        <w:rFonts w:ascii="Courier New" w:hAnsi="Courier New" w:hint="default"/>
      </w:rPr>
    </w:lvl>
    <w:lvl w:ilvl="2" w:tplc="04020005" w:tentative="1">
      <w:start w:val="1"/>
      <w:numFmt w:val="bullet"/>
      <w:lvlText w:val=""/>
      <w:lvlJc w:val="left"/>
      <w:pPr>
        <w:ind w:left="3576" w:hanging="360"/>
      </w:pPr>
      <w:rPr>
        <w:rFonts w:ascii="Wingdings" w:hAnsi="Wingdings" w:hint="default"/>
      </w:rPr>
    </w:lvl>
    <w:lvl w:ilvl="3" w:tplc="04020001" w:tentative="1">
      <w:start w:val="1"/>
      <w:numFmt w:val="bullet"/>
      <w:lvlText w:val=""/>
      <w:lvlJc w:val="left"/>
      <w:pPr>
        <w:ind w:left="4296" w:hanging="360"/>
      </w:pPr>
      <w:rPr>
        <w:rFonts w:ascii="Symbol" w:hAnsi="Symbol" w:hint="default"/>
      </w:rPr>
    </w:lvl>
    <w:lvl w:ilvl="4" w:tplc="04020003" w:tentative="1">
      <w:start w:val="1"/>
      <w:numFmt w:val="bullet"/>
      <w:lvlText w:val="o"/>
      <w:lvlJc w:val="left"/>
      <w:pPr>
        <w:ind w:left="5016" w:hanging="360"/>
      </w:pPr>
      <w:rPr>
        <w:rFonts w:ascii="Courier New" w:hAnsi="Courier New" w:hint="default"/>
      </w:rPr>
    </w:lvl>
    <w:lvl w:ilvl="5" w:tplc="04020005" w:tentative="1">
      <w:start w:val="1"/>
      <w:numFmt w:val="bullet"/>
      <w:lvlText w:val=""/>
      <w:lvlJc w:val="left"/>
      <w:pPr>
        <w:ind w:left="5736" w:hanging="360"/>
      </w:pPr>
      <w:rPr>
        <w:rFonts w:ascii="Wingdings" w:hAnsi="Wingdings" w:hint="default"/>
      </w:rPr>
    </w:lvl>
    <w:lvl w:ilvl="6" w:tplc="04020001" w:tentative="1">
      <w:start w:val="1"/>
      <w:numFmt w:val="bullet"/>
      <w:lvlText w:val=""/>
      <w:lvlJc w:val="left"/>
      <w:pPr>
        <w:ind w:left="6456" w:hanging="360"/>
      </w:pPr>
      <w:rPr>
        <w:rFonts w:ascii="Symbol" w:hAnsi="Symbol" w:hint="default"/>
      </w:rPr>
    </w:lvl>
    <w:lvl w:ilvl="7" w:tplc="04020003" w:tentative="1">
      <w:start w:val="1"/>
      <w:numFmt w:val="bullet"/>
      <w:lvlText w:val="o"/>
      <w:lvlJc w:val="left"/>
      <w:pPr>
        <w:ind w:left="7176" w:hanging="360"/>
      </w:pPr>
      <w:rPr>
        <w:rFonts w:ascii="Courier New" w:hAnsi="Courier New" w:hint="default"/>
      </w:rPr>
    </w:lvl>
    <w:lvl w:ilvl="8" w:tplc="04020005" w:tentative="1">
      <w:start w:val="1"/>
      <w:numFmt w:val="bullet"/>
      <w:lvlText w:val=""/>
      <w:lvlJc w:val="left"/>
      <w:pPr>
        <w:ind w:left="7896" w:hanging="360"/>
      </w:pPr>
      <w:rPr>
        <w:rFonts w:ascii="Wingdings" w:hAnsi="Wingdings" w:hint="default"/>
      </w:rPr>
    </w:lvl>
  </w:abstractNum>
  <w:abstractNum w:abstractNumId="422" w15:restartNumberingAfterBreak="0">
    <w:nsid w:val="7A4A433D"/>
    <w:multiLevelType w:val="multilevel"/>
    <w:tmpl w:val="6E565468"/>
    <w:lvl w:ilvl="0">
      <w:start w:val="3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3" w15:restartNumberingAfterBreak="0">
    <w:nsid w:val="7A4D2EE0"/>
    <w:multiLevelType w:val="hybridMultilevel"/>
    <w:tmpl w:val="A1ACB914"/>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24" w15:restartNumberingAfterBreak="0">
    <w:nsid w:val="7A5D21D8"/>
    <w:multiLevelType w:val="hybridMultilevel"/>
    <w:tmpl w:val="48684A26"/>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25" w15:restartNumberingAfterBreak="0">
    <w:nsid w:val="7A8336E0"/>
    <w:multiLevelType w:val="hybridMultilevel"/>
    <w:tmpl w:val="D3D06DE8"/>
    <w:lvl w:ilvl="0" w:tplc="952C525E">
      <w:start w:val="3"/>
      <w:numFmt w:val="bullet"/>
      <w:lvlText w:val="-"/>
      <w:lvlJc w:val="left"/>
      <w:pPr>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6" w15:restartNumberingAfterBreak="0">
    <w:nsid w:val="7B13588F"/>
    <w:multiLevelType w:val="hybridMultilevel"/>
    <w:tmpl w:val="3BD84E9C"/>
    <w:lvl w:ilvl="0" w:tplc="04020005">
      <w:start w:val="1"/>
      <w:numFmt w:val="bullet"/>
      <w:lvlText w:val=""/>
      <w:lvlJc w:val="left"/>
      <w:pPr>
        <w:tabs>
          <w:tab w:val="num" w:pos="360"/>
        </w:tabs>
        <w:ind w:left="360" w:hanging="360"/>
      </w:pPr>
      <w:rPr>
        <w:rFonts w:ascii="Wingdings" w:hAnsi="Wingdings" w:hint="default"/>
        <w:b/>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427" w15:restartNumberingAfterBreak="0">
    <w:nsid w:val="7B995E2D"/>
    <w:multiLevelType w:val="hybridMultilevel"/>
    <w:tmpl w:val="41CA36B6"/>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428" w15:restartNumberingAfterBreak="0">
    <w:nsid w:val="7BBB18BE"/>
    <w:multiLevelType w:val="hybridMultilevel"/>
    <w:tmpl w:val="34DE94C6"/>
    <w:lvl w:ilvl="0" w:tplc="D05840D2">
      <w:start w:val="1"/>
      <w:numFmt w:val="decimal"/>
      <w:lvlText w:val="%1."/>
      <w:lvlJc w:val="left"/>
      <w:pPr>
        <w:ind w:left="900" w:hanging="360"/>
      </w:pPr>
      <w:rPr>
        <w:rFonts w:cs="Times New Roman" w:hint="default"/>
      </w:rPr>
    </w:lvl>
    <w:lvl w:ilvl="1" w:tplc="08090019" w:tentative="1">
      <w:start w:val="1"/>
      <w:numFmt w:val="lowerLetter"/>
      <w:lvlText w:val="%2."/>
      <w:lvlJc w:val="left"/>
      <w:pPr>
        <w:ind w:left="1620" w:hanging="360"/>
      </w:pPr>
      <w:rPr>
        <w:rFonts w:cs="Times New Roman"/>
      </w:rPr>
    </w:lvl>
    <w:lvl w:ilvl="2" w:tplc="0809001B" w:tentative="1">
      <w:start w:val="1"/>
      <w:numFmt w:val="lowerRoman"/>
      <w:lvlText w:val="%3."/>
      <w:lvlJc w:val="right"/>
      <w:pPr>
        <w:ind w:left="2340" w:hanging="180"/>
      </w:pPr>
      <w:rPr>
        <w:rFonts w:cs="Times New Roman"/>
      </w:rPr>
    </w:lvl>
    <w:lvl w:ilvl="3" w:tplc="0809000F" w:tentative="1">
      <w:start w:val="1"/>
      <w:numFmt w:val="decimal"/>
      <w:lvlText w:val="%4."/>
      <w:lvlJc w:val="left"/>
      <w:pPr>
        <w:ind w:left="3060" w:hanging="360"/>
      </w:pPr>
      <w:rPr>
        <w:rFonts w:cs="Times New Roman"/>
      </w:rPr>
    </w:lvl>
    <w:lvl w:ilvl="4" w:tplc="08090019" w:tentative="1">
      <w:start w:val="1"/>
      <w:numFmt w:val="lowerLetter"/>
      <w:lvlText w:val="%5."/>
      <w:lvlJc w:val="left"/>
      <w:pPr>
        <w:ind w:left="3780" w:hanging="360"/>
      </w:pPr>
      <w:rPr>
        <w:rFonts w:cs="Times New Roman"/>
      </w:rPr>
    </w:lvl>
    <w:lvl w:ilvl="5" w:tplc="0809001B" w:tentative="1">
      <w:start w:val="1"/>
      <w:numFmt w:val="lowerRoman"/>
      <w:lvlText w:val="%6."/>
      <w:lvlJc w:val="right"/>
      <w:pPr>
        <w:ind w:left="4500" w:hanging="180"/>
      </w:pPr>
      <w:rPr>
        <w:rFonts w:cs="Times New Roman"/>
      </w:rPr>
    </w:lvl>
    <w:lvl w:ilvl="6" w:tplc="0809000F" w:tentative="1">
      <w:start w:val="1"/>
      <w:numFmt w:val="decimal"/>
      <w:lvlText w:val="%7."/>
      <w:lvlJc w:val="left"/>
      <w:pPr>
        <w:ind w:left="5220" w:hanging="360"/>
      </w:pPr>
      <w:rPr>
        <w:rFonts w:cs="Times New Roman"/>
      </w:rPr>
    </w:lvl>
    <w:lvl w:ilvl="7" w:tplc="08090019" w:tentative="1">
      <w:start w:val="1"/>
      <w:numFmt w:val="lowerLetter"/>
      <w:lvlText w:val="%8."/>
      <w:lvlJc w:val="left"/>
      <w:pPr>
        <w:ind w:left="5940" w:hanging="360"/>
      </w:pPr>
      <w:rPr>
        <w:rFonts w:cs="Times New Roman"/>
      </w:rPr>
    </w:lvl>
    <w:lvl w:ilvl="8" w:tplc="0809001B" w:tentative="1">
      <w:start w:val="1"/>
      <w:numFmt w:val="lowerRoman"/>
      <w:lvlText w:val="%9."/>
      <w:lvlJc w:val="right"/>
      <w:pPr>
        <w:ind w:left="6660" w:hanging="180"/>
      </w:pPr>
      <w:rPr>
        <w:rFonts w:cs="Times New Roman"/>
      </w:rPr>
    </w:lvl>
  </w:abstractNum>
  <w:abstractNum w:abstractNumId="429" w15:restartNumberingAfterBreak="0">
    <w:nsid w:val="7BFE11A0"/>
    <w:multiLevelType w:val="hybridMultilevel"/>
    <w:tmpl w:val="A4C24D3A"/>
    <w:lvl w:ilvl="0" w:tplc="0402000F">
      <w:start w:val="1"/>
      <w:numFmt w:val="decimal"/>
      <w:lvlText w:val="%1."/>
      <w:lvlJc w:val="left"/>
      <w:pPr>
        <w:ind w:left="1571" w:hanging="360"/>
      </w:pPr>
    </w:lvl>
    <w:lvl w:ilvl="1" w:tplc="04020019">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430" w15:restartNumberingAfterBreak="0">
    <w:nsid w:val="7C34348F"/>
    <w:multiLevelType w:val="hybridMultilevel"/>
    <w:tmpl w:val="E8606C1A"/>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431" w15:restartNumberingAfterBreak="0">
    <w:nsid w:val="7D1B5551"/>
    <w:multiLevelType w:val="hybridMultilevel"/>
    <w:tmpl w:val="849AA76C"/>
    <w:lvl w:ilvl="0" w:tplc="0402000F">
      <w:start w:val="1"/>
      <w:numFmt w:val="decimal"/>
      <w:lvlText w:val="%1."/>
      <w:lvlJc w:val="left"/>
      <w:pPr>
        <w:ind w:left="1571" w:hanging="360"/>
      </w:pPr>
    </w:lvl>
    <w:lvl w:ilvl="1" w:tplc="04020019">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432" w15:restartNumberingAfterBreak="0">
    <w:nsid w:val="7D1E4EA1"/>
    <w:multiLevelType w:val="hybridMultilevel"/>
    <w:tmpl w:val="81785FBE"/>
    <w:lvl w:ilvl="0" w:tplc="B7385E5E">
      <w:start w:val="1"/>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3" w15:restartNumberingAfterBreak="0">
    <w:nsid w:val="7D9214DA"/>
    <w:multiLevelType w:val="hybridMultilevel"/>
    <w:tmpl w:val="657E0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4" w15:restartNumberingAfterBreak="0">
    <w:nsid w:val="7D9B6AE1"/>
    <w:multiLevelType w:val="hybridMultilevel"/>
    <w:tmpl w:val="B8A2C75C"/>
    <w:lvl w:ilvl="0" w:tplc="04020011">
      <w:start w:val="1"/>
      <w:numFmt w:val="decimal"/>
      <w:lvlText w:val="%1)"/>
      <w:lvlJc w:val="left"/>
      <w:pPr>
        <w:ind w:left="720" w:hanging="360"/>
      </w:pPr>
      <w:rPr>
        <w:rFonts w:cs="Times New Roman"/>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435" w15:restartNumberingAfterBreak="0">
    <w:nsid w:val="7DA04773"/>
    <w:multiLevelType w:val="hybridMultilevel"/>
    <w:tmpl w:val="97FC0DE0"/>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36" w15:restartNumberingAfterBreak="0">
    <w:nsid w:val="7DA3264F"/>
    <w:multiLevelType w:val="multilevel"/>
    <w:tmpl w:val="A19ECE3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7" w15:restartNumberingAfterBreak="0">
    <w:nsid w:val="7DC66BD4"/>
    <w:multiLevelType w:val="hybridMultilevel"/>
    <w:tmpl w:val="6CC2AB10"/>
    <w:lvl w:ilvl="0" w:tplc="4F3045AC">
      <w:numFmt w:val="bullet"/>
      <w:lvlText w:val="-"/>
      <w:lvlJc w:val="left"/>
      <w:pPr>
        <w:ind w:left="1211" w:hanging="360"/>
      </w:pPr>
      <w:rPr>
        <w:rFonts w:ascii="Calibri" w:eastAsia="Calibri" w:hAnsi="Calibri" w:cs="Calibri" w:hint="default"/>
      </w:rPr>
    </w:lvl>
    <w:lvl w:ilvl="1" w:tplc="04020003">
      <w:start w:val="1"/>
      <w:numFmt w:val="bullet"/>
      <w:lvlText w:val="o"/>
      <w:lvlJc w:val="left"/>
      <w:pPr>
        <w:ind w:left="1931" w:hanging="360"/>
      </w:pPr>
      <w:rPr>
        <w:rFonts w:ascii="Courier New" w:hAnsi="Courier New" w:cs="Courier New" w:hint="default"/>
      </w:rPr>
    </w:lvl>
    <w:lvl w:ilvl="2" w:tplc="04020005">
      <w:start w:val="1"/>
      <w:numFmt w:val="bullet"/>
      <w:lvlText w:val=""/>
      <w:lvlJc w:val="left"/>
      <w:pPr>
        <w:ind w:left="2651" w:hanging="360"/>
      </w:pPr>
      <w:rPr>
        <w:rFonts w:ascii="Wingdings" w:hAnsi="Wingdings" w:hint="default"/>
      </w:rPr>
    </w:lvl>
    <w:lvl w:ilvl="3" w:tplc="04020001">
      <w:start w:val="1"/>
      <w:numFmt w:val="bullet"/>
      <w:lvlText w:val=""/>
      <w:lvlJc w:val="left"/>
      <w:pPr>
        <w:ind w:left="3371" w:hanging="360"/>
      </w:pPr>
      <w:rPr>
        <w:rFonts w:ascii="Symbol" w:hAnsi="Symbol" w:hint="default"/>
      </w:rPr>
    </w:lvl>
    <w:lvl w:ilvl="4" w:tplc="04020003">
      <w:start w:val="1"/>
      <w:numFmt w:val="bullet"/>
      <w:lvlText w:val="o"/>
      <w:lvlJc w:val="left"/>
      <w:pPr>
        <w:ind w:left="4091" w:hanging="360"/>
      </w:pPr>
      <w:rPr>
        <w:rFonts w:ascii="Courier New" w:hAnsi="Courier New" w:cs="Courier New" w:hint="default"/>
      </w:rPr>
    </w:lvl>
    <w:lvl w:ilvl="5" w:tplc="04020005">
      <w:start w:val="1"/>
      <w:numFmt w:val="bullet"/>
      <w:lvlText w:val=""/>
      <w:lvlJc w:val="left"/>
      <w:pPr>
        <w:ind w:left="4811" w:hanging="360"/>
      </w:pPr>
      <w:rPr>
        <w:rFonts w:ascii="Wingdings" w:hAnsi="Wingdings" w:hint="default"/>
      </w:rPr>
    </w:lvl>
    <w:lvl w:ilvl="6" w:tplc="04020001">
      <w:start w:val="1"/>
      <w:numFmt w:val="bullet"/>
      <w:lvlText w:val=""/>
      <w:lvlJc w:val="left"/>
      <w:pPr>
        <w:ind w:left="5531" w:hanging="360"/>
      </w:pPr>
      <w:rPr>
        <w:rFonts w:ascii="Symbol" w:hAnsi="Symbol" w:hint="default"/>
      </w:rPr>
    </w:lvl>
    <w:lvl w:ilvl="7" w:tplc="04020003">
      <w:start w:val="1"/>
      <w:numFmt w:val="bullet"/>
      <w:lvlText w:val="o"/>
      <w:lvlJc w:val="left"/>
      <w:pPr>
        <w:ind w:left="6251" w:hanging="360"/>
      </w:pPr>
      <w:rPr>
        <w:rFonts w:ascii="Courier New" w:hAnsi="Courier New" w:cs="Courier New" w:hint="default"/>
      </w:rPr>
    </w:lvl>
    <w:lvl w:ilvl="8" w:tplc="04020005">
      <w:start w:val="1"/>
      <w:numFmt w:val="bullet"/>
      <w:lvlText w:val=""/>
      <w:lvlJc w:val="left"/>
      <w:pPr>
        <w:ind w:left="6971" w:hanging="360"/>
      </w:pPr>
      <w:rPr>
        <w:rFonts w:ascii="Wingdings" w:hAnsi="Wingdings" w:hint="default"/>
      </w:rPr>
    </w:lvl>
  </w:abstractNum>
  <w:abstractNum w:abstractNumId="438" w15:restartNumberingAfterBreak="0">
    <w:nsid w:val="7E10772B"/>
    <w:multiLevelType w:val="hybridMultilevel"/>
    <w:tmpl w:val="014884F0"/>
    <w:lvl w:ilvl="0" w:tplc="5F080A36">
      <w:start w:val="1"/>
      <w:numFmt w:val="decimal"/>
      <w:lvlText w:val="%1."/>
      <w:lvlJc w:val="left"/>
      <w:pPr>
        <w:tabs>
          <w:tab w:val="num" w:pos="720"/>
        </w:tabs>
        <w:ind w:left="720" w:hanging="360"/>
      </w:pPr>
      <w:rPr>
        <w:rFonts w:cs="Times New Roman"/>
      </w:rPr>
    </w:lvl>
    <w:lvl w:ilvl="1" w:tplc="1AD858A4" w:tentative="1">
      <w:start w:val="1"/>
      <w:numFmt w:val="decimal"/>
      <w:lvlText w:val="%2."/>
      <w:lvlJc w:val="left"/>
      <w:pPr>
        <w:tabs>
          <w:tab w:val="num" w:pos="1440"/>
        </w:tabs>
        <w:ind w:left="1440" w:hanging="360"/>
      </w:pPr>
      <w:rPr>
        <w:rFonts w:cs="Times New Roman"/>
      </w:rPr>
    </w:lvl>
    <w:lvl w:ilvl="2" w:tplc="E9C23AB6" w:tentative="1">
      <w:start w:val="1"/>
      <w:numFmt w:val="decimal"/>
      <w:lvlText w:val="%3."/>
      <w:lvlJc w:val="left"/>
      <w:pPr>
        <w:tabs>
          <w:tab w:val="num" w:pos="2160"/>
        </w:tabs>
        <w:ind w:left="2160" w:hanging="360"/>
      </w:pPr>
      <w:rPr>
        <w:rFonts w:cs="Times New Roman"/>
      </w:rPr>
    </w:lvl>
    <w:lvl w:ilvl="3" w:tplc="B63CCB9A" w:tentative="1">
      <w:start w:val="1"/>
      <w:numFmt w:val="decimal"/>
      <w:lvlText w:val="%4."/>
      <w:lvlJc w:val="left"/>
      <w:pPr>
        <w:tabs>
          <w:tab w:val="num" w:pos="2880"/>
        </w:tabs>
        <w:ind w:left="2880" w:hanging="360"/>
      </w:pPr>
      <w:rPr>
        <w:rFonts w:cs="Times New Roman"/>
      </w:rPr>
    </w:lvl>
    <w:lvl w:ilvl="4" w:tplc="487E79D6" w:tentative="1">
      <w:start w:val="1"/>
      <w:numFmt w:val="decimal"/>
      <w:lvlText w:val="%5."/>
      <w:lvlJc w:val="left"/>
      <w:pPr>
        <w:tabs>
          <w:tab w:val="num" w:pos="3600"/>
        </w:tabs>
        <w:ind w:left="3600" w:hanging="360"/>
      </w:pPr>
      <w:rPr>
        <w:rFonts w:cs="Times New Roman"/>
      </w:rPr>
    </w:lvl>
    <w:lvl w:ilvl="5" w:tplc="7674C574" w:tentative="1">
      <w:start w:val="1"/>
      <w:numFmt w:val="decimal"/>
      <w:lvlText w:val="%6."/>
      <w:lvlJc w:val="left"/>
      <w:pPr>
        <w:tabs>
          <w:tab w:val="num" w:pos="4320"/>
        </w:tabs>
        <w:ind w:left="4320" w:hanging="360"/>
      </w:pPr>
      <w:rPr>
        <w:rFonts w:cs="Times New Roman"/>
      </w:rPr>
    </w:lvl>
    <w:lvl w:ilvl="6" w:tplc="902688F2" w:tentative="1">
      <w:start w:val="1"/>
      <w:numFmt w:val="decimal"/>
      <w:lvlText w:val="%7."/>
      <w:lvlJc w:val="left"/>
      <w:pPr>
        <w:tabs>
          <w:tab w:val="num" w:pos="5040"/>
        </w:tabs>
        <w:ind w:left="5040" w:hanging="360"/>
      </w:pPr>
      <w:rPr>
        <w:rFonts w:cs="Times New Roman"/>
      </w:rPr>
    </w:lvl>
    <w:lvl w:ilvl="7" w:tplc="19FA0D12" w:tentative="1">
      <w:start w:val="1"/>
      <w:numFmt w:val="decimal"/>
      <w:lvlText w:val="%8."/>
      <w:lvlJc w:val="left"/>
      <w:pPr>
        <w:tabs>
          <w:tab w:val="num" w:pos="5760"/>
        </w:tabs>
        <w:ind w:left="5760" w:hanging="360"/>
      </w:pPr>
      <w:rPr>
        <w:rFonts w:cs="Times New Roman"/>
      </w:rPr>
    </w:lvl>
    <w:lvl w:ilvl="8" w:tplc="AAAE6642" w:tentative="1">
      <w:start w:val="1"/>
      <w:numFmt w:val="decimal"/>
      <w:lvlText w:val="%9."/>
      <w:lvlJc w:val="left"/>
      <w:pPr>
        <w:tabs>
          <w:tab w:val="num" w:pos="6480"/>
        </w:tabs>
        <w:ind w:left="6480" w:hanging="360"/>
      </w:pPr>
      <w:rPr>
        <w:rFonts w:cs="Times New Roman"/>
      </w:rPr>
    </w:lvl>
  </w:abstractNum>
  <w:abstractNum w:abstractNumId="439" w15:restartNumberingAfterBreak="0">
    <w:nsid w:val="7E247804"/>
    <w:multiLevelType w:val="hybridMultilevel"/>
    <w:tmpl w:val="825448B4"/>
    <w:lvl w:ilvl="0" w:tplc="A9247984">
      <w:start w:val="1"/>
      <w:numFmt w:val="decimal"/>
      <w:lvlText w:val="%1)"/>
      <w:lvlJc w:val="left"/>
      <w:pPr>
        <w:ind w:left="1571" w:hanging="360"/>
      </w:pPr>
      <w:rPr>
        <w:b/>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440" w15:restartNumberingAfterBreak="0">
    <w:nsid w:val="7E363C67"/>
    <w:multiLevelType w:val="hybridMultilevel"/>
    <w:tmpl w:val="D8FAAA46"/>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1" w15:restartNumberingAfterBreak="0">
    <w:nsid w:val="7EC81304"/>
    <w:multiLevelType w:val="hybridMultilevel"/>
    <w:tmpl w:val="2D707A40"/>
    <w:name w:val="PwCHeadingListTemplate"/>
    <w:lvl w:ilvl="0" w:tplc="FFFFFFFF">
      <w:start w:val="1"/>
      <w:numFmt w:val="bullet"/>
      <w:lvlText w:val=""/>
      <w:lvlJc w:val="left"/>
      <w:pPr>
        <w:tabs>
          <w:tab w:val="num" w:pos="1854"/>
        </w:tabs>
        <w:ind w:left="1854" w:hanging="360"/>
      </w:pPr>
      <w:rPr>
        <w:rFonts w:ascii="Symbol" w:hAnsi="Symbol" w:hint="default"/>
      </w:rPr>
    </w:lvl>
    <w:lvl w:ilvl="1" w:tplc="980819B6">
      <w:start w:val="2"/>
      <w:numFmt w:val="decimal"/>
      <w:lvlText w:val="%2."/>
      <w:lvlJc w:val="left"/>
      <w:pPr>
        <w:tabs>
          <w:tab w:val="num" w:pos="1495"/>
        </w:tabs>
        <w:ind w:left="1495" w:hanging="360"/>
      </w:pPr>
      <w:rPr>
        <w:rFonts w:cs="Times New Roman" w:hint="default"/>
      </w:rPr>
    </w:lvl>
    <w:lvl w:ilvl="2" w:tplc="04020005" w:tentative="1">
      <w:start w:val="1"/>
      <w:numFmt w:val="bullet"/>
      <w:lvlText w:val=""/>
      <w:lvlJc w:val="left"/>
      <w:pPr>
        <w:tabs>
          <w:tab w:val="num" w:pos="3294"/>
        </w:tabs>
        <w:ind w:left="3294" w:hanging="360"/>
      </w:pPr>
      <w:rPr>
        <w:rFonts w:ascii="Wingdings" w:hAnsi="Wingdings" w:hint="default"/>
      </w:rPr>
    </w:lvl>
    <w:lvl w:ilvl="3" w:tplc="04020001" w:tentative="1">
      <w:start w:val="1"/>
      <w:numFmt w:val="bullet"/>
      <w:lvlText w:val=""/>
      <w:lvlJc w:val="left"/>
      <w:pPr>
        <w:tabs>
          <w:tab w:val="num" w:pos="4014"/>
        </w:tabs>
        <w:ind w:left="4014" w:hanging="360"/>
      </w:pPr>
      <w:rPr>
        <w:rFonts w:ascii="Symbol" w:hAnsi="Symbol" w:hint="default"/>
      </w:rPr>
    </w:lvl>
    <w:lvl w:ilvl="4" w:tplc="04020003" w:tentative="1">
      <w:start w:val="1"/>
      <w:numFmt w:val="bullet"/>
      <w:lvlText w:val="o"/>
      <w:lvlJc w:val="left"/>
      <w:pPr>
        <w:tabs>
          <w:tab w:val="num" w:pos="4734"/>
        </w:tabs>
        <w:ind w:left="4734" w:hanging="360"/>
      </w:pPr>
      <w:rPr>
        <w:rFonts w:ascii="Courier New" w:hAnsi="Courier New" w:hint="default"/>
      </w:rPr>
    </w:lvl>
    <w:lvl w:ilvl="5" w:tplc="04020005" w:tentative="1">
      <w:start w:val="1"/>
      <w:numFmt w:val="bullet"/>
      <w:lvlText w:val=""/>
      <w:lvlJc w:val="left"/>
      <w:pPr>
        <w:tabs>
          <w:tab w:val="num" w:pos="5454"/>
        </w:tabs>
        <w:ind w:left="5454" w:hanging="360"/>
      </w:pPr>
      <w:rPr>
        <w:rFonts w:ascii="Wingdings" w:hAnsi="Wingdings" w:hint="default"/>
      </w:rPr>
    </w:lvl>
    <w:lvl w:ilvl="6" w:tplc="04020001" w:tentative="1">
      <w:start w:val="1"/>
      <w:numFmt w:val="bullet"/>
      <w:lvlText w:val=""/>
      <w:lvlJc w:val="left"/>
      <w:pPr>
        <w:tabs>
          <w:tab w:val="num" w:pos="6174"/>
        </w:tabs>
        <w:ind w:left="6174" w:hanging="360"/>
      </w:pPr>
      <w:rPr>
        <w:rFonts w:ascii="Symbol" w:hAnsi="Symbol" w:hint="default"/>
      </w:rPr>
    </w:lvl>
    <w:lvl w:ilvl="7" w:tplc="04020003" w:tentative="1">
      <w:start w:val="1"/>
      <w:numFmt w:val="bullet"/>
      <w:lvlText w:val="o"/>
      <w:lvlJc w:val="left"/>
      <w:pPr>
        <w:tabs>
          <w:tab w:val="num" w:pos="6894"/>
        </w:tabs>
        <w:ind w:left="6894" w:hanging="360"/>
      </w:pPr>
      <w:rPr>
        <w:rFonts w:ascii="Courier New" w:hAnsi="Courier New" w:hint="default"/>
      </w:rPr>
    </w:lvl>
    <w:lvl w:ilvl="8" w:tplc="04020005" w:tentative="1">
      <w:start w:val="1"/>
      <w:numFmt w:val="bullet"/>
      <w:lvlText w:val=""/>
      <w:lvlJc w:val="left"/>
      <w:pPr>
        <w:tabs>
          <w:tab w:val="num" w:pos="7614"/>
        </w:tabs>
        <w:ind w:left="7614" w:hanging="360"/>
      </w:pPr>
      <w:rPr>
        <w:rFonts w:ascii="Wingdings" w:hAnsi="Wingdings" w:hint="default"/>
      </w:rPr>
    </w:lvl>
  </w:abstractNum>
  <w:abstractNum w:abstractNumId="442" w15:restartNumberingAfterBreak="0">
    <w:nsid w:val="7EEA393C"/>
    <w:multiLevelType w:val="hybridMultilevel"/>
    <w:tmpl w:val="30D842E6"/>
    <w:lvl w:ilvl="0" w:tplc="0402000F">
      <w:start w:val="36"/>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43" w15:restartNumberingAfterBreak="0">
    <w:nsid w:val="7EEC6923"/>
    <w:multiLevelType w:val="hybridMultilevel"/>
    <w:tmpl w:val="5262EFF8"/>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44" w15:restartNumberingAfterBreak="0">
    <w:nsid w:val="7F0D5F84"/>
    <w:multiLevelType w:val="hybridMultilevel"/>
    <w:tmpl w:val="4DDEBB3C"/>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45" w15:restartNumberingAfterBreak="0">
    <w:nsid w:val="7F245954"/>
    <w:multiLevelType w:val="multilevel"/>
    <w:tmpl w:val="0402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6" w15:restartNumberingAfterBreak="0">
    <w:nsid w:val="7F245BFB"/>
    <w:multiLevelType w:val="multilevel"/>
    <w:tmpl w:val="0BA89AE4"/>
    <w:lvl w:ilvl="0">
      <w:start w:val="1"/>
      <w:numFmt w:val="decimal"/>
      <w:lvlText w:val="%1."/>
      <w:lvlJc w:val="left"/>
      <w:pPr>
        <w:ind w:left="644" w:hanging="360"/>
      </w:pPr>
      <w:rPr>
        <w:rFonts w:hint="default"/>
        <w:b w:val="0"/>
        <w:i w:val="0"/>
        <w:sz w:val="24"/>
      </w:rPr>
    </w:lvl>
    <w:lvl w:ilvl="1">
      <w:start w:val="1"/>
      <w:numFmt w:val="decimal"/>
      <w:lvlText w:val="%1.%2."/>
      <w:lvlJc w:val="left"/>
      <w:pPr>
        <w:ind w:left="792" w:hanging="432"/>
      </w:pPr>
      <w:rPr>
        <w:rFonts w:hint="default"/>
        <w:b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7" w15:restartNumberingAfterBreak="0">
    <w:nsid w:val="7F61135C"/>
    <w:multiLevelType w:val="hybridMultilevel"/>
    <w:tmpl w:val="AC32681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8" w15:restartNumberingAfterBreak="0">
    <w:nsid w:val="7F757352"/>
    <w:multiLevelType w:val="hybridMultilevel"/>
    <w:tmpl w:val="BB30CD1A"/>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952C525E">
      <w:start w:val="3"/>
      <w:numFmt w:val="bullet"/>
      <w:lvlText w:val="-"/>
      <w:lvlJc w:val="left"/>
      <w:pPr>
        <w:tabs>
          <w:tab w:val="num" w:pos="2160"/>
        </w:tabs>
        <w:ind w:left="2160" w:hanging="360"/>
      </w:pPr>
      <w:rPr>
        <w:rFonts w:ascii="Times New Roman" w:eastAsia="Times New Roman" w:hAnsi="Times New Roman"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54"/>
  </w:num>
  <w:num w:numId="2">
    <w:abstractNumId w:val="182"/>
  </w:num>
  <w:num w:numId="3">
    <w:abstractNumId w:val="404"/>
    <w:lvlOverride w:ilvl="0">
      <w:lvl w:ilvl="0">
        <w:start w:val="2"/>
        <w:numFmt w:val="decimal"/>
        <w:lvlText w:val="%1."/>
        <w:lvlJc w:val="left"/>
        <w:pPr>
          <w:ind w:left="540" w:hanging="360"/>
        </w:pPr>
        <w:rPr>
          <w:rFonts w:cs="Times New Roman" w:hint="default"/>
        </w:rPr>
      </w:lvl>
    </w:lvlOverride>
    <w:lvlOverride w:ilvl="1">
      <w:lvl w:ilvl="1">
        <w:start w:val="1"/>
        <w:numFmt w:val="decimal"/>
        <w:lvlText w:val="%1.%2."/>
        <w:lvlJc w:val="left"/>
        <w:pPr>
          <w:ind w:left="792" w:hanging="432"/>
        </w:pPr>
        <w:rPr>
          <w:rFonts w:cs="Times New Roman" w:hint="default"/>
          <w:i w:val="0"/>
        </w:rPr>
      </w:lvl>
    </w:lvlOverride>
    <w:lvlOverride w:ilvl="2">
      <w:lvl w:ilvl="2">
        <w:start w:val="1"/>
        <w:numFmt w:val="decimal"/>
        <w:lvlText w:val="%1.%2.%3."/>
        <w:lvlJc w:val="left"/>
        <w:pPr>
          <w:ind w:left="774" w:hanging="504"/>
        </w:pPr>
        <w:rPr>
          <w:rFonts w:cs="Times New Roman" w:hint="default"/>
          <w:b/>
          <w:i w:val="0"/>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4">
    <w:abstractNumId w:val="360"/>
  </w:num>
  <w:num w:numId="5">
    <w:abstractNumId w:val="184"/>
  </w:num>
  <w:num w:numId="6">
    <w:abstractNumId w:val="282"/>
  </w:num>
  <w:num w:numId="7">
    <w:abstractNumId w:val="362"/>
  </w:num>
  <w:num w:numId="8">
    <w:abstractNumId w:val="10"/>
  </w:num>
  <w:num w:numId="9">
    <w:abstractNumId w:val="52"/>
  </w:num>
  <w:num w:numId="10">
    <w:abstractNumId w:val="102"/>
  </w:num>
  <w:num w:numId="11">
    <w:abstractNumId w:val="160"/>
  </w:num>
  <w:num w:numId="12">
    <w:abstractNumId w:val="297"/>
  </w:num>
  <w:num w:numId="13">
    <w:abstractNumId w:val="109"/>
  </w:num>
  <w:num w:numId="14">
    <w:abstractNumId w:val="161"/>
  </w:num>
  <w:num w:numId="15">
    <w:abstractNumId w:val="300"/>
  </w:num>
  <w:num w:numId="16">
    <w:abstractNumId w:val="0"/>
  </w:num>
  <w:num w:numId="17">
    <w:abstractNumId w:val="197"/>
  </w:num>
  <w:num w:numId="18">
    <w:abstractNumId w:val="379"/>
  </w:num>
  <w:num w:numId="19">
    <w:abstractNumId w:val="336"/>
  </w:num>
  <w:num w:numId="20">
    <w:abstractNumId w:val="358"/>
  </w:num>
  <w:num w:numId="21">
    <w:abstractNumId w:val="441"/>
  </w:num>
  <w:num w:numId="22">
    <w:abstractNumId w:val="447"/>
  </w:num>
  <w:num w:numId="23">
    <w:abstractNumId w:val="10"/>
    <w:lvlOverride w:ilvl="0">
      <w:startOverride w:val="1"/>
    </w:lvlOverride>
  </w:num>
  <w:num w:numId="24">
    <w:abstractNumId w:val="10"/>
    <w:lvlOverride w:ilvl="0">
      <w:startOverride w:val="1"/>
    </w:lvlOverride>
  </w:num>
  <w:num w:numId="25">
    <w:abstractNumId w:val="29"/>
  </w:num>
  <w:num w:numId="26">
    <w:abstractNumId w:val="10"/>
    <w:lvlOverride w:ilvl="0">
      <w:startOverride w:val="1"/>
    </w:lvlOverride>
  </w:num>
  <w:num w:numId="27">
    <w:abstractNumId w:val="10"/>
    <w:lvlOverride w:ilvl="0">
      <w:startOverride w:val="1"/>
    </w:lvlOverride>
  </w:num>
  <w:num w:numId="28">
    <w:abstractNumId w:val="340"/>
  </w:num>
  <w:num w:numId="29">
    <w:abstractNumId w:val="163"/>
  </w:num>
  <w:num w:numId="30">
    <w:abstractNumId w:val="212"/>
  </w:num>
  <w:num w:numId="31">
    <w:abstractNumId w:val="343"/>
  </w:num>
  <w:num w:numId="32">
    <w:abstractNumId w:val="384"/>
  </w:num>
  <w:num w:numId="33">
    <w:abstractNumId w:val="116"/>
  </w:num>
  <w:num w:numId="34">
    <w:abstractNumId w:val="125"/>
  </w:num>
  <w:num w:numId="35">
    <w:abstractNumId w:val="34"/>
  </w:num>
  <w:num w:numId="36">
    <w:abstractNumId w:val="59"/>
  </w:num>
  <w:num w:numId="37">
    <w:abstractNumId w:val="71"/>
  </w:num>
  <w:num w:numId="38">
    <w:abstractNumId w:val="337"/>
  </w:num>
  <w:num w:numId="39">
    <w:abstractNumId w:val="169"/>
  </w:num>
  <w:num w:numId="40">
    <w:abstractNumId w:val="426"/>
  </w:num>
  <w:num w:numId="41">
    <w:abstractNumId w:val="80"/>
  </w:num>
  <w:num w:numId="42">
    <w:abstractNumId w:val="260"/>
  </w:num>
  <w:num w:numId="43">
    <w:abstractNumId w:val="31"/>
  </w:num>
  <w:num w:numId="44">
    <w:abstractNumId w:val="66"/>
  </w:num>
  <w:num w:numId="45">
    <w:abstractNumId w:val="311"/>
  </w:num>
  <w:num w:numId="46">
    <w:abstractNumId w:val="434"/>
  </w:num>
  <w:num w:numId="47">
    <w:abstractNumId w:val="410"/>
  </w:num>
  <w:num w:numId="48">
    <w:abstractNumId w:val="342"/>
  </w:num>
  <w:num w:numId="49">
    <w:abstractNumId w:val="151"/>
  </w:num>
  <w:num w:numId="50">
    <w:abstractNumId w:val="40"/>
  </w:num>
  <w:num w:numId="51">
    <w:abstractNumId w:val="287"/>
  </w:num>
  <w:num w:numId="52">
    <w:abstractNumId w:val="15"/>
  </w:num>
  <w:num w:numId="53">
    <w:abstractNumId w:val="10"/>
  </w:num>
  <w:num w:numId="54">
    <w:abstractNumId w:val="10"/>
    <w:lvlOverride w:ilvl="0">
      <w:startOverride w:val="1"/>
    </w:lvlOverride>
  </w:num>
  <w:num w:numId="55">
    <w:abstractNumId w:val="10"/>
    <w:lvlOverride w:ilvl="0">
      <w:startOverride w:val="1"/>
    </w:lvlOverride>
  </w:num>
  <w:num w:numId="56">
    <w:abstractNumId w:val="10"/>
    <w:lvlOverride w:ilvl="0">
      <w:startOverride w:val="1"/>
    </w:lvlOverride>
  </w:num>
  <w:num w:numId="57">
    <w:abstractNumId w:val="10"/>
    <w:lvlOverride w:ilvl="0">
      <w:startOverride w:val="1"/>
    </w:lvlOverride>
  </w:num>
  <w:num w:numId="58">
    <w:abstractNumId w:val="10"/>
    <w:lvlOverride w:ilvl="0">
      <w:startOverride w:val="1"/>
    </w:lvlOverride>
  </w:num>
  <w:num w:numId="59">
    <w:abstractNumId w:val="10"/>
    <w:lvlOverride w:ilvl="0">
      <w:startOverride w:val="1"/>
    </w:lvlOverride>
  </w:num>
  <w:num w:numId="60">
    <w:abstractNumId w:val="111"/>
  </w:num>
  <w:num w:numId="61">
    <w:abstractNumId w:val="83"/>
  </w:num>
  <w:num w:numId="62">
    <w:abstractNumId w:val="242"/>
  </w:num>
  <w:num w:numId="63">
    <w:abstractNumId w:val="339"/>
  </w:num>
  <w:num w:numId="64">
    <w:abstractNumId w:val="372"/>
  </w:num>
  <w:num w:numId="65">
    <w:abstractNumId w:val="20"/>
  </w:num>
  <w:num w:numId="66">
    <w:abstractNumId w:val="299"/>
  </w:num>
  <w:num w:numId="67">
    <w:abstractNumId w:val="368"/>
  </w:num>
  <w:num w:numId="68">
    <w:abstractNumId w:val="404"/>
    <w:lvlOverride w:ilvl="0">
      <w:startOverride w:val="12"/>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84"/>
  </w:num>
  <w:num w:numId="70">
    <w:abstractNumId w:val="404"/>
  </w:num>
  <w:num w:numId="71">
    <w:abstractNumId w:val="10"/>
    <w:lvlOverride w:ilvl="0">
      <w:startOverride w:val="1"/>
    </w:lvlOverride>
  </w:num>
  <w:num w:numId="72">
    <w:abstractNumId w:val="404"/>
    <w:lvlOverride w:ilvl="0">
      <w:lvl w:ilvl="0">
        <w:start w:val="2"/>
        <w:numFmt w:val="decimal"/>
        <w:lvlText w:val="%1."/>
        <w:lvlJc w:val="left"/>
        <w:pPr>
          <w:ind w:left="360" w:hanging="360"/>
        </w:pPr>
        <w:rPr>
          <w:rFonts w:cs="Times New Roman" w:hint="default"/>
        </w:rPr>
      </w:lvl>
    </w:lvlOverride>
    <w:lvlOverride w:ilvl="1">
      <w:lvl w:ilvl="1">
        <w:start w:val="1"/>
        <w:numFmt w:val="decimal"/>
        <w:lvlText w:val="%1.%2."/>
        <w:lvlJc w:val="left"/>
        <w:pPr>
          <w:ind w:left="792" w:hanging="432"/>
        </w:pPr>
        <w:rPr>
          <w:rFonts w:cs="Times New Roman" w:hint="default"/>
          <w:i w:val="0"/>
        </w:rPr>
      </w:lvl>
    </w:lvlOverride>
    <w:lvlOverride w:ilvl="2">
      <w:lvl w:ilvl="2">
        <w:start w:val="1"/>
        <w:numFmt w:val="decimal"/>
        <w:lvlText w:val="%1.%2.%3."/>
        <w:lvlJc w:val="left"/>
        <w:pPr>
          <w:ind w:left="1224" w:hanging="504"/>
        </w:pPr>
        <w:rPr>
          <w:rFonts w:cs="Times New Roman" w:hint="default"/>
          <w:i w:val="0"/>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73">
    <w:abstractNumId w:val="395"/>
  </w:num>
  <w:num w:numId="74">
    <w:abstractNumId w:val="244"/>
  </w:num>
  <w:num w:numId="75">
    <w:abstractNumId w:val="251"/>
  </w:num>
  <w:num w:numId="76">
    <w:abstractNumId w:val="403"/>
  </w:num>
  <w:num w:numId="77">
    <w:abstractNumId w:val="119"/>
  </w:num>
  <w:num w:numId="78">
    <w:abstractNumId w:val="414"/>
  </w:num>
  <w:num w:numId="79">
    <w:abstractNumId w:val="60"/>
  </w:num>
  <w:num w:numId="80">
    <w:abstractNumId w:val="402"/>
  </w:num>
  <w:num w:numId="81">
    <w:abstractNumId w:val="147"/>
  </w:num>
  <w:num w:numId="82">
    <w:abstractNumId w:val="225"/>
  </w:num>
  <w:num w:numId="83">
    <w:abstractNumId w:val="96"/>
  </w:num>
  <w:num w:numId="84">
    <w:abstractNumId w:val="261"/>
  </w:num>
  <w:num w:numId="85">
    <w:abstractNumId w:val="37"/>
  </w:num>
  <w:num w:numId="86">
    <w:abstractNumId w:val="99"/>
  </w:num>
  <w:num w:numId="87">
    <w:abstractNumId w:val="106"/>
  </w:num>
  <w:num w:numId="88">
    <w:abstractNumId w:val="33"/>
  </w:num>
  <w:num w:numId="89">
    <w:abstractNumId w:val="76"/>
  </w:num>
  <w:num w:numId="90">
    <w:abstractNumId w:val="315"/>
  </w:num>
  <w:num w:numId="91">
    <w:abstractNumId w:val="95"/>
  </w:num>
  <w:num w:numId="92">
    <w:abstractNumId w:val="13"/>
  </w:num>
  <w:num w:numId="93">
    <w:abstractNumId w:val="132"/>
  </w:num>
  <w:num w:numId="94">
    <w:abstractNumId w:val="127"/>
  </w:num>
  <w:num w:numId="95">
    <w:abstractNumId w:val="78"/>
  </w:num>
  <w:num w:numId="96">
    <w:abstractNumId w:val="288"/>
  </w:num>
  <w:num w:numId="97">
    <w:abstractNumId w:val="438"/>
  </w:num>
  <w:num w:numId="98">
    <w:abstractNumId w:val="334"/>
  </w:num>
  <w:num w:numId="99">
    <w:abstractNumId w:val="41"/>
  </w:num>
  <w:num w:numId="100">
    <w:abstractNumId w:val="16"/>
  </w:num>
  <w:num w:numId="101">
    <w:abstractNumId w:val="22"/>
  </w:num>
  <w:num w:numId="102">
    <w:abstractNumId w:val="289"/>
  </w:num>
  <w:num w:numId="103">
    <w:abstractNumId w:val="366"/>
  </w:num>
  <w:num w:numId="104">
    <w:abstractNumId w:val="134"/>
  </w:num>
  <w:num w:numId="105">
    <w:abstractNumId w:val="236"/>
  </w:num>
  <w:num w:numId="106">
    <w:abstractNumId w:val="198"/>
  </w:num>
  <w:num w:numId="107">
    <w:abstractNumId w:val="10"/>
    <w:lvlOverride w:ilvl="0">
      <w:startOverride w:val="1"/>
    </w:lvlOverride>
  </w:num>
  <w:num w:numId="108">
    <w:abstractNumId w:val="319"/>
  </w:num>
  <w:num w:numId="109">
    <w:abstractNumId w:val="48"/>
  </w:num>
  <w:num w:numId="110">
    <w:abstractNumId w:val="153"/>
  </w:num>
  <w:num w:numId="111">
    <w:abstractNumId w:val="84"/>
  </w:num>
  <w:num w:numId="112">
    <w:abstractNumId w:val="159"/>
  </w:num>
  <w:num w:numId="113">
    <w:abstractNumId w:val="248"/>
  </w:num>
  <w:num w:numId="114">
    <w:abstractNumId w:val="82"/>
  </w:num>
  <w:num w:numId="115">
    <w:abstractNumId w:val="258"/>
  </w:num>
  <w:num w:numId="116">
    <w:abstractNumId w:val="416"/>
  </w:num>
  <w:num w:numId="117">
    <w:abstractNumId w:val="10"/>
    <w:lvlOverride w:ilvl="0">
      <w:startOverride w:val="1"/>
    </w:lvlOverride>
  </w:num>
  <w:num w:numId="118">
    <w:abstractNumId w:val="404"/>
    <w:lvlOverride w:ilvl="0">
      <w:lvl w:ilvl="0">
        <w:start w:val="2"/>
        <w:numFmt w:val="decimal"/>
        <w:lvlText w:val="%1."/>
        <w:lvlJc w:val="left"/>
        <w:pPr>
          <w:ind w:left="360" w:hanging="360"/>
        </w:pPr>
        <w:rPr>
          <w:rFonts w:cs="Times New Roman" w:hint="default"/>
        </w:rPr>
      </w:lvl>
    </w:lvlOverride>
    <w:lvlOverride w:ilvl="1">
      <w:lvl w:ilvl="1">
        <w:start w:val="1"/>
        <w:numFmt w:val="decimal"/>
        <w:lvlText w:val="%1.%2."/>
        <w:lvlJc w:val="left"/>
        <w:pPr>
          <w:ind w:left="792" w:hanging="432"/>
        </w:pPr>
        <w:rPr>
          <w:rFonts w:cs="Times New Roman" w:hint="default"/>
          <w:i w:val="0"/>
        </w:rPr>
      </w:lvl>
    </w:lvlOverride>
    <w:lvlOverride w:ilvl="2">
      <w:lvl w:ilvl="2">
        <w:start w:val="1"/>
        <w:numFmt w:val="decimal"/>
        <w:lvlText w:val="%1.%2.%3."/>
        <w:lvlJc w:val="left"/>
        <w:pPr>
          <w:ind w:left="504" w:hanging="504"/>
        </w:pPr>
        <w:rPr>
          <w:rFonts w:cs="Times New Roman" w:hint="default"/>
          <w:b/>
          <w:i w:val="0"/>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119">
    <w:abstractNumId w:val="279"/>
  </w:num>
  <w:num w:numId="120">
    <w:abstractNumId w:val="12"/>
  </w:num>
  <w:num w:numId="121">
    <w:abstractNumId w:val="392"/>
  </w:num>
  <w:num w:numId="122">
    <w:abstractNumId w:val="173"/>
  </w:num>
  <w:num w:numId="123">
    <w:abstractNumId w:val="38"/>
  </w:num>
  <w:num w:numId="124">
    <w:abstractNumId w:val="374"/>
  </w:num>
  <w:num w:numId="125">
    <w:abstractNumId w:val="193"/>
  </w:num>
  <w:num w:numId="126">
    <w:abstractNumId w:val="307"/>
  </w:num>
  <w:num w:numId="127">
    <w:abstractNumId w:val="367"/>
  </w:num>
  <w:num w:numId="128">
    <w:abstractNumId w:val="401"/>
  </w:num>
  <w:num w:numId="129">
    <w:abstractNumId w:val="264"/>
  </w:num>
  <w:num w:numId="130">
    <w:abstractNumId w:val="214"/>
  </w:num>
  <w:num w:numId="131">
    <w:abstractNumId w:val="144"/>
  </w:num>
  <w:num w:numId="132">
    <w:abstractNumId w:val="371"/>
  </w:num>
  <w:num w:numId="133">
    <w:abstractNumId w:val="181"/>
  </w:num>
  <w:num w:numId="134">
    <w:abstractNumId w:val="130"/>
  </w:num>
  <w:num w:numId="135">
    <w:abstractNumId w:val="419"/>
  </w:num>
  <w:num w:numId="136">
    <w:abstractNumId w:val="203"/>
  </w:num>
  <w:num w:numId="137">
    <w:abstractNumId w:val="64"/>
  </w:num>
  <w:num w:numId="138">
    <w:abstractNumId w:val="222"/>
  </w:num>
  <w:num w:numId="139">
    <w:abstractNumId w:val="243"/>
  </w:num>
  <w:num w:numId="140">
    <w:abstractNumId w:val="172"/>
  </w:num>
  <w:num w:numId="141">
    <w:abstractNumId w:val="448"/>
  </w:num>
  <w:num w:numId="142">
    <w:abstractNumId w:val="135"/>
  </w:num>
  <w:num w:numId="143">
    <w:abstractNumId w:val="351"/>
  </w:num>
  <w:num w:numId="144">
    <w:abstractNumId w:val="177"/>
  </w:num>
  <w:num w:numId="145">
    <w:abstractNumId w:val="138"/>
  </w:num>
  <w:num w:numId="146">
    <w:abstractNumId w:val="428"/>
  </w:num>
  <w:num w:numId="147">
    <w:abstractNumId w:val="223"/>
  </w:num>
  <w:num w:numId="148">
    <w:abstractNumId w:val="425"/>
  </w:num>
  <w:num w:numId="149">
    <w:abstractNumId w:val="45"/>
  </w:num>
  <w:num w:numId="150">
    <w:abstractNumId w:val="265"/>
  </w:num>
  <w:num w:numId="151">
    <w:abstractNumId w:val="162"/>
  </w:num>
  <w:num w:numId="152">
    <w:abstractNumId w:val="250"/>
  </w:num>
  <w:num w:numId="153">
    <w:abstractNumId w:val="120"/>
  </w:num>
  <w:num w:numId="154">
    <w:abstractNumId w:val="375"/>
  </w:num>
  <w:num w:numId="155">
    <w:abstractNumId w:val="436"/>
  </w:num>
  <w:num w:numId="156">
    <w:abstractNumId w:val="192"/>
  </w:num>
  <w:num w:numId="157">
    <w:abstractNumId w:val="393"/>
  </w:num>
  <w:num w:numId="158">
    <w:abstractNumId w:val="176"/>
  </w:num>
  <w:num w:numId="159">
    <w:abstractNumId w:val="400"/>
  </w:num>
  <w:num w:numId="160">
    <w:abstractNumId w:val="255"/>
  </w:num>
  <w:num w:numId="161">
    <w:abstractNumId w:val="408"/>
  </w:num>
  <w:num w:numId="162">
    <w:abstractNumId w:val="354"/>
  </w:num>
  <w:num w:numId="163">
    <w:abstractNumId w:val="280"/>
  </w:num>
  <w:num w:numId="164">
    <w:abstractNumId w:val="93"/>
  </w:num>
  <w:num w:numId="165">
    <w:abstractNumId w:val="227"/>
  </w:num>
  <w:num w:numId="166">
    <w:abstractNumId w:val="121"/>
  </w:num>
  <w:num w:numId="167">
    <w:abstractNumId w:val="283"/>
  </w:num>
  <w:num w:numId="168">
    <w:abstractNumId w:val="281"/>
  </w:num>
  <w:num w:numId="169">
    <w:abstractNumId w:val="218"/>
  </w:num>
  <w:num w:numId="170">
    <w:abstractNumId w:val="405"/>
  </w:num>
  <w:num w:numId="171">
    <w:abstractNumId w:val="432"/>
  </w:num>
  <w:num w:numId="172">
    <w:abstractNumId w:val="67"/>
  </w:num>
  <w:num w:numId="173">
    <w:abstractNumId w:val="194"/>
  </w:num>
  <w:num w:numId="174">
    <w:abstractNumId w:val="233"/>
  </w:num>
  <w:num w:numId="175">
    <w:abstractNumId w:val="245"/>
  </w:num>
  <w:num w:numId="176">
    <w:abstractNumId w:val="36"/>
  </w:num>
  <w:num w:numId="177">
    <w:abstractNumId w:val="150"/>
  </w:num>
  <w:num w:numId="178">
    <w:abstractNumId w:val="107"/>
  </w:num>
  <w:num w:numId="179">
    <w:abstractNumId w:val="421"/>
  </w:num>
  <w:num w:numId="180">
    <w:abstractNumId w:val="327"/>
  </w:num>
  <w:num w:numId="181">
    <w:abstractNumId w:val="325"/>
  </w:num>
  <w:num w:numId="182">
    <w:abstractNumId w:val="318"/>
  </w:num>
  <w:num w:numId="183">
    <w:abstractNumId w:val="208"/>
  </w:num>
  <w:num w:numId="184">
    <w:abstractNumId w:val="87"/>
  </w:num>
  <w:num w:numId="18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9"/>
  </w:num>
  <w:num w:numId="187">
    <w:abstractNumId w:val="103"/>
  </w:num>
  <w:num w:numId="188">
    <w:abstractNumId w:val="158"/>
  </w:num>
  <w:num w:numId="189">
    <w:abstractNumId w:val="168"/>
  </w:num>
  <w:num w:numId="190">
    <w:abstractNumId w:val="394"/>
  </w:num>
  <w:num w:numId="191">
    <w:abstractNumId w:val="365"/>
  </w:num>
  <w:num w:numId="192">
    <w:abstractNumId w:val="226"/>
  </w:num>
  <w:num w:numId="193">
    <w:abstractNumId w:val="118"/>
  </w:num>
  <w:num w:numId="194">
    <w:abstractNumId w:val="292"/>
  </w:num>
  <w:num w:numId="195">
    <w:abstractNumId w:val="97"/>
  </w:num>
  <w:num w:numId="196">
    <w:abstractNumId w:val="65"/>
  </w:num>
  <w:num w:numId="197">
    <w:abstractNumId w:val="25"/>
  </w:num>
  <w:num w:numId="198">
    <w:abstractNumId w:val="187"/>
  </w:num>
  <w:num w:numId="199">
    <w:abstractNumId w:val="178"/>
  </w:num>
  <w:num w:numId="200">
    <w:abstractNumId w:val="312"/>
  </w:num>
  <w:num w:numId="201">
    <w:abstractNumId w:val="270"/>
  </w:num>
  <w:num w:numId="202">
    <w:abstractNumId w:val="383"/>
  </w:num>
  <w:num w:numId="203">
    <w:abstractNumId w:val="28"/>
  </w:num>
  <w:num w:numId="204">
    <w:abstractNumId w:val="305"/>
  </w:num>
  <w:num w:numId="205">
    <w:abstractNumId w:val="347"/>
  </w:num>
  <w:num w:numId="206">
    <w:abstractNumId w:val="217"/>
  </w:num>
  <w:num w:numId="207">
    <w:abstractNumId w:val="49"/>
  </w:num>
  <w:num w:numId="208">
    <w:abstractNumId w:val="373"/>
  </w:num>
  <w:num w:numId="209">
    <w:abstractNumId w:val="69"/>
  </w:num>
  <w:num w:numId="210">
    <w:abstractNumId w:val="89"/>
  </w:num>
  <w:num w:numId="211">
    <w:abstractNumId w:val="11"/>
  </w:num>
  <w:num w:numId="212">
    <w:abstractNumId w:val="322"/>
  </w:num>
  <w:num w:numId="213">
    <w:abstractNumId w:val="72"/>
  </w:num>
  <w:num w:numId="214">
    <w:abstractNumId w:val="316"/>
  </w:num>
  <w:num w:numId="215">
    <w:abstractNumId w:val="415"/>
  </w:num>
  <w:num w:numId="216">
    <w:abstractNumId w:val="58"/>
  </w:num>
  <w:num w:numId="217">
    <w:abstractNumId w:val="271"/>
  </w:num>
  <w:num w:numId="218">
    <w:abstractNumId w:val="445"/>
  </w:num>
  <w:num w:numId="219">
    <w:abstractNumId w:val="190"/>
  </w:num>
  <w:num w:numId="220">
    <w:abstractNumId w:val="285"/>
  </w:num>
  <w:num w:numId="221">
    <w:abstractNumId w:val="156"/>
  </w:num>
  <w:num w:numId="222">
    <w:abstractNumId w:val="433"/>
  </w:num>
  <w:num w:numId="223">
    <w:abstractNumId w:val="32"/>
  </w:num>
  <w:num w:numId="224">
    <w:abstractNumId w:val="46"/>
  </w:num>
  <w:num w:numId="225">
    <w:abstractNumId w:val="231"/>
  </w:num>
  <w:num w:numId="226">
    <w:abstractNumId w:val="404"/>
    <w:lvlOverride w:ilvl="0">
      <w:lvl w:ilvl="0">
        <w:start w:val="2"/>
        <w:numFmt w:val="decimal"/>
        <w:lvlText w:val="%1."/>
        <w:lvlJc w:val="left"/>
        <w:pPr>
          <w:ind w:left="360" w:hanging="360"/>
        </w:pPr>
        <w:rPr>
          <w:rFonts w:cs="Times New Roman" w:hint="default"/>
        </w:rPr>
      </w:lvl>
    </w:lvlOverride>
    <w:lvlOverride w:ilvl="1">
      <w:lvl w:ilvl="1">
        <w:start w:val="1"/>
        <w:numFmt w:val="decimal"/>
        <w:lvlText w:val="%1.%2."/>
        <w:lvlJc w:val="left"/>
        <w:pPr>
          <w:ind w:left="792" w:hanging="432"/>
        </w:pPr>
        <w:rPr>
          <w:rFonts w:cs="Times New Roman" w:hint="default"/>
          <w:i w:val="0"/>
        </w:rPr>
      </w:lvl>
    </w:lvlOverride>
    <w:lvlOverride w:ilvl="2">
      <w:lvl w:ilvl="2">
        <w:start w:val="1"/>
        <w:numFmt w:val="decimal"/>
        <w:lvlText w:val="%1.%2.%3."/>
        <w:lvlJc w:val="left"/>
        <w:pPr>
          <w:ind w:left="504" w:hanging="504"/>
        </w:pPr>
        <w:rPr>
          <w:rFonts w:cs="Times New Roman" w:hint="default"/>
          <w:i w:val="0"/>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227">
    <w:abstractNumId w:val="185"/>
  </w:num>
  <w:num w:numId="228">
    <w:abstractNumId w:val="246"/>
  </w:num>
  <w:num w:numId="229">
    <w:abstractNumId w:val="235"/>
  </w:num>
  <w:num w:numId="230">
    <w:abstractNumId w:val="304"/>
  </w:num>
  <w:num w:numId="231">
    <w:abstractNumId w:val="276"/>
  </w:num>
  <w:num w:numId="232">
    <w:abstractNumId w:val="344"/>
  </w:num>
  <w:num w:numId="233">
    <w:abstractNumId w:val="301"/>
  </w:num>
  <w:num w:numId="234">
    <w:abstractNumId w:val="266"/>
  </w:num>
  <w:num w:numId="235">
    <w:abstractNumId w:val="241"/>
  </w:num>
  <w:num w:numId="236">
    <w:abstractNumId w:val="427"/>
  </w:num>
  <w:num w:numId="237">
    <w:abstractNumId w:val="278"/>
  </w:num>
  <w:num w:numId="238">
    <w:abstractNumId w:val="139"/>
  </w:num>
  <w:num w:numId="239">
    <w:abstractNumId w:val="165"/>
  </w:num>
  <w:num w:numId="240">
    <w:abstractNumId w:val="404"/>
    <w:lvlOverride w:ilvl="0">
      <w:lvl w:ilvl="0">
        <w:start w:val="2"/>
        <w:numFmt w:val="decimal"/>
        <w:lvlText w:val="%1."/>
        <w:lvlJc w:val="left"/>
        <w:pPr>
          <w:ind w:left="360" w:hanging="360"/>
        </w:pPr>
        <w:rPr>
          <w:rFonts w:cs="Times New Roman" w:hint="default"/>
          <w:b/>
        </w:rPr>
      </w:lvl>
    </w:lvlOverride>
    <w:lvlOverride w:ilvl="1">
      <w:lvl w:ilvl="1">
        <w:start w:val="1"/>
        <w:numFmt w:val="decimal"/>
        <w:lvlText w:val="%1.%2."/>
        <w:lvlJc w:val="left"/>
        <w:pPr>
          <w:ind w:left="858" w:hanging="432"/>
        </w:pPr>
        <w:rPr>
          <w:rFonts w:cs="Times New Roman" w:hint="default"/>
          <w:b/>
          <w:i w:val="0"/>
        </w:rPr>
      </w:lvl>
    </w:lvlOverride>
    <w:lvlOverride w:ilvl="2">
      <w:lvl w:ilvl="2">
        <w:start w:val="1"/>
        <w:numFmt w:val="decimal"/>
        <w:lvlText w:val="%1.%2.%3."/>
        <w:lvlJc w:val="left"/>
        <w:pPr>
          <w:ind w:left="788" w:hanging="504"/>
        </w:pPr>
        <w:rPr>
          <w:rFonts w:cs="Times New Roman" w:hint="default"/>
          <w:b/>
          <w:i w:val="0"/>
        </w:rPr>
      </w:lvl>
    </w:lvlOverride>
    <w:lvlOverride w:ilvl="3">
      <w:lvl w:ilvl="3">
        <w:start w:val="1"/>
        <w:numFmt w:val="decimal"/>
        <w:lvlText w:val="%1.%2.%3.%4."/>
        <w:lvlJc w:val="left"/>
        <w:pPr>
          <w:ind w:left="648" w:hanging="648"/>
        </w:pPr>
        <w:rPr>
          <w:rFonts w:cs="Times New Roman" w:hint="default"/>
          <w:b/>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241">
    <w:abstractNumId w:val="302"/>
  </w:num>
  <w:num w:numId="242">
    <w:abstractNumId w:val="345"/>
  </w:num>
  <w:num w:numId="243">
    <w:abstractNumId w:val="220"/>
  </w:num>
  <w:num w:numId="244">
    <w:abstractNumId w:val="259"/>
  </w:num>
  <w:num w:numId="245">
    <w:abstractNumId w:val="357"/>
  </w:num>
  <w:num w:numId="246">
    <w:abstractNumId w:val="413"/>
  </w:num>
  <w:num w:numId="247">
    <w:abstractNumId w:val="26"/>
  </w:num>
  <w:num w:numId="248">
    <w:abstractNumId w:val="323"/>
  </w:num>
  <w:num w:numId="249">
    <w:abstractNumId w:val="381"/>
  </w:num>
  <w:num w:numId="250">
    <w:abstractNumId w:val="204"/>
  </w:num>
  <w:num w:numId="251">
    <w:abstractNumId w:val="330"/>
  </w:num>
  <w:num w:numId="252">
    <w:abstractNumId w:val="418"/>
  </w:num>
  <w:num w:numId="253">
    <w:abstractNumId w:val="333"/>
  </w:num>
  <w:num w:numId="254">
    <w:abstractNumId w:val="7"/>
  </w:num>
  <w:num w:numId="255">
    <w:abstractNumId w:val="398"/>
  </w:num>
  <w:num w:numId="256">
    <w:abstractNumId w:val="90"/>
  </w:num>
  <w:num w:numId="257">
    <w:abstractNumId w:val="35"/>
  </w:num>
  <w:num w:numId="258">
    <w:abstractNumId w:val="404"/>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59">
    <w:abstractNumId w:val="268"/>
  </w:num>
  <w:num w:numId="260">
    <w:abstractNumId w:val="27"/>
  </w:num>
  <w:num w:numId="261">
    <w:abstractNumId w:val="298"/>
  </w:num>
  <w:num w:numId="262">
    <w:abstractNumId w:val="131"/>
  </w:num>
  <w:num w:numId="263">
    <w:abstractNumId w:val="143"/>
  </w:num>
  <w:num w:numId="264">
    <w:abstractNumId w:val="252"/>
  </w:num>
  <w:num w:numId="265">
    <w:abstractNumId w:val="166"/>
  </w:num>
  <w:num w:numId="266">
    <w:abstractNumId w:val="446"/>
  </w:num>
  <w:num w:numId="267">
    <w:abstractNumId w:val="377"/>
  </w:num>
  <w:num w:numId="268">
    <w:abstractNumId w:val="397"/>
  </w:num>
  <w:num w:numId="269">
    <w:abstractNumId w:val="356"/>
  </w:num>
  <w:num w:numId="270">
    <w:abstractNumId w:val="404"/>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71">
    <w:abstractNumId w:val="105"/>
  </w:num>
  <w:num w:numId="272">
    <w:abstractNumId w:val="146"/>
  </w:num>
  <w:num w:numId="273">
    <w:abstractNumId w:val="53"/>
  </w:num>
  <w:num w:numId="274">
    <w:abstractNumId w:val="1"/>
  </w:num>
  <w:num w:numId="275">
    <w:abstractNumId w:val="404"/>
    <w:lvlOverride w:ilvl="0">
      <w:lvl w:ilvl="0">
        <w:start w:val="2"/>
        <w:numFmt w:val="decimal"/>
        <w:lvlText w:val="%1."/>
        <w:lvlJc w:val="left"/>
        <w:pPr>
          <w:ind w:left="540" w:hanging="360"/>
        </w:pPr>
        <w:rPr>
          <w:rFonts w:cs="Times New Roman" w:hint="default"/>
        </w:rPr>
      </w:lvl>
    </w:lvlOverride>
    <w:lvlOverride w:ilvl="1">
      <w:lvl w:ilvl="1">
        <w:start w:val="1"/>
        <w:numFmt w:val="decimal"/>
        <w:lvlText w:val="%1.%2."/>
        <w:lvlJc w:val="left"/>
        <w:pPr>
          <w:ind w:left="792" w:hanging="432"/>
        </w:pPr>
        <w:rPr>
          <w:rFonts w:cs="Times New Roman" w:hint="default"/>
          <w:i w:val="0"/>
        </w:rPr>
      </w:lvl>
    </w:lvlOverride>
    <w:lvlOverride w:ilvl="2">
      <w:lvl w:ilvl="2">
        <w:start w:val="1"/>
        <w:numFmt w:val="decimal"/>
        <w:lvlText w:val="%1.%2.%3."/>
        <w:lvlJc w:val="left"/>
        <w:pPr>
          <w:ind w:left="774" w:hanging="504"/>
        </w:pPr>
        <w:rPr>
          <w:rFonts w:ascii="Times New Roman" w:hAnsi="Times New Roman" w:cs="Times New Roman" w:hint="default"/>
          <w:b/>
          <w:i w:val="0"/>
          <w:sz w:val="24"/>
          <w:szCs w:val="24"/>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276">
    <w:abstractNumId w:val="295"/>
  </w:num>
  <w:num w:numId="277">
    <w:abstractNumId w:val="53"/>
  </w:num>
  <w:num w:numId="278">
    <w:abstractNumId w:val="53"/>
  </w:num>
  <w:num w:numId="279">
    <w:abstractNumId w:val="53"/>
  </w:num>
  <w:num w:numId="280">
    <w:abstractNumId w:val="55"/>
  </w:num>
  <w:num w:numId="281">
    <w:abstractNumId w:val="342"/>
  </w:num>
  <w:num w:numId="282">
    <w:abstractNumId w:val="342"/>
  </w:num>
  <w:num w:numId="283">
    <w:abstractNumId w:val="378"/>
  </w:num>
  <w:num w:numId="284">
    <w:abstractNumId w:val="387"/>
  </w:num>
  <w:num w:numId="285">
    <w:abstractNumId w:val="439"/>
  </w:num>
  <w:num w:numId="286">
    <w:abstractNumId w:val="321"/>
  </w:num>
  <w:num w:numId="287">
    <w:abstractNumId w:val="320"/>
  </w:num>
  <w:num w:numId="288">
    <w:abstractNumId w:val="112"/>
  </w:num>
  <w:num w:numId="289">
    <w:abstractNumId w:val="88"/>
  </w:num>
  <w:num w:numId="290">
    <w:abstractNumId w:val="324"/>
  </w:num>
  <w:num w:numId="291">
    <w:abstractNumId w:val="195"/>
  </w:num>
  <w:num w:numId="292">
    <w:abstractNumId w:val="191"/>
  </w:num>
  <w:num w:numId="293">
    <w:abstractNumId w:val="306"/>
  </w:num>
  <w:num w:numId="294">
    <w:abstractNumId w:val="303"/>
  </w:num>
  <w:num w:numId="295">
    <w:abstractNumId w:val="314"/>
  </w:num>
  <w:num w:numId="296">
    <w:abstractNumId w:val="353"/>
  </w:num>
  <w:num w:numId="297">
    <w:abstractNumId w:val="385"/>
  </w:num>
  <w:num w:numId="298">
    <w:abstractNumId w:val="262"/>
  </w:num>
  <w:num w:numId="299">
    <w:abstractNumId w:val="117"/>
  </w:num>
  <w:num w:numId="300">
    <w:abstractNumId w:val="417"/>
  </w:num>
  <w:num w:numId="301">
    <w:abstractNumId w:val="124"/>
  </w:num>
  <w:num w:numId="302">
    <w:abstractNumId w:val="389"/>
  </w:num>
  <w:num w:numId="303">
    <w:abstractNumId w:val="179"/>
  </w:num>
  <w:num w:numId="304">
    <w:abstractNumId w:val="164"/>
  </w:num>
  <w:num w:numId="305">
    <w:abstractNumId w:val="256"/>
  </w:num>
  <w:num w:numId="306">
    <w:abstractNumId w:val="388"/>
  </w:num>
  <w:num w:numId="307">
    <w:abstractNumId w:val="240"/>
  </w:num>
  <w:num w:numId="308">
    <w:abstractNumId w:val="79"/>
  </w:num>
  <w:num w:numId="309">
    <w:abstractNumId w:val="352"/>
  </w:num>
  <w:num w:numId="310">
    <w:abstractNumId w:val="386"/>
  </w:num>
  <w:num w:numId="311">
    <w:abstractNumId w:val="420"/>
  </w:num>
  <w:num w:numId="312">
    <w:abstractNumId w:val="47"/>
  </w:num>
  <w:num w:numId="313">
    <w:abstractNumId w:val="254"/>
  </w:num>
  <w:num w:numId="314">
    <w:abstractNumId w:val="313"/>
  </w:num>
  <w:num w:numId="315">
    <w:abstractNumId w:val="77"/>
  </w:num>
  <w:num w:numId="316">
    <w:abstractNumId w:val="9"/>
  </w:num>
  <w:num w:numId="317">
    <w:abstractNumId w:val="213"/>
  </w:num>
  <w:num w:numId="318">
    <w:abstractNumId w:val="249"/>
  </w:num>
  <w:num w:numId="319">
    <w:abstractNumId w:val="310"/>
  </w:num>
  <w:num w:numId="320">
    <w:abstractNumId w:val="329"/>
  </w:num>
  <w:num w:numId="321">
    <w:abstractNumId w:val="272"/>
  </w:num>
  <w:num w:numId="322">
    <w:abstractNumId w:val="376"/>
  </w:num>
  <w:num w:numId="323">
    <w:abstractNumId w:val="341"/>
  </w:num>
  <w:num w:numId="324">
    <w:abstractNumId w:val="253"/>
  </w:num>
  <w:num w:numId="325">
    <w:abstractNumId w:val="108"/>
  </w:num>
  <w:num w:numId="326">
    <w:abstractNumId w:val="391"/>
  </w:num>
  <w:num w:numId="327">
    <w:abstractNumId w:val="126"/>
  </w:num>
  <w:num w:numId="328">
    <w:abstractNumId w:val="216"/>
  </w:num>
  <w:num w:numId="329">
    <w:abstractNumId w:val="129"/>
  </w:num>
  <w:num w:numId="330">
    <w:abstractNumId w:val="100"/>
  </w:num>
  <w:num w:numId="331">
    <w:abstractNumId w:val="70"/>
  </w:num>
  <w:num w:numId="332">
    <w:abstractNumId w:val="363"/>
  </w:num>
  <w:num w:numId="333">
    <w:abstractNumId w:val="183"/>
  </w:num>
  <w:num w:numId="334">
    <w:abstractNumId w:val="263"/>
  </w:num>
  <w:num w:numId="335">
    <w:abstractNumId w:val="85"/>
  </w:num>
  <w:num w:numId="336">
    <w:abstractNumId w:val="50"/>
  </w:num>
  <w:num w:numId="337">
    <w:abstractNumId w:val="277"/>
  </w:num>
  <w:num w:numId="338">
    <w:abstractNumId w:val="369"/>
  </w:num>
  <w:num w:numId="339">
    <w:abstractNumId w:val="74"/>
  </w:num>
  <w:num w:numId="340">
    <w:abstractNumId w:val="210"/>
  </w:num>
  <w:num w:numId="341">
    <w:abstractNumId w:val="348"/>
  </w:num>
  <w:num w:numId="342">
    <w:abstractNumId w:val="346"/>
  </w:num>
  <w:num w:numId="343">
    <w:abstractNumId w:val="293"/>
  </w:num>
  <w:num w:numId="344">
    <w:abstractNumId w:val="364"/>
  </w:num>
  <w:num w:numId="345">
    <w:abstractNumId w:val="174"/>
  </w:num>
  <w:num w:numId="346">
    <w:abstractNumId w:val="63"/>
  </w:num>
  <w:num w:numId="347">
    <w:abstractNumId w:val="406"/>
  </w:num>
  <w:num w:numId="348">
    <w:abstractNumId w:val="68"/>
  </w:num>
  <w:num w:numId="349">
    <w:abstractNumId w:val="338"/>
  </w:num>
  <w:num w:numId="350">
    <w:abstractNumId w:val="275"/>
  </w:num>
  <w:num w:numId="351">
    <w:abstractNumId w:val="444"/>
  </w:num>
  <w:num w:numId="352">
    <w:abstractNumId w:val="286"/>
  </w:num>
  <w:num w:numId="353">
    <w:abstractNumId w:val="224"/>
  </w:num>
  <w:num w:numId="354">
    <w:abstractNumId w:val="180"/>
  </w:num>
  <w:num w:numId="355">
    <w:abstractNumId w:val="57"/>
  </w:num>
  <w:num w:numId="356">
    <w:abstractNumId w:val="200"/>
  </w:num>
  <w:num w:numId="357">
    <w:abstractNumId w:val="407"/>
  </w:num>
  <w:num w:numId="358">
    <w:abstractNumId w:val="290"/>
  </w:num>
  <w:num w:numId="359">
    <w:abstractNumId w:val="409"/>
  </w:num>
  <w:num w:numId="360">
    <w:abstractNumId w:val="42"/>
  </w:num>
  <w:num w:numId="361">
    <w:abstractNumId w:val="140"/>
  </w:num>
  <w:num w:numId="362">
    <w:abstractNumId w:val="209"/>
  </w:num>
  <w:num w:numId="363">
    <w:abstractNumId w:val="98"/>
  </w:num>
  <w:num w:numId="364">
    <w:abstractNumId w:val="399"/>
  </w:num>
  <w:num w:numId="365">
    <w:abstractNumId w:val="196"/>
  </w:num>
  <w:num w:numId="366">
    <w:abstractNumId w:val="331"/>
  </w:num>
  <w:num w:numId="367">
    <w:abstractNumId w:val="62"/>
  </w:num>
  <w:num w:numId="368">
    <w:abstractNumId w:val="157"/>
  </w:num>
  <w:num w:numId="369">
    <w:abstractNumId w:val="148"/>
  </w:num>
  <w:num w:numId="370">
    <w:abstractNumId w:val="430"/>
  </w:num>
  <w:num w:numId="371">
    <w:abstractNumId w:val="328"/>
  </w:num>
  <w:num w:numId="372">
    <w:abstractNumId w:val="86"/>
  </w:num>
  <w:num w:numId="373">
    <w:abstractNumId w:val="43"/>
  </w:num>
  <w:num w:numId="374">
    <w:abstractNumId w:val="186"/>
  </w:num>
  <w:num w:numId="375">
    <w:abstractNumId w:val="211"/>
  </w:num>
  <w:num w:numId="376">
    <w:abstractNumId w:val="75"/>
  </w:num>
  <w:num w:numId="377">
    <w:abstractNumId w:val="296"/>
  </w:num>
  <w:num w:numId="378">
    <w:abstractNumId w:val="412"/>
  </w:num>
  <w:num w:numId="379">
    <w:abstractNumId w:val="350"/>
  </w:num>
  <w:num w:numId="380">
    <w:abstractNumId w:val="171"/>
  </w:num>
  <w:num w:numId="381">
    <w:abstractNumId w:val="206"/>
  </w:num>
  <w:num w:numId="382">
    <w:abstractNumId w:val="136"/>
  </w:num>
  <w:num w:numId="383">
    <w:abstractNumId w:val="274"/>
  </w:num>
  <w:num w:numId="384">
    <w:abstractNumId w:val="44"/>
  </w:num>
  <w:num w:numId="385">
    <w:abstractNumId w:val="221"/>
  </w:num>
  <w:num w:numId="386">
    <w:abstractNumId w:val="396"/>
  </w:num>
  <w:num w:numId="387">
    <w:abstractNumId w:val="137"/>
  </w:num>
  <w:num w:numId="388">
    <w:abstractNumId w:val="39"/>
  </w:num>
  <w:num w:numId="389">
    <w:abstractNumId w:val="91"/>
  </w:num>
  <w:num w:numId="390">
    <w:abstractNumId w:val="232"/>
  </w:num>
  <w:num w:numId="391">
    <w:abstractNumId w:val="308"/>
  </w:num>
  <w:num w:numId="392">
    <w:abstractNumId w:val="361"/>
  </w:num>
  <w:num w:numId="393">
    <w:abstractNumId w:val="30"/>
  </w:num>
  <w:num w:numId="394">
    <w:abstractNumId w:val="238"/>
  </w:num>
  <w:num w:numId="395">
    <w:abstractNumId w:val="234"/>
  </w:num>
  <w:num w:numId="396">
    <w:abstractNumId w:val="431"/>
  </w:num>
  <w:num w:numId="397">
    <w:abstractNumId w:val="230"/>
  </w:num>
  <w:num w:numId="398">
    <w:abstractNumId w:val="349"/>
  </w:num>
  <w:num w:numId="399">
    <w:abstractNumId w:val="335"/>
  </w:num>
  <w:num w:numId="400">
    <w:abstractNumId w:val="115"/>
  </w:num>
  <w:num w:numId="401">
    <w:abstractNumId w:val="207"/>
  </w:num>
  <w:num w:numId="402">
    <w:abstractNumId w:val="390"/>
  </w:num>
  <w:num w:numId="403">
    <w:abstractNumId w:val="257"/>
  </w:num>
  <w:num w:numId="404">
    <w:abstractNumId w:val="170"/>
  </w:num>
  <w:num w:numId="405">
    <w:abstractNumId w:val="269"/>
  </w:num>
  <w:num w:numId="406">
    <w:abstractNumId w:val="61"/>
  </w:num>
  <w:num w:numId="407">
    <w:abstractNumId w:val="142"/>
  </w:num>
  <w:num w:numId="408">
    <w:abstractNumId w:val="201"/>
  </w:num>
  <w:num w:numId="409">
    <w:abstractNumId w:val="114"/>
  </w:num>
  <w:num w:numId="410">
    <w:abstractNumId w:val="370"/>
  </w:num>
  <w:num w:numId="411">
    <w:abstractNumId w:val="104"/>
  </w:num>
  <w:num w:numId="412">
    <w:abstractNumId w:val="154"/>
  </w:num>
  <w:num w:numId="413">
    <w:abstractNumId w:val="247"/>
  </w:num>
  <w:num w:numId="414">
    <w:abstractNumId w:val="189"/>
  </w:num>
  <w:num w:numId="415">
    <w:abstractNumId w:val="424"/>
  </w:num>
  <w:num w:numId="416">
    <w:abstractNumId w:val="429"/>
  </w:num>
  <w:num w:numId="417">
    <w:abstractNumId w:val="141"/>
  </w:num>
  <w:num w:numId="418">
    <w:abstractNumId w:val="175"/>
  </w:num>
  <w:num w:numId="419">
    <w:abstractNumId w:val="149"/>
  </w:num>
  <w:num w:numId="420">
    <w:abstractNumId w:val="326"/>
  </w:num>
  <w:num w:numId="421">
    <w:abstractNumId w:val="435"/>
  </w:num>
  <w:num w:numId="422">
    <w:abstractNumId w:val="21"/>
  </w:num>
  <w:num w:numId="423">
    <w:abstractNumId w:val="267"/>
  </w:num>
  <w:num w:numId="424">
    <w:abstractNumId w:val="219"/>
  </w:num>
  <w:num w:numId="425">
    <w:abstractNumId w:val="23"/>
  </w:num>
  <w:num w:numId="426">
    <w:abstractNumId w:val="51"/>
  </w:num>
  <w:num w:numId="427">
    <w:abstractNumId w:val="92"/>
  </w:num>
  <w:num w:numId="428">
    <w:abstractNumId w:val="380"/>
  </w:num>
  <w:num w:numId="429">
    <w:abstractNumId w:val="317"/>
  </w:num>
  <w:num w:numId="430">
    <w:abstractNumId w:val="237"/>
  </w:num>
  <w:num w:numId="431">
    <w:abstractNumId w:val="205"/>
  </w:num>
  <w:num w:numId="432">
    <w:abstractNumId w:val="94"/>
  </w:num>
  <w:num w:numId="433">
    <w:abstractNumId w:val="123"/>
  </w:num>
  <w:num w:numId="434">
    <w:abstractNumId w:val="113"/>
  </w:num>
  <w:num w:numId="435">
    <w:abstractNumId w:val="239"/>
  </w:num>
  <w:num w:numId="436">
    <w:abstractNumId w:val="443"/>
  </w:num>
  <w:num w:numId="437">
    <w:abstractNumId w:val="309"/>
  </w:num>
  <w:num w:numId="438">
    <w:abstractNumId w:val="229"/>
  </w:num>
  <w:num w:numId="439">
    <w:abstractNumId w:val="56"/>
  </w:num>
  <w:num w:numId="440">
    <w:abstractNumId w:val="355"/>
  </w:num>
  <w:num w:numId="441">
    <w:abstractNumId w:val="122"/>
  </w:num>
  <w:num w:numId="442">
    <w:abstractNumId w:val="128"/>
  </w:num>
  <w:num w:numId="443">
    <w:abstractNumId w:val="294"/>
  </w:num>
  <w:num w:numId="444">
    <w:abstractNumId w:val="110"/>
  </w:num>
  <w:num w:numId="445">
    <w:abstractNumId w:val="404"/>
    <w:lvlOverride w:ilvl="0">
      <w:lvl w:ilvl="0">
        <w:start w:val="2"/>
        <w:numFmt w:val="decimal"/>
        <w:lvlText w:val="%1."/>
        <w:lvlJc w:val="left"/>
        <w:pPr>
          <w:ind w:left="360" w:hanging="360"/>
        </w:pPr>
        <w:rPr>
          <w:rFonts w:cs="Times New Roman" w:hint="default"/>
        </w:rPr>
      </w:lvl>
    </w:lvlOverride>
    <w:lvlOverride w:ilvl="1">
      <w:lvl w:ilvl="1">
        <w:start w:val="1"/>
        <w:numFmt w:val="decimal"/>
        <w:lvlText w:val="%1.%2."/>
        <w:lvlJc w:val="left"/>
        <w:pPr>
          <w:ind w:left="792" w:hanging="432"/>
        </w:pPr>
        <w:rPr>
          <w:rFonts w:cs="Times New Roman" w:hint="default"/>
          <w:i w:val="0"/>
        </w:rPr>
      </w:lvl>
    </w:lvlOverride>
    <w:lvlOverride w:ilvl="2">
      <w:lvl w:ilvl="2">
        <w:start w:val="1"/>
        <w:numFmt w:val="decimal"/>
        <w:lvlText w:val="%1.%2.%3."/>
        <w:lvlJc w:val="left"/>
        <w:pPr>
          <w:ind w:left="774" w:hanging="504"/>
        </w:pPr>
        <w:rPr>
          <w:rFonts w:cs="Times New Roman" w:hint="default"/>
          <w:b/>
          <w:i w:val="0"/>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446">
    <w:abstractNumId w:val="359"/>
  </w:num>
  <w:num w:numId="447">
    <w:abstractNumId w:val="53"/>
  </w:num>
  <w:num w:numId="448">
    <w:abstractNumId w:val="291"/>
  </w:num>
  <w:num w:numId="449">
    <w:abstractNumId w:val="155"/>
  </w:num>
  <w:num w:numId="450">
    <w:abstractNumId w:val="53"/>
  </w:num>
  <w:num w:numId="451">
    <w:abstractNumId w:val="202"/>
  </w:num>
  <w:num w:numId="452">
    <w:abstractNumId w:val="101"/>
  </w:num>
  <w:num w:numId="453">
    <w:abstractNumId w:val="73"/>
  </w:num>
  <w:num w:numId="454">
    <w:abstractNumId w:val="14"/>
  </w:num>
  <w:num w:numId="455">
    <w:abstractNumId w:val="53"/>
  </w:num>
  <w:num w:numId="456">
    <w:abstractNumId w:val="53"/>
  </w:num>
  <w:num w:numId="457">
    <w:abstractNumId w:val="53"/>
  </w:num>
  <w:num w:numId="458">
    <w:abstractNumId w:val="53"/>
  </w:num>
  <w:num w:numId="459">
    <w:abstractNumId w:val="53"/>
  </w:num>
  <w:num w:numId="460">
    <w:abstractNumId w:val="53"/>
  </w:num>
  <w:num w:numId="461">
    <w:abstractNumId w:val="53"/>
  </w:num>
  <w:num w:numId="462">
    <w:abstractNumId w:val="53"/>
  </w:num>
  <w:num w:numId="463">
    <w:abstractNumId w:val="332"/>
  </w:num>
  <w:num w:numId="464">
    <w:abstractNumId w:val="53"/>
  </w:num>
  <w:num w:numId="465">
    <w:abstractNumId w:val="53"/>
  </w:num>
  <w:num w:numId="466">
    <w:abstractNumId w:val="53"/>
  </w:num>
  <w:num w:numId="467">
    <w:abstractNumId w:val="53"/>
  </w:num>
  <w:num w:numId="468">
    <w:abstractNumId w:val="53"/>
  </w:num>
  <w:num w:numId="469">
    <w:abstractNumId w:val="437"/>
  </w:num>
  <w:num w:numId="470">
    <w:abstractNumId w:val="53"/>
  </w:num>
  <w:num w:numId="471">
    <w:abstractNumId w:val="167"/>
  </w:num>
  <w:num w:numId="472">
    <w:abstractNumId w:val="18"/>
  </w:num>
  <w:num w:numId="473">
    <w:abstractNumId w:val="442"/>
  </w:num>
  <w:num w:numId="474">
    <w:abstractNumId w:val="199"/>
  </w:num>
  <w:num w:numId="475">
    <w:abstractNumId w:val="422"/>
  </w:num>
  <w:num w:numId="476">
    <w:abstractNumId w:val="24"/>
  </w:num>
  <w:num w:numId="477">
    <w:abstractNumId w:val="228"/>
  </w:num>
  <w:num w:numId="478">
    <w:abstractNumId w:val="81"/>
  </w:num>
  <w:num w:numId="479">
    <w:abstractNumId w:val="273"/>
  </w:num>
  <w:num w:numId="480">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17"/>
  </w:num>
  <w:num w:numId="490">
    <w:abstractNumId w:val="215"/>
  </w:num>
  <w:num w:numId="491">
    <w:abstractNumId w:val="423"/>
  </w:num>
  <w:num w:numId="492">
    <w:abstractNumId w:val="53"/>
    <w:lvlOverride w:ilvl="0">
      <w:startOverride w:val="31"/>
    </w:lvlOverride>
    <w:lvlOverride w:ilvl="1">
      <w:startOverride w:val="4"/>
    </w:lvlOverride>
  </w:num>
  <w:num w:numId="493">
    <w:abstractNumId w:val="8"/>
  </w:num>
  <w:num w:numId="494">
    <w:abstractNumId w:val="440"/>
  </w:num>
  <w:num w:numId="495">
    <w:abstractNumId w:val="382"/>
  </w:num>
  <w:num w:numId="496">
    <w:abstractNumId w:val="411"/>
  </w:num>
  <w:num w:numId="497">
    <w:abstractNumId w:val="188"/>
  </w:num>
  <w:num w:numId="498">
    <w:abstractNumId w:val="152"/>
  </w:num>
  <w:num w:numId="499">
    <w:abstractNumId w:val="53"/>
    <w:lvlOverride w:ilvl="0">
      <w:startOverride w:val="36"/>
    </w:lvlOverride>
    <w:lvlOverride w:ilvl="1">
      <w:startOverride w:val="1"/>
    </w:lvlOverride>
  </w:num>
  <w:num w:numId="500">
    <w:abstractNumId w:val="53"/>
    <w:lvlOverride w:ilvl="0">
      <w:startOverride w:val="36"/>
    </w:lvlOverride>
    <w:lvlOverride w:ilvl="1">
      <w:startOverride w:val="1"/>
    </w:lvlOverride>
  </w:num>
  <w:num w:numId="501">
    <w:abstractNumId w:val="53"/>
    <w:lvlOverride w:ilvl="0">
      <w:startOverride w:val="36"/>
    </w:lvlOverride>
    <w:lvlOverride w:ilvl="1">
      <w:startOverride w:val="1"/>
    </w:lvlOverride>
  </w:num>
  <w:numIdMacAtCleanup w:val="5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2"/>
  <w:drawingGridVerticalSpacing w:val="181"/>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70E"/>
    <w:rsid w:val="00000235"/>
    <w:rsid w:val="00000813"/>
    <w:rsid w:val="00000F35"/>
    <w:rsid w:val="000018CA"/>
    <w:rsid w:val="00001954"/>
    <w:rsid w:val="00001F58"/>
    <w:rsid w:val="00002D20"/>
    <w:rsid w:val="00003193"/>
    <w:rsid w:val="00003790"/>
    <w:rsid w:val="00003A4A"/>
    <w:rsid w:val="0000408D"/>
    <w:rsid w:val="00004500"/>
    <w:rsid w:val="00004625"/>
    <w:rsid w:val="000047FF"/>
    <w:rsid w:val="0000501A"/>
    <w:rsid w:val="00005157"/>
    <w:rsid w:val="00005499"/>
    <w:rsid w:val="00005E4B"/>
    <w:rsid w:val="0000631A"/>
    <w:rsid w:val="00006585"/>
    <w:rsid w:val="000066AD"/>
    <w:rsid w:val="00006747"/>
    <w:rsid w:val="000100F4"/>
    <w:rsid w:val="00010C7A"/>
    <w:rsid w:val="00010CD9"/>
    <w:rsid w:val="00010D15"/>
    <w:rsid w:val="00010E33"/>
    <w:rsid w:val="000131CD"/>
    <w:rsid w:val="000136DC"/>
    <w:rsid w:val="000139D5"/>
    <w:rsid w:val="000140A4"/>
    <w:rsid w:val="00014B0C"/>
    <w:rsid w:val="00015122"/>
    <w:rsid w:val="00015398"/>
    <w:rsid w:val="000158F1"/>
    <w:rsid w:val="00015D24"/>
    <w:rsid w:val="0001643F"/>
    <w:rsid w:val="00016937"/>
    <w:rsid w:val="00017127"/>
    <w:rsid w:val="000176A7"/>
    <w:rsid w:val="000177A3"/>
    <w:rsid w:val="00017991"/>
    <w:rsid w:val="00017AD6"/>
    <w:rsid w:val="000206BE"/>
    <w:rsid w:val="000207DF"/>
    <w:rsid w:val="00020DA9"/>
    <w:rsid w:val="00021030"/>
    <w:rsid w:val="000218DD"/>
    <w:rsid w:val="00021C20"/>
    <w:rsid w:val="00022289"/>
    <w:rsid w:val="0002233A"/>
    <w:rsid w:val="0002252C"/>
    <w:rsid w:val="0002281C"/>
    <w:rsid w:val="0002379F"/>
    <w:rsid w:val="000237B7"/>
    <w:rsid w:val="0002460B"/>
    <w:rsid w:val="0002462E"/>
    <w:rsid w:val="00024A7B"/>
    <w:rsid w:val="00025796"/>
    <w:rsid w:val="00025BF9"/>
    <w:rsid w:val="0002605D"/>
    <w:rsid w:val="0002610B"/>
    <w:rsid w:val="0002626D"/>
    <w:rsid w:val="00026CD4"/>
    <w:rsid w:val="0002785D"/>
    <w:rsid w:val="00027DF1"/>
    <w:rsid w:val="00027E5F"/>
    <w:rsid w:val="00027E6B"/>
    <w:rsid w:val="00027E8D"/>
    <w:rsid w:val="000302C9"/>
    <w:rsid w:val="00030525"/>
    <w:rsid w:val="00030833"/>
    <w:rsid w:val="00031586"/>
    <w:rsid w:val="00031940"/>
    <w:rsid w:val="00031D96"/>
    <w:rsid w:val="000320D0"/>
    <w:rsid w:val="0003219D"/>
    <w:rsid w:val="0003321D"/>
    <w:rsid w:val="00033396"/>
    <w:rsid w:val="0003342C"/>
    <w:rsid w:val="00033E48"/>
    <w:rsid w:val="00033ED7"/>
    <w:rsid w:val="00034584"/>
    <w:rsid w:val="000352B2"/>
    <w:rsid w:val="00035882"/>
    <w:rsid w:val="0003597A"/>
    <w:rsid w:val="00035D7F"/>
    <w:rsid w:val="000364FE"/>
    <w:rsid w:val="00036C2A"/>
    <w:rsid w:val="00036CBE"/>
    <w:rsid w:val="000370ED"/>
    <w:rsid w:val="00037C20"/>
    <w:rsid w:val="00037CCC"/>
    <w:rsid w:val="00040101"/>
    <w:rsid w:val="00040E78"/>
    <w:rsid w:val="00042261"/>
    <w:rsid w:val="000422F0"/>
    <w:rsid w:val="00042C25"/>
    <w:rsid w:val="00042DBE"/>
    <w:rsid w:val="00043FAD"/>
    <w:rsid w:val="000444CE"/>
    <w:rsid w:val="00044609"/>
    <w:rsid w:val="00044795"/>
    <w:rsid w:val="0004487A"/>
    <w:rsid w:val="0004491C"/>
    <w:rsid w:val="00044AEE"/>
    <w:rsid w:val="0004644C"/>
    <w:rsid w:val="00046BAA"/>
    <w:rsid w:val="00046D61"/>
    <w:rsid w:val="00046DF0"/>
    <w:rsid w:val="00046E5A"/>
    <w:rsid w:val="00046FA1"/>
    <w:rsid w:val="000479D7"/>
    <w:rsid w:val="00047C3A"/>
    <w:rsid w:val="00047D76"/>
    <w:rsid w:val="000505B4"/>
    <w:rsid w:val="00050BBD"/>
    <w:rsid w:val="00050DA8"/>
    <w:rsid w:val="000520BE"/>
    <w:rsid w:val="0005225D"/>
    <w:rsid w:val="000522A2"/>
    <w:rsid w:val="000522DF"/>
    <w:rsid w:val="0005248C"/>
    <w:rsid w:val="000529D2"/>
    <w:rsid w:val="000537FB"/>
    <w:rsid w:val="0005391A"/>
    <w:rsid w:val="000539EF"/>
    <w:rsid w:val="00054037"/>
    <w:rsid w:val="000546F4"/>
    <w:rsid w:val="00054AF8"/>
    <w:rsid w:val="0005502A"/>
    <w:rsid w:val="00055B48"/>
    <w:rsid w:val="00055F24"/>
    <w:rsid w:val="0005614F"/>
    <w:rsid w:val="00056806"/>
    <w:rsid w:val="00056F4A"/>
    <w:rsid w:val="000570B5"/>
    <w:rsid w:val="000573A2"/>
    <w:rsid w:val="0005748D"/>
    <w:rsid w:val="00060711"/>
    <w:rsid w:val="0006084E"/>
    <w:rsid w:val="000616DB"/>
    <w:rsid w:val="00062314"/>
    <w:rsid w:val="000629C7"/>
    <w:rsid w:val="00062D53"/>
    <w:rsid w:val="00063073"/>
    <w:rsid w:val="00063785"/>
    <w:rsid w:val="00063CD5"/>
    <w:rsid w:val="00064098"/>
    <w:rsid w:val="000649AD"/>
    <w:rsid w:val="00064FA4"/>
    <w:rsid w:val="00065126"/>
    <w:rsid w:val="00065311"/>
    <w:rsid w:val="00065710"/>
    <w:rsid w:val="00066347"/>
    <w:rsid w:val="00066838"/>
    <w:rsid w:val="00066A40"/>
    <w:rsid w:val="00066CAA"/>
    <w:rsid w:val="000671E5"/>
    <w:rsid w:val="00067AA8"/>
    <w:rsid w:val="0007061E"/>
    <w:rsid w:val="000708AE"/>
    <w:rsid w:val="00070AA8"/>
    <w:rsid w:val="00070D92"/>
    <w:rsid w:val="0007119C"/>
    <w:rsid w:val="00071389"/>
    <w:rsid w:val="000744A5"/>
    <w:rsid w:val="00074B52"/>
    <w:rsid w:val="00074D97"/>
    <w:rsid w:val="00075F3F"/>
    <w:rsid w:val="000765CC"/>
    <w:rsid w:val="00076702"/>
    <w:rsid w:val="00080389"/>
    <w:rsid w:val="000804BA"/>
    <w:rsid w:val="0008061F"/>
    <w:rsid w:val="00080824"/>
    <w:rsid w:val="00080B34"/>
    <w:rsid w:val="00080D51"/>
    <w:rsid w:val="00080DA7"/>
    <w:rsid w:val="00081234"/>
    <w:rsid w:val="0008132B"/>
    <w:rsid w:val="00081EB3"/>
    <w:rsid w:val="000821F8"/>
    <w:rsid w:val="00082A62"/>
    <w:rsid w:val="000835FC"/>
    <w:rsid w:val="000836AA"/>
    <w:rsid w:val="000842F9"/>
    <w:rsid w:val="00084E57"/>
    <w:rsid w:val="000858AE"/>
    <w:rsid w:val="00086182"/>
    <w:rsid w:val="00086BE4"/>
    <w:rsid w:val="00086FCE"/>
    <w:rsid w:val="00087095"/>
    <w:rsid w:val="00087AE1"/>
    <w:rsid w:val="00087C84"/>
    <w:rsid w:val="0009008D"/>
    <w:rsid w:val="00090552"/>
    <w:rsid w:val="00090871"/>
    <w:rsid w:val="00090EC6"/>
    <w:rsid w:val="0009185A"/>
    <w:rsid w:val="00091C13"/>
    <w:rsid w:val="00091E62"/>
    <w:rsid w:val="000922C9"/>
    <w:rsid w:val="00092339"/>
    <w:rsid w:val="0009240F"/>
    <w:rsid w:val="00093153"/>
    <w:rsid w:val="00093BFE"/>
    <w:rsid w:val="000949E1"/>
    <w:rsid w:val="00094E85"/>
    <w:rsid w:val="00094EC1"/>
    <w:rsid w:val="000959B3"/>
    <w:rsid w:val="00095D35"/>
    <w:rsid w:val="000961A0"/>
    <w:rsid w:val="000967E4"/>
    <w:rsid w:val="00096A11"/>
    <w:rsid w:val="00096B08"/>
    <w:rsid w:val="000975ED"/>
    <w:rsid w:val="0009765A"/>
    <w:rsid w:val="00097756"/>
    <w:rsid w:val="00097E66"/>
    <w:rsid w:val="000A0807"/>
    <w:rsid w:val="000A11E5"/>
    <w:rsid w:val="000A121E"/>
    <w:rsid w:val="000A12C4"/>
    <w:rsid w:val="000A13C1"/>
    <w:rsid w:val="000A13DD"/>
    <w:rsid w:val="000A1942"/>
    <w:rsid w:val="000A2278"/>
    <w:rsid w:val="000A2781"/>
    <w:rsid w:val="000A2904"/>
    <w:rsid w:val="000A2AF1"/>
    <w:rsid w:val="000A36AF"/>
    <w:rsid w:val="000A3B25"/>
    <w:rsid w:val="000A4DC3"/>
    <w:rsid w:val="000A4E5F"/>
    <w:rsid w:val="000A5112"/>
    <w:rsid w:val="000A5F5F"/>
    <w:rsid w:val="000A62C3"/>
    <w:rsid w:val="000A69EB"/>
    <w:rsid w:val="000A6BA9"/>
    <w:rsid w:val="000A785A"/>
    <w:rsid w:val="000A7D83"/>
    <w:rsid w:val="000B0072"/>
    <w:rsid w:val="000B0476"/>
    <w:rsid w:val="000B0985"/>
    <w:rsid w:val="000B10CE"/>
    <w:rsid w:val="000B1423"/>
    <w:rsid w:val="000B1955"/>
    <w:rsid w:val="000B32B0"/>
    <w:rsid w:val="000B4A1A"/>
    <w:rsid w:val="000B6BE6"/>
    <w:rsid w:val="000B6C92"/>
    <w:rsid w:val="000B6E74"/>
    <w:rsid w:val="000B72AD"/>
    <w:rsid w:val="000B78CB"/>
    <w:rsid w:val="000C0987"/>
    <w:rsid w:val="000C0B7D"/>
    <w:rsid w:val="000C0C60"/>
    <w:rsid w:val="000C1BCC"/>
    <w:rsid w:val="000C30E4"/>
    <w:rsid w:val="000C3B97"/>
    <w:rsid w:val="000C4426"/>
    <w:rsid w:val="000C487B"/>
    <w:rsid w:val="000C4B86"/>
    <w:rsid w:val="000C4C25"/>
    <w:rsid w:val="000C55B9"/>
    <w:rsid w:val="000C5F5E"/>
    <w:rsid w:val="000C7D5A"/>
    <w:rsid w:val="000D001A"/>
    <w:rsid w:val="000D0494"/>
    <w:rsid w:val="000D04AB"/>
    <w:rsid w:val="000D11F3"/>
    <w:rsid w:val="000D17E8"/>
    <w:rsid w:val="000D1A72"/>
    <w:rsid w:val="000D27C3"/>
    <w:rsid w:val="000D2F5C"/>
    <w:rsid w:val="000D2F6A"/>
    <w:rsid w:val="000D3046"/>
    <w:rsid w:val="000D334A"/>
    <w:rsid w:val="000D3DE7"/>
    <w:rsid w:val="000D3E14"/>
    <w:rsid w:val="000D4353"/>
    <w:rsid w:val="000D4476"/>
    <w:rsid w:val="000D44A6"/>
    <w:rsid w:val="000D4860"/>
    <w:rsid w:val="000D4D45"/>
    <w:rsid w:val="000D54BF"/>
    <w:rsid w:val="000D599D"/>
    <w:rsid w:val="000D5DAB"/>
    <w:rsid w:val="000D656F"/>
    <w:rsid w:val="000D691F"/>
    <w:rsid w:val="000D6BC3"/>
    <w:rsid w:val="000D6DFC"/>
    <w:rsid w:val="000D7AE9"/>
    <w:rsid w:val="000E013D"/>
    <w:rsid w:val="000E0A1B"/>
    <w:rsid w:val="000E13C0"/>
    <w:rsid w:val="000E13E3"/>
    <w:rsid w:val="000E1829"/>
    <w:rsid w:val="000E1924"/>
    <w:rsid w:val="000E1C2D"/>
    <w:rsid w:val="000E25D2"/>
    <w:rsid w:val="000E27A5"/>
    <w:rsid w:val="000E2C1E"/>
    <w:rsid w:val="000E2C26"/>
    <w:rsid w:val="000E372C"/>
    <w:rsid w:val="000E3789"/>
    <w:rsid w:val="000E3DE2"/>
    <w:rsid w:val="000E407F"/>
    <w:rsid w:val="000E454E"/>
    <w:rsid w:val="000E49B0"/>
    <w:rsid w:val="000E581F"/>
    <w:rsid w:val="000E5825"/>
    <w:rsid w:val="000E5D8A"/>
    <w:rsid w:val="000E614F"/>
    <w:rsid w:val="000E6394"/>
    <w:rsid w:val="000E6B5D"/>
    <w:rsid w:val="000E7507"/>
    <w:rsid w:val="000E7BDB"/>
    <w:rsid w:val="000F02C6"/>
    <w:rsid w:val="000F0525"/>
    <w:rsid w:val="000F1FD9"/>
    <w:rsid w:val="000F251A"/>
    <w:rsid w:val="000F2C15"/>
    <w:rsid w:val="000F3221"/>
    <w:rsid w:val="000F32D4"/>
    <w:rsid w:val="000F35CD"/>
    <w:rsid w:val="000F383B"/>
    <w:rsid w:val="000F3F2A"/>
    <w:rsid w:val="000F4A55"/>
    <w:rsid w:val="000F4D83"/>
    <w:rsid w:val="000F5597"/>
    <w:rsid w:val="000F57BD"/>
    <w:rsid w:val="000F57DE"/>
    <w:rsid w:val="000F6372"/>
    <w:rsid w:val="000F68E3"/>
    <w:rsid w:val="000F6A0D"/>
    <w:rsid w:val="000F6CED"/>
    <w:rsid w:val="000F7024"/>
    <w:rsid w:val="000F70C1"/>
    <w:rsid w:val="000F714F"/>
    <w:rsid w:val="000F7426"/>
    <w:rsid w:val="00100AE9"/>
    <w:rsid w:val="00100B4C"/>
    <w:rsid w:val="00101F8E"/>
    <w:rsid w:val="00102667"/>
    <w:rsid w:val="00102A9A"/>
    <w:rsid w:val="00102D7E"/>
    <w:rsid w:val="001032E3"/>
    <w:rsid w:val="00103C10"/>
    <w:rsid w:val="001040FE"/>
    <w:rsid w:val="00104496"/>
    <w:rsid w:val="00104B1A"/>
    <w:rsid w:val="00104F6C"/>
    <w:rsid w:val="0010536A"/>
    <w:rsid w:val="00105727"/>
    <w:rsid w:val="00105E79"/>
    <w:rsid w:val="00106746"/>
    <w:rsid w:val="00106A7D"/>
    <w:rsid w:val="001070D9"/>
    <w:rsid w:val="0010791D"/>
    <w:rsid w:val="0011017A"/>
    <w:rsid w:val="00110304"/>
    <w:rsid w:val="0011087E"/>
    <w:rsid w:val="001116B9"/>
    <w:rsid w:val="00111C49"/>
    <w:rsid w:val="00111FF6"/>
    <w:rsid w:val="00112137"/>
    <w:rsid w:val="00112979"/>
    <w:rsid w:val="0011310F"/>
    <w:rsid w:val="001132D8"/>
    <w:rsid w:val="00113311"/>
    <w:rsid w:val="001137CB"/>
    <w:rsid w:val="00113E76"/>
    <w:rsid w:val="00114057"/>
    <w:rsid w:val="00114AA7"/>
    <w:rsid w:val="00115747"/>
    <w:rsid w:val="00115759"/>
    <w:rsid w:val="00115849"/>
    <w:rsid w:val="00115E61"/>
    <w:rsid w:val="00116828"/>
    <w:rsid w:val="001168D9"/>
    <w:rsid w:val="0011735D"/>
    <w:rsid w:val="001173D2"/>
    <w:rsid w:val="00117C86"/>
    <w:rsid w:val="0012090B"/>
    <w:rsid w:val="00120E9D"/>
    <w:rsid w:val="00120FA5"/>
    <w:rsid w:val="00121690"/>
    <w:rsid w:val="00121760"/>
    <w:rsid w:val="00121C00"/>
    <w:rsid w:val="00122E93"/>
    <w:rsid w:val="00123676"/>
    <w:rsid w:val="001239F0"/>
    <w:rsid w:val="0012418E"/>
    <w:rsid w:val="00124392"/>
    <w:rsid w:val="00124B3F"/>
    <w:rsid w:val="001251C4"/>
    <w:rsid w:val="00125515"/>
    <w:rsid w:val="00125C11"/>
    <w:rsid w:val="00125DAC"/>
    <w:rsid w:val="00126344"/>
    <w:rsid w:val="0012637D"/>
    <w:rsid w:val="00126545"/>
    <w:rsid w:val="00126AB6"/>
    <w:rsid w:val="00126E29"/>
    <w:rsid w:val="0012750F"/>
    <w:rsid w:val="00127C89"/>
    <w:rsid w:val="00130245"/>
    <w:rsid w:val="00130967"/>
    <w:rsid w:val="00131889"/>
    <w:rsid w:val="00132306"/>
    <w:rsid w:val="00132AA8"/>
    <w:rsid w:val="00132E69"/>
    <w:rsid w:val="001335E4"/>
    <w:rsid w:val="0013412A"/>
    <w:rsid w:val="0013509A"/>
    <w:rsid w:val="00135775"/>
    <w:rsid w:val="001374C1"/>
    <w:rsid w:val="001375AA"/>
    <w:rsid w:val="00137C48"/>
    <w:rsid w:val="00137E72"/>
    <w:rsid w:val="00140BF7"/>
    <w:rsid w:val="00140F09"/>
    <w:rsid w:val="00141609"/>
    <w:rsid w:val="001420B1"/>
    <w:rsid w:val="00142318"/>
    <w:rsid w:val="00142788"/>
    <w:rsid w:val="00142DCC"/>
    <w:rsid w:val="001438AC"/>
    <w:rsid w:val="00144043"/>
    <w:rsid w:val="00144EF7"/>
    <w:rsid w:val="00144FE3"/>
    <w:rsid w:val="00145219"/>
    <w:rsid w:val="001464D7"/>
    <w:rsid w:val="001467ED"/>
    <w:rsid w:val="00146851"/>
    <w:rsid w:val="0014692C"/>
    <w:rsid w:val="00146C39"/>
    <w:rsid w:val="001501CF"/>
    <w:rsid w:val="00150B3C"/>
    <w:rsid w:val="00150BAC"/>
    <w:rsid w:val="00151547"/>
    <w:rsid w:val="0015164B"/>
    <w:rsid w:val="0015198C"/>
    <w:rsid w:val="00151990"/>
    <w:rsid w:val="001519A2"/>
    <w:rsid w:val="001519C2"/>
    <w:rsid w:val="00151A86"/>
    <w:rsid w:val="00151BE3"/>
    <w:rsid w:val="001520EC"/>
    <w:rsid w:val="001522CD"/>
    <w:rsid w:val="00152B66"/>
    <w:rsid w:val="0015324F"/>
    <w:rsid w:val="0015348A"/>
    <w:rsid w:val="0015406E"/>
    <w:rsid w:val="00154250"/>
    <w:rsid w:val="00154542"/>
    <w:rsid w:val="00154FD5"/>
    <w:rsid w:val="0015515D"/>
    <w:rsid w:val="0015541A"/>
    <w:rsid w:val="0015543F"/>
    <w:rsid w:val="001554A4"/>
    <w:rsid w:val="001556B8"/>
    <w:rsid w:val="00155A9D"/>
    <w:rsid w:val="00155AB4"/>
    <w:rsid w:val="00155B2B"/>
    <w:rsid w:val="0015604B"/>
    <w:rsid w:val="001567BE"/>
    <w:rsid w:val="00156F50"/>
    <w:rsid w:val="00157894"/>
    <w:rsid w:val="00157C4D"/>
    <w:rsid w:val="00157EBF"/>
    <w:rsid w:val="00157EF4"/>
    <w:rsid w:val="001605E2"/>
    <w:rsid w:val="001606D5"/>
    <w:rsid w:val="001608D0"/>
    <w:rsid w:val="00160948"/>
    <w:rsid w:val="00160EC5"/>
    <w:rsid w:val="0016130C"/>
    <w:rsid w:val="001617EC"/>
    <w:rsid w:val="00161E19"/>
    <w:rsid w:val="001624A0"/>
    <w:rsid w:val="00162A2E"/>
    <w:rsid w:val="00162A64"/>
    <w:rsid w:val="001633FD"/>
    <w:rsid w:val="00163561"/>
    <w:rsid w:val="00163B56"/>
    <w:rsid w:val="00163B7F"/>
    <w:rsid w:val="00164C1F"/>
    <w:rsid w:val="00164E5C"/>
    <w:rsid w:val="001659B1"/>
    <w:rsid w:val="00165C1C"/>
    <w:rsid w:val="0016614E"/>
    <w:rsid w:val="00166638"/>
    <w:rsid w:val="00166A9C"/>
    <w:rsid w:val="00166C0A"/>
    <w:rsid w:val="0016736C"/>
    <w:rsid w:val="0016736E"/>
    <w:rsid w:val="001678F4"/>
    <w:rsid w:val="00167AC4"/>
    <w:rsid w:val="00170D48"/>
    <w:rsid w:val="00170DCF"/>
    <w:rsid w:val="00171163"/>
    <w:rsid w:val="001718B3"/>
    <w:rsid w:val="00171AE7"/>
    <w:rsid w:val="0017226F"/>
    <w:rsid w:val="0017279E"/>
    <w:rsid w:val="00173505"/>
    <w:rsid w:val="0017396E"/>
    <w:rsid w:val="00173B63"/>
    <w:rsid w:val="00174533"/>
    <w:rsid w:val="00174640"/>
    <w:rsid w:val="001747C2"/>
    <w:rsid w:val="00177068"/>
    <w:rsid w:val="001770FF"/>
    <w:rsid w:val="00180303"/>
    <w:rsid w:val="00180685"/>
    <w:rsid w:val="00180730"/>
    <w:rsid w:val="00180AA3"/>
    <w:rsid w:val="00180C38"/>
    <w:rsid w:val="00180C5D"/>
    <w:rsid w:val="00180F22"/>
    <w:rsid w:val="001812CF"/>
    <w:rsid w:val="0018155B"/>
    <w:rsid w:val="00181993"/>
    <w:rsid w:val="00181F22"/>
    <w:rsid w:val="00182547"/>
    <w:rsid w:val="00182D35"/>
    <w:rsid w:val="0018369D"/>
    <w:rsid w:val="00183AAD"/>
    <w:rsid w:val="00184537"/>
    <w:rsid w:val="001845F5"/>
    <w:rsid w:val="00185106"/>
    <w:rsid w:val="00185370"/>
    <w:rsid w:val="001857A0"/>
    <w:rsid w:val="00185BB2"/>
    <w:rsid w:val="0018687D"/>
    <w:rsid w:val="0018738D"/>
    <w:rsid w:val="00187731"/>
    <w:rsid w:val="00187903"/>
    <w:rsid w:val="001902D2"/>
    <w:rsid w:val="00190E00"/>
    <w:rsid w:val="00190EC7"/>
    <w:rsid w:val="0019114B"/>
    <w:rsid w:val="00191671"/>
    <w:rsid w:val="00191F65"/>
    <w:rsid w:val="00192852"/>
    <w:rsid w:val="001930F5"/>
    <w:rsid w:val="0019353F"/>
    <w:rsid w:val="00193AA6"/>
    <w:rsid w:val="00193C08"/>
    <w:rsid w:val="00193FAF"/>
    <w:rsid w:val="00194ECA"/>
    <w:rsid w:val="001950A6"/>
    <w:rsid w:val="0019623A"/>
    <w:rsid w:val="001972CF"/>
    <w:rsid w:val="0019760B"/>
    <w:rsid w:val="00197E99"/>
    <w:rsid w:val="001A00E7"/>
    <w:rsid w:val="001A071C"/>
    <w:rsid w:val="001A0966"/>
    <w:rsid w:val="001A0CA0"/>
    <w:rsid w:val="001A1BA4"/>
    <w:rsid w:val="001A34F0"/>
    <w:rsid w:val="001A3D28"/>
    <w:rsid w:val="001A467B"/>
    <w:rsid w:val="001A50B5"/>
    <w:rsid w:val="001A5BE9"/>
    <w:rsid w:val="001A60CD"/>
    <w:rsid w:val="001A645E"/>
    <w:rsid w:val="001A64A3"/>
    <w:rsid w:val="001A6C5A"/>
    <w:rsid w:val="001A703A"/>
    <w:rsid w:val="001A71B8"/>
    <w:rsid w:val="001B089D"/>
    <w:rsid w:val="001B0EA3"/>
    <w:rsid w:val="001B116A"/>
    <w:rsid w:val="001B188A"/>
    <w:rsid w:val="001B197D"/>
    <w:rsid w:val="001B19AE"/>
    <w:rsid w:val="001B1C5C"/>
    <w:rsid w:val="001B1CB9"/>
    <w:rsid w:val="001B21D2"/>
    <w:rsid w:val="001B21DC"/>
    <w:rsid w:val="001B266B"/>
    <w:rsid w:val="001B27DD"/>
    <w:rsid w:val="001B2D7B"/>
    <w:rsid w:val="001B3424"/>
    <w:rsid w:val="001B3BAA"/>
    <w:rsid w:val="001B4236"/>
    <w:rsid w:val="001B4495"/>
    <w:rsid w:val="001B4B55"/>
    <w:rsid w:val="001B4F72"/>
    <w:rsid w:val="001B5FFB"/>
    <w:rsid w:val="001B6085"/>
    <w:rsid w:val="001B65ED"/>
    <w:rsid w:val="001B67B7"/>
    <w:rsid w:val="001B6866"/>
    <w:rsid w:val="001B72F5"/>
    <w:rsid w:val="001B75C2"/>
    <w:rsid w:val="001B76D3"/>
    <w:rsid w:val="001B7E27"/>
    <w:rsid w:val="001C0D20"/>
    <w:rsid w:val="001C1920"/>
    <w:rsid w:val="001C2123"/>
    <w:rsid w:val="001C22C8"/>
    <w:rsid w:val="001C2346"/>
    <w:rsid w:val="001C23F7"/>
    <w:rsid w:val="001C27FF"/>
    <w:rsid w:val="001C2900"/>
    <w:rsid w:val="001C2D7E"/>
    <w:rsid w:val="001C2EE7"/>
    <w:rsid w:val="001C2FA6"/>
    <w:rsid w:val="001C3064"/>
    <w:rsid w:val="001C31EF"/>
    <w:rsid w:val="001C3C8A"/>
    <w:rsid w:val="001C4264"/>
    <w:rsid w:val="001C443E"/>
    <w:rsid w:val="001C49B0"/>
    <w:rsid w:val="001C4B41"/>
    <w:rsid w:val="001C4ECE"/>
    <w:rsid w:val="001C5529"/>
    <w:rsid w:val="001C5C33"/>
    <w:rsid w:val="001C6AFF"/>
    <w:rsid w:val="001C72AE"/>
    <w:rsid w:val="001C7384"/>
    <w:rsid w:val="001C77A1"/>
    <w:rsid w:val="001C7B29"/>
    <w:rsid w:val="001C7ED2"/>
    <w:rsid w:val="001D06D6"/>
    <w:rsid w:val="001D0ECF"/>
    <w:rsid w:val="001D11FA"/>
    <w:rsid w:val="001D17BE"/>
    <w:rsid w:val="001D1E50"/>
    <w:rsid w:val="001D2D7B"/>
    <w:rsid w:val="001D2FF3"/>
    <w:rsid w:val="001D3276"/>
    <w:rsid w:val="001D327E"/>
    <w:rsid w:val="001D335E"/>
    <w:rsid w:val="001D3361"/>
    <w:rsid w:val="001D3F2F"/>
    <w:rsid w:val="001D404F"/>
    <w:rsid w:val="001D45D1"/>
    <w:rsid w:val="001D4E37"/>
    <w:rsid w:val="001D4E9A"/>
    <w:rsid w:val="001D55A5"/>
    <w:rsid w:val="001D6675"/>
    <w:rsid w:val="001D698E"/>
    <w:rsid w:val="001D710D"/>
    <w:rsid w:val="001D7134"/>
    <w:rsid w:val="001D7B6E"/>
    <w:rsid w:val="001E00F5"/>
    <w:rsid w:val="001E0116"/>
    <w:rsid w:val="001E0485"/>
    <w:rsid w:val="001E1AC7"/>
    <w:rsid w:val="001E1B2D"/>
    <w:rsid w:val="001E2135"/>
    <w:rsid w:val="001E247F"/>
    <w:rsid w:val="001E2FA7"/>
    <w:rsid w:val="001E3023"/>
    <w:rsid w:val="001E31E1"/>
    <w:rsid w:val="001E35D3"/>
    <w:rsid w:val="001E3FFB"/>
    <w:rsid w:val="001E4048"/>
    <w:rsid w:val="001E404B"/>
    <w:rsid w:val="001E4236"/>
    <w:rsid w:val="001E42AA"/>
    <w:rsid w:val="001E56B7"/>
    <w:rsid w:val="001E5EBC"/>
    <w:rsid w:val="001E6147"/>
    <w:rsid w:val="001E635C"/>
    <w:rsid w:val="001E694E"/>
    <w:rsid w:val="001E6B1F"/>
    <w:rsid w:val="001E6F32"/>
    <w:rsid w:val="001E753C"/>
    <w:rsid w:val="001F0C14"/>
    <w:rsid w:val="001F11FF"/>
    <w:rsid w:val="001F144C"/>
    <w:rsid w:val="001F1646"/>
    <w:rsid w:val="001F1842"/>
    <w:rsid w:val="001F1C61"/>
    <w:rsid w:val="001F23C1"/>
    <w:rsid w:val="001F268E"/>
    <w:rsid w:val="001F2C05"/>
    <w:rsid w:val="001F32FC"/>
    <w:rsid w:val="001F377D"/>
    <w:rsid w:val="001F3AE0"/>
    <w:rsid w:val="001F4379"/>
    <w:rsid w:val="001F4E12"/>
    <w:rsid w:val="001F4F9F"/>
    <w:rsid w:val="001F54CE"/>
    <w:rsid w:val="001F59B4"/>
    <w:rsid w:val="001F688C"/>
    <w:rsid w:val="001F6B59"/>
    <w:rsid w:val="001F6D79"/>
    <w:rsid w:val="001F7451"/>
    <w:rsid w:val="001F7A96"/>
    <w:rsid w:val="001F7DA0"/>
    <w:rsid w:val="002001F4"/>
    <w:rsid w:val="002004C6"/>
    <w:rsid w:val="00200652"/>
    <w:rsid w:val="00200A91"/>
    <w:rsid w:val="00200ACD"/>
    <w:rsid w:val="00200C32"/>
    <w:rsid w:val="00200DB2"/>
    <w:rsid w:val="00201595"/>
    <w:rsid w:val="0020159C"/>
    <w:rsid w:val="00201FEE"/>
    <w:rsid w:val="00202999"/>
    <w:rsid w:val="002029C1"/>
    <w:rsid w:val="00202D9A"/>
    <w:rsid w:val="002032AB"/>
    <w:rsid w:val="002035B2"/>
    <w:rsid w:val="00203706"/>
    <w:rsid w:val="002037E1"/>
    <w:rsid w:val="00203A16"/>
    <w:rsid w:val="00204116"/>
    <w:rsid w:val="002049E5"/>
    <w:rsid w:val="00205069"/>
    <w:rsid w:val="0020519E"/>
    <w:rsid w:val="00205474"/>
    <w:rsid w:val="00205B8E"/>
    <w:rsid w:val="00205DC5"/>
    <w:rsid w:val="002067C6"/>
    <w:rsid w:val="002068CC"/>
    <w:rsid w:val="00207381"/>
    <w:rsid w:val="002074D9"/>
    <w:rsid w:val="002103DC"/>
    <w:rsid w:val="00210B05"/>
    <w:rsid w:val="002113E6"/>
    <w:rsid w:val="002116A7"/>
    <w:rsid w:val="0021199E"/>
    <w:rsid w:val="002125C6"/>
    <w:rsid w:val="00212A05"/>
    <w:rsid w:val="002133BB"/>
    <w:rsid w:val="00213496"/>
    <w:rsid w:val="002134FC"/>
    <w:rsid w:val="0021418A"/>
    <w:rsid w:val="00214302"/>
    <w:rsid w:val="00215299"/>
    <w:rsid w:val="00215DA1"/>
    <w:rsid w:val="00215DFD"/>
    <w:rsid w:val="0021605D"/>
    <w:rsid w:val="00216347"/>
    <w:rsid w:val="00217173"/>
    <w:rsid w:val="00217411"/>
    <w:rsid w:val="00217A81"/>
    <w:rsid w:val="00217C6B"/>
    <w:rsid w:val="00217D30"/>
    <w:rsid w:val="00220221"/>
    <w:rsid w:val="002203FF"/>
    <w:rsid w:val="00220AF3"/>
    <w:rsid w:val="00221548"/>
    <w:rsid w:val="00221B97"/>
    <w:rsid w:val="00222076"/>
    <w:rsid w:val="00222151"/>
    <w:rsid w:val="00222851"/>
    <w:rsid w:val="00222ACE"/>
    <w:rsid w:val="00222BDE"/>
    <w:rsid w:val="00222D54"/>
    <w:rsid w:val="00223233"/>
    <w:rsid w:val="002234D8"/>
    <w:rsid w:val="00223B14"/>
    <w:rsid w:val="002244EC"/>
    <w:rsid w:val="00224E4B"/>
    <w:rsid w:val="002251DA"/>
    <w:rsid w:val="0022563E"/>
    <w:rsid w:val="002256CA"/>
    <w:rsid w:val="00225D2C"/>
    <w:rsid w:val="00225D4D"/>
    <w:rsid w:val="002260B4"/>
    <w:rsid w:val="002262EB"/>
    <w:rsid w:val="00226541"/>
    <w:rsid w:val="00226E11"/>
    <w:rsid w:val="00227049"/>
    <w:rsid w:val="002305A7"/>
    <w:rsid w:val="00230723"/>
    <w:rsid w:val="00231D64"/>
    <w:rsid w:val="00231F1D"/>
    <w:rsid w:val="00232B34"/>
    <w:rsid w:val="00233718"/>
    <w:rsid w:val="00233B71"/>
    <w:rsid w:val="00233BF4"/>
    <w:rsid w:val="00233EAD"/>
    <w:rsid w:val="0023543D"/>
    <w:rsid w:val="00236588"/>
    <w:rsid w:val="002366CE"/>
    <w:rsid w:val="00236D41"/>
    <w:rsid w:val="00236EC2"/>
    <w:rsid w:val="00237611"/>
    <w:rsid w:val="00237792"/>
    <w:rsid w:val="00237A8E"/>
    <w:rsid w:val="00237DCB"/>
    <w:rsid w:val="00237EED"/>
    <w:rsid w:val="002407E2"/>
    <w:rsid w:val="0024158E"/>
    <w:rsid w:val="0024159E"/>
    <w:rsid w:val="0024188E"/>
    <w:rsid w:val="00241B33"/>
    <w:rsid w:val="00241F0C"/>
    <w:rsid w:val="00242F74"/>
    <w:rsid w:val="0024329C"/>
    <w:rsid w:val="0024347F"/>
    <w:rsid w:val="00244276"/>
    <w:rsid w:val="002442BD"/>
    <w:rsid w:val="002444CD"/>
    <w:rsid w:val="00244A82"/>
    <w:rsid w:val="00244C3B"/>
    <w:rsid w:val="002454ED"/>
    <w:rsid w:val="00245842"/>
    <w:rsid w:val="00245919"/>
    <w:rsid w:val="002464F0"/>
    <w:rsid w:val="00246805"/>
    <w:rsid w:val="0024682A"/>
    <w:rsid w:val="002468E1"/>
    <w:rsid w:val="00247D9E"/>
    <w:rsid w:val="00250265"/>
    <w:rsid w:val="002507E2"/>
    <w:rsid w:val="00250AB3"/>
    <w:rsid w:val="00250F2B"/>
    <w:rsid w:val="00251120"/>
    <w:rsid w:val="00251184"/>
    <w:rsid w:val="00251B20"/>
    <w:rsid w:val="00251B98"/>
    <w:rsid w:val="00251D03"/>
    <w:rsid w:val="002527FB"/>
    <w:rsid w:val="00252A05"/>
    <w:rsid w:val="00252C36"/>
    <w:rsid w:val="002532DF"/>
    <w:rsid w:val="002533EE"/>
    <w:rsid w:val="002540BA"/>
    <w:rsid w:val="0025413D"/>
    <w:rsid w:val="002542D6"/>
    <w:rsid w:val="0025445B"/>
    <w:rsid w:val="00254876"/>
    <w:rsid w:val="00254A5E"/>
    <w:rsid w:val="0025536E"/>
    <w:rsid w:val="0025559B"/>
    <w:rsid w:val="0025597B"/>
    <w:rsid w:val="002559DF"/>
    <w:rsid w:val="00255A31"/>
    <w:rsid w:val="00255AF4"/>
    <w:rsid w:val="002562E3"/>
    <w:rsid w:val="002567A6"/>
    <w:rsid w:val="00257048"/>
    <w:rsid w:val="00257276"/>
    <w:rsid w:val="00257F46"/>
    <w:rsid w:val="00260045"/>
    <w:rsid w:val="0026027E"/>
    <w:rsid w:val="002608B9"/>
    <w:rsid w:val="002618D7"/>
    <w:rsid w:val="00262211"/>
    <w:rsid w:val="002627B4"/>
    <w:rsid w:val="00264016"/>
    <w:rsid w:val="0026424E"/>
    <w:rsid w:val="00264B41"/>
    <w:rsid w:val="0026515B"/>
    <w:rsid w:val="0026523B"/>
    <w:rsid w:val="002676DD"/>
    <w:rsid w:val="0026771B"/>
    <w:rsid w:val="00267819"/>
    <w:rsid w:val="00267BF4"/>
    <w:rsid w:val="00270188"/>
    <w:rsid w:val="002701D5"/>
    <w:rsid w:val="002705F9"/>
    <w:rsid w:val="00270E1A"/>
    <w:rsid w:val="00271960"/>
    <w:rsid w:val="00271EF8"/>
    <w:rsid w:val="00272E7E"/>
    <w:rsid w:val="002733BC"/>
    <w:rsid w:val="002734A4"/>
    <w:rsid w:val="00273A8A"/>
    <w:rsid w:val="0027437D"/>
    <w:rsid w:val="002767EB"/>
    <w:rsid w:val="00276B84"/>
    <w:rsid w:val="00277578"/>
    <w:rsid w:val="00280070"/>
    <w:rsid w:val="00280625"/>
    <w:rsid w:val="0028101B"/>
    <w:rsid w:val="0028106D"/>
    <w:rsid w:val="00281633"/>
    <w:rsid w:val="002818B2"/>
    <w:rsid w:val="00281AAC"/>
    <w:rsid w:val="00282006"/>
    <w:rsid w:val="00282061"/>
    <w:rsid w:val="002828C5"/>
    <w:rsid w:val="00282AB3"/>
    <w:rsid w:val="0028308A"/>
    <w:rsid w:val="0028351B"/>
    <w:rsid w:val="00283BA7"/>
    <w:rsid w:val="00284118"/>
    <w:rsid w:val="002842F0"/>
    <w:rsid w:val="00284AF5"/>
    <w:rsid w:val="00284B24"/>
    <w:rsid w:val="00285368"/>
    <w:rsid w:val="0028579A"/>
    <w:rsid w:val="0028593E"/>
    <w:rsid w:val="00286236"/>
    <w:rsid w:val="00286B9F"/>
    <w:rsid w:val="00286C1D"/>
    <w:rsid w:val="002876F2"/>
    <w:rsid w:val="00287F03"/>
    <w:rsid w:val="0029081B"/>
    <w:rsid w:val="00290E95"/>
    <w:rsid w:val="002913D4"/>
    <w:rsid w:val="00291D42"/>
    <w:rsid w:val="0029247F"/>
    <w:rsid w:val="00292529"/>
    <w:rsid w:val="00292784"/>
    <w:rsid w:val="00292B63"/>
    <w:rsid w:val="00292B89"/>
    <w:rsid w:val="00293392"/>
    <w:rsid w:val="00293B25"/>
    <w:rsid w:val="0029518A"/>
    <w:rsid w:val="00295A7A"/>
    <w:rsid w:val="00296466"/>
    <w:rsid w:val="00297007"/>
    <w:rsid w:val="00297522"/>
    <w:rsid w:val="00297BD1"/>
    <w:rsid w:val="00297EE3"/>
    <w:rsid w:val="002A0427"/>
    <w:rsid w:val="002A0478"/>
    <w:rsid w:val="002A074A"/>
    <w:rsid w:val="002A0ABB"/>
    <w:rsid w:val="002A0F73"/>
    <w:rsid w:val="002A17A1"/>
    <w:rsid w:val="002A1921"/>
    <w:rsid w:val="002A1BB7"/>
    <w:rsid w:val="002A1E8C"/>
    <w:rsid w:val="002A2D90"/>
    <w:rsid w:val="002A3629"/>
    <w:rsid w:val="002A3A2C"/>
    <w:rsid w:val="002A3FD0"/>
    <w:rsid w:val="002A442C"/>
    <w:rsid w:val="002A46F8"/>
    <w:rsid w:val="002A476E"/>
    <w:rsid w:val="002A513B"/>
    <w:rsid w:val="002A5276"/>
    <w:rsid w:val="002A5CD8"/>
    <w:rsid w:val="002A5FBD"/>
    <w:rsid w:val="002A62F1"/>
    <w:rsid w:val="002A67DF"/>
    <w:rsid w:val="002A6A5C"/>
    <w:rsid w:val="002A70A9"/>
    <w:rsid w:val="002A736C"/>
    <w:rsid w:val="002B0598"/>
    <w:rsid w:val="002B1525"/>
    <w:rsid w:val="002B155F"/>
    <w:rsid w:val="002B1C9F"/>
    <w:rsid w:val="002B1D1A"/>
    <w:rsid w:val="002B22FF"/>
    <w:rsid w:val="002B3BB1"/>
    <w:rsid w:val="002B3BB9"/>
    <w:rsid w:val="002B3C71"/>
    <w:rsid w:val="002B3C96"/>
    <w:rsid w:val="002B4356"/>
    <w:rsid w:val="002B48EF"/>
    <w:rsid w:val="002B4BDB"/>
    <w:rsid w:val="002B5D37"/>
    <w:rsid w:val="002B6049"/>
    <w:rsid w:val="002B6491"/>
    <w:rsid w:val="002B6732"/>
    <w:rsid w:val="002B6F77"/>
    <w:rsid w:val="002B6F7A"/>
    <w:rsid w:val="002B738D"/>
    <w:rsid w:val="002B740A"/>
    <w:rsid w:val="002B7EF8"/>
    <w:rsid w:val="002C0518"/>
    <w:rsid w:val="002C052F"/>
    <w:rsid w:val="002C05E9"/>
    <w:rsid w:val="002C1BD4"/>
    <w:rsid w:val="002C1D61"/>
    <w:rsid w:val="002C266C"/>
    <w:rsid w:val="002C27F7"/>
    <w:rsid w:val="002C2E42"/>
    <w:rsid w:val="002C32EE"/>
    <w:rsid w:val="002C33A6"/>
    <w:rsid w:val="002C349E"/>
    <w:rsid w:val="002C3978"/>
    <w:rsid w:val="002C3981"/>
    <w:rsid w:val="002C3D93"/>
    <w:rsid w:val="002C3FCF"/>
    <w:rsid w:val="002C42EE"/>
    <w:rsid w:val="002C5AEB"/>
    <w:rsid w:val="002C5F2C"/>
    <w:rsid w:val="002C6066"/>
    <w:rsid w:val="002C6544"/>
    <w:rsid w:val="002C6662"/>
    <w:rsid w:val="002C6C13"/>
    <w:rsid w:val="002C71DC"/>
    <w:rsid w:val="002C7A11"/>
    <w:rsid w:val="002C7F23"/>
    <w:rsid w:val="002C7F6A"/>
    <w:rsid w:val="002D0236"/>
    <w:rsid w:val="002D0B1A"/>
    <w:rsid w:val="002D1803"/>
    <w:rsid w:val="002D1AF7"/>
    <w:rsid w:val="002D1E23"/>
    <w:rsid w:val="002D2049"/>
    <w:rsid w:val="002D2134"/>
    <w:rsid w:val="002D2857"/>
    <w:rsid w:val="002D3492"/>
    <w:rsid w:val="002D36BB"/>
    <w:rsid w:val="002D3766"/>
    <w:rsid w:val="002D37C2"/>
    <w:rsid w:val="002D3AD7"/>
    <w:rsid w:val="002D492D"/>
    <w:rsid w:val="002D5661"/>
    <w:rsid w:val="002D5944"/>
    <w:rsid w:val="002D5B62"/>
    <w:rsid w:val="002D5E1D"/>
    <w:rsid w:val="002D5E1F"/>
    <w:rsid w:val="002D6E18"/>
    <w:rsid w:val="002D72E5"/>
    <w:rsid w:val="002D77D9"/>
    <w:rsid w:val="002E0359"/>
    <w:rsid w:val="002E0955"/>
    <w:rsid w:val="002E0A48"/>
    <w:rsid w:val="002E258E"/>
    <w:rsid w:val="002E27AF"/>
    <w:rsid w:val="002E303D"/>
    <w:rsid w:val="002E323B"/>
    <w:rsid w:val="002E39CA"/>
    <w:rsid w:val="002E467E"/>
    <w:rsid w:val="002E4907"/>
    <w:rsid w:val="002E4F6D"/>
    <w:rsid w:val="002E5A18"/>
    <w:rsid w:val="002E5DD5"/>
    <w:rsid w:val="002E6CD1"/>
    <w:rsid w:val="002E7370"/>
    <w:rsid w:val="002F01A0"/>
    <w:rsid w:val="002F04B0"/>
    <w:rsid w:val="002F04D0"/>
    <w:rsid w:val="002F07CF"/>
    <w:rsid w:val="002F0B8D"/>
    <w:rsid w:val="002F142E"/>
    <w:rsid w:val="002F14A4"/>
    <w:rsid w:val="002F2405"/>
    <w:rsid w:val="002F2724"/>
    <w:rsid w:val="002F27AC"/>
    <w:rsid w:val="002F2A7C"/>
    <w:rsid w:val="002F2FD3"/>
    <w:rsid w:val="002F323F"/>
    <w:rsid w:val="002F32BB"/>
    <w:rsid w:val="002F3791"/>
    <w:rsid w:val="002F3BCB"/>
    <w:rsid w:val="002F41DC"/>
    <w:rsid w:val="002F4B96"/>
    <w:rsid w:val="002F4DE0"/>
    <w:rsid w:val="002F54D3"/>
    <w:rsid w:val="002F5531"/>
    <w:rsid w:val="002F5CD1"/>
    <w:rsid w:val="002F5EA8"/>
    <w:rsid w:val="002F5F6C"/>
    <w:rsid w:val="002F63FD"/>
    <w:rsid w:val="002F70EC"/>
    <w:rsid w:val="002F75F6"/>
    <w:rsid w:val="0030020B"/>
    <w:rsid w:val="0030036D"/>
    <w:rsid w:val="00300DB6"/>
    <w:rsid w:val="003010A8"/>
    <w:rsid w:val="003021A7"/>
    <w:rsid w:val="0030250B"/>
    <w:rsid w:val="003028C4"/>
    <w:rsid w:val="00302C24"/>
    <w:rsid w:val="00302E63"/>
    <w:rsid w:val="00303D1A"/>
    <w:rsid w:val="00304C3C"/>
    <w:rsid w:val="00304E1C"/>
    <w:rsid w:val="00305037"/>
    <w:rsid w:val="00305273"/>
    <w:rsid w:val="00305D38"/>
    <w:rsid w:val="00305FBD"/>
    <w:rsid w:val="003062B0"/>
    <w:rsid w:val="00306A64"/>
    <w:rsid w:val="0030721D"/>
    <w:rsid w:val="00307278"/>
    <w:rsid w:val="003072C2"/>
    <w:rsid w:val="00307501"/>
    <w:rsid w:val="00307A1A"/>
    <w:rsid w:val="00307A3B"/>
    <w:rsid w:val="00307F4E"/>
    <w:rsid w:val="00310913"/>
    <w:rsid w:val="00311202"/>
    <w:rsid w:val="0031254B"/>
    <w:rsid w:val="00312D2A"/>
    <w:rsid w:val="003130C9"/>
    <w:rsid w:val="00313CAE"/>
    <w:rsid w:val="0031448B"/>
    <w:rsid w:val="00314BE0"/>
    <w:rsid w:val="00314E47"/>
    <w:rsid w:val="0031515C"/>
    <w:rsid w:val="00315938"/>
    <w:rsid w:val="00316372"/>
    <w:rsid w:val="0031697D"/>
    <w:rsid w:val="00316D78"/>
    <w:rsid w:val="00321062"/>
    <w:rsid w:val="003228D1"/>
    <w:rsid w:val="00322A26"/>
    <w:rsid w:val="00322A3B"/>
    <w:rsid w:val="00322E17"/>
    <w:rsid w:val="00323058"/>
    <w:rsid w:val="0032426C"/>
    <w:rsid w:val="003254F5"/>
    <w:rsid w:val="00325B78"/>
    <w:rsid w:val="0032704A"/>
    <w:rsid w:val="0032751A"/>
    <w:rsid w:val="00327A31"/>
    <w:rsid w:val="00327FF7"/>
    <w:rsid w:val="003305BF"/>
    <w:rsid w:val="00330666"/>
    <w:rsid w:val="003317B6"/>
    <w:rsid w:val="00331EB0"/>
    <w:rsid w:val="00331F01"/>
    <w:rsid w:val="00332556"/>
    <w:rsid w:val="003326A9"/>
    <w:rsid w:val="0033282D"/>
    <w:rsid w:val="00332A16"/>
    <w:rsid w:val="00332EDA"/>
    <w:rsid w:val="00333C5E"/>
    <w:rsid w:val="0033421E"/>
    <w:rsid w:val="0033523A"/>
    <w:rsid w:val="0033559B"/>
    <w:rsid w:val="003355C0"/>
    <w:rsid w:val="003359C7"/>
    <w:rsid w:val="00335AB6"/>
    <w:rsid w:val="00335E24"/>
    <w:rsid w:val="003363EA"/>
    <w:rsid w:val="00336A58"/>
    <w:rsid w:val="00336B76"/>
    <w:rsid w:val="0033710E"/>
    <w:rsid w:val="0033720E"/>
    <w:rsid w:val="00337D24"/>
    <w:rsid w:val="0034095B"/>
    <w:rsid w:val="0034117A"/>
    <w:rsid w:val="003412CC"/>
    <w:rsid w:val="00341413"/>
    <w:rsid w:val="003418FE"/>
    <w:rsid w:val="00341C6E"/>
    <w:rsid w:val="00341ED5"/>
    <w:rsid w:val="00342742"/>
    <w:rsid w:val="00342A25"/>
    <w:rsid w:val="00342EBE"/>
    <w:rsid w:val="00343E77"/>
    <w:rsid w:val="00344681"/>
    <w:rsid w:val="00344F52"/>
    <w:rsid w:val="0034550B"/>
    <w:rsid w:val="00346967"/>
    <w:rsid w:val="00346DB1"/>
    <w:rsid w:val="00346E88"/>
    <w:rsid w:val="00346F28"/>
    <w:rsid w:val="00347556"/>
    <w:rsid w:val="00347D1B"/>
    <w:rsid w:val="00350D24"/>
    <w:rsid w:val="00350F31"/>
    <w:rsid w:val="0035100E"/>
    <w:rsid w:val="00351654"/>
    <w:rsid w:val="003522BE"/>
    <w:rsid w:val="00352A1E"/>
    <w:rsid w:val="00352BB1"/>
    <w:rsid w:val="00352CE6"/>
    <w:rsid w:val="00352E78"/>
    <w:rsid w:val="003534E9"/>
    <w:rsid w:val="003539A1"/>
    <w:rsid w:val="0035497A"/>
    <w:rsid w:val="003556A0"/>
    <w:rsid w:val="00355B72"/>
    <w:rsid w:val="00356195"/>
    <w:rsid w:val="00356587"/>
    <w:rsid w:val="00356B2E"/>
    <w:rsid w:val="003571A9"/>
    <w:rsid w:val="00357681"/>
    <w:rsid w:val="0035773A"/>
    <w:rsid w:val="00357DAC"/>
    <w:rsid w:val="00357FA1"/>
    <w:rsid w:val="003600D8"/>
    <w:rsid w:val="00360297"/>
    <w:rsid w:val="00360876"/>
    <w:rsid w:val="00360DD2"/>
    <w:rsid w:val="00360EAD"/>
    <w:rsid w:val="00360FA4"/>
    <w:rsid w:val="00361532"/>
    <w:rsid w:val="00361EFF"/>
    <w:rsid w:val="00362688"/>
    <w:rsid w:val="00363175"/>
    <w:rsid w:val="00363266"/>
    <w:rsid w:val="00363B24"/>
    <w:rsid w:val="00364C4F"/>
    <w:rsid w:val="00364D0F"/>
    <w:rsid w:val="0036505E"/>
    <w:rsid w:val="003650ED"/>
    <w:rsid w:val="00365462"/>
    <w:rsid w:val="003659CF"/>
    <w:rsid w:val="00366171"/>
    <w:rsid w:val="0036686A"/>
    <w:rsid w:val="00366FC1"/>
    <w:rsid w:val="00367AD2"/>
    <w:rsid w:val="00367FE4"/>
    <w:rsid w:val="0037077B"/>
    <w:rsid w:val="003708CE"/>
    <w:rsid w:val="00370C1D"/>
    <w:rsid w:val="00370C72"/>
    <w:rsid w:val="00370E59"/>
    <w:rsid w:val="00370F7A"/>
    <w:rsid w:val="0037142A"/>
    <w:rsid w:val="0037158A"/>
    <w:rsid w:val="003715E7"/>
    <w:rsid w:val="0037182C"/>
    <w:rsid w:val="00371DFF"/>
    <w:rsid w:val="00372149"/>
    <w:rsid w:val="0037282B"/>
    <w:rsid w:val="0037330E"/>
    <w:rsid w:val="00373346"/>
    <w:rsid w:val="003734F8"/>
    <w:rsid w:val="00373C33"/>
    <w:rsid w:val="00375253"/>
    <w:rsid w:val="0037560B"/>
    <w:rsid w:val="0037569A"/>
    <w:rsid w:val="00375A77"/>
    <w:rsid w:val="00376089"/>
    <w:rsid w:val="00376100"/>
    <w:rsid w:val="003763D7"/>
    <w:rsid w:val="00377566"/>
    <w:rsid w:val="00377FAB"/>
    <w:rsid w:val="00380602"/>
    <w:rsid w:val="00380E64"/>
    <w:rsid w:val="00381179"/>
    <w:rsid w:val="003816C2"/>
    <w:rsid w:val="00381D62"/>
    <w:rsid w:val="00381F46"/>
    <w:rsid w:val="00382741"/>
    <w:rsid w:val="0038341D"/>
    <w:rsid w:val="0038346E"/>
    <w:rsid w:val="0038362D"/>
    <w:rsid w:val="003838DA"/>
    <w:rsid w:val="00383D06"/>
    <w:rsid w:val="00383E11"/>
    <w:rsid w:val="0038449C"/>
    <w:rsid w:val="00384C1A"/>
    <w:rsid w:val="00384EC9"/>
    <w:rsid w:val="00385A6E"/>
    <w:rsid w:val="00385D38"/>
    <w:rsid w:val="003861FB"/>
    <w:rsid w:val="0038684C"/>
    <w:rsid w:val="00387665"/>
    <w:rsid w:val="00387FCF"/>
    <w:rsid w:val="00390276"/>
    <w:rsid w:val="003910FB"/>
    <w:rsid w:val="00391204"/>
    <w:rsid w:val="003913F9"/>
    <w:rsid w:val="00391998"/>
    <w:rsid w:val="00392950"/>
    <w:rsid w:val="00392B18"/>
    <w:rsid w:val="003931E8"/>
    <w:rsid w:val="00393454"/>
    <w:rsid w:val="00393A7A"/>
    <w:rsid w:val="00393C51"/>
    <w:rsid w:val="00394AF6"/>
    <w:rsid w:val="0039559C"/>
    <w:rsid w:val="00395B05"/>
    <w:rsid w:val="0039609F"/>
    <w:rsid w:val="003962A8"/>
    <w:rsid w:val="00396476"/>
    <w:rsid w:val="003968F5"/>
    <w:rsid w:val="00396E4E"/>
    <w:rsid w:val="00397A99"/>
    <w:rsid w:val="00397D0F"/>
    <w:rsid w:val="003A0492"/>
    <w:rsid w:val="003A06E0"/>
    <w:rsid w:val="003A074E"/>
    <w:rsid w:val="003A0C11"/>
    <w:rsid w:val="003A0CC2"/>
    <w:rsid w:val="003A13AE"/>
    <w:rsid w:val="003A31FF"/>
    <w:rsid w:val="003A3727"/>
    <w:rsid w:val="003A4037"/>
    <w:rsid w:val="003A44D0"/>
    <w:rsid w:val="003A47BA"/>
    <w:rsid w:val="003A4E49"/>
    <w:rsid w:val="003A4ECE"/>
    <w:rsid w:val="003A57B5"/>
    <w:rsid w:val="003A597F"/>
    <w:rsid w:val="003A65EF"/>
    <w:rsid w:val="003A6B78"/>
    <w:rsid w:val="003A6B8E"/>
    <w:rsid w:val="003A6BC3"/>
    <w:rsid w:val="003A75F3"/>
    <w:rsid w:val="003B124D"/>
    <w:rsid w:val="003B1BEC"/>
    <w:rsid w:val="003B1F52"/>
    <w:rsid w:val="003B1FE4"/>
    <w:rsid w:val="003B2325"/>
    <w:rsid w:val="003B24D0"/>
    <w:rsid w:val="003B2B93"/>
    <w:rsid w:val="003B37B4"/>
    <w:rsid w:val="003B4395"/>
    <w:rsid w:val="003B442E"/>
    <w:rsid w:val="003B46AF"/>
    <w:rsid w:val="003B5946"/>
    <w:rsid w:val="003B5CB0"/>
    <w:rsid w:val="003B5FB4"/>
    <w:rsid w:val="003B601E"/>
    <w:rsid w:val="003B6476"/>
    <w:rsid w:val="003B68FE"/>
    <w:rsid w:val="003B6965"/>
    <w:rsid w:val="003B76A9"/>
    <w:rsid w:val="003B76DA"/>
    <w:rsid w:val="003B7837"/>
    <w:rsid w:val="003B7BFB"/>
    <w:rsid w:val="003C02E7"/>
    <w:rsid w:val="003C05F2"/>
    <w:rsid w:val="003C068F"/>
    <w:rsid w:val="003C0717"/>
    <w:rsid w:val="003C0FC6"/>
    <w:rsid w:val="003C161D"/>
    <w:rsid w:val="003C2280"/>
    <w:rsid w:val="003C2474"/>
    <w:rsid w:val="003C2794"/>
    <w:rsid w:val="003C2842"/>
    <w:rsid w:val="003C2A10"/>
    <w:rsid w:val="003C2D82"/>
    <w:rsid w:val="003C2E36"/>
    <w:rsid w:val="003C2F0C"/>
    <w:rsid w:val="003C3453"/>
    <w:rsid w:val="003C3C21"/>
    <w:rsid w:val="003C41C4"/>
    <w:rsid w:val="003C4D46"/>
    <w:rsid w:val="003C5175"/>
    <w:rsid w:val="003C58BD"/>
    <w:rsid w:val="003C5A6B"/>
    <w:rsid w:val="003C5B43"/>
    <w:rsid w:val="003C5C7F"/>
    <w:rsid w:val="003C5CE6"/>
    <w:rsid w:val="003C5D58"/>
    <w:rsid w:val="003C5DFF"/>
    <w:rsid w:val="003C6563"/>
    <w:rsid w:val="003C65D0"/>
    <w:rsid w:val="003C6B24"/>
    <w:rsid w:val="003C71B3"/>
    <w:rsid w:val="003C73ED"/>
    <w:rsid w:val="003C77CF"/>
    <w:rsid w:val="003C7AEB"/>
    <w:rsid w:val="003C7B25"/>
    <w:rsid w:val="003C7DB4"/>
    <w:rsid w:val="003D01B5"/>
    <w:rsid w:val="003D01B6"/>
    <w:rsid w:val="003D02BB"/>
    <w:rsid w:val="003D0B75"/>
    <w:rsid w:val="003D0F0D"/>
    <w:rsid w:val="003D11EB"/>
    <w:rsid w:val="003D1506"/>
    <w:rsid w:val="003D16B0"/>
    <w:rsid w:val="003D2070"/>
    <w:rsid w:val="003D2195"/>
    <w:rsid w:val="003D253B"/>
    <w:rsid w:val="003D2667"/>
    <w:rsid w:val="003D2752"/>
    <w:rsid w:val="003D288E"/>
    <w:rsid w:val="003D289D"/>
    <w:rsid w:val="003D2A10"/>
    <w:rsid w:val="003D2B44"/>
    <w:rsid w:val="003D2DDB"/>
    <w:rsid w:val="003D37CC"/>
    <w:rsid w:val="003D3B60"/>
    <w:rsid w:val="003D3E58"/>
    <w:rsid w:val="003D4121"/>
    <w:rsid w:val="003D474E"/>
    <w:rsid w:val="003D5065"/>
    <w:rsid w:val="003D5317"/>
    <w:rsid w:val="003D546A"/>
    <w:rsid w:val="003D5749"/>
    <w:rsid w:val="003D5AE7"/>
    <w:rsid w:val="003D73A8"/>
    <w:rsid w:val="003D7637"/>
    <w:rsid w:val="003D7AC3"/>
    <w:rsid w:val="003E0280"/>
    <w:rsid w:val="003E0399"/>
    <w:rsid w:val="003E0A68"/>
    <w:rsid w:val="003E12BE"/>
    <w:rsid w:val="003E1D28"/>
    <w:rsid w:val="003E33F4"/>
    <w:rsid w:val="003E3423"/>
    <w:rsid w:val="003E3471"/>
    <w:rsid w:val="003E377F"/>
    <w:rsid w:val="003E4126"/>
    <w:rsid w:val="003E6196"/>
    <w:rsid w:val="003E684A"/>
    <w:rsid w:val="003E6AC2"/>
    <w:rsid w:val="003E748F"/>
    <w:rsid w:val="003F01B8"/>
    <w:rsid w:val="003F01FA"/>
    <w:rsid w:val="003F0CF6"/>
    <w:rsid w:val="003F0EBA"/>
    <w:rsid w:val="003F1019"/>
    <w:rsid w:val="003F1708"/>
    <w:rsid w:val="003F188B"/>
    <w:rsid w:val="003F1A08"/>
    <w:rsid w:val="003F1DB5"/>
    <w:rsid w:val="003F232B"/>
    <w:rsid w:val="003F2773"/>
    <w:rsid w:val="003F29D5"/>
    <w:rsid w:val="003F3162"/>
    <w:rsid w:val="003F34AB"/>
    <w:rsid w:val="003F3522"/>
    <w:rsid w:val="003F3C0E"/>
    <w:rsid w:val="003F3D35"/>
    <w:rsid w:val="003F411F"/>
    <w:rsid w:val="003F4588"/>
    <w:rsid w:val="003F4D27"/>
    <w:rsid w:val="003F5268"/>
    <w:rsid w:val="003F5D4D"/>
    <w:rsid w:val="003F5F41"/>
    <w:rsid w:val="003F5F46"/>
    <w:rsid w:val="003F681E"/>
    <w:rsid w:val="003F6C06"/>
    <w:rsid w:val="003F6D35"/>
    <w:rsid w:val="003F7657"/>
    <w:rsid w:val="003F78FF"/>
    <w:rsid w:val="003F7B58"/>
    <w:rsid w:val="003F7E3B"/>
    <w:rsid w:val="00400AA2"/>
    <w:rsid w:val="00401AA7"/>
    <w:rsid w:val="00402A55"/>
    <w:rsid w:val="00402B4E"/>
    <w:rsid w:val="00402EC2"/>
    <w:rsid w:val="00402FF4"/>
    <w:rsid w:val="00403156"/>
    <w:rsid w:val="00403A5D"/>
    <w:rsid w:val="00403CFC"/>
    <w:rsid w:val="0040525A"/>
    <w:rsid w:val="00406002"/>
    <w:rsid w:val="0040657F"/>
    <w:rsid w:val="0040661F"/>
    <w:rsid w:val="00406644"/>
    <w:rsid w:val="004068CE"/>
    <w:rsid w:val="004068F2"/>
    <w:rsid w:val="00406C03"/>
    <w:rsid w:val="00406C4A"/>
    <w:rsid w:val="00406CAC"/>
    <w:rsid w:val="0041000D"/>
    <w:rsid w:val="004101C0"/>
    <w:rsid w:val="004103A5"/>
    <w:rsid w:val="00410715"/>
    <w:rsid w:val="004109D8"/>
    <w:rsid w:val="00410C6E"/>
    <w:rsid w:val="00411631"/>
    <w:rsid w:val="0041163F"/>
    <w:rsid w:val="00411BEA"/>
    <w:rsid w:val="00411DD9"/>
    <w:rsid w:val="004125DE"/>
    <w:rsid w:val="004129F8"/>
    <w:rsid w:val="00413C49"/>
    <w:rsid w:val="00413C66"/>
    <w:rsid w:val="00413DD8"/>
    <w:rsid w:val="0041544A"/>
    <w:rsid w:val="00415539"/>
    <w:rsid w:val="004155DB"/>
    <w:rsid w:val="0041651E"/>
    <w:rsid w:val="00416874"/>
    <w:rsid w:val="00417CFF"/>
    <w:rsid w:val="004204AC"/>
    <w:rsid w:val="004206E5"/>
    <w:rsid w:val="00420DB1"/>
    <w:rsid w:val="00421B7F"/>
    <w:rsid w:val="004235F7"/>
    <w:rsid w:val="004238D1"/>
    <w:rsid w:val="00424205"/>
    <w:rsid w:val="004242CD"/>
    <w:rsid w:val="0042520D"/>
    <w:rsid w:val="00425754"/>
    <w:rsid w:val="004264BA"/>
    <w:rsid w:val="004269B7"/>
    <w:rsid w:val="00426D98"/>
    <w:rsid w:val="004275BF"/>
    <w:rsid w:val="00427610"/>
    <w:rsid w:val="00427880"/>
    <w:rsid w:val="00427EEE"/>
    <w:rsid w:val="00430180"/>
    <w:rsid w:val="00430458"/>
    <w:rsid w:val="00430529"/>
    <w:rsid w:val="004307C2"/>
    <w:rsid w:val="0043175F"/>
    <w:rsid w:val="00431A01"/>
    <w:rsid w:val="00432972"/>
    <w:rsid w:val="00432A0F"/>
    <w:rsid w:val="00433058"/>
    <w:rsid w:val="0043343C"/>
    <w:rsid w:val="00434040"/>
    <w:rsid w:val="004344D2"/>
    <w:rsid w:val="00434814"/>
    <w:rsid w:val="00434A7A"/>
    <w:rsid w:val="00434AED"/>
    <w:rsid w:val="00434DA9"/>
    <w:rsid w:val="0043512B"/>
    <w:rsid w:val="004357D0"/>
    <w:rsid w:val="00435BFA"/>
    <w:rsid w:val="00435E25"/>
    <w:rsid w:val="00435EA2"/>
    <w:rsid w:val="00436424"/>
    <w:rsid w:val="00436578"/>
    <w:rsid w:val="0043670E"/>
    <w:rsid w:val="004370AF"/>
    <w:rsid w:val="0043736B"/>
    <w:rsid w:val="00440021"/>
    <w:rsid w:val="00440176"/>
    <w:rsid w:val="00440976"/>
    <w:rsid w:val="00440BC8"/>
    <w:rsid w:val="004411F1"/>
    <w:rsid w:val="004416B1"/>
    <w:rsid w:val="00442473"/>
    <w:rsid w:val="00442F83"/>
    <w:rsid w:val="00443C21"/>
    <w:rsid w:val="00443E24"/>
    <w:rsid w:val="004455E9"/>
    <w:rsid w:val="004461C4"/>
    <w:rsid w:val="00446D3C"/>
    <w:rsid w:val="00446E10"/>
    <w:rsid w:val="0044722C"/>
    <w:rsid w:val="0044728B"/>
    <w:rsid w:val="0044789E"/>
    <w:rsid w:val="0045025E"/>
    <w:rsid w:val="00450979"/>
    <w:rsid w:val="00450E27"/>
    <w:rsid w:val="004511F6"/>
    <w:rsid w:val="0045163D"/>
    <w:rsid w:val="004518CB"/>
    <w:rsid w:val="00451E32"/>
    <w:rsid w:val="0045399A"/>
    <w:rsid w:val="00453B09"/>
    <w:rsid w:val="004547BC"/>
    <w:rsid w:val="004548F7"/>
    <w:rsid w:val="00454C6B"/>
    <w:rsid w:val="004557B8"/>
    <w:rsid w:val="00455C83"/>
    <w:rsid w:val="00456337"/>
    <w:rsid w:val="00456467"/>
    <w:rsid w:val="0045679A"/>
    <w:rsid w:val="00456A51"/>
    <w:rsid w:val="00456EDE"/>
    <w:rsid w:val="00457606"/>
    <w:rsid w:val="0045793E"/>
    <w:rsid w:val="00460AB8"/>
    <w:rsid w:val="00460CDA"/>
    <w:rsid w:val="00461947"/>
    <w:rsid w:val="00461D3B"/>
    <w:rsid w:val="00461E56"/>
    <w:rsid w:val="00461E59"/>
    <w:rsid w:val="0046218C"/>
    <w:rsid w:val="004625AE"/>
    <w:rsid w:val="0046275F"/>
    <w:rsid w:val="004630CF"/>
    <w:rsid w:val="00463680"/>
    <w:rsid w:val="00463D56"/>
    <w:rsid w:val="004644AF"/>
    <w:rsid w:val="00464BD4"/>
    <w:rsid w:val="00465657"/>
    <w:rsid w:val="0046597F"/>
    <w:rsid w:val="00465D36"/>
    <w:rsid w:val="00465DD8"/>
    <w:rsid w:val="0046691D"/>
    <w:rsid w:val="00466FD0"/>
    <w:rsid w:val="00467239"/>
    <w:rsid w:val="0046732F"/>
    <w:rsid w:val="00467682"/>
    <w:rsid w:val="004677DF"/>
    <w:rsid w:val="00467899"/>
    <w:rsid w:val="004703FF"/>
    <w:rsid w:val="0047076D"/>
    <w:rsid w:val="0047087B"/>
    <w:rsid w:val="00470C75"/>
    <w:rsid w:val="00471BDE"/>
    <w:rsid w:val="00471C3C"/>
    <w:rsid w:val="00472120"/>
    <w:rsid w:val="00472219"/>
    <w:rsid w:val="0047251E"/>
    <w:rsid w:val="004733F8"/>
    <w:rsid w:val="004734BC"/>
    <w:rsid w:val="0047356B"/>
    <w:rsid w:val="0047371B"/>
    <w:rsid w:val="00473CE0"/>
    <w:rsid w:val="004751C9"/>
    <w:rsid w:val="004765D5"/>
    <w:rsid w:val="00476F69"/>
    <w:rsid w:val="00477F5C"/>
    <w:rsid w:val="00480AEF"/>
    <w:rsid w:val="00480C65"/>
    <w:rsid w:val="00481BAB"/>
    <w:rsid w:val="00481F3D"/>
    <w:rsid w:val="004821FC"/>
    <w:rsid w:val="00482840"/>
    <w:rsid w:val="004829D3"/>
    <w:rsid w:val="00483E18"/>
    <w:rsid w:val="004848CF"/>
    <w:rsid w:val="00484FAE"/>
    <w:rsid w:val="004853AD"/>
    <w:rsid w:val="00485C07"/>
    <w:rsid w:val="00485C29"/>
    <w:rsid w:val="00486312"/>
    <w:rsid w:val="0048631B"/>
    <w:rsid w:val="00486584"/>
    <w:rsid w:val="004865AF"/>
    <w:rsid w:val="00486738"/>
    <w:rsid w:val="0048690D"/>
    <w:rsid w:val="00486B1D"/>
    <w:rsid w:val="00486EF7"/>
    <w:rsid w:val="0048753C"/>
    <w:rsid w:val="0049146C"/>
    <w:rsid w:val="004915E8"/>
    <w:rsid w:val="00491794"/>
    <w:rsid w:val="00491E57"/>
    <w:rsid w:val="004925C5"/>
    <w:rsid w:val="00492BA4"/>
    <w:rsid w:val="0049351F"/>
    <w:rsid w:val="00493BE2"/>
    <w:rsid w:val="00494230"/>
    <w:rsid w:val="00494BFD"/>
    <w:rsid w:val="0049533C"/>
    <w:rsid w:val="0049534D"/>
    <w:rsid w:val="0049647A"/>
    <w:rsid w:val="00496985"/>
    <w:rsid w:val="0049760B"/>
    <w:rsid w:val="00497805"/>
    <w:rsid w:val="0049797C"/>
    <w:rsid w:val="00497D80"/>
    <w:rsid w:val="004A0008"/>
    <w:rsid w:val="004A0028"/>
    <w:rsid w:val="004A00B9"/>
    <w:rsid w:val="004A0636"/>
    <w:rsid w:val="004A0A25"/>
    <w:rsid w:val="004A0BE3"/>
    <w:rsid w:val="004A0CD0"/>
    <w:rsid w:val="004A1395"/>
    <w:rsid w:val="004A14D0"/>
    <w:rsid w:val="004A1B94"/>
    <w:rsid w:val="004A1BA6"/>
    <w:rsid w:val="004A1E4C"/>
    <w:rsid w:val="004A28C1"/>
    <w:rsid w:val="004A2943"/>
    <w:rsid w:val="004A2CBD"/>
    <w:rsid w:val="004A2DEA"/>
    <w:rsid w:val="004A35C3"/>
    <w:rsid w:val="004A403A"/>
    <w:rsid w:val="004A4557"/>
    <w:rsid w:val="004A4802"/>
    <w:rsid w:val="004A494A"/>
    <w:rsid w:val="004A4B2E"/>
    <w:rsid w:val="004A4BE8"/>
    <w:rsid w:val="004A4CBA"/>
    <w:rsid w:val="004A58B7"/>
    <w:rsid w:val="004A5918"/>
    <w:rsid w:val="004A5D02"/>
    <w:rsid w:val="004A606C"/>
    <w:rsid w:val="004A62BE"/>
    <w:rsid w:val="004A6346"/>
    <w:rsid w:val="004A709A"/>
    <w:rsid w:val="004A7845"/>
    <w:rsid w:val="004A7A6F"/>
    <w:rsid w:val="004B0756"/>
    <w:rsid w:val="004B0963"/>
    <w:rsid w:val="004B0C45"/>
    <w:rsid w:val="004B0C5A"/>
    <w:rsid w:val="004B11D0"/>
    <w:rsid w:val="004B11E5"/>
    <w:rsid w:val="004B17FC"/>
    <w:rsid w:val="004B20AD"/>
    <w:rsid w:val="004B251B"/>
    <w:rsid w:val="004B2D1B"/>
    <w:rsid w:val="004B3942"/>
    <w:rsid w:val="004B3C42"/>
    <w:rsid w:val="004B47AF"/>
    <w:rsid w:val="004B50DC"/>
    <w:rsid w:val="004B54D7"/>
    <w:rsid w:val="004B58D4"/>
    <w:rsid w:val="004B6090"/>
    <w:rsid w:val="004B66B4"/>
    <w:rsid w:val="004B677A"/>
    <w:rsid w:val="004B6D3D"/>
    <w:rsid w:val="004B6F35"/>
    <w:rsid w:val="004B745E"/>
    <w:rsid w:val="004B7925"/>
    <w:rsid w:val="004C003A"/>
    <w:rsid w:val="004C0475"/>
    <w:rsid w:val="004C0CAA"/>
    <w:rsid w:val="004C0D56"/>
    <w:rsid w:val="004C0E59"/>
    <w:rsid w:val="004C0F27"/>
    <w:rsid w:val="004C1C4E"/>
    <w:rsid w:val="004C2128"/>
    <w:rsid w:val="004C2191"/>
    <w:rsid w:val="004C24D2"/>
    <w:rsid w:val="004C2B93"/>
    <w:rsid w:val="004C2DCC"/>
    <w:rsid w:val="004C3555"/>
    <w:rsid w:val="004C37EB"/>
    <w:rsid w:val="004C3812"/>
    <w:rsid w:val="004C3902"/>
    <w:rsid w:val="004C3A93"/>
    <w:rsid w:val="004C5DDA"/>
    <w:rsid w:val="004C60C6"/>
    <w:rsid w:val="004C694A"/>
    <w:rsid w:val="004C6D93"/>
    <w:rsid w:val="004C6F74"/>
    <w:rsid w:val="004C7066"/>
    <w:rsid w:val="004C7525"/>
    <w:rsid w:val="004C779D"/>
    <w:rsid w:val="004C7998"/>
    <w:rsid w:val="004C7F19"/>
    <w:rsid w:val="004D0718"/>
    <w:rsid w:val="004D1405"/>
    <w:rsid w:val="004D16D0"/>
    <w:rsid w:val="004D1994"/>
    <w:rsid w:val="004D1DBE"/>
    <w:rsid w:val="004D1E45"/>
    <w:rsid w:val="004D1FD9"/>
    <w:rsid w:val="004D30A4"/>
    <w:rsid w:val="004D3479"/>
    <w:rsid w:val="004D36D2"/>
    <w:rsid w:val="004D37A4"/>
    <w:rsid w:val="004D37E9"/>
    <w:rsid w:val="004D3A52"/>
    <w:rsid w:val="004D3F4F"/>
    <w:rsid w:val="004D4028"/>
    <w:rsid w:val="004D4647"/>
    <w:rsid w:val="004D487A"/>
    <w:rsid w:val="004D4A8C"/>
    <w:rsid w:val="004D5002"/>
    <w:rsid w:val="004D50D8"/>
    <w:rsid w:val="004D5E70"/>
    <w:rsid w:val="004D64D3"/>
    <w:rsid w:val="004D6D08"/>
    <w:rsid w:val="004D7424"/>
    <w:rsid w:val="004D77CE"/>
    <w:rsid w:val="004D7998"/>
    <w:rsid w:val="004D799A"/>
    <w:rsid w:val="004D7DC9"/>
    <w:rsid w:val="004E0902"/>
    <w:rsid w:val="004E0A3E"/>
    <w:rsid w:val="004E0A65"/>
    <w:rsid w:val="004E0B9F"/>
    <w:rsid w:val="004E1061"/>
    <w:rsid w:val="004E1683"/>
    <w:rsid w:val="004E19C6"/>
    <w:rsid w:val="004E1A42"/>
    <w:rsid w:val="004E1FE3"/>
    <w:rsid w:val="004E23ED"/>
    <w:rsid w:val="004E2B5A"/>
    <w:rsid w:val="004E3164"/>
    <w:rsid w:val="004E3385"/>
    <w:rsid w:val="004E3673"/>
    <w:rsid w:val="004E36A1"/>
    <w:rsid w:val="004E3E23"/>
    <w:rsid w:val="004E4554"/>
    <w:rsid w:val="004E4830"/>
    <w:rsid w:val="004E4863"/>
    <w:rsid w:val="004E5594"/>
    <w:rsid w:val="004E5685"/>
    <w:rsid w:val="004E6021"/>
    <w:rsid w:val="004E6091"/>
    <w:rsid w:val="004E61D0"/>
    <w:rsid w:val="004E6216"/>
    <w:rsid w:val="004E6394"/>
    <w:rsid w:val="004E6686"/>
    <w:rsid w:val="004E674A"/>
    <w:rsid w:val="004E6B6F"/>
    <w:rsid w:val="004E7189"/>
    <w:rsid w:val="004E7292"/>
    <w:rsid w:val="004E72C5"/>
    <w:rsid w:val="004F019E"/>
    <w:rsid w:val="004F0392"/>
    <w:rsid w:val="004F0498"/>
    <w:rsid w:val="004F0512"/>
    <w:rsid w:val="004F05ED"/>
    <w:rsid w:val="004F0C81"/>
    <w:rsid w:val="004F0DD2"/>
    <w:rsid w:val="004F0F2E"/>
    <w:rsid w:val="004F1B0B"/>
    <w:rsid w:val="004F21BA"/>
    <w:rsid w:val="004F23CC"/>
    <w:rsid w:val="004F23DB"/>
    <w:rsid w:val="004F3AEA"/>
    <w:rsid w:val="004F48CB"/>
    <w:rsid w:val="004F4AC4"/>
    <w:rsid w:val="004F4D9E"/>
    <w:rsid w:val="004F4FF6"/>
    <w:rsid w:val="004F4FFB"/>
    <w:rsid w:val="004F57F3"/>
    <w:rsid w:val="004F5875"/>
    <w:rsid w:val="004F5A39"/>
    <w:rsid w:val="004F5F0D"/>
    <w:rsid w:val="004F5F1C"/>
    <w:rsid w:val="004F6071"/>
    <w:rsid w:val="004F62A5"/>
    <w:rsid w:val="004F65D3"/>
    <w:rsid w:val="004F6BE9"/>
    <w:rsid w:val="004F6D02"/>
    <w:rsid w:val="004F6EF9"/>
    <w:rsid w:val="005005B0"/>
    <w:rsid w:val="005007F0"/>
    <w:rsid w:val="00502075"/>
    <w:rsid w:val="00502BF0"/>
    <w:rsid w:val="00502F15"/>
    <w:rsid w:val="00504113"/>
    <w:rsid w:val="0050432A"/>
    <w:rsid w:val="00504513"/>
    <w:rsid w:val="00504941"/>
    <w:rsid w:val="00504EA4"/>
    <w:rsid w:val="0050523C"/>
    <w:rsid w:val="005061E9"/>
    <w:rsid w:val="0050632A"/>
    <w:rsid w:val="0050698B"/>
    <w:rsid w:val="00507E84"/>
    <w:rsid w:val="00510023"/>
    <w:rsid w:val="0051005A"/>
    <w:rsid w:val="005109D9"/>
    <w:rsid w:val="005112DB"/>
    <w:rsid w:val="0051173D"/>
    <w:rsid w:val="00511860"/>
    <w:rsid w:val="00511E7C"/>
    <w:rsid w:val="005123A0"/>
    <w:rsid w:val="005124B5"/>
    <w:rsid w:val="00512C85"/>
    <w:rsid w:val="00513498"/>
    <w:rsid w:val="00513981"/>
    <w:rsid w:val="00513982"/>
    <w:rsid w:val="00513E36"/>
    <w:rsid w:val="00514FB4"/>
    <w:rsid w:val="005159C6"/>
    <w:rsid w:val="00515F25"/>
    <w:rsid w:val="00516AD3"/>
    <w:rsid w:val="00516DA0"/>
    <w:rsid w:val="00517530"/>
    <w:rsid w:val="0051790F"/>
    <w:rsid w:val="00517B03"/>
    <w:rsid w:val="00517D59"/>
    <w:rsid w:val="0052062D"/>
    <w:rsid w:val="00520D46"/>
    <w:rsid w:val="005219B9"/>
    <w:rsid w:val="005221A4"/>
    <w:rsid w:val="0052265E"/>
    <w:rsid w:val="00522DDD"/>
    <w:rsid w:val="00522F99"/>
    <w:rsid w:val="00523287"/>
    <w:rsid w:val="00523445"/>
    <w:rsid w:val="00523634"/>
    <w:rsid w:val="00523881"/>
    <w:rsid w:val="00523B28"/>
    <w:rsid w:val="00523BA4"/>
    <w:rsid w:val="00523D21"/>
    <w:rsid w:val="00523D95"/>
    <w:rsid w:val="00523E00"/>
    <w:rsid w:val="00524BB7"/>
    <w:rsid w:val="005259B1"/>
    <w:rsid w:val="00525E1E"/>
    <w:rsid w:val="00526154"/>
    <w:rsid w:val="00526B79"/>
    <w:rsid w:val="005273B8"/>
    <w:rsid w:val="005277B0"/>
    <w:rsid w:val="00527892"/>
    <w:rsid w:val="005279F6"/>
    <w:rsid w:val="00527CCC"/>
    <w:rsid w:val="00527D25"/>
    <w:rsid w:val="00527D90"/>
    <w:rsid w:val="00527E32"/>
    <w:rsid w:val="00530AD0"/>
    <w:rsid w:val="00531D4D"/>
    <w:rsid w:val="0053220D"/>
    <w:rsid w:val="00532573"/>
    <w:rsid w:val="00533C85"/>
    <w:rsid w:val="00533DE9"/>
    <w:rsid w:val="0053416C"/>
    <w:rsid w:val="005344B5"/>
    <w:rsid w:val="005346CF"/>
    <w:rsid w:val="0053550D"/>
    <w:rsid w:val="005358C4"/>
    <w:rsid w:val="00535D67"/>
    <w:rsid w:val="0053623A"/>
    <w:rsid w:val="0053624F"/>
    <w:rsid w:val="005362E4"/>
    <w:rsid w:val="00536B7B"/>
    <w:rsid w:val="005375D9"/>
    <w:rsid w:val="005379AF"/>
    <w:rsid w:val="005416B8"/>
    <w:rsid w:val="005416CD"/>
    <w:rsid w:val="00541980"/>
    <w:rsid w:val="00542846"/>
    <w:rsid w:val="00542E3D"/>
    <w:rsid w:val="005431A1"/>
    <w:rsid w:val="0054382B"/>
    <w:rsid w:val="005440D3"/>
    <w:rsid w:val="00544EB4"/>
    <w:rsid w:val="00544F39"/>
    <w:rsid w:val="005451F6"/>
    <w:rsid w:val="005455E4"/>
    <w:rsid w:val="00545C06"/>
    <w:rsid w:val="00545DAE"/>
    <w:rsid w:val="0054623A"/>
    <w:rsid w:val="0054688A"/>
    <w:rsid w:val="00546AAE"/>
    <w:rsid w:val="00546BC9"/>
    <w:rsid w:val="00546E3D"/>
    <w:rsid w:val="00547088"/>
    <w:rsid w:val="00547170"/>
    <w:rsid w:val="00547219"/>
    <w:rsid w:val="00547798"/>
    <w:rsid w:val="00547AAE"/>
    <w:rsid w:val="00550579"/>
    <w:rsid w:val="0055073A"/>
    <w:rsid w:val="00550875"/>
    <w:rsid w:val="00550B43"/>
    <w:rsid w:val="00550BDA"/>
    <w:rsid w:val="00550DAC"/>
    <w:rsid w:val="00550EFA"/>
    <w:rsid w:val="00551420"/>
    <w:rsid w:val="00551A69"/>
    <w:rsid w:val="0055205D"/>
    <w:rsid w:val="00552495"/>
    <w:rsid w:val="005526CA"/>
    <w:rsid w:val="005531CD"/>
    <w:rsid w:val="00553BD1"/>
    <w:rsid w:val="0055462E"/>
    <w:rsid w:val="00555967"/>
    <w:rsid w:val="00556115"/>
    <w:rsid w:val="005567C0"/>
    <w:rsid w:val="00556AB4"/>
    <w:rsid w:val="00556B54"/>
    <w:rsid w:val="00556CF0"/>
    <w:rsid w:val="00556EFF"/>
    <w:rsid w:val="00557351"/>
    <w:rsid w:val="00557E98"/>
    <w:rsid w:val="005604F5"/>
    <w:rsid w:val="005608F0"/>
    <w:rsid w:val="005611E6"/>
    <w:rsid w:val="00561395"/>
    <w:rsid w:val="00561757"/>
    <w:rsid w:val="0056189F"/>
    <w:rsid w:val="005624E4"/>
    <w:rsid w:val="0056253F"/>
    <w:rsid w:val="005625C9"/>
    <w:rsid w:val="0056270C"/>
    <w:rsid w:val="00562A2D"/>
    <w:rsid w:val="00563266"/>
    <w:rsid w:val="005636D5"/>
    <w:rsid w:val="00565491"/>
    <w:rsid w:val="00565537"/>
    <w:rsid w:val="00565BC7"/>
    <w:rsid w:val="005667A5"/>
    <w:rsid w:val="00566C60"/>
    <w:rsid w:val="005672D6"/>
    <w:rsid w:val="00567918"/>
    <w:rsid w:val="00567B61"/>
    <w:rsid w:val="005707EF"/>
    <w:rsid w:val="00570904"/>
    <w:rsid w:val="00571319"/>
    <w:rsid w:val="00571973"/>
    <w:rsid w:val="00571EDB"/>
    <w:rsid w:val="005722B1"/>
    <w:rsid w:val="00572357"/>
    <w:rsid w:val="00572866"/>
    <w:rsid w:val="00572E8A"/>
    <w:rsid w:val="005730D2"/>
    <w:rsid w:val="005739A1"/>
    <w:rsid w:val="00573D6D"/>
    <w:rsid w:val="005741D5"/>
    <w:rsid w:val="0057501F"/>
    <w:rsid w:val="00575554"/>
    <w:rsid w:val="0057558D"/>
    <w:rsid w:val="00575EC1"/>
    <w:rsid w:val="00576999"/>
    <w:rsid w:val="00577B98"/>
    <w:rsid w:val="005804C3"/>
    <w:rsid w:val="005807DC"/>
    <w:rsid w:val="00580F87"/>
    <w:rsid w:val="00581267"/>
    <w:rsid w:val="0058138C"/>
    <w:rsid w:val="0058197B"/>
    <w:rsid w:val="00582531"/>
    <w:rsid w:val="0058326E"/>
    <w:rsid w:val="005834FF"/>
    <w:rsid w:val="00583698"/>
    <w:rsid w:val="00583EB3"/>
    <w:rsid w:val="005843CF"/>
    <w:rsid w:val="0058498B"/>
    <w:rsid w:val="005855B9"/>
    <w:rsid w:val="00585733"/>
    <w:rsid w:val="00585CD7"/>
    <w:rsid w:val="0058749B"/>
    <w:rsid w:val="00587729"/>
    <w:rsid w:val="00587E5D"/>
    <w:rsid w:val="005903F3"/>
    <w:rsid w:val="0059054C"/>
    <w:rsid w:val="0059099A"/>
    <w:rsid w:val="00590A8C"/>
    <w:rsid w:val="00590B70"/>
    <w:rsid w:val="0059116C"/>
    <w:rsid w:val="00591366"/>
    <w:rsid w:val="005916D3"/>
    <w:rsid w:val="00591B80"/>
    <w:rsid w:val="00591E94"/>
    <w:rsid w:val="00592045"/>
    <w:rsid w:val="00592495"/>
    <w:rsid w:val="00592963"/>
    <w:rsid w:val="005932B5"/>
    <w:rsid w:val="00593B40"/>
    <w:rsid w:val="005940FC"/>
    <w:rsid w:val="00594119"/>
    <w:rsid w:val="0059440E"/>
    <w:rsid w:val="005944D0"/>
    <w:rsid w:val="005946FD"/>
    <w:rsid w:val="005947B0"/>
    <w:rsid w:val="00595DB6"/>
    <w:rsid w:val="005963E1"/>
    <w:rsid w:val="00596C75"/>
    <w:rsid w:val="00597253"/>
    <w:rsid w:val="00597FD7"/>
    <w:rsid w:val="005A0764"/>
    <w:rsid w:val="005A08A4"/>
    <w:rsid w:val="005A14EA"/>
    <w:rsid w:val="005A16B6"/>
    <w:rsid w:val="005A1980"/>
    <w:rsid w:val="005A1B41"/>
    <w:rsid w:val="005A21C3"/>
    <w:rsid w:val="005A2283"/>
    <w:rsid w:val="005A22D0"/>
    <w:rsid w:val="005A2C13"/>
    <w:rsid w:val="005A317D"/>
    <w:rsid w:val="005A4254"/>
    <w:rsid w:val="005A4D1C"/>
    <w:rsid w:val="005A4FF6"/>
    <w:rsid w:val="005A56F4"/>
    <w:rsid w:val="005A5900"/>
    <w:rsid w:val="005A63C2"/>
    <w:rsid w:val="005A66A0"/>
    <w:rsid w:val="005B04E5"/>
    <w:rsid w:val="005B0E77"/>
    <w:rsid w:val="005B156E"/>
    <w:rsid w:val="005B2590"/>
    <w:rsid w:val="005B2B8E"/>
    <w:rsid w:val="005B2C3D"/>
    <w:rsid w:val="005B2EA4"/>
    <w:rsid w:val="005B32A9"/>
    <w:rsid w:val="005B330B"/>
    <w:rsid w:val="005B359E"/>
    <w:rsid w:val="005B37A5"/>
    <w:rsid w:val="005B3C77"/>
    <w:rsid w:val="005B3F9D"/>
    <w:rsid w:val="005B4FA7"/>
    <w:rsid w:val="005B5129"/>
    <w:rsid w:val="005B517A"/>
    <w:rsid w:val="005B581B"/>
    <w:rsid w:val="005B5D88"/>
    <w:rsid w:val="005B5EC1"/>
    <w:rsid w:val="005B6575"/>
    <w:rsid w:val="005B6F49"/>
    <w:rsid w:val="005B7F20"/>
    <w:rsid w:val="005C008B"/>
    <w:rsid w:val="005C07C6"/>
    <w:rsid w:val="005C0989"/>
    <w:rsid w:val="005C13C9"/>
    <w:rsid w:val="005C2087"/>
    <w:rsid w:val="005C2565"/>
    <w:rsid w:val="005C27D1"/>
    <w:rsid w:val="005C281E"/>
    <w:rsid w:val="005C2866"/>
    <w:rsid w:val="005C2DB2"/>
    <w:rsid w:val="005C30F4"/>
    <w:rsid w:val="005C3C18"/>
    <w:rsid w:val="005C41DC"/>
    <w:rsid w:val="005C49D1"/>
    <w:rsid w:val="005C51BD"/>
    <w:rsid w:val="005C5501"/>
    <w:rsid w:val="005C5662"/>
    <w:rsid w:val="005C58F1"/>
    <w:rsid w:val="005C6079"/>
    <w:rsid w:val="005C6357"/>
    <w:rsid w:val="005C68E0"/>
    <w:rsid w:val="005C6FE3"/>
    <w:rsid w:val="005C735A"/>
    <w:rsid w:val="005C755C"/>
    <w:rsid w:val="005C7A8A"/>
    <w:rsid w:val="005C7CB8"/>
    <w:rsid w:val="005D0328"/>
    <w:rsid w:val="005D0BF7"/>
    <w:rsid w:val="005D1588"/>
    <w:rsid w:val="005D1B5E"/>
    <w:rsid w:val="005D1E50"/>
    <w:rsid w:val="005D2A39"/>
    <w:rsid w:val="005D2CA6"/>
    <w:rsid w:val="005D2F58"/>
    <w:rsid w:val="005D40FB"/>
    <w:rsid w:val="005D430E"/>
    <w:rsid w:val="005D4A8F"/>
    <w:rsid w:val="005D5A14"/>
    <w:rsid w:val="005D5ED3"/>
    <w:rsid w:val="005D6EA5"/>
    <w:rsid w:val="005D7233"/>
    <w:rsid w:val="005D74CD"/>
    <w:rsid w:val="005D791D"/>
    <w:rsid w:val="005D7AE6"/>
    <w:rsid w:val="005D7FF0"/>
    <w:rsid w:val="005E00D9"/>
    <w:rsid w:val="005E0B75"/>
    <w:rsid w:val="005E0BF3"/>
    <w:rsid w:val="005E1936"/>
    <w:rsid w:val="005E1B0A"/>
    <w:rsid w:val="005E1B90"/>
    <w:rsid w:val="005E2808"/>
    <w:rsid w:val="005E3326"/>
    <w:rsid w:val="005E3F69"/>
    <w:rsid w:val="005E4E8D"/>
    <w:rsid w:val="005E5188"/>
    <w:rsid w:val="005E6188"/>
    <w:rsid w:val="005E6AC6"/>
    <w:rsid w:val="005E6C14"/>
    <w:rsid w:val="005F0674"/>
    <w:rsid w:val="005F1824"/>
    <w:rsid w:val="005F19F9"/>
    <w:rsid w:val="005F1BF6"/>
    <w:rsid w:val="005F2000"/>
    <w:rsid w:val="005F25FC"/>
    <w:rsid w:val="005F264F"/>
    <w:rsid w:val="005F3677"/>
    <w:rsid w:val="005F3AEA"/>
    <w:rsid w:val="005F400F"/>
    <w:rsid w:val="005F401B"/>
    <w:rsid w:val="005F4A5E"/>
    <w:rsid w:val="005F4F84"/>
    <w:rsid w:val="005F536B"/>
    <w:rsid w:val="005F5A49"/>
    <w:rsid w:val="005F62EF"/>
    <w:rsid w:val="005F641B"/>
    <w:rsid w:val="005F6E86"/>
    <w:rsid w:val="005F7D50"/>
    <w:rsid w:val="00600326"/>
    <w:rsid w:val="006005C6"/>
    <w:rsid w:val="0060180B"/>
    <w:rsid w:val="00601B22"/>
    <w:rsid w:val="006026E8"/>
    <w:rsid w:val="006029DC"/>
    <w:rsid w:val="006031BD"/>
    <w:rsid w:val="006035A9"/>
    <w:rsid w:val="00603929"/>
    <w:rsid w:val="006044F3"/>
    <w:rsid w:val="00604991"/>
    <w:rsid w:val="00604C18"/>
    <w:rsid w:val="00604F78"/>
    <w:rsid w:val="00605CE3"/>
    <w:rsid w:val="00605FBE"/>
    <w:rsid w:val="0060600D"/>
    <w:rsid w:val="00606068"/>
    <w:rsid w:val="00606257"/>
    <w:rsid w:val="006063C4"/>
    <w:rsid w:val="00606629"/>
    <w:rsid w:val="00606B5A"/>
    <w:rsid w:val="00606D8E"/>
    <w:rsid w:val="006102CF"/>
    <w:rsid w:val="006106A4"/>
    <w:rsid w:val="006111F7"/>
    <w:rsid w:val="006118CE"/>
    <w:rsid w:val="00613164"/>
    <w:rsid w:val="00613331"/>
    <w:rsid w:val="006141BB"/>
    <w:rsid w:val="00614BC5"/>
    <w:rsid w:val="006150B8"/>
    <w:rsid w:val="006155C3"/>
    <w:rsid w:val="00615A14"/>
    <w:rsid w:val="006164E8"/>
    <w:rsid w:val="00616FE2"/>
    <w:rsid w:val="00617B95"/>
    <w:rsid w:val="00620332"/>
    <w:rsid w:val="0062046C"/>
    <w:rsid w:val="006206C2"/>
    <w:rsid w:val="00621286"/>
    <w:rsid w:val="00621389"/>
    <w:rsid w:val="00621A02"/>
    <w:rsid w:val="006226E7"/>
    <w:rsid w:val="00622862"/>
    <w:rsid w:val="0062288E"/>
    <w:rsid w:val="006233BE"/>
    <w:rsid w:val="00623A0B"/>
    <w:rsid w:val="00623A9A"/>
    <w:rsid w:val="00623C6D"/>
    <w:rsid w:val="00624CD5"/>
    <w:rsid w:val="00624D7D"/>
    <w:rsid w:val="0062603A"/>
    <w:rsid w:val="006262F7"/>
    <w:rsid w:val="0062679D"/>
    <w:rsid w:val="006269CC"/>
    <w:rsid w:val="00626A6F"/>
    <w:rsid w:val="006273BD"/>
    <w:rsid w:val="00630035"/>
    <w:rsid w:val="006311A6"/>
    <w:rsid w:val="00631636"/>
    <w:rsid w:val="00631A8C"/>
    <w:rsid w:val="00631FE6"/>
    <w:rsid w:val="006324DC"/>
    <w:rsid w:val="00632C38"/>
    <w:rsid w:val="006334A3"/>
    <w:rsid w:val="006338FA"/>
    <w:rsid w:val="00634316"/>
    <w:rsid w:val="00634A5B"/>
    <w:rsid w:val="00634E15"/>
    <w:rsid w:val="0063573B"/>
    <w:rsid w:val="006357E5"/>
    <w:rsid w:val="00635AC3"/>
    <w:rsid w:val="00635DE6"/>
    <w:rsid w:val="00636715"/>
    <w:rsid w:val="00636815"/>
    <w:rsid w:val="006369A6"/>
    <w:rsid w:val="00636CE6"/>
    <w:rsid w:val="00636E8C"/>
    <w:rsid w:val="00637C57"/>
    <w:rsid w:val="00637F46"/>
    <w:rsid w:val="006401BD"/>
    <w:rsid w:val="0064102F"/>
    <w:rsid w:val="0064126D"/>
    <w:rsid w:val="006415AC"/>
    <w:rsid w:val="006418E8"/>
    <w:rsid w:val="006419E9"/>
    <w:rsid w:val="0064203A"/>
    <w:rsid w:val="00642700"/>
    <w:rsid w:val="00642FB9"/>
    <w:rsid w:val="00643163"/>
    <w:rsid w:val="006434AA"/>
    <w:rsid w:val="00643706"/>
    <w:rsid w:val="00643A46"/>
    <w:rsid w:val="00643D1A"/>
    <w:rsid w:val="006442A7"/>
    <w:rsid w:val="00644F18"/>
    <w:rsid w:val="00644FAC"/>
    <w:rsid w:val="006454A4"/>
    <w:rsid w:val="00645CD3"/>
    <w:rsid w:val="00645DAD"/>
    <w:rsid w:val="00645E97"/>
    <w:rsid w:val="006464E2"/>
    <w:rsid w:val="00646C39"/>
    <w:rsid w:val="00647A85"/>
    <w:rsid w:val="00647F8A"/>
    <w:rsid w:val="006504A0"/>
    <w:rsid w:val="00650626"/>
    <w:rsid w:val="00650C5D"/>
    <w:rsid w:val="00650D86"/>
    <w:rsid w:val="006517CD"/>
    <w:rsid w:val="00652135"/>
    <w:rsid w:val="00652502"/>
    <w:rsid w:val="00652BF5"/>
    <w:rsid w:val="00652E59"/>
    <w:rsid w:val="00652EC9"/>
    <w:rsid w:val="006530C4"/>
    <w:rsid w:val="0065353D"/>
    <w:rsid w:val="006537EC"/>
    <w:rsid w:val="00653F41"/>
    <w:rsid w:val="006552E2"/>
    <w:rsid w:val="00655C8A"/>
    <w:rsid w:val="00655E3A"/>
    <w:rsid w:val="00656477"/>
    <w:rsid w:val="0065681F"/>
    <w:rsid w:val="00656C31"/>
    <w:rsid w:val="00656CB4"/>
    <w:rsid w:val="00656D31"/>
    <w:rsid w:val="00657720"/>
    <w:rsid w:val="00657B3C"/>
    <w:rsid w:val="00657D29"/>
    <w:rsid w:val="00657EBC"/>
    <w:rsid w:val="006605D6"/>
    <w:rsid w:val="00660856"/>
    <w:rsid w:val="00660C97"/>
    <w:rsid w:val="00660E3E"/>
    <w:rsid w:val="00661277"/>
    <w:rsid w:val="00661633"/>
    <w:rsid w:val="00661643"/>
    <w:rsid w:val="00661847"/>
    <w:rsid w:val="00661EFA"/>
    <w:rsid w:val="00662080"/>
    <w:rsid w:val="0066280C"/>
    <w:rsid w:val="00662B77"/>
    <w:rsid w:val="00662CB4"/>
    <w:rsid w:val="0066349F"/>
    <w:rsid w:val="00663A0F"/>
    <w:rsid w:val="00663B52"/>
    <w:rsid w:val="00663DD2"/>
    <w:rsid w:val="00664379"/>
    <w:rsid w:val="0066438A"/>
    <w:rsid w:val="0066482B"/>
    <w:rsid w:val="00666267"/>
    <w:rsid w:val="00666313"/>
    <w:rsid w:val="00666E89"/>
    <w:rsid w:val="00667011"/>
    <w:rsid w:val="006679F3"/>
    <w:rsid w:val="0067058D"/>
    <w:rsid w:val="00670C6E"/>
    <w:rsid w:val="00671021"/>
    <w:rsid w:val="00671550"/>
    <w:rsid w:val="0067163A"/>
    <w:rsid w:val="006719D0"/>
    <w:rsid w:val="00672C84"/>
    <w:rsid w:val="00673406"/>
    <w:rsid w:val="00673713"/>
    <w:rsid w:val="00673BF0"/>
    <w:rsid w:val="00673FE7"/>
    <w:rsid w:val="006746AA"/>
    <w:rsid w:val="0067517E"/>
    <w:rsid w:val="0067567C"/>
    <w:rsid w:val="00675E14"/>
    <w:rsid w:val="00675EDA"/>
    <w:rsid w:val="00676395"/>
    <w:rsid w:val="0067665D"/>
    <w:rsid w:val="006771AA"/>
    <w:rsid w:val="0067732B"/>
    <w:rsid w:val="006775BE"/>
    <w:rsid w:val="00677FA6"/>
    <w:rsid w:val="00680966"/>
    <w:rsid w:val="00681390"/>
    <w:rsid w:val="006815A7"/>
    <w:rsid w:val="006817A2"/>
    <w:rsid w:val="006821ED"/>
    <w:rsid w:val="00682719"/>
    <w:rsid w:val="00682893"/>
    <w:rsid w:val="006836EB"/>
    <w:rsid w:val="00683A91"/>
    <w:rsid w:val="00683DAD"/>
    <w:rsid w:val="006846A2"/>
    <w:rsid w:val="006846A3"/>
    <w:rsid w:val="006846D4"/>
    <w:rsid w:val="00684C41"/>
    <w:rsid w:val="006850FF"/>
    <w:rsid w:val="00685714"/>
    <w:rsid w:val="00685FEE"/>
    <w:rsid w:val="006867E9"/>
    <w:rsid w:val="00686A75"/>
    <w:rsid w:val="00686C4A"/>
    <w:rsid w:val="006871AF"/>
    <w:rsid w:val="006873B4"/>
    <w:rsid w:val="0068753C"/>
    <w:rsid w:val="00687A87"/>
    <w:rsid w:val="00687DB0"/>
    <w:rsid w:val="00687DF1"/>
    <w:rsid w:val="006904E5"/>
    <w:rsid w:val="00690537"/>
    <w:rsid w:val="0069063D"/>
    <w:rsid w:val="00690AFD"/>
    <w:rsid w:val="006912DE"/>
    <w:rsid w:val="006918DF"/>
    <w:rsid w:val="00691DB2"/>
    <w:rsid w:val="006922ED"/>
    <w:rsid w:val="00692300"/>
    <w:rsid w:val="006924B0"/>
    <w:rsid w:val="00692A31"/>
    <w:rsid w:val="00692A82"/>
    <w:rsid w:val="006932E3"/>
    <w:rsid w:val="00694D46"/>
    <w:rsid w:val="00694DA2"/>
    <w:rsid w:val="00695775"/>
    <w:rsid w:val="00697D10"/>
    <w:rsid w:val="006A0295"/>
    <w:rsid w:val="006A036C"/>
    <w:rsid w:val="006A0CFF"/>
    <w:rsid w:val="006A0D2B"/>
    <w:rsid w:val="006A0E0F"/>
    <w:rsid w:val="006A22FD"/>
    <w:rsid w:val="006A2CAE"/>
    <w:rsid w:val="006A3323"/>
    <w:rsid w:val="006A3D16"/>
    <w:rsid w:val="006A3DDD"/>
    <w:rsid w:val="006A3DDE"/>
    <w:rsid w:val="006A3FF6"/>
    <w:rsid w:val="006A560E"/>
    <w:rsid w:val="006A571F"/>
    <w:rsid w:val="006A5D6A"/>
    <w:rsid w:val="006A63F4"/>
    <w:rsid w:val="006A6D08"/>
    <w:rsid w:val="006A6F2A"/>
    <w:rsid w:val="006A6F59"/>
    <w:rsid w:val="006A723D"/>
    <w:rsid w:val="006A746B"/>
    <w:rsid w:val="006A7754"/>
    <w:rsid w:val="006A778E"/>
    <w:rsid w:val="006A7D09"/>
    <w:rsid w:val="006A7F7E"/>
    <w:rsid w:val="006B03C8"/>
    <w:rsid w:val="006B08CB"/>
    <w:rsid w:val="006B0A34"/>
    <w:rsid w:val="006B0E36"/>
    <w:rsid w:val="006B0FCD"/>
    <w:rsid w:val="006B1741"/>
    <w:rsid w:val="006B1984"/>
    <w:rsid w:val="006B1ABC"/>
    <w:rsid w:val="006B2563"/>
    <w:rsid w:val="006B2C1B"/>
    <w:rsid w:val="006B2CC3"/>
    <w:rsid w:val="006B353F"/>
    <w:rsid w:val="006B3945"/>
    <w:rsid w:val="006B43E8"/>
    <w:rsid w:val="006B531E"/>
    <w:rsid w:val="006B5943"/>
    <w:rsid w:val="006B60C7"/>
    <w:rsid w:val="006B6350"/>
    <w:rsid w:val="006B6FCD"/>
    <w:rsid w:val="006B73AC"/>
    <w:rsid w:val="006B7A94"/>
    <w:rsid w:val="006B7D7F"/>
    <w:rsid w:val="006C02E0"/>
    <w:rsid w:val="006C0A1C"/>
    <w:rsid w:val="006C0AEE"/>
    <w:rsid w:val="006C0C7D"/>
    <w:rsid w:val="006C0D7B"/>
    <w:rsid w:val="006C0E78"/>
    <w:rsid w:val="006C11F3"/>
    <w:rsid w:val="006C17A9"/>
    <w:rsid w:val="006C187E"/>
    <w:rsid w:val="006C18F4"/>
    <w:rsid w:val="006C20D8"/>
    <w:rsid w:val="006C252C"/>
    <w:rsid w:val="006C2ABE"/>
    <w:rsid w:val="006C2C39"/>
    <w:rsid w:val="006C2DCA"/>
    <w:rsid w:val="006C3064"/>
    <w:rsid w:val="006C33A0"/>
    <w:rsid w:val="006C3548"/>
    <w:rsid w:val="006C35D1"/>
    <w:rsid w:val="006C41CB"/>
    <w:rsid w:val="006C458F"/>
    <w:rsid w:val="006C4828"/>
    <w:rsid w:val="006C54D5"/>
    <w:rsid w:val="006C5516"/>
    <w:rsid w:val="006C631E"/>
    <w:rsid w:val="006C6688"/>
    <w:rsid w:val="006C6831"/>
    <w:rsid w:val="006C69A6"/>
    <w:rsid w:val="006C6E5A"/>
    <w:rsid w:val="006C6ECA"/>
    <w:rsid w:val="006C73AE"/>
    <w:rsid w:val="006C7E3A"/>
    <w:rsid w:val="006D0004"/>
    <w:rsid w:val="006D00C8"/>
    <w:rsid w:val="006D0388"/>
    <w:rsid w:val="006D058B"/>
    <w:rsid w:val="006D06B6"/>
    <w:rsid w:val="006D0E89"/>
    <w:rsid w:val="006D1141"/>
    <w:rsid w:val="006D1159"/>
    <w:rsid w:val="006D168D"/>
    <w:rsid w:val="006D18A7"/>
    <w:rsid w:val="006D2548"/>
    <w:rsid w:val="006D2961"/>
    <w:rsid w:val="006D2B19"/>
    <w:rsid w:val="006D2B24"/>
    <w:rsid w:val="006D31EC"/>
    <w:rsid w:val="006D320A"/>
    <w:rsid w:val="006D3321"/>
    <w:rsid w:val="006D3A84"/>
    <w:rsid w:val="006D44A3"/>
    <w:rsid w:val="006D4515"/>
    <w:rsid w:val="006D5226"/>
    <w:rsid w:val="006D5A4F"/>
    <w:rsid w:val="006D5D8A"/>
    <w:rsid w:val="006D6340"/>
    <w:rsid w:val="006D73EB"/>
    <w:rsid w:val="006D7D11"/>
    <w:rsid w:val="006D7D65"/>
    <w:rsid w:val="006D7F64"/>
    <w:rsid w:val="006E0203"/>
    <w:rsid w:val="006E03BD"/>
    <w:rsid w:val="006E0E00"/>
    <w:rsid w:val="006E198E"/>
    <w:rsid w:val="006E1C7C"/>
    <w:rsid w:val="006E2089"/>
    <w:rsid w:val="006E2322"/>
    <w:rsid w:val="006E2818"/>
    <w:rsid w:val="006E2B09"/>
    <w:rsid w:val="006E2C79"/>
    <w:rsid w:val="006E32BE"/>
    <w:rsid w:val="006E351F"/>
    <w:rsid w:val="006E3AD4"/>
    <w:rsid w:val="006E4CDE"/>
    <w:rsid w:val="006E6608"/>
    <w:rsid w:val="006E6646"/>
    <w:rsid w:val="006E6D8A"/>
    <w:rsid w:val="006E704A"/>
    <w:rsid w:val="006E77BD"/>
    <w:rsid w:val="006E7DE8"/>
    <w:rsid w:val="006F0328"/>
    <w:rsid w:val="006F06EC"/>
    <w:rsid w:val="006F0E4C"/>
    <w:rsid w:val="006F129F"/>
    <w:rsid w:val="006F1A09"/>
    <w:rsid w:val="006F1A74"/>
    <w:rsid w:val="006F2556"/>
    <w:rsid w:val="006F2DA2"/>
    <w:rsid w:val="006F3B24"/>
    <w:rsid w:val="006F4012"/>
    <w:rsid w:val="006F4181"/>
    <w:rsid w:val="006F53DA"/>
    <w:rsid w:val="006F6132"/>
    <w:rsid w:val="006F6314"/>
    <w:rsid w:val="006F6777"/>
    <w:rsid w:val="006F7047"/>
    <w:rsid w:val="006F7119"/>
    <w:rsid w:val="006F7AB2"/>
    <w:rsid w:val="0070045C"/>
    <w:rsid w:val="0070110F"/>
    <w:rsid w:val="00701FEC"/>
    <w:rsid w:val="00702983"/>
    <w:rsid w:val="007030A2"/>
    <w:rsid w:val="00704229"/>
    <w:rsid w:val="00704251"/>
    <w:rsid w:val="0070444D"/>
    <w:rsid w:val="00704BA9"/>
    <w:rsid w:val="00704EFA"/>
    <w:rsid w:val="00705A06"/>
    <w:rsid w:val="00705AA8"/>
    <w:rsid w:val="007068BB"/>
    <w:rsid w:val="00706CD3"/>
    <w:rsid w:val="00707FB7"/>
    <w:rsid w:val="0071051B"/>
    <w:rsid w:val="00711136"/>
    <w:rsid w:val="00711275"/>
    <w:rsid w:val="00711364"/>
    <w:rsid w:val="00712947"/>
    <w:rsid w:val="00712EFC"/>
    <w:rsid w:val="00714225"/>
    <w:rsid w:val="007147E0"/>
    <w:rsid w:val="00715044"/>
    <w:rsid w:val="0071508E"/>
    <w:rsid w:val="00715097"/>
    <w:rsid w:val="007164BD"/>
    <w:rsid w:val="007173FD"/>
    <w:rsid w:val="00717B74"/>
    <w:rsid w:val="00717F2E"/>
    <w:rsid w:val="00720356"/>
    <w:rsid w:val="00720490"/>
    <w:rsid w:val="007205DE"/>
    <w:rsid w:val="00720BFA"/>
    <w:rsid w:val="00720FFC"/>
    <w:rsid w:val="007224F9"/>
    <w:rsid w:val="00722873"/>
    <w:rsid w:val="00722875"/>
    <w:rsid w:val="007233C6"/>
    <w:rsid w:val="00723421"/>
    <w:rsid w:val="007234BB"/>
    <w:rsid w:val="00724172"/>
    <w:rsid w:val="007247B1"/>
    <w:rsid w:val="007249EE"/>
    <w:rsid w:val="00724AA1"/>
    <w:rsid w:val="00724AE9"/>
    <w:rsid w:val="00724C5E"/>
    <w:rsid w:val="00725071"/>
    <w:rsid w:val="007254C4"/>
    <w:rsid w:val="007259F3"/>
    <w:rsid w:val="00725B25"/>
    <w:rsid w:val="007267E9"/>
    <w:rsid w:val="00726855"/>
    <w:rsid w:val="00727286"/>
    <w:rsid w:val="00727607"/>
    <w:rsid w:val="007300C6"/>
    <w:rsid w:val="00730544"/>
    <w:rsid w:val="00730A11"/>
    <w:rsid w:val="00730D81"/>
    <w:rsid w:val="00731EC8"/>
    <w:rsid w:val="00732580"/>
    <w:rsid w:val="00732731"/>
    <w:rsid w:val="00733853"/>
    <w:rsid w:val="00733A72"/>
    <w:rsid w:val="00733D93"/>
    <w:rsid w:val="00734166"/>
    <w:rsid w:val="007341AD"/>
    <w:rsid w:val="00734A20"/>
    <w:rsid w:val="00735103"/>
    <w:rsid w:val="00735503"/>
    <w:rsid w:val="007356FA"/>
    <w:rsid w:val="0073607D"/>
    <w:rsid w:val="00736995"/>
    <w:rsid w:val="00736BB0"/>
    <w:rsid w:val="00737C35"/>
    <w:rsid w:val="00737D04"/>
    <w:rsid w:val="00737E35"/>
    <w:rsid w:val="00737E69"/>
    <w:rsid w:val="00737F24"/>
    <w:rsid w:val="00740128"/>
    <w:rsid w:val="00740770"/>
    <w:rsid w:val="007408A7"/>
    <w:rsid w:val="00740E92"/>
    <w:rsid w:val="0074137D"/>
    <w:rsid w:val="0074190B"/>
    <w:rsid w:val="00741ABA"/>
    <w:rsid w:val="0074248D"/>
    <w:rsid w:val="007428F9"/>
    <w:rsid w:val="00742957"/>
    <w:rsid w:val="0074318D"/>
    <w:rsid w:val="007434B0"/>
    <w:rsid w:val="007439AE"/>
    <w:rsid w:val="00743A07"/>
    <w:rsid w:val="00743A50"/>
    <w:rsid w:val="00743AD1"/>
    <w:rsid w:val="00743E1C"/>
    <w:rsid w:val="00744AB1"/>
    <w:rsid w:val="00745053"/>
    <w:rsid w:val="00745115"/>
    <w:rsid w:val="00745B9A"/>
    <w:rsid w:val="007467C0"/>
    <w:rsid w:val="00746B39"/>
    <w:rsid w:val="0074795F"/>
    <w:rsid w:val="007509C5"/>
    <w:rsid w:val="00750D9B"/>
    <w:rsid w:val="007511FB"/>
    <w:rsid w:val="007512ED"/>
    <w:rsid w:val="007527E0"/>
    <w:rsid w:val="007529BC"/>
    <w:rsid w:val="007531C8"/>
    <w:rsid w:val="0075337E"/>
    <w:rsid w:val="007538B3"/>
    <w:rsid w:val="00753DE2"/>
    <w:rsid w:val="00753FBE"/>
    <w:rsid w:val="007540E7"/>
    <w:rsid w:val="0075420D"/>
    <w:rsid w:val="00754C94"/>
    <w:rsid w:val="007550E3"/>
    <w:rsid w:val="00755617"/>
    <w:rsid w:val="0075633A"/>
    <w:rsid w:val="007569F5"/>
    <w:rsid w:val="00756A45"/>
    <w:rsid w:val="00757142"/>
    <w:rsid w:val="007576AE"/>
    <w:rsid w:val="007576FB"/>
    <w:rsid w:val="00757877"/>
    <w:rsid w:val="00757ED5"/>
    <w:rsid w:val="00760240"/>
    <w:rsid w:val="00760526"/>
    <w:rsid w:val="00760691"/>
    <w:rsid w:val="00760DBC"/>
    <w:rsid w:val="00760EEF"/>
    <w:rsid w:val="00760F33"/>
    <w:rsid w:val="007610C0"/>
    <w:rsid w:val="00761EB6"/>
    <w:rsid w:val="007623DA"/>
    <w:rsid w:val="00763E86"/>
    <w:rsid w:val="00764388"/>
    <w:rsid w:val="0076480F"/>
    <w:rsid w:val="00765327"/>
    <w:rsid w:val="0076571C"/>
    <w:rsid w:val="00765F50"/>
    <w:rsid w:val="0076635C"/>
    <w:rsid w:val="00766520"/>
    <w:rsid w:val="00766719"/>
    <w:rsid w:val="00766E12"/>
    <w:rsid w:val="00767307"/>
    <w:rsid w:val="00767317"/>
    <w:rsid w:val="00767984"/>
    <w:rsid w:val="00767A7F"/>
    <w:rsid w:val="00767ACA"/>
    <w:rsid w:val="00767B7D"/>
    <w:rsid w:val="0077090A"/>
    <w:rsid w:val="00770BDD"/>
    <w:rsid w:val="00770D85"/>
    <w:rsid w:val="0077135E"/>
    <w:rsid w:val="007713F8"/>
    <w:rsid w:val="007714B0"/>
    <w:rsid w:val="00771996"/>
    <w:rsid w:val="007731C4"/>
    <w:rsid w:val="00773364"/>
    <w:rsid w:val="00773780"/>
    <w:rsid w:val="00773C92"/>
    <w:rsid w:val="00773E50"/>
    <w:rsid w:val="00774467"/>
    <w:rsid w:val="00774735"/>
    <w:rsid w:val="0077596B"/>
    <w:rsid w:val="007765C5"/>
    <w:rsid w:val="007766AE"/>
    <w:rsid w:val="00777253"/>
    <w:rsid w:val="0077744B"/>
    <w:rsid w:val="007776C4"/>
    <w:rsid w:val="00780617"/>
    <w:rsid w:val="00780D24"/>
    <w:rsid w:val="007813AB"/>
    <w:rsid w:val="007814F5"/>
    <w:rsid w:val="00781BD1"/>
    <w:rsid w:val="00781CF7"/>
    <w:rsid w:val="007821B4"/>
    <w:rsid w:val="00782274"/>
    <w:rsid w:val="00782434"/>
    <w:rsid w:val="00782BA0"/>
    <w:rsid w:val="00783052"/>
    <w:rsid w:val="0078356A"/>
    <w:rsid w:val="00784717"/>
    <w:rsid w:val="00784819"/>
    <w:rsid w:val="00784AD8"/>
    <w:rsid w:val="00784B35"/>
    <w:rsid w:val="00785BE8"/>
    <w:rsid w:val="007863FB"/>
    <w:rsid w:val="007866EB"/>
    <w:rsid w:val="007871A1"/>
    <w:rsid w:val="0078731C"/>
    <w:rsid w:val="00787BF3"/>
    <w:rsid w:val="00787C11"/>
    <w:rsid w:val="00790060"/>
    <w:rsid w:val="00790471"/>
    <w:rsid w:val="007914F1"/>
    <w:rsid w:val="0079169C"/>
    <w:rsid w:val="00791727"/>
    <w:rsid w:val="00791805"/>
    <w:rsid w:val="00791DDC"/>
    <w:rsid w:val="0079216E"/>
    <w:rsid w:val="0079299D"/>
    <w:rsid w:val="00792B64"/>
    <w:rsid w:val="007932B5"/>
    <w:rsid w:val="0079383D"/>
    <w:rsid w:val="00794164"/>
    <w:rsid w:val="00794AC7"/>
    <w:rsid w:val="0079501C"/>
    <w:rsid w:val="007953CF"/>
    <w:rsid w:val="007955BF"/>
    <w:rsid w:val="007956BB"/>
    <w:rsid w:val="007958FB"/>
    <w:rsid w:val="00795A1D"/>
    <w:rsid w:val="00795BC3"/>
    <w:rsid w:val="00795F83"/>
    <w:rsid w:val="00795FFA"/>
    <w:rsid w:val="00796246"/>
    <w:rsid w:val="007963F2"/>
    <w:rsid w:val="007A0743"/>
    <w:rsid w:val="007A08BE"/>
    <w:rsid w:val="007A092D"/>
    <w:rsid w:val="007A1133"/>
    <w:rsid w:val="007A122A"/>
    <w:rsid w:val="007A12E3"/>
    <w:rsid w:val="007A12E8"/>
    <w:rsid w:val="007A140E"/>
    <w:rsid w:val="007A1C41"/>
    <w:rsid w:val="007A1DDF"/>
    <w:rsid w:val="007A24B3"/>
    <w:rsid w:val="007A2856"/>
    <w:rsid w:val="007A2E15"/>
    <w:rsid w:val="007A312F"/>
    <w:rsid w:val="007A37F9"/>
    <w:rsid w:val="007A3839"/>
    <w:rsid w:val="007A3963"/>
    <w:rsid w:val="007A4426"/>
    <w:rsid w:val="007A4EE8"/>
    <w:rsid w:val="007A57F0"/>
    <w:rsid w:val="007A62D2"/>
    <w:rsid w:val="007A6393"/>
    <w:rsid w:val="007A64F6"/>
    <w:rsid w:val="007A6968"/>
    <w:rsid w:val="007A6D76"/>
    <w:rsid w:val="007A7328"/>
    <w:rsid w:val="007A733B"/>
    <w:rsid w:val="007A7B2F"/>
    <w:rsid w:val="007A7D2F"/>
    <w:rsid w:val="007B0003"/>
    <w:rsid w:val="007B04DE"/>
    <w:rsid w:val="007B08E6"/>
    <w:rsid w:val="007B0E9C"/>
    <w:rsid w:val="007B15F6"/>
    <w:rsid w:val="007B23E0"/>
    <w:rsid w:val="007B2D11"/>
    <w:rsid w:val="007B36E8"/>
    <w:rsid w:val="007B38C0"/>
    <w:rsid w:val="007B4916"/>
    <w:rsid w:val="007B5DDB"/>
    <w:rsid w:val="007B62C4"/>
    <w:rsid w:val="007B6835"/>
    <w:rsid w:val="007B697C"/>
    <w:rsid w:val="007B6AE3"/>
    <w:rsid w:val="007B742B"/>
    <w:rsid w:val="007B760F"/>
    <w:rsid w:val="007B7B2E"/>
    <w:rsid w:val="007B7D28"/>
    <w:rsid w:val="007C032F"/>
    <w:rsid w:val="007C0692"/>
    <w:rsid w:val="007C08C2"/>
    <w:rsid w:val="007C0960"/>
    <w:rsid w:val="007C0BEF"/>
    <w:rsid w:val="007C1F8D"/>
    <w:rsid w:val="007C20E4"/>
    <w:rsid w:val="007C2353"/>
    <w:rsid w:val="007C23C2"/>
    <w:rsid w:val="007C2453"/>
    <w:rsid w:val="007C2D2A"/>
    <w:rsid w:val="007C2DE7"/>
    <w:rsid w:val="007C374B"/>
    <w:rsid w:val="007C3C9E"/>
    <w:rsid w:val="007C491D"/>
    <w:rsid w:val="007C49C2"/>
    <w:rsid w:val="007C4F6A"/>
    <w:rsid w:val="007C505D"/>
    <w:rsid w:val="007C510F"/>
    <w:rsid w:val="007C51F2"/>
    <w:rsid w:val="007C52F3"/>
    <w:rsid w:val="007C64BD"/>
    <w:rsid w:val="007C6871"/>
    <w:rsid w:val="007C6DD8"/>
    <w:rsid w:val="007C72B2"/>
    <w:rsid w:val="007C73C4"/>
    <w:rsid w:val="007C76D4"/>
    <w:rsid w:val="007C7CAD"/>
    <w:rsid w:val="007D0464"/>
    <w:rsid w:val="007D078A"/>
    <w:rsid w:val="007D1644"/>
    <w:rsid w:val="007D1655"/>
    <w:rsid w:val="007D18EE"/>
    <w:rsid w:val="007D19DC"/>
    <w:rsid w:val="007D2013"/>
    <w:rsid w:val="007D2CDD"/>
    <w:rsid w:val="007D31A3"/>
    <w:rsid w:val="007D329D"/>
    <w:rsid w:val="007D33B1"/>
    <w:rsid w:val="007D3492"/>
    <w:rsid w:val="007D3602"/>
    <w:rsid w:val="007D3A53"/>
    <w:rsid w:val="007D3A85"/>
    <w:rsid w:val="007D3EFB"/>
    <w:rsid w:val="007D4039"/>
    <w:rsid w:val="007D4542"/>
    <w:rsid w:val="007D4BBE"/>
    <w:rsid w:val="007D5478"/>
    <w:rsid w:val="007D5D71"/>
    <w:rsid w:val="007D5DD8"/>
    <w:rsid w:val="007D76CA"/>
    <w:rsid w:val="007D7D23"/>
    <w:rsid w:val="007D7EDB"/>
    <w:rsid w:val="007D7FCA"/>
    <w:rsid w:val="007E0ECE"/>
    <w:rsid w:val="007E0F7A"/>
    <w:rsid w:val="007E202B"/>
    <w:rsid w:val="007E25A2"/>
    <w:rsid w:val="007E382C"/>
    <w:rsid w:val="007E440D"/>
    <w:rsid w:val="007E4BE3"/>
    <w:rsid w:val="007E58CA"/>
    <w:rsid w:val="007E5BD3"/>
    <w:rsid w:val="007E6D2F"/>
    <w:rsid w:val="007E6EA5"/>
    <w:rsid w:val="007E7879"/>
    <w:rsid w:val="007E7FE4"/>
    <w:rsid w:val="007F02E0"/>
    <w:rsid w:val="007F0454"/>
    <w:rsid w:val="007F076C"/>
    <w:rsid w:val="007F0791"/>
    <w:rsid w:val="007F0DBF"/>
    <w:rsid w:val="007F12A0"/>
    <w:rsid w:val="007F205F"/>
    <w:rsid w:val="007F24C0"/>
    <w:rsid w:val="007F270F"/>
    <w:rsid w:val="007F2AAD"/>
    <w:rsid w:val="007F2D6C"/>
    <w:rsid w:val="007F3451"/>
    <w:rsid w:val="007F3FB7"/>
    <w:rsid w:val="007F44D8"/>
    <w:rsid w:val="007F4886"/>
    <w:rsid w:val="007F48EA"/>
    <w:rsid w:val="007F4CC3"/>
    <w:rsid w:val="007F4D09"/>
    <w:rsid w:val="007F5CAA"/>
    <w:rsid w:val="007F7ED7"/>
    <w:rsid w:val="0080058A"/>
    <w:rsid w:val="008023D1"/>
    <w:rsid w:val="008024D5"/>
    <w:rsid w:val="00802D42"/>
    <w:rsid w:val="00802D9E"/>
    <w:rsid w:val="00802DBF"/>
    <w:rsid w:val="00802FB1"/>
    <w:rsid w:val="00803284"/>
    <w:rsid w:val="008033B1"/>
    <w:rsid w:val="008035D7"/>
    <w:rsid w:val="008039D7"/>
    <w:rsid w:val="00803B5B"/>
    <w:rsid w:val="00803B8C"/>
    <w:rsid w:val="00803E1E"/>
    <w:rsid w:val="0080506F"/>
    <w:rsid w:val="0080535E"/>
    <w:rsid w:val="008054F5"/>
    <w:rsid w:val="008055A1"/>
    <w:rsid w:val="008058C1"/>
    <w:rsid w:val="00805A91"/>
    <w:rsid w:val="00805ADA"/>
    <w:rsid w:val="00807616"/>
    <w:rsid w:val="00810452"/>
    <w:rsid w:val="00810920"/>
    <w:rsid w:val="00810DD5"/>
    <w:rsid w:val="00810E8C"/>
    <w:rsid w:val="00811B46"/>
    <w:rsid w:val="00812143"/>
    <w:rsid w:val="008138D7"/>
    <w:rsid w:val="00813B65"/>
    <w:rsid w:val="00814444"/>
    <w:rsid w:val="00815655"/>
    <w:rsid w:val="00815813"/>
    <w:rsid w:val="00815DFC"/>
    <w:rsid w:val="008163A1"/>
    <w:rsid w:val="008166BD"/>
    <w:rsid w:val="008171C2"/>
    <w:rsid w:val="008172B9"/>
    <w:rsid w:val="0081741C"/>
    <w:rsid w:val="00820119"/>
    <w:rsid w:val="00820FB7"/>
    <w:rsid w:val="008213B9"/>
    <w:rsid w:val="00821B80"/>
    <w:rsid w:val="00821F48"/>
    <w:rsid w:val="0082298E"/>
    <w:rsid w:val="00822A62"/>
    <w:rsid w:val="00822AA5"/>
    <w:rsid w:val="00823172"/>
    <w:rsid w:val="008231D0"/>
    <w:rsid w:val="00823315"/>
    <w:rsid w:val="00823784"/>
    <w:rsid w:val="008237FB"/>
    <w:rsid w:val="008239A4"/>
    <w:rsid w:val="00823AF3"/>
    <w:rsid w:val="00823CBE"/>
    <w:rsid w:val="00824381"/>
    <w:rsid w:val="008249B0"/>
    <w:rsid w:val="00824AEF"/>
    <w:rsid w:val="00824C36"/>
    <w:rsid w:val="00825729"/>
    <w:rsid w:val="0082648B"/>
    <w:rsid w:val="00826515"/>
    <w:rsid w:val="008265BE"/>
    <w:rsid w:val="008273AA"/>
    <w:rsid w:val="0083084F"/>
    <w:rsid w:val="00830D19"/>
    <w:rsid w:val="0083109A"/>
    <w:rsid w:val="00831550"/>
    <w:rsid w:val="0083156A"/>
    <w:rsid w:val="008316CD"/>
    <w:rsid w:val="00832352"/>
    <w:rsid w:val="00832BB0"/>
    <w:rsid w:val="00833044"/>
    <w:rsid w:val="008335B3"/>
    <w:rsid w:val="008335BF"/>
    <w:rsid w:val="008337C1"/>
    <w:rsid w:val="00833CC6"/>
    <w:rsid w:val="00834138"/>
    <w:rsid w:val="008348BB"/>
    <w:rsid w:val="008349E5"/>
    <w:rsid w:val="00835E01"/>
    <w:rsid w:val="008360EB"/>
    <w:rsid w:val="00836AB2"/>
    <w:rsid w:val="00836E64"/>
    <w:rsid w:val="00837D3C"/>
    <w:rsid w:val="00840065"/>
    <w:rsid w:val="008400E8"/>
    <w:rsid w:val="00840280"/>
    <w:rsid w:val="008405EA"/>
    <w:rsid w:val="00840DDB"/>
    <w:rsid w:val="008410BE"/>
    <w:rsid w:val="0084180E"/>
    <w:rsid w:val="00842EBB"/>
    <w:rsid w:val="00842ECC"/>
    <w:rsid w:val="00844167"/>
    <w:rsid w:val="00844179"/>
    <w:rsid w:val="0084432D"/>
    <w:rsid w:val="00844A00"/>
    <w:rsid w:val="00844A59"/>
    <w:rsid w:val="00845160"/>
    <w:rsid w:val="008471E1"/>
    <w:rsid w:val="0084728D"/>
    <w:rsid w:val="0084770D"/>
    <w:rsid w:val="00847ACC"/>
    <w:rsid w:val="00847D76"/>
    <w:rsid w:val="0085003B"/>
    <w:rsid w:val="0085020D"/>
    <w:rsid w:val="00850C45"/>
    <w:rsid w:val="0085113A"/>
    <w:rsid w:val="00851D83"/>
    <w:rsid w:val="00851DC7"/>
    <w:rsid w:val="00851DE3"/>
    <w:rsid w:val="0085207C"/>
    <w:rsid w:val="0085295C"/>
    <w:rsid w:val="00853AB7"/>
    <w:rsid w:val="00853E03"/>
    <w:rsid w:val="0085464F"/>
    <w:rsid w:val="00854688"/>
    <w:rsid w:val="00855917"/>
    <w:rsid w:val="00855A14"/>
    <w:rsid w:val="00856015"/>
    <w:rsid w:val="00856633"/>
    <w:rsid w:val="00856BBA"/>
    <w:rsid w:val="00856D65"/>
    <w:rsid w:val="00857251"/>
    <w:rsid w:val="00857881"/>
    <w:rsid w:val="00861006"/>
    <w:rsid w:val="00861079"/>
    <w:rsid w:val="0086155D"/>
    <w:rsid w:val="008615E6"/>
    <w:rsid w:val="008618FD"/>
    <w:rsid w:val="00861F3E"/>
    <w:rsid w:val="00862268"/>
    <w:rsid w:val="008626C4"/>
    <w:rsid w:val="008635BC"/>
    <w:rsid w:val="00863760"/>
    <w:rsid w:val="00863B4C"/>
    <w:rsid w:val="008640DF"/>
    <w:rsid w:val="00864539"/>
    <w:rsid w:val="0086470C"/>
    <w:rsid w:val="00864788"/>
    <w:rsid w:val="0086495E"/>
    <w:rsid w:val="0086498B"/>
    <w:rsid w:val="00864A2F"/>
    <w:rsid w:val="00864B14"/>
    <w:rsid w:val="00864B64"/>
    <w:rsid w:val="00865697"/>
    <w:rsid w:val="00865849"/>
    <w:rsid w:val="008664C7"/>
    <w:rsid w:val="0086673A"/>
    <w:rsid w:val="008667A2"/>
    <w:rsid w:val="008674D2"/>
    <w:rsid w:val="00867BF2"/>
    <w:rsid w:val="00867FED"/>
    <w:rsid w:val="008700DA"/>
    <w:rsid w:val="0087057D"/>
    <w:rsid w:val="008707FC"/>
    <w:rsid w:val="00870B76"/>
    <w:rsid w:val="008711BA"/>
    <w:rsid w:val="008713D4"/>
    <w:rsid w:val="00871744"/>
    <w:rsid w:val="00872025"/>
    <w:rsid w:val="008720A8"/>
    <w:rsid w:val="00872ED6"/>
    <w:rsid w:val="00872F56"/>
    <w:rsid w:val="00873A24"/>
    <w:rsid w:val="00873B5F"/>
    <w:rsid w:val="00873E73"/>
    <w:rsid w:val="0087419C"/>
    <w:rsid w:val="00874307"/>
    <w:rsid w:val="0087503C"/>
    <w:rsid w:val="00876228"/>
    <w:rsid w:val="00876AED"/>
    <w:rsid w:val="00876B33"/>
    <w:rsid w:val="008772D4"/>
    <w:rsid w:val="00877E09"/>
    <w:rsid w:val="00881222"/>
    <w:rsid w:val="00881685"/>
    <w:rsid w:val="008818F6"/>
    <w:rsid w:val="00881DE0"/>
    <w:rsid w:val="00882780"/>
    <w:rsid w:val="00883614"/>
    <w:rsid w:val="00883750"/>
    <w:rsid w:val="00883CF7"/>
    <w:rsid w:val="00884451"/>
    <w:rsid w:val="008845FF"/>
    <w:rsid w:val="00884D0B"/>
    <w:rsid w:val="008850E0"/>
    <w:rsid w:val="008852CD"/>
    <w:rsid w:val="008852EF"/>
    <w:rsid w:val="00885489"/>
    <w:rsid w:val="00885DAB"/>
    <w:rsid w:val="008861B4"/>
    <w:rsid w:val="008862DC"/>
    <w:rsid w:val="00886454"/>
    <w:rsid w:val="008864EC"/>
    <w:rsid w:val="008865DD"/>
    <w:rsid w:val="008869E5"/>
    <w:rsid w:val="00886C95"/>
    <w:rsid w:val="00887065"/>
    <w:rsid w:val="00887A56"/>
    <w:rsid w:val="00890169"/>
    <w:rsid w:val="00890691"/>
    <w:rsid w:val="00890B4B"/>
    <w:rsid w:val="008911AB"/>
    <w:rsid w:val="0089156F"/>
    <w:rsid w:val="00892FE2"/>
    <w:rsid w:val="0089305A"/>
    <w:rsid w:val="008935F0"/>
    <w:rsid w:val="00893A3D"/>
    <w:rsid w:val="00893ACE"/>
    <w:rsid w:val="00893CB1"/>
    <w:rsid w:val="00893EFE"/>
    <w:rsid w:val="008947A8"/>
    <w:rsid w:val="008949A0"/>
    <w:rsid w:val="00894E29"/>
    <w:rsid w:val="0089504A"/>
    <w:rsid w:val="00895615"/>
    <w:rsid w:val="0089593C"/>
    <w:rsid w:val="00896659"/>
    <w:rsid w:val="00896A17"/>
    <w:rsid w:val="00896C20"/>
    <w:rsid w:val="00897133"/>
    <w:rsid w:val="00897A64"/>
    <w:rsid w:val="008A02D9"/>
    <w:rsid w:val="008A09F4"/>
    <w:rsid w:val="008A0D78"/>
    <w:rsid w:val="008A0E3D"/>
    <w:rsid w:val="008A1ECF"/>
    <w:rsid w:val="008A2782"/>
    <w:rsid w:val="008A42CC"/>
    <w:rsid w:val="008A4483"/>
    <w:rsid w:val="008A4BE5"/>
    <w:rsid w:val="008A5CC7"/>
    <w:rsid w:val="008A6298"/>
    <w:rsid w:val="008A637D"/>
    <w:rsid w:val="008A643C"/>
    <w:rsid w:val="008A667E"/>
    <w:rsid w:val="008A668D"/>
    <w:rsid w:val="008A6EC9"/>
    <w:rsid w:val="008A6F8F"/>
    <w:rsid w:val="008A7731"/>
    <w:rsid w:val="008B01D6"/>
    <w:rsid w:val="008B0396"/>
    <w:rsid w:val="008B0F8E"/>
    <w:rsid w:val="008B17F7"/>
    <w:rsid w:val="008B1EFA"/>
    <w:rsid w:val="008B27E6"/>
    <w:rsid w:val="008B2B7F"/>
    <w:rsid w:val="008B2BEA"/>
    <w:rsid w:val="008B2D84"/>
    <w:rsid w:val="008B31DB"/>
    <w:rsid w:val="008B3B0C"/>
    <w:rsid w:val="008B407E"/>
    <w:rsid w:val="008B500D"/>
    <w:rsid w:val="008B519F"/>
    <w:rsid w:val="008B526F"/>
    <w:rsid w:val="008B5397"/>
    <w:rsid w:val="008B57D9"/>
    <w:rsid w:val="008B5813"/>
    <w:rsid w:val="008B618D"/>
    <w:rsid w:val="008B63A4"/>
    <w:rsid w:val="008B6D83"/>
    <w:rsid w:val="008B6F6E"/>
    <w:rsid w:val="008C02DC"/>
    <w:rsid w:val="008C0EE0"/>
    <w:rsid w:val="008C13FC"/>
    <w:rsid w:val="008C209A"/>
    <w:rsid w:val="008C2235"/>
    <w:rsid w:val="008C282A"/>
    <w:rsid w:val="008C2BB2"/>
    <w:rsid w:val="008C39C0"/>
    <w:rsid w:val="008C4496"/>
    <w:rsid w:val="008C46B1"/>
    <w:rsid w:val="008C5D67"/>
    <w:rsid w:val="008C60A9"/>
    <w:rsid w:val="008C65D0"/>
    <w:rsid w:val="008C68A9"/>
    <w:rsid w:val="008C7450"/>
    <w:rsid w:val="008C782B"/>
    <w:rsid w:val="008C789B"/>
    <w:rsid w:val="008C798B"/>
    <w:rsid w:val="008C7E52"/>
    <w:rsid w:val="008D0698"/>
    <w:rsid w:val="008D069F"/>
    <w:rsid w:val="008D12C0"/>
    <w:rsid w:val="008D14C0"/>
    <w:rsid w:val="008D1CDB"/>
    <w:rsid w:val="008D26C8"/>
    <w:rsid w:val="008D2779"/>
    <w:rsid w:val="008D2987"/>
    <w:rsid w:val="008D331B"/>
    <w:rsid w:val="008D33AD"/>
    <w:rsid w:val="008D38DE"/>
    <w:rsid w:val="008D3B35"/>
    <w:rsid w:val="008D45B2"/>
    <w:rsid w:val="008D488F"/>
    <w:rsid w:val="008D4CF7"/>
    <w:rsid w:val="008D510D"/>
    <w:rsid w:val="008D5508"/>
    <w:rsid w:val="008D58F5"/>
    <w:rsid w:val="008D5F3A"/>
    <w:rsid w:val="008D6503"/>
    <w:rsid w:val="008D6927"/>
    <w:rsid w:val="008D69BB"/>
    <w:rsid w:val="008D6B44"/>
    <w:rsid w:val="008D72CC"/>
    <w:rsid w:val="008D75C4"/>
    <w:rsid w:val="008D7CFB"/>
    <w:rsid w:val="008E0403"/>
    <w:rsid w:val="008E1196"/>
    <w:rsid w:val="008E12F9"/>
    <w:rsid w:val="008E3B18"/>
    <w:rsid w:val="008E3BD1"/>
    <w:rsid w:val="008E4231"/>
    <w:rsid w:val="008E4296"/>
    <w:rsid w:val="008E42DB"/>
    <w:rsid w:val="008E44CD"/>
    <w:rsid w:val="008E4734"/>
    <w:rsid w:val="008E497B"/>
    <w:rsid w:val="008E4C0B"/>
    <w:rsid w:val="008E4DFA"/>
    <w:rsid w:val="008E5087"/>
    <w:rsid w:val="008E59E5"/>
    <w:rsid w:val="008E5EDE"/>
    <w:rsid w:val="008E6361"/>
    <w:rsid w:val="008E66D5"/>
    <w:rsid w:val="008E6AB3"/>
    <w:rsid w:val="008E6F61"/>
    <w:rsid w:val="008E799B"/>
    <w:rsid w:val="008E7C25"/>
    <w:rsid w:val="008F00C4"/>
    <w:rsid w:val="008F0ACF"/>
    <w:rsid w:val="008F1F5A"/>
    <w:rsid w:val="008F22A0"/>
    <w:rsid w:val="008F2BF6"/>
    <w:rsid w:val="008F2C44"/>
    <w:rsid w:val="008F3451"/>
    <w:rsid w:val="008F3489"/>
    <w:rsid w:val="008F394D"/>
    <w:rsid w:val="008F39A6"/>
    <w:rsid w:val="008F3EBC"/>
    <w:rsid w:val="008F40A6"/>
    <w:rsid w:val="008F453D"/>
    <w:rsid w:val="008F471C"/>
    <w:rsid w:val="008F475A"/>
    <w:rsid w:val="008F4910"/>
    <w:rsid w:val="008F4E5A"/>
    <w:rsid w:val="008F4F9C"/>
    <w:rsid w:val="008F5140"/>
    <w:rsid w:val="008F5141"/>
    <w:rsid w:val="008F59C8"/>
    <w:rsid w:val="008F68B9"/>
    <w:rsid w:val="008F7164"/>
    <w:rsid w:val="008F73F1"/>
    <w:rsid w:val="008F7571"/>
    <w:rsid w:val="008F7A1C"/>
    <w:rsid w:val="008F7D17"/>
    <w:rsid w:val="008F7FEC"/>
    <w:rsid w:val="00900106"/>
    <w:rsid w:val="00900AAE"/>
    <w:rsid w:val="00900EE7"/>
    <w:rsid w:val="00901BA2"/>
    <w:rsid w:val="00901E70"/>
    <w:rsid w:val="0090247C"/>
    <w:rsid w:val="009024D9"/>
    <w:rsid w:val="00902818"/>
    <w:rsid w:val="00902BFC"/>
    <w:rsid w:val="00904191"/>
    <w:rsid w:val="009044C8"/>
    <w:rsid w:val="00904DB6"/>
    <w:rsid w:val="0090608A"/>
    <w:rsid w:val="0090661E"/>
    <w:rsid w:val="0090768C"/>
    <w:rsid w:val="00910897"/>
    <w:rsid w:val="00910C41"/>
    <w:rsid w:val="00910F51"/>
    <w:rsid w:val="00911136"/>
    <w:rsid w:val="00911B4E"/>
    <w:rsid w:val="00911E2C"/>
    <w:rsid w:val="00912F3C"/>
    <w:rsid w:val="00912FE0"/>
    <w:rsid w:val="009132EA"/>
    <w:rsid w:val="0091331C"/>
    <w:rsid w:val="00914404"/>
    <w:rsid w:val="00916551"/>
    <w:rsid w:val="009165A5"/>
    <w:rsid w:val="00916813"/>
    <w:rsid w:val="00917044"/>
    <w:rsid w:val="00917A53"/>
    <w:rsid w:val="0092121C"/>
    <w:rsid w:val="009216E6"/>
    <w:rsid w:val="00921E2D"/>
    <w:rsid w:val="00921FBE"/>
    <w:rsid w:val="00922A76"/>
    <w:rsid w:val="00922C7E"/>
    <w:rsid w:val="00922D09"/>
    <w:rsid w:val="00923B40"/>
    <w:rsid w:val="0092521A"/>
    <w:rsid w:val="0092523D"/>
    <w:rsid w:val="00925279"/>
    <w:rsid w:val="009255AB"/>
    <w:rsid w:val="009255B1"/>
    <w:rsid w:val="00925FF9"/>
    <w:rsid w:val="00926316"/>
    <w:rsid w:val="00926F60"/>
    <w:rsid w:val="009270EC"/>
    <w:rsid w:val="0092740A"/>
    <w:rsid w:val="0092742A"/>
    <w:rsid w:val="00927C78"/>
    <w:rsid w:val="00930648"/>
    <w:rsid w:val="009307F9"/>
    <w:rsid w:val="009312B7"/>
    <w:rsid w:val="009312C6"/>
    <w:rsid w:val="00931399"/>
    <w:rsid w:val="00932207"/>
    <w:rsid w:val="009322C4"/>
    <w:rsid w:val="00932B9A"/>
    <w:rsid w:val="00932F78"/>
    <w:rsid w:val="00933B3D"/>
    <w:rsid w:val="009346A5"/>
    <w:rsid w:val="00934E16"/>
    <w:rsid w:val="009351A7"/>
    <w:rsid w:val="00935EAC"/>
    <w:rsid w:val="009369AA"/>
    <w:rsid w:val="00936CE1"/>
    <w:rsid w:val="009371DC"/>
    <w:rsid w:val="009374F9"/>
    <w:rsid w:val="009376F5"/>
    <w:rsid w:val="00937754"/>
    <w:rsid w:val="00937CBB"/>
    <w:rsid w:val="00937F3D"/>
    <w:rsid w:val="00940505"/>
    <w:rsid w:val="0094056D"/>
    <w:rsid w:val="00940C05"/>
    <w:rsid w:val="009412B9"/>
    <w:rsid w:val="00941307"/>
    <w:rsid w:val="0094141E"/>
    <w:rsid w:val="009421A4"/>
    <w:rsid w:val="009425C4"/>
    <w:rsid w:val="00942609"/>
    <w:rsid w:val="00942A4A"/>
    <w:rsid w:val="00942B6C"/>
    <w:rsid w:val="00942BC3"/>
    <w:rsid w:val="009441EB"/>
    <w:rsid w:val="009445D4"/>
    <w:rsid w:val="00944865"/>
    <w:rsid w:val="00945143"/>
    <w:rsid w:val="009452A9"/>
    <w:rsid w:val="009452C2"/>
    <w:rsid w:val="0094552A"/>
    <w:rsid w:val="00945DBC"/>
    <w:rsid w:val="00946470"/>
    <w:rsid w:val="00946AA8"/>
    <w:rsid w:val="00946DE7"/>
    <w:rsid w:val="00946FE5"/>
    <w:rsid w:val="00947441"/>
    <w:rsid w:val="00947BA6"/>
    <w:rsid w:val="00947EF6"/>
    <w:rsid w:val="00947F54"/>
    <w:rsid w:val="00947F7A"/>
    <w:rsid w:val="00950EEE"/>
    <w:rsid w:val="009516C3"/>
    <w:rsid w:val="00951FA1"/>
    <w:rsid w:val="00952157"/>
    <w:rsid w:val="009523B4"/>
    <w:rsid w:val="009530DF"/>
    <w:rsid w:val="0095360C"/>
    <w:rsid w:val="0095376B"/>
    <w:rsid w:val="00953E50"/>
    <w:rsid w:val="00954CB3"/>
    <w:rsid w:val="00954E46"/>
    <w:rsid w:val="00954FDA"/>
    <w:rsid w:val="0095602E"/>
    <w:rsid w:val="0095737C"/>
    <w:rsid w:val="00957391"/>
    <w:rsid w:val="0095739D"/>
    <w:rsid w:val="009576B6"/>
    <w:rsid w:val="0096001D"/>
    <w:rsid w:val="00960699"/>
    <w:rsid w:val="0096078E"/>
    <w:rsid w:val="00961165"/>
    <w:rsid w:val="00961374"/>
    <w:rsid w:val="009614A1"/>
    <w:rsid w:val="009618BD"/>
    <w:rsid w:val="00961D5D"/>
    <w:rsid w:val="009620E3"/>
    <w:rsid w:val="00962FDD"/>
    <w:rsid w:val="00963FC1"/>
    <w:rsid w:val="009640A7"/>
    <w:rsid w:val="00964271"/>
    <w:rsid w:val="00964844"/>
    <w:rsid w:val="00965831"/>
    <w:rsid w:val="009659D9"/>
    <w:rsid w:val="00965B38"/>
    <w:rsid w:val="009669D3"/>
    <w:rsid w:val="00966CDC"/>
    <w:rsid w:val="00966D4C"/>
    <w:rsid w:val="00967137"/>
    <w:rsid w:val="00967ACF"/>
    <w:rsid w:val="00967B8B"/>
    <w:rsid w:val="00970569"/>
    <w:rsid w:val="00971AE0"/>
    <w:rsid w:val="00971FC8"/>
    <w:rsid w:val="009729CF"/>
    <w:rsid w:val="00972AF8"/>
    <w:rsid w:val="009731CE"/>
    <w:rsid w:val="00973A88"/>
    <w:rsid w:val="00974BF4"/>
    <w:rsid w:val="00974D99"/>
    <w:rsid w:val="00975670"/>
    <w:rsid w:val="00975A9D"/>
    <w:rsid w:val="00975BF0"/>
    <w:rsid w:val="00976DA5"/>
    <w:rsid w:val="00977081"/>
    <w:rsid w:val="009800FC"/>
    <w:rsid w:val="00980314"/>
    <w:rsid w:val="00980D92"/>
    <w:rsid w:val="009816F2"/>
    <w:rsid w:val="0098182A"/>
    <w:rsid w:val="0098199F"/>
    <w:rsid w:val="00982AE3"/>
    <w:rsid w:val="009830E5"/>
    <w:rsid w:val="009831B5"/>
    <w:rsid w:val="00983283"/>
    <w:rsid w:val="00983403"/>
    <w:rsid w:val="00983B97"/>
    <w:rsid w:val="00983C39"/>
    <w:rsid w:val="00983D33"/>
    <w:rsid w:val="0098427A"/>
    <w:rsid w:val="009844FF"/>
    <w:rsid w:val="009856ED"/>
    <w:rsid w:val="009858D5"/>
    <w:rsid w:val="00985B0A"/>
    <w:rsid w:val="00985ECE"/>
    <w:rsid w:val="0098638A"/>
    <w:rsid w:val="00986BF1"/>
    <w:rsid w:val="00986D14"/>
    <w:rsid w:val="00986E27"/>
    <w:rsid w:val="00987658"/>
    <w:rsid w:val="00987923"/>
    <w:rsid w:val="00987CC4"/>
    <w:rsid w:val="00987EE5"/>
    <w:rsid w:val="0099088C"/>
    <w:rsid w:val="0099169B"/>
    <w:rsid w:val="0099231E"/>
    <w:rsid w:val="0099257B"/>
    <w:rsid w:val="009926A7"/>
    <w:rsid w:val="00992EC0"/>
    <w:rsid w:val="00992FB6"/>
    <w:rsid w:val="009945CD"/>
    <w:rsid w:val="009948BE"/>
    <w:rsid w:val="00996303"/>
    <w:rsid w:val="009967E9"/>
    <w:rsid w:val="00996E16"/>
    <w:rsid w:val="009975EC"/>
    <w:rsid w:val="009A0327"/>
    <w:rsid w:val="009A04B1"/>
    <w:rsid w:val="009A060C"/>
    <w:rsid w:val="009A0695"/>
    <w:rsid w:val="009A0D5F"/>
    <w:rsid w:val="009A11C7"/>
    <w:rsid w:val="009A1F81"/>
    <w:rsid w:val="009A2B56"/>
    <w:rsid w:val="009A387E"/>
    <w:rsid w:val="009A3978"/>
    <w:rsid w:val="009A3B4F"/>
    <w:rsid w:val="009A44E7"/>
    <w:rsid w:val="009A476E"/>
    <w:rsid w:val="009A49CF"/>
    <w:rsid w:val="009A4C00"/>
    <w:rsid w:val="009A4C6B"/>
    <w:rsid w:val="009A4E53"/>
    <w:rsid w:val="009A5318"/>
    <w:rsid w:val="009A5C25"/>
    <w:rsid w:val="009A6447"/>
    <w:rsid w:val="009A66D4"/>
    <w:rsid w:val="009A680F"/>
    <w:rsid w:val="009A683D"/>
    <w:rsid w:val="009A7173"/>
    <w:rsid w:val="009B028D"/>
    <w:rsid w:val="009B042E"/>
    <w:rsid w:val="009B1194"/>
    <w:rsid w:val="009B16F5"/>
    <w:rsid w:val="009B1AB5"/>
    <w:rsid w:val="009B24AB"/>
    <w:rsid w:val="009B27CE"/>
    <w:rsid w:val="009B311A"/>
    <w:rsid w:val="009B391E"/>
    <w:rsid w:val="009B3EB6"/>
    <w:rsid w:val="009B4028"/>
    <w:rsid w:val="009B4044"/>
    <w:rsid w:val="009B407D"/>
    <w:rsid w:val="009B4196"/>
    <w:rsid w:val="009B439F"/>
    <w:rsid w:val="009B4782"/>
    <w:rsid w:val="009B4B66"/>
    <w:rsid w:val="009B5685"/>
    <w:rsid w:val="009B5795"/>
    <w:rsid w:val="009B5B01"/>
    <w:rsid w:val="009B5E5A"/>
    <w:rsid w:val="009B5F43"/>
    <w:rsid w:val="009B606B"/>
    <w:rsid w:val="009B6070"/>
    <w:rsid w:val="009B644B"/>
    <w:rsid w:val="009B64BE"/>
    <w:rsid w:val="009B6AD2"/>
    <w:rsid w:val="009B73EA"/>
    <w:rsid w:val="009B76E1"/>
    <w:rsid w:val="009B7C33"/>
    <w:rsid w:val="009B7C81"/>
    <w:rsid w:val="009B7C8E"/>
    <w:rsid w:val="009C050F"/>
    <w:rsid w:val="009C0A8F"/>
    <w:rsid w:val="009C1072"/>
    <w:rsid w:val="009C11B7"/>
    <w:rsid w:val="009C12E3"/>
    <w:rsid w:val="009C1DE5"/>
    <w:rsid w:val="009C1FEB"/>
    <w:rsid w:val="009C20F5"/>
    <w:rsid w:val="009C2409"/>
    <w:rsid w:val="009C2448"/>
    <w:rsid w:val="009C2D53"/>
    <w:rsid w:val="009C3A2F"/>
    <w:rsid w:val="009C4217"/>
    <w:rsid w:val="009C4227"/>
    <w:rsid w:val="009C4F45"/>
    <w:rsid w:val="009C502B"/>
    <w:rsid w:val="009C5387"/>
    <w:rsid w:val="009C5813"/>
    <w:rsid w:val="009C58E0"/>
    <w:rsid w:val="009C596A"/>
    <w:rsid w:val="009C597B"/>
    <w:rsid w:val="009C5F63"/>
    <w:rsid w:val="009C69C7"/>
    <w:rsid w:val="009C6FED"/>
    <w:rsid w:val="009D0249"/>
    <w:rsid w:val="009D0370"/>
    <w:rsid w:val="009D055B"/>
    <w:rsid w:val="009D092F"/>
    <w:rsid w:val="009D0DC1"/>
    <w:rsid w:val="009D20C2"/>
    <w:rsid w:val="009D33BD"/>
    <w:rsid w:val="009D4370"/>
    <w:rsid w:val="009D48E1"/>
    <w:rsid w:val="009D492A"/>
    <w:rsid w:val="009D4B7B"/>
    <w:rsid w:val="009D4CF3"/>
    <w:rsid w:val="009D4D8E"/>
    <w:rsid w:val="009D5ABF"/>
    <w:rsid w:val="009D5F00"/>
    <w:rsid w:val="009D62F5"/>
    <w:rsid w:val="009D67CC"/>
    <w:rsid w:val="009D6A2A"/>
    <w:rsid w:val="009D6C28"/>
    <w:rsid w:val="009D7849"/>
    <w:rsid w:val="009D7877"/>
    <w:rsid w:val="009D7F89"/>
    <w:rsid w:val="009E0046"/>
    <w:rsid w:val="009E0206"/>
    <w:rsid w:val="009E0C35"/>
    <w:rsid w:val="009E0D6E"/>
    <w:rsid w:val="009E1241"/>
    <w:rsid w:val="009E126C"/>
    <w:rsid w:val="009E13F5"/>
    <w:rsid w:val="009E1B42"/>
    <w:rsid w:val="009E206E"/>
    <w:rsid w:val="009E26BD"/>
    <w:rsid w:val="009E2BFE"/>
    <w:rsid w:val="009E425F"/>
    <w:rsid w:val="009E44F3"/>
    <w:rsid w:val="009E460C"/>
    <w:rsid w:val="009E46BC"/>
    <w:rsid w:val="009E48D1"/>
    <w:rsid w:val="009E4E26"/>
    <w:rsid w:val="009E5179"/>
    <w:rsid w:val="009E5773"/>
    <w:rsid w:val="009E607B"/>
    <w:rsid w:val="009E6982"/>
    <w:rsid w:val="009E72BA"/>
    <w:rsid w:val="009E79F5"/>
    <w:rsid w:val="009E7A59"/>
    <w:rsid w:val="009F00A9"/>
    <w:rsid w:val="009F0373"/>
    <w:rsid w:val="009F04B3"/>
    <w:rsid w:val="009F066A"/>
    <w:rsid w:val="009F0872"/>
    <w:rsid w:val="009F0CF2"/>
    <w:rsid w:val="009F1232"/>
    <w:rsid w:val="009F16EC"/>
    <w:rsid w:val="009F2640"/>
    <w:rsid w:val="009F2A2C"/>
    <w:rsid w:val="009F338D"/>
    <w:rsid w:val="009F4268"/>
    <w:rsid w:val="009F471E"/>
    <w:rsid w:val="009F58C7"/>
    <w:rsid w:val="009F5BD5"/>
    <w:rsid w:val="009F63D8"/>
    <w:rsid w:val="009F6515"/>
    <w:rsid w:val="009F783F"/>
    <w:rsid w:val="009F78BD"/>
    <w:rsid w:val="009F7C55"/>
    <w:rsid w:val="00A00018"/>
    <w:rsid w:val="00A00B4E"/>
    <w:rsid w:val="00A00CE6"/>
    <w:rsid w:val="00A0133D"/>
    <w:rsid w:val="00A01940"/>
    <w:rsid w:val="00A01BCA"/>
    <w:rsid w:val="00A01C92"/>
    <w:rsid w:val="00A01CF3"/>
    <w:rsid w:val="00A02740"/>
    <w:rsid w:val="00A02F59"/>
    <w:rsid w:val="00A0333A"/>
    <w:rsid w:val="00A03BF8"/>
    <w:rsid w:val="00A04520"/>
    <w:rsid w:val="00A04607"/>
    <w:rsid w:val="00A049D6"/>
    <w:rsid w:val="00A04EDA"/>
    <w:rsid w:val="00A04F3F"/>
    <w:rsid w:val="00A05023"/>
    <w:rsid w:val="00A051DA"/>
    <w:rsid w:val="00A05F97"/>
    <w:rsid w:val="00A06428"/>
    <w:rsid w:val="00A071C3"/>
    <w:rsid w:val="00A0754A"/>
    <w:rsid w:val="00A0761D"/>
    <w:rsid w:val="00A101A1"/>
    <w:rsid w:val="00A10431"/>
    <w:rsid w:val="00A10741"/>
    <w:rsid w:val="00A110A4"/>
    <w:rsid w:val="00A111D0"/>
    <w:rsid w:val="00A12596"/>
    <w:rsid w:val="00A13BEE"/>
    <w:rsid w:val="00A13F63"/>
    <w:rsid w:val="00A14092"/>
    <w:rsid w:val="00A140D7"/>
    <w:rsid w:val="00A140FC"/>
    <w:rsid w:val="00A14572"/>
    <w:rsid w:val="00A14AB7"/>
    <w:rsid w:val="00A14ACC"/>
    <w:rsid w:val="00A151F9"/>
    <w:rsid w:val="00A152BD"/>
    <w:rsid w:val="00A153B8"/>
    <w:rsid w:val="00A1572B"/>
    <w:rsid w:val="00A1582E"/>
    <w:rsid w:val="00A1679B"/>
    <w:rsid w:val="00A168FC"/>
    <w:rsid w:val="00A16DC7"/>
    <w:rsid w:val="00A16E87"/>
    <w:rsid w:val="00A1794B"/>
    <w:rsid w:val="00A17CA0"/>
    <w:rsid w:val="00A202F8"/>
    <w:rsid w:val="00A20355"/>
    <w:rsid w:val="00A209CD"/>
    <w:rsid w:val="00A20E3E"/>
    <w:rsid w:val="00A210E0"/>
    <w:rsid w:val="00A21588"/>
    <w:rsid w:val="00A21A3C"/>
    <w:rsid w:val="00A21D1E"/>
    <w:rsid w:val="00A21FA8"/>
    <w:rsid w:val="00A2220A"/>
    <w:rsid w:val="00A22408"/>
    <w:rsid w:val="00A2289F"/>
    <w:rsid w:val="00A22E6C"/>
    <w:rsid w:val="00A22E92"/>
    <w:rsid w:val="00A230A3"/>
    <w:rsid w:val="00A2318C"/>
    <w:rsid w:val="00A23BF2"/>
    <w:rsid w:val="00A24E79"/>
    <w:rsid w:val="00A24F4A"/>
    <w:rsid w:val="00A25172"/>
    <w:rsid w:val="00A252C3"/>
    <w:rsid w:val="00A25513"/>
    <w:rsid w:val="00A25552"/>
    <w:rsid w:val="00A256E2"/>
    <w:rsid w:val="00A2618F"/>
    <w:rsid w:val="00A261E5"/>
    <w:rsid w:val="00A261FA"/>
    <w:rsid w:val="00A265BB"/>
    <w:rsid w:val="00A265CB"/>
    <w:rsid w:val="00A26C9B"/>
    <w:rsid w:val="00A270DC"/>
    <w:rsid w:val="00A272D1"/>
    <w:rsid w:val="00A2761B"/>
    <w:rsid w:val="00A2772B"/>
    <w:rsid w:val="00A27E3E"/>
    <w:rsid w:val="00A3005D"/>
    <w:rsid w:val="00A30336"/>
    <w:rsid w:val="00A311AB"/>
    <w:rsid w:val="00A32316"/>
    <w:rsid w:val="00A32653"/>
    <w:rsid w:val="00A334AC"/>
    <w:rsid w:val="00A33AEE"/>
    <w:rsid w:val="00A340DD"/>
    <w:rsid w:val="00A34735"/>
    <w:rsid w:val="00A34B8A"/>
    <w:rsid w:val="00A34E0B"/>
    <w:rsid w:val="00A357D0"/>
    <w:rsid w:val="00A3587A"/>
    <w:rsid w:val="00A35960"/>
    <w:rsid w:val="00A35C05"/>
    <w:rsid w:val="00A35F33"/>
    <w:rsid w:val="00A364EE"/>
    <w:rsid w:val="00A3717E"/>
    <w:rsid w:val="00A37588"/>
    <w:rsid w:val="00A376AD"/>
    <w:rsid w:val="00A37D49"/>
    <w:rsid w:val="00A40818"/>
    <w:rsid w:val="00A40DBA"/>
    <w:rsid w:val="00A40FC3"/>
    <w:rsid w:val="00A4163F"/>
    <w:rsid w:val="00A416EF"/>
    <w:rsid w:val="00A41711"/>
    <w:rsid w:val="00A41A20"/>
    <w:rsid w:val="00A4208D"/>
    <w:rsid w:val="00A42424"/>
    <w:rsid w:val="00A42761"/>
    <w:rsid w:val="00A4323E"/>
    <w:rsid w:val="00A43620"/>
    <w:rsid w:val="00A43D74"/>
    <w:rsid w:val="00A444CF"/>
    <w:rsid w:val="00A446B0"/>
    <w:rsid w:val="00A44719"/>
    <w:rsid w:val="00A44C1A"/>
    <w:rsid w:val="00A45363"/>
    <w:rsid w:val="00A4573C"/>
    <w:rsid w:val="00A46481"/>
    <w:rsid w:val="00A46716"/>
    <w:rsid w:val="00A4698A"/>
    <w:rsid w:val="00A46C65"/>
    <w:rsid w:val="00A50106"/>
    <w:rsid w:val="00A50E7D"/>
    <w:rsid w:val="00A512E1"/>
    <w:rsid w:val="00A513B9"/>
    <w:rsid w:val="00A5140A"/>
    <w:rsid w:val="00A527AD"/>
    <w:rsid w:val="00A52A99"/>
    <w:rsid w:val="00A52C45"/>
    <w:rsid w:val="00A5310B"/>
    <w:rsid w:val="00A53162"/>
    <w:rsid w:val="00A5355B"/>
    <w:rsid w:val="00A53772"/>
    <w:rsid w:val="00A53F75"/>
    <w:rsid w:val="00A54420"/>
    <w:rsid w:val="00A548F4"/>
    <w:rsid w:val="00A54B21"/>
    <w:rsid w:val="00A54ED9"/>
    <w:rsid w:val="00A54EF2"/>
    <w:rsid w:val="00A5584A"/>
    <w:rsid w:val="00A559F4"/>
    <w:rsid w:val="00A55C45"/>
    <w:rsid w:val="00A55F08"/>
    <w:rsid w:val="00A560A0"/>
    <w:rsid w:val="00A56269"/>
    <w:rsid w:val="00A566E2"/>
    <w:rsid w:val="00A568A4"/>
    <w:rsid w:val="00A5708F"/>
    <w:rsid w:val="00A576EE"/>
    <w:rsid w:val="00A57F31"/>
    <w:rsid w:val="00A60213"/>
    <w:rsid w:val="00A60245"/>
    <w:rsid w:val="00A60798"/>
    <w:rsid w:val="00A60FE2"/>
    <w:rsid w:val="00A6160B"/>
    <w:rsid w:val="00A6176D"/>
    <w:rsid w:val="00A620B3"/>
    <w:rsid w:val="00A62DA3"/>
    <w:rsid w:val="00A6340A"/>
    <w:rsid w:val="00A63942"/>
    <w:rsid w:val="00A654A9"/>
    <w:rsid w:val="00A66784"/>
    <w:rsid w:val="00A66C15"/>
    <w:rsid w:val="00A677CC"/>
    <w:rsid w:val="00A677ED"/>
    <w:rsid w:val="00A67839"/>
    <w:rsid w:val="00A70179"/>
    <w:rsid w:val="00A70319"/>
    <w:rsid w:val="00A70663"/>
    <w:rsid w:val="00A709E8"/>
    <w:rsid w:val="00A7178F"/>
    <w:rsid w:val="00A71A6D"/>
    <w:rsid w:val="00A71C5E"/>
    <w:rsid w:val="00A72163"/>
    <w:rsid w:val="00A723FD"/>
    <w:rsid w:val="00A72F04"/>
    <w:rsid w:val="00A73313"/>
    <w:rsid w:val="00A7335E"/>
    <w:rsid w:val="00A733BB"/>
    <w:rsid w:val="00A735EE"/>
    <w:rsid w:val="00A738BE"/>
    <w:rsid w:val="00A73A1C"/>
    <w:rsid w:val="00A74752"/>
    <w:rsid w:val="00A74A64"/>
    <w:rsid w:val="00A75836"/>
    <w:rsid w:val="00A75AE4"/>
    <w:rsid w:val="00A75E08"/>
    <w:rsid w:val="00A75E9E"/>
    <w:rsid w:val="00A75FD1"/>
    <w:rsid w:val="00A76164"/>
    <w:rsid w:val="00A7643F"/>
    <w:rsid w:val="00A7725E"/>
    <w:rsid w:val="00A77DC8"/>
    <w:rsid w:val="00A804F4"/>
    <w:rsid w:val="00A808EB"/>
    <w:rsid w:val="00A80A13"/>
    <w:rsid w:val="00A80B91"/>
    <w:rsid w:val="00A82FA5"/>
    <w:rsid w:val="00A8342E"/>
    <w:rsid w:val="00A83758"/>
    <w:rsid w:val="00A83773"/>
    <w:rsid w:val="00A839CB"/>
    <w:rsid w:val="00A84307"/>
    <w:rsid w:val="00A843B8"/>
    <w:rsid w:val="00A84403"/>
    <w:rsid w:val="00A84B31"/>
    <w:rsid w:val="00A84F2A"/>
    <w:rsid w:val="00A84F85"/>
    <w:rsid w:val="00A85738"/>
    <w:rsid w:val="00A85760"/>
    <w:rsid w:val="00A86559"/>
    <w:rsid w:val="00A869FF"/>
    <w:rsid w:val="00A86D48"/>
    <w:rsid w:val="00A86F0D"/>
    <w:rsid w:val="00A87D3B"/>
    <w:rsid w:val="00A90116"/>
    <w:rsid w:val="00A90254"/>
    <w:rsid w:val="00A906CE"/>
    <w:rsid w:val="00A90C5F"/>
    <w:rsid w:val="00A90E9A"/>
    <w:rsid w:val="00A91080"/>
    <w:rsid w:val="00A91B74"/>
    <w:rsid w:val="00A91F2C"/>
    <w:rsid w:val="00A9207C"/>
    <w:rsid w:val="00A931FD"/>
    <w:rsid w:val="00A94033"/>
    <w:rsid w:val="00A94154"/>
    <w:rsid w:val="00A945FA"/>
    <w:rsid w:val="00A94EEC"/>
    <w:rsid w:val="00A9538A"/>
    <w:rsid w:val="00A95DF1"/>
    <w:rsid w:val="00A9676B"/>
    <w:rsid w:val="00A969D6"/>
    <w:rsid w:val="00A96C96"/>
    <w:rsid w:val="00A96D61"/>
    <w:rsid w:val="00A9716E"/>
    <w:rsid w:val="00A9742C"/>
    <w:rsid w:val="00A974CE"/>
    <w:rsid w:val="00A9765E"/>
    <w:rsid w:val="00A979CB"/>
    <w:rsid w:val="00A97C90"/>
    <w:rsid w:val="00A97E74"/>
    <w:rsid w:val="00A97F6F"/>
    <w:rsid w:val="00AA099E"/>
    <w:rsid w:val="00AA0D8F"/>
    <w:rsid w:val="00AA1743"/>
    <w:rsid w:val="00AA1863"/>
    <w:rsid w:val="00AA2688"/>
    <w:rsid w:val="00AA2AE8"/>
    <w:rsid w:val="00AA2D26"/>
    <w:rsid w:val="00AA2DFC"/>
    <w:rsid w:val="00AA3532"/>
    <w:rsid w:val="00AA398F"/>
    <w:rsid w:val="00AA3E66"/>
    <w:rsid w:val="00AA428E"/>
    <w:rsid w:val="00AA4414"/>
    <w:rsid w:val="00AA453B"/>
    <w:rsid w:val="00AA5135"/>
    <w:rsid w:val="00AA51AA"/>
    <w:rsid w:val="00AA52C1"/>
    <w:rsid w:val="00AA539C"/>
    <w:rsid w:val="00AA582D"/>
    <w:rsid w:val="00AA5E3D"/>
    <w:rsid w:val="00AA7615"/>
    <w:rsid w:val="00AA778F"/>
    <w:rsid w:val="00AA79A0"/>
    <w:rsid w:val="00AA7BC0"/>
    <w:rsid w:val="00AB03EF"/>
    <w:rsid w:val="00AB0978"/>
    <w:rsid w:val="00AB11B3"/>
    <w:rsid w:val="00AB1F73"/>
    <w:rsid w:val="00AB2345"/>
    <w:rsid w:val="00AB2A0C"/>
    <w:rsid w:val="00AB2B18"/>
    <w:rsid w:val="00AB3088"/>
    <w:rsid w:val="00AB3484"/>
    <w:rsid w:val="00AB3CFD"/>
    <w:rsid w:val="00AB4283"/>
    <w:rsid w:val="00AB4DBC"/>
    <w:rsid w:val="00AB5570"/>
    <w:rsid w:val="00AB57E6"/>
    <w:rsid w:val="00AB5DAA"/>
    <w:rsid w:val="00AB5E02"/>
    <w:rsid w:val="00AB5E20"/>
    <w:rsid w:val="00AB5E95"/>
    <w:rsid w:val="00AB64F6"/>
    <w:rsid w:val="00AB7241"/>
    <w:rsid w:val="00AB78C2"/>
    <w:rsid w:val="00AB7B78"/>
    <w:rsid w:val="00AB7E88"/>
    <w:rsid w:val="00AC0093"/>
    <w:rsid w:val="00AC0419"/>
    <w:rsid w:val="00AC08A8"/>
    <w:rsid w:val="00AC0CC7"/>
    <w:rsid w:val="00AC0EEF"/>
    <w:rsid w:val="00AC1AFB"/>
    <w:rsid w:val="00AC1E41"/>
    <w:rsid w:val="00AC2366"/>
    <w:rsid w:val="00AC3034"/>
    <w:rsid w:val="00AC359D"/>
    <w:rsid w:val="00AC4818"/>
    <w:rsid w:val="00AC4CB3"/>
    <w:rsid w:val="00AC4F20"/>
    <w:rsid w:val="00AC50C4"/>
    <w:rsid w:val="00AC5281"/>
    <w:rsid w:val="00AC6C35"/>
    <w:rsid w:val="00AC779C"/>
    <w:rsid w:val="00AC7956"/>
    <w:rsid w:val="00AD05F3"/>
    <w:rsid w:val="00AD09E3"/>
    <w:rsid w:val="00AD0AEC"/>
    <w:rsid w:val="00AD1121"/>
    <w:rsid w:val="00AD1792"/>
    <w:rsid w:val="00AD185D"/>
    <w:rsid w:val="00AD22CA"/>
    <w:rsid w:val="00AD2759"/>
    <w:rsid w:val="00AD2CB9"/>
    <w:rsid w:val="00AD2E3C"/>
    <w:rsid w:val="00AD2EF2"/>
    <w:rsid w:val="00AD3187"/>
    <w:rsid w:val="00AD352D"/>
    <w:rsid w:val="00AD3C37"/>
    <w:rsid w:val="00AD46D3"/>
    <w:rsid w:val="00AD51C8"/>
    <w:rsid w:val="00AD53A8"/>
    <w:rsid w:val="00AD5403"/>
    <w:rsid w:val="00AD56AC"/>
    <w:rsid w:val="00AD5841"/>
    <w:rsid w:val="00AD63EF"/>
    <w:rsid w:val="00AD63FD"/>
    <w:rsid w:val="00AD696A"/>
    <w:rsid w:val="00AD6F23"/>
    <w:rsid w:val="00AD735C"/>
    <w:rsid w:val="00AD795A"/>
    <w:rsid w:val="00AD7FAD"/>
    <w:rsid w:val="00AE0732"/>
    <w:rsid w:val="00AE0857"/>
    <w:rsid w:val="00AE0B06"/>
    <w:rsid w:val="00AE0E55"/>
    <w:rsid w:val="00AE108B"/>
    <w:rsid w:val="00AE1739"/>
    <w:rsid w:val="00AE1CF8"/>
    <w:rsid w:val="00AE1EE9"/>
    <w:rsid w:val="00AE1F0D"/>
    <w:rsid w:val="00AE203C"/>
    <w:rsid w:val="00AE261A"/>
    <w:rsid w:val="00AE33E8"/>
    <w:rsid w:val="00AE3550"/>
    <w:rsid w:val="00AE381A"/>
    <w:rsid w:val="00AE3EEA"/>
    <w:rsid w:val="00AE402A"/>
    <w:rsid w:val="00AE4B1A"/>
    <w:rsid w:val="00AE5040"/>
    <w:rsid w:val="00AE506C"/>
    <w:rsid w:val="00AE509A"/>
    <w:rsid w:val="00AE5B18"/>
    <w:rsid w:val="00AE603F"/>
    <w:rsid w:val="00AE6152"/>
    <w:rsid w:val="00AE6326"/>
    <w:rsid w:val="00AE66B9"/>
    <w:rsid w:val="00AE6A4F"/>
    <w:rsid w:val="00AE6A98"/>
    <w:rsid w:val="00AE6CD3"/>
    <w:rsid w:val="00AE70AD"/>
    <w:rsid w:val="00AE70EE"/>
    <w:rsid w:val="00AE757F"/>
    <w:rsid w:val="00AE7605"/>
    <w:rsid w:val="00AE76B5"/>
    <w:rsid w:val="00AE7CC0"/>
    <w:rsid w:val="00AF0116"/>
    <w:rsid w:val="00AF0553"/>
    <w:rsid w:val="00AF0BB2"/>
    <w:rsid w:val="00AF0CBB"/>
    <w:rsid w:val="00AF2093"/>
    <w:rsid w:val="00AF228C"/>
    <w:rsid w:val="00AF2CB6"/>
    <w:rsid w:val="00AF2DCB"/>
    <w:rsid w:val="00AF35B0"/>
    <w:rsid w:val="00AF35CD"/>
    <w:rsid w:val="00AF3C26"/>
    <w:rsid w:val="00AF4D05"/>
    <w:rsid w:val="00AF50C4"/>
    <w:rsid w:val="00AF5876"/>
    <w:rsid w:val="00AF5BC4"/>
    <w:rsid w:val="00AF6250"/>
    <w:rsid w:val="00AF634D"/>
    <w:rsid w:val="00AF663D"/>
    <w:rsid w:val="00AF6C00"/>
    <w:rsid w:val="00AF6CB2"/>
    <w:rsid w:val="00AF7218"/>
    <w:rsid w:val="00AF75BD"/>
    <w:rsid w:val="00AF762B"/>
    <w:rsid w:val="00AF78A0"/>
    <w:rsid w:val="00AF7AAE"/>
    <w:rsid w:val="00AF7EED"/>
    <w:rsid w:val="00B00689"/>
    <w:rsid w:val="00B00A6C"/>
    <w:rsid w:val="00B0106F"/>
    <w:rsid w:val="00B010D1"/>
    <w:rsid w:val="00B0168D"/>
    <w:rsid w:val="00B018F5"/>
    <w:rsid w:val="00B028CC"/>
    <w:rsid w:val="00B02E24"/>
    <w:rsid w:val="00B03F6D"/>
    <w:rsid w:val="00B044D9"/>
    <w:rsid w:val="00B0455E"/>
    <w:rsid w:val="00B04BC0"/>
    <w:rsid w:val="00B05257"/>
    <w:rsid w:val="00B052D5"/>
    <w:rsid w:val="00B0549D"/>
    <w:rsid w:val="00B055CB"/>
    <w:rsid w:val="00B05660"/>
    <w:rsid w:val="00B06760"/>
    <w:rsid w:val="00B06DC7"/>
    <w:rsid w:val="00B071E3"/>
    <w:rsid w:val="00B079D6"/>
    <w:rsid w:val="00B10214"/>
    <w:rsid w:val="00B103E3"/>
    <w:rsid w:val="00B10788"/>
    <w:rsid w:val="00B10E28"/>
    <w:rsid w:val="00B10E88"/>
    <w:rsid w:val="00B10FA9"/>
    <w:rsid w:val="00B11091"/>
    <w:rsid w:val="00B12300"/>
    <w:rsid w:val="00B12340"/>
    <w:rsid w:val="00B1250D"/>
    <w:rsid w:val="00B128F4"/>
    <w:rsid w:val="00B12C80"/>
    <w:rsid w:val="00B137D3"/>
    <w:rsid w:val="00B13EC3"/>
    <w:rsid w:val="00B13FBF"/>
    <w:rsid w:val="00B141D2"/>
    <w:rsid w:val="00B144D5"/>
    <w:rsid w:val="00B14B7D"/>
    <w:rsid w:val="00B14EC4"/>
    <w:rsid w:val="00B15266"/>
    <w:rsid w:val="00B15779"/>
    <w:rsid w:val="00B16226"/>
    <w:rsid w:val="00B16311"/>
    <w:rsid w:val="00B163D0"/>
    <w:rsid w:val="00B1685C"/>
    <w:rsid w:val="00B16880"/>
    <w:rsid w:val="00B17843"/>
    <w:rsid w:val="00B17AD7"/>
    <w:rsid w:val="00B17AF7"/>
    <w:rsid w:val="00B17BD7"/>
    <w:rsid w:val="00B200FB"/>
    <w:rsid w:val="00B201CB"/>
    <w:rsid w:val="00B2034F"/>
    <w:rsid w:val="00B21620"/>
    <w:rsid w:val="00B218B9"/>
    <w:rsid w:val="00B21A9D"/>
    <w:rsid w:val="00B21CFB"/>
    <w:rsid w:val="00B21E16"/>
    <w:rsid w:val="00B221DF"/>
    <w:rsid w:val="00B226D1"/>
    <w:rsid w:val="00B22756"/>
    <w:rsid w:val="00B22936"/>
    <w:rsid w:val="00B22983"/>
    <w:rsid w:val="00B229D4"/>
    <w:rsid w:val="00B2395E"/>
    <w:rsid w:val="00B23C1B"/>
    <w:rsid w:val="00B23C2E"/>
    <w:rsid w:val="00B241CF"/>
    <w:rsid w:val="00B24517"/>
    <w:rsid w:val="00B24AE9"/>
    <w:rsid w:val="00B24D9C"/>
    <w:rsid w:val="00B2512D"/>
    <w:rsid w:val="00B25459"/>
    <w:rsid w:val="00B256CE"/>
    <w:rsid w:val="00B2661C"/>
    <w:rsid w:val="00B26795"/>
    <w:rsid w:val="00B2700D"/>
    <w:rsid w:val="00B27300"/>
    <w:rsid w:val="00B27836"/>
    <w:rsid w:val="00B27BC1"/>
    <w:rsid w:val="00B30442"/>
    <w:rsid w:val="00B30A74"/>
    <w:rsid w:val="00B30C4A"/>
    <w:rsid w:val="00B30F63"/>
    <w:rsid w:val="00B318C7"/>
    <w:rsid w:val="00B3233E"/>
    <w:rsid w:val="00B32E31"/>
    <w:rsid w:val="00B33318"/>
    <w:rsid w:val="00B34737"/>
    <w:rsid w:val="00B3475F"/>
    <w:rsid w:val="00B35102"/>
    <w:rsid w:val="00B3570E"/>
    <w:rsid w:val="00B35CAE"/>
    <w:rsid w:val="00B36497"/>
    <w:rsid w:val="00B36FF4"/>
    <w:rsid w:val="00B37582"/>
    <w:rsid w:val="00B37C37"/>
    <w:rsid w:val="00B40D19"/>
    <w:rsid w:val="00B413E3"/>
    <w:rsid w:val="00B41718"/>
    <w:rsid w:val="00B41C55"/>
    <w:rsid w:val="00B4231E"/>
    <w:rsid w:val="00B42663"/>
    <w:rsid w:val="00B42A94"/>
    <w:rsid w:val="00B42D01"/>
    <w:rsid w:val="00B43060"/>
    <w:rsid w:val="00B444AA"/>
    <w:rsid w:val="00B445F2"/>
    <w:rsid w:val="00B44655"/>
    <w:rsid w:val="00B44BB7"/>
    <w:rsid w:val="00B44BCF"/>
    <w:rsid w:val="00B45509"/>
    <w:rsid w:val="00B459DB"/>
    <w:rsid w:val="00B47433"/>
    <w:rsid w:val="00B47BD5"/>
    <w:rsid w:val="00B47E69"/>
    <w:rsid w:val="00B502C7"/>
    <w:rsid w:val="00B50AE3"/>
    <w:rsid w:val="00B50C85"/>
    <w:rsid w:val="00B50EA4"/>
    <w:rsid w:val="00B513AC"/>
    <w:rsid w:val="00B515F9"/>
    <w:rsid w:val="00B51618"/>
    <w:rsid w:val="00B51E90"/>
    <w:rsid w:val="00B5238D"/>
    <w:rsid w:val="00B527B8"/>
    <w:rsid w:val="00B529CA"/>
    <w:rsid w:val="00B52F18"/>
    <w:rsid w:val="00B530FC"/>
    <w:rsid w:val="00B53476"/>
    <w:rsid w:val="00B53495"/>
    <w:rsid w:val="00B53EC5"/>
    <w:rsid w:val="00B54A60"/>
    <w:rsid w:val="00B54D52"/>
    <w:rsid w:val="00B54FFA"/>
    <w:rsid w:val="00B55902"/>
    <w:rsid w:val="00B56214"/>
    <w:rsid w:val="00B562CE"/>
    <w:rsid w:val="00B56468"/>
    <w:rsid w:val="00B565A1"/>
    <w:rsid w:val="00B60743"/>
    <w:rsid w:val="00B60AA1"/>
    <w:rsid w:val="00B6125E"/>
    <w:rsid w:val="00B617BE"/>
    <w:rsid w:val="00B6194F"/>
    <w:rsid w:val="00B61C99"/>
    <w:rsid w:val="00B62080"/>
    <w:rsid w:val="00B620AA"/>
    <w:rsid w:val="00B6234F"/>
    <w:rsid w:val="00B62D83"/>
    <w:rsid w:val="00B634E1"/>
    <w:rsid w:val="00B6400F"/>
    <w:rsid w:val="00B643F9"/>
    <w:rsid w:val="00B64745"/>
    <w:rsid w:val="00B64DAE"/>
    <w:rsid w:val="00B64E4D"/>
    <w:rsid w:val="00B653A0"/>
    <w:rsid w:val="00B65454"/>
    <w:rsid w:val="00B657FD"/>
    <w:rsid w:val="00B65F87"/>
    <w:rsid w:val="00B6681D"/>
    <w:rsid w:val="00B67300"/>
    <w:rsid w:val="00B673F0"/>
    <w:rsid w:val="00B6756D"/>
    <w:rsid w:val="00B6786D"/>
    <w:rsid w:val="00B678B9"/>
    <w:rsid w:val="00B67A95"/>
    <w:rsid w:val="00B67E83"/>
    <w:rsid w:val="00B67FF2"/>
    <w:rsid w:val="00B7003F"/>
    <w:rsid w:val="00B70722"/>
    <w:rsid w:val="00B70913"/>
    <w:rsid w:val="00B70B70"/>
    <w:rsid w:val="00B70C5C"/>
    <w:rsid w:val="00B70DC5"/>
    <w:rsid w:val="00B719D6"/>
    <w:rsid w:val="00B71A59"/>
    <w:rsid w:val="00B72CF3"/>
    <w:rsid w:val="00B72D63"/>
    <w:rsid w:val="00B72E06"/>
    <w:rsid w:val="00B732D1"/>
    <w:rsid w:val="00B73757"/>
    <w:rsid w:val="00B73787"/>
    <w:rsid w:val="00B7388F"/>
    <w:rsid w:val="00B73A06"/>
    <w:rsid w:val="00B73B14"/>
    <w:rsid w:val="00B73E70"/>
    <w:rsid w:val="00B74343"/>
    <w:rsid w:val="00B74760"/>
    <w:rsid w:val="00B748E7"/>
    <w:rsid w:val="00B75171"/>
    <w:rsid w:val="00B759CD"/>
    <w:rsid w:val="00B7610B"/>
    <w:rsid w:val="00B761BE"/>
    <w:rsid w:val="00B76280"/>
    <w:rsid w:val="00B762D2"/>
    <w:rsid w:val="00B7670E"/>
    <w:rsid w:val="00B769A3"/>
    <w:rsid w:val="00B76AEE"/>
    <w:rsid w:val="00B7700D"/>
    <w:rsid w:val="00B77365"/>
    <w:rsid w:val="00B77A87"/>
    <w:rsid w:val="00B77EE3"/>
    <w:rsid w:val="00B8004D"/>
    <w:rsid w:val="00B806BF"/>
    <w:rsid w:val="00B80E14"/>
    <w:rsid w:val="00B8141F"/>
    <w:rsid w:val="00B8274C"/>
    <w:rsid w:val="00B82F95"/>
    <w:rsid w:val="00B839E8"/>
    <w:rsid w:val="00B83B52"/>
    <w:rsid w:val="00B83E24"/>
    <w:rsid w:val="00B84252"/>
    <w:rsid w:val="00B84572"/>
    <w:rsid w:val="00B85237"/>
    <w:rsid w:val="00B85675"/>
    <w:rsid w:val="00B857BE"/>
    <w:rsid w:val="00B85DE9"/>
    <w:rsid w:val="00B8660E"/>
    <w:rsid w:val="00B871E4"/>
    <w:rsid w:val="00B87858"/>
    <w:rsid w:val="00B878F1"/>
    <w:rsid w:val="00B87D21"/>
    <w:rsid w:val="00B911CC"/>
    <w:rsid w:val="00B91B3F"/>
    <w:rsid w:val="00B922FE"/>
    <w:rsid w:val="00B9240A"/>
    <w:rsid w:val="00B92DA9"/>
    <w:rsid w:val="00B92E50"/>
    <w:rsid w:val="00B932D0"/>
    <w:rsid w:val="00B93442"/>
    <w:rsid w:val="00B93F68"/>
    <w:rsid w:val="00B947A0"/>
    <w:rsid w:val="00B947DB"/>
    <w:rsid w:val="00B94BA3"/>
    <w:rsid w:val="00B94C92"/>
    <w:rsid w:val="00B94F81"/>
    <w:rsid w:val="00B95399"/>
    <w:rsid w:val="00B953FE"/>
    <w:rsid w:val="00B95679"/>
    <w:rsid w:val="00B95BF4"/>
    <w:rsid w:val="00B96494"/>
    <w:rsid w:val="00B967A0"/>
    <w:rsid w:val="00B96EF3"/>
    <w:rsid w:val="00B973B9"/>
    <w:rsid w:val="00B9780F"/>
    <w:rsid w:val="00B97DF8"/>
    <w:rsid w:val="00B97F4A"/>
    <w:rsid w:val="00BA02A6"/>
    <w:rsid w:val="00BA02C1"/>
    <w:rsid w:val="00BA08B2"/>
    <w:rsid w:val="00BA0BFC"/>
    <w:rsid w:val="00BA22EB"/>
    <w:rsid w:val="00BA284E"/>
    <w:rsid w:val="00BA2884"/>
    <w:rsid w:val="00BA2A78"/>
    <w:rsid w:val="00BA2BFF"/>
    <w:rsid w:val="00BA2D45"/>
    <w:rsid w:val="00BA3630"/>
    <w:rsid w:val="00BA3976"/>
    <w:rsid w:val="00BA3AC4"/>
    <w:rsid w:val="00BA4500"/>
    <w:rsid w:val="00BA544A"/>
    <w:rsid w:val="00BA5A99"/>
    <w:rsid w:val="00BA5DD9"/>
    <w:rsid w:val="00BA6127"/>
    <w:rsid w:val="00BA63AA"/>
    <w:rsid w:val="00BA6520"/>
    <w:rsid w:val="00BA659C"/>
    <w:rsid w:val="00BA6A9F"/>
    <w:rsid w:val="00BA6B83"/>
    <w:rsid w:val="00BA7E3F"/>
    <w:rsid w:val="00BB014F"/>
    <w:rsid w:val="00BB0338"/>
    <w:rsid w:val="00BB0909"/>
    <w:rsid w:val="00BB200C"/>
    <w:rsid w:val="00BB210E"/>
    <w:rsid w:val="00BB28D2"/>
    <w:rsid w:val="00BB2AD4"/>
    <w:rsid w:val="00BB2D76"/>
    <w:rsid w:val="00BB375C"/>
    <w:rsid w:val="00BB3842"/>
    <w:rsid w:val="00BB3C1F"/>
    <w:rsid w:val="00BB3C4A"/>
    <w:rsid w:val="00BB4497"/>
    <w:rsid w:val="00BB457A"/>
    <w:rsid w:val="00BB4BE3"/>
    <w:rsid w:val="00BB5626"/>
    <w:rsid w:val="00BB5A42"/>
    <w:rsid w:val="00BB5E1E"/>
    <w:rsid w:val="00BB60BA"/>
    <w:rsid w:val="00BB66C3"/>
    <w:rsid w:val="00BB6BF6"/>
    <w:rsid w:val="00BB74BA"/>
    <w:rsid w:val="00BB7EB3"/>
    <w:rsid w:val="00BC08E9"/>
    <w:rsid w:val="00BC16FD"/>
    <w:rsid w:val="00BC1AFD"/>
    <w:rsid w:val="00BC1ED8"/>
    <w:rsid w:val="00BC212F"/>
    <w:rsid w:val="00BC2FC2"/>
    <w:rsid w:val="00BC320D"/>
    <w:rsid w:val="00BC352B"/>
    <w:rsid w:val="00BC3743"/>
    <w:rsid w:val="00BC3C4B"/>
    <w:rsid w:val="00BC3D13"/>
    <w:rsid w:val="00BC3D37"/>
    <w:rsid w:val="00BC40B7"/>
    <w:rsid w:val="00BC51A2"/>
    <w:rsid w:val="00BC52EB"/>
    <w:rsid w:val="00BC5E6D"/>
    <w:rsid w:val="00BC6004"/>
    <w:rsid w:val="00BC6F4D"/>
    <w:rsid w:val="00BC74D5"/>
    <w:rsid w:val="00BD04FB"/>
    <w:rsid w:val="00BD0929"/>
    <w:rsid w:val="00BD0A4D"/>
    <w:rsid w:val="00BD0F60"/>
    <w:rsid w:val="00BD1201"/>
    <w:rsid w:val="00BD1359"/>
    <w:rsid w:val="00BD18B9"/>
    <w:rsid w:val="00BD1A47"/>
    <w:rsid w:val="00BD1B00"/>
    <w:rsid w:val="00BD1E4A"/>
    <w:rsid w:val="00BD295B"/>
    <w:rsid w:val="00BD2B72"/>
    <w:rsid w:val="00BD2E3A"/>
    <w:rsid w:val="00BD35A1"/>
    <w:rsid w:val="00BD3AF1"/>
    <w:rsid w:val="00BD5082"/>
    <w:rsid w:val="00BD5AC4"/>
    <w:rsid w:val="00BD5EC5"/>
    <w:rsid w:val="00BD6006"/>
    <w:rsid w:val="00BD7538"/>
    <w:rsid w:val="00BE0109"/>
    <w:rsid w:val="00BE0155"/>
    <w:rsid w:val="00BE04DD"/>
    <w:rsid w:val="00BE1A70"/>
    <w:rsid w:val="00BE25F4"/>
    <w:rsid w:val="00BE2907"/>
    <w:rsid w:val="00BE2C5B"/>
    <w:rsid w:val="00BE4FDF"/>
    <w:rsid w:val="00BE5223"/>
    <w:rsid w:val="00BE546D"/>
    <w:rsid w:val="00BE54D9"/>
    <w:rsid w:val="00BE588E"/>
    <w:rsid w:val="00BE5A58"/>
    <w:rsid w:val="00BE6096"/>
    <w:rsid w:val="00BE699B"/>
    <w:rsid w:val="00BE69E9"/>
    <w:rsid w:val="00BE7103"/>
    <w:rsid w:val="00BE74F9"/>
    <w:rsid w:val="00BE78DC"/>
    <w:rsid w:val="00BF0157"/>
    <w:rsid w:val="00BF01F5"/>
    <w:rsid w:val="00BF088E"/>
    <w:rsid w:val="00BF0A3C"/>
    <w:rsid w:val="00BF1037"/>
    <w:rsid w:val="00BF179B"/>
    <w:rsid w:val="00BF1A08"/>
    <w:rsid w:val="00BF200F"/>
    <w:rsid w:val="00BF2080"/>
    <w:rsid w:val="00BF2747"/>
    <w:rsid w:val="00BF29C2"/>
    <w:rsid w:val="00BF3EF8"/>
    <w:rsid w:val="00BF3F6C"/>
    <w:rsid w:val="00BF427A"/>
    <w:rsid w:val="00BF49B7"/>
    <w:rsid w:val="00BF4B7B"/>
    <w:rsid w:val="00BF50B7"/>
    <w:rsid w:val="00BF5278"/>
    <w:rsid w:val="00BF573A"/>
    <w:rsid w:val="00BF57E0"/>
    <w:rsid w:val="00BF5BBA"/>
    <w:rsid w:val="00BF63EA"/>
    <w:rsid w:val="00BF66DF"/>
    <w:rsid w:val="00BF6AD3"/>
    <w:rsid w:val="00BF70F3"/>
    <w:rsid w:val="00BF75CA"/>
    <w:rsid w:val="00BF7B6F"/>
    <w:rsid w:val="00BF7B8E"/>
    <w:rsid w:val="00C00734"/>
    <w:rsid w:val="00C01007"/>
    <w:rsid w:val="00C019BE"/>
    <w:rsid w:val="00C028F5"/>
    <w:rsid w:val="00C0300F"/>
    <w:rsid w:val="00C030D2"/>
    <w:rsid w:val="00C03214"/>
    <w:rsid w:val="00C033CD"/>
    <w:rsid w:val="00C036D8"/>
    <w:rsid w:val="00C03A4D"/>
    <w:rsid w:val="00C03C3A"/>
    <w:rsid w:val="00C03EAA"/>
    <w:rsid w:val="00C03F6A"/>
    <w:rsid w:val="00C051E5"/>
    <w:rsid w:val="00C06475"/>
    <w:rsid w:val="00C069CD"/>
    <w:rsid w:val="00C06E60"/>
    <w:rsid w:val="00C07015"/>
    <w:rsid w:val="00C0723D"/>
    <w:rsid w:val="00C102CE"/>
    <w:rsid w:val="00C10ACE"/>
    <w:rsid w:val="00C10FE6"/>
    <w:rsid w:val="00C11170"/>
    <w:rsid w:val="00C11278"/>
    <w:rsid w:val="00C11A99"/>
    <w:rsid w:val="00C11E52"/>
    <w:rsid w:val="00C1205F"/>
    <w:rsid w:val="00C12105"/>
    <w:rsid w:val="00C1223A"/>
    <w:rsid w:val="00C1240D"/>
    <w:rsid w:val="00C134B7"/>
    <w:rsid w:val="00C13D8B"/>
    <w:rsid w:val="00C141C1"/>
    <w:rsid w:val="00C143A5"/>
    <w:rsid w:val="00C1460C"/>
    <w:rsid w:val="00C146F4"/>
    <w:rsid w:val="00C15162"/>
    <w:rsid w:val="00C15212"/>
    <w:rsid w:val="00C15282"/>
    <w:rsid w:val="00C15B24"/>
    <w:rsid w:val="00C15E88"/>
    <w:rsid w:val="00C160B9"/>
    <w:rsid w:val="00C16622"/>
    <w:rsid w:val="00C16693"/>
    <w:rsid w:val="00C166FC"/>
    <w:rsid w:val="00C167AE"/>
    <w:rsid w:val="00C16AC7"/>
    <w:rsid w:val="00C16B33"/>
    <w:rsid w:val="00C16B67"/>
    <w:rsid w:val="00C172DD"/>
    <w:rsid w:val="00C17315"/>
    <w:rsid w:val="00C17378"/>
    <w:rsid w:val="00C17401"/>
    <w:rsid w:val="00C17645"/>
    <w:rsid w:val="00C205EF"/>
    <w:rsid w:val="00C207B4"/>
    <w:rsid w:val="00C20871"/>
    <w:rsid w:val="00C20A4B"/>
    <w:rsid w:val="00C2132F"/>
    <w:rsid w:val="00C217C1"/>
    <w:rsid w:val="00C2328A"/>
    <w:rsid w:val="00C2334F"/>
    <w:rsid w:val="00C23646"/>
    <w:rsid w:val="00C23ADE"/>
    <w:rsid w:val="00C242DA"/>
    <w:rsid w:val="00C243A4"/>
    <w:rsid w:val="00C248BB"/>
    <w:rsid w:val="00C24C0F"/>
    <w:rsid w:val="00C255BB"/>
    <w:rsid w:val="00C259CD"/>
    <w:rsid w:val="00C259FE"/>
    <w:rsid w:val="00C25B55"/>
    <w:rsid w:val="00C25BE5"/>
    <w:rsid w:val="00C2605D"/>
    <w:rsid w:val="00C26986"/>
    <w:rsid w:val="00C26BE6"/>
    <w:rsid w:val="00C27278"/>
    <w:rsid w:val="00C27734"/>
    <w:rsid w:val="00C27772"/>
    <w:rsid w:val="00C30A0C"/>
    <w:rsid w:val="00C30C25"/>
    <w:rsid w:val="00C30E0A"/>
    <w:rsid w:val="00C3146A"/>
    <w:rsid w:val="00C316AB"/>
    <w:rsid w:val="00C316E4"/>
    <w:rsid w:val="00C31CDA"/>
    <w:rsid w:val="00C31E83"/>
    <w:rsid w:val="00C32056"/>
    <w:rsid w:val="00C32135"/>
    <w:rsid w:val="00C322E4"/>
    <w:rsid w:val="00C322E5"/>
    <w:rsid w:val="00C322F5"/>
    <w:rsid w:val="00C3297B"/>
    <w:rsid w:val="00C32BDF"/>
    <w:rsid w:val="00C33508"/>
    <w:rsid w:val="00C3394C"/>
    <w:rsid w:val="00C33B39"/>
    <w:rsid w:val="00C33C0A"/>
    <w:rsid w:val="00C3407B"/>
    <w:rsid w:val="00C34BC6"/>
    <w:rsid w:val="00C36768"/>
    <w:rsid w:val="00C367CA"/>
    <w:rsid w:val="00C3796D"/>
    <w:rsid w:val="00C4022A"/>
    <w:rsid w:val="00C40580"/>
    <w:rsid w:val="00C407A4"/>
    <w:rsid w:val="00C40FBC"/>
    <w:rsid w:val="00C4111D"/>
    <w:rsid w:val="00C411E0"/>
    <w:rsid w:val="00C412DA"/>
    <w:rsid w:val="00C414C4"/>
    <w:rsid w:val="00C41BF8"/>
    <w:rsid w:val="00C41CE0"/>
    <w:rsid w:val="00C41EE0"/>
    <w:rsid w:val="00C42165"/>
    <w:rsid w:val="00C421A2"/>
    <w:rsid w:val="00C43618"/>
    <w:rsid w:val="00C44019"/>
    <w:rsid w:val="00C45143"/>
    <w:rsid w:val="00C45484"/>
    <w:rsid w:val="00C4550B"/>
    <w:rsid w:val="00C45FD2"/>
    <w:rsid w:val="00C46259"/>
    <w:rsid w:val="00C46392"/>
    <w:rsid w:val="00C466AA"/>
    <w:rsid w:val="00C4672D"/>
    <w:rsid w:val="00C46D7B"/>
    <w:rsid w:val="00C47224"/>
    <w:rsid w:val="00C47377"/>
    <w:rsid w:val="00C47477"/>
    <w:rsid w:val="00C478D3"/>
    <w:rsid w:val="00C47A38"/>
    <w:rsid w:val="00C508CF"/>
    <w:rsid w:val="00C51990"/>
    <w:rsid w:val="00C51FFC"/>
    <w:rsid w:val="00C528BA"/>
    <w:rsid w:val="00C528E3"/>
    <w:rsid w:val="00C52C80"/>
    <w:rsid w:val="00C52DBF"/>
    <w:rsid w:val="00C52F5E"/>
    <w:rsid w:val="00C53770"/>
    <w:rsid w:val="00C53D3F"/>
    <w:rsid w:val="00C54B40"/>
    <w:rsid w:val="00C5586B"/>
    <w:rsid w:val="00C559C6"/>
    <w:rsid w:val="00C55CD6"/>
    <w:rsid w:val="00C55DC8"/>
    <w:rsid w:val="00C56AB9"/>
    <w:rsid w:val="00C5752F"/>
    <w:rsid w:val="00C57CBC"/>
    <w:rsid w:val="00C57D4C"/>
    <w:rsid w:val="00C60458"/>
    <w:rsid w:val="00C60BD7"/>
    <w:rsid w:val="00C61865"/>
    <w:rsid w:val="00C618FF"/>
    <w:rsid w:val="00C62514"/>
    <w:rsid w:val="00C62D47"/>
    <w:rsid w:val="00C63122"/>
    <w:rsid w:val="00C631F0"/>
    <w:rsid w:val="00C635B6"/>
    <w:rsid w:val="00C64E0D"/>
    <w:rsid w:val="00C657BC"/>
    <w:rsid w:val="00C65DB3"/>
    <w:rsid w:val="00C663EC"/>
    <w:rsid w:val="00C664F6"/>
    <w:rsid w:val="00C675CB"/>
    <w:rsid w:val="00C67737"/>
    <w:rsid w:val="00C67E85"/>
    <w:rsid w:val="00C70104"/>
    <w:rsid w:val="00C70165"/>
    <w:rsid w:val="00C702EF"/>
    <w:rsid w:val="00C703EA"/>
    <w:rsid w:val="00C70C98"/>
    <w:rsid w:val="00C71566"/>
    <w:rsid w:val="00C7277C"/>
    <w:rsid w:val="00C729AC"/>
    <w:rsid w:val="00C72ECD"/>
    <w:rsid w:val="00C7469F"/>
    <w:rsid w:val="00C746DE"/>
    <w:rsid w:val="00C748E5"/>
    <w:rsid w:val="00C74BA2"/>
    <w:rsid w:val="00C75719"/>
    <w:rsid w:val="00C758FA"/>
    <w:rsid w:val="00C75FD4"/>
    <w:rsid w:val="00C76354"/>
    <w:rsid w:val="00C764B9"/>
    <w:rsid w:val="00C76581"/>
    <w:rsid w:val="00C76AE2"/>
    <w:rsid w:val="00C76DD7"/>
    <w:rsid w:val="00C771DF"/>
    <w:rsid w:val="00C77B17"/>
    <w:rsid w:val="00C8010D"/>
    <w:rsid w:val="00C80192"/>
    <w:rsid w:val="00C80241"/>
    <w:rsid w:val="00C81268"/>
    <w:rsid w:val="00C82344"/>
    <w:rsid w:val="00C82369"/>
    <w:rsid w:val="00C82BE1"/>
    <w:rsid w:val="00C83146"/>
    <w:rsid w:val="00C835E5"/>
    <w:rsid w:val="00C83AF7"/>
    <w:rsid w:val="00C84CEE"/>
    <w:rsid w:val="00C84CFA"/>
    <w:rsid w:val="00C84EBE"/>
    <w:rsid w:val="00C84FB0"/>
    <w:rsid w:val="00C85057"/>
    <w:rsid w:val="00C85230"/>
    <w:rsid w:val="00C8533C"/>
    <w:rsid w:val="00C853B5"/>
    <w:rsid w:val="00C85412"/>
    <w:rsid w:val="00C85978"/>
    <w:rsid w:val="00C85B00"/>
    <w:rsid w:val="00C85FCE"/>
    <w:rsid w:val="00C8621A"/>
    <w:rsid w:val="00C86AF8"/>
    <w:rsid w:val="00C874AF"/>
    <w:rsid w:val="00C875A6"/>
    <w:rsid w:val="00C87BD0"/>
    <w:rsid w:val="00C87D15"/>
    <w:rsid w:val="00C9072B"/>
    <w:rsid w:val="00C910E2"/>
    <w:rsid w:val="00C91158"/>
    <w:rsid w:val="00C91A64"/>
    <w:rsid w:val="00C92923"/>
    <w:rsid w:val="00C93021"/>
    <w:rsid w:val="00C934A2"/>
    <w:rsid w:val="00C93AC6"/>
    <w:rsid w:val="00C93C4B"/>
    <w:rsid w:val="00C93D61"/>
    <w:rsid w:val="00C93E02"/>
    <w:rsid w:val="00C94206"/>
    <w:rsid w:val="00C94E43"/>
    <w:rsid w:val="00C94E51"/>
    <w:rsid w:val="00C95017"/>
    <w:rsid w:val="00C9531E"/>
    <w:rsid w:val="00C95716"/>
    <w:rsid w:val="00C95FFC"/>
    <w:rsid w:val="00C970AF"/>
    <w:rsid w:val="00C9794A"/>
    <w:rsid w:val="00CA0175"/>
    <w:rsid w:val="00CA07F2"/>
    <w:rsid w:val="00CA08B2"/>
    <w:rsid w:val="00CA0E9B"/>
    <w:rsid w:val="00CA1246"/>
    <w:rsid w:val="00CA12E2"/>
    <w:rsid w:val="00CA12FC"/>
    <w:rsid w:val="00CA1586"/>
    <w:rsid w:val="00CA16E5"/>
    <w:rsid w:val="00CA1EA2"/>
    <w:rsid w:val="00CA2119"/>
    <w:rsid w:val="00CA21D5"/>
    <w:rsid w:val="00CA2577"/>
    <w:rsid w:val="00CA2BA9"/>
    <w:rsid w:val="00CA2CAA"/>
    <w:rsid w:val="00CA2EE5"/>
    <w:rsid w:val="00CA30DE"/>
    <w:rsid w:val="00CA35FD"/>
    <w:rsid w:val="00CA3B61"/>
    <w:rsid w:val="00CA3DDF"/>
    <w:rsid w:val="00CA4BB1"/>
    <w:rsid w:val="00CA4C14"/>
    <w:rsid w:val="00CA529F"/>
    <w:rsid w:val="00CA52B1"/>
    <w:rsid w:val="00CA5B92"/>
    <w:rsid w:val="00CA72B0"/>
    <w:rsid w:val="00CA7EA6"/>
    <w:rsid w:val="00CB01D9"/>
    <w:rsid w:val="00CB0585"/>
    <w:rsid w:val="00CB07ED"/>
    <w:rsid w:val="00CB08D5"/>
    <w:rsid w:val="00CB0AF9"/>
    <w:rsid w:val="00CB0D40"/>
    <w:rsid w:val="00CB12CB"/>
    <w:rsid w:val="00CB1DC7"/>
    <w:rsid w:val="00CB27A0"/>
    <w:rsid w:val="00CB29F2"/>
    <w:rsid w:val="00CB2BFD"/>
    <w:rsid w:val="00CB2E02"/>
    <w:rsid w:val="00CB34A5"/>
    <w:rsid w:val="00CB3752"/>
    <w:rsid w:val="00CB3D8D"/>
    <w:rsid w:val="00CB41C1"/>
    <w:rsid w:val="00CB433D"/>
    <w:rsid w:val="00CB4799"/>
    <w:rsid w:val="00CB518D"/>
    <w:rsid w:val="00CB52AC"/>
    <w:rsid w:val="00CB544C"/>
    <w:rsid w:val="00CB5490"/>
    <w:rsid w:val="00CB5999"/>
    <w:rsid w:val="00CB59CE"/>
    <w:rsid w:val="00CB5A0F"/>
    <w:rsid w:val="00CB5DC7"/>
    <w:rsid w:val="00CB6055"/>
    <w:rsid w:val="00CB63A4"/>
    <w:rsid w:val="00CB6A32"/>
    <w:rsid w:val="00CB7CEB"/>
    <w:rsid w:val="00CB7DE8"/>
    <w:rsid w:val="00CC021B"/>
    <w:rsid w:val="00CC0F24"/>
    <w:rsid w:val="00CC1E46"/>
    <w:rsid w:val="00CC216D"/>
    <w:rsid w:val="00CC25C4"/>
    <w:rsid w:val="00CC30A2"/>
    <w:rsid w:val="00CC313F"/>
    <w:rsid w:val="00CC5132"/>
    <w:rsid w:val="00CC5A56"/>
    <w:rsid w:val="00CC5DEB"/>
    <w:rsid w:val="00CC68EA"/>
    <w:rsid w:val="00CC6F0D"/>
    <w:rsid w:val="00CC70CB"/>
    <w:rsid w:val="00CC7689"/>
    <w:rsid w:val="00CC791B"/>
    <w:rsid w:val="00CC7BF0"/>
    <w:rsid w:val="00CD008F"/>
    <w:rsid w:val="00CD0885"/>
    <w:rsid w:val="00CD0A7C"/>
    <w:rsid w:val="00CD19E2"/>
    <w:rsid w:val="00CD1CD5"/>
    <w:rsid w:val="00CD202F"/>
    <w:rsid w:val="00CD21AE"/>
    <w:rsid w:val="00CD23C8"/>
    <w:rsid w:val="00CD241A"/>
    <w:rsid w:val="00CD28D4"/>
    <w:rsid w:val="00CD2CB9"/>
    <w:rsid w:val="00CD3152"/>
    <w:rsid w:val="00CD3FF9"/>
    <w:rsid w:val="00CD44E6"/>
    <w:rsid w:val="00CD5041"/>
    <w:rsid w:val="00CD571A"/>
    <w:rsid w:val="00CD579C"/>
    <w:rsid w:val="00CD5FA6"/>
    <w:rsid w:val="00CD6DAF"/>
    <w:rsid w:val="00CD76A4"/>
    <w:rsid w:val="00CD7AC1"/>
    <w:rsid w:val="00CD7BD0"/>
    <w:rsid w:val="00CE00FF"/>
    <w:rsid w:val="00CE0489"/>
    <w:rsid w:val="00CE06D2"/>
    <w:rsid w:val="00CE091B"/>
    <w:rsid w:val="00CE0A74"/>
    <w:rsid w:val="00CE149E"/>
    <w:rsid w:val="00CE18E7"/>
    <w:rsid w:val="00CE1EA5"/>
    <w:rsid w:val="00CE23D2"/>
    <w:rsid w:val="00CE2497"/>
    <w:rsid w:val="00CE27B1"/>
    <w:rsid w:val="00CE36A6"/>
    <w:rsid w:val="00CE3C74"/>
    <w:rsid w:val="00CE4094"/>
    <w:rsid w:val="00CE4B6E"/>
    <w:rsid w:val="00CE4E8F"/>
    <w:rsid w:val="00CE544B"/>
    <w:rsid w:val="00CE639B"/>
    <w:rsid w:val="00CE6D3F"/>
    <w:rsid w:val="00CE787B"/>
    <w:rsid w:val="00CE7DCC"/>
    <w:rsid w:val="00CF0389"/>
    <w:rsid w:val="00CF0925"/>
    <w:rsid w:val="00CF119D"/>
    <w:rsid w:val="00CF1393"/>
    <w:rsid w:val="00CF1984"/>
    <w:rsid w:val="00CF2288"/>
    <w:rsid w:val="00CF251C"/>
    <w:rsid w:val="00CF2C0B"/>
    <w:rsid w:val="00CF2FD2"/>
    <w:rsid w:val="00CF320C"/>
    <w:rsid w:val="00CF379A"/>
    <w:rsid w:val="00CF37B9"/>
    <w:rsid w:val="00CF3986"/>
    <w:rsid w:val="00CF4E1D"/>
    <w:rsid w:val="00CF5B58"/>
    <w:rsid w:val="00CF669E"/>
    <w:rsid w:val="00CF769D"/>
    <w:rsid w:val="00CF78C5"/>
    <w:rsid w:val="00D00885"/>
    <w:rsid w:val="00D00A24"/>
    <w:rsid w:val="00D00DBB"/>
    <w:rsid w:val="00D00F97"/>
    <w:rsid w:val="00D01B54"/>
    <w:rsid w:val="00D01B9B"/>
    <w:rsid w:val="00D01DA6"/>
    <w:rsid w:val="00D01E2E"/>
    <w:rsid w:val="00D027AE"/>
    <w:rsid w:val="00D02BDE"/>
    <w:rsid w:val="00D030EE"/>
    <w:rsid w:val="00D0327C"/>
    <w:rsid w:val="00D033BE"/>
    <w:rsid w:val="00D03592"/>
    <w:rsid w:val="00D03C71"/>
    <w:rsid w:val="00D03EBE"/>
    <w:rsid w:val="00D0423B"/>
    <w:rsid w:val="00D04C37"/>
    <w:rsid w:val="00D04C45"/>
    <w:rsid w:val="00D0548D"/>
    <w:rsid w:val="00D064BC"/>
    <w:rsid w:val="00D06B71"/>
    <w:rsid w:val="00D06FC0"/>
    <w:rsid w:val="00D075BF"/>
    <w:rsid w:val="00D07AC4"/>
    <w:rsid w:val="00D07D20"/>
    <w:rsid w:val="00D07F00"/>
    <w:rsid w:val="00D10028"/>
    <w:rsid w:val="00D1053E"/>
    <w:rsid w:val="00D107C1"/>
    <w:rsid w:val="00D10D3C"/>
    <w:rsid w:val="00D1182C"/>
    <w:rsid w:val="00D12231"/>
    <w:rsid w:val="00D122B0"/>
    <w:rsid w:val="00D12BA8"/>
    <w:rsid w:val="00D132F7"/>
    <w:rsid w:val="00D13D6E"/>
    <w:rsid w:val="00D140C0"/>
    <w:rsid w:val="00D1426E"/>
    <w:rsid w:val="00D147F9"/>
    <w:rsid w:val="00D14A71"/>
    <w:rsid w:val="00D15A8B"/>
    <w:rsid w:val="00D15C85"/>
    <w:rsid w:val="00D15D94"/>
    <w:rsid w:val="00D15E09"/>
    <w:rsid w:val="00D160D4"/>
    <w:rsid w:val="00D163EC"/>
    <w:rsid w:val="00D17121"/>
    <w:rsid w:val="00D1739F"/>
    <w:rsid w:val="00D1769A"/>
    <w:rsid w:val="00D17880"/>
    <w:rsid w:val="00D207FF"/>
    <w:rsid w:val="00D2153A"/>
    <w:rsid w:val="00D21CF5"/>
    <w:rsid w:val="00D22E9F"/>
    <w:rsid w:val="00D23413"/>
    <w:rsid w:val="00D234D7"/>
    <w:rsid w:val="00D2464E"/>
    <w:rsid w:val="00D24745"/>
    <w:rsid w:val="00D251E9"/>
    <w:rsid w:val="00D25912"/>
    <w:rsid w:val="00D2605D"/>
    <w:rsid w:val="00D263BF"/>
    <w:rsid w:val="00D269AE"/>
    <w:rsid w:val="00D26A1C"/>
    <w:rsid w:val="00D26DB8"/>
    <w:rsid w:val="00D2721B"/>
    <w:rsid w:val="00D2751E"/>
    <w:rsid w:val="00D30462"/>
    <w:rsid w:val="00D312ED"/>
    <w:rsid w:val="00D31662"/>
    <w:rsid w:val="00D318D9"/>
    <w:rsid w:val="00D31F26"/>
    <w:rsid w:val="00D321C9"/>
    <w:rsid w:val="00D32380"/>
    <w:rsid w:val="00D326D5"/>
    <w:rsid w:val="00D32A9F"/>
    <w:rsid w:val="00D32EBE"/>
    <w:rsid w:val="00D32F3A"/>
    <w:rsid w:val="00D337DA"/>
    <w:rsid w:val="00D338C3"/>
    <w:rsid w:val="00D34044"/>
    <w:rsid w:val="00D34367"/>
    <w:rsid w:val="00D34794"/>
    <w:rsid w:val="00D351EA"/>
    <w:rsid w:val="00D36BBD"/>
    <w:rsid w:val="00D36C88"/>
    <w:rsid w:val="00D36F6E"/>
    <w:rsid w:val="00D37B99"/>
    <w:rsid w:val="00D37C90"/>
    <w:rsid w:val="00D400F9"/>
    <w:rsid w:val="00D402A4"/>
    <w:rsid w:val="00D40BDD"/>
    <w:rsid w:val="00D40FAF"/>
    <w:rsid w:val="00D4110B"/>
    <w:rsid w:val="00D41640"/>
    <w:rsid w:val="00D417A4"/>
    <w:rsid w:val="00D41BAC"/>
    <w:rsid w:val="00D421B9"/>
    <w:rsid w:val="00D42859"/>
    <w:rsid w:val="00D42D46"/>
    <w:rsid w:val="00D42DDD"/>
    <w:rsid w:val="00D42E2E"/>
    <w:rsid w:val="00D43378"/>
    <w:rsid w:val="00D433DB"/>
    <w:rsid w:val="00D436ED"/>
    <w:rsid w:val="00D43DF1"/>
    <w:rsid w:val="00D446F4"/>
    <w:rsid w:val="00D44E8C"/>
    <w:rsid w:val="00D4519B"/>
    <w:rsid w:val="00D4536E"/>
    <w:rsid w:val="00D45638"/>
    <w:rsid w:val="00D464B2"/>
    <w:rsid w:val="00D4656E"/>
    <w:rsid w:val="00D4701E"/>
    <w:rsid w:val="00D471E1"/>
    <w:rsid w:val="00D474FC"/>
    <w:rsid w:val="00D479AC"/>
    <w:rsid w:val="00D50902"/>
    <w:rsid w:val="00D509A8"/>
    <w:rsid w:val="00D50C0C"/>
    <w:rsid w:val="00D51703"/>
    <w:rsid w:val="00D5208E"/>
    <w:rsid w:val="00D52B4B"/>
    <w:rsid w:val="00D52CE8"/>
    <w:rsid w:val="00D530E1"/>
    <w:rsid w:val="00D53DD5"/>
    <w:rsid w:val="00D53FCD"/>
    <w:rsid w:val="00D5428A"/>
    <w:rsid w:val="00D55185"/>
    <w:rsid w:val="00D55328"/>
    <w:rsid w:val="00D556BE"/>
    <w:rsid w:val="00D5583F"/>
    <w:rsid w:val="00D55B08"/>
    <w:rsid w:val="00D55EDD"/>
    <w:rsid w:val="00D55F63"/>
    <w:rsid w:val="00D5620C"/>
    <w:rsid w:val="00D567E8"/>
    <w:rsid w:val="00D5709D"/>
    <w:rsid w:val="00D5797A"/>
    <w:rsid w:val="00D603F5"/>
    <w:rsid w:val="00D606EB"/>
    <w:rsid w:val="00D609A0"/>
    <w:rsid w:val="00D60A44"/>
    <w:rsid w:val="00D6154F"/>
    <w:rsid w:val="00D61CEB"/>
    <w:rsid w:val="00D61CEE"/>
    <w:rsid w:val="00D61D06"/>
    <w:rsid w:val="00D62457"/>
    <w:rsid w:val="00D62C7E"/>
    <w:rsid w:val="00D62D18"/>
    <w:rsid w:val="00D632C0"/>
    <w:rsid w:val="00D637D5"/>
    <w:rsid w:val="00D638E4"/>
    <w:rsid w:val="00D63AEE"/>
    <w:rsid w:val="00D64C16"/>
    <w:rsid w:val="00D64D5A"/>
    <w:rsid w:val="00D65522"/>
    <w:rsid w:val="00D65D60"/>
    <w:rsid w:val="00D65DA4"/>
    <w:rsid w:val="00D663AE"/>
    <w:rsid w:val="00D663DD"/>
    <w:rsid w:val="00D6684B"/>
    <w:rsid w:val="00D6773A"/>
    <w:rsid w:val="00D70C8A"/>
    <w:rsid w:val="00D70E3B"/>
    <w:rsid w:val="00D71300"/>
    <w:rsid w:val="00D7226F"/>
    <w:rsid w:val="00D73187"/>
    <w:rsid w:val="00D732BC"/>
    <w:rsid w:val="00D74CBE"/>
    <w:rsid w:val="00D74DAE"/>
    <w:rsid w:val="00D751D5"/>
    <w:rsid w:val="00D75BF9"/>
    <w:rsid w:val="00D762AF"/>
    <w:rsid w:val="00D7643C"/>
    <w:rsid w:val="00D76C14"/>
    <w:rsid w:val="00D774ED"/>
    <w:rsid w:val="00D77639"/>
    <w:rsid w:val="00D77723"/>
    <w:rsid w:val="00D777FA"/>
    <w:rsid w:val="00D801C7"/>
    <w:rsid w:val="00D8023B"/>
    <w:rsid w:val="00D80501"/>
    <w:rsid w:val="00D809BE"/>
    <w:rsid w:val="00D80F6B"/>
    <w:rsid w:val="00D813E1"/>
    <w:rsid w:val="00D81501"/>
    <w:rsid w:val="00D81CB4"/>
    <w:rsid w:val="00D81DE5"/>
    <w:rsid w:val="00D81EE3"/>
    <w:rsid w:val="00D82097"/>
    <w:rsid w:val="00D82112"/>
    <w:rsid w:val="00D8216B"/>
    <w:rsid w:val="00D82A8E"/>
    <w:rsid w:val="00D83422"/>
    <w:rsid w:val="00D83B0D"/>
    <w:rsid w:val="00D84A14"/>
    <w:rsid w:val="00D85AAE"/>
    <w:rsid w:val="00D85D75"/>
    <w:rsid w:val="00D8626C"/>
    <w:rsid w:val="00D86577"/>
    <w:rsid w:val="00D86995"/>
    <w:rsid w:val="00D87C39"/>
    <w:rsid w:val="00D90970"/>
    <w:rsid w:val="00D90CE1"/>
    <w:rsid w:val="00D90E86"/>
    <w:rsid w:val="00D91603"/>
    <w:rsid w:val="00D92292"/>
    <w:rsid w:val="00D92337"/>
    <w:rsid w:val="00D92518"/>
    <w:rsid w:val="00D9286D"/>
    <w:rsid w:val="00D9286E"/>
    <w:rsid w:val="00D9293A"/>
    <w:rsid w:val="00D93249"/>
    <w:rsid w:val="00D93795"/>
    <w:rsid w:val="00D940E3"/>
    <w:rsid w:val="00D943AC"/>
    <w:rsid w:val="00D9539B"/>
    <w:rsid w:val="00D95DEA"/>
    <w:rsid w:val="00D9640A"/>
    <w:rsid w:val="00D9692D"/>
    <w:rsid w:val="00D97058"/>
    <w:rsid w:val="00D97094"/>
    <w:rsid w:val="00D97158"/>
    <w:rsid w:val="00D972EA"/>
    <w:rsid w:val="00D975BE"/>
    <w:rsid w:val="00DA0C1C"/>
    <w:rsid w:val="00DA0EA2"/>
    <w:rsid w:val="00DA11CB"/>
    <w:rsid w:val="00DA1252"/>
    <w:rsid w:val="00DA1ACF"/>
    <w:rsid w:val="00DA264A"/>
    <w:rsid w:val="00DA2EAF"/>
    <w:rsid w:val="00DA31DD"/>
    <w:rsid w:val="00DA3753"/>
    <w:rsid w:val="00DA37C1"/>
    <w:rsid w:val="00DA390C"/>
    <w:rsid w:val="00DA3E17"/>
    <w:rsid w:val="00DA485A"/>
    <w:rsid w:val="00DA58FA"/>
    <w:rsid w:val="00DA5F5E"/>
    <w:rsid w:val="00DA5FBF"/>
    <w:rsid w:val="00DA61D0"/>
    <w:rsid w:val="00DA767F"/>
    <w:rsid w:val="00DA7CD8"/>
    <w:rsid w:val="00DB01D5"/>
    <w:rsid w:val="00DB0343"/>
    <w:rsid w:val="00DB03D8"/>
    <w:rsid w:val="00DB054E"/>
    <w:rsid w:val="00DB05F7"/>
    <w:rsid w:val="00DB100E"/>
    <w:rsid w:val="00DB1A17"/>
    <w:rsid w:val="00DB1F26"/>
    <w:rsid w:val="00DB335B"/>
    <w:rsid w:val="00DB37C2"/>
    <w:rsid w:val="00DB3BF0"/>
    <w:rsid w:val="00DB3E3E"/>
    <w:rsid w:val="00DB403E"/>
    <w:rsid w:val="00DB4173"/>
    <w:rsid w:val="00DB41D5"/>
    <w:rsid w:val="00DB43D6"/>
    <w:rsid w:val="00DB4775"/>
    <w:rsid w:val="00DB4AE4"/>
    <w:rsid w:val="00DB5D02"/>
    <w:rsid w:val="00DB6860"/>
    <w:rsid w:val="00DB757E"/>
    <w:rsid w:val="00DB7625"/>
    <w:rsid w:val="00DB7C8B"/>
    <w:rsid w:val="00DC038C"/>
    <w:rsid w:val="00DC042F"/>
    <w:rsid w:val="00DC0C31"/>
    <w:rsid w:val="00DC0DE2"/>
    <w:rsid w:val="00DC1082"/>
    <w:rsid w:val="00DC14AD"/>
    <w:rsid w:val="00DC15EE"/>
    <w:rsid w:val="00DC1957"/>
    <w:rsid w:val="00DC1A6B"/>
    <w:rsid w:val="00DC23CA"/>
    <w:rsid w:val="00DC27C9"/>
    <w:rsid w:val="00DC2853"/>
    <w:rsid w:val="00DC2D7D"/>
    <w:rsid w:val="00DC2E83"/>
    <w:rsid w:val="00DC31B7"/>
    <w:rsid w:val="00DC3AFD"/>
    <w:rsid w:val="00DC3D3D"/>
    <w:rsid w:val="00DC412C"/>
    <w:rsid w:val="00DC4508"/>
    <w:rsid w:val="00DC49DD"/>
    <w:rsid w:val="00DC5A0D"/>
    <w:rsid w:val="00DC5DB7"/>
    <w:rsid w:val="00DC5E70"/>
    <w:rsid w:val="00DC6550"/>
    <w:rsid w:val="00DC70EE"/>
    <w:rsid w:val="00DC7490"/>
    <w:rsid w:val="00DC7796"/>
    <w:rsid w:val="00DC7A21"/>
    <w:rsid w:val="00DD06AC"/>
    <w:rsid w:val="00DD07E6"/>
    <w:rsid w:val="00DD0C71"/>
    <w:rsid w:val="00DD129A"/>
    <w:rsid w:val="00DD1787"/>
    <w:rsid w:val="00DD18CF"/>
    <w:rsid w:val="00DD274F"/>
    <w:rsid w:val="00DD3072"/>
    <w:rsid w:val="00DD33E2"/>
    <w:rsid w:val="00DD3767"/>
    <w:rsid w:val="00DD3CC8"/>
    <w:rsid w:val="00DD3E9C"/>
    <w:rsid w:val="00DD3FF3"/>
    <w:rsid w:val="00DD4285"/>
    <w:rsid w:val="00DD435E"/>
    <w:rsid w:val="00DD4399"/>
    <w:rsid w:val="00DD4D69"/>
    <w:rsid w:val="00DD500A"/>
    <w:rsid w:val="00DD52AC"/>
    <w:rsid w:val="00DD5B1B"/>
    <w:rsid w:val="00DD654B"/>
    <w:rsid w:val="00DE1253"/>
    <w:rsid w:val="00DE1AAE"/>
    <w:rsid w:val="00DE1ABB"/>
    <w:rsid w:val="00DE1CE0"/>
    <w:rsid w:val="00DE1D33"/>
    <w:rsid w:val="00DE1FCB"/>
    <w:rsid w:val="00DE22C7"/>
    <w:rsid w:val="00DE32AB"/>
    <w:rsid w:val="00DE3C1D"/>
    <w:rsid w:val="00DE4604"/>
    <w:rsid w:val="00DE51E8"/>
    <w:rsid w:val="00DE533B"/>
    <w:rsid w:val="00DE5950"/>
    <w:rsid w:val="00DE5ADB"/>
    <w:rsid w:val="00DE62FF"/>
    <w:rsid w:val="00DE6598"/>
    <w:rsid w:val="00DE66B6"/>
    <w:rsid w:val="00DE6711"/>
    <w:rsid w:val="00DE6B08"/>
    <w:rsid w:val="00DE6DF6"/>
    <w:rsid w:val="00DE7050"/>
    <w:rsid w:val="00DF0224"/>
    <w:rsid w:val="00DF0331"/>
    <w:rsid w:val="00DF0DE5"/>
    <w:rsid w:val="00DF18A1"/>
    <w:rsid w:val="00DF2690"/>
    <w:rsid w:val="00DF2F40"/>
    <w:rsid w:val="00DF2F6D"/>
    <w:rsid w:val="00DF3135"/>
    <w:rsid w:val="00DF33AD"/>
    <w:rsid w:val="00DF3454"/>
    <w:rsid w:val="00DF3941"/>
    <w:rsid w:val="00DF3A72"/>
    <w:rsid w:val="00DF3A9E"/>
    <w:rsid w:val="00DF3CBD"/>
    <w:rsid w:val="00DF426F"/>
    <w:rsid w:val="00DF42F1"/>
    <w:rsid w:val="00DF4410"/>
    <w:rsid w:val="00DF4695"/>
    <w:rsid w:val="00DF5500"/>
    <w:rsid w:val="00DF5DBF"/>
    <w:rsid w:val="00DF6017"/>
    <w:rsid w:val="00DF60DE"/>
    <w:rsid w:val="00DF7116"/>
    <w:rsid w:val="00E000D9"/>
    <w:rsid w:val="00E00404"/>
    <w:rsid w:val="00E00FD6"/>
    <w:rsid w:val="00E01658"/>
    <w:rsid w:val="00E0189C"/>
    <w:rsid w:val="00E0240F"/>
    <w:rsid w:val="00E027D8"/>
    <w:rsid w:val="00E036E4"/>
    <w:rsid w:val="00E039CE"/>
    <w:rsid w:val="00E03C86"/>
    <w:rsid w:val="00E04AAC"/>
    <w:rsid w:val="00E0522A"/>
    <w:rsid w:val="00E06572"/>
    <w:rsid w:val="00E0668D"/>
    <w:rsid w:val="00E069FC"/>
    <w:rsid w:val="00E06B15"/>
    <w:rsid w:val="00E10DB1"/>
    <w:rsid w:val="00E1113B"/>
    <w:rsid w:val="00E1137C"/>
    <w:rsid w:val="00E11CDD"/>
    <w:rsid w:val="00E11DC8"/>
    <w:rsid w:val="00E1216B"/>
    <w:rsid w:val="00E12186"/>
    <w:rsid w:val="00E1225B"/>
    <w:rsid w:val="00E1267C"/>
    <w:rsid w:val="00E1354F"/>
    <w:rsid w:val="00E144FD"/>
    <w:rsid w:val="00E1460F"/>
    <w:rsid w:val="00E14BE1"/>
    <w:rsid w:val="00E14CB8"/>
    <w:rsid w:val="00E14DE3"/>
    <w:rsid w:val="00E1538D"/>
    <w:rsid w:val="00E15C37"/>
    <w:rsid w:val="00E15C3E"/>
    <w:rsid w:val="00E205CA"/>
    <w:rsid w:val="00E2084F"/>
    <w:rsid w:val="00E20A78"/>
    <w:rsid w:val="00E214E2"/>
    <w:rsid w:val="00E21A11"/>
    <w:rsid w:val="00E21D42"/>
    <w:rsid w:val="00E226C2"/>
    <w:rsid w:val="00E22810"/>
    <w:rsid w:val="00E2284B"/>
    <w:rsid w:val="00E22C34"/>
    <w:rsid w:val="00E23033"/>
    <w:rsid w:val="00E23636"/>
    <w:rsid w:val="00E2375E"/>
    <w:rsid w:val="00E23895"/>
    <w:rsid w:val="00E23E86"/>
    <w:rsid w:val="00E24731"/>
    <w:rsid w:val="00E260DC"/>
    <w:rsid w:val="00E276A2"/>
    <w:rsid w:val="00E27A3E"/>
    <w:rsid w:val="00E30036"/>
    <w:rsid w:val="00E3052F"/>
    <w:rsid w:val="00E305D6"/>
    <w:rsid w:val="00E30A1A"/>
    <w:rsid w:val="00E312AE"/>
    <w:rsid w:val="00E31D04"/>
    <w:rsid w:val="00E31DA0"/>
    <w:rsid w:val="00E31FFF"/>
    <w:rsid w:val="00E32701"/>
    <w:rsid w:val="00E32C75"/>
    <w:rsid w:val="00E32D9A"/>
    <w:rsid w:val="00E33279"/>
    <w:rsid w:val="00E333F5"/>
    <w:rsid w:val="00E334C9"/>
    <w:rsid w:val="00E336FF"/>
    <w:rsid w:val="00E33B69"/>
    <w:rsid w:val="00E3404E"/>
    <w:rsid w:val="00E34BA5"/>
    <w:rsid w:val="00E34F67"/>
    <w:rsid w:val="00E35057"/>
    <w:rsid w:val="00E358AB"/>
    <w:rsid w:val="00E36160"/>
    <w:rsid w:val="00E36651"/>
    <w:rsid w:val="00E36999"/>
    <w:rsid w:val="00E36AA9"/>
    <w:rsid w:val="00E36F9D"/>
    <w:rsid w:val="00E3718A"/>
    <w:rsid w:val="00E37230"/>
    <w:rsid w:val="00E40779"/>
    <w:rsid w:val="00E41AF1"/>
    <w:rsid w:val="00E41C3B"/>
    <w:rsid w:val="00E41E45"/>
    <w:rsid w:val="00E42427"/>
    <w:rsid w:val="00E42C67"/>
    <w:rsid w:val="00E434D6"/>
    <w:rsid w:val="00E43B40"/>
    <w:rsid w:val="00E43F63"/>
    <w:rsid w:val="00E44077"/>
    <w:rsid w:val="00E44100"/>
    <w:rsid w:val="00E4417E"/>
    <w:rsid w:val="00E4456A"/>
    <w:rsid w:val="00E44596"/>
    <w:rsid w:val="00E4464E"/>
    <w:rsid w:val="00E448D6"/>
    <w:rsid w:val="00E450BD"/>
    <w:rsid w:val="00E45624"/>
    <w:rsid w:val="00E460DF"/>
    <w:rsid w:val="00E46D37"/>
    <w:rsid w:val="00E50B2F"/>
    <w:rsid w:val="00E50DE4"/>
    <w:rsid w:val="00E513E9"/>
    <w:rsid w:val="00E51549"/>
    <w:rsid w:val="00E51AD4"/>
    <w:rsid w:val="00E52137"/>
    <w:rsid w:val="00E522CC"/>
    <w:rsid w:val="00E523F5"/>
    <w:rsid w:val="00E52647"/>
    <w:rsid w:val="00E526D1"/>
    <w:rsid w:val="00E529AA"/>
    <w:rsid w:val="00E5307E"/>
    <w:rsid w:val="00E54A37"/>
    <w:rsid w:val="00E5509D"/>
    <w:rsid w:val="00E55198"/>
    <w:rsid w:val="00E55392"/>
    <w:rsid w:val="00E566F5"/>
    <w:rsid w:val="00E56732"/>
    <w:rsid w:val="00E56FE5"/>
    <w:rsid w:val="00E56FF5"/>
    <w:rsid w:val="00E6013F"/>
    <w:rsid w:val="00E605C4"/>
    <w:rsid w:val="00E61139"/>
    <w:rsid w:val="00E61576"/>
    <w:rsid w:val="00E62884"/>
    <w:rsid w:val="00E62A03"/>
    <w:rsid w:val="00E62BAD"/>
    <w:rsid w:val="00E62C6F"/>
    <w:rsid w:val="00E62C86"/>
    <w:rsid w:val="00E62E65"/>
    <w:rsid w:val="00E6376A"/>
    <w:rsid w:val="00E64DBB"/>
    <w:rsid w:val="00E654F0"/>
    <w:rsid w:val="00E6553B"/>
    <w:rsid w:val="00E65727"/>
    <w:rsid w:val="00E659A3"/>
    <w:rsid w:val="00E660EB"/>
    <w:rsid w:val="00E662A2"/>
    <w:rsid w:val="00E664CF"/>
    <w:rsid w:val="00E6695F"/>
    <w:rsid w:val="00E669F1"/>
    <w:rsid w:val="00E67B20"/>
    <w:rsid w:val="00E67D75"/>
    <w:rsid w:val="00E70A4F"/>
    <w:rsid w:val="00E71270"/>
    <w:rsid w:val="00E713DE"/>
    <w:rsid w:val="00E71888"/>
    <w:rsid w:val="00E71AD0"/>
    <w:rsid w:val="00E72652"/>
    <w:rsid w:val="00E7272D"/>
    <w:rsid w:val="00E73722"/>
    <w:rsid w:val="00E742BC"/>
    <w:rsid w:val="00E74E95"/>
    <w:rsid w:val="00E75BA3"/>
    <w:rsid w:val="00E76099"/>
    <w:rsid w:val="00E76F2D"/>
    <w:rsid w:val="00E806B3"/>
    <w:rsid w:val="00E80E56"/>
    <w:rsid w:val="00E813B6"/>
    <w:rsid w:val="00E81E29"/>
    <w:rsid w:val="00E82DB2"/>
    <w:rsid w:val="00E8307C"/>
    <w:rsid w:val="00E833E0"/>
    <w:rsid w:val="00E83A54"/>
    <w:rsid w:val="00E83F58"/>
    <w:rsid w:val="00E853B3"/>
    <w:rsid w:val="00E8545D"/>
    <w:rsid w:val="00E85506"/>
    <w:rsid w:val="00E8555D"/>
    <w:rsid w:val="00E856E6"/>
    <w:rsid w:val="00E85DFF"/>
    <w:rsid w:val="00E86E50"/>
    <w:rsid w:val="00E87554"/>
    <w:rsid w:val="00E876E3"/>
    <w:rsid w:val="00E91792"/>
    <w:rsid w:val="00E91A99"/>
    <w:rsid w:val="00E92230"/>
    <w:rsid w:val="00E929CD"/>
    <w:rsid w:val="00E92C33"/>
    <w:rsid w:val="00E92D05"/>
    <w:rsid w:val="00E92D21"/>
    <w:rsid w:val="00E930BB"/>
    <w:rsid w:val="00E9320C"/>
    <w:rsid w:val="00E9361D"/>
    <w:rsid w:val="00E93969"/>
    <w:rsid w:val="00E93C74"/>
    <w:rsid w:val="00E9457E"/>
    <w:rsid w:val="00E95158"/>
    <w:rsid w:val="00E951EB"/>
    <w:rsid w:val="00E95317"/>
    <w:rsid w:val="00E95633"/>
    <w:rsid w:val="00E966DE"/>
    <w:rsid w:val="00E96A05"/>
    <w:rsid w:val="00E97424"/>
    <w:rsid w:val="00E975C2"/>
    <w:rsid w:val="00E97622"/>
    <w:rsid w:val="00E97927"/>
    <w:rsid w:val="00E979A8"/>
    <w:rsid w:val="00E97A20"/>
    <w:rsid w:val="00E97D4F"/>
    <w:rsid w:val="00EA0543"/>
    <w:rsid w:val="00EA05DF"/>
    <w:rsid w:val="00EA08B1"/>
    <w:rsid w:val="00EA09E7"/>
    <w:rsid w:val="00EA1647"/>
    <w:rsid w:val="00EA20DE"/>
    <w:rsid w:val="00EA2140"/>
    <w:rsid w:val="00EA231A"/>
    <w:rsid w:val="00EA27B4"/>
    <w:rsid w:val="00EA37B4"/>
    <w:rsid w:val="00EA45B7"/>
    <w:rsid w:val="00EA45FD"/>
    <w:rsid w:val="00EA4701"/>
    <w:rsid w:val="00EA4926"/>
    <w:rsid w:val="00EA4C6B"/>
    <w:rsid w:val="00EA51BA"/>
    <w:rsid w:val="00EA528B"/>
    <w:rsid w:val="00EA5669"/>
    <w:rsid w:val="00EA58E5"/>
    <w:rsid w:val="00EA592D"/>
    <w:rsid w:val="00EA62BC"/>
    <w:rsid w:val="00EA696B"/>
    <w:rsid w:val="00EA6CFB"/>
    <w:rsid w:val="00EA73BD"/>
    <w:rsid w:val="00EA7873"/>
    <w:rsid w:val="00EA7B6F"/>
    <w:rsid w:val="00EA7EB2"/>
    <w:rsid w:val="00EA7F4D"/>
    <w:rsid w:val="00EB01CF"/>
    <w:rsid w:val="00EB05DE"/>
    <w:rsid w:val="00EB08E1"/>
    <w:rsid w:val="00EB0CD4"/>
    <w:rsid w:val="00EB0ED0"/>
    <w:rsid w:val="00EB0F1C"/>
    <w:rsid w:val="00EB0F8B"/>
    <w:rsid w:val="00EB1107"/>
    <w:rsid w:val="00EB1523"/>
    <w:rsid w:val="00EB1EB7"/>
    <w:rsid w:val="00EB213F"/>
    <w:rsid w:val="00EB29DA"/>
    <w:rsid w:val="00EB2E40"/>
    <w:rsid w:val="00EB3086"/>
    <w:rsid w:val="00EB35AB"/>
    <w:rsid w:val="00EB4278"/>
    <w:rsid w:val="00EB4887"/>
    <w:rsid w:val="00EB4978"/>
    <w:rsid w:val="00EB4A4C"/>
    <w:rsid w:val="00EB5180"/>
    <w:rsid w:val="00EB5875"/>
    <w:rsid w:val="00EB5A90"/>
    <w:rsid w:val="00EB6EEC"/>
    <w:rsid w:val="00EB7C1E"/>
    <w:rsid w:val="00EB7CF2"/>
    <w:rsid w:val="00EC132C"/>
    <w:rsid w:val="00EC2150"/>
    <w:rsid w:val="00EC2B2C"/>
    <w:rsid w:val="00EC2C1A"/>
    <w:rsid w:val="00EC2F65"/>
    <w:rsid w:val="00EC325E"/>
    <w:rsid w:val="00EC3364"/>
    <w:rsid w:val="00EC3C89"/>
    <w:rsid w:val="00EC3F3C"/>
    <w:rsid w:val="00EC413D"/>
    <w:rsid w:val="00EC4961"/>
    <w:rsid w:val="00EC4C38"/>
    <w:rsid w:val="00EC5A05"/>
    <w:rsid w:val="00EC5FAA"/>
    <w:rsid w:val="00EC5FB5"/>
    <w:rsid w:val="00EC65D9"/>
    <w:rsid w:val="00EC6E53"/>
    <w:rsid w:val="00EC6EE9"/>
    <w:rsid w:val="00EC7292"/>
    <w:rsid w:val="00EC757F"/>
    <w:rsid w:val="00EC75F0"/>
    <w:rsid w:val="00EC7761"/>
    <w:rsid w:val="00EC7BEB"/>
    <w:rsid w:val="00EC7CD8"/>
    <w:rsid w:val="00ED03BC"/>
    <w:rsid w:val="00ED0EAC"/>
    <w:rsid w:val="00ED0FAF"/>
    <w:rsid w:val="00ED19C7"/>
    <w:rsid w:val="00ED1D68"/>
    <w:rsid w:val="00ED33E0"/>
    <w:rsid w:val="00ED358C"/>
    <w:rsid w:val="00ED376C"/>
    <w:rsid w:val="00ED4E6D"/>
    <w:rsid w:val="00ED502F"/>
    <w:rsid w:val="00ED520E"/>
    <w:rsid w:val="00ED5B02"/>
    <w:rsid w:val="00ED5B4A"/>
    <w:rsid w:val="00ED5D6D"/>
    <w:rsid w:val="00ED659B"/>
    <w:rsid w:val="00ED66CF"/>
    <w:rsid w:val="00ED6EC3"/>
    <w:rsid w:val="00ED7546"/>
    <w:rsid w:val="00EE0042"/>
    <w:rsid w:val="00EE0F54"/>
    <w:rsid w:val="00EE12BC"/>
    <w:rsid w:val="00EE16BA"/>
    <w:rsid w:val="00EE18B8"/>
    <w:rsid w:val="00EE1BBF"/>
    <w:rsid w:val="00EE28D0"/>
    <w:rsid w:val="00EE3024"/>
    <w:rsid w:val="00EE3811"/>
    <w:rsid w:val="00EE3A4D"/>
    <w:rsid w:val="00EE429A"/>
    <w:rsid w:val="00EE4789"/>
    <w:rsid w:val="00EE4A4C"/>
    <w:rsid w:val="00EE5602"/>
    <w:rsid w:val="00EE64F1"/>
    <w:rsid w:val="00EE696B"/>
    <w:rsid w:val="00EE6D04"/>
    <w:rsid w:val="00EE79FA"/>
    <w:rsid w:val="00EE7B29"/>
    <w:rsid w:val="00EF0B9B"/>
    <w:rsid w:val="00EF0EEB"/>
    <w:rsid w:val="00EF1A10"/>
    <w:rsid w:val="00EF1B96"/>
    <w:rsid w:val="00EF1F69"/>
    <w:rsid w:val="00EF2497"/>
    <w:rsid w:val="00EF2A6D"/>
    <w:rsid w:val="00EF2AA1"/>
    <w:rsid w:val="00EF2F76"/>
    <w:rsid w:val="00EF3300"/>
    <w:rsid w:val="00EF4025"/>
    <w:rsid w:val="00EF4883"/>
    <w:rsid w:val="00EF4BD9"/>
    <w:rsid w:val="00EF4D0D"/>
    <w:rsid w:val="00EF4E3C"/>
    <w:rsid w:val="00EF5415"/>
    <w:rsid w:val="00EF64E8"/>
    <w:rsid w:val="00EF663F"/>
    <w:rsid w:val="00EF6AA3"/>
    <w:rsid w:val="00EF730D"/>
    <w:rsid w:val="00EF73FD"/>
    <w:rsid w:val="00EF77DD"/>
    <w:rsid w:val="00EF7B49"/>
    <w:rsid w:val="00EF7EA1"/>
    <w:rsid w:val="00F003D2"/>
    <w:rsid w:val="00F00952"/>
    <w:rsid w:val="00F01113"/>
    <w:rsid w:val="00F011F7"/>
    <w:rsid w:val="00F0140B"/>
    <w:rsid w:val="00F01BB5"/>
    <w:rsid w:val="00F01E39"/>
    <w:rsid w:val="00F02575"/>
    <w:rsid w:val="00F02788"/>
    <w:rsid w:val="00F03285"/>
    <w:rsid w:val="00F0380B"/>
    <w:rsid w:val="00F03D14"/>
    <w:rsid w:val="00F04CC9"/>
    <w:rsid w:val="00F04FEA"/>
    <w:rsid w:val="00F05068"/>
    <w:rsid w:val="00F0526E"/>
    <w:rsid w:val="00F057E6"/>
    <w:rsid w:val="00F058E0"/>
    <w:rsid w:val="00F058E1"/>
    <w:rsid w:val="00F05EDB"/>
    <w:rsid w:val="00F068A3"/>
    <w:rsid w:val="00F06FB9"/>
    <w:rsid w:val="00F073F2"/>
    <w:rsid w:val="00F07913"/>
    <w:rsid w:val="00F112C9"/>
    <w:rsid w:val="00F11577"/>
    <w:rsid w:val="00F11D35"/>
    <w:rsid w:val="00F11D81"/>
    <w:rsid w:val="00F12184"/>
    <w:rsid w:val="00F126FF"/>
    <w:rsid w:val="00F12AC3"/>
    <w:rsid w:val="00F131B7"/>
    <w:rsid w:val="00F13268"/>
    <w:rsid w:val="00F1381E"/>
    <w:rsid w:val="00F13DA4"/>
    <w:rsid w:val="00F13EC8"/>
    <w:rsid w:val="00F14106"/>
    <w:rsid w:val="00F148CE"/>
    <w:rsid w:val="00F14E33"/>
    <w:rsid w:val="00F15BE0"/>
    <w:rsid w:val="00F15D90"/>
    <w:rsid w:val="00F16CDB"/>
    <w:rsid w:val="00F1707F"/>
    <w:rsid w:val="00F1721B"/>
    <w:rsid w:val="00F20A62"/>
    <w:rsid w:val="00F20D1F"/>
    <w:rsid w:val="00F21810"/>
    <w:rsid w:val="00F21A30"/>
    <w:rsid w:val="00F21CF1"/>
    <w:rsid w:val="00F21DE2"/>
    <w:rsid w:val="00F21E4C"/>
    <w:rsid w:val="00F22141"/>
    <w:rsid w:val="00F23436"/>
    <w:rsid w:val="00F2357D"/>
    <w:rsid w:val="00F23A2B"/>
    <w:rsid w:val="00F23A68"/>
    <w:rsid w:val="00F23A94"/>
    <w:rsid w:val="00F23F18"/>
    <w:rsid w:val="00F23F9B"/>
    <w:rsid w:val="00F24079"/>
    <w:rsid w:val="00F2414B"/>
    <w:rsid w:val="00F2417D"/>
    <w:rsid w:val="00F262A2"/>
    <w:rsid w:val="00F265CF"/>
    <w:rsid w:val="00F26AFB"/>
    <w:rsid w:val="00F26BC3"/>
    <w:rsid w:val="00F26C9B"/>
    <w:rsid w:val="00F26CF2"/>
    <w:rsid w:val="00F275B6"/>
    <w:rsid w:val="00F277CE"/>
    <w:rsid w:val="00F301D8"/>
    <w:rsid w:val="00F307F2"/>
    <w:rsid w:val="00F30C2B"/>
    <w:rsid w:val="00F30DF7"/>
    <w:rsid w:val="00F312C8"/>
    <w:rsid w:val="00F31C48"/>
    <w:rsid w:val="00F31D7F"/>
    <w:rsid w:val="00F31DD3"/>
    <w:rsid w:val="00F31F4B"/>
    <w:rsid w:val="00F32714"/>
    <w:rsid w:val="00F32AE1"/>
    <w:rsid w:val="00F32B46"/>
    <w:rsid w:val="00F343E9"/>
    <w:rsid w:val="00F34FF6"/>
    <w:rsid w:val="00F35255"/>
    <w:rsid w:val="00F359C6"/>
    <w:rsid w:val="00F35E00"/>
    <w:rsid w:val="00F35EA0"/>
    <w:rsid w:val="00F361C7"/>
    <w:rsid w:val="00F363FF"/>
    <w:rsid w:val="00F3675C"/>
    <w:rsid w:val="00F36E11"/>
    <w:rsid w:val="00F36EE3"/>
    <w:rsid w:val="00F373BD"/>
    <w:rsid w:val="00F37511"/>
    <w:rsid w:val="00F37529"/>
    <w:rsid w:val="00F37E1B"/>
    <w:rsid w:val="00F37EFA"/>
    <w:rsid w:val="00F40041"/>
    <w:rsid w:val="00F402D2"/>
    <w:rsid w:val="00F4059A"/>
    <w:rsid w:val="00F40B93"/>
    <w:rsid w:val="00F40D60"/>
    <w:rsid w:val="00F417CD"/>
    <w:rsid w:val="00F4180A"/>
    <w:rsid w:val="00F41917"/>
    <w:rsid w:val="00F42223"/>
    <w:rsid w:val="00F423F8"/>
    <w:rsid w:val="00F42C5B"/>
    <w:rsid w:val="00F42E15"/>
    <w:rsid w:val="00F43019"/>
    <w:rsid w:val="00F43193"/>
    <w:rsid w:val="00F43D5B"/>
    <w:rsid w:val="00F4431B"/>
    <w:rsid w:val="00F44810"/>
    <w:rsid w:val="00F448DF"/>
    <w:rsid w:val="00F45DBF"/>
    <w:rsid w:val="00F464BE"/>
    <w:rsid w:val="00F46779"/>
    <w:rsid w:val="00F46BAE"/>
    <w:rsid w:val="00F46F7B"/>
    <w:rsid w:val="00F47C2C"/>
    <w:rsid w:val="00F50552"/>
    <w:rsid w:val="00F50AB7"/>
    <w:rsid w:val="00F50CB2"/>
    <w:rsid w:val="00F51AE3"/>
    <w:rsid w:val="00F51C77"/>
    <w:rsid w:val="00F526A2"/>
    <w:rsid w:val="00F530D8"/>
    <w:rsid w:val="00F538D4"/>
    <w:rsid w:val="00F53919"/>
    <w:rsid w:val="00F53B84"/>
    <w:rsid w:val="00F54FEE"/>
    <w:rsid w:val="00F55237"/>
    <w:rsid w:val="00F553BA"/>
    <w:rsid w:val="00F55864"/>
    <w:rsid w:val="00F5603F"/>
    <w:rsid w:val="00F56242"/>
    <w:rsid w:val="00F562C0"/>
    <w:rsid w:val="00F56377"/>
    <w:rsid w:val="00F56557"/>
    <w:rsid w:val="00F56FE5"/>
    <w:rsid w:val="00F57013"/>
    <w:rsid w:val="00F57189"/>
    <w:rsid w:val="00F573AD"/>
    <w:rsid w:val="00F57405"/>
    <w:rsid w:val="00F6008A"/>
    <w:rsid w:val="00F6084A"/>
    <w:rsid w:val="00F60E9A"/>
    <w:rsid w:val="00F60F2C"/>
    <w:rsid w:val="00F62206"/>
    <w:rsid w:val="00F62F07"/>
    <w:rsid w:val="00F63294"/>
    <w:rsid w:val="00F63315"/>
    <w:rsid w:val="00F63366"/>
    <w:rsid w:val="00F6342E"/>
    <w:rsid w:val="00F638AB"/>
    <w:rsid w:val="00F6417D"/>
    <w:rsid w:val="00F64C71"/>
    <w:rsid w:val="00F64E4C"/>
    <w:rsid w:val="00F6515E"/>
    <w:rsid w:val="00F65DAB"/>
    <w:rsid w:val="00F66245"/>
    <w:rsid w:val="00F669BD"/>
    <w:rsid w:val="00F66F5A"/>
    <w:rsid w:val="00F676C9"/>
    <w:rsid w:val="00F67B5D"/>
    <w:rsid w:val="00F67EDA"/>
    <w:rsid w:val="00F67F79"/>
    <w:rsid w:val="00F70944"/>
    <w:rsid w:val="00F70D13"/>
    <w:rsid w:val="00F70EBE"/>
    <w:rsid w:val="00F713B0"/>
    <w:rsid w:val="00F71774"/>
    <w:rsid w:val="00F7182C"/>
    <w:rsid w:val="00F724A1"/>
    <w:rsid w:val="00F724E2"/>
    <w:rsid w:val="00F72647"/>
    <w:rsid w:val="00F727DE"/>
    <w:rsid w:val="00F729A8"/>
    <w:rsid w:val="00F729EA"/>
    <w:rsid w:val="00F733C9"/>
    <w:rsid w:val="00F73684"/>
    <w:rsid w:val="00F73C8E"/>
    <w:rsid w:val="00F74132"/>
    <w:rsid w:val="00F741E1"/>
    <w:rsid w:val="00F74787"/>
    <w:rsid w:val="00F751AA"/>
    <w:rsid w:val="00F7543F"/>
    <w:rsid w:val="00F76908"/>
    <w:rsid w:val="00F7728F"/>
    <w:rsid w:val="00F772CC"/>
    <w:rsid w:val="00F777B6"/>
    <w:rsid w:val="00F77841"/>
    <w:rsid w:val="00F77E04"/>
    <w:rsid w:val="00F77FC3"/>
    <w:rsid w:val="00F801F6"/>
    <w:rsid w:val="00F807BA"/>
    <w:rsid w:val="00F808C2"/>
    <w:rsid w:val="00F80D58"/>
    <w:rsid w:val="00F81757"/>
    <w:rsid w:val="00F81DFD"/>
    <w:rsid w:val="00F827A3"/>
    <w:rsid w:val="00F82BFD"/>
    <w:rsid w:val="00F8350B"/>
    <w:rsid w:val="00F83DAA"/>
    <w:rsid w:val="00F84536"/>
    <w:rsid w:val="00F85169"/>
    <w:rsid w:val="00F854CD"/>
    <w:rsid w:val="00F85929"/>
    <w:rsid w:val="00F85CAF"/>
    <w:rsid w:val="00F86507"/>
    <w:rsid w:val="00F866A7"/>
    <w:rsid w:val="00F906B6"/>
    <w:rsid w:val="00F906BB"/>
    <w:rsid w:val="00F91140"/>
    <w:rsid w:val="00F914F0"/>
    <w:rsid w:val="00F915C5"/>
    <w:rsid w:val="00F91FC1"/>
    <w:rsid w:val="00F9264A"/>
    <w:rsid w:val="00F9383F"/>
    <w:rsid w:val="00F93A08"/>
    <w:rsid w:val="00F93BFC"/>
    <w:rsid w:val="00F94130"/>
    <w:rsid w:val="00F947CB"/>
    <w:rsid w:val="00F953C0"/>
    <w:rsid w:val="00F963CE"/>
    <w:rsid w:val="00F964D3"/>
    <w:rsid w:val="00F96749"/>
    <w:rsid w:val="00F968CD"/>
    <w:rsid w:val="00F96DD5"/>
    <w:rsid w:val="00F96E5D"/>
    <w:rsid w:val="00F97160"/>
    <w:rsid w:val="00F979BA"/>
    <w:rsid w:val="00F979CA"/>
    <w:rsid w:val="00F979DA"/>
    <w:rsid w:val="00F97D3A"/>
    <w:rsid w:val="00F97D3E"/>
    <w:rsid w:val="00F97F17"/>
    <w:rsid w:val="00FA0B06"/>
    <w:rsid w:val="00FA0D80"/>
    <w:rsid w:val="00FA1459"/>
    <w:rsid w:val="00FA15C2"/>
    <w:rsid w:val="00FA1C0F"/>
    <w:rsid w:val="00FA2428"/>
    <w:rsid w:val="00FA37B8"/>
    <w:rsid w:val="00FA390D"/>
    <w:rsid w:val="00FA4709"/>
    <w:rsid w:val="00FA4828"/>
    <w:rsid w:val="00FA4A59"/>
    <w:rsid w:val="00FA4B4D"/>
    <w:rsid w:val="00FA5177"/>
    <w:rsid w:val="00FA56F6"/>
    <w:rsid w:val="00FA6844"/>
    <w:rsid w:val="00FA7517"/>
    <w:rsid w:val="00FA7DD6"/>
    <w:rsid w:val="00FB0B52"/>
    <w:rsid w:val="00FB0E1D"/>
    <w:rsid w:val="00FB1B0F"/>
    <w:rsid w:val="00FB1BA0"/>
    <w:rsid w:val="00FB204B"/>
    <w:rsid w:val="00FB23DE"/>
    <w:rsid w:val="00FB24F0"/>
    <w:rsid w:val="00FB31D9"/>
    <w:rsid w:val="00FB3224"/>
    <w:rsid w:val="00FB327B"/>
    <w:rsid w:val="00FB36D0"/>
    <w:rsid w:val="00FB3766"/>
    <w:rsid w:val="00FB3B88"/>
    <w:rsid w:val="00FB3C55"/>
    <w:rsid w:val="00FB3F5C"/>
    <w:rsid w:val="00FB43F3"/>
    <w:rsid w:val="00FB45DC"/>
    <w:rsid w:val="00FB4A9B"/>
    <w:rsid w:val="00FB51C0"/>
    <w:rsid w:val="00FB543C"/>
    <w:rsid w:val="00FB592D"/>
    <w:rsid w:val="00FB61F9"/>
    <w:rsid w:val="00FB6A70"/>
    <w:rsid w:val="00FB6C56"/>
    <w:rsid w:val="00FB75B2"/>
    <w:rsid w:val="00FB7B6C"/>
    <w:rsid w:val="00FC0349"/>
    <w:rsid w:val="00FC05D4"/>
    <w:rsid w:val="00FC06DD"/>
    <w:rsid w:val="00FC093E"/>
    <w:rsid w:val="00FC0C15"/>
    <w:rsid w:val="00FC1380"/>
    <w:rsid w:val="00FC1A68"/>
    <w:rsid w:val="00FC1B44"/>
    <w:rsid w:val="00FC2AE8"/>
    <w:rsid w:val="00FC2D10"/>
    <w:rsid w:val="00FC34CF"/>
    <w:rsid w:val="00FC41D5"/>
    <w:rsid w:val="00FC43D0"/>
    <w:rsid w:val="00FC50C7"/>
    <w:rsid w:val="00FC6608"/>
    <w:rsid w:val="00FC6FF1"/>
    <w:rsid w:val="00FC7238"/>
    <w:rsid w:val="00FC7468"/>
    <w:rsid w:val="00FC7EE3"/>
    <w:rsid w:val="00FD061D"/>
    <w:rsid w:val="00FD1832"/>
    <w:rsid w:val="00FD1DF6"/>
    <w:rsid w:val="00FD21F0"/>
    <w:rsid w:val="00FD38F9"/>
    <w:rsid w:val="00FD3909"/>
    <w:rsid w:val="00FD3A8E"/>
    <w:rsid w:val="00FD43BB"/>
    <w:rsid w:val="00FD4489"/>
    <w:rsid w:val="00FD44A7"/>
    <w:rsid w:val="00FD44D7"/>
    <w:rsid w:val="00FD4616"/>
    <w:rsid w:val="00FD492E"/>
    <w:rsid w:val="00FD4AF0"/>
    <w:rsid w:val="00FD4D09"/>
    <w:rsid w:val="00FD58FE"/>
    <w:rsid w:val="00FD5B09"/>
    <w:rsid w:val="00FD71C2"/>
    <w:rsid w:val="00FD7419"/>
    <w:rsid w:val="00FD74F4"/>
    <w:rsid w:val="00FE01A2"/>
    <w:rsid w:val="00FE08CC"/>
    <w:rsid w:val="00FE0EAE"/>
    <w:rsid w:val="00FE11E6"/>
    <w:rsid w:val="00FE1C06"/>
    <w:rsid w:val="00FE1F9A"/>
    <w:rsid w:val="00FE23D2"/>
    <w:rsid w:val="00FE2B2B"/>
    <w:rsid w:val="00FE2EC4"/>
    <w:rsid w:val="00FE34BC"/>
    <w:rsid w:val="00FE359D"/>
    <w:rsid w:val="00FE37AF"/>
    <w:rsid w:val="00FE3913"/>
    <w:rsid w:val="00FE40BF"/>
    <w:rsid w:val="00FE42A1"/>
    <w:rsid w:val="00FE432B"/>
    <w:rsid w:val="00FE4394"/>
    <w:rsid w:val="00FE4568"/>
    <w:rsid w:val="00FE4AA8"/>
    <w:rsid w:val="00FE4EC1"/>
    <w:rsid w:val="00FE6143"/>
    <w:rsid w:val="00FE62F6"/>
    <w:rsid w:val="00FE6522"/>
    <w:rsid w:val="00FE6DDD"/>
    <w:rsid w:val="00FE6E63"/>
    <w:rsid w:val="00FE7690"/>
    <w:rsid w:val="00FE7D47"/>
    <w:rsid w:val="00FF02B5"/>
    <w:rsid w:val="00FF0389"/>
    <w:rsid w:val="00FF043C"/>
    <w:rsid w:val="00FF0554"/>
    <w:rsid w:val="00FF0D39"/>
    <w:rsid w:val="00FF0EDC"/>
    <w:rsid w:val="00FF10F8"/>
    <w:rsid w:val="00FF11CD"/>
    <w:rsid w:val="00FF129D"/>
    <w:rsid w:val="00FF1E8A"/>
    <w:rsid w:val="00FF1F71"/>
    <w:rsid w:val="00FF21BC"/>
    <w:rsid w:val="00FF2D67"/>
    <w:rsid w:val="00FF3156"/>
    <w:rsid w:val="00FF38BC"/>
    <w:rsid w:val="00FF3C41"/>
    <w:rsid w:val="00FF4305"/>
    <w:rsid w:val="00FF4881"/>
    <w:rsid w:val="00FF4B69"/>
    <w:rsid w:val="00FF59BD"/>
    <w:rsid w:val="00FF5EDF"/>
    <w:rsid w:val="00FF6042"/>
    <w:rsid w:val="00FF637C"/>
    <w:rsid w:val="00FF68FD"/>
    <w:rsid w:val="00FF6C27"/>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6E69E53"/>
  <w14:defaultImageDpi w14:val="96"/>
  <w15:docId w15:val="{8A863ACD-FD67-4B77-81C5-A67E22F2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iPriority="99" w:unhideWhenUsed="1"/>
    <w:lsdException w:name="List Number 5" w:semiHidden="1" w:uiPriority="99"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iPriority="11" w:qFormat="1"/>
    <w:lsdException w:name="Body Text First Indent 2" w:semiHidden="1"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99"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99"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nhideWhenUsed="1"/>
    <w:lsdException w:name="Table Web 3" w:semiHidden="1" w:uiPriority="99"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7E99"/>
    <w:pPr>
      <w:ind w:firstLine="851"/>
      <w:jc w:val="both"/>
    </w:pPr>
    <w:rPr>
      <w:sz w:val="24"/>
      <w:lang w:eastAsia="pl-PL"/>
    </w:rPr>
  </w:style>
  <w:style w:type="paragraph" w:styleId="Heading1">
    <w:name w:val="heading 1"/>
    <w:basedOn w:val="Normal"/>
    <w:next w:val="Normal"/>
    <w:link w:val="Heading1Char"/>
    <w:uiPriority w:val="9"/>
    <w:qFormat/>
    <w:rsid w:val="00F148CE"/>
    <w:pPr>
      <w:keepNext/>
      <w:spacing w:before="240" w:after="60"/>
      <w:outlineLvl w:val="0"/>
    </w:pPr>
    <w:rPr>
      <w:rFonts w:ascii="Cambria" w:hAnsi="Cambria"/>
      <w:b/>
      <w:bCs/>
      <w:kern w:val="32"/>
      <w:sz w:val="32"/>
      <w:szCs w:val="32"/>
    </w:rPr>
  </w:style>
  <w:style w:type="paragraph" w:styleId="Heading2">
    <w:name w:val="heading 2"/>
    <w:aliases w:val="Heading 2 Char1,Heading 2 Char Char"/>
    <w:basedOn w:val="Normal"/>
    <w:next w:val="Normal"/>
    <w:link w:val="Heading2Char"/>
    <w:uiPriority w:val="9"/>
    <w:qFormat/>
    <w:rsid w:val="00140F09"/>
    <w:pPr>
      <w:keepNext/>
      <w:widowControl w:val="0"/>
      <w:spacing w:after="120"/>
      <w:outlineLvl w:val="1"/>
    </w:pPr>
    <w:rPr>
      <w:b/>
    </w:rPr>
  </w:style>
  <w:style w:type="paragraph" w:styleId="Heading3">
    <w:name w:val="heading 3"/>
    <w:aliases w:val="Heading 2 Char Char + Bookman Old Style,Gris - 80 %,Gauche :  2,97 ...,Címsor 3 Char"/>
    <w:basedOn w:val="Normal"/>
    <w:next w:val="Normal"/>
    <w:link w:val="Heading3Char2"/>
    <w:uiPriority w:val="9"/>
    <w:unhideWhenUsed/>
    <w:qFormat/>
    <w:rsid w:val="006C631E"/>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unhideWhenUsed/>
    <w:qFormat/>
    <w:rsid w:val="00140F09"/>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qFormat/>
    <w:rsid w:val="00140F09"/>
    <w:pPr>
      <w:keepNext/>
      <w:outlineLvl w:val="4"/>
    </w:pPr>
    <w:rPr>
      <w:b/>
    </w:rPr>
  </w:style>
  <w:style w:type="paragraph" w:styleId="Heading6">
    <w:name w:val="heading 6"/>
    <w:basedOn w:val="Normal"/>
    <w:next w:val="Normal"/>
    <w:link w:val="Heading6Char"/>
    <w:uiPriority w:val="9"/>
    <w:qFormat/>
    <w:rsid w:val="00140F09"/>
    <w:pPr>
      <w:keepNext/>
      <w:widowControl w:val="0"/>
      <w:numPr>
        <w:ilvl w:val="5"/>
        <w:numId w:val="12"/>
      </w:numPr>
      <w:spacing w:line="254" w:lineRule="exact"/>
      <w:outlineLvl w:val="5"/>
    </w:pPr>
    <w:rPr>
      <w:b/>
      <w:smallCaps/>
      <w:color w:val="000000"/>
      <w:spacing w:val="-7"/>
    </w:rPr>
  </w:style>
  <w:style w:type="paragraph" w:styleId="Heading7">
    <w:name w:val="heading 7"/>
    <w:basedOn w:val="Normal"/>
    <w:next w:val="Normal"/>
    <w:link w:val="Heading7Char"/>
    <w:uiPriority w:val="9"/>
    <w:qFormat/>
    <w:rsid w:val="00140F09"/>
    <w:pPr>
      <w:keepNext/>
      <w:widowControl w:val="0"/>
      <w:numPr>
        <w:ilvl w:val="6"/>
        <w:numId w:val="12"/>
      </w:numPr>
      <w:spacing w:line="254" w:lineRule="exact"/>
      <w:outlineLvl w:val="6"/>
    </w:pPr>
    <w:rPr>
      <w:color w:val="000000"/>
      <w:spacing w:val="-4"/>
    </w:rPr>
  </w:style>
  <w:style w:type="paragraph" w:styleId="Heading8">
    <w:name w:val="heading 8"/>
    <w:basedOn w:val="Normal"/>
    <w:next w:val="Normal"/>
    <w:link w:val="Heading8Char"/>
    <w:uiPriority w:val="9"/>
    <w:qFormat/>
    <w:rsid w:val="00140F09"/>
    <w:pPr>
      <w:keepNext/>
      <w:numPr>
        <w:ilvl w:val="7"/>
        <w:numId w:val="12"/>
      </w:numPr>
      <w:outlineLvl w:val="7"/>
    </w:pPr>
    <w:rPr>
      <w:b/>
    </w:rPr>
  </w:style>
  <w:style w:type="paragraph" w:styleId="Heading9">
    <w:name w:val="heading 9"/>
    <w:basedOn w:val="Normal"/>
    <w:next w:val="Normal"/>
    <w:link w:val="Heading9Char"/>
    <w:uiPriority w:val="9"/>
    <w:qFormat/>
    <w:rsid w:val="00140F09"/>
    <w:pPr>
      <w:keepNext/>
      <w:widowControl w:val="0"/>
      <w:numPr>
        <w:ilvl w:val="8"/>
        <w:numId w:val="12"/>
      </w:numPr>
      <w:spacing w:line="254" w:lineRule="exact"/>
      <w:outlineLvl w:val="8"/>
    </w:pPr>
    <w:rPr>
      <w:b/>
      <w:color w:val="000000"/>
      <w:spacing w:val="-5"/>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148CE"/>
    <w:rPr>
      <w:rFonts w:ascii="Cambria" w:hAnsi="Cambria"/>
      <w:b/>
      <w:kern w:val="32"/>
      <w:sz w:val="32"/>
      <w:lang w:val="x-none" w:eastAsia="pl-PL"/>
    </w:rPr>
  </w:style>
  <w:style w:type="character" w:customStyle="1" w:styleId="Heading2Char">
    <w:name w:val="Heading 2 Char"/>
    <w:aliases w:val="Heading 2 Char1 Char,Heading 2 Char Char Char"/>
    <w:link w:val="Heading2"/>
    <w:uiPriority w:val="9"/>
    <w:locked/>
    <w:rsid w:val="00140F09"/>
    <w:rPr>
      <w:b/>
      <w:sz w:val="24"/>
      <w:lang w:val="x-none" w:eastAsia="pl-PL"/>
    </w:rPr>
  </w:style>
  <w:style w:type="character" w:customStyle="1" w:styleId="Heading3Char">
    <w:name w:val="Heading 3 Char"/>
    <w:aliases w:val="Heading 2 Char Char + Bookman Old Style Char,Gris - 80 % Char,Gauche :  2 Char,97 ... Char,Címsor 3 Char Char"/>
    <w:uiPriority w:val="9"/>
    <w:semiHidden/>
    <w:rPr>
      <w:rFonts w:ascii="Cambria" w:hAnsi="Cambria"/>
      <w:b/>
      <w:sz w:val="26"/>
      <w:lang w:val="x-none" w:eastAsia="pl-PL"/>
    </w:rPr>
  </w:style>
  <w:style w:type="character" w:customStyle="1" w:styleId="Heading4Char">
    <w:name w:val="Heading 4 Char"/>
    <w:link w:val="Heading4"/>
    <w:uiPriority w:val="9"/>
    <w:locked/>
    <w:rsid w:val="00140F09"/>
    <w:rPr>
      <w:rFonts w:ascii="Cambria" w:hAnsi="Cambria"/>
      <w:b/>
      <w:i/>
      <w:color w:val="4F81BD"/>
      <w:lang w:val="x-none" w:eastAsia="pl-PL"/>
    </w:rPr>
  </w:style>
  <w:style w:type="character" w:customStyle="1" w:styleId="Heading5Char">
    <w:name w:val="Heading 5 Char"/>
    <w:link w:val="Heading5"/>
    <w:uiPriority w:val="9"/>
    <w:locked/>
    <w:rsid w:val="00140F09"/>
    <w:rPr>
      <w:b/>
      <w:sz w:val="24"/>
      <w:lang w:val="x-none" w:eastAsia="pl-PL"/>
    </w:rPr>
  </w:style>
  <w:style w:type="character" w:customStyle="1" w:styleId="Heading6Char">
    <w:name w:val="Heading 6 Char"/>
    <w:link w:val="Heading6"/>
    <w:uiPriority w:val="9"/>
    <w:locked/>
    <w:rsid w:val="00140F09"/>
    <w:rPr>
      <w:b/>
      <w:smallCaps/>
      <w:color w:val="000000"/>
      <w:spacing w:val="-7"/>
      <w:sz w:val="24"/>
      <w:lang w:eastAsia="pl-PL"/>
    </w:rPr>
  </w:style>
  <w:style w:type="character" w:customStyle="1" w:styleId="Heading7Char">
    <w:name w:val="Heading 7 Char"/>
    <w:link w:val="Heading7"/>
    <w:uiPriority w:val="9"/>
    <w:locked/>
    <w:rsid w:val="00140F09"/>
    <w:rPr>
      <w:color w:val="000000"/>
      <w:spacing w:val="-4"/>
      <w:sz w:val="24"/>
      <w:lang w:eastAsia="pl-PL"/>
    </w:rPr>
  </w:style>
  <w:style w:type="character" w:customStyle="1" w:styleId="Heading8Char">
    <w:name w:val="Heading 8 Char"/>
    <w:link w:val="Heading8"/>
    <w:uiPriority w:val="9"/>
    <w:locked/>
    <w:rsid w:val="00140F09"/>
    <w:rPr>
      <w:b/>
      <w:sz w:val="24"/>
      <w:lang w:eastAsia="pl-PL"/>
    </w:rPr>
  </w:style>
  <w:style w:type="character" w:customStyle="1" w:styleId="Heading9Char">
    <w:name w:val="Heading 9 Char"/>
    <w:link w:val="Heading9"/>
    <w:uiPriority w:val="9"/>
    <w:locked/>
    <w:rsid w:val="00140F09"/>
    <w:rPr>
      <w:b/>
      <w:color w:val="000000"/>
      <w:spacing w:val="-5"/>
      <w:sz w:val="23"/>
      <w:lang w:eastAsia="pl-PL"/>
    </w:rPr>
  </w:style>
  <w:style w:type="paragraph" w:customStyle="1" w:styleId="CharCharChar1CharCharChar">
    <w:name w:val="Char Char Char1 Char Char Char"/>
    <w:basedOn w:val="Normal"/>
    <w:rsid w:val="00B3570E"/>
    <w:pPr>
      <w:spacing w:after="160" w:line="240" w:lineRule="exact"/>
    </w:pPr>
    <w:rPr>
      <w:rFonts w:ascii="Tahoma" w:hAnsi="Tahoma"/>
      <w:lang w:val="en-US" w:eastAsia="en-US"/>
    </w:rPr>
  </w:style>
  <w:style w:type="paragraph" w:customStyle="1" w:styleId="Normal1">
    <w:name w:val="Normal1"/>
    <w:basedOn w:val="Normal"/>
    <w:rsid w:val="009530DF"/>
    <w:pPr>
      <w:spacing w:before="100" w:beforeAutospacing="1" w:after="100" w:afterAutospacing="1"/>
    </w:pPr>
    <w:rPr>
      <w:szCs w:val="24"/>
      <w:lang w:eastAsia="bg-BG"/>
    </w:rPr>
  </w:style>
  <w:style w:type="paragraph" w:customStyle="1" w:styleId="Default">
    <w:name w:val="Default"/>
    <w:rsid w:val="0080058A"/>
    <w:pPr>
      <w:autoSpaceDE w:val="0"/>
      <w:autoSpaceDN w:val="0"/>
      <w:adjustRightInd w:val="0"/>
      <w:jc w:val="center"/>
    </w:pPr>
    <w:rPr>
      <w:color w:val="000000"/>
      <w:sz w:val="24"/>
      <w:szCs w:val="24"/>
    </w:rPr>
  </w:style>
  <w:style w:type="paragraph" w:customStyle="1" w:styleId="CM1">
    <w:name w:val="CM1"/>
    <w:basedOn w:val="Default"/>
    <w:next w:val="Default"/>
    <w:uiPriority w:val="99"/>
    <w:rsid w:val="003B6965"/>
    <w:rPr>
      <w:rFonts w:ascii="EUAlbertina" w:hAnsi="EUAlbertina"/>
      <w:color w:val="auto"/>
    </w:rPr>
  </w:style>
  <w:style w:type="paragraph" w:customStyle="1" w:styleId="CM3">
    <w:name w:val="CM3"/>
    <w:basedOn w:val="Default"/>
    <w:next w:val="Default"/>
    <w:uiPriority w:val="99"/>
    <w:rsid w:val="003B6965"/>
    <w:rPr>
      <w:rFonts w:ascii="EUAlbertina" w:hAnsi="EUAlbertina"/>
      <w:color w:val="auto"/>
    </w:rPr>
  </w:style>
  <w:style w:type="paragraph" w:customStyle="1" w:styleId="CM4">
    <w:name w:val="CM4"/>
    <w:basedOn w:val="Default"/>
    <w:next w:val="Default"/>
    <w:uiPriority w:val="99"/>
    <w:rsid w:val="003B6965"/>
    <w:rPr>
      <w:rFonts w:ascii="EUAlbertina" w:hAnsi="EUAlbertina"/>
      <w:color w:val="auto"/>
    </w:rPr>
  </w:style>
  <w:style w:type="table" w:styleId="TableGrid">
    <w:name w:val="Table Grid"/>
    <w:basedOn w:val="TableNormal"/>
    <w:uiPriority w:val="39"/>
    <w:rsid w:val="00145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2520D"/>
    <w:rPr>
      <w:color w:val="0000FF"/>
      <w:u w:val="single"/>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
    <w:basedOn w:val="Normal"/>
    <w:link w:val="FootnoteTextChar"/>
    <w:uiPriority w:val="99"/>
    <w:unhideWhenUsed/>
    <w:qFormat/>
    <w:rsid w:val="0042520D"/>
    <w:pPr>
      <w:ind w:left="720" w:hanging="720"/>
    </w:pPr>
    <w:rPr>
      <w:lang w:val="en-GB"/>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link w:val="FootnoteText"/>
    <w:uiPriority w:val="99"/>
    <w:locked/>
    <w:rsid w:val="0042520D"/>
    <w:rPr>
      <w:rFonts w:eastAsia="Times New Roman"/>
      <w:lang w:val="en-GB" w:eastAsia="x-none"/>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ussnot,Footnote number"/>
    <w:link w:val="SUPERSChar"/>
    <w:uiPriority w:val="99"/>
    <w:unhideWhenUsed/>
    <w:rsid w:val="0042520D"/>
    <w:rPr>
      <w:shd w:val="clear" w:color="auto" w:fill="auto"/>
      <w:vertAlign w:val="superscript"/>
    </w:rPr>
  </w:style>
  <w:style w:type="paragraph" w:styleId="BalloonText">
    <w:name w:val="Balloon Text"/>
    <w:basedOn w:val="Normal"/>
    <w:link w:val="BalloonTextChar"/>
    <w:uiPriority w:val="99"/>
    <w:rsid w:val="00D033BE"/>
    <w:rPr>
      <w:rFonts w:ascii="Tahoma" w:hAnsi="Tahoma" w:cs="Tahoma"/>
      <w:sz w:val="16"/>
      <w:szCs w:val="16"/>
    </w:rPr>
  </w:style>
  <w:style w:type="character" w:customStyle="1" w:styleId="BalloonTextChar">
    <w:name w:val="Balloon Text Char"/>
    <w:link w:val="BalloonText"/>
    <w:uiPriority w:val="99"/>
    <w:locked/>
    <w:rsid w:val="00D033BE"/>
    <w:rPr>
      <w:rFonts w:ascii="Tahoma" w:hAnsi="Tahoma"/>
      <w:sz w:val="16"/>
      <w:lang w:val="x-none" w:eastAsia="pl-PL"/>
    </w:rPr>
  </w:style>
  <w:style w:type="paragraph" w:styleId="Header">
    <w:name w:val="header"/>
    <w:aliases w:val="(17) EPR Header"/>
    <w:basedOn w:val="Normal"/>
    <w:link w:val="HeaderChar"/>
    <w:uiPriority w:val="99"/>
    <w:rsid w:val="00D033BE"/>
    <w:pPr>
      <w:tabs>
        <w:tab w:val="center" w:pos="4536"/>
        <w:tab w:val="right" w:pos="9072"/>
      </w:tabs>
    </w:pPr>
  </w:style>
  <w:style w:type="character" w:customStyle="1" w:styleId="HeaderChar">
    <w:name w:val="Header Char"/>
    <w:aliases w:val="(17) EPR Header Char"/>
    <w:link w:val="Header"/>
    <w:uiPriority w:val="99"/>
    <w:locked/>
    <w:rsid w:val="00D033BE"/>
    <w:rPr>
      <w:lang w:val="x-none" w:eastAsia="pl-PL"/>
    </w:rPr>
  </w:style>
  <w:style w:type="paragraph" w:styleId="Footer">
    <w:name w:val="footer"/>
    <w:basedOn w:val="Normal"/>
    <w:link w:val="FooterChar"/>
    <w:uiPriority w:val="99"/>
    <w:rsid w:val="00D033BE"/>
    <w:pPr>
      <w:tabs>
        <w:tab w:val="center" w:pos="4536"/>
        <w:tab w:val="right" w:pos="9072"/>
      </w:tabs>
    </w:pPr>
  </w:style>
  <w:style w:type="character" w:customStyle="1" w:styleId="FooterChar">
    <w:name w:val="Footer Char"/>
    <w:link w:val="Footer"/>
    <w:uiPriority w:val="99"/>
    <w:locked/>
    <w:rsid w:val="00D033BE"/>
    <w:rPr>
      <w:lang w:val="x-none" w:eastAsia="pl-PL"/>
    </w:rPr>
  </w:style>
  <w:style w:type="paragraph" w:styleId="BodyText">
    <w:name w:val="Body Text"/>
    <w:basedOn w:val="Normal"/>
    <w:link w:val="BodyTextChar"/>
    <w:uiPriority w:val="99"/>
    <w:unhideWhenUsed/>
    <w:rsid w:val="00F363FF"/>
    <w:rPr>
      <w:b/>
      <w:bCs/>
      <w:szCs w:val="24"/>
      <w:lang w:eastAsia="en-US"/>
    </w:rPr>
  </w:style>
  <w:style w:type="character" w:customStyle="1" w:styleId="BodyTextChar">
    <w:name w:val="Body Text Char"/>
    <w:link w:val="BodyText"/>
    <w:uiPriority w:val="99"/>
    <w:locked/>
    <w:rsid w:val="00F363FF"/>
    <w:rPr>
      <w:b/>
      <w:sz w:val="24"/>
      <w:lang w:val="x-none" w:eastAsia="en-US"/>
    </w:rPr>
  </w:style>
  <w:style w:type="paragraph" w:styleId="Title">
    <w:name w:val="Title"/>
    <w:basedOn w:val="Normal"/>
    <w:next w:val="Normal"/>
    <w:link w:val="TitleChar"/>
    <w:uiPriority w:val="10"/>
    <w:qFormat/>
    <w:rsid w:val="00F148CE"/>
    <w:pPr>
      <w:spacing w:before="240" w:after="60"/>
      <w:outlineLvl w:val="0"/>
    </w:pPr>
    <w:rPr>
      <w:rFonts w:ascii="Cambria" w:hAnsi="Cambria"/>
      <w:b/>
      <w:bCs/>
      <w:kern w:val="28"/>
      <w:sz w:val="32"/>
      <w:szCs w:val="32"/>
    </w:rPr>
  </w:style>
  <w:style w:type="character" w:customStyle="1" w:styleId="TitleChar">
    <w:name w:val="Title Char"/>
    <w:link w:val="Title"/>
    <w:uiPriority w:val="10"/>
    <w:locked/>
    <w:rsid w:val="00F148CE"/>
    <w:rPr>
      <w:rFonts w:ascii="Cambria" w:hAnsi="Cambria"/>
      <w:b/>
      <w:kern w:val="28"/>
      <w:sz w:val="32"/>
      <w:lang w:val="x-none" w:eastAsia="pl-PL"/>
    </w:rPr>
  </w:style>
  <w:style w:type="paragraph" w:styleId="TOCHeading">
    <w:name w:val="TOC Heading"/>
    <w:basedOn w:val="Heading1"/>
    <w:next w:val="Normal"/>
    <w:uiPriority w:val="39"/>
    <w:unhideWhenUsed/>
    <w:qFormat/>
    <w:rsid w:val="006E6608"/>
    <w:pPr>
      <w:keepLines/>
      <w:spacing w:before="480" w:after="0" w:line="276" w:lineRule="auto"/>
      <w:outlineLvl w:val="9"/>
    </w:pPr>
    <w:rPr>
      <w:color w:val="365F91"/>
      <w:kern w:val="0"/>
      <w:sz w:val="28"/>
      <w:szCs w:val="28"/>
      <w:lang w:eastAsia="bg-BG"/>
    </w:rPr>
  </w:style>
  <w:style w:type="paragraph" w:styleId="TOC2">
    <w:name w:val="toc 2"/>
    <w:basedOn w:val="Normal"/>
    <w:next w:val="Normal"/>
    <w:autoRedefine/>
    <w:uiPriority w:val="39"/>
    <w:unhideWhenUsed/>
    <w:qFormat/>
    <w:rsid w:val="00CE18E7"/>
    <w:pPr>
      <w:tabs>
        <w:tab w:val="left" w:pos="800"/>
        <w:tab w:val="left" w:pos="1600"/>
        <w:tab w:val="right" w:leader="dot" w:pos="9498"/>
      </w:tabs>
      <w:spacing w:before="120"/>
      <w:ind w:left="993" w:firstLine="0"/>
      <w:jc w:val="left"/>
    </w:pPr>
    <w:rPr>
      <w:iCs/>
      <w:szCs w:val="24"/>
    </w:rPr>
  </w:style>
  <w:style w:type="paragraph" w:styleId="TOC1">
    <w:name w:val="toc 1"/>
    <w:basedOn w:val="Normal"/>
    <w:next w:val="Normal"/>
    <w:autoRedefine/>
    <w:uiPriority w:val="39"/>
    <w:unhideWhenUsed/>
    <w:qFormat/>
    <w:rsid w:val="004F48CB"/>
    <w:pPr>
      <w:spacing w:before="240" w:after="120"/>
      <w:ind w:left="851" w:firstLine="0"/>
      <w:jc w:val="left"/>
    </w:pPr>
    <w:rPr>
      <w:rFonts w:asciiTheme="minorHAnsi" w:hAnsiTheme="minorHAnsi"/>
      <w:b/>
      <w:bCs/>
    </w:rPr>
  </w:style>
  <w:style w:type="paragraph" w:styleId="TOC3">
    <w:name w:val="toc 3"/>
    <w:basedOn w:val="Normal"/>
    <w:next w:val="Normal"/>
    <w:autoRedefine/>
    <w:uiPriority w:val="39"/>
    <w:unhideWhenUsed/>
    <w:qFormat/>
    <w:rsid w:val="00E2284B"/>
    <w:pPr>
      <w:ind w:left="993" w:firstLine="0"/>
      <w:jc w:val="left"/>
    </w:pPr>
    <w:rPr>
      <w:rFonts w:asciiTheme="minorHAnsi" w:hAnsiTheme="minorHAnsi"/>
    </w:rPr>
  </w:style>
  <w:style w:type="character" w:customStyle="1" w:styleId="Heading3Char2">
    <w:name w:val="Heading 3 Char2"/>
    <w:aliases w:val="Heading 2 Char Char + Bookman Old Style Char3,Gris - 80 % Char3,Gauche :  2 Char3,97 ... Char3,Címsor 3 Char Char1"/>
    <w:link w:val="Heading3"/>
    <w:uiPriority w:val="9"/>
    <w:locked/>
    <w:rsid w:val="006C631E"/>
    <w:rPr>
      <w:rFonts w:ascii="Cambria" w:hAnsi="Cambria"/>
      <w:b/>
      <w:color w:val="4F81BD"/>
      <w:lang w:val="x-none" w:eastAsia="pl-PL"/>
    </w:rPr>
  </w:style>
  <w:style w:type="paragraph" w:styleId="ListParagraph">
    <w:name w:val="List Paragraph"/>
    <w:basedOn w:val="Normal"/>
    <w:link w:val="ListParagraphChar"/>
    <w:uiPriority w:val="34"/>
    <w:qFormat/>
    <w:rsid w:val="009D0DC1"/>
    <w:pPr>
      <w:ind w:left="720"/>
      <w:contextualSpacing/>
    </w:pPr>
  </w:style>
  <w:style w:type="character" w:styleId="CommentReference">
    <w:name w:val="annotation reference"/>
    <w:uiPriority w:val="99"/>
    <w:unhideWhenUsed/>
    <w:rsid w:val="001A00E7"/>
    <w:rPr>
      <w:sz w:val="16"/>
    </w:rPr>
  </w:style>
  <w:style w:type="paragraph" w:styleId="CommentText">
    <w:name w:val="annotation text"/>
    <w:basedOn w:val="Normal"/>
    <w:link w:val="CommentTextChar"/>
    <w:uiPriority w:val="99"/>
    <w:unhideWhenUsed/>
    <w:rsid w:val="001A00E7"/>
  </w:style>
  <w:style w:type="character" w:customStyle="1" w:styleId="CommentTextChar">
    <w:name w:val="Comment Text Char"/>
    <w:link w:val="CommentText"/>
    <w:uiPriority w:val="99"/>
    <w:locked/>
    <w:rsid w:val="001A00E7"/>
    <w:rPr>
      <w:lang w:val="x-none" w:eastAsia="pl-PL"/>
    </w:rPr>
  </w:style>
  <w:style w:type="paragraph" w:customStyle="1" w:styleId="BodyText21">
    <w:name w:val="Body Text 21"/>
    <w:basedOn w:val="Normal"/>
    <w:rsid w:val="00140F09"/>
  </w:style>
  <w:style w:type="paragraph" w:styleId="TOC4">
    <w:name w:val="toc 4"/>
    <w:basedOn w:val="Normal"/>
    <w:next w:val="Normal"/>
    <w:autoRedefine/>
    <w:uiPriority w:val="39"/>
    <w:rsid w:val="00140F09"/>
    <w:pPr>
      <w:ind w:left="600"/>
      <w:jc w:val="left"/>
    </w:pPr>
    <w:rPr>
      <w:rFonts w:asciiTheme="minorHAnsi" w:hAnsiTheme="minorHAnsi"/>
    </w:rPr>
  </w:style>
  <w:style w:type="paragraph" w:styleId="TOC5">
    <w:name w:val="toc 5"/>
    <w:basedOn w:val="Normal"/>
    <w:next w:val="Normal"/>
    <w:autoRedefine/>
    <w:uiPriority w:val="39"/>
    <w:rsid w:val="00140F09"/>
    <w:pPr>
      <w:ind w:left="800"/>
      <w:jc w:val="left"/>
    </w:pPr>
    <w:rPr>
      <w:rFonts w:asciiTheme="minorHAnsi" w:hAnsiTheme="minorHAnsi"/>
    </w:rPr>
  </w:style>
  <w:style w:type="paragraph" w:styleId="BodyText3">
    <w:name w:val="Body Text 3"/>
    <w:basedOn w:val="Normal"/>
    <w:link w:val="BodyText3Char"/>
    <w:uiPriority w:val="99"/>
    <w:rsid w:val="00140F09"/>
  </w:style>
  <w:style w:type="character" w:customStyle="1" w:styleId="BodyText3Char">
    <w:name w:val="Body Text 3 Char"/>
    <w:link w:val="BodyText3"/>
    <w:uiPriority w:val="99"/>
    <w:locked/>
    <w:rsid w:val="00140F09"/>
    <w:rPr>
      <w:sz w:val="24"/>
      <w:lang w:val="x-none" w:eastAsia="pl-PL"/>
    </w:rPr>
  </w:style>
  <w:style w:type="paragraph" w:customStyle="1" w:styleId="Styl1">
    <w:name w:val="Styl1"/>
    <w:basedOn w:val="NormalIndent"/>
    <w:rsid w:val="00140F09"/>
    <w:pPr>
      <w:widowControl/>
      <w:tabs>
        <w:tab w:val="num" w:pos="360"/>
      </w:tabs>
      <w:spacing w:before="200" w:line="320" w:lineRule="atLeast"/>
      <w:ind w:left="360" w:hanging="360"/>
    </w:pPr>
    <w:rPr>
      <w:rFonts w:ascii="Bookman Old Style" w:hAnsi="Bookman Old Style"/>
      <w:sz w:val="18"/>
    </w:rPr>
  </w:style>
  <w:style w:type="paragraph" w:styleId="NormalIndent">
    <w:name w:val="Normal Indent"/>
    <w:aliases w:val="Normal Indent Char"/>
    <w:basedOn w:val="Normal"/>
    <w:uiPriority w:val="99"/>
    <w:rsid w:val="00140F09"/>
    <w:pPr>
      <w:widowControl w:val="0"/>
      <w:numPr>
        <w:numId w:val="11"/>
      </w:numPr>
      <w:tabs>
        <w:tab w:val="clear" w:pos="360"/>
      </w:tabs>
      <w:ind w:left="708" w:firstLine="0"/>
    </w:pPr>
  </w:style>
  <w:style w:type="paragraph" w:styleId="BodyText2">
    <w:name w:val="Body Text 2"/>
    <w:basedOn w:val="Normal"/>
    <w:link w:val="BodyText2Char"/>
    <w:uiPriority w:val="99"/>
    <w:rsid w:val="00140F09"/>
    <w:pPr>
      <w:widowControl w:val="0"/>
    </w:pPr>
    <w:rPr>
      <w:i/>
      <w:u w:val="single"/>
    </w:rPr>
  </w:style>
  <w:style w:type="character" w:customStyle="1" w:styleId="BodyText2Char">
    <w:name w:val="Body Text 2 Char"/>
    <w:link w:val="BodyText2"/>
    <w:uiPriority w:val="99"/>
    <w:locked/>
    <w:rsid w:val="00140F09"/>
    <w:rPr>
      <w:i/>
      <w:sz w:val="24"/>
      <w:u w:val="single"/>
      <w:lang w:val="x-none" w:eastAsia="pl-PL"/>
    </w:rPr>
  </w:style>
  <w:style w:type="paragraph" w:customStyle="1" w:styleId="NumPar1">
    <w:name w:val="NumPar 1"/>
    <w:basedOn w:val="Normal"/>
    <w:next w:val="Normal"/>
    <w:link w:val="NumPar1Tegn"/>
    <w:rsid w:val="00140F09"/>
    <w:pPr>
      <w:tabs>
        <w:tab w:val="num" w:pos="360"/>
      </w:tabs>
      <w:spacing w:before="120" w:after="120"/>
      <w:ind w:left="360" w:hanging="360"/>
    </w:pPr>
    <w:rPr>
      <w:lang w:val="en-GB"/>
    </w:rPr>
  </w:style>
  <w:style w:type="paragraph" w:customStyle="1" w:styleId="a">
    <w:name w:val="ŚŚ"/>
    <w:basedOn w:val="Normal"/>
    <w:rsid w:val="00140F09"/>
    <w:pPr>
      <w:spacing w:line="360" w:lineRule="auto"/>
    </w:pPr>
  </w:style>
  <w:style w:type="paragraph" w:customStyle="1" w:styleId="BodyText23">
    <w:name w:val="Body Text 23"/>
    <w:rsid w:val="00140F09"/>
    <w:pPr>
      <w:widowControl w:val="0"/>
      <w:tabs>
        <w:tab w:val="left" w:pos="360"/>
      </w:tabs>
      <w:jc w:val="both"/>
    </w:pPr>
    <w:rPr>
      <w:sz w:val="24"/>
      <w:lang w:val="pl-PL" w:eastAsia="pl-PL"/>
    </w:rPr>
  </w:style>
  <w:style w:type="paragraph" w:styleId="BodyTextIndent">
    <w:name w:val="Body Text Indent"/>
    <w:basedOn w:val="BodyText"/>
    <w:link w:val="BodyTextIndentChar"/>
    <w:uiPriority w:val="99"/>
    <w:rsid w:val="00140F09"/>
    <w:pPr>
      <w:spacing w:after="160"/>
      <w:ind w:left="360"/>
      <w:jc w:val="left"/>
    </w:pPr>
    <w:rPr>
      <w:b w:val="0"/>
      <w:bCs w:val="0"/>
      <w:sz w:val="20"/>
      <w:szCs w:val="20"/>
      <w:lang w:eastAsia="pl-PL"/>
    </w:rPr>
  </w:style>
  <w:style w:type="character" w:customStyle="1" w:styleId="BodyTextIndentChar">
    <w:name w:val="Body Text Indent Char"/>
    <w:link w:val="BodyTextIndent"/>
    <w:uiPriority w:val="99"/>
    <w:locked/>
    <w:rsid w:val="00140F09"/>
    <w:rPr>
      <w:lang w:val="x-none" w:eastAsia="pl-PL"/>
    </w:rPr>
  </w:style>
  <w:style w:type="paragraph" w:styleId="BodyTextIndent3">
    <w:name w:val="Body Text Indent 3"/>
    <w:basedOn w:val="Normal"/>
    <w:link w:val="BodyTextIndent3Char"/>
    <w:uiPriority w:val="99"/>
    <w:rsid w:val="00140F09"/>
    <w:pPr>
      <w:widowControl w:val="0"/>
      <w:shd w:val="clear" w:color="auto" w:fill="FFFFFF"/>
      <w:spacing w:line="274" w:lineRule="exact"/>
      <w:ind w:left="67"/>
    </w:pPr>
    <w:rPr>
      <w:color w:val="000000"/>
    </w:rPr>
  </w:style>
  <w:style w:type="character" w:customStyle="1" w:styleId="BodyTextIndent3Char">
    <w:name w:val="Body Text Indent 3 Char"/>
    <w:link w:val="BodyTextIndent3"/>
    <w:uiPriority w:val="99"/>
    <w:locked/>
    <w:rsid w:val="00140F09"/>
    <w:rPr>
      <w:color w:val="000000"/>
      <w:sz w:val="24"/>
      <w:shd w:val="clear" w:color="auto" w:fill="FFFFFF"/>
      <w:lang w:val="x-none" w:eastAsia="pl-PL"/>
    </w:rPr>
  </w:style>
  <w:style w:type="paragraph" w:styleId="BodyTextIndent2">
    <w:name w:val="Body Text Indent 2"/>
    <w:basedOn w:val="Normal"/>
    <w:link w:val="BodyTextIndent2Char"/>
    <w:uiPriority w:val="99"/>
    <w:rsid w:val="00140F09"/>
    <w:pPr>
      <w:ind w:left="567"/>
      <w:outlineLvl w:val="0"/>
    </w:pPr>
  </w:style>
  <w:style w:type="character" w:customStyle="1" w:styleId="BodyTextIndent2Char">
    <w:name w:val="Body Text Indent 2 Char"/>
    <w:link w:val="BodyTextIndent2"/>
    <w:uiPriority w:val="99"/>
    <w:locked/>
    <w:rsid w:val="00140F09"/>
    <w:rPr>
      <w:sz w:val="24"/>
      <w:lang w:val="x-none" w:eastAsia="pl-PL"/>
    </w:rPr>
  </w:style>
  <w:style w:type="paragraph" w:styleId="BlockText">
    <w:name w:val="Block Text"/>
    <w:basedOn w:val="Normal"/>
    <w:uiPriority w:val="99"/>
    <w:rsid w:val="00140F09"/>
    <w:pPr>
      <w:widowControl w:val="0"/>
      <w:shd w:val="clear" w:color="auto" w:fill="FFFFFF"/>
      <w:spacing w:before="43" w:line="278" w:lineRule="exact"/>
      <w:ind w:left="24" w:right="38"/>
    </w:pPr>
    <w:rPr>
      <w:color w:val="000000"/>
    </w:rPr>
  </w:style>
  <w:style w:type="character" w:styleId="PageNumber">
    <w:name w:val="page number"/>
    <w:uiPriority w:val="99"/>
    <w:rsid w:val="00140F09"/>
    <w:rPr>
      <w:rFonts w:cs="Times New Roman"/>
    </w:rPr>
  </w:style>
  <w:style w:type="paragraph" w:styleId="TOC7">
    <w:name w:val="toc 7"/>
    <w:basedOn w:val="Normal"/>
    <w:next w:val="Normal"/>
    <w:autoRedefine/>
    <w:uiPriority w:val="39"/>
    <w:rsid w:val="00140F09"/>
    <w:pPr>
      <w:ind w:left="1200"/>
      <w:jc w:val="left"/>
    </w:pPr>
    <w:rPr>
      <w:rFonts w:asciiTheme="minorHAnsi" w:hAnsiTheme="minorHAnsi"/>
    </w:rPr>
  </w:style>
  <w:style w:type="paragraph" w:styleId="TOC8">
    <w:name w:val="toc 8"/>
    <w:basedOn w:val="Normal"/>
    <w:next w:val="Normal"/>
    <w:autoRedefine/>
    <w:uiPriority w:val="39"/>
    <w:rsid w:val="00140F09"/>
    <w:pPr>
      <w:ind w:left="1400"/>
      <w:jc w:val="left"/>
    </w:pPr>
    <w:rPr>
      <w:rFonts w:asciiTheme="minorHAnsi" w:hAnsiTheme="minorHAnsi"/>
    </w:rPr>
  </w:style>
  <w:style w:type="character" w:styleId="FollowedHyperlink">
    <w:name w:val="FollowedHyperlink"/>
    <w:uiPriority w:val="99"/>
    <w:rsid w:val="00140F09"/>
    <w:rPr>
      <w:color w:val="800080"/>
      <w:u w:val="single"/>
    </w:rPr>
  </w:style>
  <w:style w:type="paragraph" w:customStyle="1" w:styleId="pkt">
    <w:name w:val="pkt"/>
    <w:basedOn w:val="Normal"/>
    <w:rsid w:val="00140F09"/>
    <w:pPr>
      <w:overflowPunct w:val="0"/>
      <w:adjustRightInd w:val="0"/>
      <w:spacing w:before="60" w:after="60"/>
      <w:ind w:left="851" w:hanging="295"/>
    </w:pPr>
  </w:style>
  <w:style w:type="paragraph" w:customStyle="1" w:styleId="ust">
    <w:name w:val="ust"/>
    <w:rsid w:val="00140F09"/>
    <w:pPr>
      <w:overflowPunct w:val="0"/>
      <w:adjustRightInd w:val="0"/>
      <w:spacing w:before="60" w:after="60"/>
      <w:ind w:left="426" w:hanging="284"/>
      <w:jc w:val="both"/>
    </w:pPr>
    <w:rPr>
      <w:sz w:val="24"/>
      <w:lang w:val="pl-PL" w:eastAsia="pl-PL"/>
    </w:rPr>
  </w:style>
  <w:style w:type="paragraph" w:styleId="NormalWeb">
    <w:name w:val="Normal (Web)"/>
    <w:basedOn w:val="Normal"/>
    <w:link w:val="NormalWebChar"/>
    <w:uiPriority w:val="99"/>
    <w:rsid w:val="00140F09"/>
    <w:pPr>
      <w:spacing w:before="100" w:beforeAutospacing="1" w:after="100" w:afterAutospacing="1"/>
    </w:pPr>
    <w:rPr>
      <w:rFonts w:ascii="Verdana" w:eastAsia="Arial Unicode MS" w:hAnsi="Verdana" w:cs="Arial Unicode MS"/>
      <w:color w:val="000000"/>
      <w:sz w:val="18"/>
      <w:szCs w:val="18"/>
    </w:rPr>
  </w:style>
  <w:style w:type="character" w:customStyle="1" w:styleId="tw4winTerm">
    <w:name w:val="tw4winTerm"/>
    <w:rsid w:val="00140F09"/>
    <w:rPr>
      <w:color w:val="0000FF"/>
    </w:rPr>
  </w:style>
  <w:style w:type="paragraph" w:styleId="TOC9">
    <w:name w:val="toc 9"/>
    <w:basedOn w:val="Normal"/>
    <w:next w:val="Normal"/>
    <w:autoRedefine/>
    <w:uiPriority w:val="39"/>
    <w:rsid w:val="00140F09"/>
    <w:pPr>
      <w:ind w:left="1600"/>
      <w:jc w:val="left"/>
    </w:pPr>
    <w:rPr>
      <w:rFonts w:asciiTheme="minorHAnsi" w:hAnsiTheme="minorHAnsi"/>
    </w:rPr>
  </w:style>
  <w:style w:type="paragraph" w:styleId="TOC6">
    <w:name w:val="toc 6"/>
    <w:basedOn w:val="Normal"/>
    <w:next w:val="Normal"/>
    <w:autoRedefine/>
    <w:uiPriority w:val="39"/>
    <w:rsid w:val="00140F09"/>
    <w:pPr>
      <w:ind w:left="1000"/>
      <w:jc w:val="left"/>
    </w:pPr>
    <w:rPr>
      <w:rFonts w:asciiTheme="minorHAnsi" w:hAnsiTheme="minorHAnsi"/>
    </w:rPr>
  </w:style>
  <w:style w:type="paragraph" w:customStyle="1" w:styleId="EntEmet">
    <w:name w:val="EntEmet"/>
    <w:basedOn w:val="Normal"/>
    <w:rsid w:val="00140F09"/>
    <w:pPr>
      <w:widowControl w:val="0"/>
      <w:tabs>
        <w:tab w:val="left" w:pos="284"/>
        <w:tab w:val="left" w:pos="567"/>
        <w:tab w:val="left" w:pos="851"/>
        <w:tab w:val="left" w:pos="1134"/>
        <w:tab w:val="left" w:pos="1418"/>
      </w:tabs>
      <w:spacing w:before="40"/>
    </w:pPr>
    <w:rPr>
      <w:lang w:val="en-GB" w:eastAsia="fr-BE"/>
    </w:rPr>
  </w:style>
  <w:style w:type="paragraph" w:customStyle="1" w:styleId="EntRefer">
    <w:name w:val="EntRefer"/>
    <w:basedOn w:val="Normal"/>
    <w:rsid w:val="00140F09"/>
    <w:pPr>
      <w:widowControl w:val="0"/>
    </w:pPr>
    <w:rPr>
      <w:b/>
      <w:lang w:val="en-GB" w:eastAsia="fr-BE"/>
    </w:rPr>
  </w:style>
  <w:style w:type="character" w:customStyle="1" w:styleId="Marker">
    <w:name w:val="Marker"/>
    <w:rsid w:val="00140F09"/>
    <w:rPr>
      <w:color w:val="0000FF"/>
    </w:rPr>
  </w:style>
  <w:style w:type="paragraph" w:customStyle="1" w:styleId="Datedadoption">
    <w:name w:val="Date d'adoption"/>
    <w:basedOn w:val="Normal"/>
    <w:next w:val="Normal"/>
    <w:rsid w:val="00140F09"/>
    <w:pPr>
      <w:spacing w:before="360"/>
    </w:pPr>
    <w:rPr>
      <w:b/>
      <w:lang w:val="en-GB" w:eastAsia="zh-CN"/>
    </w:rPr>
  </w:style>
  <w:style w:type="paragraph" w:customStyle="1" w:styleId="Statut">
    <w:name w:val="Statut"/>
    <w:basedOn w:val="Normal"/>
    <w:next w:val="Typedudocument"/>
    <w:rsid w:val="00140F09"/>
    <w:pPr>
      <w:spacing w:before="360"/>
    </w:pPr>
    <w:rPr>
      <w:lang w:val="en-GB" w:eastAsia="zh-CN"/>
    </w:rPr>
  </w:style>
  <w:style w:type="paragraph" w:customStyle="1" w:styleId="Typedudocument">
    <w:name w:val="Type du document"/>
    <w:basedOn w:val="Normal"/>
    <w:next w:val="Datedadoption"/>
    <w:rsid w:val="00140F09"/>
    <w:pPr>
      <w:spacing w:before="360"/>
    </w:pPr>
    <w:rPr>
      <w:b/>
      <w:lang w:val="en-GB" w:eastAsia="zh-CN"/>
    </w:rPr>
  </w:style>
  <w:style w:type="paragraph" w:customStyle="1" w:styleId="CharCharChar">
    <w:name w:val="Char Char Char"/>
    <w:basedOn w:val="Normal"/>
    <w:rsid w:val="00140F09"/>
    <w:pPr>
      <w:tabs>
        <w:tab w:val="left" w:pos="709"/>
      </w:tabs>
    </w:pPr>
    <w:rPr>
      <w:rFonts w:ascii="Tahoma" w:hAnsi="Tahoma"/>
      <w:szCs w:val="24"/>
    </w:rPr>
  </w:style>
  <w:style w:type="paragraph" w:customStyle="1" w:styleId="Tiret1">
    <w:name w:val="Tiret 1"/>
    <w:basedOn w:val="Normal"/>
    <w:rsid w:val="00140F09"/>
    <w:pPr>
      <w:tabs>
        <w:tab w:val="num" w:pos="360"/>
      </w:tabs>
      <w:spacing w:before="120" w:after="120"/>
      <w:ind w:left="360" w:hanging="360"/>
    </w:pPr>
    <w:rPr>
      <w:lang w:val="en-GB" w:eastAsia="ko-KR"/>
    </w:rPr>
  </w:style>
  <w:style w:type="paragraph" w:customStyle="1" w:styleId="CharCharCharCharCharCharCharCharCharCharCharCharCharCharCharCharCharCharCharCharChar1CharCharCharCharCharCharCharCharCharCharCharChar1CharCharChar1CharCharCharCharCharChar">
    <w:name w:val="Char Char Char Char Char Char Char Char Char Char Char Char Char Char Char Char Char Char Char Char Char1 Char Char Char Char Char Char Char Char Char Char Char Char1 Char Char Char1 Char Char Char Char Char Char"/>
    <w:basedOn w:val="Normal"/>
    <w:rsid w:val="00140F09"/>
    <w:pPr>
      <w:tabs>
        <w:tab w:val="left" w:pos="709"/>
      </w:tabs>
      <w:spacing w:line="360" w:lineRule="auto"/>
    </w:pPr>
    <w:rPr>
      <w:rFonts w:ascii="Tahoma" w:hAnsi="Tahoma"/>
      <w:szCs w:val="24"/>
    </w:rPr>
  </w:style>
  <w:style w:type="paragraph" w:customStyle="1" w:styleId="TextinCSF">
    <w:name w:val="Text in CSF"/>
    <w:basedOn w:val="Normal"/>
    <w:rsid w:val="00140F09"/>
    <w:pPr>
      <w:overflowPunct w:val="0"/>
      <w:autoSpaceDE w:val="0"/>
      <w:autoSpaceDN w:val="0"/>
      <w:adjustRightInd w:val="0"/>
      <w:spacing w:after="120"/>
      <w:ind w:left="720"/>
      <w:textAlignment w:val="baseline"/>
    </w:pPr>
    <w:rPr>
      <w:lang w:val="en-GB" w:eastAsia="hu-HU"/>
    </w:rPr>
  </w:style>
  <w:style w:type="paragraph" w:customStyle="1" w:styleId="NormalWeb1">
    <w:name w:val="Normal (Web)1"/>
    <w:basedOn w:val="Normal"/>
    <w:rsid w:val="00140F09"/>
    <w:pPr>
      <w:spacing w:before="100" w:beforeAutospacing="1" w:after="100" w:afterAutospacing="1"/>
    </w:pPr>
    <w:rPr>
      <w:rFonts w:ascii="Verdana" w:hAnsi="Verdana"/>
      <w:color w:val="000000"/>
      <w:sz w:val="17"/>
      <w:szCs w:val="17"/>
      <w:lang w:eastAsia="bg-BG"/>
    </w:rPr>
  </w:style>
  <w:style w:type="table" w:customStyle="1" w:styleId="TableGrid1">
    <w:name w:val="Table Grid1"/>
    <w:basedOn w:val="TableNormal"/>
    <w:next w:val="TableGrid"/>
    <w:rsid w:val="00140F09"/>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140F09"/>
    <w:pPr>
      <w:autoSpaceDE w:val="0"/>
      <w:autoSpaceDN w:val="0"/>
      <w:adjustRightInd w:val="0"/>
    </w:pPr>
    <w:rPr>
      <w:lang w:val="en-US" w:eastAsia="fr-FR"/>
    </w:rPr>
  </w:style>
  <w:style w:type="character" w:customStyle="1" w:styleId="CharChar">
    <w:name w:val="Char Char"/>
    <w:rsid w:val="00140F09"/>
    <w:rPr>
      <w:b/>
      <w:color w:val="FF0000"/>
      <w:sz w:val="24"/>
      <w:lang w:val="en-US" w:eastAsia="bg-BG"/>
    </w:rPr>
  </w:style>
  <w:style w:type="paragraph" w:styleId="Caption">
    <w:name w:val="caption"/>
    <w:basedOn w:val="Normal"/>
    <w:next w:val="Normal"/>
    <w:uiPriority w:val="35"/>
    <w:qFormat/>
    <w:rsid w:val="00140F09"/>
    <w:rPr>
      <w:b/>
      <w:bCs/>
      <w:lang w:eastAsia="bg-BG"/>
    </w:rPr>
  </w:style>
  <w:style w:type="paragraph" w:customStyle="1" w:styleId="Style">
    <w:name w:val="Style"/>
    <w:rsid w:val="00140F09"/>
    <w:pPr>
      <w:widowControl w:val="0"/>
      <w:autoSpaceDE w:val="0"/>
      <w:autoSpaceDN w:val="0"/>
      <w:adjustRightInd w:val="0"/>
      <w:ind w:left="140" w:right="140" w:firstLine="840"/>
      <w:jc w:val="both"/>
    </w:pPr>
    <w:rPr>
      <w:sz w:val="24"/>
      <w:szCs w:val="24"/>
    </w:rPr>
  </w:style>
  <w:style w:type="paragraph" w:customStyle="1" w:styleId="zaglawie">
    <w:name w:val="zaglawie"/>
    <w:basedOn w:val="Normal"/>
    <w:rsid w:val="00140F09"/>
    <w:pPr>
      <w:spacing w:before="100" w:after="100"/>
      <w:ind w:left="200"/>
    </w:pPr>
    <w:rPr>
      <w:b/>
      <w:bCs/>
      <w:color w:val="000000"/>
      <w:sz w:val="28"/>
      <w:szCs w:val="28"/>
      <w:lang w:eastAsia="bg-BG"/>
    </w:rPr>
  </w:style>
  <w:style w:type="paragraph" w:customStyle="1" w:styleId="firstline">
    <w:name w:val="firstline"/>
    <w:basedOn w:val="Normal"/>
    <w:rsid w:val="00140F09"/>
    <w:pPr>
      <w:spacing w:line="240" w:lineRule="atLeast"/>
      <w:ind w:firstLine="640"/>
    </w:pPr>
    <w:rPr>
      <w:color w:val="000000"/>
      <w:szCs w:val="24"/>
      <w:lang w:eastAsia="bg-BG"/>
    </w:rPr>
  </w:style>
  <w:style w:type="paragraph" w:customStyle="1" w:styleId="text11">
    <w:name w:val="text11"/>
    <w:basedOn w:val="Normal"/>
    <w:rsid w:val="00140F09"/>
    <w:pPr>
      <w:spacing w:after="100" w:afterAutospacing="1"/>
    </w:pPr>
    <w:rPr>
      <w:rFonts w:ascii="Verdana" w:hAnsi="Verdana"/>
      <w:color w:val="333333"/>
      <w:sz w:val="17"/>
      <w:szCs w:val="17"/>
      <w:lang w:eastAsia="bg-BG"/>
    </w:rPr>
  </w:style>
  <w:style w:type="paragraph" w:customStyle="1" w:styleId="Text1">
    <w:name w:val="Text 1"/>
    <w:basedOn w:val="Normal"/>
    <w:rsid w:val="00140F09"/>
    <w:pPr>
      <w:spacing w:after="240"/>
      <w:ind w:left="482"/>
    </w:pPr>
    <w:rPr>
      <w:lang w:val="en-GB" w:eastAsia="en-US"/>
    </w:rPr>
  </w:style>
  <w:style w:type="paragraph" w:customStyle="1" w:styleId="Text2">
    <w:name w:val="Text 2"/>
    <w:basedOn w:val="Normal"/>
    <w:rsid w:val="00140F09"/>
    <w:pPr>
      <w:tabs>
        <w:tab w:val="left" w:pos="2302"/>
      </w:tabs>
      <w:spacing w:after="240"/>
      <w:ind w:left="1202"/>
    </w:pPr>
    <w:rPr>
      <w:lang w:val="en-GB" w:eastAsia="en-US"/>
    </w:rPr>
  </w:style>
  <w:style w:type="paragraph" w:customStyle="1" w:styleId="Text3">
    <w:name w:val="Text 3"/>
    <w:basedOn w:val="Normal"/>
    <w:rsid w:val="00140F09"/>
    <w:pPr>
      <w:tabs>
        <w:tab w:val="left" w:pos="2302"/>
      </w:tabs>
      <w:spacing w:after="240"/>
      <w:ind w:left="1202"/>
    </w:pPr>
    <w:rPr>
      <w:lang w:val="en-GB" w:eastAsia="en-US"/>
    </w:rPr>
  </w:style>
  <w:style w:type="paragraph" w:customStyle="1" w:styleId="ListNumberLevel2">
    <w:name w:val="List Number (Level 2)"/>
    <w:basedOn w:val="Normal"/>
    <w:rsid w:val="00140F09"/>
    <w:pPr>
      <w:spacing w:after="240"/>
    </w:pPr>
    <w:rPr>
      <w:lang w:val="en-GB" w:eastAsia="en-US"/>
    </w:rPr>
  </w:style>
  <w:style w:type="paragraph" w:customStyle="1" w:styleId="Normal-bullet1">
    <w:name w:val="Normal-bullet1"/>
    <w:basedOn w:val="Normal"/>
    <w:rsid w:val="00140F09"/>
    <w:pPr>
      <w:widowControl w:val="0"/>
      <w:numPr>
        <w:numId w:val="14"/>
      </w:numPr>
      <w:tabs>
        <w:tab w:val="left" w:pos="432"/>
        <w:tab w:val="left" w:pos="1152"/>
        <w:tab w:val="left" w:pos="1440"/>
      </w:tabs>
    </w:pPr>
    <w:rPr>
      <w:spacing w:val="-8"/>
      <w:lang w:val="en-GB" w:eastAsia="en-GB"/>
    </w:rPr>
  </w:style>
  <w:style w:type="paragraph" w:customStyle="1" w:styleId="BodyText31">
    <w:name w:val="Body Text 31"/>
    <w:basedOn w:val="Normal"/>
    <w:rsid w:val="00140F09"/>
    <w:pPr>
      <w:overflowPunct w:val="0"/>
      <w:autoSpaceDE w:val="0"/>
      <w:autoSpaceDN w:val="0"/>
      <w:adjustRightInd w:val="0"/>
      <w:textAlignment w:val="baseline"/>
    </w:pPr>
    <w:rPr>
      <w:lang w:val="en-GB" w:eastAsia="hu-HU"/>
    </w:rPr>
  </w:style>
  <w:style w:type="paragraph" w:customStyle="1" w:styleId="NumPar2">
    <w:name w:val="NumPar 2"/>
    <w:basedOn w:val="Normal"/>
    <w:next w:val="Text2"/>
    <w:rsid w:val="00140F09"/>
    <w:pPr>
      <w:tabs>
        <w:tab w:val="num" w:pos="850"/>
      </w:tabs>
      <w:spacing w:before="120" w:after="120"/>
      <w:ind w:left="850" w:hanging="850"/>
    </w:pPr>
    <w:rPr>
      <w:lang w:val="en-GB" w:eastAsia="zh-CN"/>
    </w:rPr>
  </w:style>
  <w:style w:type="paragraph" w:customStyle="1" w:styleId="NumPar3">
    <w:name w:val="NumPar 3"/>
    <w:basedOn w:val="Normal"/>
    <w:next w:val="Text3"/>
    <w:rsid w:val="00140F09"/>
    <w:pPr>
      <w:tabs>
        <w:tab w:val="num" w:pos="850"/>
      </w:tabs>
      <w:spacing w:before="120" w:after="120"/>
      <w:ind w:left="850" w:hanging="850"/>
    </w:pPr>
    <w:rPr>
      <w:lang w:val="en-GB" w:eastAsia="zh-CN"/>
    </w:rPr>
  </w:style>
  <w:style w:type="paragraph" w:customStyle="1" w:styleId="NumPar4">
    <w:name w:val="NumPar 4"/>
    <w:basedOn w:val="Normal"/>
    <w:next w:val="Normal"/>
    <w:rsid w:val="00140F09"/>
    <w:pPr>
      <w:tabs>
        <w:tab w:val="num" w:pos="850"/>
      </w:tabs>
      <w:spacing w:before="120" w:after="120"/>
      <w:ind w:left="850" w:hanging="850"/>
    </w:pPr>
    <w:rPr>
      <w:lang w:val="en-GB" w:eastAsia="zh-CN"/>
    </w:rPr>
  </w:style>
  <w:style w:type="paragraph" w:customStyle="1" w:styleId="Titrearticle">
    <w:name w:val="Titre article"/>
    <w:basedOn w:val="Normal"/>
    <w:next w:val="Normal"/>
    <w:rsid w:val="00140F09"/>
    <w:pPr>
      <w:keepNext/>
      <w:spacing w:before="360" w:after="120"/>
    </w:pPr>
    <w:rPr>
      <w:i/>
      <w:lang w:val="en-GB" w:eastAsia="zh-CN"/>
    </w:rPr>
  </w:style>
  <w:style w:type="paragraph" w:customStyle="1" w:styleId="TableText">
    <w:name w:val="Table Text"/>
    <w:basedOn w:val="Normal"/>
    <w:rsid w:val="00140F09"/>
    <w:pPr>
      <w:spacing w:line="280" w:lineRule="atLeast"/>
    </w:pPr>
    <w:rPr>
      <w:rFonts w:ascii="Arial" w:hAnsi="Arial"/>
      <w:sz w:val="16"/>
      <w:szCs w:val="24"/>
      <w:lang w:val="en-GB" w:eastAsia="en-US"/>
    </w:rPr>
  </w:style>
  <w:style w:type="paragraph" w:styleId="CommentSubject">
    <w:name w:val="annotation subject"/>
    <w:basedOn w:val="CommentText"/>
    <w:next w:val="CommentText"/>
    <w:link w:val="CommentSubjectChar"/>
    <w:uiPriority w:val="99"/>
    <w:rsid w:val="00140F09"/>
    <w:rPr>
      <w:b/>
      <w:bCs/>
    </w:rPr>
  </w:style>
  <w:style w:type="character" w:customStyle="1" w:styleId="CommentSubjectChar">
    <w:name w:val="Comment Subject Char"/>
    <w:link w:val="CommentSubject"/>
    <w:uiPriority w:val="99"/>
    <w:locked/>
    <w:rsid w:val="00140F09"/>
    <w:rPr>
      <w:b/>
      <w:lang w:val="x-none" w:eastAsia="pl-PL"/>
    </w:rPr>
  </w:style>
  <w:style w:type="paragraph" w:customStyle="1" w:styleId="Applicationdirecte">
    <w:name w:val="Application directe"/>
    <w:basedOn w:val="Normal"/>
    <w:next w:val="Normal"/>
    <w:rsid w:val="00140F09"/>
    <w:pPr>
      <w:spacing w:before="480" w:after="120"/>
    </w:pPr>
    <w:rPr>
      <w:lang w:val="en-GB"/>
    </w:rPr>
  </w:style>
  <w:style w:type="character" w:customStyle="1" w:styleId="Heading3Char1">
    <w:name w:val="Heading 3 Char1"/>
    <w:aliases w:val="Heading 2 Char Char + Bookman Old Style Char2,Gris - 80 % Char2,Gauche :  2 Char2,97 ... Char2,Címsor 3 Char Char2,Heading 3 Char Char1"/>
    <w:rsid w:val="00140F09"/>
    <w:rPr>
      <w:rFonts w:ascii="Times New Roman" w:hAnsi="Times New Roman"/>
      <w:b/>
      <w:color w:val="000000"/>
      <w:sz w:val="20"/>
      <w:shd w:val="clear" w:color="auto" w:fill="FFFFFF"/>
      <w:lang w:val="en-GB" w:eastAsia="pl-PL"/>
    </w:rPr>
  </w:style>
  <w:style w:type="paragraph" w:styleId="ListNumber">
    <w:name w:val="List Number"/>
    <w:basedOn w:val="Normal"/>
    <w:uiPriority w:val="99"/>
    <w:rsid w:val="00140F09"/>
    <w:pPr>
      <w:spacing w:after="240"/>
    </w:pPr>
    <w:rPr>
      <w:lang w:val="en-GB" w:eastAsia="en-US"/>
    </w:rPr>
  </w:style>
  <w:style w:type="paragraph" w:customStyle="1" w:styleId="ZCom">
    <w:name w:val="Z_Com"/>
    <w:basedOn w:val="Normal"/>
    <w:next w:val="ZDGName"/>
    <w:rsid w:val="00140F09"/>
    <w:pPr>
      <w:widowControl w:val="0"/>
      <w:autoSpaceDE w:val="0"/>
      <w:autoSpaceDN w:val="0"/>
      <w:ind w:right="85"/>
    </w:pPr>
    <w:rPr>
      <w:rFonts w:ascii="Arial" w:hAnsi="Arial" w:cs="Arial"/>
      <w:szCs w:val="24"/>
      <w:lang w:val="en-GB" w:eastAsia="en-GB"/>
    </w:rPr>
  </w:style>
  <w:style w:type="paragraph" w:customStyle="1" w:styleId="ZDGName">
    <w:name w:val="Z_DGName"/>
    <w:basedOn w:val="Normal"/>
    <w:rsid w:val="00140F09"/>
    <w:pPr>
      <w:widowControl w:val="0"/>
      <w:autoSpaceDE w:val="0"/>
      <w:autoSpaceDN w:val="0"/>
      <w:ind w:right="85"/>
    </w:pPr>
    <w:rPr>
      <w:rFonts w:ascii="Arial" w:hAnsi="Arial" w:cs="Arial"/>
      <w:sz w:val="16"/>
      <w:szCs w:val="16"/>
      <w:lang w:val="en-GB" w:eastAsia="en-GB"/>
    </w:rPr>
  </w:style>
  <w:style w:type="paragraph" w:styleId="ListNumber4">
    <w:name w:val="List Number 4"/>
    <w:basedOn w:val="Text4"/>
    <w:uiPriority w:val="99"/>
    <w:rsid w:val="00140F09"/>
    <w:pPr>
      <w:tabs>
        <w:tab w:val="clear" w:pos="2302"/>
        <w:tab w:val="num" w:pos="1911"/>
      </w:tabs>
      <w:ind w:left="1911" w:hanging="709"/>
    </w:pPr>
  </w:style>
  <w:style w:type="paragraph" w:customStyle="1" w:styleId="Text4">
    <w:name w:val="Text 4"/>
    <w:basedOn w:val="Normal"/>
    <w:rsid w:val="00140F09"/>
    <w:pPr>
      <w:tabs>
        <w:tab w:val="left" w:pos="2302"/>
      </w:tabs>
      <w:spacing w:after="240"/>
      <w:ind w:left="1202"/>
    </w:pPr>
    <w:rPr>
      <w:lang w:val="en-GB" w:eastAsia="en-US"/>
    </w:rPr>
  </w:style>
  <w:style w:type="paragraph" w:styleId="ListNumber5">
    <w:name w:val="List Number 5"/>
    <w:basedOn w:val="Normal"/>
    <w:uiPriority w:val="99"/>
    <w:rsid w:val="00140F09"/>
    <w:pPr>
      <w:tabs>
        <w:tab w:val="num" w:pos="1492"/>
      </w:tabs>
      <w:spacing w:after="240"/>
      <w:ind w:left="1492" w:hanging="360"/>
    </w:pPr>
    <w:rPr>
      <w:lang w:val="en-GB" w:eastAsia="en-US"/>
    </w:rPr>
  </w:style>
  <w:style w:type="paragraph" w:styleId="MessageHeader">
    <w:name w:val="Message Header"/>
    <w:basedOn w:val="Normal"/>
    <w:link w:val="MessageHeaderChar"/>
    <w:uiPriority w:val="99"/>
    <w:rsid w:val="00140F09"/>
    <w:pPr>
      <w:pBdr>
        <w:top w:val="single" w:sz="6" w:space="1" w:color="auto"/>
        <w:left w:val="single" w:sz="6" w:space="1" w:color="auto"/>
        <w:bottom w:val="single" w:sz="6" w:space="1" w:color="auto"/>
        <w:right w:val="single" w:sz="6" w:space="1" w:color="auto"/>
      </w:pBdr>
      <w:shd w:val="pct20" w:color="auto" w:fill="auto"/>
      <w:spacing w:after="240"/>
      <w:ind w:left="1134" w:hanging="1134"/>
    </w:pPr>
    <w:rPr>
      <w:rFonts w:ascii="Arial" w:hAnsi="Arial"/>
      <w:lang w:val="en-GB" w:eastAsia="en-US"/>
    </w:rPr>
  </w:style>
  <w:style w:type="character" w:customStyle="1" w:styleId="MessageHeaderChar">
    <w:name w:val="Message Header Char"/>
    <w:link w:val="MessageHeader"/>
    <w:uiPriority w:val="99"/>
    <w:locked/>
    <w:rsid w:val="00140F09"/>
    <w:rPr>
      <w:rFonts w:ascii="Arial" w:hAnsi="Arial"/>
      <w:sz w:val="24"/>
      <w:shd w:val="pct20" w:color="auto" w:fill="auto"/>
      <w:lang w:val="en-GB" w:eastAsia="en-US"/>
    </w:rPr>
  </w:style>
  <w:style w:type="paragraph" w:styleId="NoteHeading">
    <w:name w:val="Note Heading"/>
    <w:basedOn w:val="Normal"/>
    <w:next w:val="Normal"/>
    <w:link w:val="NoteHeadingChar"/>
    <w:uiPriority w:val="99"/>
    <w:rsid w:val="00140F09"/>
    <w:pPr>
      <w:spacing w:after="240"/>
    </w:pPr>
    <w:rPr>
      <w:lang w:val="en-GB" w:eastAsia="en-US"/>
    </w:rPr>
  </w:style>
  <w:style w:type="character" w:customStyle="1" w:styleId="NoteHeadingChar">
    <w:name w:val="Note Heading Char"/>
    <w:link w:val="NoteHeading"/>
    <w:uiPriority w:val="99"/>
    <w:locked/>
    <w:rsid w:val="00140F09"/>
    <w:rPr>
      <w:sz w:val="24"/>
      <w:lang w:val="en-GB" w:eastAsia="en-US"/>
    </w:rPr>
  </w:style>
  <w:style w:type="character" w:customStyle="1" w:styleId="NumPar1Tegn">
    <w:name w:val="NumPar 1 Tegn"/>
    <w:link w:val="NumPar1"/>
    <w:locked/>
    <w:rsid w:val="00140F09"/>
    <w:rPr>
      <w:sz w:val="24"/>
      <w:lang w:val="en-GB" w:eastAsia="pl-PL"/>
    </w:rPr>
  </w:style>
  <w:style w:type="paragraph" w:customStyle="1" w:styleId="PartTitle">
    <w:name w:val="PartTitle"/>
    <w:basedOn w:val="Normal"/>
    <w:next w:val="ChapterTitle"/>
    <w:rsid w:val="00140F09"/>
    <w:pPr>
      <w:keepNext/>
      <w:pageBreakBefore/>
      <w:spacing w:after="480"/>
    </w:pPr>
    <w:rPr>
      <w:b/>
      <w:sz w:val="36"/>
      <w:lang w:val="en-GB" w:eastAsia="en-US"/>
    </w:rPr>
  </w:style>
  <w:style w:type="paragraph" w:customStyle="1" w:styleId="ChapterTitle">
    <w:name w:val="ChapterTitle"/>
    <w:basedOn w:val="Normal"/>
    <w:next w:val="SectionTitle"/>
    <w:rsid w:val="00140F09"/>
    <w:pPr>
      <w:keepNext/>
      <w:spacing w:after="480"/>
    </w:pPr>
    <w:rPr>
      <w:b/>
      <w:sz w:val="32"/>
      <w:lang w:val="en-GB" w:eastAsia="en-US"/>
    </w:rPr>
  </w:style>
  <w:style w:type="paragraph" w:customStyle="1" w:styleId="SectionTitle">
    <w:name w:val="SectionTitle"/>
    <w:basedOn w:val="Normal"/>
    <w:next w:val="Heading1"/>
    <w:rsid w:val="00140F09"/>
    <w:pPr>
      <w:keepNext/>
      <w:spacing w:after="480"/>
    </w:pPr>
    <w:rPr>
      <w:b/>
      <w:smallCaps/>
      <w:sz w:val="28"/>
      <w:lang w:val="en-GB" w:eastAsia="en-US"/>
    </w:rPr>
  </w:style>
  <w:style w:type="paragraph" w:customStyle="1" w:styleId="ListNumber4Level3">
    <w:name w:val="List Number 4 (Level 3)"/>
    <w:basedOn w:val="Text4"/>
    <w:rsid w:val="00140F09"/>
    <w:pPr>
      <w:tabs>
        <w:tab w:val="clear" w:pos="2302"/>
        <w:tab w:val="num" w:pos="3328"/>
      </w:tabs>
      <w:ind w:left="3328" w:hanging="709"/>
    </w:pPr>
  </w:style>
  <w:style w:type="paragraph" w:customStyle="1" w:styleId="ListNumber4Level4">
    <w:name w:val="List Number 4 (Level 4)"/>
    <w:basedOn w:val="Text4"/>
    <w:rsid w:val="00140F09"/>
    <w:pPr>
      <w:tabs>
        <w:tab w:val="clear" w:pos="2302"/>
        <w:tab w:val="num" w:pos="4037"/>
      </w:tabs>
      <w:ind w:left="4037" w:hanging="709"/>
    </w:pPr>
  </w:style>
  <w:style w:type="paragraph" w:customStyle="1" w:styleId="Contact">
    <w:name w:val="Contact"/>
    <w:basedOn w:val="Normal"/>
    <w:next w:val="Normal"/>
    <w:rsid w:val="00140F09"/>
    <w:pPr>
      <w:spacing w:after="480"/>
      <w:ind w:left="567" w:hanging="567"/>
    </w:pPr>
    <w:rPr>
      <w:lang w:val="en-GB" w:eastAsia="en-US"/>
    </w:rPr>
  </w:style>
  <w:style w:type="paragraph" w:customStyle="1" w:styleId="Point1">
    <w:name w:val="Point 1"/>
    <w:basedOn w:val="Normal"/>
    <w:rsid w:val="00140F09"/>
    <w:pPr>
      <w:spacing w:before="120" w:after="120"/>
      <w:ind w:left="1418" w:hanging="567"/>
    </w:pPr>
    <w:rPr>
      <w:lang w:val="en-GB" w:eastAsia="fr-BE"/>
    </w:rPr>
  </w:style>
  <w:style w:type="paragraph" w:customStyle="1" w:styleId="Par-bullet">
    <w:name w:val="Par-bullet"/>
    <w:basedOn w:val="Normal"/>
    <w:next w:val="Normal"/>
    <w:rsid w:val="00140F09"/>
    <w:pPr>
      <w:widowControl w:val="0"/>
      <w:tabs>
        <w:tab w:val="num" w:pos="567"/>
      </w:tabs>
      <w:spacing w:line="360" w:lineRule="auto"/>
      <w:ind w:left="567" w:hanging="567"/>
    </w:pPr>
    <w:rPr>
      <w:lang w:val="en-GB" w:eastAsia="fr-BE"/>
    </w:rPr>
  </w:style>
  <w:style w:type="paragraph" w:customStyle="1" w:styleId="Par-equal">
    <w:name w:val="Par-equal"/>
    <w:basedOn w:val="Normal"/>
    <w:next w:val="Normal"/>
    <w:rsid w:val="00140F09"/>
    <w:pPr>
      <w:widowControl w:val="0"/>
      <w:tabs>
        <w:tab w:val="num" w:pos="567"/>
      </w:tabs>
      <w:spacing w:line="360" w:lineRule="auto"/>
      <w:ind w:left="567" w:hanging="567"/>
    </w:pPr>
    <w:rPr>
      <w:lang w:val="en-GB" w:eastAsia="fr-BE"/>
    </w:rPr>
  </w:style>
  <w:style w:type="paragraph" w:customStyle="1" w:styleId="Par-number1">
    <w:name w:val="Par-number (1)"/>
    <w:basedOn w:val="Normal"/>
    <w:next w:val="Normal"/>
    <w:rsid w:val="00140F09"/>
    <w:pPr>
      <w:widowControl w:val="0"/>
      <w:tabs>
        <w:tab w:val="num" w:pos="567"/>
      </w:tabs>
      <w:spacing w:line="360" w:lineRule="auto"/>
      <w:ind w:left="567" w:hanging="567"/>
    </w:pPr>
    <w:rPr>
      <w:lang w:val="en-GB" w:eastAsia="fr-BE"/>
    </w:rPr>
  </w:style>
  <w:style w:type="paragraph" w:customStyle="1" w:styleId="Par-number10">
    <w:name w:val="Par-number 1."/>
    <w:basedOn w:val="Normal"/>
    <w:next w:val="Normal"/>
    <w:rsid w:val="00140F09"/>
    <w:pPr>
      <w:widowControl w:val="0"/>
      <w:tabs>
        <w:tab w:val="num" w:pos="567"/>
      </w:tabs>
      <w:spacing w:line="360" w:lineRule="auto"/>
      <w:ind w:left="567" w:hanging="567"/>
    </w:pPr>
    <w:rPr>
      <w:lang w:val="en-GB" w:eastAsia="fr-BE"/>
    </w:rPr>
  </w:style>
  <w:style w:type="paragraph" w:customStyle="1" w:styleId="Par-numberI">
    <w:name w:val="Par-number I."/>
    <w:basedOn w:val="Normal"/>
    <w:next w:val="Normal"/>
    <w:rsid w:val="00140F09"/>
    <w:pPr>
      <w:widowControl w:val="0"/>
      <w:tabs>
        <w:tab w:val="num" w:pos="567"/>
      </w:tabs>
      <w:spacing w:line="360" w:lineRule="auto"/>
      <w:ind w:left="567" w:hanging="567"/>
    </w:pPr>
    <w:rPr>
      <w:lang w:val="en-GB" w:eastAsia="fr-BE"/>
    </w:rPr>
  </w:style>
  <w:style w:type="paragraph" w:customStyle="1" w:styleId="FooterLandscape">
    <w:name w:val="FooterLandscape"/>
    <w:basedOn w:val="Footer"/>
    <w:rsid w:val="00140F09"/>
    <w:pPr>
      <w:widowControl w:val="0"/>
      <w:tabs>
        <w:tab w:val="clear" w:pos="4536"/>
        <w:tab w:val="clear" w:pos="9072"/>
        <w:tab w:val="center" w:pos="7371"/>
        <w:tab w:val="center" w:pos="11340"/>
        <w:tab w:val="right" w:pos="14572"/>
      </w:tabs>
    </w:pPr>
    <w:rPr>
      <w:lang w:val="en-GB" w:eastAsia="fr-BE"/>
    </w:rPr>
  </w:style>
  <w:style w:type="paragraph" w:customStyle="1" w:styleId="Point3">
    <w:name w:val="Point 3"/>
    <w:basedOn w:val="Normal"/>
    <w:rsid w:val="00140F09"/>
    <w:pPr>
      <w:spacing w:before="120" w:after="120"/>
      <w:ind w:left="2552" w:hanging="567"/>
    </w:pPr>
    <w:rPr>
      <w:lang w:val="en-GB" w:eastAsia="fr-BE"/>
    </w:rPr>
  </w:style>
  <w:style w:type="paragraph" w:customStyle="1" w:styleId="Point4">
    <w:name w:val="Point 4"/>
    <w:basedOn w:val="Normal"/>
    <w:rsid w:val="00140F09"/>
    <w:pPr>
      <w:spacing w:before="120" w:after="120"/>
      <w:ind w:left="3119" w:hanging="567"/>
    </w:pPr>
    <w:rPr>
      <w:lang w:val="en-GB" w:eastAsia="fr-BE"/>
    </w:rPr>
  </w:style>
  <w:style w:type="paragraph" w:customStyle="1" w:styleId="TitreobjetChar">
    <w:name w:val="Titre objet Char"/>
    <w:basedOn w:val="Normal"/>
    <w:next w:val="Normal"/>
    <w:link w:val="TitreobjetCharChar"/>
    <w:rsid w:val="00140F09"/>
    <w:pPr>
      <w:spacing w:before="360" w:after="360"/>
    </w:pPr>
    <w:rPr>
      <w:b/>
      <w:szCs w:val="24"/>
      <w:lang w:val="en-GB" w:eastAsia="zh-CN"/>
    </w:rPr>
  </w:style>
  <w:style w:type="character" w:customStyle="1" w:styleId="TitreobjetCharChar">
    <w:name w:val="Titre objet Char Char"/>
    <w:link w:val="TitreobjetChar"/>
    <w:locked/>
    <w:rsid w:val="00140F09"/>
    <w:rPr>
      <w:b/>
      <w:sz w:val="24"/>
      <w:lang w:val="en-GB" w:eastAsia="zh-CN"/>
    </w:rPr>
  </w:style>
  <w:style w:type="paragraph" w:customStyle="1" w:styleId="TitrearticleChar">
    <w:name w:val="Titre article Char"/>
    <w:basedOn w:val="Normal"/>
    <w:next w:val="Normal"/>
    <w:link w:val="TitrearticleCharChar"/>
    <w:rsid w:val="00140F09"/>
    <w:pPr>
      <w:keepNext/>
      <w:spacing w:before="360" w:after="120"/>
    </w:pPr>
    <w:rPr>
      <w:i/>
      <w:szCs w:val="24"/>
      <w:lang w:val="en-GB" w:eastAsia="zh-CN"/>
    </w:rPr>
  </w:style>
  <w:style w:type="character" w:customStyle="1" w:styleId="TitrearticleCharChar">
    <w:name w:val="Titre article Char Char"/>
    <w:link w:val="TitrearticleChar"/>
    <w:locked/>
    <w:rsid w:val="00140F09"/>
    <w:rPr>
      <w:i/>
      <w:sz w:val="24"/>
      <w:lang w:val="en-GB" w:eastAsia="zh-CN"/>
    </w:rPr>
  </w:style>
  <w:style w:type="paragraph" w:customStyle="1" w:styleId="Annexetitreacte">
    <w:name w:val="Annexe titre (acte)"/>
    <w:basedOn w:val="Normal"/>
    <w:next w:val="Normal"/>
    <w:rsid w:val="00140F09"/>
    <w:pPr>
      <w:spacing w:before="120" w:after="120"/>
    </w:pPr>
    <w:rPr>
      <w:b/>
      <w:u w:val="single"/>
      <w:lang w:val="en-GB" w:eastAsia="zh-CN"/>
    </w:rPr>
  </w:style>
  <w:style w:type="paragraph" w:styleId="ListBullet">
    <w:name w:val="List Bullet"/>
    <w:basedOn w:val="Normal"/>
    <w:uiPriority w:val="99"/>
    <w:rsid w:val="00140F09"/>
    <w:pPr>
      <w:tabs>
        <w:tab w:val="num" w:pos="283"/>
      </w:tabs>
      <w:spacing w:after="240"/>
      <w:ind w:left="283" w:hanging="283"/>
    </w:pPr>
    <w:rPr>
      <w:lang w:val="en-GB" w:eastAsia="en-US"/>
    </w:rPr>
  </w:style>
  <w:style w:type="paragraph" w:styleId="ListBullet2">
    <w:name w:val="List Bullet 2"/>
    <w:basedOn w:val="Normal"/>
    <w:uiPriority w:val="99"/>
    <w:rsid w:val="00140F09"/>
    <w:pPr>
      <w:tabs>
        <w:tab w:val="num" w:pos="1485"/>
      </w:tabs>
      <w:spacing w:after="240"/>
      <w:ind w:left="1485" w:hanging="283"/>
    </w:pPr>
    <w:rPr>
      <w:lang w:val="en-GB" w:eastAsia="en-US"/>
    </w:rPr>
  </w:style>
  <w:style w:type="paragraph" w:styleId="ListBullet3">
    <w:name w:val="List Bullet 3"/>
    <w:basedOn w:val="Text3"/>
    <w:uiPriority w:val="99"/>
    <w:rsid w:val="00140F09"/>
    <w:pPr>
      <w:tabs>
        <w:tab w:val="clear" w:pos="2302"/>
        <w:tab w:val="num" w:pos="1485"/>
      </w:tabs>
      <w:ind w:left="1485" w:hanging="283"/>
    </w:pPr>
  </w:style>
  <w:style w:type="paragraph" w:styleId="DocumentMap">
    <w:name w:val="Document Map"/>
    <w:basedOn w:val="Normal"/>
    <w:link w:val="DocumentMapChar"/>
    <w:uiPriority w:val="99"/>
    <w:rsid w:val="00140F09"/>
    <w:pPr>
      <w:shd w:val="clear" w:color="auto" w:fill="000080"/>
    </w:pPr>
    <w:rPr>
      <w:rFonts w:ascii="Tahoma" w:hAnsi="Tahoma" w:cs="Tahoma"/>
      <w:lang w:val="en-GB" w:eastAsia="en-GB"/>
    </w:rPr>
  </w:style>
  <w:style w:type="character" w:customStyle="1" w:styleId="DocumentMapChar">
    <w:name w:val="Document Map Char"/>
    <w:link w:val="DocumentMap"/>
    <w:uiPriority w:val="99"/>
    <w:locked/>
    <w:rsid w:val="00140F09"/>
    <w:rPr>
      <w:rFonts w:ascii="Tahoma" w:hAnsi="Tahoma"/>
      <w:shd w:val="clear" w:color="auto" w:fill="000080"/>
      <w:lang w:val="en-GB" w:eastAsia="en-GB"/>
    </w:rPr>
  </w:style>
  <w:style w:type="paragraph" w:customStyle="1" w:styleId="Char">
    <w:name w:val="Char"/>
    <w:basedOn w:val="Normal"/>
    <w:rsid w:val="00140F09"/>
    <w:pPr>
      <w:spacing w:after="160" w:line="240" w:lineRule="exact"/>
    </w:pPr>
    <w:rPr>
      <w:rFonts w:ascii="Tahoma" w:hAnsi="Tahoma"/>
      <w:lang w:val="en-US" w:eastAsia="en-US"/>
    </w:rPr>
  </w:style>
  <w:style w:type="paragraph" w:customStyle="1" w:styleId="1">
    <w:name w:val="1"/>
    <w:basedOn w:val="Normal"/>
    <w:rsid w:val="00140F09"/>
    <w:pPr>
      <w:spacing w:after="160" w:line="240" w:lineRule="exact"/>
    </w:pPr>
    <w:rPr>
      <w:rFonts w:ascii="Tahoma" w:hAnsi="Tahoma"/>
      <w:lang w:val="en-US" w:eastAsia="en-US"/>
    </w:rPr>
  </w:style>
  <w:style w:type="character" w:customStyle="1" w:styleId="FootnoteCar">
    <w:name w:val="Footnote Car"/>
    <w:rsid w:val="00140F09"/>
    <w:rPr>
      <w:rFonts w:ascii="Times" w:hAnsi="Times"/>
      <w:color w:val="000000"/>
      <w:sz w:val="24"/>
      <w:lang w:val="en-US" w:eastAsia="x-none"/>
    </w:rPr>
  </w:style>
  <w:style w:type="paragraph" w:styleId="Subtitle">
    <w:name w:val="Subtitle"/>
    <w:basedOn w:val="Normal"/>
    <w:link w:val="SubtitleChar"/>
    <w:uiPriority w:val="11"/>
    <w:qFormat/>
    <w:rsid w:val="00140F09"/>
    <w:rPr>
      <w:lang w:eastAsia="bg-BG"/>
    </w:rPr>
  </w:style>
  <w:style w:type="character" w:customStyle="1" w:styleId="SubtitleChar">
    <w:name w:val="Subtitle Char"/>
    <w:link w:val="Subtitle"/>
    <w:uiPriority w:val="11"/>
    <w:locked/>
    <w:rsid w:val="00140F09"/>
    <w:rPr>
      <w:sz w:val="24"/>
    </w:rPr>
  </w:style>
  <w:style w:type="paragraph" w:customStyle="1" w:styleId="N">
    <w:name w:val="N"/>
    <w:rsid w:val="00140F09"/>
    <w:pPr>
      <w:suppressAutoHyphens/>
      <w:spacing w:after="120" w:line="360" w:lineRule="auto"/>
      <w:ind w:firstLine="720"/>
      <w:jc w:val="both"/>
    </w:pPr>
    <w:rPr>
      <w:sz w:val="24"/>
      <w:lang w:val="en-US" w:eastAsia="ar-SA"/>
    </w:rPr>
  </w:style>
  <w:style w:type="paragraph" w:customStyle="1" w:styleId="Formatvorlage1">
    <w:name w:val="Formatvorlage1"/>
    <w:basedOn w:val="Normal"/>
    <w:rsid w:val="00140F09"/>
    <w:rPr>
      <w:lang w:val="en-GB" w:eastAsia="bg-BG"/>
    </w:rPr>
  </w:style>
  <w:style w:type="paragraph" w:customStyle="1" w:styleId="Bullets">
    <w:name w:val="Bullets"/>
    <w:basedOn w:val="Normal"/>
    <w:rsid w:val="00140F09"/>
    <w:pPr>
      <w:tabs>
        <w:tab w:val="num" w:pos="360"/>
      </w:tabs>
      <w:overflowPunct w:val="0"/>
      <w:autoSpaceDE w:val="0"/>
      <w:autoSpaceDN w:val="0"/>
      <w:adjustRightInd w:val="0"/>
    </w:pPr>
    <w:rPr>
      <w:sz w:val="22"/>
      <w:lang w:val="fr-FR" w:eastAsia="en-GB"/>
    </w:rPr>
  </w:style>
  <w:style w:type="paragraph" w:styleId="PlainText">
    <w:name w:val="Plain Text"/>
    <w:basedOn w:val="Normal"/>
    <w:link w:val="PlainTextChar"/>
    <w:uiPriority w:val="99"/>
    <w:rsid w:val="00140F09"/>
    <w:rPr>
      <w:rFonts w:ascii="Courier New" w:hAnsi="Courier New"/>
      <w:lang w:eastAsia="bg-BG"/>
    </w:rPr>
  </w:style>
  <w:style w:type="character" w:customStyle="1" w:styleId="PlainTextChar">
    <w:name w:val="Plain Text Char"/>
    <w:link w:val="PlainText"/>
    <w:uiPriority w:val="99"/>
    <w:locked/>
    <w:rsid w:val="00140F09"/>
    <w:rPr>
      <w:rFonts w:ascii="Courier New" w:hAnsi="Courier New"/>
    </w:rPr>
  </w:style>
  <w:style w:type="paragraph" w:styleId="List">
    <w:name w:val="List"/>
    <w:basedOn w:val="Normal"/>
    <w:uiPriority w:val="99"/>
    <w:rsid w:val="00140F09"/>
    <w:pPr>
      <w:ind w:left="283" w:hanging="283"/>
    </w:pPr>
    <w:rPr>
      <w:szCs w:val="24"/>
      <w:lang w:eastAsia="en-US"/>
    </w:rPr>
  </w:style>
  <w:style w:type="paragraph" w:styleId="List2">
    <w:name w:val="List 2"/>
    <w:basedOn w:val="Normal"/>
    <w:uiPriority w:val="99"/>
    <w:rsid w:val="00140F09"/>
    <w:pPr>
      <w:ind w:left="566" w:hanging="283"/>
    </w:pPr>
    <w:rPr>
      <w:szCs w:val="24"/>
      <w:lang w:eastAsia="en-US"/>
    </w:rPr>
  </w:style>
  <w:style w:type="paragraph" w:styleId="List3">
    <w:name w:val="List 3"/>
    <w:basedOn w:val="Normal"/>
    <w:uiPriority w:val="99"/>
    <w:rsid w:val="00140F09"/>
    <w:pPr>
      <w:ind w:left="849" w:hanging="283"/>
    </w:pPr>
    <w:rPr>
      <w:szCs w:val="24"/>
      <w:lang w:eastAsia="en-US"/>
    </w:rPr>
  </w:style>
  <w:style w:type="paragraph" w:styleId="ListBullet4">
    <w:name w:val="List Bullet 4"/>
    <w:basedOn w:val="Normal"/>
    <w:autoRedefine/>
    <w:uiPriority w:val="99"/>
    <w:rsid w:val="00140F09"/>
    <w:pPr>
      <w:numPr>
        <w:numId w:val="16"/>
      </w:numPr>
    </w:pPr>
    <w:rPr>
      <w:szCs w:val="24"/>
      <w:lang w:eastAsia="en-US"/>
    </w:rPr>
  </w:style>
  <w:style w:type="paragraph" w:styleId="ListContinue2">
    <w:name w:val="List Continue 2"/>
    <w:basedOn w:val="Normal"/>
    <w:uiPriority w:val="99"/>
    <w:rsid w:val="00140F09"/>
    <w:pPr>
      <w:spacing w:after="120"/>
      <w:ind w:left="566"/>
    </w:pPr>
    <w:rPr>
      <w:szCs w:val="24"/>
      <w:lang w:eastAsia="en-US"/>
    </w:rPr>
  </w:style>
  <w:style w:type="character" w:customStyle="1" w:styleId="tstnp1">
    <w:name w:val="tstnp1"/>
    <w:rsid w:val="00140F09"/>
    <w:rPr>
      <w:rFonts w:ascii="Verdana" w:hAnsi="Verdana"/>
      <w:color w:val="000000"/>
      <w:sz w:val="20"/>
    </w:rPr>
  </w:style>
  <w:style w:type="character" w:customStyle="1" w:styleId="n0">
    <w:name w:val="n"/>
    <w:rsid w:val="00140F09"/>
  </w:style>
  <w:style w:type="paragraph" w:customStyle="1" w:styleId="par">
    <w:name w:val="par"/>
    <w:basedOn w:val="Normal"/>
    <w:rsid w:val="00140F09"/>
    <w:pPr>
      <w:spacing w:before="100" w:beforeAutospacing="1" w:after="100" w:afterAutospacing="1"/>
    </w:pPr>
    <w:rPr>
      <w:szCs w:val="24"/>
      <w:lang w:eastAsia="bg-BG"/>
    </w:rPr>
  </w:style>
  <w:style w:type="character" w:styleId="Strong">
    <w:name w:val="Strong"/>
    <w:uiPriority w:val="22"/>
    <w:qFormat/>
    <w:rsid w:val="00140F09"/>
    <w:rPr>
      <w:b/>
    </w:rPr>
  </w:style>
  <w:style w:type="table" w:styleId="TableWeb1">
    <w:name w:val="Table Web 1"/>
    <w:basedOn w:val="TableNormal"/>
    <w:uiPriority w:val="99"/>
    <w:rsid w:val="00140F0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40F0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List7">
    <w:name w:val="Table List 7"/>
    <w:basedOn w:val="TableNormal"/>
    <w:uiPriority w:val="99"/>
    <w:rsid w:val="00140F0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Elegant">
    <w:name w:val="Table Elegant"/>
    <w:basedOn w:val="TableNormal"/>
    <w:uiPriority w:val="99"/>
    <w:rsid w:val="00140F0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rsid w:val="00140F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140F09"/>
    <w:pPr>
      <w:suppressAutoHyphens/>
      <w:spacing w:before="60" w:after="60"/>
    </w:pPr>
    <w:rPr>
      <w:color w:val="000000"/>
      <w:lang w:eastAsia="ar-SA"/>
    </w:rPr>
  </w:style>
  <w:style w:type="character" w:styleId="Emphasis">
    <w:name w:val="Emphasis"/>
    <w:uiPriority w:val="20"/>
    <w:qFormat/>
    <w:rsid w:val="00140F09"/>
    <w:rPr>
      <w:i/>
    </w:rPr>
  </w:style>
  <w:style w:type="paragraph" w:customStyle="1" w:styleId="txt">
    <w:name w:val="txt"/>
    <w:basedOn w:val="Normal"/>
    <w:rsid w:val="00140F09"/>
    <w:pPr>
      <w:spacing w:before="100" w:beforeAutospacing="1" w:after="100" w:afterAutospacing="1"/>
    </w:pPr>
    <w:rPr>
      <w:szCs w:val="24"/>
      <w:lang w:eastAsia="bg-BG"/>
    </w:rPr>
  </w:style>
  <w:style w:type="paragraph" w:customStyle="1" w:styleId="CharCharCharCharCharChar">
    <w:name w:val="Char Char Char Char Char Char"/>
    <w:basedOn w:val="Normal"/>
    <w:rsid w:val="00140F09"/>
    <w:pPr>
      <w:tabs>
        <w:tab w:val="left" w:pos="709"/>
      </w:tabs>
    </w:pPr>
    <w:rPr>
      <w:rFonts w:ascii="Tahoma" w:hAnsi="Tahoma"/>
      <w:szCs w:val="24"/>
    </w:rPr>
  </w:style>
  <w:style w:type="character" w:styleId="EndnoteReference">
    <w:name w:val="endnote reference"/>
    <w:uiPriority w:val="99"/>
    <w:rsid w:val="00140F09"/>
    <w:rPr>
      <w:vertAlign w:val="superscript"/>
    </w:rPr>
  </w:style>
  <w:style w:type="paragraph" w:customStyle="1" w:styleId="Logo">
    <w:name w:val="Logo"/>
    <w:basedOn w:val="Normal"/>
    <w:rsid w:val="00140F09"/>
    <w:rPr>
      <w:sz w:val="22"/>
      <w:lang w:val="fr-FR" w:eastAsia="sk-SK"/>
    </w:rPr>
  </w:style>
  <w:style w:type="paragraph" w:customStyle="1" w:styleId="ZD">
    <w:name w:val="Z_D"/>
    <w:basedOn w:val="Logo"/>
    <w:rsid w:val="00140F09"/>
    <w:rPr>
      <w:rFonts w:ascii="Arial" w:hAnsi="Arial"/>
      <w:sz w:val="16"/>
    </w:rPr>
  </w:style>
  <w:style w:type="paragraph" w:customStyle="1" w:styleId="ZU">
    <w:name w:val="Z_U"/>
    <w:basedOn w:val="Logo"/>
    <w:rsid w:val="00140F09"/>
    <w:rPr>
      <w:rFonts w:ascii="Arial" w:hAnsi="Arial"/>
      <w:b/>
      <w:sz w:val="16"/>
    </w:rPr>
  </w:style>
  <w:style w:type="paragraph" w:styleId="EndnoteText">
    <w:name w:val="endnote text"/>
    <w:basedOn w:val="Normal"/>
    <w:link w:val="EndnoteTextChar"/>
    <w:uiPriority w:val="99"/>
    <w:rsid w:val="00140F09"/>
    <w:rPr>
      <w:lang w:val="en-GB" w:eastAsia="sk-SK"/>
    </w:rPr>
  </w:style>
  <w:style w:type="character" w:customStyle="1" w:styleId="EndnoteTextChar">
    <w:name w:val="Endnote Text Char"/>
    <w:link w:val="EndnoteText"/>
    <w:uiPriority w:val="99"/>
    <w:locked/>
    <w:rsid w:val="00140F09"/>
    <w:rPr>
      <w:lang w:val="en-GB" w:eastAsia="sk-SK"/>
    </w:rPr>
  </w:style>
  <w:style w:type="paragraph" w:customStyle="1" w:styleId="Application4">
    <w:name w:val="Application4"/>
    <w:basedOn w:val="Normal"/>
    <w:autoRedefine/>
    <w:rsid w:val="00140F09"/>
    <w:pPr>
      <w:widowControl w:val="0"/>
      <w:numPr>
        <w:numId w:val="17"/>
      </w:numPr>
      <w:tabs>
        <w:tab w:val="right" w:pos="8789"/>
      </w:tabs>
      <w:suppressAutoHyphens/>
    </w:pPr>
    <w:rPr>
      <w:rFonts w:ascii="Arial" w:hAnsi="Arial"/>
      <w:spacing w:val="-2"/>
      <w:lang w:val="en-GB" w:eastAsia="en-US"/>
    </w:rPr>
  </w:style>
  <w:style w:type="paragraph" w:customStyle="1" w:styleId="NoteHead">
    <w:name w:val="NoteHead"/>
    <w:basedOn w:val="Normal"/>
    <w:next w:val="Normal"/>
    <w:rsid w:val="00140F09"/>
    <w:pPr>
      <w:spacing w:before="720" w:after="720"/>
    </w:pPr>
    <w:rPr>
      <w:b/>
      <w:bCs/>
      <w:smallCaps/>
      <w:szCs w:val="24"/>
      <w:lang w:val="en-GB" w:eastAsia="fr-FR"/>
    </w:rPr>
  </w:style>
  <w:style w:type="paragraph" w:customStyle="1" w:styleId="OPACbullet">
    <w:name w:val="OPAC bullet"/>
    <w:basedOn w:val="Normal"/>
    <w:rsid w:val="00140F09"/>
    <w:pPr>
      <w:numPr>
        <w:numId w:val="18"/>
      </w:numPr>
      <w:spacing w:before="120"/>
    </w:pPr>
    <w:rPr>
      <w:szCs w:val="24"/>
      <w:lang w:eastAsia="bg-BG"/>
    </w:rPr>
  </w:style>
  <w:style w:type="paragraph" w:customStyle="1" w:styleId="MANUAL1">
    <w:name w:val="MANUAL 1"/>
    <w:basedOn w:val="Normal"/>
    <w:rsid w:val="00140F09"/>
    <w:pPr>
      <w:keepNext/>
      <w:spacing w:before="240" w:after="120"/>
      <w:outlineLvl w:val="1"/>
    </w:pPr>
    <w:rPr>
      <w:b/>
      <w:bCs/>
      <w:color w:val="0000FF"/>
      <w:sz w:val="28"/>
      <w:szCs w:val="24"/>
      <w:lang w:eastAsia="bg-BG"/>
    </w:rPr>
  </w:style>
  <w:style w:type="paragraph" w:customStyle="1" w:styleId="CharChar5CharCharCharCharCharCharCharCharCharChar1CharCharCharCharCharChar1Char">
    <w:name w:val="Char Char5 Знак Char Char Знак Char Char Знак Char Char Знак Char Char Знак Char Char1 Знак Char Char Знак Char Char Знак Char Char1 Char"/>
    <w:basedOn w:val="Normal"/>
    <w:semiHidden/>
    <w:rsid w:val="00140F09"/>
    <w:pPr>
      <w:tabs>
        <w:tab w:val="left" w:pos="709"/>
      </w:tabs>
    </w:pPr>
    <w:rPr>
      <w:rFonts w:ascii="Futura Bk" w:hAnsi="Futura Bk"/>
      <w:szCs w:val="24"/>
    </w:rPr>
  </w:style>
  <w:style w:type="paragraph" w:customStyle="1" w:styleId="CharCharCharChar1Char">
    <w:name w:val="Char Char Char Char1 Char"/>
    <w:basedOn w:val="Normal"/>
    <w:rsid w:val="00140F09"/>
    <w:pPr>
      <w:tabs>
        <w:tab w:val="left" w:pos="709"/>
      </w:tabs>
    </w:pPr>
    <w:rPr>
      <w:rFonts w:ascii="Tahoma" w:hAnsi="Tahoma"/>
      <w:szCs w:val="24"/>
    </w:rPr>
  </w:style>
  <w:style w:type="paragraph" w:customStyle="1" w:styleId="CharCharCharCharCharChar1CharCharChar1CharCharCharChar">
    <w:name w:val="Char Char Char Char Char Char1 Char Char Char1 Char Char Char Char"/>
    <w:basedOn w:val="Normal"/>
    <w:rsid w:val="00140F09"/>
    <w:pPr>
      <w:tabs>
        <w:tab w:val="left" w:pos="709"/>
      </w:tabs>
    </w:pPr>
    <w:rPr>
      <w:rFonts w:ascii="Tahoma" w:hAnsi="Tahoma"/>
      <w:szCs w:val="24"/>
    </w:rPr>
  </w:style>
  <w:style w:type="paragraph" w:customStyle="1" w:styleId="para-flush-spabove">
    <w:name w:val="para-flush-spabove"/>
    <w:basedOn w:val="Normal"/>
    <w:rsid w:val="00140F09"/>
    <w:pPr>
      <w:spacing w:before="100" w:beforeAutospacing="1" w:after="100" w:afterAutospacing="1"/>
    </w:pPr>
    <w:rPr>
      <w:szCs w:val="24"/>
      <w:lang w:val="en-US" w:eastAsia="en-US"/>
    </w:rPr>
  </w:style>
  <w:style w:type="paragraph" w:customStyle="1" w:styleId="CharChar1Char">
    <w:name w:val="Char Char1 Char"/>
    <w:basedOn w:val="Normal"/>
    <w:rsid w:val="00140F09"/>
    <w:pPr>
      <w:tabs>
        <w:tab w:val="left" w:pos="709"/>
      </w:tabs>
    </w:pPr>
    <w:rPr>
      <w:rFonts w:ascii="Tahoma" w:hAnsi="Tahoma"/>
      <w:szCs w:val="24"/>
    </w:rPr>
  </w:style>
  <w:style w:type="character" w:customStyle="1" w:styleId="breadcrumbs1">
    <w:name w:val="breadcrumbs1"/>
    <w:rsid w:val="00140F09"/>
    <w:rPr>
      <w:color w:val="365D98"/>
    </w:rPr>
  </w:style>
  <w:style w:type="character" w:customStyle="1" w:styleId="ctl00treeview201">
    <w:name w:val="ctl00_treeview2_01"/>
    <w:rsid w:val="00140F09"/>
    <w:rPr>
      <w:u w:val="none"/>
      <w:effect w:val="none"/>
    </w:rPr>
  </w:style>
  <w:style w:type="character" w:customStyle="1" w:styleId="hiddenref1">
    <w:name w:val="hiddenref1"/>
    <w:rsid w:val="00140F09"/>
    <w:rPr>
      <w:color w:val="000000"/>
      <w:u w:val="single"/>
    </w:rPr>
  </w:style>
  <w:style w:type="character" w:customStyle="1" w:styleId="ldef">
    <w:name w:val="ldef"/>
    <w:rsid w:val="00140F09"/>
  </w:style>
  <w:style w:type="paragraph" w:customStyle="1" w:styleId="CharCharCharChar1CharCharCharCharChar">
    <w:name w:val="Знак Char Char Знак Char Char1 Знак Char Char Char Char Char"/>
    <w:basedOn w:val="Normal"/>
    <w:rsid w:val="00140F09"/>
    <w:pPr>
      <w:spacing w:after="160" w:line="240" w:lineRule="exact"/>
    </w:pPr>
    <w:rPr>
      <w:rFonts w:ascii="Tahoma" w:hAnsi="Tahoma"/>
      <w:lang w:val="en-US" w:eastAsia="en-US"/>
    </w:rPr>
  </w:style>
  <w:style w:type="character" w:customStyle="1" w:styleId="NormalWebChar">
    <w:name w:val="Normal (Web) Char"/>
    <w:link w:val="NormalWeb"/>
    <w:uiPriority w:val="99"/>
    <w:locked/>
    <w:rsid w:val="00140F09"/>
    <w:rPr>
      <w:rFonts w:ascii="Verdana" w:eastAsia="Arial Unicode MS" w:hAnsi="Verdana"/>
      <w:color w:val="000000"/>
      <w:sz w:val="18"/>
      <w:lang w:val="x-none" w:eastAsia="pl-PL"/>
    </w:rPr>
  </w:style>
  <w:style w:type="paragraph" w:customStyle="1" w:styleId="N-1">
    <w:name w:val="N-1"/>
    <w:basedOn w:val="Normal"/>
    <w:rsid w:val="00140F09"/>
    <w:pPr>
      <w:widowControl w:val="0"/>
      <w:adjustRightInd w:val="0"/>
      <w:spacing w:after="80" w:line="360" w:lineRule="atLeast"/>
      <w:ind w:left="284"/>
      <w:textAlignment w:val="baseline"/>
    </w:pPr>
    <w:rPr>
      <w:rFonts w:ascii="Unv" w:hAnsi="Unv"/>
      <w:lang w:val="en-US" w:eastAsia="en-US"/>
    </w:rPr>
  </w:style>
  <w:style w:type="paragraph" w:customStyle="1" w:styleId="CharChar4Char">
    <w:name w:val="Char Char4 Char"/>
    <w:basedOn w:val="Normal"/>
    <w:rsid w:val="00140F09"/>
    <w:pPr>
      <w:spacing w:after="160" w:line="240" w:lineRule="exact"/>
    </w:pPr>
    <w:rPr>
      <w:rFonts w:ascii="Tahoma" w:hAnsi="Tahoma"/>
      <w:lang w:val="en-US" w:eastAsia="en-US"/>
    </w:rPr>
  </w:style>
  <w:style w:type="character" w:customStyle="1" w:styleId="Heading2CharCharBookmanOldStyleChar4">
    <w:name w:val="Heading 2 Char Char + Bookman Old Style Char4"/>
    <w:aliases w:val="Gris - 80 % Char4,Gauche :  2 Char4,97 ... Char4,Címsor 3 Char Char Char"/>
    <w:rsid w:val="00140F09"/>
    <w:rPr>
      <w:rFonts w:ascii="Times New Roman" w:hAnsi="Times New Roman"/>
      <w:b/>
      <w:color w:val="000000"/>
      <w:sz w:val="20"/>
      <w:shd w:val="clear" w:color="auto" w:fill="FFFFFF"/>
      <w:lang w:val="en-GB" w:eastAsia="pl-PL"/>
    </w:rPr>
  </w:style>
  <w:style w:type="character" w:customStyle="1" w:styleId="CharChar10">
    <w:name w:val="Char Char10"/>
    <w:rsid w:val="00140F09"/>
    <w:rPr>
      <w:rFonts w:ascii="Verdana" w:eastAsia="Arial Unicode MS" w:hAnsi="Verdana"/>
      <w:color w:val="000000"/>
      <w:sz w:val="18"/>
      <w:lang w:val="pl-PL" w:eastAsia="pl-PL"/>
    </w:rPr>
  </w:style>
  <w:style w:type="paragraph" w:customStyle="1" w:styleId="CharCharCharCharCharCharChar">
    <w:name w:val="Char Char Знак Знак Char Знак Знак Char Char Char Знак Знак Char"/>
    <w:basedOn w:val="Normal"/>
    <w:rsid w:val="00140F09"/>
    <w:pPr>
      <w:tabs>
        <w:tab w:val="left" w:pos="709"/>
      </w:tabs>
    </w:pPr>
    <w:rPr>
      <w:rFonts w:ascii="Tahoma" w:hAnsi="Tahoma"/>
      <w:szCs w:val="24"/>
    </w:rPr>
  </w:style>
  <w:style w:type="paragraph" w:customStyle="1" w:styleId="a0">
    <w:name w:val="Знак"/>
    <w:basedOn w:val="Normal"/>
    <w:rsid w:val="00140F09"/>
    <w:pPr>
      <w:tabs>
        <w:tab w:val="left" w:pos="709"/>
      </w:tabs>
    </w:pPr>
    <w:rPr>
      <w:rFonts w:ascii="Tahoma" w:hAnsi="Tahoma"/>
      <w:szCs w:val="24"/>
      <w:lang w:val="pl-PL"/>
    </w:rPr>
  </w:style>
  <w:style w:type="paragraph" w:customStyle="1" w:styleId="CharCharCharCharCharCharCharCharChar1CharCharCharCharCharChar">
    <w:name w:val="Char Char Char Знак Char Char Знак Char Char Знак Char Char1 Знак Char Char Знак Char Char Знак Char Char Знак"/>
    <w:basedOn w:val="Normal"/>
    <w:semiHidden/>
    <w:rsid w:val="00140F09"/>
    <w:pPr>
      <w:tabs>
        <w:tab w:val="left" w:pos="709"/>
      </w:tabs>
    </w:pPr>
    <w:rPr>
      <w:rFonts w:ascii="Futura Bk" w:hAnsi="Futura Bk"/>
      <w:szCs w:val="24"/>
      <w:lang w:val="pl-PL"/>
    </w:rPr>
  </w:style>
  <w:style w:type="paragraph" w:customStyle="1" w:styleId="CharCharCharCharCharCharChar0">
    <w:name w:val="Знак Char Char Знак Char Char Char Char Char Знак"/>
    <w:basedOn w:val="Normal"/>
    <w:rsid w:val="00140F09"/>
    <w:pPr>
      <w:spacing w:after="160" w:line="240" w:lineRule="exact"/>
    </w:pPr>
    <w:rPr>
      <w:rFonts w:ascii="Tahoma" w:hAnsi="Tahoma"/>
      <w:lang w:val="en-US" w:eastAsia="en-US"/>
    </w:rPr>
  </w:style>
  <w:style w:type="character" w:customStyle="1" w:styleId="Heading3CharChar">
    <w:name w:val="Heading 3 Char Char"/>
    <w:aliases w:val="Heading 2 Char Char + Bookman Old Style Char1,Gris - 80 % Char1,Gauche :  2 Char1,97 ... Char1,Címsor 3 Char Char Char1"/>
    <w:rsid w:val="00140F09"/>
    <w:rPr>
      <w:b/>
      <w:color w:val="000000"/>
      <w:sz w:val="24"/>
      <w:lang w:val="en-GB" w:eastAsia="pl-PL"/>
    </w:rPr>
  </w:style>
  <w:style w:type="character" w:customStyle="1" w:styleId="CharChar3">
    <w:name w:val="Char Char3"/>
    <w:rsid w:val="00140F09"/>
    <w:rPr>
      <w:sz w:val="24"/>
      <w:lang w:val="bg-BG" w:eastAsia="pl-PL"/>
    </w:rPr>
  </w:style>
  <w:style w:type="character" w:customStyle="1" w:styleId="CharChar2">
    <w:name w:val="Char Char2"/>
    <w:rsid w:val="00140F09"/>
    <w:rPr>
      <w:i/>
      <w:sz w:val="24"/>
      <w:u w:val="single"/>
      <w:lang w:val="bg-BG" w:eastAsia="pl-PL"/>
    </w:rPr>
  </w:style>
  <w:style w:type="paragraph" w:customStyle="1" w:styleId="Heading2TimesNewRomanBold">
    <w:name w:val="Heading 2 + Times New Roman Bold"/>
    <w:aliases w:val="12 pt"/>
    <w:basedOn w:val="Heading1"/>
    <w:link w:val="Heading2TimesNewRomanBoldChar"/>
    <w:rsid w:val="00140F09"/>
    <w:pPr>
      <w:spacing w:before="0" w:after="0" w:line="240" w:lineRule="atLeast"/>
    </w:pPr>
    <w:rPr>
      <w:rFonts w:ascii="Times New Roman" w:hAnsi="Times New Roman"/>
      <w:kern w:val="20"/>
      <w:sz w:val="24"/>
      <w:szCs w:val="24"/>
      <w:u w:val="single"/>
      <w:lang w:eastAsia="en-US"/>
    </w:rPr>
  </w:style>
  <w:style w:type="character" w:customStyle="1" w:styleId="Heading2TimesNewRomanBoldChar">
    <w:name w:val="Heading 2 + Times New Roman Bold Char"/>
    <w:aliases w:val="12 pt Char"/>
    <w:link w:val="Heading2TimesNewRomanBold"/>
    <w:locked/>
    <w:rsid w:val="00140F09"/>
    <w:rPr>
      <w:b/>
      <w:kern w:val="20"/>
      <w:sz w:val="24"/>
      <w:u w:val="single"/>
      <w:lang w:val="x-none" w:eastAsia="en-US"/>
    </w:rPr>
  </w:style>
  <w:style w:type="paragraph" w:customStyle="1" w:styleId="PMHeading1">
    <w:name w:val="PM Heading 1"/>
    <w:basedOn w:val="Normal"/>
    <w:link w:val="PMHeading1Char"/>
    <w:autoRedefine/>
    <w:rsid w:val="00486EF7"/>
    <w:pPr>
      <w:pBdr>
        <w:top w:val="single" w:sz="4" w:space="1" w:color="auto"/>
        <w:left w:val="single" w:sz="4" w:space="15" w:color="auto"/>
        <w:bottom w:val="single" w:sz="4" w:space="1" w:color="auto"/>
        <w:right w:val="single" w:sz="4" w:space="4" w:color="auto"/>
      </w:pBdr>
      <w:shd w:val="clear" w:color="auto" w:fill="99CCFF"/>
      <w:spacing w:before="240" w:after="240"/>
      <w:ind w:right="141"/>
      <w:outlineLvl w:val="1"/>
    </w:pPr>
    <w:rPr>
      <w:b/>
      <w:color w:val="000000"/>
      <w:szCs w:val="24"/>
      <w:lang w:eastAsia="bg-BG"/>
    </w:rPr>
  </w:style>
  <w:style w:type="paragraph" w:customStyle="1" w:styleId="PMHeading2">
    <w:name w:val="PM Heading 2"/>
    <w:basedOn w:val="Normal"/>
    <w:link w:val="PMHeading2Char"/>
    <w:rsid w:val="00930648"/>
    <w:pPr>
      <w:pBdr>
        <w:top w:val="single" w:sz="4" w:space="1" w:color="auto"/>
        <w:left w:val="single" w:sz="4" w:space="15" w:color="auto"/>
        <w:bottom w:val="single" w:sz="4" w:space="1" w:color="auto"/>
        <w:right w:val="single" w:sz="4" w:space="4" w:color="auto"/>
      </w:pBdr>
      <w:shd w:val="clear" w:color="auto" w:fill="DBE5F1"/>
      <w:tabs>
        <w:tab w:val="left" w:pos="851"/>
      </w:tabs>
      <w:spacing w:before="120" w:after="120"/>
      <w:ind w:right="141"/>
      <w:outlineLvl w:val="2"/>
    </w:pPr>
    <w:rPr>
      <w:rFonts w:ascii="Times New Roman Bold" w:hAnsi="Times New Roman Bold"/>
      <w:b/>
      <w:color w:val="000000"/>
      <w:spacing w:val="10"/>
      <w:szCs w:val="24"/>
    </w:rPr>
  </w:style>
  <w:style w:type="character" w:customStyle="1" w:styleId="PMHeading1Char">
    <w:name w:val="PM Heading 1 Char"/>
    <w:link w:val="PMHeading1"/>
    <w:locked/>
    <w:rsid w:val="00930648"/>
    <w:rPr>
      <w:b/>
      <w:color w:val="000000"/>
      <w:sz w:val="24"/>
      <w:szCs w:val="24"/>
      <w:shd w:val="clear" w:color="auto" w:fill="99CCFF"/>
    </w:rPr>
  </w:style>
  <w:style w:type="paragraph" w:customStyle="1" w:styleId="PMnumeric">
    <w:name w:val="PM numeric"/>
    <w:basedOn w:val="Normal"/>
    <w:link w:val="PMnumericChar"/>
    <w:rsid w:val="00AA5E3D"/>
    <w:pPr>
      <w:numPr>
        <w:numId w:val="48"/>
      </w:numPr>
      <w:spacing w:before="134"/>
    </w:pPr>
    <w:rPr>
      <w:spacing w:val="10"/>
      <w:szCs w:val="24"/>
      <w:lang w:eastAsia="bg-BG"/>
    </w:rPr>
  </w:style>
  <w:style w:type="character" w:customStyle="1" w:styleId="PMHeading2Char">
    <w:name w:val="PM Heading 2 Char"/>
    <w:link w:val="PMHeading2"/>
    <w:locked/>
    <w:rsid w:val="005531CD"/>
    <w:rPr>
      <w:rFonts w:ascii="Times New Roman Bold" w:hAnsi="Times New Roman Bold"/>
      <w:b/>
      <w:color w:val="000000"/>
      <w:spacing w:val="10"/>
      <w:sz w:val="24"/>
      <w:szCs w:val="24"/>
      <w:shd w:val="clear" w:color="auto" w:fill="DBE5F1"/>
      <w:lang w:eastAsia="pl-PL"/>
    </w:rPr>
  </w:style>
  <w:style w:type="paragraph" w:customStyle="1" w:styleId="PMHeading3">
    <w:name w:val="PM Heading 3"/>
    <w:basedOn w:val="Normal"/>
    <w:link w:val="PMHeading3Char"/>
    <w:rsid w:val="00C95017"/>
    <w:pPr>
      <w:shd w:val="clear" w:color="auto" w:fill="FFFFFF"/>
      <w:spacing w:before="120" w:after="120"/>
      <w:outlineLvl w:val="0"/>
    </w:pPr>
    <w:rPr>
      <w:rFonts w:ascii="Times New Roman Bold" w:hAnsi="Times New Roman Bold"/>
      <w:b/>
      <w:color w:val="000000"/>
      <w:spacing w:val="10"/>
      <w:szCs w:val="24"/>
    </w:rPr>
  </w:style>
  <w:style w:type="character" w:customStyle="1" w:styleId="PMnumericChar">
    <w:name w:val="PM numeric Char"/>
    <w:link w:val="PMnumeric"/>
    <w:locked/>
    <w:rsid w:val="00AA5E3D"/>
    <w:rPr>
      <w:spacing w:val="10"/>
      <w:sz w:val="24"/>
      <w:szCs w:val="24"/>
    </w:rPr>
  </w:style>
  <w:style w:type="paragraph" w:customStyle="1" w:styleId="PMNormalStyle1">
    <w:name w:val="PM Normal Style 1"/>
    <w:basedOn w:val="Normal"/>
    <w:link w:val="PMNormalStyle1Char"/>
    <w:rsid w:val="00C95017"/>
    <w:rPr>
      <w:spacing w:val="10"/>
      <w:szCs w:val="24"/>
    </w:rPr>
  </w:style>
  <w:style w:type="character" w:customStyle="1" w:styleId="PMHeading3Char">
    <w:name w:val="PM Heading 3 Char"/>
    <w:link w:val="PMHeading3"/>
    <w:locked/>
    <w:rsid w:val="00C95017"/>
    <w:rPr>
      <w:rFonts w:ascii="Times New Roman Bold" w:hAnsi="Times New Roman Bold"/>
      <w:b/>
      <w:color w:val="000000"/>
      <w:spacing w:val="10"/>
      <w:sz w:val="24"/>
      <w:szCs w:val="24"/>
      <w:shd w:val="clear" w:color="auto" w:fill="FFFFFF"/>
      <w:lang w:eastAsia="pl-PL"/>
    </w:rPr>
  </w:style>
  <w:style w:type="character" w:customStyle="1" w:styleId="PMNormalStyle1Char">
    <w:name w:val="PM Normal Style 1 Char"/>
    <w:link w:val="PMNormalStyle1"/>
    <w:locked/>
    <w:rsid w:val="00C95017"/>
    <w:rPr>
      <w:spacing w:val="10"/>
      <w:sz w:val="24"/>
      <w:lang w:val="x-none" w:eastAsia="pl-PL"/>
    </w:rPr>
  </w:style>
  <w:style w:type="character" w:customStyle="1" w:styleId="apple-converted-space">
    <w:name w:val="apple-converted-space"/>
    <w:rsid w:val="00D318D9"/>
  </w:style>
  <w:style w:type="character" w:customStyle="1" w:styleId="italic">
    <w:name w:val="italic"/>
    <w:rsid w:val="00D318D9"/>
  </w:style>
  <w:style w:type="character" w:customStyle="1" w:styleId="super">
    <w:name w:val="super"/>
    <w:rsid w:val="00D318D9"/>
  </w:style>
  <w:style w:type="paragraph" w:customStyle="1" w:styleId="CharCharChar3">
    <w:name w:val="Char Char Char3"/>
    <w:basedOn w:val="Normal"/>
    <w:rsid w:val="00EF2A6D"/>
    <w:pPr>
      <w:tabs>
        <w:tab w:val="left" w:pos="709"/>
      </w:tabs>
    </w:pPr>
    <w:rPr>
      <w:rFonts w:ascii="Tahoma" w:hAnsi="Tahoma"/>
      <w:szCs w:val="24"/>
    </w:rPr>
  </w:style>
  <w:style w:type="paragraph" w:customStyle="1" w:styleId="CharCharCharCharCharCharCharCharCharCharCharCharCharCharCharCharCharCharCharCharChar1CharCharCharCharCharCharCharCharCharCharCharChar1CharCharChar1CharCharCharCharCharChar3">
    <w:name w:val="Char Char Char Char Char Char Char Char Char Char Char Char Char Char Char Char Char Char Char Char Char1 Char Char Char Char Char Char Char Char Char Char Char Char1 Char Char Char1 Char Char Char Char Char Char3"/>
    <w:basedOn w:val="Normal"/>
    <w:rsid w:val="00EF2A6D"/>
    <w:pPr>
      <w:tabs>
        <w:tab w:val="left" w:pos="709"/>
      </w:tabs>
      <w:spacing w:line="360" w:lineRule="auto"/>
    </w:pPr>
    <w:rPr>
      <w:rFonts w:ascii="Tahoma" w:hAnsi="Tahoma"/>
      <w:szCs w:val="24"/>
    </w:rPr>
  </w:style>
  <w:style w:type="table" w:customStyle="1" w:styleId="TableGrid2">
    <w:name w:val="Table Grid2"/>
    <w:basedOn w:val="TableNormal"/>
    <w:next w:val="TableGrid"/>
    <w:rsid w:val="00EF2A6D"/>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6">
    <w:name w:val="Char Char6"/>
    <w:rsid w:val="00EF2A6D"/>
    <w:rPr>
      <w:b/>
      <w:color w:val="FF0000"/>
      <w:sz w:val="24"/>
      <w:lang w:val="en-US" w:eastAsia="bg-BG"/>
    </w:rPr>
  </w:style>
  <w:style w:type="paragraph" w:customStyle="1" w:styleId="Char3">
    <w:name w:val="Char3"/>
    <w:basedOn w:val="Normal"/>
    <w:rsid w:val="00EF2A6D"/>
    <w:pPr>
      <w:spacing w:after="160" w:line="240" w:lineRule="exact"/>
    </w:pPr>
    <w:rPr>
      <w:rFonts w:ascii="Tahoma" w:hAnsi="Tahoma"/>
      <w:lang w:val="en-US" w:eastAsia="en-US"/>
    </w:rPr>
  </w:style>
  <w:style w:type="table" w:customStyle="1" w:styleId="TableWeb11">
    <w:name w:val="Table Web 11"/>
    <w:basedOn w:val="TableNormal"/>
    <w:next w:val="TableWeb1"/>
    <w:rsid w:val="00EF2A6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EF2A6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List71">
    <w:name w:val="Table List 71"/>
    <w:basedOn w:val="TableNormal"/>
    <w:next w:val="TableList7"/>
    <w:rsid w:val="00EF2A6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Elegant1">
    <w:name w:val="Table Elegant1"/>
    <w:basedOn w:val="TableNormal"/>
    <w:next w:val="TableElegant"/>
    <w:rsid w:val="00EF2A6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2">
    <w:name w:val="Table Grid12"/>
    <w:basedOn w:val="TableNormal"/>
    <w:next w:val="TableGrid"/>
    <w:rsid w:val="00EF2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3">
    <w:name w:val="Char Char Char Char Char Char3"/>
    <w:basedOn w:val="Normal"/>
    <w:rsid w:val="00EF2A6D"/>
    <w:pPr>
      <w:tabs>
        <w:tab w:val="left" w:pos="709"/>
      </w:tabs>
    </w:pPr>
    <w:rPr>
      <w:rFonts w:ascii="Tahoma" w:hAnsi="Tahoma"/>
      <w:szCs w:val="24"/>
    </w:rPr>
  </w:style>
  <w:style w:type="paragraph" w:customStyle="1" w:styleId="CharChar5CharCharCharCharCharCharCharCharCharChar1CharCharCharCharCharChar1Char3">
    <w:name w:val="Char Char5 Знак Char Char Знак Char Char Знак Char Char Знак Char Char Знак Char Char1 Знак Char Char Знак Char Char Знак Char Char1 Char3"/>
    <w:basedOn w:val="Normal"/>
    <w:semiHidden/>
    <w:rsid w:val="00EF2A6D"/>
    <w:pPr>
      <w:tabs>
        <w:tab w:val="left" w:pos="709"/>
      </w:tabs>
    </w:pPr>
    <w:rPr>
      <w:rFonts w:ascii="Futura Bk" w:hAnsi="Futura Bk"/>
      <w:szCs w:val="24"/>
    </w:rPr>
  </w:style>
  <w:style w:type="paragraph" w:customStyle="1" w:styleId="CharCharCharChar1Char3">
    <w:name w:val="Char Char Char Char1 Char3"/>
    <w:basedOn w:val="Normal"/>
    <w:rsid w:val="00EF2A6D"/>
    <w:pPr>
      <w:tabs>
        <w:tab w:val="left" w:pos="709"/>
      </w:tabs>
    </w:pPr>
    <w:rPr>
      <w:rFonts w:ascii="Tahoma" w:hAnsi="Tahoma"/>
      <w:szCs w:val="24"/>
    </w:rPr>
  </w:style>
  <w:style w:type="paragraph" w:customStyle="1" w:styleId="CharCharCharCharCharChar1CharCharChar1CharCharCharChar3">
    <w:name w:val="Char Char Char Char Char Char1 Char Char Char1 Char Char Char Char3"/>
    <w:basedOn w:val="Normal"/>
    <w:rsid w:val="00EF2A6D"/>
    <w:pPr>
      <w:tabs>
        <w:tab w:val="left" w:pos="709"/>
      </w:tabs>
    </w:pPr>
    <w:rPr>
      <w:rFonts w:ascii="Tahoma" w:hAnsi="Tahoma"/>
      <w:szCs w:val="24"/>
    </w:rPr>
  </w:style>
  <w:style w:type="paragraph" w:customStyle="1" w:styleId="CharChar1Char3">
    <w:name w:val="Char Char1 Char3"/>
    <w:basedOn w:val="Normal"/>
    <w:rsid w:val="00EF2A6D"/>
    <w:pPr>
      <w:tabs>
        <w:tab w:val="left" w:pos="709"/>
      </w:tabs>
    </w:pPr>
    <w:rPr>
      <w:rFonts w:ascii="Tahoma" w:hAnsi="Tahoma"/>
      <w:szCs w:val="24"/>
    </w:rPr>
  </w:style>
  <w:style w:type="paragraph" w:customStyle="1" w:styleId="CharCharChar1CharCharChar3">
    <w:name w:val="Char Char Char1 Char Char Char3"/>
    <w:basedOn w:val="Normal"/>
    <w:rsid w:val="00EF2A6D"/>
    <w:pPr>
      <w:spacing w:after="160" w:line="240" w:lineRule="exact"/>
    </w:pPr>
    <w:rPr>
      <w:rFonts w:ascii="Tahoma" w:hAnsi="Tahoma"/>
      <w:lang w:val="en-US" w:eastAsia="en-US"/>
    </w:rPr>
  </w:style>
  <w:style w:type="paragraph" w:customStyle="1" w:styleId="CharCharCharChar1CharCharCharCharChar3">
    <w:name w:val="Знак Char Char Знак Char Char1 Знак Char Char Char Char Char3"/>
    <w:basedOn w:val="Normal"/>
    <w:rsid w:val="00EF2A6D"/>
    <w:pPr>
      <w:spacing w:after="160" w:line="240" w:lineRule="exact"/>
    </w:pPr>
    <w:rPr>
      <w:rFonts w:ascii="Tahoma" w:hAnsi="Tahoma"/>
      <w:lang w:val="en-US" w:eastAsia="en-US"/>
    </w:rPr>
  </w:style>
  <w:style w:type="paragraph" w:customStyle="1" w:styleId="CharChar4Char3">
    <w:name w:val="Char Char4 Char3"/>
    <w:basedOn w:val="Normal"/>
    <w:rsid w:val="00EF2A6D"/>
    <w:pPr>
      <w:spacing w:after="160" w:line="240" w:lineRule="exact"/>
    </w:pPr>
    <w:rPr>
      <w:rFonts w:ascii="Tahoma" w:hAnsi="Tahoma"/>
      <w:lang w:val="en-US" w:eastAsia="en-US"/>
    </w:rPr>
  </w:style>
  <w:style w:type="character" w:customStyle="1" w:styleId="CharChar103">
    <w:name w:val="Char Char103"/>
    <w:rsid w:val="00EF2A6D"/>
    <w:rPr>
      <w:rFonts w:ascii="Verdana" w:eastAsia="Arial Unicode MS" w:hAnsi="Verdana"/>
      <w:color w:val="000000"/>
      <w:sz w:val="18"/>
      <w:lang w:val="pl-PL" w:eastAsia="pl-PL"/>
    </w:rPr>
  </w:style>
  <w:style w:type="paragraph" w:customStyle="1" w:styleId="CharCharCharCharCharCharChar3">
    <w:name w:val="Char Char Знак Знак Char Знак Знак Char Char Char Знак Знак Char3"/>
    <w:basedOn w:val="Normal"/>
    <w:rsid w:val="00EF2A6D"/>
    <w:pPr>
      <w:tabs>
        <w:tab w:val="left" w:pos="709"/>
      </w:tabs>
    </w:pPr>
    <w:rPr>
      <w:rFonts w:ascii="Tahoma" w:hAnsi="Tahoma"/>
      <w:szCs w:val="24"/>
    </w:rPr>
  </w:style>
  <w:style w:type="paragraph" w:customStyle="1" w:styleId="3">
    <w:name w:val="Знак3"/>
    <w:basedOn w:val="Normal"/>
    <w:rsid w:val="00EF2A6D"/>
    <w:pPr>
      <w:tabs>
        <w:tab w:val="left" w:pos="709"/>
      </w:tabs>
    </w:pPr>
    <w:rPr>
      <w:rFonts w:ascii="Tahoma" w:hAnsi="Tahoma"/>
      <w:szCs w:val="24"/>
      <w:lang w:val="pl-PL"/>
    </w:rPr>
  </w:style>
  <w:style w:type="paragraph" w:customStyle="1" w:styleId="CharCharCharCharCharCharCharCharChar1CharCharCharCharCharChar3">
    <w:name w:val="Char Char Char Знак Char Char Знак Char Char Знак Char Char1 Знак Char Char Знак Char Char Знак Char Char Знак3"/>
    <w:basedOn w:val="Normal"/>
    <w:semiHidden/>
    <w:rsid w:val="00EF2A6D"/>
    <w:pPr>
      <w:tabs>
        <w:tab w:val="left" w:pos="709"/>
      </w:tabs>
    </w:pPr>
    <w:rPr>
      <w:rFonts w:ascii="Futura Bk" w:hAnsi="Futura Bk"/>
      <w:szCs w:val="24"/>
      <w:lang w:val="pl-PL"/>
    </w:rPr>
  </w:style>
  <w:style w:type="paragraph" w:customStyle="1" w:styleId="CharCharCharCharCharCharChar30">
    <w:name w:val="Знак Char Char Знак Char Char Char Char Char Знак3"/>
    <w:basedOn w:val="Normal"/>
    <w:rsid w:val="00EF2A6D"/>
    <w:pPr>
      <w:spacing w:after="160" w:line="240" w:lineRule="exact"/>
    </w:pPr>
    <w:rPr>
      <w:rFonts w:ascii="Tahoma" w:hAnsi="Tahoma"/>
      <w:lang w:val="en-US" w:eastAsia="en-US"/>
    </w:rPr>
  </w:style>
  <w:style w:type="character" w:customStyle="1" w:styleId="CharChar33">
    <w:name w:val="Char Char33"/>
    <w:rsid w:val="00EF2A6D"/>
    <w:rPr>
      <w:sz w:val="24"/>
      <w:lang w:val="bg-BG" w:eastAsia="pl-PL"/>
    </w:rPr>
  </w:style>
  <w:style w:type="character" w:customStyle="1" w:styleId="CharChar23">
    <w:name w:val="Char Char23"/>
    <w:rsid w:val="00EF2A6D"/>
    <w:rPr>
      <w:i/>
      <w:sz w:val="24"/>
      <w:u w:val="single"/>
      <w:lang w:val="bg-BG" w:eastAsia="pl-PL"/>
    </w:rPr>
  </w:style>
  <w:style w:type="character" w:customStyle="1" w:styleId="ListParagraphChar">
    <w:name w:val="List Paragraph Char"/>
    <w:link w:val="ListParagraph"/>
    <w:uiPriority w:val="34"/>
    <w:locked/>
    <w:rsid w:val="00D13D6E"/>
    <w:rPr>
      <w:lang w:val="x-none" w:eastAsia="pl-PL"/>
    </w:rPr>
  </w:style>
  <w:style w:type="paragraph" w:customStyle="1" w:styleId="sti-art">
    <w:name w:val="sti-art"/>
    <w:basedOn w:val="Normal"/>
    <w:rsid w:val="00BD2B72"/>
    <w:pPr>
      <w:spacing w:before="100" w:beforeAutospacing="1" w:after="100" w:afterAutospacing="1"/>
    </w:pPr>
    <w:rPr>
      <w:szCs w:val="24"/>
      <w:lang w:val="en-US" w:eastAsia="en-US"/>
    </w:rPr>
  </w:style>
  <w:style w:type="paragraph" w:customStyle="1" w:styleId="Normal2">
    <w:name w:val="Normal2"/>
    <w:basedOn w:val="Normal"/>
    <w:rsid w:val="00BD2B72"/>
    <w:pPr>
      <w:spacing w:before="100" w:beforeAutospacing="1" w:after="100" w:afterAutospacing="1"/>
    </w:pPr>
    <w:rPr>
      <w:szCs w:val="24"/>
      <w:lang w:val="en-US" w:eastAsia="en-US"/>
    </w:rPr>
  </w:style>
  <w:style w:type="paragraph" w:customStyle="1" w:styleId="doc-ti">
    <w:name w:val="doc-ti"/>
    <w:basedOn w:val="Normal"/>
    <w:rsid w:val="00024A7B"/>
    <w:pPr>
      <w:spacing w:before="100" w:beforeAutospacing="1" w:after="100" w:afterAutospacing="1"/>
    </w:pPr>
    <w:rPr>
      <w:szCs w:val="24"/>
      <w:lang w:eastAsia="bg-BG"/>
    </w:rPr>
  </w:style>
  <w:style w:type="paragraph" w:customStyle="1" w:styleId="hd-oj">
    <w:name w:val="hd-oj"/>
    <w:basedOn w:val="Normal"/>
    <w:rsid w:val="00024A7B"/>
    <w:pPr>
      <w:spacing w:before="100" w:beforeAutospacing="1" w:after="100" w:afterAutospacing="1"/>
    </w:pPr>
    <w:rPr>
      <w:szCs w:val="24"/>
      <w:lang w:eastAsia="bg-BG"/>
    </w:rPr>
  </w:style>
  <w:style w:type="character" w:customStyle="1" w:styleId="hps">
    <w:name w:val="hps"/>
    <w:rsid w:val="00024A7B"/>
  </w:style>
  <w:style w:type="character" w:customStyle="1" w:styleId="CharChar5">
    <w:name w:val="Char Char5"/>
    <w:rsid w:val="00024A7B"/>
    <w:rPr>
      <w:rFonts w:ascii="Arial" w:hAnsi="Arial"/>
      <w:sz w:val="24"/>
      <w:lang w:val="bg-BG" w:eastAsia="en-US"/>
    </w:rPr>
  </w:style>
  <w:style w:type="paragraph" w:customStyle="1" w:styleId="Normal3">
    <w:name w:val="Normal3"/>
    <w:basedOn w:val="Normal"/>
    <w:rsid w:val="00024A7B"/>
    <w:pPr>
      <w:spacing w:before="120"/>
    </w:pPr>
    <w:rPr>
      <w:szCs w:val="24"/>
      <w:lang w:val="en-GB" w:eastAsia="en-GB"/>
    </w:rPr>
  </w:style>
  <w:style w:type="paragraph" w:customStyle="1" w:styleId="Bullet">
    <w:name w:val="Bullet"/>
    <w:next w:val="Normal"/>
    <w:autoRedefine/>
    <w:uiPriority w:val="99"/>
    <w:rsid w:val="000A11E5"/>
    <w:pPr>
      <w:numPr>
        <w:numId w:val="88"/>
      </w:numPr>
      <w:tabs>
        <w:tab w:val="clear" w:pos="360"/>
      </w:tabs>
      <w:autoSpaceDE w:val="0"/>
      <w:autoSpaceDN w:val="0"/>
      <w:adjustRightInd w:val="0"/>
      <w:ind w:left="1134" w:right="-171"/>
      <w:jc w:val="both"/>
    </w:pPr>
    <w:rPr>
      <w:i/>
      <w:color w:val="000000"/>
      <w:sz w:val="24"/>
      <w:szCs w:val="24"/>
      <w:lang w:eastAsia="en-US"/>
    </w:rPr>
  </w:style>
  <w:style w:type="paragraph" w:customStyle="1" w:styleId="CharCharChar2">
    <w:name w:val="Char Char Char2"/>
    <w:basedOn w:val="Normal"/>
    <w:rsid w:val="00F669BD"/>
    <w:pPr>
      <w:tabs>
        <w:tab w:val="left" w:pos="709"/>
      </w:tabs>
    </w:pPr>
    <w:rPr>
      <w:rFonts w:ascii="Tahoma" w:hAnsi="Tahoma"/>
      <w:szCs w:val="24"/>
    </w:rPr>
  </w:style>
  <w:style w:type="paragraph" w:customStyle="1" w:styleId="CharCharCharCharCharCharCharCharCharCharCharCharCharCharCharCharCharCharCharCharChar1CharCharCharCharCharCharCharCharCharCharCharChar1CharCharChar1CharCharCharCharCharChar2">
    <w:name w:val="Char Char Char Char Char Char Char Char Char Char Char Char Char Char Char Char Char Char Char Char Char1 Char Char Char Char Char Char Char Char Char Char Char Char1 Char Char Char1 Char Char Char Char Char Char2"/>
    <w:basedOn w:val="Normal"/>
    <w:rsid w:val="00F669BD"/>
    <w:pPr>
      <w:tabs>
        <w:tab w:val="left" w:pos="709"/>
      </w:tabs>
      <w:spacing w:line="360" w:lineRule="auto"/>
    </w:pPr>
    <w:rPr>
      <w:rFonts w:ascii="Tahoma" w:hAnsi="Tahoma"/>
      <w:szCs w:val="24"/>
    </w:rPr>
  </w:style>
  <w:style w:type="character" w:customStyle="1" w:styleId="CharChar4">
    <w:name w:val="Char Char4"/>
    <w:rsid w:val="00F669BD"/>
    <w:rPr>
      <w:b/>
      <w:color w:val="FF0000"/>
      <w:sz w:val="24"/>
      <w:lang w:val="en-US" w:eastAsia="bg-BG"/>
    </w:rPr>
  </w:style>
  <w:style w:type="paragraph" w:customStyle="1" w:styleId="Char2">
    <w:name w:val="Char2"/>
    <w:basedOn w:val="Normal"/>
    <w:rsid w:val="00F669BD"/>
    <w:pPr>
      <w:spacing w:after="160" w:line="240" w:lineRule="exact"/>
    </w:pPr>
    <w:rPr>
      <w:rFonts w:ascii="Tahoma" w:hAnsi="Tahoma"/>
      <w:lang w:val="en-US" w:eastAsia="en-US"/>
    </w:rPr>
  </w:style>
  <w:style w:type="paragraph" w:customStyle="1" w:styleId="CharCharCharCharCharChar2">
    <w:name w:val="Char Char Char Char Char Char2"/>
    <w:basedOn w:val="Normal"/>
    <w:rsid w:val="00F669BD"/>
    <w:pPr>
      <w:tabs>
        <w:tab w:val="left" w:pos="709"/>
      </w:tabs>
    </w:pPr>
    <w:rPr>
      <w:rFonts w:ascii="Tahoma" w:hAnsi="Tahoma"/>
      <w:szCs w:val="24"/>
    </w:rPr>
  </w:style>
  <w:style w:type="paragraph" w:customStyle="1" w:styleId="CharChar5CharCharCharCharCharCharCharCharCharChar1CharCharCharCharCharChar1Char2">
    <w:name w:val="Char Char5 Знак Char Char Знак Char Char Знак Char Char Знак Char Char Знак Char Char1 Знак Char Char Знак Char Char Знак Char Char1 Char2"/>
    <w:basedOn w:val="Normal"/>
    <w:semiHidden/>
    <w:rsid w:val="00F669BD"/>
    <w:pPr>
      <w:tabs>
        <w:tab w:val="left" w:pos="709"/>
      </w:tabs>
    </w:pPr>
    <w:rPr>
      <w:rFonts w:ascii="Futura Bk" w:hAnsi="Futura Bk"/>
      <w:szCs w:val="24"/>
    </w:rPr>
  </w:style>
  <w:style w:type="paragraph" w:customStyle="1" w:styleId="CharCharCharChar1Char2">
    <w:name w:val="Char Char Char Char1 Char2"/>
    <w:basedOn w:val="Normal"/>
    <w:rsid w:val="00F669BD"/>
    <w:pPr>
      <w:tabs>
        <w:tab w:val="left" w:pos="709"/>
      </w:tabs>
    </w:pPr>
    <w:rPr>
      <w:rFonts w:ascii="Tahoma" w:hAnsi="Tahoma"/>
      <w:szCs w:val="24"/>
    </w:rPr>
  </w:style>
  <w:style w:type="paragraph" w:customStyle="1" w:styleId="CharCharCharCharCharChar1CharCharChar1CharCharCharChar2">
    <w:name w:val="Char Char Char Char Char Char1 Char Char Char1 Char Char Char Char2"/>
    <w:basedOn w:val="Normal"/>
    <w:rsid w:val="00F669BD"/>
    <w:pPr>
      <w:tabs>
        <w:tab w:val="left" w:pos="709"/>
      </w:tabs>
    </w:pPr>
    <w:rPr>
      <w:rFonts w:ascii="Tahoma" w:hAnsi="Tahoma"/>
      <w:szCs w:val="24"/>
    </w:rPr>
  </w:style>
  <w:style w:type="paragraph" w:customStyle="1" w:styleId="CharChar1Char2">
    <w:name w:val="Char Char1 Char2"/>
    <w:basedOn w:val="Normal"/>
    <w:rsid w:val="00F669BD"/>
    <w:pPr>
      <w:tabs>
        <w:tab w:val="left" w:pos="709"/>
      </w:tabs>
    </w:pPr>
    <w:rPr>
      <w:rFonts w:ascii="Tahoma" w:hAnsi="Tahoma"/>
      <w:szCs w:val="24"/>
    </w:rPr>
  </w:style>
  <w:style w:type="paragraph" w:customStyle="1" w:styleId="CharCharChar1CharCharChar2">
    <w:name w:val="Char Char Char1 Char Char Char2"/>
    <w:basedOn w:val="Normal"/>
    <w:rsid w:val="00F669BD"/>
    <w:pPr>
      <w:spacing w:after="160" w:line="240" w:lineRule="exact"/>
    </w:pPr>
    <w:rPr>
      <w:rFonts w:ascii="Tahoma" w:hAnsi="Tahoma"/>
      <w:lang w:val="en-US" w:eastAsia="en-US"/>
    </w:rPr>
  </w:style>
  <w:style w:type="paragraph" w:customStyle="1" w:styleId="CharCharCharChar1CharCharCharCharChar2">
    <w:name w:val="Знак Char Char Знак Char Char1 Знак Char Char Char Char Char2"/>
    <w:basedOn w:val="Normal"/>
    <w:rsid w:val="00F669BD"/>
    <w:pPr>
      <w:spacing w:after="160" w:line="240" w:lineRule="exact"/>
    </w:pPr>
    <w:rPr>
      <w:rFonts w:ascii="Tahoma" w:hAnsi="Tahoma"/>
      <w:lang w:val="en-US" w:eastAsia="en-US"/>
    </w:rPr>
  </w:style>
  <w:style w:type="paragraph" w:customStyle="1" w:styleId="CharChar4Char2">
    <w:name w:val="Char Char4 Char2"/>
    <w:basedOn w:val="Normal"/>
    <w:rsid w:val="00F669BD"/>
    <w:pPr>
      <w:spacing w:after="160" w:line="240" w:lineRule="exact"/>
    </w:pPr>
    <w:rPr>
      <w:rFonts w:ascii="Tahoma" w:hAnsi="Tahoma"/>
      <w:lang w:val="en-US" w:eastAsia="en-US"/>
    </w:rPr>
  </w:style>
  <w:style w:type="character" w:customStyle="1" w:styleId="CharChar102">
    <w:name w:val="Char Char102"/>
    <w:rsid w:val="00F669BD"/>
    <w:rPr>
      <w:rFonts w:ascii="Verdana" w:eastAsia="Arial Unicode MS" w:hAnsi="Verdana"/>
      <w:color w:val="000000"/>
      <w:sz w:val="18"/>
      <w:lang w:val="pl-PL" w:eastAsia="pl-PL"/>
    </w:rPr>
  </w:style>
  <w:style w:type="paragraph" w:customStyle="1" w:styleId="CharCharCharCharCharCharChar2">
    <w:name w:val="Char Char Знак Знак Char Знак Знак Char Char Char Знак Знак Char2"/>
    <w:basedOn w:val="Normal"/>
    <w:rsid w:val="00F669BD"/>
    <w:pPr>
      <w:tabs>
        <w:tab w:val="left" w:pos="709"/>
      </w:tabs>
    </w:pPr>
    <w:rPr>
      <w:rFonts w:ascii="Tahoma" w:hAnsi="Tahoma"/>
      <w:szCs w:val="24"/>
    </w:rPr>
  </w:style>
  <w:style w:type="paragraph" w:customStyle="1" w:styleId="2">
    <w:name w:val="Знак2"/>
    <w:basedOn w:val="Normal"/>
    <w:rsid w:val="00F669BD"/>
    <w:pPr>
      <w:tabs>
        <w:tab w:val="left" w:pos="709"/>
      </w:tabs>
    </w:pPr>
    <w:rPr>
      <w:rFonts w:ascii="Tahoma" w:hAnsi="Tahoma"/>
      <w:szCs w:val="24"/>
      <w:lang w:val="pl-PL"/>
    </w:rPr>
  </w:style>
  <w:style w:type="paragraph" w:customStyle="1" w:styleId="CharCharCharCharCharCharCharCharChar1CharCharCharCharCharChar2">
    <w:name w:val="Char Char Char Знак Char Char Знак Char Char Знак Char Char1 Знак Char Char Знак Char Char Знак Char Char Знак2"/>
    <w:basedOn w:val="Normal"/>
    <w:semiHidden/>
    <w:rsid w:val="00F669BD"/>
    <w:pPr>
      <w:tabs>
        <w:tab w:val="left" w:pos="709"/>
      </w:tabs>
    </w:pPr>
    <w:rPr>
      <w:rFonts w:ascii="Futura Bk" w:hAnsi="Futura Bk"/>
      <w:szCs w:val="24"/>
      <w:lang w:val="pl-PL"/>
    </w:rPr>
  </w:style>
  <w:style w:type="paragraph" w:customStyle="1" w:styleId="CharCharCharCharCharCharChar20">
    <w:name w:val="Знак Char Char Знак Char Char Char Char Char Знак2"/>
    <w:basedOn w:val="Normal"/>
    <w:rsid w:val="00F669BD"/>
    <w:pPr>
      <w:spacing w:after="160" w:line="240" w:lineRule="exact"/>
    </w:pPr>
    <w:rPr>
      <w:rFonts w:ascii="Tahoma" w:hAnsi="Tahoma"/>
      <w:lang w:val="en-US" w:eastAsia="en-US"/>
    </w:rPr>
  </w:style>
  <w:style w:type="character" w:customStyle="1" w:styleId="CharChar32">
    <w:name w:val="Char Char32"/>
    <w:rsid w:val="00F669BD"/>
    <w:rPr>
      <w:sz w:val="24"/>
      <w:lang w:val="bg-BG" w:eastAsia="pl-PL"/>
    </w:rPr>
  </w:style>
  <w:style w:type="character" w:customStyle="1" w:styleId="CharChar22">
    <w:name w:val="Char Char22"/>
    <w:rsid w:val="00F669BD"/>
    <w:rPr>
      <w:i/>
      <w:sz w:val="24"/>
      <w:u w:val="single"/>
      <w:lang w:val="bg-BG" w:eastAsia="pl-PL"/>
    </w:rPr>
  </w:style>
  <w:style w:type="paragraph" w:styleId="Revision">
    <w:name w:val="Revision"/>
    <w:hidden/>
    <w:uiPriority w:val="99"/>
    <w:semiHidden/>
    <w:rsid w:val="00F669BD"/>
    <w:pPr>
      <w:jc w:val="center"/>
    </w:pPr>
    <w:rPr>
      <w:lang w:eastAsia="pl-PL"/>
    </w:rPr>
  </w:style>
  <w:style w:type="paragraph" w:customStyle="1" w:styleId="suk3-1">
    <w:name w:val="suk 3-1"/>
    <w:basedOn w:val="Heading3"/>
    <w:autoRedefine/>
    <w:rsid w:val="00C411E0"/>
    <w:pPr>
      <w:numPr>
        <w:ilvl w:val="1"/>
        <w:numId w:val="115"/>
      </w:numPr>
      <w:pBdr>
        <w:top w:val="single" w:sz="4" w:space="1" w:color="auto"/>
        <w:left w:val="single" w:sz="4" w:space="4" w:color="auto"/>
        <w:bottom w:val="single" w:sz="4" w:space="1" w:color="auto"/>
        <w:right w:val="single" w:sz="4" w:space="0" w:color="auto"/>
      </w:pBdr>
      <w:shd w:val="clear" w:color="auto" w:fill="EEECE1"/>
      <w:spacing w:before="120" w:after="120" w:line="276" w:lineRule="auto"/>
    </w:pPr>
    <w:rPr>
      <w:rFonts w:ascii="Times New Roman" w:hAnsi="Times New Roman"/>
      <w:bCs w:val="0"/>
      <w:color w:val="auto"/>
      <w:szCs w:val="24"/>
      <w:lang w:eastAsia="en-US"/>
    </w:rPr>
  </w:style>
  <w:style w:type="paragraph" w:customStyle="1" w:styleId="SUK3">
    <w:name w:val="SUK 3"/>
    <w:basedOn w:val="PMHeading3"/>
    <w:link w:val="SUK3Char"/>
    <w:rsid w:val="00C411E0"/>
    <w:pPr>
      <w:numPr>
        <w:numId w:val="115"/>
      </w:numPr>
      <w:tabs>
        <w:tab w:val="num" w:pos="2160"/>
      </w:tabs>
      <w:jc w:val="left"/>
    </w:pPr>
  </w:style>
  <w:style w:type="character" w:customStyle="1" w:styleId="SUK3Char">
    <w:name w:val="SUK 3 Char"/>
    <w:link w:val="SUK3"/>
    <w:locked/>
    <w:rsid w:val="00C411E0"/>
    <w:rPr>
      <w:rFonts w:ascii="Times New Roman Bold" w:hAnsi="Times New Roman Bold"/>
      <w:b/>
      <w:color w:val="000000"/>
      <w:spacing w:val="10"/>
      <w:sz w:val="24"/>
      <w:szCs w:val="24"/>
      <w:shd w:val="clear" w:color="auto" w:fill="FFFFFF"/>
      <w:lang w:eastAsia="pl-PL"/>
    </w:rPr>
  </w:style>
  <w:style w:type="paragraph" w:customStyle="1" w:styleId="CharCharChar1">
    <w:name w:val="Char Char Char1"/>
    <w:basedOn w:val="Normal"/>
    <w:rsid w:val="00442F83"/>
    <w:pPr>
      <w:tabs>
        <w:tab w:val="left" w:pos="709"/>
      </w:tabs>
      <w:jc w:val="left"/>
    </w:pPr>
    <w:rPr>
      <w:rFonts w:ascii="Tahoma" w:hAnsi="Tahoma"/>
      <w:szCs w:val="24"/>
    </w:rPr>
  </w:style>
  <w:style w:type="paragraph" w:customStyle="1" w:styleId="CharCharCharCharCharCharCharCharCharCharCharCharCharCharCharCharCharCharCharCharChar1CharCharCharCharCharCharCharCharCharCharCharChar1CharCharChar1CharCharCharCharCharChar1">
    <w:name w:val="Char Char Char Char Char Char Char Char Char Char Char Char Char Char Char Char Char Char Char Char Char1 Char Char Char Char Char Char Char Char Char Char Char Char1 Char Char Char1 Char Char Char Char Char Char1"/>
    <w:basedOn w:val="Normal"/>
    <w:rsid w:val="00442F83"/>
    <w:pPr>
      <w:tabs>
        <w:tab w:val="left" w:pos="709"/>
      </w:tabs>
      <w:spacing w:line="360" w:lineRule="auto"/>
      <w:jc w:val="left"/>
    </w:pPr>
    <w:rPr>
      <w:rFonts w:ascii="Tahoma" w:hAnsi="Tahoma"/>
      <w:szCs w:val="24"/>
    </w:rPr>
  </w:style>
  <w:style w:type="table" w:customStyle="1" w:styleId="TableGrid3">
    <w:name w:val="Table Grid3"/>
    <w:basedOn w:val="TableNormal"/>
    <w:next w:val="TableGrid"/>
    <w:rsid w:val="00442F83"/>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
    <w:name w:val="Char Char1"/>
    <w:rsid w:val="00442F83"/>
    <w:rPr>
      <w:b/>
      <w:color w:val="FF0000"/>
      <w:sz w:val="24"/>
      <w:lang w:val="en-US" w:eastAsia="bg-BG"/>
    </w:rPr>
  </w:style>
  <w:style w:type="paragraph" w:customStyle="1" w:styleId="Char1">
    <w:name w:val="Char1"/>
    <w:basedOn w:val="Normal"/>
    <w:rsid w:val="00442F83"/>
    <w:pPr>
      <w:spacing w:after="160" w:line="240" w:lineRule="exact"/>
      <w:jc w:val="left"/>
    </w:pPr>
    <w:rPr>
      <w:rFonts w:ascii="Tahoma" w:hAnsi="Tahoma"/>
      <w:lang w:val="en-US" w:eastAsia="en-US"/>
    </w:rPr>
  </w:style>
  <w:style w:type="table" w:customStyle="1" w:styleId="TableWeb12">
    <w:name w:val="Table Web 12"/>
    <w:basedOn w:val="TableNormal"/>
    <w:next w:val="TableWeb1"/>
    <w:rsid w:val="00442F8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rsid w:val="00442F8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List72">
    <w:name w:val="Table List 72"/>
    <w:basedOn w:val="TableNormal"/>
    <w:next w:val="TableList7"/>
    <w:rsid w:val="00442F8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Elegant2">
    <w:name w:val="Table Elegant2"/>
    <w:basedOn w:val="TableNormal"/>
    <w:next w:val="TableElegant"/>
    <w:rsid w:val="00442F8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3">
    <w:name w:val="Table Grid13"/>
    <w:basedOn w:val="TableNormal"/>
    <w:next w:val="TableGrid"/>
    <w:rsid w:val="00442F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1">
    <w:name w:val="Char Char Char Char Char Char1"/>
    <w:basedOn w:val="Normal"/>
    <w:rsid w:val="00442F83"/>
    <w:pPr>
      <w:tabs>
        <w:tab w:val="left" w:pos="709"/>
      </w:tabs>
      <w:jc w:val="left"/>
    </w:pPr>
    <w:rPr>
      <w:rFonts w:ascii="Tahoma" w:hAnsi="Tahoma"/>
      <w:szCs w:val="24"/>
    </w:rPr>
  </w:style>
  <w:style w:type="paragraph" w:customStyle="1" w:styleId="CharChar5CharCharCharCharCharCharCharCharCharChar1CharCharCharCharCharChar1Char1">
    <w:name w:val="Char Char5 Знак Char Char Знак Char Char Знак Char Char Знак Char Char Знак Char Char1 Знак Char Char Знак Char Char Знак Char Char1 Char1"/>
    <w:basedOn w:val="Normal"/>
    <w:semiHidden/>
    <w:rsid w:val="00442F83"/>
    <w:pPr>
      <w:tabs>
        <w:tab w:val="left" w:pos="709"/>
      </w:tabs>
      <w:jc w:val="left"/>
    </w:pPr>
    <w:rPr>
      <w:rFonts w:ascii="Futura Bk" w:hAnsi="Futura Bk"/>
      <w:szCs w:val="24"/>
    </w:rPr>
  </w:style>
  <w:style w:type="paragraph" w:customStyle="1" w:styleId="CharCharCharChar1Char1">
    <w:name w:val="Char Char Char Char1 Char1"/>
    <w:basedOn w:val="Normal"/>
    <w:rsid w:val="00442F83"/>
    <w:pPr>
      <w:tabs>
        <w:tab w:val="left" w:pos="709"/>
      </w:tabs>
      <w:jc w:val="left"/>
    </w:pPr>
    <w:rPr>
      <w:rFonts w:ascii="Tahoma" w:hAnsi="Tahoma"/>
      <w:szCs w:val="24"/>
    </w:rPr>
  </w:style>
  <w:style w:type="paragraph" w:customStyle="1" w:styleId="CharCharCharCharCharChar1CharCharChar1CharCharCharChar1">
    <w:name w:val="Char Char Char Char Char Char1 Char Char Char1 Char Char Char Char1"/>
    <w:basedOn w:val="Normal"/>
    <w:rsid w:val="00442F83"/>
    <w:pPr>
      <w:tabs>
        <w:tab w:val="left" w:pos="709"/>
      </w:tabs>
      <w:jc w:val="left"/>
    </w:pPr>
    <w:rPr>
      <w:rFonts w:ascii="Tahoma" w:hAnsi="Tahoma"/>
      <w:szCs w:val="24"/>
    </w:rPr>
  </w:style>
  <w:style w:type="paragraph" w:customStyle="1" w:styleId="CharChar1Char1">
    <w:name w:val="Char Char1 Char1"/>
    <w:basedOn w:val="Normal"/>
    <w:rsid w:val="00442F83"/>
    <w:pPr>
      <w:tabs>
        <w:tab w:val="left" w:pos="709"/>
      </w:tabs>
      <w:jc w:val="left"/>
    </w:pPr>
    <w:rPr>
      <w:rFonts w:ascii="Tahoma" w:hAnsi="Tahoma"/>
      <w:szCs w:val="24"/>
    </w:rPr>
  </w:style>
  <w:style w:type="paragraph" w:customStyle="1" w:styleId="CharCharChar1CharCharChar1">
    <w:name w:val="Char Char Char1 Char Char Char1"/>
    <w:basedOn w:val="Normal"/>
    <w:rsid w:val="00442F83"/>
    <w:pPr>
      <w:spacing w:after="160" w:line="240" w:lineRule="exact"/>
      <w:jc w:val="left"/>
    </w:pPr>
    <w:rPr>
      <w:rFonts w:ascii="Tahoma" w:hAnsi="Tahoma"/>
      <w:lang w:val="en-US" w:eastAsia="en-US"/>
    </w:rPr>
  </w:style>
  <w:style w:type="paragraph" w:customStyle="1" w:styleId="CharCharCharChar1CharCharCharCharChar1">
    <w:name w:val="Знак Char Char Знак Char Char1 Знак Char Char Char Char Char1"/>
    <w:basedOn w:val="Normal"/>
    <w:rsid w:val="00442F83"/>
    <w:pPr>
      <w:spacing w:after="160" w:line="240" w:lineRule="exact"/>
      <w:jc w:val="left"/>
    </w:pPr>
    <w:rPr>
      <w:rFonts w:ascii="Tahoma" w:hAnsi="Tahoma"/>
      <w:lang w:val="en-US" w:eastAsia="en-US"/>
    </w:rPr>
  </w:style>
  <w:style w:type="paragraph" w:customStyle="1" w:styleId="CharChar4Char1">
    <w:name w:val="Char Char4 Char1"/>
    <w:basedOn w:val="Normal"/>
    <w:rsid w:val="00442F83"/>
    <w:pPr>
      <w:spacing w:after="160" w:line="240" w:lineRule="exact"/>
      <w:jc w:val="left"/>
    </w:pPr>
    <w:rPr>
      <w:rFonts w:ascii="Tahoma" w:hAnsi="Tahoma"/>
      <w:lang w:val="en-US" w:eastAsia="en-US"/>
    </w:rPr>
  </w:style>
  <w:style w:type="character" w:customStyle="1" w:styleId="CharChar101">
    <w:name w:val="Char Char101"/>
    <w:rsid w:val="00442F83"/>
    <w:rPr>
      <w:rFonts w:ascii="Verdana" w:eastAsia="Arial Unicode MS" w:hAnsi="Verdana"/>
      <w:color w:val="000000"/>
      <w:sz w:val="18"/>
      <w:lang w:val="pl-PL" w:eastAsia="pl-PL"/>
    </w:rPr>
  </w:style>
  <w:style w:type="paragraph" w:customStyle="1" w:styleId="CharCharCharCharCharCharChar1">
    <w:name w:val="Char Char Знак Знак Char Знак Знак Char Char Char Знак Знак Char1"/>
    <w:basedOn w:val="Normal"/>
    <w:rsid w:val="00442F83"/>
    <w:pPr>
      <w:tabs>
        <w:tab w:val="left" w:pos="709"/>
      </w:tabs>
      <w:jc w:val="left"/>
    </w:pPr>
    <w:rPr>
      <w:rFonts w:ascii="Tahoma" w:hAnsi="Tahoma"/>
      <w:szCs w:val="24"/>
    </w:rPr>
  </w:style>
  <w:style w:type="paragraph" w:customStyle="1" w:styleId="10">
    <w:name w:val="Знак1"/>
    <w:basedOn w:val="Normal"/>
    <w:rsid w:val="00442F83"/>
    <w:pPr>
      <w:tabs>
        <w:tab w:val="left" w:pos="709"/>
      </w:tabs>
      <w:jc w:val="left"/>
    </w:pPr>
    <w:rPr>
      <w:rFonts w:ascii="Tahoma" w:hAnsi="Tahoma"/>
      <w:szCs w:val="24"/>
      <w:lang w:val="pl-PL"/>
    </w:rPr>
  </w:style>
  <w:style w:type="paragraph" w:customStyle="1" w:styleId="CharCharCharCharCharCharCharCharChar1CharCharCharCharCharChar1">
    <w:name w:val="Char Char Char Знак Char Char Знак Char Char Знак Char Char1 Знак Char Char Знак Char Char Знак Char Char Знак1"/>
    <w:basedOn w:val="Normal"/>
    <w:semiHidden/>
    <w:rsid w:val="00442F83"/>
    <w:pPr>
      <w:tabs>
        <w:tab w:val="left" w:pos="709"/>
      </w:tabs>
      <w:jc w:val="left"/>
    </w:pPr>
    <w:rPr>
      <w:rFonts w:ascii="Futura Bk" w:hAnsi="Futura Bk"/>
      <w:szCs w:val="24"/>
      <w:lang w:val="pl-PL"/>
    </w:rPr>
  </w:style>
  <w:style w:type="paragraph" w:customStyle="1" w:styleId="CharCharCharCharCharCharChar10">
    <w:name w:val="Знак Char Char Знак Char Char Char Char Char Знак1"/>
    <w:basedOn w:val="Normal"/>
    <w:rsid w:val="00442F83"/>
    <w:pPr>
      <w:spacing w:after="160" w:line="240" w:lineRule="exact"/>
      <w:jc w:val="left"/>
    </w:pPr>
    <w:rPr>
      <w:rFonts w:ascii="Tahoma" w:hAnsi="Tahoma"/>
      <w:lang w:val="en-US" w:eastAsia="en-US"/>
    </w:rPr>
  </w:style>
  <w:style w:type="character" w:customStyle="1" w:styleId="CharChar31">
    <w:name w:val="Char Char31"/>
    <w:rsid w:val="00442F83"/>
    <w:rPr>
      <w:sz w:val="24"/>
      <w:lang w:val="bg-BG" w:eastAsia="pl-PL"/>
    </w:rPr>
  </w:style>
  <w:style w:type="character" w:customStyle="1" w:styleId="CharChar21">
    <w:name w:val="Char Char21"/>
    <w:rsid w:val="00442F83"/>
    <w:rPr>
      <w:i/>
      <w:sz w:val="24"/>
      <w:u w:val="single"/>
      <w:lang w:val="bg-BG" w:eastAsia="pl-PL"/>
    </w:rPr>
  </w:style>
  <w:style w:type="table" w:customStyle="1" w:styleId="PlainTable31">
    <w:name w:val="Plain Table 31"/>
    <w:basedOn w:val="TableNormal"/>
    <w:uiPriority w:val="43"/>
    <w:rsid w:val="002F2724"/>
    <w:rPr>
      <w:sz w:val="22"/>
      <w:szCs w:val="22"/>
      <w:lang w:val="en-US" w:eastAsia="en-US"/>
    </w:rPr>
    <w:tblPr>
      <w:tblStyleRowBandSize w:val="1"/>
      <w:tblStyleColBandSize w:val="1"/>
    </w:tblPr>
    <w:tblStylePr w:type="firstRow">
      <w:rPr>
        <w:rFonts w:cs="Times New Roman"/>
        <w:b/>
        <w:bCs/>
        <w:caps/>
      </w:rPr>
      <w:tblPr/>
      <w:tcPr>
        <w:tcBorders>
          <w:bottom w:val="single" w:sz="4" w:space="0" w:color="7F7F7F"/>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numbering" w:customStyle="1" w:styleId="11111111">
    <w:name w:val="1 / 1.1 / 1.1.111"/>
    <w:rsid w:val="00E67368"/>
    <w:pPr>
      <w:numPr>
        <w:numId w:val="1"/>
      </w:numPr>
    </w:pPr>
  </w:style>
  <w:style w:type="numbering" w:customStyle="1" w:styleId="1111112">
    <w:name w:val="1 / 1.1 / 1.1.12"/>
    <w:rsid w:val="00E67368"/>
    <w:pPr>
      <w:numPr>
        <w:numId w:val="51"/>
      </w:numPr>
    </w:pPr>
  </w:style>
  <w:style w:type="numbering" w:styleId="111111">
    <w:name w:val="Outline List 2"/>
    <w:basedOn w:val="NoList"/>
    <w:uiPriority w:val="99"/>
    <w:semiHidden/>
    <w:unhideWhenUsed/>
    <w:rsid w:val="00E67368"/>
    <w:pPr>
      <w:numPr>
        <w:numId w:val="15"/>
      </w:numPr>
    </w:pPr>
  </w:style>
  <w:style w:type="numbering" w:customStyle="1" w:styleId="1111111">
    <w:name w:val="1 / 1.1 / 1.1.11"/>
    <w:rsid w:val="00E67368"/>
    <w:pPr>
      <w:numPr>
        <w:numId w:val="70"/>
      </w:numPr>
    </w:pPr>
  </w:style>
  <w:style w:type="paragraph" w:customStyle="1" w:styleId="SUK2">
    <w:name w:val="SUK 2"/>
    <w:basedOn w:val="Normal"/>
    <w:rsid w:val="0071051B"/>
    <w:pPr>
      <w:keepNext/>
      <w:keepLines/>
      <w:numPr>
        <w:ilvl w:val="1"/>
        <w:numId w:val="168"/>
      </w:numPr>
      <w:pBdr>
        <w:top w:val="single" w:sz="4" w:space="1" w:color="auto"/>
        <w:left w:val="single" w:sz="4" w:space="15" w:color="auto"/>
        <w:bottom w:val="single" w:sz="4" w:space="1" w:color="auto"/>
        <w:right w:val="single" w:sz="4" w:space="0" w:color="auto"/>
      </w:pBdr>
      <w:shd w:val="clear" w:color="auto" w:fill="DBE5F1"/>
      <w:spacing w:before="240" w:after="240"/>
      <w:jc w:val="left"/>
      <w:outlineLvl w:val="0"/>
    </w:pPr>
    <w:rPr>
      <w:rFonts w:ascii="Times New Roman Bold" w:eastAsia="EUAlbertina-Regu-Identity-H" w:hAnsi="Times New Roman Bold"/>
      <w:b/>
      <w:bCs/>
      <w:color w:val="000000"/>
      <w:spacing w:val="10"/>
      <w:szCs w:val="24"/>
    </w:rPr>
  </w:style>
  <w:style w:type="table" w:customStyle="1" w:styleId="TableGrid4">
    <w:name w:val="Table Grid4"/>
    <w:basedOn w:val="TableNormal"/>
    <w:next w:val="TableGrid"/>
    <w:uiPriority w:val="39"/>
    <w:rsid w:val="00177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77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
    <w:name w:val="1 / 1.1 / 1.1.121"/>
    <w:rsid w:val="000C487B"/>
  </w:style>
  <w:style w:type="paragraph" w:customStyle="1" w:styleId="CharCharChar1CharCharChar6">
    <w:name w:val="Char Char Char1 Char Char Char6"/>
    <w:basedOn w:val="Normal"/>
    <w:rsid w:val="0055073A"/>
    <w:pPr>
      <w:spacing w:after="160" w:line="240" w:lineRule="exact"/>
      <w:jc w:val="left"/>
    </w:pPr>
    <w:rPr>
      <w:rFonts w:ascii="Tahoma" w:hAnsi="Tahoma"/>
      <w:lang w:val="en-US" w:eastAsia="en-US"/>
    </w:rPr>
  </w:style>
  <w:style w:type="paragraph" w:customStyle="1" w:styleId="CharCharChar1CharCharChar5">
    <w:name w:val="Char Char Char1 Char Char Char5"/>
    <w:basedOn w:val="Normal"/>
    <w:rsid w:val="00AF0BB2"/>
    <w:pPr>
      <w:spacing w:after="160" w:line="240" w:lineRule="exact"/>
      <w:jc w:val="left"/>
    </w:pPr>
    <w:rPr>
      <w:rFonts w:ascii="Tahoma" w:hAnsi="Tahoma"/>
      <w:lang w:val="en-US" w:eastAsia="en-US"/>
    </w:rPr>
  </w:style>
  <w:style w:type="character" w:customStyle="1" w:styleId="samedocreference">
    <w:name w:val="samedocreference"/>
    <w:basedOn w:val="DefaultParagraphFont"/>
    <w:rsid w:val="00773780"/>
  </w:style>
  <w:style w:type="paragraph" w:customStyle="1" w:styleId="CharCharChar1CharCharChar4">
    <w:name w:val="Char Char Char1 Char Char Char4"/>
    <w:basedOn w:val="Normal"/>
    <w:rsid w:val="00EB7CF2"/>
    <w:pPr>
      <w:spacing w:after="160" w:line="240" w:lineRule="exact"/>
      <w:jc w:val="left"/>
    </w:pPr>
    <w:rPr>
      <w:rFonts w:ascii="Tahoma" w:hAnsi="Tahoma"/>
      <w:lang w:val="en-US" w:eastAsia="en-US"/>
    </w:rPr>
  </w:style>
  <w:style w:type="paragraph" w:customStyle="1" w:styleId="buttons">
    <w:name w:val="buttons"/>
    <w:basedOn w:val="Normal"/>
    <w:rsid w:val="005F7D50"/>
    <w:pPr>
      <w:spacing w:before="100" w:beforeAutospacing="1" w:after="100" w:afterAutospacing="1"/>
      <w:jc w:val="left"/>
    </w:pPr>
    <w:rPr>
      <w:szCs w:val="24"/>
      <w:lang w:val="en-US" w:eastAsia="en-US"/>
    </w:rPr>
  </w:style>
  <w:style w:type="character" w:customStyle="1" w:styleId="newdocreference">
    <w:name w:val="newdocreference"/>
    <w:basedOn w:val="DefaultParagraphFont"/>
    <w:rsid w:val="005F7D50"/>
  </w:style>
  <w:style w:type="paragraph" w:customStyle="1" w:styleId="SUPERSChar">
    <w:name w:val="SUPERS Char"/>
    <w:aliases w:val="EN Footnote Reference Char"/>
    <w:basedOn w:val="Normal"/>
    <w:link w:val="FootnoteReference"/>
    <w:uiPriority w:val="99"/>
    <w:rsid w:val="000A785A"/>
    <w:pPr>
      <w:spacing w:after="160" w:line="240" w:lineRule="exact"/>
      <w:jc w:val="left"/>
    </w:pPr>
    <w:rPr>
      <w:vertAlign w:val="superscript"/>
      <w:lang w:eastAsia="bg-BG"/>
    </w:rPr>
  </w:style>
  <w:style w:type="character" w:customStyle="1" w:styleId="filled-value">
    <w:name w:val="filled-value"/>
    <w:basedOn w:val="DefaultParagraphFont"/>
    <w:rsid w:val="000444CE"/>
  </w:style>
  <w:style w:type="paragraph" w:customStyle="1" w:styleId="Style1">
    <w:name w:val="Style1"/>
    <w:basedOn w:val="ListParagraph"/>
    <w:link w:val="Style1Char"/>
    <w:qFormat/>
    <w:rsid w:val="00F1721B"/>
    <w:pPr>
      <w:numPr>
        <w:numId w:val="273"/>
      </w:numPr>
      <w:pBdr>
        <w:top w:val="single" w:sz="4" w:space="1" w:color="auto"/>
        <w:left w:val="single" w:sz="4" w:space="4" w:color="auto"/>
        <w:bottom w:val="single" w:sz="4" w:space="1" w:color="auto"/>
        <w:right w:val="single" w:sz="4" w:space="4" w:color="auto"/>
      </w:pBdr>
      <w:shd w:val="clear" w:color="auto" w:fill="99CCFF"/>
      <w:spacing w:before="120" w:after="120"/>
      <w:outlineLvl w:val="1"/>
    </w:pPr>
    <w:rPr>
      <w:b/>
      <w:szCs w:val="24"/>
    </w:rPr>
  </w:style>
  <w:style w:type="paragraph" w:customStyle="1" w:styleId="Style2">
    <w:name w:val="Style2"/>
    <w:basedOn w:val="ListParagraph"/>
    <w:link w:val="Style2Char"/>
    <w:qFormat/>
    <w:rsid w:val="00F1721B"/>
    <w:pPr>
      <w:numPr>
        <w:ilvl w:val="1"/>
        <w:numId w:val="273"/>
      </w:numPr>
      <w:pBdr>
        <w:top w:val="single" w:sz="4" w:space="1" w:color="auto"/>
        <w:left w:val="single" w:sz="4" w:space="4" w:color="auto"/>
        <w:bottom w:val="single" w:sz="4" w:space="1" w:color="auto"/>
        <w:right w:val="single" w:sz="4" w:space="4" w:color="auto"/>
      </w:pBdr>
      <w:shd w:val="clear" w:color="auto" w:fill="DBE5F1"/>
      <w:spacing w:before="120" w:after="120"/>
      <w:outlineLvl w:val="2"/>
    </w:pPr>
    <w:rPr>
      <w:b/>
      <w:szCs w:val="24"/>
      <w:lang w:val="en-US"/>
    </w:rPr>
  </w:style>
  <w:style w:type="character" w:customStyle="1" w:styleId="Style1Char">
    <w:name w:val="Style1 Char"/>
    <w:basedOn w:val="ListParagraphChar"/>
    <w:link w:val="Style1"/>
    <w:rsid w:val="00F1721B"/>
    <w:rPr>
      <w:b/>
      <w:sz w:val="24"/>
      <w:szCs w:val="24"/>
      <w:shd w:val="clear" w:color="auto" w:fill="99CCFF"/>
      <w:lang w:val="x-none" w:eastAsia="pl-PL"/>
    </w:rPr>
  </w:style>
  <w:style w:type="paragraph" w:customStyle="1" w:styleId="Style3">
    <w:name w:val="Style3"/>
    <w:basedOn w:val="ListParagraph"/>
    <w:link w:val="Style3Char"/>
    <w:qFormat/>
    <w:rsid w:val="006026E8"/>
    <w:pPr>
      <w:numPr>
        <w:ilvl w:val="2"/>
        <w:numId w:val="273"/>
      </w:numPr>
      <w:spacing w:before="120" w:after="120"/>
      <w:outlineLvl w:val="3"/>
    </w:pPr>
    <w:rPr>
      <w:b/>
      <w:szCs w:val="24"/>
      <w:lang w:val="en-US"/>
    </w:rPr>
  </w:style>
  <w:style w:type="character" w:customStyle="1" w:styleId="Style2Char">
    <w:name w:val="Style2 Char"/>
    <w:basedOn w:val="ListParagraphChar"/>
    <w:link w:val="Style2"/>
    <w:rsid w:val="00F1721B"/>
    <w:rPr>
      <w:b/>
      <w:sz w:val="24"/>
      <w:szCs w:val="24"/>
      <w:shd w:val="clear" w:color="auto" w:fill="DBE5F1"/>
      <w:lang w:val="en-US" w:eastAsia="pl-PL"/>
    </w:rPr>
  </w:style>
  <w:style w:type="paragraph" w:customStyle="1" w:styleId="Style4">
    <w:name w:val="Style4"/>
    <w:basedOn w:val="ListParagraph"/>
    <w:link w:val="Style4Char"/>
    <w:qFormat/>
    <w:rsid w:val="006026E8"/>
    <w:pPr>
      <w:numPr>
        <w:ilvl w:val="3"/>
        <w:numId w:val="273"/>
      </w:numPr>
      <w:spacing w:before="120" w:after="120"/>
      <w:outlineLvl w:val="4"/>
    </w:pPr>
    <w:rPr>
      <w:b/>
      <w:szCs w:val="24"/>
      <w:lang w:val="en-US"/>
    </w:rPr>
  </w:style>
  <w:style w:type="character" w:customStyle="1" w:styleId="Style3Char">
    <w:name w:val="Style3 Char"/>
    <w:basedOn w:val="ListParagraphChar"/>
    <w:link w:val="Style3"/>
    <w:rsid w:val="006026E8"/>
    <w:rPr>
      <w:b/>
      <w:sz w:val="24"/>
      <w:szCs w:val="24"/>
      <w:lang w:val="en-US" w:eastAsia="pl-PL"/>
    </w:rPr>
  </w:style>
  <w:style w:type="character" w:customStyle="1" w:styleId="Style4Char">
    <w:name w:val="Style4 Char"/>
    <w:basedOn w:val="ListParagraphChar"/>
    <w:link w:val="Style4"/>
    <w:rsid w:val="006026E8"/>
    <w:rPr>
      <w:b/>
      <w:sz w:val="24"/>
      <w:szCs w:val="24"/>
      <w:lang w:val="en-US" w:eastAsia="pl-PL"/>
    </w:rPr>
  </w:style>
  <w:style w:type="character" w:customStyle="1" w:styleId="UnresolvedMention1">
    <w:name w:val="Unresolved Mention1"/>
    <w:basedOn w:val="DefaultParagraphFont"/>
    <w:uiPriority w:val="99"/>
    <w:semiHidden/>
    <w:unhideWhenUsed/>
    <w:rsid w:val="00B96494"/>
    <w:rPr>
      <w:color w:val="605E5C"/>
      <w:shd w:val="clear" w:color="auto" w:fill="E1DFDD"/>
    </w:rPr>
  </w:style>
  <w:style w:type="character" w:customStyle="1" w:styleId="UnresolvedMention2">
    <w:name w:val="Unresolved Mention2"/>
    <w:basedOn w:val="DefaultParagraphFont"/>
    <w:uiPriority w:val="99"/>
    <w:semiHidden/>
    <w:unhideWhenUsed/>
    <w:rsid w:val="008A668D"/>
    <w:rPr>
      <w:color w:val="605E5C"/>
      <w:shd w:val="clear" w:color="auto" w:fill="E1DFDD"/>
    </w:rPr>
  </w:style>
  <w:style w:type="numbering" w:customStyle="1" w:styleId="NoList1">
    <w:name w:val="No List1"/>
    <w:next w:val="NoList"/>
    <w:uiPriority w:val="99"/>
    <w:semiHidden/>
    <w:unhideWhenUsed/>
    <w:rsid w:val="000A36AF"/>
  </w:style>
  <w:style w:type="table" w:customStyle="1" w:styleId="TableGrid6">
    <w:name w:val="Table Grid6"/>
    <w:basedOn w:val="TableNormal"/>
    <w:next w:val="TableGrid"/>
    <w:uiPriority w:val="39"/>
    <w:rsid w:val="000A3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0A36AF"/>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
    <w:name w:val="Table Web 13"/>
    <w:basedOn w:val="TableNormal"/>
    <w:next w:val="TableWeb1"/>
    <w:uiPriority w:val="99"/>
    <w:rsid w:val="000A36A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3">
    <w:name w:val="Table Web 33"/>
    <w:basedOn w:val="TableNormal"/>
    <w:next w:val="TableWeb3"/>
    <w:uiPriority w:val="99"/>
    <w:rsid w:val="000A36A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List73">
    <w:name w:val="Table List 73"/>
    <w:basedOn w:val="TableNormal"/>
    <w:next w:val="TableList7"/>
    <w:uiPriority w:val="99"/>
    <w:rsid w:val="000A36A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Elegant3">
    <w:name w:val="Table Elegant3"/>
    <w:basedOn w:val="TableNormal"/>
    <w:next w:val="TableElegant"/>
    <w:uiPriority w:val="99"/>
    <w:rsid w:val="000A36A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11">
    <w:name w:val="Table Grid111"/>
    <w:basedOn w:val="TableNormal"/>
    <w:next w:val="TableGrid"/>
    <w:rsid w:val="000A3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0A36AF"/>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
    <w:name w:val="Table Web 111"/>
    <w:basedOn w:val="TableNormal"/>
    <w:next w:val="TableWeb1"/>
    <w:rsid w:val="000A36A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1">
    <w:name w:val="Table Web 311"/>
    <w:basedOn w:val="TableNormal"/>
    <w:next w:val="TableWeb3"/>
    <w:rsid w:val="000A36A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List711">
    <w:name w:val="Table List 711"/>
    <w:basedOn w:val="TableNormal"/>
    <w:next w:val="TableList7"/>
    <w:rsid w:val="000A36A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Elegant11">
    <w:name w:val="Table Elegant11"/>
    <w:basedOn w:val="TableNormal"/>
    <w:next w:val="TableElegant"/>
    <w:rsid w:val="000A36A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21">
    <w:name w:val="Table Grid121"/>
    <w:basedOn w:val="TableNormal"/>
    <w:next w:val="TableGrid"/>
    <w:rsid w:val="000A3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0A36AF"/>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1">
    <w:name w:val="Table Web 121"/>
    <w:basedOn w:val="TableNormal"/>
    <w:next w:val="TableWeb1"/>
    <w:rsid w:val="000A36A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21">
    <w:name w:val="Table Web 321"/>
    <w:basedOn w:val="TableNormal"/>
    <w:next w:val="TableWeb3"/>
    <w:rsid w:val="000A36A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List721">
    <w:name w:val="Table List 721"/>
    <w:basedOn w:val="TableNormal"/>
    <w:next w:val="TableList7"/>
    <w:rsid w:val="000A36A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Elegant21">
    <w:name w:val="Table Elegant21"/>
    <w:basedOn w:val="TableNormal"/>
    <w:next w:val="TableElegant"/>
    <w:rsid w:val="000A36A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31">
    <w:name w:val="Table Grid131"/>
    <w:basedOn w:val="TableNormal"/>
    <w:next w:val="TableGrid"/>
    <w:rsid w:val="000A3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
    <w:name w:val="Plain Table 311"/>
    <w:basedOn w:val="TableNormal"/>
    <w:uiPriority w:val="43"/>
    <w:rsid w:val="000A36AF"/>
    <w:rPr>
      <w:sz w:val="22"/>
      <w:szCs w:val="22"/>
      <w:lang w:val="en-US" w:eastAsia="en-US"/>
    </w:rPr>
    <w:tblPr>
      <w:tblStyleRowBandSize w:val="1"/>
      <w:tblStyleColBandSize w:val="1"/>
    </w:tblPr>
    <w:tblStylePr w:type="firstRow">
      <w:rPr>
        <w:rFonts w:cs="Times New Roman"/>
        <w:b/>
        <w:bCs/>
        <w:caps/>
      </w:rPr>
      <w:tblPr/>
      <w:tcPr>
        <w:tcBorders>
          <w:bottom w:val="single" w:sz="4" w:space="0" w:color="7F7F7F"/>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TableGrid41">
    <w:name w:val="Table Grid41"/>
    <w:basedOn w:val="TableNormal"/>
    <w:next w:val="TableGrid"/>
    <w:uiPriority w:val="39"/>
    <w:rsid w:val="000A3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0A3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
    <w:name w:val="1 / 1.1 / 1.1.1211"/>
    <w:rsid w:val="000A36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4006">
      <w:bodyDiv w:val="1"/>
      <w:marLeft w:val="0"/>
      <w:marRight w:val="0"/>
      <w:marTop w:val="0"/>
      <w:marBottom w:val="0"/>
      <w:divBdr>
        <w:top w:val="none" w:sz="0" w:space="0" w:color="auto"/>
        <w:left w:val="none" w:sz="0" w:space="0" w:color="auto"/>
        <w:bottom w:val="none" w:sz="0" w:space="0" w:color="auto"/>
        <w:right w:val="none" w:sz="0" w:space="0" w:color="auto"/>
      </w:divBdr>
    </w:div>
    <w:div w:id="47193681">
      <w:bodyDiv w:val="1"/>
      <w:marLeft w:val="0"/>
      <w:marRight w:val="0"/>
      <w:marTop w:val="0"/>
      <w:marBottom w:val="0"/>
      <w:divBdr>
        <w:top w:val="none" w:sz="0" w:space="0" w:color="auto"/>
        <w:left w:val="none" w:sz="0" w:space="0" w:color="auto"/>
        <w:bottom w:val="none" w:sz="0" w:space="0" w:color="auto"/>
        <w:right w:val="none" w:sz="0" w:space="0" w:color="auto"/>
      </w:divBdr>
    </w:div>
    <w:div w:id="61678372">
      <w:bodyDiv w:val="1"/>
      <w:marLeft w:val="0"/>
      <w:marRight w:val="0"/>
      <w:marTop w:val="0"/>
      <w:marBottom w:val="0"/>
      <w:divBdr>
        <w:top w:val="none" w:sz="0" w:space="0" w:color="auto"/>
        <w:left w:val="none" w:sz="0" w:space="0" w:color="auto"/>
        <w:bottom w:val="none" w:sz="0" w:space="0" w:color="auto"/>
        <w:right w:val="none" w:sz="0" w:space="0" w:color="auto"/>
      </w:divBdr>
    </w:div>
    <w:div w:id="104465643">
      <w:bodyDiv w:val="1"/>
      <w:marLeft w:val="0"/>
      <w:marRight w:val="0"/>
      <w:marTop w:val="0"/>
      <w:marBottom w:val="0"/>
      <w:divBdr>
        <w:top w:val="none" w:sz="0" w:space="0" w:color="auto"/>
        <w:left w:val="none" w:sz="0" w:space="0" w:color="auto"/>
        <w:bottom w:val="none" w:sz="0" w:space="0" w:color="auto"/>
        <w:right w:val="none" w:sz="0" w:space="0" w:color="auto"/>
      </w:divBdr>
      <w:divsChild>
        <w:div w:id="750345793">
          <w:marLeft w:val="0"/>
          <w:marRight w:val="0"/>
          <w:marTop w:val="0"/>
          <w:marBottom w:val="0"/>
          <w:divBdr>
            <w:top w:val="none" w:sz="0" w:space="0" w:color="auto"/>
            <w:left w:val="none" w:sz="0" w:space="0" w:color="auto"/>
            <w:bottom w:val="none" w:sz="0" w:space="0" w:color="auto"/>
            <w:right w:val="none" w:sz="0" w:space="0" w:color="auto"/>
          </w:divBdr>
        </w:div>
        <w:div w:id="1361860036">
          <w:marLeft w:val="0"/>
          <w:marRight w:val="0"/>
          <w:marTop w:val="0"/>
          <w:marBottom w:val="0"/>
          <w:divBdr>
            <w:top w:val="none" w:sz="0" w:space="0" w:color="auto"/>
            <w:left w:val="none" w:sz="0" w:space="0" w:color="auto"/>
            <w:bottom w:val="none" w:sz="0" w:space="0" w:color="auto"/>
            <w:right w:val="none" w:sz="0" w:space="0" w:color="auto"/>
          </w:divBdr>
        </w:div>
        <w:div w:id="1553347212">
          <w:marLeft w:val="0"/>
          <w:marRight w:val="0"/>
          <w:marTop w:val="0"/>
          <w:marBottom w:val="0"/>
          <w:divBdr>
            <w:top w:val="none" w:sz="0" w:space="0" w:color="auto"/>
            <w:left w:val="none" w:sz="0" w:space="0" w:color="auto"/>
            <w:bottom w:val="none" w:sz="0" w:space="0" w:color="auto"/>
            <w:right w:val="none" w:sz="0" w:space="0" w:color="auto"/>
          </w:divBdr>
        </w:div>
        <w:div w:id="1641110016">
          <w:marLeft w:val="0"/>
          <w:marRight w:val="0"/>
          <w:marTop w:val="0"/>
          <w:marBottom w:val="0"/>
          <w:divBdr>
            <w:top w:val="none" w:sz="0" w:space="0" w:color="auto"/>
            <w:left w:val="none" w:sz="0" w:space="0" w:color="auto"/>
            <w:bottom w:val="none" w:sz="0" w:space="0" w:color="auto"/>
            <w:right w:val="none" w:sz="0" w:space="0" w:color="auto"/>
          </w:divBdr>
        </w:div>
      </w:divsChild>
    </w:div>
    <w:div w:id="110170018">
      <w:bodyDiv w:val="1"/>
      <w:marLeft w:val="0"/>
      <w:marRight w:val="0"/>
      <w:marTop w:val="0"/>
      <w:marBottom w:val="0"/>
      <w:divBdr>
        <w:top w:val="none" w:sz="0" w:space="0" w:color="auto"/>
        <w:left w:val="none" w:sz="0" w:space="0" w:color="auto"/>
        <w:bottom w:val="none" w:sz="0" w:space="0" w:color="auto"/>
        <w:right w:val="none" w:sz="0" w:space="0" w:color="auto"/>
      </w:divBdr>
      <w:divsChild>
        <w:div w:id="739505">
          <w:marLeft w:val="0"/>
          <w:marRight w:val="0"/>
          <w:marTop w:val="0"/>
          <w:marBottom w:val="0"/>
          <w:divBdr>
            <w:top w:val="none" w:sz="0" w:space="0" w:color="auto"/>
            <w:left w:val="none" w:sz="0" w:space="0" w:color="auto"/>
            <w:bottom w:val="none" w:sz="0" w:space="0" w:color="auto"/>
            <w:right w:val="none" w:sz="0" w:space="0" w:color="auto"/>
          </w:divBdr>
          <w:divsChild>
            <w:div w:id="775947758">
              <w:marLeft w:val="0"/>
              <w:marRight w:val="0"/>
              <w:marTop w:val="0"/>
              <w:marBottom w:val="0"/>
              <w:divBdr>
                <w:top w:val="none" w:sz="0" w:space="0" w:color="auto"/>
                <w:left w:val="none" w:sz="0" w:space="0" w:color="auto"/>
                <w:bottom w:val="none" w:sz="0" w:space="0" w:color="auto"/>
                <w:right w:val="none" w:sz="0" w:space="0" w:color="auto"/>
              </w:divBdr>
            </w:div>
            <w:div w:id="1147476859">
              <w:marLeft w:val="0"/>
              <w:marRight w:val="0"/>
              <w:marTop w:val="0"/>
              <w:marBottom w:val="0"/>
              <w:divBdr>
                <w:top w:val="none" w:sz="0" w:space="0" w:color="auto"/>
                <w:left w:val="none" w:sz="0" w:space="0" w:color="auto"/>
                <w:bottom w:val="none" w:sz="0" w:space="0" w:color="auto"/>
                <w:right w:val="none" w:sz="0" w:space="0" w:color="auto"/>
              </w:divBdr>
            </w:div>
            <w:div w:id="1403868974">
              <w:marLeft w:val="0"/>
              <w:marRight w:val="0"/>
              <w:marTop w:val="0"/>
              <w:marBottom w:val="0"/>
              <w:divBdr>
                <w:top w:val="none" w:sz="0" w:space="0" w:color="auto"/>
                <w:left w:val="none" w:sz="0" w:space="0" w:color="auto"/>
                <w:bottom w:val="none" w:sz="0" w:space="0" w:color="auto"/>
                <w:right w:val="none" w:sz="0" w:space="0" w:color="auto"/>
              </w:divBdr>
            </w:div>
            <w:div w:id="1508982634">
              <w:marLeft w:val="0"/>
              <w:marRight w:val="0"/>
              <w:marTop w:val="0"/>
              <w:marBottom w:val="0"/>
              <w:divBdr>
                <w:top w:val="none" w:sz="0" w:space="0" w:color="auto"/>
                <w:left w:val="none" w:sz="0" w:space="0" w:color="auto"/>
                <w:bottom w:val="none" w:sz="0" w:space="0" w:color="auto"/>
                <w:right w:val="none" w:sz="0" w:space="0" w:color="auto"/>
              </w:divBdr>
            </w:div>
          </w:divsChild>
        </w:div>
        <w:div w:id="167789459">
          <w:marLeft w:val="0"/>
          <w:marRight w:val="0"/>
          <w:marTop w:val="0"/>
          <w:marBottom w:val="0"/>
          <w:divBdr>
            <w:top w:val="none" w:sz="0" w:space="0" w:color="auto"/>
            <w:left w:val="none" w:sz="0" w:space="0" w:color="auto"/>
            <w:bottom w:val="none" w:sz="0" w:space="0" w:color="auto"/>
            <w:right w:val="none" w:sz="0" w:space="0" w:color="auto"/>
          </w:divBdr>
        </w:div>
        <w:div w:id="805394708">
          <w:marLeft w:val="0"/>
          <w:marRight w:val="0"/>
          <w:marTop w:val="0"/>
          <w:marBottom w:val="0"/>
          <w:divBdr>
            <w:top w:val="none" w:sz="0" w:space="0" w:color="auto"/>
            <w:left w:val="none" w:sz="0" w:space="0" w:color="auto"/>
            <w:bottom w:val="none" w:sz="0" w:space="0" w:color="auto"/>
            <w:right w:val="none" w:sz="0" w:space="0" w:color="auto"/>
          </w:divBdr>
          <w:divsChild>
            <w:div w:id="230779282">
              <w:marLeft w:val="0"/>
              <w:marRight w:val="0"/>
              <w:marTop w:val="0"/>
              <w:marBottom w:val="0"/>
              <w:divBdr>
                <w:top w:val="none" w:sz="0" w:space="0" w:color="auto"/>
                <w:left w:val="none" w:sz="0" w:space="0" w:color="auto"/>
                <w:bottom w:val="none" w:sz="0" w:space="0" w:color="auto"/>
                <w:right w:val="none" w:sz="0" w:space="0" w:color="auto"/>
              </w:divBdr>
            </w:div>
            <w:div w:id="526022299">
              <w:marLeft w:val="0"/>
              <w:marRight w:val="0"/>
              <w:marTop w:val="0"/>
              <w:marBottom w:val="0"/>
              <w:divBdr>
                <w:top w:val="none" w:sz="0" w:space="0" w:color="auto"/>
                <w:left w:val="none" w:sz="0" w:space="0" w:color="auto"/>
                <w:bottom w:val="none" w:sz="0" w:space="0" w:color="auto"/>
                <w:right w:val="none" w:sz="0" w:space="0" w:color="auto"/>
              </w:divBdr>
            </w:div>
            <w:div w:id="529955387">
              <w:marLeft w:val="0"/>
              <w:marRight w:val="0"/>
              <w:marTop w:val="0"/>
              <w:marBottom w:val="0"/>
              <w:divBdr>
                <w:top w:val="none" w:sz="0" w:space="0" w:color="auto"/>
                <w:left w:val="none" w:sz="0" w:space="0" w:color="auto"/>
                <w:bottom w:val="none" w:sz="0" w:space="0" w:color="auto"/>
                <w:right w:val="none" w:sz="0" w:space="0" w:color="auto"/>
              </w:divBdr>
            </w:div>
            <w:div w:id="977106880">
              <w:marLeft w:val="0"/>
              <w:marRight w:val="0"/>
              <w:marTop w:val="0"/>
              <w:marBottom w:val="0"/>
              <w:divBdr>
                <w:top w:val="none" w:sz="0" w:space="0" w:color="auto"/>
                <w:left w:val="none" w:sz="0" w:space="0" w:color="auto"/>
                <w:bottom w:val="none" w:sz="0" w:space="0" w:color="auto"/>
                <w:right w:val="none" w:sz="0" w:space="0" w:color="auto"/>
              </w:divBdr>
            </w:div>
            <w:div w:id="978416654">
              <w:marLeft w:val="0"/>
              <w:marRight w:val="0"/>
              <w:marTop w:val="0"/>
              <w:marBottom w:val="0"/>
              <w:divBdr>
                <w:top w:val="none" w:sz="0" w:space="0" w:color="auto"/>
                <w:left w:val="none" w:sz="0" w:space="0" w:color="auto"/>
                <w:bottom w:val="none" w:sz="0" w:space="0" w:color="auto"/>
                <w:right w:val="none" w:sz="0" w:space="0" w:color="auto"/>
              </w:divBdr>
            </w:div>
            <w:div w:id="1200584703">
              <w:marLeft w:val="0"/>
              <w:marRight w:val="0"/>
              <w:marTop w:val="0"/>
              <w:marBottom w:val="0"/>
              <w:divBdr>
                <w:top w:val="none" w:sz="0" w:space="0" w:color="auto"/>
                <w:left w:val="none" w:sz="0" w:space="0" w:color="auto"/>
                <w:bottom w:val="none" w:sz="0" w:space="0" w:color="auto"/>
                <w:right w:val="none" w:sz="0" w:space="0" w:color="auto"/>
              </w:divBdr>
            </w:div>
            <w:div w:id="1543055473">
              <w:marLeft w:val="0"/>
              <w:marRight w:val="0"/>
              <w:marTop w:val="0"/>
              <w:marBottom w:val="0"/>
              <w:divBdr>
                <w:top w:val="none" w:sz="0" w:space="0" w:color="auto"/>
                <w:left w:val="none" w:sz="0" w:space="0" w:color="auto"/>
                <w:bottom w:val="none" w:sz="0" w:space="0" w:color="auto"/>
                <w:right w:val="none" w:sz="0" w:space="0" w:color="auto"/>
              </w:divBdr>
            </w:div>
            <w:div w:id="1581216771">
              <w:marLeft w:val="0"/>
              <w:marRight w:val="0"/>
              <w:marTop w:val="0"/>
              <w:marBottom w:val="0"/>
              <w:divBdr>
                <w:top w:val="none" w:sz="0" w:space="0" w:color="auto"/>
                <w:left w:val="none" w:sz="0" w:space="0" w:color="auto"/>
                <w:bottom w:val="none" w:sz="0" w:space="0" w:color="auto"/>
                <w:right w:val="none" w:sz="0" w:space="0" w:color="auto"/>
              </w:divBdr>
            </w:div>
            <w:div w:id="2112771813">
              <w:marLeft w:val="0"/>
              <w:marRight w:val="0"/>
              <w:marTop w:val="0"/>
              <w:marBottom w:val="0"/>
              <w:divBdr>
                <w:top w:val="none" w:sz="0" w:space="0" w:color="auto"/>
                <w:left w:val="none" w:sz="0" w:space="0" w:color="auto"/>
                <w:bottom w:val="none" w:sz="0" w:space="0" w:color="auto"/>
                <w:right w:val="none" w:sz="0" w:space="0" w:color="auto"/>
              </w:divBdr>
            </w:div>
          </w:divsChild>
        </w:div>
        <w:div w:id="870847493">
          <w:marLeft w:val="0"/>
          <w:marRight w:val="0"/>
          <w:marTop w:val="0"/>
          <w:marBottom w:val="0"/>
          <w:divBdr>
            <w:top w:val="none" w:sz="0" w:space="0" w:color="auto"/>
            <w:left w:val="none" w:sz="0" w:space="0" w:color="auto"/>
            <w:bottom w:val="none" w:sz="0" w:space="0" w:color="auto"/>
            <w:right w:val="none" w:sz="0" w:space="0" w:color="auto"/>
          </w:divBdr>
        </w:div>
        <w:div w:id="982585113">
          <w:marLeft w:val="0"/>
          <w:marRight w:val="0"/>
          <w:marTop w:val="0"/>
          <w:marBottom w:val="0"/>
          <w:divBdr>
            <w:top w:val="none" w:sz="0" w:space="0" w:color="auto"/>
            <w:left w:val="none" w:sz="0" w:space="0" w:color="auto"/>
            <w:bottom w:val="none" w:sz="0" w:space="0" w:color="auto"/>
            <w:right w:val="none" w:sz="0" w:space="0" w:color="auto"/>
          </w:divBdr>
          <w:divsChild>
            <w:div w:id="711996247">
              <w:marLeft w:val="0"/>
              <w:marRight w:val="0"/>
              <w:marTop w:val="0"/>
              <w:marBottom w:val="0"/>
              <w:divBdr>
                <w:top w:val="none" w:sz="0" w:space="0" w:color="auto"/>
                <w:left w:val="none" w:sz="0" w:space="0" w:color="auto"/>
                <w:bottom w:val="none" w:sz="0" w:space="0" w:color="auto"/>
                <w:right w:val="none" w:sz="0" w:space="0" w:color="auto"/>
              </w:divBdr>
            </w:div>
            <w:div w:id="2124643575">
              <w:marLeft w:val="0"/>
              <w:marRight w:val="0"/>
              <w:marTop w:val="0"/>
              <w:marBottom w:val="0"/>
              <w:divBdr>
                <w:top w:val="none" w:sz="0" w:space="0" w:color="auto"/>
                <w:left w:val="none" w:sz="0" w:space="0" w:color="auto"/>
                <w:bottom w:val="none" w:sz="0" w:space="0" w:color="auto"/>
                <w:right w:val="none" w:sz="0" w:space="0" w:color="auto"/>
              </w:divBdr>
            </w:div>
          </w:divsChild>
        </w:div>
        <w:div w:id="1275014233">
          <w:marLeft w:val="0"/>
          <w:marRight w:val="0"/>
          <w:marTop w:val="0"/>
          <w:marBottom w:val="0"/>
          <w:divBdr>
            <w:top w:val="none" w:sz="0" w:space="0" w:color="auto"/>
            <w:left w:val="none" w:sz="0" w:space="0" w:color="auto"/>
            <w:bottom w:val="none" w:sz="0" w:space="0" w:color="auto"/>
            <w:right w:val="none" w:sz="0" w:space="0" w:color="auto"/>
          </w:divBdr>
        </w:div>
        <w:div w:id="1608389907">
          <w:marLeft w:val="0"/>
          <w:marRight w:val="0"/>
          <w:marTop w:val="0"/>
          <w:marBottom w:val="0"/>
          <w:divBdr>
            <w:top w:val="none" w:sz="0" w:space="0" w:color="auto"/>
            <w:left w:val="none" w:sz="0" w:space="0" w:color="auto"/>
            <w:bottom w:val="none" w:sz="0" w:space="0" w:color="auto"/>
            <w:right w:val="none" w:sz="0" w:space="0" w:color="auto"/>
          </w:divBdr>
          <w:divsChild>
            <w:div w:id="1544101499">
              <w:marLeft w:val="0"/>
              <w:marRight w:val="0"/>
              <w:marTop w:val="0"/>
              <w:marBottom w:val="0"/>
              <w:divBdr>
                <w:top w:val="none" w:sz="0" w:space="0" w:color="auto"/>
                <w:left w:val="none" w:sz="0" w:space="0" w:color="auto"/>
                <w:bottom w:val="none" w:sz="0" w:space="0" w:color="auto"/>
                <w:right w:val="none" w:sz="0" w:space="0" w:color="auto"/>
              </w:divBdr>
            </w:div>
          </w:divsChild>
        </w:div>
        <w:div w:id="1665619790">
          <w:marLeft w:val="0"/>
          <w:marRight w:val="0"/>
          <w:marTop w:val="0"/>
          <w:marBottom w:val="0"/>
          <w:divBdr>
            <w:top w:val="none" w:sz="0" w:space="0" w:color="auto"/>
            <w:left w:val="none" w:sz="0" w:space="0" w:color="auto"/>
            <w:bottom w:val="none" w:sz="0" w:space="0" w:color="auto"/>
            <w:right w:val="none" w:sz="0" w:space="0" w:color="auto"/>
          </w:divBdr>
        </w:div>
        <w:div w:id="2023436684">
          <w:marLeft w:val="0"/>
          <w:marRight w:val="0"/>
          <w:marTop w:val="0"/>
          <w:marBottom w:val="0"/>
          <w:divBdr>
            <w:top w:val="none" w:sz="0" w:space="0" w:color="auto"/>
            <w:left w:val="none" w:sz="0" w:space="0" w:color="auto"/>
            <w:bottom w:val="none" w:sz="0" w:space="0" w:color="auto"/>
            <w:right w:val="none" w:sz="0" w:space="0" w:color="auto"/>
          </w:divBdr>
          <w:divsChild>
            <w:div w:id="138234199">
              <w:marLeft w:val="0"/>
              <w:marRight w:val="0"/>
              <w:marTop w:val="0"/>
              <w:marBottom w:val="0"/>
              <w:divBdr>
                <w:top w:val="none" w:sz="0" w:space="0" w:color="auto"/>
                <w:left w:val="none" w:sz="0" w:space="0" w:color="auto"/>
                <w:bottom w:val="none" w:sz="0" w:space="0" w:color="auto"/>
                <w:right w:val="none" w:sz="0" w:space="0" w:color="auto"/>
              </w:divBdr>
            </w:div>
            <w:div w:id="254440488">
              <w:marLeft w:val="0"/>
              <w:marRight w:val="0"/>
              <w:marTop w:val="0"/>
              <w:marBottom w:val="0"/>
              <w:divBdr>
                <w:top w:val="none" w:sz="0" w:space="0" w:color="auto"/>
                <w:left w:val="none" w:sz="0" w:space="0" w:color="auto"/>
                <w:bottom w:val="none" w:sz="0" w:space="0" w:color="auto"/>
                <w:right w:val="none" w:sz="0" w:space="0" w:color="auto"/>
              </w:divBdr>
            </w:div>
            <w:div w:id="630137181">
              <w:marLeft w:val="0"/>
              <w:marRight w:val="0"/>
              <w:marTop w:val="0"/>
              <w:marBottom w:val="0"/>
              <w:divBdr>
                <w:top w:val="none" w:sz="0" w:space="0" w:color="auto"/>
                <w:left w:val="none" w:sz="0" w:space="0" w:color="auto"/>
                <w:bottom w:val="none" w:sz="0" w:space="0" w:color="auto"/>
                <w:right w:val="none" w:sz="0" w:space="0" w:color="auto"/>
              </w:divBdr>
            </w:div>
            <w:div w:id="1611353597">
              <w:marLeft w:val="0"/>
              <w:marRight w:val="0"/>
              <w:marTop w:val="0"/>
              <w:marBottom w:val="0"/>
              <w:divBdr>
                <w:top w:val="none" w:sz="0" w:space="0" w:color="auto"/>
                <w:left w:val="none" w:sz="0" w:space="0" w:color="auto"/>
                <w:bottom w:val="none" w:sz="0" w:space="0" w:color="auto"/>
                <w:right w:val="none" w:sz="0" w:space="0" w:color="auto"/>
              </w:divBdr>
            </w:div>
            <w:div w:id="181941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452">
      <w:bodyDiv w:val="1"/>
      <w:marLeft w:val="0"/>
      <w:marRight w:val="0"/>
      <w:marTop w:val="0"/>
      <w:marBottom w:val="0"/>
      <w:divBdr>
        <w:top w:val="none" w:sz="0" w:space="0" w:color="auto"/>
        <w:left w:val="none" w:sz="0" w:space="0" w:color="auto"/>
        <w:bottom w:val="none" w:sz="0" w:space="0" w:color="auto"/>
        <w:right w:val="none" w:sz="0" w:space="0" w:color="auto"/>
      </w:divBdr>
    </w:div>
    <w:div w:id="174654925">
      <w:bodyDiv w:val="1"/>
      <w:marLeft w:val="0"/>
      <w:marRight w:val="0"/>
      <w:marTop w:val="0"/>
      <w:marBottom w:val="0"/>
      <w:divBdr>
        <w:top w:val="none" w:sz="0" w:space="0" w:color="auto"/>
        <w:left w:val="none" w:sz="0" w:space="0" w:color="auto"/>
        <w:bottom w:val="none" w:sz="0" w:space="0" w:color="auto"/>
        <w:right w:val="none" w:sz="0" w:space="0" w:color="auto"/>
      </w:divBdr>
    </w:div>
    <w:div w:id="219557898">
      <w:bodyDiv w:val="1"/>
      <w:marLeft w:val="0"/>
      <w:marRight w:val="0"/>
      <w:marTop w:val="0"/>
      <w:marBottom w:val="0"/>
      <w:divBdr>
        <w:top w:val="none" w:sz="0" w:space="0" w:color="auto"/>
        <w:left w:val="none" w:sz="0" w:space="0" w:color="auto"/>
        <w:bottom w:val="none" w:sz="0" w:space="0" w:color="auto"/>
        <w:right w:val="none" w:sz="0" w:space="0" w:color="auto"/>
      </w:divBdr>
    </w:div>
    <w:div w:id="293608468">
      <w:bodyDiv w:val="1"/>
      <w:marLeft w:val="0"/>
      <w:marRight w:val="0"/>
      <w:marTop w:val="0"/>
      <w:marBottom w:val="0"/>
      <w:divBdr>
        <w:top w:val="none" w:sz="0" w:space="0" w:color="auto"/>
        <w:left w:val="none" w:sz="0" w:space="0" w:color="auto"/>
        <w:bottom w:val="none" w:sz="0" w:space="0" w:color="auto"/>
        <w:right w:val="none" w:sz="0" w:space="0" w:color="auto"/>
      </w:divBdr>
    </w:div>
    <w:div w:id="295643821">
      <w:bodyDiv w:val="1"/>
      <w:marLeft w:val="0"/>
      <w:marRight w:val="0"/>
      <w:marTop w:val="0"/>
      <w:marBottom w:val="0"/>
      <w:divBdr>
        <w:top w:val="none" w:sz="0" w:space="0" w:color="auto"/>
        <w:left w:val="none" w:sz="0" w:space="0" w:color="auto"/>
        <w:bottom w:val="none" w:sz="0" w:space="0" w:color="auto"/>
        <w:right w:val="none" w:sz="0" w:space="0" w:color="auto"/>
      </w:divBdr>
      <w:divsChild>
        <w:div w:id="278992798">
          <w:marLeft w:val="0"/>
          <w:marRight w:val="0"/>
          <w:marTop w:val="0"/>
          <w:marBottom w:val="0"/>
          <w:divBdr>
            <w:top w:val="none" w:sz="0" w:space="0" w:color="auto"/>
            <w:left w:val="none" w:sz="0" w:space="0" w:color="auto"/>
            <w:bottom w:val="none" w:sz="0" w:space="0" w:color="auto"/>
            <w:right w:val="none" w:sz="0" w:space="0" w:color="auto"/>
          </w:divBdr>
        </w:div>
        <w:div w:id="1552040858">
          <w:marLeft w:val="0"/>
          <w:marRight w:val="0"/>
          <w:marTop w:val="0"/>
          <w:marBottom w:val="0"/>
          <w:divBdr>
            <w:top w:val="none" w:sz="0" w:space="0" w:color="auto"/>
            <w:left w:val="none" w:sz="0" w:space="0" w:color="auto"/>
            <w:bottom w:val="none" w:sz="0" w:space="0" w:color="auto"/>
            <w:right w:val="none" w:sz="0" w:space="0" w:color="auto"/>
          </w:divBdr>
        </w:div>
        <w:div w:id="2099016834">
          <w:marLeft w:val="0"/>
          <w:marRight w:val="0"/>
          <w:marTop w:val="0"/>
          <w:marBottom w:val="0"/>
          <w:divBdr>
            <w:top w:val="none" w:sz="0" w:space="0" w:color="auto"/>
            <w:left w:val="none" w:sz="0" w:space="0" w:color="auto"/>
            <w:bottom w:val="none" w:sz="0" w:space="0" w:color="auto"/>
            <w:right w:val="none" w:sz="0" w:space="0" w:color="auto"/>
          </w:divBdr>
        </w:div>
      </w:divsChild>
    </w:div>
    <w:div w:id="328413867">
      <w:bodyDiv w:val="1"/>
      <w:marLeft w:val="0"/>
      <w:marRight w:val="0"/>
      <w:marTop w:val="0"/>
      <w:marBottom w:val="0"/>
      <w:divBdr>
        <w:top w:val="none" w:sz="0" w:space="0" w:color="auto"/>
        <w:left w:val="none" w:sz="0" w:space="0" w:color="auto"/>
        <w:bottom w:val="none" w:sz="0" w:space="0" w:color="auto"/>
        <w:right w:val="none" w:sz="0" w:space="0" w:color="auto"/>
      </w:divBdr>
      <w:divsChild>
        <w:div w:id="310335171">
          <w:marLeft w:val="0"/>
          <w:marRight w:val="0"/>
          <w:marTop w:val="0"/>
          <w:marBottom w:val="0"/>
          <w:divBdr>
            <w:top w:val="none" w:sz="0" w:space="0" w:color="auto"/>
            <w:left w:val="none" w:sz="0" w:space="0" w:color="auto"/>
            <w:bottom w:val="none" w:sz="0" w:space="0" w:color="auto"/>
            <w:right w:val="none" w:sz="0" w:space="0" w:color="auto"/>
          </w:divBdr>
        </w:div>
        <w:div w:id="336421371">
          <w:marLeft w:val="0"/>
          <w:marRight w:val="0"/>
          <w:marTop w:val="0"/>
          <w:marBottom w:val="0"/>
          <w:divBdr>
            <w:top w:val="none" w:sz="0" w:space="0" w:color="auto"/>
            <w:left w:val="none" w:sz="0" w:space="0" w:color="auto"/>
            <w:bottom w:val="none" w:sz="0" w:space="0" w:color="auto"/>
            <w:right w:val="none" w:sz="0" w:space="0" w:color="auto"/>
          </w:divBdr>
        </w:div>
        <w:div w:id="377126580">
          <w:marLeft w:val="0"/>
          <w:marRight w:val="0"/>
          <w:marTop w:val="0"/>
          <w:marBottom w:val="0"/>
          <w:divBdr>
            <w:top w:val="none" w:sz="0" w:space="0" w:color="auto"/>
            <w:left w:val="none" w:sz="0" w:space="0" w:color="auto"/>
            <w:bottom w:val="none" w:sz="0" w:space="0" w:color="auto"/>
            <w:right w:val="none" w:sz="0" w:space="0" w:color="auto"/>
          </w:divBdr>
        </w:div>
        <w:div w:id="572548767">
          <w:marLeft w:val="0"/>
          <w:marRight w:val="0"/>
          <w:marTop w:val="0"/>
          <w:marBottom w:val="0"/>
          <w:divBdr>
            <w:top w:val="none" w:sz="0" w:space="0" w:color="auto"/>
            <w:left w:val="none" w:sz="0" w:space="0" w:color="auto"/>
            <w:bottom w:val="none" w:sz="0" w:space="0" w:color="auto"/>
            <w:right w:val="none" w:sz="0" w:space="0" w:color="auto"/>
          </w:divBdr>
        </w:div>
        <w:div w:id="1680768018">
          <w:marLeft w:val="0"/>
          <w:marRight w:val="0"/>
          <w:marTop w:val="0"/>
          <w:marBottom w:val="0"/>
          <w:divBdr>
            <w:top w:val="none" w:sz="0" w:space="0" w:color="auto"/>
            <w:left w:val="none" w:sz="0" w:space="0" w:color="auto"/>
            <w:bottom w:val="none" w:sz="0" w:space="0" w:color="auto"/>
            <w:right w:val="none" w:sz="0" w:space="0" w:color="auto"/>
          </w:divBdr>
        </w:div>
        <w:div w:id="1756126925">
          <w:marLeft w:val="0"/>
          <w:marRight w:val="0"/>
          <w:marTop w:val="0"/>
          <w:marBottom w:val="0"/>
          <w:divBdr>
            <w:top w:val="none" w:sz="0" w:space="0" w:color="auto"/>
            <w:left w:val="none" w:sz="0" w:space="0" w:color="auto"/>
            <w:bottom w:val="none" w:sz="0" w:space="0" w:color="auto"/>
            <w:right w:val="none" w:sz="0" w:space="0" w:color="auto"/>
          </w:divBdr>
        </w:div>
        <w:div w:id="1840801763">
          <w:marLeft w:val="0"/>
          <w:marRight w:val="0"/>
          <w:marTop w:val="0"/>
          <w:marBottom w:val="0"/>
          <w:divBdr>
            <w:top w:val="none" w:sz="0" w:space="0" w:color="auto"/>
            <w:left w:val="none" w:sz="0" w:space="0" w:color="auto"/>
            <w:bottom w:val="none" w:sz="0" w:space="0" w:color="auto"/>
            <w:right w:val="none" w:sz="0" w:space="0" w:color="auto"/>
          </w:divBdr>
        </w:div>
        <w:div w:id="1893350521">
          <w:marLeft w:val="0"/>
          <w:marRight w:val="0"/>
          <w:marTop w:val="0"/>
          <w:marBottom w:val="0"/>
          <w:divBdr>
            <w:top w:val="none" w:sz="0" w:space="0" w:color="auto"/>
            <w:left w:val="none" w:sz="0" w:space="0" w:color="auto"/>
            <w:bottom w:val="none" w:sz="0" w:space="0" w:color="auto"/>
            <w:right w:val="none" w:sz="0" w:space="0" w:color="auto"/>
          </w:divBdr>
        </w:div>
        <w:div w:id="2124419403">
          <w:marLeft w:val="0"/>
          <w:marRight w:val="0"/>
          <w:marTop w:val="0"/>
          <w:marBottom w:val="0"/>
          <w:divBdr>
            <w:top w:val="none" w:sz="0" w:space="0" w:color="auto"/>
            <w:left w:val="none" w:sz="0" w:space="0" w:color="auto"/>
            <w:bottom w:val="none" w:sz="0" w:space="0" w:color="auto"/>
            <w:right w:val="none" w:sz="0" w:space="0" w:color="auto"/>
          </w:divBdr>
        </w:div>
      </w:divsChild>
    </w:div>
    <w:div w:id="337462956">
      <w:bodyDiv w:val="1"/>
      <w:marLeft w:val="0"/>
      <w:marRight w:val="0"/>
      <w:marTop w:val="0"/>
      <w:marBottom w:val="0"/>
      <w:divBdr>
        <w:top w:val="none" w:sz="0" w:space="0" w:color="auto"/>
        <w:left w:val="none" w:sz="0" w:space="0" w:color="auto"/>
        <w:bottom w:val="none" w:sz="0" w:space="0" w:color="auto"/>
        <w:right w:val="none" w:sz="0" w:space="0" w:color="auto"/>
      </w:divBdr>
      <w:divsChild>
        <w:div w:id="164631396">
          <w:marLeft w:val="0"/>
          <w:marRight w:val="0"/>
          <w:marTop w:val="0"/>
          <w:marBottom w:val="0"/>
          <w:divBdr>
            <w:top w:val="none" w:sz="0" w:space="0" w:color="auto"/>
            <w:left w:val="none" w:sz="0" w:space="0" w:color="auto"/>
            <w:bottom w:val="none" w:sz="0" w:space="0" w:color="auto"/>
            <w:right w:val="none" w:sz="0" w:space="0" w:color="auto"/>
          </w:divBdr>
        </w:div>
        <w:div w:id="188446304">
          <w:marLeft w:val="0"/>
          <w:marRight w:val="0"/>
          <w:marTop w:val="0"/>
          <w:marBottom w:val="0"/>
          <w:divBdr>
            <w:top w:val="none" w:sz="0" w:space="0" w:color="auto"/>
            <w:left w:val="none" w:sz="0" w:space="0" w:color="auto"/>
            <w:bottom w:val="none" w:sz="0" w:space="0" w:color="auto"/>
            <w:right w:val="none" w:sz="0" w:space="0" w:color="auto"/>
          </w:divBdr>
        </w:div>
        <w:div w:id="1863737144">
          <w:marLeft w:val="0"/>
          <w:marRight w:val="0"/>
          <w:marTop w:val="0"/>
          <w:marBottom w:val="0"/>
          <w:divBdr>
            <w:top w:val="none" w:sz="0" w:space="0" w:color="auto"/>
            <w:left w:val="none" w:sz="0" w:space="0" w:color="auto"/>
            <w:bottom w:val="none" w:sz="0" w:space="0" w:color="auto"/>
            <w:right w:val="none" w:sz="0" w:space="0" w:color="auto"/>
          </w:divBdr>
        </w:div>
        <w:div w:id="1974679366">
          <w:marLeft w:val="0"/>
          <w:marRight w:val="0"/>
          <w:marTop w:val="0"/>
          <w:marBottom w:val="0"/>
          <w:divBdr>
            <w:top w:val="none" w:sz="0" w:space="0" w:color="auto"/>
            <w:left w:val="none" w:sz="0" w:space="0" w:color="auto"/>
            <w:bottom w:val="none" w:sz="0" w:space="0" w:color="auto"/>
            <w:right w:val="none" w:sz="0" w:space="0" w:color="auto"/>
          </w:divBdr>
        </w:div>
        <w:div w:id="2079933255">
          <w:marLeft w:val="0"/>
          <w:marRight w:val="0"/>
          <w:marTop w:val="0"/>
          <w:marBottom w:val="0"/>
          <w:divBdr>
            <w:top w:val="none" w:sz="0" w:space="0" w:color="auto"/>
            <w:left w:val="none" w:sz="0" w:space="0" w:color="auto"/>
            <w:bottom w:val="none" w:sz="0" w:space="0" w:color="auto"/>
            <w:right w:val="none" w:sz="0" w:space="0" w:color="auto"/>
          </w:divBdr>
        </w:div>
      </w:divsChild>
    </w:div>
    <w:div w:id="412049696">
      <w:bodyDiv w:val="1"/>
      <w:marLeft w:val="0"/>
      <w:marRight w:val="0"/>
      <w:marTop w:val="0"/>
      <w:marBottom w:val="0"/>
      <w:divBdr>
        <w:top w:val="none" w:sz="0" w:space="0" w:color="auto"/>
        <w:left w:val="none" w:sz="0" w:space="0" w:color="auto"/>
        <w:bottom w:val="none" w:sz="0" w:space="0" w:color="auto"/>
        <w:right w:val="none" w:sz="0" w:space="0" w:color="auto"/>
      </w:divBdr>
      <w:divsChild>
        <w:div w:id="352923598">
          <w:marLeft w:val="0"/>
          <w:marRight w:val="0"/>
          <w:marTop w:val="0"/>
          <w:marBottom w:val="0"/>
          <w:divBdr>
            <w:top w:val="none" w:sz="0" w:space="0" w:color="auto"/>
            <w:left w:val="none" w:sz="0" w:space="0" w:color="auto"/>
            <w:bottom w:val="none" w:sz="0" w:space="0" w:color="auto"/>
            <w:right w:val="none" w:sz="0" w:space="0" w:color="auto"/>
          </w:divBdr>
        </w:div>
        <w:div w:id="355271596">
          <w:marLeft w:val="0"/>
          <w:marRight w:val="0"/>
          <w:marTop w:val="0"/>
          <w:marBottom w:val="0"/>
          <w:divBdr>
            <w:top w:val="none" w:sz="0" w:space="0" w:color="auto"/>
            <w:left w:val="none" w:sz="0" w:space="0" w:color="auto"/>
            <w:bottom w:val="none" w:sz="0" w:space="0" w:color="auto"/>
            <w:right w:val="none" w:sz="0" w:space="0" w:color="auto"/>
          </w:divBdr>
        </w:div>
        <w:div w:id="437992353">
          <w:marLeft w:val="0"/>
          <w:marRight w:val="0"/>
          <w:marTop w:val="0"/>
          <w:marBottom w:val="0"/>
          <w:divBdr>
            <w:top w:val="none" w:sz="0" w:space="0" w:color="auto"/>
            <w:left w:val="none" w:sz="0" w:space="0" w:color="auto"/>
            <w:bottom w:val="none" w:sz="0" w:space="0" w:color="auto"/>
            <w:right w:val="none" w:sz="0" w:space="0" w:color="auto"/>
          </w:divBdr>
        </w:div>
        <w:div w:id="740105255">
          <w:marLeft w:val="0"/>
          <w:marRight w:val="0"/>
          <w:marTop w:val="0"/>
          <w:marBottom w:val="0"/>
          <w:divBdr>
            <w:top w:val="none" w:sz="0" w:space="0" w:color="auto"/>
            <w:left w:val="none" w:sz="0" w:space="0" w:color="auto"/>
            <w:bottom w:val="none" w:sz="0" w:space="0" w:color="auto"/>
            <w:right w:val="none" w:sz="0" w:space="0" w:color="auto"/>
          </w:divBdr>
        </w:div>
        <w:div w:id="1705978366">
          <w:marLeft w:val="0"/>
          <w:marRight w:val="0"/>
          <w:marTop w:val="0"/>
          <w:marBottom w:val="0"/>
          <w:divBdr>
            <w:top w:val="none" w:sz="0" w:space="0" w:color="auto"/>
            <w:left w:val="none" w:sz="0" w:space="0" w:color="auto"/>
            <w:bottom w:val="none" w:sz="0" w:space="0" w:color="auto"/>
            <w:right w:val="none" w:sz="0" w:space="0" w:color="auto"/>
          </w:divBdr>
        </w:div>
      </w:divsChild>
    </w:div>
    <w:div w:id="421875336">
      <w:bodyDiv w:val="1"/>
      <w:marLeft w:val="0"/>
      <w:marRight w:val="0"/>
      <w:marTop w:val="0"/>
      <w:marBottom w:val="0"/>
      <w:divBdr>
        <w:top w:val="none" w:sz="0" w:space="0" w:color="auto"/>
        <w:left w:val="none" w:sz="0" w:space="0" w:color="auto"/>
        <w:bottom w:val="none" w:sz="0" w:space="0" w:color="auto"/>
        <w:right w:val="none" w:sz="0" w:space="0" w:color="auto"/>
      </w:divBdr>
    </w:div>
    <w:div w:id="430588736">
      <w:bodyDiv w:val="1"/>
      <w:marLeft w:val="0"/>
      <w:marRight w:val="0"/>
      <w:marTop w:val="0"/>
      <w:marBottom w:val="0"/>
      <w:divBdr>
        <w:top w:val="none" w:sz="0" w:space="0" w:color="auto"/>
        <w:left w:val="none" w:sz="0" w:space="0" w:color="auto"/>
        <w:bottom w:val="none" w:sz="0" w:space="0" w:color="auto"/>
        <w:right w:val="none" w:sz="0" w:space="0" w:color="auto"/>
      </w:divBdr>
      <w:divsChild>
        <w:div w:id="397940343">
          <w:marLeft w:val="0"/>
          <w:marRight w:val="0"/>
          <w:marTop w:val="0"/>
          <w:marBottom w:val="0"/>
          <w:divBdr>
            <w:top w:val="none" w:sz="0" w:space="0" w:color="auto"/>
            <w:left w:val="none" w:sz="0" w:space="0" w:color="auto"/>
            <w:bottom w:val="none" w:sz="0" w:space="0" w:color="auto"/>
            <w:right w:val="none" w:sz="0" w:space="0" w:color="auto"/>
          </w:divBdr>
        </w:div>
        <w:div w:id="1564371185">
          <w:marLeft w:val="0"/>
          <w:marRight w:val="0"/>
          <w:marTop w:val="0"/>
          <w:marBottom w:val="0"/>
          <w:divBdr>
            <w:top w:val="none" w:sz="0" w:space="0" w:color="auto"/>
            <w:left w:val="none" w:sz="0" w:space="0" w:color="auto"/>
            <w:bottom w:val="none" w:sz="0" w:space="0" w:color="auto"/>
            <w:right w:val="none" w:sz="0" w:space="0" w:color="auto"/>
          </w:divBdr>
        </w:div>
      </w:divsChild>
    </w:div>
    <w:div w:id="431319287">
      <w:bodyDiv w:val="1"/>
      <w:marLeft w:val="0"/>
      <w:marRight w:val="0"/>
      <w:marTop w:val="0"/>
      <w:marBottom w:val="0"/>
      <w:divBdr>
        <w:top w:val="none" w:sz="0" w:space="0" w:color="auto"/>
        <w:left w:val="none" w:sz="0" w:space="0" w:color="auto"/>
        <w:bottom w:val="none" w:sz="0" w:space="0" w:color="auto"/>
        <w:right w:val="none" w:sz="0" w:space="0" w:color="auto"/>
      </w:divBdr>
    </w:div>
    <w:div w:id="580137865">
      <w:bodyDiv w:val="1"/>
      <w:marLeft w:val="0"/>
      <w:marRight w:val="0"/>
      <w:marTop w:val="0"/>
      <w:marBottom w:val="0"/>
      <w:divBdr>
        <w:top w:val="none" w:sz="0" w:space="0" w:color="auto"/>
        <w:left w:val="none" w:sz="0" w:space="0" w:color="auto"/>
        <w:bottom w:val="none" w:sz="0" w:space="0" w:color="auto"/>
        <w:right w:val="none" w:sz="0" w:space="0" w:color="auto"/>
      </w:divBdr>
    </w:div>
    <w:div w:id="627668770">
      <w:bodyDiv w:val="1"/>
      <w:marLeft w:val="0"/>
      <w:marRight w:val="0"/>
      <w:marTop w:val="0"/>
      <w:marBottom w:val="0"/>
      <w:divBdr>
        <w:top w:val="none" w:sz="0" w:space="0" w:color="auto"/>
        <w:left w:val="none" w:sz="0" w:space="0" w:color="auto"/>
        <w:bottom w:val="none" w:sz="0" w:space="0" w:color="auto"/>
        <w:right w:val="none" w:sz="0" w:space="0" w:color="auto"/>
      </w:divBdr>
      <w:divsChild>
        <w:div w:id="587812220">
          <w:marLeft w:val="0"/>
          <w:marRight w:val="0"/>
          <w:marTop w:val="0"/>
          <w:marBottom w:val="0"/>
          <w:divBdr>
            <w:top w:val="none" w:sz="0" w:space="0" w:color="auto"/>
            <w:left w:val="none" w:sz="0" w:space="0" w:color="auto"/>
            <w:bottom w:val="none" w:sz="0" w:space="0" w:color="auto"/>
            <w:right w:val="none" w:sz="0" w:space="0" w:color="auto"/>
          </w:divBdr>
        </w:div>
        <w:div w:id="1649282817">
          <w:marLeft w:val="0"/>
          <w:marRight w:val="0"/>
          <w:marTop w:val="0"/>
          <w:marBottom w:val="0"/>
          <w:divBdr>
            <w:top w:val="none" w:sz="0" w:space="0" w:color="auto"/>
            <w:left w:val="none" w:sz="0" w:space="0" w:color="auto"/>
            <w:bottom w:val="none" w:sz="0" w:space="0" w:color="auto"/>
            <w:right w:val="none" w:sz="0" w:space="0" w:color="auto"/>
          </w:divBdr>
        </w:div>
      </w:divsChild>
    </w:div>
    <w:div w:id="650987146">
      <w:bodyDiv w:val="1"/>
      <w:marLeft w:val="0"/>
      <w:marRight w:val="0"/>
      <w:marTop w:val="0"/>
      <w:marBottom w:val="0"/>
      <w:divBdr>
        <w:top w:val="none" w:sz="0" w:space="0" w:color="auto"/>
        <w:left w:val="none" w:sz="0" w:space="0" w:color="auto"/>
        <w:bottom w:val="none" w:sz="0" w:space="0" w:color="auto"/>
        <w:right w:val="none" w:sz="0" w:space="0" w:color="auto"/>
      </w:divBdr>
      <w:divsChild>
        <w:div w:id="201597792">
          <w:marLeft w:val="0"/>
          <w:marRight w:val="0"/>
          <w:marTop w:val="0"/>
          <w:marBottom w:val="0"/>
          <w:divBdr>
            <w:top w:val="none" w:sz="0" w:space="0" w:color="auto"/>
            <w:left w:val="none" w:sz="0" w:space="0" w:color="auto"/>
            <w:bottom w:val="none" w:sz="0" w:space="0" w:color="auto"/>
            <w:right w:val="none" w:sz="0" w:space="0" w:color="auto"/>
          </w:divBdr>
        </w:div>
        <w:div w:id="1754666646">
          <w:marLeft w:val="0"/>
          <w:marRight w:val="0"/>
          <w:marTop w:val="0"/>
          <w:marBottom w:val="0"/>
          <w:divBdr>
            <w:top w:val="none" w:sz="0" w:space="0" w:color="auto"/>
            <w:left w:val="none" w:sz="0" w:space="0" w:color="auto"/>
            <w:bottom w:val="none" w:sz="0" w:space="0" w:color="auto"/>
            <w:right w:val="none" w:sz="0" w:space="0" w:color="auto"/>
          </w:divBdr>
        </w:div>
      </w:divsChild>
    </w:div>
    <w:div w:id="668604414">
      <w:bodyDiv w:val="1"/>
      <w:marLeft w:val="0"/>
      <w:marRight w:val="0"/>
      <w:marTop w:val="0"/>
      <w:marBottom w:val="0"/>
      <w:divBdr>
        <w:top w:val="none" w:sz="0" w:space="0" w:color="auto"/>
        <w:left w:val="none" w:sz="0" w:space="0" w:color="auto"/>
        <w:bottom w:val="none" w:sz="0" w:space="0" w:color="auto"/>
        <w:right w:val="none" w:sz="0" w:space="0" w:color="auto"/>
      </w:divBdr>
      <w:divsChild>
        <w:div w:id="237061514">
          <w:marLeft w:val="0"/>
          <w:marRight w:val="0"/>
          <w:marTop w:val="0"/>
          <w:marBottom w:val="0"/>
          <w:divBdr>
            <w:top w:val="none" w:sz="0" w:space="0" w:color="auto"/>
            <w:left w:val="none" w:sz="0" w:space="0" w:color="auto"/>
            <w:bottom w:val="none" w:sz="0" w:space="0" w:color="auto"/>
            <w:right w:val="none" w:sz="0" w:space="0" w:color="auto"/>
          </w:divBdr>
        </w:div>
        <w:div w:id="1317874550">
          <w:marLeft w:val="0"/>
          <w:marRight w:val="0"/>
          <w:marTop w:val="0"/>
          <w:marBottom w:val="0"/>
          <w:divBdr>
            <w:top w:val="none" w:sz="0" w:space="0" w:color="auto"/>
            <w:left w:val="none" w:sz="0" w:space="0" w:color="auto"/>
            <w:bottom w:val="none" w:sz="0" w:space="0" w:color="auto"/>
            <w:right w:val="none" w:sz="0" w:space="0" w:color="auto"/>
          </w:divBdr>
        </w:div>
        <w:div w:id="1334916554">
          <w:marLeft w:val="0"/>
          <w:marRight w:val="0"/>
          <w:marTop w:val="0"/>
          <w:marBottom w:val="0"/>
          <w:divBdr>
            <w:top w:val="none" w:sz="0" w:space="0" w:color="auto"/>
            <w:left w:val="none" w:sz="0" w:space="0" w:color="auto"/>
            <w:bottom w:val="none" w:sz="0" w:space="0" w:color="auto"/>
            <w:right w:val="none" w:sz="0" w:space="0" w:color="auto"/>
          </w:divBdr>
        </w:div>
        <w:div w:id="1548100181">
          <w:marLeft w:val="0"/>
          <w:marRight w:val="0"/>
          <w:marTop w:val="0"/>
          <w:marBottom w:val="0"/>
          <w:divBdr>
            <w:top w:val="none" w:sz="0" w:space="0" w:color="auto"/>
            <w:left w:val="none" w:sz="0" w:space="0" w:color="auto"/>
            <w:bottom w:val="none" w:sz="0" w:space="0" w:color="auto"/>
            <w:right w:val="none" w:sz="0" w:space="0" w:color="auto"/>
          </w:divBdr>
        </w:div>
        <w:div w:id="1718820161">
          <w:marLeft w:val="0"/>
          <w:marRight w:val="0"/>
          <w:marTop w:val="0"/>
          <w:marBottom w:val="0"/>
          <w:divBdr>
            <w:top w:val="none" w:sz="0" w:space="0" w:color="auto"/>
            <w:left w:val="none" w:sz="0" w:space="0" w:color="auto"/>
            <w:bottom w:val="none" w:sz="0" w:space="0" w:color="auto"/>
            <w:right w:val="none" w:sz="0" w:space="0" w:color="auto"/>
          </w:divBdr>
        </w:div>
      </w:divsChild>
    </w:div>
    <w:div w:id="795686740">
      <w:bodyDiv w:val="1"/>
      <w:marLeft w:val="0"/>
      <w:marRight w:val="0"/>
      <w:marTop w:val="0"/>
      <w:marBottom w:val="0"/>
      <w:divBdr>
        <w:top w:val="none" w:sz="0" w:space="0" w:color="auto"/>
        <w:left w:val="none" w:sz="0" w:space="0" w:color="auto"/>
        <w:bottom w:val="none" w:sz="0" w:space="0" w:color="auto"/>
        <w:right w:val="none" w:sz="0" w:space="0" w:color="auto"/>
      </w:divBdr>
    </w:div>
    <w:div w:id="831676800">
      <w:bodyDiv w:val="1"/>
      <w:marLeft w:val="0"/>
      <w:marRight w:val="0"/>
      <w:marTop w:val="0"/>
      <w:marBottom w:val="0"/>
      <w:divBdr>
        <w:top w:val="none" w:sz="0" w:space="0" w:color="auto"/>
        <w:left w:val="none" w:sz="0" w:space="0" w:color="auto"/>
        <w:bottom w:val="none" w:sz="0" w:space="0" w:color="auto"/>
        <w:right w:val="none" w:sz="0" w:space="0" w:color="auto"/>
      </w:divBdr>
      <w:divsChild>
        <w:div w:id="52700485">
          <w:marLeft w:val="0"/>
          <w:marRight w:val="0"/>
          <w:marTop w:val="0"/>
          <w:marBottom w:val="0"/>
          <w:divBdr>
            <w:top w:val="none" w:sz="0" w:space="0" w:color="auto"/>
            <w:left w:val="none" w:sz="0" w:space="0" w:color="auto"/>
            <w:bottom w:val="none" w:sz="0" w:space="0" w:color="auto"/>
            <w:right w:val="none" w:sz="0" w:space="0" w:color="auto"/>
          </w:divBdr>
        </w:div>
        <w:div w:id="1142774830">
          <w:marLeft w:val="0"/>
          <w:marRight w:val="0"/>
          <w:marTop w:val="0"/>
          <w:marBottom w:val="0"/>
          <w:divBdr>
            <w:top w:val="none" w:sz="0" w:space="0" w:color="auto"/>
            <w:left w:val="none" w:sz="0" w:space="0" w:color="auto"/>
            <w:bottom w:val="none" w:sz="0" w:space="0" w:color="auto"/>
            <w:right w:val="none" w:sz="0" w:space="0" w:color="auto"/>
          </w:divBdr>
        </w:div>
        <w:div w:id="1219517691">
          <w:marLeft w:val="0"/>
          <w:marRight w:val="0"/>
          <w:marTop w:val="0"/>
          <w:marBottom w:val="0"/>
          <w:divBdr>
            <w:top w:val="none" w:sz="0" w:space="0" w:color="auto"/>
            <w:left w:val="none" w:sz="0" w:space="0" w:color="auto"/>
            <w:bottom w:val="none" w:sz="0" w:space="0" w:color="auto"/>
            <w:right w:val="none" w:sz="0" w:space="0" w:color="auto"/>
          </w:divBdr>
        </w:div>
        <w:div w:id="1429346154">
          <w:marLeft w:val="0"/>
          <w:marRight w:val="0"/>
          <w:marTop w:val="0"/>
          <w:marBottom w:val="0"/>
          <w:divBdr>
            <w:top w:val="none" w:sz="0" w:space="0" w:color="auto"/>
            <w:left w:val="none" w:sz="0" w:space="0" w:color="auto"/>
            <w:bottom w:val="none" w:sz="0" w:space="0" w:color="auto"/>
            <w:right w:val="none" w:sz="0" w:space="0" w:color="auto"/>
          </w:divBdr>
        </w:div>
        <w:div w:id="1891963462">
          <w:marLeft w:val="0"/>
          <w:marRight w:val="0"/>
          <w:marTop w:val="0"/>
          <w:marBottom w:val="0"/>
          <w:divBdr>
            <w:top w:val="none" w:sz="0" w:space="0" w:color="auto"/>
            <w:left w:val="none" w:sz="0" w:space="0" w:color="auto"/>
            <w:bottom w:val="none" w:sz="0" w:space="0" w:color="auto"/>
            <w:right w:val="none" w:sz="0" w:space="0" w:color="auto"/>
          </w:divBdr>
        </w:div>
      </w:divsChild>
    </w:div>
    <w:div w:id="890458994">
      <w:bodyDiv w:val="1"/>
      <w:marLeft w:val="0"/>
      <w:marRight w:val="0"/>
      <w:marTop w:val="0"/>
      <w:marBottom w:val="0"/>
      <w:divBdr>
        <w:top w:val="none" w:sz="0" w:space="0" w:color="auto"/>
        <w:left w:val="none" w:sz="0" w:space="0" w:color="auto"/>
        <w:bottom w:val="none" w:sz="0" w:space="0" w:color="auto"/>
        <w:right w:val="none" w:sz="0" w:space="0" w:color="auto"/>
      </w:divBdr>
    </w:div>
    <w:div w:id="978339900">
      <w:bodyDiv w:val="1"/>
      <w:marLeft w:val="0"/>
      <w:marRight w:val="0"/>
      <w:marTop w:val="0"/>
      <w:marBottom w:val="0"/>
      <w:divBdr>
        <w:top w:val="none" w:sz="0" w:space="0" w:color="auto"/>
        <w:left w:val="none" w:sz="0" w:space="0" w:color="auto"/>
        <w:bottom w:val="none" w:sz="0" w:space="0" w:color="auto"/>
        <w:right w:val="none" w:sz="0" w:space="0" w:color="auto"/>
      </w:divBdr>
    </w:div>
    <w:div w:id="995262018">
      <w:bodyDiv w:val="1"/>
      <w:marLeft w:val="0"/>
      <w:marRight w:val="0"/>
      <w:marTop w:val="0"/>
      <w:marBottom w:val="0"/>
      <w:divBdr>
        <w:top w:val="none" w:sz="0" w:space="0" w:color="auto"/>
        <w:left w:val="none" w:sz="0" w:space="0" w:color="auto"/>
        <w:bottom w:val="none" w:sz="0" w:space="0" w:color="auto"/>
        <w:right w:val="none" w:sz="0" w:space="0" w:color="auto"/>
      </w:divBdr>
    </w:div>
    <w:div w:id="1012220869">
      <w:bodyDiv w:val="1"/>
      <w:marLeft w:val="0"/>
      <w:marRight w:val="0"/>
      <w:marTop w:val="0"/>
      <w:marBottom w:val="0"/>
      <w:divBdr>
        <w:top w:val="none" w:sz="0" w:space="0" w:color="auto"/>
        <w:left w:val="none" w:sz="0" w:space="0" w:color="auto"/>
        <w:bottom w:val="none" w:sz="0" w:space="0" w:color="auto"/>
        <w:right w:val="none" w:sz="0" w:space="0" w:color="auto"/>
      </w:divBdr>
    </w:div>
    <w:div w:id="1028798125">
      <w:marLeft w:val="0"/>
      <w:marRight w:val="0"/>
      <w:marTop w:val="0"/>
      <w:marBottom w:val="0"/>
      <w:divBdr>
        <w:top w:val="none" w:sz="0" w:space="0" w:color="auto"/>
        <w:left w:val="none" w:sz="0" w:space="0" w:color="auto"/>
        <w:bottom w:val="none" w:sz="0" w:space="0" w:color="auto"/>
        <w:right w:val="none" w:sz="0" w:space="0" w:color="auto"/>
      </w:divBdr>
    </w:div>
    <w:div w:id="1028798126">
      <w:marLeft w:val="0"/>
      <w:marRight w:val="0"/>
      <w:marTop w:val="0"/>
      <w:marBottom w:val="0"/>
      <w:divBdr>
        <w:top w:val="none" w:sz="0" w:space="0" w:color="auto"/>
        <w:left w:val="none" w:sz="0" w:space="0" w:color="auto"/>
        <w:bottom w:val="none" w:sz="0" w:space="0" w:color="auto"/>
        <w:right w:val="none" w:sz="0" w:space="0" w:color="auto"/>
      </w:divBdr>
      <w:divsChild>
        <w:div w:id="1028798141">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028798127">
      <w:marLeft w:val="0"/>
      <w:marRight w:val="0"/>
      <w:marTop w:val="0"/>
      <w:marBottom w:val="0"/>
      <w:divBdr>
        <w:top w:val="none" w:sz="0" w:space="0" w:color="auto"/>
        <w:left w:val="none" w:sz="0" w:space="0" w:color="auto"/>
        <w:bottom w:val="none" w:sz="0" w:space="0" w:color="auto"/>
        <w:right w:val="none" w:sz="0" w:space="0" w:color="auto"/>
      </w:divBdr>
    </w:div>
    <w:div w:id="1028798130">
      <w:marLeft w:val="0"/>
      <w:marRight w:val="0"/>
      <w:marTop w:val="0"/>
      <w:marBottom w:val="0"/>
      <w:divBdr>
        <w:top w:val="none" w:sz="0" w:space="0" w:color="auto"/>
        <w:left w:val="none" w:sz="0" w:space="0" w:color="auto"/>
        <w:bottom w:val="none" w:sz="0" w:space="0" w:color="auto"/>
        <w:right w:val="none" w:sz="0" w:space="0" w:color="auto"/>
      </w:divBdr>
    </w:div>
    <w:div w:id="1028798132">
      <w:marLeft w:val="0"/>
      <w:marRight w:val="0"/>
      <w:marTop w:val="0"/>
      <w:marBottom w:val="0"/>
      <w:divBdr>
        <w:top w:val="none" w:sz="0" w:space="0" w:color="auto"/>
        <w:left w:val="none" w:sz="0" w:space="0" w:color="auto"/>
        <w:bottom w:val="none" w:sz="0" w:space="0" w:color="auto"/>
        <w:right w:val="none" w:sz="0" w:space="0" w:color="auto"/>
      </w:divBdr>
    </w:div>
    <w:div w:id="1028798137">
      <w:marLeft w:val="0"/>
      <w:marRight w:val="0"/>
      <w:marTop w:val="0"/>
      <w:marBottom w:val="0"/>
      <w:divBdr>
        <w:top w:val="none" w:sz="0" w:space="0" w:color="auto"/>
        <w:left w:val="none" w:sz="0" w:space="0" w:color="auto"/>
        <w:bottom w:val="none" w:sz="0" w:space="0" w:color="auto"/>
        <w:right w:val="none" w:sz="0" w:space="0" w:color="auto"/>
      </w:divBdr>
      <w:divsChild>
        <w:div w:id="1028798131">
          <w:marLeft w:val="0"/>
          <w:marRight w:val="0"/>
          <w:marTop w:val="0"/>
          <w:marBottom w:val="84"/>
          <w:divBdr>
            <w:top w:val="none" w:sz="0" w:space="0" w:color="auto"/>
            <w:left w:val="none" w:sz="0" w:space="0" w:color="auto"/>
            <w:bottom w:val="none" w:sz="0" w:space="0" w:color="auto"/>
            <w:right w:val="none" w:sz="0" w:space="0" w:color="auto"/>
          </w:divBdr>
          <w:divsChild>
            <w:div w:id="1028798129">
              <w:marLeft w:val="0"/>
              <w:marRight w:val="0"/>
              <w:marTop w:val="0"/>
              <w:marBottom w:val="0"/>
              <w:divBdr>
                <w:top w:val="none" w:sz="0" w:space="0" w:color="auto"/>
                <w:left w:val="none" w:sz="0" w:space="0" w:color="auto"/>
                <w:bottom w:val="none" w:sz="0" w:space="0" w:color="auto"/>
                <w:right w:val="none" w:sz="0" w:space="0" w:color="auto"/>
              </w:divBdr>
            </w:div>
            <w:div w:id="1028798134">
              <w:marLeft w:val="0"/>
              <w:marRight w:val="210"/>
              <w:marTop w:val="0"/>
              <w:marBottom w:val="0"/>
              <w:divBdr>
                <w:top w:val="none" w:sz="0" w:space="0" w:color="auto"/>
                <w:left w:val="none" w:sz="0" w:space="0" w:color="auto"/>
                <w:bottom w:val="none" w:sz="0" w:space="0" w:color="auto"/>
                <w:right w:val="none" w:sz="0" w:space="0" w:color="auto"/>
              </w:divBdr>
            </w:div>
          </w:divsChild>
        </w:div>
        <w:div w:id="1028798136">
          <w:marLeft w:val="0"/>
          <w:marRight w:val="0"/>
          <w:marTop w:val="0"/>
          <w:marBottom w:val="84"/>
          <w:divBdr>
            <w:top w:val="none" w:sz="0" w:space="0" w:color="auto"/>
            <w:left w:val="none" w:sz="0" w:space="0" w:color="auto"/>
            <w:bottom w:val="none" w:sz="0" w:space="0" w:color="auto"/>
            <w:right w:val="none" w:sz="0" w:space="0" w:color="auto"/>
          </w:divBdr>
          <w:divsChild>
            <w:div w:id="1028798135">
              <w:marLeft w:val="0"/>
              <w:marRight w:val="0"/>
              <w:marTop w:val="0"/>
              <w:marBottom w:val="0"/>
              <w:divBdr>
                <w:top w:val="none" w:sz="0" w:space="0" w:color="auto"/>
                <w:left w:val="none" w:sz="0" w:space="0" w:color="auto"/>
                <w:bottom w:val="none" w:sz="0" w:space="0" w:color="auto"/>
                <w:right w:val="none" w:sz="0" w:space="0" w:color="auto"/>
              </w:divBdr>
            </w:div>
          </w:divsChild>
        </w:div>
        <w:div w:id="1028798138">
          <w:marLeft w:val="0"/>
          <w:marRight w:val="0"/>
          <w:marTop w:val="0"/>
          <w:marBottom w:val="84"/>
          <w:divBdr>
            <w:top w:val="none" w:sz="0" w:space="0" w:color="auto"/>
            <w:left w:val="none" w:sz="0" w:space="0" w:color="auto"/>
            <w:bottom w:val="none" w:sz="0" w:space="0" w:color="auto"/>
            <w:right w:val="none" w:sz="0" w:space="0" w:color="auto"/>
          </w:divBdr>
          <w:divsChild>
            <w:div w:id="1028798128">
              <w:marLeft w:val="0"/>
              <w:marRight w:val="210"/>
              <w:marTop w:val="0"/>
              <w:marBottom w:val="0"/>
              <w:divBdr>
                <w:top w:val="none" w:sz="0" w:space="0" w:color="auto"/>
                <w:left w:val="none" w:sz="0" w:space="0" w:color="auto"/>
                <w:bottom w:val="none" w:sz="0" w:space="0" w:color="auto"/>
                <w:right w:val="none" w:sz="0" w:space="0" w:color="auto"/>
              </w:divBdr>
            </w:div>
            <w:div w:id="102879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798139">
      <w:marLeft w:val="0"/>
      <w:marRight w:val="0"/>
      <w:marTop w:val="0"/>
      <w:marBottom w:val="0"/>
      <w:divBdr>
        <w:top w:val="none" w:sz="0" w:space="0" w:color="auto"/>
        <w:left w:val="none" w:sz="0" w:space="0" w:color="auto"/>
        <w:bottom w:val="none" w:sz="0" w:space="0" w:color="auto"/>
        <w:right w:val="none" w:sz="0" w:space="0" w:color="auto"/>
      </w:divBdr>
    </w:div>
    <w:div w:id="1028798140">
      <w:marLeft w:val="0"/>
      <w:marRight w:val="0"/>
      <w:marTop w:val="0"/>
      <w:marBottom w:val="0"/>
      <w:divBdr>
        <w:top w:val="none" w:sz="0" w:space="0" w:color="auto"/>
        <w:left w:val="none" w:sz="0" w:space="0" w:color="auto"/>
        <w:bottom w:val="none" w:sz="0" w:space="0" w:color="auto"/>
        <w:right w:val="none" w:sz="0" w:space="0" w:color="auto"/>
      </w:divBdr>
    </w:div>
    <w:div w:id="1049959633">
      <w:bodyDiv w:val="1"/>
      <w:marLeft w:val="0"/>
      <w:marRight w:val="0"/>
      <w:marTop w:val="0"/>
      <w:marBottom w:val="0"/>
      <w:divBdr>
        <w:top w:val="none" w:sz="0" w:space="0" w:color="auto"/>
        <w:left w:val="none" w:sz="0" w:space="0" w:color="auto"/>
        <w:bottom w:val="none" w:sz="0" w:space="0" w:color="auto"/>
        <w:right w:val="none" w:sz="0" w:space="0" w:color="auto"/>
      </w:divBdr>
      <w:divsChild>
        <w:div w:id="1612780010">
          <w:marLeft w:val="0"/>
          <w:marRight w:val="0"/>
          <w:marTop w:val="0"/>
          <w:marBottom w:val="0"/>
          <w:divBdr>
            <w:top w:val="none" w:sz="0" w:space="0" w:color="auto"/>
            <w:left w:val="none" w:sz="0" w:space="0" w:color="auto"/>
            <w:bottom w:val="none" w:sz="0" w:space="0" w:color="auto"/>
            <w:right w:val="none" w:sz="0" w:space="0" w:color="auto"/>
          </w:divBdr>
        </w:div>
      </w:divsChild>
    </w:div>
    <w:div w:id="1219366263">
      <w:bodyDiv w:val="1"/>
      <w:marLeft w:val="0"/>
      <w:marRight w:val="0"/>
      <w:marTop w:val="0"/>
      <w:marBottom w:val="0"/>
      <w:divBdr>
        <w:top w:val="none" w:sz="0" w:space="0" w:color="auto"/>
        <w:left w:val="none" w:sz="0" w:space="0" w:color="auto"/>
        <w:bottom w:val="none" w:sz="0" w:space="0" w:color="auto"/>
        <w:right w:val="none" w:sz="0" w:space="0" w:color="auto"/>
      </w:divBdr>
      <w:divsChild>
        <w:div w:id="1317345374">
          <w:marLeft w:val="0"/>
          <w:marRight w:val="0"/>
          <w:marTop w:val="150"/>
          <w:marBottom w:val="0"/>
          <w:divBdr>
            <w:top w:val="single" w:sz="6" w:space="0" w:color="FFFFFF"/>
            <w:left w:val="single" w:sz="6" w:space="0" w:color="FFFFFF"/>
            <w:bottom w:val="single" w:sz="6" w:space="0" w:color="FFFFFF"/>
            <w:right w:val="single" w:sz="6" w:space="0" w:color="FFFFFF"/>
          </w:divBdr>
        </w:div>
        <w:div w:id="2126119788">
          <w:marLeft w:val="0"/>
          <w:marRight w:val="0"/>
          <w:marTop w:val="150"/>
          <w:marBottom w:val="0"/>
          <w:divBdr>
            <w:top w:val="single" w:sz="6" w:space="0" w:color="FFFFFF"/>
            <w:left w:val="single" w:sz="6" w:space="0" w:color="FFFFFF"/>
            <w:bottom w:val="single" w:sz="6" w:space="0" w:color="FFFFFF"/>
            <w:right w:val="single" w:sz="6" w:space="0" w:color="FFFFFF"/>
          </w:divBdr>
          <w:divsChild>
            <w:div w:id="1258753555">
              <w:marLeft w:val="0"/>
              <w:marRight w:val="60"/>
              <w:marTop w:val="45"/>
              <w:marBottom w:val="0"/>
              <w:divBdr>
                <w:top w:val="none" w:sz="0" w:space="0" w:color="auto"/>
                <w:left w:val="none" w:sz="0" w:space="0" w:color="auto"/>
                <w:bottom w:val="none" w:sz="0" w:space="0" w:color="auto"/>
                <w:right w:val="none" w:sz="0" w:space="0" w:color="auto"/>
              </w:divBdr>
            </w:div>
            <w:div w:id="1296761312">
              <w:marLeft w:val="0"/>
              <w:marRight w:val="60"/>
              <w:marTop w:val="45"/>
              <w:marBottom w:val="0"/>
              <w:divBdr>
                <w:top w:val="none" w:sz="0" w:space="0" w:color="auto"/>
                <w:left w:val="none" w:sz="0" w:space="0" w:color="auto"/>
                <w:bottom w:val="none" w:sz="0" w:space="0" w:color="auto"/>
                <w:right w:val="none" w:sz="0" w:space="0" w:color="auto"/>
              </w:divBdr>
            </w:div>
            <w:div w:id="1762138663">
              <w:marLeft w:val="0"/>
              <w:marRight w:val="60"/>
              <w:marTop w:val="45"/>
              <w:marBottom w:val="0"/>
              <w:divBdr>
                <w:top w:val="none" w:sz="0" w:space="0" w:color="auto"/>
                <w:left w:val="none" w:sz="0" w:space="0" w:color="auto"/>
                <w:bottom w:val="none" w:sz="0" w:space="0" w:color="auto"/>
                <w:right w:val="none" w:sz="0" w:space="0" w:color="auto"/>
              </w:divBdr>
            </w:div>
            <w:div w:id="2079666265">
              <w:marLeft w:val="0"/>
              <w:marRight w:val="60"/>
              <w:marTop w:val="45"/>
              <w:marBottom w:val="0"/>
              <w:divBdr>
                <w:top w:val="none" w:sz="0" w:space="0" w:color="auto"/>
                <w:left w:val="none" w:sz="0" w:space="0" w:color="auto"/>
                <w:bottom w:val="none" w:sz="0" w:space="0" w:color="auto"/>
                <w:right w:val="none" w:sz="0" w:space="0" w:color="auto"/>
              </w:divBdr>
            </w:div>
          </w:divsChild>
        </w:div>
      </w:divsChild>
    </w:div>
    <w:div w:id="1243415357">
      <w:bodyDiv w:val="1"/>
      <w:marLeft w:val="0"/>
      <w:marRight w:val="0"/>
      <w:marTop w:val="0"/>
      <w:marBottom w:val="0"/>
      <w:divBdr>
        <w:top w:val="none" w:sz="0" w:space="0" w:color="auto"/>
        <w:left w:val="none" w:sz="0" w:space="0" w:color="auto"/>
        <w:bottom w:val="none" w:sz="0" w:space="0" w:color="auto"/>
        <w:right w:val="none" w:sz="0" w:space="0" w:color="auto"/>
      </w:divBdr>
    </w:div>
    <w:div w:id="1274364584">
      <w:bodyDiv w:val="1"/>
      <w:marLeft w:val="0"/>
      <w:marRight w:val="0"/>
      <w:marTop w:val="0"/>
      <w:marBottom w:val="0"/>
      <w:divBdr>
        <w:top w:val="none" w:sz="0" w:space="0" w:color="auto"/>
        <w:left w:val="none" w:sz="0" w:space="0" w:color="auto"/>
        <w:bottom w:val="none" w:sz="0" w:space="0" w:color="auto"/>
        <w:right w:val="none" w:sz="0" w:space="0" w:color="auto"/>
      </w:divBdr>
      <w:divsChild>
        <w:div w:id="600573170">
          <w:marLeft w:val="0"/>
          <w:marRight w:val="0"/>
          <w:marTop w:val="0"/>
          <w:marBottom w:val="0"/>
          <w:divBdr>
            <w:top w:val="none" w:sz="0" w:space="0" w:color="auto"/>
            <w:left w:val="none" w:sz="0" w:space="0" w:color="auto"/>
            <w:bottom w:val="none" w:sz="0" w:space="0" w:color="auto"/>
            <w:right w:val="none" w:sz="0" w:space="0" w:color="auto"/>
          </w:divBdr>
        </w:div>
        <w:div w:id="1011686238">
          <w:marLeft w:val="0"/>
          <w:marRight w:val="0"/>
          <w:marTop w:val="0"/>
          <w:marBottom w:val="0"/>
          <w:divBdr>
            <w:top w:val="none" w:sz="0" w:space="0" w:color="auto"/>
            <w:left w:val="none" w:sz="0" w:space="0" w:color="auto"/>
            <w:bottom w:val="none" w:sz="0" w:space="0" w:color="auto"/>
            <w:right w:val="none" w:sz="0" w:space="0" w:color="auto"/>
          </w:divBdr>
        </w:div>
        <w:div w:id="1705210756">
          <w:marLeft w:val="0"/>
          <w:marRight w:val="0"/>
          <w:marTop w:val="0"/>
          <w:marBottom w:val="0"/>
          <w:divBdr>
            <w:top w:val="none" w:sz="0" w:space="0" w:color="auto"/>
            <w:left w:val="none" w:sz="0" w:space="0" w:color="auto"/>
            <w:bottom w:val="none" w:sz="0" w:space="0" w:color="auto"/>
            <w:right w:val="none" w:sz="0" w:space="0" w:color="auto"/>
          </w:divBdr>
        </w:div>
      </w:divsChild>
    </w:div>
    <w:div w:id="1310398787">
      <w:bodyDiv w:val="1"/>
      <w:marLeft w:val="0"/>
      <w:marRight w:val="0"/>
      <w:marTop w:val="0"/>
      <w:marBottom w:val="0"/>
      <w:divBdr>
        <w:top w:val="none" w:sz="0" w:space="0" w:color="auto"/>
        <w:left w:val="none" w:sz="0" w:space="0" w:color="auto"/>
        <w:bottom w:val="none" w:sz="0" w:space="0" w:color="auto"/>
        <w:right w:val="none" w:sz="0" w:space="0" w:color="auto"/>
      </w:divBdr>
    </w:div>
    <w:div w:id="1390424864">
      <w:bodyDiv w:val="1"/>
      <w:marLeft w:val="0"/>
      <w:marRight w:val="0"/>
      <w:marTop w:val="0"/>
      <w:marBottom w:val="0"/>
      <w:divBdr>
        <w:top w:val="none" w:sz="0" w:space="0" w:color="auto"/>
        <w:left w:val="none" w:sz="0" w:space="0" w:color="auto"/>
        <w:bottom w:val="none" w:sz="0" w:space="0" w:color="auto"/>
        <w:right w:val="none" w:sz="0" w:space="0" w:color="auto"/>
      </w:divBdr>
      <w:divsChild>
        <w:div w:id="452018650">
          <w:marLeft w:val="0"/>
          <w:marRight w:val="0"/>
          <w:marTop w:val="0"/>
          <w:marBottom w:val="0"/>
          <w:divBdr>
            <w:top w:val="none" w:sz="0" w:space="0" w:color="auto"/>
            <w:left w:val="none" w:sz="0" w:space="0" w:color="auto"/>
            <w:bottom w:val="none" w:sz="0" w:space="0" w:color="auto"/>
            <w:right w:val="none" w:sz="0" w:space="0" w:color="auto"/>
          </w:divBdr>
        </w:div>
        <w:div w:id="667094192">
          <w:marLeft w:val="0"/>
          <w:marRight w:val="0"/>
          <w:marTop w:val="0"/>
          <w:marBottom w:val="0"/>
          <w:divBdr>
            <w:top w:val="none" w:sz="0" w:space="0" w:color="auto"/>
            <w:left w:val="none" w:sz="0" w:space="0" w:color="auto"/>
            <w:bottom w:val="none" w:sz="0" w:space="0" w:color="auto"/>
            <w:right w:val="none" w:sz="0" w:space="0" w:color="auto"/>
          </w:divBdr>
        </w:div>
        <w:div w:id="1292519917">
          <w:marLeft w:val="0"/>
          <w:marRight w:val="0"/>
          <w:marTop w:val="0"/>
          <w:marBottom w:val="0"/>
          <w:divBdr>
            <w:top w:val="none" w:sz="0" w:space="0" w:color="auto"/>
            <w:left w:val="none" w:sz="0" w:space="0" w:color="auto"/>
            <w:bottom w:val="none" w:sz="0" w:space="0" w:color="auto"/>
            <w:right w:val="none" w:sz="0" w:space="0" w:color="auto"/>
          </w:divBdr>
        </w:div>
        <w:div w:id="1737557390">
          <w:marLeft w:val="0"/>
          <w:marRight w:val="0"/>
          <w:marTop w:val="0"/>
          <w:marBottom w:val="0"/>
          <w:divBdr>
            <w:top w:val="none" w:sz="0" w:space="0" w:color="auto"/>
            <w:left w:val="none" w:sz="0" w:space="0" w:color="auto"/>
            <w:bottom w:val="none" w:sz="0" w:space="0" w:color="auto"/>
            <w:right w:val="none" w:sz="0" w:space="0" w:color="auto"/>
          </w:divBdr>
        </w:div>
      </w:divsChild>
    </w:div>
    <w:div w:id="1398170044">
      <w:bodyDiv w:val="1"/>
      <w:marLeft w:val="0"/>
      <w:marRight w:val="0"/>
      <w:marTop w:val="0"/>
      <w:marBottom w:val="0"/>
      <w:divBdr>
        <w:top w:val="none" w:sz="0" w:space="0" w:color="auto"/>
        <w:left w:val="none" w:sz="0" w:space="0" w:color="auto"/>
        <w:bottom w:val="none" w:sz="0" w:space="0" w:color="auto"/>
        <w:right w:val="none" w:sz="0" w:space="0" w:color="auto"/>
      </w:divBdr>
      <w:divsChild>
        <w:div w:id="1862821724">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429275300">
      <w:bodyDiv w:val="1"/>
      <w:marLeft w:val="0"/>
      <w:marRight w:val="0"/>
      <w:marTop w:val="0"/>
      <w:marBottom w:val="0"/>
      <w:divBdr>
        <w:top w:val="none" w:sz="0" w:space="0" w:color="auto"/>
        <w:left w:val="none" w:sz="0" w:space="0" w:color="auto"/>
        <w:bottom w:val="none" w:sz="0" w:space="0" w:color="auto"/>
        <w:right w:val="none" w:sz="0" w:space="0" w:color="auto"/>
      </w:divBdr>
      <w:divsChild>
        <w:div w:id="169687500">
          <w:marLeft w:val="0"/>
          <w:marRight w:val="0"/>
          <w:marTop w:val="0"/>
          <w:marBottom w:val="0"/>
          <w:divBdr>
            <w:top w:val="none" w:sz="0" w:space="0" w:color="auto"/>
            <w:left w:val="none" w:sz="0" w:space="0" w:color="auto"/>
            <w:bottom w:val="none" w:sz="0" w:space="0" w:color="auto"/>
            <w:right w:val="none" w:sz="0" w:space="0" w:color="auto"/>
          </w:divBdr>
          <w:divsChild>
            <w:div w:id="1472597760">
              <w:marLeft w:val="0"/>
              <w:marRight w:val="0"/>
              <w:marTop w:val="0"/>
              <w:marBottom w:val="0"/>
              <w:divBdr>
                <w:top w:val="none" w:sz="0" w:space="0" w:color="auto"/>
                <w:left w:val="none" w:sz="0" w:space="0" w:color="auto"/>
                <w:bottom w:val="none" w:sz="0" w:space="0" w:color="auto"/>
                <w:right w:val="none" w:sz="0" w:space="0" w:color="auto"/>
              </w:divBdr>
              <w:divsChild>
                <w:div w:id="280259057">
                  <w:marLeft w:val="0"/>
                  <w:marRight w:val="0"/>
                  <w:marTop w:val="0"/>
                  <w:marBottom w:val="0"/>
                  <w:divBdr>
                    <w:top w:val="none" w:sz="0" w:space="0" w:color="auto"/>
                    <w:left w:val="none" w:sz="0" w:space="0" w:color="auto"/>
                    <w:bottom w:val="none" w:sz="0" w:space="0" w:color="auto"/>
                    <w:right w:val="none" w:sz="0" w:space="0" w:color="auto"/>
                  </w:divBdr>
                  <w:divsChild>
                    <w:div w:id="106438151">
                      <w:marLeft w:val="0"/>
                      <w:marRight w:val="0"/>
                      <w:marTop w:val="0"/>
                      <w:marBottom w:val="0"/>
                      <w:divBdr>
                        <w:top w:val="none" w:sz="0" w:space="0" w:color="auto"/>
                        <w:left w:val="none" w:sz="0" w:space="0" w:color="auto"/>
                        <w:bottom w:val="none" w:sz="0" w:space="0" w:color="auto"/>
                        <w:right w:val="none" w:sz="0" w:space="0" w:color="auto"/>
                      </w:divBdr>
                      <w:divsChild>
                        <w:div w:id="311373851">
                          <w:marLeft w:val="0"/>
                          <w:marRight w:val="0"/>
                          <w:marTop w:val="0"/>
                          <w:marBottom w:val="0"/>
                          <w:divBdr>
                            <w:top w:val="none" w:sz="0" w:space="0" w:color="auto"/>
                            <w:left w:val="none" w:sz="0" w:space="0" w:color="auto"/>
                            <w:bottom w:val="none" w:sz="0" w:space="0" w:color="auto"/>
                            <w:right w:val="none" w:sz="0" w:space="0" w:color="auto"/>
                          </w:divBdr>
                          <w:divsChild>
                            <w:div w:id="1761440203">
                              <w:marLeft w:val="0"/>
                              <w:marRight w:val="0"/>
                              <w:marTop w:val="0"/>
                              <w:marBottom w:val="0"/>
                              <w:divBdr>
                                <w:top w:val="none" w:sz="0" w:space="0" w:color="auto"/>
                                <w:left w:val="none" w:sz="0" w:space="0" w:color="auto"/>
                                <w:bottom w:val="none" w:sz="0" w:space="0" w:color="auto"/>
                                <w:right w:val="none" w:sz="0" w:space="0" w:color="auto"/>
                              </w:divBdr>
                              <w:divsChild>
                                <w:div w:id="458646231">
                                  <w:marLeft w:val="0"/>
                                  <w:marRight w:val="0"/>
                                  <w:marTop w:val="0"/>
                                  <w:marBottom w:val="0"/>
                                  <w:divBdr>
                                    <w:top w:val="none" w:sz="0" w:space="0" w:color="auto"/>
                                    <w:left w:val="none" w:sz="0" w:space="0" w:color="auto"/>
                                    <w:bottom w:val="none" w:sz="0" w:space="0" w:color="auto"/>
                                    <w:right w:val="none" w:sz="0" w:space="0" w:color="auto"/>
                                  </w:divBdr>
                                  <w:divsChild>
                                    <w:div w:id="745029237">
                                      <w:marLeft w:val="0"/>
                                      <w:marRight w:val="0"/>
                                      <w:marTop w:val="0"/>
                                      <w:marBottom w:val="0"/>
                                      <w:divBdr>
                                        <w:top w:val="none" w:sz="0" w:space="0" w:color="auto"/>
                                        <w:left w:val="none" w:sz="0" w:space="0" w:color="auto"/>
                                        <w:bottom w:val="none" w:sz="0" w:space="0" w:color="auto"/>
                                        <w:right w:val="none" w:sz="0" w:space="0" w:color="auto"/>
                                      </w:divBdr>
                                      <w:divsChild>
                                        <w:div w:id="1223759995">
                                          <w:marLeft w:val="0"/>
                                          <w:marRight w:val="0"/>
                                          <w:marTop w:val="0"/>
                                          <w:marBottom w:val="0"/>
                                          <w:divBdr>
                                            <w:top w:val="none" w:sz="0" w:space="0" w:color="auto"/>
                                            <w:left w:val="none" w:sz="0" w:space="0" w:color="auto"/>
                                            <w:bottom w:val="none" w:sz="0" w:space="0" w:color="auto"/>
                                            <w:right w:val="none" w:sz="0" w:space="0" w:color="auto"/>
                                          </w:divBdr>
                                          <w:divsChild>
                                            <w:div w:id="1175530444">
                                              <w:marLeft w:val="0"/>
                                              <w:marRight w:val="0"/>
                                              <w:marTop w:val="0"/>
                                              <w:marBottom w:val="0"/>
                                              <w:divBdr>
                                                <w:top w:val="none" w:sz="0" w:space="0" w:color="auto"/>
                                                <w:left w:val="none" w:sz="0" w:space="0" w:color="auto"/>
                                                <w:bottom w:val="none" w:sz="0" w:space="0" w:color="auto"/>
                                                <w:right w:val="none" w:sz="0" w:space="0" w:color="auto"/>
                                              </w:divBdr>
                                            </w:div>
                                            <w:div w:id="152602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0417148">
      <w:bodyDiv w:val="1"/>
      <w:marLeft w:val="0"/>
      <w:marRight w:val="0"/>
      <w:marTop w:val="0"/>
      <w:marBottom w:val="0"/>
      <w:divBdr>
        <w:top w:val="none" w:sz="0" w:space="0" w:color="auto"/>
        <w:left w:val="none" w:sz="0" w:space="0" w:color="auto"/>
        <w:bottom w:val="none" w:sz="0" w:space="0" w:color="auto"/>
        <w:right w:val="none" w:sz="0" w:space="0" w:color="auto"/>
      </w:divBdr>
    </w:div>
    <w:div w:id="1597865648">
      <w:bodyDiv w:val="1"/>
      <w:marLeft w:val="0"/>
      <w:marRight w:val="0"/>
      <w:marTop w:val="0"/>
      <w:marBottom w:val="0"/>
      <w:divBdr>
        <w:top w:val="none" w:sz="0" w:space="0" w:color="auto"/>
        <w:left w:val="none" w:sz="0" w:space="0" w:color="auto"/>
        <w:bottom w:val="none" w:sz="0" w:space="0" w:color="auto"/>
        <w:right w:val="none" w:sz="0" w:space="0" w:color="auto"/>
      </w:divBdr>
      <w:divsChild>
        <w:div w:id="531773214">
          <w:marLeft w:val="0"/>
          <w:marRight w:val="0"/>
          <w:marTop w:val="0"/>
          <w:marBottom w:val="0"/>
          <w:divBdr>
            <w:top w:val="none" w:sz="0" w:space="0" w:color="auto"/>
            <w:left w:val="none" w:sz="0" w:space="0" w:color="auto"/>
            <w:bottom w:val="none" w:sz="0" w:space="0" w:color="auto"/>
            <w:right w:val="none" w:sz="0" w:space="0" w:color="auto"/>
          </w:divBdr>
        </w:div>
        <w:div w:id="536352179">
          <w:marLeft w:val="0"/>
          <w:marRight w:val="0"/>
          <w:marTop w:val="0"/>
          <w:marBottom w:val="0"/>
          <w:divBdr>
            <w:top w:val="none" w:sz="0" w:space="0" w:color="auto"/>
            <w:left w:val="none" w:sz="0" w:space="0" w:color="auto"/>
            <w:bottom w:val="none" w:sz="0" w:space="0" w:color="auto"/>
            <w:right w:val="none" w:sz="0" w:space="0" w:color="auto"/>
          </w:divBdr>
        </w:div>
        <w:div w:id="2085249924">
          <w:marLeft w:val="0"/>
          <w:marRight w:val="0"/>
          <w:marTop w:val="0"/>
          <w:marBottom w:val="0"/>
          <w:divBdr>
            <w:top w:val="none" w:sz="0" w:space="0" w:color="auto"/>
            <w:left w:val="none" w:sz="0" w:space="0" w:color="auto"/>
            <w:bottom w:val="none" w:sz="0" w:space="0" w:color="auto"/>
            <w:right w:val="none" w:sz="0" w:space="0" w:color="auto"/>
          </w:divBdr>
          <w:divsChild>
            <w:div w:id="25446586">
              <w:marLeft w:val="0"/>
              <w:marRight w:val="0"/>
              <w:marTop w:val="0"/>
              <w:marBottom w:val="0"/>
              <w:divBdr>
                <w:top w:val="none" w:sz="0" w:space="0" w:color="auto"/>
                <w:left w:val="none" w:sz="0" w:space="0" w:color="auto"/>
                <w:bottom w:val="none" w:sz="0" w:space="0" w:color="auto"/>
                <w:right w:val="none" w:sz="0" w:space="0" w:color="auto"/>
              </w:divBdr>
            </w:div>
            <w:div w:id="72970143">
              <w:marLeft w:val="0"/>
              <w:marRight w:val="0"/>
              <w:marTop w:val="0"/>
              <w:marBottom w:val="0"/>
              <w:divBdr>
                <w:top w:val="none" w:sz="0" w:space="0" w:color="auto"/>
                <w:left w:val="none" w:sz="0" w:space="0" w:color="auto"/>
                <w:bottom w:val="none" w:sz="0" w:space="0" w:color="auto"/>
                <w:right w:val="none" w:sz="0" w:space="0" w:color="auto"/>
              </w:divBdr>
            </w:div>
            <w:div w:id="449709863">
              <w:marLeft w:val="0"/>
              <w:marRight w:val="0"/>
              <w:marTop w:val="0"/>
              <w:marBottom w:val="0"/>
              <w:divBdr>
                <w:top w:val="none" w:sz="0" w:space="0" w:color="auto"/>
                <w:left w:val="none" w:sz="0" w:space="0" w:color="auto"/>
                <w:bottom w:val="none" w:sz="0" w:space="0" w:color="auto"/>
                <w:right w:val="none" w:sz="0" w:space="0" w:color="auto"/>
              </w:divBdr>
            </w:div>
            <w:div w:id="549879392">
              <w:marLeft w:val="0"/>
              <w:marRight w:val="0"/>
              <w:marTop w:val="0"/>
              <w:marBottom w:val="0"/>
              <w:divBdr>
                <w:top w:val="none" w:sz="0" w:space="0" w:color="auto"/>
                <w:left w:val="none" w:sz="0" w:space="0" w:color="auto"/>
                <w:bottom w:val="none" w:sz="0" w:space="0" w:color="auto"/>
                <w:right w:val="none" w:sz="0" w:space="0" w:color="auto"/>
              </w:divBdr>
            </w:div>
            <w:div w:id="679084625">
              <w:marLeft w:val="0"/>
              <w:marRight w:val="0"/>
              <w:marTop w:val="0"/>
              <w:marBottom w:val="0"/>
              <w:divBdr>
                <w:top w:val="none" w:sz="0" w:space="0" w:color="auto"/>
                <w:left w:val="none" w:sz="0" w:space="0" w:color="auto"/>
                <w:bottom w:val="none" w:sz="0" w:space="0" w:color="auto"/>
                <w:right w:val="none" w:sz="0" w:space="0" w:color="auto"/>
              </w:divBdr>
            </w:div>
            <w:div w:id="705301730">
              <w:marLeft w:val="0"/>
              <w:marRight w:val="0"/>
              <w:marTop w:val="0"/>
              <w:marBottom w:val="0"/>
              <w:divBdr>
                <w:top w:val="none" w:sz="0" w:space="0" w:color="auto"/>
                <w:left w:val="none" w:sz="0" w:space="0" w:color="auto"/>
                <w:bottom w:val="none" w:sz="0" w:space="0" w:color="auto"/>
                <w:right w:val="none" w:sz="0" w:space="0" w:color="auto"/>
              </w:divBdr>
            </w:div>
            <w:div w:id="731657722">
              <w:marLeft w:val="0"/>
              <w:marRight w:val="0"/>
              <w:marTop w:val="0"/>
              <w:marBottom w:val="0"/>
              <w:divBdr>
                <w:top w:val="none" w:sz="0" w:space="0" w:color="auto"/>
                <w:left w:val="none" w:sz="0" w:space="0" w:color="auto"/>
                <w:bottom w:val="none" w:sz="0" w:space="0" w:color="auto"/>
                <w:right w:val="none" w:sz="0" w:space="0" w:color="auto"/>
              </w:divBdr>
            </w:div>
            <w:div w:id="1013339813">
              <w:marLeft w:val="0"/>
              <w:marRight w:val="0"/>
              <w:marTop w:val="0"/>
              <w:marBottom w:val="0"/>
              <w:divBdr>
                <w:top w:val="none" w:sz="0" w:space="0" w:color="auto"/>
                <w:left w:val="none" w:sz="0" w:space="0" w:color="auto"/>
                <w:bottom w:val="none" w:sz="0" w:space="0" w:color="auto"/>
                <w:right w:val="none" w:sz="0" w:space="0" w:color="auto"/>
              </w:divBdr>
            </w:div>
            <w:div w:id="1046032428">
              <w:marLeft w:val="0"/>
              <w:marRight w:val="0"/>
              <w:marTop w:val="0"/>
              <w:marBottom w:val="0"/>
              <w:divBdr>
                <w:top w:val="none" w:sz="0" w:space="0" w:color="auto"/>
                <w:left w:val="none" w:sz="0" w:space="0" w:color="auto"/>
                <w:bottom w:val="none" w:sz="0" w:space="0" w:color="auto"/>
                <w:right w:val="none" w:sz="0" w:space="0" w:color="auto"/>
              </w:divBdr>
            </w:div>
            <w:div w:id="1079252687">
              <w:marLeft w:val="0"/>
              <w:marRight w:val="0"/>
              <w:marTop w:val="0"/>
              <w:marBottom w:val="0"/>
              <w:divBdr>
                <w:top w:val="none" w:sz="0" w:space="0" w:color="auto"/>
                <w:left w:val="none" w:sz="0" w:space="0" w:color="auto"/>
                <w:bottom w:val="none" w:sz="0" w:space="0" w:color="auto"/>
                <w:right w:val="none" w:sz="0" w:space="0" w:color="auto"/>
              </w:divBdr>
            </w:div>
            <w:div w:id="1088886160">
              <w:marLeft w:val="0"/>
              <w:marRight w:val="0"/>
              <w:marTop w:val="0"/>
              <w:marBottom w:val="0"/>
              <w:divBdr>
                <w:top w:val="none" w:sz="0" w:space="0" w:color="auto"/>
                <w:left w:val="none" w:sz="0" w:space="0" w:color="auto"/>
                <w:bottom w:val="none" w:sz="0" w:space="0" w:color="auto"/>
                <w:right w:val="none" w:sz="0" w:space="0" w:color="auto"/>
              </w:divBdr>
            </w:div>
            <w:div w:id="1200165682">
              <w:marLeft w:val="0"/>
              <w:marRight w:val="0"/>
              <w:marTop w:val="0"/>
              <w:marBottom w:val="0"/>
              <w:divBdr>
                <w:top w:val="none" w:sz="0" w:space="0" w:color="auto"/>
                <w:left w:val="none" w:sz="0" w:space="0" w:color="auto"/>
                <w:bottom w:val="none" w:sz="0" w:space="0" w:color="auto"/>
                <w:right w:val="none" w:sz="0" w:space="0" w:color="auto"/>
              </w:divBdr>
            </w:div>
            <w:div w:id="1476218160">
              <w:marLeft w:val="0"/>
              <w:marRight w:val="0"/>
              <w:marTop w:val="0"/>
              <w:marBottom w:val="0"/>
              <w:divBdr>
                <w:top w:val="none" w:sz="0" w:space="0" w:color="auto"/>
                <w:left w:val="none" w:sz="0" w:space="0" w:color="auto"/>
                <w:bottom w:val="none" w:sz="0" w:space="0" w:color="auto"/>
                <w:right w:val="none" w:sz="0" w:space="0" w:color="auto"/>
              </w:divBdr>
            </w:div>
            <w:div w:id="1495956468">
              <w:marLeft w:val="0"/>
              <w:marRight w:val="0"/>
              <w:marTop w:val="0"/>
              <w:marBottom w:val="0"/>
              <w:divBdr>
                <w:top w:val="none" w:sz="0" w:space="0" w:color="auto"/>
                <w:left w:val="none" w:sz="0" w:space="0" w:color="auto"/>
                <w:bottom w:val="none" w:sz="0" w:space="0" w:color="auto"/>
                <w:right w:val="none" w:sz="0" w:space="0" w:color="auto"/>
              </w:divBdr>
            </w:div>
            <w:div w:id="1585407951">
              <w:marLeft w:val="0"/>
              <w:marRight w:val="0"/>
              <w:marTop w:val="0"/>
              <w:marBottom w:val="0"/>
              <w:divBdr>
                <w:top w:val="none" w:sz="0" w:space="0" w:color="auto"/>
                <w:left w:val="none" w:sz="0" w:space="0" w:color="auto"/>
                <w:bottom w:val="none" w:sz="0" w:space="0" w:color="auto"/>
                <w:right w:val="none" w:sz="0" w:space="0" w:color="auto"/>
              </w:divBdr>
            </w:div>
            <w:div w:id="1686321902">
              <w:marLeft w:val="0"/>
              <w:marRight w:val="0"/>
              <w:marTop w:val="0"/>
              <w:marBottom w:val="0"/>
              <w:divBdr>
                <w:top w:val="none" w:sz="0" w:space="0" w:color="auto"/>
                <w:left w:val="none" w:sz="0" w:space="0" w:color="auto"/>
                <w:bottom w:val="none" w:sz="0" w:space="0" w:color="auto"/>
                <w:right w:val="none" w:sz="0" w:space="0" w:color="auto"/>
              </w:divBdr>
            </w:div>
            <w:div w:id="1745955020">
              <w:marLeft w:val="0"/>
              <w:marRight w:val="0"/>
              <w:marTop w:val="0"/>
              <w:marBottom w:val="0"/>
              <w:divBdr>
                <w:top w:val="none" w:sz="0" w:space="0" w:color="auto"/>
                <w:left w:val="none" w:sz="0" w:space="0" w:color="auto"/>
                <w:bottom w:val="none" w:sz="0" w:space="0" w:color="auto"/>
                <w:right w:val="none" w:sz="0" w:space="0" w:color="auto"/>
              </w:divBdr>
            </w:div>
            <w:div w:id="1778258318">
              <w:marLeft w:val="0"/>
              <w:marRight w:val="0"/>
              <w:marTop w:val="0"/>
              <w:marBottom w:val="0"/>
              <w:divBdr>
                <w:top w:val="none" w:sz="0" w:space="0" w:color="auto"/>
                <w:left w:val="none" w:sz="0" w:space="0" w:color="auto"/>
                <w:bottom w:val="none" w:sz="0" w:space="0" w:color="auto"/>
                <w:right w:val="none" w:sz="0" w:space="0" w:color="auto"/>
              </w:divBdr>
            </w:div>
            <w:div w:id="1792165005">
              <w:marLeft w:val="0"/>
              <w:marRight w:val="0"/>
              <w:marTop w:val="0"/>
              <w:marBottom w:val="0"/>
              <w:divBdr>
                <w:top w:val="none" w:sz="0" w:space="0" w:color="auto"/>
                <w:left w:val="none" w:sz="0" w:space="0" w:color="auto"/>
                <w:bottom w:val="none" w:sz="0" w:space="0" w:color="auto"/>
                <w:right w:val="none" w:sz="0" w:space="0" w:color="auto"/>
              </w:divBdr>
            </w:div>
            <w:div w:id="18651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932184">
      <w:bodyDiv w:val="1"/>
      <w:marLeft w:val="0"/>
      <w:marRight w:val="0"/>
      <w:marTop w:val="0"/>
      <w:marBottom w:val="0"/>
      <w:divBdr>
        <w:top w:val="none" w:sz="0" w:space="0" w:color="auto"/>
        <w:left w:val="none" w:sz="0" w:space="0" w:color="auto"/>
        <w:bottom w:val="none" w:sz="0" w:space="0" w:color="auto"/>
        <w:right w:val="none" w:sz="0" w:space="0" w:color="auto"/>
      </w:divBdr>
      <w:divsChild>
        <w:div w:id="134756467">
          <w:marLeft w:val="0"/>
          <w:marRight w:val="0"/>
          <w:marTop w:val="0"/>
          <w:marBottom w:val="0"/>
          <w:divBdr>
            <w:top w:val="none" w:sz="0" w:space="0" w:color="auto"/>
            <w:left w:val="none" w:sz="0" w:space="0" w:color="auto"/>
            <w:bottom w:val="none" w:sz="0" w:space="0" w:color="auto"/>
            <w:right w:val="none" w:sz="0" w:space="0" w:color="auto"/>
          </w:divBdr>
        </w:div>
        <w:div w:id="371199137">
          <w:marLeft w:val="0"/>
          <w:marRight w:val="0"/>
          <w:marTop w:val="0"/>
          <w:marBottom w:val="0"/>
          <w:divBdr>
            <w:top w:val="none" w:sz="0" w:space="0" w:color="auto"/>
            <w:left w:val="none" w:sz="0" w:space="0" w:color="auto"/>
            <w:bottom w:val="none" w:sz="0" w:space="0" w:color="auto"/>
            <w:right w:val="none" w:sz="0" w:space="0" w:color="auto"/>
          </w:divBdr>
        </w:div>
        <w:div w:id="1044527838">
          <w:marLeft w:val="0"/>
          <w:marRight w:val="0"/>
          <w:marTop w:val="0"/>
          <w:marBottom w:val="0"/>
          <w:divBdr>
            <w:top w:val="none" w:sz="0" w:space="0" w:color="auto"/>
            <w:left w:val="none" w:sz="0" w:space="0" w:color="auto"/>
            <w:bottom w:val="none" w:sz="0" w:space="0" w:color="auto"/>
            <w:right w:val="none" w:sz="0" w:space="0" w:color="auto"/>
          </w:divBdr>
        </w:div>
        <w:div w:id="1260411234">
          <w:marLeft w:val="0"/>
          <w:marRight w:val="0"/>
          <w:marTop w:val="0"/>
          <w:marBottom w:val="0"/>
          <w:divBdr>
            <w:top w:val="none" w:sz="0" w:space="0" w:color="auto"/>
            <w:left w:val="none" w:sz="0" w:space="0" w:color="auto"/>
            <w:bottom w:val="none" w:sz="0" w:space="0" w:color="auto"/>
            <w:right w:val="none" w:sz="0" w:space="0" w:color="auto"/>
          </w:divBdr>
        </w:div>
        <w:div w:id="1990787249">
          <w:marLeft w:val="0"/>
          <w:marRight w:val="0"/>
          <w:marTop w:val="0"/>
          <w:marBottom w:val="0"/>
          <w:divBdr>
            <w:top w:val="none" w:sz="0" w:space="0" w:color="auto"/>
            <w:left w:val="none" w:sz="0" w:space="0" w:color="auto"/>
            <w:bottom w:val="none" w:sz="0" w:space="0" w:color="auto"/>
            <w:right w:val="none" w:sz="0" w:space="0" w:color="auto"/>
          </w:divBdr>
        </w:div>
      </w:divsChild>
    </w:div>
    <w:div w:id="1699620748">
      <w:bodyDiv w:val="1"/>
      <w:marLeft w:val="0"/>
      <w:marRight w:val="0"/>
      <w:marTop w:val="0"/>
      <w:marBottom w:val="0"/>
      <w:divBdr>
        <w:top w:val="none" w:sz="0" w:space="0" w:color="auto"/>
        <w:left w:val="none" w:sz="0" w:space="0" w:color="auto"/>
        <w:bottom w:val="none" w:sz="0" w:space="0" w:color="auto"/>
        <w:right w:val="none" w:sz="0" w:space="0" w:color="auto"/>
      </w:divBdr>
      <w:divsChild>
        <w:div w:id="178010027">
          <w:marLeft w:val="0"/>
          <w:marRight w:val="0"/>
          <w:marTop w:val="0"/>
          <w:marBottom w:val="0"/>
          <w:divBdr>
            <w:top w:val="none" w:sz="0" w:space="0" w:color="auto"/>
            <w:left w:val="none" w:sz="0" w:space="0" w:color="auto"/>
            <w:bottom w:val="none" w:sz="0" w:space="0" w:color="auto"/>
            <w:right w:val="none" w:sz="0" w:space="0" w:color="auto"/>
          </w:divBdr>
        </w:div>
        <w:div w:id="718676243">
          <w:marLeft w:val="0"/>
          <w:marRight w:val="0"/>
          <w:marTop w:val="0"/>
          <w:marBottom w:val="0"/>
          <w:divBdr>
            <w:top w:val="none" w:sz="0" w:space="0" w:color="auto"/>
            <w:left w:val="none" w:sz="0" w:space="0" w:color="auto"/>
            <w:bottom w:val="none" w:sz="0" w:space="0" w:color="auto"/>
            <w:right w:val="none" w:sz="0" w:space="0" w:color="auto"/>
          </w:divBdr>
          <w:divsChild>
            <w:div w:id="603803064">
              <w:marLeft w:val="0"/>
              <w:marRight w:val="0"/>
              <w:marTop w:val="0"/>
              <w:marBottom w:val="0"/>
              <w:divBdr>
                <w:top w:val="none" w:sz="0" w:space="0" w:color="auto"/>
                <w:left w:val="none" w:sz="0" w:space="0" w:color="auto"/>
                <w:bottom w:val="none" w:sz="0" w:space="0" w:color="auto"/>
                <w:right w:val="none" w:sz="0" w:space="0" w:color="auto"/>
              </w:divBdr>
            </w:div>
            <w:div w:id="622661020">
              <w:marLeft w:val="0"/>
              <w:marRight w:val="0"/>
              <w:marTop w:val="0"/>
              <w:marBottom w:val="0"/>
              <w:divBdr>
                <w:top w:val="none" w:sz="0" w:space="0" w:color="auto"/>
                <w:left w:val="none" w:sz="0" w:space="0" w:color="auto"/>
                <w:bottom w:val="none" w:sz="0" w:space="0" w:color="auto"/>
                <w:right w:val="none" w:sz="0" w:space="0" w:color="auto"/>
              </w:divBdr>
            </w:div>
          </w:divsChild>
        </w:div>
        <w:div w:id="1019354488">
          <w:marLeft w:val="0"/>
          <w:marRight w:val="0"/>
          <w:marTop w:val="0"/>
          <w:marBottom w:val="0"/>
          <w:divBdr>
            <w:top w:val="none" w:sz="0" w:space="0" w:color="auto"/>
            <w:left w:val="none" w:sz="0" w:space="0" w:color="auto"/>
            <w:bottom w:val="none" w:sz="0" w:space="0" w:color="auto"/>
            <w:right w:val="none" w:sz="0" w:space="0" w:color="auto"/>
          </w:divBdr>
          <w:divsChild>
            <w:div w:id="554045818">
              <w:marLeft w:val="0"/>
              <w:marRight w:val="0"/>
              <w:marTop w:val="0"/>
              <w:marBottom w:val="0"/>
              <w:divBdr>
                <w:top w:val="none" w:sz="0" w:space="0" w:color="auto"/>
                <w:left w:val="none" w:sz="0" w:space="0" w:color="auto"/>
                <w:bottom w:val="none" w:sz="0" w:space="0" w:color="auto"/>
                <w:right w:val="none" w:sz="0" w:space="0" w:color="auto"/>
              </w:divBdr>
            </w:div>
            <w:div w:id="666787931">
              <w:marLeft w:val="0"/>
              <w:marRight w:val="0"/>
              <w:marTop w:val="0"/>
              <w:marBottom w:val="0"/>
              <w:divBdr>
                <w:top w:val="none" w:sz="0" w:space="0" w:color="auto"/>
                <w:left w:val="none" w:sz="0" w:space="0" w:color="auto"/>
                <w:bottom w:val="none" w:sz="0" w:space="0" w:color="auto"/>
                <w:right w:val="none" w:sz="0" w:space="0" w:color="auto"/>
              </w:divBdr>
            </w:div>
            <w:div w:id="195844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87995">
      <w:bodyDiv w:val="1"/>
      <w:marLeft w:val="0"/>
      <w:marRight w:val="0"/>
      <w:marTop w:val="0"/>
      <w:marBottom w:val="0"/>
      <w:divBdr>
        <w:top w:val="none" w:sz="0" w:space="0" w:color="auto"/>
        <w:left w:val="none" w:sz="0" w:space="0" w:color="auto"/>
        <w:bottom w:val="none" w:sz="0" w:space="0" w:color="auto"/>
        <w:right w:val="none" w:sz="0" w:space="0" w:color="auto"/>
      </w:divBdr>
      <w:divsChild>
        <w:div w:id="278294140">
          <w:marLeft w:val="0"/>
          <w:marRight w:val="0"/>
          <w:marTop w:val="0"/>
          <w:marBottom w:val="0"/>
          <w:divBdr>
            <w:top w:val="none" w:sz="0" w:space="0" w:color="auto"/>
            <w:left w:val="none" w:sz="0" w:space="0" w:color="auto"/>
            <w:bottom w:val="none" w:sz="0" w:space="0" w:color="auto"/>
            <w:right w:val="none" w:sz="0" w:space="0" w:color="auto"/>
          </w:divBdr>
        </w:div>
        <w:div w:id="508523504">
          <w:marLeft w:val="0"/>
          <w:marRight w:val="0"/>
          <w:marTop w:val="0"/>
          <w:marBottom w:val="0"/>
          <w:divBdr>
            <w:top w:val="none" w:sz="0" w:space="0" w:color="auto"/>
            <w:left w:val="none" w:sz="0" w:space="0" w:color="auto"/>
            <w:bottom w:val="none" w:sz="0" w:space="0" w:color="auto"/>
            <w:right w:val="none" w:sz="0" w:space="0" w:color="auto"/>
          </w:divBdr>
          <w:divsChild>
            <w:div w:id="770128775">
              <w:marLeft w:val="0"/>
              <w:marRight w:val="0"/>
              <w:marTop w:val="0"/>
              <w:marBottom w:val="0"/>
              <w:divBdr>
                <w:top w:val="none" w:sz="0" w:space="0" w:color="auto"/>
                <w:left w:val="none" w:sz="0" w:space="0" w:color="auto"/>
                <w:bottom w:val="none" w:sz="0" w:space="0" w:color="auto"/>
                <w:right w:val="none" w:sz="0" w:space="0" w:color="auto"/>
              </w:divBdr>
            </w:div>
            <w:div w:id="1130053227">
              <w:marLeft w:val="0"/>
              <w:marRight w:val="0"/>
              <w:marTop w:val="0"/>
              <w:marBottom w:val="0"/>
              <w:divBdr>
                <w:top w:val="none" w:sz="0" w:space="0" w:color="auto"/>
                <w:left w:val="none" w:sz="0" w:space="0" w:color="auto"/>
                <w:bottom w:val="none" w:sz="0" w:space="0" w:color="auto"/>
                <w:right w:val="none" w:sz="0" w:space="0" w:color="auto"/>
              </w:divBdr>
            </w:div>
          </w:divsChild>
        </w:div>
        <w:div w:id="849218418">
          <w:marLeft w:val="0"/>
          <w:marRight w:val="0"/>
          <w:marTop w:val="0"/>
          <w:marBottom w:val="0"/>
          <w:divBdr>
            <w:top w:val="none" w:sz="0" w:space="0" w:color="auto"/>
            <w:left w:val="none" w:sz="0" w:space="0" w:color="auto"/>
            <w:bottom w:val="none" w:sz="0" w:space="0" w:color="auto"/>
            <w:right w:val="none" w:sz="0" w:space="0" w:color="auto"/>
          </w:divBdr>
          <w:divsChild>
            <w:div w:id="202474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7987">
      <w:bodyDiv w:val="1"/>
      <w:marLeft w:val="0"/>
      <w:marRight w:val="0"/>
      <w:marTop w:val="0"/>
      <w:marBottom w:val="0"/>
      <w:divBdr>
        <w:top w:val="none" w:sz="0" w:space="0" w:color="auto"/>
        <w:left w:val="none" w:sz="0" w:space="0" w:color="auto"/>
        <w:bottom w:val="none" w:sz="0" w:space="0" w:color="auto"/>
        <w:right w:val="none" w:sz="0" w:space="0" w:color="auto"/>
      </w:divBdr>
    </w:div>
    <w:div w:id="1755280658">
      <w:bodyDiv w:val="1"/>
      <w:marLeft w:val="0"/>
      <w:marRight w:val="0"/>
      <w:marTop w:val="0"/>
      <w:marBottom w:val="0"/>
      <w:divBdr>
        <w:top w:val="none" w:sz="0" w:space="0" w:color="auto"/>
        <w:left w:val="none" w:sz="0" w:space="0" w:color="auto"/>
        <w:bottom w:val="none" w:sz="0" w:space="0" w:color="auto"/>
        <w:right w:val="none" w:sz="0" w:space="0" w:color="auto"/>
      </w:divBdr>
    </w:div>
    <w:div w:id="1819610803">
      <w:bodyDiv w:val="1"/>
      <w:marLeft w:val="0"/>
      <w:marRight w:val="0"/>
      <w:marTop w:val="0"/>
      <w:marBottom w:val="0"/>
      <w:divBdr>
        <w:top w:val="none" w:sz="0" w:space="0" w:color="auto"/>
        <w:left w:val="none" w:sz="0" w:space="0" w:color="auto"/>
        <w:bottom w:val="none" w:sz="0" w:space="0" w:color="auto"/>
        <w:right w:val="none" w:sz="0" w:space="0" w:color="auto"/>
      </w:divBdr>
      <w:divsChild>
        <w:div w:id="137260462">
          <w:marLeft w:val="0"/>
          <w:marRight w:val="0"/>
          <w:marTop w:val="0"/>
          <w:marBottom w:val="0"/>
          <w:divBdr>
            <w:top w:val="none" w:sz="0" w:space="0" w:color="auto"/>
            <w:left w:val="none" w:sz="0" w:space="0" w:color="auto"/>
            <w:bottom w:val="none" w:sz="0" w:space="0" w:color="auto"/>
            <w:right w:val="none" w:sz="0" w:space="0" w:color="auto"/>
          </w:divBdr>
        </w:div>
        <w:div w:id="302121916">
          <w:marLeft w:val="0"/>
          <w:marRight w:val="0"/>
          <w:marTop w:val="0"/>
          <w:marBottom w:val="0"/>
          <w:divBdr>
            <w:top w:val="none" w:sz="0" w:space="0" w:color="auto"/>
            <w:left w:val="none" w:sz="0" w:space="0" w:color="auto"/>
            <w:bottom w:val="none" w:sz="0" w:space="0" w:color="auto"/>
            <w:right w:val="none" w:sz="0" w:space="0" w:color="auto"/>
          </w:divBdr>
          <w:divsChild>
            <w:div w:id="552428084">
              <w:marLeft w:val="0"/>
              <w:marRight w:val="0"/>
              <w:marTop w:val="0"/>
              <w:marBottom w:val="0"/>
              <w:divBdr>
                <w:top w:val="none" w:sz="0" w:space="0" w:color="auto"/>
                <w:left w:val="none" w:sz="0" w:space="0" w:color="auto"/>
                <w:bottom w:val="none" w:sz="0" w:space="0" w:color="auto"/>
                <w:right w:val="none" w:sz="0" w:space="0" w:color="auto"/>
              </w:divBdr>
            </w:div>
          </w:divsChild>
        </w:div>
        <w:div w:id="315033031">
          <w:marLeft w:val="0"/>
          <w:marRight w:val="0"/>
          <w:marTop w:val="0"/>
          <w:marBottom w:val="0"/>
          <w:divBdr>
            <w:top w:val="none" w:sz="0" w:space="0" w:color="auto"/>
            <w:left w:val="none" w:sz="0" w:space="0" w:color="auto"/>
            <w:bottom w:val="none" w:sz="0" w:space="0" w:color="auto"/>
            <w:right w:val="none" w:sz="0" w:space="0" w:color="auto"/>
          </w:divBdr>
        </w:div>
        <w:div w:id="328794810">
          <w:marLeft w:val="0"/>
          <w:marRight w:val="0"/>
          <w:marTop w:val="0"/>
          <w:marBottom w:val="0"/>
          <w:divBdr>
            <w:top w:val="none" w:sz="0" w:space="0" w:color="auto"/>
            <w:left w:val="none" w:sz="0" w:space="0" w:color="auto"/>
            <w:bottom w:val="none" w:sz="0" w:space="0" w:color="auto"/>
            <w:right w:val="none" w:sz="0" w:space="0" w:color="auto"/>
          </w:divBdr>
          <w:divsChild>
            <w:div w:id="981275246">
              <w:marLeft w:val="0"/>
              <w:marRight w:val="0"/>
              <w:marTop w:val="0"/>
              <w:marBottom w:val="0"/>
              <w:divBdr>
                <w:top w:val="none" w:sz="0" w:space="0" w:color="auto"/>
                <w:left w:val="none" w:sz="0" w:space="0" w:color="auto"/>
                <w:bottom w:val="none" w:sz="0" w:space="0" w:color="auto"/>
                <w:right w:val="none" w:sz="0" w:space="0" w:color="auto"/>
              </w:divBdr>
            </w:div>
            <w:div w:id="1493523452">
              <w:marLeft w:val="0"/>
              <w:marRight w:val="0"/>
              <w:marTop w:val="0"/>
              <w:marBottom w:val="0"/>
              <w:divBdr>
                <w:top w:val="none" w:sz="0" w:space="0" w:color="auto"/>
                <w:left w:val="none" w:sz="0" w:space="0" w:color="auto"/>
                <w:bottom w:val="none" w:sz="0" w:space="0" w:color="auto"/>
                <w:right w:val="none" w:sz="0" w:space="0" w:color="auto"/>
              </w:divBdr>
            </w:div>
            <w:div w:id="1785805726">
              <w:marLeft w:val="0"/>
              <w:marRight w:val="0"/>
              <w:marTop w:val="0"/>
              <w:marBottom w:val="0"/>
              <w:divBdr>
                <w:top w:val="none" w:sz="0" w:space="0" w:color="auto"/>
                <w:left w:val="none" w:sz="0" w:space="0" w:color="auto"/>
                <w:bottom w:val="none" w:sz="0" w:space="0" w:color="auto"/>
                <w:right w:val="none" w:sz="0" w:space="0" w:color="auto"/>
              </w:divBdr>
            </w:div>
          </w:divsChild>
        </w:div>
        <w:div w:id="411972607">
          <w:marLeft w:val="0"/>
          <w:marRight w:val="0"/>
          <w:marTop w:val="0"/>
          <w:marBottom w:val="0"/>
          <w:divBdr>
            <w:top w:val="none" w:sz="0" w:space="0" w:color="auto"/>
            <w:left w:val="none" w:sz="0" w:space="0" w:color="auto"/>
            <w:bottom w:val="none" w:sz="0" w:space="0" w:color="auto"/>
            <w:right w:val="none" w:sz="0" w:space="0" w:color="auto"/>
          </w:divBdr>
          <w:divsChild>
            <w:div w:id="328754708">
              <w:marLeft w:val="0"/>
              <w:marRight w:val="0"/>
              <w:marTop w:val="0"/>
              <w:marBottom w:val="0"/>
              <w:divBdr>
                <w:top w:val="none" w:sz="0" w:space="0" w:color="auto"/>
                <w:left w:val="none" w:sz="0" w:space="0" w:color="auto"/>
                <w:bottom w:val="none" w:sz="0" w:space="0" w:color="auto"/>
                <w:right w:val="none" w:sz="0" w:space="0" w:color="auto"/>
              </w:divBdr>
            </w:div>
            <w:div w:id="780221138">
              <w:marLeft w:val="0"/>
              <w:marRight w:val="0"/>
              <w:marTop w:val="0"/>
              <w:marBottom w:val="0"/>
              <w:divBdr>
                <w:top w:val="none" w:sz="0" w:space="0" w:color="auto"/>
                <w:left w:val="none" w:sz="0" w:space="0" w:color="auto"/>
                <w:bottom w:val="none" w:sz="0" w:space="0" w:color="auto"/>
                <w:right w:val="none" w:sz="0" w:space="0" w:color="auto"/>
              </w:divBdr>
            </w:div>
            <w:div w:id="1143961499">
              <w:marLeft w:val="0"/>
              <w:marRight w:val="0"/>
              <w:marTop w:val="0"/>
              <w:marBottom w:val="0"/>
              <w:divBdr>
                <w:top w:val="none" w:sz="0" w:space="0" w:color="auto"/>
                <w:left w:val="none" w:sz="0" w:space="0" w:color="auto"/>
                <w:bottom w:val="none" w:sz="0" w:space="0" w:color="auto"/>
                <w:right w:val="none" w:sz="0" w:space="0" w:color="auto"/>
              </w:divBdr>
            </w:div>
          </w:divsChild>
        </w:div>
        <w:div w:id="424231061">
          <w:marLeft w:val="0"/>
          <w:marRight w:val="0"/>
          <w:marTop w:val="0"/>
          <w:marBottom w:val="0"/>
          <w:divBdr>
            <w:top w:val="none" w:sz="0" w:space="0" w:color="auto"/>
            <w:left w:val="none" w:sz="0" w:space="0" w:color="auto"/>
            <w:bottom w:val="none" w:sz="0" w:space="0" w:color="auto"/>
            <w:right w:val="none" w:sz="0" w:space="0" w:color="auto"/>
          </w:divBdr>
          <w:divsChild>
            <w:div w:id="90048083">
              <w:marLeft w:val="0"/>
              <w:marRight w:val="0"/>
              <w:marTop w:val="0"/>
              <w:marBottom w:val="0"/>
              <w:divBdr>
                <w:top w:val="none" w:sz="0" w:space="0" w:color="auto"/>
                <w:left w:val="none" w:sz="0" w:space="0" w:color="auto"/>
                <w:bottom w:val="none" w:sz="0" w:space="0" w:color="auto"/>
                <w:right w:val="none" w:sz="0" w:space="0" w:color="auto"/>
              </w:divBdr>
            </w:div>
            <w:div w:id="534003063">
              <w:marLeft w:val="0"/>
              <w:marRight w:val="0"/>
              <w:marTop w:val="0"/>
              <w:marBottom w:val="0"/>
              <w:divBdr>
                <w:top w:val="none" w:sz="0" w:space="0" w:color="auto"/>
                <w:left w:val="none" w:sz="0" w:space="0" w:color="auto"/>
                <w:bottom w:val="none" w:sz="0" w:space="0" w:color="auto"/>
                <w:right w:val="none" w:sz="0" w:space="0" w:color="auto"/>
              </w:divBdr>
            </w:div>
            <w:div w:id="652368564">
              <w:marLeft w:val="0"/>
              <w:marRight w:val="0"/>
              <w:marTop w:val="0"/>
              <w:marBottom w:val="0"/>
              <w:divBdr>
                <w:top w:val="none" w:sz="0" w:space="0" w:color="auto"/>
                <w:left w:val="none" w:sz="0" w:space="0" w:color="auto"/>
                <w:bottom w:val="none" w:sz="0" w:space="0" w:color="auto"/>
                <w:right w:val="none" w:sz="0" w:space="0" w:color="auto"/>
              </w:divBdr>
            </w:div>
            <w:div w:id="671025801">
              <w:marLeft w:val="0"/>
              <w:marRight w:val="0"/>
              <w:marTop w:val="0"/>
              <w:marBottom w:val="0"/>
              <w:divBdr>
                <w:top w:val="none" w:sz="0" w:space="0" w:color="auto"/>
                <w:left w:val="none" w:sz="0" w:space="0" w:color="auto"/>
                <w:bottom w:val="none" w:sz="0" w:space="0" w:color="auto"/>
                <w:right w:val="none" w:sz="0" w:space="0" w:color="auto"/>
              </w:divBdr>
            </w:div>
            <w:div w:id="736319291">
              <w:marLeft w:val="0"/>
              <w:marRight w:val="0"/>
              <w:marTop w:val="0"/>
              <w:marBottom w:val="0"/>
              <w:divBdr>
                <w:top w:val="none" w:sz="0" w:space="0" w:color="auto"/>
                <w:left w:val="none" w:sz="0" w:space="0" w:color="auto"/>
                <w:bottom w:val="none" w:sz="0" w:space="0" w:color="auto"/>
                <w:right w:val="none" w:sz="0" w:space="0" w:color="auto"/>
              </w:divBdr>
            </w:div>
            <w:div w:id="859705960">
              <w:marLeft w:val="0"/>
              <w:marRight w:val="0"/>
              <w:marTop w:val="0"/>
              <w:marBottom w:val="0"/>
              <w:divBdr>
                <w:top w:val="none" w:sz="0" w:space="0" w:color="auto"/>
                <w:left w:val="none" w:sz="0" w:space="0" w:color="auto"/>
                <w:bottom w:val="none" w:sz="0" w:space="0" w:color="auto"/>
                <w:right w:val="none" w:sz="0" w:space="0" w:color="auto"/>
              </w:divBdr>
            </w:div>
            <w:div w:id="993217539">
              <w:marLeft w:val="0"/>
              <w:marRight w:val="0"/>
              <w:marTop w:val="0"/>
              <w:marBottom w:val="0"/>
              <w:divBdr>
                <w:top w:val="none" w:sz="0" w:space="0" w:color="auto"/>
                <w:left w:val="none" w:sz="0" w:space="0" w:color="auto"/>
                <w:bottom w:val="none" w:sz="0" w:space="0" w:color="auto"/>
                <w:right w:val="none" w:sz="0" w:space="0" w:color="auto"/>
              </w:divBdr>
            </w:div>
            <w:div w:id="1479955498">
              <w:marLeft w:val="0"/>
              <w:marRight w:val="0"/>
              <w:marTop w:val="0"/>
              <w:marBottom w:val="0"/>
              <w:divBdr>
                <w:top w:val="none" w:sz="0" w:space="0" w:color="auto"/>
                <w:left w:val="none" w:sz="0" w:space="0" w:color="auto"/>
                <w:bottom w:val="none" w:sz="0" w:space="0" w:color="auto"/>
                <w:right w:val="none" w:sz="0" w:space="0" w:color="auto"/>
              </w:divBdr>
            </w:div>
            <w:div w:id="1810899261">
              <w:marLeft w:val="0"/>
              <w:marRight w:val="0"/>
              <w:marTop w:val="0"/>
              <w:marBottom w:val="0"/>
              <w:divBdr>
                <w:top w:val="none" w:sz="0" w:space="0" w:color="auto"/>
                <w:left w:val="none" w:sz="0" w:space="0" w:color="auto"/>
                <w:bottom w:val="none" w:sz="0" w:space="0" w:color="auto"/>
                <w:right w:val="none" w:sz="0" w:space="0" w:color="auto"/>
              </w:divBdr>
            </w:div>
            <w:div w:id="1907840017">
              <w:marLeft w:val="0"/>
              <w:marRight w:val="0"/>
              <w:marTop w:val="0"/>
              <w:marBottom w:val="0"/>
              <w:divBdr>
                <w:top w:val="none" w:sz="0" w:space="0" w:color="auto"/>
                <w:left w:val="none" w:sz="0" w:space="0" w:color="auto"/>
                <w:bottom w:val="none" w:sz="0" w:space="0" w:color="auto"/>
                <w:right w:val="none" w:sz="0" w:space="0" w:color="auto"/>
              </w:divBdr>
            </w:div>
          </w:divsChild>
        </w:div>
        <w:div w:id="446386352">
          <w:marLeft w:val="0"/>
          <w:marRight w:val="0"/>
          <w:marTop w:val="0"/>
          <w:marBottom w:val="0"/>
          <w:divBdr>
            <w:top w:val="none" w:sz="0" w:space="0" w:color="auto"/>
            <w:left w:val="none" w:sz="0" w:space="0" w:color="auto"/>
            <w:bottom w:val="none" w:sz="0" w:space="0" w:color="auto"/>
            <w:right w:val="none" w:sz="0" w:space="0" w:color="auto"/>
          </w:divBdr>
        </w:div>
        <w:div w:id="827943540">
          <w:marLeft w:val="0"/>
          <w:marRight w:val="0"/>
          <w:marTop w:val="0"/>
          <w:marBottom w:val="0"/>
          <w:divBdr>
            <w:top w:val="none" w:sz="0" w:space="0" w:color="auto"/>
            <w:left w:val="none" w:sz="0" w:space="0" w:color="auto"/>
            <w:bottom w:val="none" w:sz="0" w:space="0" w:color="auto"/>
            <w:right w:val="none" w:sz="0" w:space="0" w:color="auto"/>
          </w:divBdr>
          <w:divsChild>
            <w:div w:id="99877279">
              <w:marLeft w:val="0"/>
              <w:marRight w:val="0"/>
              <w:marTop w:val="0"/>
              <w:marBottom w:val="0"/>
              <w:divBdr>
                <w:top w:val="none" w:sz="0" w:space="0" w:color="auto"/>
                <w:left w:val="none" w:sz="0" w:space="0" w:color="auto"/>
                <w:bottom w:val="none" w:sz="0" w:space="0" w:color="auto"/>
                <w:right w:val="none" w:sz="0" w:space="0" w:color="auto"/>
              </w:divBdr>
            </w:div>
            <w:div w:id="347222433">
              <w:marLeft w:val="0"/>
              <w:marRight w:val="0"/>
              <w:marTop w:val="0"/>
              <w:marBottom w:val="0"/>
              <w:divBdr>
                <w:top w:val="none" w:sz="0" w:space="0" w:color="auto"/>
                <w:left w:val="none" w:sz="0" w:space="0" w:color="auto"/>
                <w:bottom w:val="none" w:sz="0" w:space="0" w:color="auto"/>
                <w:right w:val="none" w:sz="0" w:space="0" w:color="auto"/>
              </w:divBdr>
            </w:div>
            <w:div w:id="420418237">
              <w:marLeft w:val="0"/>
              <w:marRight w:val="0"/>
              <w:marTop w:val="0"/>
              <w:marBottom w:val="0"/>
              <w:divBdr>
                <w:top w:val="none" w:sz="0" w:space="0" w:color="auto"/>
                <w:left w:val="none" w:sz="0" w:space="0" w:color="auto"/>
                <w:bottom w:val="none" w:sz="0" w:space="0" w:color="auto"/>
                <w:right w:val="none" w:sz="0" w:space="0" w:color="auto"/>
              </w:divBdr>
            </w:div>
            <w:div w:id="463931260">
              <w:marLeft w:val="0"/>
              <w:marRight w:val="0"/>
              <w:marTop w:val="0"/>
              <w:marBottom w:val="0"/>
              <w:divBdr>
                <w:top w:val="none" w:sz="0" w:space="0" w:color="auto"/>
                <w:left w:val="none" w:sz="0" w:space="0" w:color="auto"/>
                <w:bottom w:val="none" w:sz="0" w:space="0" w:color="auto"/>
                <w:right w:val="none" w:sz="0" w:space="0" w:color="auto"/>
              </w:divBdr>
            </w:div>
            <w:div w:id="663750391">
              <w:marLeft w:val="0"/>
              <w:marRight w:val="0"/>
              <w:marTop w:val="0"/>
              <w:marBottom w:val="0"/>
              <w:divBdr>
                <w:top w:val="none" w:sz="0" w:space="0" w:color="auto"/>
                <w:left w:val="none" w:sz="0" w:space="0" w:color="auto"/>
                <w:bottom w:val="none" w:sz="0" w:space="0" w:color="auto"/>
                <w:right w:val="none" w:sz="0" w:space="0" w:color="auto"/>
              </w:divBdr>
            </w:div>
            <w:div w:id="704329593">
              <w:marLeft w:val="0"/>
              <w:marRight w:val="0"/>
              <w:marTop w:val="0"/>
              <w:marBottom w:val="0"/>
              <w:divBdr>
                <w:top w:val="none" w:sz="0" w:space="0" w:color="auto"/>
                <w:left w:val="none" w:sz="0" w:space="0" w:color="auto"/>
                <w:bottom w:val="none" w:sz="0" w:space="0" w:color="auto"/>
                <w:right w:val="none" w:sz="0" w:space="0" w:color="auto"/>
              </w:divBdr>
            </w:div>
            <w:div w:id="706174813">
              <w:marLeft w:val="0"/>
              <w:marRight w:val="0"/>
              <w:marTop w:val="0"/>
              <w:marBottom w:val="0"/>
              <w:divBdr>
                <w:top w:val="none" w:sz="0" w:space="0" w:color="auto"/>
                <w:left w:val="none" w:sz="0" w:space="0" w:color="auto"/>
                <w:bottom w:val="none" w:sz="0" w:space="0" w:color="auto"/>
                <w:right w:val="none" w:sz="0" w:space="0" w:color="auto"/>
              </w:divBdr>
            </w:div>
            <w:div w:id="816265286">
              <w:marLeft w:val="0"/>
              <w:marRight w:val="0"/>
              <w:marTop w:val="0"/>
              <w:marBottom w:val="0"/>
              <w:divBdr>
                <w:top w:val="none" w:sz="0" w:space="0" w:color="auto"/>
                <w:left w:val="none" w:sz="0" w:space="0" w:color="auto"/>
                <w:bottom w:val="none" w:sz="0" w:space="0" w:color="auto"/>
                <w:right w:val="none" w:sz="0" w:space="0" w:color="auto"/>
              </w:divBdr>
            </w:div>
            <w:div w:id="1590502866">
              <w:marLeft w:val="0"/>
              <w:marRight w:val="0"/>
              <w:marTop w:val="0"/>
              <w:marBottom w:val="0"/>
              <w:divBdr>
                <w:top w:val="none" w:sz="0" w:space="0" w:color="auto"/>
                <w:left w:val="none" w:sz="0" w:space="0" w:color="auto"/>
                <w:bottom w:val="none" w:sz="0" w:space="0" w:color="auto"/>
                <w:right w:val="none" w:sz="0" w:space="0" w:color="auto"/>
              </w:divBdr>
            </w:div>
            <w:div w:id="1665932364">
              <w:marLeft w:val="0"/>
              <w:marRight w:val="0"/>
              <w:marTop w:val="0"/>
              <w:marBottom w:val="0"/>
              <w:divBdr>
                <w:top w:val="none" w:sz="0" w:space="0" w:color="auto"/>
                <w:left w:val="none" w:sz="0" w:space="0" w:color="auto"/>
                <w:bottom w:val="none" w:sz="0" w:space="0" w:color="auto"/>
                <w:right w:val="none" w:sz="0" w:space="0" w:color="auto"/>
              </w:divBdr>
            </w:div>
            <w:div w:id="2007122636">
              <w:marLeft w:val="0"/>
              <w:marRight w:val="0"/>
              <w:marTop w:val="0"/>
              <w:marBottom w:val="0"/>
              <w:divBdr>
                <w:top w:val="none" w:sz="0" w:space="0" w:color="auto"/>
                <w:left w:val="none" w:sz="0" w:space="0" w:color="auto"/>
                <w:bottom w:val="none" w:sz="0" w:space="0" w:color="auto"/>
                <w:right w:val="none" w:sz="0" w:space="0" w:color="auto"/>
              </w:divBdr>
            </w:div>
          </w:divsChild>
        </w:div>
        <w:div w:id="914315582">
          <w:marLeft w:val="0"/>
          <w:marRight w:val="0"/>
          <w:marTop w:val="0"/>
          <w:marBottom w:val="0"/>
          <w:divBdr>
            <w:top w:val="none" w:sz="0" w:space="0" w:color="auto"/>
            <w:left w:val="none" w:sz="0" w:space="0" w:color="auto"/>
            <w:bottom w:val="none" w:sz="0" w:space="0" w:color="auto"/>
            <w:right w:val="none" w:sz="0" w:space="0" w:color="auto"/>
          </w:divBdr>
        </w:div>
        <w:div w:id="992103495">
          <w:marLeft w:val="0"/>
          <w:marRight w:val="0"/>
          <w:marTop w:val="0"/>
          <w:marBottom w:val="0"/>
          <w:divBdr>
            <w:top w:val="none" w:sz="0" w:space="0" w:color="auto"/>
            <w:left w:val="none" w:sz="0" w:space="0" w:color="auto"/>
            <w:bottom w:val="none" w:sz="0" w:space="0" w:color="auto"/>
            <w:right w:val="none" w:sz="0" w:space="0" w:color="auto"/>
          </w:divBdr>
        </w:div>
        <w:div w:id="1007558441">
          <w:marLeft w:val="0"/>
          <w:marRight w:val="0"/>
          <w:marTop w:val="0"/>
          <w:marBottom w:val="0"/>
          <w:divBdr>
            <w:top w:val="none" w:sz="0" w:space="0" w:color="auto"/>
            <w:left w:val="none" w:sz="0" w:space="0" w:color="auto"/>
            <w:bottom w:val="none" w:sz="0" w:space="0" w:color="auto"/>
            <w:right w:val="none" w:sz="0" w:space="0" w:color="auto"/>
          </w:divBdr>
        </w:div>
        <w:div w:id="1122726545">
          <w:marLeft w:val="0"/>
          <w:marRight w:val="0"/>
          <w:marTop w:val="0"/>
          <w:marBottom w:val="0"/>
          <w:divBdr>
            <w:top w:val="none" w:sz="0" w:space="0" w:color="auto"/>
            <w:left w:val="none" w:sz="0" w:space="0" w:color="auto"/>
            <w:bottom w:val="none" w:sz="0" w:space="0" w:color="auto"/>
            <w:right w:val="none" w:sz="0" w:space="0" w:color="auto"/>
          </w:divBdr>
          <w:divsChild>
            <w:div w:id="388571815">
              <w:marLeft w:val="0"/>
              <w:marRight w:val="0"/>
              <w:marTop w:val="0"/>
              <w:marBottom w:val="0"/>
              <w:divBdr>
                <w:top w:val="none" w:sz="0" w:space="0" w:color="auto"/>
                <w:left w:val="none" w:sz="0" w:space="0" w:color="auto"/>
                <w:bottom w:val="none" w:sz="0" w:space="0" w:color="auto"/>
                <w:right w:val="none" w:sz="0" w:space="0" w:color="auto"/>
              </w:divBdr>
            </w:div>
            <w:div w:id="520316233">
              <w:marLeft w:val="0"/>
              <w:marRight w:val="0"/>
              <w:marTop w:val="0"/>
              <w:marBottom w:val="0"/>
              <w:divBdr>
                <w:top w:val="none" w:sz="0" w:space="0" w:color="auto"/>
                <w:left w:val="none" w:sz="0" w:space="0" w:color="auto"/>
                <w:bottom w:val="none" w:sz="0" w:space="0" w:color="auto"/>
                <w:right w:val="none" w:sz="0" w:space="0" w:color="auto"/>
              </w:divBdr>
            </w:div>
            <w:div w:id="1102996900">
              <w:marLeft w:val="0"/>
              <w:marRight w:val="0"/>
              <w:marTop w:val="0"/>
              <w:marBottom w:val="0"/>
              <w:divBdr>
                <w:top w:val="none" w:sz="0" w:space="0" w:color="auto"/>
                <w:left w:val="none" w:sz="0" w:space="0" w:color="auto"/>
                <w:bottom w:val="none" w:sz="0" w:space="0" w:color="auto"/>
                <w:right w:val="none" w:sz="0" w:space="0" w:color="auto"/>
              </w:divBdr>
            </w:div>
            <w:div w:id="1104812188">
              <w:marLeft w:val="0"/>
              <w:marRight w:val="0"/>
              <w:marTop w:val="0"/>
              <w:marBottom w:val="0"/>
              <w:divBdr>
                <w:top w:val="none" w:sz="0" w:space="0" w:color="auto"/>
                <w:left w:val="none" w:sz="0" w:space="0" w:color="auto"/>
                <w:bottom w:val="none" w:sz="0" w:space="0" w:color="auto"/>
                <w:right w:val="none" w:sz="0" w:space="0" w:color="auto"/>
              </w:divBdr>
            </w:div>
            <w:div w:id="1949964804">
              <w:marLeft w:val="0"/>
              <w:marRight w:val="0"/>
              <w:marTop w:val="0"/>
              <w:marBottom w:val="0"/>
              <w:divBdr>
                <w:top w:val="none" w:sz="0" w:space="0" w:color="auto"/>
                <w:left w:val="none" w:sz="0" w:space="0" w:color="auto"/>
                <w:bottom w:val="none" w:sz="0" w:space="0" w:color="auto"/>
                <w:right w:val="none" w:sz="0" w:space="0" w:color="auto"/>
              </w:divBdr>
            </w:div>
            <w:div w:id="1950116319">
              <w:marLeft w:val="0"/>
              <w:marRight w:val="0"/>
              <w:marTop w:val="0"/>
              <w:marBottom w:val="0"/>
              <w:divBdr>
                <w:top w:val="none" w:sz="0" w:space="0" w:color="auto"/>
                <w:left w:val="none" w:sz="0" w:space="0" w:color="auto"/>
                <w:bottom w:val="none" w:sz="0" w:space="0" w:color="auto"/>
                <w:right w:val="none" w:sz="0" w:space="0" w:color="auto"/>
              </w:divBdr>
            </w:div>
            <w:div w:id="2071683918">
              <w:marLeft w:val="0"/>
              <w:marRight w:val="0"/>
              <w:marTop w:val="0"/>
              <w:marBottom w:val="0"/>
              <w:divBdr>
                <w:top w:val="none" w:sz="0" w:space="0" w:color="auto"/>
                <w:left w:val="none" w:sz="0" w:space="0" w:color="auto"/>
                <w:bottom w:val="none" w:sz="0" w:space="0" w:color="auto"/>
                <w:right w:val="none" w:sz="0" w:space="0" w:color="auto"/>
              </w:divBdr>
            </w:div>
          </w:divsChild>
        </w:div>
        <w:div w:id="1155217094">
          <w:marLeft w:val="0"/>
          <w:marRight w:val="0"/>
          <w:marTop w:val="0"/>
          <w:marBottom w:val="0"/>
          <w:divBdr>
            <w:top w:val="none" w:sz="0" w:space="0" w:color="auto"/>
            <w:left w:val="none" w:sz="0" w:space="0" w:color="auto"/>
            <w:bottom w:val="none" w:sz="0" w:space="0" w:color="auto"/>
            <w:right w:val="none" w:sz="0" w:space="0" w:color="auto"/>
          </w:divBdr>
          <w:divsChild>
            <w:div w:id="135102228">
              <w:marLeft w:val="0"/>
              <w:marRight w:val="0"/>
              <w:marTop w:val="0"/>
              <w:marBottom w:val="0"/>
              <w:divBdr>
                <w:top w:val="none" w:sz="0" w:space="0" w:color="auto"/>
                <w:left w:val="none" w:sz="0" w:space="0" w:color="auto"/>
                <w:bottom w:val="none" w:sz="0" w:space="0" w:color="auto"/>
                <w:right w:val="none" w:sz="0" w:space="0" w:color="auto"/>
              </w:divBdr>
            </w:div>
            <w:div w:id="686368412">
              <w:marLeft w:val="0"/>
              <w:marRight w:val="0"/>
              <w:marTop w:val="0"/>
              <w:marBottom w:val="0"/>
              <w:divBdr>
                <w:top w:val="none" w:sz="0" w:space="0" w:color="auto"/>
                <w:left w:val="none" w:sz="0" w:space="0" w:color="auto"/>
                <w:bottom w:val="none" w:sz="0" w:space="0" w:color="auto"/>
                <w:right w:val="none" w:sz="0" w:space="0" w:color="auto"/>
              </w:divBdr>
            </w:div>
            <w:div w:id="1072969785">
              <w:marLeft w:val="0"/>
              <w:marRight w:val="0"/>
              <w:marTop w:val="0"/>
              <w:marBottom w:val="0"/>
              <w:divBdr>
                <w:top w:val="none" w:sz="0" w:space="0" w:color="auto"/>
                <w:left w:val="none" w:sz="0" w:space="0" w:color="auto"/>
                <w:bottom w:val="none" w:sz="0" w:space="0" w:color="auto"/>
                <w:right w:val="none" w:sz="0" w:space="0" w:color="auto"/>
              </w:divBdr>
            </w:div>
            <w:div w:id="1094130518">
              <w:marLeft w:val="0"/>
              <w:marRight w:val="0"/>
              <w:marTop w:val="0"/>
              <w:marBottom w:val="0"/>
              <w:divBdr>
                <w:top w:val="none" w:sz="0" w:space="0" w:color="auto"/>
                <w:left w:val="none" w:sz="0" w:space="0" w:color="auto"/>
                <w:bottom w:val="none" w:sz="0" w:space="0" w:color="auto"/>
                <w:right w:val="none" w:sz="0" w:space="0" w:color="auto"/>
              </w:divBdr>
            </w:div>
          </w:divsChild>
        </w:div>
        <w:div w:id="1184393128">
          <w:marLeft w:val="0"/>
          <w:marRight w:val="0"/>
          <w:marTop w:val="0"/>
          <w:marBottom w:val="0"/>
          <w:divBdr>
            <w:top w:val="none" w:sz="0" w:space="0" w:color="auto"/>
            <w:left w:val="none" w:sz="0" w:space="0" w:color="auto"/>
            <w:bottom w:val="none" w:sz="0" w:space="0" w:color="auto"/>
            <w:right w:val="none" w:sz="0" w:space="0" w:color="auto"/>
          </w:divBdr>
          <w:divsChild>
            <w:div w:id="147866001">
              <w:marLeft w:val="0"/>
              <w:marRight w:val="0"/>
              <w:marTop w:val="0"/>
              <w:marBottom w:val="0"/>
              <w:divBdr>
                <w:top w:val="none" w:sz="0" w:space="0" w:color="auto"/>
                <w:left w:val="none" w:sz="0" w:space="0" w:color="auto"/>
                <w:bottom w:val="none" w:sz="0" w:space="0" w:color="auto"/>
                <w:right w:val="none" w:sz="0" w:space="0" w:color="auto"/>
              </w:divBdr>
            </w:div>
            <w:div w:id="249512886">
              <w:marLeft w:val="0"/>
              <w:marRight w:val="0"/>
              <w:marTop w:val="0"/>
              <w:marBottom w:val="0"/>
              <w:divBdr>
                <w:top w:val="none" w:sz="0" w:space="0" w:color="auto"/>
                <w:left w:val="none" w:sz="0" w:space="0" w:color="auto"/>
                <w:bottom w:val="none" w:sz="0" w:space="0" w:color="auto"/>
                <w:right w:val="none" w:sz="0" w:space="0" w:color="auto"/>
              </w:divBdr>
            </w:div>
            <w:div w:id="287857229">
              <w:marLeft w:val="0"/>
              <w:marRight w:val="0"/>
              <w:marTop w:val="0"/>
              <w:marBottom w:val="0"/>
              <w:divBdr>
                <w:top w:val="none" w:sz="0" w:space="0" w:color="auto"/>
                <w:left w:val="none" w:sz="0" w:space="0" w:color="auto"/>
                <w:bottom w:val="none" w:sz="0" w:space="0" w:color="auto"/>
                <w:right w:val="none" w:sz="0" w:space="0" w:color="auto"/>
              </w:divBdr>
            </w:div>
            <w:div w:id="750589349">
              <w:marLeft w:val="0"/>
              <w:marRight w:val="0"/>
              <w:marTop w:val="0"/>
              <w:marBottom w:val="0"/>
              <w:divBdr>
                <w:top w:val="none" w:sz="0" w:space="0" w:color="auto"/>
                <w:left w:val="none" w:sz="0" w:space="0" w:color="auto"/>
                <w:bottom w:val="none" w:sz="0" w:space="0" w:color="auto"/>
                <w:right w:val="none" w:sz="0" w:space="0" w:color="auto"/>
              </w:divBdr>
            </w:div>
            <w:div w:id="815149004">
              <w:marLeft w:val="0"/>
              <w:marRight w:val="0"/>
              <w:marTop w:val="0"/>
              <w:marBottom w:val="0"/>
              <w:divBdr>
                <w:top w:val="none" w:sz="0" w:space="0" w:color="auto"/>
                <w:left w:val="none" w:sz="0" w:space="0" w:color="auto"/>
                <w:bottom w:val="none" w:sz="0" w:space="0" w:color="auto"/>
                <w:right w:val="none" w:sz="0" w:space="0" w:color="auto"/>
              </w:divBdr>
            </w:div>
            <w:div w:id="1240866210">
              <w:marLeft w:val="0"/>
              <w:marRight w:val="0"/>
              <w:marTop w:val="0"/>
              <w:marBottom w:val="0"/>
              <w:divBdr>
                <w:top w:val="none" w:sz="0" w:space="0" w:color="auto"/>
                <w:left w:val="none" w:sz="0" w:space="0" w:color="auto"/>
                <w:bottom w:val="none" w:sz="0" w:space="0" w:color="auto"/>
                <w:right w:val="none" w:sz="0" w:space="0" w:color="auto"/>
              </w:divBdr>
            </w:div>
            <w:div w:id="1538349496">
              <w:marLeft w:val="0"/>
              <w:marRight w:val="0"/>
              <w:marTop w:val="0"/>
              <w:marBottom w:val="0"/>
              <w:divBdr>
                <w:top w:val="none" w:sz="0" w:space="0" w:color="auto"/>
                <w:left w:val="none" w:sz="0" w:space="0" w:color="auto"/>
                <w:bottom w:val="none" w:sz="0" w:space="0" w:color="auto"/>
                <w:right w:val="none" w:sz="0" w:space="0" w:color="auto"/>
              </w:divBdr>
            </w:div>
            <w:div w:id="1651135592">
              <w:marLeft w:val="0"/>
              <w:marRight w:val="0"/>
              <w:marTop w:val="0"/>
              <w:marBottom w:val="0"/>
              <w:divBdr>
                <w:top w:val="none" w:sz="0" w:space="0" w:color="auto"/>
                <w:left w:val="none" w:sz="0" w:space="0" w:color="auto"/>
                <w:bottom w:val="none" w:sz="0" w:space="0" w:color="auto"/>
                <w:right w:val="none" w:sz="0" w:space="0" w:color="auto"/>
              </w:divBdr>
            </w:div>
            <w:div w:id="1738281543">
              <w:marLeft w:val="0"/>
              <w:marRight w:val="0"/>
              <w:marTop w:val="0"/>
              <w:marBottom w:val="0"/>
              <w:divBdr>
                <w:top w:val="none" w:sz="0" w:space="0" w:color="auto"/>
                <w:left w:val="none" w:sz="0" w:space="0" w:color="auto"/>
                <w:bottom w:val="none" w:sz="0" w:space="0" w:color="auto"/>
                <w:right w:val="none" w:sz="0" w:space="0" w:color="auto"/>
              </w:divBdr>
            </w:div>
            <w:div w:id="1760714198">
              <w:marLeft w:val="0"/>
              <w:marRight w:val="0"/>
              <w:marTop w:val="0"/>
              <w:marBottom w:val="0"/>
              <w:divBdr>
                <w:top w:val="none" w:sz="0" w:space="0" w:color="auto"/>
                <w:left w:val="none" w:sz="0" w:space="0" w:color="auto"/>
                <w:bottom w:val="none" w:sz="0" w:space="0" w:color="auto"/>
                <w:right w:val="none" w:sz="0" w:space="0" w:color="auto"/>
              </w:divBdr>
            </w:div>
            <w:div w:id="1886284531">
              <w:marLeft w:val="0"/>
              <w:marRight w:val="0"/>
              <w:marTop w:val="0"/>
              <w:marBottom w:val="0"/>
              <w:divBdr>
                <w:top w:val="none" w:sz="0" w:space="0" w:color="auto"/>
                <w:left w:val="none" w:sz="0" w:space="0" w:color="auto"/>
                <w:bottom w:val="none" w:sz="0" w:space="0" w:color="auto"/>
                <w:right w:val="none" w:sz="0" w:space="0" w:color="auto"/>
              </w:divBdr>
            </w:div>
            <w:div w:id="2036347403">
              <w:marLeft w:val="0"/>
              <w:marRight w:val="0"/>
              <w:marTop w:val="0"/>
              <w:marBottom w:val="0"/>
              <w:divBdr>
                <w:top w:val="none" w:sz="0" w:space="0" w:color="auto"/>
                <w:left w:val="none" w:sz="0" w:space="0" w:color="auto"/>
                <w:bottom w:val="none" w:sz="0" w:space="0" w:color="auto"/>
                <w:right w:val="none" w:sz="0" w:space="0" w:color="auto"/>
              </w:divBdr>
            </w:div>
          </w:divsChild>
        </w:div>
        <w:div w:id="1229993570">
          <w:marLeft w:val="0"/>
          <w:marRight w:val="0"/>
          <w:marTop w:val="0"/>
          <w:marBottom w:val="0"/>
          <w:divBdr>
            <w:top w:val="none" w:sz="0" w:space="0" w:color="auto"/>
            <w:left w:val="none" w:sz="0" w:space="0" w:color="auto"/>
            <w:bottom w:val="none" w:sz="0" w:space="0" w:color="auto"/>
            <w:right w:val="none" w:sz="0" w:space="0" w:color="auto"/>
          </w:divBdr>
        </w:div>
        <w:div w:id="1468475127">
          <w:marLeft w:val="0"/>
          <w:marRight w:val="0"/>
          <w:marTop w:val="0"/>
          <w:marBottom w:val="0"/>
          <w:divBdr>
            <w:top w:val="none" w:sz="0" w:space="0" w:color="auto"/>
            <w:left w:val="none" w:sz="0" w:space="0" w:color="auto"/>
            <w:bottom w:val="none" w:sz="0" w:space="0" w:color="auto"/>
            <w:right w:val="none" w:sz="0" w:space="0" w:color="auto"/>
          </w:divBdr>
        </w:div>
        <w:div w:id="1607228252">
          <w:marLeft w:val="0"/>
          <w:marRight w:val="0"/>
          <w:marTop w:val="0"/>
          <w:marBottom w:val="0"/>
          <w:divBdr>
            <w:top w:val="none" w:sz="0" w:space="0" w:color="auto"/>
            <w:left w:val="none" w:sz="0" w:space="0" w:color="auto"/>
            <w:bottom w:val="none" w:sz="0" w:space="0" w:color="auto"/>
            <w:right w:val="none" w:sz="0" w:space="0" w:color="auto"/>
          </w:divBdr>
          <w:divsChild>
            <w:div w:id="1220096670">
              <w:marLeft w:val="0"/>
              <w:marRight w:val="0"/>
              <w:marTop w:val="0"/>
              <w:marBottom w:val="0"/>
              <w:divBdr>
                <w:top w:val="none" w:sz="0" w:space="0" w:color="auto"/>
                <w:left w:val="none" w:sz="0" w:space="0" w:color="auto"/>
                <w:bottom w:val="none" w:sz="0" w:space="0" w:color="auto"/>
                <w:right w:val="none" w:sz="0" w:space="0" w:color="auto"/>
              </w:divBdr>
            </w:div>
          </w:divsChild>
        </w:div>
        <w:div w:id="1667787205">
          <w:marLeft w:val="0"/>
          <w:marRight w:val="0"/>
          <w:marTop w:val="0"/>
          <w:marBottom w:val="0"/>
          <w:divBdr>
            <w:top w:val="none" w:sz="0" w:space="0" w:color="auto"/>
            <w:left w:val="none" w:sz="0" w:space="0" w:color="auto"/>
            <w:bottom w:val="none" w:sz="0" w:space="0" w:color="auto"/>
            <w:right w:val="none" w:sz="0" w:space="0" w:color="auto"/>
          </w:divBdr>
        </w:div>
        <w:div w:id="1820998110">
          <w:marLeft w:val="0"/>
          <w:marRight w:val="0"/>
          <w:marTop w:val="0"/>
          <w:marBottom w:val="0"/>
          <w:divBdr>
            <w:top w:val="none" w:sz="0" w:space="0" w:color="auto"/>
            <w:left w:val="none" w:sz="0" w:space="0" w:color="auto"/>
            <w:bottom w:val="none" w:sz="0" w:space="0" w:color="auto"/>
            <w:right w:val="none" w:sz="0" w:space="0" w:color="auto"/>
          </w:divBdr>
        </w:div>
        <w:div w:id="1901746162">
          <w:marLeft w:val="0"/>
          <w:marRight w:val="0"/>
          <w:marTop w:val="0"/>
          <w:marBottom w:val="0"/>
          <w:divBdr>
            <w:top w:val="none" w:sz="0" w:space="0" w:color="auto"/>
            <w:left w:val="none" w:sz="0" w:space="0" w:color="auto"/>
            <w:bottom w:val="none" w:sz="0" w:space="0" w:color="auto"/>
            <w:right w:val="none" w:sz="0" w:space="0" w:color="auto"/>
          </w:divBdr>
          <w:divsChild>
            <w:div w:id="486945632">
              <w:marLeft w:val="0"/>
              <w:marRight w:val="0"/>
              <w:marTop w:val="0"/>
              <w:marBottom w:val="0"/>
              <w:divBdr>
                <w:top w:val="none" w:sz="0" w:space="0" w:color="auto"/>
                <w:left w:val="none" w:sz="0" w:space="0" w:color="auto"/>
                <w:bottom w:val="none" w:sz="0" w:space="0" w:color="auto"/>
                <w:right w:val="none" w:sz="0" w:space="0" w:color="auto"/>
              </w:divBdr>
            </w:div>
            <w:div w:id="1097218741">
              <w:marLeft w:val="0"/>
              <w:marRight w:val="0"/>
              <w:marTop w:val="0"/>
              <w:marBottom w:val="0"/>
              <w:divBdr>
                <w:top w:val="none" w:sz="0" w:space="0" w:color="auto"/>
                <w:left w:val="none" w:sz="0" w:space="0" w:color="auto"/>
                <w:bottom w:val="none" w:sz="0" w:space="0" w:color="auto"/>
                <w:right w:val="none" w:sz="0" w:space="0" w:color="auto"/>
              </w:divBdr>
            </w:div>
            <w:div w:id="1430927241">
              <w:marLeft w:val="0"/>
              <w:marRight w:val="0"/>
              <w:marTop w:val="0"/>
              <w:marBottom w:val="0"/>
              <w:divBdr>
                <w:top w:val="none" w:sz="0" w:space="0" w:color="auto"/>
                <w:left w:val="none" w:sz="0" w:space="0" w:color="auto"/>
                <w:bottom w:val="none" w:sz="0" w:space="0" w:color="auto"/>
                <w:right w:val="none" w:sz="0" w:space="0" w:color="auto"/>
              </w:divBdr>
            </w:div>
          </w:divsChild>
        </w:div>
        <w:div w:id="1908227412">
          <w:marLeft w:val="0"/>
          <w:marRight w:val="0"/>
          <w:marTop w:val="0"/>
          <w:marBottom w:val="0"/>
          <w:divBdr>
            <w:top w:val="none" w:sz="0" w:space="0" w:color="auto"/>
            <w:left w:val="none" w:sz="0" w:space="0" w:color="auto"/>
            <w:bottom w:val="none" w:sz="0" w:space="0" w:color="auto"/>
            <w:right w:val="none" w:sz="0" w:space="0" w:color="auto"/>
          </w:divBdr>
        </w:div>
        <w:div w:id="1967464003">
          <w:marLeft w:val="0"/>
          <w:marRight w:val="0"/>
          <w:marTop w:val="0"/>
          <w:marBottom w:val="0"/>
          <w:divBdr>
            <w:top w:val="none" w:sz="0" w:space="0" w:color="auto"/>
            <w:left w:val="none" w:sz="0" w:space="0" w:color="auto"/>
            <w:bottom w:val="none" w:sz="0" w:space="0" w:color="auto"/>
            <w:right w:val="none" w:sz="0" w:space="0" w:color="auto"/>
          </w:divBdr>
        </w:div>
        <w:div w:id="2045135650">
          <w:marLeft w:val="0"/>
          <w:marRight w:val="0"/>
          <w:marTop w:val="0"/>
          <w:marBottom w:val="0"/>
          <w:divBdr>
            <w:top w:val="none" w:sz="0" w:space="0" w:color="auto"/>
            <w:left w:val="none" w:sz="0" w:space="0" w:color="auto"/>
            <w:bottom w:val="none" w:sz="0" w:space="0" w:color="auto"/>
            <w:right w:val="none" w:sz="0" w:space="0" w:color="auto"/>
          </w:divBdr>
          <w:divsChild>
            <w:div w:id="151456238">
              <w:marLeft w:val="0"/>
              <w:marRight w:val="0"/>
              <w:marTop w:val="0"/>
              <w:marBottom w:val="0"/>
              <w:divBdr>
                <w:top w:val="none" w:sz="0" w:space="0" w:color="auto"/>
                <w:left w:val="none" w:sz="0" w:space="0" w:color="auto"/>
                <w:bottom w:val="none" w:sz="0" w:space="0" w:color="auto"/>
                <w:right w:val="none" w:sz="0" w:space="0" w:color="auto"/>
              </w:divBdr>
            </w:div>
          </w:divsChild>
        </w:div>
        <w:div w:id="2067340956">
          <w:marLeft w:val="0"/>
          <w:marRight w:val="0"/>
          <w:marTop w:val="0"/>
          <w:marBottom w:val="0"/>
          <w:divBdr>
            <w:top w:val="none" w:sz="0" w:space="0" w:color="auto"/>
            <w:left w:val="none" w:sz="0" w:space="0" w:color="auto"/>
            <w:bottom w:val="none" w:sz="0" w:space="0" w:color="auto"/>
            <w:right w:val="none" w:sz="0" w:space="0" w:color="auto"/>
          </w:divBdr>
          <w:divsChild>
            <w:div w:id="976952897">
              <w:marLeft w:val="0"/>
              <w:marRight w:val="0"/>
              <w:marTop w:val="0"/>
              <w:marBottom w:val="0"/>
              <w:divBdr>
                <w:top w:val="none" w:sz="0" w:space="0" w:color="auto"/>
                <w:left w:val="none" w:sz="0" w:space="0" w:color="auto"/>
                <w:bottom w:val="none" w:sz="0" w:space="0" w:color="auto"/>
                <w:right w:val="none" w:sz="0" w:space="0" w:color="auto"/>
              </w:divBdr>
            </w:div>
            <w:div w:id="1148866402">
              <w:marLeft w:val="0"/>
              <w:marRight w:val="0"/>
              <w:marTop w:val="0"/>
              <w:marBottom w:val="0"/>
              <w:divBdr>
                <w:top w:val="none" w:sz="0" w:space="0" w:color="auto"/>
                <w:left w:val="none" w:sz="0" w:space="0" w:color="auto"/>
                <w:bottom w:val="none" w:sz="0" w:space="0" w:color="auto"/>
                <w:right w:val="none" w:sz="0" w:space="0" w:color="auto"/>
              </w:divBdr>
            </w:div>
            <w:div w:id="1569684547">
              <w:marLeft w:val="0"/>
              <w:marRight w:val="0"/>
              <w:marTop w:val="0"/>
              <w:marBottom w:val="0"/>
              <w:divBdr>
                <w:top w:val="none" w:sz="0" w:space="0" w:color="auto"/>
                <w:left w:val="none" w:sz="0" w:space="0" w:color="auto"/>
                <w:bottom w:val="none" w:sz="0" w:space="0" w:color="auto"/>
                <w:right w:val="none" w:sz="0" w:space="0" w:color="auto"/>
              </w:divBdr>
            </w:div>
          </w:divsChild>
        </w:div>
        <w:div w:id="2123574835">
          <w:marLeft w:val="0"/>
          <w:marRight w:val="0"/>
          <w:marTop w:val="0"/>
          <w:marBottom w:val="0"/>
          <w:divBdr>
            <w:top w:val="none" w:sz="0" w:space="0" w:color="auto"/>
            <w:left w:val="none" w:sz="0" w:space="0" w:color="auto"/>
            <w:bottom w:val="none" w:sz="0" w:space="0" w:color="auto"/>
            <w:right w:val="none" w:sz="0" w:space="0" w:color="auto"/>
          </w:divBdr>
          <w:divsChild>
            <w:div w:id="1517580095">
              <w:marLeft w:val="0"/>
              <w:marRight w:val="0"/>
              <w:marTop w:val="0"/>
              <w:marBottom w:val="0"/>
              <w:divBdr>
                <w:top w:val="none" w:sz="0" w:space="0" w:color="auto"/>
                <w:left w:val="none" w:sz="0" w:space="0" w:color="auto"/>
                <w:bottom w:val="none" w:sz="0" w:space="0" w:color="auto"/>
                <w:right w:val="none" w:sz="0" w:space="0" w:color="auto"/>
              </w:divBdr>
            </w:div>
            <w:div w:id="152701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69671">
      <w:bodyDiv w:val="1"/>
      <w:marLeft w:val="0"/>
      <w:marRight w:val="0"/>
      <w:marTop w:val="0"/>
      <w:marBottom w:val="0"/>
      <w:divBdr>
        <w:top w:val="none" w:sz="0" w:space="0" w:color="auto"/>
        <w:left w:val="none" w:sz="0" w:space="0" w:color="auto"/>
        <w:bottom w:val="none" w:sz="0" w:space="0" w:color="auto"/>
        <w:right w:val="none" w:sz="0" w:space="0" w:color="auto"/>
      </w:divBdr>
      <w:divsChild>
        <w:div w:id="5209751">
          <w:marLeft w:val="0"/>
          <w:marRight w:val="0"/>
          <w:marTop w:val="0"/>
          <w:marBottom w:val="0"/>
          <w:divBdr>
            <w:top w:val="none" w:sz="0" w:space="0" w:color="auto"/>
            <w:left w:val="none" w:sz="0" w:space="0" w:color="auto"/>
            <w:bottom w:val="none" w:sz="0" w:space="0" w:color="auto"/>
            <w:right w:val="none" w:sz="0" w:space="0" w:color="auto"/>
          </w:divBdr>
        </w:div>
        <w:div w:id="123426280">
          <w:marLeft w:val="0"/>
          <w:marRight w:val="0"/>
          <w:marTop w:val="0"/>
          <w:marBottom w:val="0"/>
          <w:divBdr>
            <w:top w:val="none" w:sz="0" w:space="0" w:color="auto"/>
            <w:left w:val="none" w:sz="0" w:space="0" w:color="auto"/>
            <w:bottom w:val="none" w:sz="0" w:space="0" w:color="auto"/>
            <w:right w:val="none" w:sz="0" w:space="0" w:color="auto"/>
          </w:divBdr>
        </w:div>
        <w:div w:id="264391462">
          <w:marLeft w:val="0"/>
          <w:marRight w:val="0"/>
          <w:marTop w:val="0"/>
          <w:marBottom w:val="0"/>
          <w:divBdr>
            <w:top w:val="none" w:sz="0" w:space="0" w:color="auto"/>
            <w:left w:val="none" w:sz="0" w:space="0" w:color="auto"/>
            <w:bottom w:val="none" w:sz="0" w:space="0" w:color="auto"/>
            <w:right w:val="none" w:sz="0" w:space="0" w:color="auto"/>
          </w:divBdr>
        </w:div>
        <w:div w:id="297999905">
          <w:marLeft w:val="0"/>
          <w:marRight w:val="0"/>
          <w:marTop w:val="0"/>
          <w:marBottom w:val="0"/>
          <w:divBdr>
            <w:top w:val="none" w:sz="0" w:space="0" w:color="auto"/>
            <w:left w:val="none" w:sz="0" w:space="0" w:color="auto"/>
            <w:bottom w:val="none" w:sz="0" w:space="0" w:color="auto"/>
            <w:right w:val="none" w:sz="0" w:space="0" w:color="auto"/>
          </w:divBdr>
        </w:div>
        <w:div w:id="600725223">
          <w:marLeft w:val="0"/>
          <w:marRight w:val="0"/>
          <w:marTop w:val="0"/>
          <w:marBottom w:val="0"/>
          <w:divBdr>
            <w:top w:val="none" w:sz="0" w:space="0" w:color="auto"/>
            <w:left w:val="none" w:sz="0" w:space="0" w:color="auto"/>
            <w:bottom w:val="none" w:sz="0" w:space="0" w:color="auto"/>
            <w:right w:val="none" w:sz="0" w:space="0" w:color="auto"/>
          </w:divBdr>
        </w:div>
        <w:div w:id="760755147">
          <w:marLeft w:val="0"/>
          <w:marRight w:val="0"/>
          <w:marTop w:val="0"/>
          <w:marBottom w:val="0"/>
          <w:divBdr>
            <w:top w:val="none" w:sz="0" w:space="0" w:color="auto"/>
            <w:left w:val="none" w:sz="0" w:space="0" w:color="auto"/>
            <w:bottom w:val="none" w:sz="0" w:space="0" w:color="auto"/>
            <w:right w:val="none" w:sz="0" w:space="0" w:color="auto"/>
          </w:divBdr>
        </w:div>
        <w:div w:id="968827199">
          <w:marLeft w:val="0"/>
          <w:marRight w:val="0"/>
          <w:marTop w:val="0"/>
          <w:marBottom w:val="0"/>
          <w:divBdr>
            <w:top w:val="none" w:sz="0" w:space="0" w:color="auto"/>
            <w:left w:val="none" w:sz="0" w:space="0" w:color="auto"/>
            <w:bottom w:val="none" w:sz="0" w:space="0" w:color="auto"/>
            <w:right w:val="none" w:sz="0" w:space="0" w:color="auto"/>
          </w:divBdr>
        </w:div>
      </w:divsChild>
    </w:div>
    <w:div w:id="2051756905">
      <w:bodyDiv w:val="1"/>
      <w:marLeft w:val="0"/>
      <w:marRight w:val="0"/>
      <w:marTop w:val="0"/>
      <w:marBottom w:val="0"/>
      <w:divBdr>
        <w:top w:val="none" w:sz="0" w:space="0" w:color="auto"/>
        <w:left w:val="none" w:sz="0" w:space="0" w:color="auto"/>
        <w:bottom w:val="none" w:sz="0" w:space="0" w:color="auto"/>
        <w:right w:val="none" w:sz="0" w:space="0" w:color="auto"/>
      </w:divBdr>
    </w:div>
    <w:div w:id="2139950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DGIvanova\AppData\Local\Microsoft\Windows\INetCache\Content.Outlook\0LQTPC6N\&#1043;&#1083;&#1072;&#1074;&#1072;%203%20&#1055;&#1088;&#1086;&#1075;&#1088;&#1072;&#1084;&#1080;&#1088;&#1072;&#1085;&#1077;%20-%20&#1055;&#1088;&#1080;&#1083;&#1086;&#1078;&#1077;&#1085;&#1080;&#1103;\3.09._&#1050;&#1086;&#1085;&#1090;&#1088;&#1086;&#1083;&#1077;&#1085;%20&#1083;&#1080;&#1089;&#1090;%20&#1079;&#1072;%20&#1087;&#1088;&#1086;&#1074;&#1077;&#1088;&#1082;&#1072;%20&#1085;&#1072;%20&#1087;&#1088;&#1086;&#1094;&#1077;&#1076;&#1091;&#1088;&#1072;&#1090;&#1072;%20&#1085;&#1072;%20&#1080;&#1079;&#1074;&#1098;&#1088;&#1096;&#1077;&#1085;&#1072;%20&#1086;&#1094;&#1077;&#1085;&#1082;&#1072;%20&#1085;&#1072;%20&#1087;&#1088;&#1086;&#1077;&#1082;&#1090;&#1085;&#1086;%20&#1087;&#1088;&#1077;&#1076;&#1083;&#1086;&#1078;&#1077;&#1085;&#1080;&#1077;.docx" TargetMode="External"/><Relationship Id="rId299" Type="http://schemas.openxmlformats.org/officeDocument/2006/relationships/hyperlink" Target="file:///C:\Users\Ppavlova\Desktop\PM%202014%20-%202020\&#1043;&#1083;&#1072;&#1074;&#1072;%208%20&#1059;&#1087;&#1088;&#1072;&#1074;&#1083;&#1077;&#1085;&#1080;&#1077;%20&#1085;&#1072;%20&#1088;&#1080;&#1089;&#1082;&#1072;%20-%20&#1055;&#1088;&#1080;&#1083;&#1086;&#1078;&#1077;&#1085;&#1080;&#1103;\8.03a._&#1050;&#1088;&#1080;&#1090;&#1077;&#1088;&#1080;&#1080;%20&#1079;&#1072;%20&#1086;&#1094;&#1077;&#1085;&#1082;&#1072;%20&#1085;&#1072;%20&#1074;&#1077;&#1088;&#1086;&#1103;&#1090;&#1085;&#1086;&#1089;&#1090;&#1090;&#1072;.doc" TargetMode="External"/><Relationship Id="rId303" Type="http://schemas.openxmlformats.org/officeDocument/2006/relationships/hyperlink" Target="file:///C:\Users\Ppavlova\Desktop\PM%202014%20-%202020\&#1043;&#1083;&#1072;&#1074;&#1072;%208%20&#1059;&#1087;&#1088;&#1072;&#1074;&#1083;&#1077;&#1085;&#1080;&#1077;%20&#1085;&#1072;%20&#1088;&#1080;&#1089;&#1082;&#1072;%20-%20&#1055;&#1088;&#1080;&#1083;&#1086;&#1078;&#1077;&#1085;&#1080;&#1103;\8.02a._&#1056;&#1080;&#1089;&#1082;%20&#1074;&#1089;&#1077;&#1083;&#1077;&#1085;&#1072;.docx" TargetMode="External"/><Relationship Id="rId21" Type="http://schemas.openxmlformats.org/officeDocument/2006/relationships/hyperlink" Target="http://www.eufunds.bg/images/%D0%9E%D0%B1%D1%80%D0%B0%D0%B7%D1%86%D0%B8-%D0%97%D0%A3%D0%A1%D0%95%D0%A1%D0%98%D0%A4/Naredba4.pdf" TargetMode="External"/><Relationship Id="rId42" Type="http://schemas.openxmlformats.org/officeDocument/2006/relationships/hyperlink" Target="http://www.eufunds.bg" TargetMode="External"/><Relationship Id="rId63" Type="http://schemas.openxmlformats.org/officeDocument/2006/relationships/diagramData" Target="diagrams/data1.xml"/><Relationship Id="rId84" Type="http://schemas.openxmlformats.org/officeDocument/2006/relationships/hyperlink" Target="http://www.eufunds.bg" TargetMode="External"/><Relationship Id="rId138" Type="http://schemas.openxmlformats.org/officeDocument/2006/relationships/hyperlink" Target="file:///C:\Users\Ppavlova\Desktop\PM%202014%20-%202020\&#1043;&#1083;&#1072;&#1074;&#1072;%203%20&#1055;&#1088;&#1086;&#1075;&#1088;&#1072;&#1084;&#1080;&#1088;&#1072;&#1085;&#1077;%20-%20&#1055;&#1088;&#1080;&#1083;&#1086;&#1078;&#1077;&#1085;&#1080;&#1103;\3.09._&#1050;&#1086;&#1085;&#1090;&#1088;&#1086;&#1083;&#1077;&#1085;%20&#1083;&#1080;&#1089;&#1090;%20&#1079;&#1072;%20&#1087;&#1088;&#1086;&#1074;&#1077;&#1088;&#1082;&#1072;%20&#1085;&#1072;%20&#1087;&#1088;&#1086;&#1094;&#1077;&#1076;&#1091;&#1088;&#1072;&#1090;&#1072;%20&#1085;&#1072;%20&#1080;&#1079;&#1074;&#1098;&#1088;&#1096;&#1077;&#1085;&#1072;%20&#1086;&#1094;&#1077;&#1085;&#1082;&#1072;%20&#1085;&#1072;%20&#1087;&#1088;&#1086;&#1077;&#1082;&#1090;&#1085;&#1086;%20&#1087;&#1088;&#1077;&#1076;&#1083;&#1086;&#1078;&#1077;&#1085;&#1080;&#1077;.docx" TargetMode="External"/><Relationship Id="rId159" Type="http://schemas.openxmlformats.org/officeDocument/2006/relationships/hyperlink" Target="file:///C:\Users\Sgotzov\AppData\Local\Microsoft\Windows\INetCache\Content.Outlook\0QLPQ679\&#1043;&#1083;&#1072;&#1074;&#1072;%203%20&#1055;&#1088;&#1086;&#1075;&#1088;&#1072;&#1084;&#1080;&#1088;&#1072;&#1085;&#1077;%20-%20&#1055;&#1088;&#1080;&#1083;&#1086;&#1078;&#1077;&#1085;&#1080;&#1103;\3.08._&#1050;&#1086;&#1085;&#1090;&#1088;&#1086;&#1083;&#1077;&#1085;%20&#1083;&#1080;&#1089;&#1090;%20&#1079;&#1072;%20&#1080;&#1079;&#1074;&#1098;&#1088;&#1096;&#1077;&#1085;&#1072;%20&#1087;&#1088;&#1086;&#1074;&#1077;&#1088;&#1082;&#1072;%20&#1074;%20&#1048;&#1057;&#1059;&#1053;%20&#1079;&#1072;%20&#1083;&#1080;&#1087;&#1089;&#1072;%20&#1085;&#1072;%20&#1076;&#1074;&#1086;&#1081;&#1085;&#1086;%20&#1092;&#1080;&#1085;&#1072;&#1085;&#1089;&#1080;&#1088;&#1072;&#1085;&#1077;.doc" TargetMode="External"/><Relationship Id="rId324" Type="http://schemas.openxmlformats.org/officeDocument/2006/relationships/hyperlink" Target="http://ec.europa.eu/regional_policy/information/evaluations/guidance_en.cfm" TargetMode="External"/><Relationship Id="rId170" Type="http://schemas.openxmlformats.org/officeDocument/2006/relationships/hyperlink" Target="file:///C:\Users\Ppavlova\Desktop\PM%202014%20-%202020\&#1043;&#1083;&#1072;&#1074;&#1072;%203%20&#1055;&#1088;&#1086;&#1075;&#1088;&#1072;&#1084;&#1080;&#1088;&#1072;&#1085;&#1077;%20-%20&#1055;&#1088;&#1080;&#1083;&#1086;&#1078;&#1077;&#1085;&#1080;&#1103;\3.11.2._&#1047;&#1072;&#1087;&#1086;&#1074;&#1077;&#1076;%20&#1079;&#1072;%20&#1041;&#1060;&#1055;.doc" TargetMode="External"/><Relationship Id="rId191" Type="http://schemas.openxmlformats.org/officeDocument/2006/relationships/hyperlink" Target="file:///C:\Users\Ppavlova\Desktop\PM%202014%20-%202020\&#1043;&#1083;&#1072;&#1074;&#1072;%205%20&#1060;&#1080;&#1085;&#1072;&#1085;&#1089;&#1086;&#1074;&#1086;%20&#1091;&#1087;&#1088;&#1072;&#1074;&#1083;&#1077;&#1085;&#1080;&#1077;%20-%20&#1055;&#1088;&#1080;&#1083;&#1086;&#1078;&#1077;&#1085;&#1080;&#1103;\5.02.1._&#1052;&#1077;&#1078;&#1076;&#1080;&#1085;&#1077;&#1085;%20&#1044;&#1086;&#1082;&#1083;&#1072;&#1076;%20&#1087;&#1086;%20&#1089;&#1077;&#1088;&#1090;&#1080;&#1092;&#1080;&#1082;&#1072;&#1094;&#1080;&#1103;%20&#1086;&#1090;%20&#1059;&#1087;&#1088;&#1072;&#1074;&#1083;&#1103;&#1074;&#1072;&#1097;%20&#1086;&#1088;&#1075;&#1072;&#1085;%20&#1087;&#1086;%20&#1054;&#1055;&#1058;&#1058;&#1048;.docx" TargetMode="External"/><Relationship Id="rId205" Type="http://schemas.openxmlformats.org/officeDocument/2006/relationships/hyperlink" Target="file:///C:\Users\Ppavlova\Desktop\PM%202014%20-%202020\&#1043;&#1083;&#1072;&#1074;&#1072;%205%20&#1060;&#1080;&#1085;&#1072;&#1085;&#1089;&#1086;&#1074;&#1086;%20&#1091;&#1087;&#1088;&#1072;&#1074;&#1083;&#1077;&#1085;&#1080;&#1077;%20-%20&#1055;&#1088;&#1080;&#1083;&#1086;&#1078;&#1077;&#1085;&#1080;&#1103;\5.06._&#1057;&#1095;&#1077;&#1090;&#1086;&#1074;&#1086;&#1076;&#1085;&#1072;&#1090;&#1072;%20&#1087;&#1086;&#1083;&#1080;&#1090;&#1080;&#1082;&#1072;%20&#1085;&#1072;%20&#1076;&#1080;&#1088;&#1077;&#1082;&#1094;&#1080;&#1103;%20&#1050;&#1055;&#1055;%20&#1059;&#1054;%20&#1087;&#1086;%20&#1054;&#1055;&#1058;&#1058;&#1048;.doc" TargetMode="External"/><Relationship Id="rId226" Type="http://schemas.openxmlformats.org/officeDocument/2006/relationships/hyperlink" Target="file:///C:\Users\Ppavlova\Desktop\PM%202014%20-%202020\&#1043;&#1083;&#1072;&#1074;&#1072;%205%20&#1060;&#1080;&#1085;&#1072;&#1085;&#1089;&#1086;&#1074;&#1086;%20&#1091;&#1087;&#1088;&#1072;&#1074;&#1083;&#1077;&#1085;&#1080;&#1077;%20-%20&#1055;&#1088;&#1080;&#1083;&#1086;&#1078;&#1077;&#1085;&#1080;&#1103;\5.16.2._&#1050;&#1085;&#1080;&#1075;&#1072;%20&#1085;&#1072;%20&#1076;&#1083;&#1098;&#1078;&#1085;&#1080;&#1094;&#1080;&#1090;&#1077;%20&#1079;&#1072;%20&#1085;&#1072;&#1083;&#1086;&#1078;&#1077;&#1085;&#1080;%20&#1087;&#1083;&#1086;&#1089;&#1082;&#1080;%20&#1092;&#1080;&#1085;&#1072;&#1085;&#1089;&#1086;&#1074;&#1080;%20&#1082;&#1086;&#1088;&#1077;&#1082;&#1094;&#1080;&#1080;.doc" TargetMode="External"/><Relationship Id="rId247" Type="http://schemas.openxmlformats.org/officeDocument/2006/relationships/hyperlink" Target="file:///C:\Users\Ppavlova\Desktop\PM%202014%20-%202020\&#1043;&#1083;&#1072;&#1074;&#1072;%205%20&#1060;&#1080;&#1085;&#1072;&#1085;&#1089;&#1086;&#1074;&#1086;%20&#1091;&#1087;&#1088;&#1072;&#1074;&#1083;&#1077;&#1085;&#1080;&#1077;%20-%20&#1055;&#1088;&#1080;&#1083;&#1086;&#1078;&#1077;&#1085;&#1080;&#1103;\5.24._&#1050;&#1086;&#1085;&#1090;&#1088;&#1086;&#1083;&#1077;&#1085;%20&#1083;&#1080;&#1089;&#1090;%20&#1079;&#1072;%20&#1087;&#1088;&#1086;&#1074;&#1077;&#1088;&#1082;&#1072;%20&#1085;&#1072;%20&#1087;&#1083;&#1072;&#1097;&#1072;&#1085;&#1077;%20&#1087;&#1086;%20&#1072;&#1074;&#1072;&#1085;&#1089;&#1086;&#1074;&#1086;%20&#1092;&#1080;&#1085;&#1072;&#1085;&#1089;&#1080;&#1088;&#1072;&#1085;&#1077;%20&#1087;&#1086;%20&#1088;&#1077;&#1076;&#1072;%20&#1085;&#1072;%20&#1044;&#1044;&#1057;%20&#8470;%2006_2011.doc" TargetMode="External"/><Relationship Id="rId107" Type="http://schemas.openxmlformats.org/officeDocument/2006/relationships/hyperlink" Target="file:///C:\Users\DGIvanova\AppData\Local\Microsoft\Windows\INetCache\Content.Outlook\0LQTPC6N\&#1043;&#1083;&#1072;&#1074;&#1072;%203%20&#1055;&#1088;&#1086;&#1075;&#1088;&#1072;&#1084;&#1080;&#1088;&#1072;&#1085;&#1077;%20-%20&#1055;&#1088;&#1080;&#1083;&#1086;&#1078;&#1077;&#1085;&#1080;&#1103;\3.04._&#1050;&#1086;&#1085;&#1090;&#1088;&#1086;&#1083;&#1077;&#1085;%20&#1083;&#1080;&#1089;&#1090;%20&#1079;&#1072;%20&#1087;&#1088;&#1086;&#1074;&#1077;&#1088;&#1082;&#1072;%20&#1085;&#1072;%20&#1095;&#1083;&#1077;&#1085;&#1086;&#1074;&#1077;&#1090;&#1077;%20&#1085;&#1072;%20&#1086;&#1094;&#1077;&#1085;&#1080;&#1090;&#1077;&#1083;&#1085;&#1072;&#1090;&#1072;%20&#1082;&#1086;&#1084;&#1080;&#1089;&#1080;&#1103;%20&#1079;&#1072;%20&#1083;&#1080;&#1087;&#1089;&#1072;%20&#1085;&#1072;%20&#1050;&#1086;&#1085;&#1092;&#1083;&#1080;&#1082;&#1090;%20&#1085;&#1072;%20&#1080;&#1085;&#1090;&#1077;&#1088;&#1077;&#1089;&#1080;.doc" TargetMode="External"/><Relationship Id="rId268" Type="http://schemas.openxmlformats.org/officeDocument/2006/relationships/hyperlink" Target="file:///C:\Users\Ppavlova\Desktop\PM%202014%20-%202020\&#1043;&#1083;&#1072;&#1074;&#1072;%207%20&#1048;&#1079;&#1087;&#1098;&#1083;&#1085;&#1077;&#1085;&#1080;&#1077;%20-%20&#1055;&#1088;&#1080;&#1083;&#1086;&#1078;&#1077;&#1085;&#1080;&#1103;\7.04._&#1054;&#1082;&#1086;&#1085;&#1095;&#1072;&#1090;&#1077;&#1083;&#1077;&#1085;%20&#1076;&#1086;&#1082;&#1083;&#1072;&#1076;%20&#1087;&#1086;%20&#1087;&#1088;&#1086;&#1077;&#1082;&#1090;.doc" TargetMode="External"/><Relationship Id="rId289" Type="http://schemas.openxmlformats.org/officeDocument/2006/relationships/hyperlink" Target="file:///\\MTITC-FP03\OPTransport\public\DGIvanova\PM%202014-2020\Actual%20v_4.2%2016.12.2019\&#1043;&#1083;&#1072;&#1074;&#1072;%207%20&#1048;&#1079;&#1087;&#1098;&#1083;&#1085;&#1077;&#1085;&#1080;&#1077;%20-%20&#1055;&#1088;&#1080;&#1083;&#1086;&#1078;&#1077;&#1085;&#1080;&#1103;\7.09._&#1052;&#1077;&#1090;&#1086;&#1076;&#1086;&#1083;&#1086;&#1075;&#1080;&#1103;%20&#1079;&#1072;%20&#1086;&#1094;&#1077;&#1085;&#1082;&#1072;%20&#1085;&#1072;%20&#1088;&#1080;&#1089;&#1082;&#1072;.doc" TargetMode="External"/><Relationship Id="rId11" Type="http://schemas.openxmlformats.org/officeDocument/2006/relationships/oleObject" Target="embeddings/oleObject1.bin"/><Relationship Id="rId32" Type="http://schemas.openxmlformats.org/officeDocument/2006/relationships/hyperlink" Target="mailto:aeuf@minfin.bg" TargetMode="External"/><Relationship Id="rId53" Type="http://schemas.openxmlformats.org/officeDocument/2006/relationships/hyperlink" Target="file:///C:\Users\Ppavlova\Desktop\PM%202014%20-%202020\&#1043;&#1083;&#1072;&#1074;&#1072;%202%20&#1044;&#1098;&#1088;&#1078;&#1072;&#1074;&#1085;&#1080;%20&#1087;&#1086;&#1084;&#1086;&#1097;&#1080;%20-%20&#1055;&#1088;&#1080;&#1083;&#1086;&#1078;&#1077;&#1085;&#1080;&#1103;\2.06._State%20Aid%20Analytical%20Grids%20for%20infrastructure%20update%202016%20en.pdf" TargetMode="External"/><Relationship Id="rId74" Type="http://schemas.openxmlformats.org/officeDocument/2006/relationships/diagramData" Target="diagrams/data2.xml"/><Relationship Id="rId128" Type="http://schemas.openxmlformats.org/officeDocument/2006/relationships/hyperlink" Target="file:///C:\Users\Ppavlova\Desktop\PM%202014%20-%202020\&#1043;&#1083;&#1072;&#1074;&#1072;%203%20&#1055;&#1088;&#1086;&#1075;&#1088;&#1072;&#1084;&#1080;&#1088;&#1072;&#1085;&#1077;%20-%20&#1055;&#1088;&#1080;&#1083;&#1086;&#1078;&#1077;&#1085;&#1080;&#1103;\3.06.2._&#1054;&#1094;&#1077;&#1085;&#1080;&#1090;&#1077;&#1083;&#1085;&#1072;%20&#1090;&#1072;&#1073;&#1083;&#1080;&#1094;&#1072;%20&#1079;&#1072;%20&#1080;&#1079;&#1074;&#1098;&#1088;&#1096;&#1077;&#1085;&#1072;%20&#1086;&#1094;&#1077;&#1085;&#1082;&#1072;%20&#1085;&#1072;%20&#1087;&#1088;&#1086;&#1077;&#1082;&#1090;&#1085;&#1080;%20&#1087;&#1088;&#1077;&#1076;&#1083;&#1086;&#1078;&#1077;&#1085;&#1080;&#1103;%20&#1079;&#1072;%20&#1090;&#1077;&#1093;&#1085;&#1080;&#1095;&#1077;&#1089;&#1082;&#1072;%20&#1087;&#1086;&#1084;&#1086;&#1097;.docx" TargetMode="External"/><Relationship Id="rId149" Type="http://schemas.openxmlformats.org/officeDocument/2006/relationships/hyperlink" Target="file:///C:\Users\Ppavlova\Desktop\PM%202014%20-%202020\&#1043;&#1083;&#1072;&#1074;&#1072;%203%20&#1055;&#1088;&#1086;&#1075;&#1088;&#1072;&#1084;&#1080;&#1088;&#1072;&#1085;&#1077;%20-%20&#1055;&#1088;&#1080;&#1083;&#1086;&#1078;&#1077;&#1085;&#1080;&#1103;\3.06.3._&#1054;&#1094;&#1077;&#1085;&#1080;&#1090;&#1077;&#1083;&#1085;&#1072;%20&#1090;&#1072;&#1073;&#1083;&#1080;&#1094;&#1072;%20&#1079;&#1072;%20&#1080;&#1079;&#1074;&#1098;&#1088;&#1096;&#1077;&#1085;&#1072;%20&#1086;&#1094;&#1077;&#1085;&#1082;&#1072;%20&#1085;&#1072;%20&#1073;&#1102;&#1076;&#1078;&#1077;&#1090;&#1085;&#1072;%20&#1083;&#1080;&#1085;&#1080;&#1103;.docx" TargetMode="External"/><Relationship Id="rId314" Type="http://schemas.openxmlformats.org/officeDocument/2006/relationships/image" Target="media/image11.emf"/><Relationship Id="rId335"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file:///C:\Users\DGIvanova\AppData\Local\Microsoft\Windows\INetCache\Content.Outlook\0LQTPC6N\&#1043;&#1083;&#1072;&#1074;&#1072;%203%20&#1055;&#1088;&#1086;&#1075;&#1088;&#1072;&#1084;&#1080;&#1088;&#1072;&#1085;&#1077;%20-%20&#1055;&#1088;&#1080;&#1083;&#1086;&#1078;&#1077;&#1085;&#1080;&#1103;\3.02._&#1056;&#1077;&#1096;&#1077;&#1085;&#1080;&#1077;%20&#1079;&#1072;%20&#1054;&#1094;&#1077;&#1085;&#1080;&#1090;&#1077;&#1083;&#1085;&#1072;%20&#1082;&#1086;&#1084;&#1080;&#1089;&#1080;&#1103;.doc" TargetMode="External"/><Relationship Id="rId160" Type="http://schemas.openxmlformats.org/officeDocument/2006/relationships/hyperlink" Target="file:///C:\Users\Sgotzov\AppData\Local\Microsoft\Windows\INetCache\Content.Outlook\0QLPQ679\&#1043;&#1083;&#1072;&#1074;&#1072;%202%20&#1044;&#1098;&#1088;&#1078;&#1072;&#1074;&#1085;&#1080;%20&#1087;&#1086;&#1084;&#1086;&#1097;&#1080;%20-%20&#1055;&#1088;&#1080;&#1083;&#1086;&#1078;&#1077;&#1085;&#1080;&#1103;\2.02._&#1050;&#1086;&#1085;&#1090;&#1088;&#1086;&#1083;&#1077;&#1085;%20&#1083;&#1080;&#1089;&#1090;%20&#1079;&#1072;%20&#1087;&#1088;&#1077;&#1076;&#1074;&#1072;&#1088;&#1080;&#1090;&#1077;&#1083;&#1085;&#1072;%20&#1086;&#1094;&#1077;&#1085;&#1082;&#1072;%20&#1079;&#1072;%20%20&#1086;&#1087;&#1088;&#1077;&#1076;&#1077;&#1083;&#1103;&#1085;&#1077;%20&#1085;&#1072;&#1083;&#1080;&#1095;&#1080;&#1077;&#1090;&#1086;%20&#1085;&#1072;%20&#1076;&#1098;&#1088;&#1078;&#1072;&#1074;&#1085;&#1072;%20&#1087;&#1086;&#1084;&#1086;&#1097;%20-%20&#1048;&#1079;&#1082;&#1083;&#1102;&#1095;&#1077;&#1085;&#1080;&#1103;.doc" TargetMode="External"/><Relationship Id="rId181" Type="http://schemas.openxmlformats.org/officeDocument/2006/relationships/hyperlink" Target="file:///C:\Users\Ppavlova\Desktop\PM%202014%20-%202020\&#1043;&#1083;&#1072;&#1074;&#1072;%205%20&#1060;&#1080;&#1085;&#1072;&#1085;&#1089;&#1086;&#1074;&#1086;%20&#1091;&#1087;&#1088;&#1072;&#1074;&#1083;&#1077;&#1085;&#1080;&#1077;%20-%20&#1055;&#1088;&#1080;&#1083;&#1086;&#1078;&#1077;&#1085;&#1080;&#1103;\5.05._&#1050;&#1086;&#1085;&#1090;&#1088;&#1086;&#1083;&#1077;&#1085;%20&#1083;&#1080;&#1089;&#1090;%20&#1079;&#1072;%20&#1074;&#1077;&#1088;&#1080;&#1092;&#1080;&#1094;&#1080;&#1088;&#1072;&#1085;&#1077;%20&#1085;&#1072;%20&#1088;&#1072;&#1079;&#1093;&#1086;&#1076;&#1080;&#1090;&#1077;%20&#1087;&#1088;&#1080;%20&#1080;&#1079;&#1087;&#1098;&#1083;&#1085;&#1077;&#1085;&#1080;&#1077;%20&#1085;&#1072;%20&#1087;&#1088;&#1086;&#1077;&#1082;&#1090;&#1080;%20&#1087;&#1086;%20&#1087;&#1088;&#1080;&#1086;&#1088;&#1080;&#1090;&#1077;&#1090;&#1085;&#1072;%20&#1086;&#1089;%20&#1058;&#1055;%20&#1089;%20&#1073;&#1077;&#1085;&#1077;&#1092;&#1080;&#1094;&#1080;&#1077;&#1085;&#1090;%20&#1059;&#1054;.doc" TargetMode="External"/><Relationship Id="rId216" Type="http://schemas.openxmlformats.org/officeDocument/2006/relationships/hyperlink" Target="file:///C:\Users\Ppavlova\Desktop\PM%202014%20-%202020\&#1043;&#1083;&#1072;&#1074;&#1072;%205%20&#1060;&#1080;&#1085;&#1072;&#1085;&#1089;&#1086;&#1074;&#1086;%20&#1091;&#1087;&#1088;&#1072;&#1074;&#1083;&#1077;&#1085;&#1080;&#1077;%20-%20&#1055;&#1088;&#1080;&#1083;&#1086;&#1078;&#1077;&#1085;&#1080;&#1103;\5.16.1._&#1050;&#1085;&#1080;&#1075;&#1072;%20&#1085;&#1072;%20&#1076;&#1083;&#1098;&#1078;&#1085;&#1080;&#1094;&#1080;&#1090;&#1077;.xls" TargetMode="External"/><Relationship Id="rId237" Type="http://schemas.openxmlformats.org/officeDocument/2006/relationships/hyperlink" Target="file:///C:\Users\Ppavlova\Desktop\PM%202014%20-%202020\&#1043;&#1083;&#1072;&#1074;&#1072;%205%20&#1060;&#1080;&#1085;&#1072;&#1085;&#1089;&#1086;&#1074;&#1086;%20&#1091;&#1087;&#1088;&#1072;&#1074;&#1083;&#1077;&#1085;&#1080;&#1077;%20-%20&#1055;&#1088;&#1080;&#1083;&#1086;&#1078;&#1077;&#1085;&#1080;&#1103;\5.08._&#1050;&#1086;&#1085;&#1090;&#1088;&#1086;&#1083;&#1077;&#1085;%20&#1083;&#1080;&#1089;&#1090;%20&#1079;&#1072;%20&#1087;&#1088;&#1086;&#1074;&#1077;&#1088;&#1082;&#1072;%20-%20&#1084;&#1077;&#1089;&#1077;&#1095;&#1077;&#1085;%20&#1082;&#1086;&#1085;&#1090;&#1088;&#1086;&#1083;%20&#1085;&#1072;%20&#1089;&#1095;&#1077;&#1090;&#1086;&#1074;&#1086;&#1076;&#1085;&#1080;&#1090;&#1077;%20&#1086;&#1087;&#1077;&#1088;&#1072;&#1094;&#1080;&#1080;.doc" TargetMode="External"/><Relationship Id="rId258" Type="http://schemas.openxmlformats.org/officeDocument/2006/relationships/hyperlink" Target="file:///C:\Users\Ppavlova\Desktop\PM%202014%20-%202020\&#1043;&#1083;&#1072;&#1074;&#1072;%206%20&#1053;&#1077;&#1088;&#1077;&#1076;&#1085;&#1086;&#1089;&#1090;&#1080;%20-%20&#1055;&#1088;&#1080;&#1083;&#1086;&#1078;&#1077;&#1085;&#1080;&#1103;\6.08._&#1056;&#1077;&#1096;&#1077;&#1085;&#1080;&#1077;%20&#1079;&#1072;%20&#1091;&#1089;&#1090;&#1072;&#1085;&#1086;&#1074;&#1103;&#1074;&#1072;&#1085;&#1077;%20&#1083;&#1080;&#1087;&#1089;&#1072;&#1090;&#1072;%20&#1085;&#1072;%20&#1080;&#1079;&#1074;&#1098;&#1088;&#1096;&#1077;&#1085;&#1072;%20&#1085;&#1077;&#1088;&#1077;&#1076;&#1085;&#1086;&#1089;&#1090;%20&#1087;&#1086;%20&#1087;&#1086;&#1083;&#1091;&#1095;&#1077;&#1085;%20&#1089;&#1080;&#1075;&#1085;&#1072;&#1083;.docx" TargetMode="External"/><Relationship Id="rId279" Type="http://schemas.openxmlformats.org/officeDocument/2006/relationships/hyperlink" Target="file:///\\MTITC-FP03\OPTransport\public\DGIvanova\PM%202014-2020\Actual%20v_4.2%2016.12.2019\&#1043;&#1083;&#1072;&#1074;&#1072;%207%20&#1048;&#1079;&#1087;&#1098;&#1083;&#1085;&#1077;&#1085;&#1080;&#1077;%20-%20&#1055;&#1088;&#1080;&#1083;&#1086;&#1078;&#1077;&#1085;&#1080;&#1103;\7.05.1._&#1043;&#1086;&#1076;&#1080;&#1096;&#1077;&#1085;%20&#1087;&#1083;&#1072;&#1085;%20-%20&#1048;&#1079;&#1084;&#1077;&#1085;&#1077;&#1085;&#1080;&#1077;%201%20&#1079;&#1072;%20&#1080;&#1079;&#1074;&#1098;&#1088;&#1096;&#1074;&#1072;&#1085;&#1077;%20&#1085;&#1072;%20&#1087;&#1088;&#1086;&#1074;&#1077;&#1088;&#1082;&#1080;%20&#1085;&#1072;%20&#1084;&#1103;&#1089;&#1090;&#1086;%20&#1086;&#1090;%20&#1059;&#1054;%20&#1085;&#1072;%20&#1054;&#1055;&#1058;&#1058;&#1048;%20&#1079;&#1072;%20&#8230;&#8230;.%20&#1075;&#1086;&#1076;&#1080;&#1085;&#1072;.doc" TargetMode="External"/><Relationship Id="rId22" Type="http://schemas.openxmlformats.org/officeDocument/2006/relationships/hyperlink" Target="file:///C:\Users\Ppavlova\Desktop\PM%202014%20-%202020\&#1043;&#1083;&#1072;&#1074;&#1072;%206%20&#1053;&#1077;&#1088;&#1077;&#1076;&#1085;&#1086;&#1089;&#1090;&#1080;%20-%20&#1055;&#1088;&#1080;&#1083;&#1086;&#1078;&#1077;&#1085;&#1080;&#1103;\6.01._&#1044;&#1077;&#1082;&#1083;&#1072;&#1088;&#1072;&#1094;&#1080;&#1103;%20&#1079;&#1072;%20&#1089;&#1083;&#1091;&#1078;&#1080;&#1090;&#1077;&#1083;&#1080;&#1090;&#1077;%20&#1074;%20&#1059;&#1054;%20&#1082;&#1072;&#1089;&#1072;&#1077;&#1097;&#1072;%20&#1079;&#1072;&#1087;&#1086;&#1079;&#1085;&#1072;&#1074;&#1072;&#1085;&#1077;&#1090;&#1086;%20&#1080;&#1084;%20&#1089;%20&#1087;&#1086;&#1085;&#1103;&#1090;&#1080;&#1103;&#1090;&#1072;%20&#1085;&#1077;&#1088;&#1077;&#1076;&#1085;&#1086;&#1089;&#1090;%20&#1080;%20&#1080;&#1079;&#1084;&#1072;&#1084;&#1072;%20&#1080;%20&#1088;&#1077;&#1076;&#1072;%20&#1079;&#1072;%20&#1076;&#1086;&#1082;&#1083;&#1072;&#1076;&#1074;&#1072;&#1085;&#1077;.doc" TargetMode="External"/><Relationship Id="rId43" Type="http://schemas.openxmlformats.org/officeDocument/2006/relationships/hyperlink" Target="file:///C:\Users\Ppavlova\Desktop\PM%202014%20-%202020\&#1043;&#1083;&#1072;&#1074;&#1072;%202%20&#1044;&#1098;&#1088;&#1078;&#1072;&#1074;&#1085;&#1080;%20&#1087;&#1086;&#1084;&#1086;&#1097;&#1080;%20-%20&#1055;&#1088;&#1080;&#1083;&#1086;&#1078;&#1077;&#1085;&#1080;&#1103;\2.05._State%20Aid%20Grids%202015%20en.pdf" TargetMode="External"/><Relationship Id="rId64" Type="http://schemas.openxmlformats.org/officeDocument/2006/relationships/diagramLayout" Target="diagrams/layout1.xml"/><Relationship Id="rId118" Type="http://schemas.openxmlformats.org/officeDocument/2006/relationships/hyperlink" Target="file:///C:\Users\Sgotzov\AppData\Local\Microsoft\Windows\INetCache\Content.Outlook\0QLPQ679\&#1043;&#1083;&#1072;&#1074;&#1072;%203%20&#1055;&#1088;&#1086;&#1075;&#1088;&#1072;&#1084;&#1080;&#1088;&#1072;&#1085;&#1077;%20-%20&#1055;&#1088;&#1080;&#1083;&#1086;&#1078;&#1077;&#1085;&#1080;&#1103;\3.05._&#1050;&#1088;&#1080;&#1090;&#1077;&#1088;&#1080;&#1080;%20%20&#1079;&#1072;%20&#1086;&#1089;&#1080;&#1075;&#1091;&#1088;&#1103;&#1074;&#1072;&#1085;&#1077;%20&#1085;&#1072;%20&#1080;&#1085;&#1092;&#1086;&#1088;&#1084;&#1072;&#1094;&#1080;&#1103;%20&#1079;&#1072;%20&#1080;&#1085;&#1074;&#1077;&#1089;&#1090;&#1080;&#1094;&#1080;&#1086;&#1085;&#1085;&#1080;&#166;&#1080;&#1085;&#1092;&#1088;&#1072;&#1089;&#1090;&#1088;&#1091;&#1082;&#1090;&#1091;&#1088;&#1085;&#1080;%20&#1087;&#1088;&#1086;&#1077;&#1082;&#1090;&#1080;%20&#1087;&#1088;&#1080;%20&#1080;&#1079;&#1074;&#1098;&#1088;&#1096;&#1074;&#1072;&#1085;&#1077;&#1090;&#1086;%20&#1085;&#1072;%20&#1086;&#1094;&#1077;&#1085;&#1082;&#1072;.doc" TargetMode="External"/><Relationship Id="rId139" Type="http://schemas.openxmlformats.org/officeDocument/2006/relationships/hyperlink" Target="file:///C:\Users\Ppavlova\Desktop\PM%202014%20-%202020\&#1043;&#1083;&#1072;&#1074;&#1072;%203%20&#1055;&#1088;&#1086;&#1075;&#1088;&#1072;&#1084;&#1080;&#1088;&#1072;&#1085;&#1077;%20-%20&#1055;&#1088;&#1080;&#1083;&#1086;&#1078;&#1077;&#1085;&#1080;&#1103;\3.08._&#1050;&#1086;&#1085;&#1090;&#1088;&#1086;&#1083;&#1077;&#1085;%20&#1083;&#1080;&#1089;&#1090;%20&#1079;&#1072;%20&#1080;&#1079;&#1074;&#1098;&#1088;&#1096;&#1077;&#1085;&#1072;%20&#1087;&#1088;&#1086;&#1074;&#1077;&#1088;&#1082;&#1072;%20&#1074;%20&#1048;&#1057;&#1059;&#1053;%20&#1079;&#1072;%20&#1083;&#1080;&#1087;&#1089;&#1072;%20&#1085;&#1072;%20&#1076;&#1074;&#1086;&#1081;&#1085;&#1086;%20&#1092;&#1080;&#1085;&#1072;&#1085;&#1089;&#1080;&#1088;&#1072;&#1085;&#1077;.doc" TargetMode="External"/><Relationship Id="rId290" Type="http://schemas.openxmlformats.org/officeDocument/2006/relationships/hyperlink" Target="file:///\\MTITC-FP03\OPTransport\public\DGIvanova\PM%202014-2020\Actual%20v_4.2%2016.12.2019\&#1043;&#1083;&#1072;&#1074;&#1072;%207%20&#1048;&#1079;&#1087;&#1098;&#1083;&#1085;&#1077;&#1085;&#1080;&#1077;%20-%20&#1055;&#1088;&#1080;&#1083;&#1086;&#1078;&#1077;&#1085;&#1080;&#1103;\7.04._&#1054;&#1082;&#1086;&#1085;&#1095;&#1072;&#1090;&#1077;&#1083;&#1077;&#1085;%20&#1076;&#1086;&#1082;&#1083;&#1072;&#1076;%20&#1087;&#1086;%20&#1087;&#1088;&#1086;&#1077;&#1082;&#1090;.doc" TargetMode="External"/><Relationship Id="rId304" Type="http://schemas.openxmlformats.org/officeDocument/2006/relationships/hyperlink" Target="file:///C:\Users\Ppavlova\Desktop\PM%202014%20-%202020\&#1043;&#1083;&#1072;&#1074;&#1072;%208%20&#1059;&#1087;&#1088;&#1072;&#1074;&#1083;&#1077;&#1085;&#1080;&#1077;%20&#1085;&#1072;%20&#1088;&#1080;&#1089;&#1082;&#1072;%20-%20&#1055;&#1088;&#1080;&#1083;&#1086;&#1078;&#1077;&#1085;&#1080;&#1103;\8.04._&#1055;&#1083;&#1072;&#1085;%20&#1079;&#1072;%20&#1076;&#1077;&#1081;&#1089;&#1090;&#1074;&#1080;&#1077;%20&#1079;&#1072;%20&#1074;&#1098;&#1074;&#1077;&#1078;&#1076;&#1072;&#1085;&#1077;%20&#1085;&#1072;%20&#1077;&#1092;&#1077;&#1082;&#1090;&#1080;&#1074;&#1085;&#1080;%20&#1080;%20&#1087;&#1088;&#1086;&#1087;&#1086;&#1088;&#1094;&#1080;&#1086;&#1085;&#1072;&#1083;&#1085;&#1080;%20&#1084;&#1077;&#1088;&#1082;&#1080;%20&#1079;&#1072;%20&#1073;&#1086;&#1088;&#1073;&#1072;%20&#1089;%20&#1080;&#1079;&#1084;&#1072;&#1084;&#1080;&#1090;&#1077;.doc" TargetMode="External"/><Relationship Id="rId325" Type="http://schemas.openxmlformats.org/officeDocument/2006/relationships/hyperlink" Target="file:///C:\Users\Schobanov\Desktop\&#1053;&#1072;&#1088;&#1098;&#1095;&#1085;&#1080;&#1082;%204.0\www.eufunds.bg" TargetMode="External"/><Relationship Id="rId85" Type="http://schemas.openxmlformats.org/officeDocument/2006/relationships/hyperlink" Target="file:///F:\SUK%202014-09-23\2014-06_v%2001\www.optransport.bg" TargetMode="External"/><Relationship Id="rId150" Type="http://schemas.openxmlformats.org/officeDocument/2006/relationships/hyperlink" Target="file:///C:\Users\Ppavlova\Desktop\PM%202014%20-%202020\&#1043;&#1083;&#1072;&#1074;&#1072;%203%20&#1055;&#1088;&#1086;&#1075;&#1088;&#1072;&#1084;&#1080;&#1088;&#1072;&#1085;&#1077;%20-%20&#1055;&#1088;&#1080;&#1083;&#1086;&#1078;&#1077;&#1085;&#1080;&#1103;\3.08._&#1050;&#1086;&#1085;&#1090;&#1088;&#1086;&#1083;&#1077;&#1085;%20&#1083;&#1080;&#1089;&#1090;%20&#1079;&#1072;%20&#1080;&#1079;&#1074;&#1098;&#1088;&#1096;&#1077;&#1085;&#1072;%20&#1087;&#1088;&#1086;&#1074;&#1077;&#1088;&#1082;&#1072;%20&#1074;%20&#1048;&#1057;&#1059;&#1053;%20&#1079;&#1072;%20&#1083;&#1080;&#1087;&#1089;&#1072;%20&#1085;&#1072;%20&#1076;&#1074;&#1086;&#1081;&#1085;&#1086;%20&#1092;&#1080;&#1085;&#1072;&#1085;&#1089;&#1080;&#1088;&#1072;&#1085;&#1077;.doc" TargetMode="External"/><Relationship Id="rId171" Type="http://schemas.openxmlformats.org/officeDocument/2006/relationships/hyperlink" Target="file:///C:\Users\Ppavlova\Desktop\PM%202014%20-%202020\&#1043;&#1083;&#1072;&#1074;&#1072;%203%20&#1055;&#1088;&#1086;&#1075;&#1088;&#1072;&#1084;&#1080;&#1088;&#1072;&#1085;&#1077;%20-%20&#1055;&#1088;&#1080;&#1083;&#1086;&#1078;&#1077;&#1085;&#1080;&#1103;\3.13._K&#1086;&#1085;&#1090;&#1088;&#1086;&#1083;&#1077;&#1085;%20&#1083;&#1080;&#1089;&#1090;%20&#8470;%20&#1079;&#1072;%20&#1080;&#1079;&#1074;&#1098;&#1088;&#1096;&#1074;&#1072;&#1085;&#1077;%20&#1085;&#1072;%20&#1087;&#1088;&#1077;&#1076;&#1074;&#1072;&#1088;&#1080;&#1090;&#1077;&#1083;&#1077;&#1085;%20&#1082;&#1086;&#1085;&#1090;&#1088;&#1086;&#1083;%20&#1086;&#1090;%20&#1092;&#1080;&#1085;&#1072;&#1085;&#1089;&#1086;&#1074;&#1080;&#1103;%20&#1082;&#1086;&#1085;&#1090;&#1088;&#1086;&#1083;&#1100;&#1086;&#1088;%20&#1087;&#1088;&#1077;&#1076;&#1080;%20&#1087;&#1086;&#1077;&#1084;&#1072;&#1085;&#1077;%20&#1085;&#1072;%20&#1079;&#1072;&#1076;&#1098;&#1083;&#1078;&#1077;&#1085;&#1080;&#1077;.doc" TargetMode="External"/><Relationship Id="rId192" Type="http://schemas.openxmlformats.org/officeDocument/2006/relationships/hyperlink" Target="file:///C:\Users\Ppavlova\Desktop\PM%202014%20-%202020\&#1043;&#1083;&#1072;&#1074;&#1072;%205%20&#1060;&#1080;&#1085;&#1072;&#1085;&#1089;&#1086;&#1074;&#1086;%20&#1091;&#1087;&#1088;&#1072;&#1074;&#1083;&#1077;&#1085;&#1080;&#1077;%20-%20&#1055;&#1088;&#1080;&#1083;&#1086;&#1078;&#1077;&#1085;&#1080;&#1103;\5.02.1.2._&#1055;&#1088;&#1080;&#1083;&#1086;&#1078;&#1077;&#1085;&#1080;&#1077;%204&#1040;%20&#1082;&#1098;&#1084;%20&#1095;&#1083;.%2024%20&#1072;&#1083;.%205%20&#1086;&#1090;%20&#1053;&#1072;&#1088;&#1077;&#1076;&#1073;&#1072;%20&#1053;-3_22.05.2018.xlsx" TargetMode="External"/><Relationship Id="rId206" Type="http://schemas.openxmlformats.org/officeDocument/2006/relationships/hyperlink" Target="file:///C:\Users\Ppavlova\Desktop\PM%202014%20-%202020\&#1043;&#1083;&#1072;&#1074;&#1072;%205%20&#1060;&#1080;&#1085;&#1072;&#1085;&#1089;&#1086;&#1074;&#1086;%20&#1091;&#1087;&#1088;&#1072;&#1074;&#1083;&#1077;&#1085;&#1080;&#1077;%20-%20&#1055;&#1088;&#1080;&#1083;&#1086;&#1078;&#1077;&#1085;&#1080;&#1103;\5.07._&#1057;&#1090;&#1072;&#1085;&#1076;&#1072;&#1088;&#1090;&#1085;&#1080;%20&#1089;&#1095;&#1077;&#1090;&#1086;&#1074;&#1086;&#1076;&#1085;&#1080;%20&#1079;&#1072;&#1087;&#1080;&#1089;&#1074;&#1072;&#1085;&#1080;&#1103;%20&#1087;&#1086;%20&#1054;&#1055;&#1058;&#1058;&#1048;.xls" TargetMode="External"/><Relationship Id="rId227" Type="http://schemas.openxmlformats.org/officeDocument/2006/relationships/hyperlink" Target="file:///C:\Users\Ppavlova\Desktop\PM%202014%20-%202020\&#1043;&#1083;&#1072;&#1074;&#1072;%205%20&#1060;&#1080;&#1085;&#1072;&#1085;&#1089;&#1086;&#1074;&#1086;%20&#1091;&#1087;&#1088;&#1072;&#1074;&#1083;&#1077;&#1085;&#1080;&#1077;%20-%20&#1055;&#1088;&#1080;&#1083;&#1086;&#1078;&#1077;&#1085;&#1080;&#1103;\5.08._&#1050;&#1086;&#1085;&#1090;&#1088;&#1086;&#1083;&#1077;&#1085;%20&#1083;&#1080;&#1089;&#1090;%20&#1079;&#1072;%20&#1087;&#1088;&#1086;&#1074;&#1077;&#1088;&#1082;&#1072;%20-%20&#1084;&#1077;&#1089;&#1077;&#1095;&#1077;&#1085;%20&#1082;&#1086;&#1085;&#1090;&#1088;&#1086;&#1083;%20&#1085;&#1072;%20&#1089;&#1095;&#1077;&#1090;&#1086;&#1074;&#1086;&#1076;&#1085;&#1080;&#1090;&#1077;%20&#1086;&#1087;&#1077;&#1088;&#1072;&#1094;&#1080;&#1080;.doc" TargetMode="External"/><Relationship Id="rId248" Type="http://schemas.openxmlformats.org/officeDocument/2006/relationships/hyperlink" Target="file:///C:\Users\Ppavlova\Desktop\PM%202014%20-%202020\&#1043;&#1083;&#1072;&#1074;&#1072;%205%20&#1060;&#1080;&#1085;&#1072;&#1085;&#1089;&#1086;&#1074;&#1086;%20&#1091;&#1087;&#1088;&#1072;&#1074;&#1083;&#1077;&#1085;&#1080;&#1077;%20-%20&#1055;&#1088;&#1080;&#1083;&#1086;&#1078;&#1077;&#1085;&#1080;&#1103;\5.24._&#1050;&#1086;&#1085;&#1090;&#1088;&#1086;&#1083;&#1077;&#1085;%20&#1083;&#1080;&#1089;&#1090;%20&#1079;&#1072;%20&#1087;&#1088;&#1086;&#1074;&#1077;&#1088;&#1082;&#1072;%20&#1085;&#1072;%20&#1087;&#1083;&#1072;&#1097;&#1072;&#1085;&#1077;%20&#1087;&#1086;%20&#1072;&#1074;&#1072;&#1085;&#1089;&#1086;&#1074;&#1086;%20&#1092;&#1080;&#1085;&#1072;&#1085;&#1089;&#1080;&#1088;&#1072;&#1085;&#1077;%20&#1087;&#1086;%20&#1088;&#1077;&#1076;&#1072;%20&#1085;&#1072;%20&#1044;&#1044;&#1057;%20&#8470;%2006_2011.doc" TargetMode="External"/><Relationship Id="rId269" Type="http://schemas.openxmlformats.org/officeDocument/2006/relationships/hyperlink" Target="file:///\\MTITC-FP03\OPTransport\public\DGIvanova\PM%202014-2020\Actual%20v_4.2%2016.12.2019\&#1043;&#1083;&#1072;&#1074;&#1072;%207%20&#1048;&#1079;&#1087;&#1098;&#1083;&#1085;&#1077;&#1085;&#1080;&#1077;%20-%20&#1055;&#1088;&#1080;&#1083;&#1086;&#1078;&#1077;&#1085;&#1080;&#1103;\7.03._&#1043;&#1086;&#1076;&#1080;&#1096;&#1077;&#1085;%20&#1076;&#1086;&#1082;&#1083;&#1072;&#1076;%20&#1079;&#1072;%20&#1091;&#1089;&#1090;&#1086;&#1081;&#1095;&#1080;&#1074;&#1086;&#1089;&#1090;%20(&#1079;&#1072;%20&#1087;&#1088;&#1080;&#1082;&#1083;&#1102;&#1095;&#1080;&#1083;%20&#1087;&#1088;&#1086;&#1077;&#1082;&#1090;).doc" TargetMode="External"/><Relationship Id="rId12" Type="http://schemas.openxmlformats.org/officeDocument/2006/relationships/hyperlink" Target="http://www.eufunds.bg" TargetMode="External"/><Relationship Id="rId33" Type="http://schemas.openxmlformats.org/officeDocument/2006/relationships/image" Target="media/image4.png"/><Relationship Id="rId108" Type="http://schemas.openxmlformats.org/officeDocument/2006/relationships/hyperlink" Target="file:///C:\Users\DGIvanova\AppData\Local\Microsoft\Windows\INetCache\Content.Outlook\0LQTPC6N\&#1043;&#1083;&#1072;&#1074;&#1072;%203%20&#1055;&#1088;&#1086;&#1075;&#1088;&#1072;&#1084;&#1080;&#1088;&#1072;&#1085;&#1077;%20-%20&#1055;&#1088;&#1080;&#1083;&#1086;&#1078;&#1077;&#1085;&#1080;&#1103;\3.05._&#1050;&#1088;&#1080;&#1090;&#1077;&#1088;&#1080;&#1080;%20%20&#1079;&#1072;%20&#1086;&#1089;&#1080;&#1075;&#1091;&#1088;&#1103;&#1074;&#1072;&#1085;&#1077;%20&#1085;&#1072;%20&#1080;&#1085;&#1092;&#1086;&#1088;&#1084;&#1072;&#1094;&#1080;&#1103;%20&#1079;&#1072;%20&#1080;&#1085;&#1074;&#1077;&#1089;&#1090;&#1080;&#1094;&#1080;&#1086;&#1085;&#1085;&#1080;&#166;&#1080;&#1085;&#1092;&#1088;&#1072;&#1089;&#1090;&#1088;&#1091;&#1082;&#1090;&#1091;&#1088;&#1085;&#1080;%20&#1087;&#1088;&#1086;&#1077;&#1082;&#1090;&#1080;%20&#1087;&#1088;&#1080;%20&#1080;&#1079;&#1074;&#1098;&#1088;&#1096;&#1074;&#1072;&#1085;&#1077;&#1090;&#1086;%20&#1085;&#1072;%20&#1086;&#1094;&#1077;&#1085;&#1082;&#1072;.doc" TargetMode="External"/><Relationship Id="rId129" Type="http://schemas.openxmlformats.org/officeDocument/2006/relationships/hyperlink" Target="file:///C:\Users\Ppavlova\Desktop\PM%202014%20-%202020\&#1043;&#1083;&#1072;&#1074;&#1072;%203%20&#1055;&#1088;&#1086;&#1075;&#1088;&#1072;&#1084;&#1080;&#1088;&#1072;&#1085;&#1077;%20-%20&#1055;&#1088;&#1080;&#1083;&#1086;&#1078;&#1077;&#1085;&#1080;&#1103;\3.08._&#1050;&#1086;&#1085;&#1090;&#1088;&#1086;&#1083;&#1077;&#1085;%20&#1083;&#1080;&#1089;&#1090;%20&#1079;&#1072;%20&#1080;&#1079;&#1074;&#1098;&#1088;&#1096;&#1077;&#1085;&#1072;%20&#1087;&#1088;&#1086;&#1074;&#1077;&#1088;&#1082;&#1072;%20&#1074;%20&#1048;&#1057;&#1059;&#1053;%20&#1079;&#1072;%20&#1083;&#1080;&#1087;&#1089;&#1072;%20&#1085;&#1072;%20&#1076;&#1074;&#1086;&#1081;&#1085;&#1086;%20&#1092;&#1080;&#1085;&#1072;&#1085;&#1089;&#1080;&#1088;&#1072;&#1085;&#1077;.doc" TargetMode="External"/><Relationship Id="rId280" Type="http://schemas.openxmlformats.org/officeDocument/2006/relationships/hyperlink" Target="file:///\\MTITC-FP03\OPTransport\public\DGIvanova\PM%202014-2020\Actual%20v_4.2%2016.12.2019\&#1043;&#1083;&#1072;&#1074;&#1072;%207%20&#1048;&#1079;&#1087;&#1098;&#1083;&#1085;&#1077;&#1085;&#1080;&#1077;%20-%20&#1055;&#1088;&#1080;&#1083;&#1086;&#1078;&#1077;&#1085;&#1080;&#1103;\7.05._&#1043;&#1086;&#1076;&#1080;&#1096;&#1077;&#1085;%20&#1087;&#1083;&#1072;&#1085;%20&#1079;&#1072;%20&#1080;&#1079;&#1074;&#1098;&#1088;&#1096;&#1074;&#1072;&#1085;&#1077;%20&#1085;&#1072;%20&#1087;&#1088;&#1086;&#1074;&#1077;&#1088;&#1082;&#1080;%20&#1085;&#1072;%20&#1084;&#1103;&#1089;&#1090;&#1086;%20&#1086;&#1090;%20&#1059;&#1054;%20&#1085;&#1072;%20&#1054;&#1055;&#1058;&#1058;&#1048;%20&#1079;&#1072;%20&#8230;&#8230;.%20&#1075;&#1086;&#1076;&#1080;&#1085;&#1072;.doc" TargetMode="External"/><Relationship Id="rId315" Type="http://schemas.openxmlformats.org/officeDocument/2006/relationships/package" Target="embeddings/Microsoft_Visio_Drawing111112222222222222222222222222222222222222222222222222222222222222222222222222222222222222222222222222222222222222222222222222222222222222222233322.vsdx"/><Relationship Id="rId336" Type="http://schemas.openxmlformats.org/officeDocument/2006/relationships/theme" Target="theme/theme1.xml"/><Relationship Id="rId54" Type="http://schemas.openxmlformats.org/officeDocument/2006/relationships/hyperlink" Target="file:///C:\Users\Ppavlova\Desktop\PM%202014%20-%202020\&#1043;&#1083;&#1072;&#1074;&#1072;%202%20&#1044;&#1098;&#1088;&#1078;&#1072;&#1074;&#1085;&#1080;%20&#1087;&#1086;&#1084;&#1086;&#1097;&#1080;%20-%20&#1055;&#1088;&#1080;&#1083;&#1086;&#1078;&#1077;&#1085;&#1080;&#1103;\2.02._&#1050;&#1086;&#1085;&#1090;&#1088;&#1086;&#1083;&#1077;&#1085;%20&#1083;&#1080;&#1089;&#1090;%20&#1079;&#1072;%20&#1087;&#1088;&#1077;&#1076;&#1074;&#1072;&#1088;&#1080;&#1090;&#1077;&#1083;&#1085;&#1072;%20&#1086;&#1094;&#1077;&#1085;&#1082;&#1072;%20&#1079;&#1072;%20%20&#1086;&#1087;&#1088;&#1077;&#1076;&#1077;&#1083;&#1103;&#1085;&#1077;%20&#1085;&#1072;&#1083;&#1080;&#1095;&#1080;&#1077;&#1090;&#1086;%20&#1085;&#1072;%20&#1076;&#1098;&#1088;&#1078;&#1072;&#1074;&#1085;&#1072;%20&#1087;&#1086;&#1084;&#1086;&#1097;%20-%20&#1048;&#1079;&#1082;&#1083;&#1102;&#1095;&#1077;&#1085;&#1080;&#1103;.doc" TargetMode="External"/><Relationship Id="rId75" Type="http://schemas.openxmlformats.org/officeDocument/2006/relationships/diagramLayout" Target="diagrams/layout2.xml"/><Relationship Id="rId96" Type="http://schemas.openxmlformats.org/officeDocument/2006/relationships/hyperlink" Target="file:///C:\Users\DGIvanova\AppData\Local\Microsoft\Windows\INetCache\Content.Outlook\0LQTPC6N\&#1043;&#1083;&#1072;&#1074;&#1072;%203%20&#1055;&#1088;&#1086;&#1075;&#1088;&#1072;&#1084;&#1080;&#1088;&#1072;&#1085;&#1077;%20-%20&#1055;&#1088;&#1080;&#1083;&#1086;&#1078;&#1077;&#1085;&#1080;&#1103;\3.03._&#1044;&#1077;&#1082;&#1083;&#1072;&#1088;&#1072;&#1094;&#1080;&#1103;%20&#1079;&#1072;%20&#1083;&#1080;&#1087;&#1089;&#1072;%20&#1085;&#1072;%20&#1082;&#1086;&#1085;&#1092;&#1083;&#1080;&#1082;&#1090;%20&#1085;&#1072;%20&#1080;&#1085;&#1090;&#1077;&#1088;&#1077;&#1089;&#1080;%20&#1080;%20&#1087;&#1086;&#1074;&#1077;&#1088;&#1080;&#1090;&#1077;&#1083;&#1085;&#1086;&#1089;&#1090;%20v4-2.doc" TargetMode="External"/><Relationship Id="rId140" Type="http://schemas.openxmlformats.org/officeDocument/2006/relationships/hyperlink" Target="file:///C:\Users\Ppavlova\Desktop\PM%202014%20-%202020\&#1043;&#1083;&#1072;&#1074;&#1072;%203%20&#1055;&#1088;&#1086;&#1075;&#1088;&#1072;&#1084;&#1080;&#1088;&#1072;&#1085;&#1077;%20-%20&#1055;&#1088;&#1080;&#1083;&#1086;&#1078;&#1077;&#1085;&#1080;&#1103;\3.08._&#1050;&#1086;&#1085;&#1090;&#1088;&#1086;&#1083;&#1077;&#1085;%20&#1083;&#1080;&#1089;&#1090;%20&#1079;&#1072;%20&#1080;&#1079;&#1074;&#1098;&#1088;&#1096;&#1077;&#1085;&#1072;%20&#1087;&#1088;&#1086;&#1074;&#1077;&#1088;&#1082;&#1072;%20&#1074;%20&#1048;&#1057;&#1059;&#1053;%20&#1079;&#1072;%20&#1083;&#1080;&#1087;&#1089;&#1072;%20&#1085;&#1072;%20&#1076;&#1074;&#1086;&#1081;&#1085;&#1086;%20&#1092;&#1080;&#1085;&#1072;&#1085;&#1089;&#1080;&#1088;&#1072;&#1085;&#1077;.doc" TargetMode="External"/><Relationship Id="rId161" Type="http://schemas.openxmlformats.org/officeDocument/2006/relationships/hyperlink" Target="file:///C:\Users\Sgotzov\AppData\Local\Microsoft\Windows\INetCache\Content.Outlook\0QLPQ679\&#1043;&#1083;&#1072;&#1074;&#1072;%202%20&#1044;&#1098;&#1088;&#1078;&#1072;&#1074;&#1085;&#1080;%20&#1087;&#1086;&#1084;&#1086;&#1097;&#1080;%20-%20&#1055;&#1088;&#1080;&#1083;&#1086;&#1078;&#1077;&#1085;&#1080;&#1103;\2.03._&#1050;&#1086;&#1085;&#1090;&#1088;&#1086;&#1083;&#1077;&#1085;%20&#1083;&#1080;&#1089;&#1090;%20&#1079;&#1072;%20&#1087;&#1088;&#1077;&#1076;&#1074;&#1072;&#1088;&#1080;&#1090;&#1077;&#1083;&#1085;&#1072;%20&#1086;&#1094;&#1077;&#1085;&#1082;&#1072;%20&#1079;&#1072;%20&#1086;&#1087;&#1088;&#1077;&#1076;&#1077;&#1083;&#1103;&#1085;&#1077;%20&#1085;&#1072;%20&#1087;&#1088;&#1080;&#1083;&#1086;&#1078;&#1080;&#1084;%20&#1082;&#1098;&#1084;%20&#1084;&#1103;&#1088;&#1082;&#1072;&#1090;&#1072;%20&#1088;&#1077;&#1078;&#1080;&#1084;%20&#1085;&#1072;%20&#1089;&#1098;&#1074;&#1084;&#1077;&#1089;&#1090;&#1080;&#1084;&#1072;%20&#1076;&#1098;&#1088;&#1078;&#1072;&#1074;&#1085;&#1072;%20&#1087;&#1086;&#1084;&#1086;&#1097;.doc" TargetMode="External"/><Relationship Id="rId182" Type="http://schemas.openxmlformats.org/officeDocument/2006/relationships/hyperlink" Target="file:///\\MTITC-FP03\OPTransport\public\DGIvanova\PM%202014-2020\Actual%20v_4.2%2016.12.2019\&#1043;&#1083;&#1072;&#1074;&#1072;%205%20&#1060;&#1080;&#1085;&#1072;&#1085;&#1089;&#1086;&#1074;&#1086;%20&#1091;&#1087;&#1088;&#1072;&#1074;&#1083;&#1077;&#1085;&#1080;&#1077;%20-%20&#1055;&#1088;&#1080;&#1083;&#1086;&#1078;&#1077;&#1085;&#1080;&#1103;\5.01.2.3._&#1056;&#1077;&#1096;&#1077;&#1085;&#1080;&#1077;%20&#1079;&#1072;%20&#1074;&#1077;&#1088;&#1080;&#1092;&#1080;&#1082;&#1072;&#1094;&#1080;&#1103;%20&#1085;&#1072;%20&#1087;&#1086;&#1089;&#1090;&#1098;&#1087;&#1080;&#1083;&#1086;%20&#1084;&#1077;&#1078;&#1076;&#1080;&#1085;&#1085;&#1086;&#166;&#1086;&#1082;&#1086;&#1085;&#1095;&#1072;&#1090;&#1077;&#1083;&#1085;&#1086;%20&#1087;&#1083;&#1072;&#1097;&#1072;&#1085;&#1077;.doc" TargetMode="External"/><Relationship Id="rId217" Type="http://schemas.openxmlformats.org/officeDocument/2006/relationships/hyperlink" Target="file:///C:\Users\Ppavlova\Desktop\PM%202014%20-%202020\&#1043;&#1083;&#1072;&#1074;&#1072;%205%20&#1060;&#1080;&#1085;&#1072;&#1085;&#1089;&#1086;&#1074;&#1086;%20&#1091;&#1087;&#1088;&#1072;&#1074;&#1083;&#1077;&#1085;&#1080;&#1077;%20-%20&#1055;&#1088;&#1080;&#1083;&#1086;&#1078;&#1077;&#1085;&#1080;&#1103;\5.12._&#1059;&#1074;&#1077;&#1076;&#1086;&#1084;&#1080;&#1090;&#1077;&#1083;&#1085;&#1086;%20&#1087;&#1080;&#1089;&#1084;&#1086;%20&#1079;&#1072;%20&#1086;&#1089;&#1095;&#1077;&#1090;&#1086;&#1074;&#1086;&#1076;&#1077;&#1085;&#1080;%20&#1074;&#1079;&#1077;&#1084;&#1072;&#1085;&#1080;&#1103;.xls" TargetMode="External"/><Relationship Id="rId6" Type="http://schemas.openxmlformats.org/officeDocument/2006/relationships/footnotes" Target="footnotes.xml"/><Relationship Id="rId238" Type="http://schemas.openxmlformats.org/officeDocument/2006/relationships/hyperlink" Target="mailto:natfund@minfin.bg" TargetMode="External"/><Relationship Id="rId259" Type="http://schemas.openxmlformats.org/officeDocument/2006/relationships/hyperlink" Target="file:///C:\Users\Ppavlova\Desktop\PM%202014%20-%202020\&#1043;&#1083;&#1072;&#1074;&#1072;%206%20&#1053;&#1077;&#1088;&#1077;&#1076;&#1085;&#1086;&#1089;&#1090;&#1080;%20-%20&#1055;&#1088;&#1080;&#1083;&#1086;&#1078;&#1077;&#1085;&#1080;&#1103;\6.05._&#1044;&#1086;&#1082;&#1083;&#1072;&#1076;%20&#1076;&#1086;%20&#1056;&#1098;&#1082;&#1086;&#1074;&#1086;&#1076;&#1080;&#1090;&#1077;&#1083;&#1103;%20&#1085;&#1072;%20&#1059;&#1054;%20&#1085;&#1072;%20&#1054;&#1055;&#1058;&#1058;&#1048;%20-%20&#1090;&#1088;&#1080;&#1084;&#1077;&#1089;&#1077;&#1095;&#1085;&#1086;%20&#1076;&#1086;&#1082;&#1083;&#1072;&#1076;&#1074;&#1072;&#1085;&#1077;%20&#1085;&#1072;%20&#1085;&#1077;&#1088;&#1077;&#1076;&#1085;&#1086;&#1089;&#1090;&#1080;%20&#1086;&#1090;%20&#1089;&#1090;&#1088;&#1072;&#1085;&#1072;%20&#1085;&#1072;%20&#1059;&#1054;%20&#1085;&#1072;%20&#1054;&#1055;&#1058;&#1058;&#1048;.doc" TargetMode="External"/><Relationship Id="rId23" Type="http://schemas.openxmlformats.org/officeDocument/2006/relationships/hyperlink" Target="file:///C:\Users\Ppavlova\Desktop\PM%202014%20-%202020\&#1043;&#1083;&#1072;&#1074;&#1072;%201%20&#1054;&#1073;&#1097;&#1080;%20&#1087;&#1086;&#1083;&#1086;&#1078;&#1077;&#1085;&#1080;&#1103;%20-%20&#1055;&#1088;&#1080;&#1083;&#1086;&#1078;&#1077;&#1085;&#1080;&#1103;\1.01._&#1044;&#1077;&#1082;&#1083;&#1072;&#1088;&#1072;&#1094;&#1080;&#1103;%20&#1079;&#1072;%20&#1079;&#1072;&#1087;&#1086;&#1079;&#1085;&#1072;&#1074;&#1072;&#1085;&#1077;%20&#1089;%20&#1087;&#1088;&#1086;&#1094;&#1077;&#1076;&#1091;&#1088;&#1085;&#1080;&#1103;%20&#1085;&#1072;&#1088;&#1098;&#1095;&#1085;&#1080;&#1082;.doc" TargetMode="External"/><Relationship Id="rId119" Type="http://schemas.openxmlformats.org/officeDocument/2006/relationships/hyperlink" Target="file:///C:\Users\Ppavlova\Desktop\PM%202014%20-%202020\&#1043;&#1083;&#1072;&#1074;&#1072;%202%20&#1044;&#1098;&#1088;&#1078;&#1072;&#1074;&#1085;&#1080;%20&#1087;&#1086;&#1084;&#1086;&#1097;&#1080;%20-%20&#1055;&#1088;&#1080;&#1083;&#1086;&#1078;&#1077;&#1085;&#1080;&#1103;\2.02._&#1050;&#1086;&#1085;&#1090;&#1088;&#1086;&#1083;&#1077;&#1085;%20&#1083;&#1080;&#1089;&#1090;%20&#1079;&#1072;%20&#1087;&#1088;&#1077;&#1076;&#1074;&#1072;&#1088;&#1080;&#1090;&#1077;&#1083;&#1085;&#1072;%20&#1086;&#1094;&#1077;&#1085;&#1082;&#1072;%20&#1079;&#1072;%20%20&#1086;&#1087;&#1088;&#1077;&#1076;&#1077;&#1083;&#1103;&#1085;&#1077;%20&#1085;&#1072;&#1083;&#1080;&#1095;&#1080;&#1077;&#1090;&#1086;%20&#1085;&#1072;%20&#1076;&#1098;&#1088;&#1078;&#1072;&#1074;&#1085;&#1072;%20&#1087;&#1086;&#1084;&#1086;&#1097;%20-%20&#1048;&#1079;&#1082;&#1083;&#1102;&#1095;&#1077;&#1085;&#1080;&#1103;.doc" TargetMode="External"/><Relationship Id="rId270" Type="http://schemas.openxmlformats.org/officeDocument/2006/relationships/hyperlink" Target="file:///C:\Users\Ppavlova\Desktop\PM%202014%20-%202020\&#1043;&#1083;&#1072;&#1074;&#1072;%207%20&#1048;&#1079;&#1087;&#1098;&#1083;&#1085;&#1077;&#1085;&#1080;&#1077;%20-%20&#1055;&#1088;&#1080;&#1083;&#1086;&#1078;&#1077;&#1085;&#1080;&#1103;\7.03._&#1043;&#1086;&#1076;&#1080;&#1096;&#1077;&#1085;%20&#1076;&#1086;&#1082;&#1083;&#1072;&#1076;%20&#1079;&#1072;%20&#1091;&#1089;&#1090;&#1086;&#1081;&#1095;&#1080;&#1074;&#1086;&#1089;&#1090;%20(&#1079;&#1072;%20&#1087;&#1088;&#1080;&#1082;&#1083;&#1102;&#1095;&#1080;&#1083;%20&#1087;&#1088;&#1086;&#1077;&#1082;&#1090;).doc" TargetMode="External"/><Relationship Id="rId291" Type="http://schemas.openxmlformats.org/officeDocument/2006/relationships/hyperlink" Target="file:///\\MTITC-FP03\OPTransport\public\DGIvanova\PM%202014-2020\Actual%20v_4.2%2016.12.2019\&#1043;&#1083;&#1072;&#1074;&#1072;%207%20&#1048;&#1079;&#1087;&#1098;&#1083;&#1085;&#1077;&#1085;&#1080;&#1077;%20-%20&#1055;&#1088;&#1080;&#1083;&#1086;&#1078;&#1077;&#1085;&#1080;&#1103;\7.04._&#1054;&#1082;&#1086;&#1085;&#1095;&#1072;&#1090;&#1077;&#1083;&#1077;&#1085;%20&#1076;&#1086;&#1082;&#1083;&#1072;&#1076;%20&#1087;&#1086;%20&#1087;&#1088;&#1086;&#1077;&#1082;&#1090;.doc" TargetMode="External"/><Relationship Id="rId305" Type="http://schemas.openxmlformats.org/officeDocument/2006/relationships/hyperlink" Target="file:///C:\Users\Ppavlova\Desktop\PM%202014%20-%202020\&#1043;&#1083;&#1072;&#1074;&#1072;%208%20&#1059;&#1087;&#1088;&#1072;&#1074;&#1083;&#1077;&#1085;&#1080;&#1077;%20&#1085;&#1072;%20&#1088;&#1080;&#1089;&#1082;&#1072;%20-%20&#1055;&#1088;&#1080;&#1083;&#1086;&#1078;&#1077;&#1085;&#1080;&#1103;\8.04._&#1055;&#1083;&#1072;&#1085;%20&#1079;&#1072;%20&#1076;&#1077;&#1081;&#1089;&#1090;&#1074;&#1080;&#1077;%20&#1079;&#1072;%20&#1074;&#1098;&#1074;&#1077;&#1078;&#1076;&#1072;&#1085;&#1077;%20&#1085;&#1072;%20&#1077;&#1092;&#1077;&#1082;&#1090;&#1080;&#1074;&#1085;&#1080;%20&#1080;%20&#1087;&#1088;&#1086;&#1087;&#1086;&#1088;&#1094;&#1080;&#1086;&#1085;&#1072;&#1083;&#1085;&#1080;%20&#1084;&#1077;&#1088;&#1082;&#1080;%20&#1079;&#1072;%20&#1073;&#1086;&#1088;&#1073;&#1072;%20&#1089;%20&#1080;&#1079;&#1084;&#1072;&#1084;&#1080;&#1090;&#1077;.doc" TargetMode="External"/><Relationship Id="rId326" Type="http://schemas.openxmlformats.org/officeDocument/2006/relationships/hyperlink" Target="file:///C:\Users\Ppavlova\Desktop\PM%202014%20-%202020\&#1043;&#1083;&#1072;&#1074;&#1072;%209%20&#1052;&#1086;&#1085;&#1080;&#1090;&#1086;&#1088;&#1080;&#1085;&#1075;%20-%20&#1055;&#1088;&#1080;&#1083;&#1086;&#1078;&#1077;&#1085;&#1080;&#1103;\9.06._&#1044;&#1086;&#1082;&#1083;&#1072;&#1076;%20&#1079;&#1072;%20&#1080;&#1079;&#1087;&#1098;&#1083;&#1085;&#1077;&#1085;&#1080;&#1077;%20&#1085;&#1072;%20&#1076;&#1077;&#1081;&#1085;&#1086;&#1089;&#1090;&#1080;&#1090;&#1077;%20&#1087;&#1086;%20&#1080;&#1085;&#1092;&#1086;&#1088;&#1084;&#1072;&#1094;&#1080;&#1103;%20&#1080;%20&#1087;&#1091;&#1073;&#1083;&#1080;&#1095;&#1085;&#1086;&#1089;&#1090;%20&#1079;&#1072;%20&#1087;&#1088;&#1086;&#1077;&#1082;&#1090;.doc" TargetMode="External"/><Relationship Id="rId44" Type="http://schemas.openxmlformats.org/officeDocument/2006/relationships/hyperlink" Target="file:///C:\Users\Ppavlova\Desktop\PM%202014%20-%202020\&#1043;&#1083;&#1072;&#1074;&#1072;%202%20&#1044;&#1098;&#1088;&#1078;&#1072;&#1074;&#1085;&#1080;%20&#1087;&#1086;&#1084;&#1086;&#1097;&#1080;%20-%20&#1055;&#1088;&#1080;&#1083;&#1086;&#1078;&#1077;&#1085;&#1080;&#1103;\2.06._State%20Aid%20Analytical%20Grids%20for%20infrastructure%20update%202016%20en.pdf" TargetMode="External"/><Relationship Id="rId65" Type="http://schemas.openxmlformats.org/officeDocument/2006/relationships/diagramQuickStyle" Target="diagrams/quickStyle1.xml"/><Relationship Id="rId86" Type="http://schemas.openxmlformats.org/officeDocument/2006/relationships/hyperlink" Target="http://www.eufunds.bg/" TargetMode="External"/><Relationship Id="rId130" Type="http://schemas.openxmlformats.org/officeDocument/2006/relationships/hyperlink" Target="file:///C:\Users\Ppavlova\Desktop\PM%202014%20-%202020\&#1043;&#1083;&#1072;&#1074;&#1072;%203%20&#1055;&#1088;&#1086;&#1075;&#1088;&#1072;&#1084;&#1080;&#1088;&#1072;&#1085;&#1077;%20-%20&#1055;&#1088;&#1080;&#1083;&#1086;&#1078;&#1077;&#1085;&#1080;&#1103;\3.07._&#1044;&#1086;&#1082;&#1083;&#1072;&#1076;%20&#1079;&#1072;%20&#1080;&#1079;&#1074;&#1098;&#1088;&#1096;&#1077;&#1085;&#1072;%20&#1086;&#1094;&#1077;&#1085;&#1082;&#1072;%20&#1085;&#1072;%20&#1087;&#1088;&#1086;&#1077;&#1082;&#1090;&#1085;&#1086;%20&#1087;&#1088;&#1077;&#1076;&#1083;&#1086;&#1078;&#1077;&#1085;&#1080;&#1077;.docx" TargetMode="External"/><Relationship Id="rId151" Type="http://schemas.openxmlformats.org/officeDocument/2006/relationships/hyperlink" Target="file:///C:\Users\Ppavlova\Desktop\PM%202014%20-%202020\&#1043;&#1083;&#1072;&#1074;&#1072;%202%20&#1044;&#1098;&#1088;&#1078;&#1072;&#1074;&#1085;&#1080;%20&#1087;&#1086;&#1084;&#1086;&#1097;&#1080;%20-%20&#1055;&#1088;&#1080;&#1083;&#1086;&#1078;&#1077;&#1085;&#1080;&#1103;\2.02._&#1050;&#1086;&#1085;&#1090;&#1088;&#1086;&#1083;&#1077;&#1085;%20&#1083;&#1080;&#1089;&#1090;%20&#1079;&#1072;%20&#1087;&#1088;&#1077;&#1076;&#1074;&#1072;&#1088;&#1080;&#1090;&#1077;&#1083;&#1085;&#1072;%20&#1086;&#1094;&#1077;&#1085;&#1082;&#1072;%20&#1079;&#1072;%20%20&#1086;&#1087;&#1088;&#1077;&#1076;&#1077;&#1083;&#1103;&#1085;&#1077;%20&#1085;&#1072;&#1083;&#1080;&#1095;&#1080;&#1077;&#1090;&#1086;%20&#1085;&#1072;%20&#1076;&#1098;&#1088;&#1078;&#1072;&#1074;&#1085;&#1072;%20&#1087;&#1086;&#1084;&#1086;&#1097;%20-%20&#1048;&#1079;&#1082;&#1083;&#1102;&#1095;&#1077;&#1085;&#1080;&#1103;.doc" TargetMode="External"/><Relationship Id="rId172" Type="http://schemas.openxmlformats.org/officeDocument/2006/relationships/hyperlink" Target="file:///C:\Users\Ppavlova\Desktop\PM%202014%20-%202020\&#1043;&#1083;&#1072;&#1074;&#1072;%203%20&#1055;&#1088;&#1086;&#1075;&#1088;&#1072;&#1084;&#1080;&#1088;&#1072;&#1085;&#1077;%20-%20&#1055;&#1088;&#1080;&#1083;&#1086;&#1078;&#1077;&#1085;&#1080;&#1103;\3.13._K&#1086;&#1085;&#1090;&#1088;&#1086;&#1083;&#1077;&#1085;%20&#1083;&#1080;&#1089;&#1090;%20&#8470;%20&#1079;&#1072;%20&#1080;&#1079;&#1074;&#1098;&#1088;&#1096;&#1074;&#1072;&#1085;&#1077;%20&#1085;&#1072;%20&#1087;&#1088;&#1077;&#1076;&#1074;&#1072;&#1088;&#1080;&#1090;&#1077;&#1083;&#1077;&#1085;%20&#1082;&#1086;&#1085;&#1090;&#1088;&#1086;&#1083;%20&#1086;&#1090;%20&#1092;&#1080;&#1085;&#1072;&#1085;&#1089;&#1086;&#1074;&#1080;&#1103;%20&#1082;&#1086;&#1085;&#1090;&#1088;&#1086;&#1083;&#1100;&#1086;&#1088;%20&#1087;&#1088;&#1077;&#1076;&#1080;%20&#1087;&#1086;&#1077;&#1084;&#1072;&#1085;&#1077;%20&#1085;&#1072;%20&#1079;&#1072;&#1076;&#1098;&#1083;&#1078;&#1077;&#1085;&#1080;&#1077;.doc" TargetMode="External"/><Relationship Id="rId193" Type="http://schemas.openxmlformats.org/officeDocument/2006/relationships/hyperlink" Target="file:///C:\Users\Ppavlova\Desktop\PM%202014%20-%202020\&#1043;&#1083;&#1072;&#1074;&#1072;%205%20&#1060;&#1080;&#1085;&#1072;&#1085;&#1089;&#1086;&#1074;&#1086;%20&#1091;&#1087;&#1088;&#1072;&#1074;&#1083;&#1077;&#1085;&#1080;&#1077;%20-%20&#1055;&#1088;&#1080;&#1083;&#1086;&#1078;&#1077;&#1085;&#1080;&#1103;\5.02.1._&#1052;&#1077;&#1078;&#1076;&#1080;&#1085;&#1077;&#1085;%20&#1044;&#1086;&#1082;&#1083;&#1072;&#1076;%20&#1087;&#1086;%20&#1089;&#1077;&#1088;&#1090;&#1080;&#1092;&#1080;&#1082;&#1072;&#1094;&#1080;&#1103;%20&#1086;&#1090;%20&#1059;&#1087;&#1088;&#1072;&#1074;&#1083;&#1103;&#1074;&#1072;&#1097;%20&#1086;&#1088;&#1075;&#1072;&#1085;%20&#1087;&#1086;%20&#1054;&#1055;&#1058;&#1058;&#1048;.docx" TargetMode="External"/><Relationship Id="rId207" Type="http://schemas.openxmlformats.org/officeDocument/2006/relationships/hyperlink" Target="file:///C:\Users\Ppavlova\Desktop\PM%202014%20-%202020\&#1043;&#1083;&#1072;&#1074;&#1072;%205%20&#1060;&#1080;&#1085;&#1072;&#1085;&#1089;&#1086;&#1074;&#1086;%20&#1091;&#1087;&#1088;&#1072;&#1074;&#1083;&#1077;&#1085;&#1080;&#1077;%20-%20&#1055;&#1088;&#1080;&#1083;&#1086;&#1078;&#1077;&#1085;&#1080;&#1103;\5.07._&#1057;&#1090;&#1072;&#1085;&#1076;&#1072;&#1088;&#1090;&#1085;&#1080;%20&#1089;&#1095;&#1077;&#1090;&#1086;&#1074;&#1086;&#1076;&#1085;&#1080;%20&#1079;&#1072;&#1087;&#1080;&#1089;&#1074;&#1072;&#1085;&#1080;&#1103;%20&#1087;&#1086;%20&#1054;&#1055;&#1058;&#1058;&#1048;.xls" TargetMode="External"/><Relationship Id="rId228" Type="http://schemas.openxmlformats.org/officeDocument/2006/relationships/hyperlink" Target="mailto:natfund@minfin.bg" TargetMode="External"/><Relationship Id="rId249" Type="http://schemas.openxmlformats.org/officeDocument/2006/relationships/hyperlink" Target="file:///C:\Users\Ppavlova\Desktop\PM%202014%20-%202020\&#1043;&#1083;&#1072;&#1074;&#1072;%205%20&#1060;&#1080;&#1085;&#1072;&#1085;&#1089;&#1086;&#1074;&#1086;%20&#1091;&#1087;&#1088;&#1072;&#1074;&#1083;&#1077;&#1085;&#1080;&#1077;%20-%20&#1055;&#1088;&#1080;&#1083;&#1086;&#1078;&#1077;&#1085;&#1080;&#1103;\5.25._&#1050;&#1086;&#1085;&#1090;&#1088;&#1086;&#1083;&#1077;&#1085;%20&#1083;&#1080;&#1089;&#1090;%20&#1079;&#1072;%20&#1087;&#1086;&#1090;&#1074;&#1098;&#1088;&#1078;&#1076;&#1072;&#1074;&#1072;&#1085;&#1077;%20&#1085;&#1072;%20&#1087;&#1083;&#1072;&#1097;&#1072;&#1085;&#1080;&#1103;&#1090;&#1072;%20&#1074;%20&#1057;&#1045;&#1041;&#1056;&#1040;%20&#1087;&#1086;%20&#1088;&#1077;&#1076;&#1072;%20&#1085;&#1072;%20&#1044;&#1044;&#1057;%20&#8470;%2006_2011.doc" TargetMode="External"/><Relationship Id="rId13" Type="http://schemas.openxmlformats.org/officeDocument/2006/relationships/hyperlink" Target="https://www.eufunds.bg/bg/optti" TargetMode="External"/><Relationship Id="rId109" Type="http://schemas.openxmlformats.org/officeDocument/2006/relationships/hyperlink" Target="file:///C:\Users\DGIvanova\AppData\Local\Microsoft\Windows\INetCache\Content.Outlook\0LQTPC6N\&#1043;&#1083;&#1072;&#1074;&#1072;%202%20&#1044;&#1098;&#1088;&#1078;&#1072;&#1074;&#1085;&#1080;%20&#1087;&#1086;&#1084;&#1086;&#1097;&#1080;%20-%20&#1055;&#1088;&#1080;&#1083;&#1086;&#1078;&#1077;&#1085;&#1080;&#1103;\2.02._&#1050;&#1086;&#1085;&#1090;&#1088;&#1086;&#1083;&#1077;&#1085;%20&#1083;&#1080;&#1089;&#1090;%20&#1079;&#1072;%20&#1087;&#1088;&#1077;&#1076;&#1074;&#1072;&#1088;&#1080;&#1090;&#1077;&#1083;&#1085;&#1072;%20&#1086;&#1094;&#1077;&#1085;&#1082;&#1072;%20&#1079;&#1072;%20%20&#1086;&#1087;&#1088;&#1077;&#1076;&#1077;&#1083;&#1103;&#1085;&#1077;%20&#1085;&#1072;&#1083;&#1080;&#1095;&#1080;&#1077;&#1090;&#1086;%20&#1085;&#1072;%20&#1076;&#1098;&#1088;&#1078;&#1072;&#1074;&#1085;&#1072;%20&#1087;&#1086;&#1084;&#1086;&#1097;%20-%20&#1048;&#1079;&#1082;&#1083;&#1102;&#1095;&#1077;&#1085;&#1080;&#1103;.doc" TargetMode="External"/><Relationship Id="rId260" Type="http://schemas.openxmlformats.org/officeDocument/2006/relationships/hyperlink" Target="file:///C:\Users\Ppavlova\Desktop\PM%202014%20-%202020\&#1043;&#1083;&#1072;&#1074;&#1072;%206%20&#1053;&#1077;&#1088;&#1077;&#1076;&#1085;&#1086;&#1089;&#1090;&#1080;%20-%20&#1055;&#1088;&#1080;&#1083;&#1086;&#1078;&#1077;&#1085;&#1080;&#1103;\6.09._&#1056;&#1077;&#1096;&#1077;&#1085;&#1080;&#1077;%20&#1079;&#1072;%20&#1087;&#1088;&#1080;&#1082;&#1083;&#1102;&#1095;&#1074;&#1072;&#1085;&#1077;%20&#1085;&#1072;%20&#1085;&#1077;&#1088;&#1077;&#1076;&#1085;&#1086;&#1089;&#1090;.docx" TargetMode="External"/><Relationship Id="rId281" Type="http://schemas.openxmlformats.org/officeDocument/2006/relationships/hyperlink" Target="file:///\\MTITC-FP03\OPTransport\public\DGIvanova\PM%202014-2020\Actual%20v_4.2%2016.12.2019\&#1043;&#1083;&#1072;&#1074;&#1072;%207%20&#1048;&#1079;&#1087;&#1098;&#1083;&#1085;&#1077;&#1085;&#1080;&#1077;%20-%20&#1055;&#1088;&#1080;&#1083;&#1086;&#1078;&#1077;&#1085;&#1080;&#1103;\7.05.1._&#1043;&#1086;&#1076;&#1080;&#1096;&#1077;&#1085;%20&#1087;&#1083;&#1072;&#1085;%20-%20&#1048;&#1079;&#1084;&#1077;&#1085;&#1077;&#1085;&#1080;&#1077;%201%20&#1079;&#1072;%20&#1080;&#1079;&#1074;&#1098;&#1088;&#1096;&#1074;&#1072;&#1085;&#1077;%20&#1085;&#1072;%20&#1087;&#1088;&#1086;&#1074;&#1077;&#1088;&#1082;&#1080;%20&#1085;&#1072;%20&#1084;&#1103;&#1089;&#1090;&#1086;%20&#1086;&#1090;%20&#1059;&#1054;%20&#1085;&#1072;%20&#1054;&#1055;&#1058;&#1058;&#1048;%20&#1079;&#1072;%20&#8230;&#8230;.%20&#1075;&#1086;&#1076;&#1080;&#1085;&#1072;.doc" TargetMode="External"/><Relationship Id="rId316" Type="http://schemas.openxmlformats.org/officeDocument/2006/relationships/hyperlink" Target="file:///C:\Users\Ppavlova\Desktop\PM%202014%20-%202020\&#1043;&#1083;&#1072;&#1074;&#1072;%209%20&#1052;&#1086;&#1085;&#1080;&#1090;&#1086;&#1088;&#1080;&#1085;&#1075;%20-%20&#1055;&#1088;&#1080;&#1083;&#1086;&#1078;&#1077;&#1085;&#1080;&#1103;\9.05._&#1054;&#1087;&#1080;&#1089;&#1072;&#1085;&#1080;&#1077;%20&#1048;&#1057;&#1059;&#1053;%202020.docx" TargetMode="External"/><Relationship Id="rId34" Type="http://schemas.openxmlformats.org/officeDocument/2006/relationships/hyperlink" Target="http://www.mtc.government.bg" TargetMode="External"/><Relationship Id="rId55" Type="http://schemas.openxmlformats.org/officeDocument/2006/relationships/hyperlink" Target="file:///C:\Users\Ppavlova\Desktop\PM%202014%20-%202020\&#1043;&#1083;&#1072;&#1074;&#1072;%202%20&#1044;&#1098;&#1088;&#1078;&#1072;&#1074;&#1085;&#1080;%20&#1087;&#1086;&#1084;&#1086;&#1097;&#1080;%20-%20&#1055;&#1088;&#1080;&#1083;&#1086;&#1078;&#1077;&#1085;&#1080;&#1103;\2.03._&#1050;&#1086;&#1085;&#1090;&#1088;&#1086;&#1083;&#1077;&#1085;%20&#1083;&#1080;&#1089;&#1090;%20&#1079;&#1072;%20&#1087;&#1088;&#1077;&#1076;&#1074;&#1072;&#1088;&#1080;&#1090;&#1077;&#1083;&#1085;&#1072;%20&#1086;&#1094;&#1077;&#1085;&#1082;&#1072;%20&#1079;&#1072;%20&#1086;&#1087;&#1088;&#1077;&#1076;&#1077;&#1083;&#1103;&#1085;&#1077;%20&#1085;&#1072;%20&#1087;&#1088;&#1080;&#1083;&#1086;&#1078;&#1080;&#1084;%20&#1082;&#1098;&#1084;%20&#1084;&#1103;&#1088;&#1082;&#1072;&#1090;&#1072;%20&#1088;&#1077;&#1078;&#1080;&#1084;%20&#1085;&#1072;%20&#1089;&#1098;&#1074;&#1084;&#1077;&#1089;&#1090;&#1080;&#1084;&#1072;%20&#1076;&#1098;&#1088;&#1078;&#1072;&#1074;&#1085;&#1072;%20&#1087;&#1086;&#1084;&#1086;&#1097;.doc" TargetMode="External"/><Relationship Id="rId76" Type="http://schemas.openxmlformats.org/officeDocument/2006/relationships/diagramQuickStyle" Target="diagrams/quickStyle2.xml"/><Relationship Id="rId97" Type="http://schemas.openxmlformats.org/officeDocument/2006/relationships/hyperlink" Target="file:///C:\Users\DGIvanova\AppData\Local\Microsoft\Windows\INetCache\Content.Outlook\0LQTPC6N\&#1043;&#1083;&#1072;&#1074;&#1072;%203%20&#1055;&#1088;&#1086;&#1075;&#1088;&#1072;&#1084;&#1080;&#1088;&#1072;&#1085;&#1077;%20-%20&#1055;&#1088;&#1080;&#1083;&#1086;&#1078;&#1077;&#1085;&#1080;&#1103;\3.03._&#1044;&#1077;&#1082;&#1083;&#1072;&#1088;&#1072;&#1094;&#1080;&#1103;%20&#1079;&#1072;%20&#1083;&#1080;&#1087;&#1089;&#1072;%20&#1085;&#1072;%20&#1082;&#1086;&#1085;&#1092;&#1083;&#1080;&#1082;&#1090;%20&#1085;&#1072;%20&#1080;&#1085;&#1090;&#1077;&#1088;&#1077;&#1089;&#1080;%20&#1080;%20&#1087;&#1086;&#1074;&#1077;&#1088;&#1080;&#1090;&#1077;&#1083;&#1085;&#1086;&#1089;&#1090;%20v4-2.doc" TargetMode="External"/><Relationship Id="rId120" Type="http://schemas.openxmlformats.org/officeDocument/2006/relationships/hyperlink" Target="file:///C:\Users\Ppavlova\Desktop\PM%202014%20-%202020\&#1043;&#1083;&#1072;&#1074;&#1072;%202%20&#1044;&#1098;&#1088;&#1078;&#1072;&#1074;&#1085;&#1080;%20&#1087;&#1086;&#1084;&#1086;&#1097;&#1080;%20-%20&#1055;&#1088;&#1080;&#1083;&#1086;&#1078;&#1077;&#1085;&#1080;&#1103;\2.03._&#1050;&#1086;&#1085;&#1090;&#1088;&#1086;&#1083;&#1077;&#1085;%20&#1083;&#1080;&#1089;&#1090;%20&#1079;&#1072;%20&#1087;&#1088;&#1077;&#1076;&#1074;&#1072;&#1088;&#1080;&#1090;&#1077;&#1083;&#1085;&#1072;%20&#1086;&#1094;&#1077;&#1085;&#1082;&#1072;%20&#1079;&#1072;%20&#1086;&#1087;&#1088;&#1077;&#1076;&#1077;&#1083;&#1103;&#1085;&#1077;%20&#1085;&#1072;%20&#1087;&#1088;&#1080;&#1083;&#1086;&#1078;&#1080;&#1084;%20&#1082;&#1098;&#1084;%20&#1084;&#1103;&#1088;&#1082;&#1072;&#1090;&#1072;%20&#1088;&#1077;&#1078;&#1080;&#1084;%20&#1085;&#1072;%20&#1089;&#1098;&#1074;&#1084;&#1077;&#1089;&#1090;&#1080;&#1084;&#1072;%20&#1076;&#1098;&#1088;&#1078;&#1072;&#1074;&#1085;&#1072;%20&#1087;&#1086;&#1084;&#1086;&#1097;.doc" TargetMode="External"/><Relationship Id="rId141" Type="http://schemas.openxmlformats.org/officeDocument/2006/relationships/hyperlink" Target="file:///C:\Users\Ppavlova\Desktop\PM%202014%20-%202020\&#1043;&#1083;&#1072;&#1074;&#1072;%203%20&#1055;&#1088;&#1086;&#1075;&#1088;&#1072;&#1084;&#1080;&#1088;&#1072;&#1085;&#1077;%20-%20&#1055;&#1088;&#1080;&#1083;&#1086;&#1078;&#1077;&#1085;&#1080;&#1103;\3.06.1._&#1054;&#1094;&#1077;&#1085;&#1080;&#1090;&#1077;&#1083;&#1085;&#1072;%20&#1090;&#1072;&#1073;&#1083;&#1080;&#1094;&#1072;%20&#1079;&#1072;%20&#1080;&#1079;&#1074;&#1098;&#1088;&#1096;&#1077;&#1085;&#1072;%20&#1086;&#1094;&#1077;&#1085;&#1082;&#1072;%20&#1085;&#1072;%20%20&#1087;&#1088;&#1086;&#1077;&#1082;&#1090;&#1085;&#1080;%20&#1087;&#1088;&#1077;&#1076;&#1083;&#1086;&#1078;&#1077;&#1085;&#1080;&#1103;%20&#1079;&#1072;%20&#1080;&#1085;&#1074;&#1077;&#1089;&#1090;&#1080;&#1094;&#1080;&#1086;&#1085;&#1085;&#1080;&#166;&#1080;&#1085;&#1092;&#1088;&#1072;&#1089;&#1090;&#1088;&#1091;&#1082;&#1090;&#1091;&#1088;&#1085;&#1080;%20&#1087;&#1088;&#1086;&#1077;&#1082;&#1090;&#1080;.docx" TargetMode="External"/><Relationship Id="rId7" Type="http://schemas.openxmlformats.org/officeDocument/2006/relationships/endnotes" Target="endnotes.xml"/><Relationship Id="rId162" Type="http://schemas.openxmlformats.org/officeDocument/2006/relationships/hyperlink" Target="file:///C:\Users\Sgotzov\AppData\Local\Microsoft\Windows\INetCache\Content.Outlook\0QLPQ679\&#1043;&#1083;&#1072;&#1074;&#1072;%203%20&#1055;&#1088;&#1086;&#1075;&#1088;&#1072;&#1084;&#1080;&#1088;&#1072;&#1085;&#1077;%20-%20&#1055;&#1088;&#1080;&#1083;&#1086;&#1078;&#1077;&#1085;&#1080;&#1103;\3.09._&#1050;&#1086;&#1085;&#1090;&#1088;&#1086;&#1083;&#1077;&#1085;%20&#1083;&#1080;&#1089;&#1090;%20&#1079;&#1072;%20&#1087;&#1088;&#1086;&#1074;&#1077;&#1088;&#1082;&#1072;%20&#1085;&#1072;%20&#1087;&#1088;&#1086;&#1094;&#1077;&#1076;&#1091;&#1088;&#1072;&#1090;&#1072;%20&#1085;&#1072;%20&#1080;&#1079;&#1074;&#1098;&#1088;&#1096;&#1077;&#1085;&#1072;%20&#1086;&#1094;&#1077;&#1085;&#1082;&#1072;%20&#1085;&#1072;%20&#1087;&#1088;&#1086;&#1077;&#1082;&#1090;&#1085;&#1086;%20&#1087;&#1088;&#1077;&#1076;&#1083;&#1086;&#1078;&#1077;&#1085;&#1080;&#1077;.docx" TargetMode="External"/><Relationship Id="rId183" Type="http://schemas.openxmlformats.org/officeDocument/2006/relationships/hyperlink" Target="file:///C:\Users\Ppavlova\Desktop\PM%202014%20-%202020\&#1043;&#1083;&#1072;&#1074;&#1072;%205%20&#1060;&#1080;&#1085;&#1072;&#1085;&#1089;&#1086;&#1074;&#1086;%20&#1091;&#1087;&#1088;&#1072;&#1074;&#1083;&#1077;&#1085;&#1080;&#1077;%20-%20&#1055;&#1088;&#1080;&#1083;&#1086;&#1078;&#1077;&#1085;&#1080;&#1103;\5.05._&#1050;&#1086;&#1085;&#1090;&#1088;&#1086;&#1083;&#1077;&#1085;%20&#1083;&#1080;&#1089;&#1090;%20&#1079;&#1072;%20&#1074;&#1077;&#1088;&#1080;&#1092;&#1080;&#1094;&#1080;&#1088;&#1072;&#1085;&#1077;%20&#1085;&#1072;%20&#1088;&#1072;&#1079;&#1093;&#1086;&#1076;&#1080;&#1090;&#1077;%20&#1087;&#1088;&#1080;%20&#1080;&#1079;&#1087;&#1098;&#1083;&#1085;&#1077;&#1085;&#1080;&#1077;%20&#1085;&#1072;%20&#1087;&#1088;&#1086;&#1077;&#1082;&#1090;&#1080;%20&#1087;&#1086;%20&#1087;&#1088;&#1080;&#1086;&#1088;&#1080;&#1090;&#1077;&#1090;&#1085;&#1072;%20&#1086;&#1089;%20&#1058;&#1055;%20&#1089;%20&#1073;&#1077;&#1085;&#1077;&#1092;&#1080;&#1094;&#1080;&#1077;&#1085;&#1090;%20&#1059;&#1054;.doc" TargetMode="External"/><Relationship Id="rId218" Type="http://schemas.openxmlformats.org/officeDocument/2006/relationships/hyperlink" Target="mailto:natfund@minfin.bg" TargetMode="External"/><Relationship Id="rId239" Type="http://schemas.openxmlformats.org/officeDocument/2006/relationships/hyperlink" Target="mailto:natfund@minfin.bg" TargetMode="External"/><Relationship Id="rId250" Type="http://schemas.openxmlformats.org/officeDocument/2006/relationships/hyperlink" Target="http://www.optransport.bg/" TargetMode="External"/><Relationship Id="rId271" Type="http://schemas.openxmlformats.org/officeDocument/2006/relationships/hyperlink" Target="file:///C:\Users\Ppavlova\Desktop\PM%202014%20-%202020\&#1043;&#1083;&#1072;&#1074;&#1072;%207%20&#1048;&#1079;&#1087;&#1098;&#1083;&#1085;&#1077;&#1085;&#1080;&#1077;%20-%20&#1055;&#1088;&#1080;&#1083;&#1086;&#1078;&#1077;&#1085;&#1080;&#1103;\7.10._&#1056;&#1077;&#1075;&#1080;&#1089;&#1090;&#1098;&#1088;%20&#1085;&#1072;%20&#1087;&#1088;&#1086;&#1074;&#1077;&#1088;&#1082;&#1080;&#1090;&#1077;%20&#1085;&#1072;%20&#1084;&#1103;&#1089;&#1090;&#1086;%20&#1086;&#1090;%20&#1059;&#1054;%20&#1085;&#1072;%20&#1054;&#1055;&#1058;&#1058;&#1048;%20&#1079;&#1072;%20&#8230;&#8230;.%20&#1075;&#1086;&#1076;&#1080;&#1085;&#1072;.doc" TargetMode="External"/><Relationship Id="rId292" Type="http://schemas.openxmlformats.org/officeDocument/2006/relationships/hyperlink" Target="file:///\\MTITC-FP03\OPTransport\public\DGIvanova\PM%202014-2020\Actual%20v_4.2%2016.12.2019\&#1043;&#1083;&#1072;&#1074;&#1072;%207%20&#1048;&#1079;&#1087;&#1098;&#1083;&#1085;&#1077;&#1085;&#1080;&#1077;%20-%20&#1055;&#1088;&#1080;&#1083;&#1086;&#1078;&#1077;&#1085;&#1080;&#1103;\7.04._&#1054;&#1082;&#1086;&#1085;&#1095;&#1072;&#1090;&#1077;&#1083;&#1077;&#1085;%20&#1076;&#1086;&#1082;&#1083;&#1072;&#1076;%20&#1087;&#1086;%20&#1087;&#1088;&#1086;&#1077;&#1082;&#1090;.doc" TargetMode="External"/><Relationship Id="rId306" Type="http://schemas.openxmlformats.org/officeDocument/2006/relationships/hyperlink" Target="file:///C:\Users\Ppavlova\Desktop\PM%202014%20-%202020\&#1043;&#1083;&#1072;&#1074;&#1072;%208%20&#1059;&#1087;&#1088;&#1072;&#1074;&#1083;&#1077;&#1085;&#1080;&#1077;%20&#1085;&#1072;%20&#1088;&#1080;&#1089;&#1082;&#1072;%20-%20&#1055;&#1088;&#1080;&#1083;&#1086;&#1078;&#1077;&#1085;&#1080;&#1103;\8.05-&#1095;&#1072;&#1089;&#1090;%204._&#1048;&#1085;&#1089;&#1090;&#1088;&#1091;&#1084;&#1077;&#1085;&#1090;%20&#1079;&#1072;%20&#1089;&#1072;&#1084;&#1086;&#1086;&#1094;&#1077;&#1085;&#1082;&#1072;.xlsx" TargetMode="External"/><Relationship Id="rId24" Type="http://schemas.openxmlformats.org/officeDocument/2006/relationships/hyperlink" Target="file:///C:\Users\Ppavlova\Desktop\PM%202014%20-%202020\&#1043;&#1083;&#1072;&#1074;&#1072;%201%20&#1054;&#1073;&#1097;&#1080;%20&#1087;&#1086;&#1083;&#1086;&#1078;&#1077;&#1085;&#1080;&#1103;%20-%20&#1055;&#1088;&#1080;&#1083;&#1086;&#1078;&#1077;&#1085;&#1080;&#1103;\1.01._&#1044;&#1077;&#1082;&#1083;&#1072;&#1088;&#1072;&#1094;&#1080;&#1103;%20&#1079;&#1072;%20&#1079;&#1072;&#1087;&#1086;&#1079;&#1085;&#1072;&#1074;&#1072;&#1085;&#1077;%20&#1089;%20&#1087;&#1088;&#1086;&#1094;&#1077;&#1076;&#1091;&#1088;&#1085;&#1080;&#1103;%20&#1085;&#1072;&#1088;&#1098;&#1095;&#1085;&#1080;&#1082;.doc" TargetMode="External"/><Relationship Id="rId45" Type="http://schemas.openxmlformats.org/officeDocument/2006/relationships/hyperlink" Target="file:///C:\Users\Ppavlova\Desktop\PM%202014%20-%202020\&#1043;&#1083;&#1072;&#1074;&#1072;%202%20&#1044;&#1098;&#1088;&#1078;&#1072;&#1074;&#1085;&#1080;%20&#1087;&#1086;&#1084;&#1086;&#1097;&#1080;%20-%20&#1055;&#1088;&#1080;&#1083;&#1086;&#1078;&#1077;&#1085;&#1080;&#1103;\2.05._State%20Aid%20Grids%202015%20en.pdf" TargetMode="External"/><Relationship Id="rId66" Type="http://schemas.openxmlformats.org/officeDocument/2006/relationships/diagramColors" Target="diagrams/colors1.xml"/><Relationship Id="rId87" Type="http://schemas.openxmlformats.org/officeDocument/2006/relationships/hyperlink" Target="file:///C:\Users\Schobanov\Desktop\&#1053;&#1072;&#1088;&#1098;&#1095;&#1085;&#1080;&#1082;%204.0\www.optransport.bg" TargetMode="External"/><Relationship Id="rId110" Type="http://schemas.openxmlformats.org/officeDocument/2006/relationships/hyperlink" Target="file:///C:\Users\DGIvanova\AppData\Local\Microsoft\Windows\INetCache\Content.Outlook\0LQTPC6N\&#1043;&#1083;&#1072;&#1074;&#1072;%202%20&#1044;&#1098;&#1088;&#1078;&#1072;&#1074;&#1085;&#1080;%20&#1087;&#1086;&#1084;&#1086;&#1097;&#1080;%20-%20&#1055;&#1088;&#1080;&#1083;&#1086;&#1078;&#1077;&#1085;&#1080;&#1103;\2.03._&#1050;&#1086;&#1085;&#1090;&#1088;&#1086;&#1083;&#1077;&#1085;%20&#1083;&#1080;&#1089;&#1090;%20&#1079;&#1072;%20&#1087;&#1088;&#1077;&#1076;&#1074;&#1072;&#1088;&#1080;&#1090;&#1077;&#1083;&#1085;&#1072;%20&#1086;&#1094;&#1077;&#1085;&#1082;&#1072;%20&#1079;&#1072;%20&#1086;&#1087;&#1088;&#1077;&#1076;&#1077;&#1083;&#1103;&#1085;&#1077;%20&#1085;&#1072;%20&#1087;&#1088;&#1080;&#1083;&#1086;&#1078;&#1080;&#1084;%20&#1082;&#1098;&#1084;%20&#1084;&#1103;&#1088;&#1082;&#1072;&#1090;&#1072;%20&#1088;&#1077;&#1078;&#1080;&#1084;%20&#1085;&#1072;%20&#1089;&#1098;&#1074;&#1084;&#1077;&#1089;&#1090;&#1080;&#1084;&#1072;%20&#1076;&#1098;&#1088;&#1078;&#1072;&#1074;&#1085;&#1072;%20&#1087;&#1086;&#1084;&#1086;&#1097;.doc" TargetMode="External"/><Relationship Id="rId131" Type="http://schemas.openxmlformats.org/officeDocument/2006/relationships/hyperlink" Target="file:///C:\Users\Ppavlova\Desktop\PM%202014%20-%202020\&#1043;&#1083;&#1072;&#1074;&#1072;%203%20&#1055;&#1088;&#1086;&#1075;&#1088;&#1072;&#1084;&#1080;&#1088;&#1072;&#1085;&#1077;%20-%20&#1055;&#1088;&#1080;&#1083;&#1086;&#1078;&#1077;&#1085;&#1080;&#1103;\3.09._&#1050;&#1086;&#1085;&#1090;&#1088;&#1086;&#1083;&#1077;&#1085;%20&#1083;&#1080;&#1089;&#1090;%20&#1079;&#1072;%20&#1087;&#1088;&#1086;&#1074;&#1077;&#1088;&#1082;&#1072;%20&#1085;&#1072;%20&#1087;&#1088;&#1086;&#1094;&#1077;&#1076;&#1091;&#1088;&#1072;&#1090;&#1072;%20&#1085;&#1072;%20&#1080;&#1079;&#1074;&#1098;&#1088;&#1096;&#1077;&#1085;&#1072;%20&#1086;&#1094;&#1077;&#1085;&#1082;&#1072;%20&#1085;&#1072;%20&#1087;&#1088;&#1086;&#1077;&#1082;&#1090;&#1085;&#1086;%20&#1087;&#1088;&#1077;&#1076;&#1083;&#1086;&#1078;&#1077;&#1085;&#1080;&#1077;.docx" TargetMode="External"/><Relationship Id="rId327" Type="http://schemas.openxmlformats.org/officeDocument/2006/relationships/hyperlink" Target="file:///C:\Users\Ppavlova\Desktop\PM%202014%20-%202020\&#1043;&#1083;&#1072;&#1074;&#1072;%209%20&#1052;&#1086;&#1085;&#1080;&#1090;&#1086;&#1088;&#1080;&#1085;&#1075;%20-%20&#1055;&#1088;&#1080;&#1083;&#1086;&#1078;&#1077;&#1085;&#1080;&#1103;\9.07._&#1044;&#1077;&#1082;&#1083;&#1072;&#1088;&#1072;&#1094;&#1080;&#1103;%20&#1085;&#1072;%20&#1073;&#1077;&#1085;&#1077;&#1092;&#1080;&#1094;&#1080;&#1077;&#1085;&#1090;&#1072;.doc" TargetMode="External"/><Relationship Id="rId152" Type="http://schemas.openxmlformats.org/officeDocument/2006/relationships/hyperlink" Target="file:///C:\Users\Ppavlova\Desktop\PM%202014%20-%202020\&#1043;&#1083;&#1072;&#1074;&#1072;%202%20&#1044;&#1098;&#1088;&#1078;&#1072;&#1074;&#1085;&#1080;%20&#1087;&#1086;&#1084;&#1086;&#1097;&#1080;%20-%20&#1055;&#1088;&#1080;&#1083;&#1086;&#1078;&#1077;&#1085;&#1080;&#1103;\2.03._&#1050;&#1086;&#1085;&#1090;&#1088;&#1086;&#1083;&#1077;&#1085;%20&#1083;&#1080;&#1089;&#1090;%20&#1079;&#1072;%20&#1087;&#1088;&#1077;&#1076;&#1074;&#1072;&#1088;&#1080;&#1090;&#1077;&#1083;&#1085;&#1072;%20&#1086;&#1094;&#1077;&#1085;&#1082;&#1072;%20&#1079;&#1072;%20&#1086;&#1087;&#1088;&#1077;&#1076;&#1077;&#1083;&#1103;&#1085;&#1077;%20&#1085;&#1072;%20&#1087;&#1088;&#1080;&#1083;&#1086;&#1078;&#1080;&#1084;%20&#1082;&#1098;&#1084;%20&#1084;&#1103;&#1088;&#1082;&#1072;&#1090;&#1072;%20&#1088;&#1077;&#1078;&#1080;&#1084;%20&#1085;&#1072;%20&#1089;&#1098;&#1074;&#1084;&#1077;&#1089;&#1090;&#1080;&#1084;&#1072;%20&#1076;&#1098;&#1088;&#1078;&#1072;&#1074;&#1085;&#1072;%20&#1087;&#1086;&#1084;&#1086;&#1097;.doc" TargetMode="External"/><Relationship Id="rId173" Type="http://schemas.openxmlformats.org/officeDocument/2006/relationships/hyperlink" Target="file:///C:\Users\Ppavlova\Desktop\PM%202014%20-%202020\&#1043;&#1083;&#1072;&#1074;&#1072;%203%20&#1055;&#1088;&#1086;&#1075;&#1088;&#1072;&#1084;&#1080;&#1088;&#1072;&#1085;&#1077;%20-%20&#1055;&#1088;&#1080;&#1083;&#1086;&#1078;&#1077;&#1085;&#1080;&#1103;\3.07._&#1044;&#1086;&#1082;&#1083;&#1072;&#1076;%20&#1079;&#1072;%20&#1080;&#1079;&#1074;&#1098;&#1088;&#1096;&#1077;&#1085;&#1072;%20&#1086;&#1094;&#1077;&#1085;&#1082;&#1072;%20&#1085;&#1072;%20&#1087;&#1088;&#1086;&#1077;&#1082;&#1090;&#1085;&#1086;%20&#1087;&#1088;&#1077;&#1076;&#1083;&#1086;&#1078;&#1077;&#1085;&#1080;&#1077;.docx" TargetMode="External"/><Relationship Id="rId194" Type="http://schemas.openxmlformats.org/officeDocument/2006/relationships/hyperlink" Target="https://umis2020.government.bg/" TargetMode="External"/><Relationship Id="rId208" Type="http://schemas.openxmlformats.org/officeDocument/2006/relationships/hyperlink" Target="file:///C:\Users\Ppavlova\Desktop\PM%202014%20-%202020\&#1043;&#1083;&#1072;&#1074;&#1072;%205%20&#1060;&#1080;&#1085;&#1072;&#1085;&#1089;&#1086;&#1074;&#1086;%20&#1091;&#1087;&#1088;&#1072;&#1074;&#1083;&#1077;&#1085;&#1080;&#1077;%20-%20&#1055;&#1088;&#1080;&#1083;&#1086;&#1078;&#1077;&#1085;&#1080;&#1103;\5.08._&#1050;&#1086;&#1085;&#1090;&#1088;&#1086;&#1083;&#1077;&#1085;%20&#1083;&#1080;&#1089;&#1090;%20&#1079;&#1072;%20&#1087;&#1088;&#1086;&#1074;&#1077;&#1088;&#1082;&#1072;%20-%20&#1084;&#1077;&#1089;&#1077;&#1095;&#1077;&#1085;%20&#1082;&#1086;&#1085;&#1090;&#1088;&#1086;&#1083;%20&#1085;&#1072;%20&#1089;&#1095;&#1077;&#1090;&#1086;&#1074;&#1086;&#1076;&#1085;&#1080;&#1090;&#1077;%20&#1086;&#1087;&#1077;&#1088;&#1072;&#1094;&#1080;&#1080;.doc" TargetMode="External"/><Relationship Id="rId229" Type="http://schemas.openxmlformats.org/officeDocument/2006/relationships/hyperlink" Target="file:///C:\Users\Ppavlova\Desktop\PM%202014%20-%202020\&#1043;&#1083;&#1072;&#1074;&#1072;%205%20&#1060;&#1080;&#1085;&#1072;&#1085;&#1089;&#1086;&#1074;&#1086;%20&#1091;&#1087;&#1088;&#1072;&#1074;&#1083;&#1077;&#1085;&#1080;&#1077;%20-%20&#1055;&#1088;&#1080;&#1083;&#1086;&#1078;&#1077;&#1085;&#1080;&#1103;\5.13._&#1059;&#1074;&#1077;&#1076;&#1086;&#1084;&#1080;&#1090;&#1077;&#1083;&#1085;&#1086;%20&#1087;&#1080;&#1089;&#1084;&#1086;%20&#1079;&#1072;%20&#1086;&#1089;&#1095;&#1077;&#1090;&#1086;&#1074;&#1086;&#1076;&#1077;&#1085;&#1080;%20&#1086;&#1090;&#1090;&#1077;&#1075;&#1083;&#1077;&#1085;&#1080;%20&#1086;&#1090;&#1087;&#1080;&#1089;&#1072;&#1085;&#1080;%20&#1080;&#1083;&#1080;%20&#1074;&#1098;&#1079;&#1089;&#1090;&#1072;&#1085;&#1086;&#1074;&#1077;&#1085;&#1080;%20(&#1087;&#1088;&#1080;&#1093;&#1074;&#1072;&#1085;&#1072;&#1090;&#1080;)%20&#1089;&#1091;&#1084;&#1080;.xls" TargetMode="External"/><Relationship Id="rId240" Type="http://schemas.openxmlformats.org/officeDocument/2006/relationships/hyperlink" Target="file:///C:\Users\Ppavlova\Desktop\PM%202014%20-%202020\&#1043;&#1083;&#1072;&#1074;&#1072;%205%20&#1060;&#1080;&#1085;&#1072;&#1085;&#1089;&#1086;&#1074;&#1086;%20&#1091;&#1087;&#1088;&#1072;&#1074;&#1083;&#1077;&#1085;&#1080;&#1077;%20-%20&#1055;&#1088;&#1080;&#1083;&#1086;&#1078;&#1077;&#1085;&#1080;&#1103;\5.08._&#1050;&#1086;&#1085;&#1090;&#1088;&#1086;&#1083;&#1077;&#1085;%20&#1083;&#1080;&#1089;&#1090;%20&#1079;&#1072;%20&#1087;&#1088;&#1086;&#1074;&#1077;&#1088;&#1082;&#1072;%20-%20&#1084;&#1077;&#1089;&#1077;&#1095;&#1077;&#1085;%20&#1082;&#1086;&#1085;&#1090;&#1088;&#1086;&#1083;%20&#1085;&#1072;%20&#1089;&#1095;&#1077;&#1090;&#1086;&#1074;&#1086;&#1076;&#1085;&#1080;&#1090;&#1077;%20&#1086;&#1087;&#1077;&#1088;&#1072;&#1094;&#1080;&#1080;.doc" TargetMode="External"/><Relationship Id="rId261" Type="http://schemas.openxmlformats.org/officeDocument/2006/relationships/hyperlink" Target="file:///C:\Users\Ppavlova\Desktop\PM%202014%20-%202020\&#1043;&#1083;&#1072;&#1074;&#1072;%206%20&#1053;&#1077;&#1088;&#1077;&#1076;&#1085;&#1086;&#1089;&#1090;&#1080;%20-%20&#1055;&#1088;&#1080;&#1083;&#1086;&#1078;&#1077;&#1085;&#1080;&#1103;\6.06._&#1044;&#1077;&#1082;&#1083;&#1072;&#1088;&#1072;&#1094;&#1080;&#1103;%20&#1086;&#1090;%20&#1089;&#1083;&#1091;&#1078;&#1080;&#1090;&#1077;&#1083;%20&#1085;&#1072;%20&#1059;&#1054;%20&#1079;&#1072;%20&#1083;&#1080;&#1087;&#1089;&#1072;%20&#1085;&#1072;%20&#1082;&#1086;&#1085;&#1092;&#1083;&#1080;&#1082;&#1090;%20&#1085;&#1072;%20&#1080;&#1085;&#1090;&#1077;&#1088;&#1077;&#1089;&#1080;%20v4-2.docx" TargetMode="External"/><Relationship Id="rId14" Type="http://schemas.openxmlformats.org/officeDocument/2006/relationships/hyperlink" Target="http://www.mtitc.government.bg" TargetMode="External"/><Relationship Id="rId35" Type="http://schemas.openxmlformats.org/officeDocument/2006/relationships/hyperlink" Target="http://www.optransport.bg" TargetMode="External"/><Relationship Id="rId56" Type="http://schemas.openxmlformats.org/officeDocument/2006/relationships/hyperlink" Target="file:///C:\Users\Ppavlova\Desktop\PM%202014%20-%202020\&#1043;&#1083;&#1072;&#1074;&#1072;%202%20&#1044;&#1098;&#1088;&#1078;&#1072;&#1074;&#1085;&#1080;%20&#1087;&#1086;&#1084;&#1086;&#1097;&#1080;%20-%20&#1055;&#1088;&#1080;&#1083;&#1086;&#1078;&#1077;&#1085;&#1080;&#1103;\2.04._&#1057;&#1098;&#1086;&#1073;&#1097;&#1077;&#1085;&#1080;&#1077;%20&#1085;&#1072;%20&#1050;&#1086;&#1084;&#1080;&#1089;&#1080;&#1103;&#1090;&#1072;%20&#1079;&#1072;%20&#1087;&#1088;&#1086;&#1079;&#1088;&#1072;&#1095;&#1085;&#1086;&#1089;&#1090;&#1090;&#1072;.pdf" TargetMode="External"/><Relationship Id="rId77" Type="http://schemas.openxmlformats.org/officeDocument/2006/relationships/diagramColors" Target="diagrams/colors2.xml"/><Relationship Id="rId100" Type="http://schemas.openxmlformats.org/officeDocument/2006/relationships/hyperlink" Target="file:///C:\Users\DGIvanova\AppData\Local\Microsoft\Windows\INetCache\Content.Outlook\0LQTPC6N\&#1043;&#1083;&#1072;&#1074;&#1072;%203%20&#1055;&#1088;&#1086;&#1075;&#1088;&#1072;&#1084;&#1080;&#1088;&#1072;&#1085;&#1077;%20-%20&#1055;&#1088;&#1080;&#1083;&#1086;&#1078;&#1077;&#1085;&#1080;&#1103;\3.06.2._&#1054;&#1094;&#1077;&#1085;&#1080;&#1090;&#1077;&#1083;&#1085;&#1072;%20&#1090;&#1072;&#1073;&#1083;&#1080;&#1094;&#1072;%20&#1079;&#1072;%20&#1080;&#1079;&#1074;&#1098;&#1088;&#1096;&#1077;&#1085;&#1072;%20&#1086;&#1094;&#1077;&#1085;&#1082;&#1072;%20&#1085;&#1072;%20&#1087;&#1088;&#1086;&#1077;&#1082;&#1090;&#1085;&#1080;%20&#1087;&#1088;&#1077;&#1076;&#1083;&#1086;&#1078;&#1077;&#1085;&#1080;&#1103;%20&#1079;&#1072;%20&#1090;&#1077;&#1093;&#1085;&#1080;&#1095;&#1077;&#1089;&#1082;&#1072;%20&#1087;&#1086;&#1084;&#1086;&#1097;.docx" TargetMode="External"/><Relationship Id="rId282" Type="http://schemas.openxmlformats.org/officeDocument/2006/relationships/hyperlink" Target="file:///C:\Users\Ppavlova\Desktop\PM%202014%20-%202020\&#1043;&#1083;&#1072;&#1074;&#1072;%207%20&#1048;&#1079;&#1087;&#1098;&#1083;&#1085;&#1077;&#1085;&#1080;&#1077;%20-%20&#1055;&#1088;&#1080;&#1083;&#1086;&#1078;&#1077;&#1085;&#1080;&#1103;\7.06._&#1044;&#1086;&#1082;&#1083;&#1072;&#1076;%20&#1086;&#1090;%20&#1087;&#1088;&#1086;&#1074;&#1077;&#1088;&#1082;&#1072;%20&#1085;&#1072;%20&#1084;&#1103;&#1089;&#1090;&#1086;,%20&#1080;&#1079;&#1074;&#1098;&#1088;&#1096;&#1077;&#1085;&#1072;%20&#1086;&#1090;%20&#1059;&#1054;%20&#1085;&#1072;%20&#1054;&#1055;&#1058;&#1058;&#1048;.doc" TargetMode="External"/><Relationship Id="rId317" Type="http://schemas.openxmlformats.org/officeDocument/2006/relationships/image" Target="media/image12.emf"/><Relationship Id="rId8" Type="http://schemas.openxmlformats.org/officeDocument/2006/relationships/image" Target="media/image1.png"/><Relationship Id="rId51" Type="http://schemas.openxmlformats.org/officeDocument/2006/relationships/hyperlink" Target="file:///C:\Users\Ppavlova\Desktop\PM%202014%20-%202020\&#1043;&#1083;&#1072;&#1074;&#1072;%202%20&#1044;&#1098;&#1088;&#1078;&#1072;&#1074;&#1085;&#1080;%20&#1087;&#1086;&#1084;&#1086;&#1097;&#1080;%20-%20&#1055;&#1088;&#1080;&#1083;&#1086;&#1078;&#1077;&#1085;&#1080;&#1103;\2.03._&#1050;&#1086;&#1085;&#1090;&#1088;&#1086;&#1083;&#1077;&#1085;%20&#1083;&#1080;&#1089;&#1090;%20&#1079;&#1072;%20&#1087;&#1088;&#1077;&#1076;&#1074;&#1072;&#1088;&#1080;&#1090;&#1077;&#1083;&#1085;&#1072;%20&#1086;&#1094;&#1077;&#1085;&#1082;&#1072;%20&#1079;&#1072;%20&#1086;&#1087;&#1088;&#1077;&#1076;&#1077;&#1083;&#1103;&#1085;&#1077;%20&#1085;&#1072;%20&#1087;&#1088;&#1080;&#1083;&#1086;&#1078;&#1080;&#1084;%20&#1082;&#1098;&#1084;%20&#1084;&#1103;&#1088;&#1082;&#1072;&#1090;&#1072;%20&#1088;&#1077;&#1078;&#1080;&#1084;%20&#1085;&#1072;%20&#1089;&#1098;&#1074;&#1084;&#1077;&#1089;&#1090;&#1080;&#1084;&#1072;%20&#1076;&#1098;&#1088;&#1078;&#1072;&#1074;&#1085;&#1072;%20&#1087;&#1086;&#1084;&#1086;&#1097;.doc" TargetMode="External"/><Relationship Id="rId72" Type="http://schemas.openxmlformats.org/officeDocument/2006/relationships/hyperlink" Target="http://www.eufunds.bg" TargetMode="External"/><Relationship Id="rId93" Type="http://schemas.openxmlformats.org/officeDocument/2006/relationships/hyperlink" Target="file:///C:\Users\Ppavlova\Desktop\PM%202014%20-%202020\&#1043;&#1083;&#1072;&#1074;&#1072;%203%20&#1055;&#1088;&#1086;&#1075;&#1088;&#1072;&#1084;&#1080;&#1088;&#1072;&#1085;&#1077;%20-%20&#1055;&#1088;&#1080;&#1083;&#1086;&#1078;&#1077;&#1085;&#1080;&#1103;\3.09._&#1050;&#1086;&#1085;&#1090;&#1088;&#1086;&#1083;&#1077;&#1085;%20&#1083;&#1080;&#1089;&#1090;%20&#1079;&#1072;%20&#1087;&#1088;&#1086;&#1074;&#1077;&#1088;&#1082;&#1072;%20&#1085;&#1072;%20&#1087;&#1088;&#1086;&#1094;&#1077;&#1076;&#1091;&#1088;&#1072;&#1090;&#1072;%20&#1085;&#1072;%20&#1080;&#1079;&#1074;&#1098;&#1088;&#1096;&#1077;&#1085;&#1072;%20&#1086;&#1094;&#1077;&#1085;&#1082;&#1072;%20&#1085;&#1072;%20&#1087;&#1088;&#1086;&#1077;&#1082;&#1090;&#1085;&#1086;%20&#1087;&#1088;&#1077;&#1076;&#1083;&#1086;&#1078;&#1077;&#1085;&#1080;&#1077;.docx" TargetMode="External"/><Relationship Id="rId98" Type="http://schemas.openxmlformats.org/officeDocument/2006/relationships/hyperlink" Target="file:///C:\Users\DGIvanova\AppData\Local\Microsoft\Windows\INetCache\Content.Outlook\0LQTPC6N\&#1043;&#1083;&#1072;&#1074;&#1072;%203%20&#1055;&#1088;&#1086;&#1075;&#1088;&#1072;&#1084;&#1080;&#1088;&#1072;&#1085;&#1077;%20-%20&#1055;&#1088;&#1080;&#1083;&#1086;&#1078;&#1077;&#1085;&#1080;&#1103;\3.04._&#1050;&#1086;&#1085;&#1090;&#1088;&#1086;&#1083;&#1077;&#1085;%20&#1083;&#1080;&#1089;&#1090;%20&#1079;&#1072;%20&#1087;&#1088;&#1086;&#1074;&#1077;&#1088;&#1082;&#1072;%20&#1085;&#1072;%20&#1095;&#1083;&#1077;&#1085;&#1086;&#1074;&#1077;&#1090;&#1077;%20&#1085;&#1072;%20&#1086;&#1094;&#1077;&#1085;&#1080;&#1090;&#1077;&#1083;&#1085;&#1072;&#1090;&#1072;%20&#1082;&#1086;&#1084;&#1080;&#1089;&#1080;&#1103;%20&#1079;&#1072;%20&#1083;&#1080;&#1087;&#1089;&#1072;%20&#1085;&#1072;%20&#1050;&#1086;&#1085;&#1092;&#1083;&#1080;&#1082;&#1090;%20&#1085;&#1072;%20&#1080;&#1085;&#1090;&#1077;&#1088;&#1077;&#1089;&#1080;.doc" TargetMode="External"/><Relationship Id="rId121" Type="http://schemas.openxmlformats.org/officeDocument/2006/relationships/hyperlink" Target="file:///C:\Users\Ppavlova\Desktop\PM%202014%20-%202020\&#1043;&#1083;&#1072;&#1074;&#1072;%203%20&#1055;&#1088;&#1086;&#1075;&#1088;&#1072;&#1084;&#1080;&#1088;&#1072;&#1085;&#1077;%20-%20&#1055;&#1088;&#1080;&#1083;&#1086;&#1078;&#1077;&#1085;&#1080;&#1103;\3.06.1._&#1054;&#1094;&#1077;&#1085;&#1080;&#1090;&#1077;&#1083;&#1085;&#1072;%20&#1090;&#1072;&#1073;&#1083;&#1080;&#1094;&#1072;%20&#1079;&#1072;%20&#1080;&#1079;&#1074;&#1098;&#1088;&#1096;&#1077;&#1085;&#1072;%20&#1086;&#1094;&#1077;&#1085;&#1082;&#1072;%20&#1085;&#1072;%20%20&#1087;&#1088;&#1086;&#1077;&#1082;&#1090;&#1085;&#1080;%20&#1087;&#1088;&#1077;&#1076;&#1083;&#1086;&#1078;&#1077;&#1085;&#1080;&#1103;%20&#1079;&#1072;%20&#1080;&#1085;&#1074;&#1077;&#1089;&#1090;&#1080;&#1094;&#1080;&#1086;&#1085;&#1085;&#1080;&#166;&#1080;&#1085;&#1092;&#1088;&#1072;&#1089;&#1090;&#1088;&#1091;&#1082;&#1090;&#1091;&#1088;&#1085;&#1080;%20&#1087;&#1088;&#1086;&#1077;&#1082;&#1090;&#1080;.docx" TargetMode="External"/><Relationship Id="rId142" Type="http://schemas.openxmlformats.org/officeDocument/2006/relationships/hyperlink" Target="file:///C:\Users\Ppavlova\Desktop\PM%202014%20-%202020\&#1043;&#1083;&#1072;&#1074;&#1072;%203%20&#1055;&#1088;&#1086;&#1075;&#1088;&#1072;&#1084;&#1080;&#1088;&#1072;&#1085;&#1077;%20-%20&#1055;&#1088;&#1080;&#1083;&#1086;&#1078;&#1077;&#1085;&#1080;&#1103;\3.06.2._&#1054;&#1094;&#1077;&#1085;&#1080;&#1090;&#1077;&#1083;&#1085;&#1072;%20&#1090;&#1072;&#1073;&#1083;&#1080;&#1094;&#1072;%20&#1079;&#1072;%20&#1080;&#1079;&#1074;&#1098;&#1088;&#1096;&#1077;&#1085;&#1072;%20&#1086;&#1094;&#1077;&#1085;&#1082;&#1072;%20&#1085;&#1072;%20&#1087;&#1088;&#1086;&#1077;&#1082;&#1090;&#1085;&#1080;%20&#1087;&#1088;&#1077;&#1076;&#1083;&#1086;&#1078;&#1077;&#1085;&#1080;&#1103;%20&#1079;&#1072;%20&#1090;&#1077;&#1093;&#1085;&#1080;&#1095;&#1077;&#1089;&#1082;&#1072;%20&#1087;&#1086;&#1084;&#1086;&#1097;.docx" TargetMode="External"/><Relationship Id="rId163" Type="http://schemas.openxmlformats.org/officeDocument/2006/relationships/hyperlink" Target="file:///C:\Users\Sgotzov\AppData\Local\Microsoft\Windows\INetCache\Content.Outlook\0QLPQ679\&#1043;&#1083;&#1072;&#1074;&#1072;%203%20&#1055;&#1088;&#1086;&#1075;&#1088;&#1072;&#1084;&#1080;&#1088;&#1072;&#1085;&#1077;%20-%20&#1055;&#1088;&#1080;&#1083;&#1086;&#1078;&#1077;&#1085;&#1080;&#1103;\3.07._&#1044;&#1086;&#1082;&#1083;&#1072;&#1076;%20&#1079;&#1072;%20&#1080;&#1079;&#1074;&#1098;&#1088;&#1096;&#1077;&#1085;&#1072;%20&#1086;&#1094;&#1077;&#1085;&#1082;&#1072;%20&#1085;&#1072;%20&#1087;&#1088;&#1086;&#1077;&#1082;&#1090;&#1085;&#1086;%20&#1087;&#1088;&#1077;&#1076;&#1083;&#1086;&#1078;&#1077;&#1085;&#1080;&#1077;.docx" TargetMode="External"/><Relationship Id="rId184" Type="http://schemas.openxmlformats.org/officeDocument/2006/relationships/hyperlink" Target="file:///C:\Users\Ppavlova\Desktop\PM%202014%20-%202020\&#1043;&#1083;&#1072;&#1074;&#1072;%205%20&#1060;&#1080;&#1085;&#1072;&#1085;&#1089;&#1086;&#1074;&#1086;%20&#1091;&#1087;&#1088;&#1072;&#1074;&#1083;&#1077;&#1085;&#1080;&#1077;%20-%20&#1055;&#1088;&#1080;&#1083;&#1086;&#1078;&#1077;&#1085;&#1080;&#1103;\5.05._&#1050;&#1086;&#1085;&#1090;&#1088;&#1086;&#1083;&#1077;&#1085;%20&#1083;&#1080;&#1089;&#1090;%20&#1079;&#1072;%20&#1074;&#1077;&#1088;&#1080;&#1092;&#1080;&#1094;&#1080;&#1088;&#1072;&#1085;&#1077;%20&#1085;&#1072;%20&#1088;&#1072;&#1079;&#1093;&#1086;&#1076;&#1080;&#1090;&#1077;%20&#1087;&#1088;&#1080;%20&#1080;&#1079;&#1087;&#1098;&#1083;&#1085;&#1077;&#1085;&#1080;&#1077;%20&#1085;&#1072;%20&#1087;&#1088;&#1086;&#1077;&#1082;&#1090;&#1080;%20&#1087;&#1086;%20&#1087;&#1088;&#1080;&#1086;&#1088;&#1080;&#1090;&#1077;&#1090;&#1085;&#1072;%20&#1086;&#1089;%20&#1058;&#1055;%20&#1089;%20&#1073;&#1077;&#1085;&#1077;&#1092;&#1080;&#1094;&#1080;&#1077;&#1085;&#1090;%20&#1059;&#1054;.doc" TargetMode="External"/><Relationship Id="rId189" Type="http://schemas.openxmlformats.org/officeDocument/2006/relationships/hyperlink" Target="file:///C:\Users\Ppavlova\Desktop\PM%202014%20-%202020\&#1043;&#1083;&#1072;&#1074;&#1072;%205%20&#1060;&#1080;&#1085;&#1072;&#1085;&#1089;&#1086;&#1074;&#1086;%20&#1091;&#1087;&#1088;&#1072;&#1074;&#1083;&#1077;&#1085;&#1080;&#1077;%20-%20&#1055;&#1088;&#1080;&#1083;&#1086;&#1078;&#1077;&#1085;&#1080;&#1103;\5.01.1.3._&#1059;&#1074;&#1077;&#1076;&#1086;&#1084;&#1080;&#1090;&#1077;&#1083;&#1085;&#1086;%20&#1087;&#1080;&#1089;&#1084;&#1086;%20&#1079;&#1072;%20&#1086;&#1076;&#1086;&#1073;&#1088;&#1077;&#1085;%20&#1072;&#1074;&#1072;&#1085;&#1089;.doc" TargetMode="External"/><Relationship Id="rId219" Type="http://schemas.openxmlformats.org/officeDocument/2006/relationships/hyperlink" Target="file:///C:\Users\Ppavlova\Desktop\PM%202014%20-%202020\&#1043;&#1083;&#1072;&#1074;&#1072;%205%20&#1060;&#1080;&#1085;&#1072;&#1085;&#1089;&#1086;&#1074;&#1086;%20&#1091;&#1087;&#1088;&#1072;&#1074;&#1083;&#1077;&#1085;&#1080;&#1077;%20-%20&#1055;&#1088;&#1080;&#1083;&#1086;&#1078;&#1077;&#1085;&#1080;&#1103;\5.12._&#1059;&#1074;&#1077;&#1076;&#1086;&#1084;&#1080;&#1090;&#1077;&#1083;&#1085;&#1086;%20&#1087;&#1080;&#1089;&#1084;&#1086;%20&#1079;&#1072;%20&#1086;&#1089;&#1095;&#1077;&#1090;&#1086;&#1074;&#1086;&#1076;&#1077;&#1085;&#1080;%20&#1074;&#1079;&#1077;&#1084;&#1072;&#1085;&#1080;&#1103;.xls" TargetMode="External"/><Relationship Id="rId3" Type="http://schemas.openxmlformats.org/officeDocument/2006/relationships/styles" Target="styles.xml"/><Relationship Id="rId214" Type="http://schemas.openxmlformats.org/officeDocument/2006/relationships/hyperlink" Target="file:///C:\Users\Ppavlova\Desktop\PM%202014%20-%202020\&#1043;&#1083;&#1072;&#1074;&#1072;%205%20&#1060;&#1080;&#1085;&#1072;&#1085;&#1089;&#1086;&#1074;&#1086;%20&#1091;&#1087;&#1088;&#1072;&#1074;&#1083;&#1077;&#1085;&#1080;&#1077;%20-%20&#1055;&#1088;&#1080;&#1083;&#1086;&#1078;&#1077;&#1085;&#1080;&#1103;\5.16.2._&#1050;&#1085;&#1080;&#1075;&#1072;%20&#1085;&#1072;%20&#1076;&#1083;&#1098;&#1078;&#1085;&#1080;&#1094;&#1080;&#1090;&#1077;%20&#1079;&#1072;%20&#1085;&#1072;&#1083;&#1086;&#1078;&#1077;&#1085;&#1080;%20&#1087;&#1083;&#1086;&#1089;&#1082;&#1080;%20&#1092;&#1080;&#1085;&#1072;&#1085;&#1089;&#1086;&#1074;&#1080;%20&#1082;&#1086;&#1088;&#1077;&#1082;&#1094;&#1080;&#1080;.doc" TargetMode="External"/><Relationship Id="rId230" Type="http://schemas.openxmlformats.org/officeDocument/2006/relationships/hyperlink" Target="file:///C:\Users\Ppavlova\Desktop\PM%202014%20-%202020\&#1043;&#1083;&#1072;&#1074;&#1072;%205%20&#1060;&#1080;&#1085;&#1072;&#1085;&#1089;&#1086;&#1074;&#1086;%20&#1091;&#1087;&#1088;&#1072;&#1074;&#1083;&#1077;&#1085;&#1080;&#1077;%20-%20&#1055;&#1088;&#1080;&#1083;&#1086;&#1078;&#1077;&#1085;&#1080;&#1103;\5.20._&#1050;&#1086;&#1085;&#1090;&#1088;&#1086;&#1083;&#1077;&#1085;%20&#1083;&#1080;&#1089;&#1090;%20&#1079;&#1072;%20&#1087;&#1088;&#1086;&#1074;&#1077;&#1088;&#1082;&#1072;%20&#1085;&#1072;%20&#1075;&#1086;&#1076;&#1080;&#1096;&#1077;&#1085;%20&#1092;&#1080;&#1085;&#1072;&#1085;&#1089;&#1086;&#1074;%20&#1086;&#1090;&#1095;&#1077;&#1090;.doc" TargetMode="External"/><Relationship Id="rId235" Type="http://schemas.openxmlformats.org/officeDocument/2006/relationships/hyperlink" Target="file:///C:\Users\Ppavlova\Desktop\PM%202014%20-%202020\&#1043;&#1083;&#1072;&#1074;&#1072;%205%20&#1060;&#1080;&#1085;&#1072;&#1085;&#1089;&#1086;&#1074;&#1086;%20&#1091;&#1087;&#1088;&#1072;&#1074;&#1083;&#1077;&#1085;&#1080;&#1077;%20-%20&#1055;&#1088;&#1080;&#1083;&#1086;&#1078;&#1077;&#1085;&#1080;&#1103;\5.18._&#1060;&#1086;&#1088;&#1084;&#1072;%20&#1079;&#1072;%20&#1088;&#1072;&#1074;&#1085;&#1077;&#1085;&#1080;&#1077;%20-%20&#1051;&#1080;&#1084;&#1080;&#1090;&#1080;.doc" TargetMode="External"/><Relationship Id="rId251" Type="http://schemas.openxmlformats.org/officeDocument/2006/relationships/hyperlink" Target="file:///C:\Users\Ppavlova\Desktop\PM%202014%20-%202020\&#1043;&#1083;&#1072;&#1074;&#1072;%206%20&#1053;&#1077;&#1088;&#1077;&#1076;&#1085;&#1086;&#1089;&#1090;&#1080;%20-%20&#1055;&#1088;&#1080;&#1083;&#1086;&#1078;&#1077;&#1085;&#1080;&#1103;\6.03._&#1056;&#1077;&#1096;&#1077;&#1085;&#1080;&#1077;%20&#1079;&#1072;%20&#1086;&#1087;&#1088;&#1077;&#1076;&#1077;&#1083;&#1103;&#1085;&#1077;%20&#1085;&#1072;%20&#1092;&#1080;&#1085;&#1072;&#1085;&#1089;&#1086;&#1074;&#1072;%20&#1082;&#1086;&#1088;&#1077;&#1082;&#1094;&#1080;&#1103;&#166;&#1079;&#1072;%20&#1087;&#1088;&#1077;&#1082;&#1088;&#1072;&#1090;&#1103;&#1074;&#1072;&#1085;&#1077;%20&#1085;&#1072;%20&#1087;&#1088;&#1086;&#1080;&#1079;&#1074;&#1086;&#1076;&#1089;&#1090;&#1074;&#1086;&#1090;&#1086;%20&#1087;&#1086;%20&#1086;&#1087;&#1088;&#1077;&#1076;&#1077;&#1083;&#1103;&#1085;&#1077;%20&#1085;&#1072;%20&#1092;&#1080;&#1085;&#1072;&#1085;&#1089;&#1086;&#1074;&#1072;%20&#1082;&#1086;&#1088;&#1077;&#1082;&#1094;&#1080;&#1103;.docx" TargetMode="External"/><Relationship Id="rId256" Type="http://schemas.openxmlformats.org/officeDocument/2006/relationships/hyperlink" Target="file:///C:\Users\Ppavlova\Desktop\PM%202014%20-%202020\&#1043;&#1083;&#1072;&#1074;&#1072;%206%20&#1053;&#1077;&#1088;&#1077;&#1076;&#1085;&#1086;&#1089;&#1090;&#1080;%20-%20&#1055;&#1088;&#1080;&#1083;&#1086;&#1078;&#1077;&#1085;&#1080;&#1103;\6.03._&#1056;&#1077;&#1096;&#1077;&#1085;&#1080;&#1077;%20&#1079;&#1072;%20&#1086;&#1087;&#1088;&#1077;&#1076;&#1077;&#1083;&#1103;&#1085;&#1077;%20&#1085;&#1072;%20&#1092;&#1080;&#1085;&#1072;&#1085;&#1089;&#1086;&#1074;&#1072;%20&#1082;&#1086;&#1088;&#1077;&#1082;&#1094;&#1080;&#1103;&#166;&#1079;&#1072;%20&#1087;&#1088;&#1077;&#1082;&#1088;&#1072;&#1090;&#1103;&#1074;&#1072;&#1085;&#1077;%20&#1085;&#1072;%20&#1087;&#1088;&#1086;&#1080;&#1079;&#1074;&#1086;&#1076;&#1089;&#1090;&#1074;&#1086;&#1090;&#1086;%20&#1087;&#1086;%20&#1086;&#1087;&#1088;&#1077;&#1076;&#1077;&#1083;&#1103;&#1085;&#1077;%20&#1085;&#1072;%20&#1092;&#1080;&#1085;&#1072;&#1085;&#1089;&#1086;&#1074;&#1072;%20&#1082;&#1086;&#1088;&#1077;&#1082;&#1094;&#1080;&#1103;.docx" TargetMode="External"/><Relationship Id="rId277" Type="http://schemas.openxmlformats.org/officeDocument/2006/relationships/hyperlink" Target="file:///\\MTITC-FP03\OPTransport\public\DGIvanova\PM%202014-2020\Actual%20v_4.2%2016.12.2019\&#1043;&#1083;&#1072;&#1074;&#1072;%207%20&#1048;&#1079;&#1087;&#1098;&#1083;&#1085;&#1077;&#1085;&#1080;&#1077;%20-%20&#1055;&#1088;&#1080;&#1083;&#1086;&#1078;&#1077;&#1085;&#1080;&#1103;\7.10._&#1056;&#1077;&#1075;&#1080;&#1089;&#1090;&#1098;&#1088;%20&#1085;&#1072;%20&#1087;&#1088;&#1086;&#1074;&#1077;&#1088;&#1082;&#1080;&#1090;&#1077;%20&#1085;&#1072;%20&#1084;&#1103;&#1089;&#1090;&#1086;%20&#1086;&#1090;%20&#1059;&#1054;%20&#1085;&#1072;%20&#1054;&#1055;&#1058;&#1058;&#1048;%20&#1079;&#1072;%20&#8230;&#8230;.%20&#1075;&#1086;&#1076;&#1080;&#1085;&#1072;.doc" TargetMode="External"/><Relationship Id="rId298" Type="http://schemas.openxmlformats.org/officeDocument/2006/relationships/hyperlink" Target="file:///C:\Users\Ppavlova\Desktop\PM%202014%20-%202020\&#1043;&#1083;&#1072;&#1074;&#1072;%208%20&#1059;&#1087;&#1088;&#1072;&#1074;&#1083;&#1077;&#1085;&#1080;&#1077;%20&#1085;&#1072;%20&#1088;&#1080;&#1089;&#1082;&#1072;%20-%20&#1055;&#1088;&#1080;&#1083;&#1086;&#1078;&#1077;&#1085;&#1080;&#1103;\8.03._&#1055;&#1088;&#1080;&#1084;&#1077;&#1088;&#1085;&#1080;%20&#1082;&#1088;&#1080;&#1090;&#1077;&#1088;&#1080;&#1080;%20&#1079;&#1072;%20&#1086;&#1094;&#1077;&#1085;&#1082;&#1072;%20&#1085;&#1072;%20&#1074;&#1083;&#1080;&#1103;&#1085;&#1080;&#1077;&#1090;&#1086;.xls" TargetMode="External"/><Relationship Id="rId25" Type="http://schemas.openxmlformats.org/officeDocument/2006/relationships/hyperlink" Target="file:///C:\Users\Ppavlova\Desktop\PM%202014%20-%202020\&#1043;&#1083;&#1072;&#1074;&#1072;%201%20&#1054;&#1073;&#1097;&#1080;%20&#1087;&#1086;&#1083;&#1086;&#1078;&#1077;&#1085;&#1080;&#1103;%20-%20&#1055;&#1088;&#1080;&#1083;&#1086;&#1078;&#1077;&#1085;&#1080;&#1103;\1.01._&#1044;&#1077;&#1082;&#1083;&#1072;&#1088;&#1072;&#1094;&#1080;&#1103;%20&#1079;&#1072;%20&#1079;&#1072;&#1087;&#1086;&#1079;&#1085;&#1072;&#1074;&#1072;&#1085;&#1077;%20&#1089;%20&#1087;&#1088;&#1086;&#1094;&#1077;&#1076;&#1091;&#1088;&#1085;&#1080;&#1103;%20&#1085;&#1072;&#1088;&#1098;&#1095;&#1085;&#1080;&#1082;.doc" TargetMode="External"/><Relationship Id="rId46" Type="http://schemas.openxmlformats.org/officeDocument/2006/relationships/hyperlink" Target="file:///C:\Users\Ppavlova\Desktop\PM%202014%20-%202020\&#1043;&#1083;&#1072;&#1074;&#1072;%202%20&#1044;&#1098;&#1088;&#1078;&#1072;&#1074;&#1085;&#1080;%20&#1087;&#1086;&#1084;&#1086;&#1097;&#1080;%20-%20&#1055;&#1088;&#1080;&#1083;&#1086;&#1078;&#1077;&#1085;&#1080;&#1103;\2.06._State%20Aid%20Analytical%20Grids%20for%20infrastructure%20update%202016%20en.pdf" TargetMode="External"/><Relationship Id="rId67" Type="http://schemas.microsoft.com/office/2007/relationships/diagramDrawing" Target="diagrams/drawing1.xml"/><Relationship Id="rId116" Type="http://schemas.openxmlformats.org/officeDocument/2006/relationships/hyperlink" Target="file:///C:\Users\DGIvanova\AppData\Local\Microsoft\Windows\INetCache\Content.Outlook\0LQTPC6N\&#1043;&#1083;&#1072;&#1074;&#1072;%203%20&#1055;&#1088;&#1086;&#1075;&#1088;&#1072;&#1084;&#1080;&#1088;&#1072;&#1085;&#1077;%20-%20&#1055;&#1088;&#1080;&#1083;&#1086;&#1078;&#1077;&#1085;&#1080;&#1103;\3.10._&#1056;&#1077;&#1096;&#1077;&#1085;&#1080;&#1077;%20&#1079;&#1072;%20&#1086;&#1090;&#1082;&#1072;&#1079;%20&#1079;&#1072;%20&#1087;&#1088;&#1077;&#1076;&#1086;&#1089;&#1090;&#1072;&#1074;&#1103;&#1085;&#1077;%20&#1085;&#1072;%20&#1041;&#1060;&#1055;.docx" TargetMode="External"/><Relationship Id="rId137" Type="http://schemas.openxmlformats.org/officeDocument/2006/relationships/hyperlink" Target="file:///C:\Users\Ppavlova\Desktop\PM%202014%20-%202020\&#1043;&#1083;&#1072;&#1074;&#1072;%203%20&#1055;&#1088;&#1086;&#1075;&#1088;&#1072;&#1084;&#1080;&#1088;&#1072;&#1085;&#1077;%20-%20&#1055;&#1088;&#1080;&#1083;&#1086;&#1078;&#1077;&#1085;&#1080;&#1103;\3.07._&#1044;&#1086;&#1082;&#1083;&#1072;&#1076;%20&#1079;&#1072;%20&#1080;&#1079;&#1074;&#1098;&#1088;&#1096;&#1077;&#1085;&#1072;%20&#1086;&#1094;&#1077;&#1085;&#1082;&#1072;%20&#1085;&#1072;%20&#1087;&#1088;&#1086;&#1077;&#1082;&#1090;&#1085;&#1086;%20&#1087;&#1088;&#1077;&#1076;&#1083;&#1086;&#1078;&#1077;&#1085;&#1080;&#1077;.docx" TargetMode="External"/><Relationship Id="rId158" Type="http://schemas.openxmlformats.org/officeDocument/2006/relationships/hyperlink" Target="file:///C:\Users\Sgotzov\AppData\Local\Microsoft\Windows\INetCache\Content.Outlook\0QLPQ679\&#1043;&#1083;&#1072;&#1074;&#1072;%203%20&#1055;&#1088;&#1086;&#1075;&#1088;&#1072;&#1084;&#1080;&#1088;&#1072;&#1085;&#1077;%20-%20&#1055;&#1088;&#1080;&#1083;&#1086;&#1078;&#1077;&#1085;&#1080;&#1103;\3.07._&#1044;&#1086;&#1082;&#1083;&#1072;&#1076;%20&#1079;&#1072;%20&#1080;&#1079;&#1074;&#1098;&#1088;&#1096;&#1077;&#1085;&#1072;%20&#1086;&#1094;&#1077;&#1085;&#1082;&#1072;%20&#1085;&#1072;%20&#1087;&#1088;&#1086;&#1077;&#1082;&#1090;&#1085;&#1086;%20&#1087;&#1088;&#1077;&#1076;&#1083;&#1086;&#1078;&#1077;&#1085;&#1080;&#1077;.docx" TargetMode="External"/><Relationship Id="rId272" Type="http://schemas.openxmlformats.org/officeDocument/2006/relationships/hyperlink" Target="file:///C:\Users\Ppavlova\Desktop\PM%202014%20-%202020\&#1043;&#1083;&#1072;&#1074;&#1072;%207%20&#1048;&#1079;&#1087;&#1098;&#1083;&#1085;&#1077;&#1085;&#1080;&#1077;%20-%20&#1055;&#1088;&#1080;&#1083;&#1086;&#1078;&#1077;&#1085;&#1080;&#1103;\7.10._&#1056;&#1077;&#1075;&#1080;&#1089;&#1090;&#1098;&#1088;%20&#1085;&#1072;%20&#1087;&#1088;&#1086;&#1074;&#1077;&#1088;&#1082;&#1080;&#1090;&#1077;%20&#1085;&#1072;%20&#1084;&#1103;&#1089;&#1090;&#1086;%20&#1086;&#1090;%20&#1059;&#1054;%20&#1085;&#1072;%20&#1054;&#1055;&#1058;&#1058;&#1048;%20&#1079;&#1072;%20&#8230;&#8230;.%20&#1075;&#1086;&#1076;&#1080;&#1085;&#1072;.doc" TargetMode="External"/><Relationship Id="rId293" Type="http://schemas.openxmlformats.org/officeDocument/2006/relationships/hyperlink" Target="file:///\\MTITC-FP03\OPTransport\public\DGIvanova\PM%202014-2020\Actual%20v_4.2%2016.12.2019\&#1043;&#1083;&#1072;&#1074;&#1072;%205%20&#1060;&#1080;&#1085;&#1072;&#1085;&#1089;&#1086;&#1074;&#1086;%20&#1091;&#1087;&#1088;&#1072;&#1074;&#1083;&#1077;&#1085;&#1080;&#1077;%20-%20&#1055;&#1088;&#1080;&#1083;&#1086;&#1078;&#1077;&#1085;&#1080;&#1103;\5.01.2.2._&#1050;&#1086;&#1085;&#1090;&#1088;&#1086;&#1083;&#1077;&#1085;%20&#1083;&#1080;&#1089;&#1090;%20-%20&#1048;&#1089;&#1082;&#1072;&#1085;&#1077;%20&#1079;&#1072;%20&#1084;&#1077;&#1078;&#1076;&#1080;&#1085;&#1085;&#1086;%20&#1087;&#1083;&#1072;&#1097;&#1072;&#1085;&#1077;%20&#1087;&#1086;%20&#1087;&#1088;&#1086;&#1077;&#1082;&#1090;&#1080;%20&#1087;&#1086;%20&#1087;&#1088;&#1080;&#1086;&#1088;&#1080;&#1090;&#1077;&#1090;&#1085;&#1072;%20&#1086;&#1089;%20&#1058;&#1055;%20&#1085;&#1072;%20&#1054;&#1055;&#1058;&#1058;&#1048;%20&#1089;%20&#1073;&#1077;&#1085;&#1077;&#1092;&#1080;&#1094;&#1080;&#1077;&#1085;&#1090;%20&#1059;&#1054;.docx" TargetMode="External"/><Relationship Id="rId302" Type="http://schemas.openxmlformats.org/officeDocument/2006/relationships/hyperlink" Target="file:///C:\Users\Ppavlova\Desktop\PM%202014%20-%202020\&#1043;&#1083;&#1072;&#1074;&#1072;%208%20&#1059;&#1087;&#1088;&#1072;&#1074;&#1083;&#1077;&#1085;&#1080;&#1077;%20&#1085;&#1072;%20&#1088;&#1080;&#1089;&#1082;&#1072;%20-%20&#1055;&#1088;&#1080;&#1083;&#1086;&#1078;&#1077;&#1085;&#1080;&#1103;\8.02._&#1056;&#1080;&#1089;&#1082;%20&#1088;&#1077;&#1075;&#1080;&#1089;&#1090;&#1098;&#1088;.xls" TargetMode="External"/><Relationship Id="rId307" Type="http://schemas.openxmlformats.org/officeDocument/2006/relationships/hyperlink" Target="file:///C:\Users\Schobanov\Desktop\Rabotna\&#1053;&#1072;&#1088;&#1098;&#1095;&#1085;&#1080;&#1082;\&#1053;&#1072;&#1088;&#1098;&#1095;&#1085;&#1080;&#1082;%204.1\&#1043;&#1083;&#1072;&#1074;&#1072;%208%20&#1059;&#1087;&#1088;&#1072;&#1074;&#1083;&#1077;&#1085;&#1080;&#1077;%20&#1085;&#1072;%20&#1088;&#1080;&#1089;&#1082;&#1072;%20-%20&#1055;&#1088;&#1080;&#1083;&#1086;&#1078;&#1077;&#1085;&#1080;&#1103;\8.05-&#1095;&#1072;&#1089;&#1090;%201._&#1056;&#1072;&#1079;&#1087;&#1088;&#1077;&#1076;&#1077;&#1083;&#1077;&#1085;&#1080;&#1077;%20&#1079;&#1072;%20&#1086;&#1094;&#1077;&#1085;&#1082;&#1072;%20&#1085;&#1072;%20&#1073;&#1088;&#1091;&#1090;&#1086;%20&#1088;&#1080;&#1089;&#1082;&#1072;.docx" TargetMode="External"/><Relationship Id="rId323" Type="http://schemas.openxmlformats.org/officeDocument/2006/relationships/hyperlink" Target="file:///C:\Users\Ppavlova\Desktop\PM%202014%20-%202020\&#1043;&#1083;&#1072;&#1074;&#1072;%209%20&#1052;&#1086;&#1085;&#1080;&#1090;&#1086;&#1088;&#1080;&#1085;&#1075;%20-%20&#1055;&#1088;&#1080;&#1083;&#1086;&#1078;&#1077;&#1085;&#1080;&#1103;\9.02._&#1050;&#1086;&#1085;&#1090;&#1088;&#1086;&#1083;&#1077;&#1085;%20&#1083;&#1080;&#1089;&#1090;%20-%20&#1044;&#1086;&#1082;&#1083;&#1072;&#1076;%20&#1079;&#1072;%20&#1080;&#1079;&#1087;&#1098;&#1083;&#1085;&#1077;&#1085;&#1080;&#1077;%20&#1085;&#1072;%20&#1054;&#1055;&#1058;&#1058;&#1048;.doc" TargetMode="External"/><Relationship Id="rId328" Type="http://schemas.openxmlformats.org/officeDocument/2006/relationships/hyperlink" Target="http://www.eufunds.bg/bg/optti" TargetMode="External"/><Relationship Id="rId20" Type="http://schemas.openxmlformats.org/officeDocument/2006/relationships/hyperlink" Target="http://www.minfin.bg/document/14662:1" TargetMode="External"/><Relationship Id="rId41" Type="http://schemas.openxmlformats.org/officeDocument/2006/relationships/hyperlink" Target="http://www.optransport.bg" TargetMode="External"/><Relationship Id="rId62" Type="http://schemas.openxmlformats.org/officeDocument/2006/relationships/hyperlink" Target="file:///C:\Users\Ppavlova\Desktop\PM%202014%20-%202020\&#1043;&#1083;&#1072;&#1074;&#1072;%205%20&#1060;&#1080;&#1085;&#1072;&#1085;&#1089;&#1086;&#1074;&#1086;%20&#1091;&#1087;&#1088;&#1072;&#1074;&#1083;&#1077;&#1085;&#1080;&#1077;%20-%20&#1055;&#1088;&#1080;&#1083;&#1086;&#1078;&#1077;&#1085;&#1080;&#1103;\5.01.3.1._&#1050;&#1086;&#1085;&#1090;&#1088;&#1086;&#1083;&#1077;&#1085;%20&#1083;&#1080;&#1089;&#1090;%20-%20&#1048;&#1089;&#1082;&#1072;&#1085;&#1077;%20&#1079;&#1072;%20&#1086;&#1082;&#1086;&#1085;&#1095;&#1072;&#1090;&#1077;&#1083;&#1085;&#1086;%20&#1087;&#1083;&#1072;&#1097;&#1072;&#1085;&#1077;%20&#1086;&#1090;%20&#1041;&#1077;&#1085;&#1077;&#1092;&#1080;&#1094;&#1080;&#1077;&#1085;&#1090;&#1080;%20&#1087;&#1086;%20&#1054;&#1055;&#1058;&#1058;&#1048;.docx" TargetMode="External"/><Relationship Id="rId83" Type="http://schemas.openxmlformats.org/officeDocument/2006/relationships/hyperlink" Target="file:///F:\SUK%202014-09-23\2014-06_v%2001\www.optransport.bg" TargetMode="External"/><Relationship Id="rId88" Type="http://schemas.openxmlformats.org/officeDocument/2006/relationships/diagramData" Target="diagrams/data3.xml"/><Relationship Id="rId111" Type="http://schemas.openxmlformats.org/officeDocument/2006/relationships/hyperlink" Target="file:///C:\Users\DGIvanova\AppData\Local\Microsoft\Windows\INetCache\Content.Outlook\0LQTPC6N\&#1043;&#1083;&#1072;&#1074;&#1072;%203%20&#1055;&#1088;&#1086;&#1075;&#1088;&#1072;&#1084;&#1080;&#1088;&#1072;&#1085;&#1077;%20-%20&#1055;&#1088;&#1080;&#1083;&#1086;&#1078;&#1077;&#1085;&#1080;&#1103;\3.06.1._&#1054;&#1094;&#1077;&#1085;&#1080;&#1090;&#1077;&#1083;&#1085;&#1072;%20&#1090;&#1072;&#1073;&#1083;&#1080;&#1094;&#1072;%20&#1079;&#1072;%20&#1080;&#1079;&#1074;&#1098;&#1088;&#1096;&#1077;&#1085;&#1072;%20&#1086;&#1094;&#1077;&#1085;&#1082;&#1072;%20&#1085;&#1072;%20%20&#1087;&#1088;&#1086;&#1077;&#1082;&#1090;&#1085;&#1080;%20&#1087;&#1088;&#1077;&#1076;&#1083;&#1086;&#1078;&#1077;&#1085;&#1080;&#1103;%20&#1079;&#1072;%20&#1080;&#1085;&#1074;&#1077;&#1089;&#1090;&#1080;&#1094;&#1080;&#1086;&#1085;&#1085;&#1080;&#166;&#1080;&#1085;&#1092;&#1088;&#1072;&#1089;&#1090;&#1088;&#1091;&#1082;&#1090;&#1091;&#1088;&#1085;&#1080;%20&#1087;&#1088;&#1086;&#1077;&#1082;&#1090;&#1080;.docx" TargetMode="External"/><Relationship Id="rId132" Type="http://schemas.openxmlformats.org/officeDocument/2006/relationships/hyperlink" Target="file:///C:\Users\Sgotzov\AppData\Local\Microsoft\Windows\INetCache\Content.Outlook\0QLPQ679\&#1043;&#1083;&#1072;&#1074;&#1072;%203%20&#1055;&#1088;&#1086;&#1075;&#1088;&#1072;&#1084;&#1080;&#1088;&#1072;&#1085;&#1077;%20-%20&#1055;&#1088;&#1080;&#1083;&#1086;&#1078;&#1077;&#1085;&#1080;&#1103;\3.05._&#1050;&#1088;&#1080;&#1090;&#1077;&#1088;&#1080;&#1080;%20%20&#1079;&#1072;%20&#1086;&#1089;&#1080;&#1075;&#1091;&#1088;&#1103;&#1074;&#1072;&#1085;&#1077;%20&#1085;&#1072;%20&#1080;&#1085;&#1092;&#1086;&#1088;&#1084;&#1072;&#1094;&#1080;&#1103;%20&#1079;&#1072;%20&#1080;&#1085;&#1074;&#1077;&#1089;&#1090;&#1080;&#1094;&#1080;&#1086;&#1085;&#1085;&#1080;&#166;&#1080;&#1085;&#1092;&#1088;&#1072;&#1089;&#1090;&#1088;&#1091;&#1082;&#1090;&#1091;&#1088;&#1085;&#1080;%20&#1087;&#1088;&#1086;&#1077;&#1082;&#1090;&#1080;%20&#1087;&#1088;&#1080;%20&#1080;&#1079;&#1074;&#1098;&#1088;&#1096;&#1074;&#1072;&#1085;&#1077;&#1090;&#1086;%20&#1085;&#1072;%20&#1086;&#1094;&#1077;&#1085;&#1082;&#1072;.doc" TargetMode="External"/><Relationship Id="rId153" Type="http://schemas.openxmlformats.org/officeDocument/2006/relationships/hyperlink" Target="file:///C:\Users\Ppavlova\Desktop\PM%202014%20-%202020\&#1043;&#1083;&#1072;&#1074;&#1072;%203%20&#1055;&#1088;&#1086;&#1075;&#1088;&#1072;&#1084;&#1080;&#1088;&#1072;&#1085;&#1077;%20-%20&#1055;&#1088;&#1080;&#1083;&#1086;&#1078;&#1077;&#1085;&#1080;&#1103;\3.09._&#1050;&#1086;&#1085;&#1090;&#1088;&#1086;&#1083;&#1077;&#1085;%20&#1083;&#1080;&#1089;&#1090;%20&#1079;&#1072;%20&#1087;&#1088;&#1086;&#1074;&#1077;&#1088;&#1082;&#1072;%20&#1085;&#1072;%20&#1087;&#1088;&#1086;&#1094;&#1077;&#1076;&#1091;&#1088;&#1072;&#1090;&#1072;%20&#1085;&#1072;%20&#1080;&#1079;&#1074;&#1098;&#1088;&#1096;&#1077;&#1085;&#1072;%20&#1086;&#1094;&#1077;&#1085;&#1082;&#1072;%20&#1085;&#1072;%20&#1087;&#1088;&#1086;&#1077;&#1082;&#1090;&#1085;&#1086;%20&#1087;&#1088;&#1077;&#1076;&#1083;&#1086;&#1078;&#1077;&#1085;&#1080;&#1077;.docx" TargetMode="External"/><Relationship Id="rId174" Type="http://schemas.openxmlformats.org/officeDocument/2006/relationships/hyperlink" Target="apis://Base=APEV&amp;CELEX=32013R1303&amp;ToPar=AnnXII&amp;Type=201" TargetMode="External"/><Relationship Id="rId179" Type="http://schemas.openxmlformats.org/officeDocument/2006/relationships/hyperlink" Target="file:///C:\Users\Ppavlova\Desktop\PM%202014%20-%202020\&#1043;&#1083;&#1072;&#1074;&#1072;%205%20&#1060;&#1080;&#1085;&#1072;&#1085;&#1089;&#1086;&#1074;&#1086;%20&#1091;&#1087;&#1088;&#1072;&#1074;&#1083;&#1077;&#1085;&#1080;&#1077;%20-%20&#1055;&#1088;&#1080;&#1083;&#1086;&#1078;&#1077;&#1085;&#1080;&#1103;\5.05._&#1050;&#1086;&#1085;&#1090;&#1088;&#1086;&#1083;&#1077;&#1085;%20&#1083;&#1080;&#1089;&#1090;%20&#1079;&#1072;%20&#1074;&#1077;&#1088;&#1080;&#1092;&#1080;&#1094;&#1080;&#1088;&#1072;&#1085;&#1077;%20&#1085;&#1072;%20&#1088;&#1072;&#1079;&#1093;&#1086;&#1076;&#1080;&#1090;&#1077;%20&#1087;&#1088;&#1080;%20&#1080;&#1079;&#1087;&#1098;&#1083;&#1085;&#1077;&#1085;&#1080;&#1077;%20&#1085;&#1072;%20&#1087;&#1088;&#1086;&#1077;&#1082;&#1090;&#1080;%20&#1087;&#1086;%20&#1087;&#1088;&#1080;&#1086;&#1088;&#1080;&#1090;&#1077;&#1090;&#1085;&#1072;%20&#1086;&#1089;%20&#1058;&#1055;%20&#1089;%20&#1073;&#1077;&#1085;&#1077;&#1092;&#1080;&#1094;&#1080;&#1077;&#1085;&#1090;%20&#1059;&#1054;.doc" TargetMode="External"/><Relationship Id="rId195" Type="http://schemas.openxmlformats.org/officeDocument/2006/relationships/hyperlink" Target="https://umis2020.government.bg/" TargetMode="External"/><Relationship Id="rId209" Type="http://schemas.openxmlformats.org/officeDocument/2006/relationships/hyperlink" Target="file:///C:\Users\Ppavlova\Desktop\PM%202014%20-%202020\&#1043;&#1083;&#1072;&#1074;&#1072;%205%20&#1060;&#1080;&#1085;&#1072;&#1085;&#1089;&#1086;&#1074;&#1086;%20&#1091;&#1087;&#1088;&#1072;&#1074;&#1083;&#1077;&#1085;&#1080;&#1077;%20-%20&#1055;&#1088;&#1080;&#1083;&#1086;&#1078;&#1077;&#1085;&#1080;&#1103;\5.09._&#1048;&#1089;&#1082;&#1072;&#1085;&#1077;%20&#1079;&#1072;%20&#1089;&#1098;&#1079;&#1076;&#1072;&#1074;&#1072;&#1085;&#1077;&#166;&#1087;&#1088;&#1086;&#1084;&#1103;&#1085;&#1072;&#166;&#1080;&#1079;&#1090;&#1088;&#1080;&#1074;&#1072;&#1085;&#1077;%20&#1085;&#1072;%20&#1087;&#1086;&#1090;&#1088;&#1077;&#1073;&#1080;&#1090;&#1077;&#1083;&#1089;&#1082;&#1080;%20&#1087;&#1088;&#1086;&#1092;&#1080;&#1083;%20&#1074;%20&#1048;&#1057;&#1060;&#1059;.doc" TargetMode="External"/><Relationship Id="rId190" Type="http://schemas.openxmlformats.org/officeDocument/2006/relationships/hyperlink" Target="file:///C:\Users\Ppavlova\Desktop\PM%202014%20-%202020\&#1043;&#1083;&#1072;&#1074;&#1072;%205%20&#1060;&#1080;&#1085;&#1072;&#1085;&#1089;&#1086;&#1074;&#1086;%20&#1091;&#1087;&#1088;&#1072;&#1074;&#1083;&#1077;&#1085;&#1080;&#1077;%20-%20&#1055;&#1088;&#1080;&#1083;&#1086;&#1078;&#1077;&#1085;&#1080;&#1103;\5.01.2.1._&#1050;&#1086;&#1085;&#1090;&#1088;&#1086;&#1083;&#1077;&#1085;%20&#1083;&#1080;&#1089;&#1090;%20-%20&#1048;&#1089;&#1082;&#1072;&#1085;&#1077;%20&#1079;&#1072;%20&#1084;&#1077;&#1078;&#1076;&#1080;&#1085;&#1085;&#1086;%20&#1087;&#1083;&#1072;&#1097;&#1072;&#1085;&#1077;%20&#1086;&#1090;%20&#1041;&#1077;&#1085;&#1077;&#1092;&#1080;&#1094;&#1080;&#1077;&#1085;&#1090;&#1080;%20&#1087;&#1086;%20&#1054;&#1055;&#1058;&#1058;&#1048;.docx" TargetMode="External"/><Relationship Id="rId204" Type="http://schemas.openxmlformats.org/officeDocument/2006/relationships/hyperlink" Target="file:///C:\Users\Ppavlova\Desktop\PM%202014%20-%202020\&#1043;&#1083;&#1072;&#1074;&#1072;%205%20&#1060;&#1080;&#1085;&#1072;&#1085;&#1089;&#1086;&#1074;&#1086;%20&#1091;&#1087;&#1088;&#1072;&#1074;&#1083;&#1077;&#1085;&#1080;&#1077;%20-%20&#1055;&#1088;&#1080;&#1083;&#1086;&#1078;&#1077;&#1085;&#1080;&#1103;\5.02.6._&#1056;&#1077;&#1075;&#1080;&#1089;&#1090;&#1098;&#1088;%20&#1085;&#1072;%20&#1076;&#1080;&#1088;&#1077;&#1082;&#1090;&#1085;&#1080;&#1090;&#1077;%20&#1087;&#1083;&#1072;&#1097;&#1072;&#1085;&#1080;&#1103;%20&#1087;&#1086;%20&#1054;&#1055;&#1058;&#1058;&#1048;.xlsx" TargetMode="External"/><Relationship Id="rId220" Type="http://schemas.openxmlformats.org/officeDocument/2006/relationships/hyperlink" Target="mailto:natfund@minfin.bg" TargetMode="External"/><Relationship Id="rId225" Type="http://schemas.openxmlformats.org/officeDocument/2006/relationships/hyperlink" Target="file:///C:\Users\Ppavlova\Desktop\PM%202014%20-%202020\&#1043;&#1083;&#1072;&#1074;&#1072;%205%20&#1060;&#1080;&#1085;&#1072;&#1085;&#1089;&#1086;&#1074;&#1086;%20&#1091;&#1087;&#1088;&#1072;&#1074;&#1083;&#1077;&#1085;&#1080;&#1077;%20-%20&#1055;&#1088;&#1080;&#1083;&#1086;&#1078;&#1077;&#1085;&#1080;&#1103;\5.16.1._&#1050;&#1085;&#1080;&#1075;&#1072;%20&#1085;&#1072;%20&#1076;&#1083;&#1098;&#1078;&#1085;&#1080;&#1094;&#1080;&#1090;&#1077;.xls" TargetMode="External"/><Relationship Id="rId241" Type="http://schemas.openxmlformats.org/officeDocument/2006/relationships/hyperlink" Target="file:///C:\Users\Schobanov\Desktop\&#1053;&#1072;&#1088;&#1098;&#1095;&#1085;&#1080;&#1082;%204.0\optransport@mtitc.governmen.bg" TargetMode="External"/><Relationship Id="rId246" Type="http://schemas.openxmlformats.org/officeDocument/2006/relationships/hyperlink" Target="file:///C:\Users\Ppavlova\Desktop\PM%202014%20-%202020\&#1043;&#1083;&#1072;&#1074;&#1072;%205%20&#1060;&#1080;&#1085;&#1072;&#1085;&#1089;&#1086;&#1074;&#1086;%20&#1091;&#1087;&#1088;&#1072;&#1074;&#1083;&#1077;&#1085;&#1080;&#1077;%20-%20&#1055;&#1088;&#1080;&#1083;&#1086;&#1078;&#1077;&#1085;&#1080;&#1103;\5.24._&#1050;&#1086;&#1085;&#1090;&#1088;&#1086;&#1083;&#1077;&#1085;%20&#1083;&#1080;&#1089;&#1090;%20&#1079;&#1072;%20&#1087;&#1088;&#1086;&#1074;&#1077;&#1088;&#1082;&#1072;%20&#1085;&#1072;%20&#1087;&#1083;&#1072;&#1097;&#1072;&#1085;&#1077;%20&#1087;&#1086;%20&#1072;&#1074;&#1072;&#1085;&#1089;&#1086;&#1074;&#1086;%20&#1092;&#1080;&#1085;&#1072;&#1085;&#1089;&#1080;&#1088;&#1072;&#1085;&#1077;%20&#1087;&#1086;%20&#1088;&#1077;&#1076;&#1072;%20&#1085;&#1072;%20&#1044;&#1044;&#1057;%20&#8470;%2006_2011.doc" TargetMode="External"/><Relationship Id="rId267" Type="http://schemas.openxmlformats.org/officeDocument/2006/relationships/hyperlink" Target="file:///C:\Users\Ppavlova\Desktop\PM%202014%20-%202020\&#1043;&#1083;&#1072;&#1074;&#1072;%207%20&#1048;&#1079;&#1087;&#1098;&#1083;&#1085;&#1077;&#1085;&#1080;&#1077;%20-%20&#1055;&#1088;&#1080;&#1083;&#1086;&#1078;&#1077;&#1085;&#1080;&#1103;\7.02._&#1043;&#1086;&#1076;&#1080;&#1096;&#1077;&#1085;%20&#1076;&#1086;&#1082;&#1083;&#1072;&#1076;%20&#1079;&#1072;%20&#1085;&#1072;&#1087;&#1088;&#1077;&#1076;&#1098;&#1082;&#1072;%20&#1087;&#1086;%20&#1087;&#1088;&#1086;&#1077;&#1082;&#1090;.doc" TargetMode="External"/><Relationship Id="rId288" Type="http://schemas.openxmlformats.org/officeDocument/2006/relationships/hyperlink" Target="file:///\\MTITC-FP03\OPTransport\public\DGIvanova\PM%202014-2020\Actual%20v_4.2%2016.12.2019\&#1043;&#1083;&#1072;&#1074;&#1072;%207%20&#1048;&#1079;&#1087;&#1098;&#1083;&#1085;&#1077;&#1085;&#1080;&#1077;%20-%20&#1055;&#1088;&#1080;&#1083;&#1086;&#1078;&#1077;&#1085;&#1080;&#1103;\7.02._&#1043;&#1086;&#1076;&#1080;&#1096;&#1077;&#1085;%20&#1076;&#1086;&#1082;&#1083;&#1072;&#1076;%20&#1079;&#1072;%20&#1085;&#1072;&#1087;&#1088;&#1077;&#1076;&#1098;&#1082;&#1072;%20&#1087;&#1086;%20&#1087;&#1088;&#1086;&#1077;&#1082;&#1090;.doc" TargetMode="External"/><Relationship Id="rId15" Type="http://schemas.openxmlformats.org/officeDocument/2006/relationships/hyperlink" Target="http://www.optransport.bg/" TargetMode="External"/><Relationship Id="rId36" Type="http://schemas.openxmlformats.org/officeDocument/2006/relationships/hyperlink" Target="file:///C:\Users\Schobanov\Desktop\&#1053;&#1072;&#1088;&#1098;&#1095;&#1085;&#1080;&#1082;%204.0\www.optransport.bg" TargetMode="External"/><Relationship Id="rId57" Type="http://schemas.openxmlformats.org/officeDocument/2006/relationships/hyperlink" Target="https://webgate.ec.europa.eu/competition/transparency/" TargetMode="External"/><Relationship Id="rId106" Type="http://schemas.microsoft.com/office/2007/relationships/diagramDrawing" Target="diagrams/drawing4.xml"/><Relationship Id="rId127" Type="http://schemas.openxmlformats.org/officeDocument/2006/relationships/hyperlink" Target="file:///C:\Users\Ppavlova\Desktop\PM%202014%20-%202020\&#1043;&#1083;&#1072;&#1074;&#1072;%202%20&#1044;&#1098;&#1088;&#1078;&#1072;&#1074;&#1085;&#1080;%20&#1087;&#1086;&#1084;&#1086;&#1097;&#1080;%20-%20&#1055;&#1088;&#1080;&#1083;&#1086;&#1078;&#1077;&#1085;&#1080;&#1103;\2.03._&#1050;&#1086;&#1085;&#1090;&#1088;&#1086;&#1083;&#1077;&#1085;%20&#1083;&#1080;&#1089;&#1090;%20&#1079;&#1072;%20&#1087;&#1088;&#1077;&#1076;&#1074;&#1072;&#1088;&#1080;&#1090;&#1077;&#1083;&#1085;&#1072;%20&#1086;&#1094;&#1077;&#1085;&#1082;&#1072;%20&#1079;&#1072;%20&#1086;&#1087;&#1088;&#1077;&#1076;&#1077;&#1083;&#1103;&#1085;&#1077;%20&#1085;&#1072;%20&#1087;&#1088;&#1080;&#1083;&#1086;&#1078;&#1080;&#1084;%20&#1082;&#1098;&#1084;%20&#1084;&#1103;&#1088;&#1082;&#1072;&#1090;&#1072;%20&#1088;&#1077;&#1078;&#1080;&#1084;%20&#1085;&#1072;%20&#1089;&#1098;&#1074;&#1084;&#1077;&#1089;&#1090;&#1080;&#1084;&#1072;%20&#1076;&#1098;&#1088;&#1078;&#1072;&#1074;&#1085;&#1072;%20&#1087;&#1086;&#1084;&#1086;&#1097;.doc" TargetMode="External"/><Relationship Id="rId262" Type="http://schemas.openxmlformats.org/officeDocument/2006/relationships/hyperlink" Target="file:///C:\Users\Ppavlova\Desktop\PM%202014%20-%202020\&#1043;&#1083;&#1072;&#1074;&#1072;%206%20&#1053;&#1077;&#1088;&#1077;&#1076;&#1085;&#1086;&#1089;&#1090;&#1080;%20-%20&#1055;&#1088;&#1080;&#1083;&#1086;&#1078;&#1077;&#1085;&#1080;&#1103;\6.07._&#1044;&#1077;&#1082;&#1083;&#1072;&#1088;&#1072;&#1094;&#1080;&#1103;%20&#1086;&#1090;%20&#1095;&#1083;&#1077;&#1085;%20&#1085;&#1072;%20&#1079;&#1074;&#1077;&#1085;&#1086;&#1077;&#1082;&#1080;&#1087;%20&#1079;&#1072;%20&#1091;&#1087;&#1088;&#1072;&#1074;&#1083;&#1077;&#1085;&#1080;&#1077;%20&#1079;&#1072;%20&#1083;&#1080;&#1087;&#1089;&#1072;%20&#1085;&#1072;%20&#1082;&#1086;&#1085;&#1092;&#1083;&#1080;&#1082;&#1090;%20&#1085;&#1072;%20&#1080;&#1085;&#1090;&#1077;&#1088;&#1077;&#1089;&#1080;%20v4-2.docx" TargetMode="External"/><Relationship Id="rId283" Type="http://schemas.openxmlformats.org/officeDocument/2006/relationships/hyperlink" Target="file:///\\MTITC-FP03\OPTransport\public\DGIvanova\PM%202014-2020\Actual%20v_4.2%2016.12.2019\&#1043;&#1083;&#1072;&#1074;&#1072;%207%20&#1048;&#1079;&#1087;&#1098;&#1083;&#1085;&#1077;&#1085;&#1080;&#1077;%20-%20&#1055;&#1088;&#1080;&#1083;&#1086;&#1078;&#1077;&#1085;&#1080;&#1103;\7.06.1._&#1050;&#1086;&#1085;&#1090;&#1088;&#1086;&#1083;&#1077;&#1085;%20&#1083;&#1080;&#1089;&#1090;%20-%20&#1087;&#1086;&#1076;&#1075;&#1086;&#1090;&#1086;&#1074;&#1082;&#1072;%20&#1080;%20&#1080;&#1079;&#1087;&#1098;&#1083;&#1085;&#1077;&#1085;&#1080;&#1077;%20&#1085;&#1072;%20&#1087;&#1088;&#1086;&#1074;&#1077;&#1088;&#1082;&#1072;%20&#1085;&#1072;%20&#1084;&#1103;&#1089;&#1090;&#1086;.doc" TargetMode="External"/><Relationship Id="rId313" Type="http://schemas.openxmlformats.org/officeDocument/2006/relationships/image" Target="media/image10.jpeg"/><Relationship Id="rId318" Type="http://schemas.openxmlformats.org/officeDocument/2006/relationships/oleObject" Target="embeddings/oleObject2.bin"/><Relationship Id="rId10" Type="http://schemas.openxmlformats.org/officeDocument/2006/relationships/image" Target="media/image3.png"/><Relationship Id="rId31" Type="http://schemas.openxmlformats.org/officeDocument/2006/relationships/footer" Target="footer2.xml"/><Relationship Id="rId52" Type="http://schemas.openxmlformats.org/officeDocument/2006/relationships/hyperlink" Target="file:///C:\Users\Ppavlova\Desktop\PM%202014%20-%202020\&#1043;&#1083;&#1072;&#1074;&#1072;%202%20&#1044;&#1098;&#1088;&#1078;&#1072;&#1074;&#1085;&#1080;%20&#1087;&#1086;&#1084;&#1086;&#1097;&#1080;%20-%20&#1055;&#1088;&#1080;&#1083;&#1086;&#1078;&#1077;&#1085;&#1080;&#1103;\2.05._State%20Aid%20Grids%202015%20en.pdf" TargetMode="External"/><Relationship Id="rId73" Type="http://schemas.openxmlformats.org/officeDocument/2006/relationships/hyperlink" Target="file:///C:\Users\Schobanov\Desktop\&#1053;&#1072;&#1088;&#1098;&#1095;&#1085;&#1080;&#1082;%204.0\www.eufunds.bg" TargetMode="External"/><Relationship Id="rId78" Type="http://schemas.microsoft.com/office/2007/relationships/diagramDrawing" Target="diagrams/drawing2.xml"/><Relationship Id="rId94" Type="http://schemas.openxmlformats.org/officeDocument/2006/relationships/hyperlink" Target="file:///C:\Users\Ppavlova\Desktop\PM%202014%20-%202020\&#1043;&#1083;&#1072;&#1074;&#1072;%203%20&#1055;&#1088;&#1086;&#1075;&#1088;&#1072;&#1084;&#1080;&#1088;&#1072;&#1085;&#1077;%20-%20&#1055;&#1088;&#1080;&#1083;&#1086;&#1078;&#1077;&#1085;&#1080;&#1103;\3.08._&#1050;&#1086;&#1085;&#1090;&#1088;&#1086;&#1083;&#1077;&#1085;%20&#1083;&#1080;&#1089;&#1090;%20&#1079;&#1072;%20&#1080;&#1079;&#1074;&#1098;&#1088;&#1096;&#1077;&#1085;&#1072;%20&#1087;&#1088;&#1086;&#1074;&#1077;&#1088;&#1082;&#1072;%20&#1074;%20&#1048;&#1057;&#1059;&#1053;%20&#1079;&#1072;%20&#1083;&#1080;&#1087;&#1089;&#1072;%20&#1085;&#1072;%20&#1076;&#1074;&#1086;&#1081;&#1085;&#1086;%20&#1092;&#1080;&#1085;&#1072;&#1085;&#1089;&#1080;&#1088;&#1072;&#1085;&#1077;.doc" TargetMode="External"/><Relationship Id="rId99" Type="http://schemas.openxmlformats.org/officeDocument/2006/relationships/hyperlink" Target="file:///C:\Users\DGIvanova\AppData\Local\Microsoft\Windows\INetCache\Content.Outlook\0LQTPC6N\&#1043;&#1083;&#1072;&#1074;&#1072;%203%20&#1055;&#1088;&#1086;&#1075;&#1088;&#1072;&#1084;&#1080;&#1088;&#1072;&#1085;&#1077;%20-%20&#1055;&#1088;&#1080;&#1083;&#1086;&#1078;&#1077;&#1085;&#1080;&#1103;\3.06.1._&#1054;&#1094;&#1077;&#1085;&#1080;&#1090;&#1077;&#1083;&#1085;&#1072;%20&#1090;&#1072;&#1073;&#1083;&#1080;&#1094;&#1072;%20&#1079;&#1072;%20&#1080;&#1079;&#1074;&#1098;&#1088;&#1096;&#1077;&#1085;&#1072;%20&#1086;&#1094;&#1077;&#1085;&#1082;&#1072;%20&#1085;&#1072;%20%20&#1087;&#1088;&#1086;&#1077;&#1082;&#1090;&#1085;&#1080;%20&#1087;&#1088;&#1077;&#1076;&#1083;&#1086;&#1078;&#1077;&#1085;&#1080;&#1103;%20&#1079;&#1072;%20&#1080;&#1085;&#1074;&#1077;&#1089;&#1090;&#1080;&#1094;&#1080;&#1086;&#1085;&#1085;&#1080;&#166;&#1080;&#1085;&#1092;&#1088;&#1072;&#1089;&#1090;&#1088;&#1091;&#1082;&#1090;&#1091;&#1088;&#1085;&#1080;%20&#1087;&#1088;&#1086;&#1077;&#1082;&#1090;&#1080;.docx" TargetMode="External"/><Relationship Id="rId101" Type="http://schemas.openxmlformats.org/officeDocument/2006/relationships/hyperlink" Target="file:///C:\Users\DGIvanova\AppData\Local\Microsoft\Windows\INetCache\Content.Outlook\0LQTPC6N\&#1043;&#1083;&#1072;&#1074;&#1072;%203%20&#1055;&#1088;&#1086;&#1075;&#1088;&#1072;&#1084;&#1080;&#1088;&#1072;&#1085;&#1077;%20-%20&#1055;&#1088;&#1080;&#1083;&#1086;&#1078;&#1077;&#1085;&#1080;&#1103;\3.06.3._&#1054;&#1094;&#1077;&#1085;&#1080;&#1090;&#1077;&#1083;&#1085;&#1072;%20&#1090;&#1072;&#1073;&#1083;&#1080;&#1094;&#1072;%20&#1079;&#1072;%20&#1080;&#1079;&#1074;&#1098;&#1088;&#1096;&#1077;&#1085;&#1072;%20&#1086;&#1094;&#1077;&#1085;&#1082;&#1072;%20&#1085;&#1072;%20&#1073;&#1102;&#1076;&#1078;&#1077;&#1090;&#1085;&#1072;%20&#1083;&#1080;&#1085;&#1080;&#1103;.docx" TargetMode="External"/><Relationship Id="rId122" Type="http://schemas.openxmlformats.org/officeDocument/2006/relationships/hyperlink" Target="file:///C:\Users\Ppavlova\Desktop\PM%202014%20-%202020\&#1043;&#1083;&#1072;&#1074;&#1072;%203%20&#1055;&#1088;&#1086;&#1075;&#1088;&#1072;&#1084;&#1080;&#1088;&#1072;&#1085;&#1077;%20-%20&#1055;&#1088;&#1080;&#1083;&#1086;&#1078;&#1077;&#1085;&#1080;&#1103;\3.08._&#1050;&#1086;&#1085;&#1090;&#1088;&#1086;&#1083;&#1077;&#1085;%20&#1083;&#1080;&#1089;&#1090;%20&#1079;&#1072;%20&#1080;&#1079;&#1074;&#1098;&#1088;&#1096;&#1077;&#1085;&#1072;%20&#1087;&#1088;&#1086;&#1074;&#1077;&#1088;&#1082;&#1072;%20&#1074;%20&#1048;&#1057;&#1059;&#1053;%20&#1079;&#1072;%20&#1083;&#1080;&#1087;&#1089;&#1072;%20&#1085;&#1072;%20&#1076;&#1074;&#1086;&#1081;&#1085;&#1086;%20&#1092;&#1080;&#1085;&#1072;&#1085;&#1089;&#1080;&#1088;&#1072;&#1085;&#1077;.doc" TargetMode="External"/><Relationship Id="rId143" Type="http://schemas.openxmlformats.org/officeDocument/2006/relationships/hyperlink" Target="file:///C:\Users\Ppavlova\Desktop\PM%202014%20-%202020\&#1043;&#1083;&#1072;&#1074;&#1072;%203%20&#1055;&#1088;&#1086;&#1075;&#1088;&#1072;&#1084;&#1080;&#1088;&#1072;&#1085;&#1077;%20-%20&#1055;&#1088;&#1080;&#1083;&#1086;&#1078;&#1077;&#1085;&#1080;&#1103;\3.06.3._&#1054;&#1094;&#1077;&#1085;&#1080;&#1090;&#1077;&#1083;&#1085;&#1072;%20&#1090;&#1072;&#1073;&#1083;&#1080;&#1094;&#1072;%20&#1079;&#1072;%20&#1080;&#1079;&#1074;&#1098;&#1088;&#1096;&#1077;&#1085;&#1072;%20&#1086;&#1094;&#1077;&#1085;&#1082;&#1072;%20&#1085;&#1072;%20&#1073;&#1102;&#1076;&#1078;&#1077;&#1090;&#1085;&#1072;%20&#1083;&#1080;&#1085;&#1080;&#1103;.docx" TargetMode="External"/><Relationship Id="rId148" Type="http://schemas.openxmlformats.org/officeDocument/2006/relationships/hyperlink" Target="file:///C:\Users\Ppavlova\Desktop\PM%202014%20-%202020\&#1043;&#1083;&#1072;&#1074;&#1072;%203%20&#1055;&#1088;&#1086;&#1075;&#1088;&#1072;&#1084;&#1080;&#1088;&#1072;&#1085;&#1077;%20-%20&#1055;&#1088;&#1080;&#1083;&#1086;&#1078;&#1077;&#1085;&#1080;&#1103;\3.06.2._&#1054;&#1094;&#1077;&#1085;&#1080;&#1090;&#1077;&#1083;&#1085;&#1072;%20&#1090;&#1072;&#1073;&#1083;&#1080;&#1094;&#1072;%20&#1079;&#1072;%20&#1080;&#1079;&#1074;&#1098;&#1088;&#1096;&#1077;&#1085;&#1072;%20&#1086;&#1094;&#1077;&#1085;&#1082;&#1072;%20&#1085;&#1072;%20&#1087;&#1088;&#1086;&#1077;&#1082;&#1090;&#1085;&#1080;%20&#1087;&#1088;&#1077;&#1076;&#1083;&#1086;&#1078;&#1077;&#1085;&#1080;&#1103;%20&#1079;&#1072;%20&#1090;&#1077;&#1093;&#1085;&#1080;&#1095;&#1077;&#1089;&#1082;&#1072;%20&#1087;&#1086;&#1084;&#1086;&#1097;.docx" TargetMode="External"/><Relationship Id="rId164" Type="http://schemas.openxmlformats.org/officeDocument/2006/relationships/hyperlink" Target="file:///C:\Users\Ppavlova\Desktop\PM%202014%20-%202020\&#1043;&#1083;&#1072;&#1074;&#1072;%203%20&#1055;&#1088;&#1086;&#1075;&#1088;&#1072;&#1084;&#1080;&#1088;&#1072;&#1085;&#1077;%20-%20&#1055;&#1088;&#1080;&#1083;&#1086;&#1078;&#1077;&#1085;&#1080;&#1103;\3.07._&#1044;&#1086;&#1082;&#1083;&#1072;&#1076;%20&#1079;&#1072;%20&#1080;&#1079;&#1074;&#1098;&#1088;&#1096;&#1077;&#1085;&#1072;%20&#1086;&#1094;&#1077;&#1085;&#1082;&#1072;%20&#1085;&#1072;%20&#1087;&#1088;&#1086;&#1077;&#1082;&#1090;&#1085;&#1086;%20&#1087;&#1088;&#1077;&#1076;&#1083;&#1086;&#1078;&#1077;&#1085;&#1080;&#1077;.docx" TargetMode="External"/><Relationship Id="rId169" Type="http://schemas.openxmlformats.org/officeDocument/2006/relationships/hyperlink" Target="file:///C:\Users\Ppavlova\Desktop\PM%202014%20-%202020\&#1043;&#1083;&#1072;&#1074;&#1072;%203%20&#1055;&#1088;&#1086;&#1075;&#1088;&#1072;&#1084;&#1080;&#1088;&#1072;&#1085;&#1077;%20-%20&#1055;&#1088;&#1080;&#1083;&#1086;&#1078;&#1077;&#1085;&#1080;&#1103;\3.11.1._&#1040;&#1076;&#1084;&#1080;&#1085;&#1080;&#1089;&#1090;&#1088;&#1072;&#1090;&#1080;&#1074;&#1077;&#1085;%20&#1076;&#1086;&#1075;&#1086;&#1074;&#1086;&#1088;.doc" TargetMode="External"/><Relationship Id="rId185" Type="http://schemas.openxmlformats.org/officeDocument/2006/relationships/hyperlink" Target="file:///C:\Users\Ppavlova\Desktop\PM%202014%20-%202020\&#1043;&#1083;&#1072;&#1074;&#1072;%205%20&#1060;&#1080;&#1085;&#1072;&#1085;&#1089;&#1086;&#1074;&#1086;%20&#1091;&#1087;&#1088;&#1072;&#1074;&#1083;&#1077;&#1085;&#1080;&#1077;%20-%20&#1055;&#1088;&#1080;&#1083;&#1086;&#1078;&#1077;&#1085;&#1080;&#1103;\5.01.2.3._&#1056;&#1077;&#1096;&#1077;&#1085;&#1080;&#1077;%20&#1079;&#1072;%20&#1074;&#1077;&#1088;&#1080;&#1092;&#1080;&#1082;&#1072;&#1094;&#1080;&#1103;%20&#1085;&#1072;%20&#1087;&#1086;&#1089;&#1090;&#1098;&#1087;&#1080;&#1083;&#1086;%20&#1084;&#1077;&#1078;&#1076;&#1080;&#1085;&#1085;&#1086;&#166;&#1086;&#1082;&#1086;&#1085;&#1095;&#1072;&#1090;&#1077;&#1083;&#1085;&#1086;%20&#1087;&#1083;&#1072;&#1097;&#1072;&#1085;&#1077;.doc" TargetMode="External"/><Relationship Id="rId334" Type="http://schemas.openxmlformats.org/officeDocument/2006/relationships/hyperlink" Target="file:///C:\Users\Schobanov\Desktop\Rabotna\&#1053;&#1072;&#1088;&#1098;&#1095;&#1085;&#1080;&#1082;\&#1053;&#1072;&#1088;&#1098;&#1095;&#1085;&#1080;&#1082;%204.1\&#1043;&#1083;&#1072;&#1074;&#1072;%207%20&#1048;&#1079;&#1087;&#1098;&#1083;&#1085;&#1077;&#1085;&#1080;&#1077;%20-%20&#1055;&#1088;&#1080;&#1083;&#1086;&#1078;&#1077;&#1085;&#1080;&#1103;\7.05.2._&#1057;&#1080;&#1075;&#1085;&#1072;&#1083;&#1080;%20&#1079;&#1072;%20&#1085;&#1077;&#1088;&#1077;&#1076;&#1085;&#1086;&#1089;&#1090;&#1080;%20&#1080;%20&#1056;&#1080;&#1089;&#1082;&#1086;&#1074;&#1080;%20&#1092;&#1072;&#1082;&#1090;&#1086;&#1088;&#1080;%20&#1079;&#1072;%20&#1080;&#1079;&#1074;&#1098;&#1088;&#1096;&#1074;&#1072;&#1085;&#1077;%20&#1085;&#1072;%20&#1087;&#1088;&#1086;&#1074;&#1077;&#1088;&#1082;&#1080;%20&#1085;&#1072;%20&#1084;&#1103;&#1089;&#1090;&#1086;%20&#1086;&#1090;%20&#1059;&#1054;%20&#1085;&#1072;%20&#1054;&#1055;&#1058;&#1058;&#1048;%20&#1079;&#1072;%20&#8230;&#8230;.%20&#1075;&#1086;&#1076;&#1080;&#1085;&#1072;.doc"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file:///C:\Users\Ppavlova\Desktop\PM%202014%20-%202020\&#1043;&#1083;&#1072;&#1074;&#1072;%205%20&#1060;&#1080;&#1085;&#1072;&#1085;&#1089;&#1086;&#1074;&#1086;%20&#1091;&#1087;&#1088;&#1072;&#1074;&#1083;&#1077;&#1085;&#1080;&#1077;%20-%20&#1055;&#1088;&#1080;&#1083;&#1086;&#1078;&#1077;&#1085;&#1080;&#1103;\5.05._&#1050;&#1086;&#1085;&#1090;&#1088;&#1086;&#1083;&#1077;&#1085;%20&#1083;&#1080;&#1089;&#1090;%20&#1079;&#1072;%20&#1074;&#1077;&#1088;&#1080;&#1092;&#1080;&#1094;&#1080;&#1088;&#1072;&#1085;&#1077;%20&#1085;&#1072;%20&#1088;&#1072;&#1079;&#1093;&#1086;&#1076;&#1080;&#1090;&#1077;%20&#1087;&#1088;&#1080;%20&#1080;&#1079;&#1087;&#1098;&#1083;&#1085;&#1077;&#1085;&#1080;&#1077;%20&#1085;&#1072;%20&#1087;&#1088;&#1086;&#1077;&#1082;&#1090;&#1080;%20&#1087;&#1086;%20&#1087;&#1088;&#1080;&#1086;&#1088;&#1080;&#1090;&#1077;&#1090;&#1085;&#1072;%20&#1086;&#1089;%20&#1058;&#1055;%20&#1089;%20&#1073;&#1077;&#1085;&#1077;&#1092;&#1080;&#1094;&#1080;&#1077;&#1085;&#1090;%20&#1059;&#1054;.doc" TargetMode="External"/><Relationship Id="rId210" Type="http://schemas.openxmlformats.org/officeDocument/2006/relationships/hyperlink" Target="file:///C:\Users\Ppavlova\Desktop\PM%202014%20-%202020\&#1043;&#1083;&#1072;&#1074;&#1072;%205%20&#1060;&#1080;&#1085;&#1072;&#1085;&#1089;&#1086;&#1074;&#1086;%20&#1091;&#1087;&#1088;&#1072;&#1074;&#1083;&#1077;&#1085;&#1080;&#1077;%20-%20&#1055;&#1088;&#1080;&#1083;&#1086;&#1078;&#1077;&#1085;&#1080;&#1103;\5.09._&#1048;&#1089;&#1082;&#1072;&#1085;&#1077;%20&#1079;&#1072;%20&#1089;&#1098;&#1079;&#1076;&#1072;&#1074;&#1072;&#1085;&#1077;&#166;&#1087;&#1088;&#1086;&#1084;&#1103;&#1085;&#1072;&#166;&#1080;&#1079;&#1090;&#1088;&#1080;&#1074;&#1072;&#1085;&#1077;%20&#1085;&#1072;%20&#1087;&#1086;&#1090;&#1088;&#1077;&#1073;&#1080;&#1090;&#1077;&#1083;&#1089;&#1082;&#1080;%20&#1087;&#1088;&#1086;&#1092;&#1080;&#1083;%20&#1074;%20&#1048;&#1057;&#1060;&#1059;.doc" TargetMode="External"/><Relationship Id="rId215" Type="http://schemas.openxmlformats.org/officeDocument/2006/relationships/hyperlink" Target="file:///C:\Users\Ppavlova\Desktop\PM%202014%20-%202020\&#1043;&#1083;&#1072;&#1074;&#1072;%205%20&#1060;&#1080;&#1085;&#1072;&#1085;&#1089;&#1086;&#1074;&#1086;%20&#1091;&#1087;&#1088;&#1072;&#1074;&#1083;&#1077;&#1085;&#1080;&#1077;%20-%20&#1055;&#1088;&#1080;&#1083;&#1086;&#1078;&#1077;&#1085;&#1080;&#1103;\5.16.1._&#1050;&#1085;&#1080;&#1075;&#1072;%20&#1085;&#1072;%20&#1076;&#1083;&#1098;&#1078;&#1085;&#1080;&#1094;&#1080;&#1090;&#1077;.xls" TargetMode="External"/><Relationship Id="rId236" Type="http://schemas.openxmlformats.org/officeDocument/2006/relationships/hyperlink" Target="file:///C:\Users\Ppavlova\Desktop\PM%202014%20-%202020\&#1043;&#1083;&#1072;&#1074;&#1072;%205%20&#1060;&#1080;&#1085;&#1072;&#1085;&#1089;&#1086;&#1074;&#1086;%20&#1091;&#1087;&#1088;&#1072;&#1074;&#1083;&#1077;&#1085;&#1080;&#1077;%20-%20&#1055;&#1088;&#1080;&#1083;&#1086;&#1078;&#1077;&#1085;&#1080;&#1103;\5.19._&#1050;&#1086;&#1085;&#1090;&#1088;&#1086;&#1083;&#1077;&#1085;%20&#1083;&#1080;&#1089;&#1090;%20&#1085;&#1072;%20&#1054;&#1090;&#1095;&#1077;&#1090;%20&#1087;&#1086;%20&#1045;&#1041;&#1050;%20&#1085;&#1072;%20&#1059;&#1054;%20&#1053;&#1040;%20&#1054;&#1055;&#1058;&#1058;&#1048;.doc" TargetMode="External"/><Relationship Id="rId257" Type="http://schemas.openxmlformats.org/officeDocument/2006/relationships/hyperlink" Target="file:///C:\Users\Ppavlova\Desktop\PM%202014%20-%202020\&#1043;&#1083;&#1072;&#1074;&#1072;%206%20&#1053;&#1077;&#1088;&#1077;&#1076;&#1085;&#1086;&#1089;&#1090;&#1080;%20-%20&#1055;&#1088;&#1080;&#1083;&#1086;&#1078;&#1077;&#1085;&#1080;&#1103;\6.04._&#1050;&#1086;&#1085;&#1090;&#1088;&#1086;&#1083;&#1077;&#1085;%20&#1083;&#1080;&#1089;&#1090;%20-%20&#1055;&#1088;&#1086;&#1074;&#1077;&#1088;&#1082;&#1072;%20&#1079;&#1072;%20&#1089;&#1098;&#1086;&#1090;&#1074;&#1077;&#1090;&#1089;&#1090;&#1074;&#1080;&#1077;%20&#1085;&#1072;%20&#1056;&#1077;&#1096;&#1077;&#1085;&#1080;&#1077;%20&#1085;&#1072;%20&#1056;&#1098;&#1082;&#1086;&#1074;&#1086;&#1076;&#1080;&#1090;&#1077;&#1083;&#1103;%20&#1085;&#1072;%20&#1059;&#1054;%20&#1079;&#1072;%20&#1086;&#1087;&#1088;&#1077;&#1076;&#1077;&#1083;&#1103;&#1085;&#1077;%20&#1085;&#1072;%20&#1092;&#1080;&#1085;&#1072;&#1085;&#1089;&#1086;&#1074;&#1072;%20&#1082;&#1086;&#1088;&#1077;&#1082;&#1094;&#1080;&#1103;.doc" TargetMode="External"/><Relationship Id="rId278" Type="http://schemas.openxmlformats.org/officeDocument/2006/relationships/hyperlink" Target="file:///\\MTITC-FP03\OPTransport\public\DGIvanova\PM%202014-2020\Actual%20v_4.2%2016.12.2019\&#1043;&#1083;&#1072;&#1074;&#1072;%207%20&#1048;&#1079;&#1087;&#1098;&#1083;&#1085;&#1077;&#1085;&#1080;&#1077;%20-%20&#1055;&#1088;&#1080;&#1083;&#1086;&#1078;&#1077;&#1085;&#1080;&#1103;\7.05.2._&#1057;&#1080;&#1075;&#1085;&#1072;&#1083;&#1080;%20&#1079;&#1072;%20&#1085;&#1077;&#1088;&#1077;&#1076;&#1085;&#1086;&#1089;&#1090;&#1080;%20&#1080;%20&#1056;&#1080;&#1089;&#1082;&#1086;&#1074;&#1080;%20&#1092;&#1072;&#1082;&#1090;&#1086;&#1088;&#1080;%20&#1079;&#1072;%20&#1080;&#1079;&#1074;&#1098;&#1088;&#1096;&#1074;&#1072;&#1085;&#1077;%20&#1085;&#1072;%20&#1087;&#1088;&#1086;&#1074;&#1077;&#1088;&#1082;&#1080;%20&#1085;&#1072;%20&#1084;&#1103;&#1089;&#1090;&#1086;%20&#1086;&#1090;%20&#1059;&#1054;%20&#1085;&#1072;%20&#1054;&#1055;&#1058;&#1058;&#1048;%20&#1079;&#1072;%20&#8230;&#8230;.%20&#1075;&#1086;&#1076;&#1080;&#1085;&#1072;.doc" TargetMode="External"/><Relationship Id="rId26" Type="http://schemas.openxmlformats.org/officeDocument/2006/relationships/hyperlink" Target="http://www.eufunds.bg" TargetMode="External"/><Relationship Id="rId231" Type="http://schemas.openxmlformats.org/officeDocument/2006/relationships/hyperlink" Target="mailto:natfund@minfin.bg" TargetMode="External"/><Relationship Id="rId252" Type="http://schemas.openxmlformats.org/officeDocument/2006/relationships/hyperlink" Target="file:///C:\Users\Ppavlova\Desktop\PM%202014%20-%202020\&#1043;&#1083;&#1072;&#1074;&#1072;%206%20&#1053;&#1077;&#1088;&#1077;&#1076;&#1085;&#1086;&#1089;&#1090;&#1080;%20-%20&#1055;&#1088;&#1080;&#1083;&#1086;&#1078;&#1077;&#1085;&#1080;&#1103;\6.03._&#1056;&#1077;&#1096;&#1077;&#1085;&#1080;&#1077;%20&#1079;&#1072;%20&#1086;&#1087;&#1088;&#1077;&#1076;&#1077;&#1083;&#1103;&#1085;&#1077;%20&#1085;&#1072;%20&#1092;&#1080;&#1085;&#1072;&#1085;&#1089;&#1086;&#1074;&#1072;%20&#1082;&#1086;&#1088;&#1077;&#1082;&#1094;&#1080;&#1103;&#166;&#1079;&#1072;%20&#1087;&#1088;&#1077;&#1082;&#1088;&#1072;&#1090;&#1103;&#1074;&#1072;&#1085;&#1077;%20&#1085;&#1072;%20&#1087;&#1088;&#1086;&#1080;&#1079;&#1074;&#1086;&#1076;&#1089;&#1090;&#1074;&#1086;&#1090;&#1086;%20&#1087;&#1086;%20&#1086;&#1087;&#1088;&#1077;&#1076;&#1077;&#1083;&#1103;&#1085;&#1077;%20&#1085;&#1072;%20&#1092;&#1080;&#1085;&#1072;&#1085;&#1089;&#1086;&#1074;&#1072;%20&#1082;&#1086;&#1088;&#1077;&#1082;&#1094;&#1080;&#1103;.docx" TargetMode="External"/><Relationship Id="rId273" Type="http://schemas.openxmlformats.org/officeDocument/2006/relationships/hyperlink" Target="file:///C:\Users\Ppavlova\Desktop\PM%202014%20-%202020\&#1043;&#1083;&#1072;&#1074;&#1072;%207%20&#1048;&#1079;&#1087;&#1098;&#1083;&#1085;&#1077;&#1085;&#1080;&#1077;%20-%20&#1055;&#1088;&#1080;&#1083;&#1086;&#1078;&#1077;&#1085;&#1080;&#1103;\7.10._&#1056;&#1077;&#1075;&#1080;&#1089;&#1090;&#1098;&#1088;%20&#1085;&#1072;%20&#1087;&#1088;&#1086;&#1074;&#1077;&#1088;&#1082;&#1080;&#1090;&#1077;%20&#1085;&#1072;%20&#1084;&#1103;&#1089;&#1090;&#1086;%20&#1086;&#1090;%20&#1059;&#1054;%20&#1085;&#1072;%20&#1054;&#1055;&#1058;&#1058;&#1048;%20&#1079;&#1072;%20&#8230;&#8230;.%20&#1075;&#1086;&#1076;&#1080;&#1085;&#1072;.doc" TargetMode="External"/><Relationship Id="rId294" Type="http://schemas.openxmlformats.org/officeDocument/2006/relationships/hyperlink" Target="file:///\\MTITC-FP03\OPTransport\public\DGIvanova\PM%202014-2020\Actual%20v_4.2%2016.12.2019\&#1043;&#1083;&#1072;&#1074;&#1072;%205%20&#1060;&#1080;&#1085;&#1072;&#1085;&#1089;&#1086;&#1074;&#1086;%20&#1091;&#1087;&#1088;&#1072;&#1074;&#1083;&#1077;&#1085;&#1080;&#1077;%20-%20&#1055;&#1088;&#1080;&#1083;&#1086;&#1078;&#1077;&#1085;&#1080;&#1103;\5.01.3.2._&#1050;&#1086;&#1085;&#1090;&#1088;&#1086;&#1083;&#1077;&#1085;%20&#1083;&#1080;&#1089;&#1090;%20-%20&#1048;&#1089;&#1082;&#1072;&#1085;&#1077;%20&#1079;&#1072;%20&#1086;&#1082;&#1086;&#1085;&#1095;&#1072;&#1090;&#1077;&#1083;&#1085;&#1086;%20&#1087;&#1083;&#1072;&#1097;&#1072;&#1085;&#1077;%20&#1087;&#1086;%20&#1087;&#1088;&#1086;&#1077;&#1082;&#1090;&#1080;%20&#1087;&#1086;%20&#1087;&#1088;&#1080;&#1086;&#1088;&#1080;&#1090;&#1077;&#1090;&#1085;&#1072;%20&#1086;&#1089;%20&#1058;&#1055;%20&#1085;&#1072;%20&#1054;&#1055;&#1058;&#1058;&#1048;%20&#1089;%20&#1073;&#1077;&#1085;&#1077;&#1092;&#1080;&#1094;&#1080;&#1077;&#1085;&#1090;%20&#1059;&#1054;.docx" TargetMode="External"/><Relationship Id="rId308" Type="http://schemas.openxmlformats.org/officeDocument/2006/relationships/hyperlink" Target="file:///C:\Users\Schobanov\Desktop\Rabotna\&#1053;&#1072;&#1088;&#1098;&#1095;&#1085;&#1080;&#1082;\&#1053;&#1072;&#1088;&#1098;&#1095;&#1085;&#1080;&#1082;%204.1\&#1043;&#1083;&#1072;&#1074;&#1072;%208%20&#1059;&#1087;&#1088;&#1072;&#1074;&#1083;&#1077;&#1085;&#1080;&#1077;%20&#1085;&#1072;%20&#1088;&#1080;&#1089;&#1082;&#1072;%20-%20&#1055;&#1088;&#1080;&#1083;&#1086;&#1078;&#1077;&#1085;&#1080;&#1103;\8.05-&#1095;&#1072;&#1089;&#1090;%203._&#1054;&#1073;&#1086;&#1089;&#1085;&#1086;&#1074;&#1082;&#1072;%20&#1079;&#1072;%20&#1086;&#1094;&#1077;&#1085;&#1082;&#1072;&#1090;&#1072;%20&#1085;&#1072;%20&#1073;&#1088;&#1091;&#1090;&#1086;%20&#1088;&#1080;&#1089;&#1082;&#1072;.docx" TargetMode="External"/><Relationship Id="rId329" Type="http://schemas.openxmlformats.org/officeDocument/2006/relationships/hyperlink" Target="http://www.eufunds.bg/bg/optti" TargetMode="External"/><Relationship Id="rId47" Type="http://schemas.openxmlformats.org/officeDocument/2006/relationships/footer" Target="footer3.xml"/><Relationship Id="rId68" Type="http://schemas.openxmlformats.org/officeDocument/2006/relationships/hyperlink" Target="http://www.optransport.bg" TargetMode="External"/><Relationship Id="rId89" Type="http://schemas.openxmlformats.org/officeDocument/2006/relationships/diagramLayout" Target="diagrams/layout3.xml"/><Relationship Id="rId112" Type="http://schemas.openxmlformats.org/officeDocument/2006/relationships/hyperlink" Target="file:///C:\Users\DGIvanova\AppData\Local\Microsoft\Windows\INetCache\Content.Outlook\0LQTPC6N\&#1043;&#1083;&#1072;&#1074;&#1072;%203%20&#1055;&#1088;&#1086;&#1075;&#1088;&#1072;&#1084;&#1080;&#1088;&#1072;&#1085;&#1077;%20-%20&#1055;&#1088;&#1080;&#1083;&#1086;&#1078;&#1077;&#1085;&#1080;&#1103;\3.08._&#1050;&#1086;&#1085;&#1090;&#1088;&#1086;&#1083;&#1077;&#1085;%20&#1083;&#1080;&#1089;&#1090;%20&#1079;&#1072;%20&#1080;&#1079;&#1074;&#1098;&#1088;&#1096;&#1077;&#1085;&#1072;%20&#1087;&#1088;&#1086;&#1074;&#1077;&#1088;&#1082;&#1072;%20&#1074;%20&#1048;&#1057;&#1059;&#1053;%20&#1079;&#1072;%20&#1083;&#1080;&#1087;&#1089;&#1072;%20&#1085;&#1072;%20&#1076;&#1074;&#1086;&#1081;&#1085;&#1086;%20&#1092;&#1080;&#1085;&#1072;&#1085;&#1089;&#1080;&#1088;&#1072;&#1085;&#1077;.doc" TargetMode="External"/><Relationship Id="rId133" Type="http://schemas.openxmlformats.org/officeDocument/2006/relationships/hyperlink" Target="file:///C:\Users\Ppavlova\Desktop\PM%202014%20-%202020\&#1043;&#1083;&#1072;&#1074;&#1072;%202%20&#1044;&#1098;&#1088;&#1078;&#1072;&#1074;&#1085;&#1080;%20&#1087;&#1086;&#1084;&#1086;&#1097;&#1080;%20-%20&#1055;&#1088;&#1080;&#1083;&#1086;&#1078;&#1077;&#1085;&#1080;&#1103;\2.02._&#1050;&#1086;&#1085;&#1090;&#1088;&#1086;&#1083;&#1077;&#1085;%20&#1083;&#1080;&#1089;&#1090;%20&#1079;&#1072;%20&#1087;&#1088;&#1077;&#1076;&#1074;&#1072;&#1088;&#1080;&#1090;&#1077;&#1083;&#1085;&#1072;%20&#1086;&#1094;&#1077;&#1085;&#1082;&#1072;%20&#1079;&#1072;%20%20&#1086;&#1087;&#1088;&#1077;&#1076;&#1077;&#1083;&#1103;&#1085;&#1077;%20&#1085;&#1072;&#1083;&#1080;&#1095;&#1080;&#1077;&#1090;&#1086;%20&#1085;&#1072;%20&#1076;&#1098;&#1088;&#1078;&#1072;&#1074;&#1085;&#1072;%20&#1087;&#1086;&#1084;&#1086;&#1097;%20-%20&#1048;&#1079;&#1082;&#1083;&#1102;&#1095;&#1077;&#1085;&#1080;&#1103;.doc" TargetMode="External"/><Relationship Id="rId154" Type="http://schemas.openxmlformats.org/officeDocument/2006/relationships/hyperlink" Target="file:///C:\Users\Sgotzov\Desktop\naruchnik%204.3\f\f2\&#1043;&#1083;&#1072;&#1074;&#1072;%203%20&#1055;&#1088;&#1086;&#1075;&#1088;&#1072;&#1084;&#1080;&#1088;&#1072;&#1085;&#1077;%20-%20&#1055;&#1088;&#1080;&#1083;&#1086;&#1078;&#1077;&#1085;&#1080;&#1103;\3.02._&#1056;&#1077;&#1096;&#1077;&#1085;&#1080;&#1077;%20&#1079;&#1072;%20&#1054;&#1094;&#1077;&#1085;&#1080;&#1090;&#1077;&#1083;&#1085;&#1072;%20&#1082;&#1086;&#1084;&#1080;&#1089;&#1080;&#1103;.doc" TargetMode="External"/><Relationship Id="rId175" Type="http://schemas.openxmlformats.org/officeDocument/2006/relationships/hyperlink" Target="apis://Base=APEV&amp;CELEX=32013R1303&amp;Type=201" TargetMode="External"/><Relationship Id="rId196" Type="http://schemas.openxmlformats.org/officeDocument/2006/relationships/hyperlink" Target="file:///C:\Users\Ppavlova\Desktop\PM%202014%20-%202020\&#1043;&#1083;&#1072;&#1074;&#1072;%205%20&#1060;&#1080;&#1085;&#1072;&#1085;&#1089;&#1086;&#1074;&#1086;%20&#1091;&#1087;&#1088;&#1072;&#1074;&#1083;&#1077;&#1085;&#1080;&#1077;%20-%20&#1055;&#1088;&#1080;&#1083;&#1086;&#1078;&#1077;&#1085;&#1080;&#1103;\5.02.2._&#1056;&#1077;&#1075;&#1080;&#1089;&#1090;&#1098;&#1088;%20&#1092;&#1080;&#1085;&#1072;&#1085;&#1089;&#1086;&#1074;&#1080;%20&#1082;&#1086;&#1088;&#1077;&#1082;&#1094;&#1080;&#1080;.xlsx" TargetMode="External"/><Relationship Id="rId200" Type="http://schemas.openxmlformats.org/officeDocument/2006/relationships/hyperlink" Target="file:///C:\Users\Ppavlova\Desktop\PM%202014%20-%202020\&#1043;&#1083;&#1072;&#1074;&#1072;%205%20&#1060;&#1080;&#1085;&#1072;&#1085;&#1089;&#1086;&#1074;&#1086;%20&#1091;&#1087;&#1088;&#1072;&#1074;&#1083;&#1077;&#1085;&#1080;&#1077;%20-%20&#1055;&#1088;&#1080;&#1083;&#1086;&#1078;&#1077;&#1085;&#1080;&#1103;\5.04.1._&#1050;&#1086;&#1085;&#1090;&#1088;&#1086;&#1083;&#1077;&#1085;%20&#1083;&#1080;&#1089;&#1090;%20-%20&#1044;&#1080;&#1088;&#1077;&#1082;&#1090;&#1085;&#1080;%20&#1087;&#1083;&#1072;&#1097;&#1072;&#1085;&#1080;&#1103;%20&#1082;&#1098;&#1084;%20&#1080;&#1079;&#1087;&#1098;&#1083;&#1085;&#1080;&#1090;&#1077;&#1083;&#1080;%20&#1087;&#1086;%20&#1087;&#1088;&#1086;&#1077;&#1082;&#1090;&#1080;&#166;&#1073;&#1102;&#1076;&#1078;&#1077;&#1090;&#1085;&#1080;%20&#1083;&#1080;&#1085;&#1080;&#1080;%20&#1079;&#1072;%20&#1074;&#1098;&#1085;&#1096;&#1085;&#1080;%20&#1041;&#1077;&#1085;&#1077;&#1092;&#1080;&#1094;&#1080;&#1077;&#1085;&#1090;&#1080;.doc" TargetMode="External"/><Relationship Id="rId16" Type="http://schemas.openxmlformats.org/officeDocument/2006/relationships/hyperlink" Target="http://eur-lex.europa.eu/legal-content/BG/TXT/HTML/?uri=CELEX:32013R1303&amp;qid=1401883400335&amp;from=BG" TargetMode="External"/><Relationship Id="rId221" Type="http://schemas.openxmlformats.org/officeDocument/2006/relationships/hyperlink" Target="file:///C:\Users\Ppavlova\Desktop\PM%202014%20-%202020\&#1043;&#1083;&#1072;&#1074;&#1072;%205%20&#1060;&#1080;&#1085;&#1072;&#1085;&#1089;&#1086;&#1074;&#1086;%20&#1091;&#1087;&#1088;&#1072;&#1074;&#1083;&#1077;&#1085;&#1080;&#1077;%20-%20&#1055;&#1088;&#1080;&#1083;&#1086;&#1078;&#1077;&#1085;&#1080;&#1103;\5.15._&#1059;&#1074;&#1077;&#1076;&#1086;&#1084;&#1080;&#1090;&#1077;&#1083;&#1085;&#1086;%20&#1087;&#1080;&#1089;&#1084;&#1086;%20&#1079;&#1072;%20&#1085;&#1072;&#1083;&#1086;&#1078;&#1077;&#1085;&#1080;%20&#1092;&#1080;&#1085;&#1072;&#1085;&#1089;&#1086;&#1074;&#1080;%20&#1082;&#1086;&#1088;&#1077;&#1082;&#1094;&#1080;&#1080;%20&#1087;&#1088;&#1077;&#1076;&#1080;%20&#1080;&#1079;&#1087;&#1083;&#1072;&#1097;&#1072;&#1085;&#1077;%20&#1085;&#1072;%20&#1060;&#1055;%20&#1085;&#1072;%20&#1073;&#1077;&#1085;&#1077;&#1092;&#1080;&#1094;&#1080;&#1077;&#1085;&#1090;&#1072;.xls" TargetMode="External"/><Relationship Id="rId242" Type="http://schemas.openxmlformats.org/officeDocument/2006/relationships/hyperlink" Target="file:///C:\Users\Ppavlova\Desktop\PM%202014%20-%202020\&#1043;&#1083;&#1072;&#1074;&#1072;%205%20&#1060;&#1080;&#1085;&#1072;&#1085;&#1089;&#1086;&#1074;&#1086;%20&#1091;&#1087;&#1088;&#1072;&#1074;&#1083;&#1077;&#1085;&#1080;&#1077;%20-%20&#1055;&#1088;&#1080;&#1083;&#1086;&#1078;&#1077;&#1085;&#1080;&#1103;\5.21._&#1057;&#1090;&#1072;&#1085;&#1086;&#1074;&#1080;&#1097;&#1077;%20&#1079;&#1072;%20&#1086;&#1076;&#1086;&#1073;&#1088;&#1077;&#1085;&#1080;&#1077;%20&#1080;&#1083;&#1080;%20&#1086;&#1090;&#1093;&#1074;&#1098;&#1088;&#1083;&#1103;&#1085;&#1077;%20&#1085;&#1072;%20&#1080;&#1089;&#1082;&#1072;&#1085;&#1077;%20&#1079;&#1072;%20&#1072;&#1074;&#1072;&#1085;&#1089;&#1086;&#1074;&#1086;%20&#1092;&#1080;&#1085;&#1072;&#1085;&#1089;&#1080;&#1088;&#1072;&#1085;&#1077;%20&#1087;&#1086;%20&#1088;&#1077;&#1076;&#1072;%20&#1085;&#1072;%20&#1044;&#1044;&#1057;%20&#8470;%2006_2011.doc" TargetMode="External"/><Relationship Id="rId263" Type="http://schemas.openxmlformats.org/officeDocument/2006/relationships/image" Target="media/image8.png"/><Relationship Id="rId284" Type="http://schemas.openxmlformats.org/officeDocument/2006/relationships/hyperlink" Target="file:///C:\Users\Ppavlova\Desktop\PM%202014%20-%202020\&#1043;&#1083;&#1072;&#1074;&#1072;%207%20&#1048;&#1079;&#1087;&#1098;&#1083;&#1085;&#1077;&#1085;&#1080;&#1077;%20-%20&#1055;&#1088;&#1080;&#1083;&#1086;&#1078;&#1077;&#1085;&#1080;&#1103;\7.07._&#1044;&#1086;&#1082;&#1083;&#1072;&#1076;%20&#1086;&#1090;%20&#1087;&#1088;&#1086;&#1074;&#1077;&#1088;&#1082;&#1072;%20&#1085;&#1072;%20&#1084;&#1103;&#1089;&#1090;&#1086;%20&#1079;&#1072;%20&#1076;&#1098;&#1083;&#1075;&#1086;&#1090;&#1088;&#1072;&#1081;&#1085;&#1086;&#1089;&#1090;%20&#1080;&#1079;&#1074;&#1098;&#1088;&#1096;&#1077;&#1085;&#1072;%20&#1086;&#1090;%20&#1059;&#1054;%20&#1085;&#1072;%20&#1054;&#1055;&#1058;&#1058;&#1048;.doc" TargetMode="External"/><Relationship Id="rId319" Type="http://schemas.openxmlformats.org/officeDocument/2006/relationships/hyperlink" Target="file:///C:\Users\Ppavlova\Desktop\PM%202014%20-%202020\&#1043;&#1083;&#1072;&#1074;&#1072;%209%20&#1052;&#1086;&#1085;&#1080;&#1090;&#1086;&#1088;&#1080;&#1085;&#1075;%20-%20&#1055;&#1088;&#1080;&#1083;&#1086;&#1078;&#1077;&#1085;&#1080;&#1103;\9.04._&#1055;&#1080;&#1089;&#1084;&#1086;%20&#1087;&#1088;&#1072;&#1074;&#1080;&#1083;&#1072;%20&#1080;%20&#1089;&#1080;&#1075;&#1091;&#1088;&#1085;&#1086;&#1089;&#1090;%20&#1076;&#1086;%20SFC%202014.pdf" TargetMode="External"/><Relationship Id="rId37" Type="http://schemas.openxmlformats.org/officeDocument/2006/relationships/hyperlink" Target="mailto:mgeorgiev@mtc.government.bg" TargetMode="External"/><Relationship Id="rId58" Type="http://schemas.openxmlformats.org/officeDocument/2006/relationships/hyperlink" Target="https://webgate.ec.europa.eu/competition/transparency/public/%20search/home/" TargetMode="External"/><Relationship Id="rId79" Type="http://schemas.openxmlformats.org/officeDocument/2006/relationships/image" Target="media/image5.emf"/><Relationship Id="rId102" Type="http://schemas.openxmlformats.org/officeDocument/2006/relationships/diagramData" Target="diagrams/data4.xml"/><Relationship Id="rId123" Type="http://schemas.openxmlformats.org/officeDocument/2006/relationships/hyperlink" Target="file:///C:\Users\Ppavlova\Desktop\PM%202014%20-%202020\&#1043;&#1083;&#1072;&#1074;&#1072;%203%20&#1055;&#1088;&#1086;&#1075;&#1088;&#1072;&#1084;&#1080;&#1088;&#1072;&#1085;&#1077;%20-%20&#1055;&#1088;&#1080;&#1083;&#1086;&#1078;&#1077;&#1085;&#1080;&#1103;\3.07._&#1044;&#1086;&#1082;&#1083;&#1072;&#1076;%20&#1079;&#1072;%20&#1080;&#1079;&#1074;&#1098;&#1088;&#1096;&#1077;&#1085;&#1072;%20&#1086;&#1094;&#1077;&#1085;&#1082;&#1072;%20&#1085;&#1072;%20&#1087;&#1088;&#1086;&#1077;&#1082;&#1090;&#1085;&#1086;%20&#1087;&#1088;&#1077;&#1076;&#1083;&#1086;&#1078;&#1077;&#1085;&#1080;&#1077;.docx" TargetMode="External"/><Relationship Id="rId144" Type="http://schemas.openxmlformats.org/officeDocument/2006/relationships/hyperlink" Target="file:///C:\Users\Ppavlova\Desktop\PM%202014%20-%202020\&#1043;&#1083;&#1072;&#1074;&#1072;%203%20&#1055;&#1088;&#1086;&#1075;&#1088;&#1072;&#1084;&#1080;&#1088;&#1072;&#1085;&#1077;%20-%20&#1055;&#1088;&#1080;&#1083;&#1086;&#1078;&#1077;&#1085;&#1080;&#1103;\3.07._&#1044;&#1086;&#1082;&#1083;&#1072;&#1076;%20&#1079;&#1072;%20&#1080;&#1079;&#1074;&#1098;&#1088;&#1096;&#1077;&#1085;&#1072;%20&#1086;&#1094;&#1077;&#1085;&#1082;&#1072;%20&#1085;&#1072;%20&#1087;&#1088;&#1086;&#1077;&#1082;&#1090;&#1085;&#1086;%20&#1087;&#1088;&#1077;&#1076;&#1083;&#1086;&#1078;&#1077;&#1085;&#1080;&#1077;.docx" TargetMode="External"/><Relationship Id="rId330" Type="http://schemas.openxmlformats.org/officeDocument/2006/relationships/hyperlink" Target="http://www.eufunds.bg/bg/optti" TargetMode="External"/><Relationship Id="rId90" Type="http://schemas.openxmlformats.org/officeDocument/2006/relationships/diagramQuickStyle" Target="diagrams/quickStyle3.xml"/><Relationship Id="rId165" Type="http://schemas.openxmlformats.org/officeDocument/2006/relationships/hyperlink" Target="file:///C:\Users\Ppavlova\Desktop\PM%202014%20-%202020\&#1043;&#1083;&#1072;&#1074;&#1072;%203%20&#1055;&#1088;&#1086;&#1075;&#1088;&#1072;&#1084;&#1080;&#1088;&#1072;&#1085;&#1077;%20-%20&#1055;&#1088;&#1080;&#1083;&#1086;&#1078;&#1077;&#1085;&#1080;&#1103;\3.07._&#1044;&#1086;&#1082;&#1083;&#1072;&#1076;%20&#1079;&#1072;%20&#1080;&#1079;&#1074;&#1098;&#1088;&#1096;&#1077;&#1085;&#1072;%20&#1086;&#1094;&#1077;&#1085;&#1082;&#1072;%20&#1085;&#1072;%20&#1087;&#1088;&#1086;&#1077;&#1082;&#1090;&#1085;&#1086;%20&#1087;&#1088;&#1077;&#1076;&#1083;&#1086;&#1078;&#1077;&#1085;&#1080;&#1077;.docx" TargetMode="External"/><Relationship Id="rId186" Type="http://schemas.openxmlformats.org/officeDocument/2006/relationships/hyperlink" Target="mailto:natfund@minfin.bg" TargetMode="External"/><Relationship Id="rId211" Type="http://schemas.openxmlformats.org/officeDocument/2006/relationships/hyperlink" Target="file:///C:\Users\Ppavlova\Desktop\PM%202014%20-%202020\&#1043;&#1083;&#1072;&#1074;&#1072;%205%20&#1060;&#1080;&#1085;&#1072;&#1085;&#1089;&#1086;&#1074;&#1086;%20&#1091;&#1087;&#1088;&#1072;&#1074;&#1083;&#1077;&#1085;&#1080;&#1077;%20-%20&#1055;&#1088;&#1080;&#1083;&#1086;&#1078;&#1077;&#1085;&#1080;&#1103;\5.10._&#1057;&#1084;&#1077;&#1090;&#1082;&#1086;&#1087;&#1083;&#1072;&#1085;%20&#1087;&#1086;%20&#1054;&#1055;&#1058;&#1058;&#1048;.xlsx" TargetMode="External"/><Relationship Id="rId232" Type="http://schemas.openxmlformats.org/officeDocument/2006/relationships/hyperlink" Target="file:///C:\Users\Ppavlova\Desktop\PM%202014%20-%202020\&#1043;&#1083;&#1072;&#1074;&#1072;%205%20&#1060;&#1080;&#1085;&#1072;&#1085;&#1089;&#1086;&#1074;&#1086;%20&#1091;&#1087;&#1088;&#1072;&#1074;&#1083;&#1077;&#1085;&#1080;&#1077;%20-%20&#1055;&#1088;&#1080;&#1083;&#1086;&#1078;&#1077;&#1085;&#1080;&#1103;\5.17._&#1060;&#1086;&#1088;&#1084;&#1072;%20&#1079;&#1072;%20&#1088;&#1072;&#1074;&#1085;&#1077;&#1085;&#1080;&#1077;%20&#1085;&#1072;%20&#1076;&#1077;&#1089;&#1077;&#1090;&#1088;&#1072;&#1079;&#1088;&#1103;&#1076;&#1085;&#1080;%20&#1082;&#1086;&#1076;&#1086;&#1074;&#1077;%20&#1074;%20&#1057;&#1045;&#1041;&#1056;&#1040;.doc" TargetMode="External"/><Relationship Id="rId253" Type="http://schemas.openxmlformats.org/officeDocument/2006/relationships/hyperlink" Target="file:///C:\Users\Ppavlova\Desktop\PM%202014%20-%202020\&#1043;&#1083;&#1072;&#1074;&#1072;%206%20&#1053;&#1077;&#1088;&#1077;&#1076;&#1085;&#1086;&#1089;&#1090;&#1080;%20-%20&#1055;&#1088;&#1080;&#1083;&#1086;&#1078;&#1077;&#1085;&#1080;&#1103;\6.04._&#1050;&#1086;&#1085;&#1090;&#1088;&#1086;&#1083;&#1077;&#1085;%20&#1083;&#1080;&#1089;&#1090;%20-%20&#1055;&#1088;&#1086;&#1074;&#1077;&#1088;&#1082;&#1072;%20&#1079;&#1072;%20&#1089;&#1098;&#1086;&#1090;&#1074;&#1077;&#1090;&#1089;&#1090;&#1074;&#1080;&#1077;%20&#1085;&#1072;%20&#1056;&#1077;&#1096;&#1077;&#1085;&#1080;&#1077;%20&#1085;&#1072;%20&#1056;&#1098;&#1082;&#1086;&#1074;&#1086;&#1076;&#1080;&#1090;&#1077;&#1083;&#1103;%20&#1085;&#1072;%20&#1059;&#1054;%20&#1079;&#1072;%20&#1086;&#1087;&#1088;&#1077;&#1076;&#1077;&#1083;&#1103;&#1085;&#1077;%20&#1085;&#1072;%20&#1092;&#1080;&#1085;&#1072;&#1085;&#1089;&#1086;&#1074;&#1072;%20&#1082;&#1086;&#1088;&#1077;&#1082;&#1094;&#1080;&#1103;.doc" TargetMode="External"/><Relationship Id="rId274" Type="http://schemas.openxmlformats.org/officeDocument/2006/relationships/hyperlink" Target="file:///C:\Users\Ppavlova\Desktop\PM%202014%20-%202020\&#1043;&#1083;&#1072;&#1074;&#1072;%207%20&#1048;&#1079;&#1087;&#1098;&#1083;&#1085;&#1077;&#1085;&#1080;&#1077;%20-%20&#1055;&#1088;&#1080;&#1083;&#1086;&#1078;&#1077;&#1085;&#1080;&#1103;\7.05.2._&#1057;&#1080;&#1075;&#1085;&#1072;&#1083;&#1080;%20&#1079;&#1072;%20&#1085;&#1077;&#1088;&#1077;&#1076;&#1085;&#1086;&#1089;&#1090;&#1080;%20&#1080;%20&#1056;&#1080;&#1089;&#1082;&#1086;&#1074;&#1080;%20&#1092;&#1072;&#1082;&#1090;&#1086;&#1088;&#1080;%20&#1079;&#1072;%20&#1080;&#1079;&#1074;&#1098;&#1088;&#1096;&#1074;&#1072;&#1085;&#1077;%20&#1085;&#1072;%20&#1087;&#1088;&#1086;&#1074;&#1077;&#1088;&#1082;&#1080;%20&#1085;&#1072;%20&#1084;&#1103;&#1089;&#1090;&#1086;%20&#1086;&#1090;%20&#1059;&#1054;%20&#1085;&#1072;%20&#1054;&#1055;&#1058;&#1058;&#1048;%20&#1079;&#1072;%20&#8230;&#8230;.%20&#1075;&#1086;&#1076;&#1080;&#1085;&#1072;.doc" TargetMode="External"/><Relationship Id="rId295" Type="http://schemas.openxmlformats.org/officeDocument/2006/relationships/hyperlink" Target="file:///\\MTITC-FP03\OPTransport\public\DGIvanova\PM%202014-2020\Actual%20v_4.2%2016.12.2019\&#1043;&#1083;&#1072;&#1074;&#1072;%207%20&#1048;&#1079;&#1087;&#1098;&#1083;&#1085;&#1077;&#1085;&#1080;&#1077;%20-%20&#1055;&#1088;&#1080;&#1083;&#1086;&#1078;&#1077;&#1085;&#1080;&#1103;\7.06.2._&#1050;&#1086;&#1085;&#1090;&#1088;&#1086;&#1083;&#1077;&#1085;%20&#1083;&#1080;&#1089;&#1090;%20-%20&#1087;&#1088;&#1086;&#1074;&#1077;&#1078;&#1076;&#1072;&#1085;&#1077;%20&#1085;&#1072;%20&#1087;&#1088;&#1086;&#1074;&#1077;&#1088;&#1082;&#1072;%20&#1085;&#1072;%20&#1084;&#1103;&#1089;&#1090;&#1086;%20&#1086;&#1090;%20&#1074;&#1098;&#1085;&#1096;&#1077;&#1085;%20&#1074;&#1077;&#1088;&#1080;&#1092;&#1080;&#1082;&#1072;&#1090;&#1086;&#1088;%20&#1082;&#1086;&#1075;&#1072;&#1090;&#1086;%20&#1059;&#1054;%20&#1077;%20&#1073;&#1077;&#1085;&#1077;&#1092;&#1080;&#1094;&#1080;&#1077;&#1085;&#1090;%20&#1087;&#1086;%20&#1054;&#1055;&#1058;&#1058;&#1048;.docx" TargetMode="External"/><Relationship Id="rId309" Type="http://schemas.openxmlformats.org/officeDocument/2006/relationships/hyperlink" Target="file:///C:\Users\Schobanov\Desktop\Rabotna\&#1053;&#1072;&#1088;&#1098;&#1095;&#1085;&#1080;&#1082;\&#1053;&#1072;&#1088;&#1098;&#1095;&#1085;&#1080;&#1082;%204.1\&#1043;&#1083;&#1072;&#1074;&#1072;%208%20&#1059;&#1087;&#1088;&#1072;&#1074;&#1083;&#1077;&#1085;&#1080;&#1077;%20&#1085;&#1072;%20&#1088;&#1080;&#1089;&#1082;&#1072;%20-%20&#1055;&#1088;&#1080;&#1083;&#1086;&#1078;&#1077;&#1085;&#1080;&#1103;\8.05-&#1095;&#1072;&#1089;&#1090;%202._&#1055;&#1086;&#1084;&#1086;&#1097;&#1085;&#1080;%20&#1090;&#1072;&#1073;&#1083;&#1080;&#1094;&#1080;.docx" TargetMode="External"/><Relationship Id="rId27" Type="http://schemas.openxmlformats.org/officeDocument/2006/relationships/hyperlink" Target="http://www.eufunds.bg" TargetMode="External"/><Relationship Id="rId48" Type="http://schemas.openxmlformats.org/officeDocument/2006/relationships/hyperlink" Target="file:///C:\Users\Ppavlova\Desktop\PM%202014%20-%202020\&#1043;&#1083;&#1072;&#1074;&#1072;%202%20&#1044;&#1098;&#1088;&#1078;&#1072;&#1074;&#1085;&#1080;%20&#1087;&#1086;&#1084;&#1086;&#1097;&#1080;%20-%20&#1055;&#1088;&#1080;&#1083;&#1086;&#1078;&#1077;&#1085;&#1080;&#1103;\2.02._&#1050;&#1086;&#1085;&#1090;&#1088;&#1086;&#1083;&#1077;&#1085;%20&#1083;&#1080;&#1089;&#1090;%20&#1079;&#1072;%20&#1087;&#1088;&#1077;&#1076;&#1074;&#1072;&#1088;&#1080;&#1090;&#1077;&#1083;&#1085;&#1072;%20&#1086;&#1094;&#1077;&#1085;&#1082;&#1072;%20&#1079;&#1072;%20%20&#1086;&#1087;&#1088;&#1077;&#1076;&#1077;&#1083;&#1103;&#1085;&#1077;%20&#1085;&#1072;&#1083;&#1080;&#1095;&#1080;&#1077;&#1090;&#1086;%20&#1085;&#1072;%20&#1076;&#1098;&#1088;&#1078;&#1072;&#1074;&#1085;&#1072;%20&#1087;&#1086;&#1084;&#1086;&#1097;%20-%20&#1048;&#1079;&#1082;&#1083;&#1102;&#1095;&#1077;&#1085;&#1080;&#1103;.doc" TargetMode="External"/><Relationship Id="rId69" Type="http://schemas.openxmlformats.org/officeDocument/2006/relationships/hyperlink" Target="file:///C:\Users\Sgotzov\AppData\Local\Microsoft\Windows\INetCache\Content.Outlook\0QLPQ679\&#1043;&#1083;&#1072;&#1074;&#1072;%203%20&#1055;&#1088;&#1086;&#1075;&#1088;&#1072;&#1084;&#1080;&#1088;&#1072;&#1085;&#1077;%20-%20&#1055;&#1088;&#1080;&#1083;&#1086;&#1078;&#1077;&#1085;&#1080;&#1103;\3.01._&#1050;&#1086;&#1085;&#1090;&#1088;&#1086;&#1083;&#1077;&#1085;%20&#1083;&#1080;&#1089;&#1090;%20&#1079;&#1072;%20&#1086;&#1076;&#1086;&#1073;&#1088;&#1077;&#1085;&#1080;&#1077;%20&#1085;&#1072;%20&#1048;&#1043;&#1056;&#1055;.doc" TargetMode="External"/><Relationship Id="rId113" Type="http://schemas.openxmlformats.org/officeDocument/2006/relationships/hyperlink" Target="file:///C:\Users\DGIvanova\AppData\Local\Microsoft\Windows\INetCache\Content.Outlook\0LQTPC6N\&#1043;&#1083;&#1072;&#1074;&#1072;%203%20&#1055;&#1088;&#1086;&#1075;&#1088;&#1072;&#1084;&#1080;&#1088;&#1072;&#1085;&#1077;%20-%20&#1055;&#1088;&#1080;&#1083;&#1086;&#1078;&#1077;&#1085;&#1080;&#1103;\3.07._&#1044;&#1086;&#1082;&#1083;&#1072;&#1076;%20&#1079;&#1072;%20&#1080;&#1079;&#1074;&#1098;&#1088;&#1096;&#1077;&#1085;&#1072;%20&#1086;&#1094;&#1077;&#1085;&#1082;&#1072;%20&#1085;&#1072;%20&#1087;&#1088;&#1086;&#1077;&#1082;&#1090;&#1085;&#1086;%20&#1087;&#1088;&#1077;&#1076;&#1083;&#1086;&#1078;&#1077;&#1085;&#1080;&#1077;.docx" TargetMode="External"/><Relationship Id="rId134" Type="http://schemas.openxmlformats.org/officeDocument/2006/relationships/hyperlink" Target="file:///C:\Users\Ppavlova\Desktop\PM%202014%20-%202020\&#1043;&#1083;&#1072;&#1074;&#1072;%202%20&#1044;&#1098;&#1088;&#1078;&#1072;&#1074;&#1085;&#1080;%20&#1087;&#1086;&#1084;&#1086;&#1097;&#1080;%20-%20&#1055;&#1088;&#1080;&#1083;&#1086;&#1078;&#1077;&#1085;&#1080;&#1103;\2.03._&#1050;&#1086;&#1085;&#1090;&#1088;&#1086;&#1083;&#1077;&#1085;%20&#1083;&#1080;&#1089;&#1090;%20&#1079;&#1072;%20&#1087;&#1088;&#1077;&#1076;&#1074;&#1072;&#1088;&#1080;&#1090;&#1077;&#1083;&#1085;&#1072;%20&#1086;&#1094;&#1077;&#1085;&#1082;&#1072;%20&#1079;&#1072;%20&#1086;&#1087;&#1088;&#1077;&#1076;&#1077;&#1083;&#1103;&#1085;&#1077;%20&#1085;&#1072;%20&#1087;&#1088;&#1080;&#1083;&#1086;&#1078;&#1080;&#1084;%20&#1082;&#1098;&#1084;%20&#1084;&#1103;&#1088;&#1082;&#1072;&#1090;&#1072;%20&#1088;&#1077;&#1078;&#1080;&#1084;%20&#1085;&#1072;%20&#1089;&#1098;&#1074;&#1084;&#1077;&#1089;&#1090;&#1080;&#1084;&#1072;%20&#1076;&#1098;&#1088;&#1078;&#1072;&#1074;&#1085;&#1072;%20&#1087;&#1086;&#1084;&#1086;&#1097;.doc" TargetMode="External"/><Relationship Id="rId320" Type="http://schemas.openxmlformats.org/officeDocument/2006/relationships/hyperlink" Target="file:///C:\Users\Ppavlova\Desktop\PM%202014%20-%202020\&#1043;&#1083;&#1072;&#1074;&#1072;%209%20&#1052;&#1086;&#1085;&#1080;&#1090;&#1086;&#1088;&#1080;&#1085;&#1075;%20-%20&#1055;&#1088;&#1080;&#1083;&#1086;&#1078;&#1077;&#1085;&#1080;&#1103;\9.04._&#1055;&#1080;&#1089;&#1084;&#1086;%20&#1087;&#1088;&#1072;&#1074;&#1080;&#1083;&#1072;%20&#1080;%20&#1089;&#1080;&#1075;&#1091;&#1088;&#1085;&#1086;&#1089;&#1090;%20&#1076;&#1086;%20SFC%202014.pdf" TargetMode="External"/><Relationship Id="rId80" Type="http://schemas.openxmlformats.org/officeDocument/2006/relationships/package" Target="embeddings/Microsoft_PowerPoint_Presentation.pptx"/><Relationship Id="rId155" Type="http://schemas.openxmlformats.org/officeDocument/2006/relationships/hyperlink" Target="file:///C:\Users\Sgotzov\Desktop\naruchnik%204.3\f\f2\&#1043;&#1083;&#1072;&#1074;&#1072;%203%20&#1055;&#1088;&#1086;&#1075;&#1088;&#1072;&#1084;&#1080;&#1088;&#1072;&#1085;&#1077;%20-%20&#1055;&#1088;&#1080;&#1083;&#1086;&#1078;&#1077;&#1085;&#1080;&#1103;\3.03._&#1044;&#1077;&#1082;&#1083;&#1072;&#1088;&#1072;&#1094;&#1080;&#1103;%20&#1079;&#1072;%20&#1083;&#1080;&#1087;&#1089;&#1072;%20&#1085;&#1072;%20&#1082;&#1086;&#1085;&#1092;&#1083;&#1080;&#1082;&#1090;%20&#1085;&#1072;%20&#1080;&#1085;&#1090;&#1077;&#1088;&#1077;&#1089;&#1080;%20&#1080;%20&#1087;&#1086;&#1074;&#1077;&#1088;&#1080;&#1090;&#1077;&#1083;&#1085;&#1086;&#1089;&#1090;%20v4-2.doc" TargetMode="External"/><Relationship Id="rId176" Type="http://schemas.openxmlformats.org/officeDocument/2006/relationships/hyperlink" Target="file:///C:\Users\Ppavlova\Desktop\PM%202014%20-%202020\&#1043;&#1083;&#1072;&#1074;&#1072;%203%20&#1055;&#1088;&#1086;&#1075;&#1088;&#1072;&#1084;&#1080;&#1088;&#1072;&#1085;&#1077;%20-%20&#1055;&#1088;&#1080;&#1083;&#1086;&#1078;&#1077;&#1085;&#1080;&#1103;\3.12._&#1055;&#1080;&#1089;&#1084;&#1086;%20&#1079;&#1072;%20&#1087;&#1088;&#1086;&#1084;&#1103;&#1085;&#1072;%20&#1085;&#1072;%20&#1076;&#1086;&#1075;&#1086;&#1074;&#1086;&#1088;%20&#1079;&#1072;%20&#1087;&#1088;&#1077;&#1076;&#1086;&#1089;&#1090;&#1072;&#1074;&#1103;&#1085;&#1077;%20&#1085;&#1072;%20&#1073;&#1077;&#1079;&#1074;&#1098;&#1079;&#1084;&#1077;&#1079;&#1076;&#1085;&#1072;%20&#1092;&#1080;&#1085;&#1072;&#1085;&#1089;&#1086;&#1074;&#1072;%20&#1087;&#1086;&#1084;&#1086;&#1097;%20.docx" TargetMode="External"/><Relationship Id="rId197" Type="http://schemas.openxmlformats.org/officeDocument/2006/relationships/hyperlink" Target="file:///C:\Users\Ppavlova\Desktop\PM%202014%20-%202020\&#1043;&#1083;&#1072;&#1074;&#1072;%205%20&#1060;&#1080;&#1085;&#1072;&#1085;&#1089;&#1086;&#1074;&#1086;%20&#1091;&#1087;&#1088;&#1072;&#1074;&#1083;&#1077;&#1085;&#1080;&#1077;%20-%20&#1055;&#1088;&#1080;&#1083;&#1086;&#1078;&#1077;&#1085;&#1080;&#1103;\5.03._&#1050;&#1086;&#1085;&#1090;&#1088;&#1086;&#1083;&#1077;&#1085;%20&#1083;&#1080;&#1089;&#1090;%20-%20&#1042;&#1098;&#1079;&#1089;&#1090;&#1072;&#1085;&#1086;&#1074;&#1103;&#1074;&#1072;&#1085;&#1077;%20&#1085;&#1072;%20&#1089;&#1088;&#1077;&#1076;&#1089;&#1090;&#1074;&#1072;%20&#1074;%20&#1073;&#1102;&#1076;&#1078;&#1077;&#1090;&#1072;%20&#1041;&#1077;&#1085;&#1077;&#1092;&#1080;&#1094;&#1080;&#1077;&#1085;&#1090;&#1080;%20&#1087;&#1086;%20&#1054;&#1055;&#1058;&#1058;&#1048;.doc" TargetMode="External"/><Relationship Id="rId201" Type="http://schemas.openxmlformats.org/officeDocument/2006/relationships/hyperlink" Target="file:///C:\Users\Ppavlova\Desktop\PM%202014%20-%202020\&#1043;&#1083;&#1072;&#1074;&#1072;%205%20&#1060;&#1080;&#1085;&#1072;&#1085;&#1089;&#1086;&#1074;&#1086;%20&#1091;&#1087;&#1088;&#1072;&#1074;&#1083;&#1077;&#1085;&#1080;&#1077;%20-%20&#1055;&#1088;&#1080;&#1083;&#1086;&#1078;&#1077;&#1085;&#1080;&#1103;\5.04.1._&#1050;&#1086;&#1085;&#1090;&#1088;&#1086;&#1083;&#1077;&#1085;%20&#1083;&#1080;&#1089;&#1090;%20-%20&#1044;&#1080;&#1088;&#1077;&#1082;&#1090;&#1085;&#1080;%20&#1087;&#1083;&#1072;&#1097;&#1072;&#1085;&#1080;&#1103;%20&#1082;&#1098;&#1084;%20&#1080;&#1079;&#1087;&#1098;&#1083;&#1085;&#1080;&#1090;&#1077;&#1083;&#1080;%20&#1087;&#1086;%20&#1087;&#1088;&#1086;&#1077;&#1082;&#1090;&#1080;&#166;&#1073;&#1102;&#1076;&#1078;&#1077;&#1090;&#1085;&#1080;%20&#1083;&#1080;&#1085;&#1080;&#1080;%20&#1079;&#1072;%20&#1074;&#1098;&#1085;&#1096;&#1085;&#1080;%20&#1041;&#1077;&#1085;&#1077;&#1092;&#1080;&#1094;&#1080;&#1077;&#1085;&#1090;&#1080;.doc" TargetMode="External"/><Relationship Id="rId222" Type="http://schemas.openxmlformats.org/officeDocument/2006/relationships/hyperlink" Target="mailto:natfund@minfin.bg" TargetMode="External"/><Relationship Id="rId243" Type="http://schemas.openxmlformats.org/officeDocument/2006/relationships/hyperlink" Target="file:///C:\Users\Ppavlova\Desktop\PM%202014%20-%202020\&#1043;&#1083;&#1072;&#1074;&#1072;%205%20&#1060;&#1080;&#1085;&#1072;&#1085;&#1089;&#1086;&#1074;&#1086;%20&#1091;&#1087;&#1088;&#1072;&#1074;&#1083;&#1077;&#1085;&#1080;&#1077;%20-%20&#1055;&#1088;&#1080;&#1083;&#1086;&#1078;&#1077;&#1085;&#1080;&#1103;\5.22._&#1050;&#1086;&#1085;&#1090;&#1088;&#1086;&#1083;&#1077;&#1085;%20&#1083;&#1080;&#1089;&#1090;%20&#1079;&#1072;%20&#1087;&#1088;&#1086;&#1074;&#1077;&#1088;&#1082;&#1072;%20&#1085;&#1072;%20&#1080;&#1089;&#1082;&#1072;&#1085;&#1077;%20&#1079;&#1072;%20&#1072;&#1074;&#1072;&#1085;&#1089;&#1086;&#1074;&#1086;%20&#1092;&#1080;&#1085;&#1072;&#1085;&#1089;&#1080;&#1088;&#1072;&#1085;&#1077;%20&#1087;&#1086;%20&#1088;&#1077;&#1076;&#1072;%20&#1085;&#1072;%20&#1044;&#1044;&#1057;%20&#8470;%2006_2011.doc" TargetMode="External"/><Relationship Id="rId264" Type="http://schemas.openxmlformats.org/officeDocument/2006/relationships/hyperlink" Target="file:///\\MTITC-FP03\OPTransport\public\DGIvanova\PM%202014-2020\Actual%20v_4.2%2016.12.2019\&#1043;&#1083;&#1072;&#1074;&#1072;%207%20&#1048;&#1079;&#1087;&#1098;&#1083;&#1085;&#1077;&#1085;&#1080;&#1077;%20-%20&#1055;&#1088;&#1080;&#1083;&#1086;&#1078;&#1077;&#1085;&#1080;&#1103;\7.04._&#1054;&#1082;&#1086;&#1085;&#1095;&#1072;&#1090;&#1077;&#1083;&#1077;&#1085;%20&#1076;&#1086;&#1082;&#1083;&#1072;&#1076;%20&#1087;&#1086;%20&#1087;&#1088;&#1086;&#1077;&#1082;&#1090;.doc" TargetMode="External"/><Relationship Id="rId285" Type="http://schemas.openxmlformats.org/officeDocument/2006/relationships/hyperlink" Target="file:///\\MTITC-FP03\OPTransport\public\DGIvanova\PM%202014-2020\Actual%20v_4.2%2016.12.2019\&#1043;&#1083;&#1072;&#1074;&#1072;%207%20&#1048;&#1079;&#1087;&#1098;&#1083;&#1085;&#1077;&#1085;&#1080;&#1077;%20-%20&#1055;&#1088;&#1080;&#1083;&#1086;&#1078;&#1077;&#1085;&#1080;&#1103;\7.07.1._&#1050;&#1086;&#1085;&#1090;&#1088;&#1086;&#1083;&#1077;&#1085;%20&#1083;&#1080;&#1089;&#1090;%20-%20&#1087;&#1086;&#1076;&#1075;&#1086;&#1090;&#1086;&#1074;&#1082;&#1072;%20&#1080;%20&#1080;&#1079;&#1087;&#1098;&#1083;&#1085;&#1077;&#1085;&#1080;&#1077;%20&#1085;&#1072;%20&#1087;&#1088;&#1086;&#1074;&#1077;&#1088;&#1082;&#1072;%20&#1085;&#1072;%20&#1084;&#1103;&#1089;&#1090;&#1086;%20&#1079;&#1072;%20&#1091;&#1089;&#1090;&#1086;&#1081;&#1095;&#1080;&#1074;&#1086;&#1089;&#1090;.doc" TargetMode="External"/><Relationship Id="rId17" Type="http://schemas.openxmlformats.org/officeDocument/2006/relationships/hyperlink" Target="http://eur-lex.europa.eu/legal-content/BG/TXT/HTML/?uri=CELEX:32013R1303&amp;qid=1401883400335&amp;from=BG" TargetMode="External"/><Relationship Id="rId38" Type="http://schemas.openxmlformats.org/officeDocument/2006/relationships/hyperlink" Target="http://www.mtc.government.bg" TargetMode="External"/><Relationship Id="rId59" Type="http://schemas.openxmlformats.org/officeDocument/2006/relationships/hyperlink" Target="http://stateaid.minfin.bg/bg/page/464" TargetMode="External"/><Relationship Id="rId103" Type="http://schemas.openxmlformats.org/officeDocument/2006/relationships/diagramLayout" Target="diagrams/layout4.xml"/><Relationship Id="rId124" Type="http://schemas.openxmlformats.org/officeDocument/2006/relationships/hyperlink" Target="file:///C:\Users\Ppavlova\Desktop\PM%202014%20-%202020\&#1043;&#1083;&#1072;&#1074;&#1072;%203%20&#1055;&#1088;&#1086;&#1075;&#1088;&#1072;&#1084;&#1080;&#1088;&#1072;&#1085;&#1077;%20-%20&#1055;&#1088;&#1080;&#1083;&#1086;&#1078;&#1077;&#1085;&#1080;&#1103;\3.09._&#1050;&#1086;&#1085;&#1090;&#1088;&#1086;&#1083;&#1077;&#1085;%20&#1083;&#1080;&#1089;&#1090;%20&#1079;&#1072;%20&#1087;&#1088;&#1086;&#1074;&#1077;&#1088;&#1082;&#1072;%20&#1085;&#1072;%20&#1087;&#1088;&#1086;&#1094;&#1077;&#1076;&#1091;&#1088;&#1072;&#1090;&#1072;%20&#1085;&#1072;%20&#1080;&#1079;&#1074;&#1098;&#1088;&#1096;&#1077;&#1085;&#1072;%20&#1086;&#1094;&#1077;&#1085;&#1082;&#1072;%20&#1085;&#1072;%20&#1087;&#1088;&#1086;&#1077;&#1082;&#1090;&#1085;&#1086;%20&#1087;&#1088;&#1077;&#1076;&#1083;&#1086;&#1078;&#1077;&#1085;&#1080;&#1077;.docx" TargetMode="External"/><Relationship Id="rId310" Type="http://schemas.openxmlformats.org/officeDocument/2006/relationships/hyperlink" Target="file:///C:\Users\Schobanov\Desktop\Rabotna\&#1053;&#1072;&#1088;&#1098;&#1095;&#1085;&#1080;&#1082;\&#1053;&#1072;&#1088;&#1098;&#1095;&#1085;&#1080;&#1082;%204.1\&#1043;&#1083;&#1072;&#1074;&#1072;%208%20&#1059;&#1087;&#1088;&#1072;&#1074;&#1083;&#1077;&#1085;&#1080;&#1077;%20&#1085;&#1072;%20&#1088;&#1080;&#1089;&#1082;&#1072;%20-%20&#1055;&#1088;&#1080;&#1083;&#1086;&#1078;&#1077;&#1085;&#1080;&#1103;\8.04._&#1055;&#1083;&#1072;&#1085;%20&#1079;&#1072;%20&#1076;&#1077;&#1081;&#1089;&#1090;&#1074;&#1080;&#1077;%20&#1079;&#1072;%20&#1074;&#1098;&#1074;&#1077;&#1078;&#1076;&#1072;&#1085;&#1077;%20&#1085;&#1072;%20&#1077;&#1092;&#1077;&#1082;&#1090;&#1080;&#1074;&#1085;&#1080;%20&#1080;%20&#1087;&#1088;&#1086;&#1087;&#1086;&#1088;&#1094;&#1080;&#1086;&#1085;&#1072;&#1083;&#1085;&#1080;%20&#1084;&#1077;&#1088;&#1082;&#1080;%20&#1079;&#1072;%20&#1073;&#1086;&#1088;&#1073;&#1072;%20&#1089;%20&#1080;&#1079;&#1084;&#1072;&#1084;&#1080;&#1090;&#1077;.doc" TargetMode="External"/><Relationship Id="rId70" Type="http://schemas.openxmlformats.org/officeDocument/2006/relationships/hyperlink" Target="file:///C:\Users\Sgotzov\AppData\Local\Microsoft\Windows\INetCache\Content.Outlook\0QLPQ679\&#1043;&#1083;&#1072;&#1074;&#1072;%203%20&#1055;&#1088;&#1086;&#1075;&#1088;&#1072;&#1084;&#1080;&#1088;&#1072;&#1085;&#1077;%20-%20&#1055;&#1088;&#1080;&#1083;&#1086;&#1078;&#1077;&#1085;&#1080;&#1103;\3.01._&#1050;&#1086;&#1085;&#1090;&#1088;&#1086;&#1083;&#1077;&#1085;%20&#1083;&#1080;&#1089;&#1090;%20&#1079;&#1072;%20&#1086;&#1076;&#1086;&#1073;&#1088;&#1077;&#1085;&#1080;&#1077;%20&#1085;&#1072;%20&#1048;&#1043;&#1056;&#1055;.doc" TargetMode="External"/><Relationship Id="rId91" Type="http://schemas.openxmlformats.org/officeDocument/2006/relationships/diagramColors" Target="diagrams/colors3.xml"/><Relationship Id="rId145" Type="http://schemas.openxmlformats.org/officeDocument/2006/relationships/hyperlink" Target="file:///C:\Users\Ppavlova\Desktop\PM%202014%20-%202020\&#1043;&#1083;&#1072;&#1074;&#1072;%203%20&#1055;&#1088;&#1086;&#1075;&#1088;&#1072;&#1084;&#1080;&#1088;&#1072;&#1085;&#1077;%20-%20&#1055;&#1088;&#1080;&#1083;&#1086;&#1078;&#1077;&#1085;&#1080;&#1103;\3.09._&#1050;&#1086;&#1085;&#1090;&#1088;&#1086;&#1083;&#1077;&#1085;%20&#1083;&#1080;&#1089;&#1090;%20&#1079;&#1072;%20&#1087;&#1088;&#1086;&#1074;&#1077;&#1088;&#1082;&#1072;%20&#1085;&#1072;%20&#1087;&#1088;&#1086;&#1094;&#1077;&#1076;&#1091;&#1088;&#1072;&#1090;&#1072;%20&#1085;&#1072;%20&#1080;&#1079;&#1074;&#1098;&#1088;&#1096;&#1077;&#1085;&#1072;%20&#1086;&#1094;&#1077;&#1085;&#1082;&#1072;%20&#1085;&#1072;%20&#1087;&#1088;&#1086;&#1077;&#1082;&#1090;&#1085;&#1086;%20&#1087;&#1088;&#1077;&#1076;&#1083;&#1086;&#1078;&#1077;&#1085;&#1080;&#1077;.docx" TargetMode="External"/><Relationship Id="rId166" Type="http://schemas.openxmlformats.org/officeDocument/2006/relationships/hyperlink" Target="file:///C:\Users\Ppavlova\Desktop\PM%202014%20-%202020\&#1043;&#1083;&#1072;&#1074;&#1072;%203%20&#1055;&#1088;&#1086;&#1075;&#1088;&#1072;&#1084;&#1080;&#1088;&#1072;&#1085;&#1077;%20-%20&#1055;&#1088;&#1080;&#1083;&#1086;&#1078;&#1077;&#1085;&#1080;&#1103;\3.10._&#1056;&#1077;&#1096;&#1077;&#1085;&#1080;&#1077;%20&#1079;&#1072;%20&#1086;&#1090;&#1082;&#1072;&#1079;%20&#1079;&#1072;%20&#1087;&#1088;&#1077;&#1076;&#1086;&#1089;&#1090;&#1072;&#1074;&#1103;&#1085;&#1077;%20&#1085;&#1072;%20&#1041;&#1060;&#1055;.docx" TargetMode="External"/><Relationship Id="rId187" Type="http://schemas.openxmlformats.org/officeDocument/2006/relationships/hyperlink" Target="file:///C:\Users\Ppavlova\Desktop\PM%202014%20-%202020\&#1043;&#1083;&#1072;&#1074;&#1072;%205%20&#1060;&#1080;&#1085;&#1072;&#1085;&#1089;&#1086;&#1074;&#1086;%20&#1091;&#1087;&#1088;&#1072;&#1074;&#1083;&#1077;&#1085;&#1080;&#1077;%20-%20&#1055;&#1088;&#1080;&#1083;&#1086;&#1078;&#1077;&#1085;&#1080;&#1103;\5.02.3._&#1044;&#1086;&#1082;&#1083;&#1072;&#1076;%20&#1079;&#1072;%20&#1085;&#1072;&#1087;&#1088;&#1077;&#1076;&#1098;&#1082;&#1072;%20&#1087;&#1086;%20&#1080;&#1079;&#1087;&#1098;&#1083;&#1085;&#1077;&#1085;&#1080;&#1077;&#1090;&#1086;%20&#1080;%20&#1088;&#1077;&#1079;&#1091;&#1083;&#1090;&#1072;&#1090;&#1080;&#1090;&#1077;%20&#1086;&#1090;%20&#1080;&#1079;&#1074;&#1098;&#1088;&#1096;&#1077;&#1085;&#1080;&#1090;&#1077;%20&#1091;&#1087;&#1088;&#1072;&#1074;&#1083;&#1077;&#1085;&#1089;&#1082;&#1080;%20&#1087;&#1088;&#1086;&#1074;&#1077;&#1088;&#1082;&#1080;%20&#1085;&#1072;%20&#1059;&#1054;%20&#1085;&#1072;%20&#1054;&#1055;&#1058;&#1058;&#1048;.docx" TargetMode="External"/><Relationship Id="rId331" Type="http://schemas.openxmlformats.org/officeDocument/2006/relationships/hyperlink" Target="http://www.eufunds.bg/bg/optti" TargetMode="External"/><Relationship Id="rId1" Type="http://schemas.openxmlformats.org/officeDocument/2006/relationships/customXml" Target="../customXml/item1.xml"/><Relationship Id="rId212" Type="http://schemas.openxmlformats.org/officeDocument/2006/relationships/hyperlink" Target="file:///C:\Users\Ppavlova\Desktop\PM%202014%20-%202020\&#1043;&#1083;&#1072;&#1074;&#1072;%205%20&#1060;&#1080;&#1085;&#1072;&#1085;&#1089;&#1086;&#1074;&#1086;%20&#1091;&#1087;&#1088;&#1072;&#1074;&#1083;&#1077;&#1085;&#1080;&#1077;%20-%20&#1055;&#1088;&#1080;&#1083;&#1086;&#1078;&#1077;&#1085;&#1080;&#1103;\5.11._&#1060;&#1086;&#1088;&#1084;&#1072;%20&#1079;&#1072;%20&#1082;&#1086;&#1088;&#1077;&#1082;&#1094;&#1080;&#1080;%20&#1085;&#1072;%20&#1089;&#1095;&#1077;&#1090;&#1086;&#1074;&#1086;&#1076;&#1085;&#1080;%20&#1079;&#1072;&#1087;&#1080;&#1089;&#1074;&#1072;&#1085;&#1080;&#1103;.doc" TargetMode="External"/><Relationship Id="rId233" Type="http://schemas.openxmlformats.org/officeDocument/2006/relationships/hyperlink" Target="file:///C:\Users\Ppavlova\Desktop\PM%202014%20-%202020\&#1043;&#1083;&#1072;&#1074;&#1072;%205%20&#1060;&#1080;&#1085;&#1072;&#1085;&#1089;&#1086;&#1074;&#1086;%20&#1091;&#1087;&#1088;&#1072;&#1074;&#1083;&#1077;&#1085;&#1080;&#1077;%20-%20&#1055;&#1088;&#1080;&#1083;&#1086;&#1078;&#1077;&#1085;&#1080;&#1103;\5.17.1._&#1050;&#1086;&#1085;&#1090;&#1088;&#1086;&#1083;&#1077;&#1085;%20&#1083;&#1080;&#1089;&#1090;%20&#1082;&#1098;&#1084;%20&#1060;&#1086;&#1088;&#1084;&#1072;%20&#1079;&#1072;%20&#1088;&#1072;&#1074;&#1085;&#1077;&#1085;&#1080;&#1077;%20&#1085;&#1072;%20&#1076;&#1077;&#1089;&#1077;&#1090;&#1088;&#1072;&#1079;&#1088;&#1103;&#1076;&#1085;&#1080;%20&#1082;&#1086;&#1076;&#1086;&#1074;&#1077;%20&#1074;%20&#1057;&#1045;&#1041;&#1056;&#1040;.doc" TargetMode="External"/><Relationship Id="rId254" Type="http://schemas.openxmlformats.org/officeDocument/2006/relationships/hyperlink" Target="file:///C:\Users\Ppavlova\Desktop\PM%202014%20-%202020\&#1043;&#1083;&#1072;&#1074;&#1072;%206%20&#1053;&#1077;&#1088;&#1077;&#1076;&#1085;&#1086;&#1089;&#1090;&#1080;%20-%20&#1055;&#1088;&#1080;&#1083;&#1086;&#1078;&#1077;&#1085;&#1080;&#1103;\6.03._&#1056;&#1077;&#1096;&#1077;&#1085;&#1080;&#1077;%20&#1079;&#1072;%20&#1086;&#1087;&#1088;&#1077;&#1076;&#1077;&#1083;&#1103;&#1085;&#1077;%20&#1085;&#1072;%20&#1092;&#1080;&#1085;&#1072;&#1085;&#1089;&#1086;&#1074;&#1072;%20&#1082;&#1086;&#1088;&#1077;&#1082;&#1094;&#1080;&#1103;&#166;&#1079;&#1072;%20&#1087;&#1088;&#1077;&#1082;&#1088;&#1072;&#1090;&#1103;&#1074;&#1072;&#1085;&#1077;%20&#1085;&#1072;%20&#1087;&#1088;&#1086;&#1080;&#1079;&#1074;&#1086;&#1076;&#1089;&#1090;&#1074;&#1086;&#1090;&#1086;%20&#1087;&#1086;%20&#1086;&#1087;&#1088;&#1077;&#1076;&#1077;&#1083;&#1103;&#1085;&#1077;%20&#1085;&#1072;%20&#1092;&#1080;&#1085;&#1072;&#1085;&#1089;&#1086;&#1074;&#1072;%20&#1082;&#1086;&#1088;&#1077;&#1082;&#1094;&#1080;&#1103;.docx" TargetMode="External"/><Relationship Id="rId28" Type="http://schemas.openxmlformats.org/officeDocument/2006/relationships/hyperlink" Target="file:///C:\Users\Ppavlova\Desktop\PM%202014%20-%202020\&#1043;&#1083;&#1072;&#1074;&#1072;%201%20&#1054;&#1073;&#1097;&#1080;%20&#1087;&#1086;&#1083;&#1086;&#1078;&#1077;&#1085;&#1080;&#1103;%20-%20&#1055;&#1088;&#1080;&#1083;&#1086;&#1078;&#1077;&#1085;&#1080;&#1103;\1.01._&#1044;&#1077;&#1082;&#1083;&#1072;&#1088;&#1072;&#1094;&#1080;&#1103;%20&#1079;&#1072;%20&#1079;&#1072;&#1087;&#1086;&#1079;&#1085;&#1072;&#1074;&#1072;&#1085;&#1077;%20&#1089;%20&#1087;&#1088;&#1086;&#1094;&#1077;&#1076;&#1091;&#1088;&#1085;&#1080;&#1103;%20&#1085;&#1072;&#1088;&#1098;&#1095;&#1085;&#1080;&#1082;.doc" TargetMode="External"/><Relationship Id="rId49" Type="http://schemas.openxmlformats.org/officeDocument/2006/relationships/hyperlink" Target="file:///C:\Users\Ppavlova\Desktop\PM%202014%20-%202020\&#1043;&#1083;&#1072;&#1074;&#1072;%202%20&#1044;&#1098;&#1088;&#1078;&#1072;&#1074;&#1085;&#1080;%20&#1087;&#1086;&#1084;&#1086;&#1097;&#1080;%20-%20&#1055;&#1088;&#1080;&#1083;&#1086;&#1078;&#1077;&#1085;&#1080;&#1103;\2.03._&#1050;&#1086;&#1085;&#1090;&#1088;&#1086;&#1083;&#1077;&#1085;%20&#1083;&#1080;&#1089;&#1090;%20&#1079;&#1072;%20&#1087;&#1088;&#1077;&#1076;&#1074;&#1072;&#1088;&#1080;&#1090;&#1077;&#1083;&#1085;&#1072;%20&#1086;&#1094;&#1077;&#1085;&#1082;&#1072;%20&#1079;&#1072;%20&#1086;&#1087;&#1088;&#1077;&#1076;&#1077;&#1083;&#1103;&#1085;&#1077;%20&#1085;&#1072;%20&#1087;&#1088;&#1080;&#1083;&#1086;&#1078;&#1080;&#1084;%20&#1082;&#1098;&#1084;%20&#1084;&#1103;&#1088;&#1082;&#1072;&#1090;&#1072;%20&#1088;&#1077;&#1078;&#1080;&#1084;%20&#1085;&#1072;%20&#1089;&#1098;&#1074;&#1084;&#1077;&#1089;&#1090;&#1080;&#1084;&#1072;%20&#1076;&#1098;&#1088;&#1078;&#1072;&#1074;&#1085;&#1072;%20&#1087;&#1086;&#1084;&#1086;&#1097;.doc" TargetMode="External"/><Relationship Id="rId114" Type="http://schemas.openxmlformats.org/officeDocument/2006/relationships/hyperlink" Target="file:///C:\Users\DGIvanova\AppData\Local\Microsoft\Windows\INetCache\Content.Outlook\0LQTPC6N\&#1043;&#1083;&#1072;&#1074;&#1072;%203%20&#1055;&#1088;&#1086;&#1075;&#1088;&#1072;&#1084;&#1080;&#1088;&#1072;&#1085;&#1077;%20-%20&#1055;&#1088;&#1080;&#1083;&#1086;&#1078;&#1077;&#1085;&#1080;&#1103;\3.09._&#1050;&#1086;&#1085;&#1090;&#1088;&#1086;&#1083;&#1077;&#1085;%20&#1083;&#1080;&#1089;&#1090;%20&#1079;&#1072;%20&#1087;&#1088;&#1086;&#1074;&#1077;&#1088;&#1082;&#1072;%20&#1085;&#1072;%20&#1087;&#1088;&#1086;&#1094;&#1077;&#1076;&#1091;&#1088;&#1072;&#1090;&#1072;%20&#1085;&#1072;%20&#1080;&#1079;&#1074;&#1098;&#1088;&#1096;&#1077;&#1085;&#1072;%20&#1086;&#1094;&#1077;&#1085;&#1082;&#1072;%20&#1085;&#1072;%20&#1087;&#1088;&#1086;&#1077;&#1082;&#1090;&#1085;&#1086;%20&#1087;&#1088;&#1077;&#1076;&#1083;&#1086;&#1078;&#1077;&#1085;&#1080;&#1077;.docx" TargetMode="External"/><Relationship Id="rId275" Type="http://schemas.openxmlformats.org/officeDocument/2006/relationships/hyperlink" Target="file:///C:\Users\Ppavlova\Desktop\PM%202014%20-%202020\&#1043;&#1083;&#1072;&#1074;&#1072;%207%20&#1048;&#1079;&#1087;&#1098;&#1083;&#1085;&#1077;&#1085;&#1080;&#1077;%20-%20&#1055;&#1088;&#1080;&#1083;&#1086;&#1078;&#1077;&#1085;&#1080;&#1103;\7.05._&#1043;&#1086;&#1076;&#1080;&#1096;&#1077;&#1085;%20&#1087;&#1083;&#1072;&#1085;%20&#1079;&#1072;%20&#1080;&#1079;&#1074;&#1098;&#1088;&#1096;&#1074;&#1072;&#1085;&#1077;%20&#1085;&#1072;%20&#1087;&#1088;&#1086;&#1074;&#1077;&#1088;&#1082;&#1080;%20&#1085;&#1072;%20&#1084;&#1103;&#1089;&#1090;&#1086;%20&#1086;&#1090;%20&#1059;&#1054;%20&#1085;&#1072;%20&#1054;&#1055;&#1058;&#1058;&#1048;%20&#1079;&#1072;%20&#8230;&#8230;.%20&#1075;&#1086;&#1076;&#1080;&#1085;&#1072;.doc" TargetMode="External"/><Relationship Id="rId296" Type="http://schemas.openxmlformats.org/officeDocument/2006/relationships/hyperlink" Target="file:///\\MTITC-FP03\OPTransport\public\DGIvanova\PM%202014-2020\Actual%20v_4.2%2016.12.2019\&#1043;&#1083;&#1072;&#1074;&#1072;%207%20&#1048;&#1079;&#1087;&#1098;&#1083;&#1085;&#1077;&#1085;&#1080;&#1077;%20-%20&#1055;&#1088;&#1080;&#1083;&#1086;&#1078;&#1077;&#1085;&#1080;&#1103;\7.06.2._&#1050;&#1086;&#1085;&#1090;&#1088;&#1086;&#1083;&#1077;&#1085;%20&#1083;&#1080;&#1089;&#1090;%20-%20&#1087;&#1088;&#1086;&#1074;&#1077;&#1078;&#1076;&#1072;&#1085;&#1077;%20&#1085;&#1072;%20&#1087;&#1088;&#1086;&#1074;&#1077;&#1088;&#1082;&#1072;%20&#1085;&#1072;%20&#1084;&#1103;&#1089;&#1090;&#1086;%20&#1086;&#1090;%20&#1074;&#1098;&#1085;&#1096;&#1077;&#1085;%20&#1074;&#1077;&#1088;&#1080;&#1092;&#1080;&#1082;&#1072;&#1090;&#1086;&#1088;%20&#1082;&#1086;&#1075;&#1072;&#1090;&#1086;%20&#1059;&#1054;%20&#1077;%20&#1073;&#1077;&#1085;&#1077;&#1092;&#1080;&#1094;&#1080;&#1077;&#1085;&#1090;%20&#1087;&#1086;%20&#1054;&#1055;&#1058;&#1058;&#1048;.docx" TargetMode="External"/><Relationship Id="rId300" Type="http://schemas.openxmlformats.org/officeDocument/2006/relationships/hyperlink" Target="file:///C:\Users\Ppavlova\Desktop\PM%202014%20-%202020\&#1043;&#1083;&#1072;&#1074;&#1072;%208%20&#1059;&#1087;&#1088;&#1072;&#1074;&#1083;&#1077;&#1085;&#1080;&#1077;%20&#1085;&#1072;%20&#1088;&#1080;&#1089;&#1082;&#1072;%20-%20&#1055;&#1088;&#1080;&#1083;&#1086;&#1078;&#1077;&#1085;&#1080;&#1103;\8.01._&#1050;&#1072;&#1088;&#1090;&#1072;%20&#1085;&#1072;%20&#1088;&#1080;&#1089;&#1082;&#1086;&#1074;&#1077;&#1090;&#1077;.pdf" TargetMode="External"/><Relationship Id="rId60" Type="http://schemas.openxmlformats.org/officeDocument/2006/relationships/hyperlink" Target="file:///C:\Users\Ppavlova\Desktop\PM%202014%20-%202020\&#1043;&#1083;&#1072;&#1074;&#1072;%202%20&#1044;&#1098;&#1088;&#1078;&#1072;&#1074;&#1085;&#1080;%20&#1087;&#1086;&#1084;&#1086;&#1097;&#1080;%20-%20&#1055;&#1088;&#1080;&#1083;&#1086;&#1078;&#1077;&#1085;&#1080;&#1103;\2.04._&#1057;&#1098;&#1086;&#1073;&#1097;&#1077;&#1085;&#1080;&#1077;%20&#1085;&#1072;%20&#1050;&#1086;&#1084;&#1080;&#1089;&#1080;&#1103;&#1090;&#1072;%20&#1079;&#1072;%20&#1087;&#1088;&#1086;&#1079;&#1088;&#1072;&#1095;&#1085;&#1086;&#1089;&#1090;&#1090;&#1072;.pdf" TargetMode="External"/><Relationship Id="rId81" Type="http://schemas.openxmlformats.org/officeDocument/2006/relationships/footer" Target="footer4.xml"/><Relationship Id="rId135" Type="http://schemas.openxmlformats.org/officeDocument/2006/relationships/hyperlink" Target="file:///C:\Users\Ppavlova\Desktop\PM%202014%20-%202020\&#1043;&#1083;&#1072;&#1074;&#1072;%203%20&#1055;&#1088;&#1086;&#1075;&#1088;&#1072;&#1084;&#1080;&#1088;&#1072;&#1085;&#1077;%20-%20&#1055;&#1088;&#1080;&#1083;&#1086;&#1078;&#1077;&#1085;&#1080;&#1103;\3.06.3._&#1054;&#1094;&#1077;&#1085;&#1080;&#1090;&#1077;&#1083;&#1085;&#1072;%20&#1090;&#1072;&#1073;&#1083;&#1080;&#1094;&#1072;%20&#1079;&#1072;%20&#1080;&#1079;&#1074;&#1098;&#1088;&#1096;&#1077;&#1085;&#1072;%20&#1086;&#1094;&#1077;&#1085;&#1082;&#1072;%20&#1085;&#1072;%20&#1073;&#1102;&#1076;&#1078;&#1077;&#1090;&#1085;&#1072;%20&#1083;&#1080;&#1085;&#1080;&#1103;.docx" TargetMode="External"/><Relationship Id="rId156" Type="http://schemas.openxmlformats.org/officeDocument/2006/relationships/hyperlink" Target="file:///C:\Users\Sgotzov\AppData\Local\Microsoft\Windows\INetCache\Content.Outlook\0QLPQ679\&#1043;&#1083;&#1072;&#1074;&#1072;%203%20&#1055;&#1088;&#1086;&#1075;&#1088;&#1072;&#1084;&#1080;&#1088;&#1072;&#1085;&#1077;%20-%20&#1055;&#1088;&#1080;&#1083;&#1086;&#1078;&#1077;&#1085;&#1080;&#1103;\3.03._&#1044;&#1077;&#1082;&#1083;&#1072;&#1088;&#1072;&#1094;&#1080;&#1103;%20&#1079;&#1072;%20&#1083;&#1080;&#1087;&#1089;&#1072;%20&#1085;&#1072;%20&#1082;&#1086;&#1085;&#1092;&#1083;&#1080;&#1082;&#1090;%20&#1085;&#1072;%20&#1080;&#1085;&#1090;&#1077;&#1088;&#1077;&#1089;&#1080;%20&#1080;%20&#1087;&#1086;&#1074;&#1077;&#1088;&#1080;&#1090;&#1077;&#1083;&#1085;&#1086;&#1089;&#1090;%20v4-2.doc" TargetMode="External"/><Relationship Id="rId177" Type="http://schemas.openxmlformats.org/officeDocument/2006/relationships/image" Target="media/image6.png"/><Relationship Id="rId198" Type="http://schemas.openxmlformats.org/officeDocument/2006/relationships/hyperlink" Target="file:///C:\Users\Ppavlova\Desktop\PM%202014%20-%202020\&#1043;&#1083;&#1072;&#1074;&#1072;%205%20&#1060;&#1080;&#1085;&#1072;&#1085;&#1089;&#1086;&#1074;&#1086;%20&#1091;&#1087;&#1088;&#1072;&#1074;&#1083;&#1077;&#1085;&#1080;&#1077;%20-%20&#1055;&#1088;&#1080;&#1083;&#1086;&#1078;&#1077;&#1085;&#1080;&#1103;\5.04.3._&#1050;&#1086;&#1085;&#1090;&#1088;&#1086;&#1083;&#1077;&#1085;%20&#1083;&#1080;&#1089;&#1090;%20&#8470;%20&#1079;&#1072;%20&#1082;&#1086;&#1085;&#1090;&#1088;&#1086;&#1083;%20&#1086;&#1090;%20&#1092;&#1080;&#1085;&#1072;&#1085;&#1089;&#1086;&#1074;&#1080;&#1103;%20&#1082;&#1086;&#1085;&#1090;&#1088;&#1086;&#1083;&#1100;&#1086;&#1088;%20&#1087;&#1088;&#1077;&#1076;&#1080;%20&#1080;&#1079;&#1074;&#1098;&#1088;&#1096;&#1074;&#1072;&#1085;&#1077;%20&#1085;&#1072;%20&#1087;&#1083;&#1072;&#1097;&#1072;&#1085;&#1077;.doc" TargetMode="External"/><Relationship Id="rId321" Type="http://schemas.openxmlformats.org/officeDocument/2006/relationships/hyperlink" Target="file:///C:\Users\Ppavlova\Desktop\PM%202014%20-%202020\&#1043;&#1083;&#1072;&#1074;&#1072;%209%20&#1052;&#1086;&#1085;&#1080;&#1090;&#1086;&#1088;&#1080;&#1085;&#1075;%20-%20&#1055;&#1088;&#1080;&#1083;&#1086;&#1078;&#1077;&#1085;&#1080;&#1103;\9.04._&#1055;&#1080;&#1089;&#1084;&#1086;%20&#1087;&#1088;&#1072;&#1074;&#1080;&#1083;&#1072;%20&#1080;%20&#1089;&#1080;&#1075;&#1091;&#1088;&#1085;&#1086;&#1089;&#1090;%20&#1076;&#1086;%20SFC%202014.pdf" TargetMode="External"/><Relationship Id="rId202" Type="http://schemas.openxmlformats.org/officeDocument/2006/relationships/hyperlink" Target="file:///C:\Users\Ppavlova\Desktop\PM%202014%20-%202020\&#1043;&#1083;&#1072;&#1074;&#1072;%205%20&#1060;&#1080;&#1085;&#1072;&#1085;&#1089;&#1086;&#1074;&#1086;%20&#1091;&#1087;&#1088;&#1072;&#1074;&#1083;&#1077;&#1085;&#1080;&#1077;%20-%20&#1055;&#1088;&#1080;&#1083;&#1086;&#1078;&#1077;&#1085;&#1080;&#1103;\5.05._&#1050;&#1086;&#1085;&#1090;&#1088;&#1086;&#1083;&#1077;&#1085;%20&#1083;&#1080;&#1089;&#1090;%20&#1079;&#1072;%20&#1074;&#1077;&#1088;&#1080;&#1092;&#1080;&#1094;&#1080;&#1088;&#1072;&#1085;&#1077;%20&#1085;&#1072;%20&#1088;&#1072;&#1079;&#1093;&#1086;&#1076;&#1080;&#1090;&#1077;%20&#1087;&#1088;&#1080;%20&#1080;&#1079;&#1087;&#1098;&#1083;&#1085;&#1077;&#1085;&#1080;&#1077;%20&#1085;&#1072;%20&#1087;&#1088;&#1086;&#1077;&#1082;&#1090;&#1080;%20&#1087;&#1086;%20&#1087;&#1088;&#1080;&#1086;&#1088;&#1080;&#1090;&#1077;&#1090;&#1085;&#1072;%20&#1086;&#1089;%20&#1058;&#1055;%20&#1089;%20&#1073;&#1077;&#1085;&#1077;&#1092;&#1080;&#1094;&#1080;&#1077;&#1085;&#1090;%20&#1059;&#1054;.doc" TargetMode="External"/><Relationship Id="rId223" Type="http://schemas.openxmlformats.org/officeDocument/2006/relationships/hyperlink" Target="file:///C:\Users\Ppavlova\Desktop\PM%202014%20-%202020\&#1043;&#1083;&#1072;&#1074;&#1072;%205%20&#1060;&#1080;&#1085;&#1072;&#1085;&#1089;&#1086;&#1074;&#1086;%20&#1091;&#1087;&#1088;&#1072;&#1074;&#1083;&#1077;&#1085;&#1080;&#1077;%20-%20&#1055;&#1088;&#1080;&#1083;&#1086;&#1078;&#1077;&#1085;&#1080;&#1103;\5.13._&#1059;&#1074;&#1077;&#1076;&#1086;&#1084;&#1080;&#1090;&#1077;&#1083;&#1085;&#1086;%20&#1087;&#1080;&#1089;&#1084;&#1086;%20&#1079;&#1072;%20&#1086;&#1089;&#1095;&#1077;&#1090;&#1086;&#1074;&#1086;&#1076;&#1077;&#1085;&#1080;%20&#1086;&#1090;&#1090;&#1077;&#1075;&#1083;&#1077;&#1085;&#1080;%20&#1086;&#1090;&#1087;&#1080;&#1089;&#1072;&#1085;&#1080;%20&#1080;&#1083;&#1080;%20&#1074;&#1098;&#1079;&#1089;&#1090;&#1072;&#1085;&#1086;&#1074;&#1077;&#1085;&#1080;%20(&#1087;&#1088;&#1080;&#1093;&#1074;&#1072;&#1085;&#1072;&#1090;&#1080;)%20&#1089;&#1091;&#1084;&#1080;.xls" TargetMode="External"/><Relationship Id="rId244" Type="http://schemas.openxmlformats.org/officeDocument/2006/relationships/hyperlink" Target="file:///C:\Users\Ppavlova\Desktop\PM%202014%20-%202020\&#1043;&#1083;&#1072;&#1074;&#1072;%205%20&#1060;&#1080;&#1085;&#1072;&#1085;&#1089;&#1086;&#1074;&#1086;%20&#1091;&#1087;&#1088;&#1072;&#1074;&#1083;&#1077;&#1085;&#1080;&#1077;%20-%20&#1055;&#1088;&#1080;&#1083;&#1086;&#1078;&#1077;&#1085;&#1080;&#1103;\5.22._&#1050;&#1086;&#1085;&#1090;&#1088;&#1086;&#1083;&#1077;&#1085;%20&#1083;&#1080;&#1089;&#1090;%20&#1079;&#1072;%20&#1087;&#1088;&#1086;&#1074;&#1077;&#1088;&#1082;&#1072;%20&#1085;&#1072;%20&#1080;&#1089;&#1082;&#1072;&#1085;&#1077;%20&#1079;&#1072;%20&#1072;&#1074;&#1072;&#1085;&#1089;&#1086;&#1074;&#1086;%20&#1092;&#1080;&#1085;&#1072;&#1085;&#1089;&#1080;&#1088;&#1072;&#1085;&#1077;%20&#1087;&#1086;%20&#1088;&#1077;&#1076;&#1072;%20&#1085;&#1072;%20&#1044;&#1044;&#1057;%20&#8470;%2006_2011.doc" TargetMode="External"/><Relationship Id="rId18" Type="http://schemas.openxmlformats.org/officeDocument/2006/relationships/hyperlink" Target="http://eur-lex.europa.eu/legal-content/BG/TXT/HTML/?uri=CELEX:32013R1303&amp;qid=1401883400335&amp;from=BG" TargetMode="External"/><Relationship Id="rId39" Type="http://schemas.openxmlformats.org/officeDocument/2006/relationships/hyperlink" Target="http://www.eufunds.bg/bg/optti" TargetMode="External"/><Relationship Id="rId265" Type="http://schemas.openxmlformats.org/officeDocument/2006/relationships/hyperlink" Target="file:///\\MTITC-FP03\OPTransport\public\DGIvanova\PM%202014-2020\Actual%20v_4.2%2016.12.2019\&#1043;&#1083;&#1072;&#1074;&#1072;%207%20&#1048;&#1079;&#1087;&#1098;&#1083;&#1085;&#1077;&#1085;&#1080;&#1077;%20-%20&#1055;&#1088;&#1080;&#1083;&#1086;&#1078;&#1077;&#1085;&#1080;&#1103;\7.04.1._&#1050;&#1086;&#1085;&#1090;&#1088;&#1086;&#1083;&#1077;&#1085;%20&#1083;&#1080;&#1089;&#1090;%20&#8211;%20&#1054;&#1082;&#1086;&#1085;&#1095;&#1072;&#1090;&#1077;&#1083;&#1077;&#1085;%20&#1076;&#1086;&#1082;&#1083;&#1072;&#1076;%20&#1087;&#1086;%20&#1087;&#1088;&#1086;&#1077;&#1082;&#1090;.doc" TargetMode="External"/><Relationship Id="rId286" Type="http://schemas.openxmlformats.org/officeDocument/2006/relationships/hyperlink" Target="file:///\\MTITC-FP03\OPTransport\public\DGIvanova\PM%202014-2020\Actual%20v_4.2%2016.12.2019\&#1043;&#1083;&#1072;&#1074;&#1072;%207%20&#1048;&#1079;&#1087;&#1098;&#1083;&#1085;&#1077;&#1085;&#1080;&#1077;%20-%20&#1055;&#1088;&#1080;&#1083;&#1086;&#1078;&#1077;&#1085;&#1080;&#1103;\7.06._&#1044;&#1086;&#1082;&#1083;&#1072;&#1076;%20&#1086;&#1090;%20&#1087;&#1088;&#1086;&#1074;&#1077;&#1088;&#1082;&#1072;%20&#1085;&#1072;%20&#1084;&#1103;&#1089;&#1090;&#1086;,%20&#1080;&#1079;&#1074;&#1098;&#1088;&#1096;&#1077;&#1085;&#1072;%20&#1086;&#1090;%20&#1059;&#1054;%20&#1085;&#1072;%20&#1054;&#1055;&#1058;&#1058;&#1048;.doc" TargetMode="External"/><Relationship Id="rId50" Type="http://schemas.openxmlformats.org/officeDocument/2006/relationships/hyperlink" Target="file:///C:\Users\Ppavlova\Desktop\PM%202014%20-%202020\&#1043;&#1083;&#1072;&#1074;&#1072;%202%20&#1044;&#1098;&#1088;&#1078;&#1072;&#1074;&#1085;&#1080;%20&#1087;&#1086;&#1084;&#1086;&#1097;&#1080;%20-%20&#1055;&#1088;&#1080;&#1083;&#1086;&#1078;&#1077;&#1085;&#1080;&#1103;\2.02._&#1050;&#1086;&#1085;&#1090;&#1088;&#1086;&#1083;&#1077;&#1085;%20&#1083;&#1080;&#1089;&#1090;%20&#1079;&#1072;%20&#1087;&#1088;&#1077;&#1076;&#1074;&#1072;&#1088;&#1080;&#1090;&#1077;&#1083;&#1085;&#1072;%20&#1086;&#1094;&#1077;&#1085;&#1082;&#1072;%20&#1079;&#1072;%20%20&#1086;&#1087;&#1088;&#1077;&#1076;&#1077;&#1083;&#1103;&#1085;&#1077;%20&#1085;&#1072;&#1083;&#1080;&#1095;&#1080;&#1077;&#1090;&#1086;%20&#1085;&#1072;%20&#1076;&#1098;&#1088;&#1078;&#1072;&#1074;&#1085;&#1072;%20&#1087;&#1086;&#1084;&#1086;&#1097;%20-%20&#1048;&#1079;&#1082;&#1083;&#1102;&#1095;&#1077;&#1085;&#1080;&#1103;.doc" TargetMode="External"/><Relationship Id="rId104" Type="http://schemas.openxmlformats.org/officeDocument/2006/relationships/diagramQuickStyle" Target="diagrams/quickStyle4.xml"/><Relationship Id="rId125" Type="http://schemas.openxmlformats.org/officeDocument/2006/relationships/hyperlink" Target="file:///C:\Users\Sgotzov\AppData\Local\Microsoft\Windows\INetCache\Content.Outlook\0QLPQ679\&#1043;&#1083;&#1072;&#1074;&#1072;%203%20&#1055;&#1088;&#1086;&#1075;&#1088;&#1072;&#1084;&#1080;&#1088;&#1072;&#1085;&#1077;%20-%20&#1055;&#1088;&#1080;&#1083;&#1086;&#1078;&#1077;&#1085;&#1080;&#1103;\3.05._&#1050;&#1088;&#1080;&#1090;&#1077;&#1088;&#1080;&#1080;%20%20&#1079;&#1072;%20&#1086;&#1089;&#1080;&#1075;&#1091;&#1088;&#1103;&#1074;&#1072;&#1085;&#1077;%20&#1085;&#1072;%20&#1080;&#1085;&#1092;&#1086;&#1088;&#1084;&#1072;&#1094;&#1080;&#1103;%20&#1079;&#1072;%20&#1080;&#1085;&#1074;&#1077;&#1089;&#1090;&#1080;&#1094;&#1080;&#1086;&#1085;&#1085;&#1080;&#166;&#1080;&#1085;&#1092;&#1088;&#1072;&#1089;&#1090;&#1088;&#1091;&#1082;&#1090;&#1091;&#1088;&#1085;&#1080;%20&#1087;&#1088;&#1086;&#1077;&#1082;&#1090;&#1080;%20&#1087;&#1088;&#1080;%20&#1080;&#1079;&#1074;&#1098;&#1088;&#1096;&#1074;&#1072;&#1085;&#1077;&#1090;&#1086;%20&#1085;&#1072;%20&#1086;&#1094;&#1077;&#1085;&#1082;&#1072;.doc" TargetMode="External"/><Relationship Id="rId146" Type="http://schemas.openxmlformats.org/officeDocument/2006/relationships/hyperlink" Target="file:///C:\Users\Ppavlova\Desktop\PM%202014%20-%202020\&#1043;&#1083;&#1072;&#1074;&#1072;%203%20&#1055;&#1088;&#1086;&#1075;&#1088;&#1072;&#1084;&#1080;&#1088;&#1072;&#1085;&#1077;%20-%20&#1055;&#1088;&#1080;&#1083;&#1086;&#1078;&#1077;&#1085;&#1080;&#1103;\3.07._&#1044;&#1086;&#1082;&#1083;&#1072;&#1076;%20&#1079;&#1072;%20&#1080;&#1079;&#1074;&#1098;&#1088;&#1096;&#1077;&#1085;&#1072;%20&#1086;&#1094;&#1077;&#1085;&#1082;&#1072;%20&#1085;&#1072;%20&#1087;&#1088;&#1086;&#1077;&#1082;&#1090;&#1085;&#1086;%20&#1087;&#1088;&#1077;&#1076;&#1083;&#1086;&#1078;&#1077;&#1085;&#1080;&#1077;.docx" TargetMode="External"/><Relationship Id="rId167" Type="http://schemas.openxmlformats.org/officeDocument/2006/relationships/hyperlink" Target="file:///C:\Users\Ppavlova\Desktop\PM%202014%20-%202020\&#1043;&#1083;&#1072;&#1074;&#1072;%203%20&#1055;&#1088;&#1086;&#1075;&#1088;&#1072;&#1084;&#1080;&#1088;&#1072;&#1085;&#1077;%20-%20&#1055;&#1088;&#1080;&#1083;&#1086;&#1078;&#1077;&#1085;&#1080;&#1103;\3.11.1._&#1040;&#1076;&#1084;&#1080;&#1085;&#1080;&#1089;&#1090;&#1088;&#1072;&#1090;&#1080;&#1074;&#1077;&#1085;%20&#1076;&#1086;&#1075;&#1086;&#1074;&#1086;&#1088;.doc" TargetMode="External"/><Relationship Id="rId188" Type="http://schemas.openxmlformats.org/officeDocument/2006/relationships/image" Target="media/image7.png"/><Relationship Id="rId311" Type="http://schemas.openxmlformats.org/officeDocument/2006/relationships/hyperlink" Target="file:///C:\Users\Ppavlova\Desktop\PM%202014%20-%202020\&#1043;&#1083;&#1072;&#1074;&#1072;%209%20&#1052;&#1086;&#1085;&#1080;&#1090;&#1086;&#1088;&#1080;&#1085;&#1075;%20-%20&#1055;&#1088;&#1080;&#1083;&#1086;&#1078;&#1077;&#1085;&#1080;&#1103;\9.03._&#1055;&#1083;&#1072;&#1085;%20&#1079;&#1072;%20&#1076;&#1077;&#1081;&#1089;&#1090;&#1074;&#1080;&#1077;.doc" TargetMode="External"/><Relationship Id="rId332" Type="http://schemas.openxmlformats.org/officeDocument/2006/relationships/hyperlink" Target="https://eufunds.bg" TargetMode="External"/><Relationship Id="rId71" Type="http://schemas.openxmlformats.org/officeDocument/2006/relationships/hyperlink" Target="http://www.eufunds.bg" TargetMode="External"/><Relationship Id="rId92" Type="http://schemas.microsoft.com/office/2007/relationships/diagramDrawing" Target="diagrams/drawing3.xml"/><Relationship Id="rId213" Type="http://schemas.openxmlformats.org/officeDocument/2006/relationships/hyperlink" Target="file:///C:\Users\Ppavlova\Desktop\PM%202014%20-%202020\&#1043;&#1083;&#1072;&#1074;&#1072;%205%20&#1060;&#1080;&#1085;&#1072;&#1085;&#1089;&#1086;&#1074;&#1086;%20&#1091;&#1087;&#1088;&#1072;&#1074;&#1083;&#1077;&#1085;&#1080;&#1077;%20-%20&#1055;&#1088;&#1080;&#1083;&#1086;&#1078;&#1077;&#1085;&#1080;&#1103;\5.08._&#1050;&#1086;&#1085;&#1090;&#1088;&#1086;&#1083;&#1077;&#1085;%20&#1083;&#1080;&#1089;&#1090;%20&#1079;&#1072;%20&#1087;&#1088;&#1086;&#1074;&#1077;&#1088;&#1082;&#1072;%20-%20&#1084;&#1077;&#1089;&#1077;&#1095;&#1077;&#1085;%20&#1082;&#1086;&#1085;&#1090;&#1088;&#1086;&#1083;%20&#1085;&#1072;%20&#1089;&#1095;&#1077;&#1090;&#1086;&#1074;&#1086;&#1076;&#1085;&#1080;&#1090;&#1077;%20&#1086;&#1087;&#1077;&#1088;&#1072;&#1094;&#1080;&#1080;.doc" TargetMode="External"/><Relationship Id="rId234" Type="http://schemas.openxmlformats.org/officeDocument/2006/relationships/hyperlink" Target="file:///C:\Users\Ppavlova\Desktop\PM%202014%20-%202020\&#1043;&#1083;&#1072;&#1074;&#1072;%205%20&#1060;&#1080;&#1085;&#1072;&#1085;&#1089;&#1086;&#1074;&#1086;%20&#1091;&#1087;&#1088;&#1072;&#1074;&#1083;&#1077;&#1085;&#1080;&#1077;%20-%20&#1055;&#1088;&#1080;&#1083;&#1086;&#1078;&#1077;&#1085;&#1080;&#1103;\5.18._&#1060;&#1086;&#1088;&#1084;&#1072;%20&#1079;&#1072;%20&#1088;&#1072;&#1074;&#1085;&#1077;&#1085;&#1080;&#1077;%20-%20&#1051;&#1080;&#1084;&#1080;&#1090;&#1080;.doc" TargetMode="External"/><Relationship Id="rId2" Type="http://schemas.openxmlformats.org/officeDocument/2006/relationships/numbering" Target="numbering.xml"/><Relationship Id="rId29" Type="http://schemas.openxmlformats.org/officeDocument/2006/relationships/hyperlink" Target="http://www.eufunds.bg" TargetMode="External"/><Relationship Id="rId255" Type="http://schemas.openxmlformats.org/officeDocument/2006/relationships/hyperlink" Target="file:///C:\Users\Ppavlova\Desktop\PM%202014%20-%202020\&#1043;&#1083;&#1072;&#1074;&#1072;%206%20&#1053;&#1077;&#1088;&#1077;&#1076;&#1085;&#1086;&#1089;&#1090;&#1080;%20-%20&#1055;&#1088;&#1080;&#1083;&#1086;&#1078;&#1077;&#1085;&#1080;&#1103;\6.04._&#1050;&#1086;&#1085;&#1090;&#1088;&#1086;&#1083;&#1077;&#1085;%20&#1083;&#1080;&#1089;&#1090;%20-%20&#1055;&#1088;&#1086;&#1074;&#1077;&#1088;&#1082;&#1072;%20&#1079;&#1072;%20&#1089;&#1098;&#1086;&#1090;&#1074;&#1077;&#1090;&#1089;&#1090;&#1074;&#1080;&#1077;%20&#1085;&#1072;%20&#1056;&#1077;&#1096;&#1077;&#1085;&#1080;&#1077;%20&#1085;&#1072;%20&#1056;&#1098;&#1082;&#1086;&#1074;&#1086;&#1076;&#1080;&#1090;&#1077;&#1083;&#1103;%20&#1085;&#1072;%20&#1059;&#1054;%20&#1079;&#1072;%20&#1086;&#1087;&#1088;&#1077;&#1076;&#1077;&#1083;&#1103;&#1085;&#1077;%20&#1085;&#1072;%20&#1092;&#1080;&#1085;&#1072;&#1085;&#1089;&#1086;&#1074;&#1072;%20&#1082;&#1086;&#1088;&#1077;&#1082;&#1094;&#1080;&#1103;.doc" TargetMode="External"/><Relationship Id="rId276" Type="http://schemas.openxmlformats.org/officeDocument/2006/relationships/hyperlink" Target="file:///C:\Users\Ppavlova\Desktop\PM%202014%20-%202020\&#1043;&#1083;&#1072;&#1074;&#1072;%207%20&#1048;&#1079;&#1087;&#1098;&#1083;&#1085;&#1077;&#1085;&#1080;&#1077;%20-%20&#1055;&#1088;&#1080;&#1083;&#1086;&#1078;&#1077;&#1085;&#1080;&#1103;\7.05._&#1043;&#1086;&#1076;&#1080;&#1096;&#1077;&#1085;%20&#1087;&#1083;&#1072;&#1085;%20&#1079;&#1072;%20&#1080;&#1079;&#1074;&#1098;&#1088;&#1096;&#1074;&#1072;&#1085;&#1077;%20&#1085;&#1072;%20&#1087;&#1088;&#1086;&#1074;&#1077;&#1088;&#1082;&#1080;%20&#1085;&#1072;%20&#1084;&#1103;&#1089;&#1090;&#1086;%20&#1086;&#1090;%20&#1059;&#1054;%20&#1085;&#1072;%20&#1054;&#1055;&#1058;&#1058;&#1048;%20&#1079;&#1072;%20&#8230;&#8230;.%20&#1075;&#1086;&#1076;&#1080;&#1085;&#1072;.doc" TargetMode="External"/><Relationship Id="rId297" Type="http://schemas.openxmlformats.org/officeDocument/2006/relationships/hyperlink" Target="file:///\\MTITC-FP03\OPTransport\public\DGIvanova\PM%202014-2020\Actual%20v_4.2%2016.12.2019\&#1043;&#1083;&#1072;&#1074;&#1072;%207%20&#1048;&#1079;&#1087;&#1098;&#1083;&#1085;&#1077;&#1085;&#1080;&#1077;%20-%20&#1055;&#1088;&#1080;&#1083;&#1086;&#1078;&#1077;&#1085;&#1080;&#1103;\7.06.2._&#1050;&#1086;&#1085;&#1090;&#1088;&#1086;&#1083;&#1077;&#1085;%20&#1083;&#1080;&#1089;&#1090;%20-%20&#1087;&#1088;&#1086;&#1074;&#1077;&#1078;&#1076;&#1072;&#1085;&#1077;%20&#1085;&#1072;%20&#1087;&#1088;&#1086;&#1074;&#1077;&#1088;&#1082;&#1072;%20&#1085;&#1072;%20&#1084;&#1103;&#1089;&#1090;&#1086;%20&#1086;&#1090;%20&#1074;&#1098;&#1085;&#1096;&#1077;&#1085;%20&#1074;&#1077;&#1088;&#1080;&#1092;&#1080;&#1082;&#1072;&#1090;&#1086;&#1088;%20&#1082;&#1086;&#1075;&#1072;&#1090;&#1086;%20&#1059;&#1054;%20&#1077;%20&#1073;&#1077;&#1085;&#1077;&#1092;&#1080;&#1094;&#1080;&#1077;&#1085;&#1090;%20&#1087;&#1086;%20&#1054;&#1055;&#1058;&#1058;&#1048;.docx" TargetMode="External"/><Relationship Id="rId40" Type="http://schemas.openxmlformats.org/officeDocument/2006/relationships/hyperlink" Target="http://www.eufunds.bg" TargetMode="External"/><Relationship Id="rId115" Type="http://schemas.openxmlformats.org/officeDocument/2006/relationships/hyperlink" Target="file:///C:\Users\DGIvanova\AppData\Local\Microsoft\Windows\INetCache\Content.Outlook\0LQTPC6N\&#1043;&#1083;&#1072;&#1074;&#1072;%203%20&#1055;&#1088;&#1086;&#1075;&#1088;&#1072;&#1084;&#1080;&#1088;&#1072;&#1085;&#1077;%20-%20&#1055;&#1088;&#1080;&#1083;&#1086;&#1078;&#1077;&#1085;&#1080;&#1103;\3.07._&#1044;&#1086;&#1082;&#1083;&#1072;&#1076;%20&#1079;&#1072;%20&#1080;&#1079;&#1074;&#1098;&#1088;&#1096;&#1077;&#1085;&#1072;%20&#1086;&#1094;&#1077;&#1085;&#1082;&#1072;%20&#1085;&#1072;%20&#1087;&#1088;&#1086;&#1077;&#1082;&#1090;&#1085;&#1086;%20&#1087;&#1088;&#1077;&#1076;&#1083;&#1086;&#1078;&#1077;&#1085;&#1080;&#1077;.docx" TargetMode="External"/><Relationship Id="rId136" Type="http://schemas.openxmlformats.org/officeDocument/2006/relationships/hyperlink" Target="file:///C:\Users\Ppavlova\Desktop\PM%202014%20-%202020\&#1043;&#1083;&#1072;&#1074;&#1072;%203%20&#1055;&#1088;&#1086;&#1075;&#1088;&#1072;&#1084;&#1080;&#1088;&#1072;&#1085;&#1077;%20-%20&#1055;&#1088;&#1080;&#1083;&#1086;&#1078;&#1077;&#1085;&#1080;&#1103;\3.08._&#1050;&#1086;&#1085;&#1090;&#1088;&#1086;&#1083;&#1077;&#1085;%20&#1083;&#1080;&#1089;&#1090;%20&#1079;&#1072;%20&#1080;&#1079;&#1074;&#1098;&#1088;&#1096;&#1077;&#1085;&#1072;%20&#1087;&#1088;&#1086;&#1074;&#1077;&#1088;&#1082;&#1072;%20&#1074;%20&#1048;&#1057;&#1059;&#1053;%20&#1079;&#1072;%20&#1083;&#1080;&#1087;&#1089;&#1072;%20&#1085;&#1072;%20&#1076;&#1074;&#1086;&#1081;&#1085;&#1086;%20&#1092;&#1080;&#1085;&#1072;&#1085;&#1089;&#1080;&#1088;&#1072;&#1085;&#1077;.doc" TargetMode="External"/><Relationship Id="rId157" Type="http://schemas.openxmlformats.org/officeDocument/2006/relationships/hyperlink" Target="file:///C:\Users\Sgotzov\AppData\Local\Microsoft\Windows\INetCache\Content.Outlook\0QLPQ679\&#1043;&#1083;&#1072;&#1074;&#1072;%203%20&#1055;&#1088;&#1086;&#1075;&#1088;&#1072;&#1084;&#1080;&#1088;&#1072;&#1085;&#1077;%20-%20&#1055;&#1088;&#1080;&#1083;&#1086;&#1078;&#1077;&#1085;&#1080;&#1103;\3.14._&#1050;&#1086;&#1085;&#1090;&#1088;&#1086;&#1083;&#1077;&#1085;%20&#1083;&#1080;&#1089;&#1090;%20&#1079;&#1072;%20&#1087;&#1088;&#1086;&#1074;&#1077;&#1088;&#1082;&#1072;%20&#1085;&#1072;%20&#1087;&#1088;&#1080;&#1083;&#1086;&#1078;&#1077;&#1085;&#1080;&#1090;&#1077;%20&#1076;&#1086;&#1082;&#1091;&#1084;&#1077;&#1085;&#1090;&#1080;%20&#1074;%20&#1048;&#1057;&#1059;&#1053;%202020.docx" TargetMode="External"/><Relationship Id="rId178" Type="http://schemas.openxmlformats.org/officeDocument/2006/relationships/hyperlink" Target="file:///C:\Users\Ppavlova\Desktop\PM%202014%20-%202020\&#1043;&#1083;&#1072;&#1074;&#1072;%205%20&#1060;&#1080;&#1085;&#1072;&#1085;&#1089;&#1086;&#1074;&#1086;%20&#1091;&#1087;&#1088;&#1072;&#1074;&#1083;&#1077;&#1085;&#1080;&#1077;%20-%20&#1055;&#1088;&#1080;&#1083;&#1086;&#1078;&#1077;&#1085;&#1080;&#1103;\5.05._&#1050;&#1086;&#1085;&#1090;&#1088;&#1086;&#1083;&#1077;&#1085;%20&#1083;&#1080;&#1089;&#1090;%20&#1079;&#1072;%20&#1074;&#1077;&#1088;&#1080;&#1092;&#1080;&#1094;&#1080;&#1088;&#1072;&#1085;&#1077;%20&#1085;&#1072;%20&#1088;&#1072;&#1079;&#1093;&#1086;&#1076;&#1080;&#1090;&#1077;%20&#1087;&#1088;&#1080;%20&#1080;&#1079;&#1087;&#1098;&#1083;&#1085;&#1077;&#1085;&#1080;&#1077;%20&#1085;&#1072;%20&#1087;&#1088;&#1086;&#1077;&#1082;&#1090;&#1080;%20&#1087;&#1086;%20&#1087;&#1088;&#1080;&#1086;&#1088;&#1080;&#1090;&#1077;&#1090;&#1085;&#1072;%20&#1086;&#1089;%20&#1058;&#1055;%20&#1089;%20&#1073;&#1077;&#1085;&#1077;&#1092;&#1080;&#1094;&#1080;&#1077;&#1085;&#1090;%20&#1059;&#1054;.doc" TargetMode="External"/><Relationship Id="rId301" Type="http://schemas.openxmlformats.org/officeDocument/2006/relationships/hyperlink" Target="file:///C:\Users\Ppavlova\Desktop\PM%202014%20-%202020\&#1043;&#1083;&#1072;&#1074;&#1072;%208%20&#1059;&#1087;&#1088;&#1072;&#1074;&#1083;&#1077;&#1085;&#1080;&#1077;%20&#1085;&#1072;%20&#1088;&#1080;&#1089;&#1082;&#1072;%20-%20&#1055;&#1088;&#1080;&#1083;&#1086;&#1078;&#1077;&#1085;&#1080;&#1103;\8.02a._&#1056;&#1080;&#1089;&#1082;%20&#1074;&#1089;&#1077;&#1083;&#1077;&#1085;&#1072;.docx" TargetMode="External"/><Relationship Id="rId322" Type="http://schemas.openxmlformats.org/officeDocument/2006/relationships/hyperlink" Target="file:///C:\Users\Ppavlova\Desktop\PM%202014%20-%202020\&#1043;&#1083;&#1072;&#1074;&#1072;%209%20&#1052;&#1086;&#1085;&#1080;&#1090;&#1086;&#1088;&#1080;&#1085;&#1075;%20-%20&#1055;&#1088;&#1080;&#1083;&#1086;&#1078;&#1077;&#1085;&#1080;&#1103;\9.02._&#1050;&#1086;&#1085;&#1090;&#1088;&#1086;&#1083;&#1077;&#1085;%20&#1083;&#1080;&#1089;&#1090;%20-%20&#1044;&#1086;&#1082;&#1083;&#1072;&#1076;%20&#1079;&#1072;%20&#1080;&#1079;&#1087;&#1098;&#1083;&#1085;&#1077;&#1085;&#1080;&#1077;%20&#1085;&#1072;%20&#1054;&#1055;&#1058;&#1058;&#1048;.doc" TargetMode="External"/><Relationship Id="rId61" Type="http://schemas.openxmlformats.org/officeDocument/2006/relationships/hyperlink" Target="file:///C:\Users\Ppavlova\Desktop\PM%202014%20-%202020\&#1043;&#1083;&#1072;&#1074;&#1072;%205%20&#1060;&#1080;&#1085;&#1072;&#1085;&#1089;&#1086;&#1074;&#1086;%20&#1091;&#1087;&#1088;&#1072;&#1074;&#1083;&#1077;&#1085;&#1080;&#1077;%20-%20&#1055;&#1088;&#1080;&#1083;&#1086;&#1078;&#1077;&#1085;&#1080;&#1103;\5.01.3._&#1048;&#1089;&#1082;&#1072;&#1085;&#1077;%20&#1079;&#1072;%20&#1086;&#1082;&#1086;&#1085;&#1095;&#1072;&#1090;&#1077;&#1083;&#1085;&#1086;%20&#1087;&#1083;&#1072;&#1097;&#1072;&#1085;&#1077;%20&#1086;&#1090;%20&#1041;&#1077;&#1085;&#1077;&#1092;&#1080;&#1094;&#1080;&#1077;&#1085;&#1090;&#1080;%20&#1087;&#1086;%20&#1054;&#1055;&#1058;&#1058;&#1048;.xlsx" TargetMode="External"/><Relationship Id="rId82" Type="http://schemas.openxmlformats.org/officeDocument/2006/relationships/header" Target="header1.xml"/><Relationship Id="rId199" Type="http://schemas.openxmlformats.org/officeDocument/2006/relationships/hyperlink" Target="file:///C:\Users\Ppavlova\Desktop\PM%202014%20-%202020\&#1043;&#1083;&#1072;&#1074;&#1072;%205%20&#1060;&#1080;&#1085;&#1072;&#1085;&#1089;&#1086;&#1074;&#1086;%20&#1091;&#1087;&#1088;&#1072;&#1074;&#1083;&#1077;&#1085;&#1080;&#1077;%20-%20&#1055;&#1088;&#1080;&#1083;&#1086;&#1078;&#1077;&#1085;&#1080;&#1103;\5.04.1._&#1050;&#1086;&#1085;&#1090;&#1088;&#1086;&#1083;&#1077;&#1085;%20&#1083;&#1080;&#1089;&#1090;%20-%20&#1044;&#1080;&#1088;&#1077;&#1082;&#1090;&#1085;&#1080;%20&#1087;&#1083;&#1072;&#1097;&#1072;&#1085;&#1080;&#1103;%20&#1082;&#1098;&#1084;%20&#1080;&#1079;&#1087;&#1098;&#1083;&#1085;&#1080;&#1090;&#1077;&#1083;&#1080;%20&#1087;&#1086;%20&#1087;&#1088;&#1086;&#1077;&#1082;&#1090;&#1080;&#166;&#1073;&#1102;&#1076;&#1078;&#1077;&#1090;&#1085;&#1080;%20&#1083;&#1080;&#1085;&#1080;&#1080;%20&#1079;&#1072;%20&#1074;&#1098;&#1085;&#1096;&#1085;&#1080;%20&#1041;&#1077;&#1085;&#1077;&#1092;&#1080;&#1094;&#1080;&#1077;&#1085;&#1090;&#1080;.doc" TargetMode="External"/><Relationship Id="rId203" Type="http://schemas.openxmlformats.org/officeDocument/2006/relationships/hyperlink" Target="file:///C:\Users\Ppavlova\Desktop\PM%202014%20-%202020\&#1043;&#1083;&#1072;&#1074;&#1072;%205%20&#1060;&#1080;&#1085;&#1072;&#1085;&#1089;&#1086;&#1074;&#1086;%20&#1091;&#1087;&#1088;&#1072;&#1074;&#1083;&#1077;&#1085;&#1080;&#1077;%20-%20&#1055;&#1088;&#1080;&#1083;&#1086;&#1078;&#1077;&#1085;&#1080;&#1103;\5.04.2._&#1050;&#1086;&#1085;&#1090;&#1088;&#1086;&#1083;&#1077;&#1085;%20&#1083;&#1080;&#1089;&#1090;%20-%20&#1044;&#1080;&#1088;&#1077;&#1082;&#1090;&#1085;&#1080;%20&#1087;&#1083;&#1072;&#1097;&#1072;&#1085;&#1080;&#1103;%20&#1082;&#1098;&#1084;%20&#1080;&#1079;&#1087;&#1098;&#1083;&#1085;&#1080;&#1090;&#1077;&#1083;&#1080;%20&#1087;&#1086;%20&#1087;&#1088;&#1086;&#1077;&#1082;&#1090;&#1080;&#166;&#1073;&#1102;&#1076;&#1078;&#1077;&#1090;&#1085;&#1072;%20&#1083;&#1080;&#1085;&#1080;&#1103;%20&#1089;%20&#1041;&#1077;&#1085;&#1077;&#1092;&#1080;&#1094;&#1080;&#1077;&#1085;&#1090;%20&#1059;&#1054;.doc" TargetMode="External"/><Relationship Id="rId19" Type="http://schemas.openxmlformats.org/officeDocument/2006/relationships/hyperlink" Target="http://www.eufunds.bg/images/files/DNF3_23.12.2016.pdf" TargetMode="External"/><Relationship Id="rId224" Type="http://schemas.openxmlformats.org/officeDocument/2006/relationships/hyperlink" Target="file:///C:\Users\Ppavlova\Desktop\PM%202014%20-%202020\&#1043;&#1083;&#1072;&#1074;&#1072;%205%20&#1060;&#1080;&#1085;&#1072;&#1085;&#1089;&#1086;&#1074;&#1086;%20&#1091;&#1087;&#1088;&#1072;&#1074;&#1083;&#1077;&#1085;&#1080;&#1077;%20-%20&#1055;&#1088;&#1080;&#1083;&#1086;&#1078;&#1077;&#1085;&#1080;&#1103;\5.14._&#1059;&#1074;&#1077;&#1076;&#1086;&#1084;&#1080;&#1090;&#1077;&#1083;&#1085;&#1086;%20&#1087;&#1080;&#1089;&#1084;&#1086;%20&#1079;&#1072;%20&#1074;&#1098;&#1079;&#1089;&#1090;&#1072;&#1085;&#1086;&#1074;&#1077;&#1085;&#1080;%20(&#1087;&#1088;&#1080;&#1093;&#1074;&#1072;&#1085;&#1072;&#1090;&#1080;)%20&#1089;&#1091;&#1084;&#1080;%20&#1087;&#1086;%20&#1088;&#1077;&#1075;&#1080;&#1089;&#1090;&#1088;&#1080;&#1088;&#1072;&#1085;&#1080;%20&#1085;&#1077;&#1088;&#1077;&#1076;&#1085;&#1086;&#1089;&#1090;&#1080;.doc" TargetMode="External"/><Relationship Id="rId245" Type="http://schemas.openxmlformats.org/officeDocument/2006/relationships/hyperlink" Target="file:///C:\Users\Ppavlova\Desktop\PM%202014%20-%202020\&#1043;&#1083;&#1072;&#1074;&#1072;%205%20&#1060;&#1080;&#1085;&#1072;&#1085;&#1089;&#1086;&#1074;&#1086;%20&#1091;&#1087;&#1088;&#1072;&#1074;&#1083;&#1077;&#1085;&#1080;&#1077;%20-%20&#1055;&#1088;&#1080;&#1083;&#1086;&#1078;&#1077;&#1085;&#1080;&#1103;\5.23._&#1044;&#1077;&#1082;&#1083;&#1072;&#1088;&#1072;&#1094;&#1080;&#1103;%20&#1074;%20&#1080;&#1079;&#1087;&#1098;&#1083;&#1085;&#1077;&#1085;&#1080;&#1077;%20&#1085;&#1072;%20&#1090;.%2043.4%20&#1086;&#1090;%20&#1044;&#1044;&#1057;%20&#8470;%204_2016.doc" TargetMode="External"/><Relationship Id="rId266" Type="http://schemas.openxmlformats.org/officeDocument/2006/relationships/hyperlink" Target="file:///\\MTITC-FP03\OPTransport\public\DGIvanova\PM%202014-2020\Actual%20v_4.2%2016.12.2019\&#1043;&#1083;&#1072;&#1074;&#1072;%207%20&#1048;&#1079;&#1087;&#1098;&#1083;&#1085;&#1077;&#1085;&#1080;&#1077;%20-%20&#1055;&#1088;&#1080;&#1083;&#1086;&#1078;&#1077;&#1085;&#1080;&#1103;\7.02._&#1043;&#1086;&#1076;&#1080;&#1096;&#1077;&#1085;%20&#1076;&#1086;&#1082;&#1083;&#1072;&#1076;%20&#1079;&#1072;%20&#1085;&#1072;&#1087;&#1088;&#1077;&#1076;&#1098;&#1082;&#1072;%20&#1087;&#1086;%20&#1087;&#1088;&#1086;&#1077;&#1082;&#1090;.doc" TargetMode="External"/><Relationship Id="rId287" Type="http://schemas.openxmlformats.org/officeDocument/2006/relationships/hyperlink" Target="file:///\\MTITC-FP03\OPTransport\public\DGIvanova\PM%202014-2020\Actual%20v_4.2%2016.12.2019\&#1043;&#1083;&#1072;&#1074;&#1072;%207%20&#1048;&#1079;&#1087;&#1098;&#1083;&#1085;&#1077;&#1085;&#1080;&#1077;%20-%20&#1055;&#1088;&#1080;&#1083;&#1086;&#1078;&#1077;&#1085;&#1080;&#1103;\7.07._&#1044;&#1086;&#1082;&#1083;&#1072;&#1076;%20&#1086;&#1090;%20&#1087;&#1088;&#1086;&#1074;&#1077;&#1088;&#1082;&#1072;%20&#1085;&#1072;%20&#1084;&#1103;&#1089;&#1090;&#1086;%20&#1079;&#1072;%20&#1076;&#1098;&#1083;&#1075;&#1086;&#1090;&#1088;&#1072;&#1081;&#1085;&#1086;&#1089;&#1090;%20&#1080;&#1079;&#1074;&#1098;&#1088;&#1096;&#1077;&#1085;&#1072;%20&#1086;&#1090;%20&#1059;&#1054;%20&#1085;&#1072;%20&#1054;&#1055;&#1058;&#1058;&#1048;.doc" TargetMode="External"/><Relationship Id="rId30" Type="http://schemas.openxmlformats.org/officeDocument/2006/relationships/footer" Target="footer1.xml"/><Relationship Id="rId105" Type="http://schemas.openxmlformats.org/officeDocument/2006/relationships/diagramColors" Target="diagrams/colors4.xml"/><Relationship Id="rId126" Type="http://schemas.openxmlformats.org/officeDocument/2006/relationships/hyperlink" Target="file:///C:\Users\Ppavlova\Desktop\PM%202014%20-%202020\&#1043;&#1083;&#1072;&#1074;&#1072;%202%20&#1044;&#1098;&#1088;&#1078;&#1072;&#1074;&#1085;&#1080;%20&#1087;&#1086;&#1084;&#1086;&#1097;&#1080;%20-%20&#1055;&#1088;&#1080;&#1083;&#1086;&#1078;&#1077;&#1085;&#1080;&#1103;\2.02._&#1050;&#1086;&#1085;&#1090;&#1088;&#1086;&#1083;&#1077;&#1085;%20&#1083;&#1080;&#1089;&#1090;%20&#1079;&#1072;%20&#1087;&#1088;&#1077;&#1076;&#1074;&#1072;&#1088;&#1080;&#1090;&#1077;&#1083;&#1085;&#1072;%20&#1086;&#1094;&#1077;&#1085;&#1082;&#1072;%20&#1079;&#1072;%20%20&#1086;&#1087;&#1088;&#1077;&#1076;&#1077;&#1083;&#1103;&#1085;&#1077;%20&#1085;&#1072;&#1083;&#1080;&#1095;&#1080;&#1077;&#1090;&#1086;%20&#1085;&#1072;%20&#1076;&#1098;&#1088;&#1078;&#1072;&#1074;&#1085;&#1072;%20&#1087;&#1086;&#1084;&#1086;&#1097;%20-%20&#1048;&#1079;&#1082;&#1083;&#1102;&#1095;&#1077;&#1085;&#1080;&#1103;.doc" TargetMode="External"/><Relationship Id="rId147" Type="http://schemas.openxmlformats.org/officeDocument/2006/relationships/hyperlink" Target="file:///C:\Users\Ppavlova\Desktop\PM%202014%20-%202020\&#1043;&#1083;&#1072;&#1074;&#1072;%203%20&#1055;&#1088;&#1086;&#1075;&#1088;&#1072;&#1084;&#1080;&#1088;&#1072;&#1085;&#1077;%20-%20&#1055;&#1088;&#1080;&#1083;&#1086;&#1078;&#1077;&#1085;&#1080;&#1103;\3.06.1._&#1054;&#1094;&#1077;&#1085;&#1080;&#1090;&#1077;&#1083;&#1085;&#1072;%20&#1090;&#1072;&#1073;&#1083;&#1080;&#1094;&#1072;%20&#1079;&#1072;%20&#1080;&#1079;&#1074;&#1098;&#1088;&#1096;&#1077;&#1085;&#1072;%20&#1086;&#1094;&#1077;&#1085;&#1082;&#1072;%20&#1085;&#1072;%20%20&#1087;&#1088;&#1086;&#1077;&#1082;&#1090;&#1085;&#1080;%20&#1087;&#1088;&#1077;&#1076;&#1083;&#1086;&#1078;&#1077;&#1085;&#1080;&#1103;%20&#1079;&#1072;%20&#1080;&#1085;&#1074;&#1077;&#1089;&#1090;&#1080;&#1094;&#1080;&#1086;&#1085;&#1085;&#1080;&#166;&#1080;&#1085;&#1092;&#1088;&#1072;&#1089;&#1090;&#1088;&#1091;&#1082;&#1090;&#1091;&#1088;&#1085;&#1080;%20&#1087;&#1088;&#1086;&#1077;&#1082;&#1090;&#1080;.docx" TargetMode="External"/><Relationship Id="rId168" Type="http://schemas.openxmlformats.org/officeDocument/2006/relationships/hyperlink" Target="file:///C:\Users\Ppavlova\Desktop\PM%202014%20-%202020\&#1043;&#1083;&#1072;&#1074;&#1072;%203%20&#1055;&#1088;&#1086;&#1075;&#1088;&#1072;&#1084;&#1080;&#1088;&#1072;&#1085;&#1077;%20-%20&#1055;&#1088;&#1080;&#1083;&#1086;&#1078;&#1077;&#1085;&#1080;&#1103;\3.11.2._&#1047;&#1072;&#1087;&#1086;&#1074;&#1077;&#1076;%20&#1079;&#1072;%20&#1041;&#1060;&#1055;.doc" TargetMode="External"/><Relationship Id="rId312" Type="http://schemas.openxmlformats.org/officeDocument/2006/relationships/image" Target="media/image9.png"/><Relationship Id="rId333" Type="http://schemas.openxmlformats.org/officeDocument/2006/relationships/hyperlink" Target="file:///C:\Users\Schobanov\Desktop\Rabotna\&#1053;&#1072;&#1088;&#1098;&#1095;&#1085;&#1080;&#1082;\&#1053;&#1072;&#1088;&#1098;&#1095;&#1085;&#1080;&#1082;%204.1\&#1043;&#1083;&#1072;&#1074;&#1072;%207%20&#1048;&#1079;&#1087;&#1098;&#1083;&#1085;&#1077;&#1085;&#1080;&#1077;%20-%20&#1055;&#1088;&#1080;&#1083;&#1086;&#1078;&#1077;&#1085;&#1080;&#1103;\7.10._&#1056;&#1077;&#1075;&#1080;&#1089;&#1090;&#1098;&#1088;%20&#1085;&#1072;%20&#1087;&#1088;&#1086;&#1074;&#1077;&#1088;&#1082;&#1080;&#1090;&#1077;%20&#1085;&#1072;%20&#1084;&#1103;&#1089;&#1090;&#1086;%20&#1086;&#1090;%20&#1059;&#1054;%20&#1085;&#1072;%20&#1054;&#1055;&#1058;&#1058;&#1048;%20&#1079;&#1072;%20&#8230;&#8230;.%20&#1075;&#1086;&#1076;&#1080;&#1085;&#1072;.doc"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eufunds.bg/document/4354" TargetMode="External"/><Relationship Id="rId2" Type="http://schemas.openxmlformats.org/officeDocument/2006/relationships/hyperlink" Target="http://www.eufunds.bg/document/4354" TargetMode="External"/><Relationship Id="rId1" Type="http://schemas.openxmlformats.org/officeDocument/2006/relationships/hyperlink" Target="http://www.eufunds.bg/document/1064" TargetMode="External"/><Relationship Id="rId6" Type="http://schemas.openxmlformats.org/officeDocument/2006/relationships/hyperlink" Target="http://www.eufunds.bg/document/4354" TargetMode="External"/><Relationship Id="rId5" Type="http://schemas.openxmlformats.org/officeDocument/2006/relationships/hyperlink" Target="http://eur-lex.europa.eu/LexUriServ/LexUriServ.do?uri=COM:2011:0144:FIN:BG:PDF" TargetMode="External"/><Relationship Id="rId4" Type="http://schemas.openxmlformats.org/officeDocument/2006/relationships/hyperlink" Target="http://www.moew.government.bg/?show=19" TargetMode="External"/></Relationships>
</file>

<file path=word/diagrams/colors1.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33938B-4F21-4045-99B9-9913E70C63B5}" type="doc">
      <dgm:prSet loTypeId="urn:microsoft.com/office/officeart/2005/8/layout/cycle3" loCatId="cycle" qsTypeId="urn:microsoft.com/office/officeart/2005/8/quickstyle/simple1#2" qsCatId="simple" csTypeId="urn:microsoft.com/office/officeart/2005/8/colors/accent1_2#2" csCatId="accent1" phldr="1"/>
      <dgm:spPr/>
      <dgm:t>
        <a:bodyPr/>
        <a:lstStyle/>
        <a:p>
          <a:endParaRPr lang="bg-BG"/>
        </a:p>
      </dgm:t>
    </dgm:pt>
    <dgm:pt modelId="{756A8FD5-D6D9-4809-825F-982B2BD13B72}">
      <dgm:prSet phldrT="[Text]" custT="1"/>
      <dgm:spPr>
        <a:xfrm>
          <a:off x="1944029" y="-15277"/>
          <a:ext cx="1421014" cy="71050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bg-BG" sz="1200" baseline="0" dirty="0">
              <a:solidFill>
                <a:sysClr val="window" lastClr="FFFFFF"/>
              </a:solidFill>
              <a:latin typeface="Calibri"/>
              <a:ea typeface="+mn-ea"/>
              <a:cs typeface="+mn-cs"/>
            </a:rPr>
            <a:t>Необходимост от изменение на ОПТТИ </a:t>
          </a:r>
        </a:p>
      </dgm:t>
    </dgm:pt>
    <dgm:pt modelId="{40F050F8-1903-4359-AAE0-594FB1F0882C}" type="parTrans" cxnId="{FBE66F2C-F448-416D-94C0-5E267B62C122}">
      <dgm:prSet/>
      <dgm:spPr/>
      <dgm:t>
        <a:bodyPr/>
        <a:lstStyle/>
        <a:p>
          <a:endParaRPr lang="bg-BG"/>
        </a:p>
      </dgm:t>
    </dgm:pt>
    <dgm:pt modelId="{B1B41E58-B6BD-4215-A10E-DE920D89FFD0}" type="sibTrans" cxnId="{FBE66F2C-F448-416D-94C0-5E267B62C122}">
      <dgm:prSet/>
      <dgm:spPr>
        <a:xfrm>
          <a:off x="323904" y="-49335"/>
          <a:ext cx="4661264" cy="4661264"/>
        </a:xfrm>
        <a:solidFill>
          <a:srgbClr val="4F81BD">
            <a:tint val="40000"/>
            <a:hueOff val="0"/>
            <a:satOff val="0"/>
            <a:lumOff val="0"/>
            <a:alphaOff val="0"/>
          </a:srgbClr>
        </a:solidFill>
        <a:ln>
          <a:noFill/>
        </a:ln>
        <a:effectLst/>
      </dgm:spPr>
      <dgm:t>
        <a:bodyPr/>
        <a:lstStyle/>
        <a:p>
          <a:endParaRPr lang="bg-BG"/>
        </a:p>
      </dgm:t>
    </dgm:pt>
    <dgm:pt modelId="{DF19B0BF-B19A-43E9-A402-CAC0EBAE52DA}">
      <dgm:prSet phldrT="[Text]" custT="1"/>
      <dgm:spPr>
        <a:xfrm>
          <a:off x="2981203" y="3633784"/>
          <a:ext cx="1421014" cy="92334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sz="1000" baseline="0" dirty="0">
              <a:solidFill>
                <a:sysClr val="window" lastClr="FFFFFF"/>
              </a:solidFill>
              <a:latin typeface="Calibri"/>
              <a:ea typeface="+mn-ea"/>
              <a:cs typeface="+mn-cs"/>
            </a:rPr>
            <a:t>Процедура по преценяване на необходимостта от извършване на екологична оценка</a:t>
          </a:r>
        </a:p>
      </dgm:t>
    </dgm:pt>
    <dgm:pt modelId="{7A0F8885-30AA-4552-BB03-013A885B8F04}" type="parTrans" cxnId="{4FD0760D-1C4D-45F5-80BE-9FC8D7BB8E93}">
      <dgm:prSet/>
      <dgm:spPr/>
      <dgm:t>
        <a:bodyPr/>
        <a:lstStyle/>
        <a:p>
          <a:endParaRPr lang="bg-BG"/>
        </a:p>
      </dgm:t>
    </dgm:pt>
    <dgm:pt modelId="{CBE584E2-186B-4228-9FA9-12DA8FE6A8A8}" type="sibTrans" cxnId="{4FD0760D-1C4D-45F5-80BE-9FC8D7BB8E93}">
      <dgm:prSet/>
      <dgm:spPr/>
      <dgm:t>
        <a:bodyPr/>
        <a:lstStyle/>
        <a:p>
          <a:endParaRPr lang="bg-BG"/>
        </a:p>
      </dgm:t>
    </dgm:pt>
    <dgm:pt modelId="{3C522F86-BB0C-434D-AF74-7B22F922D594}">
      <dgm:prSet phldrT="[Text]"/>
      <dgm:spPr>
        <a:xfrm>
          <a:off x="906867" y="3639982"/>
          <a:ext cx="1421014" cy="89986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dirty="0">
              <a:solidFill>
                <a:sysClr val="window" lastClr="FFFFFF"/>
              </a:solidFill>
              <a:latin typeface="Calibri"/>
              <a:ea typeface="+mn-ea"/>
              <a:cs typeface="+mn-cs"/>
            </a:rPr>
            <a:t>Официално искането за изменението на ОПТТИ се представя на ЕК от ЦКЗ </a:t>
          </a:r>
        </a:p>
      </dgm:t>
    </dgm:pt>
    <dgm:pt modelId="{A70BEC03-C521-4F26-8B3C-06BFF1B0A321}" type="parTrans" cxnId="{7EB612BC-196F-4328-85D6-7574A9A00C09}">
      <dgm:prSet/>
      <dgm:spPr/>
      <dgm:t>
        <a:bodyPr/>
        <a:lstStyle/>
        <a:p>
          <a:endParaRPr lang="bg-BG"/>
        </a:p>
      </dgm:t>
    </dgm:pt>
    <dgm:pt modelId="{9A4B7C13-E5CE-4A3A-8E26-A6C56188E504}" type="sibTrans" cxnId="{7EB612BC-196F-4328-85D6-7574A9A00C09}">
      <dgm:prSet/>
      <dgm:spPr/>
      <dgm:t>
        <a:bodyPr/>
        <a:lstStyle/>
        <a:p>
          <a:endParaRPr lang="bg-BG"/>
        </a:p>
      </dgm:t>
    </dgm:pt>
    <dgm:pt modelId="{6AC342BA-6071-4E64-A2DE-886831A0D7E4}">
      <dgm:prSet custT="1"/>
      <dgm:spPr>
        <a:xfrm>
          <a:off x="3603502" y="764821"/>
          <a:ext cx="1421014" cy="90242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bg-BG" sz="1200" baseline="0" dirty="0">
              <a:solidFill>
                <a:sysClr val="window" lastClr="FFFFFF"/>
              </a:solidFill>
              <a:latin typeface="Calibri"/>
              <a:ea typeface="+mn-ea"/>
              <a:cs typeface="+mn-cs"/>
            </a:rPr>
            <a:t>Изложение и обосновка на изменението на ОПТТИ</a:t>
          </a:r>
        </a:p>
        <a:p>
          <a:pPr defTabSz="533400">
            <a:lnSpc>
              <a:spcPct val="90000"/>
            </a:lnSpc>
            <a:spcBef>
              <a:spcPct val="0"/>
            </a:spcBef>
            <a:spcAft>
              <a:spcPct val="35000"/>
            </a:spcAft>
          </a:pPr>
          <a:endParaRPr lang="bg-BG" sz="1300" dirty="0">
            <a:solidFill>
              <a:sysClr val="window" lastClr="FFFFFF"/>
            </a:solidFill>
            <a:latin typeface="Calibri"/>
            <a:ea typeface="+mn-ea"/>
            <a:cs typeface="+mn-cs"/>
          </a:endParaRPr>
        </a:p>
      </dgm:t>
    </dgm:pt>
    <dgm:pt modelId="{4237EB4D-5E6A-45B2-9FFC-40C3AFBFCD2C}" type="parTrans" cxnId="{D01FEF33-BD85-4C09-8B5D-6EAB1037FA3C}">
      <dgm:prSet/>
      <dgm:spPr/>
      <dgm:t>
        <a:bodyPr/>
        <a:lstStyle/>
        <a:p>
          <a:endParaRPr lang="bg-BG"/>
        </a:p>
      </dgm:t>
    </dgm:pt>
    <dgm:pt modelId="{C92B6C69-86DC-4935-ABF6-A730133E3A45}" type="sibTrans" cxnId="{D01FEF33-BD85-4C09-8B5D-6EAB1037FA3C}">
      <dgm:prSet/>
      <dgm:spPr/>
      <dgm:t>
        <a:bodyPr/>
        <a:lstStyle/>
        <a:p>
          <a:endParaRPr lang="bg-BG"/>
        </a:p>
      </dgm:t>
    </dgm:pt>
    <dgm:pt modelId="{E4C20363-492F-42E5-AF78-0621B6B310C0}">
      <dgm:prSet custT="1"/>
      <dgm:spPr>
        <a:xfrm>
          <a:off x="3879965" y="2301367"/>
          <a:ext cx="1421014" cy="9489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bg-BG" sz="1200" baseline="0" dirty="0">
              <a:solidFill>
                <a:sysClr val="window" lastClr="FFFFFF"/>
              </a:solidFill>
              <a:latin typeface="Calibri"/>
              <a:ea typeface="+mn-ea"/>
              <a:cs typeface="+mn-cs"/>
            </a:rPr>
            <a:t>КН на ОПТТИ взема решение по предложението за изменението</a:t>
          </a:r>
        </a:p>
        <a:p>
          <a:pPr defTabSz="444500">
            <a:lnSpc>
              <a:spcPct val="90000"/>
            </a:lnSpc>
            <a:spcBef>
              <a:spcPct val="0"/>
            </a:spcBef>
            <a:spcAft>
              <a:spcPct val="35000"/>
            </a:spcAft>
          </a:pPr>
          <a:endParaRPr lang="bg-BG" sz="1100" dirty="0">
            <a:solidFill>
              <a:sysClr val="window" lastClr="FFFFFF"/>
            </a:solidFill>
            <a:latin typeface="Calibri"/>
            <a:ea typeface="+mn-ea"/>
            <a:cs typeface="+mn-cs"/>
          </a:endParaRPr>
        </a:p>
      </dgm:t>
    </dgm:pt>
    <dgm:pt modelId="{53F57BAF-4809-4576-863A-CA443CB2F194}" type="parTrans" cxnId="{2F76AFF8-B039-4A34-9B0F-A4CFB69D8AD2}">
      <dgm:prSet/>
      <dgm:spPr/>
      <dgm:t>
        <a:bodyPr/>
        <a:lstStyle/>
        <a:p>
          <a:endParaRPr lang="bg-BG"/>
        </a:p>
      </dgm:t>
    </dgm:pt>
    <dgm:pt modelId="{90E8A254-D283-43BF-BE7A-8D0737ECC683}" type="sibTrans" cxnId="{2F76AFF8-B039-4A34-9B0F-A4CFB69D8AD2}">
      <dgm:prSet/>
      <dgm:spPr/>
      <dgm:t>
        <a:bodyPr/>
        <a:lstStyle/>
        <a:p>
          <a:endParaRPr lang="bg-BG"/>
        </a:p>
      </dgm:t>
    </dgm:pt>
    <dgm:pt modelId="{2313AB21-DB73-460B-8236-B2A1F6DE1EBD}">
      <dgm:prSet/>
      <dgm:spPr>
        <a:xfrm>
          <a:off x="2073" y="2301372"/>
          <a:ext cx="1421014" cy="93732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dirty="0">
              <a:solidFill>
                <a:sysClr val="window" lastClr="FFFFFF"/>
              </a:solidFill>
              <a:latin typeface="Calibri"/>
              <a:ea typeface="+mn-ea"/>
              <a:cs typeface="+mn-cs"/>
            </a:rPr>
            <a:t>УО на ОПТТИ отразява или отговаря на коментарите на ЕК (в случай, че са постъпили)</a:t>
          </a:r>
        </a:p>
      </dgm:t>
    </dgm:pt>
    <dgm:pt modelId="{76CABDDE-5175-48F7-9317-8A53120A834E}" type="parTrans" cxnId="{D772AAAB-0652-4F04-9181-9846D2B391F7}">
      <dgm:prSet/>
      <dgm:spPr/>
      <dgm:t>
        <a:bodyPr/>
        <a:lstStyle/>
        <a:p>
          <a:endParaRPr lang="bg-BG"/>
        </a:p>
      </dgm:t>
    </dgm:pt>
    <dgm:pt modelId="{A012A2C2-FD56-4421-8640-B06270E72CDB}" type="sibTrans" cxnId="{D772AAAB-0652-4F04-9181-9846D2B391F7}">
      <dgm:prSet/>
      <dgm:spPr/>
      <dgm:t>
        <a:bodyPr/>
        <a:lstStyle/>
        <a:p>
          <a:endParaRPr lang="bg-BG"/>
        </a:p>
      </dgm:t>
    </dgm:pt>
    <dgm:pt modelId="{B2B77EB5-0CF1-4D5A-9C4E-DA36B83748C9}">
      <dgm:prSet custT="1"/>
      <dgm:spPr>
        <a:xfrm>
          <a:off x="284558" y="814994"/>
          <a:ext cx="1421014" cy="8580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bg-BG" sz="1200" baseline="0" dirty="0">
              <a:solidFill>
                <a:sysClr val="window" lastClr="FFFFFF"/>
              </a:solidFill>
              <a:latin typeface="Calibri"/>
              <a:ea typeface="+mn-ea"/>
              <a:cs typeface="+mn-cs"/>
            </a:rPr>
            <a:t>Получаване на становище на ЕК по искането за изменение на ОПТТИ </a:t>
          </a:r>
        </a:p>
      </dgm:t>
    </dgm:pt>
    <dgm:pt modelId="{D02D18CB-54A2-4A0D-9E3B-DA3EE347F15A}" type="parTrans" cxnId="{E090E996-965E-4409-9010-2F585C52F8AD}">
      <dgm:prSet/>
      <dgm:spPr/>
      <dgm:t>
        <a:bodyPr/>
        <a:lstStyle/>
        <a:p>
          <a:endParaRPr lang="bg-BG"/>
        </a:p>
      </dgm:t>
    </dgm:pt>
    <dgm:pt modelId="{2700043D-44E7-4BED-BAB8-13CFB50D003E}" type="sibTrans" cxnId="{E090E996-965E-4409-9010-2F585C52F8AD}">
      <dgm:prSet/>
      <dgm:spPr/>
      <dgm:t>
        <a:bodyPr/>
        <a:lstStyle/>
        <a:p>
          <a:endParaRPr lang="bg-BG"/>
        </a:p>
      </dgm:t>
    </dgm:pt>
    <dgm:pt modelId="{BD3DD240-B1C9-4B28-B6B4-B6AD191FC036}" type="pres">
      <dgm:prSet presAssocID="{8933938B-4F21-4045-99B9-9913E70C63B5}" presName="Name0" presStyleCnt="0">
        <dgm:presLayoutVars>
          <dgm:dir/>
          <dgm:resizeHandles val="exact"/>
        </dgm:presLayoutVars>
      </dgm:prSet>
      <dgm:spPr/>
      <dgm:t>
        <a:bodyPr/>
        <a:lstStyle/>
        <a:p>
          <a:endParaRPr lang="en-US"/>
        </a:p>
      </dgm:t>
    </dgm:pt>
    <dgm:pt modelId="{3C5235B3-DEC8-4563-8D07-72AFBE6A587E}" type="pres">
      <dgm:prSet presAssocID="{8933938B-4F21-4045-99B9-9913E70C63B5}" presName="cycle" presStyleCnt="0"/>
      <dgm:spPr/>
    </dgm:pt>
    <dgm:pt modelId="{3A5000D3-E199-4CBC-B7EA-BC5EFD522F99}" type="pres">
      <dgm:prSet presAssocID="{756A8FD5-D6D9-4809-825F-982B2BD13B72}" presName="nodeFirstNode" presStyleLbl="node1" presStyleIdx="0" presStyleCnt="7" custRadScaleRad="100075" custRadScaleInc="259">
        <dgm:presLayoutVars>
          <dgm:bulletEnabled val="1"/>
        </dgm:presLayoutVars>
      </dgm:prSet>
      <dgm:spPr>
        <a:prstGeom prst="roundRect">
          <a:avLst/>
        </a:prstGeom>
      </dgm:spPr>
      <dgm:t>
        <a:bodyPr/>
        <a:lstStyle/>
        <a:p>
          <a:endParaRPr lang="en-US"/>
        </a:p>
      </dgm:t>
    </dgm:pt>
    <dgm:pt modelId="{E71DBCC4-65F0-42B8-9892-4DF994710F7F}" type="pres">
      <dgm:prSet presAssocID="{B1B41E58-B6BD-4215-A10E-DE920D89FFD0}" presName="sibTransFirstNode" presStyleLbl="bgShp" presStyleIdx="0" presStyleCnt="1"/>
      <dgm:spPr>
        <a:prstGeom prst="circularArrow">
          <a:avLst>
            <a:gd name="adj1" fmla="val 5544"/>
            <a:gd name="adj2" fmla="val 330680"/>
            <a:gd name="adj3" fmla="val 14545852"/>
            <a:gd name="adj4" fmla="val 16933049"/>
            <a:gd name="adj5" fmla="val 5757"/>
          </a:avLst>
        </a:prstGeom>
      </dgm:spPr>
      <dgm:t>
        <a:bodyPr/>
        <a:lstStyle/>
        <a:p>
          <a:endParaRPr lang="en-US"/>
        </a:p>
      </dgm:t>
    </dgm:pt>
    <dgm:pt modelId="{7BA93B45-0C75-4E15-A0B7-1C8F8F85648D}" type="pres">
      <dgm:prSet presAssocID="{6AC342BA-6071-4E64-A2DE-886831A0D7E4}" presName="nodeFollowingNodes" presStyleLbl="node1" presStyleIdx="1" presStyleCnt="7" custScaleY="127012" custRadScaleRad="100656" custRadScaleInc="10706">
        <dgm:presLayoutVars>
          <dgm:bulletEnabled val="1"/>
        </dgm:presLayoutVars>
      </dgm:prSet>
      <dgm:spPr>
        <a:prstGeom prst="roundRect">
          <a:avLst/>
        </a:prstGeom>
      </dgm:spPr>
      <dgm:t>
        <a:bodyPr/>
        <a:lstStyle/>
        <a:p>
          <a:endParaRPr lang="en-US"/>
        </a:p>
      </dgm:t>
    </dgm:pt>
    <dgm:pt modelId="{4909D337-9F2C-44ED-B4D1-90FFF4E07CFE}" type="pres">
      <dgm:prSet presAssocID="{E4C20363-492F-42E5-AF78-0621B6B310C0}" presName="nodeFollowingNodes" presStyleLbl="node1" presStyleIdx="2" presStyleCnt="7" custScaleY="133557" custRadScaleRad="101868" custRadScaleInc="-159">
        <dgm:presLayoutVars>
          <dgm:bulletEnabled val="1"/>
        </dgm:presLayoutVars>
      </dgm:prSet>
      <dgm:spPr>
        <a:prstGeom prst="roundRect">
          <a:avLst/>
        </a:prstGeom>
      </dgm:spPr>
      <dgm:t>
        <a:bodyPr/>
        <a:lstStyle/>
        <a:p>
          <a:endParaRPr lang="en-US"/>
        </a:p>
      </dgm:t>
    </dgm:pt>
    <dgm:pt modelId="{DEBA11AA-6F1A-4F26-86AB-A967550F5D48}" type="pres">
      <dgm:prSet presAssocID="{DF19B0BF-B19A-43E9-A402-CAC0EBAE52DA}" presName="nodeFollowingNodes" presStyleLbl="node1" presStyleIdx="3" presStyleCnt="7" custScaleY="129956" custRadScaleRad="103212" custRadScaleInc="-10632">
        <dgm:presLayoutVars>
          <dgm:bulletEnabled val="1"/>
        </dgm:presLayoutVars>
      </dgm:prSet>
      <dgm:spPr>
        <a:prstGeom prst="roundRect">
          <a:avLst/>
        </a:prstGeom>
      </dgm:spPr>
      <dgm:t>
        <a:bodyPr/>
        <a:lstStyle/>
        <a:p>
          <a:endParaRPr lang="en-US"/>
        </a:p>
      </dgm:t>
    </dgm:pt>
    <dgm:pt modelId="{05C2A68C-8DEB-4D90-839E-EE87867804A4}" type="pres">
      <dgm:prSet presAssocID="{3C522F86-BB0C-434D-AF74-7B22F922D594}" presName="nodeFollowingNodes" presStyleLbl="node1" presStyleIdx="4" presStyleCnt="7" custScaleY="126651" custRadScaleRad="102765" custRadScaleInc="10372">
        <dgm:presLayoutVars>
          <dgm:bulletEnabled val="1"/>
        </dgm:presLayoutVars>
      </dgm:prSet>
      <dgm:spPr>
        <a:prstGeom prst="roundRect">
          <a:avLst/>
        </a:prstGeom>
      </dgm:spPr>
      <dgm:t>
        <a:bodyPr/>
        <a:lstStyle/>
        <a:p>
          <a:endParaRPr lang="en-US"/>
        </a:p>
      </dgm:t>
    </dgm:pt>
    <dgm:pt modelId="{C79FF51C-7D5A-4CCF-8142-D8A5DE9343D5}" type="pres">
      <dgm:prSet presAssocID="{2313AB21-DB73-460B-8236-B2A1F6DE1EBD}" presName="nodeFollowingNodes" presStyleLbl="node1" presStyleIdx="5" presStyleCnt="7" custScaleY="131924">
        <dgm:presLayoutVars>
          <dgm:bulletEnabled val="1"/>
        </dgm:presLayoutVars>
      </dgm:prSet>
      <dgm:spPr>
        <a:prstGeom prst="roundRect">
          <a:avLst/>
        </a:prstGeom>
      </dgm:spPr>
      <dgm:t>
        <a:bodyPr/>
        <a:lstStyle/>
        <a:p>
          <a:endParaRPr lang="en-US"/>
        </a:p>
      </dgm:t>
    </dgm:pt>
    <dgm:pt modelId="{8D59A466-F4B6-41DB-A249-AD1B0EB08CC4}" type="pres">
      <dgm:prSet presAssocID="{B2B77EB5-0CF1-4D5A-9C4E-DA36B83748C9}" presName="nodeFollowingNodes" presStyleLbl="node1" presStyleIdx="6" presStyleCnt="7" custScaleY="120762" custRadScaleRad="99540" custRadScaleInc="-11913">
        <dgm:presLayoutVars>
          <dgm:bulletEnabled val="1"/>
        </dgm:presLayoutVars>
      </dgm:prSet>
      <dgm:spPr>
        <a:prstGeom prst="roundRect">
          <a:avLst/>
        </a:prstGeom>
      </dgm:spPr>
      <dgm:t>
        <a:bodyPr/>
        <a:lstStyle/>
        <a:p>
          <a:endParaRPr lang="en-US"/>
        </a:p>
      </dgm:t>
    </dgm:pt>
  </dgm:ptLst>
  <dgm:cxnLst>
    <dgm:cxn modelId="{7EB612BC-196F-4328-85D6-7574A9A00C09}" srcId="{8933938B-4F21-4045-99B9-9913E70C63B5}" destId="{3C522F86-BB0C-434D-AF74-7B22F922D594}" srcOrd="4" destOrd="0" parTransId="{A70BEC03-C521-4F26-8B3C-06BFF1B0A321}" sibTransId="{9A4B7C13-E5CE-4A3A-8E26-A6C56188E504}"/>
    <dgm:cxn modelId="{324DB8CE-03D5-479A-808E-7B55274947FA}" type="presOf" srcId="{DF19B0BF-B19A-43E9-A402-CAC0EBAE52DA}" destId="{DEBA11AA-6F1A-4F26-86AB-A967550F5D48}" srcOrd="0" destOrd="0" presId="urn:microsoft.com/office/officeart/2005/8/layout/cycle3"/>
    <dgm:cxn modelId="{D01FEF33-BD85-4C09-8B5D-6EAB1037FA3C}" srcId="{8933938B-4F21-4045-99B9-9913E70C63B5}" destId="{6AC342BA-6071-4E64-A2DE-886831A0D7E4}" srcOrd="1" destOrd="0" parTransId="{4237EB4D-5E6A-45B2-9FFC-40C3AFBFCD2C}" sibTransId="{C92B6C69-86DC-4935-ABF6-A730133E3A45}"/>
    <dgm:cxn modelId="{E090E996-965E-4409-9010-2F585C52F8AD}" srcId="{8933938B-4F21-4045-99B9-9913E70C63B5}" destId="{B2B77EB5-0CF1-4D5A-9C4E-DA36B83748C9}" srcOrd="6" destOrd="0" parTransId="{D02D18CB-54A2-4A0D-9E3B-DA3EE347F15A}" sibTransId="{2700043D-44E7-4BED-BAB8-13CFB50D003E}"/>
    <dgm:cxn modelId="{4FD0760D-1C4D-45F5-80BE-9FC8D7BB8E93}" srcId="{8933938B-4F21-4045-99B9-9913E70C63B5}" destId="{DF19B0BF-B19A-43E9-A402-CAC0EBAE52DA}" srcOrd="3" destOrd="0" parTransId="{7A0F8885-30AA-4552-BB03-013A885B8F04}" sibTransId="{CBE584E2-186B-4228-9FA9-12DA8FE6A8A8}"/>
    <dgm:cxn modelId="{92B08C4F-FA16-476D-9E88-39F46CA33C35}" type="presOf" srcId="{8933938B-4F21-4045-99B9-9913E70C63B5}" destId="{BD3DD240-B1C9-4B28-B6B4-B6AD191FC036}" srcOrd="0" destOrd="0" presId="urn:microsoft.com/office/officeart/2005/8/layout/cycle3"/>
    <dgm:cxn modelId="{FBE66F2C-F448-416D-94C0-5E267B62C122}" srcId="{8933938B-4F21-4045-99B9-9913E70C63B5}" destId="{756A8FD5-D6D9-4809-825F-982B2BD13B72}" srcOrd="0" destOrd="0" parTransId="{40F050F8-1903-4359-AAE0-594FB1F0882C}" sibTransId="{B1B41E58-B6BD-4215-A10E-DE920D89FFD0}"/>
    <dgm:cxn modelId="{80A802A7-C485-48F0-A3C0-D98C8EB1DBDA}" type="presOf" srcId="{B1B41E58-B6BD-4215-A10E-DE920D89FFD0}" destId="{E71DBCC4-65F0-42B8-9892-4DF994710F7F}" srcOrd="0" destOrd="0" presId="urn:microsoft.com/office/officeart/2005/8/layout/cycle3"/>
    <dgm:cxn modelId="{D772AAAB-0652-4F04-9181-9846D2B391F7}" srcId="{8933938B-4F21-4045-99B9-9913E70C63B5}" destId="{2313AB21-DB73-460B-8236-B2A1F6DE1EBD}" srcOrd="5" destOrd="0" parTransId="{76CABDDE-5175-48F7-9317-8A53120A834E}" sibTransId="{A012A2C2-FD56-4421-8640-B06270E72CDB}"/>
    <dgm:cxn modelId="{BE02EF2B-4825-4D96-8E9D-F5CFA5ED9B30}" type="presOf" srcId="{2313AB21-DB73-460B-8236-B2A1F6DE1EBD}" destId="{C79FF51C-7D5A-4CCF-8142-D8A5DE9343D5}" srcOrd="0" destOrd="0" presId="urn:microsoft.com/office/officeart/2005/8/layout/cycle3"/>
    <dgm:cxn modelId="{177D7A88-E652-48E0-93F9-4413CAE3918B}" type="presOf" srcId="{B2B77EB5-0CF1-4D5A-9C4E-DA36B83748C9}" destId="{8D59A466-F4B6-41DB-A249-AD1B0EB08CC4}" srcOrd="0" destOrd="0" presId="urn:microsoft.com/office/officeart/2005/8/layout/cycle3"/>
    <dgm:cxn modelId="{E0528253-E41A-495F-A10C-03BF1EB57460}" type="presOf" srcId="{3C522F86-BB0C-434D-AF74-7B22F922D594}" destId="{05C2A68C-8DEB-4D90-839E-EE87867804A4}" srcOrd="0" destOrd="0" presId="urn:microsoft.com/office/officeart/2005/8/layout/cycle3"/>
    <dgm:cxn modelId="{AAE51AE8-7B70-4338-94D1-3B10F5D46010}" type="presOf" srcId="{756A8FD5-D6D9-4809-825F-982B2BD13B72}" destId="{3A5000D3-E199-4CBC-B7EA-BC5EFD522F99}" srcOrd="0" destOrd="0" presId="urn:microsoft.com/office/officeart/2005/8/layout/cycle3"/>
    <dgm:cxn modelId="{2F76AFF8-B039-4A34-9B0F-A4CFB69D8AD2}" srcId="{8933938B-4F21-4045-99B9-9913E70C63B5}" destId="{E4C20363-492F-42E5-AF78-0621B6B310C0}" srcOrd="2" destOrd="0" parTransId="{53F57BAF-4809-4576-863A-CA443CB2F194}" sibTransId="{90E8A254-D283-43BF-BE7A-8D0737ECC683}"/>
    <dgm:cxn modelId="{B9CA22DA-A9DE-4E13-A324-9CF2B705A050}" type="presOf" srcId="{6AC342BA-6071-4E64-A2DE-886831A0D7E4}" destId="{7BA93B45-0C75-4E15-A0B7-1C8F8F85648D}" srcOrd="0" destOrd="0" presId="urn:microsoft.com/office/officeart/2005/8/layout/cycle3"/>
    <dgm:cxn modelId="{70D7AF7E-09C6-4C74-B4E4-E4E5C0AA430D}" type="presOf" srcId="{E4C20363-492F-42E5-AF78-0621B6B310C0}" destId="{4909D337-9F2C-44ED-B4D1-90FFF4E07CFE}" srcOrd="0" destOrd="0" presId="urn:microsoft.com/office/officeart/2005/8/layout/cycle3"/>
    <dgm:cxn modelId="{BEC84FB4-FFC1-4E83-95CA-AA129308030C}" type="presParOf" srcId="{BD3DD240-B1C9-4B28-B6B4-B6AD191FC036}" destId="{3C5235B3-DEC8-4563-8D07-72AFBE6A587E}" srcOrd="0" destOrd="0" presId="urn:microsoft.com/office/officeart/2005/8/layout/cycle3"/>
    <dgm:cxn modelId="{4736C617-E5E0-4DF2-AE9F-328F53649A90}" type="presParOf" srcId="{3C5235B3-DEC8-4563-8D07-72AFBE6A587E}" destId="{3A5000D3-E199-4CBC-B7EA-BC5EFD522F99}" srcOrd="0" destOrd="0" presId="urn:microsoft.com/office/officeart/2005/8/layout/cycle3"/>
    <dgm:cxn modelId="{2B62F8EB-01E2-428C-9F12-147EEBE208F7}" type="presParOf" srcId="{3C5235B3-DEC8-4563-8D07-72AFBE6A587E}" destId="{E71DBCC4-65F0-42B8-9892-4DF994710F7F}" srcOrd="1" destOrd="0" presId="urn:microsoft.com/office/officeart/2005/8/layout/cycle3"/>
    <dgm:cxn modelId="{A7F16433-4136-4AE4-8A90-9EAB8132F0D2}" type="presParOf" srcId="{3C5235B3-DEC8-4563-8D07-72AFBE6A587E}" destId="{7BA93B45-0C75-4E15-A0B7-1C8F8F85648D}" srcOrd="2" destOrd="0" presId="urn:microsoft.com/office/officeart/2005/8/layout/cycle3"/>
    <dgm:cxn modelId="{40AB1DAA-18D1-4D6D-AB87-C40D14A6418D}" type="presParOf" srcId="{3C5235B3-DEC8-4563-8D07-72AFBE6A587E}" destId="{4909D337-9F2C-44ED-B4D1-90FFF4E07CFE}" srcOrd="3" destOrd="0" presId="urn:microsoft.com/office/officeart/2005/8/layout/cycle3"/>
    <dgm:cxn modelId="{8AED810C-29DD-4AEF-A0AD-688CC028F364}" type="presParOf" srcId="{3C5235B3-DEC8-4563-8D07-72AFBE6A587E}" destId="{DEBA11AA-6F1A-4F26-86AB-A967550F5D48}" srcOrd="4" destOrd="0" presId="urn:microsoft.com/office/officeart/2005/8/layout/cycle3"/>
    <dgm:cxn modelId="{A19BEAD9-7C0C-4F19-BF0F-0D8C72DC0EE9}" type="presParOf" srcId="{3C5235B3-DEC8-4563-8D07-72AFBE6A587E}" destId="{05C2A68C-8DEB-4D90-839E-EE87867804A4}" srcOrd="5" destOrd="0" presId="urn:microsoft.com/office/officeart/2005/8/layout/cycle3"/>
    <dgm:cxn modelId="{7771F8B7-052C-45AA-9F5E-39B3A4935869}" type="presParOf" srcId="{3C5235B3-DEC8-4563-8D07-72AFBE6A587E}" destId="{C79FF51C-7D5A-4CCF-8142-D8A5DE9343D5}" srcOrd="6" destOrd="0" presId="urn:microsoft.com/office/officeart/2005/8/layout/cycle3"/>
    <dgm:cxn modelId="{1B6190FF-CC82-4C00-9ADD-8957396CFD9E}" type="presParOf" srcId="{3C5235B3-DEC8-4563-8D07-72AFBE6A587E}" destId="{8D59A466-F4B6-41DB-A249-AD1B0EB08CC4}" srcOrd="7" destOrd="0" presId="urn:microsoft.com/office/officeart/2005/8/layout/cycle3"/>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CF1F80-7349-4DC3-AB6D-DBF0B9A9BCE1}" type="doc">
      <dgm:prSet loTypeId="urn:microsoft.com/office/officeart/2005/8/layout/vList6" loCatId="list" qsTypeId="urn:microsoft.com/office/officeart/2005/8/quickstyle/simple4" qsCatId="simple" csTypeId="urn:microsoft.com/office/officeart/2005/8/colors/colorful3" csCatId="colorful" phldr="1"/>
      <dgm:spPr/>
      <dgm:t>
        <a:bodyPr/>
        <a:lstStyle/>
        <a:p>
          <a:endParaRPr lang="en-US"/>
        </a:p>
      </dgm:t>
    </dgm:pt>
    <dgm:pt modelId="{205C7148-BAA9-46C1-9F48-95E1ED3C5A47}">
      <dgm:prSet phldrT="[Text]"/>
      <dgm:spPr>
        <a:xfrm>
          <a:off x="0" y="469"/>
          <a:ext cx="2049526" cy="591870"/>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bg-BG" dirty="0">
              <a:solidFill>
                <a:sysClr val="window" lastClr="FFFFFF"/>
              </a:solidFill>
              <a:latin typeface="Times New Roman" pitchFamily="18" charset="0"/>
              <a:ea typeface="+mn-ea"/>
              <a:cs typeface="Times New Roman" pitchFamily="18" charset="0"/>
            </a:rPr>
            <a:t>Идентифициране на нуждите</a:t>
          </a:r>
          <a:endParaRPr lang="en-US" dirty="0">
            <a:solidFill>
              <a:sysClr val="window" lastClr="FFFFFF"/>
            </a:solidFill>
            <a:latin typeface="Times New Roman" pitchFamily="18" charset="0"/>
            <a:ea typeface="+mn-ea"/>
            <a:cs typeface="Times New Roman" pitchFamily="18" charset="0"/>
          </a:endParaRPr>
        </a:p>
      </dgm:t>
    </dgm:pt>
    <dgm:pt modelId="{F74E27E7-ECF8-4F44-BD88-C96F1673EDC1}" type="parTrans" cxnId="{BAEBDD58-11F8-4504-A58C-D630834A88D9}">
      <dgm:prSet/>
      <dgm:spPr/>
      <dgm:t>
        <a:bodyPr/>
        <a:lstStyle/>
        <a:p>
          <a:endParaRPr lang="en-US"/>
        </a:p>
      </dgm:t>
    </dgm:pt>
    <dgm:pt modelId="{920DDB8A-0879-48CC-B8C7-402E6E6D1950}" type="sibTrans" cxnId="{BAEBDD58-11F8-4504-A58C-D630834A88D9}">
      <dgm:prSet/>
      <dgm:spPr/>
      <dgm:t>
        <a:bodyPr/>
        <a:lstStyle/>
        <a:p>
          <a:endParaRPr lang="en-US"/>
        </a:p>
      </dgm:t>
    </dgm:pt>
    <dgm:pt modelId="{E9CE49FE-A7A6-496B-A6D1-247F3CD4B615}">
      <dgm:prSet phldrT="[Text]"/>
      <dgm:spPr>
        <a:xfrm>
          <a:off x="2049525" y="469"/>
          <a:ext cx="3074289" cy="591870"/>
        </a:xfrm>
        <a:solidFill>
          <a:srgbClr val="9BBB59">
            <a:tint val="40000"/>
            <a:alpha val="90000"/>
            <a:hueOff val="0"/>
            <a:satOff val="0"/>
            <a:lumOff val="0"/>
            <a:alphaOff val="0"/>
          </a:srgbClr>
        </a:solidFill>
        <a:ln w="9525" cap="flat" cmpd="sng" algn="ctr">
          <a:solidFill>
            <a:srgbClr val="9BBB59">
              <a:tint val="40000"/>
              <a:alpha val="90000"/>
              <a:hueOff val="0"/>
              <a:satOff val="0"/>
              <a:lumOff val="0"/>
              <a:alphaOff val="0"/>
            </a:srgbClr>
          </a:solidFill>
          <a:prstDash val="solid"/>
        </a:ln>
        <a:effectLst/>
      </dgm:spPr>
      <dgm:t>
        <a:bodyPr/>
        <a:lstStyle/>
        <a:p>
          <a:pPr marL="442913" indent="-266700" defTabSz="666750">
            <a:lnSpc>
              <a:spcPct val="90000"/>
            </a:lnSpc>
            <a:spcBef>
              <a:spcPct val="0"/>
            </a:spcBef>
            <a:spcAft>
              <a:spcPct val="15000"/>
            </a:spcAft>
            <a:buNone/>
          </a:pPr>
          <a:r>
            <a:rPr lang="bg-BG" dirty="0">
              <a:solidFill>
                <a:sysClr val="windowText" lastClr="000000">
                  <a:hueOff val="0"/>
                  <a:satOff val="0"/>
                  <a:lumOff val="0"/>
                  <a:alphaOff val="0"/>
                </a:sysClr>
              </a:solidFill>
              <a:latin typeface="Times New Roman" pitchFamily="18" charset="0"/>
              <a:ea typeface="+mn-ea"/>
              <a:cs typeface="Times New Roman" pitchFamily="18" charset="0"/>
            </a:rPr>
            <a:t>Идентифициране на проблеми</a:t>
          </a:r>
          <a:endParaRPr lang="en-US"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8A4D409-67D1-45D7-A5B5-0EFDC5106BCD}" type="parTrans" cxnId="{A2A15365-AB2A-4263-9896-B820CA5D38A3}">
      <dgm:prSet/>
      <dgm:spPr/>
      <dgm:t>
        <a:bodyPr/>
        <a:lstStyle/>
        <a:p>
          <a:endParaRPr lang="en-US"/>
        </a:p>
      </dgm:t>
    </dgm:pt>
    <dgm:pt modelId="{B4EB417E-0A44-4207-B9CA-5B65E2537CA0}" type="sibTrans" cxnId="{A2A15365-AB2A-4263-9896-B820CA5D38A3}">
      <dgm:prSet/>
      <dgm:spPr/>
      <dgm:t>
        <a:bodyPr/>
        <a:lstStyle/>
        <a:p>
          <a:endParaRPr lang="en-US"/>
        </a:p>
      </dgm:t>
    </dgm:pt>
    <dgm:pt modelId="{60CE67F5-42F3-47B0-9C82-5FA1FA5012A0}">
      <dgm:prSet phldrT="[Text]"/>
      <dgm:spPr>
        <a:xfrm>
          <a:off x="2049525" y="651527"/>
          <a:ext cx="3074289" cy="591870"/>
        </a:xfrm>
        <a:solidFill>
          <a:srgbClr val="9BBB59">
            <a:tint val="40000"/>
            <a:alpha val="90000"/>
            <a:hueOff val="2143370"/>
            <a:satOff val="-2759"/>
            <a:lumOff val="-215"/>
            <a:alphaOff val="0"/>
          </a:srgbClr>
        </a:solidFill>
        <a:ln w="9525" cap="flat" cmpd="sng" algn="ctr">
          <a:solidFill>
            <a:srgbClr val="9BBB59">
              <a:tint val="40000"/>
              <a:alpha val="90000"/>
              <a:hueOff val="2143370"/>
              <a:satOff val="-2759"/>
              <a:lumOff val="-215"/>
              <a:alphaOff val="0"/>
            </a:srgbClr>
          </a:solidFill>
          <a:prstDash val="solid"/>
        </a:ln>
        <a:effectLst/>
      </dgm:spPr>
      <dgm:t>
        <a:bodyPr/>
        <a:lstStyle/>
        <a:p>
          <a:pPr marL="442913" marR="0" indent="-266700" defTabSz="914400" eaLnBrk="1" fontAlgn="auto" latinLnBrk="0" hangingPunct="1">
            <a:lnSpc>
              <a:spcPct val="100000"/>
            </a:lnSpc>
            <a:spcBef>
              <a:spcPts val="0"/>
            </a:spcBef>
            <a:spcAft>
              <a:spcPts val="0"/>
            </a:spcAft>
            <a:buClrTx/>
            <a:buSzTx/>
            <a:buFontTx/>
            <a:buNone/>
            <a:tabLst/>
            <a:defRPr/>
          </a:pPr>
          <a:r>
            <a:rPr lang="bg-BG" dirty="0">
              <a:solidFill>
                <a:sysClr val="windowText" lastClr="000000">
                  <a:hueOff val="0"/>
                  <a:satOff val="0"/>
                  <a:lumOff val="0"/>
                  <a:alphaOff val="0"/>
                </a:sysClr>
              </a:solidFill>
              <a:latin typeface="Times New Roman" pitchFamily="18" charset="0"/>
              <a:ea typeface="+mn-ea"/>
              <a:cs typeface="Times New Roman" pitchFamily="18" charset="0"/>
            </a:rPr>
            <a:t>Съответствие със стратегии</a:t>
          </a:r>
          <a:endParaRPr lang="en-US"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E8C3C51-98B8-41C4-8D78-8DC9325F34F0}" type="parTrans" cxnId="{58964D4B-2548-4986-8E28-35F1EDBAE572}">
      <dgm:prSet/>
      <dgm:spPr/>
      <dgm:t>
        <a:bodyPr/>
        <a:lstStyle/>
        <a:p>
          <a:endParaRPr lang="en-US"/>
        </a:p>
      </dgm:t>
    </dgm:pt>
    <dgm:pt modelId="{6E419726-0733-48B5-90A9-D56BDEE22CE1}" type="sibTrans" cxnId="{58964D4B-2548-4986-8E28-35F1EDBAE572}">
      <dgm:prSet/>
      <dgm:spPr/>
      <dgm:t>
        <a:bodyPr/>
        <a:lstStyle/>
        <a:p>
          <a:endParaRPr lang="en-US"/>
        </a:p>
      </dgm:t>
    </dgm:pt>
    <dgm:pt modelId="{66EB137A-84AE-4D2B-9ED5-F1E9095401FA}">
      <dgm:prSet phldrT="[Text]"/>
      <dgm:spPr>
        <a:xfrm>
          <a:off x="0" y="1302585"/>
          <a:ext cx="2049526" cy="591870"/>
        </a:xfrm>
        <a:gradFill rotWithShape="0">
          <a:gsLst>
            <a:gs pos="0">
              <a:srgbClr val="9BBB59">
                <a:hueOff val="4500106"/>
                <a:satOff val="-6752"/>
                <a:lumOff val="-1098"/>
                <a:alphaOff val="0"/>
                <a:shade val="51000"/>
                <a:satMod val="130000"/>
              </a:srgbClr>
            </a:gs>
            <a:gs pos="80000">
              <a:srgbClr val="9BBB59">
                <a:hueOff val="4500106"/>
                <a:satOff val="-6752"/>
                <a:lumOff val="-1098"/>
                <a:alphaOff val="0"/>
                <a:shade val="93000"/>
                <a:satMod val="130000"/>
              </a:srgbClr>
            </a:gs>
            <a:gs pos="100000">
              <a:srgbClr val="9BBB59">
                <a:hueOff val="4500106"/>
                <a:satOff val="-6752"/>
                <a:lumOff val="-1098"/>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bg-BG" i="0" dirty="0">
              <a:solidFill>
                <a:sysClr val="window" lastClr="FFFFFF"/>
              </a:solidFill>
              <a:latin typeface="Times New Roman" pitchFamily="18" charset="0"/>
              <a:ea typeface="+mn-ea"/>
              <a:cs typeface="Times New Roman" pitchFamily="18" charset="0"/>
            </a:rPr>
            <a:t>Финансиране</a:t>
          </a:r>
          <a:endParaRPr lang="en-US" i="0" dirty="0">
            <a:solidFill>
              <a:sysClr val="window" lastClr="FFFFFF"/>
            </a:solidFill>
            <a:latin typeface="Times New Roman" pitchFamily="18" charset="0"/>
            <a:ea typeface="+mn-ea"/>
            <a:cs typeface="Times New Roman" pitchFamily="18" charset="0"/>
          </a:endParaRPr>
        </a:p>
      </dgm:t>
    </dgm:pt>
    <dgm:pt modelId="{E0A6364C-2FFE-4E02-A917-71980FC166D4}" type="parTrans" cxnId="{19E44502-E738-48E8-8270-60F98D88F1E1}">
      <dgm:prSet/>
      <dgm:spPr/>
      <dgm:t>
        <a:bodyPr/>
        <a:lstStyle/>
        <a:p>
          <a:endParaRPr lang="en-US"/>
        </a:p>
      </dgm:t>
    </dgm:pt>
    <dgm:pt modelId="{2A59F98D-F07C-427D-83E3-54FAE8311748}" type="sibTrans" cxnId="{19E44502-E738-48E8-8270-60F98D88F1E1}">
      <dgm:prSet/>
      <dgm:spPr/>
      <dgm:t>
        <a:bodyPr/>
        <a:lstStyle/>
        <a:p>
          <a:endParaRPr lang="en-US"/>
        </a:p>
      </dgm:t>
    </dgm:pt>
    <dgm:pt modelId="{41F1DE28-A386-45B7-A997-B4533614B085}">
      <dgm:prSet phldrT="[Text]"/>
      <dgm:spPr>
        <a:xfrm>
          <a:off x="2049525" y="1302585"/>
          <a:ext cx="3074289" cy="591870"/>
        </a:xfrm>
        <a:solidFill>
          <a:srgbClr val="9BBB59">
            <a:tint val="40000"/>
            <a:alpha val="90000"/>
            <a:hueOff val="4286740"/>
            <a:satOff val="-5517"/>
            <a:lumOff val="-430"/>
            <a:alphaOff val="0"/>
          </a:srgbClr>
        </a:solidFill>
        <a:ln w="9525" cap="flat" cmpd="sng" algn="ctr">
          <a:solidFill>
            <a:srgbClr val="9BBB59">
              <a:tint val="40000"/>
              <a:alpha val="90000"/>
              <a:hueOff val="4286740"/>
              <a:satOff val="-5517"/>
              <a:lumOff val="-430"/>
              <a:alphaOff val="0"/>
            </a:srgbClr>
          </a:solidFill>
          <a:prstDash val="solid"/>
        </a:ln>
        <a:effectLst/>
      </dgm:spPr>
      <dgm:t>
        <a:bodyPr/>
        <a:lstStyle/>
        <a:p>
          <a:pPr marL="442913" indent="-266700"/>
          <a:r>
            <a:rPr lang="bg-BG" dirty="0">
              <a:solidFill>
                <a:sysClr val="windowText" lastClr="000000">
                  <a:hueOff val="0"/>
                  <a:satOff val="0"/>
                  <a:lumOff val="0"/>
                  <a:alphaOff val="0"/>
                </a:sysClr>
              </a:solidFill>
              <a:latin typeface="Times New Roman" pitchFamily="18" charset="0"/>
              <a:ea typeface="+mn-ea"/>
              <a:cs typeface="Times New Roman" pitchFamily="18" charset="0"/>
            </a:rPr>
            <a:t>Финансов план</a:t>
          </a:r>
          <a:endParaRPr lang="en-US"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8D30D97-A35A-408A-8C85-58F22B2C2032}" type="parTrans" cxnId="{9C4E7347-B468-4C2D-A71B-120DB480255E}">
      <dgm:prSet/>
      <dgm:spPr/>
      <dgm:t>
        <a:bodyPr/>
        <a:lstStyle/>
        <a:p>
          <a:endParaRPr lang="en-US"/>
        </a:p>
      </dgm:t>
    </dgm:pt>
    <dgm:pt modelId="{718581B1-5D40-4C8B-A56F-536284097B90}" type="sibTrans" cxnId="{9C4E7347-B468-4C2D-A71B-120DB480255E}">
      <dgm:prSet/>
      <dgm:spPr/>
      <dgm:t>
        <a:bodyPr/>
        <a:lstStyle/>
        <a:p>
          <a:endParaRPr lang="en-US"/>
        </a:p>
      </dgm:t>
    </dgm:pt>
    <dgm:pt modelId="{06A09D2C-8F74-4701-9086-C436276D88EF}">
      <dgm:prSet phldrT="[Text]"/>
      <dgm:spPr>
        <a:xfrm>
          <a:off x="0" y="1953643"/>
          <a:ext cx="2049526" cy="591870"/>
        </a:xfrm>
        <a:gradFill rotWithShape="0">
          <a:gsLst>
            <a:gs pos="0">
              <a:srgbClr val="9BBB59">
                <a:hueOff val="6750158"/>
                <a:satOff val="-10128"/>
                <a:lumOff val="-1647"/>
                <a:alphaOff val="0"/>
                <a:shade val="51000"/>
                <a:satMod val="130000"/>
              </a:srgbClr>
            </a:gs>
            <a:gs pos="80000">
              <a:srgbClr val="9BBB59">
                <a:hueOff val="6750158"/>
                <a:satOff val="-10128"/>
                <a:lumOff val="-1647"/>
                <a:alphaOff val="0"/>
                <a:shade val="93000"/>
                <a:satMod val="130000"/>
              </a:srgbClr>
            </a:gs>
            <a:gs pos="100000">
              <a:srgbClr val="9BBB59">
                <a:hueOff val="6750158"/>
                <a:satOff val="-10128"/>
                <a:lumOff val="-1647"/>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bg-BG" i="0" dirty="0">
              <a:solidFill>
                <a:sysClr val="window" lastClr="FFFFFF"/>
              </a:solidFill>
              <a:latin typeface="Times New Roman" pitchFamily="18" charset="0"/>
              <a:ea typeface="+mn-ea"/>
              <a:cs typeface="Times New Roman" pitchFamily="18" charset="0"/>
            </a:rPr>
            <a:t>Изпълнение</a:t>
          </a:r>
          <a:r>
            <a:rPr lang="bg-BG" i="1" dirty="0">
              <a:solidFill>
                <a:sysClr val="window" lastClr="FFFFFF"/>
              </a:solidFill>
              <a:latin typeface="Calibri"/>
              <a:ea typeface="+mn-ea"/>
              <a:cs typeface="+mn-cs"/>
            </a:rPr>
            <a:t>  </a:t>
          </a:r>
          <a:endParaRPr lang="en-US" dirty="0">
            <a:solidFill>
              <a:sysClr val="window" lastClr="FFFFFF"/>
            </a:solidFill>
            <a:latin typeface="Calibri"/>
            <a:ea typeface="+mn-ea"/>
            <a:cs typeface="+mn-cs"/>
          </a:endParaRPr>
        </a:p>
      </dgm:t>
    </dgm:pt>
    <dgm:pt modelId="{F5C6D6B0-92CD-4CC7-8F43-E31C3BC038CD}" type="parTrans" cxnId="{BF09F629-CB35-4489-913A-6143E700C8E9}">
      <dgm:prSet/>
      <dgm:spPr/>
      <dgm:t>
        <a:bodyPr/>
        <a:lstStyle/>
        <a:p>
          <a:endParaRPr lang="en-US"/>
        </a:p>
      </dgm:t>
    </dgm:pt>
    <dgm:pt modelId="{B840CA32-D53F-424E-B162-EA7FEAEA6E0A}" type="sibTrans" cxnId="{BF09F629-CB35-4489-913A-6143E700C8E9}">
      <dgm:prSet/>
      <dgm:spPr/>
      <dgm:t>
        <a:bodyPr/>
        <a:lstStyle/>
        <a:p>
          <a:endParaRPr lang="en-US"/>
        </a:p>
      </dgm:t>
    </dgm:pt>
    <dgm:pt modelId="{0D0CB8FE-5560-4BA6-BED3-882A532D24BE}">
      <dgm:prSet phldrT="[Text]"/>
      <dgm:spPr>
        <a:xfrm>
          <a:off x="2049525" y="1953643"/>
          <a:ext cx="3074289" cy="591870"/>
        </a:xfrm>
        <a:solidFill>
          <a:srgbClr val="9BBB59">
            <a:tint val="40000"/>
            <a:alpha val="90000"/>
            <a:hueOff val="6430110"/>
            <a:satOff val="-8276"/>
            <a:lumOff val="-645"/>
            <a:alphaOff val="0"/>
          </a:srgbClr>
        </a:solidFill>
        <a:ln w="9525" cap="flat" cmpd="sng" algn="ctr">
          <a:solidFill>
            <a:srgbClr val="9BBB59">
              <a:tint val="40000"/>
              <a:alpha val="90000"/>
              <a:hueOff val="6430110"/>
              <a:satOff val="-8276"/>
              <a:lumOff val="-645"/>
              <a:alphaOff val="0"/>
            </a:srgbClr>
          </a:solidFill>
          <a:prstDash val="solid"/>
        </a:ln>
        <a:effectLst/>
      </dgm:spPr>
      <dgm:t>
        <a:bodyPr/>
        <a:lstStyle/>
        <a:p>
          <a:pPr marL="442913" indent="-266700"/>
          <a:r>
            <a:rPr lang="bg-BG" dirty="0">
              <a:solidFill>
                <a:sysClr val="windowText" lastClr="000000">
                  <a:hueOff val="0"/>
                  <a:satOff val="0"/>
                  <a:lumOff val="0"/>
                  <a:alphaOff val="0"/>
                </a:sysClr>
              </a:solidFill>
              <a:latin typeface="Times New Roman" pitchFamily="18" charset="0"/>
              <a:ea typeface="+mn-ea"/>
              <a:cs typeface="Times New Roman" pitchFamily="18" charset="0"/>
            </a:rPr>
            <a:t>Обществени поръчки</a:t>
          </a:r>
          <a:endParaRPr lang="en-US" dirty="0">
            <a:solidFill>
              <a:sysClr val="windowText" lastClr="000000">
                <a:hueOff val="0"/>
                <a:satOff val="0"/>
                <a:lumOff val="0"/>
                <a:alphaOff val="0"/>
              </a:sysClr>
            </a:solidFill>
            <a:latin typeface="Times New Roman" pitchFamily="18" charset="0"/>
            <a:ea typeface="+mn-ea"/>
            <a:cs typeface="Times New Roman" pitchFamily="18" charset="0"/>
          </a:endParaRPr>
        </a:p>
      </dgm:t>
      <dgm:extLst>
        <a:ext uri="{E40237B7-FDA0-4F09-8148-C483321AD2D9}">
          <dgm14:cNvPr xmlns:dgm14="http://schemas.microsoft.com/office/drawing/2010/diagram" id="0" name="" descr="Vertical Chevron List" title="SmartArt"/>
        </a:ext>
      </dgm:extLst>
    </dgm:pt>
    <dgm:pt modelId="{5C60C6AC-FDCD-47B9-BD46-BAC185FE2A4C}" type="parTrans" cxnId="{7E44002E-2A4A-4738-A150-CC5725F35C45}">
      <dgm:prSet/>
      <dgm:spPr/>
      <dgm:t>
        <a:bodyPr/>
        <a:lstStyle/>
        <a:p>
          <a:endParaRPr lang="en-US"/>
        </a:p>
      </dgm:t>
    </dgm:pt>
    <dgm:pt modelId="{358E079C-97DF-45D8-83ED-EC5A7C49BD3C}" type="sibTrans" cxnId="{7E44002E-2A4A-4738-A150-CC5725F35C45}">
      <dgm:prSet/>
      <dgm:spPr/>
      <dgm:t>
        <a:bodyPr/>
        <a:lstStyle/>
        <a:p>
          <a:endParaRPr lang="en-US"/>
        </a:p>
      </dgm:t>
    </dgm:pt>
    <dgm:pt modelId="{6987DB38-62A1-4043-9CAF-E990B0BC77A0}">
      <dgm:prSet phldrT="[Text]"/>
      <dgm:spPr>
        <a:xfrm>
          <a:off x="0" y="2604701"/>
          <a:ext cx="2049526" cy="591870"/>
        </a:xfrm>
        <a:gradFill rotWithShape="0">
          <a:gsLst>
            <a:gs pos="0">
              <a:srgbClr val="9BBB59">
                <a:hueOff val="9000211"/>
                <a:satOff val="-13504"/>
                <a:lumOff val="-2196"/>
                <a:alphaOff val="0"/>
                <a:shade val="51000"/>
                <a:satMod val="130000"/>
              </a:srgbClr>
            </a:gs>
            <a:gs pos="80000">
              <a:srgbClr val="9BBB59">
                <a:hueOff val="9000211"/>
                <a:satOff val="-13504"/>
                <a:lumOff val="-2196"/>
                <a:alphaOff val="0"/>
                <a:shade val="93000"/>
                <a:satMod val="130000"/>
              </a:srgbClr>
            </a:gs>
            <a:gs pos="100000">
              <a:srgbClr val="9BBB59">
                <a:hueOff val="9000211"/>
                <a:satOff val="-13504"/>
                <a:lumOff val="-2196"/>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bg-BG" dirty="0">
              <a:solidFill>
                <a:sysClr val="window" lastClr="FFFFFF"/>
              </a:solidFill>
              <a:latin typeface="Times New Roman" pitchFamily="18" charset="0"/>
              <a:ea typeface="+mn-ea"/>
              <a:cs typeface="Times New Roman" pitchFamily="18" charset="0"/>
            </a:rPr>
            <a:t>Оценка</a:t>
          </a:r>
          <a:endParaRPr lang="en-US" dirty="0">
            <a:solidFill>
              <a:sysClr val="window" lastClr="FFFFFF"/>
            </a:solidFill>
            <a:latin typeface="Times New Roman" pitchFamily="18" charset="0"/>
            <a:ea typeface="+mn-ea"/>
            <a:cs typeface="Times New Roman" pitchFamily="18" charset="0"/>
          </a:endParaRPr>
        </a:p>
      </dgm:t>
    </dgm:pt>
    <dgm:pt modelId="{F759B2DF-092C-44E0-8994-FF9031F2A011}" type="parTrans" cxnId="{C18C4CFD-917C-41B0-9DDB-D2842D2E8D04}">
      <dgm:prSet/>
      <dgm:spPr/>
      <dgm:t>
        <a:bodyPr/>
        <a:lstStyle/>
        <a:p>
          <a:endParaRPr lang="bg-BG"/>
        </a:p>
      </dgm:t>
    </dgm:pt>
    <dgm:pt modelId="{7173B3B8-D13D-42A9-85DD-E4627DBDE7E5}" type="sibTrans" cxnId="{C18C4CFD-917C-41B0-9DDB-D2842D2E8D04}">
      <dgm:prSet/>
      <dgm:spPr/>
      <dgm:t>
        <a:bodyPr/>
        <a:lstStyle/>
        <a:p>
          <a:endParaRPr lang="bg-BG"/>
        </a:p>
      </dgm:t>
    </dgm:pt>
    <dgm:pt modelId="{B13ABEB3-7971-4771-9766-96C74D1AE025}">
      <dgm:prSet phldrT="[Text]"/>
      <dgm:spPr>
        <a:xfrm>
          <a:off x="0" y="651527"/>
          <a:ext cx="2049526" cy="591870"/>
        </a:xfrm>
        <a:gradFill rotWithShape="0">
          <a:gsLst>
            <a:gs pos="0">
              <a:srgbClr val="9BBB59">
                <a:hueOff val="2250053"/>
                <a:satOff val="-3376"/>
                <a:lumOff val="-549"/>
                <a:alphaOff val="0"/>
                <a:shade val="51000"/>
                <a:satMod val="130000"/>
              </a:srgbClr>
            </a:gs>
            <a:gs pos="80000">
              <a:srgbClr val="9BBB59">
                <a:hueOff val="2250053"/>
                <a:satOff val="-3376"/>
                <a:lumOff val="-549"/>
                <a:alphaOff val="0"/>
                <a:shade val="93000"/>
                <a:satMod val="130000"/>
              </a:srgbClr>
            </a:gs>
            <a:gs pos="100000">
              <a:srgbClr val="9BBB59">
                <a:hueOff val="2250053"/>
                <a:satOff val="-3376"/>
                <a:lumOff val="-549"/>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marL="442913" marR="0" indent="-266700" algn="l" defTabSz="914400" eaLnBrk="1" fontAlgn="auto" latinLnBrk="0" hangingPunct="1">
            <a:lnSpc>
              <a:spcPct val="100000"/>
            </a:lnSpc>
            <a:spcBef>
              <a:spcPts val="0"/>
            </a:spcBef>
            <a:spcAft>
              <a:spcPts val="0"/>
            </a:spcAft>
            <a:buClrTx/>
            <a:buSzTx/>
            <a:buFontTx/>
            <a:buNone/>
            <a:tabLst/>
            <a:defRPr/>
          </a:pPr>
          <a:r>
            <a:rPr lang="bg-BG" dirty="0">
              <a:solidFill>
                <a:sysClr val="window" lastClr="FFFFFF"/>
              </a:solidFill>
              <a:latin typeface="Times New Roman" pitchFamily="18" charset="0"/>
              <a:ea typeface="+mn-ea"/>
              <a:cs typeface="Times New Roman" pitchFamily="18" charset="0"/>
            </a:rPr>
            <a:t>Формулиране на проектно предложение</a:t>
          </a:r>
          <a:endParaRPr lang="en-US" dirty="0">
            <a:solidFill>
              <a:sysClr val="window" lastClr="FFFFFF"/>
            </a:solidFill>
            <a:latin typeface="Times New Roman" pitchFamily="18" charset="0"/>
            <a:ea typeface="+mn-ea"/>
            <a:cs typeface="Times New Roman" pitchFamily="18" charset="0"/>
          </a:endParaRPr>
        </a:p>
      </dgm:t>
    </dgm:pt>
    <dgm:pt modelId="{8C0BFEE4-4CEC-43C5-AFC4-E409672A1318}" type="parTrans" cxnId="{99FBCEA4-238A-4B29-BFB3-4DABE4DEEAAF}">
      <dgm:prSet/>
      <dgm:spPr/>
      <dgm:t>
        <a:bodyPr/>
        <a:lstStyle/>
        <a:p>
          <a:endParaRPr lang="bg-BG"/>
        </a:p>
      </dgm:t>
    </dgm:pt>
    <dgm:pt modelId="{54BE9B80-2BD5-43C7-902A-8BC42AE530B3}" type="sibTrans" cxnId="{99FBCEA4-238A-4B29-BFB3-4DABE4DEEAAF}">
      <dgm:prSet/>
      <dgm:spPr/>
      <dgm:t>
        <a:bodyPr/>
        <a:lstStyle/>
        <a:p>
          <a:endParaRPr lang="bg-BG"/>
        </a:p>
      </dgm:t>
    </dgm:pt>
    <dgm:pt modelId="{390F8EE7-62E7-435D-BB16-94D09375F0BA}">
      <dgm:prSet phldrT="[Text]"/>
      <dgm:spPr>
        <a:xfrm>
          <a:off x="2049525" y="1302585"/>
          <a:ext cx="3074289" cy="591870"/>
        </a:xfrm>
        <a:solidFill>
          <a:srgbClr val="9BBB59">
            <a:tint val="40000"/>
            <a:alpha val="90000"/>
            <a:hueOff val="4286740"/>
            <a:satOff val="-5517"/>
            <a:lumOff val="-430"/>
            <a:alphaOff val="0"/>
          </a:srgbClr>
        </a:solidFill>
        <a:ln w="9525" cap="flat" cmpd="sng" algn="ctr">
          <a:solidFill>
            <a:srgbClr val="9BBB59">
              <a:tint val="40000"/>
              <a:alpha val="90000"/>
              <a:hueOff val="4286740"/>
              <a:satOff val="-5517"/>
              <a:lumOff val="-430"/>
              <a:alphaOff val="0"/>
            </a:srgbClr>
          </a:solidFill>
          <a:prstDash val="solid"/>
        </a:ln>
        <a:effectLst/>
      </dgm:spPr>
      <dgm:t>
        <a:bodyPr/>
        <a:lstStyle/>
        <a:p>
          <a:pPr marL="442913" indent="-266700"/>
          <a:r>
            <a:rPr lang="bg-BG" dirty="0">
              <a:solidFill>
                <a:sysClr val="windowText" lastClr="000000">
                  <a:hueOff val="0"/>
                  <a:satOff val="0"/>
                  <a:lumOff val="0"/>
                  <a:alphaOff val="0"/>
                </a:sysClr>
              </a:solidFill>
              <a:latin typeface="Times New Roman" pitchFamily="18" charset="0"/>
              <a:ea typeface="+mn-ea"/>
              <a:cs typeface="Times New Roman" pitchFamily="18" charset="0"/>
            </a:rPr>
            <a:t>Източници на финансиране</a:t>
          </a:r>
          <a:endParaRPr lang="en-US"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0E217AB-1D6D-4F82-A9E9-D853E71135C0}" type="parTrans" cxnId="{5257BBE2-56E6-479A-9030-4EFEA664AD82}">
      <dgm:prSet/>
      <dgm:spPr/>
      <dgm:t>
        <a:bodyPr/>
        <a:lstStyle/>
        <a:p>
          <a:endParaRPr lang="bg-BG"/>
        </a:p>
      </dgm:t>
    </dgm:pt>
    <dgm:pt modelId="{5329035C-0351-42F0-B76E-3A8123C8B52C}" type="sibTrans" cxnId="{5257BBE2-56E6-479A-9030-4EFEA664AD82}">
      <dgm:prSet/>
      <dgm:spPr/>
      <dgm:t>
        <a:bodyPr/>
        <a:lstStyle/>
        <a:p>
          <a:endParaRPr lang="bg-BG"/>
        </a:p>
      </dgm:t>
    </dgm:pt>
    <dgm:pt modelId="{2266BF3C-AC31-4AA6-BF65-57CC017512BE}">
      <dgm:prSet phldrT="[Text]"/>
      <dgm:spPr>
        <a:xfrm>
          <a:off x="2049525" y="651527"/>
          <a:ext cx="3074289" cy="591870"/>
        </a:xfrm>
        <a:solidFill>
          <a:srgbClr val="9BBB59">
            <a:tint val="40000"/>
            <a:alpha val="90000"/>
            <a:hueOff val="2143370"/>
            <a:satOff val="-2759"/>
            <a:lumOff val="-215"/>
            <a:alphaOff val="0"/>
          </a:srgbClr>
        </a:solidFill>
        <a:ln w="9525" cap="flat" cmpd="sng" algn="ctr">
          <a:solidFill>
            <a:srgbClr val="9BBB59">
              <a:tint val="40000"/>
              <a:alpha val="90000"/>
              <a:hueOff val="2143370"/>
              <a:satOff val="-2759"/>
              <a:lumOff val="-215"/>
              <a:alphaOff val="0"/>
            </a:srgbClr>
          </a:solidFill>
          <a:prstDash val="solid"/>
        </a:ln>
        <a:effectLst/>
      </dgm:spPr>
      <dgm:t>
        <a:bodyPr/>
        <a:lstStyle/>
        <a:p>
          <a:pPr marL="442913" marR="0" indent="-266700" defTabSz="914400" eaLnBrk="1" fontAlgn="auto" latinLnBrk="0" hangingPunct="1">
            <a:lnSpc>
              <a:spcPct val="100000"/>
            </a:lnSpc>
            <a:spcBef>
              <a:spcPts val="0"/>
            </a:spcBef>
            <a:spcAft>
              <a:spcPts val="0"/>
            </a:spcAft>
            <a:buClrTx/>
            <a:buSzTx/>
            <a:buFontTx/>
            <a:buNone/>
            <a:tabLst/>
            <a:defRPr/>
          </a:pPr>
          <a:r>
            <a:rPr lang="bg-BG" dirty="0">
              <a:solidFill>
                <a:sysClr val="windowText" lastClr="000000">
                  <a:hueOff val="0"/>
                  <a:satOff val="0"/>
                  <a:lumOff val="0"/>
                  <a:alphaOff val="0"/>
                </a:sysClr>
              </a:solidFill>
              <a:latin typeface="Times New Roman" pitchFamily="18" charset="0"/>
              <a:ea typeface="+mn-ea"/>
              <a:cs typeface="Times New Roman" pitchFamily="18" charset="0"/>
            </a:rPr>
            <a:t>ОВОС</a:t>
          </a:r>
          <a:endParaRPr lang="en-US"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E0F9E583-0765-431A-8A38-883C29F42A28}" type="parTrans" cxnId="{20D2290E-23E9-4461-B3D2-CB3AD74E14E5}">
      <dgm:prSet/>
      <dgm:spPr/>
      <dgm:t>
        <a:bodyPr/>
        <a:lstStyle/>
        <a:p>
          <a:endParaRPr lang="bg-BG"/>
        </a:p>
      </dgm:t>
    </dgm:pt>
    <dgm:pt modelId="{56811E36-84A4-4B4F-BE88-8B97FE18070F}" type="sibTrans" cxnId="{20D2290E-23E9-4461-B3D2-CB3AD74E14E5}">
      <dgm:prSet/>
      <dgm:spPr/>
      <dgm:t>
        <a:bodyPr/>
        <a:lstStyle/>
        <a:p>
          <a:endParaRPr lang="bg-BG"/>
        </a:p>
      </dgm:t>
    </dgm:pt>
    <dgm:pt modelId="{4DEF05B1-B1A7-4BB8-A55E-200EB78B64A8}">
      <dgm:prSet phldrT="[Text]"/>
      <dgm:spPr>
        <a:xfrm>
          <a:off x="2049525" y="651527"/>
          <a:ext cx="3074289" cy="591870"/>
        </a:xfrm>
        <a:solidFill>
          <a:srgbClr val="9BBB59">
            <a:tint val="40000"/>
            <a:alpha val="90000"/>
            <a:hueOff val="2143370"/>
            <a:satOff val="-2759"/>
            <a:lumOff val="-215"/>
            <a:alphaOff val="0"/>
          </a:srgbClr>
        </a:solidFill>
        <a:ln w="9525" cap="flat" cmpd="sng" algn="ctr">
          <a:solidFill>
            <a:srgbClr val="9BBB59">
              <a:tint val="40000"/>
              <a:alpha val="90000"/>
              <a:hueOff val="2143370"/>
              <a:satOff val="-2759"/>
              <a:lumOff val="-215"/>
              <a:alphaOff val="0"/>
            </a:srgbClr>
          </a:solidFill>
          <a:prstDash val="solid"/>
        </a:ln>
        <a:effectLst/>
      </dgm:spPr>
      <dgm:t>
        <a:bodyPr/>
        <a:lstStyle/>
        <a:p>
          <a:pPr marL="442913" marR="0" indent="-266700" defTabSz="914400" eaLnBrk="1" fontAlgn="auto" latinLnBrk="0" hangingPunct="1">
            <a:lnSpc>
              <a:spcPct val="100000"/>
            </a:lnSpc>
            <a:spcBef>
              <a:spcPts val="0"/>
            </a:spcBef>
            <a:spcAft>
              <a:spcPts val="0"/>
            </a:spcAft>
            <a:buClrTx/>
            <a:buSzTx/>
            <a:buFontTx/>
            <a:buNone/>
            <a:tabLst/>
            <a:defRPr/>
          </a:pPr>
          <a:r>
            <a:rPr lang="bg-BG" dirty="0">
              <a:solidFill>
                <a:sysClr val="windowText" lastClr="000000">
                  <a:hueOff val="0"/>
                  <a:satOff val="0"/>
                  <a:lumOff val="0"/>
                  <a:alphaOff val="0"/>
                </a:sysClr>
              </a:solidFill>
              <a:latin typeface="Times New Roman" pitchFamily="18" charset="0"/>
              <a:ea typeface="+mn-ea"/>
              <a:cs typeface="Times New Roman" pitchFamily="18" charset="0"/>
            </a:rPr>
            <a:t>Анализ „Разходи</a:t>
          </a:r>
          <a:r>
            <a:rPr lang="en-US" dirty="0">
              <a:solidFill>
                <a:sysClr val="windowText" lastClr="000000">
                  <a:hueOff val="0"/>
                  <a:satOff val="0"/>
                  <a:lumOff val="0"/>
                  <a:alphaOff val="0"/>
                </a:sysClr>
              </a:solidFill>
              <a:latin typeface="Times New Roman" pitchFamily="18" charset="0"/>
              <a:ea typeface="+mn-ea"/>
              <a:cs typeface="Times New Roman" pitchFamily="18" charset="0"/>
            </a:rPr>
            <a:t> </a:t>
          </a:r>
          <a:r>
            <a:rPr lang="bg-BG" dirty="0">
              <a:solidFill>
                <a:sysClr val="windowText" lastClr="000000">
                  <a:hueOff val="0"/>
                  <a:satOff val="0"/>
                  <a:lumOff val="0"/>
                  <a:alphaOff val="0"/>
                </a:sysClr>
              </a:solidFill>
              <a:latin typeface="Times New Roman" pitchFamily="18" charset="0"/>
              <a:ea typeface="+mn-ea"/>
              <a:cs typeface="Times New Roman" pitchFamily="18" charset="0"/>
            </a:rPr>
            <a:t>ползи“</a:t>
          </a:r>
          <a:endParaRPr lang="en-US"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44CC17A6-12FF-49EF-ACFD-492733DAA23F}" type="parTrans" cxnId="{E0750B28-6EF3-4DAF-88B3-D7B7694D2266}">
      <dgm:prSet/>
      <dgm:spPr/>
      <dgm:t>
        <a:bodyPr/>
        <a:lstStyle/>
        <a:p>
          <a:endParaRPr lang="bg-BG"/>
        </a:p>
      </dgm:t>
    </dgm:pt>
    <dgm:pt modelId="{89061947-7DCD-43ED-B3FB-3C6F5DA8F8AE}" type="sibTrans" cxnId="{E0750B28-6EF3-4DAF-88B3-D7B7694D2266}">
      <dgm:prSet/>
      <dgm:spPr/>
      <dgm:t>
        <a:bodyPr/>
        <a:lstStyle/>
        <a:p>
          <a:endParaRPr lang="bg-BG"/>
        </a:p>
      </dgm:t>
    </dgm:pt>
    <dgm:pt modelId="{E9BE0F1D-3D02-4ED1-9B8A-FDEEDBDE1E5E}">
      <dgm:prSet phldrT="[Text]"/>
      <dgm:spPr>
        <a:xfrm>
          <a:off x="2049525" y="1302585"/>
          <a:ext cx="3074289" cy="591870"/>
        </a:xfrm>
        <a:solidFill>
          <a:srgbClr val="9BBB59">
            <a:tint val="40000"/>
            <a:alpha val="90000"/>
            <a:hueOff val="4286740"/>
            <a:satOff val="-5517"/>
            <a:lumOff val="-430"/>
            <a:alphaOff val="0"/>
          </a:srgbClr>
        </a:solidFill>
        <a:ln w="9525" cap="flat" cmpd="sng" algn="ctr">
          <a:solidFill>
            <a:srgbClr val="9BBB59">
              <a:tint val="40000"/>
              <a:alpha val="90000"/>
              <a:hueOff val="4286740"/>
              <a:satOff val="-5517"/>
              <a:lumOff val="-430"/>
              <a:alphaOff val="0"/>
            </a:srgbClr>
          </a:solidFill>
          <a:prstDash val="solid"/>
        </a:ln>
        <a:effectLst/>
      </dgm:spPr>
      <dgm:t>
        <a:bodyPr/>
        <a:lstStyle/>
        <a:p>
          <a:pPr marL="442913" indent="-266700"/>
          <a:r>
            <a:rPr lang="bg-BG" dirty="0">
              <a:solidFill>
                <a:sysClr val="windowText" lastClr="000000">
                  <a:hueOff val="0"/>
                  <a:satOff val="0"/>
                  <a:lumOff val="0"/>
                  <a:alphaOff val="0"/>
                </a:sysClr>
              </a:solidFill>
              <a:latin typeface="Times New Roman" pitchFamily="18" charset="0"/>
              <a:ea typeface="+mn-ea"/>
              <a:cs typeface="Times New Roman" pitchFamily="18" charset="0"/>
            </a:rPr>
            <a:t>Договор за БФП</a:t>
          </a:r>
          <a:endParaRPr lang="en-US"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8E76656-B996-4164-9B65-26F555D38CF2}" type="parTrans" cxnId="{C4DF7017-CB99-4DDC-911D-33A4B589AF44}">
      <dgm:prSet/>
      <dgm:spPr/>
      <dgm:t>
        <a:bodyPr/>
        <a:lstStyle/>
        <a:p>
          <a:endParaRPr lang="bg-BG"/>
        </a:p>
      </dgm:t>
    </dgm:pt>
    <dgm:pt modelId="{5D3D5DE2-91B6-4437-BA9D-227B1D369444}" type="sibTrans" cxnId="{C4DF7017-CB99-4DDC-911D-33A4B589AF44}">
      <dgm:prSet/>
      <dgm:spPr/>
      <dgm:t>
        <a:bodyPr/>
        <a:lstStyle/>
        <a:p>
          <a:endParaRPr lang="bg-BG"/>
        </a:p>
      </dgm:t>
    </dgm:pt>
    <dgm:pt modelId="{31FDDA5E-2013-4C9A-BE76-1DB721D3FE4F}">
      <dgm:prSet phldrT="[Text]"/>
      <dgm:spPr>
        <a:xfrm>
          <a:off x="2049525" y="1953643"/>
          <a:ext cx="3074289" cy="591870"/>
        </a:xfrm>
        <a:solidFill>
          <a:srgbClr val="9BBB59">
            <a:tint val="40000"/>
            <a:alpha val="90000"/>
            <a:hueOff val="6430110"/>
            <a:satOff val="-8276"/>
            <a:lumOff val="-645"/>
            <a:alphaOff val="0"/>
          </a:srgbClr>
        </a:solidFill>
        <a:ln w="9525" cap="flat" cmpd="sng" algn="ctr">
          <a:solidFill>
            <a:srgbClr val="9BBB59">
              <a:tint val="40000"/>
              <a:alpha val="90000"/>
              <a:hueOff val="6430110"/>
              <a:satOff val="-8276"/>
              <a:lumOff val="-645"/>
              <a:alphaOff val="0"/>
            </a:srgbClr>
          </a:solidFill>
          <a:prstDash val="solid"/>
        </a:ln>
        <a:effectLst/>
      </dgm:spPr>
      <dgm:t>
        <a:bodyPr/>
        <a:lstStyle/>
        <a:p>
          <a:pPr marL="442913" indent="-266700"/>
          <a:r>
            <a:rPr lang="bg-BG" dirty="0">
              <a:solidFill>
                <a:sysClr val="windowText" lastClr="000000">
                  <a:hueOff val="0"/>
                  <a:satOff val="0"/>
                  <a:lumOff val="0"/>
                  <a:alphaOff val="0"/>
                </a:sysClr>
              </a:solidFill>
              <a:latin typeface="Times New Roman" pitchFamily="18" charset="0"/>
              <a:ea typeface="+mn-ea"/>
              <a:cs typeface="Times New Roman" pitchFamily="18" charset="0"/>
            </a:rPr>
            <a:t>Плащания</a:t>
          </a:r>
          <a:endParaRPr lang="en-US"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66C5441-1B47-4A58-B622-416FE5C2FCCF}" type="parTrans" cxnId="{B162044B-23BD-410B-B91C-95A0C8F33E6C}">
      <dgm:prSet/>
      <dgm:spPr/>
      <dgm:t>
        <a:bodyPr/>
        <a:lstStyle/>
        <a:p>
          <a:endParaRPr lang="bg-BG"/>
        </a:p>
      </dgm:t>
    </dgm:pt>
    <dgm:pt modelId="{E452E4E5-FEDB-4D8F-A72A-65789A65E3AD}" type="sibTrans" cxnId="{B162044B-23BD-410B-B91C-95A0C8F33E6C}">
      <dgm:prSet/>
      <dgm:spPr/>
      <dgm:t>
        <a:bodyPr/>
        <a:lstStyle/>
        <a:p>
          <a:endParaRPr lang="bg-BG"/>
        </a:p>
      </dgm:t>
    </dgm:pt>
    <dgm:pt modelId="{56CAE11A-489F-43D0-8C6B-638ABFA0318D}">
      <dgm:prSet phldrT="[Text]"/>
      <dgm:spPr>
        <a:xfrm>
          <a:off x="2049525" y="1953643"/>
          <a:ext cx="3074289" cy="591870"/>
        </a:xfrm>
        <a:solidFill>
          <a:srgbClr val="9BBB59">
            <a:tint val="40000"/>
            <a:alpha val="90000"/>
            <a:hueOff val="6430110"/>
            <a:satOff val="-8276"/>
            <a:lumOff val="-645"/>
            <a:alphaOff val="0"/>
          </a:srgbClr>
        </a:solidFill>
        <a:ln w="9525" cap="flat" cmpd="sng" algn="ctr">
          <a:solidFill>
            <a:srgbClr val="9BBB59">
              <a:tint val="40000"/>
              <a:alpha val="90000"/>
              <a:hueOff val="6430110"/>
              <a:satOff val="-8276"/>
              <a:lumOff val="-645"/>
              <a:alphaOff val="0"/>
            </a:srgbClr>
          </a:solidFill>
          <a:prstDash val="solid"/>
        </a:ln>
        <a:effectLst/>
      </dgm:spPr>
      <dgm:t>
        <a:bodyPr/>
        <a:lstStyle/>
        <a:p>
          <a:pPr marL="442913" indent="-266700"/>
          <a:r>
            <a:rPr lang="bg-BG" dirty="0">
              <a:solidFill>
                <a:sysClr val="windowText" lastClr="000000">
                  <a:hueOff val="0"/>
                  <a:satOff val="0"/>
                  <a:lumOff val="0"/>
                  <a:alphaOff val="0"/>
                </a:sysClr>
              </a:solidFill>
              <a:latin typeface="Times New Roman" pitchFamily="18" charset="0"/>
              <a:ea typeface="+mn-ea"/>
              <a:cs typeface="Times New Roman" pitchFamily="18" charset="0"/>
            </a:rPr>
            <a:t>Контрол по изпълнението</a:t>
          </a:r>
          <a:endParaRPr lang="en-US"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4FA1AD06-F8FF-4AAE-8341-1CC49AA523E8}" type="parTrans" cxnId="{6539567B-F0DD-4F99-891C-A3D68F7F6249}">
      <dgm:prSet/>
      <dgm:spPr/>
      <dgm:t>
        <a:bodyPr/>
        <a:lstStyle/>
        <a:p>
          <a:endParaRPr lang="bg-BG"/>
        </a:p>
      </dgm:t>
    </dgm:pt>
    <dgm:pt modelId="{F9C7043D-956B-4052-8A32-447E08BB6974}" type="sibTrans" cxnId="{6539567B-F0DD-4F99-891C-A3D68F7F6249}">
      <dgm:prSet/>
      <dgm:spPr/>
      <dgm:t>
        <a:bodyPr/>
        <a:lstStyle/>
        <a:p>
          <a:endParaRPr lang="bg-BG"/>
        </a:p>
      </dgm:t>
    </dgm:pt>
    <dgm:pt modelId="{2244DDA4-9F8E-4BE0-B8C8-2EB2E481E94F}">
      <dgm:prSet/>
      <dgm:spPr>
        <a:xfrm>
          <a:off x="2049525" y="2604701"/>
          <a:ext cx="3074289" cy="591870"/>
        </a:xfrm>
        <a:solidFill>
          <a:srgbClr val="9BBB59">
            <a:tint val="40000"/>
            <a:alpha val="90000"/>
            <a:hueOff val="8573481"/>
            <a:satOff val="-11034"/>
            <a:lumOff val="-860"/>
            <a:alphaOff val="0"/>
          </a:srgbClr>
        </a:solidFill>
        <a:ln w="9525" cap="flat" cmpd="sng" algn="ctr">
          <a:solidFill>
            <a:srgbClr val="9BBB59">
              <a:tint val="40000"/>
              <a:alpha val="90000"/>
              <a:hueOff val="8573481"/>
              <a:satOff val="-11034"/>
              <a:lumOff val="-860"/>
              <a:alphaOff val="0"/>
            </a:srgbClr>
          </a:solidFill>
          <a:prstDash val="solid"/>
        </a:ln>
        <a:effectLst/>
      </dgm:spPr>
      <dgm:t>
        <a:bodyPr/>
        <a:lstStyle/>
        <a:p>
          <a:pPr marL="442913" indent="-266700"/>
          <a:r>
            <a:rPr lang="bg-BG" dirty="0">
              <a:solidFill>
                <a:sysClr val="windowText" lastClr="000000">
                  <a:hueOff val="0"/>
                  <a:satOff val="0"/>
                  <a:lumOff val="0"/>
                  <a:alphaOff val="0"/>
                </a:sysClr>
              </a:solidFill>
              <a:latin typeface="Times New Roman" pitchFamily="18" charset="0"/>
              <a:ea typeface="+mn-ea"/>
              <a:cs typeface="Times New Roman" pitchFamily="18" charset="0"/>
            </a:rPr>
            <a:t>Окончателен доклад</a:t>
          </a:r>
          <a:endParaRPr lang="bg-BG" dirty="0">
            <a:solidFill>
              <a:sysClr val="windowText" lastClr="000000">
                <a:hueOff val="0"/>
                <a:satOff val="0"/>
                <a:lumOff val="0"/>
                <a:alphaOff val="0"/>
              </a:sysClr>
            </a:solidFill>
            <a:latin typeface="Calibri"/>
            <a:ea typeface="+mn-ea"/>
            <a:cs typeface="+mn-cs"/>
          </a:endParaRPr>
        </a:p>
      </dgm:t>
    </dgm:pt>
    <dgm:pt modelId="{EBD4D06F-BECE-41A8-8B19-9E92D05DCFDC}" type="parTrans" cxnId="{729F3A18-7E29-4A43-9285-2484CD2D88F5}">
      <dgm:prSet/>
      <dgm:spPr/>
      <dgm:t>
        <a:bodyPr/>
        <a:lstStyle/>
        <a:p>
          <a:endParaRPr lang="bg-BG"/>
        </a:p>
      </dgm:t>
    </dgm:pt>
    <dgm:pt modelId="{ED96984A-BCD5-4983-91FF-A3269466CFCA}" type="sibTrans" cxnId="{729F3A18-7E29-4A43-9285-2484CD2D88F5}">
      <dgm:prSet/>
      <dgm:spPr/>
      <dgm:t>
        <a:bodyPr/>
        <a:lstStyle/>
        <a:p>
          <a:endParaRPr lang="bg-BG"/>
        </a:p>
      </dgm:t>
    </dgm:pt>
    <dgm:pt modelId="{D5BA6205-2A12-4D54-BAA1-7CD9B51B14B2}">
      <dgm:prSet/>
      <dgm:spPr>
        <a:xfrm>
          <a:off x="0" y="3255759"/>
          <a:ext cx="2049526" cy="591870"/>
        </a:xfr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marL="442913" indent="-266700"/>
          <a:r>
            <a:rPr lang="bg-BG" dirty="0">
              <a:solidFill>
                <a:sysClr val="window" lastClr="FFFFFF"/>
              </a:solidFill>
              <a:latin typeface="Times New Roman" pitchFamily="18" charset="0"/>
              <a:ea typeface="+mn-ea"/>
              <a:cs typeface="Times New Roman" pitchFamily="18" charset="0"/>
            </a:rPr>
            <a:t>Приключване </a:t>
          </a:r>
          <a:endParaRPr lang="bg-BG" dirty="0">
            <a:solidFill>
              <a:sysClr val="window" lastClr="FFFFFF"/>
            </a:solidFill>
            <a:latin typeface="Calibri"/>
            <a:ea typeface="+mn-ea"/>
            <a:cs typeface="+mn-cs"/>
          </a:endParaRPr>
        </a:p>
      </dgm:t>
    </dgm:pt>
    <dgm:pt modelId="{CDF69912-9D3E-4C7C-8898-B412E26403C3}" type="parTrans" cxnId="{D227727E-ED0D-403F-A3FE-6A6C8B02F03C}">
      <dgm:prSet/>
      <dgm:spPr/>
      <dgm:t>
        <a:bodyPr/>
        <a:lstStyle/>
        <a:p>
          <a:endParaRPr lang="bg-BG"/>
        </a:p>
      </dgm:t>
    </dgm:pt>
    <dgm:pt modelId="{CF1C9080-61E0-443D-8BC8-5356BC9339CA}" type="sibTrans" cxnId="{D227727E-ED0D-403F-A3FE-6A6C8B02F03C}">
      <dgm:prSet/>
      <dgm:spPr/>
      <dgm:t>
        <a:bodyPr/>
        <a:lstStyle/>
        <a:p>
          <a:endParaRPr lang="bg-BG"/>
        </a:p>
      </dgm:t>
    </dgm:pt>
    <dgm:pt modelId="{2484F469-26B1-4E51-BD35-5AC33257859E}">
      <dgm:prSet/>
      <dgm:spPr>
        <a:xfrm>
          <a:off x="2049525" y="2604701"/>
          <a:ext cx="3074289" cy="591870"/>
        </a:xfrm>
        <a:solidFill>
          <a:srgbClr val="9BBB59">
            <a:tint val="40000"/>
            <a:alpha val="90000"/>
            <a:hueOff val="8573481"/>
            <a:satOff val="-11034"/>
            <a:lumOff val="-860"/>
            <a:alphaOff val="0"/>
          </a:srgbClr>
        </a:solidFill>
        <a:ln w="9525" cap="flat" cmpd="sng" algn="ctr">
          <a:solidFill>
            <a:srgbClr val="9BBB59">
              <a:tint val="40000"/>
              <a:alpha val="90000"/>
              <a:hueOff val="8573481"/>
              <a:satOff val="-11034"/>
              <a:lumOff val="-860"/>
              <a:alphaOff val="0"/>
            </a:srgbClr>
          </a:solidFill>
          <a:prstDash val="solid"/>
        </a:ln>
        <a:effectLst/>
      </dgm:spPr>
      <dgm:t>
        <a:bodyPr/>
        <a:lstStyle/>
        <a:p>
          <a:pPr marL="442913" indent="-266700"/>
          <a:r>
            <a:rPr lang="bg-BG" dirty="0">
              <a:solidFill>
                <a:sysClr val="windowText" lastClr="000000">
                  <a:hueOff val="0"/>
                  <a:satOff val="0"/>
                  <a:lumOff val="0"/>
                  <a:alphaOff val="0"/>
                </a:sysClr>
              </a:solidFill>
              <a:latin typeface="Times New Roman" pitchFamily="18" charset="0"/>
              <a:ea typeface="+mn-ea"/>
              <a:cs typeface="Times New Roman" pitchFamily="18" charset="0"/>
            </a:rPr>
            <a:t>Поддръжка и функциониране</a:t>
          </a:r>
        </a:p>
      </dgm:t>
    </dgm:pt>
    <dgm:pt modelId="{F77F7644-8D89-4FEB-AD08-9634A8F0CB4C}" type="parTrans" cxnId="{CC972EA3-B8D9-4302-AB83-75C6CAA958B6}">
      <dgm:prSet/>
      <dgm:spPr/>
      <dgm:t>
        <a:bodyPr/>
        <a:lstStyle/>
        <a:p>
          <a:endParaRPr lang="bg-BG"/>
        </a:p>
      </dgm:t>
    </dgm:pt>
    <dgm:pt modelId="{839B47F4-8B27-4C6C-9E4C-5A60DCB8B0AB}" type="sibTrans" cxnId="{CC972EA3-B8D9-4302-AB83-75C6CAA958B6}">
      <dgm:prSet/>
      <dgm:spPr/>
      <dgm:t>
        <a:bodyPr/>
        <a:lstStyle/>
        <a:p>
          <a:endParaRPr lang="bg-BG"/>
        </a:p>
      </dgm:t>
    </dgm:pt>
    <dgm:pt modelId="{819D1B91-59E6-4D48-B1CF-0D655FC0FA3E}">
      <dgm:prSet/>
      <dgm:spPr>
        <a:xfrm>
          <a:off x="2049525" y="2604701"/>
          <a:ext cx="3074289" cy="591870"/>
        </a:xfrm>
        <a:solidFill>
          <a:srgbClr val="9BBB59">
            <a:tint val="40000"/>
            <a:alpha val="90000"/>
            <a:hueOff val="8573481"/>
            <a:satOff val="-11034"/>
            <a:lumOff val="-860"/>
            <a:alphaOff val="0"/>
          </a:srgbClr>
        </a:solidFill>
        <a:ln w="9525" cap="flat" cmpd="sng" algn="ctr">
          <a:solidFill>
            <a:srgbClr val="9BBB59">
              <a:tint val="40000"/>
              <a:alpha val="90000"/>
              <a:hueOff val="8573481"/>
              <a:satOff val="-11034"/>
              <a:lumOff val="-860"/>
              <a:alphaOff val="0"/>
            </a:srgbClr>
          </a:solidFill>
          <a:prstDash val="solid"/>
        </a:ln>
        <a:effectLst/>
      </dgm:spPr>
      <dgm:t>
        <a:bodyPr/>
        <a:lstStyle/>
        <a:p>
          <a:pPr marL="442913" indent="-266700"/>
          <a:r>
            <a:rPr lang="bg-BG" dirty="0">
              <a:solidFill>
                <a:sysClr val="windowText" lastClr="000000">
                  <a:hueOff val="0"/>
                  <a:satOff val="0"/>
                  <a:lumOff val="0"/>
                  <a:alphaOff val="0"/>
                </a:sysClr>
              </a:solidFill>
              <a:latin typeface="Times New Roman" pitchFamily="18" charset="0"/>
              <a:ea typeface="+mn-ea"/>
              <a:cs typeface="Times New Roman" pitchFamily="18" charset="0"/>
            </a:rPr>
            <a:t>Индикатори</a:t>
          </a:r>
        </a:p>
      </dgm:t>
    </dgm:pt>
    <dgm:pt modelId="{100239D5-E409-4957-B553-B57E6356AAF8}" type="parTrans" cxnId="{F3E12A9D-AC4E-4A60-A8F4-D81125EBB38B}">
      <dgm:prSet/>
      <dgm:spPr/>
      <dgm:t>
        <a:bodyPr/>
        <a:lstStyle/>
        <a:p>
          <a:endParaRPr lang="bg-BG"/>
        </a:p>
      </dgm:t>
    </dgm:pt>
    <dgm:pt modelId="{3ABA4F7E-7C12-4695-BBAF-E42712BDDBEB}" type="sibTrans" cxnId="{F3E12A9D-AC4E-4A60-A8F4-D81125EBB38B}">
      <dgm:prSet/>
      <dgm:spPr/>
      <dgm:t>
        <a:bodyPr/>
        <a:lstStyle/>
        <a:p>
          <a:endParaRPr lang="bg-BG"/>
        </a:p>
      </dgm:t>
    </dgm:pt>
    <dgm:pt modelId="{6D43B09C-3954-40F7-980E-F1806F8ADC5C}">
      <dgm:prSet/>
      <dgm:spPr>
        <a:xfrm>
          <a:off x="2049525" y="3255759"/>
          <a:ext cx="3074289" cy="591870"/>
        </a:xfrm>
        <a:solidFill>
          <a:srgbClr val="9BBB59">
            <a:tint val="40000"/>
            <a:alpha val="90000"/>
            <a:hueOff val="10716850"/>
            <a:satOff val="-13793"/>
            <a:lumOff val="-1075"/>
            <a:alphaOff val="0"/>
          </a:srgbClr>
        </a:solidFill>
        <a:ln w="9525" cap="flat" cmpd="sng" algn="ctr">
          <a:solidFill>
            <a:srgbClr val="9BBB59">
              <a:tint val="40000"/>
              <a:alpha val="90000"/>
              <a:hueOff val="10716850"/>
              <a:satOff val="-13793"/>
              <a:lumOff val="-1075"/>
              <a:alphaOff val="0"/>
            </a:srgbClr>
          </a:solidFill>
          <a:prstDash val="solid"/>
        </a:ln>
        <a:effectLst/>
      </dgm:spPr>
      <dgm:t>
        <a:bodyPr/>
        <a:lstStyle/>
        <a:p>
          <a:pPr marL="442913" indent="-266700"/>
          <a:r>
            <a:rPr lang="bg-BG" dirty="0">
              <a:solidFill>
                <a:sysClr val="windowText" lastClr="000000">
                  <a:hueOff val="0"/>
                  <a:satOff val="0"/>
                  <a:lumOff val="0"/>
                  <a:alphaOff val="0"/>
                </a:sysClr>
              </a:solidFill>
              <a:latin typeface="Times New Roman" pitchFamily="18" charset="0"/>
              <a:ea typeface="+mn-ea"/>
              <a:cs typeface="Times New Roman" pitchFamily="18" charset="0"/>
            </a:rPr>
            <a:t>Досие на проекта</a:t>
          </a:r>
          <a:endParaRPr lang="bg-BG" dirty="0">
            <a:solidFill>
              <a:sysClr val="windowText" lastClr="000000">
                <a:hueOff val="0"/>
                <a:satOff val="0"/>
                <a:lumOff val="0"/>
                <a:alphaOff val="0"/>
              </a:sysClr>
            </a:solidFill>
            <a:latin typeface="Calibri"/>
            <a:ea typeface="+mn-ea"/>
            <a:cs typeface="+mn-cs"/>
          </a:endParaRPr>
        </a:p>
      </dgm:t>
    </dgm:pt>
    <dgm:pt modelId="{A2F0000F-7E2F-485C-96A6-FC2E49A598FF}" type="parTrans" cxnId="{D65BF275-FA86-403F-8F8C-646F46C81076}">
      <dgm:prSet/>
      <dgm:spPr/>
      <dgm:t>
        <a:bodyPr/>
        <a:lstStyle/>
        <a:p>
          <a:endParaRPr lang="bg-BG"/>
        </a:p>
      </dgm:t>
    </dgm:pt>
    <dgm:pt modelId="{4504183B-4D56-4274-8520-1D768ECF6BD5}" type="sibTrans" cxnId="{D65BF275-FA86-403F-8F8C-646F46C81076}">
      <dgm:prSet/>
      <dgm:spPr/>
      <dgm:t>
        <a:bodyPr/>
        <a:lstStyle/>
        <a:p>
          <a:endParaRPr lang="bg-BG"/>
        </a:p>
      </dgm:t>
    </dgm:pt>
    <dgm:pt modelId="{B353B499-6601-482C-9A30-54BAB6D08A4F}">
      <dgm:prSet phldrT="[Text]"/>
      <dgm:spPr>
        <a:xfrm>
          <a:off x="2049525" y="469"/>
          <a:ext cx="3074289" cy="591870"/>
        </a:xfrm>
        <a:solidFill>
          <a:srgbClr val="9BBB59">
            <a:tint val="40000"/>
            <a:alpha val="90000"/>
            <a:hueOff val="0"/>
            <a:satOff val="0"/>
            <a:lumOff val="0"/>
            <a:alphaOff val="0"/>
          </a:srgbClr>
        </a:solidFill>
        <a:ln w="9525" cap="flat" cmpd="sng" algn="ctr">
          <a:solidFill>
            <a:srgbClr val="9BBB59">
              <a:tint val="40000"/>
              <a:alpha val="90000"/>
              <a:hueOff val="0"/>
              <a:satOff val="0"/>
              <a:lumOff val="0"/>
              <a:alphaOff val="0"/>
            </a:srgbClr>
          </a:solidFill>
          <a:prstDash val="solid"/>
        </a:ln>
        <a:effectLst/>
      </dgm:spPr>
      <dgm:t>
        <a:bodyPr/>
        <a:lstStyle/>
        <a:p>
          <a:pPr marL="442913" indent="-266700" defTabSz="666750">
            <a:lnSpc>
              <a:spcPct val="90000"/>
            </a:lnSpc>
            <a:spcBef>
              <a:spcPct val="0"/>
            </a:spcBef>
            <a:spcAft>
              <a:spcPct val="15000"/>
            </a:spcAft>
            <a:buNone/>
          </a:pPr>
          <a:r>
            <a:rPr lang="bg-BG" dirty="0" err="1">
              <a:solidFill>
                <a:sysClr val="windowText" lastClr="000000">
                  <a:hueOff val="0"/>
                  <a:satOff val="0"/>
                  <a:lumOff val="0"/>
                  <a:alphaOff val="0"/>
                </a:sysClr>
              </a:solidFill>
              <a:latin typeface="Times New Roman" pitchFamily="18" charset="0"/>
              <a:ea typeface="+mn-ea"/>
              <a:cs typeface="Times New Roman" pitchFamily="18" charset="0"/>
            </a:rPr>
            <a:t>Предпроектно</a:t>
          </a:r>
          <a:r>
            <a:rPr lang="bg-BG" dirty="0">
              <a:solidFill>
                <a:sysClr val="windowText" lastClr="000000">
                  <a:hueOff val="0"/>
                  <a:satOff val="0"/>
                  <a:lumOff val="0"/>
                  <a:alphaOff val="0"/>
                </a:sysClr>
              </a:solidFill>
              <a:latin typeface="Times New Roman" pitchFamily="18" charset="0"/>
              <a:ea typeface="+mn-ea"/>
              <a:cs typeface="Times New Roman" pitchFamily="18" charset="0"/>
            </a:rPr>
            <a:t> проучване</a:t>
          </a:r>
          <a:endParaRPr lang="en-US"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DB8F961-9E95-40D0-AC55-6150AED8B06B}" type="parTrans" cxnId="{BB648524-9F26-48A9-A8B1-096350D219F2}">
      <dgm:prSet/>
      <dgm:spPr/>
      <dgm:t>
        <a:bodyPr/>
        <a:lstStyle/>
        <a:p>
          <a:endParaRPr lang="bg-BG"/>
        </a:p>
      </dgm:t>
    </dgm:pt>
    <dgm:pt modelId="{5C2A5279-B23A-46C7-B0E2-342679DCE8CC}" type="sibTrans" cxnId="{BB648524-9F26-48A9-A8B1-096350D219F2}">
      <dgm:prSet/>
      <dgm:spPr/>
      <dgm:t>
        <a:bodyPr/>
        <a:lstStyle/>
        <a:p>
          <a:endParaRPr lang="bg-BG"/>
        </a:p>
      </dgm:t>
    </dgm:pt>
    <dgm:pt modelId="{957938D9-E949-48E1-9F89-02408CB88981}">
      <dgm:prSet phldrT="[Text]"/>
      <dgm:spPr>
        <a:xfrm>
          <a:off x="2049525" y="469"/>
          <a:ext cx="3074289" cy="591870"/>
        </a:xfrm>
        <a:solidFill>
          <a:srgbClr val="9BBB59">
            <a:tint val="40000"/>
            <a:alpha val="90000"/>
            <a:hueOff val="0"/>
            <a:satOff val="0"/>
            <a:lumOff val="0"/>
            <a:alphaOff val="0"/>
          </a:srgbClr>
        </a:solidFill>
        <a:ln w="9525" cap="flat" cmpd="sng" algn="ctr">
          <a:solidFill>
            <a:srgbClr val="9BBB59">
              <a:tint val="40000"/>
              <a:alpha val="90000"/>
              <a:hueOff val="0"/>
              <a:satOff val="0"/>
              <a:lumOff val="0"/>
              <a:alphaOff val="0"/>
            </a:srgbClr>
          </a:solidFill>
          <a:prstDash val="solid"/>
        </a:ln>
        <a:effectLst/>
      </dgm:spPr>
      <dgm:t>
        <a:bodyPr/>
        <a:lstStyle/>
        <a:p>
          <a:pPr marL="442913" indent="-266700" defTabSz="666750">
            <a:lnSpc>
              <a:spcPct val="90000"/>
            </a:lnSpc>
            <a:spcBef>
              <a:spcPct val="0"/>
            </a:spcBef>
            <a:spcAft>
              <a:spcPct val="15000"/>
            </a:spcAft>
            <a:buNone/>
          </a:pPr>
          <a:r>
            <a:rPr lang="bg-BG" dirty="0">
              <a:solidFill>
                <a:sysClr val="windowText" lastClr="000000">
                  <a:hueOff val="0"/>
                  <a:satOff val="0"/>
                  <a:lumOff val="0"/>
                  <a:alphaOff val="0"/>
                </a:sysClr>
              </a:solidFill>
              <a:latin typeface="Times New Roman" pitchFamily="18" charset="0"/>
              <a:ea typeface="+mn-ea"/>
              <a:cs typeface="Times New Roman" pitchFamily="18" charset="0"/>
            </a:rPr>
            <a:t>Стратегическо проучване</a:t>
          </a:r>
          <a:endParaRPr lang="en-US"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57939B1-CC6C-4B01-B6AA-C6E80095C5EE}" type="parTrans" cxnId="{2D9A41FF-4E89-426C-8CC8-79C4C9BB1D53}">
      <dgm:prSet/>
      <dgm:spPr/>
      <dgm:t>
        <a:bodyPr/>
        <a:lstStyle/>
        <a:p>
          <a:endParaRPr lang="bg-BG"/>
        </a:p>
      </dgm:t>
    </dgm:pt>
    <dgm:pt modelId="{00EC59D6-130D-467D-BE3E-E2601DB7A9BD}" type="sibTrans" cxnId="{2D9A41FF-4E89-426C-8CC8-79C4C9BB1D53}">
      <dgm:prSet/>
      <dgm:spPr/>
      <dgm:t>
        <a:bodyPr/>
        <a:lstStyle/>
        <a:p>
          <a:endParaRPr lang="bg-BG"/>
        </a:p>
      </dgm:t>
    </dgm:pt>
    <dgm:pt modelId="{FC931503-2837-4F55-A17B-4656F04A708B}" type="pres">
      <dgm:prSet presAssocID="{54CF1F80-7349-4DC3-AB6D-DBF0B9A9BCE1}" presName="Name0" presStyleCnt="0">
        <dgm:presLayoutVars>
          <dgm:dir/>
          <dgm:animLvl val="lvl"/>
          <dgm:resizeHandles/>
        </dgm:presLayoutVars>
      </dgm:prSet>
      <dgm:spPr/>
      <dgm:t>
        <a:bodyPr/>
        <a:lstStyle/>
        <a:p>
          <a:endParaRPr lang="en-US"/>
        </a:p>
      </dgm:t>
    </dgm:pt>
    <dgm:pt modelId="{C8CAE7F4-0019-4DCC-97D2-542FF1DBB294}" type="pres">
      <dgm:prSet presAssocID="{205C7148-BAA9-46C1-9F48-95E1ED3C5A47}" presName="linNode" presStyleCnt="0"/>
      <dgm:spPr/>
    </dgm:pt>
    <dgm:pt modelId="{4B440A2D-710B-4BA9-BCB1-C54F7A6E8F83}" type="pres">
      <dgm:prSet presAssocID="{205C7148-BAA9-46C1-9F48-95E1ED3C5A47}" presName="parentShp" presStyleLbl="node1" presStyleIdx="0" presStyleCnt="6">
        <dgm:presLayoutVars>
          <dgm:bulletEnabled val="1"/>
        </dgm:presLayoutVars>
      </dgm:prSet>
      <dgm:spPr>
        <a:prstGeom prst="roundRect">
          <a:avLst/>
        </a:prstGeom>
      </dgm:spPr>
      <dgm:t>
        <a:bodyPr/>
        <a:lstStyle/>
        <a:p>
          <a:endParaRPr lang="en-US"/>
        </a:p>
      </dgm:t>
    </dgm:pt>
    <dgm:pt modelId="{7A721F1C-8442-4B7D-B2CC-3A8C887BDE77}" type="pres">
      <dgm:prSet presAssocID="{205C7148-BAA9-46C1-9F48-95E1ED3C5A47}" presName="childShp" presStyleLbl="bgAccFollowNode1" presStyleIdx="0" presStyleCnt="6">
        <dgm:presLayoutVars>
          <dgm:bulletEnabled val="1"/>
        </dgm:presLayoutVars>
      </dgm:prSet>
      <dgm:spPr>
        <a:prstGeom prst="rightArrow">
          <a:avLst>
            <a:gd name="adj1" fmla="val 75000"/>
            <a:gd name="adj2" fmla="val 50000"/>
          </a:avLst>
        </a:prstGeom>
      </dgm:spPr>
      <dgm:t>
        <a:bodyPr/>
        <a:lstStyle/>
        <a:p>
          <a:endParaRPr lang="en-US"/>
        </a:p>
      </dgm:t>
    </dgm:pt>
    <dgm:pt modelId="{14419B7B-2223-47D6-A2F8-D04D1C51E213}" type="pres">
      <dgm:prSet presAssocID="{920DDB8A-0879-48CC-B8C7-402E6E6D1950}" presName="spacing" presStyleCnt="0"/>
      <dgm:spPr/>
    </dgm:pt>
    <dgm:pt modelId="{C26FC079-8D2E-45F8-954A-44BC52A02A3D}" type="pres">
      <dgm:prSet presAssocID="{B13ABEB3-7971-4771-9766-96C74D1AE025}" presName="linNode" presStyleCnt="0"/>
      <dgm:spPr/>
    </dgm:pt>
    <dgm:pt modelId="{394981C9-2863-4711-905E-1479C5322EC0}" type="pres">
      <dgm:prSet presAssocID="{B13ABEB3-7971-4771-9766-96C74D1AE025}" presName="parentShp" presStyleLbl="node1" presStyleIdx="1" presStyleCnt="6">
        <dgm:presLayoutVars>
          <dgm:bulletEnabled val="1"/>
        </dgm:presLayoutVars>
      </dgm:prSet>
      <dgm:spPr>
        <a:prstGeom prst="roundRect">
          <a:avLst/>
        </a:prstGeom>
      </dgm:spPr>
      <dgm:t>
        <a:bodyPr/>
        <a:lstStyle/>
        <a:p>
          <a:endParaRPr lang="en-US"/>
        </a:p>
      </dgm:t>
    </dgm:pt>
    <dgm:pt modelId="{CDF16FFB-6CE5-4C52-968F-3BAF16910D1F}" type="pres">
      <dgm:prSet presAssocID="{B13ABEB3-7971-4771-9766-96C74D1AE025}" presName="childShp" presStyleLbl="bgAccFollowNode1" presStyleIdx="1" presStyleCnt="6">
        <dgm:presLayoutVars>
          <dgm:bulletEnabled val="1"/>
        </dgm:presLayoutVars>
      </dgm:prSet>
      <dgm:spPr>
        <a:prstGeom prst="rightArrow">
          <a:avLst>
            <a:gd name="adj1" fmla="val 75000"/>
            <a:gd name="adj2" fmla="val 50000"/>
          </a:avLst>
        </a:prstGeom>
      </dgm:spPr>
      <dgm:t>
        <a:bodyPr/>
        <a:lstStyle/>
        <a:p>
          <a:endParaRPr lang="en-US"/>
        </a:p>
      </dgm:t>
    </dgm:pt>
    <dgm:pt modelId="{C400D605-4E9C-4858-BE3E-9A5DA485D716}" type="pres">
      <dgm:prSet presAssocID="{54BE9B80-2BD5-43C7-902A-8BC42AE530B3}" presName="spacing" presStyleCnt="0"/>
      <dgm:spPr/>
    </dgm:pt>
    <dgm:pt modelId="{D65B1A16-B158-4107-9226-5A07BF100806}" type="pres">
      <dgm:prSet presAssocID="{66EB137A-84AE-4D2B-9ED5-F1E9095401FA}" presName="linNode" presStyleCnt="0"/>
      <dgm:spPr/>
    </dgm:pt>
    <dgm:pt modelId="{68345B52-3657-4111-852D-7DF2910EFC8D}" type="pres">
      <dgm:prSet presAssocID="{66EB137A-84AE-4D2B-9ED5-F1E9095401FA}" presName="parentShp" presStyleLbl="node1" presStyleIdx="2" presStyleCnt="6">
        <dgm:presLayoutVars>
          <dgm:bulletEnabled val="1"/>
        </dgm:presLayoutVars>
      </dgm:prSet>
      <dgm:spPr>
        <a:prstGeom prst="roundRect">
          <a:avLst/>
        </a:prstGeom>
      </dgm:spPr>
      <dgm:t>
        <a:bodyPr/>
        <a:lstStyle/>
        <a:p>
          <a:endParaRPr lang="en-US"/>
        </a:p>
      </dgm:t>
    </dgm:pt>
    <dgm:pt modelId="{26E8BDE7-6A0B-4438-BF3C-539E51DD8607}" type="pres">
      <dgm:prSet presAssocID="{66EB137A-84AE-4D2B-9ED5-F1E9095401FA}" presName="childShp" presStyleLbl="bgAccFollowNode1" presStyleIdx="2" presStyleCnt="6">
        <dgm:presLayoutVars>
          <dgm:bulletEnabled val="1"/>
        </dgm:presLayoutVars>
      </dgm:prSet>
      <dgm:spPr>
        <a:prstGeom prst="rightArrow">
          <a:avLst>
            <a:gd name="adj1" fmla="val 75000"/>
            <a:gd name="adj2" fmla="val 50000"/>
          </a:avLst>
        </a:prstGeom>
      </dgm:spPr>
      <dgm:t>
        <a:bodyPr/>
        <a:lstStyle/>
        <a:p>
          <a:endParaRPr lang="en-US"/>
        </a:p>
      </dgm:t>
    </dgm:pt>
    <dgm:pt modelId="{E520C9AF-E3A6-4ED0-91AD-7479770EFEAF}" type="pres">
      <dgm:prSet presAssocID="{2A59F98D-F07C-427D-83E3-54FAE8311748}" presName="spacing" presStyleCnt="0"/>
      <dgm:spPr/>
    </dgm:pt>
    <dgm:pt modelId="{D79BBE7E-8918-401C-B8DD-BBA3E6DFB40F}" type="pres">
      <dgm:prSet presAssocID="{06A09D2C-8F74-4701-9086-C436276D88EF}" presName="linNode" presStyleCnt="0"/>
      <dgm:spPr/>
    </dgm:pt>
    <dgm:pt modelId="{3221C8F2-6E52-432E-AF4D-47991445AA5A}" type="pres">
      <dgm:prSet presAssocID="{06A09D2C-8F74-4701-9086-C436276D88EF}" presName="parentShp" presStyleLbl="node1" presStyleIdx="3" presStyleCnt="6">
        <dgm:presLayoutVars>
          <dgm:bulletEnabled val="1"/>
        </dgm:presLayoutVars>
      </dgm:prSet>
      <dgm:spPr>
        <a:prstGeom prst="roundRect">
          <a:avLst/>
        </a:prstGeom>
      </dgm:spPr>
      <dgm:t>
        <a:bodyPr/>
        <a:lstStyle/>
        <a:p>
          <a:endParaRPr lang="en-US"/>
        </a:p>
      </dgm:t>
    </dgm:pt>
    <dgm:pt modelId="{F276D9A1-4F4B-4AC0-8B56-A3478A924ECD}" type="pres">
      <dgm:prSet presAssocID="{06A09D2C-8F74-4701-9086-C436276D88EF}" presName="childShp" presStyleLbl="bgAccFollowNode1" presStyleIdx="3" presStyleCnt="6">
        <dgm:presLayoutVars>
          <dgm:bulletEnabled val="1"/>
        </dgm:presLayoutVars>
      </dgm:prSet>
      <dgm:spPr>
        <a:prstGeom prst="rightArrow">
          <a:avLst>
            <a:gd name="adj1" fmla="val 75000"/>
            <a:gd name="adj2" fmla="val 50000"/>
          </a:avLst>
        </a:prstGeom>
      </dgm:spPr>
      <dgm:t>
        <a:bodyPr/>
        <a:lstStyle/>
        <a:p>
          <a:endParaRPr lang="en-US"/>
        </a:p>
      </dgm:t>
    </dgm:pt>
    <dgm:pt modelId="{3619DEFE-1F6B-43D6-8324-49AE36E11C7E}" type="pres">
      <dgm:prSet presAssocID="{B840CA32-D53F-424E-B162-EA7FEAEA6E0A}" presName="spacing" presStyleCnt="0"/>
      <dgm:spPr/>
    </dgm:pt>
    <dgm:pt modelId="{41CE6426-E9FC-422A-9F42-B666F581B06F}" type="pres">
      <dgm:prSet presAssocID="{6987DB38-62A1-4043-9CAF-E990B0BC77A0}" presName="linNode" presStyleCnt="0"/>
      <dgm:spPr/>
    </dgm:pt>
    <dgm:pt modelId="{A4609750-B5D6-45B6-A39A-B57CC4BB0EAF}" type="pres">
      <dgm:prSet presAssocID="{6987DB38-62A1-4043-9CAF-E990B0BC77A0}" presName="parentShp" presStyleLbl="node1" presStyleIdx="4" presStyleCnt="6">
        <dgm:presLayoutVars>
          <dgm:bulletEnabled val="1"/>
        </dgm:presLayoutVars>
      </dgm:prSet>
      <dgm:spPr>
        <a:prstGeom prst="roundRect">
          <a:avLst/>
        </a:prstGeom>
      </dgm:spPr>
      <dgm:t>
        <a:bodyPr/>
        <a:lstStyle/>
        <a:p>
          <a:endParaRPr lang="en-US"/>
        </a:p>
      </dgm:t>
    </dgm:pt>
    <dgm:pt modelId="{17EF7E93-6B14-4F6D-A3D0-1F23A64FEA6B}" type="pres">
      <dgm:prSet presAssocID="{6987DB38-62A1-4043-9CAF-E990B0BC77A0}" presName="childShp" presStyleLbl="bgAccFollowNode1" presStyleIdx="4" presStyleCnt="6">
        <dgm:presLayoutVars>
          <dgm:bulletEnabled val="1"/>
        </dgm:presLayoutVars>
      </dgm:prSet>
      <dgm:spPr>
        <a:prstGeom prst="rightArrow">
          <a:avLst>
            <a:gd name="adj1" fmla="val 75000"/>
            <a:gd name="adj2" fmla="val 50000"/>
          </a:avLst>
        </a:prstGeom>
      </dgm:spPr>
      <dgm:t>
        <a:bodyPr/>
        <a:lstStyle/>
        <a:p>
          <a:endParaRPr lang="en-US"/>
        </a:p>
      </dgm:t>
    </dgm:pt>
    <dgm:pt modelId="{3D91545B-39D9-40DC-9574-929AC24E25BD}" type="pres">
      <dgm:prSet presAssocID="{7173B3B8-D13D-42A9-85DD-E4627DBDE7E5}" presName="spacing" presStyleCnt="0"/>
      <dgm:spPr/>
    </dgm:pt>
    <dgm:pt modelId="{15297561-B846-48D1-8FBC-F71C54AD5A22}" type="pres">
      <dgm:prSet presAssocID="{D5BA6205-2A12-4D54-BAA1-7CD9B51B14B2}" presName="linNode" presStyleCnt="0"/>
      <dgm:spPr/>
    </dgm:pt>
    <dgm:pt modelId="{C1026AE3-3818-48AC-861B-6A3AD77BF423}" type="pres">
      <dgm:prSet presAssocID="{D5BA6205-2A12-4D54-BAA1-7CD9B51B14B2}" presName="parentShp" presStyleLbl="node1" presStyleIdx="5" presStyleCnt="6">
        <dgm:presLayoutVars>
          <dgm:bulletEnabled val="1"/>
        </dgm:presLayoutVars>
      </dgm:prSet>
      <dgm:spPr>
        <a:prstGeom prst="roundRect">
          <a:avLst/>
        </a:prstGeom>
      </dgm:spPr>
      <dgm:t>
        <a:bodyPr/>
        <a:lstStyle/>
        <a:p>
          <a:endParaRPr lang="en-US"/>
        </a:p>
      </dgm:t>
    </dgm:pt>
    <dgm:pt modelId="{6216B28F-2190-4D63-A157-381DCB790D69}" type="pres">
      <dgm:prSet presAssocID="{D5BA6205-2A12-4D54-BAA1-7CD9B51B14B2}" presName="childShp" presStyleLbl="bgAccFollowNode1" presStyleIdx="5" presStyleCnt="6">
        <dgm:presLayoutVars>
          <dgm:bulletEnabled val="1"/>
        </dgm:presLayoutVars>
      </dgm:prSet>
      <dgm:spPr>
        <a:prstGeom prst="rightArrow">
          <a:avLst>
            <a:gd name="adj1" fmla="val 75000"/>
            <a:gd name="adj2" fmla="val 50000"/>
          </a:avLst>
        </a:prstGeom>
      </dgm:spPr>
      <dgm:t>
        <a:bodyPr/>
        <a:lstStyle/>
        <a:p>
          <a:endParaRPr lang="en-US"/>
        </a:p>
      </dgm:t>
    </dgm:pt>
  </dgm:ptLst>
  <dgm:cxnLst>
    <dgm:cxn modelId="{58964D4B-2548-4986-8E28-35F1EDBAE572}" srcId="{B13ABEB3-7971-4771-9766-96C74D1AE025}" destId="{60CE67F5-42F3-47B0-9C82-5FA1FA5012A0}" srcOrd="0" destOrd="0" parTransId="{BE8C3C51-98B8-41C4-8D78-8DC9325F34F0}" sibTransId="{6E419726-0733-48B5-90A9-D56BDEE22CE1}"/>
    <dgm:cxn modelId="{06352370-D383-4C86-BDAF-A06B298C1157}" type="presOf" srcId="{54CF1F80-7349-4DC3-AB6D-DBF0B9A9BCE1}" destId="{FC931503-2837-4F55-A17B-4656F04A708B}" srcOrd="0" destOrd="0" presId="urn:microsoft.com/office/officeart/2005/8/layout/vList6"/>
    <dgm:cxn modelId="{3B8A89CE-7A07-4B40-A80E-02FA047F25C0}" type="presOf" srcId="{0D0CB8FE-5560-4BA6-BED3-882A532D24BE}" destId="{F276D9A1-4F4B-4AC0-8B56-A3478A924ECD}" srcOrd="0" destOrd="0" presId="urn:microsoft.com/office/officeart/2005/8/layout/vList6"/>
    <dgm:cxn modelId="{BB648524-9F26-48A9-A8B1-096350D219F2}" srcId="{205C7148-BAA9-46C1-9F48-95E1ED3C5A47}" destId="{B353B499-6601-482C-9A30-54BAB6D08A4F}" srcOrd="2" destOrd="0" parTransId="{7DB8F961-9E95-40D0-AC55-6150AED8B06B}" sibTransId="{5C2A5279-B23A-46C7-B0E2-342679DCE8CC}"/>
    <dgm:cxn modelId="{A5E9D162-0ADA-496E-9BF2-0DA003866C48}" type="presOf" srcId="{D5BA6205-2A12-4D54-BAA1-7CD9B51B14B2}" destId="{C1026AE3-3818-48AC-861B-6A3AD77BF423}" srcOrd="0" destOrd="0" presId="urn:microsoft.com/office/officeart/2005/8/layout/vList6"/>
    <dgm:cxn modelId="{5A7DA966-4E06-4809-963C-5FEC11868A97}" type="presOf" srcId="{B353B499-6601-482C-9A30-54BAB6D08A4F}" destId="{7A721F1C-8442-4B7D-B2CC-3A8C887BDE77}" srcOrd="0" destOrd="2" presId="urn:microsoft.com/office/officeart/2005/8/layout/vList6"/>
    <dgm:cxn modelId="{E0B8DCEB-5E5F-41BB-AB3D-451EBB8076D3}" type="presOf" srcId="{6D43B09C-3954-40F7-980E-F1806F8ADC5C}" destId="{6216B28F-2190-4D63-A157-381DCB790D69}" srcOrd="0" destOrd="0" presId="urn:microsoft.com/office/officeart/2005/8/layout/vList6"/>
    <dgm:cxn modelId="{BD63D90E-237C-49A4-BC17-3159088399AA}" type="presOf" srcId="{56CAE11A-489F-43D0-8C6B-638ABFA0318D}" destId="{F276D9A1-4F4B-4AC0-8B56-A3478A924ECD}" srcOrd="0" destOrd="2" presId="urn:microsoft.com/office/officeart/2005/8/layout/vList6"/>
    <dgm:cxn modelId="{6539567B-F0DD-4F99-891C-A3D68F7F6249}" srcId="{06A09D2C-8F74-4701-9086-C436276D88EF}" destId="{56CAE11A-489F-43D0-8C6B-638ABFA0318D}" srcOrd="2" destOrd="0" parTransId="{4FA1AD06-F8FF-4AAE-8341-1CC49AA523E8}" sibTransId="{F9C7043D-956B-4052-8A32-447E08BB6974}"/>
    <dgm:cxn modelId="{729F3A18-7E29-4A43-9285-2484CD2D88F5}" srcId="{6987DB38-62A1-4043-9CAF-E990B0BC77A0}" destId="{2244DDA4-9F8E-4BE0-B8C8-2EB2E481E94F}" srcOrd="0" destOrd="0" parTransId="{EBD4D06F-BECE-41A8-8B19-9E92D05DCFDC}" sibTransId="{ED96984A-BCD5-4983-91FF-A3269466CFCA}"/>
    <dgm:cxn modelId="{C4DF7017-CB99-4DDC-911D-33A4B589AF44}" srcId="{66EB137A-84AE-4D2B-9ED5-F1E9095401FA}" destId="{E9BE0F1D-3D02-4ED1-9B8A-FDEEDBDE1E5E}" srcOrd="2" destOrd="0" parTransId="{C8E76656-B996-4164-9B65-26F555D38CF2}" sibTransId="{5D3D5DE2-91B6-4437-BA9D-227B1D369444}"/>
    <dgm:cxn modelId="{19E44502-E738-48E8-8270-60F98D88F1E1}" srcId="{54CF1F80-7349-4DC3-AB6D-DBF0B9A9BCE1}" destId="{66EB137A-84AE-4D2B-9ED5-F1E9095401FA}" srcOrd="2" destOrd="0" parTransId="{E0A6364C-2FFE-4E02-A917-71980FC166D4}" sibTransId="{2A59F98D-F07C-427D-83E3-54FAE8311748}"/>
    <dgm:cxn modelId="{B3D6F1D7-7F06-496F-B665-226CA742592D}" type="presOf" srcId="{205C7148-BAA9-46C1-9F48-95E1ED3C5A47}" destId="{4B440A2D-710B-4BA9-BCB1-C54F7A6E8F83}" srcOrd="0" destOrd="0" presId="urn:microsoft.com/office/officeart/2005/8/layout/vList6"/>
    <dgm:cxn modelId="{F3E12A9D-AC4E-4A60-A8F4-D81125EBB38B}" srcId="{6987DB38-62A1-4043-9CAF-E990B0BC77A0}" destId="{819D1B91-59E6-4D48-B1CF-0D655FC0FA3E}" srcOrd="2" destOrd="0" parTransId="{100239D5-E409-4957-B553-B57E6356AAF8}" sibTransId="{3ABA4F7E-7C12-4695-BBAF-E42712BDDBEB}"/>
    <dgm:cxn modelId="{D227727E-ED0D-403F-A3FE-6A6C8B02F03C}" srcId="{54CF1F80-7349-4DC3-AB6D-DBF0B9A9BCE1}" destId="{D5BA6205-2A12-4D54-BAA1-7CD9B51B14B2}" srcOrd="5" destOrd="0" parTransId="{CDF69912-9D3E-4C7C-8898-B412E26403C3}" sibTransId="{CF1C9080-61E0-443D-8BC8-5356BC9339CA}"/>
    <dgm:cxn modelId="{2D9A41FF-4E89-426C-8CC8-79C4C9BB1D53}" srcId="{205C7148-BAA9-46C1-9F48-95E1ED3C5A47}" destId="{957938D9-E949-48E1-9F89-02408CB88981}" srcOrd="1" destOrd="0" parTransId="{157939B1-CC6C-4B01-B6AA-C6E80095C5EE}" sibTransId="{00EC59D6-130D-467D-BE3E-E2601DB7A9BD}"/>
    <dgm:cxn modelId="{BAEBDD58-11F8-4504-A58C-D630834A88D9}" srcId="{54CF1F80-7349-4DC3-AB6D-DBF0B9A9BCE1}" destId="{205C7148-BAA9-46C1-9F48-95E1ED3C5A47}" srcOrd="0" destOrd="0" parTransId="{F74E27E7-ECF8-4F44-BD88-C96F1673EDC1}" sibTransId="{920DDB8A-0879-48CC-B8C7-402E6E6D1950}"/>
    <dgm:cxn modelId="{4B0E3D49-81FE-441B-B88E-8E40E5BAC47E}" type="presOf" srcId="{957938D9-E949-48E1-9F89-02408CB88981}" destId="{7A721F1C-8442-4B7D-B2CC-3A8C887BDE77}" srcOrd="0" destOrd="1" presId="urn:microsoft.com/office/officeart/2005/8/layout/vList6"/>
    <dgm:cxn modelId="{7E44002E-2A4A-4738-A150-CC5725F35C45}" srcId="{06A09D2C-8F74-4701-9086-C436276D88EF}" destId="{0D0CB8FE-5560-4BA6-BED3-882A532D24BE}" srcOrd="0" destOrd="0" parTransId="{5C60C6AC-FDCD-47B9-BD46-BAC185FE2A4C}" sibTransId="{358E079C-97DF-45D8-83ED-EC5A7C49BD3C}"/>
    <dgm:cxn modelId="{99FBCEA4-238A-4B29-BFB3-4DABE4DEEAAF}" srcId="{54CF1F80-7349-4DC3-AB6D-DBF0B9A9BCE1}" destId="{B13ABEB3-7971-4771-9766-96C74D1AE025}" srcOrd="1" destOrd="0" parTransId="{8C0BFEE4-4CEC-43C5-AFC4-E409672A1318}" sibTransId="{54BE9B80-2BD5-43C7-902A-8BC42AE530B3}"/>
    <dgm:cxn modelId="{D65BF275-FA86-403F-8F8C-646F46C81076}" srcId="{D5BA6205-2A12-4D54-BAA1-7CD9B51B14B2}" destId="{6D43B09C-3954-40F7-980E-F1806F8ADC5C}" srcOrd="0" destOrd="0" parTransId="{A2F0000F-7E2F-485C-96A6-FC2E49A598FF}" sibTransId="{4504183B-4D56-4274-8520-1D768ECF6BD5}"/>
    <dgm:cxn modelId="{7593D28F-8C99-4CB4-8D5C-87582B41CC56}" type="presOf" srcId="{2244DDA4-9F8E-4BE0-B8C8-2EB2E481E94F}" destId="{17EF7E93-6B14-4F6D-A3D0-1F23A64FEA6B}" srcOrd="0" destOrd="0" presId="urn:microsoft.com/office/officeart/2005/8/layout/vList6"/>
    <dgm:cxn modelId="{681AB7E0-D705-481B-94FF-DA2876596E93}" type="presOf" srcId="{4DEF05B1-B1A7-4BB8-A55E-200EB78B64A8}" destId="{CDF16FFB-6CE5-4C52-968F-3BAF16910D1F}" srcOrd="0" destOrd="1" presId="urn:microsoft.com/office/officeart/2005/8/layout/vList6"/>
    <dgm:cxn modelId="{998C1FF2-C15D-4804-9134-A8654C3404DE}" type="presOf" srcId="{6987DB38-62A1-4043-9CAF-E990B0BC77A0}" destId="{A4609750-B5D6-45B6-A39A-B57CC4BB0EAF}" srcOrd="0" destOrd="0" presId="urn:microsoft.com/office/officeart/2005/8/layout/vList6"/>
    <dgm:cxn modelId="{A2A15365-AB2A-4263-9896-B820CA5D38A3}" srcId="{205C7148-BAA9-46C1-9F48-95E1ED3C5A47}" destId="{E9CE49FE-A7A6-496B-A6D1-247F3CD4B615}" srcOrd="0" destOrd="0" parTransId="{58A4D409-67D1-45D7-A5B5-0EFDC5106BCD}" sibTransId="{B4EB417E-0A44-4207-B9CA-5B65E2537CA0}"/>
    <dgm:cxn modelId="{23751776-669D-4496-9489-17955F7D0F70}" type="presOf" srcId="{390F8EE7-62E7-435D-BB16-94D09375F0BA}" destId="{26E8BDE7-6A0B-4438-BF3C-539E51DD8607}" srcOrd="0" destOrd="1" presId="urn:microsoft.com/office/officeart/2005/8/layout/vList6"/>
    <dgm:cxn modelId="{7F516C9B-6E4B-4B33-8D7D-DB374140AE46}" type="presOf" srcId="{31FDDA5E-2013-4C9A-BE76-1DB721D3FE4F}" destId="{F276D9A1-4F4B-4AC0-8B56-A3478A924ECD}" srcOrd="0" destOrd="1" presId="urn:microsoft.com/office/officeart/2005/8/layout/vList6"/>
    <dgm:cxn modelId="{20D2290E-23E9-4461-B3D2-CB3AD74E14E5}" srcId="{B13ABEB3-7971-4771-9766-96C74D1AE025}" destId="{2266BF3C-AC31-4AA6-BF65-57CC017512BE}" srcOrd="2" destOrd="0" parTransId="{E0F9E583-0765-431A-8A38-883C29F42A28}" sibTransId="{56811E36-84A4-4B4F-BE88-8B97FE18070F}"/>
    <dgm:cxn modelId="{5257BBE2-56E6-479A-9030-4EFEA664AD82}" srcId="{66EB137A-84AE-4D2B-9ED5-F1E9095401FA}" destId="{390F8EE7-62E7-435D-BB16-94D09375F0BA}" srcOrd="1" destOrd="0" parTransId="{60E217AB-1D6D-4F82-A9E9-D853E71135C0}" sibTransId="{5329035C-0351-42F0-B76E-3A8123C8B52C}"/>
    <dgm:cxn modelId="{AE76D005-9FF3-4272-98AB-61471B63E874}" type="presOf" srcId="{819D1B91-59E6-4D48-B1CF-0D655FC0FA3E}" destId="{17EF7E93-6B14-4F6D-A3D0-1F23A64FEA6B}" srcOrd="0" destOrd="2" presId="urn:microsoft.com/office/officeart/2005/8/layout/vList6"/>
    <dgm:cxn modelId="{C18C4CFD-917C-41B0-9DDB-D2842D2E8D04}" srcId="{54CF1F80-7349-4DC3-AB6D-DBF0B9A9BCE1}" destId="{6987DB38-62A1-4043-9CAF-E990B0BC77A0}" srcOrd="4" destOrd="0" parTransId="{F759B2DF-092C-44E0-8994-FF9031F2A011}" sibTransId="{7173B3B8-D13D-42A9-85DD-E4627DBDE7E5}"/>
    <dgm:cxn modelId="{3A1F1749-F1BD-4E17-BC69-7E2BFF175F85}" type="presOf" srcId="{E9CE49FE-A7A6-496B-A6D1-247F3CD4B615}" destId="{7A721F1C-8442-4B7D-B2CC-3A8C887BDE77}" srcOrd="0" destOrd="0" presId="urn:microsoft.com/office/officeart/2005/8/layout/vList6"/>
    <dgm:cxn modelId="{E0750B28-6EF3-4DAF-88B3-D7B7694D2266}" srcId="{B13ABEB3-7971-4771-9766-96C74D1AE025}" destId="{4DEF05B1-B1A7-4BB8-A55E-200EB78B64A8}" srcOrd="1" destOrd="0" parTransId="{44CC17A6-12FF-49EF-ACFD-492733DAA23F}" sibTransId="{89061947-7DCD-43ED-B3FB-3C6F5DA8F8AE}"/>
    <dgm:cxn modelId="{A13AAC51-2E92-4EFA-A3DD-6F1CFD28AA49}" type="presOf" srcId="{41F1DE28-A386-45B7-A997-B4533614B085}" destId="{26E8BDE7-6A0B-4438-BF3C-539E51DD8607}" srcOrd="0" destOrd="0" presId="urn:microsoft.com/office/officeart/2005/8/layout/vList6"/>
    <dgm:cxn modelId="{B162044B-23BD-410B-B91C-95A0C8F33E6C}" srcId="{06A09D2C-8F74-4701-9086-C436276D88EF}" destId="{31FDDA5E-2013-4C9A-BE76-1DB721D3FE4F}" srcOrd="1" destOrd="0" parTransId="{666C5441-1B47-4A58-B622-416FE5C2FCCF}" sibTransId="{E452E4E5-FEDB-4D8F-A72A-65789A65E3AD}"/>
    <dgm:cxn modelId="{E65A8654-BB99-4E7D-8ADB-16B4FAA2E950}" type="presOf" srcId="{B13ABEB3-7971-4771-9766-96C74D1AE025}" destId="{394981C9-2863-4711-905E-1479C5322EC0}" srcOrd="0" destOrd="0" presId="urn:microsoft.com/office/officeart/2005/8/layout/vList6"/>
    <dgm:cxn modelId="{3B1CCB83-8BB1-44B7-AD0B-00F2847176DC}" type="presOf" srcId="{2484F469-26B1-4E51-BD35-5AC33257859E}" destId="{17EF7E93-6B14-4F6D-A3D0-1F23A64FEA6B}" srcOrd="0" destOrd="1" presId="urn:microsoft.com/office/officeart/2005/8/layout/vList6"/>
    <dgm:cxn modelId="{000D3EE6-032F-45AD-AF90-22442B70D715}" type="presOf" srcId="{60CE67F5-42F3-47B0-9C82-5FA1FA5012A0}" destId="{CDF16FFB-6CE5-4C52-968F-3BAF16910D1F}" srcOrd="0" destOrd="0" presId="urn:microsoft.com/office/officeart/2005/8/layout/vList6"/>
    <dgm:cxn modelId="{952F9443-D79C-4C5C-8AA2-B1FB3536426E}" type="presOf" srcId="{06A09D2C-8F74-4701-9086-C436276D88EF}" destId="{3221C8F2-6E52-432E-AF4D-47991445AA5A}" srcOrd="0" destOrd="0" presId="urn:microsoft.com/office/officeart/2005/8/layout/vList6"/>
    <dgm:cxn modelId="{CC972EA3-B8D9-4302-AB83-75C6CAA958B6}" srcId="{6987DB38-62A1-4043-9CAF-E990B0BC77A0}" destId="{2484F469-26B1-4E51-BD35-5AC33257859E}" srcOrd="1" destOrd="0" parTransId="{F77F7644-8D89-4FEB-AD08-9634A8F0CB4C}" sibTransId="{839B47F4-8B27-4C6C-9E4C-5A60DCB8B0AB}"/>
    <dgm:cxn modelId="{9C4E7347-B468-4C2D-A71B-120DB480255E}" srcId="{66EB137A-84AE-4D2B-9ED5-F1E9095401FA}" destId="{41F1DE28-A386-45B7-A997-B4533614B085}" srcOrd="0" destOrd="0" parTransId="{18D30D97-A35A-408A-8C85-58F22B2C2032}" sibTransId="{718581B1-5D40-4C8B-A56F-536284097B90}"/>
    <dgm:cxn modelId="{BF09F629-CB35-4489-913A-6143E700C8E9}" srcId="{54CF1F80-7349-4DC3-AB6D-DBF0B9A9BCE1}" destId="{06A09D2C-8F74-4701-9086-C436276D88EF}" srcOrd="3" destOrd="0" parTransId="{F5C6D6B0-92CD-4CC7-8F43-E31C3BC038CD}" sibTransId="{B840CA32-D53F-424E-B162-EA7FEAEA6E0A}"/>
    <dgm:cxn modelId="{C09AA5FE-C023-446E-9795-016082781566}" type="presOf" srcId="{66EB137A-84AE-4D2B-9ED5-F1E9095401FA}" destId="{68345B52-3657-4111-852D-7DF2910EFC8D}" srcOrd="0" destOrd="0" presId="urn:microsoft.com/office/officeart/2005/8/layout/vList6"/>
    <dgm:cxn modelId="{67687364-4114-4F40-B07F-ED745E8AE771}" type="presOf" srcId="{2266BF3C-AC31-4AA6-BF65-57CC017512BE}" destId="{CDF16FFB-6CE5-4C52-968F-3BAF16910D1F}" srcOrd="0" destOrd="2" presId="urn:microsoft.com/office/officeart/2005/8/layout/vList6"/>
    <dgm:cxn modelId="{26A98C89-D463-4523-96F6-A27747F0212C}" type="presOf" srcId="{E9BE0F1D-3D02-4ED1-9B8A-FDEEDBDE1E5E}" destId="{26E8BDE7-6A0B-4438-BF3C-539E51DD8607}" srcOrd="0" destOrd="2" presId="urn:microsoft.com/office/officeart/2005/8/layout/vList6"/>
    <dgm:cxn modelId="{C78BC77B-26C8-4594-9378-D5723182D4FC}" type="presParOf" srcId="{FC931503-2837-4F55-A17B-4656F04A708B}" destId="{C8CAE7F4-0019-4DCC-97D2-542FF1DBB294}" srcOrd="0" destOrd="0" presId="urn:microsoft.com/office/officeart/2005/8/layout/vList6"/>
    <dgm:cxn modelId="{2177A0D8-3CAA-4032-B2B3-6FEAC9DA9141}" type="presParOf" srcId="{C8CAE7F4-0019-4DCC-97D2-542FF1DBB294}" destId="{4B440A2D-710B-4BA9-BCB1-C54F7A6E8F83}" srcOrd="0" destOrd="0" presId="urn:microsoft.com/office/officeart/2005/8/layout/vList6"/>
    <dgm:cxn modelId="{1BEDE242-982F-4E69-9AC1-D2A2468F10F5}" type="presParOf" srcId="{C8CAE7F4-0019-4DCC-97D2-542FF1DBB294}" destId="{7A721F1C-8442-4B7D-B2CC-3A8C887BDE77}" srcOrd="1" destOrd="0" presId="urn:microsoft.com/office/officeart/2005/8/layout/vList6"/>
    <dgm:cxn modelId="{53C87FC7-918D-4BE3-BFF2-B6825D7A3815}" type="presParOf" srcId="{FC931503-2837-4F55-A17B-4656F04A708B}" destId="{14419B7B-2223-47D6-A2F8-D04D1C51E213}" srcOrd="1" destOrd="0" presId="urn:microsoft.com/office/officeart/2005/8/layout/vList6"/>
    <dgm:cxn modelId="{B803182D-4B9B-4D33-A6B7-37B125510761}" type="presParOf" srcId="{FC931503-2837-4F55-A17B-4656F04A708B}" destId="{C26FC079-8D2E-45F8-954A-44BC52A02A3D}" srcOrd="2" destOrd="0" presId="urn:microsoft.com/office/officeart/2005/8/layout/vList6"/>
    <dgm:cxn modelId="{9627B5D9-6D9E-4F53-90CD-4F4799BFD5B9}" type="presParOf" srcId="{C26FC079-8D2E-45F8-954A-44BC52A02A3D}" destId="{394981C9-2863-4711-905E-1479C5322EC0}" srcOrd="0" destOrd="0" presId="urn:microsoft.com/office/officeart/2005/8/layout/vList6"/>
    <dgm:cxn modelId="{1FC7B28F-2F8C-4B65-96DB-CE9B43B94913}" type="presParOf" srcId="{C26FC079-8D2E-45F8-954A-44BC52A02A3D}" destId="{CDF16FFB-6CE5-4C52-968F-3BAF16910D1F}" srcOrd="1" destOrd="0" presId="urn:microsoft.com/office/officeart/2005/8/layout/vList6"/>
    <dgm:cxn modelId="{1CC2A494-A134-4400-A38A-095257859FAB}" type="presParOf" srcId="{FC931503-2837-4F55-A17B-4656F04A708B}" destId="{C400D605-4E9C-4858-BE3E-9A5DA485D716}" srcOrd="3" destOrd="0" presId="urn:microsoft.com/office/officeart/2005/8/layout/vList6"/>
    <dgm:cxn modelId="{2463AFE2-EA99-472D-9586-99C2FF223897}" type="presParOf" srcId="{FC931503-2837-4F55-A17B-4656F04A708B}" destId="{D65B1A16-B158-4107-9226-5A07BF100806}" srcOrd="4" destOrd="0" presId="urn:microsoft.com/office/officeart/2005/8/layout/vList6"/>
    <dgm:cxn modelId="{4111B8E4-7A66-43D2-8C56-00510D08D2CE}" type="presParOf" srcId="{D65B1A16-B158-4107-9226-5A07BF100806}" destId="{68345B52-3657-4111-852D-7DF2910EFC8D}" srcOrd="0" destOrd="0" presId="urn:microsoft.com/office/officeart/2005/8/layout/vList6"/>
    <dgm:cxn modelId="{4F88B923-CF2C-43F4-993E-1464E9C59FFE}" type="presParOf" srcId="{D65B1A16-B158-4107-9226-5A07BF100806}" destId="{26E8BDE7-6A0B-4438-BF3C-539E51DD8607}" srcOrd="1" destOrd="0" presId="urn:microsoft.com/office/officeart/2005/8/layout/vList6"/>
    <dgm:cxn modelId="{15586C21-EBE5-4AC4-B684-3D2C343E50AD}" type="presParOf" srcId="{FC931503-2837-4F55-A17B-4656F04A708B}" destId="{E520C9AF-E3A6-4ED0-91AD-7479770EFEAF}" srcOrd="5" destOrd="0" presId="urn:microsoft.com/office/officeart/2005/8/layout/vList6"/>
    <dgm:cxn modelId="{292893E1-B710-41EE-8D0E-D53F0AB5B1B3}" type="presParOf" srcId="{FC931503-2837-4F55-A17B-4656F04A708B}" destId="{D79BBE7E-8918-401C-B8DD-BBA3E6DFB40F}" srcOrd="6" destOrd="0" presId="urn:microsoft.com/office/officeart/2005/8/layout/vList6"/>
    <dgm:cxn modelId="{1DFC7804-413E-48C9-B02D-6DA4D758B4E1}" type="presParOf" srcId="{D79BBE7E-8918-401C-B8DD-BBA3E6DFB40F}" destId="{3221C8F2-6E52-432E-AF4D-47991445AA5A}" srcOrd="0" destOrd="0" presId="urn:microsoft.com/office/officeart/2005/8/layout/vList6"/>
    <dgm:cxn modelId="{5B072119-67EC-454D-B322-206D0156F026}" type="presParOf" srcId="{D79BBE7E-8918-401C-B8DD-BBA3E6DFB40F}" destId="{F276D9A1-4F4B-4AC0-8B56-A3478A924ECD}" srcOrd="1" destOrd="0" presId="urn:microsoft.com/office/officeart/2005/8/layout/vList6"/>
    <dgm:cxn modelId="{3BEB36CD-F373-4335-8525-5E56443205B0}" type="presParOf" srcId="{FC931503-2837-4F55-A17B-4656F04A708B}" destId="{3619DEFE-1F6B-43D6-8324-49AE36E11C7E}" srcOrd="7" destOrd="0" presId="urn:microsoft.com/office/officeart/2005/8/layout/vList6"/>
    <dgm:cxn modelId="{FA276C9E-12D8-4692-A881-CB9D335367A0}" type="presParOf" srcId="{FC931503-2837-4F55-A17B-4656F04A708B}" destId="{41CE6426-E9FC-422A-9F42-B666F581B06F}" srcOrd="8" destOrd="0" presId="urn:microsoft.com/office/officeart/2005/8/layout/vList6"/>
    <dgm:cxn modelId="{F0062F78-21FF-43DD-8BED-34431DD2DFE5}" type="presParOf" srcId="{41CE6426-E9FC-422A-9F42-B666F581B06F}" destId="{A4609750-B5D6-45B6-A39A-B57CC4BB0EAF}" srcOrd="0" destOrd="0" presId="urn:microsoft.com/office/officeart/2005/8/layout/vList6"/>
    <dgm:cxn modelId="{5C8E4E4F-0E02-4112-BB0E-3C2A02414D7B}" type="presParOf" srcId="{41CE6426-E9FC-422A-9F42-B666F581B06F}" destId="{17EF7E93-6B14-4F6D-A3D0-1F23A64FEA6B}" srcOrd="1" destOrd="0" presId="urn:microsoft.com/office/officeart/2005/8/layout/vList6"/>
    <dgm:cxn modelId="{F5DC84A7-99E8-4140-8E2E-F7DAB60457B8}" type="presParOf" srcId="{FC931503-2837-4F55-A17B-4656F04A708B}" destId="{3D91545B-39D9-40DC-9574-929AC24E25BD}" srcOrd="9" destOrd="0" presId="urn:microsoft.com/office/officeart/2005/8/layout/vList6"/>
    <dgm:cxn modelId="{CD6B93F3-CDAD-4FD7-9472-59690E81DBDB}" type="presParOf" srcId="{FC931503-2837-4F55-A17B-4656F04A708B}" destId="{15297561-B846-48D1-8FBC-F71C54AD5A22}" srcOrd="10" destOrd="0" presId="urn:microsoft.com/office/officeart/2005/8/layout/vList6"/>
    <dgm:cxn modelId="{CBC4863B-8F9E-4C40-9A46-1054A1FFC86E}" type="presParOf" srcId="{15297561-B846-48D1-8FBC-F71C54AD5A22}" destId="{C1026AE3-3818-48AC-861B-6A3AD77BF423}" srcOrd="0" destOrd="0" presId="urn:microsoft.com/office/officeart/2005/8/layout/vList6"/>
    <dgm:cxn modelId="{816B98C4-95DF-4171-984B-D32A25AACD37}" type="presParOf" srcId="{15297561-B846-48D1-8FBC-F71C54AD5A22}" destId="{6216B28F-2190-4D63-A157-381DCB790D69}" srcOrd="1" destOrd="0" presId="urn:microsoft.com/office/officeart/2005/8/layout/vList6"/>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7BDE974-2835-4290-8DB2-6F84BD1CF2D0}" type="doc">
      <dgm:prSet loTypeId="urn:microsoft.com/office/officeart/2005/8/layout/process4" loCatId="process" qsTypeId="urn:microsoft.com/office/officeart/2005/8/quickstyle/simple1#3" qsCatId="simple" csTypeId="urn:microsoft.com/office/officeart/2005/8/colors/accent1_2#3" csCatId="accent1" phldr="1"/>
      <dgm:spPr/>
      <dgm:t>
        <a:bodyPr/>
        <a:lstStyle/>
        <a:p>
          <a:endParaRPr lang="bg-BG"/>
        </a:p>
      </dgm:t>
    </dgm:pt>
    <dgm:pt modelId="{150990B3-3F82-487B-8B83-24BEEDC716A5}">
      <dgm:prSet phldrT="[Text]" custT="1"/>
      <dgm:spPr>
        <a:xfrm rot="10800000">
          <a:off x="0" y="0"/>
          <a:ext cx="5490844" cy="74496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indent="0">
            <a:spcAft>
              <a:spcPts val="0"/>
            </a:spcAft>
          </a:pPr>
          <a:r>
            <a:rPr lang="bg-BG" sz="1000">
              <a:solidFill>
                <a:sysClr val="window" lastClr="FFFFFF"/>
              </a:solidFill>
              <a:latin typeface="Calibri"/>
              <a:ea typeface="+mn-ea"/>
              <a:cs typeface="+mn-cs"/>
            </a:rPr>
            <a:t>Подаване на проектни предложения</a:t>
          </a:r>
        </a:p>
      </dgm:t>
    </dgm:pt>
    <dgm:pt modelId="{AD95BE86-9FD9-4FBF-A4B4-F7BD43B09E32}" type="parTrans" cxnId="{6A399066-8B38-4B94-AD5A-0D4A492FA689}">
      <dgm:prSet/>
      <dgm:spPr/>
      <dgm:t>
        <a:bodyPr/>
        <a:lstStyle/>
        <a:p>
          <a:endParaRPr lang="bg-BG"/>
        </a:p>
      </dgm:t>
    </dgm:pt>
    <dgm:pt modelId="{E51156EC-1433-48F3-9B14-A7DCBD795ACA}" type="sibTrans" cxnId="{6A399066-8B38-4B94-AD5A-0D4A492FA689}">
      <dgm:prSet/>
      <dgm:spPr/>
      <dgm:t>
        <a:bodyPr/>
        <a:lstStyle/>
        <a:p>
          <a:endParaRPr lang="bg-BG"/>
        </a:p>
      </dgm:t>
    </dgm:pt>
    <dgm:pt modelId="{0FCA178E-45A2-4F0F-8E76-7968120E469E}">
      <dgm:prSet phldrT="[Text]" custT="1"/>
      <dgm:spPr>
        <a:xfrm>
          <a:off x="0" y="261569"/>
          <a:ext cx="2745422" cy="22274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00000"/>
            </a:lnSpc>
            <a:spcAft>
              <a:spcPts val="0"/>
            </a:spcAft>
          </a:pPr>
          <a:r>
            <a:rPr lang="bg-BG" sz="1000">
              <a:solidFill>
                <a:sysClr val="windowText" lastClr="000000">
                  <a:hueOff val="0"/>
                  <a:satOff val="0"/>
                  <a:lumOff val="0"/>
                  <a:alphaOff val="0"/>
                </a:sysClr>
              </a:solidFill>
              <a:latin typeface="Calibri"/>
              <a:ea typeface="+mn-ea"/>
              <a:cs typeface="+mn-cs"/>
            </a:rPr>
            <a:t>Подготовка на проектно предложение/ </a:t>
          </a:r>
        </a:p>
        <a:p>
          <a:pPr>
            <a:lnSpc>
              <a:spcPct val="90000"/>
            </a:lnSpc>
            <a:spcAft>
              <a:spcPct val="35000"/>
            </a:spcAft>
          </a:pPr>
          <a:r>
            <a:rPr lang="bg-BG" sz="1000">
              <a:solidFill>
                <a:sysClr val="windowText" lastClr="000000">
                  <a:hueOff val="0"/>
                  <a:satOff val="0"/>
                  <a:lumOff val="0"/>
                  <a:alphaOff val="0"/>
                </a:sysClr>
              </a:solidFill>
              <a:latin typeface="Calibri"/>
              <a:ea typeface="+mn-ea"/>
              <a:cs typeface="+mn-cs"/>
            </a:rPr>
            <a:t>бюджетна линия</a:t>
          </a:r>
        </a:p>
      </dgm:t>
    </dgm:pt>
    <dgm:pt modelId="{3725DCC9-C7F7-4ACA-B901-E65EFC237906}" type="parTrans" cxnId="{DE333D7D-E808-49CC-BD1E-7281F32F10FF}">
      <dgm:prSet/>
      <dgm:spPr/>
      <dgm:t>
        <a:bodyPr/>
        <a:lstStyle/>
        <a:p>
          <a:endParaRPr lang="bg-BG"/>
        </a:p>
      </dgm:t>
    </dgm:pt>
    <dgm:pt modelId="{4A1348E5-AC4A-488A-95C7-589738599947}" type="sibTrans" cxnId="{DE333D7D-E808-49CC-BD1E-7281F32F10FF}">
      <dgm:prSet/>
      <dgm:spPr/>
      <dgm:t>
        <a:bodyPr/>
        <a:lstStyle/>
        <a:p>
          <a:endParaRPr lang="bg-BG"/>
        </a:p>
      </dgm:t>
    </dgm:pt>
    <dgm:pt modelId="{B199CB96-F9B3-487A-B8A3-706AC9DD1A8A}">
      <dgm:prSet phldrT="[Text]" custT="1"/>
      <dgm:spPr>
        <a:xfrm>
          <a:off x="2745422" y="261569"/>
          <a:ext cx="2745422" cy="22274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Регистриране на ФК</a:t>
          </a:r>
        </a:p>
      </dgm:t>
    </dgm:pt>
    <dgm:pt modelId="{8E18A58E-D099-4161-ACB6-79E7174A96A3}" type="parTrans" cxnId="{005CCF4B-F893-4830-A7F9-D4F072ADF507}">
      <dgm:prSet/>
      <dgm:spPr/>
      <dgm:t>
        <a:bodyPr/>
        <a:lstStyle/>
        <a:p>
          <a:endParaRPr lang="bg-BG"/>
        </a:p>
      </dgm:t>
    </dgm:pt>
    <dgm:pt modelId="{3AFF878C-06C3-4A18-AED0-82406E2CE5B6}" type="sibTrans" cxnId="{005CCF4B-F893-4830-A7F9-D4F072ADF507}">
      <dgm:prSet/>
      <dgm:spPr/>
      <dgm:t>
        <a:bodyPr/>
        <a:lstStyle/>
        <a:p>
          <a:endParaRPr lang="bg-BG"/>
        </a:p>
      </dgm:t>
    </dgm:pt>
    <dgm:pt modelId="{395B84DE-DBFA-4628-929C-F9FAE8C6F27D}">
      <dgm:prSet phldrT="[Text]" custT="1"/>
      <dgm:spPr>
        <a:xfrm rot="10800000">
          <a:off x="0" y="1475484"/>
          <a:ext cx="5490844" cy="74496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sz="1000">
              <a:solidFill>
                <a:sysClr val="window" lastClr="FFFFFF"/>
              </a:solidFill>
              <a:latin typeface="Calibri"/>
              <a:ea typeface="+mn-ea"/>
              <a:cs typeface="+mn-cs"/>
            </a:rPr>
            <a:t>Провеждане на първо заседание на оценителната комисия</a:t>
          </a:r>
        </a:p>
      </dgm:t>
    </dgm:pt>
    <dgm:pt modelId="{34BA1D48-69CE-4010-B804-86F924AFADFE}" type="parTrans" cxnId="{12DBE7DF-B8F2-4527-BF6E-AFC2E33BD3A6}">
      <dgm:prSet/>
      <dgm:spPr/>
      <dgm:t>
        <a:bodyPr/>
        <a:lstStyle/>
        <a:p>
          <a:endParaRPr lang="bg-BG"/>
        </a:p>
      </dgm:t>
    </dgm:pt>
    <dgm:pt modelId="{AFE140F9-E85B-4313-86A3-400A38AEE2FE}" type="sibTrans" cxnId="{12DBE7DF-B8F2-4527-BF6E-AFC2E33BD3A6}">
      <dgm:prSet/>
      <dgm:spPr/>
      <dgm:t>
        <a:bodyPr/>
        <a:lstStyle/>
        <a:p>
          <a:endParaRPr lang="bg-BG"/>
        </a:p>
      </dgm:t>
    </dgm:pt>
    <dgm:pt modelId="{55097C26-910A-417E-A5DA-9879C57E8A29}">
      <dgm:prSet phldrT="[Text]" custT="1"/>
      <dgm:spPr>
        <a:xfrm>
          <a:off x="0" y="1736967"/>
          <a:ext cx="2745422" cy="22274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Запознаване на членовете на оценителната  комисия с процедурата по оценка</a:t>
          </a:r>
        </a:p>
      </dgm:t>
    </dgm:pt>
    <dgm:pt modelId="{A4612D59-2E7D-49EB-9E54-947D7937D56B}" type="parTrans" cxnId="{9D1A982A-092A-4BED-BD33-8F7E5A15E743}">
      <dgm:prSet/>
      <dgm:spPr/>
      <dgm:t>
        <a:bodyPr/>
        <a:lstStyle/>
        <a:p>
          <a:endParaRPr lang="bg-BG"/>
        </a:p>
      </dgm:t>
    </dgm:pt>
    <dgm:pt modelId="{A6F3DCEB-62B5-45C5-B54E-C62497DE1C3F}" type="sibTrans" cxnId="{9D1A982A-092A-4BED-BD33-8F7E5A15E743}">
      <dgm:prSet/>
      <dgm:spPr/>
      <dgm:t>
        <a:bodyPr/>
        <a:lstStyle/>
        <a:p>
          <a:endParaRPr lang="bg-BG"/>
        </a:p>
      </dgm:t>
    </dgm:pt>
    <dgm:pt modelId="{9DF08EC0-0C3C-4A20-9092-A53547A1371A}">
      <dgm:prSet phldrT="[Text]" custT="1"/>
      <dgm:spPr>
        <a:xfrm>
          <a:off x="2745422" y="1736967"/>
          <a:ext cx="2745422" cy="22274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Подписване на декларации за липса на конфликт на интереси и контрол на декларациите </a:t>
          </a:r>
          <a:endParaRPr lang="bg-BG" sz="1000" b="1">
            <a:solidFill>
              <a:sysClr val="windowText" lastClr="000000">
                <a:hueOff val="0"/>
                <a:satOff val="0"/>
                <a:lumOff val="0"/>
                <a:alphaOff val="0"/>
              </a:sysClr>
            </a:solidFill>
            <a:latin typeface="Calibri"/>
            <a:ea typeface="+mn-ea"/>
            <a:cs typeface="+mn-cs"/>
          </a:endParaRPr>
        </a:p>
      </dgm:t>
    </dgm:pt>
    <dgm:pt modelId="{8292E47A-9E66-4F0B-895E-0D56180707B8}" type="parTrans" cxnId="{4424A695-9C95-44FE-9BC7-3B83EE603F96}">
      <dgm:prSet/>
      <dgm:spPr/>
      <dgm:t>
        <a:bodyPr/>
        <a:lstStyle/>
        <a:p>
          <a:endParaRPr lang="bg-BG"/>
        </a:p>
      </dgm:t>
    </dgm:pt>
    <dgm:pt modelId="{6A78E8D5-799F-4E02-8F10-5B44F7B0D201}" type="sibTrans" cxnId="{4424A695-9C95-44FE-9BC7-3B83EE603F96}">
      <dgm:prSet/>
      <dgm:spPr/>
      <dgm:t>
        <a:bodyPr/>
        <a:lstStyle/>
        <a:p>
          <a:endParaRPr lang="bg-BG"/>
        </a:p>
      </dgm:t>
    </dgm:pt>
    <dgm:pt modelId="{82945630-37D5-4114-88D5-403FE7FF3E01}">
      <dgm:prSet phldrT="[Text]" custT="1"/>
      <dgm:spPr>
        <a:xfrm>
          <a:off x="0" y="2474665"/>
          <a:ext cx="2745422" cy="22274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Проверка на ФК по критериите за административно съответствие </a:t>
          </a:r>
        </a:p>
      </dgm:t>
    </dgm:pt>
    <dgm:pt modelId="{0DBFB296-DD0D-47BE-8825-D9794A5E219B}" type="parTrans" cxnId="{84F66A59-854D-40BC-9CB1-98F2D0A40DBA}">
      <dgm:prSet/>
      <dgm:spPr/>
      <dgm:t>
        <a:bodyPr/>
        <a:lstStyle/>
        <a:p>
          <a:endParaRPr lang="bg-BG"/>
        </a:p>
      </dgm:t>
    </dgm:pt>
    <dgm:pt modelId="{47D57A94-05BA-4B65-B720-326AFCB72E0A}" type="sibTrans" cxnId="{84F66A59-854D-40BC-9CB1-98F2D0A40DBA}">
      <dgm:prSet/>
      <dgm:spPr/>
      <dgm:t>
        <a:bodyPr/>
        <a:lstStyle/>
        <a:p>
          <a:endParaRPr lang="bg-BG"/>
        </a:p>
      </dgm:t>
    </dgm:pt>
    <dgm:pt modelId="{65A4E0B0-1A22-4AE2-B1DC-F0AA1369FC43}">
      <dgm:prSet phldrT="[Text]" custT="1"/>
      <dgm:spPr>
        <a:xfrm>
          <a:off x="2745422" y="2474665"/>
          <a:ext cx="2745422" cy="22274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Попълване на резултатите в оценителна татаблица</a:t>
          </a:r>
        </a:p>
      </dgm:t>
    </dgm:pt>
    <dgm:pt modelId="{3504B0BB-7DB5-44AA-ABEF-0364A4841408}" type="parTrans" cxnId="{48D3B1FE-A74A-4C4A-BB47-7775CAB3C484}">
      <dgm:prSet/>
      <dgm:spPr/>
      <dgm:t>
        <a:bodyPr/>
        <a:lstStyle/>
        <a:p>
          <a:endParaRPr lang="bg-BG"/>
        </a:p>
      </dgm:t>
    </dgm:pt>
    <dgm:pt modelId="{6D89153B-9AA2-4DC9-BD6F-DCB3226082AF}" type="sibTrans" cxnId="{48D3B1FE-A74A-4C4A-BB47-7775CAB3C484}">
      <dgm:prSet/>
      <dgm:spPr/>
      <dgm:t>
        <a:bodyPr/>
        <a:lstStyle/>
        <a:p>
          <a:endParaRPr lang="bg-BG"/>
        </a:p>
      </dgm:t>
    </dgm:pt>
    <dgm:pt modelId="{BBC381D4-F34D-4572-AF01-F054F6F364D9}">
      <dgm:prSet phldrT="[Text]" custT="1"/>
      <dgm:spPr>
        <a:xfrm rot="10800000">
          <a:off x="0" y="737786"/>
          <a:ext cx="5490844" cy="74496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sz="1000">
              <a:solidFill>
                <a:sysClr val="window" lastClr="FFFFFF"/>
              </a:solidFill>
              <a:latin typeface="Calibri"/>
              <a:ea typeface="+mn-ea"/>
              <a:cs typeface="+mn-cs"/>
            </a:rPr>
            <a:t>Сформиране на оценителна комисия</a:t>
          </a:r>
        </a:p>
      </dgm:t>
    </dgm:pt>
    <dgm:pt modelId="{4FCD14E5-5EDD-4409-B1D9-E8DA81F692A1}" type="parTrans" cxnId="{AD01A517-D987-41A6-AF70-5DF9A692E4A7}">
      <dgm:prSet/>
      <dgm:spPr/>
      <dgm:t>
        <a:bodyPr/>
        <a:lstStyle/>
        <a:p>
          <a:endParaRPr lang="bg-BG"/>
        </a:p>
      </dgm:t>
    </dgm:pt>
    <dgm:pt modelId="{411EB52D-6B2B-4A71-8256-4750E6C97EB8}" type="sibTrans" cxnId="{AD01A517-D987-41A6-AF70-5DF9A692E4A7}">
      <dgm:prSet/>
      <dgm:spPr/>
      <dgm:t>
        <a:bodyPr/>
        <a:lstStyle/>
        <a:p>
          <a:endParaRPr lang="bg-BG"/>
        </a:p>
      </dgm:t>
    </dgm:pt>
    <dgm:pt modelId="{5A9DA31A-F8E8-4A72-8C21-34940A62E9A7}">
      <dgm:prSet phldrT="[Text]" custT="1"/>
      <dgm:spPr>
        <a:xfrm>
          <a:off x="0" y="999268"/>
          <a:ext cx="2745422" cy="22274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Решение за сформиране на оценителна комисия</a:t>
          </a:r>
        </a:p>
      </dgm:t>
    </dgm:pt>
    <dgm:pt modelId="{89EF67D6-D41D-45A5-9FFF-8101177A465F}" type="parTrans" cxnId="{EC7E86EF-6CDC-4DBC-90E0-8196D5DC2DA2}">
      <dgm:prSet/>
      <dgm:spPr/>
      <dgm:t>
        <a:bodyPr/>
        <a:lstStyle/>
        <a:p>
          <a:endParaRPr lang="bg-BG"/>
        </a:p>
      </dgm:t>
    </dgm:pt>
    <dgm:pt modelId="{C3CEED9A-1CDE-4B76-98F5-797EB6724C50}" type="sibTrans" cxnId="{EC7E86EF-6CDC-4DBC-90E0-8196D5DC2DA2}">
      <dgm:prSet/>
      <dgm:spPr/>
      <dgm:t>
        <a:bodyPr/>
        <a:lstStyle/>
        <a:p>
          <a:endParaRPr lang="bg-BG"/>
        </a:p>
      </dgm:t>
    </dgm:pt>
    <dgm:pt modelId="{AE5CE1AD-F47E-4DDC-9A32-553CA3FDE4A7}">
      <dgm:prSet phldrT="[Text]" custT="1"/>
      <dgm:spPr>
        <a:xfrm>
          <a:off x="2745422" y="999268"/>
          <a:ext cx="2745422" cy="22274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Срок за работа, задължения на участницине в оценителния процес </a:t>
          </a:r>
        </a:p>
      </dgm:t>
    </dgm:pt>
    <dgm:pt modelId="{8191AEF4-E73C-4608-AC93-977A919F4E30}" type="parTrans" cxnId="{8BDB0E8B-CC4B-4DF3-B88F-7DE96F9D2ACE}">
      <dgm:prSet/>
      <dgm:spPr/>
      <dgm:t>
        <a:bodyPr/>
        <a:lstStyle/>
        <a:p>
          <a:endParaRPr lang="bg-BG"/>
        </a:p>
      </dgm:t>
    </dgm:pt>
    <dgm:pt modelId="{90EA54BC-BA00-4421-B048-422ABEA978F1}" type="sibTrans" cxnId="{8BDB0E8B-CC4B-4DF3-B88F-7DE96F9D2ACE}">
      <dgm:prSet/>
      <dgm:spPr/>
      <dgm:t>
        <a:bodyPr/>
        <a:lstStyle/>
        <a:p>
          <a:endParaRPr lang="bg-BG"/>
        </a:p>
      </dgm:t>
    </dgm:pt>
    <dgm:pt modelId="{5308CA4F-98DE-48CE-96A8-1D6006766EDA}">
      <dgm:prSet phldrT="[Text]" custT="1"/>
      <dgm:spPr>
        <a:xfrm rot="10800000">
          <a:off x="0" y="2213183"/>
          <a:ext cx="5490844" cy="74496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sz="1000">
              <a:solidFill>
                <a:sysClr val="window" lastClr="FFFFFF"/>
              </a:solidFill>
              <a:latin typeface="Calibri"/>
              <a:ea typeface="+mn-ea"/>
              <a:cs typeface="+mn-cs"/>
            </a:rPr>
            <a:t>Административно съответствие на оценяваното проектно предложение</a:t>
          </a:r>
        </a:p>
      </dgm:t>
    </dgm:pt>
    <dgm:pt modelId="{C26E019B-34F8-41EB-A046-662603C3A8BF}" type="sibTrans" cxnId="{97CB67C1-6E9E-489F-956D-C0A71E8616BA}">
      <dgm:prSet/>
      <dgm:spPr/>
      <dgm:t>
        <a:bodyPr/>
        <a:lstStyle/>
        <a:p>
          <a:endParaRPr lang="bg-BG"/>
        </a:p>
      </dgm:t>
    </dgm:pt>
    <dgm:pt modelId="{B28E719C-3CA6-499C-A60C-115654075652}" type="parTrans" cxnId="{97CB67C1-6E9E-489F-956D-C0A71E8616BA}">
      <dgm:prSet/>
      <dgm:spPr/>
      <dgm:t>
        <a:bodyPr/>
        <a:lstStyle/>
        <a:p>
          <a:endParaRPr lang="bg-BG"/>
        </a:p>
      </dgm:t>
    </dgm:pt>
    <dgm:pt modelId="{C790C1DD-ACB9-4A86-84AB-963AC99218AD}">
      <dgm:prSet phldrT="[Text]" custT="1"/>
      <dgm:spPr>
        <a:xfrm rot="10800000">
          <a:off x="0" y="2950882"/>
          <a:ext cx="5490844" cy="74496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sz="1000">
              <a:solidFill>
                <a:sysClr val="window" lastClr="FFFFFF"/>
              </a:solidFill>
              <a:latin typeface="Calibri"/>
              <a:ea typeface="+mn-ea"/>
              <a:cs typeface="+mn-cs"/>
            </a:rPr>
            <a:t>Допустимост на оценяваното проектно предложение</a:t>
          </a:r>
        </a:p>
      </dgm:t>
    </dgm:pt>
    <dgm:pt modelId="{7F471E5B-C86D-41BA-A0C6-AF70DC97CF0E}" type="parTrans" cxnId="{05BD65D3-7C0B-48CB-A496-E5D4F511D1D9}">
      <dgm:prSet/>
      <dgm:spPr/>
      <dgm:t>
        <a:bodyPr/>
        <a:lstStyle/>
        <a:p>
          <a:endParaRPr lang="bg-BG"/>
        </a:p>
      </dgm:t>
    </dgm:pt>
    <dgm:pt modelId="{DFA445F6-0A4C-42F2-A212-A158299A73F3}" type="sibTrans" cxnId="{05BD65D3-7C0B-48CB-A496-E5D4F511D1D9}">
      <dgm:prSet/>
      <dgm:spPr/>
      <dgm:t>
        <a:bodyPr/>
        <a:lstStyle/>
        <a:p>
          <a:endParaRPr lang="bg-BG"/>
        </a:p>
      </dgm:t>
    </dgm:pt>
    <dgm:pt modelId="{9EAAED22-AF84-4960-BBF4-08E129DE37DB}">
      <dgm:prSet phldrT="[Text]" custT="1"/>
      <dgm:spPr>
        <a:xfrm>
          <a:off x="0" y="3212364"/>
          <a:ext cx="2745422" cy="22274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Проверка на ФК/бюджетната линия по критериите за допустимост</a:t>
          </a:r>
        </a:p>
      </dgm:t>
    </dgm:pt>
    <dgm:pt modelId="{3EB52AA8-3E7B-4928-B377-22FA392F4CC9}" type="parTrans" cxnId="{2E242EDF-366F-4001-A140-97C86716A196}">
      <dgm:prSet/>
      <dgm:spPr/>
      <dgm:t>
        <a:bodyPr/>
        <a:lstStyle/>
        <a:p>
          <a:endParaRPr lang="bg-BG"/>
        </a:p>
      </dgm:t>
    </dgm:pt>
    <dgm:pt modelId="{17155CAF-C712-4A89-BF3F-68758FC2278E}" type="sibTrans" cxnId="{2E242EDF-366F-4001-A140-97C86716A196}">
      <dgm:prSet/>
      <dgm:spPr/>
      <dgm:t>
        <a:bodyPr/>
        <a:lstStyle/>
        <a:p>
          <a:endParaRPr lang="bg-BG"/>
        </a:p>
      </dgm:t>
    </dgm:pt>
    <dgm:pt modelId="{7AA96BC5-838D-4374-9577-4E35B4097EB5}">
      <dgm:prSet phldrT="[Text]" custT="1"/>
      <dgm:spPr>
        <a:xfrm>
          <a:off x="2745422" y="3212364"/>
          <a:ext cx="2745422" cy="22274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Попълване на резултатите в оценителната таблица</a:t>
          </a:r>
        </a:p>
      </dgm:t>
    </dgm:pt>
    <dgm:pt modelId="{35ABD7CD-B1DB-4104-9777-4539D4365773}" type="parTrans" cxnId="{489BB95F-77AE-493E-AE9A-3BAA1B8508A1}">
      <dgm:prSet/>
      <dgm:spPr/>
      <dgm:t>
        <a:bodyPr/>
        <a:lstStyle/>
        <a:p>
          <a:endParaRPr lang="bg-BG"/>
        </a:p>
      </dgm:t>
    </dgm:pt>
    <dgm:pt modelId="{EB4B1D5B-A5C1-41D4-98DA-85051F9FCA04}" type="sibTrans" cxnId="{489BB95F-77AE-493E-AE9A-3BAA1B8508A1}">
      <dgm:prSet/>
      <dgm:spPr/>
      <dgm:t>
        <a:bodyPr/>
        <a:lstStyle/>
        <a:p>
          <a:endParaRPr lang="bg-BG"/>
        </a:p>
      </dgm:t>
    </dgm:pt>
    <dgm:pt modelId="{95E4CABD-AC3A-4CBA-80CA-29552601B843}">
      <dgm:prSet phldrT="[Text]" custT="1"/>
      <dgm:spPr>
        <a:xfrm rot="10800000">
          <a:off x="0" y="3688580"/>
          <a:ext cx="5490844" cy="74496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sz="1000">
              <a:solidFill>
                <a:sysClr val="window" lastClr="FFFFFF"/>
              </a:solidFill>
              <a:latin typeface="Calibri"/>
              <a:ea typeface="+mn-ea"/>
              <a:cs typeface="+mn-cs"/>
            </a:rPr>
            <a:t>Техническа и финансова оценка</a:t>
          </a:r>
        </a:p>
      </dgm:t>
    </dgm:pt>
    <dgm:pt modelId="{8C91769B-4314-4E2A-90A2-81E6D95576B2}" type="parTrans" cxnId="{AD053754-BAF5-4347-B6F1-230A5EED16AE}">
      <dgm:prSet/>
      <dgm:spPr/>
      <dgm:t>
        <a:bodyPr/>
        <a:lstStyle/>
        <a:p>
          <a:endParaRPr lang="bg-BG"/>
        </a:p>
      </dgm:t>
    </dgm:pt>
    <dgm:pt modelId="{D4350592-FC14-4177-BA63-B17A79DDC985}" type="sibTrans" cxnId="{AD053754-BAF5-4347-B6F1-230A5EED16AE}">
      <dgm:prSet/>
      <dgm:spPr/>
      <dgm:t>
        <a:bodyPr/>
        <a:lstStyle/>
        <a:p>
          <a:endParaRPr lang="bg-BG"/>
        </a:p>
      </dgm:t>
    </dgm:pt>
    <dgm:pt modelId="{C6EE8D89-F7C7-4A00-9EF0-E5B0516C794C}">
      <dgm:prSet phldrT="[Text]" custT="1"/>
      <dgm:spPr>
        <a:xfrm>
          <a:off x="0" y="3950063"/>
          <a:ext cx="2745422" cy="22274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Проверка на ФК по критериите за техническа и финансова оценка</a:t>
          </a:r>
        </a:p>
      </dgm:t>
    </dgm:pt>
    <dgm:pt modelId="{09DBA233-0566-4792-BEF7-593AAB0FCED9}" type="parTrans" cxnId="{C61D01CD-0007-4BB1-834A-6123E952C1E4}">
      <dgm:prSet/>
      <dgm:spPr/>
      <dgm:t>
        <a:bodyPr/>
        <a:lstStyle/>
        <a:p>
          <a:endParaRPr lang="bg-BG"/>
        </a:p>
      </dgm:t>
    </dgm:pt>
    <dgm:pt modelId="{28E1CCAE-5376-4FF7-8EDE-1B639D88FD2F}" type="sibTrans" cxnId="{C61D01CD-0007-4BB1-834A-6123E952C1E4}">
      <dgm:prSet/>
      <dgm:spPr/>
      <dgm:t>
        <a:bodyPr/>
        <a:lstStyle/>
        <a:p>
          <a:endParaRPr lang="bg-BG"/>
        </a:p>
      </dgm:t>
    </dgm:pt>
    <dgm:pt modelId="{3085882B-3BB3-4447-811D-FE9FD04E019C}">
      <dgm:prSet phldrT="[Text]" custT="1"/>
      <dgm:spPr>
        <a:xfrm>
          <a:off x="2745422" y="3950063"/>
          <a:ext cx="2745422" cy="22274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Попълване на резултатите в оценителната таблица</a:t>
          </a:r>
        </a:p>
      </dgm:t>
    </dgm:pt>
    <dgm:pt modelId="{4FCC7418-456B-4DFE-83D2-6633EFEEDE53}" type="parTrans" cxnId="{29500F9D-C7D7-4565-B654-626DF78F0911}">
      <dgm:prSet/>
      <dgm:spPr/>
      <dgm:t>
        <a:bodyPr/>
        <a:lstStyle/>
        <a:p>
          <a:endParaRPr lang="bg-BG"/>
        </a:p>
      </dgm:t>
    </dgm:pt>
    <dgm:pt modelId="{7C5E9262-71E1-4ADA-AF20-C78BAF16B6E3}" type="sibTrans" cxnId="{29500F9D-C7D7-4565-B654-626DF78F0911}">
      <dgm:prSet/>
      <dgm:spPr/>
      <dgm:t>
        <a:bodyPr/>
        <a:lstStyle/>
        <a:p>
          <a:endParaRPr lang="bg-BG"/>
        </a:p>
      </dgm:t>
    </dgm:pt>
    <dgm:pt modelId="{8D7DDCFC-AE63-4E0E-B7A1-EB7F1436AA5D}">
      <dgm:prSet phldrT="[Text]" custT="1"/>
      <dgm:spPr>
        <a:xfrm rot="10800000">
          <a:off x="0" y="4426279"/>
          <a:ext cx="5490844" cy="74496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sz="1000">
              <a:solidFill>
                <a:sysClr val="window" lastClr="FFFFFF"/>
              </a:solidFill>
              <a:latin typeface="Calibri"/>
              <a:ea typeface="+mn-ea"/>
              <a:cs typeface="+mn-cs"/>
            </a:rPr>
            <a:t>Ревизиране на проектното предложение при необходимост</a:t>
          </a:r>
        </a:p>
      </dgm:t>
    </dgm:pt>
    <dgm:pt modelId="{E38FCC57-44A1-4089-919E-EB4FAB34C170}" type="parTrans" cxnId="{A1958727-6269-4242-81D2-B32EC9E952CC}">
      <dgm:prSet/>
      <dgm:spPr/>
      <dgm:t>
        <a:bodyPr/>
        <a:lstStyle/>
        <a:p>
          <a:endParaRPr lang="bg-BG"/>
        </a:p>
      </dgm:t>
    </dgm:pt>
    <dgm:pt modelId="{2C1AEB2E-822D-42C3-BDD3-8B7B84342E18}" type="sibTrans" cxnId="{A1958727-6269-4242-81D2-B32EC9E952CC}">
      <dgm:prSet/>
      <dgm:spPr/>
      <dgm:t>
        <a:bodyPr/>
        <a:lstStyle/>
        <a:p>
          <a:endParaRPr lang="bg-BG"/>
        </a:p>
      </dgm:t>
    </dgm:pt>
    <dgm:pt modelId="{77644D67-DC33-49D1-81A2-098BB18BC613}">
      <dgm:prSet phldrT="[Text]" custT="1"/>
      <dgm:spPr>
        <a:xfrm>
          <a:off x="0" y="4687761"/>
          <a:ext cx="2745422" cy="22274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Идентифициране на непълноти и/или нередовности на проектното предложение</a:t>
          </a:r>
        </a:p>
      </dgm:t>
    </dgm:pt>
    <dgm:pt modelId="{3075212C-224B-4B2D-8D3F-10120922DFFD}" type="parTrans" cxnId="{4D87223C-F9BA-4A14-81FA-23624E9A0271}">
      <dgm:prSet/>
      <dgm:spPr/>
      <dgm:t>
        <a:bodyPr/>
        <a:lstStyle/>
        <a:p>
          <a:endParaRPr lang="bg-BG"/>
        </a:p>
      </dgm:t>
    </dgm:pt>
    <dgm:pt modelId="{C24561D1-8F28-4693-A016-71CB1ED69658}" type="sibTrans" cxnId="{4D87223C-F9BA-4A14-81FA-23624E9A0271}">
      <dgm:prSet/>
      <dgm:spPr/>
      <dgm:t>
        <a:bodyPr/>
        <a:lstStyle/>
        <a:p>
          <a:endParaRPr lang="bg-BG"/>
        </a:p>
      </dgm:t>
    </dgm:pt>
    <dgm:pt modelId="{118E6569-BBC7-4B8C-B891-8F15929896CE}">
      <dgm:prSet phldrT="[Text]" custT="1"/>
      <dgm:spPr>
        <a:xfrm>
          <a:off x="2745422" y="4687761"/>
          <a:ext cx="2745422" cy="22274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Изпращане на бележки до бенефициента</a:t>
          </a:r>
        </a:p>
      </dgm:t>
    </dgm:pt>
    <dgm:pt modelId="{B25397AB-AFE8-4912-8EC5-B8B76764F009}" type="parTrans" cxnId="{73674446-177C-47EA-83B5-917DDEAF579C}">
      <dgm:prSet/>
      <dgm:spPr/>
      <dgm:t>
        <a:bodyPr/>
        <a:lstStyle/>
        <a:p>
          <a:endParaRPr lang="bg-BG"/>
        </a:p>
      </dgm:t>
    </dgm:pt>
    <dgm:pt modelId="{49AF1730-1FF1-4A63-970C-A01FD37BBD46}" type="sibTrans" cxnId="{73674446-177C-47EA-83B5-917DDEAF579C}">
      <dgm:prSet/>
      <dgm:spPr/>
      <dgm:t>
        <a:bodyPr/>
        <a:lstStyle/>
        <a:p>
          <a:endParaRPr lang="bg-BG"/>
        </a:p>
      </dgm:t>
    </dgm:pt>
    <dgm:pt modelId="{63BA9C8B-C926-4ED0-B5A4-28CC836E8571}">
      <dgm:prSet phldrT="[Text]" custT="1"/>
      <dgm:spPr>
        <a:xfrm rot="10800000">
          <a:off x="0" y="5163978"/>
          <a:ext cx="5490844" cy="74496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sz="1000">
              <a:solidFill>
                <a:sysClr val="window" lastClr="FFFFFF"/>
              </a:solidFill>
              <a:latin typeface="Calibri"/>
              <a:ea typeface="+mn-ea"/>
              <a:cs typeface="+mn-cs"/>
            </a:rPr>
            <a:t>Доклад на оценителната комисия</a:t>
          </a:r>
        </a:p>
      </dgm:t>
    </dgm:pt>
    <dgm:pt modelId="{0B99747C-BF93-44B0-B0A8-6204ABCEDAFF}" type="parTrans" cxnId="{A1F723CF-A6F1-4979-B6F2-FFD8ADC64C18}">
      <dgm:prSet/>
      <dgm:spPr/>
      <dgm:t>
        <a:bodyPr/>
        <a:lstStyle/>
        <a:p>
          <a:endParaRPr lang="bg-BG"/>
        </a:p>
      </dgm:t>
    </dgm:pt>
    <dgm:pt modelId="{80644666-0C07-4870-86EB-E600D51A9775}" type="sibTrans" cxnId="{A1F723CF-A6F1-4979-B6F2-FFD8ADC64C18}">
      <dgm:prSet/>
      <dgm:spPr/>
      <dgm:t>
        <a:bodyPr/>
        <a:lstStyle/>
        <a:p>
          <a:endParaRPr lang="bg-BG"/>
        </a:p>
      </dgm:t>
    </dgm:pt>
    <dgm:pt modelId="{0A5EFC36-8BC3-422E-B191-73912DF6D7B0}">
      <dgm:prSet phldrT="[Text]" custT="1"/>
      <dgm:spPr>
        <a:xfrm>
          <a:off x="0" y="5425460"/>
          <a:ext cx="2745422" cy="22274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Обобщаване на резултатите от оценката на оценителите</a:t>
          </a:r>
        </a:p>
      </dgm:t>
    </dgm:pt>
    <dgm:pt modelId="{1A0EEAAB-4DC4-4239-86B0-01714CEC0E5D}" type="parTrans" cxnId="{E0A87CD8-9B52-496F-B90C-C5C5064EF69F}">
      <dgm:prSet/>
      <dgm:spPr/>
      <dgm:t>
        <a:bodyPr/>
        <a:lstStyle/>
        <a:p>
          <a:endParaRPr lang="bg-BG"/>
        </a:p>
      </dgm:t>
    </dgm:pt>
    <dgm:pt modelId="{39456050-06C2-4BA3-8BA0-5912E2FA3A7A}" type="sibTrans" cxnId="{E0A87CD8-9B52-496F-B90C-C5C5064EF69F}">
      <dgm:prSet/>
      <dgm:spPr/>
      <dgm:t>
        <a:bodyPr/>
        <a:lstStyle/>
        <a:p>
          <a:endParaRPr lang="bg-BG"/>
        </a:p>
      </dgm:t>
    </dgm:pt>
    <dgm:pt modelId="{4EB06360-A03E-4573-B0AC-750EFCF19262}">
      <dgm:prSet phldrT="[Text]" custT="1"/>
      <dgm:spPr>
        <a:xfrm>
          <a:off x="2745422" y="5425460"/>
          <a:ext cx="2745422" cy="22274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Изготвяне и  подписване на доклад от извършената оценка</a:t>
          </a:r>
        </a:p>
      </dgm:t>
    </dgm:pt>
    <dgm:pt modelId="{0744BAE4-5083-430A-A415-FC411D4CA653}" type="parTrans" cxnId="{CE6D6EBE-09DB-4BA7-95A3-F61BE4A1281A}">
      <dgm:prSet/>
      <dgm:spPr/>
      <dgm:t>
        <a:bodyPr/>
        <a:lstStyle/>
        <a:p>
          <a:endParaRPr lang="bg-BG"/>
        </a:p>
      </dgm:t>
    </dgm:pt>
    <dgm:pt modelId="{39CD497F-BFC7-48C3-99EA-B8FA956521CB}" type="sibTrans" cxnId="{CE6D6EBE-09DB-4BA7-95A3-F61BE4A1281A}">
      <dgm:prSet/>
      <dgm:spPr/>
      <dgm:t>
        <a:bodyPr/>
        <a:lstStyle/>
        <a:p>
          <a:endParaRPr lang="bg-BG"/>
        </a:p>
      </dgm:t>
    </dgm:pt>
    <dgm:pt modelId="{CAD60A5A-744A-4A5D-B958-A1D701C56014}">
      <dgm:prSet phldrT="[Text]" custT="1"/>
      <dgm:spPr>
        <a:xfrm rot="10800000">
          <a:off x="0" y="5901676"/>
          <a:ext cx="5490844" cy="74496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sz="1000">
              <a:solidFill>
                <a:sysClr val="window" lastClr="FFFFFF"/>
              </a:solidFill>
              <a:latin typeface="Calibri"/>
              <a:ea typeface="+mn-ea"/>
              <a:cs typeface="+mn-cs"/>
            </a:rPr>
            <a:t>Механизъм за избягване на двойно финансиране</a:t>
          </a:r>
        </a:p>
      </dgm:t>
    </dgm:pt>
    <dgm:pt modelId="{A755638E-6FFD-44C8-83CB-A96D99DAC1F8}" type="parTrans" cxnId="{6287A44F-1B96-4D3D-8356-66E9D2AED82E}">
      <dgm:prSet/>
      <dgm:spPr/>
      <dgm:t>
        <a:bodyPr/>
        <a:lstStyle/>
        <a:p>
          <a:endParaRPr lang="bg-BG"/>
        </a:p>
      </dgm:t>
    </dgm:pt>
    <dgm:pt modelId="{1F683D53-962D-43A6-9429-AAAE275A8430}" type="sibTrans" cxnId="{6287A44F-1B96-4D3D-8356-66E9D2AED82E}">
      <dgm:prSet/>
      <dgm:spPr/>
      <dgm:t>
        <a:bodyPr/>
        <a:lstStyle/>
        <a:p>
          <a:endParaRPr lang="bg-BG"/>
        </a:p>
      </dgm:t>
    </dgm:pt>
    <dgm:pt modelId="{7B553A70-F42B-49FE-B835-D90B91EF4736}">
      <dgm:prSet phldrT="[Text]" custT="1"/>
      <dgm:spPr>
        <a:xfrm>
          <a:off x="0" y="6163159"/>
          <a:ext cx="2745422" cy="22274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Член на оценителната комисия извършва проверка за липса на двойно финансиране в ИСУН</a:t>
          </a:r>
        </a:p>
      </dgm:t>
    </dgm:pt>
    <dgm:pt modelId="{4F94429B-5B76-4417-AE14-8C8CD78CC7C2}" type="parTrans" cxnId="{5C6FA332-A486-4DE9-B385-8E723D4E5058}">
      <dgm:prSet/>
      <dgm:spPr/>
      <dgm:t>
        <a:bodyPr/>
        <a:lstStyle/>
        <a:p>
          <a:endParaRPr lang="bg-BG"/>
        </a:p>
      </dgm:t>
    </dgm:pt>
    <dgm:pt modelId="{F597F2D1-09FE-4B8A-AD34-B2A6E9ED5CDC}" type="sibTrans" cxnId="{5C6FA332-A486-4DE9-B385-8E723D4E5058}">
      <dgm:prSet/>
      <dgm:spPr/>
      <dgm:t>
        <a:bodyPr/>
        <a:lstStyle/>
        <a:p>
          <a:endParaRPr lang="bg-BG"/>
        </a:p>
      </dgm:t>
    </dgm:pt>
    <dgm:pt modelId="{528AFBE2-AD80-4C61-B58B-CB20B18478BC}">
      <dgm:prSet phldrT="[Text]" custT="1"/>
      <dgm:spPr>
        <a:xfrm>
          <a:off x="2745422" y="6163159"/>
          <a:ext cx="2745422" cy="22274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Председателят на оценителната комисия извършва проверка</a:t>
          </a:r>
        </a:p>
      </dgm:t>
    </dgm:pt>
    <dgm:pt modelId="{38BAC917-7F70-403B-B732-1A2A4D7CB624}" type="parTrans" cxnId="{DE62363C-8408-4A9A-B264-C0EA889CC88B}">
      <dgm:prSet/>
      <dgm:spPr/>
      <dgm:t>
        <a:bodyPr/>
        <a:lstStyle/>
        <a:p>
          <a:endParaRPr lang="bg-BG"/>
        </a:p>
      </dgm:t>
    </dgm:pt>
    <dgm:pt modelId="{BFCC6F3F-55A5-4657-AEBA-0F8DDEB0E2A3}" type="sibTrans" cxnId="{DE62363C-8408-4A9A-B264-C0EA889CC88B}">
      <dgm:prSet/>
      <dgm:spPr/>
      <dgm:t>
        <a:bodyPr/>
        <a:lstStyle/>
        <a:p>
          <a:endParaRPr lang="bg-BG"/>
        </a:p>
      </dgm:t>
    </dgm:pt>
    <dgm:pt modelId="{2637CC92-EFE2-458D-80C8-E7061CF0946E}">
      <dgm:prSet phldrT="[Text]"/>
      <dgm:spPr>
        <a:xfrm>
          <a:off x="0" y="6639375"/>
          <a:ext cx="5490844" cy="48437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a:solidFill>
                <a:sysClr val="window" lastClr="FFFFFF"/>
              </a:solidFill>
              <a:latin typeface="Calibri"/>
              <a:ea typeface="+mn-ea"/>
              <a:cs typeface="+mn-cs"/>
            </a:rPr>
            <a:t>Предоставяне на безвъзмездна финансова помощ</a:t>
          </a:r>
        </a:p>
      </dgm:t>
    </dgm:pt>
    <dgm:pt modelId="{AD1579A5-57CB-441D-8C36-E32385347A36}" type="parTrans" cxnId="{E296F48B-EE17-43DB-A46E-B40EA3255D00}">
      <dgm:prSet/>
      <dgm:spPr/>
      <dgm:t>
        <a:bodyPr/>
        <a:lstStyle/>
        <a:p>
          <a:endParaRPr lang="bg-BG"/>
        </a:p>
      </dgm:t>
    </dgm:pt>
    <dgm:pt modelId="{9A28569C-01CA-4563-89A3-0C514B7D6667}" type="sibTrans" cxnId="{E296F48B-EE17-43DB-A46E-B40EA3255D00}">
      <dgm:prSet/>
      <dgm:spPr/>
      <dgm:t>
        <a:bodyPr/>
        <a:lstStyle/>
        <a:p>
          <a:endParaRPr lang="bg-BG"/>
        </a:p>
      </dgm:t>
    </dgm:pt>
    <dgm:pt modelId="{2C2DAB94-E32D-4654-9FE3-D0B7A4AC13E0}">
      <dgm:prSet phldrT="[Text]" custT="1"/>
      <dgm:spPr>
        <a:xfrm>
          <a:off x="0" y="6891249"/>
          <a:ext cx="5490844" cy="222811"/>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Изготвяне на Решение за предоставяне на БФП</a:t>
          </a:r>
        </a:p>
      </dgm:t>
    </dgm:pt>
    <dgm:pt modelId="{527273E0-F320-4030-BB19-66BA5FD66BBD}" type="parTrans" cxnId="{206BB17F-A8B6-4783-908C-364C4BA45D3B}">
      <dgm:prSet/>
      <dgm:spPr/>
      <dgm:t>
        <a:bodyPr/>
        <a:lstStyle/>
        <a:p>
          <a:endParaRPr lang="bg-BG"/>
        </a:p>
      </dgm:t>
    </dgm:pt>
    <dgm:pt modelId="{4C8826F7-EE8C-4CFB-B26E-18718E869698}" type="sibTrans" cxnId="{206BB17F-A8B6-4783-908C-364C4BA45D3B}">
      <dgm:prSet/>
      <dgm:spPr/>
      <dgm:t>
        <a:bodyPr/>
        <a:lstStyle/>
        <a:p>
          <a:endParaRPr lang="bg-BG"/>
        </a:p>
      </dgm:t>
    </dgm:pt>
    <dgm:pt modelId="{A47FB7B7-C835-4473-900C-D5E42541FB80}" type="pres">
      <dgm:prSet presAssocID="{87BDE974-2835-4290-8DB2-6F84BD1CF2D0}" presName="Name0" presStyleCnt="0">
        <dgm:presLayoutVars>
          <dgm:dir/>
          <dgm:animLvl val="lvl"/>
          <dgm:resizeHandles val="exact"/>
        </dgm:presLayoutVars>
      </dgm:prSet>
      <dgm:spPr/>
      <dgm:t>
        <a:bodyPr/>
        <a:lstStyle/>
        <a:p>
          <a:endParaRPr lang="en-US"/>
        </a:p>
      </dgm:t>
    </dgm:pt>
    <dgm:pt modelId="{97106F4C-2C12-4A8F-A172-65F29FF8CB6D}" type="pres">
      <dgm:prSet presAssocID="{2637CC92-EFE2-458D-80C8-E7061CF0946E}" presName="boxAndChildren" presStyleCnt="0"/>
      <dgm:spPr/>
    </dgm:pt>
    <dgm:pt modelId="{19CA7DBB-9405-40AD-BF79-F9EC0CBC12DA}" type="pres">
      <dgm:prSet presAssocID="{2637CC92-EFE2-458D-80C8-E7061CF0946E}" presName="parentTextBox" presStyleLbl="node1" presStyleIdx="0" presStyleCnt="10"/>
      <dgm:spPr>
        <a:prstGeom prst="rect">
          <a:avLst/>
        </a:prstGeom>
      </dgm:spPr>
      <dgm:t>
        <a:bodyPr/>
        <a:lstStyle/>
        <a:p>
          <a:endParaRPr lang="en-US"/>
        </a:p>
      </dgm:t>
    </dgm:pt>
    <dgm:pt modelId="{9F111DC5-1472-45F5-A207-6C72676AC023}" type="pres">
      <dgm:prSet presAssocID="{2637CC92-EFE2-458D-80C8-E7061CF0946E}" presName="entireBox" presStyleLbl="node1" presStyleIdx="0" presStyleCnt="10"/>
      <dgm:spPr/>
      <dgm:t>
        <a:bodyPr/>
        <a:lstStyle/>
        <a:p>
          <a:endParaRPr lang="en-US"/>
        </a:p>
      </dgm:t>
    </dgm:pt>
    <dgm:pt modelId="{7DBDE3F4-FEC6-4436-9A72-BF6DF087FB90}" type="pres">
      <dgm:prSet presAssocID="{2637CC92-EFE2-458D-80C8-E7061CF0946E}" presName="descendantBox" presStyleCnt="0"/>
      <dgm:spPr/>
    </dgm:pt>
    <dgm:pt modelId="{27C44301-6A0E-4BBE-AD3A-F51035A4F012}" type="pres">
      <dgm:prSet presAssocID="{2C2DAB94-E32D-4654-9FE3-D0B7A4AC13E0}" presName="childTextBox" presStyleLbl="fgAccFollowNode1" presStyleIdx="0" presStyleCnt="19">
        <dgm:presLayoutVars>
          <dgm:bulletEnabled val="1"/>
        </dgm:presLayoutVars>
      </dgm:prSet>
      <dgm:spPr>
        <a:prstGeom prst="rect">
          <a:avLst/>
        </a:prstGeom>
      </dgm:spPr>
      <dgm:t>
        <a:bodyPr/>
        <a:lstStyle/>
        <a:p>
          <a:endParaRPr lang="en-US"/>
        </a:p>
      </dgm:t>
    </dgm:pt>
    <dgm:pt modelId="{794D7E24-1B92-44A9-A301-1036FF08B23B}" type="pres">
      <dgm:prSet presAssocID="{1F683D53-962D-43A6-9429-AAAE275A8430}" presName="sp" presStyleCnt="0"/>
      <dgm:spPr/>
    </dgm:pt>
    <dgm:pt modelId="{85CBB092-7C81-41ED-ADA5-EF506B9CCD2A}" type="pres">
      <dgm:prSet presAssocID="{CAD60A5A-744A-4A5D-B958-A1D701C56014}" presName="arrowAndChildren" presStyleCnt="0"/>
      <dgm:spPr/>
    </dgm:pt>
    <dgm:pt modelId="{620F558F-43F5-4A30-ACBC-5F8500D911DB}" type="pres">
      <dgm:prSet presAssocID="{CAD60A5A-744A-4A5D-B958-A1D701C56014}" presName="parentTextArrow" presStyleLbl="node1" presStyleIdx="0" presStyleCnt="10"/>
      <dgm:spPr>
        <a:prstGeom prst="upArrowCallout">
          <a:avLst/>
        </a:prstGeom>
      </dgm:spPr>
      <dgm:t>
        <a:bodyPr/>
        <a:lstStyle/>
        <a:p>
          <a:endParaRPr lang="en-US"/>
        </a:p>
      </dgm:t>
    </dgm:pt>
    <dgm:pt modelId="{B86B10BB-7A94-482E-9B3D-382E31F6A8D9}" type="pres">
      <dgm:prSet presAssocID="{CAD60A5A-744A-4A5D-B958-A1D701C56014}" presName="arrow" presStyleLbl="node1" presStyleIdx="1" presStyleCnt="10"/>
      <dgm:spPr/>
      <dgm:t>
        <a:bodyPr/>
        <a:lstStyle/>
        <a:p>
          <a:endParaRPr lang="en-US"/>
        </a:p>
      </dgm:t>
    </dgm:pt>
    <dgm:pt modelId="{F2C7BE0A-1A18-4781-9262-91438876DC70}" type="pres">
      <dgm:prSet presAssocID="{CAD60A5A-744A-4A5D-B958-A1D701C56014}" presName="descendantArrow" presStyleCnt="0"/>
      <dgm:spPr/>
    </dgm:pt>
    <dgm:pt modelId="{083ADBA8-F59D-4AEB-96E1-95B0C38B200C}" type="pres">
      <dgm:prSet presAssocID="{7B553A70-F42B-49FE-B835-D90B91EF4736}" presName="childTextArrow" presStyleLbl="fgAccFollowNode1" presStyleIdx="1" presStyleCnt="19">
        <dgm:presLayoutVars>
          <dgm:bulletEnabled val="1"/>
        </dgm:presLayoutVars>
      </dgm:prSet>
      <dgm:spPr>
        <a:prstGeom prst="rect">
          <a:avLst/>
        </a:prstGeom>
      </dgm:spPr>
      <dgm:t>
        <a:bodyPr/>
        <a:lstStyle/>
        <a:p>
          <a:endParaRPr lang="en-US"/>
        </a:p>
      </dgm:t>
    </dgm:pt>
    <dgm:pt modelId="{7CD727F7-896D-4845-8BC7-170E75F1819F}" type="pres">
      <dgm:prSet presAssocID="{528AFBE2-AD80-4C61-B58B-CB20B18478BC}" presName="childTextArrow" presStyleLbl="fgAccFollowNode1" presStyleIdx="2" presStyleCnt="19">
        <dgm:presLayoutVars>
          <dgm:bulletEnabled val="1"/>
        </dgm:presLayoutVars>
      </dgm:prSet>
      <dgm:spPr>
        <a:prstGeom prst="rect">
          <a:avLst/>
        </a:prstGeom>
      </dgm:spPr>
      <dgm:t>
        <a:bodyPr/>
        <a:lstStyle/>
        <a:p>
          <a:endParaRPr lang="en-US"/>
        </a:p>
      </dgm:t>
    </dgm:pt>
    <dgm:pt modelId="{94D4C094-862A-4FD2-BD16-5985EC465F96}" type="pres">
      <dgm:prSet presAssocID="{80644666-0C07-4870-86EB-E600D51A9775}" presName="sp" presStyleCnt="0"/>
      <dgm:spPr/>
    </dgm:pt>
    <dgm:pt modelId="{EAAAEB0D-26BA-4315-B2F5-E8DABF3615AE}" type="pres">
      <dgm:prSet presAssocID="{63BA9C8B-C926-4ED0-B5A4-28CC836E8571}" presName="arrowAndChildren" presStyleCnt="0"/>
      <dgm:spPr/>
    </dgm:pt>
    <dgm:pt modelId="{271D5706-B824-477B-9E5C-95B8E37780C8}" type="pres">
      <dgm:prSet presAssocID="{63BA9C8B-C926-4ED0-B5A4-28CC836E8571}" presName="parentTextArrow" presStyleLbl="node1" presStyleIdx="1" presStyleCnt="10"/>
      <dgm:spPr>
        <a:prstGeom prst="upArrowCallout">
          <a:avLst/>
        </a:prstGeom>
      </dgm:spPr>
      <dgm:t>
        <a:bodyPr/>
        <a:lstStyle/>
        <a:p>
          <a:endParaRPr lang="en-US"/>
        </a:p>
      </dgm:t>
    </dgm:pt>
    <dgm:pt modelId="{4BDAB336-C4BC-470E-9D9A-663C5B1DB75B}" type="pres">
      <dgm:prSet presAssocID="{63BA9C8B-C926-4ED0-B5A4-28CC836E8571}" presName="arrow" presStyleLbl="node1" presStyleIdx="2" presStyleCnt="10"/>
      <dgm:spPr/>
      <dgm:t>
        <a:bodyPr/>
        <a:lstStyle/>
        <a:p>
          <a:endParaRPr lang="en-US"/>
        </a:p>
      </dgm:t>
    </dgm:pt>
    <dgm:pt modelId="{E1530A3D-A853-47F5-8EF3-29724B4AC088}" type="pres">
      <dgm:prSet presAssocID="{63BA9C8B-C926-4ED0-B5A4-28CC836E8571}" presName="descendantArrow" presStyleCnt="0"/>
      <dgm:spPr/>
    </dgm:pt>
    <dgm:pt modelId="{F44DF394-1BA4-4460-BBB4-60C6AD0211D6}" type="pres">
      <dgm:prSet presAssocID="{0A5EFC36-8BC3-422E-B191-73912DF6D7B0}" presName="childTextArrow" presStyleLbl="fgAccFollowNode1" presStyleIdx="3" presStyleCnt="19">
        <dgm:presLayoutVars>
          <dgm:bulletEnabled val="1"/>
        </dgm:presLayoutVars>
      </dgm:prSet>
      <dgm:spPr>
        <a:prstGeom prst="rect">
          <a:avLst/>
        </a:prstGeom>
      </dgm:spPr>
      <dgm:t>
        <a:bodyPr/>
        <a:lstStyle/>
        <a:p>
          <a:endParaRPr lang="en-US"/>
        </a:p>
      </dgm:t>
    </dgm:pt>
    <dgm:pt modelId="{2659F3A2-775C-41F3-9F01-5B91B34ACE71}" type="pres">
      <dgm:prSet presAssocID="{4EB06360-A03E-4573-B0AC-750EFCF19262}" presName="childTextArrow" presStyleLbl="fgAccFollowNode1" presStyleIdx="4" presStyleCnt="19">
        <dgm:presLayoutVars>
          <dgm:bulletEnabled val="1"/>
        </dgm:presLayoutVars>
      </dgm:prSet>
      <dgm:spPr>
        <a:prstGeom prst="rect">
          <a:avLst/>
        </a:prstGeom>
      </dgm:spPr>
      <dgm:t>
        <a:bodyPr/>
        <a:lstStyle/>
        <a:p>
          <a:endParaRPr lang="en-US"/>
        </a:p>
      </dgm:t>
    </dgm:pt>
    <dgm:pt modelId="{8BD9770B-8641-4B1B-9F49-1343D2EB9CE7}" type="pres">
      <dgm:prSet presAssocID="{2C1AEB2E-822D-42C3-BDD3-8B7B84342E18}" presName="sp" presStyleCnt="0"/>
      <dgm:spPr/>
    </dgm:pt>
    <dgm:pt modelId="{EEE7FF4D-FD24-4548-B1C9-6DE50B998C05}" type="pres">
      <dgm:prSet presAssocID="{8D7DDCFC-AE63-4E0E-B7A1-EB7F1436AA5D}" presName="arrowAndChildren" presStyleCnt="0"/>
      <dgm:spPr/>
    </dgm:pt>
    <dgm:pt modelId="{C4C3E5D7-6AE1-48C6-8A63-4C50D42CD7F8}" type="pres">
      <dgm:prSet presAssocID="{8D7DDCFC-AE63-4E0E-B7A1-EB7F1436AA5D}" presName="parentTextArrow" presStyleLbl="node1" presStyleIdx="2" presStyleCnt="10"/>
      <dgm:spPr>
        <a:prstGeom prst="upArrowCallout">
          <a:avLst/>
        </a:prstGeom>
      </dgm:spPr>
      <dgm:t>
        <a:bodyPr/>
        <a:lstStyle/>
        <a:p>
          <a:endParaRPr lang="en-US"/>
        </a:p>
      </dgm:t>
    </dgm:pt>
    <dgm:pt modelId="{BA02E461-DC24-45CC-AABD-3DCA5E36A4FD}" type="pres">
      <dgm:prSet presAssocID="{8D7DDCFC-AE63-4E0E-B7A1-EB7F1436AA5D}" presName="arrow" presStyleLbl="node1" presStyleIdx="3" presStyleCnt="10"/>
      <dgm:spPr/>
      <dgm:t>
        <a:bodyPr/>
        <a:lstStyle/>
        <a:p>
          <a:endParaRPr lang="en-US"/>
        </a:p>
      </dgm:t>
    </dgm:pt>
    <dgm:pt modelId="{85EC23FA-5F69-4A24-9F90-CF0CCFDA0D30}" type="pres">
      <dgm:prSet presAssocID="{8D7DDCFC-AE63-4E0E-B7A1-EB7F1436AA5D}" presName="descendantArrow" presStyleCnt="0"/>
      <dgm:spPr/>
    </dgm:pt>
    <dgm:pt modelId="{909B79A2-8134-4D67-AE78-6F93A8F0B8CB}" type="pres">
      <dgm:prSet presAssocID="{77644D67-DC33-49D1-81A2-098BB18BC613}" presName="childTextArrow" presStyleLbl="fgAccFollowNode1" presStyleIdx="5" presStyleCnt="19">
        <dgm:presLayoutVars>
          <dgm:bulletEnabled val="1"/>
        </dgm:presLayoutVars>
      </dgm:prSet>
      <dgm:spPr>
        <a:prstGeom prst="rect">
          <a:avLst/>
        </a:prstGeom>
      </dgm:spPr>
      <dgm:t>
        <a:bodyPr/>
        <a:lstStyle/>
        <a:p>
          <a:endParaRPr lang="en-US"/>
        </a:p>
      </dgm:t>
    </dgm:pt>
    <dgm:pt modelId="{89AF5198-E847-4F98-A927-BCB79A578BF1}" type="pres">
      <dgm:prSet presAssocID="{118E6569-BBC7-4B8C-B891-8F15929896CE}" presName="childTextArrow" presStyleLbl="fgAccFollowNode1" presStyleIdx="6" presStyleCnt="19">
        <dgm:presLayoutVars>
          <dgm:bulletEnabled val="1"/>
        </dgm:presLayoutVars>
      </dgm:prSet>
      <dgm:spPr>
        <a:prstGeom prst="rect">
          <a:avLst/>
        </a:prstGeom>
      </dgm:spPr>
      <dgm:t>
        <a:bodyPr/>
        <a:lstStyle/>
        <a:p>
          <a:endParaRPr lang="en-US"/>
        </a:p>
      </dgm:t>
    </dgm:pt>
    <dgm:pt modelId="{EA7FC948-869E-434D-898D-AC8F8178BB2C}" type="pres">
      <dgm:prSet presAssocID="{D4350592-FC14-4177-BA63-B17A79DDC985}" presName="sp" presStyleCnt="0"/>
      <dgm:spPr/>
    </dgm:pt>
    <dgm:pt modelId="{B1B72E3A-0949-4F85-A5BA-964CEAC1F9B1}" type="pres">
      <dgm:prSet presAssocID="{95E4CABD-AC3A-4CBA-80CA-29552601B843}" presName="arrowAndChildren" presStyleCnt="0"/>
      <dgm:spPr/>
    </dgm:pt>
    <dgm:pt modelId="{6CBB81DD-5F5C-49D3-BCEA-91D39D2CB076}" type="pres">
      <dgm:prSet presAssocID="{95E4CABD-AC3A-4CBA-80CA-29552601B843}" presName="parentTextArrow" presStyleLbl="node1" presStyleIdx="3" presStyleCnt="10"/>
      <dgm:spPr>
        <a:prstGeom prst="upArrowCallout">
          <a:avLst/>
        </a:prstGeom>
      </dgm:spPr>
      <dgm:t>
        <a:bodyPr/>
        <a:lstStyle/>
        <a:p>
          <a:endParaRPr lang="en-US"/>
        </a:p>
      </dgm:t>
    </dgm:pt>
    <dgm:pt modelId="{D0A1A7A6-D77C-47EB-A47F-0397A67BC156}" type="pres">
      <dgm:prSet presAssocID="{95E4CABD-AC3A-4CBA-80CA-29552601B843}" presName="arrow" presStyleLbl="node1" presStyleIdx="4" presStyleCnt="10"/>
      <dgm:spPr/>
      <dgm:t>
        <a:bodyPr/>
        <a:lstStyle/>
        <a:p>
          <a:endParaRPr lang="en-US"/>
        </a:p>
      </dgm:t>
    </dgm:pt>
    <dgm:pt modelId="{DAAD926B-7B8C-46E6-BCA8-39C1E828A426}" type="pres">
      <dgm:prSet presAssocID="{95E4CABD-AC3A-4CBA-80CA-29552601B843}" presName="descendantArrow" presStyleCnt="0"/>
      <dgm:spPr/>
    </dgm:pt>
    <dgm:pt modelId="{0977233D-B082-41F1-8EBD-6EE1037A9D53}" type="pres">
      <dgm:prSet presAssocID="{C6EE8D89-F7C7-4A00-9EF0-E5B0516C794C}" presName="childTextArrow" presStyleLbl="fgAccFollowNode1" presStyleIdx="7" presStyleCnt="19">
        <dgm:presLayoutVars>
          <dgm:bulletEnabled val="1"/>
        </dgm:presLayoutVars>
      </dgm:prSet>
      <dgm:spPr>
        <a:prstGeom prst="rect">
          <a:avLst/>
        </a:prstGeom>
      </dgm:spPr>
      <dgm:t>
        <a:bodyPr/>
        <a:lstStyle/>
        <a:p>
          <a:endParaRPr lang="en-US"/>
        </a:p>
      </dgm:t>
    </dgm:pt>
    <dgm:pt modelId="{E4115064-E840-4FBF-8BE2-8C828EFA6946}" type="pres">
      <dgm:prSet presAssocID="{3085882B-3BB3-4447-811D-FE9FD04E019C}" presName="childTextArrow" presStyleLbl="fgAccFollowNode1" presStyleIdx="8" presStyleCnt="19">
        <dgm:presLayoutVars>
          <dgm:bulletEnabled val="1"/>
        </dgm:presLayoutVars>
      </dgm:prSet>
      <dgm:spPr>
        <a:prstGeom prst="rect">
          <a:avLst/>
        </a:prstGeom>
      </dgm:spPr>
      <dgm:t>
        <a:bodyPr/>
        <a:lstStyle/>
        <a:p>
          <a:endParaRPr lang="en-US"/>
        </a:p>
      </dgm:t>
    </dgm:pt>
    <dgm:pt modelId="{87A92260-EFBB-40C7-B68F-86B6F81AA2B6}" type="pres">
      <dgm:prSet presAssocID="{DFA445F6-0A4C-42F2-A212-A158299A73F3}" presName="sp" presStyleCnt="0"/>
      <dgm:spPr/>
    </dgm:pt>
    <dgm:pt modelId="{8F00E055-CA3F-4237-87A9-208D0F2A0CBD}" type="pres">
      <dgm:prSet presAssocID="{C790C1DD-ACB9-4A86-84AB-963AC99218AD}" presName="arrowAndChildren" presStyleCnt="0"/>
      <dgm:spPr/>
    </dgm:pt>
    <dgm:pt modelId="{91F1AF59-0CB2-4ACD-8243-730DF0272AB8}" type="pres">
      <dgm:prSet presAssocID="{C790C1DD-ACB9-4A86-84AB-963AC99218AD}" presName="parentTextArrow" presStyleLbl="node1" presStyleIdx="4" presStyleCnt="10"/>
      <dgm:spPr>
        <a:prstGeom prst="upArrowCallout">
          <a:avLst/>
        </a:prstGeom>
      </dgm:spPr>
      <dgm:t>
        <a:bodyPr/>
        <a:lstStyle/>
        <a:p>
          <a:endParaRPr lang="en-US"/>
        </a:p>
      </dgm:t>
    </dgm:pt>
    <dgm:pt modelId="{19960F41-5650-4938-BEF0-CCAE3ACD3924}" type="pres">
      <dgm:prSet presAssocID="{C790C1DD-ACB9-4A86-84AB-963AC99218AD}" presName="arrow" presStyleLbl="node1" presStyleIdx="5" presStyleCnt="10"/>
      <dgm:spPr/>
      <dgm:t>
        <a:bodyPr/>
        <a:lstStyle/>
        <a:p>
          <a:endParaRPr lang="en-US"/>
        </a:p>
      </dgm:t>
    </dgm:pt>
    <dgm:pt modelId="{8DF6ACCD-62DB-4553-8023-C35EDE0080AE}" type="pres">
      <dgm:prSet presAssocID="{C790C1DD-ACB9-4A86-84AB-963AC99218AD}" presName="descendantArrow" presStyleCnt="0"/>
      <dgm:spPr/>
    </dgm:pt>
    <dgm:pt modelId="{4FB0C005-3FFE-4F3F-872A-461C3F3A481C}" type="pres">
      <dgm:prSet presAssocID="{9EAAED22-AF84-4960-BBF4-08E129DE37DB}" presName="childTextArrow" presStyleLbl="fgAccFollowNode1" presStyleIdx="9" presStyleCnt="19">
        <dgm:presLayoutVars>
          <dgm:bulletEnabled val="1"/>
        </dgm:presLayoutVars>
      </dgm:prSet>
      <dgm:spPr>
        <a:prstGeom prst="rect">
          <a:avLst/>
        </a:prstGeom>
      </dgm:spPr>
      <dgm:t>
        <a:bodyPr/>
        <a:lstStyle/>
        <a:p>
          <a:endParaRPr lang="en-US"/>
        </a:p>
      </dgm:t>
    </dgm:pt>
    <dgm:pt modelId="{39912CE9-26CB-4C76-92E3-2BF16D1F8694}" type="pres">
      <dgm:prSet presAssocID="{7AA96BC5-838D-4374-9577-4E35B4097EB5}" presName="childTextArrow" presStyleLbl="fgAccFollowNode1" presStyleIdx="10" presStyleCnt="19">
        <dgm:presLayoutVars>
          <dgm:bulletEnabled val="1"/>
        </dgm:presLayoutVars>
      </dgm:prSet>
      <dgm:spPr>
        <a:prstGeom prst="rect">
          <a:avLst/>
        </a:prstGeom>
      </dgm:spPr>
      <dgm:t>
        <a:bodyPr/>
        <a:lstStyle/>
        <a:p>
          <a:endParaRPr lang="en-US"/>
        </a:p>
      </dgm:t>
    </dgm:pt>
    <dgm:pt modelId="{32E089B9-9603-430B-AF3D-109ABB0A892F}" type="pres">
      <dgm:prSet presAssocID="{C26E019B-34F8-41EB-A046-662603C3A8BF}" presName="sp" presStyleCnt="0"/>
      <dgm:spPr/>
    </dgm:pt>
    <dgm:pt modelId="{FE58300D-2F66-45B0-9067-6AE9FB622669}" type="pres">
      <dgm:prSet presAssocID="{5308CA4F-98DE-48CE-96A8-1D6006766EDA}" presName="arrowAndChildren" presStyleCnt="0"/>
      <dgm:spPr/>
    </dgm:pt>
    <dgm:pt modelId="{1FD749A7-7400-46F8-9CCE-1C4C37B1D219}" type="pres">
      <dgm:prSet presAssocID="{5308CA4F-98DE-48CE-96A8-1D6006766EDA}" presName="parentTextArrow" presStyleLbl="node1" presStyleIdx="5" presStyleCnt="10"/>
      <dgm:spPr>
        <a:prstGeom prst="upArrowCallout">
          <a:avLst/>
        </a:prstGeom>
      </dgm:spPr>
      <dgm:t>
        <a:bodyPr/>
        <a:lstStyle/>
        <a:p>
          <a:endParaRPr lang="en-US"/>
        </a:p>
      </dgm:t>
    </dgm:pt>
    <dgm:pt modelId="{63A53D11-13DA-48E5-BBE2-8D8EE138A455}" type="pres">
      <dgm:prSet presAssocID="{5308CA4F-98DE-48CE-96A8-1D6006766EDA}" presName="arrow" presStyleLbl="node1" presStyleIdx="6" presStyleCnt="10"/>
      <dgm:spPr/>
      <dgm:t>
        <a:bodyPr/>
        <a:lstStyle/>
        <a:p>
          <a:endParaRPr lang="en-US"/>
        </a:p>
      </dgm:t>
    </dgm:pt>
    <dgm:pt modelId="{7A072DC2-02AC-4BBD-8F26-CE8CABCF1F07}" type="pres">
      <dgm:prSet presAssocID="{5308CA4F-98DE-48CE-96A8-1D6006766EDA}" presName="descendantArrow" presStyleCnt="0"/>
      <dgm:spPr/>
    </dgm:pt>
    <dgm:pt modelId="{E0D14FBC-9EFB-447F-BEA2-589524B19614}" type="pres">
      <dgm:prSet presAssocID="{82945630-37D5-4114-88D5-403FE7FF3E01}" presName="childTextArrow" presStyleLbl="fgAccFollowNode1" presStyleIdx="11" presStyleCnt="19">
        <dgm:presLayoutVars>
          <dgm:bulletEnabled val="1"/>
        </dgm:presLayoutVars>
      </dgm:prSet>
      <dgm:spPr>
        <a:prstGeom prst="rect">
          <a:avLst/>
        </a:prstGeom>
      </dgm:spPr>
      <dgm:t>
        <a:bodyPr/>
        <a:lstStyle/>
        <a:p>
          <a:endParaRPr lang="en-US"/>
        </a:p>
      </dgm:t>
    </dgm:pt>
    <dgm:pt modelId="{61C7D821-32C5-4E77-821B-06222AF09C43}" type="pres">
      <dgm:prSet presAssocID="{65A4E0B0-1A22-4AE2-B1DC-F0AA1369FC43}" presName="childTextArrow" presStyleLbl="fgAccFollowNode1" presStyleIdx="12" presStyleCnt="19">
        <dgm:presLayoutVars>
          <dgm:bulletEnabled val="1"/>
        </dgm:presLayoutVars>
      </dgm:prSet>
      <dgm:spPr>
        <a:prstGeom prst="rect">
          <a:avLst/>
        </a:prstGeom>
      </dgm:spPr>
      <dgm:t>
        <a:bodyPr/>
        <a:lstStyle/>
        <a:p>
          <a:endParaRPr lang="en-US"/>
        </a:p>
      </dgm:t>
    </dgm:pt>
    <dgm:pt modelId="{09D4D2FF-953A-42A0-9060-934F9C685B1A}" type="pres">
      <dgm:prSet presAssocID="{AFE140F9-E85B-4313-86A3-400A38AEE2FE}" presName="sp" presStyleCnt="0"/>
      <dgm:spPr/>
    </dgm:pt>
    <dgm:pt modelId="{B313CE9B-A92C-4A0E-9D37-755F4092D281}" type="pres">
      <dgm:prSet presAssocID="{395B84DE-DBFA-4628-929C-F9FAE8C6F27D}" presName="arrowAndChildren" presStyleCnt="0"/>
      <dgm:spPr/>
    </dgm:pt>
    <dgm:pt modelId="{42488EC6-7DB0-40FC-9617-2C0328DE919C}" type="pres">
      <dgm:prSet presAssocID="{395B84DE-DBFA-4628-929C-F9FAE8C6F27D}" presName="parentTextArrow" presStyleLbl="node1" presStyleIdx="6" presStyleCnt="10"/>
      <dgm:spPr>
        <a:prstGeom prst="upArrowCallout">
          <a:avLst/>
        </a:prstGeom>
      </dgm:spPr>
      <dgm:t>
        <a:bodyPr/>
        <a:lstStyle/>
        <a:p>
          <a:endParaRPr lang="en-US"/>
        </a:p>
      </dgm:t>
    </dgm:pt>
    <dgm:pt modelId="{ECCEE1E4-C17E-4DEA-A3D1-8909602F84B7}" type="pres">
      <dgm:prSet presAssocID="{395B84DE-DBFA-4628-929C-F9FAE8C6F27D}" presName="arrow" presStyleLbl="node1" presStyleIdx="7" presStyleCnt="10"/>
      <dgm:spPr/>
      <dgm:t>
        <a:bodyPr/>
        <a:lstStyle/>
        <a:p>
          <a:endParaRPr lang="en-US"/>
        </a:p>
      </dgm:t>
    </dgm:pt>
    <dgm:pt modelId="{FC2C027E-BBED-4F82-A9DB-60C2E986757C}" type="pres">
      <dgm:prSet presAssocID="{395B84DE-DBFA-4628-929C-F9FAE8C6F27D}" presName="descendantArrow" presStyleCnt="0"/>
      <dgm:spPr/>
    </dgm:pt>
    <dgm:pt modelId="{6E018DB0-80C6-48F8-8EE0-E68F829F931F}" type="pres">
      <dgm:prSet presAssocID="{55097C26-910A-417E-A5DA-9879C57E8A29}" presName="childTextArrow" presStyleLbl="fgAccFollowNode1" presStyleIdx="13" presStyleCnt="19">
        <dgm:presLayoutVars>
          <dgm:bulletEnabled val="1"/>
        </dgm:presLayoutVars>
      </dgm:prSet>
      <dgm:spPr>
        <a:prstGeom prst="rect">
          <a:avLst/>
        </a:prstGeom>
      </dgm:spPr>
      <dgm:t>
        <a:bodyPr/>
        <a:lstStyle/>
        <a:p>
          <a:endParaRPr lang="en-US"/>
        </a:p>
      </dgm:t>
    </dgm:pt>
    <dgm:pt modelId="{25282EF9-2182-4AB8-A29C-B90804134475}" type="pres">
      <dgm:prSet presAssocID="{9DF08EC0-0C3C-4A20-9092-A53547A1371A}" presName="childTextArrow" presStyleLbl="fgAccFollowNode1" presStyleIdx="14" presStyleCnt="19">
        <dgm:presLayoutVars>
          <dgm:bulletEnabled val="1"/>
        </dgm:presLayoutVars>
      </dgm:prSet>
      <dgm:spPr>
        <a:prstGeom prst="rect">
          <a:avLst/>
        </a:prstGeom>
      </dgm:spPr>
      <dgm:t>
        <a:bodyPr/>
        <a:lstStyle/>
        <a:p>
          <a:endParaRPr lang="en-US"/>
        </a:p>
      </dgm:t>
    </dgm:pt>
    <dgm:pt modelId="{D80D84D2-1495-4445-921D-2C60827B485C}" type="pres">
      <dgm:prSet presAssocID="{411EB52D-6B2B-4A71-8256-4750E6C97EB8}" presName="sp" presStyleCnt="0"/>
      <dgm:spPr/>
    </dgm:pt>
    <dgm:pt modelId="{74ED1D97-A925-4214-B284-B8225603DE72}" type="pres">
      <dgm:prSet presAssocID="{BBC381D4-F34D-4572-AF01-F054F6F364D9}" presName="arrowAndChildren" presStyleCnt="0"/>
      <dgm:spPr/>
    </dgm:pt>
    <dgm:pt modelId="{2C67F674-B1EA-4920-A094-35FAB0B1300D}" type="pres">
      <dgm:prSet presAssocID="{BBC381D4-F34D-4572-AF01-F054F6F364D9}" presName="parentTextArrow" presStyleLbl="node1" presStyleIdx="7" presStyleCnt="10"/>
      <dgm:spPr>
        <a:prstGeom prst="upArrowCallout">
          <a:avLst/>
        </a:prstGeom>
      </dgm:spPr>
      <dgm:t>
        <a:bodyPr/>
        <a:lstStyle/>
        <a:p>
          <a:endParaRPr lang="en-US"/>
        </a:p>
      </dgm:t>
    </dgm:pt>
    <dgm:pt modelId="{A67087B1-13B7-4A0C-A322-22AF3AA1F65F}" type="pres">
      <dgm:prSet presAssocID="{BBC381D4-F34D-4572-AF01-F054F6F364D9}" presName="arrow" presStyleLbl="node1" presStyleIdx="8" presStyleCnt="10"/>
      <dgm:spPr/>
      <dgm:t>
        <a:bodyPr/>
        <a:lstStyle/>
        <a:p>
          <a:endParaRPr lang="en-US"/>
        </a:p>
      </dgm:t>
    </dgm:pt>
    <dgm:pt modelId="{8CC1642A-7A74-4F88-A64D-AC63E1A5127D}" type="pres">
      <dgm:prSet presAssocID="{BBC381D4-F34D-4572-AF01-F054F6F364D9}" presName="descendantArrow" presStyleCnt="0"/>
      <dgm:spPr/>
    </dgm:pt>
    <dgm:pt modelId="{A288D6B9-1109-4D2D-9358-26EC6D6AD9B8}" type="pres">
      <dgm:prSet presAssocID="{5A9DA31A-F8E8-4A72-8C21-34940A62E9A7}" presName="childTextArrow" presStyleLbl="fgAccFollowNode1" presStyleIdx="15" presStyleCnt="19">
        <dgm:presLayoutVars>
          <dgm:bulletEnabled val="1"/>
        </dgm:presLayoutVars>
      </dgm:prSet>
      <dgm:spPr>
        <a:prstGeom prst="rect">
          <a:avLst/>
        </a:prstGeom>
      </dgm:spPr>
      <dgm:t>
        <a:bodyPr/>
        <a:lstStyle/>
        <a:p>
          <a:endParaRPr lang="en-US"/>
        </a:p>
      </dgm:t>
    </dgm:pt>
    <dgm:pt modelId="{E78378A9-A3B6-46DE-A7CF-DCADA2103EAD}" type="pres">
      <dgm:prSet presAssocID="{AE5CE1AD-F47E-4DDC-9A32-553CA3FDE4A7}" presName="childTextArrow" presStyleLbl="fgAccFollowNode1" presStyleIdx="16" presStyleCnt="19">
        <dgm:presLayoutVars>
          <dgm:bulletEnabled val="1"/>
        </dgm:presLayoutVars>
      </dgm:prSet>
      <dgm:spPr>
        <a:prstGeom prst="rect">
          <a:avLst/>
        </a:prstGeom>
      </dgm:spPr>
      <dgm:t>
        <a:bodyPr/>
        <a:lstStyle/>
        <a:p>
          <a:endParaRPr lang="en-US"/>
        </a:p>
      </dgm:t>
    </dgm:pt>
    <dgm:pt modelId="{7C8E464C-2E47-45F7-BC2D-2A8666030483}" type="pres">
      <dgm:prSet presAssocID="{E51156EC-1433-48F3-9B14-A7DCBD795ACA}" presName="sp" presStyleCnt="0"/>
      <dgm:spPr/>
    </dgm:pt>
    <dgm:pt modelId="{8ABBC8FB-684E-44CC-A25F-3EACB2BFB2FA}" type="pres">
      <dgm:prSet presAssocID="{150990B3-3F82-487B-8B83-24BEEDC716A5}" presName="arrowAndChildren" presStyleCnt="0"/>
      <dgm:spPr/>
    </dgm:pt>
    <dgm:pt modelId="{D0B57528-CA5C-44C6-8E49-8B77F388A11E}" type="pres">
      <dgm:prSet presAssocID="{150990B3-3F82-487B-8B83-24BEEDC716A5}" presName="parentTextArrow" presStyleLbl="node1" presStyleIdx="8" presStyleCnt="10"/>
      <dgm:spPr>
        <a:prstGeom prst="upArrowCallout">
          <a:avLst/>
        </a:prstGeom>
      </dgm:spPr>
      <dgm:t>
        <a:bodyPr/>
        <a:lstStyle/>
        <a:p>
          <a:endParaRPr lang="en-US"/>
        </a:p>
      </dgm:t>
    </dgm:pt>
    <dgm:pt modelId="{19A276D7-64A3-47A5-908A-A187EB360B4F}" type="pres">
      <dgm:prSet presAssocID="{150990B3-3F82-487B-8B83-24BEEDC716A5}" presName="arrow" presStyleLbl="node1" presStyleIdx="9" presStyleCnt="10" custLinFactNeighborY="-46"/>
      <dgm:spPr/>
      <dgm:t>
        <a:bodyPr/>
        <a:lstStyle/>
        <a:p>
          <a:endParaRPr lang="en-US"/>
        </a:p>
      </dgm:t>
    </dgm:pt>
    <dgm:pt modelId="{2C93A2F4-E556-4141-AB40-8AD05834FCAC}" type="pres">
      <dgm:prSet presAssocID="{150990B3-3F82-487B-8B83-24BEEDC716A5}" presName="descendantArrow" presStyleCnt="0"/>
      <dgm:spPr/>
    </dgm:pt>
    <dgm:pt modelId="{9822566B-87FE-415C-927A-57AD60D62770}" type="pres">
      <dgm:prSet presAssocID="{0FCA178E-45A2-4F0F-8E76-7968120E469E}" presName="childTextArrow" presStyleLbl="fgAccFollowNode1" presStyleIdx="17" presStyleCnt="19">
        <dgm:presLayoutVars>
          <dgm:bulletEnabled val="1"/>
        </dgm:presLayoutVars>
      </dgm:prSet>
      <dgm:spPr>
        <a:prstGeom prst="rect">
          <a:avLst/>
        </a:prstGeom>
      </dgm:spPr>
      <dgm:t>
        <a:bodyPr/>
        <a:lstStyle/>
        <a:p>
          <a:endParaRPr lang="en-US"/>
        </a:p>
      </dgm:t>
    </dgm:pt>
    <dgm:pt modelId="{9B472EC1-82A4-4661-B9EC-B892C60C18C0}" type="pres">
      <dgm:prSet presAssocID="{B199CB96-F9B3-487A-B8A3-706AC9DD1A8A}" presName="childTextArrow" presStyleLbl="fgAccFollowNode1" presStyleIdx="18" presStyleCnt="19">
        <dgm:presLayoutVars>
          <dgm:bulletEnabled val="1"/>
        </dgm:presLayoutVars>
      </dgm:prSet>
      <dgm:spPr>
        <a:prstGeom prst="rect">
          <a:avLst/>
        </a:prstGeom>
      </dgm:spPr>
      <dgm:t>
        <a:bodyPr/>
        <a:lstStyle/>
        <a:p>
          <a:endParaRPr lang="en-US"/>
        </a:p>
      </dgm:t>
    </dgm:pt>
  </dgm:ptLst>
  <dgm:cxnLst>
    <dgm:cxn modelId="{A1958727-6269-4242-81D2-B32EC9E952CC}" srcId="{87BDE974-2835-4290-8DB2-6F84BD1CF2D0}" destId="{8D7DDCFC-AE63-4E0E-B7A1-EB7F1436AA5D}" srcOrd="6" destOrd="0" parTransId="{E38FCC57-44A1-4089-919E-EB4FAB34C170}" sibTransId="{2C1AEB2E-822D-42C3-BDD3-8B7B84342E18}"/>
    <dgm:cxn modelId="{12DBE7DF-B8F2-4527-BF6E-AFC2E33BD3A6}" srcId="{87BDE974-2835-4290-8DB2-6F84BD1CF2D0}" destId="{395B84DE-DBFA-4628-929C-F9FAE8C6F27D}" srcOrd="2" destOrd="0" parTransId="{34BA1D48-69CE-4010-B804-86F924AFADFE}" sibTransId="{AFE140F9-E85B-4313-86A3-400A38AEE2FE}"/>
    <dgm:cxn modelId="{24D8F992-7928-4BC2-A756-E4ECBC3EB284}" type="presOf" srcId="{3085882B-3BB3-4447-811D-FE9FD04E019C}" destId="{E4115064-E840-4FBF-8BE2-8C828EFA6946}" srcOrd="0" destOrd="0" presId="urn:microsoft.com/office/officeart/2005/8/layout/process4"/>
    <dgm:cxn modelId="{73674446-177C-47EA-83B5-917DDEAF579C}" srcId="{8D7DDCFC-AE63-4E0E-B7A1-EB7F1436AA5D}" destId="{118E6569-BBC7-4B8C-B891-8F15929896CE}" srcOrd="1" destOrd="0" parTransId="{B25397AB-AFE8-4912-8EC5-B8B76764F009}" sibTransId="{49AF1730-1FF1-4A63-970C-A01FD37BBD46}"/>
    <dgm:cxn modelId="{05BD65D3-7C0B-48CB-A496-E5D4F511D1D9}" srcId="{87BDE974-2835-4290-8DB2-6F84BD1CF2D0}" destId="{C790C1DD-ACB9-4A86-84AB-963AC99218AD}" srcOrd="4" destOrd="0" parTransId="{7F471E5B-C86D-41BA-A0C6-AF70DC97CF0E}" sibTransId="{DFA445F6-0A4C-42F2-A212-A158299A73F3}"/>
    <dgm:cxn modelId="{5C6FA332-A486-4DE9-B385-8E723D4E5058}" srcId="{CAD60A5A-744A-4A5D-B958-A1D701C56014}" destId="{7B553A70-F42B-49FE-B835-D90B91EF4736}" srcOrd="0" destOrd="0" parTransId="{4F94429B-5B76-4417-AE14-8C8CD78CC7C2}" sibTransId="{F597F2D1-09FE-4B8A-AD34-B2A6E9ED5CDC}"/>
    <dgm:cxn modelId="{84F66A59-854D-40BC-9CB1-98F2D0A40DBA}" srcId="{5308CA4F-98DE-48CE-96A8-1D6006766EDA}" destId="{82945630-37D5-4114-88D5-403FE7FF3E01}" srcOrd="0" destOrd="0" parTransId="{0DBFB296-DD0D-47BE-8825-D9794A5E219B}" sibTransId="{47D57A94-05BA-4B65-B720-326AFCB72E0A}"/>
    <dgm:cxn modelId="{BF09D3FD-50BD-429B-863B-5206750862EE}" type="presOf" srcId="{7B553A70-F42B-49FE-B835-D90B91EF4736}" destId="{083ADBA8-F59D-4AEB-96E1-95B0C38B200C}" srcOrd="0" destOrd="0" presId="urn:microsoft.com/office/officeart/2005/8/layout/process4"/>
    <dgm:cxn modelId="{2596B909-115B-4445-A02B-1B5743B10FEB}" type="presOf" srcId="{9DF08EC0-0C3C-4A20-9092-A53547A1371A}" destId="{25282EF9-2182-4AB8-A29C-B90804134475}" srcOrd="0" destOrd="0" presId="urn:microsoft.com/office/officeart/2005/8/layout/process4"/>
    <dgm:cxn modelId="{D36D73C7-EA64-4B69-81FE-0D7923346F73}" type="presOf" srcId="{2637CC92-EFE2-458D-80C8-E7061CF0946E}" destId="{9F111DC5-1472-45F5-A207-6C72676AC023}" srcOrd="1" destOrd="0" presId="urn:microsoft.com/office/officeart/2005/8/layout/process4"/>
    <dgm:cxn modelId="{6DB82540-53EF-4BAF-9ED2-EF2DA5A79539}" type="presOf" srcId="{AE5CE1AD-F47E-4DDC-9A32-553CA3FDE4A7}" destId="{E78378A9-A3B6-46DE-A7CF-DCADA2103EAD}" srcOrd="0" destOrd="0" presId="urn:microsoft.com/office/officeart/2005/8/layout/process4"/>
    <dgm:cxn modelId="{F05C898F-C26B-462C-BF22-1F30940FB9CE}" type="presOf" srcId="{B199CB96-F9B3-487A-B8A3-706AC9DD1A8A}" destId="{9B472EC1-82A4-4661-B9EC-B892C60C18C0}" srcOrd="0" destOrd="0" presId="urn:microsoft.com/office/officeart/2005/8/layout/process4"/>
    <dgm:cxn modelId="{3973F9BF-12C4-4374-9FEE-A816567FF3DE}" type="presOf" srcId="{82945630-37D5-4114-88D5-403FE7FF3E01}" destId="{E0D14FBC-9EFB-447F-BEA2-589524B19614}" srcOrd="0" destOrd="0" presId="urn:microsoft.com/office/officeart/2005/8/layout/process4"/>
    <dgm:cxn modelId="{E1B98792-0E0F-411A-953D-D56C253B6F40}" type="presOf" srcId="{5308CA4F-98DE-48CE-96A8-1D6006766EDA}" destId="{63A53D11-13DA-48E5-BBE2-8D8EE138A455}" srcOrd="1" destOrd="0" presId="urn:microsoft.com/office/officeart/2005/8/layout/process4"/>
    <dgm:cxn modelId="{95C5CC51-60A2-4540-9E56-025C36F9D7E8}" type="presOf" srcId="{CAD60A5A-744A-4A5D-B958-A1D701C56014}" destId="{620F558F-43F5-4A30-ACBC-5F8500D911DB}" srcOrd="0" destOrd="0" presId="urn:microsoft.com/office/officeart/2005/8/layout/process4"/>
    <dgm:cxn modelId="{B59083E3-DF95-42EB-ACC7-C368FB8B9CB9}" type="presOf" srcId="{77644D67-DC33-49D1-81A2-098BB18BC613}" destId="{909B79A2-8134-4D67-AE78-6F93A8F0B8CB}" srcOrd="0" destOrd="0" presId="urn:microsoft.com/office/officeart/2005/8/layout/process4"/>
    <dgm:cxn modelId="{746047C4-9613-42E3-AD29-A88FCB0E5D88}" type="presOf" srcId="{395B84DE-DBFA-4628-929C-F9FAE8C6F27D}" destId="{ECCEE1E4-C17E-4DEA-A3D1-8909602F84B7}" srcOrd="1" destOrd="0" presId="urn:microsoft.com/office/officeart/2005/8/layout/process4"/>
    <dgm:cxn modelId="{6B63224C-398B-454E-85C1-1FA812EB2D6D}" type="presOf" srcId="{4EB06360-A03E-4573-B0AC-750EFCF19262}" destId="{2659F3A2-775C-41F3-9F01-5B91B34ACE71}" srcOrd="0" destOrd="0" presId="urn:microsoft.com/office/officeart/2005/8/layout/process4"/>
    <dgm:cxn modelId="{35A03265-0B55-4B86-A354-DB1223248795}" type="presOf" srcId="{0A5EFC36-8BC3-422E-B191-73912DF6D7B0}" destId="{F44DF394-1BA4-4460-BBB4-60C6AD0211D6}" srcOrd="0" destOrd="0" presId="urn:microsoft.com/office/officeart/2005/8/layout/process4"/>
    <dgm:cxn modelId="{2CB3AD41-2EF0-418A-98AF-D1BF0AC29817}" type="presOf" srcId="{C790C1DD-ACB9-4A86-84AB-963AC99218AD}" destId="{19960F41-5650-4938-BEF0-CCAE3ACD3924}" srcOrd="1" destOrd="0" presId="urn:microsoft.com/office/officeart/2005/8/layout/process4"/>
    <dgm:cxn modelId="{0E802540-8B33-4615-B616-72D06909861C}" type="presOf" srcId="{C6EE8D89-F7C7-4A00-9EF0-E5B0516C794C}" destId="{0977233D-B082-41F1-8EBD-6EE1037A9D53}" srcOrd="0" destOrd="0" presId="urn:microsoft.com/office/officeart/2005/8/layout/process4"/>
    <dgm:cxn modelId="{3CB33D0E-F435-4E4C-8021-DCB858753B76}" type="presOf" srcId="{8D7DDCFC-AE63-4E0E-B7A1-EB7F1436AA5D}" destId="{BA02E461-DC24-45CC-AABD-3DCA5E36A4FD}" srcOrd="1" destOrd="0" presId="urn:microsoft.com/office/officeart/2005/8/layout/process4"/>
    <dgm:cxn modelId="{1E87B465-FC5E-48E8-BD00-D1E6DBCA47DA}" type="presOf" srcId="{0FCA178E-45A2-4F0F-8E76-7968120E469E}" destId="{9822566B-87FE-415C-927A-57AD60D62770}" srcOrd="0" destOrd="0" presId="urn:microsoft.com/office/officeart/2005/8/layout/process4"/>
    <dgm:cxn modelId="{E0A87CD8-9B52-496F-B90C-C5C5064EF69F}" srcId="{63BA9C8B-C926-4ED0-B5A4-28CC836E8571}" destId="{0A5EFC36-8BC3-422E-B191-73912DF6D7B0}" srcOrd="0" destOrd="0" parTransId="{1A0EEAAB-4DC4-4239-86B0-01714CEC0E5D}" sibTransId="{39456050-06C2-4BA3-8BA0-5912E2FA3A7A}"/>
    <dgm:cxn modelId="{2AA3A5A6-14DD-40D1-8158-DB77136A371E}" type="presOf" srcId="{63BA9C8B-C926-4ED0-B5A4-28CC836E8571}" destId="{271D5706-B824-477B-9E5C-95B8E37780C8}" srcOrd="0" destOrd="0" presId="urn:microsoft.com/office/officeart/2005/8/layout/process4"/>
    <dgm:cxn modelId="{34F5BE6E-FE12-4540-A683-4EA041EDD7C3}" type="presOf" srcId="{55097C26-910A-417E-A5DA-9879C57E8A29}" destId="{6E018DB0-80C6-48F8-8EE0-E68F829F931F}" srcOrd="0" destOrd="0" presId="urn:microsoft.com/office/officeart/2005/8/layout/process4"/>
    <dgm:cxn modelId="{451CE327-AC1D-4914-94D0-26344DC96A23}" type="presOf" srcId="{2C2DAB94-E32D-4654-9FE3-D0B7A4AC13E0}" destId="{27C44301-6A0E-4BBE-AD3A-F51035A4F012}" srcOrd="0" destOrd="0" presId="urn:microsoft.com/office/officeart/2005/8/layout/process4"/>
    <dgm:cxn modelId="{489BB95F-77AE-493E-AE9A-3BAA1B8508A1}" srcId="{C790C1DD-ACB9-4A86-84AB-963AC99218AD}" destId="{7AA96BC5-838D-4374-9577-4E35B4097EB5}" srcOrd="1" destOrd="0" parTransId="{35ABD7CD-B1DB-4104-9777-4539D4365773}" sibTransId="{EB4B1D5B-A5C1-41D4-98DA-85051F9FCA04}"/>
    <dgm:cxn modelId="{1CE0B019-9210-4A44-9F13-8A9C70380B0C}" type="presOf" srcId="{5A9DA31A-F8E8-4A72-8C21-34940A62E9A7}" destId="{A288D6B9-1109-4D2D-9358-26EC6D6AD9B8}" srcOrd="0" destOrd="0" presId="urn:microsoft.com/office/officeart/2005/8/layout/process4"/>
    <dgm:cxn modelId="{4424A695-9C95-44FE-9BC7-3B83EE603F96}" srcId="{395B84DE-DBFA-4628-929C-F9FAE8C6F27D}" destId="{9DF08EC0-0C3C-4A20-9092-A53547A1371A}" srcOrd="1" destOrd="0" parTransId="{8292E47A-9E66-4F0B-895E-0D56180707B8}" sibTransId="{6A78E8D5-799F-4E02-8F10-5B44F7B0D201}"/>
    <dgm:cxn modelId="{AD053754-BAF5-4347-B6F1-230A5EED16AE}" srcId="{87BDE974-2835-4290-8DB2-6F84BD1CF2D0}" destId="{95E4CABD-AC3A-4CBA-80CA-29552601B843}" srcOrd="5" destOrd="0" parTransId="{8C91769B-4314-4E2A-90A2-81E6D95576B2}" sibTransId="{D4350592-FC14-4177-BA63-B17A79DDC985}"/>
    <dgm:cxn modelId="{AD01A517-D987-41A6-AF70-5DF9A692E4A7}" srcId="{87BDE974-2835-4290-8DB2-6F84BD1CF2D0}" destId="{BBC381D4-F34D-4572-AF01-F054F6F364D9}" srcOrd="1" destOrd="0" parTransId="{4FCD14E5-5EDD-4409-B1D9-E8DA81F692A1}" sibTransId="{411EB52D-6B2B-4A71-8256-4750E6C97EB8}"/>
    <dgm:cxn modelId="{29500F9D-C7D7-4565-B654-626DF78F0911}" srcId="{95E4CABD-AC3A-4CBA-80CA-29552601B843}" destId="{3085882B-3BB3-4447-811D-FE9FD04E019C}" srcOrd="1" destOrd="0" parTransId="{4FCC7418-456B-4DFE-83D2-6633EFEEDE53}" sibTransId="{7C5E9262-71E1-4ADA-AF20-C78BAF16B6E3}"/>
    <dgm:cxn modelId="{97CB67C1-6E9E-489F-956D-C0A71E8616BA}" srcId="{87BDE974-2835-4290-8DB2-6F84BD1CF2D0}" destId="{5308CA4F-98DE-48CE-96A8-1D6006766EDA}" srcOrd="3" destOrd="0" parTransId="{B28E719C-3CA6-499C-A60C-115654075652}" sibTransId="{C26E019B-34F8-41EB-A046-662603C3A8BF}"/>
    <dgm:cxn modelId="{9C92AD43-1A2F-4302-BDC7-C40151706E32}" type="presOf" srcId="{528AFBE2-AD80-4C61-B58B-CB20B18478BC}" destId="{7CD727F7-896D-4845-8BC7-170E75F1819F}" srcOrd="0" destOrd="0" presId="urn:microsoft.com/office/officeart/2005/8/layout/process4"/>
    <dgm:cxn modelId="{6287A44F-1B96-4D3D-8356-66E9D2AED82E}" srcId="{87BDE974-2835-4290-8DB2-6F84BD1CF2D0}" destId="{CAD60A5A-744A-4A5D-B958-A1D701C56014}" srcOrd="8" destOrd="0" parTransId="{A755638E-6FFD-44C8-83CB-A96D99DAC1F8}" sibTransId="{1F683D53-962D-43A6-9429-AAAE275A8430}"/>
    <dgm:cxn modelId="{F3EA41D3-E4BB-44AA-898B-2C6A3DC66E96}" type="presOf" srcId="{9EAAED22-AF84-4960-BBF4-08E129DE37DB}" destId="{4FB0C005-3FFE-4F3F-872A-461C3F3A481C}" srcOrd="0" destOrd="0" presId="urn:microsoft.com/office/officeart/2005/8/layout/process4"/>
    <dgm:cxn modelId="{EC7E86EF-6CDC-4DBC-90E0-8196D5DC2DA2}" srcId="{BBC381D4-F34D-4572-AF01-F054F6F364D9}" destId="{5A9DA31A-F8E8-4A72-8C21-34940A62E9A7}" srcOrd="0" destOrd="0" parTransId="{89EF67D6-D41D-45A5-9FFF-8101177A465F}" sibTransId="{C3CEED9A-1CDE-4B76-98F5-797EB6724C50}"/>
    <dgm:cxn modelId="{B4814E39-B066-466B-856C-D27BF34D57DF}" type="presOf" srcId="{87BDE974-2835-4290-8DB2-6F84BD1CF2D0}" destId="{A47FB7B7-C835-4473-900C-D5E42541FB80}" srcOrd="0" destOrd="0" presId="urn:microsoft.com/office/officeart/2005/8/layout/process4"/>
    <dgm:cxn modelId="{005CCF4B-F893-4830-A7F9-D4F072ADF507}" srcId="{150990B3-3F82-487B-8B83-24BEEDC716A5}" destId="{B199CB96-F9B3-487A-B8A3-706AC9DD1A8A}" srcOrd="1" destOrd="0" parTransId="{8E18A58E-D099-4161-ACB6-79E7174A96A3}" sibTransId="{3AFF878C-06C3-4A18-AED0-82406E2CE5B6}"/>
    <dgm:cxn modelId="{DE333D7D-E808-49CC-BD1E-7281F32F10FF}" srcId="{150990B3-3F82-487B-8B83-24BEEDC716A5}" destId="{0FCA178E-45A2-4F0F-8E76-7968120E469E}" srcOrd="0" destOrd="0" parTransId="{3725DCC9-C7F7-4ACA-B901-E65EFC237906}" sibTransId="{4A1348E5-AC4A-488A-95C7-589738599947}"/>
    <dgm:cxn modelId="{9D1A982A-092A-4BED-BD33-8F7E5A15E743}" srcId="{395B84DE-DBFA-4628-929C-F9FAE8C6F27D}" destId="{55097C26-910A-417E-A5DA-9879C57E8A29}" srcOrd="0" destOrd="0" parTransId="{A4612D59-2E7D-49EB-9E54-947D7937D56B}" sibTransId="{A6F3DCEB-62B5-45C5-B54E-C62497DE1C3F}"/>
    <dgm:cxn modelId="{B5C0B2F7-E801-42C7-B613-AB53B66B27A2}" type="presOf" srcId="{150990B3-3F82-487B-8B83-24BEEDC716A5}" destId="{19A276D7-64A3-47A5-908A-A187EB360B4F}" srcOrd="1" destOrd="0" presId="urn:microsoft.com/office/officeart/2005/8/layout/process4"/>
    <dgm:cxn modelId="{CE6D6EBE-09DB-4BA7-95A3-F61BE4A1281A}" srcId="{63BA9C8B-C926-4ED0-B5A4-28CC836E8571}" destId="{4EB06360-A03E-4573-B0AC-750EFCF19262}" srcOrd="1" destOrd="0" parTransId="{0744BAE4-5083-430A-A415-FC411D4CA653}" sibTransId="{39CD497F-BFC7-48C3-99EA-B8FA956521CB}"/>
    <dgm:cxn modelId="{62B7E1E4-0090-42E3-929B-9C14AA6DFD6A}" type="presOf" srcId="{BBC381D4-F34D-4572-AF01-F054F6F364D9}" destId="{2C67F674-B1EA-4920-A094-35FAB0B1300D}" srcOrd="0" destOrd="0" presId="urn:microsoft.com/office/officeart/2005/8/layout/process4"/>
    <dgm:cxn modelId="{48D3B1FE-A74A-4C4A-BB47-7775CAB3C484}" srcId="{5308CA4F-98DE-48CE-96A8-1D6006766EDA}" destId="{65A4E0B0-1A22-4AE2-B1DC-F0AA1369FC43}" srcOrd="1" destOrd="0" parTransId="{3504B0BB-7DB5-44AA-ABEF-0364A4841408}" sibTransId="{6D89153B-9AA2-4DC9-BD6F-DCB3226082AF}"/>
    <dgm:cxn modelId="{560ED1F2-8869-465B-80B9-B27D18195008}" type="presOf" srcId="{118E6569-BBC7-4B8C-B891-8F15929896CE}" destId="{89AF5198-E847-4F98-A927-BCB79A578BF1}" srcOrd="0" destOrd="0" presId="urn:microsoft.com/office/officeart/2005/8/layout/process4"/>
    <dgm:cxn modelId="{2582D1B9-1CCB-4DA9-BF9A-796339C296C8}" type="presOf" srcId="{395B84DE-DBFA-4628-929C-F9FAE8C6F27D}" destId="{42488EC6-7DB0-40FC-9617-2C0328DE919C}" srcOrd="0" destOrd="0" presId="urn:microsoft.com/office/officeart/2005/8/layout/process4"/>
    <dgm:cxn modelId="{37F4867F-4D2E-4B04-BE14-693256A23E76}" type="presOf" srcId="{150990B3-3F82-487B-8B83-24BEEDC716A5}" destId="{D0B57528-CA5C-44C6-8E49-8B77F388A11E}" srcOrd="0" destOrd="0" presId="urn:microsoft.com/office/officeart/2005/8/layout/process4"/>
    <dgm:cxn modelId="{5DA86042-F396-40D8-999A-AE65ED723B61}" type="presOf" srcId="{95E4CABD-AC3A-4CBA-80CA-29552601B843}" destId="{6CBB81DD-5F5C-49D3-BCEA-91D39D2CB076}" srcOrd="0" destOrd="0" presId="urn:microsoft.com/office/officeart/2005/8/layout/process4"/>
    <dgm:cxn modelId="{E3DBB8B9-E02A-47B5-B1C7-800A42E67D50}" type="presOf" srcId="{8D7DDCFC-AE63-4E0E-B7A1-EB7F1436AA5D}" destId="{C4C3E5D7-6AE1-48C6-8A63-4C50D42CD7F8}" srcOrd="0" destOrd="0" presId="urn:microsoft.com/office/officeart/2005/8/layout/process4"/>
    <dgm:cxn modelId="{629A2EDD-F920-444C-87F2-7056A610DDE8}" type="presOf" srcId="{65A4E0B0-1A22-4AE2-B1DC-F0AA1369FC43}" destId="{61C7D821-32C5-4E77-821B-06222AF09C43}" srcOrd="0" destOrd="0" presId="urn:microsoft.com/office/officeart/2005/8/layout/process4"/>
    <dgm:cxn modelId="{84425A71-BB10-4482-A87E-E68D33F50AE1}" type="presOf" srcId="{BBC381D4-F34D-4572-AF01-F054F6F364D9}" destId="{A67087B1-13B7-4A0C-A322-22AF3AA1F65F}" srcOrd="1" destOrd="0" presId="urn:microsoft.com/office/officeart/2005/8/layout/process4"/>
    <dgm:cxn modelId="{C61D01CD-0007-4BB1-834A-6123E952C1E4}" srcId="{95E4CABD-AC3A-4CBA-80CA-29552601B843}" destId="{C6EE8D89-F7C7-4A00-9EF0-E5B0516C794C}" srcOrd="0" destOrd="0" parTransId="{09DBA233-0566-4792-BEF7-593AAB0FCED9}" sibTransId="{28E1CCAE-5376-4FF7-8EDE-1B639D88FD2F}"/>
    <dgm:cxn modelId="{70EF3CAF-D1DC-4D98-A612-D2660EE82AA5}" type="presOf" srcId="{CAD60A5A-744A-4A5D-B958-A1D701C56014}" destId="{B86B10BB-7A94-482E-9B3D-382E31F6A8D9}" srcOrd="1" destOrd="0" presId="urn:microsoft.com/office/officeart/2005/8/layout/process4"/>
    <dgm:cxn modelId="{2C48F952-B9BB-4D3C-B72B-6C12765B595A}" type="presOf" srcId="{63BA9C8B-C926-4ED0-B5A4-28CC836E8571}" destId="{4BDAB336-C4BC-470E-9D9A-663C5B1DB75B}" srcOrd="1" destOrd="0" presId="urn:microsoft.com/office/officeart/2005/8/layout/process4"/>
    <dgm:cxn modelId="{206BB17F-A8B6-4783-908C-364C4BA45D3B}" srcId="{2637CC92-EFE2-458D-80C8-E7061CF0946E}" destId="{2C2DAB94-E32D-4654-9FE3-D0B7A4AC13E0}" srcOrd="0" destOrd="0" parTransId="{527273E0-F320-4030-BB19-66BA5FD66BBD}" sibTransId="{4C8826F7-EE8C-4CFB-B26E-18718E869698}"/>
    <dgm:cxn modelId="{8BDB0E8B-CC4B-4DF3-B88F-7DE96F9D2ACE}" srcId="{BBC381D4-F34D-4572-AF01-F054F6F364D9}" destId="{AE5CE1AD-F47E-4DDC-9A32-553CA3FDE4A7}" srcOrd="1" destOrd="0" parTransId="{8191AEF4-E73C-4608-AC93-977A919F4E30}" sibTransId="{90EA54BC-BA00-4421-B048-422ABEA978F1}"/>
    <dgm:cxn modelId="{3F9BB370-B83B-4B36-91AC-09268ABF8981}" type="presOf" srcId="{2637CC92-EFE2-458D-80C8-E7061CF0946E}" destId="{19CA7DBB-9405-40AD-BF79-F9EC0CBC12DA}" srcOrd="0" destOrd="0" presId="urn:microsoft.com/office/officeart/2005/8/layout/process4"/>
    <dgm:cxn modelId="{E296F48B-EE17-43DB-A46E-B40EA3255D00}" srcId="{87BDE974-2835-4290-8DB2-6F84BD1CF2D0}" destId="{2637CC92-EFE2-458D-80C8-E7061CF0946E}" srcOrd="9" destOrd="0" parTransId="{AD1579A5-57CB-441D-8C36-E32385347A36}" sibTransId="{9A28569C-01CA-4563-89A3-0C514B7D6667}"/>
    <dgm:cxn modelId="{D790EA27-2189-4E90-A642-BD4FC39D8692}" type="presOf" srcId="{C790C1DD-ACB9-4A86-84AB-963AC99218AD}" destId="{91F1AF59-0CB2-4ACD-8243-730DF0272AB8}" srcOrd="0" destOrd="0" presId="urn:microsoft.com/office/officeart/2005/8/layout/process4"/>
    <dgm:cxn modelId="{A1F723CF-A6F1-4979-B6F2-FFD8ADC64C18}" srcId="{87BDE974-2835-4290-8DB2-6F84BD1CF2D0}" destId="{63BA9C8B-C926-4ED0-B5A4-28CC836E8571}" srcOrd="7" destOrd="0" parTransId="{0B99747C-BF93-44B0-B0A8-6204ABCEDAFF}" sibTransId="{80644666-0C07-4870-86EB-E600D51A9775}"/>
    <dgm:cxn modelId="{6F1253ED-DA84-42F1-A2E0-11F8F2012CC0}" type="presOf" srcId="{5308CA4F-98DE-48CE-96A8-1D6006766EDA}" destId="{1FD749A7-7400-46F8-9CCE-1C4C37B1D219}" srcOrd="0" destOrd="0" presId="urn:microsoft.com/office/officeart/2005/8/layout/process4"/>
    <dgm:cxn modelId="{4D87223C-F9BA-4A14-81FA-23624E9A0271}" srcId="{8D7DDCFC-AE63-4E0E-B7A1-EB7F1436AA5D}" destId="{77644D67-DC33-49D1-81A2-098BB18BC613}" srcOrd="0" destOrd="0" parTransId="{3075212C-224B-4B2D-8D3F-10120922DFFD}" sibTransId="{C24561D1-8F28-4693-A016-71CB1ED69658}"/>
    <dgm:cxn modelId="{2E242EDF-366F-4001-A140-97C86716A196}" srcId="{C790C1DD-ACB9-4A86-84AB-963AC99218AD}" destId="{9EAAED22-AF84-4960-BBF4-08E129DE37DB}" srcOrd="0" destOrd="0" parTransId="{3EB52AA8-3E7B-4928-B377-22FA392F4CC9}" sibTransId="{17155CAF-C712-4A89-BF3F-68758FC2278E}"/>
    <dgm:cxn modelId="{1F0E3C8C-C36F-43CD-AC7A-86668F395DEE}" type="presOf" srcId="{95E4CABD-AC3A-4CBA-80CA-29552601B843}" destId="{D0A1A7A6-D77C-47EB-A47F-0397A67BC156}" srcOrd="1" destOrd="0" presId="urn:microsoft.com/office/officeart/2005/8/layout/process4"/>
    <dgm:cxn modelId="{6A399066-8B38-4B94-AD5A-0D4A492FA689}" srcId="{87BDE974-2835-4290-8DB2-6F84BD1CF2D0}" destId="{150990B3-3F82-487B-8B83-24BEEDC716A5}" srcOrd="0" destOrd="0" parTransId="{AD95BE86-9FD9-4FBF-A4B4-F7BD43B09E32}" sibTransId="{E51156EC-1433-48F3-9B14-A7DCBD795ACA}"/>
    <dgm:cxn modelId="{DE62363C-8408-4A9A-B264-C0EA889CC88B}" srcId="{CAD60A5A-744A-4A5D-B958-A1D701C56014}" destId="{528AFBE2-AD80-4C61-B58B-CB20B18478BC}" srcOrd="1" destOrd="0" parTransId="{38BAC917-7F70-403B-B732-1A2A4D7CB624}" sibTransId="{BFCC6F3F-55A5-4657-AEBA-0F8DDEB0E2A3}"/>
    <dgm:cxn modelId="{36FFCBCD-423E-4684-A0F5-7F36B7019B3E}" type="presOf" srcId="{7AA96BC5-838D-4374-9577-4E35B4097EB5}" destId="{39912CE9-26CB-4C76-92E3-2BF16D1F8694}" srcOrd="0" destOrd="0" presId="urn:microsoft.com/office/officeart/2005/8/layout/process4"/>
    <dgm:cxn modelId="{B7392733-47D2-42FF-9FCD-DA97D71D5E69}" type="presParOf" srcId="{A47FB7B7-C835-4473-900C-D5E42541FB80}" destId="{97106F4C-2C12-4A8F-A172-65F29FF8CB6D}" srcOrd="0" destOrd="0" presId="urn:microsoft.com/office/officeart/2005/8/layout/process4"/>
    <dgm:cxn modelId="{400F802A-FD1B-4590-9DC6-7513EF669F90}" type="presParOf" srcId="{97106F4C-2C12-4A8F-A172-65F29FF8CB6D}" destId="{19CA7DBB-9405-40AD-BF79-F9EC0CBC12DA}" srcOrd="0" destOrd="0" presId="urn:microsoft.com/office/officeart/2005/8/layout/process4"/>
    <dgm:cxn modelId="{A7FD490A-132D-4E3C-A88A-9F014385E14E}" type="presParOf" srcId="{97106F4C-2C12-4A8F-A172-65F29FF8CB6D}" destId="{9F111DC5-1472-45F5-A207-6C72676AC023}" srcOrd="1" destOrd="0" presId="urn:microsoft.com/office/officeart/2005/8/layout/process4"/>
    <dgm:cxn modelId="{DF77E5C0-1F26-4CD3-9678-A56AAF23C6D8}" type="presParOf" srcId="{97106F4C-2C12-4A8F-A172-65F29FF8CB6D}" destId="{7DBDE3F4-FEC6-4436-9A72-BF6DF087FB90}" srcOrd="2" destOrd="0" presId="urn:microsoft.com/office/officeart/2005/8/layout/process4"/>
    <dgm:cxn modelId="{44A4CA9C-48F9-4D94-801D-1DD227598D88}" type="presParOf" srcId="{7DBDE3F4-FEC6-4436-9A72-BF6DF087FB90}" destId="{27C44301-6A0E-4BBE-AD3A-F51035A4F012}" srcOrd="0" destOrd="0" presId="urn:microsoft.com/office/officeart/2005/8/layout/process4"/>
    <dgm:cxn modelId="{F5EBBD98-7A5B-44B1-9FAC-7056FF306E74}" type="presParOf" srcId="{A47FB7B7-C835-4473-900C-D5E42541FB80}" destId="{794D7E24-1B92-44A9-A301-1036FF08B23B}" srcOrd="1" destOrd="0" presId="urn:microsoft.com/office/officeart/2005/8/layout/process4"/>
    <dgm:cxn modelId="{9EBAAAA3-01B9-466D-B5C7-2A74D522B6FF}" type="presParOf" srcId="{A47FB7B7-C835-4473-900C-D5E42541FB80}" destId="{85CBB092-7C81-41ED-ADA5-EF506B9CCD2A}" srcOrd="2" destOrd="0" presId="urn:microsoft.com/office/officeart/2005/8/layout/process4"/>
    <dgm:cxn modelId="{A9B01A79-B160-4EC5-8853-2394C4491684}" type="presParOf" srcId="{85CBB092-7C81-41ED-ADA5-EF506B9CCD2A}" destId="{620F558F-43F5-4A30-ACBC-5F8500D911DB}" srcOrd="0" destOrd="0" presId="urn:microsoft.com/office/officeart/2005/8/layout/process4"/>
    <dgm:cxn modelId="{41DD8615-7ED1-4AF1-8E21-4328EF0C1D7B}" type="presParOf" srcId="{85CBB092-7C81-41ED-ADA5-EF506B9CCD2A}" destId="{B86B10BB-7A94-482E-9B3D-382E31F6A8D9}" srcOrd="1" destOrd="0" presId="urn:microsoft.com/office/officeart/2005/8/layout/process4"/>
    <dgm:cxn modelId="{8E4FDE10-F8BD-4449-9E80-CF2D4D96A023}" type="presParOf" srcId="{85CBB092-7C81-41ED-ADA5-EF506B9CCD2A}" destId="{F2C7BE0A-1A18-4781-9262-91438876DC70}" srcOrd="2" destOrd="0" presId="urn:microsoft.com/office/officeart/2005/8/layout/process4"/>
    <dgm:cxn modelId="{43BB13F8-06CC-438E-AAD2-2FE6359DB910}" type="presParOf" srcId="{F2C7BE0A-1A18-4781-9262-91438876DC70}" destId="{083ADBA8-F59D-4AEB-96E1-95B0C38B200C}" srcOrd="0" destOrd="0" presId="urn:microsoft.com/office/officeart/2005/8/layout/process4"/>
    <dgm:cxn modelId="{DECFCE7E-498B-48E9-9F2A-A42300A22CC5}" type="presParOf" srcId="{F2C7BE0A-1A18-4781-9262-91438876DC70}" destId="{7CD727F7-896D-4845-8BC7-170E75F1819F}" srcOrd="1" destOrd="0" presId="urn:microsoft.com/office/officeart/2005/8/layout/process4"/>
    <dgm:cxn modelId="{A8FE2546-0780-466B-8CF4-462698077C01}" type="presParOf" srcId="{A47FB7B7-C835-4473-900C-D5E42541FB80}" destId="{94D4C094-862A-4FD2-BD16-5985EC465F96}" srcOrd="3" destOrd="0" presId="urn:microsoft.com/office/officeart/2005/8/layout/process4"/>
    <dgm:cxn modelId="{2DC4126D-3565-4233-9CEF-785EBFF1C593}" type="presParOf" srcId="{A47FB7B7-C835-4473-900C-D5E42541FB80}" destId="{EAAAEB0D-26BA-4315-B2F5-E8DABF3615AE}" srcOrd="4" destOrd="0" presId="urn:microsoft.com/office/officeart/2005/8/layout/process4"/>
    <dgm:cxn modelId="{BA9C96A9-C886-4A8F-A656-896610A827AB}" type="presParOf" srcId="{EAAAEB0D-26BA-4315-B2F5-E8DABF3615AE}" destId="{271D5706-B824-477B-9E5C-95B8E37780C8}" srcOrd="0" destOrd="0" presId="urn:microsoft.com/office/officeart/2005/8/layout/process4"/>
    <dgm:cxn modelId="{172EAC97-00CA-4C49-801E-F758983E6381}" type="presParOf" srcId="{EAAAEB0D-26BA-4315-B2F5-E8DABF3615AE}" destId="{4BDAB336-C4BC-470E-9D9A-663C5B1DB75B}" srcOrd="1" destOrd="0" presId="urn:microsoft.com/office/officeart/2005/8/layout/process4"/>
    <dgm:cxn modelId="{A3523085-44C8-48C3-B7ED-7E45F491064F}" type="presParOf" srcId="{EAAAEB0D-26BA-4315-B2F5-E8DABF3615AE}" destId="{E1530A3D-A853-47F5-8EF3-29724B4AC088}" srcOrd="2" destOrd="0" presId="urn:microsoft.com/office/officeart/2005/8/layout/process4"/>
    <dgm:cxn modelId="{060F1EE6-94B4-4509-8DF5-920694BCCC0B}" type="presParOf" srcId="{E1530A3D-A853-47F5-8EF3-29724B4AC088}" destId="{F44DF394-1BA4-4460-BBB4-60C6AD0211D6}" srcOrd="0" destOrd="0" presId="urn:microsoft.com/office/officeart/2005/8/layout/process4"/>
    <dgm:cxn modelId="{4B68601B-E49D-43F6-BF45-4752E806A59A}" type="presParOf" srcId="{E1530A3D-A853-47F5-8EF3-29724B4AC088}" destId="{2659F3A2-775C-41F3-9F01-5B91B34ACE71}" srcOrd="1" destOrd="0" presId="urn:microsoft.com/office/officeart/2005/8/layout/process4"/>
    <dgm:cxn modelId="{382A36C2-B43F-4858-A02C-EF5BE4A35002}" type="presParOf" srcId="{A47FB7B7-C835-4473-900C-D5E42541FB80}" destId="{8BD9770B-8641-4B1B-9F49-1343D2EB9CE7}" srcOrd="5" destOrd="0" presId="urn:microsoft.com/office/officeart/2005/8/layout/process4"/>
    <dgm:cxn modelId="{EF228BEB-33DA-4EAF-B741-6047FF668052}" type="presParOf" srcId="{A47FB7B7-C835-4473-900C-D5E42541FB80}" destId="{EEE7FF4D-FD24-4548-B1C9-6DE50B998C05}" srcOrd="6" destOrd="0" presId="urn:microsoft.com/office/officeart/2005/8/layout/process4"/>
    <dgm:cxn modelId="{E0DE6606-127A-4A20-A4D0-E82D268B2A9A}" type="presParOf" srcId="{EEE7FF4D-FD24-4548-B1C9-6DE50B998C05}" destId="{C4C3E5D7-6AE1-48C6-8A63-4C50D42CD7F8}" srcOrd="0" destOrd="0" presId="urn:microsoft.com/office/officeart/2005/8/layout/process4"/>
    <dgm:cxn modelId="{A587569C-BD6A-4651-B4D2-15F55401D184}" type="presParOf" srcId="{EEE7FF4D-FD24-4548-B1C9-6DE50B998C05}" destId="{BA02E461-DC24-45CC-AABD-3DCA5E36A4FD}" srcOrd="1" destOrd="0" presId="urn:microsoft.com/office/officeart/2005/8/layout/process4"/>
    <dgm:cxn modelId="{4F4483EA-6EE1-490F-8C71-32BB2D0F74CF}" type="presParOf" srcId="{EEE7FF4D-FD24-4548-B1C9-6DE50B998C05}" destId="{85EC23FA-5F69-4A24-9F90-CF0CCFDA0D30}" srcOrd="2" destOrd="0" presId="urn:microsoft.com/office/officeart/2005/8/layout/process4"/>
    <dgm:cxn modelId="{FD694F16-803B-47C6-BD5A-D58143AF2FFA}" type="presParOf" srcId="{85EC23FA-5F69-4A24-9F90-CF0CCFDA0D30}" destId="{909B79A2-8134-4D67-AE78-6F93A8F0B8CB}" srcOrd="0" destOrd="0" presId="urn:microsoft.com/office/officeart/2005/8/layout/process4"/>
    <dgm:cxn modelId="{EA109D4F-36CA-4532-AF95-E2DA71FDFBF3}" type="presParOf" srcId="{85EC23FA-5F69-4A24-9F90-CF0CCFDA0D30}" destId="{89AF5198-E847-4F98-A927-BCB79A578BF1}" srcOrd="1" destOrd="0" presId="urn:microsoft.com/office/officeart/2005/8/layout/process4"/>
    <dgm:cxn modelId="{EF069686-8C3F-4361-998B-A642DF6DD7D1}" type="presParOf" srcId="{A47FB7B7-C835-4473-900C-D5E42541FB80}" destId="{EA7FC948-869E-434D-898D-AC8F8178BB2C}" srcOrd="7" destOrd="0" presId="urn:microsoft.com/office/officeart/2005/8/layout/process4"/>
    <dgm:cxn modelId="{A3B65848-8F8E-49AC-A2D7-24586EC75A49}" type="presParOf" srcId="{A47FB7B7-C835-4473-900C-D5E42541FB80}" destId="{B1B72E3A-0949-4F85-A5BA-964CEAC1F9B1}" srcOrd="8" destOrd="0" presId="urn:microsoft.com/office/officeart/2005/8/layout/process4"/>
    <dgm:cxn modelId="{852F73E6-DB86-48DC-BF87-E651B42C4EA0}" type="presParOf" srcId="{B1B72E3A-0949-4F85-A5BA-964CEAC1F9B1}" destId="{6CBB81DD-5F5C-49D3-BCEA-91D39D2CB076}" srcOrd="0" destOrd="0" presId="urn:microsoft.com/office/officeart/2005/8/layout/process4"/>
    <dgm:cxn modelId="{43782386-DEB5-4106-895F-DCCA3B7A1A1F}" type="presParOf" srcId="{B1B72E3A-0949-4F85-A5BA-964CEAC1F9B1}" destId="{D0A1A7A6-D77C-47EB-A47F-0397A67BC156}" srcOrd="1" destOrd="0" presId="urn:microsoft.com/office/officeart/2005/8/layout/process4"/>
    <dgm:cxn modelId="{A6C64728-7A47-4DA0-9A33-84FDAEFA84A0}" type="presParOf" srcId="{B1B72E3A-0949-4F85-A5BA-964CEAC1F9B1}" destId="{DAAD926B-7B8C-46E6-BCA8-39C1E828A426}" srcOrd="2" destOrd="0" presId="urn:microsoft.com/office/officeart/2005/8/layout/process4"/>
    <dgm:cxn modelId="{D7A34F66-6D36-42F7-A421-2779804C4A98}" type="presParOf" srcId="{DAAD926B-7B8C-46E6-BCA8-39C1E828A426}" destId="{0977233D-B082-41F1-8EBD-6EE1037A9D53}" srcOrd="0" destOrd="0" presId="urn:microsoft.com/office/officeart/2005/8/layout/process4"/>
    <dgm:cxn modelId="{30B2B2A0-DF84-4B68-8DA7-0C2B8F91AADC}" type="presParOf" srcId="{DAAD926B-7B8C-46E6-BCA8-39C1E828A426}" destId="{E4115064-E840-4FBF-8BE2-8C828EFA6946}" srcOrd="1" destOrd="0" presId="urn:microsoft.com/office/officeart/2005/8/layout/process4"/>
    <dgm:cxn modelId="{6EC51DD9-C75B-4DEE-9E43-7E11A647169F}" type="presParOf" srcId="{A47FB7B7-C835-4473-900C-D5E42541FB80}" destId="{87A92260-EFBB-40C7-B68F-86B6F81AA2B6}" srcOrd="9" destOrd="0" presId="urn:microsoft.com/office/officeart/2005/8/layout/process4"/>
    <dgm:cxn modelId="{8A0D5BBA-0886-49E0-9517-2A7A104DFC60}" type="presParOf" srcId="{A47FB7B7-C835-4473-900C-D5E42541FB80}" destId="{8F00E055-CA3F-4237-87A9-208D0F2A0CBD}" srcOrd="10" destOrd="0" presId="urn:microsoft.com/office/officeart/2005/8/layout/process4"/>
    <dgm:cxn modelId="{8B87C09D-04C3-424E-ADF6-A8EA16C486A9}" type="presParOf" srcId="{8F00E055-CA3F-4237-87A9-208D0F2A0CBD}" destId="{91F1AF59-0CB2-4ACD-8243-730DF0272AB8}" srcOrd="0" destOrd="0" presId="urn:microsoft.com/office/officeart/2005/8/layout/process4"/>
    <dgm:cxn modelId="{3201839F-2433-4FC9-9F93-42BF4C891487}" type="presParOf" srcId="{8F00E055-CA3F-4237-87A9-208D0F2A0CBD}" destId="{19960F41-5650-4938-BEF0-CCAE3ACD3924}" srcOrd="1" destOrd="0" presId="urn:microsoft.com/office/officeart/2005/8/layout/process4"/>
    <dgm:cxn modelId="{EA0CC14F-D347-4CE0-9206-72931CA6B131}" type="presParOf" srcId="{8F00E055-CA3F-4237-87A9-208D0F2A0CBD}" destId="{8DF6ACCD-62DB-4553-8023-C35EDE0080AE}" srcOrd="2" destOrd="0" presId="urn:microsoft.com/office/officeart/2005/8/layout/process4"/>
    <dgm:cxn modelId="{C2FAE833-D6FE-465D-BA57-FF3ED328CC6F}" type="presParOf" srcId="{8DF6ACCD-62DB-4553-8023-C35EDE0080AE}" destId="{4FB0C005-3FFE-4F3F-872A-461C3F3A481C}" srcOrd="0" destOrd="0" presId="urn:microsoft.com/office/officeart/2005/8/layout/process4"/>
    <dgm:cxn modelId="{5D238131-4AB3-4DE0-B462-2536826D5A75}" type="presParOf" srcId="{8DF6ACCD-62DB-4553-8023-C35EDE0080AE}" destId="{39912CE9-26CB-4C76-92E3-2BF16D1F8694}" srcOrd="1" destOrd="0" presId="urn:microsoft.com/office/officeart/2005/8/layout/process4"/>
    <dgm:cxn modelId="{B5F6E6CA-C334-4828-BD41-9F32AA4B4318}" type="presParOf" srcId="{A47FB7B7-C835-4473-900C-D5E42541FB80}" destId="{32E089B9-9603-430B-AF3D-109ABB0A892F}" srcOrd="11" destOrd="0" presId="urn:microsoft.com/office/officeart/2005/8/layout/process4"/>
    <dgm:cxn modelId="{9651E06A-DD74-4FA2-8921-9423057BAF26}" type="presParOf" srcId="{A47FB7B7-C835-4473-900C-D5E42541FB80}" destId="{FE58300D-2F66-45B0-9067-6AE9FB622669}" srcOrd="12" destOrd="0" presId="urn:microsoft.com/office/officeart/2005/8/layout/process4"/>
    <dgm:cxn modelId="{7988179B-7BCE-4A5C-B482-5E9031EDE94C}" type="presParOf" srcId="{FE58300D-2F66-45B0-9067-6AE9FB622669}" destId="{1FD749A7-7400-46F8-9CCE-1C4C37B1D219}" srcOrd="0" destOrd="0" presId="urn:microsoft.com/office/officeart/2005/8/layout/process4"/>
    <dgm:cxn modelId="{5268F188-D744-4EB8-B3E7-8827257620E1}" type="presParOf" srcId="{FE58300D-2F66-45B0-9067-6AE9FB622669}" destId="{63A53D11-13DA-48E5-BBE2-8D8EE138A455}" srcOrd="1" destOrd="0" presId="urn:microsoft.com/office/officeart/2005/8/layout/process4"/>
    <dgm:cxn modelId="{7CEDDB7C-53DC-4E21-BDDA-A8131F5DBDF8}" type="presParOf" srcId="{FE58300D-2F66-45B0-9067-6AE9FB622669}" destId="{7A072DC2-02AC-4BBD-8F26-CE8CABCF1F07}" srcOrd="2" destOrd="0" presId="urn:microsoft.com/office/officeart/2005/8/layout/process4"/>
    <dgm:cxn modelId="{5B056EF8-0047-41EA-981C-F947B88BD101}" type="presParOf" srcId="{7A072DC2-02AC-4BBD-8F26-CE8CABCF1F07}" destId="{E0D14FBC-9EFB-447F-BEA2-589524B19614}" srcOrd="0" destOrd="0" presId="urn:microsoft.com/office/officeart/2005/8/layout/process4"/>
    <dgm:cxn modelId="{7795AC58-65EB-44C1-8E93-99823DEBCBDB}" type="presParOf" srcId="{7A072DC2-02AC-4BBD-8F26-CE8CABCF1F07}" destId="{61C7D821-32C5-4E77-821B-06222AF09C43}" srcOrd="1" destOrd="0" presId="urn:microsoft.com/office/officeart/2005/8/layout/process4"/>
    <dgm:cxn modelId="{A205410E-0D34-4D4F-BA36-51C44650DFD6}" type="presParOf" srcId="{A47FB7B7-C835-4473-900C-D5E42541FB80}" destId="{09D4D2FF-953A-42A0-9060-934F9C685B1A}" srcOrd="13" destOrd="0" presId="urn:microsoft.com/office/officeart/2005/8/layout/process4"/>
    <dgm:cxn modelId="{A65E7453-86CF-4B19-A3E9-3CAE2E80F58D}" type="presParOf" srcId="{A47FB7B7-C835-4473-900C-D5E42541FB80}" destId="{B313CE9B-A92C-4A0E-9D37-755F4092D281}" srcOrd="14" destOrd="0" presId="urn:microsoft.com/office/officeart/2005/8/layout/process4"/>
    <dgm:cxn modelId="{17E7A430-9B40-4DC4-AD5C-7C3A89D5A33E}" type="presParOf" srcId="{B313CE9B-A92C-4A0E-9D37-755F4092D281}" destId="{42488EC6-7DB0-40FC-9617-2C0328DE919C}" srcOrd="0" destOrd="0" presId="urn:microsoft.com/office/officeart/2005/8/layout/process4"/>
    <dgm:cxn modelId="{327BC139-BAE5-428E-87BB-E22186580420}" type="presParOf" srcId="{B313CE9B-A92C-4A0E-9D37-755F4092D281}" destId="{ECCEE1E4-C17E-4DEA-A3D1-8909602F84B7}" srcOrd="1" destOrd="0" presId="urn:microsoft.com/office/officeart/2005/8/layout/process4"/>
    <dgm:cxn modelId="{6004CFF3-C0B6-4459-8941-3BB3183CA19A}" type="presParOf" srcId="{B313CE9B-A92C-4A0E-9D37-755F4092D281}" destId="{FC2C027E-BBED-4F82-A9DB-60C2E986757C}" srcOrd="2" destOrd="0" presId="urn:microsoft.com/office/officeart/2005/8/layout/process4"/>
    <dgm:cxn modelId="{362BEC53-8ABF-4E18-B4C7-C812B9D42016}" type="presParOf" srcId="{FC2C027E-BBED-4F82-A9DB-60C2E986757C}" destId="{6E018DB0-80C6-48F8-8EE0-E68F829F931F}" srcOrd="0" destOrd="0" presId="urn:microsoft.com/office/officeart/2005/8/layout/process4"/>
    <dgm:cxn modelId="{02ABCAEB-AE53-43C1-8AB5-E9433C0761B7}" type="presParOf" srcId="{FC2C027E-BBED-4F82-A9DB-60C2E986757C}" destId="{25282EF9-2182-4AB8-A29C-B90804134475}" srcOrd="1" destOrd="0" presId="urn:microsoft.com/office/officeart/2005/8/layout/process4"/>
    <dgm:cxn modelId="{84512977-C2E1-4A92-BBF2-B34F42A2BB51}" type="presParOf" srcId="{A47FB7B7-C835-4473-900C-D5E42541FB80}" destId="{D80D84D2-1495-4445-921D-2C60827B485C}" srcOrd="15" destOrd="0" presId="urn:microsoft.com/office/officeart/2005/8/layout/process4"/>
    <dgm:cxn modelId="{40F4F093-7E5C-4888-8932-82512BC99CD3}" type="presParOf" srcId="{A47FB7B7-C835-4473-900C-D5E42541FB80}" destId="{74ED1D97-A925-4214-B284-B8225603DE72}" srcOrd="16" destOrd="0" presId="urn:microsoft.com/office/officeart/2005/8/layout/process4"/>
    <dgm:cxn modelId="{71F6D1BB-23BE-4F5E-85B5-EFC475A8EA9C}" type="presParOf" srcId="{74ED1D97-A925-4214-B284-B8225603DE72}" destId="{2C67F674-B1EA-4920-A094-35FAB0B1300D}" srcOrd="0" destOrd="0" presId="urn:microsoft.com/office/officeart/2005/8/layout/process4"/>
    <dgm:cxn modelId="{2324AF6D-DE5B-4EB6-844E-2063EC3EEF33}" type="presParOf" srcId="{74ED1D97-A925-4214-B284-B8225603DE72}" destId="{A67087B1-13B7-4A0C-A322-22AF3AA1F65F}" srcOrd="1" destOrd="0" presId="urn:microsoft.com/office/officeart/2005/8/layout/process4"/>
    <dgm:cxn modelId="{8198BCBD-5CFB-4C66-B5E9-C50CFD7E9E30}" type="presParOf" srcId="{74ED1D97-A925-4214-B284-B8225603DE72}" destId="{8CC1642A-7A74-4F88-A64D-AC63E1A5127D}" srcOrd="2" destOrd="0" presId="urn:microsoft.com/office/officeart/2005/8/layout/process4"/>
    <dgm:cxn modelId="{E3C24030-6729-4341-B09F-C28A2BAB32C1}" type="presParOf" srcId="{8CC1642A-7A74-4F88-A64D-AC63E1A5127D}" destId="{A288D6B9-1109-4D2D-9358-26EC6D6AD9B8}" srcOrd="0" destOrd="0" presId="urn:microsoft.com/office/officeart/2005/8/layout/process4"/>
    <dgm:cxn modelId="{8317F089-944B-41E0-83B0-DFCC7EC6B6A7}" type="presParOf" srcId="{8CC1642A-7A74-4F88-A64D-AC63E1A5127D}" destId="{E78378A9-A3B6-46DE-A7CF-DCADA2103EAD}" srcOrd="1" destOrd="0" presId="urn:microsoft.com/office/officeart/2005/8/layout/process4"/>
    <dgm:cxn modelId="{54AFA9E4-5AD9-4718-B1C0-C35530872D38}" type="presParOf" srcId="{A47FB7B7-C835-4473-900C-D5E42541FB80}" destId="{7C8E464C-2E47-45F7-BC2D-2A8666030483}" srcOrd="17" destOrd="0" presId="urn:microsoft.com/office/officeart/2005/8/layout/process4"/>
    <dgm:cxn modelId="{6FD2DB87-E2A3-41EB-952D-4B65843B4495}" type="presParOf" srcId="{A47FB7B7-C835-4473-900C-D5E42541FB80}" destId="{8ABBC8FB-684E-44CC-A25F-3EACB2BFB2FA}" srcOrd="18" destOrd="0" presId="urn:microsoft.com/office/officeart/2005/8/layout/process4"/>
    <dgm:cxn modelId="{BEDD6BDB-C771-494C-A598-956A7A12E345}" type="presParOf" srcId="{8ABBC8FB-684E-44CC-A25F-3EACB2BFB2FA}" destId="{D0B57528-CA5C-44C6-8E49-8B77F388A11E}" srcOrd="0" destOrd="0" presId="urn:microsoft.com/office/officeart/2005/8/layout/process4"/>
    <dgm:cxn modelId="{6BAD31D2-0164-4CC1-BE9E-E062ADBF43B7}" type="presParOf" srcId="{8ABBC8FB-684E-44CC-A25F-3EACB2BFB2FA}" destId="{19A276D7-64A3-47A5-908A-A187EB360B4F}" srcOrd="1" destOrd="0" presId="urn:microsoft.com/office/officeart/2005/8/layout/process4"/>
    <dgm:cxn modelId="{1913DD46-531A-4F48-8B78-35D195CD0E96}" type="presParOf" srcId="{8ABBC8FB-684E-44CC-A25F-3EACB2BFB2FA}" destId="{2C93A2F4-E556-4141-AB40-8AD05834FCAC}" srcOrd="2" destOrd="0" presId="urn:microsoft.com/office/officeart/2005/8/layout/process4"/>
    <dgm:cxn modelId="{82A3323F-F2DD-474E-B5B8-850E79CD25C3}" type="presParOf" srcId="{2C93A2F4-E556-4141-AB40-8AD05834FCAC}" destId="{9822566B-87FE-415C-927A-57AD60D62770}" srcOrd="0" destOrd="0" presId="urn:microsoft.com/office/officeart/2005/8/layout/process4"/>
    <dgm:cxn modelId="{1A8DCD5E-10B5-4853-8DFA-6470DB4AE68B}" type="presParOf" srcId="{2C93A2F4-E556-4141-AB40-8AD05834FCAC}" destId="{9B472EC1-82A4-4661-B9EC-B892C60C18C0}" srcOrd="1" destOrd="0" presId="urn:microsoft.com/office/officeart/2005/8/layout/process4"/>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837261F-E9DB-457D-B9D1-D2E5823F02FB}"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bg-BG"/>
        </a:p>
      </dgm:t>
    </dgm:pt>
    <dgm:pt modelId="{EEDA81E9-7753-464B-B398-484283D91C72}">
      <dgm:prSet phldrT="[Text]" custT="1"/>
      <dgm:spPr>
        <a:xfrm>
          <a:off x="0" y="114568"/>
          <a:ext cx="1773573" cy="4821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sz="1100">
              <a:solidFill>
                <a:sysClr val="window" lastClr="FFFFFF"/>
              </a:solidFill>
              <a:latin typeface="Calibri"/>
              <a:ea typeface="+mn-ea"/>
              <a:cs typeface="+mn-cs"/>
            </a:rPr>
            <a:t>(1) Представяне на контекста</a:t>
          </a:r>
        </a:p>
      </dgm:t>
    </dgm:pt>
    <dgm:pt modelId="{2A96EA5E-46BB-49DE-A16D-E77D3BE8FA73}" type="parTrans" cxnId="{9A992777-3E83-4B59-A544-223F7DE3366E}">
      <dgm:prSet/>
      <dgm:spPr/>
      <dgm:t>
        <a:bodyPr/>
        <a:lstStyle/>
        <a:p>
          <a:endParaRPr lang="bg-BG"/>
        </a:p>
      </dgm:t>
    </dgm:pt>
    <dgm:pt modelId="{8CD77B7A-5A58-472F-ACA8-3905DFFC444C}" type="sibTrans" cxnId="{9A992777-3E83-4B59-A544-223F7DE3366E}">
      <dgm:prSet/>
      <dgm:spPr/>
      <dgm:t>
        <a:bodyPr/>
        <a:lstStyle/>
        <a:p>
          <a:endParaRPr lang="bg-BG"/>
        </a:p>
      </dgm:t>
    </dgm:pt>
    <dgm:pt modelId="{9E999F14-0FC8-4A93-AA08-D99FD1141070}">
      <dgm:prSet phldrT="[Text]"/>
      <dgm:spPr>
        <a:xfrm>
          <a:off x="0" y="915467"/>
          <a:ext cx="1771841" cy="4821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a:solidFill>
                <a:sysClr val="window" lastClr="FFFFFF"/>
              </a:solidFill>
              <a:latin typeface="Calibri"/>
              <a:ea typeface="+mn-ea"/>
              <a:cs typeface="+mn-cs"/>
            </a:rPr>
            <a:t>(2) Определяне на целите</a:t>
          </a:r>
        </a:p>
      </dgm:t>
    </dgm:pt>
    <dgm:pt modelId="{AC509649-6451-49EF-BF0B-5828DB8ADF3F}" type="parTrans" cxnId="{082667E9-6479-4B5B-A839-AC412AE6D29F}">
      <dgm:prSet/>
      <dgm:spPr/>
      <dgm:t>
        <a:bodyPr/>
        <a:lstStyle/>
        <a:p>
          <a:endParaRPr lang="bg-BG"/>
        </a:p>
      </dgm:t>
    </dgm:pt>
    <dgm:pt modelId="{E6A76BBE-A95B-4FA0-9E19-669EC7F76C58}" type="sibTrans" cxnId="{082667E9-6479-4B5B-A839-AC412AE6D29F}">
      <dgm:prSet/>
      <dgm:spPr/>
      <dgm:t>
        <a:bodyPr/>
        <a:lstStyle/>
        <a:p>
          <a:endParaRPr lang="bg-BG"/>
        </a:p>
      </dgm:t>
    </dgm:pt>
    <dgm:pt modelId="{024C670E-461F-4633-9648-16B08CD0F708}">
      <dgm:prSet phldrT="[Text]" custT="1"/>
      <dgm:spPr>
        <a:xfrm>
          <a:off x="1784083" y="37612"/>
          <a:ext cx="7226946" cy="711588"/>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Социално-икономическите условия в държавата/региона, с които е свързан проектът;</a:t>
          </a:r>
        </a:p>
      </dgm:t>
    </dgm:pt>
    <dgm:pt modelId="{F5F94BAA-7DC9-4F13-91DB-002DB4422673}" type="sibTrans" cxnId="{414A8308-930D-4411-927B-0472F8AB5D44}">
      <dgm:prSet/>
      <dgm:spPr/>
      <dgm:t>
        <a:bodyPr/>
        <a:lstStyle/>
        <a:p>
          <a:endParaRPr lang="bg-BG"/>
        </a:p>
      </dgm:t>
    </dgm:pt>
    <dgm:pt modelId="{C26CABA1-C41F-400E-BDE8-3DEAF1CB16A2}" type="parTrans" cxnId="{414A8308-930D-4411-927B-0472F8AB5D44}">
      <dgm:prSet/>
      <dgm:spPr/>
      <dgm:t>
        <a:bodyPr/>
        <a:lstStyle/>
        <a:p>
          <a:endParaRPr lang="bg-BG"/>
        </a:p>
      </dgm:t>
    </dgm:pt>
    <dgm:pt modelId="{209C0FCE-A28A-4638-8F31-7098A0074E18}">
      <dgm:prSet/>
      <dgm:spPr>
        <a:xfrm>
          <a:off x="0" y="1712490"/>
          <a:ext cx="1771841" cy="4821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a:solidFill>
                <a:sysClr val="window" lastClr="FFFFFF"/>
              </a:solidFill>
              <a:latin typeface="Calibri"/>
              <a:ea typeface="+mn-ea"/>
              <a:cs typeface="+mn-cs"/>
            </a:rPr>
            <a:t>(3) Идентификация на проекта</a:t>
          </a:r>
        </a:p>
      </dgm:t>
    </dgm:pt>
    <dgm:pt modelId="{DA1F1826-BFC3-483B-B4C9-3EBD78DABAEC}" type="parTrans" cxnId="{DE50B3CB-37F9-435F-B784-DE4ED291DBAD}">
      <dgm:prSet/>
      <dgm:spPr/>
      <dgm:t>
        <a:bodyPr/>
        <a:lstStyle/>
        <a:p>
          <a:endParaRPr lang="bg-BG"/>
        </a:p>
      </dgm:t>
    </dgm:pt>
    <dgm:pt modelId="{2F8C169F-3B57-4F2D-86DE-ED892EEBC518}" type="sibTrans" cxnId="{DE50B3CB-37F9-435F-B784-DE4ED291DBAD}">
      <dgm:prSet/>
      <dgm:spPr/>
      <dgm:t>
        <a:bodyPr/>
        <a:lstStyle/>
        <a:p>
          <a:endParaRPr lang="bg-BG"/>
        </a:p>
      </dgm:t>
    </dgm:pt>
    <dgm:pt modelId="{7A3DEFD0-56B1-485C-9005-268A9DF6276F}">
      <dgm:prSet/>
      <dgm:spPr>
        <a:xfrm>
          <a:off x="0" y="3240537"/>
          <a:ext cx="1773573" cy="4821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a:solidFill>
                <a:sysClr val="window" lastClr="FFFFFF"/>
              </a:solidFill>
              <a:latin typeface="Calibri"/>
              <a:ea typeface="+mn-ea"/>
              <a:cs typeface="+mn-cs"/>
            </a:rPr>
            <a:t>(5) Финансов анализ</a:t>
          </a:r>
        </a:p>
      </dgm:t>
    </dgm:pt>
    <dgm:pt modelId="{CD934D39-27A7-4510-A987-55530173C7A4}" type="parTrans" cxnId="{92ECE948-416A-4318-AE64-C8490B445DB9}">
      <dgm:prSet/>
      <dgm:spPr/>
      <dgm:t>
        <a:bodyPr/>
        <a:lstStyle/>
        <a:p>
          <a:endParaRPr lang="bg-BG"/>
        </a:p>
      </dgm:t>
    </dgm:pt>
    <dgm:pt modelId="{9AC3BB9F-575B-4783-9168-BBB535724F00}" type="sibTrans" cxnId="{92ECE948-416A-4318-AE64-C8490B445DB9}">
      <dgm:prSet/>
      <dgm:spPr/>
      <dgm:t>
        <a:bodyPr/>
        <a:lstStyle/>
        <a:p>
          <a:endParaRPr lang="bg-BG"/>
        </a:p>
      </dgm:t>
    </dgm:pt>
    <dgm:pt modelId="{3AB4EF6F-28DB-4179-8548-070ECF73796D}">
      <dgm:prSet/>
      <dgm:spPr>
        <a:xfrm>
          <a:off x="0" y="3982533"/>
          <a:ext cx="1773573" cy="4821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a:solidFill>
                <a:sysClr val="window" lastClr="FFFFFF"/>
              </a:solidFill>
              <a:latin typeface="Calibri"/>
              <a:ea typeface="+mn-ea"/>
              <a:cs typeface="+mn-cs"/>
            </a:rPr>
            <a:t>(6) Икономически анализ</a:t>
          </a:r>
        </a:p>
      </dgm:t>
    </dgm:pt>
    <dgm:pt modelId="{ADF9CC58-AD2C-4DF3-B1CD-46B958680BD6}" type="parTrans" cxnId="{9C9EA66A-7CF5-4E1C-B301-B6A1BA6213FD}">
      <dgm:prSet/>
      <dgm:spPr/>
      <dgm:t>
        <a:bodyPr/>
        <a:lstStyle/>
        <a:p>
          <a:endParaRPr lang="bg-BG"/>
        </a:p>
      </dgm:t>
    </dgm:pt>
    <dgm:pt modelId="{895F93EB-063D-42D5-830A-E3E54A49DF92}" type="sibTrans" cxnId="{9C9EA66A-7CF5-4E1C-B301-B6A1BA6213FD}">
      <dgm:prSet/>
      <dgm:spPr/>
      <dgm:t>
        <a:bodyPr/>
        <a:lstStyle/>
        <a:p>
          <a:endParaRPr lang="bg-BG"/>
        </a:p>
      </dgm:t>
    </dgm:pt>
    <dgm:pt modelId="{17173E74-B174-40D9-83EA-10CA7392DB4E}">
      <dgm:prSet/>
      <dgm:spPr>
        <a:xfrm>
          <a:off x="0" y="4699445"/>
          <a:ext cx="1773573" cy="4821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a:solidFill>
                <a:sysClr val="window" lastClr="FFFFFF"/>
              </a:solidFill>
              <a:latin typeface="Calibri"/>
              <a:ea typeface="+mn-ea"/>
              <a:cs typeface="+mn-cs"/>
            </a:rPr>
            <a:t>(7) Оценка на риска</a:t>
          </a:r>
        </a:p>
      </dgm:t>
    </dgm:pt>
    <dgm:pt modelId="{218ECB18-B715-43C0-A52D-94796B70E37A}" type="parTrans" cxnId="{0A9D98EA-62DA-4150-8198-EC2E857089C8}">
      <dgm:prSet/>
      <dgm:spPr/>
      <dgm:t>
        <a:bodyPr/>
        <a:lstStyle/>
        <a:p>
          <a:endParaRPr lang="bg-BG"/>
        </a:p>
      </dgm:t>
    </dgm:pt>
    <dgm:pt modelId="{2E767C3B-1BB8-4F38-86F6-FCC4824CEFBA}" type="sibTrans" cxnId="{0A9D98EA-62DA-4150-8198-EC2E857089C8}">
      <dgm:prSet/>
      <dgm:spPr/>
      <dgm:t>
        <a:bodyPr/>
        <a:lstStyle/>
        <a:p>
          <a:endParaRPr lang="bg-BG"/>
        </a:p>
      </dgm:t>
    </dgm:pt>
    <dgm:pt modelId="{08EDB7F2-A044-477B-B49B-E43C85CFA70B}">
      <dgm:prSet/>
      <dgm:spPr>
        <a:xfrm>
          <a:off x="0" y="2487104"/>
          <a:ext cx="1773573" cy="4821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a:solidFill>
                <a:sysClr val="window" lastClr="FFFFFF"/>
              </a:solidFill>
              <a:latin typeface="Calibri"/>
              <a:ea typeface="+mn-ea"/>
              <a:cs typeface="+mn-cs"/>
            </a:rPr>
            <a:t>(4) Резултати от предпроектните проучвания с анализ на търсенето и на вариантите</a:t>
          </a:r>
        </a:p>
      </dgm:t>
    </dgm:pt>
    <dgm:pt modelId="{A5B9A3BA-C1CB-495F-8054-01994B5E0D30}" type="parTrans" cxnId="{54D707D7-AD5C-4553-B9FE-42751C03370E}">
      <dgm:prSet/>
      <dgm:spPr/>
      <dgm:t>
        <a:bodyPr/>
        <a:lstStyle/>
        <a:p>
          <a:endParaRPr lang="bg-BG"/>
        </a:p>
      </dgm:t>
    </dgm:pt>
    <dgm:pt modelId="{1B50A007-1577-4E5D-A517-194C1D860F75}" type="sibTrans" cxnId="{54D707D7-AD5C-4553-B9FE-42751C03370E}">
      <dgm:prSet/>
      <dgm:spPr/>
      <dgm:t>
        <a:bodyPr/>
        <a:lstStyle/>
        <a:p>
          <a:endParaRPr lang="bg-BG"/>
        </a:p>
      </dgm:t>
    </dgm:pt>
    <dgm:pt modelId="{E316B52F-1CFC-40A4-BEF8-EF191DD7EA0C}">
      <dgm:prSet custT="1"/>
      <dgm:spPr>
        <a:xfrm>
          <a:off x="1784083" y="37612"/>
          <a:ext cx="7226946" cy="711588"/>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 Политиката и институционалните аспекти, включително съществуващите икономически политики и планове за развитие със заложените политическите цели;</a:t>
          </a:r>
        </a:p>
      </dgm:t>
    </dgm:pt>
    <dgm:pt modelId="{8AC61CEF-7B09-4A10-B198-5CEE187DB234}" type="parTrans" cxnId="{8810E737-20ED-4B9F-B059-57A21E784791}">
      <dgm:prSet/>
      <dgm:spPr/>
      <dgm:t>
        <a:bodyPr/>
        <a:lstStyle/>
        <a:p>
          <a:endParaRPr lang="bg-BG"/>
        </a:p>
      </dgm:t>
    </dgm:pt>
    <dgm:pt modelId="{2BDEF617-8BB3-4F7A-A490-DABD16417C3B}" type="sibTrans" cxnId="{8810E737-20ED-4B9F-B059-57A21E784791}">
      <dgm:prSet/>
      <dgm:spPr/>
      <dgm:t>
        <a:bodyPr/>
        <a:lstStyle/>
        <a:p>
          <a:endParaRPr lang="bg-BG"/>
        </a:p>
      </dgm:t>
    </dgm:pt>
    <dgm:pt modelId="{B1D1E2CF-B046-4193-A35A-E65974E55BFA}">
      <dgm:prSet custT="1"/>
      <dgm:spPr>
        <a:xfrm>
          <a:off x="1784083" y="37612"/>
          <a:ext cx="7226946" cy="711588"/>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 Съществуващата инфраструктура и предлагане на услуги; възприемането и очакванията на населението по отношение на новата услуга.</a:t>
          </a:r>
        </a:p>
      </dgm:t>
    </dgm:pt>
    <dgm:pt modelId="{3927466F-ED30-4082-A9F6-E8DFE7B455EA}" type="parTrans" cxnId="{9E3365A9-A1FD-4D68-A135-42B04878A471}">
      <dgm:prSet/>
      <dgm:spPr/>
      <dgm:t>
        <a:bodyPr/>
        <a:lstStyle/>
        <a:p>
          <a:endParaRPr lang="bg-BG"/>
        </a:p>
      </dgm:t>
    </dgm:pt>
    <dgm:pt modelId="{F4A37C0F-5240-4C94-9120-B5241184125E}" type="sibTrans" cxnId="{9E3365A9-A1FD-4D68-A135-42B04878A471}">
      <dgm:prSet/>
      <dgm:spPr/>
      <dgm:t>
        <a:bodyPr/>
        <a:lstStyle/>
        <a:p>
          <a:endParaRPr lang="bg-BG"/>
        </a:p>
      </dgm:t>
    </dgm:pt>
    <dgm:pt modelId="{737D0303-D03F-486C-BFFA-DABDE8DC015E}">
      <dgm:prSet custT="1"/>
      <dgm:spPr>
        <a:xfrm>
          <a:off x="1786800" y="1639035"/>
          <a:ext cx="7219889" cy="70383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Проектът трябва да е ясно идентифициран като самостоятелна единица за анализ;</a:t>
          </a:r>
        </a:p>
      </dgm:t>
    </dgm:pt>
    <dgm:pt modelId="{FCBA1AD1-3212-4F13-836E-6021D501DE89}" type="parTrans" cxnId="{2FF4F7FD-27C2-4F76-8D91-93A0C822ADE1}">
      <dgm:prSet/>
      <dgm:spPr/>
      <dgm:t>
        <a:bodyPr/>
        <a:lstStyle/>
        <a:p>
          <a:endParaRPr lang="bg-BG"/>
        </a:p>
      </dgm:t>
    </dgm:pt>
    <dgm:pt modelId="{EB823546-9311-472E-AB30-D75401922542}" type="sibTrans" cxnId="{2FF4F7FD-27C2-4F76-8D91-93A0C822ADE1}">
      <dgm:prSet/>
      <dgm:spPr/>
      <dgm:t>
        <a:bodyPr/>
        <a:lstStyle/>
        <a:p>
          <a:endParaRPr lang="bg-BG"/>
        </a:p>
      </dgm:t>
    </dgm:pt>
    <dgm:pt modelId="{A8B25DCA-DC77-47E2-BF9D-425B91465C08}">
      <dgm:prSet custT="1"/>
      <dgm:spPr>
        <a:xfrm>
          <a:off x="1786800" y="1639035"/>
          <a:ext cx="7219889" cy="70383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 описание на районът на въздействие, крайните бенефициенти и и съответните заинтересовани страни;</a:t>
          </a:r>
        </a:p>
      </dgm:t>
    </dgm:pt>
    <dgm:pt modelId="{67716A5A-2E35-480E-B019-86C83B555DC2}" type="parTrans" cxnId="{C5B80E8C-9A4B-453D-BC7B-EB12789738BB}">
      <dgm:prSet/>
      <dgm:spPr/>
      <dgm:t>
        <a:bodyPr/>
        <a:lstStyle/>
        <a:p>
          <a:endParaRPr lang="bg-BG"/>
        </a:p>
      </dgm:t>
    </dgm:pt>
    <dgm:pt modelId="{CC9515A2-956B-40DE-882D-93020FC54C63}" type="sibTrans" cxnId="{C5B80E8C-9A4B-453D-BC7B-EB12789738BB}">
      <dgm:prSet/>
      <dgm:spPr/>
      <dgm:t>
        <a:bodyPr/>
        <a:lstStyle/>
        <a:p>
          <a:endParaRPr lang="bg-BG"/>
        </a:p>
      </dgm:t>
    </dgm:pt>
    <dgm:pt modelId="{A3592444-ED42-4432-9B01-35C7EC4E4B20}">
      <dgm:prSet custT="1"/>
      <dgm:spPr>
        <a:xfrm>
          <a:off x="1786800" y="1639035"/>
          <a:ext cx="7219889" cy="70383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Структура, отговаряща за изпълнението;</a:t>
          </a:r>
        </a:p>
      </dgm:t>
    </dgm:pt>
    <dgm:pt modelId="{7B3FF44B-BC1C-4FBB-8802-82A0A3650C90}" type="parTrans" cxnId="{3D3B60B8-FA43-41D9-8EF2-675C25DDA7B6}">
      <dgm:prSet/>
      <dgm:spPr/>
      <dgm:t>
        <a:bodyPr/>
        <a:lstStyle/>
        <a:p>
          <a:endParaRPr lang="bg-BG"/>
        </a:p>
      </dgm:t>
    </dgm:pt>
    <dgm:pt modelId="{EA68F3D5-9829-4881-839F-7C0EBA259948}" type="sibTrans" cxnId="{3D3B60B8-FA43-41D9-8EF2-675C25DDA7B6}">
      <dgm:prSet/>
      <dgm:spPr/>
      <dgm:t>
        <a:bodyPr/>
        <a:lstStyle/>
        <a:p>
          <a:endParaRPr lang="bg-BG"/>
        </a:p>
      </dgm:t>
    </dgm:pt>
    <dgm:pt modelId="{41BE08D0-0BAC-43FF-8736-DA1FAA952D41}">
      <dgm:prSet custT="1"/>
      <dgm:spPr>
        <a:xfrm>
          <a:off x="1775652" y="2385802"/>
          <a:ext cx="7226946" cy="74896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Анализ на осъществимостта - потенциалните ограничения и свързаните с тях решения по отношение на техническите, икономическите, екологичните аспекти, както и във връзка със смекчаването на изменението на климата и адаптирането към него, регулаторните и институционалните аспекти;</a:t>
          </a:r>
        </a:p>
      </dgm:t>
    </dgm:pt>
    <dgm:pt modelId="{058F252C-457D-4B5E-B29B-127225337893}" type="parTrans" cxnId="{6AAF1074-B871-4185-BAA5-69BABB412C7B}">
      <dgm:prSet/>
      <dgm:spPr/>
      <dgm:t>
        <a:bodyPr/>
        <a:lstStyle/>
        <a:p>
          <a:endParaRPr lang="bg-BG"/>
        </a:p>
      </dgm:t>
    </dgm:pt>
    <dgm:pt modelId="{106BD200-CF6C-4628-9AE1-7B0CDB48AD6E}" type="sibTrans" cxnId="{6AAF1074-B871-4185-BAA5-69BABB412C7B}">
      <dgm:prSet/>
      <dgm:spPr/>
      <dgm:t>
        <a:bodyPr/>
        <a:lstStyle/>
        <a:p>
          <a:endParaRPr lang="bg-BG"/>
        </a:p>
      </dgm:t>
    </dgm:pt>
    <dgm:pt modelId="{D317415F-C09A-458D-88BC-09F3A9C27539}">
      <dgm:prSet custT="1"/>
      <dgm:spPr>
        <a:xfrm>
          <a:off x="1775652" y="2385802"/>
          <a:ext cx="7226946" cy="74896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Анализ на търсенето - настоящото търсене, прогнозното търсене, аспекти на предлагането, мрежов ефект;</a:t>
          </a:r>
        </a:p>
      </dgm:t>
    </dgm:pt>
    <dgm:pt modelId="{FE5D8E76-73D5-4632-A6D5-FD2A76121357}" type="parTrans" cxnId="{C213B33A-DFEB-433F-B51B-C8738F661772}">
      <dgm:prSet/>
      <dgm:spPr/>
      <dgm:t>
        <a:bodyPr/>
        <a:lstStyle/>
        <a:p>
          <a:endParaRPr lang="bg-BG"/>
        </a:p>
      </dgm:t>
    </dgm:pt>
    <dgm:pt modelId="{2814473F-A27C-4D8D-BA59-30392B3DFAD5}" type="sibTrans" cxnId="{C213B33A-DFEB-433F-B51B-C8738F661772}">
      <dgm:prSet/>
      <dgm:spPr/>
      <dgm:t>
        <a:bodyPr/>
        <a:lstStyle/>
        <a:p>
          <a:endParaRPr lang="bg-BG"/>
        </a:p>
      </dgm:t>
    </dgm:pt>
    <dgm:pt modelId="{DB10B867-E170-43B7-9D0F-EB8E5123619A}">
      <dgm:prSet custT="1"/>
      <dgm:spPr>
        <a:xfrm>
          <a:off x="1775652" y="2385802"/>
          <a:ext cx="7226946" cy="74896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Анализ на вариантите;</a:t>
          </a:r>
        </a:p>
      </dgm:t>
    </dgm:pt>
    <dgm:pt modelId="{49E2CD38-5302-4535-8DF3-D4A64826D725}" type="parTrans" cxnId="{D0C8A00F-EA47-4266-9B7F-6B5726764914}">
      <dgm:prSet/>
      <dgm:spPr/>
      <dgm:t>
        <a:bodyPr/>
        <a:lstStyle/>
        <a:p>
          <a:endParaRPr lang="bg-BG"/>
        </a:p>
      </dgm:t>
    </dgm:pt>
    <dgm:pt modelId="{EA5782C6-1767-4AA8-AB41-D0F99156A5D7}" type="sibTrans" cxnId="{D0C8A00F-EA47-4266-9B7F-6B5726764914}">
      <dgm:prSet/>
      <dgm:spPr/>
      <dgm:t>
        <a:bodyPr/>
        <a:lstStyle/>
        <a:p>
          <a:endParaRPr lang="bg-BG"/>
        </a:p>
      </dgm:t>
    </dgm:pt>
    <dgm:pt modelId="{EBE5B30C-FF18-4B96-A478-ADD8528AEE5F}">
      <dgm:prSet custT="1"/>
      <dgm:spPr>
        <a:xfrm>
          <a:off x="1754410" y="3188485"/>
          <a:ext cx="7226946" cy="661472"/>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Методология на дисконтираните парични потоци, прилагане на метода на пределните величини и други принципи на финансовия анализ;</a:t>
          </a:r>
        </a:p>
      </dgm:t>
    </dgm:pt>
    <dgm:pt modelId="{201F9B1F-3D02-4D50-B20F-246C836E4D44}" type="parTrans" cxnId="{BC849350-A561-4EF2-A903-0B0ED564C943}">
      <dgm:prSet/>
      <dgm:spPr/>
      <dgm:t>
        <a:bodyPr/>
        <a:lstStyle/>
        <a:p>
          <a:endParaRPr lang="bg-BG"/>
        </a:p>
      </dgm:t>
    </dgm:pt>
    <dgm:pt modelId="{E51757FC-AD1F-40E3-B0EA-EBF2E48AC3A4}" type="sibTrans" cxnId="{BC849350-A561-4EF2-A903-0B0ED564C943}">
      <dgm:prSet/>
      <dgm:spPr/>
      <dgm:t>
        <a:bodyPr/>
        <a:lstStyle/>
        <a:p>
          <a:endParaRPr lang="bg-BG"/>
        </a:p>
      </dgm:t>
    </dgm:pt>
    <dgm:pt modelId="{BB0D39AD-41B4-4D85-A0A5-41E459B76496}">
      <dgm:prSet custT="1"/>
      <dgm:spPr>
        <a:xfrm>
          <a:off x="1754410" y="3188485"/>
          <a:ext cx="7226946" cy="661472"/>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Резултати от финансовия анализ - оценка на финансовата рентабилност на инвестицията и на националния капитал, определяне на подходящия (максимален) принос от фондовете, осигуряване на финансова жизнеспособност (устойчивост);</a:t>
          </a:r>
        </a:p>
      </dgm:t>
    </dgm:pt>
    <dgm:pt modelId="{64D6EC7C-32DA-43C1-85E2-F5E2B13F389D}" type="parTrans" cxnId="{2F955496-8AAA-48F8-B8EC-4D1C3C8CABB0}">
      <dgm:prSet/>
      <dgm:spPr/>
      <dgm:t>
        <a:bodyPr/>
        <a:lstStyle/>
        <a:p>
          <a:endParaRPr lang="bg-BG"/>
        </a:p>
      </dgm:t>
    </dgm:pt>
    <dgm:pt modelId="{6273FD0B-8BBD-43E5-A756-73B4A87C0482}" type="sibTrans" cxnId="{2F955496-8AAA-48F8-B8EC-4D1C3C8CABB0}">
      <dgm:prSet/>
      <dgm:spPr/>
      <dgm:t>
        <a:bodyPr/>
        <a:lstStyle/>
        <a:p>
          <a:endParaRPr lang="bg-BG"/>
        </a:p>
      </dgm:t>
    </dgm:pt>
    <dgm:pt modelId="{B45ED986-0A34-4C60-9597-6C45E4F5DA64}">
      <dgm:prSet custT="1"/>
      <dgm:spPr>
        <a:xfrm>
          <a:off x="1754410" y="3188485"/>
          <a:ext cx="7226946" cy="661472"/>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Финансов анализ при публично-частното партньорство (ПЧП);</a:t>
          </a:r>
        </a:p>
      </dgm:t>
    </dgm:pt>
    <dgm:pt modelId="{3CF467AA-6A94-44A4-9A56-3776D7D6EBAE}" type="parTrans" cxnId="{1BF70FB5-28CE-4EC3-8837-7EF708E87F96}">
      <dgm:prSet/>
      <dgm:spPr/>
      <dgm:t>
        <a:bodyPr/>
        <a:lstStyle/>
        <a:p>
          <a:endParaRPr lang="bg-BG"/>
        </a:p>
      </dgm:t>
    </dgm:pt>
    <dgm:pt modelId="{4ED62016-26EA-406B-8213-030D200046FC}" type="sibTrans" cxnId="{1BF70FB5-28CE-4EC3-8837-7EF708E87F96}">
      <dgm:prSet/>
      <dgm:spPr/>
      <dgm:t>
        <a:bodyPr/>
        <a:lstStyle/>
        <a:p>
          <a:endParaRPr lang="bg-BG"/>
        </a:p>
      </dgm:t>
    </dgm:pt>
    <dgm:pt modelId="{3A636FD3-982F-42DD-A432-990B94DA0D79}">
      <dgm:prSet custT="1"/>
      <dgm:spPr>
        <a:xfrm>
          <a:off x="1784083" y="3886829"/>
          <a:ext cx="7226946" cy="71963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Основни етапи на икономическия анализ;</a:t>
          </a:r>
        </a:p>
      </dgm:t>
    </dgm:pt>
    <dgm:pt modelId="{B28B6AD7-00ED-4D00-A3C4-4913C0AB88EF}" type="parTrans" cxnId="{31E35E2B-ED2E-462A-8380-4CA50E7DAA36}">
      <dgm:prSet/>
      <dgm:spPr/>
      <dgm:t>
        <a:bodyPr/>
        <a:lstStyle/>
        <a:p>
          <a:endParaRPr lang="bg-BG"/>
        </a:p>
      </dgm:t>
    </dgm:pt>
    <dgm:pt modelId="{2340945A-3C30-45AB-9D1C-27E632A4AC72}" type="sibTrans" cxnId="{31E35E2B-ED2E-462A-8380-4CA50E7DAA36}">
      <dgm:prSet/>
      <dgm:spPr/>
      <dgm:t>
        <a:bodyPr/>
        <a:lstStyle/>
        <a:p>
          <a:endParaRPr lang="bg-BG"/>
        </a:p>
      </dgm:t>
    </dgm:pt>
    <dgm:pt modelId="{BDA8C97A-6AD7-424C-A6BA-48A35FAAD941}">
      <dgm:prSet custT="1"/>
      <dgm:spPr>
        <a:xfrm>
          <a:off x="1784083" y="3886829"/>
          <a:ext cx="7226946" cy="71963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Изчисляване на показателите за икономическото изпълнение;</a:t>
          </a:r>
        </a:p>
      </dgm:t>
    </dgm:pt>
    <dgm:pt modelId="{099D0179-2C7D-474F-B390-17F85E00B57B}" type="parTrans" cxnId="{AE3BDDBB-363D-4128-B76B-8AA210D6BCF1}">
      <dgm:prSet/>
      <dgm:spPr/>
      <dgm:t>
        <a:bodyPr/>
        <a:lstStyle/>
        <a:p>
          <a:endParaRPr lang="bg-BG"/>
        </a:p>
      </dgm:t>
    </dgm:pt>
    <dgm:pt modelId="{7F644A92-1FE7-4218-A024-1CD1C6C37374}" type="sibTrans" cxnId="{AE3BDDBB-363D-4128-B76B-8AA210D6BCF1}">
      <dgm:prSet/>
      <dgm:spPr/>
      <dgm:t>
        <a:bodyPr/>
        <a:lstStyle/>
        <a:p>
          <a:endParaRPr lang="bg-BG"/>
        </a:p>
      </dgm:t>
    </dgm:pt>
    <dgm:pt modelId="{9B1C9DA6-ABD4-454C-9B81-0B2C4B64A088}">
      <dgm:prSet custT="1"/>
      <dgm:spPr>
        <a:xfrm>
          <a:off x="1784083" y="3886829"/>
          <a:ext cx="7226946" cy="71963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Смекчаване на последиците от изменението на климата и приспособяване към него в рамките на икономическия анализ;</a:t>
          </a:r>
        </a:p>
      </dgm:t>
    </dgm:pt>
    <dgm:pt modelId="{3EA829BE-4BCD-469A-A015-5580207C66D5}" type="parTrans" cxnId="{FDCD94D5-BA37-4C42-9EDC-381EB043D258}">
      <dgm:prSet/>
      <dgm:spPr/>
      <dgm:t>
        <a:bodyPr/>
        <a:lstStyle/>
        <a:p>
          <a:endParaRPr lang="bg-BG"/>
        </a:p>
      </dgm:t>
    </dgm:pt>
    <dgm:pt modelId="{3351B9EE-D1BB-430B-99AC-AF624F344F1C}" type="sibTrans" cxnId="{FDCD94D5-BA37-4C42-9EDC-381EB043D258}">
      <dgm:prSet/>
      <dgm:spPr/>
      <dgm:t>
        <a:bodyPr/>
        <a:lstStyle/>
        <a:p>
          <a:endParaRPr lang="bg-BG"/>
        </a:p>
      </dgm:t>
    </dgm:pt>
    <dgm:pt modelId="{84880478-792C-4886-9A26-91EF0B6DA13F}">
      <dgm:prSet custT="1"/>
      <dgm:spPr>
        <a:xfrm>
          <a:off x="1784083" y="3886829"/>
          <a:ext cx="7226946" cy="71963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Опростен икономически анализ в специални случаи.</a:t>
          </a:r>
        </a:p>
      </dgm:t>
    </dgm:pt>
    <dgm:pt modelId="{A1D33792-2284-499E-89CD-0FF1E6D0BB2D}" type="parTrans" cxnId="{A0EC6182-7314-4FD5-B099-08E584B27D17}">
      <dgm:prSet/>
      <dgm:spPr/>
      <dgm:t>
        <a:bodyPr/>
        <a:lstStyle/>
        <a:p>
          <a:endParaRPr lang="bg-BG"/>
        </a:p>
      </dgm:t>
    </dgm:pt>
    <dgm:pt modelId="{68948B66-5534-4BB6-ACB1-C0D341DD4560}" type="sibTrans" cxnId="{A0EC6182-7314-4FD5-B099-08E584B27D17}">
      <dgm:prSet/>
      <dgm:spPr/>
      <dgm:t>
        <a:bodyPr/>
        <a:lstStyle/>
        <a:p>
          <a:endParaRPr lang="bg-BG"/>
        </a:p>
      </dgm:t>
    </dgm:pt>
    <dgm:pt modelId="{003ED998-6B25-4DB1-8198-E4D89F6A8A70}">
      <dgm:prSet custT="1"/>
      <dgm:spPr>
        <a:xfrm>
          <a:off x="1784083" y="4619917"/>
          <a:ext cx="7226946" cy="61775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Анализ на чувствителността;</a:t>
          </a:r>
        </a:p>
      </dgm:t>
    </dgm:pt>
    <dgm:pt modelId="{1C682A14-6DDF-4975-BC66-C46FFBD83B26}" type="parTrans" cxnId="{869B3420-3BFE-433F-BB3D-0F7DE4E30894}">
      <dgm:prSet/>
      <dgm:spPr/>
      <dgm:t>
        <a:bodyPr/>
        <a:lstStyle/>
        <a:p>
          <a:endParaRPr lang="bg-BG"/>
        </a:p>
      </dgm:t>
    </dgm:pt>
    <dgm:pt modelId="{081D8E43-68FF-4421-A094-7A3F17E5663E}" type="sibTrans" cxnId="{869B3420-3BFE-433F-BB3D-0F7DE4E30894}">
      <dgm:prSet/>
      <dgm:spPr/>
      <dgm:t>
        <a:bodyPr/>
        <a:lstStyle/>
        <a:p>
          <a:endParaRPr lang="bg-BG"/>
        </a:p>
      </dgm:t>
    </dgm:pt>
    <dgm:pt modelId="{C54D1DE6-A425-43BC-B0AF-F4A5366B763E}">
      <dgm:prSet custT="1"/>
      <dgm:spPr>
        <a:xfrm>
          <a:off x="1784083" y="4619917"/>
          <a:ext cx="7226946" cy="61775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Качествен анализ на риска;</a:t>
          </a:r>
        </a:p>
      </dgm:t>
    </dgm:pt>
    <dgm:pt modelId="{37FC7F5A-B9A9-48A2-83FE-609C28BE28FC}" type="parTrans" cxnId="{408E19C5-85AE-4E7E-8A4A-C2626687B014}">
      <dgm:prSet/>
      <dgm:spPr/>
      <dgm:t>
        <a:bodyPr/>
        <a:lstStyle/>
        <a:p>
          <a:endParaRPr lang="bg-BG"/>
        </a:p>
      </dgm:t>
    </dgm:pt>
    <dgm:pt modelId="{63DD8A0A-2FF2-4EDB-90A5-242B2ED7ED13}" type="sibTrans" cxnId="{408E19C5-85AE-4E7E-8A4A-C2626687B014}">
      <dgm:prSet/>
      <dgm:spPr/>
      <dgm:t>
        <a:bodyPr/>
        <a:lstStyle/>
        <a:p>
          <a:endParaRPr lang="bg-BG"/>
        </a:p>
      </dgm:t>
    </dgm:pt>
    <dgm:pt modelId="{4F2FEEBF-2956-45C8-8CBF-C3FE855865E5}">
      <dgm:prSet custT="1"/>
      <dgm:spPr>
        <a:xfrm>
          <a:off x="1784083" y="4619917"/>
          <a:ext cx="7226946" cy="61775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bg-BG" sz="900">
            <a:solidFill>
              <a:sysClr val="windowText" lastClr="000000">
                <a:hueOff val="0"/>
                <a:satOff val="0"/>
                <a:lumOff val="0"/>
                <a:alphaOff val="0"/>
              </a:sysClr>
            </a:solidFill>
            <a:latin typeface="Calibri"/>
            <a:ea typeface="+mn-ea"/>
            <a:cs typeface="+mn-cs"/>
          </a:endParaRPr>
        </a:p>
      </dgm:t>
    </dgm:pt>
    <dgm:pt modelId="{910FACC9-B4F1-455C-B18F-39A3C5A9E3EB}" type="parTrans" cxnId="{15BCA1C8-0612-4937-AB9B-39D1D13C254A}">
      <dgm:prSet/>
      <dgm:spPr/>
      <dgm:t>
        <a:bodyPr/>
        <a:lstStyle/>
        <a:p>
          <a:endParaRPr lang="bg-BG"/>
        </a:p>
      </dgm:t>
    </dgm:pt>
    <dgm:pt modelId="{6D8C312A-1971-4364-A835-03A3644D0161}" type="sibTrans" cxnId="{15BCA1C8-0612-4937-AB9B-39D1D13C254A}">
      <dgm:prSet/>
      <dgm:spPr/>
      <dgm:t>
        <a:bodyPr/>
        <a:lstStyle/>
        <a:p>
          <a:endParaRPr lang="bg-BG"/>
        </a:p>
      </dgm:t>
    </dgm:pt>
    <dgm:pt modelId="{B58B5E12-5CB9-466D-A365-8268B63CECD7}">
      <dgm:prSet phldrT="[Text]" custT="1"/>
      <dgm:spPr>
        <a:xfrm>
          <a:off x="1786800" y="797041"/>
          <a:ext cx="7219889" cy="79377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Установяване на приносът на проекта за социалното благополучие и за постигане на специфичните цели на приоритетнита ос на ОПТТИ.</a:t>
          </a:r>
        </a:p>
      </dgm:t>
    </dgm:pt>
    <dgm:pt modelId="{DA8B9713-8B31-4584-A66C-3CE638ECFF7E}" type="sibTrans" cxnId="{40484052-FA4D-4098-B593-30B2E8BFB610}">
      <dgm:prSet/>
      <dgm:spPr/>
      <dgm:t>
        <a:bodyPr/>
        <a:lstStyle/>
        <a:p>
          <a:endParaRPr lang="bg-BG"/>
        </a:p>
      </dgm:t>
    </dgm:pt>
    <dgm:pt modelId="{970A42CF-1718-468D-8DF1-D68E2AF749F1}" type="parTrans" cxnId="{40484052-FA4D-4098-B593-30B2E8BFB610}">
      <dgm:prSet/>
      <dgm:spPr/>
      <dgm:t>
        <a:bodyPr/>
        <a:lstStyle/>
        <a:p>
          <a:endParaRPr lang="bg-BG"/>
        </a:p>
      </dgm:t>
    </dgm:pt>
    <dgm:pt modelId="{14CFFE62-FF19-4EC1-947C-3E84423DDA62}">
      <dgm:prSet phldrT="[Text]" custT="1"/>
      <dgm:spPr>
        <a:xfrm>
          <a:off x="1786800" y="797041"/>
          <a:ext cx="7219889" cy="79377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Определят се ясни цели на проекта, за установяване доколко инвестицията отговаря на съществуваща нужда и за да се направи оценка на резултатите и на въздействието на проекта;</a:t>
          </a:r>
        </a:p>
      </dgm:t>
    </dgm:pt>
    <dgm:pt modelId="{9EF45E73-A877-4F80-84F5-E1245A9A1F1E}" type="sibTrans" cxnId="{F0C37A16-167A-4221-847D-E90D09172E8C}">
      <dgm:prSet/>
      <dgm:spPr/>
      <dgm:t>
        <a:bodyPr/>
        <a:lstStyle/>
        <a:p>
          <a:endParaRPr lang="bg-BG"/>
        </a:p>
      </dgm:t>
    </dgm:pt>
    <dgm:pt modelId="{8BD6C9C0-A313-470B-B4E8-FDB2EA3137D5}" type="parTrans" cxnId="{F0C37A16-167A-4221-847D-E90D09172E8C}">
      <dgm:prSet/>
      <dgm:spPr/>
      <dgm:t>
        <a:bodyPr/>
        <a:lstStyle/>
        <a:p>
          <a:endParaRPr lang="bg-BG"/>
        </a:p>
      </dgm:t>
    </dgm:pt>
    <dgm:pt modelId="{18A683FD-71B4-4C37-AD4C-62B7D8A98628}" type="pres">
      <dgm:prSet presAssocID="{0837261F-E9DB-457D-B9D1-D2E5823F02FB}" presName="Name0" presStyleCnt="0">
        <dgm:presLayoutVars>
          <dgm:dir/>
          <dgm:animLvl val="lvl"/>
          <dgm:resizeHandles/>
        </dgm:presLayoutVars>
      </dgm:prSet>
      <dgm:spPr/>
      <dgm:t>
        <a:bodyPr/>
        <a:lstStyle/>
        <a:p>
          <a:endParaRPr lang="en-US"/>
        </a:p>
      </dgm:t>
    </dgm:pt>
    <dgm:pt modelId="{775AE69E-FD40-47E2-BC27-FA9148ADE14E}" type="pres">
      <dgm:prSet presAssocID="{EEDA81E9-7753-464B-B398-484283D91C72}" presName="linNode" presStyleCnt="0"/>
      <dgm:spPr/>
    </dgm:pt>
    <dgm:pt modelId="{33EFA91E-E0E2-4445-BD62-24139CB31077}" type="pres">
      <dgm:prSet presAssocID="{EEDA81E9-7753-464B-B398-484283D91C72}" presName="parentShp" presStyleLbl="node1" presStyleIdx="0" presStyleCnt="7" custScaleX="48594" custLinFactNeighborX="-16104" custLinFactNeighborY="-669">
        <dgm:presLayoutVars>
          <dgm:bulletEnabled val="1"/>
        </dgm:presLayoutVars>
      </dgm:prSet>
      <dgm:spPr>
        <a:prstGeom prst="roundRect">
          <a:avLst/>
        </a:prstGeom>
      </dgm:spPr>
      <dgm:t>
        <a:bodyPr/>
        <a:lstStyle/>
        <a:p>
          <a:endParaRPr lang="en-US"/>
        </a:p>
      </dgm:t>
    </dgm:pt>
    <dgm:pt modelId="{32E1FE1F-099C-4F63-813D-AC2388E8F64C}" type="pres">
      <dgm:prSet presAssocID="{EEDA81E9-7753-464B-B398-484283D91C72}" presName="childShp" presStyleLbl="bgAccFollowNode1" presStyleIdx="0" presStyleCnt="7" custScaleX="132007" custScaleY="147583" custLinFactNeighborX="-1532" custLinFactNeighborY="7162">
        <dgm:presLayoutVars>
          <dgm:bulletEnabled val="1"/>
        </dgm:presLayoutVars>
      </dgm:prSet>
      <dgm:spPr>
        <a:prstGeom prst="rightArrow">
          <a:avLst>
            <a:gd name="adj1" fmla="val 75000"/>
            <a:gd name="adj2" fmla="val 50000"/>
          </a:avLst>
        </a:prstGeom>
      </dgm:spPr>
      <dgm:t>
        <a:bodyPr/>
        <a:lstStyle/>
        <a:p>
          <a:endParaRPr lang="en-US"/>
        </a:p>
      </dgm:t>
    </dgm:pt>
    <dgm:pt modelId="{68445014-A9DE-4FD6-9621-732BA31CEB40}" type="pres">
      <dgm:prSet presAssocID="{8CD77B7A-5A58-472F-ACA8-3905DFFC444C}" presName="spacing" presStyleCnt="0"/>
      <dgm:spPr/>
    </dgm:pt>
    <dgm:pt modelId="{C1DB1010-75B3-4012-8903-4D1EC12413E2}" type="pres">
      <dgm:prSet presAssocID="{9E999F14-0FC8-4A93-AA08-D99FD1141070}" presName="linNode" presStyleCnt="0"/>
      <dgm:spPr/>
    </dgm:pt>
    <dgm:pt modelId="{2750DAE2-EA73-4FA0-B9CF-E2AB2664FCA6}" type="pres">
      <dgm:prSet presAssocID="{9E999F14-0FC8-4A93-AA08-D99FD1141070}" presName="parentShp" presStyleLbl="node1" presStyleIdx="1" presStyleCnt="7" custScaleX="48594" custLinFactNeighborX="-16104" custLinFactNeighborY="-669">
        <dgm:presLayoutVars>
          <dgm:bulletEnabled val="1"/>
        </dgm:presLayoutVars>
      </dgm:prSet>
      <dgm:spPr>
        <a:prstGeom prst="roundRect">
          <a:avLst/>
        </a:prstGeom>
      </dgm:spPr>
      <dgm:t>
        <a:bodyPr/>
        <a:lstStyle/>
        <a:p>
          <a:endParaRPr lang="en-US"/>
        </a:p>
      </dgm:t>
    </dgm:pt>
    <dgm:pt modelId="{BFB5608D-3362-4223-A0F6-4EA60563B6B6}" type="pres">
      <dgm:prSet presAssocID="{9E999F14-0FC8-4A93-AA08-D99FD1141070}" presName="childShp" presStyleLbl="bgAccFollowNode1" presStyleIdx="1" presStyleCnt="7" custScaleX="132007" custScaleY="164629" custLinFactNeighborX="-1532" custLinFactNeighborY="7084">
        <dgm:presLayoutVars>
          <dgm:bulletEnabled val="1"/>
        </dgm:presLayoutVars>
      </dgm:prSet>
      <dgm:spPr>
        <a:prstGeom prst="rightArrow">
          <a:avLst>
            <a:gd name="adj1" fmla="val 75000"/>
            <a:gd name="adj2" fmla="val 50000"/>
          </a:avLst>
        </a:prstGeom>
      </dgm:spPr>
      <dgm:t>
        <a:bodyPr/>
        <a:lstStyle/>
        <a:p>
          <a:endParaRPr lang="en-US"/>
        </a:p>
      </dgm:t>
    </dgm:pt>
    <dgm:pt modelId="{AEFE42DF-C4D6-4E49-A155-8C63A556AB88}" type="pres">
      <dgm:prSet presAssocID="{E6A76BBE-A95B-4FA0-9E19-669EC7F76C58}" presName="spacing" presStyleCnt="0"/>
      <dgm:spPr/>
    </dgm:pt>
    <dgm:pt modelId="{E998F63F-1824-4504-BC88-5CF1EAB3936C}" type="pres">
      <dgm:prSet presAssocID="{209C0FCE-A28A-4638-8F31-7098A0074E18}" presName="linNode" presStyleCnt="0"/>
      <dgm:spPr/>
    </dgm:pt>
    <dgm:pt modelId="{9068DA47-CE21-4CA2-91BA-CA69C5B53E40}" type="pres">
      <dgm:prSet presAssocID="{209C0FCE-A28A-4638-8F31-7098A0074E18}" presName="parentShp" presStyleLbl="node1" presStyleIdx="2" presStyleCnt="7" custScaleX="48594" custLinFactNeighborX="-16104" custLinFactNeighborY="-669">
        <dgm:presLayoutVars>
          <dgm:bulletEnabled val="1"/>
        </dgm:presLayoutVars>
      </dgm:prSet>
      <dgm:spPr>
        <a:prstGeom prst="roundRect">
          <a:avLst/>
        </a:prstGeom>
      </dgm:spPr>
      <dgm:t>
        <a:bodyPr/>
        <a:lstStyle/>
        <a:p>
          <a:endParaRPr lang="en-US"/>
        </a:p>
      </dgm:t>
    </dgm:pt>
    <dgm:pt modelId="{D56B33E6-E946-415E-9079-C67F3C8216CE}" type="pres">
      <dgm:prSet presAssocID="{209C0FCE-A28A-4638-8F31-7098A0074E18}" presName="childShp" presStyleLbl="bgAccFollowNode1" presStyleIdx="2" presStyleCnt="7" custScaleX="132007" custScaleY="145975" custLinFactNeighborX="-1532" custLinFactNeighborY="7084">
        <dgm:presLayoutVars>
          <dgm:bulletEnabled val="1"/>
        </dgm:presLayoutVars>
      </dgm:prSet>
      <dgm:spPr>
        <a:prstGeom prst="rightArrow">
          <a:avLst>
            <a:gd name="adj1" fmla="val 75000"/>
            <a:gd name="adj2" fmla="val 50000"/>
          </a:avLst>
        </a:prstGeom>
      </dgm:spPr>
      <dgm:t>
        <a:bodyPr/>
        <a:lstStyle/>
        <a:p>
          <a:endParaRPr lang="en-US"/>
        </a:p>
      </dgm:t>
    </dgm:pt>
    <dgm:pt modelId="{B593D17B-10CF-4C43-B3D5-E405C34E81BA}" type="pres">
      <dgm:prSet presAssocID="{2F8C169F-3B57-4F2D-86DE-ED892EEBC518}" presName="spacing" presStyleCnt="0"/>
      <dgm:spPr/>
    </dgm:pt>
    <dgm:pt modelId="{32AF2D7F-288D-4AEC-B01F-33074803D62A}" type="pres">
      <dgm:prSet presAssocID="{08EDB7F2-A044-477B-B49B-E43C85CFA70B}" presName="linNode" presStyleCnt="0"/>
      <dgm:spPr/>
    </dgm:pt>
    <dgm:pt modelId="{211DC56C-7425-416A-A2C7-BE8F47711553}" type="pres">
      <dgm:prSet presAssocID="{08EDB7F2-A044-477B-B49B-E43C85CFA70B}" presName="parentShp" presStyleLbl="node1" presStyleIdx="3" presStyleCnt="7" custScaleX="48594" custLinFactNeighborX="-16104" custLinFactNeighborY="-669">
        <dgm:presLayoutVars>
          <dgm:bulletEnabled val="1"/>
        </dgm:presLayoutVars>
      </dgm:prSet>
      <dgm:spPr>
        <a:prstGeom prst="roundRect">
          <a:avLst/>
        </a:prstGeom>
      </dgm:spPr>
      <dgm:t>
        <a:bodyPr/>
        <a:lstStyle/>
        <a:p>
          <a:endParaRPr lang="en-US"/>
        </a:p>
      </dgm:t>
    </dgm:pt>
    <dgm:pt modelId="{49E6B04D-B4B3-4DE5-9C10-E31FA9487255}" type="pres">
      <dgm:prSet presAssocID="{08EDB7F2-A044-477B-B49B-E43C85CFA70B}" presName="childShp" presStyleLbl="bgAccFollowNode1" presStyleIdx="3" presStyleCnt="7" custScaleX="132007" custScaleY="155334" custLinFactNeighborX="-1763" custLinFactNeighborY="5988">
        <dgm:presLayoutVars>
          <dgm:bulletEnabled val="1"/>
        </dgm:presLayoutVars>
      </dgm:prSet>
      <dgm:spPr>
        <a:prstGeom prst="rightArrow">
          <a:avLst>
            <a:gd name="adj1" fmla="val 75000"/>
            <a:gd name="adj2" fmla="val 50000"/>
          </a:avLst>
        </a:prstGeom>
      </dgm:spPr>
      <dgm:t>
        <a:bodyPr/>
        <a:lstStyle/>
        <a:p>
          <a:endParaRPr lang="en-US"/>
        </a:p>
      </dgm:t>
    </dgm:pt>
    <dgm:pt modelId="{30CE6C2B-BD61-4EA3-AF15-1931EFDDA6BB}" type="pres">
      <dgm:prSet presAssocID="{1B50A007-1577-4E5D-A517-194C1D860F75}" presName="spacing" presStyleCnt="0"/>
      <dgm:spPr/>
    </dgm:pt>
    <dgm:pt modelId="{0A560EC2-376D-4A4A-94E1-AB8EE2551167}" type="pres">
      <dgm:prSet presAssocID="{7A3DEFD0-56B1-485C-9005-268A9DF6276F}" presName="linNode" presStyleCnt="0"/>
      <dgm:spPr/>
    </dgm:pt>
    <dgm:pt modelId="{93153221-A75A-4FB4-A3C3-FEDDD0227304}" type="pres">
      <dgm:prSet presAssocID="{7A3DEFD0-56B1-485C-9005-268A9DF6276F}" presName="parentShp" presStyleLbl="node1" presStyleIdx="4" presStyleCnt="7" custScaleX="48594" custLinFactNeighborX="-16104" custLinFactNeighborY="-669">
        <dgm:presLayoutVars>
          <dgm:bulletEnabled val="1"/>
        </dgm:presLayoutVars>
      </dgm:prSet>
      <dgm:spPr>
        <a:prstGeom prst="roundRect">
          <a:avLst/>
        </a:prstGeom>
      </dgm:spPr>
      <dgm:t>
        <a:bodyPr/>
        <a:lstStyle/>
        <a:p>
          <a:endParaRPr lang="en-US"/>
        </a:p>
      </dgm:t>
    </dgm:pt>
    <dgm:pt modelId="{E5E549D9-7EDF-43BD-88A3-4AAA46405C62}" type="pres">
      <dgm:prSet presAssocID="{7A3DEFD0-56B1-485C-9005-268A9DF6276F}" presName="childShp" presStyleLbl="bgAccFollowNode1" presStyleIdx="4" presStyleCnt="7" custScaleX="132007" custScaleY="137189" custLinFactNeighborX="-2345" custLinFactNeighborY="7130">
        <dgm:presLayoutVars>
          <dgm:bulletEnabled val="1"/>
        </dgm:presLayoutVars>
      </dgm:prSet>
      <dgm:spPr>
        <a:prstGeom prst="rightArrow">
          <a:avLst>
            <a:gd name="adj1" fmla="val 75000"/>
            <a:gd name="adj2" fmla="val 50000"/>
          </a:avLst>
        </a:prstGeom>
      </dgm:spPr>
      <dgm:t>
        <a:bodyPr/>
        <a:lstStyle/>
        <a:p>
          <a:endParaRPr lang="en-US"/>
        </a:p>
      </dgm:t>
    </dgm:pt>
    <dgm:pt modelId="{5DBE3ACD-0051-449F-8607-210A36F80C1F}" type="pres">
      <dgm:prSet presAssocID="{9AC3BB9F-575B-4783-9168-BBB535724F00}" presName="spacing" presStyleCnt="0"/>
      <dgm:spPr/>
    </dgm:pt>
    <dgm:pt modelId="{D0F3414D-1543-4B60-B37C-E85386D7A79E}" type="pres">
      <dgm:prSet presAssocID="{3AB4EF6F-28DB-4179-8548-070ECF73796D}" presName="linNode" presStyleCnt="0"/>
      <dgm:spPr/>
    </dgm:pt>
    <dgm:pt modelId="{110E508D-0914-463A-8DBC-52D28A71D6EA}" type="pres">
      <dgm:prSet presAssocID="{3AB4EF6F-28DB-4179-8548-070ECF73796D}" presName="parentShp" presStyleLbl="node1" presStyleIdx="5" presStyleCnt="7" custScaleX="48594" custLinFactNeighborX="-15716" custLinFactNeighborY="0">
        <dgm:presLayoutVars>
          <dgm:bulletEnabled val="1"/>
        </dgm:presLayoutVars>
      </dgm:prSet>
      <dgm:spPr>
        <a:prstGeom prst="roundRect">
          <a:avLst/>
        </a:prstGeom>
      </dgm:spPr>
      <dgm:t>
        <a:bodyPr/>
        <a:lstStyle/>
        <a:p>
          <a:endParaRPr lang="en-US"/>
        </a:p>
      </dgm:t>
    </dgm:pt>
    <dgm:pt modelId="{D53AFAAB-FE5B-4F69-879B-F39E52E438CA}" type="pres">
      <dgm:prSet presAssocID="{3AB4EF6F-28DB-4179-8548-070ECF73796D}" presName="childShp" presStyleLbl="bgAccFollowNode1" presStyleIdx="5" presStyleCnt="7" custScaleX="132007" custScaleY="149252" custLinFactNeighborX="-1532" custLinFactNeighborY="4777">
        <dgm:presLayoutVars>
          <dgm:bulletEnabled val="1"/>
        </dgm:presLayoutVars>
      </dgm:prSet>
      <dgm:spPr>
        <a:prstGeom prst="rightArrow">
          <a:avLst>
            <a:gd name="adj1" fmla="val 75000"/>
            <a:gd name="adj2" fmla="val 50000"/>
          </a:avLst>
        </a:prstGeom>
      </dgm:spPr>
      <dgm:t>
        <a:bodyPr/>
        <a:lstStyle/>
        <a:p>
          <a:endParaRPr lang="en-US"/>
        </a:p>
      </dgm:t>
    </dgm:pt>
    <dgm:pt modelId="{A1E839F9-B465-49AD-B1FC-0498CA19C926}" type="pres">
      <dgm:prSet presAssocID="{895F93EB-063D-42D5-830A-E3E54A49DF92}" presName="spacing" presStyleCnt="0"/>
      <dgm:spPr/>
    </dgm:pt>
    <dgm:pt modelId="{57090507-9331-41F9-9202-10BC744BDC06}" type="pres">
      <dgm:prSet presAssocID="{17173E74-B174-40D9-83EA-10CA7392DB4E}" presName="linNode" presStyleCnt="0"/>
      <dgm:spPr/>
    </dgm:pt>
    <dgm:pt modelId="{7DBF3A85-7EFB-48B9-8092-AEF96310D7D6}" type="pres">
      <dgm:prSet presAssocID="{17173E74-B174-40D9-83EA-10CA7392DB4E}" presName="parentShp" presStyleLbl="node1" presStyleIdx="6" presStyleCnt="7" custScaleX="48594" custLinFactNeighborX="-15716" custLinFactNeighborY="0">
        <dgm:presLayoutVars>
          <dgm:bulletEnabled val="1"/>
        </dgm:presLayoutVars>
      </dgm:prSet>
      <dgm:spPr>
        <a:prstGeom prst="roundRect">
          <a:avLst/>
        </a:prstGeom>
      </dgm:spPr>
      <dgm:t>
        <a:bodyPr/>
        <a:lstStyle/>
        <a:p>
          <a:endParaRPr lang="en-US"/>
        </a:p>
      </dgm:t>
    </dgm:pt>
    <dgm:pt modelId="{06B3BE31-C2D4-483C-868F-2AA715D92221}" type="pres">
      <dgm:prSet presAssocID="{17173E74-B174-40D9-83EA-10CA7392DB4E}" presName="childShp" presStyleLbl="bgAccFollowNode1" presStyleIdx="6" presStyleCnt="7" custScaleX="132007" custScaleY="128122" custLinFactNeighborX="-1532" custLinFactNeighborY="-2433">
        <dgm:presLayoutVars>
          <dgm:bulletEnabled val="1"/>
        </dgm:presLayoutVars>
      </dgm:prSet>
      <dgm:spPr>
        <a:prstGeom prst="rightArrow">
          <a:avLst>
            <a:gd name="adj1" fmla="val 75000"/>
            <a:gd name="adj2" fmla="val 50000"/>
          </a:avLst>
        </a:prstGeom>
      </dgm:spPr>
      <dgm:t>
        <a:bodyPr/>
        <a:lstStyle/>
        <a:p>
          <a:endParaRPr lang="en-US"/>
        </a:p>
      </dgm:t>
    </dgm:pt>
  </dgm:ptLst>
  <dgm:cxnLst>
    <dgm:cxn modelId="{6AAF1074-B871-4185-BAA5-69BABB412C7B}" srcId="{08EDB7F2-A044-477B-B49B-E43C85CFA70B}" destId="{41BE08D0-0BAC-43FF-8736-DA1FAA952D41}" srcOrd="0" destOrd="0" parTransId="{058F252C-457D-4B5E-B29B-127225337893}" sibTransId="{106BD200-CF6C-4628-9AE1-7B0CDB48AD6E}"/>
    <dgm:cxn modelId="{0BD38766-F9AA-4358-BB1A-C63FDDB0BC3E}" type="presOf" srcId="{DB10B867-E170-43B7-9D0F-EB8E5123619A}" destId="{49E6B04D-B4B3-4DE5-9C10-E31FA9487255}" srcOrd="0" destOrd="2" presId="urn:microsoft.com/office/officeart/2005/8/layout/vList6"/>
    <dgm:cxn modelId="{3CC75231-F352-403A-BB68-83D686C08CB4}" type="presOf" srcId="{17173E74-B174-40D9-83EA-10CA7392DB4E}" destId="{7DBF3A85-7EFB-48B9-8092-AEF96310D7D6}" srcOrd="0" destOrd="0" presId="urn:microsoft.com/office/officeart/2005/8/layout/vList6"/>
    <dgm:cxn modelId="{15BCA1C8-0612-4937-AB9B-39D1D13C254A}" srcId="{17173E74-B174-40D9-83EA-10CA7392DB4E}" destId="{4F2FEEBF-2956-45C8-8CBF-C3FE855865E5}" srcOrd="2" destOrd="0" parTransId="{910FACC9-B4F1-455C-B18F-39A3C5A9E3EB}" sibTransId="{6D8C312A-1971-4364-A835-03A3644D0161}"/>
    <dgm:cxn modelId="{9C9EA66A-7CF5-4E1C-B301-B6A1BA6213FD}" srcId="{0837261F-E9DB-457D-B9D1-D2E5823F02FB}" destId="{3AB4EF6F-28DB-4179-8548-070ECF73796D}" srcOrd="5" destOrd="0" parTransId="{ADF9CC58-AD2C-4DF3-B1CD-46B958680BD6}" sibTransId="{895F93EB-063D-42D5-830A-E3E54A49DF92}"/>
    <dgm:cxn modelId="{67E085B3-31A5-4465-B4EB-B14E1BD54232}" type="presOf" srcId="{3A636FD3-982F-42DD-A432-990B94DA0D79}" destId="{D53AFAAB-FE5B-4F69-879B-F39E52E438CA}" srcOrd="0" destOrd="0" presId="urn:microsoft.com/office/officeart/2005/8/layout/vList6"/>
    <dgm:cxn modelId="{9A992777-3E83-4B59-A544-223F7DE3366E}" srcId="{0837261F-E9DB-457D-B9D1-D2E5823F02FB}" destId="{EEDA81E9-7753-464B-B398-484283D91C72}" srcOrd="0" destOrd="0" parTransId="{2A96EA5E-46BB-49DE-A16D-E77D3BE8FA73}" sibTransId="{8CD77B7A-5A58-472F-ACA8-3905DFFC444C}"/>
    <dgm:cxn modelId="{38B0B2B4-F76C-4740-9C7C-8E8E6DA8DD51}" type="presOf" srcId="{737D0303-D03F-486C-BFFA-DABDE8DC015E}" destId="{D56B33E6-E946-415E-9079-C67F3C8216CE}" srcOrd="0" destOrd="0" presId="urn:microsoft.com/office/officeart/2005/8/layout/vList6"/>
    <dgm:cxn modelId="{2F955496-8AAA-48F8-B8EC-4D1C3C8CABB0}" srcId="{7A3DEFD0-56B1-485C-9005-268A9DF6276F}" destId="{BB0D39AD-41B4-4D85-A0A5-41E459B76496}" srcOrd="1" destOrd="0" parTransId="{64D6EC7C-32DA-43C1-85E2-F5E2B13F389D}" sibTransId="{6273FD0B-8BBD-43E5-A756-73B4A87C0482}"/>
    <dgm:cxn modelId="{869B3420-3BFE-433F-BB3D-0F7DE4E30894}" srcId="{17173E74-B174-40D9-83EA-10CA7392DB4E}" destId="{003ED998-6B25-4DB1-8198-E4D89F6A8A70}" srcOrd="0" destOrd="0" parTransId="{1C682A14-6DDF-4975-BC66-C46FFBD83B26}" sibTransId="{081D8E43-68FF-4421-A094-7A3F17E5663E}"/>
    <dgm:cxn modelId="{3D3B60B8-FA43-41D9-8EF2-675C25DDA7B6}" srcId="{209C0FCE-A28A-4638-8F31-7098A0074E18}" destId="{A3592444-ED42-4432-9B01-35C7EC4E4B20}" srcOrd="2" destOrd="0" parTransId="{7B3FF44B-BC1C-4FBB-8802-82A0A3650C90}" sibTransId="{EA68F3D5-9829-4881-839F-7C0EBA259948}"/>
    <dgm:cxn modelId="{414A8308-930D-4411-927B-0472F8AB5D44}" srcId="{EEDA81E9-7753-464B-B398-484283D91C72}" destId="{024C670E-461F-4633-9648-16B08CD0F708}" srcOrd="0" destOrd="0" parTransId="{C26CABA1-C41F-400E-BDE8-3DEAF1CB16A2}" sibTransId="{F5F94BAA-7DC9-4F13-91DB-002DB4422673}"/>
    <dgm:cxn modelId="{40484052-FA4D-4098-B593-30B2E8BFB610}" srcId="{9E999F14-0FC8-4A93-AA08-D99FD1141070}" destId="{B58B5E12-5CB9-466D-A365-8268B63CECD7}" srcOrd="1" destOrd="0" parTransId="{970A42CF-1718-468D-8DF1-D68E2AF749F1}" sibTransId="{DA8B9713-8B31-4584-A66C-3CE638ECFF7E}"/>
    <dgm:cxn modelId="{2FF4F7FD-27C2-4F76-8D91-93A0C822ADE1}" srcId="{209C0FCE-A28A-4638-8F31-7098A0074E18}" destId="{737D0303-D03F-486C-BFFA-DABDE8DC015E}" srcOrd="0" destOrd="0" parTransId="{FCBA1AD1-3212-4F13-836E-6021D501DE89}" sibTransId="{EB823546-9311-472E-AB30-D75401922542}"/>
    <dgm:cxn modelId="{C5B80E8C-9A4B-453D-BC7B-EB12789738BB}" srcId="{209C0FCE-A28A-4638-8F31-7098A0074E18}" destId="{A8B25DCA-DC77-47E2-BF9D-425B91465C08}" srcOrd="1" destOrd="0" parTransId="{67716A5A-2E35-480E-B019-86C83B555DC2}" sibTransId="{CC9515A2-956B-40DE-882D-93020FC54C63}"/>
    <dgm:cxn modelId="{5C156D98-D69E-4AC4-A942-69CF9062ADBB}" type="presOf" srcId="{B45ED986-0A34-4C60-9597-6C45E4F5DA64}" destId="{E5E549D9-7EDF-43BD-88A3-4AAA46405C62}" srcOrd="0" destOrd="2" presId="urn:microsoft.com/office/officeart/2005/8/layout/vList6"/>
    <dgm:cxn modelId="{0A9D98EA-62DA-4150-8198-EC2E857089C8}" srcId="{0837261F-E9DB-457D-B9D1-D2E5823F02FB}" destId="{17173E74-B174-40D9-83EA-10CA7392DB4E}" srcOrd="6" destOrd="0" parTransId="{218ECB18-B715-43C0-A52D-94796B70E37A}" sibTransId="{2E767C3B-1BB8-4F38-86F6-FCC4824CEFBA}"/>
    <dgm:cxn modelId="{ED759C4E-6F8E-426F-B4E4-0360BBAB9A66}" type="presOf" srcId="{41BE08D0-0BAC-43FF-8736-DA1FAA952D41}" destId="{49E6B04D-B4B3-4DE5-9C10-E31FA9487255}" srcOrd="0" destOrd="0" presId="urn:microsoft.com/office/officeart/2005/8/layout/vList6"/>
    <dgm:cxn modelId="{41D8CFFB-B0CE-4BB0-8EC5-681171F0A1E7}" type="presOf" srcId="{08EDB7F2-A044-477B-B49B-E43C85CFA70B}" destId="{211DC56C-7425-416A-A2C7-BE8F47711553}" srcOrd="0" destOrd="0" presId="urn:microsoft.com/office/officeart/2005/8/layout/vList6"/>
    <dgm:cxn modelId="{39ACA74E-A532-4ABE-B8F8-61B1D355012B}" type="presOf" srcId="{BDA8C97A-6AD7-424C-A6BA-48A35FAAD941}" destId="{D53AFAAB-FE5B-4F69-879B-F39E52E438CA}" srcOrd="0" destOrd="1" presId="urn:microsoft.com/office/officeart/2005/8/layout/vList6"/>
    <dgm:cxn modelId="{DE50B3CB-37F9-435F-B784-DE4ED291DBAD}" srcId="{0837261F-E9DB-457D-B9D1-D2E5823F02FB}" destId="{209C0FCE-A28A-4638-8F31-7098A0074E18}" srcOrd="2" destOrd="0" parTransId="{DA1F1826-BFC3-483B-B4C9-3EBD78DABAEC}" sibTransId="{2F8C169F-3B57-4F2D-86DE-ED892EEBC518}"/>
    <dgm:cxn modelId="{51012FE0-595E-4316-A21C-551B02C449CE}" type="presOf" srcId="{D317415F-C09A-458D-88BC-09F3A9C27539}" destId="{49E6B04D-B4B3-4DE5-9C10-E31FA9487255}" srcOrd="0" destOrd="1" presId="urn:microsoft.com/office/officeart/2005/8/layout/vList6"/>
    <dgm:cxn modelId="{9379413D-3705-46CD-A92A-E4BB1A847239}" type="presOf" srcId="{024C670E-461F-4633-9648-16B08CD0F708}" destId="{32E1FE1F-099C-4F63-813D-AC2388E8F64C}" srcOrd="0" destOrd="0" presId="urn:microsoft.com/office/officeart/2005/8/layout/vList6"/>
    <dgm:cxn modelId="{082667E9-6479-4B5B-A839-AC412AE6D29F}" srcId="{0837261F-E9DB-457D-B9D1-D2E5823F02FB}" destId="{9E999F14-0FC8-4A93-AA08-D99FD1141070}" srcOrd="1" destOrd="0" parTransId="{AC509649-6451-49EF-BF0B-5828DB8ADF3F}" sibTransId="{E6A76BBE-A95B-4FA0-9E19-669EC7F76C58}"/>
    <dgm:cxn modelId="{5467C1D7-2D8A-491A-9F00-1B652941D88B}" type="presOf" srcId="{4F2FEEBF-2956-45C8-8CBF-C3FE855865E5}" destId="{06B3BE31-C2D4-483C-868F-2AA715D92221}" srcOrd="0" destOrd="2" presId="urn:microsoft.com/office/officeart/2005/8/layout/vList6"/>
    <dgm:cxn modelId="{36F49A11-505F-4C3C-8632-0D3EB72DDFB1}" type="presOf" srcId="{003ED998-6B25-4DB1-8198-E4D89F6A8A70}" destId="{06B3BE31-C2D4-483C-868F-2AA715D92221}" srcOrd="0" destOrd="0" presId="urn:microsoft.com/office/officeart/2005/8/layout/vList6"/>
    <dgm:cxn modelId="{28778139-674D-421C-B01E-8EAED9F0406A}" type="presOf" srcId="{9E999F14-0FC8-4A93-AA08-D99FD1141070}" destId="{2750DAE2-EA73-4FA0-B9CF-E2AB2664FCA6}" srcOrd="0" destOrd="0" presId="urn:microsoft.com/office/officeart/2005/8/layout/vList6"/>
    <dgm:cxn modelId="{9335CC7F-B8DA-4F9F-8444-085C583D157A}" type="presOf" srcId="{7A3DEFD0-56B1-485C-9005-268A9DF6276F}" destId="{93153221-A75A-4FB4-A3C3-FEDDD0227304}" srcOrd="0" destOrd="0" presId="urn:microsoft.com/office/officeart/2005/8/layout/vList6"/>
    <dgm:cxn modelId="{383BD2FF-4D3F-4163-B5E7-B51973332BEC}" type="presOf" srcId="{B58B5E12-5CB9-466D-A365-8268B63CECD7}" destId="{BFB5608D-3362-4223-A0F6-4EA60563B6B6}" srcOrd="0" destOrd="1" presId="urn:microsoft.com/office/officeart/2005/8/layout/vList6"/>
    <dgm:cxn modelId="{76A4BCA3-8F2F-4EDD-AAD1-378D33FFE340}" type="presOf" srcId="{E316B52F-1CFC-40A4-BEF8-EF191DD7EA0C}" destId="{32E1FE1F-099C-4F63-813D-AC2388E8F64C}" srcOrd="0" destOrd="1" presId="urn:microsoft.com/office/officeart/2005/8/layout/vList6"/>
    <dgm:cxn modelId="{49A07F62-02AA-497B-9421-327085CAAACB}" type="presOf" srcId="{3AB4EF6F-28DB-4179-8548-070ECF73796D}" destId="{110E508D-0914-463A-8DBC-52D28A71D6EA}" srcOrd="0" destOrd="0" presId="urn:microsoft.com/office/officeart/2005/8/layout/vList6"/>
    <dgm:cxn modelId="{F0C37A16-167A-4221-847D-E90D09172E8C}" srcId="{9E999F14-0FC8-4A93-AA08-D99FD1141070}" destId="{14CFFE62-FF19-4EC1-947C-3E84423DDA62}" srcOrd="0" destOrd="0" parTransId="{8BD6C9C0-A313-470B-B4E8-FDB2EA3137D5}" sibTransId="{9EF45E73-A877-4F80-84F5-E1245A9A1F1E}"/>
    <dgm:cxn modelId="{B49AB6F4-2B54-4C5C-93C0-B834A9D6E725}" type="presOf" srcId="{9B1C9DA6-ABD4-454C-9B81-0B2C4B64A088}" destId="{D53AFAAB-FE5B-4F69-879B-F39E52E438CA}" srcOrd="0" destOrd="2" presId="urn:microsoft.com/office/officeart/2005/8/layout/vList6"/>
    <dgm:cxn modelId="{67E79B7B-7204-442C-A6D0-858BBE389820}" type="presOf" srcId="{A8B25DCA-DC77-47E2-BF9D-425B91465C08}" destId="{D56B33E6-E946-415E-9079-C67F3C8216CE}" srcOrd="0" destOrd="1" presId="urn:microsoft.com/office/officeart/2005/8/layout/vList6"/>
    <dgm:cxn modelId="{95D99C4C-1D99-4658-84E1-559EAC0E1E69}" type="presOf" srcId="{EEDA81E9-7753-464B-B398-484283D91C72}" destId="{33EFA91E-E0E2-4445-BD62-24139CB31077}" srcOrd="0" destOrd="0" presId="urn:microsoft.com/office/officeart/2005/8/layout/vList6"/>
    <dgm:cxn modelId="{D0C8A00F-EA47-4266-9B7F-6B5726764914}" srcId="{08EDB7F2-A044-477B-B49B-E43C85CFA70B}" destId="{DB10B867-E170-43B7-9D0F-EB8E5123619A}" srcOrd="2" destOrd="0" parTransId="{49E2CD38-5302-4535-8DF3-D4A64826D725}" sibTransId="{EA5782C6-1767-4AA8-AB41-D0F99156A5D7}"/>
    <dgm:cxn modelId="{5A275B6B-DA37-4170-B0A6-608AC2ABBD68}" type="presOf" srcId="{14CFFE62-FF19-4EC1-947C-3E84423DDA62}" destId="{BFB5608D-3362-4223-A0F6-4EA60563B6B6}" srcOrd="0" destOrd="0" presId="urn:microsoft.com/office/officeart/2005/8/layout/vList6"/>
    <dgm:cxn modelId="{E6DB881F-860F-400E-B832-CF9C8DC8B334}" type="presOf" srcId="{84880478-792C-4886-9A26-91EF0B6DA13F}" destId="{D53AFAAB-FE5B-4F69-879B-F39E52E438CA}" srcOrd="0" destOrd="3" presId="urn:microsoft.com/office/officeart/2005/8/layout/vList6"/>
    <dgm:cxn modelId="{FF72BA98-F020-4A44-BF5C-72DC0E05475E}" type="presOf" srcId="{C54D1DE6-A425-43BC-B0AF-F4A5366B763E}" destId="{06B3BE31-C2D4-483C-868F-2AA715D92221}" srcOrd="0" destOrd="1" presId="urn:microsoft.com/office/officeart/2005/8/layout/vList6"/>
    <dgm:cxn modelId="{AE3BDDBB-363D-4128-B76B-8AA210D6BCF1}" srcId="{3AB4EF6F-28DB-4179-8548-070ECF73796D}" destId="{BDA8C97A-6AD7-424C-A6BA-48A35FAAD941}" srcOrd="1" destOrd="0" parTransId="{099D0179-2C7D-474F-B390-17F85E00B57B}" sibTransId="{7F644A92-1FE7-4218-A024-1CD1C6C37374}"/>
    <dgm:cxn modelId="{1BF70FB5-28CE-4EC3-8837-7EF708E87F96}" srcId="{7A3DEFD0-56B1-485C-9005-268A9DF6276F}" destId="{B45ED986-0A34-4C60-9597-6C45E4F5DA64}" srcOrd="2" destOrd="0" parTransId="{3CF467AA-6A94-44A4-9A56-3776D7D6EBAE}" sibTransId="{4ED62016-26EA-406B-8213-030D200046FC}"/>
    <dgm:cxn modelId="{38045A9B-105C-4F4E-B175-BA600C505858}" type="presOf" srcId="{209C0FCE-A28A-4638-8F31-7098A0074E18}" destId="{9068DA47-CE21-4CA2-91BA-CA69C5B53E40}" srcOrd="0" destOrd="0" presId="urn:microsoft.com/office/officeart/2005/8/layout/vList6"/>
    <dgm:cxn modelId="{FDCD94D5-BA37-4C42-9EDC-381EB043D258}" srcId="{3AB4EF6F-28DB-4179-8548-070ECF73796D}" destId="{9B1C9DA6-ABD4-454C-9B81-0B2C4B64A088}" srcOrd="2" destOrd="0" parTransId="{3EA829BE-4BCD-469A-A015-5580207C66D5}" sibTransId="{3351B9EE-D1BB-430B-99AC-AF624F344F1C}"/>
    <dgm:cxn modelId="{31E35E2B-ED2E-462A-8380-4CA50E7DAA36}" srcId="{3AB4EF6F-28DB-4179-8548-070ECF73796D}" destId="{3A636FD3-982F-42DD-A432-990B94DA0D79}" srcOrd="0" destOrd="0" parTransId="{B28B6AD7-00ED-4D00-A3C4-4913C0AB88EF}" sibTransId="{2340945A-3C30-45AB-9D1C-27E632A4AC72}"/>
    <dgm:cxn modelId="{A0EC6182-7314-4FD5-B099-08E584B27D17}" srcId="{3AB4EF6F-28DB-4179-8548-070ECF73796D}" destId="{84880478-792C-4886-9A26-91EF0B6DA13F}" srcOrd="3" destOrd="0" parTransId="{A1D33792-2284-499E-89CD-0FF1E6D0BB2D}" sibTransId="{68948B66-5534-4BB6-ACB1-C0D341DD4560}"/>
    <dgm:cxn modelId="{54D707D7-AD5C-4553-B9FE-42751C03370E}" srcId="{0837261F-E9DB-457D-B9D1-D2E5823F02FB}" destId="{08EDB7F2-A044-477B-B49B-E43C85CFA70B}" srcOrd="3" destOrd="0" parTransId="{A5B9A3BA-C1CB-495F-8054-01994B5E0D30}" sibTransId="{1B50A007-1577-4E5D-A517-194C1D860F75}"/>
    <dgm:cxn modelId="{C213B33A-DFEB-433F-B51B-C8738F661772}" srcId="{08EDB7F2-A044-477B-B49B-E43C85CFA70B}" destId="{D317415F-C09A-458D-88BC-09F3A9C27539}" srcOrd="1" destOrd="0" parTransId="{FE5D8E76-73D5-4632-A6D5-FD2A76121357}" sibTransId="{2814473F-A27C-4D8D-BA59-30392B3DFAD5}"/>
    <dgm:cxn modelId="{ABF41836-25CC-4BBF-B963-6017689630E4}" type="presOf" srcId="{BB0D39AD-41B4-4D85-A0A5-41E459B76496}" destId="{E5E549D9-7EDF-43BD-88A3-4AAA46405C62}" srcOrd="0" destOrd="1" presId="urn:microsoft.com/office/officeart/2005/8/layout/vList6"/>
    <dgm:cxn modelId="{92ECE948-416A-4318-AE64-C8490B445DB9}" srcId="{0837261F-E9DB-457D-B9D1-D2E5823F02FB}" destId="{7A3DEFD0-56B1-485C-9005-268A9DF6276F}" srcOrd="4" destOrd="0" parTransId="{CD934D39-27A7-4510-A987-55530173C7A4}" sibTransId="{9AC3BB9F-575B-4783-9168-BBB535724F00}"/>
    <dgm:cxn modelId="{744ECBAA-ADDE-4F1C-B550-49D2A7A4D9F9}" type="presOf" srcId="{B1D1E2CF-B046-4193-A35A-E65974E55BFA}" destId="{32E1FE1F-099C-4F63-813D-AC2388E8F64C}" srcOrd="0" destOrd="2" presId="urn:microsoft.com/office/officeart/2005/8/layout/vList6"/>
    <dgm:cxn modelId="{8810E737-20ED-4B9F-B059-57A21E784791}" srcId="{EEDA81E9-7753-464B-B398-484283D91C72}" destId="{E316B52F-1CFC-40A4-BEF8-EF191DD7EA0C}" srcOrd="1" destOrd="0" parTransId="{8AC61CEF-7B09-4A10-B198-5CEE187DB234}" sibTransId="{2BDEF617-8BB3-4F7A-A490-DABD16417C3B}"/>
    <dgm:cxn modelId="{3960483A-87AC-416E-8FEE-81D8EB64F673}" type="presOf" srcId="{A3592444-ED42-4432-9B01-35C7EC4E4B20}" destId="{D56B33E6-E946-415E-9079-C67F3C8216CE}" srcOrd="0" destOrd="2" presId="urn:microsoft.com/office/officeart/2005/8/layout/vList6"/>
    <dgm:cxn modelId="{041BD679-37D2-4686-AB96-4CCD341DF4D9}" type="presOf" srcId="{0837261F-E9DB-457D-B9D1-D2E5823F02FB}" destId="{18A683FD-71B4-4C37-AD4C-62B7D8A98628}" srcOrd="0" destOrd="0" presId="urn:microsoft.com/office/officeart/2005/8/layout/vList6"/>
    <dgm:cxn modelId="{BC849350-A561-4EF2-A903-0B0ED564C943}" srcId="{7A3DEFD0-56B1-485C-9005-268A9DF6276F}" destId="{EBE5B30C-FF18-4B96-A478-ADD8528AEE5F}" srcOrd="0" destOrd="0" parTransId="{201F9B1F-3D02-4D50-B20F-246C836E4D44}" sibTransId="{E51757FC-AD1F-40E3-B0EA-EBF2E48AC3A4}"/>
    <dgm:cxn modelId="{E9412784-41C6-44C9-8EA4-48C2D6EB3DBB}" type="presOf" srcId="{EBE5B30C-FF18-4B96-A478-ADD8528AEE5F}" destId="{E5E549D9-7EDF-43BD-88A3-4AAA46405C62}" srcOrd="0" destOrd="0" presId="urn:microsoft.com/office/officeart/2005/8/layout/vList6"/>
    <dgm:cxn modelId="{408E19C5-85AE-4E7E-8A4A-C2626687B014}" srcId="{17173E74-B174-40D9-83EA-10CA7392DB4E}" destId="{C54D1DE6-A425-43BC-B0AF-F4A5366B763E}" srcOrd="1" destOrd="0" parTransId="{37FC7F5A-B9A9-48A2-83FE-609C28BE28FC}" sibTransId="{63DD8A0A-2FF2-4EDB-90A5-242B2ED7ED13}"/>
    <dgm:cxn modelId="{9E3365A9-A1FD-4D68-A135-42B04878A471}" srcId="{EEDA81E9-7753-464B-B398-484283D91C72}" destId="{B1D1E2CF-B046-4193-A35A-E65974E55BFA}" srcOrd="2" destOrd="0" parTransId="{3927466F-ED30-4082-A9F6-E8DFE7B455EA}" sibTransId="{F4A37C0F-5240-4C94-9120-B5241184125E}"/>
    <dgm:cxn modelId="{4A9C4754-AA45-4446-B460-1043399495E8}" type="presParOf" srcId="{18A683FD-71B4-4C37-AD4C-62B7D8A98628}" destId="{775AE69E-FD40-47E2-BC27-FA9148ADE14E}" srcOrd="0" destOrd="0" presId="urn:microsoft.com/office/officeart/2005/8/layout/vList6"/>
    <dgm:cxn modelId="{789C6736-668C-48EB-83C3-0EBBA069989D}" type="presParOf" srcId="{775AE69E-FD40-47E2-BC27-FA9148ADE14E}" destId="{33EFA91E-E0E2-4445-BD62-24139CB31077}" srcOrd="0" destOrd="0" presId="urn:microsoft.com/office/officeart/2005/8/layout/vList6"/>
    <dgm:cxn modelId="{C57ED0A9-FE6B-4431-BA6C-52AD405F2587}" type="presParOf" srcId="{775AE69E-FD40-47E2-BC27-FA9148ADE14E}" destId="{32E1FE1F-099C-4F63-813D-AC2388E8F64C}" srcOrd="1" destOrd="0" presId="urn:microsoft.com/office/officeart/2005/8/layout/vList6"/>
    <dgm:cxn modelId="{FADA48E5-FD29-4C32-9CAE-ECFC052FB9AE}" type="presParOf" srcId="{18A683FD-71B4-4C37-AD4C-62B7D8A98628}" destId="{68445014-A9DE-4FD6-9621-732BA31CEB40}" srcOrd="1" destOrd="0" presId="urn:microsoft.com/office/officeart/2005/8/layout/vList6"/>
    <dgm:cxn modelId="{99EE0D11-872A-4A57-9B54-1DF04A5456FB}" type="presParOf" srcId="{18A683FD-71B4-4C37-AD4C-62B7D8A98628}" destId="{C1DB1010-75B3-4012-8903-4D1EC12413E2}" srcOrd="2" destOrd="0" presId="urn:microsoft.com/office/officeart/2005/8/layout/vList6"/>
    <dgm:cxn modelId="{AB214F68-5E5D-4A61-9391-858C8ED2EA86}" type="presParOf" srcId="{C1DB1010-75B3-4012-8903-4D1EC12413E2}" destId="{2750DAE2-EA73-4FA0-B9CF-E2AB2664FCA6}" srcOrd="0" destOrd="0" presId="urn:microsoft.com/office/officeart/2005/8/layout/vList6"/>
    <dgm:cxn modelId="{48085EA6-D0F5-49CB-A1F5-B03B039A5F88}" type="presParOf" srcId="{C1DB1010-75B3-4012-8903-4D1EC12413E2}" destId="{BFB5608D-3362-4223-A0F6-4EA60563B6B6}" srcOrd="1" destOrd="0" presId="urn:microsoft.com/office/officeart/2005/8/layout/vList6"/>
    <dgm:cxn modelId="{8E6C009F-B42A-40DA-9529-B1335C371D75}" type="presParOf" srcId="{18A683FD-71B4-4C37-AD4C-62B7D8A98628}" destId="{AEFE42DF-C4D6-4E49-A155-8C63A556AB88}" srcOrd="3" destOrd="0" presId="urn:microsoft.com/office/officeart/2005/8/layout/vList6"/>
    <dgm:cxn modelId="{F25345BC-3FBA-4820-8C73-21F796CF7D4B}" type="presParOf" srcId="{18A683FD-71B4-4C37-AD4C-62B7D8A98628}" destId="{E998F63F-1824-4504-BC88-5CF1EAB3936C}" srcOrd="4" destOrd="0" presId="urn:microsoft.com/office/officeart/2005/8/layout/vList6"/>
    <dgm:cxn modelId="{A5A1CB4A-FA43-472B-99CB-D7F3FFFB50D0}" type="presParOf" srcId="{E998F63F-1824-4504-BC88-5CF1EAB3936C}" destId="{9068DA47-CE21-4CA2-91BA-CA69C5B53E40}" srcOrd="0" destOrd="0" presId="urn:microsoft.com/office/officeart/2005/8/layout/vList6"/>
    <dgm:cxn modelId="{1792ED6A-4AF7-489A-A4E1-777D51E2BC94}" type="presParOf" srcId="{E998F63F-1824-4504-BC88-5CF1EAB3936C}" destId="{D56B33E6-E946-415E-9079-C67F3C8216CE}" srcOrd="1" destOrd="0" presId="urn:microsoft.com/office/officeart/2005/8/layout/vList6"/>
    <dgm:cxn modelId="{ADC81113-EE01-42C2-B4FE-06DC571BA992}" type="presParOf" srcId="{18A683FD-71B4-4C37-AD4C-62B7D8A98628}" destId="{B593D17B-10CF-4C43-B3D5-E405C34E81BA}" srcOrd="5" destOrd="0" presId="urn:microsoft.com/office/officeart/2005/8/layout/vList6"/>
    <dgm:cxn modelId="{C330D33D-3741-4BA9-A35A-1777A981A023}" type="presParOf" srcId="{18A683FD-71B4-4C37-AD4C-62B7D8A98628}" destId="{32AF2D7F-288D-4AEC-B01F-33074803D62A}" srcOrd="6" destOrd="0" presId="urn:microsoft.com/office/officeart/2005/8/layout/vList6"/>
    <dgm:cxn modelId="{9F64F441-D708-4F93-8CC8-3D67B00829F8}" type="presParOf" srcId="{32AF2D7F-288D-4AEC-B01F-33074803D62A}" destId="{211DC56C-7425-416A-A2C7-BE8F47711553}" srcOrd="0" destOrd="0" presId="urn:microsoft.com/office/officeart/2005/8/layout/vList6"/>
    <dgm:cxn modelId="{69FE3F58-BFD9-49E7-A2CC-FCA356856F65}" type="presParOf" srcId="{32AF2D7F-288D-4AEC-B01F-33074803D62A}" destId="{49E6B04D-B4B3-4DE5-9C10-E31FA9487255}" srcOrd="1" destOrd="0" presId="urn:microsoft.com/office/officeart/2005/8/layout/vList6"/>
    <dgm:cxn modelId="{BFC89644-BF9B-4A94-8A22-3BA0DB0EE7FE}" type="presParOf" srcId="{18A683FD-71B4-4C37-AD4C-62B7D8A98628}" destId="{30CE6C2B-BD61-4EA3-AF15-1931EFDDA6BB}" srcOrd="7" destOrd="0" presId="urn:microsoft.com/office/officeart/2005/8/layout/vList6"/>
    <dgm:cxn modelId="{9FAB215A-9390-4C66-9E95-0D847E315CD3}" type="presParOf" srcId="{18A683FD-71B4-4C37-AD4C-62B7D8A98628}" destId="{0A560EC2-376D-4A4A-94E1-AB8EE2551167}" srcOrd="8" destOrd="0" presId="urn:microsoft.com/office/officeart/2005/8/layout/vList6"/>
    <dgm:cxn modelId="{4C65FFF4-00B2-41A9-A224-24219585469D}" type="presParOf" srcId="{0A560EC2-376D-4A4A-94E1-AB8EE2551167}" destId="{93153221-A75A-4FB4-A3C3-FEDDD0227304}" srcOrd="0" destOrd="0" presId="urn:microsoft.com/office/officeart/2005/8/layout/vList6"/>
    <dgm:cxn modelId="{2E57998B-13B5-4DC4-A48E-E810959D34D5}" type="presParOf" srcId="{0A560EC2-376D-4A4A-94E1-AB8EE2551167}" destId="{E5E549D9-7EDF-43BD-88A3-4AAA46405C62}" srcOrd="1" destOrd="0" presId="urn:microsoft.com/office/officeart/2005/8/layout/vList6"/>
    <dgm:cxn modelId="{10B24C14-C046-4C0F-B41A-064D221C39A9}" type="presParOf" srcId="{18A683FD-71B4-4C37-AD4C-62B7D8A98628}" destId="{5DBE3ACD-0051-449F-8607-210A36F80C1F}" srcOrd="9" destOrd="0" presId="urn:microsoft.com/office/officeart/2005/8/layout/vList6"/>
    <dgm:cxn modelId="{593729BB-32B6-4B09-9703-FA714C5F0157}" type="presParOf" srcId="{18A683FD-71B4-4C37-AD4C-62B7D8A98628}" destId="{D0F3414D-1543-4B60-B37C-E85386D7A79E}" srcOrd="10" destOrd="0" presId="urn:microsoft.com/office/officeart/2005/8/layout/vList6"/>
    <dgm:cxn modelId="{36F0ADDA-53A7-4BC2-977E-5618258918F0}" type="presParOf" srcId="{D0F3414D-1543-4B60-B37C-E85386D7A79E}" destId="{110E508D-0914-463A-8DBC-52D28A71D6EA}" srcOrd="0" destOrd="0" presId="urn:microsoft.com/office/officeart/2005/8/layout/vList6"/>
    <dgm:cxn modelId="{CCD96F1E-6E71-4011-98A7-5BD3484A57FD}" type="presParOf" srcId="{D0F3414D-1543-4B60-B37C-E85386D7A79E}" destId="{D53AFAAB-FE5B-4F69-879B-F39E52E438CA}" srcOrd="1" destOrd="0" presId="urn:microsoft.com/office/officeart/2005/8/layout/vList6"/>
    <dgm:cxn modelId="{17707326-8CCA-45FC-B230-7124809FA3D2}" type="presParOf" srcId="{18A683FD-71B4-4C37-AD4C-62B7D8A98628}" destId="{A1E839F9-B465-49AD-B1FC-0498CA19C926}" srcOrd="11" destOrd="0" presId="urn:microsoft.com/office/officeart/2005/8/layout/vList6"/>
    <dgm:cxn modelId="{3FBDEBBA-0029-44BD-A6EE-F85D1C74C1A6}" type="presParOf" srcId="{18A683FD-71B4-4C37-AD4C-62B7D8A98628}" destId="{57090507-9331-41F9-9202-10BC744BDC06}" srcOrd="12" destOrd="0" presId="urn:microsoft.com/office/officeart/2005/8/layout/vList6"/>
    <dgm:cxn modelId="{44C359C1-5E80-45C9-B41B-FC275597C640}" type="presParOf" srcId="{57090507-9331-41F9-9202-10BC744BDC06}" destId="{7DBF3A85-7EFB-48B9-8092-AEF96310D7D6}" srcOrd="0" destOrd="0" presId="urn:microsoft.com/office/officeart/2005/8/layout/vList6"/>
    <dgm:cxn modelId="{103A5101-B841-43A0-8592-E6CFE5E4831E}" type="presParOf" srcId="{57090507-9331-41F9-9202-10BC744BDC06}" destId="{06B3BE31-C2D4-483C-868F-2AA715D92221}" srcOrd="1" destOrd="0" presId="urn:microsoft.com/office/officeart/2005/8/layout/vList6"/>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1DBCC4-65F0-42B8-9892-4DF994710F7F}">
      <dsp:nvSpPr>
        <dsp:cNvPr id="0" name=""/>
        <dsp:cNvSpPr/>
      </dsp:nvSpPr>
      <dsp:spPr>
        <a:xfrm>
          <a:off x="323616" y="-54878"/>
          <a:ext cx="4667565" cy="4667565"/>
        </a:xfrm>
        <a:prstGeom prst="circularArrow">
          <a:avLst>
            <a:gd name="adj1" fmla="val 5544"/>
            <a:gd name="adj2" fmla="val 330680"/>
            <a:gd name="adj3" fmla="val 14545852"/>
            <a:gd name="adj4" fmla="val 16933049"/>
            <a:gd name="adj5" fmla="val 5757"/>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3A5000D3-E199-4CBC-B7EA-BC5EFD522F99}">
      <dsp:nvSpPr>
        <dsp:cNvPr id="0" name=""/>
        <dsp:cNvSpPr/>
      </dsp:nvSpPr>
      <dsp:spPr>
        <a:xfrm>
          <a:off x="1944830" y="-20921"/>
          <a:ext cx="1425137" cy="71256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bg-BG" sz="1200" kern="1200" baseline="0" dirty="0">
              <a:solidFill>
                <a:sysClr val="window" lastClr="FFFFFF"/>
              </a:solidFill>
              <a:latin typeface="Calibri"/>
              <a:ea typeface="+mn-ea"/>
              <a:cs typeface="+mn-cs"/>
            </a:rPr>
            <a:t>Необходимост от изменение на ОПТТИ </a:t>
          </a:r>
        </a:p>
      </dsp:txBody>
      <dsp:txXfrm>
        <a:off x="1979615" y="13864"/>
        <a:ext cx="1355567" cy="642998"/>
      </dsp:txXfrm>
    </dsp:sp>
    <dsp:sp modelId="{7BA93B45-0C75-4E15-A0B7-1C8F8F85648D}">
      <dsp:nvSpPr>
        <dsp:cNvPr id="0" name=""/>
        <dsp:cNvSpPr/>
      </dsp:nvSpPr>
      <dsp:spPr>
        <a:xfrm>
          <a:off x="3606547" y="760083"/>
          <a:ext cx="1425137" cy="90504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bg-BG" sz="1200" kern="1200" baseline="0" dirty="0">
              <a:solidFill>
                <a:sysClr val="window" lastClr="FFFFFF"/>
              </a:solidFill>
              <a:latin typeface="Calibri"/>
              <a:ea typeface="+mn-ea"/>
              <a:cs typeface="+mn-cs"/>
            </a:rPr>
            <a:t>Изложение и обосновка на изменението на ОПТТИ</a:t>
          </a:r>
        </a:p>
        <a:p>
          <a:pPr lvl="0" algn="ctr" defTabSz="533400">
            <a:lnSpc>
              <a:spcPct val="90000"/>
            </a:lnSpc>
            <a:spcBef>
              <a:spcPct val="0"/>
            </a:spcBef>
            <a:spcAft>
              <a:spcPct val="35000"/>
            </a:spcAft>
          </a:pPr>
          <a:endParaRPr lang="bg-BG" sz="1300" kern="1200" dirty="0">
            <a:solidFill>
              <a:sysClr val="window" lastClr="FFFFFF"/>
            </a:solidFill>
            <a:latin typeface="Calibri"/>
            <a:ea typeface="+mn-ea"/>
            <a:cs typeface="+mn-cs"/>
          </a:endParaRPr>
        </a:p>
      </dsp:txBody>
      <dsp:txXfrm>
        <a:off x="3650728" y="804264"/>
        <a:ext cx="1336775" cy="816686"/>
      </dsp:txXfrm>
    </dsp:sp>
    <dsp:sp modelId="{4909D337-9F2C-44ED-B4D1-90FFF4E07CFE}">
      <dsp:nvSpPr>
        <dsp:cNvPr id="0" name=""/>
        <dsp:cNvSpPr/>
      </dsp:nvSpPr>
      <dsp:spPr>
        <a:xfrm>
          <a:off x="3881557" y="2298670"/>
          <a:ext cx="1425137" cy="95168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bg-BG" sz="1200" kern="1200" baseline="0" dirty="0">
              <a:solidFill>
                <a:sysClr val="window" lastClr="FFFFFF"/>
              </a:solidFill>
              <a:latin typeface="Calibri"/>
              <a:ea typeface="+mn-ea"/>
              <a:cs typeface="+mn-cs"/>
            </a:rPr>
            <a:t>КН на ОПТТИ взема решение по предложението за изменението</a:t>
          </a:r>
        </a:p>
        <a:p>
          <a:pPr lvl="0" algn="ctr" defTabSz="444500">
            <a:lnSpc>
              <a:spcPct val="90000"/>
            </a:lnSpc>
            <a:spcBef>
              <a:spcPct val="0"/>
            </a:spcBef>
            <a:spcAft>
              <a:spcPct val="35000"/>
            </a:spcAft>
          </a:pPr>
          <a:endParaRPr lang="bg-BG" sz="1100" kern="1200" dirty="0">
            <a:solidFill>
              <a:sysClr val="window" lastClr="FFFFFF"/>
            </a:solidFill>
            <a:latin typeface="Calibri"/>
            <a:ea typeface="+mn-ea"/>
            <a:cs typeface="+mn-cs"/>
          </a:endParaRPr>
        </a:p>
      </dsp:txBody>
      <dsp:txXfrm>
        <a:off x="3928014" y="2345127"/>
        <a:ext cx="1332223" cy="858771"/>
      </dsp:txXfrm>
    </dsp:sp>
    <dsp:sp modelId="{DEBA11AA-6F1A-4F26-86AB-A967550F5D48}">
      <dsp:nvSpPr>
        <dsp:cNvPr id="0" name=""/>
        <dsp:cNvSpPr/>
      </dsp:nvSpPr>
      <dsp:spPr>
        <a:xfrm>
          <a:off x="2983407" y="3632907"/>
          <a:ext cx="1425137" cy="92602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bg-BG" sz="1000" kern="1200" baseline="0" dirty="0">
              <a:solidFill>
                <a:sysClr val="window" lastClr="FFFFFF"/>
              </a:solidFill>
              <a:latin typeface="Calibri"/>
              <a:ea typeface="+mn-ea"/>
              <a:cs typeface="+mn-cs"/>
            </a:rPr>
            <a:t>Процедура по преценяване на необходимостта от извършване на екологична оценка</a:t>
          </a:r>
        </a:p>
      </dsp:txBody>
      <dsp:txXfrm>
        <a:off x="3028612" y="3678112"/>
        <a:ext cx="1334727" cy="835616"/>
      </dsp:txXfrm>
    </dsp:sp>
    <dsp:sp modelId="{05C2A68C-8DEB-4D90-839E-EE87867804A4}">
      <dsp:nvSpPr>
        <dsp:cNvPr id="0" name=""/>
        <dsp:cNvSpPr/>
      </dsp:nvSpPr>
      <dsp:spPr>
        <a:xfrm>
          <a:off x="906266" y="3639133"/>
          <a:ext cx="1425137" cy="90247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bg-BG" sz="900" kern="1200" dirty="0">
              <a:solidFill>
                <a:sysClr val="window" lastClr="FFFFFF"/>
              </a:solidFill>
              <a:latin typeface="Calibri"/>
              <a:ea typeface="+mn-ea"/>
              <a:cs typeface="+mn-cs"/>
            </a:rPr>
            <a:t>Официално искането за изменението на ОПТТИ се представя на ЕК от ЦКЗ </a:t>
          </a:r>
        </a:p>
      </dsp:txBody>
      <dsp:txXfrm>
        <a:off x="950321" y="3683188"/>
        <a:ext cx="1337027" cy="814365"/>
      </dsp:txXfrm>
    </dsp:sp>
    <dsp:sp modelId="{C79FF51C-7D5A-4CCF-8142-D8A5DE9343D5}">
      <dsp:nvSpPr>
        <dsp:cNvPr id="0" name=""/>
        <dsp:cNvSpPr/>
      </dsp:nvSpPr>
      <dsp:spPr>
        <a:xfrm>
          <a:off x="249" y="2298683"/>
          <a:ext cx="1425137" cy="94004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bg-BG" sz="900" kern="1200" dirty="0">
              <a:solidFill>
                <a:sysClr val="window" lastClr="FFFFFF"/>
              </a:solidFill>
              <a:latin typeface="Calibri"/>
              <a:ea typeface="+mn-ea"/>
              <a:cs typeface="+mn-cs"/>
            </a:rPr>
            <a:t>УО на ОПТТИ отразява или отговаря на коментарите на ЕК (в случай, че са постъпили)</a:t>
          </a:r>
        </a:p>
      </dsp:txBody>
      <dsp:txXfrm>
        <a:off x="46138" y="2344572"/>
        <a:ext cx="1333359" cy="848271"/>
      </dsp:txXfrm>
    </dsp:sp>
    <dsp:sp modelId="{8D59A466-F4B6-41DB-A249-AD1B0EB08CC4}">
      <dsp:nvSpPr>
        <dsp:cNvPr id="0" name=""/>
        <dsp:cNvSpPr/>
      </dsp:nvSpPr>
      <dsp:spPr>
        <a:xfrm>
          <a:off x="283117" y="810358"/>
          <a:ext cx="1425137" cy="86051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bg-BG" sz="1200" kern="1200" baseline="0" dirty="0">
              <a:solidFill>
                <a:sysClr val="window" lastClr="FFFFFF"/>
              </a:solidFill>
              <a:latin typeface="Calibri"/>
              <a:ea typeface="+mn-ea"/>
              <a:cs typeface="+mn-cs"/>
            </a:rPr>
            <a:t>Получаване на становище на ЕК по искането за изменение на ОПТТИ </a:t>
          </a:r>
        </a:p>
      </dsp:txBody>
      <dsp:txXfrm>
        <a:off x="325124" y="852365"/>
        <a:ext cx="1341123" cy="7764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721F1C-8442-4B7D-B2CC-3A8C887BDE77}">
      <dsp:nvSpPr>
        <dsp:cNvPr id="0" name=""/>
        <dsp:cNvSpPr/>
      </dsp:nvSpPr>
      <dsp:spPr>
        <a:xfrm>
          <a:off x="2051811" y="469"/>
          <a:ext cx="3077718" cy="591284"/>
        </a:xfrm>
        <a:prstGeom prst="rightArrow">
          <a:avLst>
            <a:gd name="adj1" fmla="val 75000"/>
            <a:gd name="adj2" fmla="val 50000"/>
          </a:avLst>
        </a:prstGeom>
        <a:solidFill>
          <a:srgbClr val="9BBB59">
            <a:tint val="40000"/>
            <a:alpha val="90000"/>
            <a:hueOff val="0"/>
            <a:satOff val="0"/>
            <a:lumOff val="0"/>
            <a:alphaOff val="0"/>
          </a:srgbClr>
        </a:solidFill>
        <a:ln w="9525" cap="flat" cmpd="sng" algn="ctr">
          <a:solidFill>
            <a:srgbClr val="9BBB59">
              <a:tint val="40000"/>
              <a:alpha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442913" lvl="1" indent="-266700" algn="l" defTabSz="666750">
            <a:lnSpc>
              <a:spcPct val="90000"/>
            </a:lnSpc>
            <a:spcBef>
              <a:spcPct val="0"/>
            </a:spcBef>
            <a:spcAft>
              <a:spcPct val="15000"/>
            </a:spcAft>
            <a:buChar char="••"/>
          </a:pP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Идентифициране на проблеми</a:t>
          </a:r>
          <a:endParaRPr lang="en-US" sz="9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442913" lvl="1" indent="-266700" algn="l" defTabSz="666750">
            <a:lnSpc>
              <a:spcPct val="90000"/>
            </a:lnSpc>
            <a:spcBef>
              <a:spcPct val="0"/>
            </a:spcBef>
            <a:spcAft>
              <a:spcPct val="15000"/>
            </a:spcAft>
            <a:buChar char="••"/>
          </a:pP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Стратегическо проучване</a:t>
          </a:r>
          <a:endParaRPr lang="en-US" sz="9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442913" lvl="1" indent="-266700" algn="l" defTabSz="666750">
            <a:lnSpc>
              <a:spcPct val="90000"/>
            </a:lnSpc>
            <a:spcBef>
              <a:spcPct val="0"/>
            </a:spcBef>
            <a:spcAft>
              <a:spcPct val="15000"/>
            </a:spcAft>
            <a:buChar char="••"/>
          </a:pPr>
          <a:r>
            <a:rPr lang="bg-BG" sz="900" kern="1200" dirty="0" err="1">
              <a:solidFill>
                <a:sysClr val="windowText" lastClr="000000">
                  <a:hueOff val="0"/>
                  <a:satOff val="0"/>
                  <a:lumOff val="0"/>
                  <a:alphaOff val="0"/>
                </a:sysClr>
              </a:solidFill>
              <a:latin typeface="Times New Roman" pitchFamily="18" charset="0"/>
              <a:ea typeface="+mn-ea"/>
              <a:cs typeface="Times New Roman" pitchFamily="18" charset="0"/>
            </a:rPr>
            <a:t>Предпроектно</a:t>
          </a: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 проучване</a:t>
          </a:r>
          <a:endParaRPr lang="en-US" sz="9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051811" y="74380"/>
        <a:ext cx="2855987" cy="443463"/>
      </dsp:txXfrm>
    </dsp:sp>
    <dsp:sp modelId="{4B440A2D-710B-4BA9-BCB1-C54F7A6E8F83}">
      <dsp:nvSpPr>
        <dsp:cNvPr id="0" name=""/>
        <dsp:cNvSpPr/>
      </dsp:nvSpPr>
      <dsp:spPr>
        <a:xfrm>
          <a:off x="0" y="469"/>
          <a:ext cx="2051812" cy="591284"/>
        </a:xfrm>
        <a:prstGeom prst="round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bg-BG" sz="1200" kern="1200" dirty="0">
              <a:solidFill>
                <a:sysClr val="window" lastClr="FFFFFF"/>
              </a:solidFill>
              <a:latin typeface="Times New Roman" pitchFamily="18" charset="0"/>
              <a:ea typeface="+mn-ea"/>
              <a:cs typeface="Times New Roman" pitchFamily="18" charset="0"/>
            </a:rPr>
            <a:t>Идентифициране на нуждите</a:t>
          </a:r>
          <a:endParaRPr lang="en-US" sz="1200" kern="1200" dirty="0">
            <a:solidFill>
              <a:sysClr val="window" lastClr="FFFFFF"/>
            </a:solidFill>
            <a:latin typeface="Times New Roman" pitchFamily="18" charset="0"/>
            <a:ea typeface="+mn-ea"/>
            <a:cs typeface="Times New Roman" pitchFamily="18" charset="0"/>
          </a:endParaRPr>
        </a:p>
      </dsp:txBody>
      <dsp:txXfrm>
        <a:off x="28864" y="29333"/>
        <a:ext cx="1994084" cy="533556"/>
      </dsp:txXfrm>
    </dsp:sp>
    <dsp:sp modelId="{CDF16FFB-6CE5-4C52-968F-3BAF16910D1F}">
      <dsp:nvSpPr>
        <dsp:cNvPr id="0" name=""/>
        <dsp:cNvSpPr/>
      </dsp:nvSpPr>
      <dsp:spPr>
        <a:xfrm>
          <a:off x="2051811" y="650882"/>
          <a:ext cx="3077718" cy="591284"/>
        </a:xfrm>
        <a:prstGeom prst="rightArrow">
          <a:avLst>
            <a:gd name="adj1" fmla="val 75000"/>
            <a:gd name="adj2" fmla="val 50000"/>
          </a:avLst>
        </a:prstGeom>
        <a:solidFill>
          <a:srgbClr val="9BBB59">
            <a:tint val="40000"/>
            <a:alpha val="90000"/>
            <a:hueOff val="2143370"/>
            <a:satOff val="-2759"/>
            <a:lumOff val="-215"/>
            <a:alphaOff val="0"/>
          </a:srgbClr>
        </a:solidFill>
        <a:ln w="9525" cap="flat" cmpd="sng" algn="ctr">
          <a:solidFill>
            <a:srgbClr val="9BBB59">
              <a:tint val="40000"/>
              <a:alpha val="90000"/>
              <a:hueOff val="2143370"/>
              <a:satOff val="-2759"/>
              <a:lumOff val="-215"/>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442913" marR="0" lvl="1" indent="-266700" algn="l" defTabSz="914400" eaLnBrk="1" fontAlgn="auto" latinLnBrk="0" hangingPunct="1">
            <a:lnSpc>
              <a:spcPct val="100000"/>
            </a:lnSpc>
            <a:spcBef>
              <a:spcPct val="0"/>
            </a:spcBef>
            <a:spcAft>
              <a:spcPts val="0"/>
            </a:spcAft>
            <a:buClrTx/>
            <a:buSzTx/>
            <a:buFontTx/>
            <a:buChar char="••"/>
            <a:tabLst/>
            <a:defRPr/>
          </a:pP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Съответствие със стратегии</a:t>
          </a:r>
          <a:endParaRPr lang="en-US" sz="9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442913" marR="0" lvl="1" indent="-266700" algn="l" defTabSz="914400" eaLnBrk="1" fontAlgn="auto" latinLnBrk="0" hangingPunct="1">
            <a:lnSpc>
              <a:spcPct val="100000"/>
            </a:lnSpc>
            <a:spcBef>
              <a:spcPct val="0"/>
            </a:spcBef>
            <a:spcAft>
              <a:spcPts val="0"/>
            </a:spcAft>
            <a:buClrTx/>
            <a:buSzTx/>
            <a:buFontTx/>
            <a:buChar char="••"/>
            <a:tabLst/>
            <a:defRPr/>
          </a:pP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Анализ „Разходи</a:t>
          </a:r>
          <a:r>
            <a:rPr lang="en-US" sz="900" kern="1200" dirty="0">
              <a:solidFill>
                <a:sysClr val="windowText" lastClr="000000">
                  <a:hueOff val="0"/>
                  <a:satOff val="0"/>
                  <a:lumOff val="0"/>
                  <a:alphaOff val="0"/>
                </a:sysClr>
              </a:solidFill>
              <a:latin typeface="Times New Roman" pitchFamily="18" charset="0"/>
              <a:ea typeface="+mn-ea"/>
              <a:cs typeface="Times New Roman" pitchFamily="18" charset="0"/>
            </a:rPr>
            <a:t> </a:t>
          </a: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ползи“</a:t>
          </a:r>
          <a:endParaRPr lang="en-US" sz="9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442913" marR="0" lvl="1" indent="-266700" algn="l" defTabSz="914400" eaLnBrk="1" fontAlgn="auto" latinLnBrk="0" hangingPunct="1">
            <a:lnSpc>
              <a:spcPct val="100000"/>
            </a:lnSpc>
            <a:spcBef>
              <a:spcPct val="0"/>
            </a:spcBef>
            <a:spcAft>
              <a:spcPts val="0"/>
            </a:spcAft>
            <a:buClrTx/>
            <a:buSzTx/>
            <a:buFontTx/>
            <a:buChar char="••"/>
            <a:tabLst/>
            <a:defRPr/>
          </a:pP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ОВОС</a:t>
          </a:r>
          <a:endParaRPr lang="en-US" sz="9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051811" y="724793"/>
        <a:ext cx="2855987" cy="443463"/>
      </dsp:txXfrm>
    </dsp:sp>
    <dsp:sp modelId="{394981C9-2863-4711-905E-1479C5322EC0}">
      <dsp:nvSpPr>
        <dsp:cNvPr id="0" name=""/>
        <dsp:cNvSpPr/>
      </dsp:nvSpPr>
      <dsp:spPr>
        <a:xfrm>
          <a:off x="0" y="650882"/>
          <a:ext cx="2051812" cy="591284"/>
        </a:xfrm>
        <a:prstGeom prst="roundRect">
          <a:avLst/>
        </a:prstGeom>
        <a:gradFill rotWithShape="0">
          <a:gsLst>
            <a:gs pos="0">
              <a:srgbClr val="9BBB59">
                <a:hueOff val="2250053"/>
                <a:satOff val="-3376"/>
                <a:lumOff val="-549"/>
                <a:alphaOff val="0"/>
                <a:shade val="51000"/>
                <a:satMod val="130000"/>
              </a:srgbClr>
            </a:gs>
            <a:gs pos="80000">
              <a:srgbClr val="9BBB59">
                <a:hueOff val="2250053"/>
                <a:satOff val="-3376"/>
                <a:lumOff val="-549"/>
                <a:alphaOff val="0"/>
                <a:shade val="93000"/>
                <a:satMod val="130000"/>
              </a:srgbClr>
            </a:gs>
            <a:gs pos="100000">
              <a:srgbClr val="9BBB59">
                <a:hueOff val="2250053"/>
                <a:satOff val="-3376"/>
                <a:lumOff val="-549"/>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marL="442913" marR="0" lvl="0" indent="-266700" algn="l" defTabSz="914400" eaLnBrk="1" fontAlgn="auto" latinLnBrk="0" hangingPunct="1">
            <a:lnSpc>
              <a:spcPct val="100000"/>
            </a:lnSpc>
            <a:spcBef>
              <a:spcPct val="0"/>
            </a:spcBef>
            <a:spcAft>
              <a:spcPts val="0"/>
            </a:spcAft>
            <a:buClrTx/>
            <a:buSzTx/>
            <a:buFontTx/>
            <a:buNone/>
            <a:tabLst/>
            <a:defRPr/>
          </a:pPr>
          <a:r>
            <a:rPr lang="bg-BG" sz="1200" kern="1200" dirty="0">
              <a:solidFill>
                <a:sysClr val="window" lastClr="FFFFFF"/>
              </a:solidFill>
              <a:latin typeface="Times New Roman" pitchFamily="18" charset="0"/>
              <a:ea typeface="+mn-ea"/>
              <a:cs typeface="Times New Roman" pitchFamily="18" charset="0"/>
            </a:rPr>
            <a:t>Формулиране на проектно предложение</a:t>
          </a:r>
          <a:endParaRPr lang="en-US" sz="1200" kern="1200" dirty="0">
            <a:solidFill>
              <a:sysClr val="window" lastClr="FFFFFF"/>
            </a:solidFill>
            <a:latin typeface="Times New Roman" pitchFamily="18" charset="0"/>
            <a:ea typeface="+mn-ea"/>
            <a:cs typeface="Times New Roman" pitchFamily="18" charset="0"/>
          </a:endParaRPr>
        </a:p>
      </dsp:txBody>
      <dsp:txXfrm>
        <a:off x="28864" y="679746"/>
        <a:ext cx="1994084" cy="533556"/>
      </dsp:txXfrm>
    </dsp:sp>
    <dsp:sp modelId="{26E8BDE7-6A0B-4438-BF3C-539E51DD8607}">
      <dsp:nvSpPr>
        <dsp:cNvPr id="0" name=""/>
        <dsp:cNvSpPr/>
      </dsp:nvSpPr>
      <dsp:spPr>
        <a:xfrm>
          <a:off x="2051811" y="1301295"/>
          <a:ext cx="3077718" cy="591284"/>
        </a:xfrm>
        <a:prstGeom prst="rightArrow">
          <a:avLst>
            <a:gd name="adj1" fmla="val 75000"/>
            <a:gd name="adj2" fmla="val 50000"/>
          </a:avLst>
        </a:prstGeom>
        <a:solidFill>
          <a:srgbClr val="9BBB59">
            <a:tint val="40000"/>
            <a:alpha val="90000"/>
            <a:hueOff val="4286740"/>
            <a:satOff val="-5517"/>
            <a:lumOff val="-430"/>
            <a:alphaOff val="0"/>
          </a:srgbClr>
        </a:solidFill>
        <a:ln w="9525" cap="flat" cmpd="sng" algn="ctr">
          <a:solidFill>
            <a:srgbClr val="9BBB59">
              <a:tint val="40000"/>
              <a:alpha val="90000"/>
              <a:hueOff val="4286740"/>
              <a:satOff val="-5517"/>
              <a:lumOff val="-43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442913" lvl="1" indent="-266700" algn="l" defTabSz="400050">
            <a:lnSpc>
              <a:spcPct val="90000"/>
            </a:lnSpc>
            <a:spcBef>
              <a:spcPct val="0"/>
            </a:spcBef>
            <a:spcAft>
              <a:spcPct val="15000"/>
            </a:spcAft>
            <a:buChar char="••"/>
          </a:pP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Финансов план</a:t>
          </a:r>
          <a:endParaRPr lang="en-US" sz="9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442913" lvl="1" indent="-266700" algn="l" defTabSz="400050">
            <a:lnSpc>
              <a:spcPct val="90000"/>
            </a:lnSpc>
            <a:spcBef>
              <a:spcPct val="0"/>
            </a:spcBef>
            <a:spcAft>
              <a:spcPct val="15000"/>
            </a:spcAft>
            <a:buChar char="••"/>
          </a:pP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Източници на финансиране</a:t>
          </a:r>
          <a:endParaRPr lang="en-US" sz="9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442913" lvl="1" indent="-266700" algn="l" defTabSz="400050">
            <a:lnSpc>
              <a:spcPct val="90000"/>
            </a:lnSpc>
            <a:spcBef>
              <a:spcPct val="0"/>
            </a:spcBef>
            <a:spcAft>
              <a:spcPct val="15000"/>
            </a:spcAft>
            <a:buChar char="••"/>
          </a:pP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Договор за БФП</a:t>
          </a:r>
          <a:endParaRPr lang="en-US" sz="9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051811" y="1375206"/>
        <a:ext cx="2855987" cy="443463"/>
      </dsp:txXfrm>
    </dsp:sp>
    <dsp:sp modelId="{68345B52-3657-4111-852D-7DF2910EFC8D}">
      <dsp:nvSpPr>
        <dsp:cNvPr id="0" name=""/>
        <dsp:cNvSpPr/>
      </dsp:nvSpPr>
      <dsp:spPr>
        <a:xfrm>
          <a:off x="0" y="1301295"/>
          <a:ext cx="2051812" cy="591284"/>
        </a:xfrm>
        <a:prstGeom prst="roundRect">
          <a:avLst/>
        </a:prstGeom>
        <a:gradFill rotWithShape="0">
          <a:gsLst>
            <a:gs pos="0">
              <a:srgbClr val="9BBB59">
                <a:hueOff val="4500106"/>
                <a:satOff val="-6752"/>
                <a:lumOff val="-1098"/>
                <a:alphaOff val="0"/>
                <a:shade val="51000"/>
                <a:satMod val="130000"/>
              </a:srgbClr>
            </a:gs>
            <a:gs pos="80000">
              <a:srgbClr val="9BBB59">
                <a:hueOff val="4500106"/>
                <a:satOff val="-6752"/>
                <a:lumOff val="-1098"/>
                <a:alphaOff val="0"/>
                <a:shade val="93000"/>
                <a:satMod val="130000"/>
              </a:srgbClr>
            </a:gs>
            <a:gs pos="100000">
              <a:srgbClr val="9BBB59">
                <a:hueOff val="4500106"/>
                <a:satOff val="-6752"/>
                <a:lumOff val="-1098"/>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bg-BG" sz="1200" i="0" kern="1200" dirty="0">
              <a:solidFill>
                <a:sysClr val="window" lastClr="FFFFFF"/>
              </a:solidFill>
              <a:latin typeface="Times New Roman" pitchFamily="18" charset="0"/>
              <a:ea typeface="+mn-ea"/>
              <a:cs typeface="Times New Roman" pitchFamily="18" charset="0"/>
            </a:rPr>
            <a:t>Финансиране</a:t>
          </a:r>
          <a:endParaRPr lang="en-US" sz="1200" i="0" kern="1200" dirty="0">
            <a:solidFill>
              <a:sysClr val="window" lastClr="FFFFFF"/>
            </a:solidFill>
            <a:latin typeface="Times New Roman" pitchFamily="18" charset="0"/>
            <a:ea typeface="+mn-ea"/>
            <a:cs typeface="Times New Roman" pitchFamily="18" charset="0"/>
          </a:endParaRPr>
        </a:p>
      </dsp:txBody>
      <dsp:txXfrm>
        <a:off x="28864" y="1330159"/>
        <a:ext cx="1994084" cy="533556"/>
      </dsp:txXfrm>
    </dsp:sp>
    <dsp:sp modelId="{F276D9A1-4F4B-4AC0-8B56-A3478A924ECD}">
      <dsp:nvSpPr>
        <dsp:cNvPr id="0" name=""/>
        <dsp:cNvSpPr/>
      </dsp:nvSpPr>
      <dsp:spPr>
        <a:xfrm>
          <a:off x="2051811" y="1951709"/>
          <a:ext cx="3077718" cy="591284"/>
        </a:xfrm>
        <a:prstGeom prst="rightArrow">
          <a:avLst>
            <a:gd name="adj1" fmla="val 75000"/>
            <a:gd name="adj2" fmla="val 50000"/>
          </a:avLst>
        </a:prstGeom>
        <a:solidFill>
          <a:srgbClr val="9BBB59">
            <a:tint val="40000"/>
            <a:alpha val="90000"/>
            <a:hueOff val="6430110"/>
            <a:satOff val="-8276"/>
            <a:lumOff val="-645"/>
            <a:alphaOff val="0"/>
          </a:srgbClr>
        </a:solidFill>
        <a:ln w="9525" cap="flat" cmpd="sng" algn="ctr">
          <a:solidFill>
            <a:srgbClr val="9BBB59">
              <a:tint val="40000"/>
              <a:alpha val="90000"/>
              <a:hueOff val="6430110"/>
              <a:satOff val="-8276"/>
              <a:lumOff val="-645"/>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442913" lvl="1" indent="-266700" algn="l" defTabSz="400050">
            <a:lnSpc>
              <a:spcPct val="90000"/>
            </a:lnSpc>
            <a:spcBef>
              <a:spcPct val="0"/>
            </a:spcBef>
            <a:spcAft>
              <a:spcPct val="15000"/>
            </a:spcAft>
            <a:buChar char="••"/>
          </a:pP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Обществени поръчки</a:t>
          </a:r>
          <a:endParaRPr lang="en-US" sz="9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442913" lvl="1" indent="-266700" algn="l" defTabSz="400050">
            <a:lnSpc>
              <a:spcPct val="90000"/>
            </a:lnSpc>
            <a:spcBef>
              <a:spcPct val="0"/>
            </a:spcBef>
            <a:spcAft>
              <a:spcPct val="15000"/>
            </a:spcAft>
            <a:buChar char="••"/>
          </a:pP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Плащания</a:t>
          </a:r>
          <a:endParaRPr lang="en-US" sz="9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442913" lvl="1" indent="-266700" algn="l" defTabSz="400050">
            <a:lnSpc>
              <a:spcPct val="90000"/>
            </a:lnSpc>
            <a:spcBef>
              <a:spcPct val="0"/>
            </a:spcBef>
            <a:spcAft>
              <a:spcPct val="15000"/>
            </a:spcAft>
            <a:buChar char="••"/>
          </a:pP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Контрол по изпълнението</a:t>
          </a:r>
          <a:endParaRPr lang="en-US" sz="9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051811" y="2025620"/>
        <a:ext cx="2855987" cy="443463"/>
      </dsp:txXfrm>
    </dsp:sp>
    <dsp:sp modelId="{3221C8F2-6E52-432E-AF4D-47991445AA5A}">
      <dsp:nvSpPr>
        <dsp:cNvPr id="0" name=""/>
        <dsp:cNvSpPr/>
      </dsp:nvSpPr>
      <dsp:spPr>
        <a:xfrm>
          <a:off x="0" y="1951709"/>
          <a:ext cx="2051812" cy="591284"/>
        </a:xfrm>
        <a:prstGeom prst="roundRect">
          <a:avLst/>
        </a:prstGeom>
        <a:gradFill rotWithShape="0">
          <a:gsLst>
            <a:gs pos="0">
              <a:srgbClr val="9BBB59">
                <a:hueOff val="6750158"/>
                <a:satOff val="-10128"/>
                <a:lumOff val="-1647"/>
                <a:alphaOff val="0"/>
                <a:shade val="51000"/>
                <a:satMod val="130000"/>
              </a:srgbClr>
            </a:gs>
            <a:gs pos="80000">
              <a:srgbClr val="9BBB59">
                <a:hueOff val="6750158"/>
                <a:satOff val="-10128"/>
                <a:lumOff val="-1647"/>
                <a:alphaOff val="0"/>
                <a:shade val="93000"/>
                <a:satMod val="130000"/>
              </a:srgbClr>
            </a:gs>
            <a:gs pos="100000">
              <a:srgbClr val="9BBB59">
                <a:hueOff val="6750158"/>
                <a:satOff val="-10128"/>
                <a:lumOff val="-1647"/>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bg-BG" sz="1200" i="0" kern="1200" dirty="0">
              <a:solidFill>
                <a:sysClr val="window" lastClr="FFFFFF"/>
              </a:solidFill>
              <a:latin typeface="Times New Roman" pitchFamily="18" charset="0"/>
              <a:ea typeface="+mn-ea"/>
              <a:cs typeface="Times New Roman" pitchFamily="18" charset="0"/>
            </a:rPr>
            <a:t>Изпълнение</a:t>
          </a:r>
          <a:r>
            <a:rPr lang="bg-BG" sz="1200" i="1" kern="1200" dirty="0">
              <a:solidFill>
                <a:sysClr val="window" lastClr="FFFFFF"/>
              </a:solidFill>
              <a:latin typeface="Calibri"/>
              <a:ea typeface="+mn-ea"/>
              <a:cs typeface="+mn-cs"/>
            </a:rPr>
            <a:t>  </a:t>
          </a:r>
          <a:endParaRPr lang="en-US" sz="1200" kern="1200" dirty="0">
            <a:solidFill>
              <a:sysClr val="window" lastClr="FFFFFF"/>
            </a:solidFill>
            <a:latin typeface="Calibri"/>
            <a:ea typeface="+mn-ea"/>
            <a:cs typeface="+mn-cs"/>
          </a:endParaRPr>
        </a:p>
      </dsp:txBody>
      <dsp:txXfrm>
        <a:off x="28864" y="1980573"/>
        <a:ext cx="1994084" cy="533556"/>
      </dsp:txXfrm>
    </dsp:sp>
    <dsp:sp modelId="{17EF7E93-6B14-4F6D-A3D0-1F23A64FEA6B}">
      <dsp:nvSpPr>
        <dsp:cNvPr id="0" name=""/>
        <dsp:cNvSpPr/>
      </dsp:nvSpPr>
      <dsp:spPr>
        <a:xfrm>
          <a:off x="2051811" y="2602122"/>
          <a:ext cx="3077718" cy="591284"/>
        </a:xfrm>
        <a:prstGeom prst="rightArrow">
          <a:avLst>
            <a:gd name="adj1" fmla="val 75000"/>
            <a:gd name="adj2" fmla="val 50000"/>
          </a:avLst>
        </a:prstGeom>
        <a:solidFill>
          <a:srgbClr val="9BBB59">
            <a:tint val="40000"/>
            <a:alpha val="90000"/>
            <a:hueOff val="8573481"/>
            <a:satOff val="-11034"/>
            <a:lumOff val="-860"/>
            <a:alphaOff val="0"/>
          </a:srgbClr>
        </a:solidFill>
        <a:ln w="9525" cap="flat" cmpd="sng" algn="ctr">
          <a:solidFill>
            <a:srgbClr val="9BBB59">
              <a:tint val="40000"/>
              <a:alpha val="90000"/>
              <a:hueOff val="8573481"/>
              <a:satOff val="-11034"/>
              <a:lumOff val="-86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442913" lvl="1" indent="-266700" algn="l" defTabSz="400050">
            <a:lnSpc>
              <a:spcPct val="90000"/>
            </a:lnSpc>
            <a:spcBef>
              <a:spcPct val="0"/>
            </a:spcBef>
            <a:spcAft>
              <a:spcPct val="15000"/>
            </a:spcAft>
            <a:buChar char="••"/>
          </a:pP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Окончателен доклад</a:t>
          </a:r>
          <a:endParaRPr lang="bg-BG" sz="900" kern="1200" dirty="0">
            <a:solidFill>
              <a:sysClr val="windowText" lastClr="000000">
                <a:hueOff val="0"/>
                <a:satOff val="0"/>
                <a:lumOff val="0"/>
                <a:alphaOff val="0"/>
              </a:sysClr>
            </a:solidFill>
            <a:latin typeface="Calibri"/>
            <a:ea typeface="+mn-ea"/>
            <a:cs typeface="+mn-cs"/>
          </a:endParaRPr>
        </a:p>
        <a:p>
          <a:pPr marL="442913" lvl="1" indent="-266700" algn="l" defTabSz="400050">
            <a:lnSpc>
              <a:spcPct val="90000"/>
            </a:lnSpc>
            <a:spcBef>
              <a:spcPct val="0"/>
            </a:spcBef>
            <a:spcAft>
              <a:spcPct val="15000"/>
            </a:spcAft>
            <a:buChar char="••"/>
          </a:pP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Поддръжка и функциониране</a:t>
          </a:r>
        </a:p>
        <a:p>
          <a:pPr marL="442913" lvl="1" indent="-266700" algn="l" defTabSz="400050">
            <a:lnSpc>
              <a:spcPct val="90000"/>
            </a:lnSpc>
            <a:spcBef>
              <a:spcPct val="0"/>
            </a:spcBef>
            <a:spcAft>
              <a:spcPct val="15000"/>
            </a:spcAft>
            <a:buChar char="••"/>
          </a:pP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Индикатори</a:t>
          </a:r>
        </a:p>
      </dsp:txBody>
      <dsp:txXfrm>
        <a:off x="2051811" y="2676033"/>
        <a:ext cx="2855987" cy="443463"/>
      </dsp:txXfrm>
    </dsp:sp>
    <dsp:sp modelId="{A4609750-B5D6-45B6-A39A-B57CC4BB0EAF}">
      <dsp:nvSpPr>
        <dsp:cNvPr id="0" name=""/>
        <dsp:cNvSpPr/>
      </dsp:nvSpPr>
      <dsp:spPr>
        <a:xfrm>
          <a:off x="0" y="2602122"/>
          <a:ext cx="2051812" cy="591284"/>
        </a:xfrm>
        <a:prstGeom prst="roundRect">
          <a:avLst/>
        </a:prstGeom>
        <a:gradFill rotWithShape="0">
          <a:gsLst>
            <a:gs pos="0">
              <a:srgbClr val="9BBB59">
                <a:hueOff val="9000211"/>
                <a:satOff val="-13504"/>
                <a:lumOff val="-2196"/>
                <a:alphaOff val="0"/>
                <a:shade val="51000"/>
                <a:satMod val="130000"/>
              </a:srgbClr>
            </a:gs>
            <a:gs pos="80000">
              <a:srgbClr val="9BBB59">
                <a:hueOff val="9000211"/>
                <a:satOff val="-13504"/>
                <a:lumOff val="-2196"/>
                <a:alphaOff val="0"/>
                <a:shade val="93000"/>
                <a:satMod val="130000"/>
              </a:srgbClr>
            </a:gs>
            <a:gs pos="100000">
              <a:srgbClr val="9BBB59">
                <a:hueOff val="9000211"/>
                <a:satOff val="-13504"/>
                <a:lumOff val="-2196"/>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bg-BG" sz="1200" kern="1200" dirty="0">
              <a:solidFill>
                <a:sysClr val="window" lastClr="FFFFFF"/>
              </a:solidFill>
              <a:latin typeface="Times New Roman" pitchFamily="18" charset="0"/>
              <a:ea typeface="+mn-ea"/>
              <a:cs typeface="Times New Roman" pitchFamily="18" charset="0"/>
            </a:rPr>
            <a:t>Оценка</a:t>
          </a:r>
          <a:endParaRPr lang="en-US" sz="1200" kern="1200" dirty="0">
            <a:solidFill>
              <a:sysClr val="window" lastClr="FFFFFF"/>
            </a:solidFill>
            <a:latin typeface="Times New Roman" pitchFamily="18" charset="0"/>
            <a:ea typeface="+mn-ea"/>
            <a:cs typeface="Times New Roman" pitchFamily="18" charset="0"/>
          </a:endParaRPr>
        </a:p>
      </dsp:txBody>
      <dsp:txXfrm>
        <a:off x="28864" y="2630986"/>
        <a:ext cx="1994084" cy="533556"/>
      </dsp:txXfrm>
    </dsp:sp>
    <dsp:sp modelId="{6216B28F-2190-4D63-A157-381DCB790D69}">
      <dsp:nvSpPr>
        <dsp:cNvPr id="0" name=""/>
        <dsp:cNvSpPr/>
      </dsp:nvSpPr>
      <dsp:spPr>
        <a:xfrm>
          <a:off x="2051811" y="3252535"/>
          <a:ext cx="3077718" cy="591284"/>
        </a:xfrm>
        <a:prstGeom prst="rightArrow">
          <a:avLst>
            <a:gd name="adj1" fmla="val 75000"/>
            <a:gd name="adj2" fmla="val 50000"/>
          </a:avLst>
        </a:prstGeom>
        <a:solidFill>
          <a:srgbClr val="9BBB59">
            <a:tint val="40000"/>
            <a:alpha val="90000"/>
            <a:hueOff val="10716850"/>
            <a:satOff val="-13793"/>
            <a:lumOff val="-1075"/>
            <a:alphaOff val="0"/>
          </a:srgbClr>
        </a:solidFill>
        <a:ln w="9525" cap="flat" cmpd="sng" algn="ctr">
          <a:solidFill>
            <a:srgbClr val="9BBB59">
              <a:tint val="40000"/>
              <a:alpha val="90000"/>
              <a:hueOff val="10716850"/>
              <a:satOff val="-13793"/>
              <a:lumOff val="-1075"/>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442913" lvl="1" indent="-266700" algn="l" defTabSz="400050">
            <a:lnSpc>
              <a:spcPct val="90000"/>
            </a:lnSpc>
            <a:spcBef>
              <a:spcPct val="0"/>
            </a:spcBef>
            <a:spcAft>
              <a:spcPct val="15000"/>
            </a:spcAft>
            <a:buChar char="••"/>
          </a:pP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Досие на проекта</a:t>
          </a:r>
          <a:endParaRPr lang="bg-BG" sz="900" kern="1200" dirty="0">
            <a:solidFill>
              <a:sysClr val="windowText" lastClr="000000">
                <a:hueOff val="0"/>
                <a:satOff val="0"/>
                <a:lumOff val="0"/>
                <a:alphaOff val="0"/>
              </a:sysClr>
            </a:solidFill>
            <a:latin typeface="Calibri"/>
            <a:ea typeface="+mn-ea"/>
            <a:cs typeface="+mn-cs"/>
          </a:endParaRPr>
        </a:p>
      </dsp:txBody>
      <dsp:txXfrm>
        <a:off x="2051811" y="3326446"/>
        <a:ext cx="2855987" cy="443463"/>
      </dsp:txXfrm>
    </dsp:sp>
    <dsp:sp modelId="{C1026AE3-3818-48AC-861B-6A3AD77BF423}">
      <dsp:nvSpPr>
        <dsp:cNvPr id="0" name=""/>
        <dsp:cNvSpPr/>
      </dsp:nvSpPr>
      <dsp:spPr>
        <a:xfrm>
          <a:off x="0" y="3252535"/>
          <a:ext cx="2051812" cy="591284"/>
        </a:xfrm>
        <a:prstGeom prst="roundRect">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marL="442913" lvl="0" indent="-266700" algn="ctr" defTabSz="533400">
            <a:lnSpc>
              <a:spcPct val="90000"/>
            </a:lnSpc>
            <a:spcBef>
              <a:spcPct val="0"/>
            </a:spcBef>
            <a:spcAft>
              <a:spcPct val="35000"/>
            </a:spcAft>
          </a:pPr>
          <a:r>
            <a:rPr lang="bg-BG" sz="1200" kern="1200" dirty="0">
              <a:solidFill>
                <a:sysClr val="window" lastClr="FFFFFF"/>
              </a:solidFill>
              <a:latin typeface="Times New Roman" pitchFamily="18" charset="0"/>
              <a:ea typeface="+mn-ea"/>
              <a:cs typeface="Times New Roman" pitchFamily="18" charset="0"/>
            </a:rPr>
            <a:t>Приключване </a:t>
          </a:r>
          <a:endParaRPr lang="bg-BG" sz="1200" kern="1200" dirty="0">
            <a:solidFill>
              <a:sysClr val="window" lastClr="FFFFFF"/>
            </a:solidFill>
            <a:latin typeface="Calibri"/>
            <a:ea typeface="+mn-ea"/>
            <a:cs typeface="+mn-cs"/>
          </a:endParaRPr>
        </a:p>
      </dsp:txBody>
      <dsp:txXfrm>
        <a:off x="28864" y="3281399"/>
        <a:ext cx="1994084" cy="53355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111DC5-1472-45F5-A207-6C72676AC023}">
      <dsp:nvSpPr>
        <dsp:cNvPr id="0" name=""/>
        <dsp:cNvSpPr/>
      </dsp:nvSpPr>
      <dsp:spPr>
        <a:xfrm>
          <a:off x="0" y="6644324"/>
          <a:ext cx="5487035" cy="48473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bg-BG" sz="900" kern="1200">
              <a:solidFill>
                <a:sysClr val="window" lastClr="FFFFFF"/>
              </a:solidFill>
              <a:latin typeface="Calibri"/>
              <a:ea typeface="+mn-ea"/>
              <a:cs typeface="+mn-cs"/>
            </a:rPr>
            <a:t>Предоставяне на безвъзмездна финансова помощ</a:t>
          </a:r>
        </a:p>
      </dsp:txBody>
      <dsp:txXfrm>
        <a:off x="0" y="6644324"/>
        <a:ext cx="5487035" cy="261755"/>
      </dsp:txXfrm>
    </dsp:sp>
    <dsp:sp modelId="{27C44301-6A0E-4BBE-AD3A-F51035A4F012}">
      <dsp:nvSpPr>
        <dsp:cNvPr id="0" name=""/>
        <dsp:cNvSpPr/>
      </dsp:nvSpPr>
      <dsp:spPr>
        <a:xfrm>
          <a:off x="0" y="6896385"/>
          <a:ext cx="5487035" cy="222977"/>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Изготвяне на Решение за предоставяне на БФП</a:t>
          </a:r>
        </a:p>
      </dsp:txBody>
      <dsp:txXfrm>
        <a:off x="0" y="6896385"/>
        <a:ext cx="5487035" cy="222977"/>
      </dsp:txXfrm>
    </dsp:sp>
    <dsp:sp modelId="{B86B10BB-7A94-482E-9B3D-382E31F6A8D9}">
      <dsp:nvSpPr>
        <dsp:cNvPr id="0" name=""/>
        <dsp:cNvSpPr/>
      </dsp:nvSpPr>
      <dsp:spPr>
        <a:xfrm rot="10800000">
          <a:off x="0" y="5906075"/>
          <a:ext cx="5487035" cy="745519"/>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bg-BG" sz="1000" kern="1200">
              <a:solidFill>
                <a:sysClr val="window" lastClr="FFFFFF"/>
              </a:solidFill>
              <a:latin typeface="Calibri"/>
              <a:ea typeface="+mn-ea"/>
              <a:cs typeface="+mn-cs"/>
            </a:rPr>
            <a:t>Механизъм за избягване на двойно финансиране</a:t>
          </a:r>
        </a:p>
      </dsp:txBody>
      <dsp:txXfrm rot="-10800000">
        <a:off x="0" y="5997722"/>
        <a:ext cx="5487035" cy="170030"/>
      </dsp:txXfrm>
    </dsp:sp>
    <dsp:sp modelId="{083ADBA8-F59D-4AEB-96E1-95B0C38B200C}">
      <dsp:nvSpPr>
        <dsp:cNvPr id="0" name=""/>
        <dsp:cNvSpPr/>
      </dsp:nvSpPr>
      <dsp:spPr>
        <a:xfrm>
          <a:off x="0" y="6167753"/>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Член на оценителната комисия извършва проверка за липса на двойно финансиране в ИСУН</a:t>
          </a:r>
        </a:p>
      </dsp:txBody>
      <dsp:txXfrm>
        <a:off x="0" y="6167753"/>
        <a:ext cx="2743517" cy="222910"/>
      </dsp:txXfrm>
    </dsp:sp>
    <dsp:sp modelId="{7CD727F7-896D-4845-8BC7-170E75F1819F}">
      <dsp:nvSpPr>
        <dsp:cNvPr id="0" name=""/>
        <dsp:cNvSpPr/>
      </dsp:nvSpPr>
      <dsp:spPr>
        <a:xfrm>
          <a:off x="2743517" y="6167753"/>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Председателят на оценителната комисия извършва проверка</a:t>
          </a:r>
        </a:p>
      </dsp:txBody>
      <dsp:txXfrm>
        <a:off x="2743517" y="6167753"/>
        <a:ext cx="2743517" cy="222910"/>
      </dsp:txXfrm>
    </dsp:sp>
    <dsp:sp modelId="{4BDAB336-C4BC-470E-9D9A-663C5B1DB75B}">
      <dsp:nvSpPr>
        <dsp:cNvPr id="0" name=""/>
        <dsp:cNvSpPr/>
      </dsp:nvSpPr>
      <dsp:spPr>
        <a:xfrm rot="10800000">
          <a:off x="0" y="5167827"/>
          <a:ext cx="5487035" cy="745519"/>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bg-BG" sz="1000" kern="1200">
              <a:solidFill>
                <a:sysClr val="window" lastClr="FFFFFF"/>
              </a:solidFill>
              <a:latin typeface="Calibri"/>
              <a:ea typeface="+mn-ea"/>
              <a:cs typeface="+mn-cs"/>
            </a:rPr>
            <a:t>Доклад на оценителната комисия</a:t>
          </a:r>
        </a:p>
      </dsp:txBody>
      <dsp:txXfrm rot="-10800000">
        <a:off x="0" y="5259474"/>
        <a:ext cx="5487035" cy="170030"/>
      </dsp:txXfrm>
    </dsp:sp>
    <dsp:sp modelId="{F44DF394-1BA4-4460-BBB4-60C6AD0211D6}">
      <dsp:nvSpPr>
        <dsp:cNvPr id="0" name=""/>
        <dsp:cNvSpPr/>
      </dsp:nvSpPr>
      <dsp:spPr>
        <a:xfrm>
          <a:off x="0" y="5429504"/>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Обобщаване на резултатите от оценката на оценителите</a:t>
          </a:r>
        </a:p>
      </dsp:txBody>
      <dsp:txXfrm>
        <a:off x="0" y="5429504"/>
        <a:ext cx="2743517" cy="222910"/>
      </dsp:txXfrm>
    </dsp:sp>
    <dsp:sp modelId="{2659F3A2-775C-41F3-9F01-5B91B34ACE71}">
      <dsp:nvSpPr>
        <dsp:cNvPr id="0" name=""/>
        <dsp:cNvSpPr/>
      </dsp:nvSpPr>
      <dsp:spPr>
        <a:xfrm>
          <a:off x="2743517" y="5429504"/>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Изготвяне и  подписване на доклад от извършената оценка</a:t>
          </a:r>
        </a:p>
      </dsp:txBody>
      <dsp:txXfrm>
        <a:off x="2743517" y="5429504"/>
        <a:ext cx="2743517" cy="222910"/>
      </dsp:txXfrm>
    </dsp:sp>
    <dsp:sp modelId="{BA02E461-DC24-45CC-AABD-3DCA5E36A4FD}">
      <dsp:nvSpPr>
        <dsp:cNvPr id="0" name=""/>
        <dsp:cNvSpPr/>
      </dsp:nvSpPr>
      <dsp:spPr>
        <a:xfrm rot="10800000">
          <a:off x="0" y="4429578"/>
          <a:ext cx="5487035" cy="745519"/>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bg-BG" sz="1000" kern="1200">
              <a:solidFill>
                <a:sysClr val="window" lastClr="FFFFFF"/>
              </a:solidFill>
              <a:latin typeface="Calibri"/>
              <a:ea typeface="+mn-ea"/>
              <a:cs typeface="+mn-cs"/>
            </a:rPr>
            <a:t>Ревизиране на проектното предложение при необходимост</a:t>
          </a:r>
        </a:p>
      </dsp:txBody>
      <dsp:txXfrm rot="-10800000">
        <a:off x="0" y="4521225"/>
        <a:ext cx="5487035" cy="170030"/>
      </dsp:txXfrm>
    </dsp:sp>
    <dsp:sp modelId="{909B79A2-8134-4D67-AE78-6F93A8F0B8CB}">
      <dsp:nvSpPr>
        <dsp:cNvPr id="0" name=""/>
        <dsp:cNvSpPr/>
      </dsp:nvSpPr>
      <dsp:spPr>
        <a:xfrm>
          <a:off x="0" y="4691256"/>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Идентифициране на непълноти и/или нередовности на проектното предложение</a:t>
          </a:r>
        </a:p>
      </dsp:txBody>
      <dsp:txXfrm>
        <a:off x="0" y="4691256"/>
        <a:ext cx="2743517" cy="222910"/>
      </dsp:txXfrm>
    </dsp:sp>
    <dsp:sp modelId="{89AF5198-E847-4F98-A927-BCB79A578BF1}">
      <dsp:nvSpPr>
        <dsp:cNvPr id="0" name=""/>
        <dsp:cNvSpPr/>
      </dsp:nvSpPr>
      <dsp:spPr>
        <a:xfrm>
          <a:off x="2743517" y="4691256"/>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Изпращане на бележки до бенефициента</a:t>
          </a:r>
        </a:p>
      </dsp:txBody>
      <dsp:txXfrm>
        <a:off x="2743517" y="4691256"/>
        <a:ext cx="2743517" cy="222910"/>
      </dsp:txXfrm>
    </dsp:sp>
    <dsp:sp modelId="{D0A1A7A6-D77C-47EB-A47F-0397A67BC156}">
      <dsp:nvSpPr>
        <dsp:cNvPr id="0" name=""/>
        <dsp:cNvSpPr/>
      </dsp:nvSpPr>
      <dsp:spPr>
        <a:xfrm rot="10800000">
          <a:off x="0" y="3691330"/>
          <a:ext cx="5487035" cy="745519"/>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bg-BG" sz="1000" kern="1200">
              <a:solidFill>
                <a:sysClr val="window" lastClr="FFFFFF"/>
              </a:solidFill>
              <a:latin typeface="Calibri"/>
              <a:ea typeface="+mn-ea"/>
              <a:cs typeface="+mn-cs"/>
            </a:rPr>
            <a:t>Техническа и финансова оценка</a:t>
          </a:r>
        </a:p>
      </dsp:txBody>
      <dsp:txXfrm rot="-10800000">
        <a:off x="0" y="3782977"/>
        <a:ext cx="5487035" cy="170030"/>
      </dsp:txXfrm>
    </dsp:sp>
    <dsp:sp modelId="{0977233D-B082-41F1-8EBD-6EE1037A9D53}">
      <dsp:nvSpPr>
        <dsp:cNvPr id="0" name=""/>
        <dsp:cNvSpPr/>
      </dsp:nvSpPr>
      <dsp:spPr>
        <a:xfrm>
          <a:off x="0" y="3953007"/>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Проверка на ФК по критериите за техническа и финансова оценка</a:t>
          </a:r>
        </a:p>
      </dsp:txBody>
      <dsp:txXfrm>
        <a:off x="0" y="3953007"/>
        <a:ext cx="2743517" cy="222910"/>
      </dsp:txXfrm>
    </dsp:sp>
    <dsp:sp modelId="{E4115064-E840-4FBF-8BE2-8C828EFA6946}">
      <dsp:nvSpPr>
        <dsp:cNvPr id="0" name=""/>
        <dsp:cNvSpPr/>
      </dsp:nvSpPr>
      <dsp:spPr>
        <a:xfrm>
          <a:off x="2743517" y="3953007"/>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Попълване на резултатите в оценителната таблица</a:t>
          </a:r>
        </a:p>
      </dsp:txBody>
      <dsp:txXfrm>
        <a:off x="2743517" y="3953007"/>
        <a:ext cx="2743517" cy="222910"/>
      </dsp:txXfrm>
    </dsp:sp>
    <dsp:sp modelId="{19960F41-5650-4938-BEF0-CCAE3ACD3924}">
      <dsp:nvSpPr>
        <dsp:cNvPr id="0" name=""/>
        <dsp:cNvSpPr/>
      </dsp:nvSpPr>
      <dsp:spPr>
        <a:xfrm rot="10800000">
          <a:off x="0" y="2953081"/>
          <a:ext cx="5487035" cy="745519"/>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bg-BG" sz="1000" kern="1200">
              <a:solidFill>
                <a:sysClr val="window" lastClr="FFFFFF"/>
              </a:solidFill>
              <a:latin typeface="Calibri"/>
              <a:ea typeface="+mn-ea"/>
              <a:cs typeface="+mn-cs"/>
            </a:rPr>
            <a:t>Допустимост на оценяваното проектно предложение</a:t>
          </a:r>
        </a:p>
      </dsp:txBody>
      <dsp:txXfrm rot="-10800000">
        <a:off x="0" y="3044728"/>
        <a:ext cx="5487035" cy="170030"/>
      </dsp:txXfrm>
    </dsp:sp>
    <dsp:sp modelId="{4FB0C005-3FFE-4F3F-872A-461C3F3A481C}">
      <dsp:nvSpPr>
        <dsp:cNvPr id="0" name=""/>
        <dsp:cNvSpPr/>
      </dsp:nvSpPr>
      <dsp:spPr>
        <a:xfrm>
          <a:off x="0" y="3214759"/>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Проверка на ФК/бюджетната линия по критериите за допустимост</a:t>
          </a:r>
        </a:p>
      </dsp:txBody>
      <dsp:txXfrm>
        <a:off x="0" y="3214759"/>
        <a:ext cx="2743517" cy="222910"/>
      </dsp:txXfrm>
    </dsp:sp>
    <dsp:sp modelId="{39912CE9-26CB-4C76-92E3-2BF16D1F8694}">
      <dsp:nvSpPr>
        <dsp:cNvPr id="0" name=""/>
        <dsp:cNvSpPr/>
      </dsp:nvSpPr>
      <dsp:spPr>
        <a:xfrm>
          <a:off x="2743517" y="3214759"/>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Попълване на резултатите в оценителната таблица</a:t>
          </a:r>
        </a:p>
      </dsp:txBody>
      <dsp:txXfrm>
        <a:off x="2743517" y="3214759"/>
        <a:ext cx="2743517" cy="222910"/>
      </dsp:txXfrm>
    </dsp:sp>
    <dsp:sp modelId="{63A53D11-13DA-48E5-BBE2-8D8EE138A455}">
      <dsp:nvSpPr>
        <dsp:cNvPr id="0" name=""/>
        <dsp:cNvSpPr/>
      </dsp:nvSpPr>
      <dsp:spPr>
        <a:xfrm rot="10800000">
          <a:off x="0" y="2214833"/>
          <a:ext cx="5487035" cy="745519"/>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bg-BG" sz="1000" kern="1200">
              <a:solidFill>
                <a:sysClr val="window" lastClr="FFFFFF"/>
              </a:solidFill>
              <a:latin typeface="Calibri"/>
              <a:ea typeface="+mn-ea"/>
              <a:cs typeface="+mn-cs"/>
            </a:rPr>
            <a:t>Административно съответствие на оценяваното проектно предложение</a:t>
          </a:r>
        </a:p>
      </dsp:txBody>
      <dsp:txXfrm rot="-10800000">
        <a:off x="0" y="2306480"/>
        <a:ext cx="5487035" cy="170030"/>
      </dsp:txXfrm>
    </dsp:sp>
    <dsp:sp modelId="{E0D14FBC-9EFB-447F-BEA2-589524B19614}">
      <dsp:nvSpPr>
        <dsp:cNvPr id="0" name=""/>
        <dsp:cNvSpPr/>
      </dsp:nvSpPr>
      <dsp:spPr>
        <a:xfrm>
          <a:off x="0" y="2476510"/>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Проверка на ФК по критериите за административно съответствие </a:t>
          </a:r>
        </a:p>
      </dsp:txBody>
      <dsp:txXfrm>
        <a:off x="0" y="2476510"/>
        <a:ext cx="2743517" cy="222910"/>
      </dsp:txXfrm>
    </dsp:sp>
    <dsp:sp modelId="{61C7D821-32C5-4E77-821B-06222AF09C43}">
      <dsp:nvSpPr>
        <dsp:cNvPr id="0" name=""/>
        <dsp:cNvSpPr/>
      </dsp:nvSpPr>
      <dsp:spPr>
        <a:xfrm>
          <a:off x="2743517" y="2476510"/>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Попълване на резултатите в оценителна татаблица</a:t>
          </a:r>
        </a:p>
      </dsp:txBody>
      <dsp:txXfrm>
        <a:off x="2743517" y="2476510"/>
        <a:ext cx="2743517" cy="222910"/>
      </dsp:txXfrm>
    </dsp:sp>
    <dsp:sp modelId="{ECCEE1E4-C17E-4DEA-A3D1-8909602F84B7}">
      <dsp:nvSpPr>
        <dsp:cNvPr id="0" name=""/>
        <dsp:cNvSpPr/>
      </dsp:nvSpPr>
      <dsp:spPr>
        <a:xfrm rot="10800000">
          <a:off x="0" y="1476584"/>
          <a:ext cx="5487035" cy="745519"/>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bg-BG" sz="1000" kern="1200">
              <a:solidFill>
                <a:sysClr val="window" lastClr="FFFFFF"/>
              </a:solidFill>
              <a:latin typeface="Calibri"/>
              <a:ea typeface="+mn-ea"/>
              <a:cs typeface="+mn-cs"/>
            </a:rPr>
            <a:t>Провеждане на първо заседание на оценителната комисия</a:t>
          </a:r>
        </a:p>
      </dsp:txBody>
      <dsp:txXfrm rot="-10800000">
        <a:off x="0" y="1568231"/>
        <a:ext cx="5487035" cy="170030"/>
      </dsp:txXfrm>
    </dsp:sp>
    <dsp:sp modelId="{6E018DB0-80C6-48F8-8EE0-E68F829F931F}">
      <dsp:nvSpPr>
        <dsp:cNvPr id="0" name=""/>
        <dsp:cNvSpPr/>
      </dsp:nvSpPr>
      <dsp:spPr>
        <a:xfrm>
          <a:off x="0" y="1738261"/>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Запознаване на членовете на оценителната  комисия с процедурата по оценка</a:t>
          </a:r>
        </a:p>
      </dsp:txBody>
      <dsp:txXfrm>
        <a:off x="0" y="1738261"/>
        <a:ext cx="2743517" cy="222910"/>
      </dsp:txXfrm>
    </dsp:sp>
    <dsp:sp modelId="{25282EF9-2182-4AB8-A29C-B90804134475}">
      <dsp:nvSpPr>
        <dsp:cNvPr id="0" name=""/>
        <dsp:cNvSpPr/>
      </dsp:nvSpPr>
      <dsp:spPr>
        <a:xfrm>
          <a:off x="2743517" y="1738261"/>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Подписване на декларации за липса на конфликт на интереси и контрол на декларациите </a:t>
          </a:r>
          <a:endParaRPr lang="bg-BG" sz="1000" b="1" kern="1200">
            <a:solidFill>
              <a:sysClr val="windowText" lastClr="000000">
                <a:hueOff val="0"/>
                <a:satOff val="0"/>
                <a:lumOff val="0"/>
                <a:alphaOff val="0"/>
              </a:sysClr>
            </a:solidFill>
            <a:latin typeface="Calibri"/>
            <a:ea typeface="+mn-ea"/>
            <a:cs typeface="+mn-cs"/>
          </a:endParaRPr>
        </a:p>
      </dsp:txBody>
      <dsp:txXfrm>
        <a:off x="2743517" y="1738261"/>
        <a:ext cx="2743517" cy="222910"/>
      </dsp:txXfrm>
    </dsp:sp>
    <dsp:sp modelId="{A67087B1-13B7-4A0C-A322-22AF3AA1F65F}">
      <dsp:nvSpPr>
        <dsp:cNvPr id="0" name=""/>
        <dsp:cNvSpPr/>
      </dsp:nvSpPr>
      <dsp:spPr>
        <a:xfrm rot="10800000">
          <a:off x="0" y="738336"/>
          <a:ext cx="5487035" cy="745519"/>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bg-BG" sz="1000" kern="1200">
              <a:solidFill>
                <a:sysClr val="window" lastClr="FFFFFF"/>
              </a:solidFill>
              <a:latin typeface="Calibri"/>
              <a:ea typeface="+mn-ea"/>
              <a:cs typeface="+mn-cs"/>
            </a:rPr>
            <a:t>Сформиране на оценителна комисия</a:t>
          </a:r>
        </a:p>
      </dsp:txBody>
      <dsp:txXfrm rot="-10800000">
        <a:off x="0" y="829983"/>
        <a:ext cx="5487035" cy="170030"/>
      </dsp:txXfrm>
    </dsp:sp>
    <dsp:sp modelId="{A288D6B9-1109-4D2D-9358-26EC6D6AD9B8}">
      <dsp:nvSpPr>
        <dsp:cNvPr id="0" name=""/>
        <dsp:cNvSpPr/>
      </dsp:nvSpPr>
      <dsp:spPr>
        <a:xfrm>
          <a:off x="0" y="1000013"/>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Решение за сформиране на оценителна комисия</a:t>
          </a:r>
        </a:p>
      </dsp:txBody>
      <dsp:txXfrm>
        <a:off x="0" y="1000013"/>
        <a:ext cx="2743517" cy="222910"/>
      </dsp:txXfrm>
    </dsp:sp>
    <dsp:sp modelId="{E78378A9-A3B6-46DE-A7CF-DCADA2103EAD}">
      <dsp:nvSpPr>
        <dsp:cNvPr id="0" name=""/>
        <dsp:cNvSpPr/>
      </dsp:nvSpPr>
      <dsp:spPr>
        <a:xfrm>
          <a:off x="2743517" y="1000013"/>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Срок за работа, задължения на участницине в оценителния процес </a:t>
          </a:r>
        </a:p>
      </dsp:txBody>
      <dsp:txXfrm>
        <a:off x="2743517" y="1000013"/>
        <a:ext cx="2743517" cy="222910"/>
      </dsp:txXfrm>
    </dsp:sp>
    <dsp:sp modelId="{19A276D7-64A3-47A5-908A-A187EB360B4F}">
      <dsp:nvSpPr>
        <dsp:cNvPr id="0" name=""/>
        <dsp:cNvSpPr/>
      </dsp:nvSpPr>
      <dsp:spPr>
        <a:xfrm rot="10800000">
          <a:off x="0" y="0"/>
          <a:ext cx="5487035" cy="745519"/>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indent="0" algn="ctr" defTabSz="444500">
            <a:lnSpc>
              <a:spcPct val="90000"/>
            </a:lnSpc>
            <a:spcBef>
              <a:spcPct val="0"/>
            </a:spcBef>
            <a:spcAft>
              <a:spcPts val="0"/>
            </a:spcAft>
          </a:pPr>
          <a:r>
            <a:rPr lang="bg-BG" sz="1000" kern="1200">
              <a:solidFill>
                <a:sysClr val="window" lastClr="FFFFFF"/>
              </a:solidFill>
              <a:latin typeface="Calibri"/>
              <a:ea typeface="+mn-ea"/>
              <a:cs typeface="+mn-cs"/>
            </a:rPr>
            <a:t>Подаване на проектни предложения</a:t>
          </a:r>
        </a:p>
      </dsp:txBody>
      <dsp:txXfrm rot="-10800000">
        <a:off x="0" y="91647"/>
        <a:ext cx="5487035" cy="170030"/>
      </dsp:txXfrm>
    </dsp:sp>
    <dsp:sp modelId="{9822566B-87FE-415C-927A-57AD60D62770}">
      <dsp:nvSpPr>
        <dsp:cNvPr id="0" name=""/>
        <dsp:cNvSpPr/>
      </dsp:nvSpPr>
      <dsp:spPr>
        <a:xfrm>
          <a:off x="0" y="261764"/>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100000"/>
            </a:lnSpc>
            <a:spcBef>
              <a:spcPct val="0"/>
            </a:spcBef>
            <a:spcAft>
              <a:spcPts val="0"/>
            </a:spcAft>
          </a:pPr>
          <a:r>
            <a:rPr lang="bg-BG" sz="1000" kern="1200">
              <a:solidFill>
                <a:sysClr val="windowText" lastClr="000000">
                  <a:hueOff val="0"/>
                  <a:satOff val="0"/>
                  <a:lumOff val="0"/>
                  <a:alphaOff val="0"/>
                </a:sysClr>
              </a:solidFill>
              <a:latin typeface="Calibri"/>
              <a:ea typeface="+mn-ea"/>
              <a:cs typeface="+mn-cs"/>
            </a:rPr>
            <a:t>Подготовка на проектно предложение/ </a:t>
          </a:r>
        </a:p>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бюджетна линия</a:t>
          </a:r>
        </a:p>
      </dsp:txBody>
      <dsp:txXfrm>
        <a:off x="0" y="261764"/>
        <a:ext cx="2743517" cy="222910"/>
      </dsp:txXfrm>
    </dsp:sp>
    <dsp:sp modelId="{9B472EC1-82A4-4661-B9EC-B892C60C18C0}">
      <dsp:nvSpPr>
        <dsp:cNvPr id="0" name=""/>
        <dsp:cNvSpPr/>
      </dsp:nvSpPr>
      <dsp:spPr>
        <a:xfrm>
          <a:off x="2743517" y="261764"/>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Регистриране на ФК</a:t>
          </a:r>
        </a:p>
      </dsp:txBody>
      <dsp:txXfrm>
        <a:off x="2743517" y="261764"/>
        <a:ext cx="2743517" cy="22291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E1FE1F-099C-4F63-813D-AC2388E8F64C}">
      <dsp:nvSpPr>
        <dsp:cNvPr id="0" name=""/>
        <dsp:cNvSpPr/>
      </dsp:nvSpPr>
      <dsp:spPr>
        <a:xfrm>
          <a:off x="1783679" y="37564"/>
          <a:ext cx="7225310" cy="710674"/>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Социално-икономическите условия в държавата/региона, с които е свързан проектът;</a:t>
          </a:r>
        </a:p>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 Политиката и институционалните аспекти, включително съществуващите икономически политики и планове за развитие със заложените политическите цели;</a:t>
          </a:r>
        </a:p>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 Съществуващата инфраструктура и предлагане на услуги; възприемането и очакванията на населението по отношение на новата услуга.</a:t>
          </a:r>
        </a:p>
      </dsp:txBody>
      <dsp:txXfrm>
        <a:off x="1783679" y="126398"/>
        <a:ext cx="6958807" cy="533006"/>
      </dsp:txXfrm>
    </dsp:sp>
    <dsp:sp modelId="{33EFA91E-E0E2-4445-BD62-24139CB31077}">
      <dsp:nvSpPr>
        <dsp:cNvPr id="0" name=""/>
        <dsp:cNvSpPr/>
      </dsp:nvSpPr>
      <dsp:spPr>
        <a:xfrm>
          <a:off x="0" y="114420"/>
          <a:ext cx="1773172" cy="48154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bg-BG" sz="1100" kern="1200">
              <a:solidFill>
                <a:sysClr val="window" lastClr="FFFFFF"/>
              </a:solidFill>
              <a:latin typeface="Calibri"/>
              <a:ea typeface="+mn-ea"/>
              <a:cs typeface="+mn-cs"/>
            </a:rPr>
            <a:t>(1) Представяне на контекста</a:t>
          </a:r>
        </a:p>
      </dsp:txBody>
      <dsp:txXfrm>
        <a:off x="23507" y="137927"/>
        <a:ext cx="1726158" cy="434528"/>
      </dsp:txXfrm>
    </dsp:sp>
    <dsp:sp modelId="{BFB5608D-3362-4223-A0F6-4EA60563B6B6}">
      <dsp:nvSpPr>
        <dsp:cNvPr id="0" name=""/>
        <dsp:cNvSpPr/>
      </dsp:nvSpPr>
      <dsp:spPr>
        <a:xfrm>
          <a:off x="1786395" y="796017"/>
          <a:ext cx="7218254" cy="792757"/>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Определят се ясни цели на проекта, за установяване доколко инвестицията отговаря на съществуваща нужда и за да се направи оценка на резултатите и на въздействието на проекта;</a:t>
          </a:r>
        </a:p>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Установяване на приносът на проекта за социалното благополучие и за постигане на специфичните цели на приоритетнита ос на ОПТТИ.</a:t>
          </a:r>
        </a:p>
      </dsp:txBody>
      <dsp:txXfrm>
        <a:off x="1786395" y="895112"/>
        <a:ext cx="6920970" cy="594567"/>
      </dsp:txXfrm>
    </dsp:sp>
    <dsp:sp modelId="{2750DAE2-EA73-4FA0-B9CF-E2AB2664FCA6}">
      <dsp:nvSpPr>
        <dsp:cNvPr id="0" name=""/>
        <dsp:cNvSpPr/>
      </dsp:nvSpPr>
      <dsp:spPr>
        <a:xfrm>
          <a:off x="0" y="914291"/>
          <a:ext cx="1771440" cy="48154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bg-BG" sz="900" kern="1200">
              <a:solidFill>
                <a:sysClr val="window" lastClr="FFFFFF"/>
              </a:solidFill>
              <a:latin typeface="Calibri"/>
              <a:ea typeface="+mn-ea"/>
              <a:cs typeface="+mn-cs"/>
            </a:rPr>
            <a:t>(2) Определяне на целите</a:t>
          </a:r>
        </a:p>
      </dsp:txBody>
      <dsp:txXfrm>
        <a:off x="23507" y="937798"/>
        <a:ext cx="1724426" cy="434528"/>
      </dsp:txXfrm>
    </dsp:sp>
    <dsp:sp modelId="{D56B33E6-E946-415E-9079-C67F3C8216CE}">
      <dsp:nvSpPr>
        <dsp:cNvPr id="0" name=""/>
        <dsp:cNvSpPr/>
      </dsp:nvSpPr>
      <dsp:spPr>
        <a:xfrm>
          <a:off x="1786395" y="1636929"/>
          <a:ext cx="7218254" cy="702931"/>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Проектът трябва да е ясно идентифициран като самостоятелна единица за анализ;</a:t>
          </a:r>
        </a:p>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 описание на районът на въздействие, крайните бенефициенти и и съответните заинтересовани страни;</a:t>
          </a:r>
        </a:p>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Структура, отговаряща за изпълнението;</a:t>
          </a:r>
        </a:p>
      </dsp:txBody>
      <dsp:txXfrm>
        <a:off x="1786395" y="1724795"/>
        <a:ext cx="6954655" cy="527199"/>
      </dsp:txXfrm>
    </dsp:sp>
    <dsp:sp modelId="{9068DA47-CE21-4CA2-91BA-CA69C5B53E40}">
      <dsp:nvSpPr>
        <dsp:cNvPr id="0" name=""/>
        <dsp:cNvSpPr/>
      </dsp:nvSpPr>
      <dsp:spPr>
        <a:xfrm>
          <a:off x="0" y="1710289"/>
          <a:ext cx="1771440" cy="48154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bg-BG" sz="900" kern="1200">
              <a:solidFill>
                <a:sysClr val="window" lastClr="FFFFFF"/>
              </a:solidFill>
              <a:latin typeface="Calibri"/>
              <a:ea typeface="+mn-ea"/>
              <a:cs typeface="+mn-cs"/>
            </a:rPr>
            <a:t>(3) Идентификация на проекта</a:t>
          </a:r>
        </a:p>
      </dsp:txBody>
      <dsp:txXfrm>
        <a:off x="23507" y="1733796"/>
        <a:ext cx="1724426" cy="434528"/>
      </dsp:txXfrm>
    </dsp:sp>
    <dsp:sp modelId="{49E6B04D-B4B3-4DE5-9C10-E31FA9487255}">
      <dsp:nvSpPr>
        <dsp:cNvPr id="0" name=""/>
        <dsp:cNvSpPr/>
      </dsp:nvSpPr>
      <dsp:spPr>
        <a:xfrm>
          <a:off x="1775249" y="2382736"/>
          <a:ext cx="7225310" cy="747998"/>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Анализ на осъществимостта - потенциалните ограничения и свързаните с тях решения по отношение на техническите, икономическите, екологичните аспекти, както и във връзка със смекчаването на изменението на климата и адаптирането към него, регулаторните и институционалните аспекти;</a:t>
          </a:r>
        </a:p>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Анализ на търсенето - настоящото търсене, прогнозното търсене, аспекти на предлагането, мрежов ефект;</a:t>
          </a:r>
        </a:p>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Анализ на вариантите;</a:t>
          </a:r>
        </a:p>
      </dsp:txBody>
      <dsp:txXfrm>
        <a:off x="1775249" y="2476236"/>
        <a:ext cx="6944811" cy="560998"/>
      </dsp:txXfrm>
    </dsp:sp>
    <dsp:sp modelId="{211DC56C-7425-416A-A2C7-BE8F47711553}">
      <dsp:nvSpPr>
        <dsp:cNvPr id="0" name=""/>
        <dsp:cNvSpPr/>
      </dsp:nvSpPr>
      <dsp:spPr>
        <a:xfrm>
          <a:off x="0" y="2483908"/>
          <a:ext cx="1773172" cy="48154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bg-BG" sz="900" kern="1200">
              <a:solidFill>
                <a:sysClr val="window" lastClr="FFFFFF"/>
              </a:solidFill>
              <a:latin typeface="Calibri"/>
              <a:ea typeface="+mn-ea"/>
              <a:cs typeface="+mn-cs"/>
            </a:rPr>
            <a:t>(4) Резултати от предпроектните проучвания с анализ на търсенето и на вариантите</a:t>
          </a:r>
        </a:p>
      </dsp:txBody>
      <dsp:txXfrm>
        <a:off x="23507" y="2507415"/>
        <a:ext cx="1726158" cy="434528"/>
      </dsp:txXfrm>
    </dsp:sp>
    <dsp:sp modelId="{E5E549D9-7EDF-43BD-88A3-4AAA46405C62}">
      <dsp:nvSpPr>
        <dsp:cNvPr id="0" name=""/>
        <dsp:cNvSpPr/>
      </dsp:nvSpPr>
      <dsp:spPr>
        <a:xfrm>
          <a:off x="1754013" y="3184388"/>
          <a:ext cx="7225310" cy="660622"/>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Методология на дисконтираните парични потоци, прилагане на метода на пределните величини и други принципи на финансовия анализ;</a:t>
          </a:r>
        </a:p>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Резултати от финансовия анализ - оценка на финансовата рентабилност на инвестицията и на националния капитал, определяне на подходящия (максимален) принос от фондовете, осигуряване на финансова жизнеспособност (устойчивост);</a:t>
          </a:r>
        </a:p>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Финансов анализ при публично-частното партньорство (ПЧП);</a:t>
          </a:r>
        </a:p>
      </dsp:txBody>
      <dsp:txXfrm>
        <a:off x="1754013" y="3266966"/>
        <a:ext cx="6977577" cy="495466"/>
      </dsp:txXfrm>
    </dsp:sp>
    <dsp:sp modelId="{93153221-A75A-4FB4-A3C3-FEDDD0227304}">
      <dsp:nvSpPr>
        <dsp:cNvPr id="0" name=""/>
        <dsp:cNvSpPr/>
      </dsp:nvSpPr>
      <dsp:spPr>
        <a:xfrm>
          <a:off x="0" y="3236373"/>
          <a:ext cx="1773172" cy="48154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bg-BG" sz="900" kern="1200">
              <a:solidFill>
                <a:sysClr val="window" lastClr="FFFFFF"/>
              </a:solidFill>
              <a:latin typeface="Calibri"/>
              <a:ea typeface="+mn-ea"/>
              <a:cs typeface="+mn-cs"/>
            </a:rPr>
            <a:t>(5) Финансов анализ</a:t>
          </a:r>
        </a:p>
      </dsp:txBody>
      <dsp:txXfrm>
        <a:off x="23507" y="3259880"/>
        <a:ext cx="1726158" cy="434528"/>
      </dsp:txXfrm>
    </dsp:sp>
    <dsp:sp modelId="{D53AFAAB-FE5B-4F69-879B-F39E52E438CA}">
      <dsp:nvSpPr>
        <dsp:cNvPr id="0" name=""/>
        <dsp:cNvSpPr/>
      </dsp:nvSpPr>
      <dsp:spPr>
        <a:xfrm>
          <a:off x="1783679" y="3881835"/>
          <a:ext cx="7225310" cy="718711"/>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Основни етапи на икономическия анализ;</a:t>
          </a:r>
        </a:p>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Изчисляване на показателите за икономическото изпълнение;</a:t>
          </a:r>
        </a:p>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Смекчаване на последиците от изменението на климата и приспособяване към него в рамките на икономическия анализ;</a:t>
          </a:r>
        </a:p>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Опростен икономически анализ в специални случаи.</a:t>
          </a:r>
        </a:p>
      </dsp:txBody>
      <dsp:txXfrm>
        <a:off x="1783679" y="3971674"/>
        <a:ext cx="6955793" cy="539033"/>
      </dsp:txXfrm>
    </dsp:sp>
    <dsp:sp modelId="{110E508D-0914-463A-8DBC-52D28A71D6EA}">
      <dsp:nvSpPr>
        <dsp:cNvPr id="0" name=""/>
        <dsp:cNvSpPr/>
      </dsp:nvSpPr>
      <dsp:spPr>
        <a:xfrm>
          <a:off x="0" y="3977416"/>
          <a:ext cx="1773172" cy="48154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bg-BG" sz="900" kern="1200">
              <a:solidFill>
                <a:sysClr val="window" lastClr="FFFFFF"/>
              </a:solidFill>
              <a:latin typeface="Calibri"/>
              <a:ea typeface="+mn-ea"/>
              <a:cs typeface="+mn-cs"/>
            </a:rPr>
            <a:t>(6) Икономически анализ</a:t>
          </a:r>
        </a:p>
      </dsp:txBody>
      <dsp:txXfrm>
        <a:off x="23507" y="4000923"/>
        <a:ext cx="1726158" cy="434528"/>
      </dsp:txXfrm>
    </dsp:sp>
    <dsp:sp modelId="{06B3BE31-C2D4-483C-868F-2AA715D92221}">
      <dsp:nvSpPr>
        <dsp:cNvPr id="0" name=""/>
        <dsp:cNvSpPr/>
      </dsp:nvSpPr>
      <dsp:spPr>
        <a:xfrm>
          <a:off x="1783679" y="4613981"/>
          <a:ext cx="7225310" cy="616961"/>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Анализ на чувствителността;</a:t>
          </a:r>
        </a:p>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Качествен анализ на риска;</a:t>
          </a:r>
        </a:p>
        <a:p>
          <a:pPr marL="57150" lvl="1" indent="-57150" algn="l" defTabSz="400050">
            <a:lnSpc>
              <a:spcPct val="90000"/>
            </a:lnSpc>
            <a:spcBef>
              <a:spcPct val="0"/>
            </a:spcBef>
            <a:spcAft>
              <a:spcPct val="15000"/>
            </a:spcAft>
            <a:buChar char="••"/>
          </a:pPr>
          <a:endParaRPr lang="bg-BG" sz="900" kern="1200">
            <a:solidFill>
              <a:sysClr val="windowText" lastClr="000000">
                <a:hueOff val="0"/>
                <a:satOff val="0"/>
                <a:lumOff val="0"/>
                <a:alphaOff val="0"/>
              </a:sysClr>
            </a:solidFill>
            <a:latin typeface="Calibri"/>
            <a:ea typeface="+mn-ea"/>
            <a:cs typeface="+mn-cs"/>
          </a:endParaRPr>
        </a:p>
      </dsp:txBody>
      <dsp:txXfrm>
        <a:off x="1783679" y="4691101"/>
        <a:ext cx="6993950" cy="462721"/>
      </dsp:txXfrm>
    </dsp:sp>
    <dsp:sp modelId="{7DBF3A85-7EFB-48B9-8092-AEF96310D7D6}">
      <dsp:nvSpPr>
        <dsp:cNvPr id="0" name=""/>
        <dsp:cNvSpPr/>
      </dsp:nvSpPr>
      <dsp:spPr>
        <a:xfrm>
          <a:off x="0" y="4693406"/>
          <a:ext cx="1773172" cy="48154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bg-BG" sz="900" kern="1200">
              <a:solidFill>
                <a:sysClr val="window" lastClr="FFFFFF"/>
              </a:solidFill>
              <a:latin typeface="Calibri"/>
              <a:ea typeface="+mn-ea"/>
              <a:cs typeface="+mn-cs"/>
            </a:rPr>
            <a:t>(7) Оценка на риска</a:t>
          </a:r>
        </a:p>
      </dsp:txBody>
      <dsp:txXfrm>
        <a:off x="23507" y="4716913"/>
        <a:ext cx="1726158" cy="43452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DA224-C1EA-4515-8FE0-E9A3C653A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367</Pages>
  <Words>148056</Words>
  <Characters>961326</Characters>
  <Application>Microsoft Office Word</Application>
  <DocSecurity>0</DocSecurity>
  <Lines>8011</Lines>
  <Paragraphs>2214</Paragraphs>
  <ScaleCrop>false</ScaleCrop>
  <HeadingPairs>
    <vt:vector size="2" baseType="variant">
      <vt:variant>
        <vt:lpstr>Title</vt:lpstr>
      </vt:variant>
      <vt:variant>
        <vt:i4>1</vt:i4>
      </vt:variant>
    </vt:vector>
  </HeadingPairs>
  <TitlesOfParts>
    <vt:vector size="1" baseType="lpstr">
      <vt:lpstr>1</vt:lpstr>
    </vt:vector>
  </TitlesOfParts>
  <Company>MTITC</Company>
  <LinksUpToDate>false</LinksUpToDate>
  <CharactersWithSpaces>1107168</CharactersWithSpaces>
  <SharedDoc>false</SharedDoc>
  <HLinks>
    <vt:vector size="2412" baseType="variant">
      <vt:variant>
        <vt:i4>7602295</vt:i4>
      </vt:variant>
      <vt:variant>
        <vt:i4>2652</vt:i4>
      </vt:variant>
      <vt:variant>
        <vt:i4>0</vt:i4>
      </vt:variant>
      <vt:variant>
        <vt:i4>5</vt:i4>
      </vt:variant>
      <vt:variant>
        <vt:lpwstr>http://www.optransport.bg/</vt:lpwstr>
      </vt:variant>
      <vt:variant>
        <vt:lpwstr/>
      </vt:variant>
      <vt:variant>
        <vt:i4>3342336</vt:i4>
      </vt:variant>
      <vt:variant>
        <vt:i4>2640</vt:i4>
      </vt:variant>
      <vt:variant>
        <vt:i4>0</vt:i4>
      </vt:variant>
      <vt:variant>
        <vt:i4>5</vt:i4>
      </vt:variant>
      <vt:variant>
        <vt:lpwstr>http://ec.europa.eu/regional_policy/information/evaluations/guidance_en.cfm</vt:lpwstr>
      </vt:variant>
      <vt:variant>
        <vt:lpwstr>1</vt:lpwstr>
      </vt:variant>
      <vt:variant>
        <vt:i4>7602295</vt:i4>
      </vt:variant>
      <vt:variant>
        <vt:i4>2625</vt:i4>
      </vt:variant>
      <vt:variant>
        <vt:i4>0</vt:i4>
      </vt:variant>
      <vt:variant>
        <vt:i4>5</vt:i4>
      </vt:variant>
      <vt:variant>
        <vt:lpwstr>http://www.optransport.bg/</vt:lpwstr>
      </vt:variant>
      <vt:variant>
        <vt:lpwstr/>
      </vt:variant>
      <vt:variant>
        <vt:i4>4849760</vt:i4>
      </vt:variant>
      <vt:variant>
        <vt:i4>2622</vt:i4>
      </vt:variant>
      <vt:variant>
        <vt:i4>0</vt:i4>
      </vt:variant>
      <vt:variant>
        <vt:i4>5</vt:i4>
      </vt:variant>
      <vt:variant>
        <vt:lpwstr>mailto:natfund@minfin.bg</vt:lpwstr>
      </vt:variant>
      <vt:variant>
        <vt:lpwstr/>
      </vt:variant>
      <vt:variant>
        <vt:i4>4849760</vt:i4>
      </vt:variant>
      <vt:variant>
        <vt:i4>2619</vt:i4>
      </vt:variant>
      <vt:variant>
        <vt:i4>0</vt:i4>
      </vt:variant>
      <vt:variant>
        <vt:i4>5</vt:i4>
      </vt:variant>
      <vt:variant>
        <vt:lpwstr>mailto:natfund@minfin.bg</vt:lpwstr>
      </vt:variant>
      <vt:variant>
        <vt:lpwstr/>
      </vt:variant>
      <vt:variant>
        <vt:i4>4849760</vt:i4>
      </vt:variant>
      <vt:variant>
        <vt:i4>2616</vt:i4>
      </vt:variant>
      <vt:variant>
        <vt:i4>0</vt:i4>
      </vt:variant>
      <vt:variant>
        <vt:i4>5</vt:i4>
      </vt:variant>
      <vt:variant>
        <vt:lpwstr>mailto:natfund@minfin.bg</vt:lpwstr>
      </vt:variant>
      <vt:variant>
        <vt:lpwstr/>
      </vt:variant>
      <vt:variant>
        <vt:i4>4849760</vt:i4>
      </vt:variant>
      <vt:variant>
        <vt:i4>2613</vt:i4>
      </vt:variant>
      <vt:variant>
        <vt:i4>0</vt:i4>
      </vt:variant>
      <vt:variant>
        <vt:i4>5</vt:i4>
      </vt:variant>
      <vt:variant>
        <vt:lpwstr>mailto:natfund@minfin.bg</vt:lpwstr>
      </vt:variant>
      <vt:variant>
        <vt:lpwstr/>
      </vt:variant>
      <vt:variant>
        <vt:i4>4849760</vt:i4>
      </vt:variant>
      <vt:variant>
        <vt:i4>2610</vt:i4>
      </vt:variant>
      <vt:variant>
        <vt:i4>0</vt:i4>
      </vt:variant>
      <vt:variant>
        <vt:i4>5</vt:i4>
      </vt:variant>
      <vt:variant>
        <vt:lpwstr>mailto:natfund@minfin.bg</vt:lpwstr>
      </vt:variant>
      <vt:variant>
        <vt:lpwstr/>
      </vt:variant>
      <vt:variant>
        <vt:i4>4849760</vt:i4>
      </vt:variant>
      <vt:variant>
        <vt:i4>2607</vt:i4>
      </vt:variant>
      <vt:variant>
        <vt:i4>0</vt:i4>
      </vt:variant>
      <vt:variant>
        <vt:i4>5</vt:i4>
      </vt:variant>
      <vt:variant>
        <vt:lpwstr>mailto:natfund@minfin.bg</vt:lpwstr>
      </vt:variant>
      <vt:variant>
        <vt:lpwstr/>
      </vt:variant>
      <vt:variant>
        <vt:i4>4849760</vt:i4>
      </vt:variant>
      <vt:variant>
        <vt:i4>2604</vt:i4>
      </vt:variant>
      <vt:variant>
        <vt:i4>0</vt:i4>
      </vt:variant>
      <vt:variant>
        <vt:i4>5</vt:i4>
      </vt:variant>
      <vt:variant>
        <vt:lpwstr>mailto:natfund@minfin.bg</vt:lpwstr>
      </vt:variant>
      <vt:variant>
        <vt:lpwstr/>
      </vt:variant>
      <vt:variant>
        <vt:i4>4849760</vt:i4>
      </vt:variant>
      <vt:variant>
        <vt:i4>2601</vt:i4>
      </vt:variant>
      <vt:variant>
        <vt:i4>0</vt:i4>
      </vt:variant>
      <vt:variant>
        <vt:i4>5</vt:i4>
      </vt:variant>
      <vt:variant>
        <vt:lpwstr>mailto:natfund@minfin.bg</vt:lpwstr>
      </vt:variant>
      <vt:variant>
        <vt:lpwstr/>
      </vt:variant>
      <vt:variant>
        <vt:i4>4849760</vt:i4>
      </vt:variant>
      <vt:variant>
        <vt:i4>2598</vt:i4>
      </vt:variant>
      <vt:variant>
        <vt:i4>0</vt:i4>
      </vt:variant>
      <vt:variant>
        <vt:i4>5</vt:i4>
      </vt:variant>
      <vt:variant>
        <vt:lpwstr>mailto:natfund@minfin.bg</vt:lpwstr>
      </vt:variant>
      <vt:variant>
        <vt:lpwstr/>
      </vt:variant>
      <vt:variant>
        <vt:i4>4849760</vt:i4>
      </vt:variant>
      <vt:variant>
        <vt:i4>2595</vt:i4>
      </vt:variant>
      <vt:variant>
        <vt:i4>0</vt:i4>
      </vt:variant>
      <vt:variant>
        <vt:i4>5</vt:i4>
      </vt:variant>
      <vt:variant>
        <vt:lpwstr>mailto:natfund@minfin.bg</vt:lpwstr>
      </vt:variant>
      <vt:variant>
        <vt:lpwstr/>
      </vt:variant>
      <vt:variant>
        <vt:i4>4849760</vt:i4>
      </vt:variant>
      <vt:variant>
        <vt:i4>2592</vt:i4>
      </vt:variant>
      <vt:variant>
        <vt:i4>0</vt:i4>
      </vt:variant>
      <vt:variant>
        <vt:i4>5</vt:i4>
      </vt:variant>
      <vt:variant>
        <vt:lpwstr>mailto:natfund@minfin.bg</vt:lpwstr>
      </vt:variant>
      <vt:variant>
        <vt:lpwstr/>
      </vt:variant>
      <vt:variant>
        <vt:i4>4849760</vt:i4>
      </vt:variant>
      <vt:variant>
        <vt:i4>2589</vt:i4>
      </vt:variant>
      <vt:variant>
        <vt:i4>0</vt:i4>
      </vt:variant>
      <vt:variant>
        <vt:i4>5</vt:i4>
      </vt:variant>
      <vt:variant>
        <vt:lpwstr>mailto:natfund@minfin.bg</vt:lpwstr>
      </vt:variant>
      <vt:variant>
        <vt:lpwstr/>
      </vt:variant>
      <vt:variant>
        <vt:i4>1507380</vt:i4>
      </vt:variant>
      <vt:variant>
        <vt:i4>2586</vt:i4>
      </vt:variant>
      <vt:variant>
        <vt:i4>0</vt:i4>
      </vt:variant>
      <vt:variant>
        <vt:i4>5</vt:i4>
      </vt:variant>
      <vt:variant>
        <vt:lpwstr/>
      </vt:variant>
      <vt:variant>
        <vt:lpwstr>_Toc133123414</vt:lpwstr>
      </vt:variant>
      <vt:variant>
        <vt:i4>3866679</vt:i4>
      </vt:variant>
      <vt:variant>
        <vt:i4>2580</vt:i4>
      </vt:variant>
      <vt:variant>
        <vt:i4>0</vt:i4>
      </vt:variant>
      <vt:variant>
        <vt:i4>5</vt:i4>
      </vt:variant>
      <vt:variant>
        <vt:lpwstr>https://umis2020.government.bg/</vt:lpwstr>
      </vt:variant>
      <vt:variant>
        <vt:lpwstr>/flatFinancialCorrections</vt:lpwstr>
      </vt:variant>
      <vt:variant>
        <vt:i4>3932207</vt:i4>
      </vt:variant>
      <vt:variant>
        <vt:i4>2577</vt:i4>
      </vt:variant>
      <vt:variant>
        <vt:i4>0</vt:i4>
      </vt:variant>
      <vt:variant>
        <vt:i4>5</vt:i4>
      </vt:variant>
      <vt:variant>
        <vt:lpwstr>https://umis2020.government.bg/</vt:lpwstr>
      </vt:variant>
      <vt:variant>
        <vt:lpwstr>/financialCorrections</vt:lpwstr>
      </vt:variant>
      <vt:variant>
        <vt:i4>787561</vt:i4>
      </vt:variant>
      <vt:variant>
        <vt:i4>2571</vt:i4>
      </vt:variant>
      <vt:variant>
        <vt:i4>0</vt:i4>
      </vt:variant>
      <vt:variant>
        <vt:i4>5</vt:i4>
      </vt:variant>
      <vt:variant>
        <vt:lpwstr>\\Mtitc-fp03\OPTransport\users\pivanova\OPTTI\NARACHNICI\UO\VERSIA 3\5.21_ФИНАНСОВИ КОРЕКЦИИ СЛЕД КАРАЯ НА СЧ.ГОДИНА Прил.22, чл.55, ал.1, т.4 от Наредба Н-3.doc</vt:lpwstr>
      </vt:variant>
      <vt:variant>
        <vt:lpwstr/>
      </vt:variant>
      <vt:variant>
        <vt:i4>4849760</vt:i4>
      </vt:variant>
      <vt:variant>
        <vt:i4>2568</vt:i4>
      </vt:variant>
      <vt:variant>
        <vt:i4>0</vt:i4>
      </vt:variant>
      <vt:variant>
        <vt:i4>5</vt:i4>
      </vt:variant>
      <vt:variant>
        <vt:lpwstr>mailto:natfund@minfin.bg</vt:lpwstr>
      </vt:variant>
      <vt:variant>
        <vt:lpwstr/>
      </vt:variant>
      <vt:variant>
        <vt:i4>4849760</vt:i4>
      </vt:variant>
      <vt:variant>
        <vt:i4>2565</vt:i4>
      </vt:variant>
      <vt:variant>
        <vt:i4>0</vt:i4>
      </vt:variant>
      <vt:variant>
        <vt:i4>5</vt:i4>
      </vt:variant>
      <vt:variant>
        <vt:lpwstr>mailto:natfund@minfin.bg</vt:lpwstr>
      </vt:variant>
      <vt:variant>
        <vt:lpwstr/>
      </vt:variant>
      <vt:variant>
        <vt:i4>7929982</vt:i4>
      </vt:variant>
      <vt:variant>
        <vt:i4>2550</vt:i4>
      </vt:variant>
      <vt:variant>
        <vt:i4>0</vt:i4>
      </vt:variant>
      <vt:variant>
        <vt:i4>5</vt:i4>
      </vt:variant>
      <vt:variant>
        <vt:lpwstr>apis://Base=APEV&amp;CELEX=32013R1303&amp;Type=201/</vt:lpwstr>
      </vt:variant>
      <vt:variant>
        <vt:lpwstr/>
      </vt:variant>
      <vt:variant>
        <vt:i4>786526</vt:i4>
      </vt:variant>
      <vt:variant>
        <vt:i4>2547</vt:i4>
      </vt:variant>
      <vt:variant>
        <vt:i4>0</vt:i4>
      </vt:variant>
      <vt:variant>
        <vt:i4>5</vt:i4>
      </vt:variant>
      <vt:variant>
        <vt:lpwstr>apis://Base=APEV&amp;CELEX=32013R1303&amp;ToPar=AnnXII&amp;Type=201/</vt:lpwstr>
      </vt:variant>
      <vt:variant>
        <vt:lpwstr/>
      </vt:variant>
      <vt:variant>
        <vt:i4>7864445</vt:i4>
      </vt:variant>
      <vt:variant>
        <vt:i4>2247</vt:i4>
      </vt:variant>
      <vt:variant>
        <vt:i4>0</vt:i4>
      </vt:variant>
      <vt:variant>
        <vt:i4>5</vt:i4>
      </vt:variant>
      <vt:variant>
        <vt:lpwstr>http://www.eufunds.bg/</vt:lpwstr>
      </vt:variant>
      <vt:variant>
        <vt:lpwstr/>
      </vt:variant>
      <vt:variant>
        <vt:i4>7602295</vt:i4>
      </vt:variant>
      <vt:variant>
        <vt:i4>2244</vt:i4>
      </vt:variant>
      <vt:variant>
        <vt:i4>0</vt:i4>
      </vt:variant>
      <vt:variant>
        <vt:i4>5</vt:i4>
      </vt:variant>
      <vt:variant>
        <vt:lpwstr>http://www.optransport.bg/</vt:lpwstr>
      </vt:variant>
      <vt:variant>
        <vt:lpwstr/>
      </vt:variant>
      <vt:variant>
        <vt:i4>5308510</vt:i4>
      </vt:variant>
      <vt:variant>
        <vt:i4>2223</vt:i4>
      </vt:variant>
      <vt:variant>
        <vt:i4>0</vt:i4>
      </vt:variant>
      <vt:variant>
        <vt:i4>5</vt:i4>
      </vt:variant>
      <vt:variant>
        <vt:lpwstr>F:\SUK 2014-09-23\2014-06_v 01\www.optransport.bg</vt:lpwstr>
      </vt:variant>
      <vt:variant>
        <vt:lpwstr/>
      </vt:variant>
      <vt:variant>
        <vt:i4>7864445</vt:i4>
      </vt:variant>
      <vt:variant>
        <vt:i4>2214</vt:i4>
      </vt:variant>
      <vt:variant>
        <vt:i4>0</vt:i4>
      </vt:variant>
      <vt:variant>
        <vt:i4>5</vt:i4>
      </vt:variant>
      <vt:variant>
        <vt:lpwstr>http://www.eufunds.bg/</vt:lpwstr>
      </vt:variant>
      <vt:variant>
        <vt:lpwstr/>
      </vt:variant>
      <vt:variant>
        <vt:i4>5308510</vt:i4>
      </vt:variant>
      <vt:variant>
        <vt:i4>2211</vt:i4>
      </vt:variant>
      <vt:variant>
        <vt:i4>0</vt:i4>
      </vt:variant>
      <vt:variant>
        <vt:i4>5</vt:i4>
      </vt:variant>
      <vt:variant>
        <vt:lpwstr>F:\SUK 2014-09-23\2014-06_v 01\www.optransport.bg</vt:lpwstr>
      </vt:variant>
      <vt:variant>
        <vt:lpwstr/>
      </vt:variant>
      <vt:variant>
        <vt:i4>7864445</vt:i4>
      </vt:variant>
      <vt:variant>
        <vt:i4>2193</vt:i4>
      </vt:variant>
      <vt:variant>
        <vt:i4>0</vt:i4>
      </vt:variant>
      <vt:variant>
        <vt:i4>5</vt:i4>
      </vt:variant>
      <vt:variant>
        <vt:lpwstr>http://www.eufunds.bg/</vt:lpwstr>
      </vt:variant>
      <vt:variant>
        <vt:lpwstr/>
      </vt:variant>
      <vt:variant>
        <vt:i4>7602295</vt:i4>
      </vt:variant>
      <vt:variant>
        <vt:i4>2181</vt:i4>
      </vt:variant>
      <vt:variant>
        <vt:i4>0</vt:i4>
      </vt:variant>
      <vt:variant>
        <vt:i4>5</vt:i4>
      </vt:variant>
      <vt:variant>
        <vt:lpwstr>http://www.optransport.bg/</vt:lpwstr>
      </vt:variant>
      <vt:variant>
        <vt:lpwstr/>
      </vt:variant>
      <vt:variant>
        <vt:i4>6291488</vt:i4>
      </vt:variant>
      <vt:variant>
        <vt:i4>2145</vt:i4>
      </vt:variant>
      <vt:variant>
        <vt:i4>0</vt:i4>
      </vt:variant>
      <vt:variant>
        <vt:i4>5</vt:i4>
      </vt:variant>
      <vt:variant>
        <vt:lpwstr>https://webgate.ec.europa.eu/ competition/transparency/public/ search/home/</vt:lpwstr>
      </vt:variant>
      <vt:variant>
        <vt:lpwstr/>
      </vt:variant>
      <vt:variant>
        <vt:i4>3997821</vt:i4>
      </vt:variant>
      <vt:variant>
        <vt:i4>2142</vt:i4>
      </vt:variant>
      <vt:variant>
        <vt:i4>0</vt:i4>
      </vt:variant>
      <vt:variant>
        <vt:i4>5</vt:i4>
      </vt:variant>
      <vt:variant>
        <vt:lpwstr>https://webgate.ec.europa.eu/competition/transparency/</vt:lpwstr>
      </vt:variant>
      <vt:variant>
        <vt:lpwstr/>
      </vt:variant>
      <vt:variant>
        <vt:i4>7864445</vt:i4>
      </vt:variant>
      <vt:variant>
        <vt:i4>2112</vt:i4>
      </vt:variant>
      <vt:variant>
        <vt:i4>0</vt:i4>
      </vt:variant>
      <vt:variant>
        <vt:i4>5</vt:i4>
      </vt:variant>
      <vt:variant>
        <vt:lpwstr>http://www.eufunds.bg/</vt:lpwstr>
      </vt:variant>
      <vt:variant>
        <vt:lpwstr/>
      </vt:variant>
      <vt:variant>
        <vt:i4>7602295</vt:i4>
      </vt:variant>
      <vt:variant>
        <vt:i4>2109</vt:i4>
      </vt:variant>
      <vt:variant>
        <vt:i4>0</vt:i4>
      </vt:variant>
      <vt:variant>
        <vt:i4>5</vt:i4>
      </vt:variant>
      <vt:variant>
        <vt:lpwstr>http://www.optransport.bg/</vt:lpwstr>
      </vt:variant>
      <vt:variant>
        <vt:lpwstr/>
      </vt:variant>
      <vt:variant>
        <vt:i4>7602295</vt:i4>
      </vt:variant>
      <vt:variant>
        <vt:i4>2106</vt:i4>
      </vt:variant>
      <vt:variant>
        <vt:i4>0</vt:i4>
      </vt:variant>
      <vt:variant>
        <vt:i4>5</vt:i4>
      </vt:variant>
      <vt:variant>
        <vt:lpwstr>http://www.optransport.bg/</vt:lpwstr>
      </vt:variant>
      <vt:variant>
        <vt:lpwstr/>
      </vt:variant>
      <vt:variant>
        <vt:i4>7602295</vt:i4>
      </vt:variant>
      <vt:variant>
        <vt:i4>2103</vt:i4>
      </vt:variant>
      <vt:variant>
        <vt:i4>0</vt:i4>
      </vt:variant>
      <vt:variant>
        <vt:i4>5</vt:i4>
      </vt:variant>
      <vt:variant>
        <vt:lpwstr>http://www.optransport.bg/</vt:lpwstr>
      </vt:variant>
      <vt:variant>
        <vt:lpwstr/>
      </vt:variant>
      <vt:variant>
        <vt:i4>6619241</vt:i4>
      </vt:variant>
      <vt:variant>
        <vt:i4>2100</vt:i4>
      </vt:variant>
      <vt:variant>
        <vt:i4>0</vt:i4>
      </vt:variant>
      <vt:variant>
        <vt:i4>5</vt:i4>
      </vt:variant>
      <vt:variant>
        <vt:lpwstr>http://www.mtitc.government.bg/</vt:lpwstr>
      </vt:variant>
      <vt:variant>
        <vt:lpwstr/>
      </vt:variant>
      <vt:variant>
        <vt:i4>7012360</vt:i4>
      </vt:variant>
      <vt:variant>
        <vt:i4>2097</vt:i4>
      </vt:variant>
      <vt:variant>
        <vt:i4>0</vt:i4>
      </vt:variant>
      <vt:variant>
        <vt:i4>5</vt:i4>
      </vt:variant>
      <vt:variant>
        <vt:lpwstr>mailto:imoskovski@mtitc.government.bg</vt:lpwstr>
      </vt:variant>
      <vt:variant>
        <vt:lpwstr/>
      </vt:variant>
      <vt:variant>
        <vt:i4>7602295</vt:i4>
      </vt:variant>
      <vt:variant>
        <vt:i4>2094</vt:i4>
      </vt:variant>
      <vt:variant>
        <vt:i4>0</vt:i4>
      </vt:variant>
      <vt:variant>
        <vt:i4>5</vt:i4>
      </vt:variant>
      <vt:variant>
        <vt:lpwstr>http://www.optransport.bg/</vt:lpwstr>
      </vt:variant>
      <vt:variant>
        <vt:lpwstr/>
      </vt:variant>
      <vt:variant>
        <vt:i4>7602295</vt:i4>
      </vt:variant>
      <vt:variant>
        <vt:i4>2091</vt:i4>
      </vt:variant>
      <vt:variant>
        <vt:i4>0</vt:i4>
      </vt:variant>
      <vt:variant>
        <vt:i4>5</vt:i4>
      </vt:variant>
      <vt:variant>
        <vt:lpwstr>http://www.optransport.bg/</vt:lpwstr>
      </vt:variant>
      <vt:variant>
        <vt:lpwstr/>
      </vt:variant>
      <vt:variant>
        <vt:i4>6619241</vt:i4>
      </vt:variant>
      <vt:variant>
        <vt:i4>2088</vt:i4>
      </vt:variant>
      <vt:variant>
        <vt:i4>0</vt:i4>
      </vt:variant>
      <vt:variant>
        <vt:i4>5</vt:i4>
      </vt:variant>
      <vt:variant>
        <vt:lpwstr>http://www.mtitc.government.bg/</vt:lpwstr>
      </vt:variant>
      <vt:variant>
        <vt:lpwstr/>
      </vt:variant>
      <vt:variant>
        <vt:i4>3473421</vt:i4>
      </vt:variant>
      <vt:variant>
        <vt:i4>2085</vt:i4>
      </vt:variant>
      <vt:variant>
        <vt:i4>0</vt:i4>
      </vt:variant>
      <vt:variant>
        <vt:i4>5</vt:i4>
      </vt:variant>
      <vt:variant>
        <vt:lpwstr>mailto:aeuf@minfin.bg</vt:lpwstr>
      </vt:variant>
      <vt:variant>
        <vt:lpwstr/>
      </vt:variant>
      <vt:variant>
        <vt:i4>7602295</vt:i4>
      </vt:variant>
      <vt:variant>
        <vt:i4>2079</vt:i4>
      </vt:variant>
      <vt:variant>
        <vt:i4>0</vt:i4>
      </vt:variant>
      <vt:variant>
        <vt:i4>5</vt:i4>
      </vt:variant>
      <vt:variant>
        <vt:lpwstr>http://www.optransport.bg/</vt:lpwstr>
      </vt:variant>
      <vt:variant>
        <vt:lpwstr/>
      </vt:variant>
      <vt:variant>
        <vt:i4>7602295</vt:i4>
      </vt:variant>
      <vt:variant>
        <vt:i4>2076</vt:i4>
      </vt:variant>
      <vt:variant>
        <vt:i4>0</vt:i4>
      </vt:variant>
      <vt:variant>
        <vt:i4>5</vt:i4>
      </vt:variant>
      <vt:variant>
        <vt:lpwstr>http://www.optransport.bg/</vt:lpwstr>
      </vt:variant>
      <vt:variant>
        <vt:lpwstr/>
      </vt:variant>
      <vt:variant>
        <vt:i4>7602295</vt:i4>
      </vt:variant>
      <vt:variant>
        <vt:i4>2073</vt:i4>
      </vt:variant>
      <vt:variant>
        <vt:i4>0</vt:i4>
      </vt:variant>
      <vt:variant>
        <vt:i4>5</vt:i4>
      </vt:variant>
      <vt:variant>
        <vt:lpwstr>http://www.optransport.bg/</vt:lpwstr>
      </vt:variant>
      <vt:variant>
        <vt:lpwstr/>
      </vt:variant>
      <vt:variant>
        <vt:i4>3080242</vt:i4>
      </vt:variant>
      <vt:variant>
        <vt:i4>2070</vt:i4>
      </vt:variant>
      <vt:variant>
        <vt:i4>0</vt:i4>
      </vt:variant>
      <vt:variant>
        <vt:i4>5</vt:i4>
      </vt:variant>
      <vt:variant>
        <vt:lpwstr>http://www.eufunds.bg/images/%D0%9E%D0%B1%D1%80%D0%B0%D0%B7%D1%86%D0%B8-%D0%97%D0%A3%D0%A1%D0%95%D0%A1%D0%98%D0%A4/Naredba4.pdf</vt:lpwstr>
      </vt:variant>
      <vt:variant>
        <vt:lpwstr/>
      </vt:variant>
      <vt:variant>
        <vt:i4>1769540</vt:i4>
      </vt:variant>
      <vt:variant>
        <vt:i4>2067</vt:i4>
      </vt:variant>
      <vt:variant>
        <vt:i4>0</vt:i4>
      </vt:variant>
      <vt:variant>
        <vt:i4>5</vt:i4>
      </vt:variant>
      <vt:variant>
        <vt:lpwstr>http://www.minfin.bg/document/14664:1</vt:lpwstr>
      </vt:variant>
      <vt:variant>
        <vt:lpwstr/>
      </vt:variant>
      <vt:variant>
        <vt:i4>1769539</vt:i4>
      </vt:variant>
      <vt:variant>
        <vt:i4>2064</vt:i4>
      </vt:variant>
      <vt:variant>
        <vt:i4>0</vt:i4>
      </vt:variant>
      <vt:variant>
        <vt:i4>5</vt:i4>
      </vt:variant>
      <vt:variant>
        <vt:lpwstr>http://www.minfin.bg/document/14663:1</vt:lpwstr>
      </vt:variant>
      <vt:variant>
        <vt:lpwstr/>
      </vt:variant>
      <vt:variant>
        <vt:i4>1769538</vt:i4>
      </vt:variant>
      <vt:variant>
        <vt:i4>2061</vt:i4>
      </vt:variant>
      <vt:variant>
        <vt:i4>0</vt:i4>
      </vt:variant>
      <vt:variant>
        <vt:i4>5</vt:i4>
      </vt:variant>
      <vt:variant>
        <vt:lpwstr>http://www.minfin.bg/document/14662:1</vt:lpwstr>
      </vt:variant>
      <vt:variant>
        <vt:lpwstr/>
      </vt:variant>
      <vt:variant>
        <vt:i4>1638438</vt:i4>
      </vt:variant>
      <vt:variant>
        <vt:i4>2058</vt:i4>
      </vt:variant>
      <vt:variant>
        <vt:i4>0</vt:i4>
      </vt:variant>
      <vt:variant>
        <vt:i4>5</vt:i4>
      </vt:variant>
      <vt:variant>
        <vt:lpwstr>http://www.eufunds.bg/images/files/DNF3_23.12.2016.pdf</vt:lpwstr>
      </vt:variant>
      <vt:variant>
        <vt:lpwstr/>
      </vt:variant>
      <vt:variant>
        <vt:i4>5111847</vt:i4>
      </vt:variant>
      <vt:variant>
        <vt:i4>2055</vt:i4>
      </vt:variant>
      <vt:variant>
        <vt:i4>0</vt:i4>
      </vt:variant>
      <vt:variant>
        <vt:i4>5</vt:i4>
      </vt:variant>
      <vt:variant>
        <vt:lpwstr>https://www.eufunds.bg/images/eu_funds/files/Period_2014_2020/MetodologyManagement.rar</vt:lpwstr>
      </vt:variant>
      <vt:variant>
        <vt:lpwstr/>
      </vt:variant>
      <vt:variant>
        <vt:i4>196711</vt:i4>
      </vt:variant>
      <vt:variant>
        <vt:i4>2052</vt:i4>
      </vt:variant>
      <vt:variant>
        <vt:i4>0</vt:i4>
      </vt:variant>
      <vt:variant>
        <vt:i4>5</vt:i4>
      </vt:variant>
      <vt:variant>
        <vt:lpwstr>http://eur-lex.europa.eu/legal-content/BG/TXT/HTML/?uri=CELEX:32013R1303&amp;qid=1401883400335&amp;from=BG</vt:lpwstr>
      </vt:variant>
      <vt:variant>
        <vt:lpwstr>ntr26-L_2013347BG.01032001-E0026</vt:lpwstr>
      </vt:variant>
      <vt:variant>
        <vt:i4>100</vt:i4>
      </vt:variant>
      <vt:variant>
        <vt:i4>2049</vt:i4>
      </vt:variant>
      <vt:variant>
        <vt:i4>0</vt:i4>
      </vt:variant>
      <vt:variant>
        <vt:i4>5</vt:i4>
      </vt:variant>
      <vt:variant>
        <vt:lpwstr>http://eur-lex.europa.eu/legal-content/BG/TXT/HTML/?uri=CELEX:32013R1303&amp;qid=1401883400335&amp;from=BG</vt:lpwstr>
      </vt:variant>
      <vt:variant>
        <vt:lpwstr>ntr25-L_2013347BG.01032001-E0025</vt:lpwstr>
      </vt:variant>
      <vt:variant>
        <vt:i4>65637</vt:i4>
      </vt:variant>
      <vt:variant>
        <vt:i4>2046</vt:i4>
      </vt:variant>
      <vt:variant>
        <vt:i4>0</vt:i4>
      </vt:variant>
      <vt:variant>
        <vt:i4>5</vt:i4>
      </vt:variant>
      <vt:variant>
        <vt:lpwstr>http://eur-lex.europa.eu/legal-content/BG/TXT/HTML/?uri=CELEX:32013R1303&amp;qid=1401883400335&amp;from=BG</vt:lpwstr>
      </vt:variant>
      <vt:variant>
        <vt:lpwstr>ntr24-L_2013347BG.01032001-E0024</vt:lpwstr>
      </vt:variant>
      <vt:variant>
        <vt:i4>1310770</vt:i4>
      </vt:variant>
      <vt:variant>
        <vt:i4>2039</vt:i4>
      </vt:variant>
      <vt:variant>
        <vt:i4>0</vt:i4>
      </vt:variant>
      <vt:variant>
        <vt:i4>5</vt:i4>
      </vt:variant>
      <vt:variant>
        <vt:lpwstr/>
      </vt:variant>
      <vt:variant>
        <vt:lpwstr>_Toc479775862</vt:lpwstr>
      </vt:variant>
      <vt:variant>
        <vt:i4>1310770</vt:i4>
      </vt:variant>
      <vt:variant>
        <vt:i4>2033</vt:i4>
      </vt:variant>
      <vt:variant>
        <vt:i4>0</vt:i4>
      </vt:variant>
      <vt:variant>
        <vt:i4>5</vt:i4>
      </vt:variant>
      <vt:variant>
        <vt:lpwstr/>
      </vt:variant>
      <vt:variant>
        <vt:lpwstr>_Toc479775861</vt:lpwstr>
      </vt:variant>
      <vt:variant>
        <vt:i4>1310770</vt:i4>
      </vt:variant>
      <vt:variant>
        <vt:i4>2027</vt:i4>
      </vt:variant>
      <vt:variant>
        <vt:i4>0</vt:i4>
      </vt:variant>
      <vt:variant>
        <vt:i4>5</vt:i4>
      </vt:variant>
      <vt:variant>
        <vt:lpwstr/>
      </vt:variant>
      <vt:variant>
        <vt:lpwstr>_Toc479775860</vt:lpwstr>
      </vt:variant>
      <vt:variant>
        <vt:i4>1507378</vt:i4>
      </vt:variant>
      <vt:variant>
        <vt:i4>2021</vt:i4>
      </vt:variant>
      <vt:variant>
        <vt:i4>0</vt:i4>
      </vt:variant>
      <vt:variant>
        <vt:i4>5</vt:i4>
      </vt:variant>
      <vt:variant>
        <vt:lpwstr/>
      </vt:variant>
      <vt:variant>
        <vt:lpwstr>_Toc479775859</vt:lpwstr>
      </vt:variant>
      <vt:variant>
        <vt:i4>1507378</vt:i4>
      </vt:variant>
      <vt:variant>
        <vt:i4>2015</vt:i4>
      </vt:variant>
      <vt:variant>
        <vt:i4>0</vt:i4>
      </vt:variant>
      <vt:variant>
        <vt:i4>5</vt:i4>
      </vt:variant>
      <vt:variant>
        <vt:lpwstr/>
      </vt:variant>
      <vt:variant>
        <vt:lpwstr>_Toc479775858</vt:lpwstr>
      </vt:variant>
      <vt:variant>
        <vt:i4>1507378</vt:i4>
      </vt:variant>
      <vt:variant>
        <vt:i4>2009</vt:i4>
      </vt:variant>
      <vt:variant>
        <vt:i4>0</vt:i4>
      </vt:variant>
      <vt:variant>
        <vt:i4>5</vt:i4>
      </vt:variant>
      <vt:variant>
        <vt:lpwstr/>
      </vt:variant>
      <vt:variant>
        <vt:lpwstr>_Toc479775857</vt:lpwstr>
      </vt:variant>
      <vt:variant>
        <vt:i4>1507378</vt:i4>
      </vt:variant>
      <vt:variant>
        <vt:i4>2003</vt:i4>
      </vt:variant>
      <vt:variant>
        <vt:i4>0</vt:i4>
      </vt:variant>
      <vt:variant>
        <vt:i4>5</vt:i4>
      </vt:variant>
      <vt:variant>
        <vt:lpwstr/>
      </vt:variant>
      <vt:variant>
        <vt:lpwstr>_Toc479775856</vt:lpwstr>
      </vt:variant>
      <vt:variant>
        <vt:i4>1507378</vt:i4>
      </vt:variant>
      <vt:variant>
        <vt:i4>1997</vt:i4>
      </vt:variant>
      <vt:variant>
        <vt:i4>0</vt:i4>
      </vt:variant>
      <vt:variant>
        <vt:i4>5</vt:i4>
      </vt:variant>
      <vt:variant>
        <vt:lpwstr/>
      </vt:variant>
      <vt:variant>
        <vt:lpwstr>_Toc479775855</vt:lpwstr>
      </vt:variant>
      <vt:variant>
        <vt:i4>1507378</vt:i4>
      </vt:variant>
      <vt:variant>
        <vt:i4>1991</vt:i4>
      </vt:variant>
      <vt:variant>
        <vt:i4>0</vt:i4>
      </vt:variant>
      <vt:variant>
        <vt:i4>5</vt:i4>
      </vt:variant>
      <vt:variant>
        <vt:lpwstr/>
      </vt:variant>
      <vt:variant>
        <vt:lpwstr>_Toc479775854</vt:lpwstr>
      </vt:variant>
      <vt:variant>
        <vt:i4>1507378</vt:i4>
      </vt:variant>
      <vt:variant>
        <vt:i4>1985</vt:i4>
      </vt:variant>
      <vt:variant>
        <vt:i4>0</vt:i4>
      </vt:variant>
      <vt:variant>
        <vt:i4>5</vt:i4>
      </vt:variant>
      <vt:variant>
        <vt:lpwstr/>
      </vt:variant>
      <vt:variant>
        <vt:lpwstr>_Toc479775853</vt:lpwstr>
      </vt:variant>
      <vt:variant>
        <vt:i4>1507378</vt:i4>
      </vt:variant>
      <vt:variant>
        <vt:i4>1979</vt:i4>
      </vt:variant>
      <vt:variant>
        <vt:i4>0</vt:i4>
      </vt:variant>
      <vt:variant>
        <vt:i4>5</vt:i4>
      </vt:variant>
      <vt:variant>
        <vt:lpwstr/>
      </vt:variant>
      <vt:variant>
        <vt:lpwstr>_Toc479775852</vt:lpwstr>
      </vt:variant>
      <vt:variant>
        <vt:i4>1507378</vt:i4>
      </vt:variant>
      <vt:variant>
        <vt:i4>1973</vt:i4>
      </vt:variant>
      <vt:variant>
        <vt:i4>0</vt:i4>
      </vt:variant>
      <vt:variant>
        <vt:i4>5</vt:i4>
      </vt:variant>
      <vt:variant>
        <vt:lpwstr/>
      </vt:variant>
      <vt:variant>
        <vt:lpwstr>_Toc479775851</vt:lpwstr>
      </vt:variant>
      <vt:variant>
        <vt:i4>1507378</vt:i4>
      </vt:variant>
      <vt:variant>
        <vt:i4>1967</vt:i4>
      </vt:variant>
      <vt:variant>
        <vt:i4>0</vt:i4>
      </vt:variant>
      <vt:variant>
        <vt:i4>5</vt:i4>
      </vt:variant>
      <vt:variant>
        <vt:lpwstr/>
      </vt:variant>
      <vt:variant>
        <vt:lpwstr>_Toc479775850</vt:lpwstr>
      </vt:variant>
      <vt:variant>
        <vt:i4>1441842</vt:i4>
      </vt:variant>
      <vt:variant>
        <vt:i4>1961</vt:i4>
      </vt:variant>
      <vt:variant>
        <vt:i4>0</vt:i4>
      </vt:variant>
      <vt:variant>
        <vt:i4>5</vt:i4>
      </vt:variant>
      <vt:variant>
        <vt:lpwstr/>
      </vt:variant>
      <vt:variant>
        <vt:lpwstr>_Toc479775849</vt:lpwstr>
      </vt:variant>
      <vt:variant>
        <vt:i4>1441842</vt:i4>
      </vt:variant>
      <vt:variant>
        <vt:i4>1955</vt:i4>
      </vt:variant>
      <vt:variant>
        <vt:i4>0</vt:i4>
      </vt:variant>
      <vt:variant>
        <vt:i4>5</vt:i4>
      </vt:variant>
      <vt:variant>
        <vt:lpwstr/>
      </vt:variant>
      <vt:variant>
        <vt:lpwstr>_Toc479775848</vt:lpwstr>
      </vt:variant>
      <vt:variant>
        <vt:i4>1441842</vt:i4>
      </vt:variant>
      <vt:variant>
        <vt:i4>1949</vt:i4>
      </vt:variant>
      <vt:variant>
        <vt:i4>0</vt:i4>
      </vt:variant>
      <vt:variant>
        <vt:i4>5</vt:i4>
      </vt:variant>
      <vt:variant>
        <vt:lpwstr/>
      </vt:variant>
      <vt:variant>
        <vt:lpwstr>_Toc479775847</vt:lpwstr>
      </vt:variant>
      <vt:variant>
        <vt:i4>1441842</vt:i4>
      </vt:variant>
      <vt:variant>
        <vt:i4>1943</vt:i4>
      </vt:variant>
      <vt:variant>
        <vt:i4>0</vt:i4>
      </vt:variant>
      <vt:variant>
        <vt:i4>5</vt:i4>
      </vt:variant>
      <vt:variant>
        <vt:lpwstr/>
      </vt:variant>
      <vt:variant>
        <vt:lpwstr>_Toc479775846</vt:lpwstr>
      </vt:variant>
      <vt:variant>
        <vt:i4>1441842</vt:i4>
      </vt:variant>
      <vt:variant>
        <vt:i4>1937</vt:i4>
      </vt:variant>
      <vt:variant>
        <vt:i4>0</vt:i4>
      </vt:variant>
      <vt:variant>
        <vt:i4>5</vt:i4>
      </vt:variant>
      <vt:variant>
        <vt:lpwstr/>
      </vt:variant>
      <vt:variant>
        <vt:lpwstr>_Toc479775845</vt:lpwstr>
      </vt:variant>
      <vt:variant>
        <vt:i4>1441842</vt:i4>
      </vt:variant>
      <vt:variant>
        <vt:i4>1931</vt:i4>
      </vt:variant>
      <vt:variant>
        <vt:i4>0</vt:i4>
      </vt:variant>
      <vt:variant>
        <vt:i4>5</vt:i4>
      </vt:variant>
      <vt:variant>
        <vt:lpwstr/>
      </vt:variant>
      <vt:variant>
        <vt:lpwstr>_Toc479775844</vt:lpwstr>
      </vt:variant>
      <vt:variant>
        <vt:i4>1441842</vt:i4>
      </vt:variant>
      <vt:variant>
        <vt:i4>1925</vt:i4>
      </vt:variant>
      <vt:variant>
        <vt:i4>0</vt:i4>
      </vt:variant>
      <vt:variant>
        <vt:i4>5</vt:i4>
      </vt:variant>
      <vt:variant>
        <vt:lpwstr/>
      </vt:variant>
      <vt:variant>
        <vt:lpwstr>_Toc479775843</vt:lpwstr>
      </vt:variant>
      <vt:variant>
        <vt:i4>1441842</vt:i4>
      </vt:variant>
      <vt:variant>
        <vt:i4>1919</vt:i4>
      </vt:variant>
      <vt:variant>
        <vt:i4>0</vt:i4>
      </vt:variant>
      <vt:variant>
        <vt:i4>5</vt:i4>
      </vt:variant>
      <vt:variant>
        <vt:lpwstr/>
      </vt:variant>
      <vt:variant>
        <vt:lpwstr>_Toc479775842</vt:lpwstr>
      </vt:variant>
      <vt:variant>
        <vt:i4>1441842</vt:i4>
      </vt:variant>
      <vt:variant>
        <vt:i4>1913</vt:i4>
      </vt:variant>
      <vt:variant>
        <vt:i4>0</vt:i4>
      </vt:variant>
      <vt:variant>
        <vt:i4>5</vt:i4>
      </vt:variant>
      <vt:variant>
        <vt:lpwstr/>
      </vt:variant>
      <vt:variant>
        <vt:lpwstr>_Toc479775841</vt:lpwstr>
      </vt:variant>
      <vt:variant>
        <vt:i4>1441842</vt:i4>
      </vt:variant>
      <vt:variant>
        <vt:i4>1907</vt:i4>
      </vt:variant>
      <vt:variant>
        <vt:i4>0</vt:i4>
      </vt:variant>
      <vt:variant>
        <vt:i4>5</vt:i4>
      </vt:variant>
      <vt:variant>
        <vt:lpwstr/>
      </vt:variant>
      <vt:variant>
        <vt:lpwstr>_Toc479775840</vt:lpwstr>
      </vt:variant>
      <vt:variant>
        <vt:i4>1114162</vt:i4>
      </vt:variant>
      <vt:variant>
        <vt:i4>1901</vt:i4>
      </vt:variant>
      <vt:variant>
        <vt:i4>0</vt:i4>
      </vt:variant>
      <vt:variant>
        <vt:i4>5</vt:i4>
      </vt:variant>
      <vt:variant>
        <vt:lpwstr/>
      </vt:variant>
      <vt:variant>
        <vt:lpwstr>_Toc479775839</vt:lpwstr>
      </vt:variant>
      <vt:variant>
        <vt:i4>1114162</vt:i4>
      </vt:variant>
      <vt:variant>
        <vt:i4>1895</vt:i4>
      </vt:variant>
      <vt:variant>
        <vt:i4>0</vt:i4>
      </vt:variant>
      <vt:variant>
        <vt:i4>5</vt:i4>
      </vt:variant>
      <vt:variant>
        <vt:lpwstr/>
      </vt:variant>
      <vt:variant>
        <vt:lpwstr>_Toc479775838</vt:lpwstr>
      </vt:variant>
      <vt:variant>
        <vt:i4>1114162</vt:i4>
      </vt:variant>
      <vt:variant>
        <vt:i4>1889</vt:i4>
      </vt:variant>
      <vt:variant>
        <vt:i4>0</vt:i4>
      </vt:variant>
      <vt:variant>
        <vt:i4>5</vt:i4>
      </vt:variant>
      <vt:variant>
        <vt:lpwstr/>
      </vt:variant>
      <vt:variant>
        <vt:lpwstr>_Toc479775837</vt:lpwstr>
      </vt:variant>
      <vt:variant>
        <vt:i4>1114162</vt:i4>
      </vt:variant>
      <vt:variant>
        <vt:i4>1883</vt:i4>
      </vt:variant>
      <vt:variant>
        <vt:i4>0</vt:i4>
      </vt:variant>
      <vt:variant>
        <vt:i4>5</vt:i4>
      </vt:variant>
      <vt:variant>
        <vt:lpwstr/>
      </vt:variant>
      <vt:variant>
        <vt:lpwstr>_Toc479775836</vt:lpwstr>
      </vt:variant>
      <vt:variant>
        <vt:i4>1114162</vt:i4>
      </vt:variant>
      <vt:variant>
        <vt:i4>1877</vt:i4>
      </vt:variant>
      <vt:variant>
        <vt:i4>0</vt:i4>
      </vt:variant>
      <vt:variant>
        <vt:i4>5</vt:i4>
      </vt:variant>
      <vt:variant>
        <vt:lpwstr/>
      </vt:variant>
      <vt:variant>
        <vt:lpwstr>_Toc479775835</vt:lpwstr>
      </vt:variant>
      <vt:variant>
        <vt:i4>1114162</vt:i4>
      </vt:variant>
      <vt:variant>
        <vt:i4>1871</vt:i4>
      </vt:variant>
      <vt:variant>
        <vt:i4>0</vt:i4>
      </vt:variant>
      <vt:variant>
        <vt:i4>5</vt:i4>
      </vt:variant>
      <vt:variant>
        <vt:lpwstr/>
      </vt:variant>
      <vt:variant>
        <vt:lpwstr>_Toc479775834</vt:lpwstr>
      </vt:variant>
      <vt:variant>
        <vt:i4>1114162</vt:i4>
      </vt:variant>
      <vt:variant>
        <vt:i4>1865</vt:i4>
      </vt:variant>
      <vt:variant>
        <vt:i4>0</vt:i4>
      </vt:variant>
      <vt:variant>
        <vt:i4>5</vt:i4>
      </vt:variant>
      <vt:variant>
        <vt:lpwstr/>
      </vt:variant>
      <vt:variant>
        <vt:lpwstr>_Toc479775833</vt:lpwstr>
      </vt:variant>
      <vt:variant>
        <vt:i4>1114162</vt:i4>
      </vt:variant>
      <vt:variant>
        <vt:i4>1859</vt:i4>
      </vt:variant>
      <vt:variant>
        <vt:i4>0</vt:i4>
      </vt:variant>
      <vt:variant>
        <vt:i4>5</vt:i4>
      </vt:variant>
      <vt:variant>
        <vt:lpwstr/>
      </vt:variant>
      <vt:variant>
        <vt:lpwstr>_Toc479775832</vt:lpwstr>
      </vt:variant>
      <vt:variant>
        <vt:i4>1114162</vt:i4>
      </vt:variant>
      <vt:variant>
        <vt:i4>1853</vt:i4>
      </vt:variant>
      <vt:variant>
        <vt:i4>0</vt:i4>
      </vt:variant>
      <vt:variant>
        <vt:i4>5</vt:i4>
      </vt:variant>
      <vt:variant>
        <vt:lpwstr/>
      </vt:variant>
      <vt:variant>
        <vt:lpwstr>_Toc479775831</vt:lpwstr>
      </vt:variant>
      <vt:variant>
        <vt:i4>1114162</vt:i4>
      </vt:variant>
      <vt:variant>
        <vt:i4>1847</vt:i4>
      </vt:variant>
      <vt:variant>
        <vt:i4>0</vt:i4>
      </vt:variant>
      <vt:variant>
        <vt:i4>5</vt:i4>
      </vt:variant>
      <vt:variant>
        <vt:lpwstr/>
      </vt:variant>
      <vt:variant>
        <vt:lpwstr>_Toc479775830</vt:lpwstr>
      </vt:variant>
      <vt:variant>
        <vt:i4>1048626</vt:i4>
      </vt:variant>
      <vt:variant>
        <vt:i4>1841</vt:i4>
      </vt:variant>
      <vt:variant>
        <vt:i4>0</vt:i4>
      </vt:variant>
      <vt:variant>
        <vt:i4>5</vt:i4>
      </vt:variant>
      <vt:variant>
        <vt:lpwstr/>
      </vt:variant>
      <vt:variant>
        <vt:lpwstr>_Toc479775829</vt:lpwstr>
      </vt:variant>
      <vt:variant>
        <vt:i4>1048626</vt:i4>
      </vt:variant>
      <vt:variant>
        <vt:i4>1835</vt:i4>
      </vt:variant>
      <vt:variant>
        <vt:i4>0</vt:i4>
      </vt:variant>
      <vt:variant>
        <vt:i4>5</vt:i4>
      </vt:variant>
      <vt:variant>
        <vt:lpwstr/>
      </vt:variant>
      <vt:variant>
        <vt:lpwstr>_Toc479775828</vt:lpwstr>
      </vt:variant>
      <vt:variant>
        <vt:i4>1048626</vt:i4>
      </vt:variant>
      <vt:variant>
        <vt:i4>1829</vt:i4>
      </vt:variant>
      <vt:variant>
        <vt:i4>0</vt:i4>
      </vt:variant>
      <vt:variant>
        <vt:i4>5</vt:i4>
      </vt:variant>
      <vt:variant>
        <vt:lpwstr/>
      </vt:variant>
      <vt:variant>
        <vt:lpwstr>_Toc479775827</vt:lpwstr>
      </vt:variant>
      <vt:variant>
        <vt:i4>1048626</vt:i4>
      </vt:variant>
      <vt:variant>
        <vt:i4>1823</vt:i4>
      </vt:variant>
      <vt:variant>
        <vt:i4>0</vt:i4>
      </vt:variant>
      <vt:variant>
        <vt:i4>5</vt:i4>
      </vt:variant>
      <vt:variant>
        <vt:lpwstr/>
      </vt:variant>
      <vt:variant>
        <vt:lpwstr>_Toc479775826</vt:lpwstr>
      </vt:variant>
      <vt:variant>
        <vt:i4>1048626</vt:i4>
      </vt:variant>
      <vt:variant>
        <vt:i4>1817</vt:i4>
      </vt:variant>
      <vt:variant>
        <vt:i4>0</vt:i4>
      </vt:variant>
      <vt:variant>
        <vt:i4>5</vt:i4>
      </vt:variant>
      <vt:variant>
        <vt:lpwstr/>
      </vt:variant>
      <vt:variant>
        <vt:lpwstr>_Toc479775825</vt:lpwstr>
      </vt:variant>
      <vt:variant>
        <vt:i4>1048626</vt:i4>
      </vt:variant>
      <vt:variant>
        <vt:i4>1811</vt:i4>
      </vt:variant>
      <vt:variant>
        <vt:i4>0</vt:i4>
      </vt:variant>
      <vt:variant>
        <vt:i4>5</vt:i4>
      </vt:variant>
      <vt:variant>
        <vt:lpwstr/>
      </vt:variant>
      <vt:variant>
        <vt:lpwstr>_Toc479775824</vt:lpwstr>
      </vt:variant>
      <vt:variant>
        <vt:i4>1048626</vt:i4>
      </vt:variant>
      <vt:variant>
        <vt:i4>1805</vt:i4>
      </vt:variant>
      <vt:variant>
        <vt:i4>0</vt:i4>
      </vt:variant>
      <vt:variant>
        <vt:i4>5</vt:i4>
      </vt:variant>
      <vt:variant>
        <vt:lpwstr/>
      </vt:variant>
      <vt:variant>
        <vt:lpwstr>_Toc479775823</vt:lpwstr>
      </vt:variant>
      <vt:variant>
        <vt:i4>1048626</vt:i4>
      </vt:variant>
      <vt:variant>
        <vt:i4>1799</vt:i4>
      </vt:variant>
      <vt:variant>
        <vt:i4>0</vt:i4>
      </vt:variant>
      <vt:variant>
        <vt:i4>5</vt:i4>
      </vt:variant>
      <vt:variant>
        <vt:lpwstr/>
      </vt:variant>
      <vt:variant>
        <vt:lpwstr>_Toc479775822</vt:lpwstr>
      </vt:variant>
      <vt:variant>
        <vt:i4>1048626</vt:i4>
      </vt:variant>
      <vt:variant>
        <vt:i4>1793</vt:i4>
      </vt:variant>
      <vt:variant>
        <vt:i4>0</vt:i4>
      </vt:variant>
      <vt:variant>
        <vt:i4>5</vt:i4>
      </vt:variant>
      <vt:variant>
        <vt:lpwstr/>
      </vt:variant>
      <vt:variant>
        <vt:lpwstr>_Toc479775821</vt:lpwstr>
      </vt:variant>
      <vt:variant>
        <vt:i4>1048626</vt:i4>
      </vt:variant>
      <vt:variant>
        <vt:i4>1787</vt:i4>
      </vt:variant>
      <vt:variant>
        <vt:i4>0</vt:i4>
      </vt:variant>
      <vt:variant>
        <vt:i4>5</vt:i4>
      </vt:variant>
      <vt:variant>
        <vt:lpwstr/>
      </vt:variant>
      <vt:variant>
        <vt:lpwstr>_Toc479775820</vt:lpwstr>
      </vt:variant>
      <vt:variant>
        <vt:i4>1245234</vt:i4>
      </vt:variant>
      <vt:variant>
        <vt:i4>1781</vt:i4>
      </vt:variant>
      <vt:variant>
        <vt:i4>0</vt:i4>
      </vt:variant>
      <vt:variant>
        <vt:i4>5</vt:i4>
      </vt:variant>
      <vt:variant>
        <vt:lpwstr/>
      </vt:variant>
      <vt:variant>
        <vt:lpwstr>_Toc479775819</vt:lpwstr>
      </vt:variant>
      <vt:variant>
        <vt:i4>1245234</vt:i4>
      </vt:variant>
      <vt:variant>
        <vt:i4>1775</vt:i4>
      </vt:variant>
      <vt:variant>
        <vt:i4>0</vt:i4>
      </vt:variant>
      <vt:variant>
        <vt:i4>5</vt:i4>
      </vt:variant>
      <vt:variant>
        <vt:lpwstr/>
      </vt:variant>
      <vt:variant>
        <vt:lpwstr>_Toc479775818</vt:lpwstr>
      </vt:variant>
      <vt:variant>
        <vt:i4>1245234</vt:i4>
      </vt:variant>
      <vt:variant>
        <vt:i4>1769</vt:i4>
      </vt:variant>
      <vt:variant>
        <vt:i4>0</vt:i4>
      </vt:variant>
      <vt:variant>
        <vt:i4>5</vt:i4>
      </vt:variant>
      <vt:variant>
        <vt:lpwstr/>
      </vt:variant>
      <vt:variant>
        <vt:lpwstr>_Toc479775817</vt:lpwstr>
      </vt:variant>
      <vt:variant>
        <vt:i4>1245234</vt:i4>
      </vt:variant>
      <vt:variant>
        <vt:i4>1763</vt:i4>
      </vt:variant>
      <vt:variant>
        <vt:i4>0</vt:i4>
      </vt:variant>
      <vt:variant>
        <vt:i4>5</vt:i4>
      </vt:variant>
      <vt:variant>
        <vt:lpwstr/>
      </vt:variant>
      <vt:variant>
        <vt:lpwstr>_Toc479775816</vt:lpwstr>
      </vt:variant>
      <vt:variant>
        <vt:i4>1245234</vt:i4>
      </vt:variant>
      <vt:variant>
        <vt:i4>1757</vt:i4>
      </vt:variant>
      <vt:variant>
        <vt:i4>0</vt:i4>
      </vt:variant>
      <vt:variant>
        <vt:i4>5</vt:i4>
      </vt:variant>
      <vt:variant>
        <vt:lpwstr/>
      </vt:variant>
      <vt:variant>
        <vt:lpwstr>_Toc479775815</vt:lpwstr>
      </vt:variant>
      <vt:variant>
        <vt:i4>1245234</vt:i4>
      </vt:variant>
      <vt:variant>
        <vt:i4>1751</vt:i4>
      </vt:variant>
      <vt:variant>
        <vt:i4>0</vt:i4>
      </vt:variant>
      <vt:variant>
        <vt:i4>5</vt:i4>
      </vt:variant>
      <vt:variant>
        <vt:lpwstr/>
      </vt:variant>
      <vt:variant>
        <vt:lpwstr>_Toc479775814</vt:lpwstr>
      </vt:variant>
      <vt:variant>
        <vt:i4>1245234</vt:i4>
      </vt:variant>
      <vt:variant>
        <vt:i4>1745</vt:i4>
      </vt:variant>
      <vt:variant>
        <vt:i4>0</vt:i4>
      </vt:variant>
      <vt:variant>
        <vt:i4>5</vt:i4>
      </vt:variant>
      <vt:variant>
        <vt:lpwstr/>
      </vt:variant>
      <vt:variant>
        <vt:lpwstr>_Toc479775813</vt:lpwstr>
      </vt:variant>
      <vt:variant>
        <vt:i4>1245234</vt:i4>
      </vt:variant>
      <vt:variant>
        <vt:i4>1739</vt:i4>
      </vt:variant>
      <vt:variant>
        <vt:i4>0</vt:i4>
      </vt:variant>
      <vt:variant>
        <vt:i4>5</vt:i4>
      </vt:variant>
      <vt:variant>
        <vt:lpwstr/>
      </vt:variant>
      <vt:variant>
        <vt:lpwstr>_Toc479775812</vt:lpwstr>
      </vt:variant>
      <vt:variant>
        <vt:i4>1245234</vt:i4>
      </vt:variant>
      <vt:variant>
        <vt:i4>1733</vt:i4>
      </vt:variant>
      <vt:variant>
        <vt:i4>0</vt:i4>
      </vt:variant>
      <vt:variant>
        <vt:i4>5</vt:i4>
      </vt:variant>
      <vt:variant>
        <vt:lpwstr/>
      </vt:variant>
      <vt:variant>
        <vt:lpwstr>_Toc479775811</vt:lpwstr>
      </vt:variant>
      <vt:variant>
        <vt:i4>1245234</vt:i4>
      </vt:variant>
      <vt:variant>
        <vt:i4>1727</vt:i4>
      </vt:variant>
      <vt:variant>
        <vt:i4>0</vt:i4>
      </vt:variant>
      <vt:variant>
        <vt:i4>5</vt:i4>
      </vt:variant>
      <vt:variant>
        <vt:lpwstr/>
      </vt:variant>
      <vt:variant>
        <vt:lpwstr>_Toc479775810</vt:lpwstr>
      </vt:variant>
      <vt:variant>
        <vt:i4>1179698</vt:i4>
      </vt:variant>
      <vt:variant>
        <vt:i4>1721</vt:i4>
      </vt:variant>
      <vt:variant>
        <vt:i4>0</vt:i4>
      </vt:variant>
      <vt:variant>
        <vt:i4>5</vt:i4>
      </vt:variant>
      <vt:variant>
        <vt:lpwstr/>
      </vt:variant>
      <vt:variant>
        <vt:lpwstr>_Toc479775809</vt:lpwstr>
      </vt:variant>
      <vt:variant>
        <vt:i4>1179698</vt:i4>
      </vt:variant>
      <vt:variant>
        <vt:i4>1715</vt:i4>
      </vt:variant>
      <vt:variant>
        <vt:i4>0</vt:i4>
      </vt:variant>
      <vt:variant>
        <vt:i4>5</vt:i4>
      </vt:variant>
      <vt:variant>
        <vt:lpwstr/>
      </vt:variant>
      <vt:variant>
        <vt:lpwstr>_Toc479775808</vt:lpwstr>
      </vt:variant>
      <vt:variant>
        <vt:i4>1179698</vt:i4>
      </vt:variant>
      <vt:variant>
        <vt:i4>1709</vt:i4>
      </vt:variant>
      <vt:variant>
        <vt:i4>0</vt:i4>
      </vt:variant>
      <vt:variant>
        <vt:i4>5</vt:i4>
      </vt:variant>
      <vt:variant>
        <vt:lpwstr/>
      </vt:variant>
      <vt:variant>
        <vt:lpwstr>_Toc479775807</vt:lpwstr>
      </vt:variant>
      <vt:variant>
        <vt:i4>1179698</vt:i4>
      </vt:variant>
      <vt:variant>
        <vt:i4>1703</vt:i4>
      </vt:variant>
      <vt:variant>
        <vt:i4>0</vt:i4>
      </vt:variant>
      <vt:variant>
        <vt:i4>5</vt:i4>
      </vt:variant>
      <vt:variant>
        <vt:lpwstr/>
      </vt:variant>
      <vt:variant>
        <vt:lpwstr>_Toc479775806</vt:lpwstr>
      </vt:variant>
      <vt:variant>
        <vt:i4>1179698</vt:i4>
      </vt:variant>
      <vt:variant>
        <vt:i4>1697</vt:i4>
      </vt:variant>
      <vt:variant>
        <vt:i4>0</vt:i4>
      </vt:variant>
      <vt:variant>
        <vt:i4>5</vt:i4>
      </vt:variant>
      <vt:variant>
        <vt:lpwstr/>
      </vt:variant>
      <vt:variant>
        <vt:lpwstr>_Toc479775805</vt:lpwstr>
      </vt:variant>
      <vt:variant>
        <vt:i4>1179698</vt:i4>
      </vt:variant>
      <vt:variant>
        <vt:i4>1691</vt:i4>
      </vt:variant>
      <vt:variant>
        <vt:i4>0</vt:i4>
      </vt:variant>
      <vt:variant>
        <vt:i4>5</vt:i4>
      </vt:variant>
      <vt:variant>
        <vt:lpwstr/>
      </vt:variant>
      <vt:variant>
        <vt:lpwstr>_Toc479775804</vt:lpwstr>
      </vt:variant>
      <vt:variant>
        <vt:i4>1179698</vt:i4>
      </vt:variant>
      <vt:variant>
        <vt:i4>1685</vt:i4>
      </vt:variant>
      <vt:variant>
        <vt:i4>0</vt:i4>
      </vt:variant>
      <vt:variant>
        <vt:i4>5</vt:i4>
      </vt:variant>
      <vt:variant>
        <vt:lpwstr/>
      </vt:variant>
      <vt:variant>
        <vt:lpwstr>_Toc479775803</vt:lpwstr>
      </vt:variant>
      <vt:variant>
        <vt:i4>1179698</vt:i4>
      </vt:variant>
      <vt:variant>
        <vt:i4>1679</vt:i4>
      </vt:variant>
      <vt:variant>
        <vt:i4>0</vt:i4>
      </vt:variant>
      <vt:variant>
        <vt:i4>5</vt:i4>
      </vt:variant>
      <vt:variant>
        <vt:lpwstr/>
      </vt:variant>
      <vt:variant>
        <vt:lpwstr>_Toc479775802</vt:lpwstr>
      </vt:variant>
      <vt:variant>
        <vt:i4>1179698</vt:i4>
      </vt:variant>
      <vt:variant>
        <vt:i4>1673</vt:i4>
      </vt:variant>
      <vt:variant>
        <vt:i4>0</vt:i4>
      </vt:variant>
      <vt:variant>
        <vt:i4>5</vt:i4>
      </vt:variant>
      <vt:variant>
        <vt:lpwstr/>
      </vt:variant>
      <vt:variant>
        <vt:lpwstr>_Toc479775801</vt:lpwstr>
      </vt:variant>
      <vt:variant>
        <vt:i4>1179698</vt:i4>
      </vt:variant>
      <vt:variant>
        <vt:i4>1667</vt:i4>
      </vt:variant>
      <vt:variant>
        <vt:i4>0</vt:i4>
      </vt:variant>
      <vt:variant>
        <vt:i4>5</vt:i4>
      </vt:variant>
      <vt:variant>
        <vt:lpwstr/>
      </vt:variant>
      <vt:variant>
        <vt:lpwstr>_Toc479775800</vt:lpwstr>
      </vt:variant>
      <vt:variant>
        <vt:i4>1769533</vt:i4>
      </vt:variant>
      <vt:variant>
        <vt:i4>1661</vt:i4>
      </vt:variant>
      <vt:variant>
        <vt:i4>0</vt:i4>
      </vt:variant>
      <vt:variant>
        <vt:i4>5</vt:i4>
      </vt:variant>
      <vt:variant>
        <vt:lpwstr/>
      </vt:variant>
      <vt:variant>
        <vt:lpwstr>_Toc479775799</vt:lpwstr>
      </vt:variant>
      <vt:variant>
        <vt:i4>1769533</vt:i4>
      </vt:variant>
      <vt:variant>
        <vt:i4>1655</vt:i4>
      </vt:variant>
      <vt:variant>
        <vt:i4>0</vt:i4>
      </vt:variant>
      <vt:variant>
        <vt:i4>5</vt:i4>
      </vt:variant>
      <vt:variant>
        <vt:lpwstr/>
      </vt:variant>
      <vt:variant>
        <vt:lpwstr>_Toc479775798</vt:lpwstr>
      </vt:variant>
      <vt:variant>
        <vt:i4>1769533</vt:i4>
      </vt:variant>
      <vt:variant>
        <vt:i4>1649</vt:i4>
      </vt:variant>
      <vt:variant>
        <vt:i4>0</vt:i4>
      </vt:variant>
      <vt:variant>
        <vt:i4>5</vt:i4>
      </vt:variant>
      <vt:variant>
        <vt:lpwstr/>
      </vt:variant>
      <vt:variant>
        <vt:lpwstr>_Toc479775797</vt:lpwstr>
      </vt:variant>
      <vt:variant>
        <vt:i4>1769533</vt:i4>
      </vt:variant>
      <vt:variant>
        <vt:i4>1643</vt:i4>
      </vt:variant>
      <vt:variant>
        <vt:i4>0</vt:i4>
      </vt:variant>
      <vt:variant>
        <vt:i4>5</vt:i4>
      </vt:variant>
      <vt:variant>
        <vt:lpwstr/>
      </vt:variant>
      <vt:variant>
        <vt:lpwstr>_Toc479775796</vt:lpwstr>
      </vt:variant>
      <vt:variant>
        <vt:i4>1769533</vt:i4>
      </vt:variant>
      <vt:variant>
        <vt:i4>1637</vt:i4>
      </vt:variant>
      <vt:variant>
        <vt:i4>0</vt:i4>
      </vt:variant>
      <vt:variant>
        <vt:i4>5</vt:i4>
      </vt:variant>
      <vt:variant>
        <vt:lpwstr/>
      </vt:variant>
      <vt:variant>
        <vt:lpwstr>_Toc479775795</vt:lpwstr>
      </vt:variant>
      <vt:variant>
        <vt:i4>1769533</vt:i4>
      </vt:variant>
      <vt:variant>
        <vt:i4>1631</vt:i4>
      </vt:variant>
      <vt:variant>
        <vt:i4>0</vt:i4>
      </vt:variant>
      <vt:variant>
        <vt:i4>5</vt:i4>
      </vt:variant>
      <vt:variant>
        <vt:lpwstr/>
      </vt:variant>
      <vt:variant>
        <vt:lpwstr>_Toc479775794</vt:lpwstr>
      </vt:variant>
      <vt:variant>
        <vt:i4>1769533</vt:i4>
      </vt:variant>
      <vt:variant>
        <vt:i4>1625</vt:i4>
      </vt:variant>
      <vt:variant>
        <vt:i4>0</vt:i4>
      </vt:variant>
      <vt:variant>
        <vt:i4>5</vt:i4>
      </vt:variant>
      <vt:variant>
        <vt:lpwstr/>
      </vt:variant>
      <vt:variant>
        <vt:lpwstr>_Toc479775793</vt:lpwstr>
      </vt:variant>
      <vt:variant>
        <vt:i4>1769533</vt:i4>
      </vt:variant>
      <vt:variant>
        <vt:i4>1619</vt:i4>
      </vt:variant>
      <vt:variant>
        <vt:i4>0</vt:i4>
      </vt:variant>
      <vt:variant>
        <vt:i4>5</vt:i4>
      </vt:variant>
      <vt:variant>
        <vt:lpwstr/>
      </vt:variant>
      <vt:variant>
        <vt:lpwstr>_Toc479775792</vt:lpwstr>
      </vt:variant>
      <vt:variant>
        <vt:i4>1769533</vt:i4>
      </vt:variant>
      <vt:variant>
        <vt:i4>1613</vt:i4>
      </vt:variant>
      <vt:variant>
        <vt:i4>0</vt:i4>
      </vt:variant>
      <vt:variant>
        <vt:i4>5</vt:i4>
      </vt:variant>
      <vt:variant>
        <vt:lpwstr/>
      </vt:variant>
      <vt:variant>
        <vt:lpwstr>_Toc479775791</vt:lpwstr>
      </vt:variant>
      <vt:variant>
        <vt:i4>1769533</vt:i4>
      </vt:variant>
      <vt:variant>
        <vt:i4>1607</vt:i4>
      </vt:variant>
      <vt:variant>
        <vt:i4>0</vt:i4>
      </vt:variant>
      <vt:variant>
        <vt:i4>5</vt:i4>
      </vt:variant>
      <vt:variant>
        <vt:lpwstr/>
      </vt:variant>
      <vt:variant>
        <vt:lpwstr>_Toc479775790</vt:lpwstr>
      </vt:variant>
      <vt:variant>
        <vt:i4>1703997</vt:i4>
      </vt:variant>
      <vt:variant>
        <vt:i4>1601</vt:i4>
      </vt:variant>
      <vt:variant>
        <vt:i4>0</vt:i4>
      </vt:variant>
      <vt:variant>
        <vt:i4>5</vt:i4>
      </vt:variant>
      <vt:variant>
        <vt:lpwstr/>
      </vt:variant>
      <vt:variant>
        <vt:lpwstr>_Toc479775789</vt:lpwstr>
      </vt:variant>
      <vt:variant>
        <vt:i4>1703997</vt:i4>
      </vt:variant>
      <vt:variant>
        <vt:i4>1595</vt:i4>
      </vt:variant>
      <vt:variant>
        <vt:i4>0</vt:i4>
      </vt:variant>
      <vt:variant>
        <vt:i4>5</vt:i4>
      </vt:variant>
      <vt:variant>
        <vt:lpwstr/>
      </vt:variant>
      <vt:variant>
        <vt:lpwstr>_Toc479775788</vt:lpwstr>
      </vt:variant>
      <vt:variant>
        <vt:i4>1703997</vt:i4>
      </vt:variant>
      <vt:variant>
        <vt:i4>1589</vt:i4>
      </vt:variant>
      <vt:variant>
        <vt:i4>0</vt:i4>
      </vt:variant>
      <vt:variant>
        <vt:i4>5</vt:i4>
      </vt:variant>
      <vt:variant>
        <vt:lpwstr/>
      </vt:variant>
      <vt:variant>
        <vt:lpwstr>_Toc479775787</vt:lpwstr>
      </vt:variant>
      <vt:variant>
        <vt:i4>1703997</vt:i4>
      </vt:variant>
      <vt:variant>
        <vt:i4>1583</vt:i4>
      </vt:variant>
      <vt:variant>
        <vt:i4>0</vt:i4>
      </vt:variant>
      <vt:variant>
        <vt:i4>5</vt:i4>
      </vt:variant>
      <vt:variant>
        <vt:lpwstr/>
      </vt:variant>
      <vt:variant>
        <vt:lpwstr>_Toc479775786</vt:lpwstr>
      </vt:variant>
      <vt:variant>
        <vt:i4>1703997</vt:i4>
      </vt:variant>
      <vt:variant>
        <vt:i4>1577</vt:i4>
      </vt:variant>
      <vt:variant>
        <vt:i4>0</vt:i4>
      </vt:variant>
      <vt:variant>
        <vt:i4>5</vt:i4>
      </vt:variant>
      <vt:variant>
        <vt:lpwstr/>
      </vt:variant>
      <vt:variant>
        <vt:lpwstr>_Toc479775785</vt:lpwstr>
      </vt:variant>
      <vt:variant>
        <vt:i4>1703997</vt:i4>
      </vt:variant>
      <vt:variant>
        <vt:i4>1571</vt:i4>
      </vt:variant>
      <vt:variant>
        <vt:i4>0</vt:i4>
      </vt:variant>
      <vt:variant>
        <vt:i4>5</vt:i4>
      </vt:variant>
      <vt:variant>
        <vt:lpwstr/>
      </vt:variant>
      <vt:variant>
        <vt:lpwstr>_Toc479775784</vt:lpwstr>
      </vt:variant>
      <vt:variant>
        <vt:i4>1703997</vt:i4>
      </vt:variant>
      <vt:variant>
        <vt:i4>1565</vt:i4>
      </vt:variant>
      <vt:variant>
        <vt:i4>0</vt:i4>
      </vt:variant>
      <vt:variant>
        <vt:i4>5</vt:i4>
      </vt:variant>
      <vt:variant>
        <vt:lpwstr/>
      </vt:variant>
      <vt:variant>
        <vt:lpwstr>_Toc479775783</vt:lpwstr>
      </vt:variant>
      <vt:variant>
        <vt:i4>1703997</vt:i4>
      </vt:variant>
      <vt:variant>
        <vt:i4>1559</vt:i4>
      </vt:variant>
      <vt:variant>
        <vt:i4>0</vt:i4>
      </vt:variant>
      <vt:variant>
        <vt:i4>5</vt:i4>
      </vt:variant>
      <vt:variant>
        <vt:lpwstr/>
      </vt:variant>
      <vt:variant>
        <vt:lpwstr>_Toc479775782</vt:lpwstr>
      </vt:variant>
      <vt:variant>
        <vt:i4>1703997</vt:i4>
      </vt:variant>
      <vt:variant>
        <vt:i4>1553</vt:i4>
      </vt:variant>
      <vt:variant>
        <vt:i4>0</vt:i4>
      </vt:variant>
      <vt:variant>
        <vt:i4>5</vt:i4>
      </vt:variant>
      <vt:variant>
        <vt:lpwstr/>
      </vt:variant>
      <vt:variant>
        <vt:lpwstr>_Toc479775781</vt:lpwstr>
      </vt:variant>
      <vt:variant>
        <vt:i4>1703997</vt:i4>
      </vt:variant>
      <vt:variant>
        <vt:i4>1547</vt:i4>
      </vt:variant>
      <vt:variant>
        <vt:i4>0</vt:i4>
      </vt:variant>
      <vt:variant>
        <vt:i4>5</vt:i4>
      </vt:variant>
      <vt:variant>
        <vt:lpwstr/>
      </vt:variant>
      <vt:variant>
        <vt:lpwstr>_Toc479775780</vt:lpwstr>
      </vt:variant>
      <vt:variant>
        <vt:i4>1376317</vt:i4>
      </vt:variant>
      <vt:variant>
        <vt:i4>1541</vt:i4>
      </vt:variant>
      <vt:variant>
        <vt:i4>0</vt:i4>
      </vt:variant>
      <vt:variant>
        <vt:i4>5</vt:i4>
      </vt:variant>
      <vt:variant>
        <vt:lpwstr/>
      </vt:variant>
      <vt:variant>
        <vt:lpwstr>_Toc479775779</vt:lpwstr>
      </vt:variant>
      <vt:variant>
        <vt:i4>1376317</vt:i4>
      </vt:variant>
      <vt:variant>
        <vt:i4>1535</vt:i4>
      </vt:variant>
      <vt:variant>
        <vt:i4>0</vt:i4>
      </vt:variant>
      <vt:variant>
        <vt:i4>5</vt:i4>
      </vt:variant>
      <vt:variant>
        <vt:lpwstr/>
      </vt:variant>
      <vt:variant>
        <vt:lpwstr>_Toc479775778</vt:lpwstr>
      </vt:variant>
      <vt:variant>
        <vt:i4>1376317</vt:i4>
      </vt:variant>
      <vt:variant>
        <vt:i4>1529</vt:i4>
      </vt:variant>
      <vt:variant>
        <vt:i4>0</vt:i4>
      </vt:variant>
      <vt:variant>
        <vt:i4>5</vt:i4>
      </vt:variant>
      <vt:variant>
        <vt:lpwstr/>
      </vt:variant>
      <vt:variant>
        <vt:lpwstr>_Toc479775777</vt:lpwstr>
      </vt:variant>
      <vt:variant>
        <vt:i4>1376317</vt:i4>
      </vt:variant>
      <vt:variant>
        <vt:i4>1523</vt:i4>
      </vt:variant>
      <vt:variant>
        <vt:i4>0</vt:i4>
      </vt:variant>
      <vt:variant>
        <vt:i4>5</vt:i4>
      </vt:variant>
      <vt:variant>
        <vt:lpwstr/>
      </vt:variant>
      <vt:variant>
        <vt:lpwstr>_Toc479775776</vt:lpwstr>
      </vt:variant>
      <vt:variant>
        <vt:i4>1376317</vt:i4>
      </vt:variant>
      <vt:variant>
        <vt:i4>1517</vt:i4>
      </vt:variant>
      <vt:variant>
        <vt:i4>0</vt:i4>
      </vt:variant>
      <vt:variant>
        <vt:i4>5</vt:i4>
      </vt:variant>
      <vt:variant>
        <vt:lpwstr/>
      </vt:variant>
      <vt:variant>
        <vt:lpwstr>_Toc479775775</vt:lpwstr>
      </vt:variant>
      <vt:variant>
        <vt:i4>1376317</vt:i4>
      </vt:variant>
      <vt:variant>
        <vt:i4>1511</vt:i4>
      </vt:variant>
      <vt:variant>
        <vt:i4>0</vt:i4>
      </vt:variant>
      <vt:variant>
        <vt:i4>5</vt:i4>
      </vt:variant>
      <vt:variant>
        <vt:lpwstr/>
      </vt:variant>
      <vt:variant>
        <vt:lpwstr>_Toc479775774</vt:lpwstr>
      </vt:variant>
      <vt:variant>
        <vt:i4>1376317</vt:i4>
      </vt:variant>
      <vt:variant>
        <vt:i4>1505</vt:i4>
      </vt:variant>
      <vt:variant>
        <vt:i4>0</vt:i4>
      </vt:variant>
      <vt:variant>
        <vt:i4>5</vt:i4>
      </vt:variant>
      <vt:variant>
        <vt:lpwstr/>
      </vt:variant>
      <vt:variant>
        <vt:lpwstr>_Toc479775773</vt:lpwstr>
      </vt:variant>
      <vt:variant>
        <vt:i4>1376317</vt:i4>
      </vt:variant>
      <vt:variant>
        <vt:i4>1499</vt:i4>
      </vt:variant>
      <vt:variant>
        <vt:i4>0</vt:i4>
      </vt:variant>
      <vt:variant>
        <vt:i4>5</vt:i4>
      </vt:variant>
      <vt:variant>
        <vt:lpwstr/>
      </vt:variant>
      <vt:variant>
        <vt:lpwstr>_Toc479775772</vt:lpwstr>
      </vt:variant>
      <vt:variant>
        <vt:i4>1376317</vt:i4>
      </vt:variant>
      <vt:variant>
        <vt:i4>1493</vt:i4>
      </vt:variant>
      <vt:variant>
        <vt:i4>0</vt:i4>
      </vt:variant>
      <vt:variant>
        <vt:i4>5</vt:i4>
      </vt:variant>
      <vt:variant>
        <vt:lpwstr/>
      </vt:variant>
      <vt:variant>
        <vt:lpwstr>_Toc479775771</vt:lpwstr>
      </vt:variant>
      <vt:variant>
        <vt:i4>1376317</vt:i4>
      </vt:variant>
      <vt:variant>
        <vt:i4>1487</vt:i4>
      </vt:variant>
      <vt:variant>
        <vt:i4>0</vt:i4>
      </vt:variant>
      <vt:variant>
        <vt:i4>5</vt:i4>
      </vt:variant>
      <vt:variant>
        <vt:lpwstr/>
      </vt:variant>
      <vt:variant>
        <vt:lpwstr>_Toc479775770</vt:lpwstr>
      </vt:variant>
      <vt:variant>
        <vt:i4>1310781</vt:i4>
      </vt:variant>
      <vt:variant>
        <vt:i4>1481</vt:i4>
      </vt:variant>
      <vt:variant>
        <vt:i4>0</vt:i4>
      </vt:variant>
      <vt:variant>
        <vt:i4>5</vt:i4>
      </vt:variant>
      <vt:variant>
        <vt:lpwstr/>
      </vt:variant>
      <vt:variant>
        <vt:lpwstr>_Toc479775769</vt:lpwstr>
      </vt:variant>
      <vt:variant>
        <vt:i4>1310781</vt:i4>
      </vt:variant>
      <vt:variant>
        <vt:i4>1475</vt:i4>
      </vt:variant>
      <vt:variant>
        <vt:i4>0</vt:i4>
      </vt:variant>
      <vt:variant>
        <vt:i4>5</vt:i4>
      </vt:variant>
      <vt:variant>
        <vt:lpwstr/>
      </vt:variant>
      <vt:variant>
        <vt:lpwstr>_Toc479775768</vt:lpwstr>
      </vt:variant>
      <vt:variant>
        <vt:i4>1310781</vt:i4>
      </vt:variant>
      <vt:variant>
        <vt:i4>1469</vt:i4>
      </vt:variant>
      <vt:variant>
        <vt:i4>0</vt:i4>
      </vt:variant>
      <vt:variant>
        <vt:i4>5</vt:i4>
      </vt:variant>
      <vt:variant>
        <vt:lpwstr/>
      </vt:variant>
      <vt:variant>
        <vt:lpwstr>_Toc479775767</vt:lpwstr>
      </vt:variant>
      <vt:variant>
        <vt:i4>1310781</vt:i4>
      </vt:variant>
      <vt:variant>
        <vt:i4>1463</vt:i4>
      </vt:variant>
      <vt:variant>
        <vt:i4>0</vt:i4>
      </vt:variant>
      <vt:variant>
        <vt:i4>5</vt:i4>
      </vt:variant>
      <vt:variant>
        <vt:lpwstr/>
      </vt:variant>
      <vt:variant>
        <vt:lpwstr>_Toc479775766</vt:lpwstr>
      </vt:variant>
      <vt:variant>
        <vt:i4>1310781</vt:i4>
      </vt:variant>
      <vt:variant>
        <vt:i4>1457</vt:i4>
      </vt:variant>
      <vt:variant>
        <vt:i4>0</vt:i4>
      </vt:variant>
      <vt:variant>
        <vt:i4>5</vt:i4>
      </vt:variant>
      <vt:variant>
        <vt:lpwstr/>
      </vt:variant>
      <vt:variant>
        <vt:lpwstr>_Toc479775765</vt:lpwstr>
      </vt:variant>
      <vt:variant>
        <vt:i4>1310781</vt:i4>
      </vt:variant>
      <vt:variant>
        <vt:i4>1451</vt:i4>
      </vt:variant>
      <vt:variant>
        <vt:i4>0</vt:i4>
      </vt:variant>
      <vt:variant>
        <vt:i4>5</vt:i4>
      </vt:variant>
      <vt:variant>
        <vt:lpwstr/>
      </vt:variant>
      <vt:variant>
        <vt:lpwstr>_Toc479775764</vt:lpwstr>
      </vt:variant>
      <vt:variant>
        <vt:i4>1310781</vt:i4>
      </vt:variant>
      <vt:variant>
        <vt:i4>1445</vt:i4>
      </vt:variant>
      <vt:variant>
        <vt:i4>0</vt:i4>
      </vt:variant>
      <vt:variant>
        <vt:i4>5</vt:i4>
      </vt:variant>
      <vt:variant>
        <vt:lpwstr/>
      </vt:variant>
      <vt:variant>
        <vt:lpwstr>_Toc479775763</vt:lpwstr>
      </vt:variant>
      <vt:variant>
        <vt:i4>1310781</vt:i4>
      </vt:variant>
      <vt:variant>
        <vt:i4>1439</vt:i4>
      </vt:variant>
      <vt:variant>
        <vt:i4>0</vt:i4>
      </vt:variant>
      <vt:variant>
        <vt:i4>5</vt:i4>
      </vt:variant>
      <vt:variant>
        <vt:lpwstr/>
      </vt:variant>
      <vt:variant>
        <vt:lpwstr>_Toc479775762</vt:lpwstr>
      </vt:variant>
      <vt:variant>
        <vt:i4>1310781</vt:i4>
      </vt:variant>
      <vt:variant>
        <vt:i4>1433</vt:i4>
      </vt:variant>
      <vt:variant>
        <vt:i4>0</vt:i4>
      </vt:variant>
      <vt:variant>
        <vt:i4>5</vt:i4>
      </vt:variant>
      <vt:variant>
        <vt:lpwstr/>
      </vt:variant>
      <vt:variant>
        <vt:lpwstr>_Toc479775761</vt:lpwstr>
      </vt:variant>
      <vt:variant>
        <vt:i4>1310781</vt:i4>
      </vt:variant>
      <vt:variant>
        <vt:i4>1427</vt:i4>
      </vt:variant>
      <vt:variant>
        <vt:i4>0</vt:i4>
      </vt:variant>
      <vt:variant>
        <vt:i4>5</vt:i4>
      </vt:variant>
      <vt:variant>
        <vt:lpwstr/>
      </vt:variant>
      <vt:variant>
        <vt:lpwstr>_Toc479775760</vt:lpwstr>
      </vt:variant>
      <vt:variant>
        <vt:i4>1507389</vt:i4>
      </vt:variant>
      <vt:variant>
        <vt:i4>1421</vt:i4>
      </vt:variant>
      <vt:variant>
        <vt:i4>0</vt:i4>
      </vt:variant>
      <vt:variant>
        <vt:i4>5</vt:i4>
      </vt:variant>
      <vt:variant>
        <vt:lpwstr/>
      </vt:variant>
      <vt:variant>
        <vt:lpwstr>_Toc479775759</vt:lpwstr>
      </vt:variant>
      <vt:variant>
        <vt:i4>1507389</vt:i4>
      </vt:variant>
      <vt:variant>
        <vt:i4>1415</vt:i4>
      </vt:variant>
      <vt:variant>
        <vt:i4>0</vt:i4>
      </vt:variant>
      <vt:variant>
        <vt:i4>5</vt:i4>
      </vt:variant>
      <vt:variant>
        <vt:lpwstr/>
      </vt:variant>
      <vt:variant>
        <vt:lpwstr>_Toc479775758</vt:lpwstr>
      </vt:variant>
      <vt:variant>
        <vt:i4>1507389</vt:i4>
      </vt:variant>
      <vt:variant>
        <vt:i4>1409</vt:i4>
      </vt:variant>
      <vt:variant>
        <vt:i4>0</vt:i4>
      </vt:variant>
      <vt:variant>
        <vt:i4>5</vt:i4>
      </vt:variant>
      <vt:variant>
        <vt:lpwstr/>
      </vt:variant>
      <vt:variant>
        <vt:lpwstr>_Toc479775757</vt:lpwstr>
      </vt:variant>
      <vt:variant>
        <vt:i4>1507389</vt:i4>
      </vt:variant>
      <vt:variant>
        <vt:i4>1403</vt:i4>
      </vt:variant>
      <vt:variant>
        <vt:i4>0</vt:i4>
      </vt:variant>
      <vt:variant>
        <vt:i4>5</vt:i4>
      </vt:variant>
      <vt:variant>
        <vt:lpwstr/>
      </vt:variant>
      <vt:variant>
        <vt:lpwstr>_Toc479775756</vt:lpwstr>
      </vt:variant>
      <vt:variant>
        <vt:i4>1507389</vt:i4>
      </vt:variant>
      <vt:variant>
        <vt:i4>1397</vt:i4>
      </vt:variant>
      <vt:variant>
        <vt:i4>0</vt:i4>
      </vt:variant>
      <vt:variant>
        <vt:i4>5</vt:i4>
      </vt:variant>
      <vt:variant>
        <vt:lpwstr/>
      </vt:variant>
      <vt:variant>
        <vt:lpwstr>_Toc479775755</vt:lpwstr>
      </vt:variant>
      <vt:variant>
        <vt:i4>1507389</vt:i4>
      </vt:variant>
      <vt:variant>
        <vt:i4>1391</vt:i4>
      </vt:variant>
      <vt:variant>
        <vt:i4>0</vt:i4>
      </vt:variant>
      <vt:variant>
        <vt:i4>5</vt:i4>
      </vt:variant>
      <vt:variant>
        <vt:lpwstr/>
      </vt:variant>
      <vt:variant>
        <vt:lpwstr>_Toc479775754</vt:lpwstr>
      </vt:variant>
      <vt:variant>
        <vt:i4>1507389</vt:i4>
      </vt:variant>
      <vt:variant>
        <vt:i4>1385</vt:i4>
      </vt:variant>
      <vt:variant>
        <vt:i4>0</vt:i4>
      </vt:variant>
      <vt:variant>
        <vt:i4>5</vt:i4>
      </vt:variant>
      <vt:variant>
        <vt:lpwstr/>
      </vt:variant>
      <vt:variant>
        <vt:lpwstr>_Toc479775753</vt:lpwstr>
      </vt:variant>
      <vt:variant>
        <vt:i4>1507389</vt:i4>
      </vt:variant>
      <vt:variant>
        <vt:i4>1379</vt:i4>
      </vt:variant>
      <vt:variant>
        <vt:i4>0</vt:i4>
      </vt:variant>
      <vt:variant>
        <vt:i4>5</vt:i4>
      </vt:variant>
      <vt:variant>
        <vt:lpwstr/>
      </vt:variant>
      <vt:variant>
        <vt:lpwstr>_Toc479775752</vt:lpwstr>
      </vt:variant>
      <vt:variant>
        <vt:i4>1507389</vt:i4>
      </vt:variant>
      <vt:variant>
        <vt:i4>1373</vt:i4>
      </vt:variant>
      <vt:variant>
        <vt:i4>0</vt:i4>
      </vt:variant>
      <vt:variant>
        <vt:i4>5</vt:i4>
      </vt:variant>
      <vt:variant>
        <vt:lpwstr/>
      </vt:variant>
      <vt:variant>
        <vt:lpwstr>_Toc479775751</vt:lpwstr>
      </vt:variant>
      <vt:variant>
        <vt:i4>1507389</vt:i4>
      </vt:variant>
      <vt:variant>
        <vt:i4>1367</vt:i4>
      </vt:variant>
      <vt:variant>
        <vt:i4>0</vt:i4>
      </vt:variant>
      <vt:variant>
        <vt:i4>5</vt:i4>
      </vt:variant>
      <vt:variant>
        <vt:lpwstr/>
      </vt:variant>
      <vt:variant>
        <vt:lpwstr>_Toc479775750</vt:lpwstr>
      </vt:variant>
      <vt:variant>
        <vt:i4>1441853</vt:i4>
      </vt:variant>
      <vt:variant>
        <vt:i4>1361</vt:i4>
      </vt:variant>
      <vt:variant>
        <vt:i4>0</vt:i4>
      </vt:variant>
      <vt:variant>
        <vt:i4>5</vt:i4>
      </vt:variant>
      <vt:variant>
        <vt:lpwstr/>
      </vt:variant>
      <vt:variant>
        <vt:lpwstr>_Toc479775749</vt:lpwstr>
      </vt:variant>
      <vt:variant>
        <vt:i4>1441853</vt:i4>
      </vt:variant>
      <vt:variant>
        <vt:i4>1355</vt:i4>
      </vt:variant>
      <vt:variant>
        <vt:i4>0</vt:i4>
      </vt:variant>
      <vt:variant>
        <vt:i4>5</vt:i4>
      </vt:variant>
      <vt:variant>
        <vt:lpwstr/>
      </vt:variant>
      <vt:variant>
        <vt:lpwstr>_Toc479775748</vt:lpwstr>
      </vt:variant>
      <vt:variant>
        <vt:i4>1441853</vt:i4>
      </vt:variant>
      <vt:variant>
        <vt:i4>1349</vt:i4>
      </vt:variant>
      <vt:variant>
        <vt:i4>0</vt:i4>
      </vt:variant>
      <vt:variant>
        <vt:i4>5</vt:i4>
      </vt:variant>
      <vt:variant>
        <vt:lpwstr/>
      </vt:variant>
      <vt:variant>
        <vt:lpwstr>_Toc479775747</vt:lpwstr>
      </vt:variant>
      <vt:variant>
        <vt:i4>1441853</vt:i4>
      </vt:variant>
      <vt:variant>
        <vt:i4>1343</vt:i4>
      </vt:variant>
      <vt:variant>
        <vt:i4>0</vt:i4>
      </vt:variant>
      <vt:variant>
        <vt:i4>5</vt:i4>
      </vt:variant>
      <vt:variant>
        <vt:lpwstr/>
      </vt:variant>
      <vt:variant>
        <vt:lpwstr>_Toc479775746</vt:lpwstr>
      </vt:variant>
      <vt:variant>
        <vt:i4>1441853</vt:i4>
      </vt:variant>
      <vt:variant>
        <vt:i4>1337</vt:i4>
      </vt:variant>
      <vt:variant>
        <vt:i4>0</vt:i4>
      </vt:variant>
      <vt:variant>
        <vt:i4>5</vt:i4>
      </vt:variant>
      <vt:variant>
        <vt:lpwstr/>
      </vt:variant>
      <vt:variant>
        <vt:lpwstr>_Toc479775745</vt:lpwstr>
      </vt:variant>
      <vt:variant>
        <vt:i4>1441853</vt:i4>
      </vt:variant>
      <vt:variant>
        <vt:i4>1331</vt:i4>
      </vt:variant>
      <vt:variant>
        <vt:i4>0</vt:i4>
      </vt:variant>
      <vt:variant>
        <vt:i4>5</vt:i4>
      </vt:variant>
      <vt:variant>
        <vt:lpwstr/>
      </vt:variant>
      <vt:variant>
        <vt:lpwstr>_Toc479775744</vt:lpwstr>
      </vt:variant>
      <vt:variant>
        <vt:i4>1441853</vt:i4>
      </vt:variant>
      <vt:variant>
        <vt:i4>1325</vt:i4>
      </vt:variant>
      <vt:variant>
        <vt:i4>0</vt:i4>
      </vt:variant>
      <vt:variant>
        <vt:i4>5</vt:i4>
      </vt:variant>
      <vt:variant>
        <vt:lpwstr/>
      </vt:variant>
      <vt:variant>
        <vt:lpwstr>_Toc479775743</vt:lpwstr>
      </vt:variant>
      <vt:variant>
        <vt:i4>1441853</vt:i4>
      </vt:variant>
      <vt:variant>
        <vt:i4>1319</vt:i4>
      </vt:variant>
      <vt:variant>
        <vt:i4>0</vt:i4>
      </vt:variant>
      <vt:variant>
        <vt:i4>5</vt:i4>
      </vt:variant>
      <vt:variant>
        <vt:lpwstr/>
      </vt:variant>
      <vt:variant>
        <vt:lpwstr>_Toc479775742</vt:lpwstr>
      </vt:variant>
      <vt:variant>
        <vt:i4>1441853</vt:i4>
      </vt:variant>
      <vt:variant>
        <vt:i4>1313</vt:i4>
      </vt:variant>
      <vt:variant>
        <vt:i4>0</vt:i4>
      </vt:variant>
      <vt:variant>
        <vt:i4>5</vt:i4>
      </vt:variant>
      <vt:variant>
        <vt:lpwstr/>
      </vt:variant>
      <vt:variant>
        <vt:lpwstr>_Toc479775741</vt:lpwstr>
      </vt:variant>
      <vt:variant>
        <vt:i4>1441853</vt:i4>
      </vt:variant>
      <vt:variant>
        <vt:i4>1307</vt:i4>
      </vt:variant>
      <vt:variant>
        <vt:i4>0</vt:i4>
      </vt:variant>
      <vt:variant>
        <vt:i4>5</vt:i4>
      </vt:variant>
      <vt:variant>
        <vt:lpwstr/>
      </vt:variant>
      <vt:variant>
        <vt:lpwstr>_Toc479775740</vt:lpwstr>
      </vt:variant>
      <vt:variant>
        <vt:i4>1114173</vt:i4>
      </vt:variant>
      <vt:variant>
        <vt:i4>1301</vt:i4>
      </vt:variant>
      <vt:variant>
        <vt:i4>0</vt:i4>
      </vt:variant>
      <vt:variant>
        <vt:i4>5</vt:i4>
      </vt:variant>
      <vt:variant>
        <vt:lpwstr/>
      </vt:variant>
      <vt:variant>
        <vt:lpwstr>_Toc479775739</vt:lpwstr>
      </vt:variant>
      <vt:variant>
        <vt:i4>1114173</vt:i4>
      </vt:variant>
      <vt:variant>
        <vt:i4>1295</vt:i4>
      </vt:variant>
      <vt:variant>
        <vt:i4>0</vt:i4>
      </vt:variant>
      <vt:variant>
        <vt:i4>5</vt:i4>
      </vt:variant>
      <vt:variant>
        <vt:lpwstr/>
      </vt:variant>
      <vt:variant>
        <vt:lpwstr>_Toc479775738</vt:lpwstr>
      </vt:variant>
      <vt:variant>
        <vt:i4>1114173</vt:i4>
      </vt:variant>
      <vt:variant>
        <vt:i4>1289</vt:i4>
      </vt:variant>
      <vt:variant>
        <vt:i4>0</vt:i4>
      </vt:variant>
      <vt:variant>
        <vt:i4>5</vt:i4>
      </vt:variant>
      <vt:variant>
        <vt:lpwstr/>
      </vt:variant>
      <vt:variant>
        <vt:lpwstr>_Toc479775737</vt:lpwstr>
      </vt:variant>
      <vt:variant>
        <vt:i4>1114173</vt:i4>
      </vt:variant>
      <vt:variant>
        <vt:i4>1283</vt:i4>
      </vt:variant>
      <vt:variant>
        <vt:i4>0</vt:i4>
      </vt:variant>
      <vt:variant>
        <vt:i4>5</vt:i4>
      </vt:variant>
      <vt:variant>
        <vt:lpwstr/>
      </vt:variant>
      <vt:variant>
        <vt:lpwstr>_Toc479775736</vt:lpwstr>
      </vt:variant>
      <vt:variant>
        <vt:i4>1114173</vt:i4>
      </vt:variant>
      <vt:variant>
        <vt:i4>1277</vt:i4>
      </vt:variant>
      <vt:variant>
        <vt:i4>0</vt:i4>
      </vt:variant>
      <vt:variant>
        <vt:i4>5</vt:i4>
      </vt:variant>
      <vt:variant>
        <vt:lpwstr/>
      </vt:variant>
      <vt:variant>
        <vt:lpwstr>_Toc479775735</vt:lpwstr>
      </vt:variant>
      <vt:variant>
        <vt:i4>1114173</vt:i4>
      </vt:variant>
      <vt:variant>
        <vt:i4>1271</vt:i4>
      </vt:variant>
      <vt:variant>
        <vt:i4>0</vt:i4>
      </vt:variant>
      <vt:variant>
        <vt:i4>5</vt:i4>
      </vt:variant>
      <vt:variant>
        <vt:lpwstr/>
      </vt:variant>
      <vt:variant>
        <vt:lpwstr>_Toc479775734</vt:lpwstr>
      </vt:variant>
      <vt:variant>
        <vt:i4>1114173</vt:i4>
      </vt:variant>
      <vt:variant>
        <vt:i4>1265</vt:i4>
      </vt:variant>
      <vt:variant>
        <vt:i4>0</vt:i4>
      </vt:variant>
      <vt:variant>
        <vt:i4>5</vt:i4>
      </vt:variant>
      <vt:variant>
        <vt:lpwstr/>
      </vt:variant>
      <vt:variant>
        <vt:lpwstr>_Toc479775733</vt:lpwstr>
      </vt:variant>
      <vt:variant>
        <vt:i4>1114173</vt:i4>
      </vt:variant>
      <vt:variant>
        <vt:i4>1259</vt:i4>
      </vt:variant>
      <vt:variant>
        <vt:i4>0</vt:i4>
      </vt:variant>
      <vt:variant>
        <vt:i4>5</vt:i4>
      </vt:variant>
      <vt:variant>
        <vt:lpwstr/>
      </vt:variant>
      <vt:variant>
        <vt:lpwstr>_Toc479775732</vt:lpwstr>
      </vt:variant>
      <vt:variant>
        <vt:i4>1114173</vt:i4>
      </vt:variant>
      <vt:variant>
        <vt:i4>1253</vt:i4>
      </vt:variant>
      <vt:variant>
        <vt:i4>0</vt:i4>
      </vt:variant>
      <vt:variant>
        <vt:i4>5</vt:i4>
      </vt:variant>
      <vt:variant>
        <vt:lpwstr/>
      </vt:variant>
      <vt:variant>
        <vt:lpwstr>_Toc479775731</vt:lpwstr>
      </vt:variant>
      <vt:variant>
        <vt:i4>1114173</vt:i4>
      </vt:variant>
      <vt:variant>
        <vt:i4>1247</vt:i4>
      </vt:variant>
      <vt:variant>
        <vt:i4>0</vt:i4>
      </vt:variant>
      <vt:variant>
        <vt:i4>5</vt:i4>
      </vt:variant>
      <vt:variant>
        <vt:lpwstr/>
      </vt:variant>
      <vt:variant>
        <vt:lpwstr>_Toc479775730</vt:lpwstr>
      </vt:variant>
      <vt:variant>
        <vt:i4>1048637</vt:i4>
      </vt:variant>
      <vt:variant>
        <vt:i4>1241</vt:i4>
      </vt:variant>
      <vt:variant>
        <vt:i4>0</vt:i4>
      </vt:variant>
      <vt:variant>
        <vt:i4>5</vt:i4>
      </vt:variant>
      <vt:variant>
        <vt:lpwstr/>
      </vt:variant>
      <vt:variant>
        <vt:lpwstr>_Toc479775729</vt:lpwstr>
      </vt:variant>
      <vt:variant>
        <vt:i4>1048637</vt:i4>
      </vt:variant>
      <vt:variant>
        <vt:i4>1235</vt:i4>
      </vt:variant>
      <vt:variant>
        <vt:i4>0</vt:i4>
      </vt:variant>
      <vt:variant>
        <vt:i4>5</vt:i4>
      </vt:variant>
      <vt:variant>
        <vt:lpwstr/>
      </vt:variant>
      <vt:variant>
        <vt:lpwstr>_Toc479775728</vt:lpwstr>
      </vt:variant>
      <vt:variant>
        <vt:i4>1048637</vt:i4>
      </vt:variant>
      <vt:variant>
        <vt:i4>1229</vt:i4>
      </vt:variant>
      <vt:variant>
        <vt:i4>0</vt:i4>
      </vt:variant>
      <vt:variant>
        <vt:i4>5</vt:i4>
      </vt:variant>
      <vt:variant>
        <vt:lpwstr/>
      </vt:variant>
      <vt:variant>
        <vt:lpwstr>_Toc479775727</vt:lpwstr>
      </vt:variant>
      <vt:variant>
        <vt:i4>1048637</vt:i4>
      </vt:variant>
      <vt:variant>
        <vt:i4>1223</vt:i4>
      </vt:variant>
      <vt:variant>
        <vt:i4>0</vt:i4>
      </vt:variant>
      <vt:variant>
        <vt:i4>5</vt:i4>
      </vt:variant>
      <vt:variant>
        <vt:lpwstr/>
      </vt:variant>
      <vt:variant>
        <vt:lpwstr>_Toc479775726</vt:lpwstr>
      </vt:variant>
      <vt:variant>
        <vt:i4>1048637</vt:i4>
      </vt:variant>
      <vt:variant>
        <vt:i4>1217</vt:i4>
      </vt:variant>
      <vt:variant>
        <vt:i4>0</vt:i4>
      </vt:variant>
      <vt:variant>
        <vt:i4>5</vt:i4>
      </vt:variant>
      <vt:variant>
        <vt:lpwstr/>
      </vt:variant>
      <vt:variant>
        <vt:lpwstr>_Toc479775725</vt:lpwstr>
      </vt:variant>
      <vt:variant>
        <vt:i4>1048637</vt:i4>
      </vt:variant>
      <vt:variant>
        <vt:i4>1211</vt:i4>
      </vt:variant>
      <vt:variant>
        <vt:i4>0</vt:i4>
      </vt:variant>
      <vt:variant>
        <vt:i4>5</vt:i4>
      </vt:variant>
      <vt:variant>
        <vt:lpwstr/>
      </vt:variant>
      <vt:variant>
        <vt:lpwstr>_Toc479775724</vt:lpwstr>
      </vt:variant>
      <vt:variant>
        <vt:i4>1048637</vt:i4>
      </vt:variant>
      <vt:variant>
        <vt:i4>1205</vt:i4>
      </vt:variant>
      <vt:variant>
        <vt:i4>0</vt:i4>
      </vt:variant>
      <vt:variant>
        <vt:i4>5</vt:i4>
      </vt:variant>
      <vt:variant>
        <vt:lpwstr/>
      </vt:variant>
      <vt:variant>
        <vt:lpwstr>_Toc479775723</vt:lpwstr>
      </vt:variant>
      <vt:variant>
        <vt:i4>1048637</vt:i4>
      </vt:variant>
      <vt:variant>
        <vt:i4>1199</vt:i4>
      </vt:variant>
      <vt:variant>
        <vt:i4>0</vt:i4>
      </vt:variant>
      <vt:variant>
        <vt:i4>5</vt:i4>
      </vt:variant>
      <vt:variant>
        <vt:lpwstr/>
      </vt:variant>
      <vt:variant>
        <vt:lpwstr>_Toc479775722</vt:lpwstr>
      </vt:variant>
      <vt:variant>
        <vt:i4>1048637</vt:i4>
      </vt:variant>
      <vt:variant>
        <vt:i4>1193</vt:i4>
      </vt:variant>
      <vt:variant>
        <vt:i4>0</vt:i4>
      </vt:variant>
      <vt:variant>
        <vt:i4>5</vt:i4>
      </vt:variant>
      <vt:variant>
        <vt:lpwstr/>
      </vt:variant>
      <vt:variant>
        <vt:lpwstr>_Toc479775721</vt:lpwstr>
      </vt:variant>
      <vt:variant>
        <vt:i4>1048637</vt:i4>
      </vt:variant>
      <vt:variant>
        <vt:i4>1187</vt:i4>
      </vt:variant>
      <vt:variant>
        <vt:i4>0</vt:i4>
      </vt:variant>
      <vt:variant>
        <vt:i4>5</vt:i4>
      </vt:variant>
      <vt:variant>
        <vt:lpwstr/>
      </vt:variant>
      <vt:variant>
        <vt:lpwstr>_Toc479775720</vt:lpwstr>
      </vt:variant>
      <vt:variant>
        <vt:i4>1245245</vt:i4>
      </vt:variant>
      <vt:variant>
        <vt:i4>1181</vt:i4>
      </vt:variant>
      <vt:variant>
        <vt:i4>0</vt:i4>
      </vt:variant>
      <vt:variant>
        <vt:i4>5</vt:i4>
      </vt:variant>
      <vt:variant>
        <vt:lpwstr/>
      </vt:variant>
      <vt:variant>
        <vt:lpwstr>_Toc479775719</vt:lpwstr>
      </vt:variant>
      <vt:variant>
        <vt:i4>1245245</vt:i4>
      </vt:variant>
      <vt:variant>
        <vt:i4>1175</vt:i4>
      </vt:variant>
      <vt:variant>
        <vt:i4>0</vt:i4>
      </vt:variant>
      <vt:variant>
        <vt:i4>5</vt:i4>
      </vt:variant>
      <vt:variant>
        <vt:lpwstr/>
      </vt:variant>
      <vt:variant>
        <vt:lpwstr>_Toc479775718</vt:lpwstr>
      </vt:variant>
      <vt:variant>
        <vt:i4>1245245</vt:i4>
      </vt:variant>
      <vt:variant>
        <vt:i4>1169</vt:i4>
      </vt:variant>
      <vt:variant>
        <vt:i4>0</vt:i4>
      </vt:variant>
      <vt:variant>
        <vt:i4>5</vt:i4>
      </vt:variant>
      <vt:variant>
        <vt:lpwstr/>
      </vt:variant>
      <vt:variant>
        <vt:lpwstr>_Toc479775717</vt:lpwstr>
      </vt:variant>
      <vt:variant>
        <vt:i4>1245245</vt:i4>
      </vt:variant>
      <vt:variant>
        <vt:i4>1163</vt:i4>
      </vt:variant>
      <vt:variant>
        <vt:i4>0</vt:i4>
      </vt:variant>
      <vt:variant>
        <vt:i4>5</vt:i4>
      </vt:variant>
      <vt:variant>
        <vt:lpwstr/>
      </vt:variant>
      <vt:variant>
        <vt:lpwstr>_Toc479775716</vt:lpwstr>
      </vt:variant>
      <vt:variant>
        <vt:i4>1245245</vt:i4>
      </vt:variant>
      <vt:variant>
        <vt:i4>1157</vt:i4>
      </vt:variant>
      <vt:variant>
        <vt:i4>0</vt:i4>
      </vt:variant>
      <vt:variant>
        <vt:i4>5</vt:i4>
      </vt:variant>
      <vt:variant>
        <vt:lpwstr/>
      </vt:variant>
      <vt:variant>
        <vt:lpwstr>_Toc479775715</vt:lpwstr>
      </vt:variant>
      <vt:variant>
        <vt:i4>1245245</vt:i4>
      </vt:variant>
      <vt:variant>
        <vt:i4>1151</vt:i4>
      </vt:variant>
      <vt:variant>
        <vt:i4>0</vt:i4>
      </vt:variant>
      <vt:variant>
        <vt:i4>5</vt:i4>
      </vt:variant>
      <vt:variant>
        <vt:lpwstr/>
      </vt:variant>
      <vt:variant>
        <vt:lpwstr>_Toc479775714</vt:lpwstr>
      </vt:variant>
      <vt:variant>
        <vt:i4>1245245</vt:i4>
      </vt:variant>
      <vt:variant>
        <vt:i4>1145</vt:i4>
      </vt:variant>
      <vt:variant>
        <vt:i4>0</vt:i4>
      </vt:variant>
      <vt:variant>
        <vt:i4>5</vt:i4>
      </vt:variant>
      <vt:variant>
        <vt:lpwstr/>
      </vt:variant>
      <vt:variant>
        <vt:lpwstr>_Toc479775713</vt:lpwstr>
      </vt:variant>
      <vt:variant>
        <vt:i4>1245245</vt:i4>
      </vt:variant>
      <vt:variant>
        <vt:i4>1139</vt:i4>
      </vt:variant>
      <vt:variant>
        <vt:i4>0</vt:i4>
      </vt:variant>
      <vt:variant>
        <vt:i4>5</vt:i4>
      </vt:variant>
      <vt:variant>
        <vt:lpwstr/>
      </vt:variant>
      <vt:variant>
        <vt:lpwstr>_Toc479775712</vt:lpwstr>
      </vt:variant>
      <vt:variant>
        <vt:i4>1245245</vt:i4>
      </vt:variant>
      <vt:variant>
        <vt:i4>1133</vt:i4>
      </vt:variant>
      <vt:variant>
        <vt:i4>0</vt:i4>
      </vt:variant>
      <vt:variant>
        <vt:i4>5</vt:i4>
      </vt:variant>
      <vt:variant>
        <vt:lpwstr/>
      </vt:variant>
      <vt:variant>
        <vt:lpwstr>_Toc479775711</vt:lpwstr>
      </vt:variant>
      <vt:variant>
        <vt:i4>1245245</vt:i4>
      </vt:variant>
      <vt:variant>
        <vt:i4>1127</vt:i4>
      </vt:variant>
      <vt:variant>
        <vt:i4>0</vt:i4>
      </vt:variant>
      <vt:variant>
        <vt:i4>5</vt:i4>
      </vt:variant>
      <vt:variant>
        <vt:lpwstr/>
      </vt:variant>
      <vt:variant>
        <vt:lpwstr>_Toc479775710</vt:lpwstr>
      </vt:variant>
      <vt:variant>
        <vt:i4>1179709</vt:i4>
      </vt:variant>
      <vt:variant>
        <vt:i4>1121</vt:i4>
      </vt:variant>
      <vt:variant>
        <vt:i4>0</vt:i4>
      </vt:variant>
      <vt:variant>
        <vt:i4>5</vt:i4>
      </vt:variant>
      <vt:variant>
        <vt:lpwstr/>
      </vt:variant>
      <vt:variant>
        <vt:lpwstr>_Toc479775709</vt:lpwstr>
      </vt:variant>
      <vt:variant>
        <vt:i4>1179709</vt:i4>
      </vt:variant>
      <vt:variant>
        <vt:i4>1115</vt:i4>
      </vt:variant>
      <vt:variant>
        <vt:i4>0</vt:i4>
      </vt:variant>
      <vt:variant>
        <vt:i4>5</vt:i4>
      </vt:variant>
      <vt:variant>
        <vt:lpwstr/>
      </vt:variant>
      <vt:variant>
        <vt:lpwstr>_Toc479775708</vt:lpwstr>
      </vt:variant>
      <vt:variant>
        <vt:i4>1179709</vt:i4>
      </vt:variant>
      <vt:variant>
        <vt:i4>1109</vt:i4>
      </vt:variant>
      <vt:variant>
        <vt:i4>0</vt:i4>
      </vt:variant>
      <vt:variant>
        <vt:i4>5</vt:i4>
      </vt:variant>
      <vt:variant>
        <vt:lpwstr/>
      </vt:variant>
      <vt:variant>
        <vt:lpwstr>_Toc479775707</vt:lpwstr>
      </vt:variant>
      <vt:variant>
        <vt:i4>1179709</vt:i4>
      </vt:variant>
      <vt:variant>
        <vt:i4>1103</vt:i4>
      </vt:variant>
      <vt:variant>
        <vt:i4>0</vt:i4>
      </vt:variant>
      <vt:variant>
        <vt:i4>5</vt:i4>
      </vt:variant>
      <vt:variant>
        <vt:lpwstr/>
      </vt:variant>
      <vt:variant>
        <vt:lpwstr>_Toc479775706</vt:lpwstr>
      </vt:variant>
      <vt:variant>
        <vt:i4>1179709</vt:i4>
      </vt:variant>
      <vt:variant>
        <vt:i4>1097</vt:i4>
      </vt:variant>
      <vt:variant>
        <vt:i4>0</vt:i4>
      </vt:variant>
      <vt:variant>
        <vt:i4>5</vt:i4>
      </vt:variant>
      <vt:variant>
        <vt:lpwstr/>
      </vt:variant>
      <vt:variant>
        <vt:lpwstr>_Toc479775705</vt:lpwstr>
      </vt:variant>
      <vt:variant>
        <vt:i4>1179709</vt:i4>
      </vt:variant>
      <vt:variant>
        <vt:i4>1091</vt:i4>
      </vt:variant>
      <vt:variant>
        <vt:i4>0</vt:i4>
      </vt:variant>
      <vt:variant>
        <vt:i4>5</vt:i4>
      </vt:variant>
      <vt:variant>
        <vt:lpwstr/>
      </vt:variant>
      <vt:variant>
        <vt:lpwstr>_Toc479775704</vt:lpwstr>
      </vt:variant>
      <vt:variant>
        <vt:i4>1179709</vt:i4>
      </vt:variant>
      <vt:variant>
        <vt:i4>1085</vt:i4>
      </vt:variant>
      <vt:variant>
        <vt:i4>0</vt:i4>
      </vt:variant>
      <vt:variant>
        <vt:i4>5</vt:i4>
      </vt:variant>
      <vt:variant>
        <vt:lpwstr/>
      </vt:variant>
      <vt:variant>
        <vt:lpwstr>_Toc479775703</vt:lpwstr>
      </vt:variant>
      <vt:variant>
        <vt:i4>1179709</vt:i4>
      </vt:variant>
      <vt:variant>
        <vt:i4>1079</vt:i4>
      </vt:variant>
      <vt:variant>
        <vt:i4>0</vt:i4>
      </vt:variant>
      <vt:variant>
        <vt:i4>5</vt:i4>
      </vt:variant>
      <vt:variant>
        <vt:lpwstr/>
      </vt:variant>
      <vt:variant>
        <vt:lpwstr>_Toc479775702</vt:lpwstr>
      </vt:variant>
      <vt:variant>
        <vt:i4>1179709</vt:i4>
      </vt:variant>
      <vt:variant>
        <vt:i4>1073</vt:i4>
      </vt:variant>
      <vt:variant>
        <vt:i4>0</vt:i4>
      </vt:variant>
      <vt:variant>
        <vt:i4>5</vt:i4>
      </vt:variant>
      <vt:variant>
        <vt:lpwstr/>
      </vt:variant>
      <vt:variant>
        <vt:lpwstr>_Toc479775701</vt:lpwstr>
      </vt:variant>
      <vt:variant>
        <vt:i4>1179709</vt:i4>
      </vt:variant>
      <vt:variant>
        <vt:i4>1067</vt:i4>
      </vt:variant>
      <vt:variant>
        <vt:i4>0</vt:i4>
      </vt:variant>
      <vt:variant>
        <vt:i4>5</vt:i4>
      </vt:variant>
      <vt:variant>
        <vt:lpwstr/>
      </vt:variant>
      <vt:variant>
        <vt:lpwstr>_Toc479775700</vt:lpwstr>
      </vt:variant>
      <vt:variant>
        <vt:i4>1769532</vt:i4>
      </vt:variant>
      <vt:variant>
        <vt:i4>1061</vt:i4>
      </vt:variant>
      <vt:variant>
        <vt:i4>0</vt:i4>
      </vt:variant>
      <vt:variant>
        <vt:i4>5</vt:i4>
      </vt:variant>
      <vt:variant>
        <vt:lpwstr/>
      </vt:variant>
      <vt:variant>
        <vt:lpwstr>_Toc479775699</vt:lpwstr>
      </vt:variant>
      <vt:variant>
        <vt:i4>1769532</vt:i4>
      </vt:variant>
      <vt:variant>
        <vt:i4>1055</vt:i4>
      </vt:variant>
      <vt:variant>
        <vt:i4>0</vt:i4>
      </vt:variant>
      <vt:variant>
        <vt:i4>5</vt:i4>
      </vt:variant>
      <vt:variant>
        <vt:lpwstr/>
      </vt:variant>
      <vt:variant>
        <vt:lpwstr>_Toc479775698</vt:lpwstr>
      </vt:variant>
      <vt:variant>
        <vt:i4>1769532</vt:i4>
      </vt:variant>
      <vt:variant>
        <vt:i4>1049</vt:i4>
      </vt:variant>
      <vt:variant>
        <vt:i4>0</vt:i4>
      </vt:variant>
      <vt:variant>
        <vt:i4>5</vt:i4>
      </vt:variant>
      <vt:variant>
        <vt:lpwstr/>
      </vt:variant>
      <vt:variant>
        <vt:lpwstr>_Toc479775697</vt:lpwstr>
      </vt:variant>
      <vt:variant>
        <vt:i4>1769532</vt:i4>
      </vt:variant>
      <vt:variant>
        <vt:i4>1043</vt:i4>
      </vt:variant>
      <vt:variant>
        <vt:i4>0</vt:i4>
      </vt:variant>
      <vt:variant>
        <vt:i4>5</vt:i4>
      </vt:variant>
      <vt:variant>
        <vt:lpwstr/>
      </vt:variant>
      <vt:variant>
        <vt:lpwstr>_Toc479775696</vt:lpwstr>
      </vt:variant>
      <vt:variant>
        <vt:i4>1769532</vt:i4>
      </vt:variant>
      <vt:variant>
        <vt:i4>1037</vt:i4>
      </vt:variant>
      <vt:variant>
        <vt:i4>0</vt:i4>
      </vt:variant>
      <vt:variant>
        <vt:i4>5</vt:i4>
      </vt:variant>
      <vt:variant>
        <vt:lpwstr/>
      </vt:variant>
      <vt:variant>
        <vt:lpwstr>_Toc479775695</vt:lpwstr>
      </vt:variant>
      <vt:variant>
        <vt:i4>1769532</vt:i4>
      </vt:variant>
      <vt:variant>
        <vt:i4>1031</vt:i4>
      </vt:variant>
      <vt:variant>
        <vt:i4>0</vt:i4>
      </vt:variant>
      <vt:variant>
        <vt:i4>5</vt:i4>
      </vt:variant>
      <vt:variant>
        <vt:lpwstr/>
      </vt:variant>
      <vt:variant>
        <vt:lpwstr>_Toc479775694</vt:lpwstr>
      </vt:variant>
      <vt:variant>
        <vt:i4>1769532</vt:i4>
      </vt:variant>
      <vt:variant>
        <vt:i4>1025</vt:i4>
      </vt:variant>
      <vt:variant>
        <vt:i4>0</vt:i4>
      </vt:variant>
      <vt:variant>
        <vt:i4>5</vt:i4>
      </vt:variant>
      <vt:variant>
        <vt:lpwstr/>
      </vt:variant>
      <vt:variant>
        <vt:lpwstr>_Toc479775693</vt:lpwstr>
      </vt:variant>
      <vt:variant>
        <vt:i4>1769532</vt:i4>
      </vt:variant>
      <vt:variant>
        <vt:i4>1019</vt:i4>
      </vt:variant>
      <vt:variant>
        <vt:i4>0</vt:i4>
      </vt:variant>
      <vt:variant>
        <vt:i4>5</vt:i4>
      </vt:variant>
      <vt:variant>
        <vt:lpwstr/>
      </vt:variant>
      <vt:variant>
        <vt:lpwstr>_Toc479775692</vt:lpwstr>
      </vt:variant>
      <vt:variant>
        <vt:i4>1769532</vt:i4>
      </vt:variant>
      <vt:variant>
        <vt:i4>1013</vt:i4>
      </vt:variant>
      <vt:variant>
        <vt:i4>0</vt:i4>
      </vt:variant>
      <vt:variant>
        <vt:i4>5</vt:i4>
      </vt:variant>
      <vt:variant>
        <vt:lpwstr/>
      </vt:variant>
      <vt:variant>
        <vt:lpwstr>_Toc479775691</vt:lpwstr>
      </vt:variant>
      <vt:variant>
        <vt:i4>1769532</vt:i4>
      </vt:variant>
      <vt:variant>
        <vt:i4>1007</vt:i4>
      </vt:variant>
      <vt:variant>
        <vt:i4>0</vt:i4>
      </vt:variant>
      <vt:variant>
        <vt:i4>5</vt:i4>
      </vt:variant>
      <vt:variant>
        <vt:lpwstr/>
      </vt:variant>
      <vt:variant>
        <vt:lpwstr>_Toc479775690</vt:lpwstr>
      </vt:variant>
      <vt:variant>
        <vt:i4>1703996</vt:i4>
      </vt:variant>
      <vt:variant>
        <vt:i4>1001</vt:i4>
      </vt:variant>
      <vt:variant>
        <vt:i4>0</vt:i4>
      </vt:variant>
      <vt:variant>
        <vt:i4>5</vt:i4>
      </vt:variant>
      <vt:variant>
        <vt:lpwstr/>
      </vt:variant>
      <vt:variant>
        <vt:lpwstr>_Toc479775689</vt:lpwstr>
      </vt:variant>
      <vt:variant>
        <vt:i4>1703996</vt:i4>
      </vt:variant>
      <vt:variant>
        <vt:i4>995</vt:i4>
      </vt:variant>
      <vt:variant>
        <vt:i4>0</vt:i4>
      </vt:variant>
      <vt:variant>
        <vt:i4>5</vt:i4>
      </vt:variant>
      <vt:variant>
        <vt:lpwstr/>
      </vt:variant>
      <vt:variant>
        <vt:lpwstr>_Toc479775688</vt:lpwstr>
      </vt:variant>
      <vt:variant>
        <vt:i4>1703996</vt:i4>
      </vt:variant>
      <vt:variant>
        <vt:i4>989</vt:i4>
      </vt:variant>
      <vt:variant>
        <vt:i4>0</vt:i4>
      </vt:variant>
      <vt:variant>
        <vt:i4>5</vt:i4>
      </vt:variant>
      <vt:variant>
        <vt:lpwstr/>
      </vt:variant>
      <vt:variant>
        <vt:lpwstr>_Toc479775687</vt:lpwstr>
      </vt:variant>
      <vt:variant>
        <vt:i4>1703996</vt:i4>
      </vt:variant>
      <vt:variant>
        <vt:i4>983</vt:i4>
      </vt:variant>
      <vt:variant>
        <vt:i4>0</vt:i4>
      </vt:variant>
      <vt:variant>
        <vt:i4>5</vt:i4>
      </vt:variant>
      <vt:variant>
        <vt:lpwstr/>
      </vt:variant>
      <vt:variant>
        <vt:lpwstr>_Toc479775686</vt:lpwstr>
      </vt:variant>
      <vt:variant>
        <vt:i4>1703996</vt:i4>
      </vt:variant>
      <vt:variant>
        <vt:i4>977</vt:i4>
      </vt:variant>
      <vt:variant>
        <vt:i4>0</vt:i4>
      </vt:variant>
      <vt:variant>
        <vt:i4>5</vt:i4>
      </vt:variant>
      <vt:variant>
        <vt:lpwstr/>
      </vt:variant>
      <vt:variant>
        <vt:lpwstr>_Toc479775685</vt:lpwstr>
      </vt:variant>
      <vt:variant>
        <vt:i4>1703996</vt:i4>
      </vt:variant>
      <vt:variant>
        <vt:i4>971</vt:i4>
      </vt:variant>
      <vt:variant>
        <vt:i4>0</vt:i4>
      </vt:variant>
      <vt:variant>
        <vt:i4>5</vt:i4>
      </vt:variant>
      <vt:variant>
        <vt:lpwstr/>
      </vt:variant>
      <vt:variant>
        <vt:lpwstr>_Toc479775684</vt:lpwstr>
      </vt:variant>
      <vt:variant>
        <vt:i4>1703996</vt:i4>
      </vt:variant>
      <vt:variant>
        <vt:i4>965</vt:i4>
      </vt:variant>
      <vt:variant>
        <vt:i4>0</vt:i4>
      </vt:variant>
      <vt:variant>
        <vt:i4>5</vt:i4>
      </vt:variant>
      <vt:variant>
        <vt:lpwstr/>
      </vt:variant>
      <vt:variant>
        <vt:lpwstr>_Toc479775683</vt:lpwstr>
      </vt:variant>
      <vt:variant>
        <vt:i4>1703996</vt:i4>
      </vt:variant>
      <vt:variant>
        <vt:i4>959</vt:i4>
      </vt:variant>
      <vt:variant>
        <vt:i4>0</vt:i4>
      </vt:variant>
      <vt:variant>
        <vt:i4>5</vt:i4>
      </vt:variant>
      <vt:variant>
        <vt:lpwstr/>
      </vt:variant>
      <vt:variant>
        <vt:lpwstr>_Toc479775682</vt:lpwstr>
      </vt:variant>
      <vt:variant>
        <vt:i4>1703996</vt:i4>
      </vt:variant>
      <vt:variant>
        <vt:i4>953</vt:i4>
      </vt:variant>
      <vt:variant>
        <vt:i4>0</vt:i4>
      </vt:variant>
      <vt:variant>
        <vt:i4>5</vt:i4>
      </vt:variant>
      <vt:variant>
        <vt:lpwstr/>
      </vt:variant>
      <vt:variant>
        <vt:lpwstr>_Toc479775681</vt:lpwstr>
      </vt:variant>
      <vt:variant>
        <vt:i4>1703996</vt:i4>
      </vt:variant>
      <vt:variant>
        <vt:i4>947</vt:i4>
      </vt:variant>
      <vt:variant>
        <vt:i4>0</vt:i4>
      </vt:variant>
      <vt:variant>
        <vt:i4>5</vt:i4>
      </vt:variant>
      <vt:variant>
        <vt:lpwstr/>
      </vt:variant>
      <vt:variant>
        <vt:lpwstr>_Toc479775680</vt:lpwstr>
      </vt:variant>
      <vt:variant>
        <vt:i4>1376316</vt:i4>
      </vt:variant>
      <vt:variant>
        <vt:i4>941</vt:i4>
      </vt:variant>
      <vt:variant>
        <vt:i4>0</vt:i4>
      </vt:variant>
      <vt:variant>
        <vt:i4>5</vt:i4>
      </vt:variant>
      <vt:variant>
        <vt:lpwstr/>
      </vt:variant>
      <vt:variant>
        <vt:lpwstr>_Toc479775679</vt:lpwstr>
      </vt:variant>
      <vt:variant>
        <vt:i4>1376316</vt:i4>
      </vt:variant>
      <vt:variant>
        <vt:i4>935</vt:i4>
      </vt:variant>
      <vt:variant>
        <vt:i4>0</vt:i4>
      </vt:variant>
      <vt:variant>
        <vt:i4>5</vt:i4>
      </vt:variant>
      <vt:variant>
        <vt:lpwstr/>
      </vt:variant>
      <vt:variant>
        <vt:lpwstr>_Toc479775678</vt:lpwstr>
      </vt:variant>
      <vt:variant>
        <vt:i4>1376316</vt:i4>
      </vt:variant>
      <vt:variant>
        <vt:i4>929</vt:i4>
      </vt:variant>
      <vt:variant>
        <vt:i4>0</vt:i4>
      </vt:variant>
      <vt:variant>
        <vt:i4>5</vt:i4>
      </vt:variant>
      <vt:variant>
        <vt:lpwstr/>
      </vt:variant>
      <vt:variant>
        <vt:lpwstr>_Toc479775677</vt:lpwstr>
      </vt:variant>
      <vt:variant>
        <vt:i4>1376316</vt:i4>
      </vt:variant>
      <vt:variant>
        <vt:i4>923</vt:i4>
      </vt:variant>
      <vt:variant>
        <vt:i4>0</vt:i4>
      </vt:variant>
      <vt:variant>
        <vt:i4>5</vt:i4>
      </vt:variant>
      <vt:variant>
        <vt:lpwstr/>
      </vt:variant>
      <vt:variant>
        <vt:lpwstr>_Toc479775676</vt:lpwstr>
      </vt:variant>
      <vt:variant>
        <vt:i4>1376316</vt:i4>
      </vt:variant>
      <vt:variant>
        <vt:i4>917</vt:i4>
      </vt:variant>
      <vt:variant>
        <vt:i4>0</vt:i4>
      </vt:variant>
      <vt:variant>
        <vt:i4>5</vt:i4>
      </vt:variant>
      <vt:variant>
        <vt:lpwstr/>
      </vt:variant>
      <vt:variant>
        <vt:lpwstr>_Toc479775675</vt:lpwstr>
      </vt:variant>
      <vt:variant>
        <vt:i4>1376316</vt:i4>
      </vt:variant>
      <vt:variant>
        <vt:i4>911</vt:i4>
      </vt:variant>
      <vt:variant>
        <vt:i4>0</vt:i4>
      </vt:variant>
      <vt:variant>
        <vt:i4>5</vt:i4>
      </vt:variant>
      <vt:variant>
        <vt:lpwstr/>
      </vt:variant>
      <vt:variant>
        <vt:lpwstr>_Toc479775674</vt:lpwstr>
      </vt:variant>
      <vt:variant>
        <vt:i4>1376316</vt:i4>
      </vt:variant>
      <vt:variant>
        <vt:i4>905</vt:i4>
      </vt:variant>
      <vt:variant>
        <vt:i4>0</vt:i4>
      </vt:variant>
      <vt:variant>
        <vt:i4>5</vt:i4>
      </vt:variant>
      <vt:variant>
        <vt:lpwstr/>
      </vt:variant>
      <vt:variant>
        <vt:lpwstr>_Toc479775673</vt:lpwstr>
      </vt:variant>
      <vt:variant>
        <vt:i4>1376316</vt:i4>
      </vt:variant>
      <vt:variant>
        <vt:i4>899</vt:i4>
      </vt:variant>
      <vt:variant>
        <vt:i4>0</vt:i4>
      </vt:variant>
      <vt:variant>
        <vt:i4>5</vt:i4>
      </vt:variant>
      <vt:variant>
        <vt:lpwstr/>
      </vt:variant>
      <vt:variant>
        <vt:lpwstr>_Toc479775672</vt:lpwstr>
      </vt:variant>
      <vt:variant>
        <vt:i4>1376316</vt:i4>
      </vt:variant>
      <vt:variant>
        <vt:i4>893</vt:i4>
      </vt:variant>
      <vt:variant>
        <vt:i4>0</vt:i4>
      </vt:variant>
      <vt:variant>
        <vt:i4>5</vt:i4>
      </vt:variant>
      <vt:variant>
        <vt:lpwstr/>
      </vt:variant>
      <vt:variant>
        <vt:lpwstr>_Toc479775671</vt:lpwstr>
      </vt:variant>
      <vt:variant>
        <vt:i4>1376316</vt:i4>
      </vt:variant>
      <vt:variant>
        <vt:i4>887</vt:i4>
      </vt:variant>
      <vt:variant>
        <vt:i4>0</vt:i4>
      </vt:variant>
      <vt:variant>
        <vt:i4>5</vt:i4>
      </vt:variant>
      <vt:variant>
        <vt:lpwstr/>
      </vt:variant>
      <vt:variant>
        <vt:lpwstr>_Toc479775670</vt:lpwstr>
      </vt:variant>
      <vt:variant>
        <vt:i4>1310780</vt:i4>
      </vt:variant>
      <vt:variant>
        <vt:i4>881</vt:i4>
      </vt:variant>
      <vt:variant>
        <vt:i4>0</vt:i4>
      </vt:variant>
      <vt:variant>
        <vt:i4>5</vt:i4>
      </vt:variant>
      <vt:variant>
        <vt:lpwstr/>
      </vt:variant>
      <vt:variant>
        <vt:lpwstr>_Toc479775669</vt:lpwstr>
      </vt:variant>
      <vt:variant>
        <vt:i4>1310780</vt:i4>
      </vt:variant>
      <vt:variant>
        <vt:i4>875</vt:i4>
      </vt:variant>
      <vt:variant>
        <vt:i4>0</vt:i4>
      </vt:variant>
      <vt:variant>
        <vt:i4>5</vt:i4>
      </vt:variant>
      <vt:variant>
        <vt:lpwstr/>
      </vt:variant>
      <vt:variant>
        <vt:lpwstr>_Toc479775668</vt:lpwstr>
      </vt:variant>
      <vt:variant>
        <vt:i4>1310780</vt:i4>
      </vt:variant>
      <vt:variant>
        <vt:i4>869</vt:i4>
      </vt:variant>
      <vt:variant>
        <vt:i4>0</vt:i4>
      </vt:variant>
      <vt:variant>
        <vt:i4>5</vt:i4>
      </vt:variant>
      <vt:variant>
        <vt:lpwstr/>
      </vt:variant>
      <vt:variant>
        <vt:lpwstr>_Toc479775667</vt:lpwstr>
      </vt:variant>
      <vt:variant>
        <vt:i4>1310780</vt:i4>
      </vt:variant>
      <vt:variant>
        <vt:i4>863</vt:i4>
      </vt:variant>
      <vt:variant>
        <vt:i4>0</vt:i4>
      </vt:variant>
      <vt:variant>
        <vt:i4>5</vt:i4>
      </vt:variant>
      <vt:variant>
        <vt:lpwstr/>
      </vt:variant>
      <vt:variant>
        <vt:lpwstr>_Toc479775666</vt:lpwstr>
      </vt:variant>
      <vt:variant>
        <vt:i4>1310780</vt:i4>
      </vt:variant>
      <vt:variant>
        <vt:i4>857</vt:i4>
      </vt:variant>
      <vt:variant>
        <vt:i4>0</vt:i4>
      </vt:variant>
      <vt:variant>
        <vt:i4>5</vt:i4>
      </vt:variant>
      <vt:variant>
        <vt:lpwstr/>
      </vt:variant>
      <vt:variant>
        <vt:lpwstr>_Toc479775665</vt:lpwstr>
      </vt:variant>
      <vt:variant>
        <vt:i4>1310780</vt:i4>
      </vt:variant>
      <vt:variant>
        <vt:i4>851</vt:i4>
      </vt:variant>
      <vt:variant>
        <vt:i4>0</vt:i4>
      </vt:variant>
      <vt:variant>
        <vt:i4>5</vt:i4>
      </vt:variant>
      <vt:variant>
        <vt:lpwstr/>
      </vt:variant>
      <vt:variant>
        <vt:lpwstr>_Toc479775664</vt:lpwstr>
      </vt:variant>
      <vt:variant>
        <vt:i4>1310780</vt:i4>
      </vt:variant>
      <vt:variant>
        <vt:i4>845</vt:i4>
      </vt:variant>
      <vt:variant>
        <vt:i4>0</vt:i4>
      </vt:variant>
      <vt:variant>
        <vt:i4>5</vt:i4>
      </vt:variant>
      <vt:variant>
        <vt:lpwstr/>
      </vt:variant>
      <vt:variant>
        <vt:lpwstr>_Toc479775663</vt:lpwstr>
      </vt:variant>
      <vt:variant>
        <vt:i4>1310780</vt:i4>
      </vt:variant>
      <vt:variant>
        <vt:i4>839</vt:i4>
      </vt:variant>
      <vt:variant>
        <vt:i4>0</vt:i4>
      </vt:variant>
      <vt:variant>
        <vt:i4>5</vt:i4>
      </vt:variant>
      <vt:variant>
        <vt:lpwstr/>
      </vt:variant>
      <vt:variant>
        <vt:lpwstr>_Toc479775662</vt:lpwstr>
      </vt:variant>
      <vt:variant>
        <vt:i4>1310780</vt:i4>
      </vt:variant>
      <vt:variant>
        <vt:i4>833</vt:i4>
      </vt:variant>
      <vt:variant>
        <vt:i4>0</vt:i4>
      </vt:variant>
      <vt:variant>
        <vt:i4>5</vt:i4>
      </vt:variant>
      <vt:variant>
        <vt:lpwstr/>
      </vt:variant>
      <vt:variant>
        <vt:lpwstr>_Toc479775661</vt:lpwstr>
      </vt:variant>
      <vt:variant>
        <vt:i4>1310780</vt:i4>
      </vt:variant>
      <vt:variant>
        <vt:i4>827</vt:i4>
      </vt:variant>
      <vt:variant>
        <vt:i4>0</vt:i4>
      </vt:variant>
      <vt:variant>
        <vt:i4>5</vt:i4>
      </vt:variant>
      <vt:variant>
        <vt:lpwstr/>
      </vt:variant>
      <vt:variant>
        <vt:lpwstr>_Toc479775660</vt:lpwstr>
      </vt:variant>
      <vt:variant>
        <vt:i4>1507388</vt:i4>
      </vt:variant>
      <vt:variant>
        <vt:i4>821</vt:i4>
      </vt:variant>
      <vt:variant>
        <vt:i4>0</vt:i4>
      </vt:variant>
      <vt:variant>
        <vt:i4>5</vt:i4>
      </vt:variant>
      <vt:variant>
        <vt:lpwstr/>
      </vt:variant>
      <vt:variant>
        <vt:lpwstr>_Toc479775659</vt:lpwstr>
      </vt:variant>
      <vt:variant>
        <vt:i4>1507388</vt:i4>
      </vt:variant>
      <vt:variant>
        <vt:i4>815</vt:i4>
      </vt:variant>
      <vt:variant>
        <vt:i4>0</vt:i4>
      </vt:variant>
      <vt:variant>
        <vt:i4>5</vt:i4>
      </vt:variant>
      <vt:variant>
        <vt:lpwstr/>
      </vt:variant>
      <vt:variant>
        <vt:lpwstr>_Toc479775658</vt:lpwstr>
      </vt:variant>
      <vt:variant>
        <vt:i4>1507388</vt:i4>
      </vt:variant>
      <vt:variant>
        <vt:i4>809</vt:i4>
      </vt:variant>
      <vt:variant>
        <vt:i4>0</vt:i4>
      </vt:variant>
      <vt:variant>
        <vt:i4>5</vt:i4>
      </vt:variant>
      <vt:variant>
        <vt:lpwstr/>
      </vt:variant>
      <vt:variant>
        <vt:lpwstr>_Toc479775657</vt:lpwstr>
      </vt:variant>
      <vt:variant>
        <vt:i4>1507388</vt:i4>
      </vt:variant>
      <vt:variant>
        <vt:i4>803</vt:i4>
      </vt:variant>
      <vt:variant>
        <vt:i4>0</vt:i4>
      </vt:variant>
      <vt:variant>
        <vt:i4>5</vt:i4>
      </vt:variant>
      <vt:variant>
        <vt:lpwstr/>
      </vt:variant>
      <vt:variant>
        <vt:lpwstr>_Toc479775656</vt:lpwstr>
      </vt:variant>
      <vt:variant>
        <vt:i4>1507388</vt:i4>
      </vt:variant>
      <vt:variant>
        <vt:i4>797</vt:i4>
      </vt:variant>
      <vt:variant>
        <vt:i4>0</vt:i4>
      </vt:variant>
      <vt:variant>
        <vt:i4>5</vt:i4>
      </vt:variant>
      <vt:variant>
        <vt:lpwstr/>
      </vt:variant>
      <vt:variant>
        <vt:lpwstr>_Toc479775655</vt:lpwstr>
      </vt:variant>
      <vt:variant>
        <vt:i4>1507388</vt:i4>
      </vt:variant>
      <vt:variant>
        <vt:i4>791</vt:i4>
      </vt:variant>
      <vt:variant>
        <vt:i4>0</vt:i4>
      </vt:variant>
      <vt:variant>
        <vt:i4>5</vt:i4>
      </vt:variant>
      <vt:variant>
        <vt:lpwstr/>
      </vt:variant>
      <vt:variant>
        <vt:lpwstr>_Toc479775654</vt:lpwstr>
      </vt:variant>
      <vt:variant>
        <vt:i4>1507388</vt:i4>
      </vt:variant>
      <vt:variant>
        <vt:i4>785</vt:i4>
      </vt:variant>
      <vt:variant>
        <vt:i4>0</vt:i4>
      </vt:variant>
      <vt:variant>
        <vt:i4>5</vt:i4>
      </vt:variant>
      <vt:variant>
        <vt:lpwstr/>
      </vt:variant>
      <vt:variant>
        <vt:lpwstr>_Toc479775653</vt:lpwstr>
      </vt:variant>
      <vt:variant>
        <vt:i4>1507388</vt:i4>
      </vt:variant>
      <vt:variant>
        <vt:i4>779</vt:i4>
      </vt:variant>
      <vt:variant>
        <vt:i4>0</vt:i4>
      </vt:variant>
      <vt:variant>
        <vt:i4>5</vt:i4>
      </vt:variant>
      <vt:variant>
        <vt:lpwstr/>
      </vt:variant>
      <vt:variant>
        <vt:lpwstr>_Toc479775652</vt:lpwstr>
      </vt:variant>
      <vt:variant>
        <vt:i4>1507388</vt:i4>
      </vt:variant>
      <vt:variant>
        <vt:i4>773</vt:i4>
      </vt:variant>
      <vt:variant>
        <vt:i4>0</vt:i4>
      </vt:variant>
      <vt:variant>
        <vt:i4>5</vt:i4>
      </vt:variant>
      <vt:variant>
        <vt:lpwstr/>
      </vt:variant>
      <vt:variant>
        <vt:lpwstr>_Toc479775651</vt:lpwstr>
      </vt:variant>
      <vt:variant>
        <vt:i4>1507388</vt:i4>
      </vt:variant>
      <vt:variant>
        <vt:i4>767</vt:i4>
      </vt:variant>
      <vt:variant>
        <vt:i4>0</vt:i4>
      </vt:variant>
      <vt:variant>
        <vt:i4>5</vt:i4>
      </vt:variant>
      <vt:variant>
        <vt:lpwstr/>
      </vt:variant>
      <vt:variant>
        <vt:lpwstr>_Toc479775650</vt:lpwstr>
      </vt:variant>
      <vt:variant>
        <vt:i4>1441852</vt:i4>
      </vt:variant>
      <vt:variant>
        <vt:i4>761</vt:i4>
      </vt:variant>
      <vt:variant>
        <vt:i4>0</vt:i4>
      </vt:variant>
      <vt:variant>
        <vt:i4>5</vt:i4>
      </vt:variant>
      <vt:variant>
        <vt:lpwstr/>
      </vt:variant>
      <vt:variant>
        <vt:lpwstr>_Toc479775649</vt:lpwstr>
      </vt:variant>
      <vt:variant>
        <vt:i4>1441852</vt:i4>
      </vt:variant>
      <vt:variant>
        <vt:i4>755</vt:i4>
      </vt:variant>
      <vt:variant>
        <vt:i4>0</vt:i4>
      </vt:variant>
      <vt:variant>
        <vt:i4>5</vt:i4>
      </vt:variant>
      <vt:variant>
        <vt:lpwstr/>
      </vt:variant>
      <vt:variant>
        <vt:lpwstr>_Toc479775648</vt:lpwstr>
      </vt:variant>
      <vt:variant>
        <vt:i4>1441852</vt:i4>
      </vt:variant>
      <vt:variant>
        <vt:i4>749</vt:i4>
      </vt:variant>
      <vt:variant>
        <vt:i4>0</vt:i4>
      </vt:variant>
      <vt:variant>
        <vt:i4>5</vt:i4>
      </vt:variant>
      <vt:variant>
        <vt:lpwstr/>
      </vt:variant>
      <vt:variant>
        <vt:lpwstr>_Toc479775647</vt:lpwstr>
      </vt:variant>
      <vt:variant>
        <vt:i4>1441852</vt:i4>
      </vt:variant>
      <vt:variant>
        <vt:i4>743</vt:i4>
      </vt:variant>
      <vt:variant>
        <vt:i4>0</vt:i4>
      </vt:variant>
      <vt:variant>
        <vt:i4>5</vt:i4>
      </vt:variant>
      <vt:variant>
        <vt:lpwstr/>
      </vt:variant>
      <vt:variant>
        <vt:lpwstr>_Toc479775646</vt:lpwstr>
      </vt:variant>
      <vt:variant>
        <vt:i4>1441852</vt:i4>
      </vt:variant>
      <vt:variant>
        <vt:i4>737</vt:i4>
      </vt:variant>
      <vt:variant>
        <vt:i4>0</vt:i4>
      </vt:variant>
      <vt:variant>
        <vt:i4>5</vt:i4>
      </vt:variant>
      <vt:variant>
        <vt:lpwstr/>
      </vt:variant>
      <vt:variant>
        <vt:lpwstr>_Toc479775645</vt:lpwstr>
      </vt:variant>
      <vt:variant>
        <vt:i4>1441852</vt:i4>
      </vt:variant>
      <vt:variant>
        <vt:i4>731</vt:i4>
      </vt:variant>
      <vt:variant>
        <vt:i4>0</vt:i4>
      </vt:variant>
      <vt:variant>
        <vt:i4>5</vt:i4>
      </vt:variant>
      <vt:variant>
        <vt:lpwstr/>
      </vt:variant>
      <vt:variant>
        <vt:lpwstr>_Toc479775644</vt:lpwstr>
      </vt:variant>
      <vt:variant>
        <vt:i4>1441852</vt:i4>
      </vt:variant>
      <vt:variant>
        <vt:i4>725</vt:i4>
      </vt:variant>
      <vt:variant>
        <vt:i4>0</vt:i4>
      </vt:variant>
      <vt:variant>
        <vt:i4>5</vt:i4>
      </vt:variant>
      <vt:variant>
        <vt:lpwstr/>
      </vt:variant>
      <vt:variant>
        <vt:lpwstr>_Toc479775643</vt:lpwstr>
      </vt:variant>
      <vt:variant>
        <vt:i4>1441852</vt:i4>
      </vt:variant>
      <vt:variant>
        <vt:i4>719</vt:i4>
      </vt:variant>
      <vt:variant>
        <vt:i4>0</vt:i4>
      </vt:variant>
      <vt:variant>
        <vt:i4>5</vt:i4>
      </vt:variant>
      <vt:variant>
        <vt:lpwstr/>
      </vt:variant>
      <vt:variant>
        <vt:lpwstr>_Toc479775642</vt:lpwstr>
      </vt:variant>
      <vt:variant>
        <vt:i4>1441852</vt:i4>
      </vt:variant>
      <vt:variant>
        <vt:i4>713</vt:i4>
      </vt:variant>
      <vt:variant>
        <vt:i4>0</vt:i4>
      </vt:variant>
      <vt:variant>
        <vt:i4>5</vt:i4>
      </vt:variant>
      <vt:variant>
        <vt:lpwstr/>
      </vt:variant>
      <vt:variant>
        <vt:lpwstr>_Toc479775641</vt:lpwstr>
      </vt:variant>
      <vt:variant>
        <vt:i4>1441852</vt:i4>
      </vt:variant>
      <vt:variant>
        <vt:i4>707</vt:i4>
      </vt:variant>
      <vt:variant>
        <vt:i4>0</vt:i4>
      </vt:variant>
      <vt:variant>
        <vt:i4>5</vt:i4>
      </vt:variant>
      <vt:variant>
        <vt:lpwstr/>
      </vt:variant>
      <vt:variant>
        <vt:lpwstr>_Toc479775640</vt:lpwstr>
      </vt:variant>
      <vt:variant>
        <vt:i4>1114172</vt:i4>
      </vt:variant>
      <vt:variant>
        <vt:i4>701</vt:i4>
      </vt:variant>
      <vt:variant>
        <vt:i4>0</vt:i4>
      </vt:variant>
      <vt:variant>
        <vt:i4>5</vt:i4>
      </vt:variant>
      <vt:variant>
        <vt:lpwstr/>
      </vt:variant>
      <vt:variant>
        <vt:lpwstr>_Toc479775639</vt:lpwstr>
      </vt:variant>
      <vt:variant>
        <vt:i4>1114172</vt:i4>
      </vt:variant>
      <vt:variant>
        <vt:i4>695</vt:i4>
      </vt:variant>
      <vt:variant>
        <vt:i4>0</vt:i4>
      </vt:variant>
      <vt:variant>
        <vt:i4>5</vt:i4>
      </vt:variant>
      <vt:variant>
        <vt:lpwstr/>
      </vt:variant>
      <vt:variant>
        <vt:lpwstr>_Toc479775638</vt:lpwstr>
      </vt:variant>
      <vt:variant>
        <vt:i4>1114172</vt:i4>
      </vt:variant>
      <vt:variant>
        <vt:i4>689</vt:i4>
      </vt:variant>
      <vt:variant>
        <vt:i4>0</vt:i4>
      </vt:variant>
      <vt:variant>
        <vt:i4>5</vt:i4>
      </vt:variant>
      <vt:variant>
        <vt:lpwstr/>
      </vt:variant>
      <vt:variant>
        <vt:lpwstr>_Toc479775637</vt:lpwstr>
      </vt:variant>
      <vt:variant>
        <vt:i4>1114172</vt:i4>
      </vt:variant>
      <vt:variant>
        <vt:i4>683</vt:i4>
      </vt:variant>
      <vt:variant>
        <vt:i4>0</vt:i4>
      </vt:variant>
      <vt:variant>
        <vt:i4>5</vt:i4>
      </vt:variant>
      <vt:variant>
        <vt:lpwstr/>
      </vt:variant>
      <vt:variant>
        <vt:lpwstr>_Toc479775636</vt:lpwstr>
      </vt:variant>
      <vt:variant>
        <vt:i4>1114172</vt:i4>
      </vt:variant>
      <vt:variant>
        <vt:i4>677</vt:i4>
      </vt:variant>
      <vt:variant>
        <vt:i4>0</vt:i4>
      </vt:variant>
      <vt:variant>
        <vt:i4>5</vt:i4>
      </vt:variant>
      <vt:variant>
        <vt:lpwstr/>
      </vt:variant>
      <vt:variant>
        <vt:lpwstr>_Toc479775635</vt:lpwstr>
      </vt:variant>
      <vt:variant>
        <vt:i4>1114172</vt:i4>
      </vt:variant>
      <vt:variant>
        <vt:i4>671</vt:i4>
      </vt:variant>
      <vt:variant>
        <vt:i4>0</vt:i4>
      </vt:variant>
      <vt:variant>
        <vt:i4>5</vt:i4>
      </vt:variant>
      <vt:variant>
        <vt:lpwstr/>
      </vt:variant>
      <vt:variant>
        <vt:lpwstr>_Toc479775634</vt:lpwstr>
      </vt:variant>
      <vt:variant>
        <vt:i4>1114172</vt:i4>
      </vt:variant>
      <vt:variant>
        <vt:i4>665</vt:i4>
      </vt:variant>
      <vt:variant>
        <vt:i4>0</vt:i4>
      </vt:variant>
      <vt:variant>
        <vt:i4>5</vt:i4>
      </vt:variant>
      <vt:variant>
        <vt:lpwstr/>
      </vt:variant>
      <vt:variant>
        <vt:lpwstr>_Toc479775633</vt:lpwstr>
      </vt:variant>
      <vt:variant>
        <vt:i4>1114172</vt:i4>
      </vt:variant>
      <vt:variant>
        <vt:i4>659</vt:i4>
      </vt:variant>
      <vt:variant>
        <vt:i4>0</vt:i4>
      </vt:variant>
      <vt:variant>
        <vt:i4>5</vt:i4>
      </vt:variant>
      <vt:variant>
        <vt:lpwstr/>
      </vt:variant>
      <vt:variant>
        <vt:lpwstr>_Toc479775632</vt:lpwstr>
      </vt:variant>
      <vt:variant>
        <vt:i4>1114172</vt:i4>
      </vt:variant>
      <vt:variant>
        <vt:i4>653</vt:i4>
      </vt:variant>
      <vt:variant>
        <vt:i4>0</vt:i4>
      </vt:variant>
      <vt:variant>
        <vt:i4>5</vt:i4>
      </vt:variant>
      <vt:variant>
        <vt:lpwstr/>
      </vt:variant>
      <vt:variant>
        <vt:lpwstr>_Toc479775631</vt:lpwstr>
      </vt:variant>
      <vt:variant>
        <vt:i4>1114172</vt:i4>
      </vt:variant>
      <vt:variant>
        <vt:i4>647</vt:i4>
      </vt:variant>
      <vt:variant>
        <vt:i4>0</vt:i4>
      </vt:variant>
      <vt:variant>
        <vt:i4>5</vt:i4>
      </vt:variant>
      <vt:variant>
        <vt:lpwstr/>
      </vt:variant>
      <vt:variant>
        <vt:lpwstr>_Toc479775630</vt:lpwstr>
      </vt:variant>
      <vt:variant>
        <vt:i4>1048636</vt:i4>
      </vt:variant>
      <vt:variant>
        <vt:i4>641</vt:i4>
      </vt:variant>
      <vt:variant>
        <vt:i4>0</vt:i4>
      </vt:variant>
      <vt:variant>
        <vt:i4>5</vt:i4>
      </vt:variant>
      <vt:variant>
        <vt:lpwstr/>
      </vt:variant>
      <vt:variant>
        <vt:lpwstr>_Toc479775629</vt:lpwstr>
      </vt:variant>
      <vt:variant>
        <vt:i4>1048636</vt:i4>
      </vt:variant>
      <vt:variant>
        <vt:i4>635</vt:i4>
      </vt:variant>
      <vt:variant>
        <vt:i4>0</vt:i4>
      </vt:variant>
      <vt:variant>
        <vt:i4>5</vt:i4>
      </vt:variant>
      <vt:variant>
        <vt:lpwstr/>
      </vt:variant>
      <vt:variant>
        <vt:lpwstr>_Toc479775628</vt:lpwstr>
      </vt:variant>
      <vt:variant>
        <vt:i4>1048636</vt:i4>
      </vt:variant>
      <vt:variant>
        <vt:i4>629</vt:i4>
      </vt:variant>
      <vt:variant>
        <vt:i4>0</vt:i4>
      </vt:variant>
      <vt:variant>
        <vt:i4>5</vt:i4>
      </vt:variant>
      <vt:variant>
        <vt:lpwstr/>
      </vt:variant>
      <vt:variant>
        <vt:lpwstr>_Toc479775627</vt:lpwstr>
      </vt:variant>
      <vt:variant>
        <vt:i4>1048636</vt:i4>
      </vt:variant>
      <vt:variant>
        <vt:i4>623</vt:i4>
      </vt:variant>
      <vt:variant>
        <vt:i4>0</vt:i4>
      </vt:variant>
      <vt:variant>
        <vt:i4>5</vt:i4>
      </vt:variant>
      <vt:variant>
        <vt:lpwstr/>
      </vt:variant>
      <vt:variant>
        <vt:lpwstr>_Toc479775626</vt:lpwstr>
      </vt:variant>
      <vt:variant>
        <vt:i4>1048636</vt:i4>
      </vt:variant>
      <vt:variant>
        <vt:i4>617</vt:i4>
      </vt:variant>
      <vt:variant>
        <vt:i4>0</vt:i4>
      </vt:variant>
      <vt:variant>
        <vt:i4>5</vt:i4>
      </vt:variant>
      <vt:variant>
        <vt:lpwstr/>
      </vt:variant>
      <vt:variant>
        <vt:lpwstr>_Toc479775625</vt:lpwstr>
      </vt:variant>
      <vt:variant>
        <vt:i4>1048636</vt:i4>
      </vt:variant>
      <vt:variant>
        <vt:i4>611</vt:i4>
      </vt:variant>
      <vt:variant>
        <vt:i4>0</vt:i4>
      </vt:variant>
      <vt:variant>
        <vt:i4>5</vt:i4>
      </vt:variant>
      <vt:variant>
        <vt:lpwstr/>
      </vt:variant>
      <vt:variant>
        <vt:lpwstr>_Toc479775624</vt:lpwstr>
      </vt:variant>
      <vt:variant>
        <vt:i4>1048636</vt:i4>
      </vt:variant>
      <vt:variant>
        <vt:i4>605</vt:i4>
      </vt:variant>
      <vt:variant>
        <vt:i4>0</vt:i4>
      </vt:variant>
      <vt:variant>
        <vt:i4>5</vt:i4>
      </vt:variant>
      <vt:variant>
        <vt:lpwstr/>
      </vt:variant>
      <vt:variant>
        <vt:lpwstr>_Toc479775623</vt:lpwstr>
      </vt:variant>
      <vt:variant>
        <vt:i4>1048636</vt:i4>
      </vt:variant>
      <vt:variant>
        <vt:i4>599</vt:i4>
      </vt:variant>
      <vt:variant>
        <vt:i4>0</vt:i4>
      </vt:variant>
      <vt:variant>
        <vt:i4>5</vt:i4>
      </vt:variant>
      <vt:variant>
        <vt:lpwstr/>
      </vt:variant>
      <vt:variant>
        <vt:lpwstr>_Toc479775622</vt:lpwstr>
      </vt:variant>
      <vt:variant>
        <vt:i4>1048636</vt:i4>
      </vt:variant>
      <vt:variant>
        <vt:i4>593</vt:i4>
      </vt:variant>
      <vt:variant>
        <vt:i4>0</vt:i4>
      </vt:variant>
      <vt:variant>
        <vt:i4>5</vt:i4>
      </vt:variant>
      <vt:variant>
        <vt:lpwstr/>
      </vt:variant>
      <vt:variant>
        <vt:lpwstr>_Toc479775621</vt:lpwstr>
      </vt:variant>
      <vt:variant>
        <vt:i4>1048636</vt:i4>
      </vt:variant>
      <vt:variant>
        <vt:i4>587</vt:i4>
      </vt:variant>
      <vt:variant>
        <vt:i4>0</vt:i4>
      </vt:variant>
      <vt:variant>
        <vt:i4>5</vt:i4>
      </vt:variant>
      <vt:variant>
        <vt:lpwstr/>
      </vt:variant>
      <vt:variant>
        <vt:lpwstr>_Toc479775620</vt:lpwstr>
      </vt:variant>
      <vt:variant>
        <vt:i4>1245244</vt:i4>
      </vt:variant>
      <vt:variant>
        <vt:i4>581</vt:i4>
      </vt:variant>
      <vt:variant>
        <vt:i4>0</vt:i4>
      </vt:variant>
      <vt:variant>
        <vt:i4>5</vt:i4>
      </vt:variant>
      <vt:variant>
        <vt:lpwstr/>
      </vt:variant>
      <vt:variant>
        <vt:lpwstr>_Toc479775619</vt:lpwstr>
      </vt:variant>
      <vt:variant>
        <vt:i4>1245244</vt:i4>
      </vt:variant>
      <vt:variant>
        <vt:i4>575</vt:i4>
      </vt:variant>
      <vt:variant>
        <vt:i4>0</vt:i4>
      </vt:variant>
      <vt:variant>
        <vt:i4>5</vt:i4>
      </vt:variant>
      <vt:variant>
        <vt:lpwstr/>
      </vt:variant>
      <vt:variant>
        <vt:lpwstr>_Toc479775618</vt:lpwstr>
      </vt:variant>
      <vt:variant>
        <vt:i4>1245244</vt:i4>
      </vt:variant>
      <vt:variant>
        <vt:i4>569</vt:i4>
      </vt:variant>
      <vt:variant>
        <vt:i4>0</vt:i4>
      </vt:variant>
      <vt:variant>
        <vt:i4>5</vt:i4>
      </vt:variant>
      <vt:variant>
        <vt:lpwstr/>
      </vt:variant>
      <vt:variant>
        <vt:lpwstr>_Toc479775617</vt:lpwstr>
      </vt:variant>
      <vt:variant>
        <vt:i4>1245244</vt:i4>
      </vt:variant>
      <vt:variant>
        <vt:i4>563</vt:i4>
      </vt:variant>
      <vt:variant>
        <vt:i4>0</vt:i4>
      </vt:variant>
      <vt:variant>
        <vt:i4>5</vt:i4>
      </vt:variant>
      <vt:variant>
        <vt:lpwstr/>
      </vt:variant>
      <vt:variant>
        <vt:lpwstr>_Toc479775616</vt:lpwstr>
      </vt:variant>
      <vt:variant>
        <vt:i4>1245244</vt:i4>
      </vt:variant>
      <vt:variant>
        <vt:i4>557</vt:i4>
      </vt:variant>
      <vt:variant>
        <vt:i4>0</vt:i4>
      </vt:variant>
      <vt:variant>
        <vt:i4>5</vt:i4>
      </vt:variant>
      <vt:variant>
        <vt:lpwstr/>
      </vt:variant>
      <vt:variant>
        <vt:lpwstr>_Toc479775615</vt:lpwstr>
      </vt:variant>
      <vt:variant>
        <vt:i4>1245244</vt:i4>
      </vt:variant>
      <vt:variant>
        <vt:i4>551</vt:i4>
      </vt:variant>
      <vt:variant>
        <vt:i4>0</vt:i4>
      </vt:variant>
      <vt:variant>
        <vt:i4>5</vt:i4>
      </vt:variant>
      <vt:variant>
        <vt:lpwstr/>
      </vt:variant>
      <vt:variant>
        <vt:lpwstr>_Toc479775614</vt:lpwstr>
      </vt:variant>
      <vt:variant>
        <vt:i4>1245244</vt:i4>
      </vt:variant>
      <vt:variant>
        <vt:i4>545</vt:i4>
      </vt:variant>
      <vt:variant>
        <vt:i4>0</vt:i4>
      </vt:variant>
      <vt:variant>
        <vt:i4>5</vt:i4>
      </vt:variant>
      <vt:variant>
        <vt:lpwstr/>
      </vt:variant>
      <vt:variant>
        <vt:lpwstr>_Toc479775613</vt:lpwstr>
      </vt:variant>
      <vt:variant>
        <vt:i4>1245244</vt:i4>
      </vt:variant>
      <vt:variant>
        <vt:i4>539</vt:i4>
      </vt:variant>
      <vt:variant>
        <vt:i4>0</vt:i4>
      </vt:variant>
      <vt:variant>
        <vt:i4>5</vt:i4>
      </vt:variant>
      <vt:variant>
        <vt:lpwstr/>
      </vt:variant>
      <vt:variant>
        <vt:lpwstr>_Toc479775612</vt:lpwstr>
      </vt:variant>
      <vt:variant>
        <vt:i4>1245244</vt:i4>
      </vt:variant>
      <vt:variant>
        <vt:i4>533</vt:i4>
      </vt:variant>
      <vt:variant>
        <vt:i4>0</vt:i4>
      </vt:variant>
      <vt:variant>
        <vt:i4>5</vt:i4>
      </vt:variant>
      <vt:variant>
        <vt:lpwstr/>
      </vt:variant>
      <vt:variant>
        <vt:lpwstr>_Toc479775611</vt:lpwstr>
      </vt:variant>
      <vt:variant>
        <vt:i4>1245244</vt:i4>
      </vt:variant>
      <vt:variant>
        <vt:i4>527</vt:i4>
      </vt:variant>
      <vt:variant>
        <vt:i4>0</vt:i4>
      </vt:variant>
      <vt:variant>
        <vt:i4>5</vt:i4>
      </vt:variant>
      <vt:variant>
        <vt:lpwstr/>
      </vt:variant>
      <vt:variant>
        <vt:lpwstr>_Toc479775610</vt:lpwstr>
      </vt:variant>
      <vt:variant>
        <vt:i4>1179708</vt:i4>
      </vt:variant>
      <vt:variant>
        <vt:i4>521</vt:i4>
      </vt:variant>
      <vt:variant>
        <vt:i4>0</vt:i4>
      </vt:variant>
      <vt:variant>
        <vt:i4>5</vt:i4>
      </vt:variant>
      <vt:variant>
        <vt:lpwstr/>
      </vt:variant>
      <vt:variant>
        <vt:lpwstr>_Toc479775609</vt:lpwstr>
      </vt:variant>
      <vt:variant>
        <vt:i4>1179708</vt:i4>
      </vt:variant>
      <vt:variant>
        <vt:i4>515</vt:i4>
      </vt:variant>
      <vt:variant>
        <vt:i4>0</vt:i4>
      </vt:variant>
      <vt:variant>
        <vt:i4>5</vt:i4>
      </vt:variant>
      <vt:variant>
        <vt:lpwstr/>
      </vt:variant>
      <vt:variant>
        <vt:lpwstr>_Toc479775608</vt:lpwstr>
      </vt:variant>
      <vt:variant>
        <vt:i4>1179708</vt:i4>
      </vt:variant>
      <vt:variant>
        <vt:i4>509</vt:i4>
      </vt:variant>
      <vt:variant>
        <vt:i4>0</vt:i4>
      </vt:variant>
      <vt:variant>
        <vt:i4>5</vt:i4>
      </vt:variant>
      <vt:variant>
        <vt:lpwstr/>
      </vt:variant>
      <vt:variant>
        <vt:lpwstr>_Toc479775607</vt:lpwstr>
      </vt:variant>
      <vt:variant>
        <vt:i4>1179708</vt:i4>
      </vt:variant>
      <vt:variant>
        <vt:i4>503</vt:i4>
      </vt:variant>
      <vt:variant>
        <vt:i4>0</vt:i4>
      </vt:variant>
      <vt:variant>
        <vt:i4>5</vt:i4>
      </vt:variant>
      <vt:variant>
        <vt:lpwstr/>
      </vt:variant>
      <vt:variant>
        <vt:lpwstr>_Toc479775606</vt:lpwstr>
      </vt:variant>
      <vt:variant>
        <vt:i4>1179708</vt:i4>
      </vt:variant>
      <vt:variant>
        <vt:i4>497</vt:i4>
      </vt:variant>
      <vt:variant>
        <vt:i4>0</vt:i4>
      </vt:variant>
      <vt:variant>
        <vt:i4>5</vt:i4>
      </vt:variant>
      <vt:variant>
        <vt:lpwstr/>
      </vt:variant>
      <vt:variant>
        <vt:lpwstr>_Toc479775605</vt:lpwstr>
      </vt:variant>
      <vt:variant>
        <vt:i4>1179708</vt:i4>
      </vt:variant>
      <vt:variant>
        <vt:i4>491</vt:i4>
      </vt:variant>
      <vt:variant>
        <vt:i4>0</vt:i4>
      </vt:variant>
      <vt:variant>
        <vt:i4>5</vt:i4>
      </vt:variant>
      <vt:variant>
        <vt:lpwstr/>
      </vt:variant>
      <vt:variant>
        <vt:lpwstr>_Toc479775604</vt:lpwstr>
      </vt:variant>
      <vt:variant>
        <vt:i4>1179708</vt:i4>
      </vt:variant>
      <vt:variant>
        <vt:i4>485</vt:i4>
      </vt:variant>
      <vt:variant>
        <vt:i4>0</vt:i4>
      </vt:variant>
      <vt:variant>
        <vt:i4>5</vt:i4>
      </vt:variant>
      <vt:variant>
        <vt:lpwstr/>
      </vt:variant>
      <vt:variant>
        <vt:lpwstr>_Toc479775603</vt:lpwstr>
      </vt:variant>
      <vt:variant>
        <vt:i4>1179708</vt:i4>
      </vt:variant>
      <vt:variant>
        <vt:i4>479</vt:i4>
      </vt:variant>
      <vt:variant>
        <vt:i4>0</vt:i4>
      </vt:variant>
      <vt:variant>
        <vt:i4>5</vt:i4>
      </vt:variant>
      <vt:variant>
        <vt:lpwstr/>
      </vt:variant>
      <vt:variant>
        <vt:lpwstr>_Toc479775602</vt:lpwstr>
      </vt:variant>
      <vt:variant>
        <vt:i4>1179708</vt:i4>
      </vt:variant>
      <vt:variant>
        <vt:i4>473</vt:i4>
      </vt:variant>
      <vt:variant>
        <vt:i4>0</vt:i4>
      </vt:variant>
      <vt:variant>
        <vt:i4>5</vt:i4>
      </vt:variant>
      <vt:variant>
        <vt:lpwstr/>
      </vt:variant>
      <vt:variant>
        <vt:lpwstr>_Toc479775601</vt:lpwstr>
      </vt:variant>
      <vt:variant>
        <vt:i4>1179708</vt:i4>
      </vt:variant>
      <vt:variant>
        <vt:i4>467</vt:i4>
      </vt:variant>
      <vt:variant>
        <vt:i4>0</vt:i4>
      </vt:variant>
      <vt:variant>
        <vt:i4>5</vt:i4>
      </vt:variant>
      <vt:variant>
        <vt:lpwstr/>
      </vt:variant>
      <vt:variant>
        <vt:lpwstr>_Toc479775600</vt:lpwstr>
      </vt:variant>
      <vt:variant>
        <vt:i4>1769535</vt:i4>
      </vt:variant>
      <vt:variant>
        <vt:i4>461</vt:i4>
      </vt:variant>
      <vt:variant>
        <vt:i4>0</vt:i4>
      </vt:variant>
      <vt:variant>
        <vt:i4>5</vt:i4>
      </vt:variant>
      <vt:variant>
        <vt:lpwstr/>
      </vt:variant>
      <vt:variant>
        <vt:lpwstr>_Toc479775599</vt:lpwstr>
      </vt:variant>
      <vt:variant>
        <vt:i4>1769535</vt:i4>
      </vt:variant>
      <vt:variant>
        <vt:i4>455</vt:i4>
      </vt:variant>
      <vt:variant>
        <vt:i4>0</vt:i4>
      </vt:variant>
      <vt:variant>
        <vt:i4>5</vt:i4>
      </vt:variant>
      <vt:variant>
        <vt:lpwstr/>
      </vt:variant>
      <vt:variant>
        <vt:lpwstr>_Toc479775598</vt:lpwstr>
      </vt:variant>
      <vt:variant>
        <vt:i4>1769535</vt:i4>
      </vt:variant>
      <vt:variant>
        <vt:i4>449</vt:i4>
      </vt:variant>
      <vt:variant>
        <vt:i4>0</vt:i4>
      </vt:variant>
      <vt:variant>
        <vt:i4>5</vt:i4>
      </vt:variant>
      <vt:variant>
        <vt:lpwstr/>
      </vt:variant>
      <vt:variant>
        <vt:lpwstr>_Toc479775597</vt:lpwstr>
      </vt:variant>
      <vt:variant>
        <vt:i4>1769535</vt:i4>
      </vt:variant>
      <vt:variant>
        <vt:i4>443</vt:i4>
      </vt:variant>
      <vt:variant>
        <vt:i4>0</vt:i4>
      </vt:variant>
      <vt:variant>
        <vt:i4>5</vt:i4>
      </vt:variant>
      <vt:variant>
        <vt:lpwstr/>
      </vt:variant>
      <vt:variant>
        <vt:lpwstr>_Toc479775596</vt:lpwstr>
      </vt:variant>
      <vt:variant>
        <vt:i4>1769535</vt:i4>
      </vt:variant>
      <vt:variant>
        <vt:i4>437</vt:i4>
      </vt:variant>
      <vt:variant>
        <vt:i4>0</vt:i4>
      </vt:variant>
      <vt:variant>
        <vt:i4>5</vt:i4>
      </vt:variant>
      <vt:variant>
        <vt:lpwstr/>
      </vt:variant>
      <vt:variant>
        <vt:lpwstr>_Toc479775595</vt:lpwstr>
      </vt:variant>
      <vt:variant>
        <vt:i4>1769535</vt:i4>
      </vt:variant>
      <vt:variant>
        <vt:i4>431</vt:i4>
      </vt:variant>
      <vt:variant>
        <vt:i4>0</vt:i4>
      </vt:variant>
      <vt:variant>
        <vt:i4>5</vt:i4>
      </vt:variant>
      <vt:variant>
        <vt:lpwstr/>
      </vt:variant>
      <vt:variant>
        <vt:lpwstr>_Toc479775594</vt:lpwstr>
      </vt:variant>
      <vt:variant>
        <vt:i4>1769535</vt:i4>
      </vt:variant>
      <vt:variant>
        <vt:i4>425</vt:i4>
      </vt:variant>
      <vt:variant>
        <vt:i4>0</vt:i4>
      </vt:variant>
      <vt:variant>
        <vt:i4>5</vt:i4>
      </vt:variant>
      <vt:variant>
        <vt:lpwstr/>
      </vt:variant>
      <vt:variant>
        <vt:lpwstr>_Toc479775593</vt:lpwstr>
      </vt:variant>
      <vt:variant>
        <vt:i4>1769535</vt:i4>
      </vt:variant>
      <vt:variant>
        <vt:i4>419</vt:i4>
      </vt:variant>
      <vt:variant>
        <vt:i4>0</vt:i4>
      </vt:variant>
      <vt:variant>
        <vt:i4>5</vt:i4>
      </vt:variant>
      <vt:variant>
        <vt:lpwstr/>
      </vt:variant>
      <vt:variant>
        <vt:lpwstr>_Toc479775592</vt:lpwstr>
      </vt:variant>
      <vt:variant>
        <vt:i4>1769535</vt:i4>
      </vt:variant>
      <vt:variant>
        <vt:i4>413</vt:i4>
      </vt:variant>
      <vt:variant>
        <vt:i4>0</vt:i4>
      </vt:variant>
      <vt:variant>
        <vt:i4>5</vt:i4>
      </vt:variant>
      <vt:variant>
        <vt:lpwstr/>
      </vt:variant>
      <vt:variant>
        <vt:lpwstr>_Toc479775591</vt:lpwstr>
      </vt:variant>
      <vt:variant>
        <vt:i4>1769535</vt:i4>
      </vt:variant>
      <vt:variant>
        <vt:i4>407</vt:i4>
      </vt:variant>
      <vt:variant>
        <vt:i4>0</vt:i4>
      </vt:variant>
      <vt:variant>
        <vt:i4>5</vt:i4>
      </vt:variant>
      <vt:variant>
        <vt:lpwstr/>
      </vt:variant>
      <vt:variant>
        <vt:lpwstr>_Toc479775590</vt:lpwstr>
      </vt:variant>
      <vt:variant>
        <vt:i4>1703999</vt:i4>
      </vt:variant>
      <vt:variant>
        <vt:i4>401</vt:i4>
      </vt:variant>
      <vt:variant>
        <vt:i4>0</vt:i4>
      </vt:variant>
      <vt:variant>
        <vt:i4>5</vt:i4>
      </vt:variant>
      <vt:variant>
        <vt:lpwstr/>
      </vt:variant>
      <vt:variant>
        <vt:lpwstr>_Toc479775589</vt:lpwstr>
      </vt:variant>
      <vt:variant>
        <vt:i4>1703999</vt:i4>
      </vt:variant>
      <vt:variant>
        <vt:i4>395</vt:i4>
      </vt:variant>
      <vt:variant>
        <vt:i4>0</vt:i4>
      </vt:variant>
      <vt:variant>
        <vt:i4>5</vt:i4>
      </vt:variant>
      <vt:variant>
        <vt:lpwstr/>
      </vt:variant>
      <vt:variant>
        <vt:lpwstr>_Toc479775588</vt:lpwstr>
      </vt:variant>
      <vt:variant>
        <vt:i4>1703999</vt:i4>
      </vt:variant>
      <vt:variant>
        <vt:i4>389</vt:i4>
      </vt:variant>
      <vt:variant>
        <vt:i4>0</vt:i4>
      </vt:variant>
      <vt:variant>
        <vt:i4>5</vt:i4>
      </vt:variant>
      <vt:variant>
        <vt:lpwstr/>
      </vt:variant>
      <vt:variant>
        <vt:lpwstr>_Toc479775587</vt:lpwstr>
      </vt:variant>
      <vt:variant>
        <vt:i4>1703999</vt:i4>
      </vt:variant>
      <vt:variant>
        <vt:i4>383</vt:i4>
      </vt:variant>
      <vt:variant>
        <vt:i4>0</vt:i4>
      </vt:variant>
      <vt:variant>
        <vt:i4>5</vt:i4>
      </vt:variant>
      <vt:variant>
        <vt:lpwstr/>
      </vt:variant>
      <vt:variant>
        <vt:lpwstr>_Toc479775586</vt:lpwstr>
      </vt:variant>
      <vt:variant>
        <vt:i4>1703999</vt:i4>
      </vt:variant>
      <vt:variant>
        <vt:i4>377</vt:i4>
      </vt:variant>
      <vt:variant>
        <vt:i4>0</vt:i4>
      </vt:variant>
      <vt:variant>
        <vt:i4>5</vt:i4>
      </vt:variant>
      <vt:variant>
        <vt:lpwstr/>
      </vt:variant>
      <vt:variant>
        <vt:lpwstr>_Toc479775585</vt:lpwstr>
      </vt:variant>
      <vt:variant>
        <vt:i4>1703999</vt:i4>
      </vt:variant>
      <vt:variant>
        <vt:i4>371</vt:i4>
      </vt:variant>
      <vt:variant>
        <vt:i4>0</vt:i4>
      </vt:variant>
      <vt:variant>
        <vt:i4>5</vt:i4>
      </vt:variant>
      <vt:variant>
        <vt:lpwstr/>
      </vt:variant>
      <vt:variant>
        <vt:lpwstr>_Toc479775584</vt:lpwstr>
      </vt:variant>
      <vt:variant>
        <vt:i4>1703999</vt:i4>
      </vt:variant>
      <vt:variant>
        <vt:i4>365</vt:i4>
      </vt:variant>
      <vt:variant>
        <vt:i4>0</vt:i4>
      </vt:variant>
      <vt:variant>
        <vt:i4>5</vt:i4>
      </vt:variant>
      <vt:variant>
        <vt:lpwstr/>
      </vt:variant>
      <vt:variant>
        <vt:lpwstr>_Toc479775583</vt:lpwstr>
      </vt:variant>
      <vt:variant>
        <vt:i4>1703999</vt:i4>
      </vt:variant>
      <vt:variant>
        <vt:i4>359</vt:i4>
      </vt:variant>
      <vt:variant>
        <vt:i4>0</vt:i4>
      </vt:variant>
      <vt:variant>
        <vt:i4>5</vt:i4>
      </vt:variant>
      <vt:variant>
        <vt:lpwstr/>
      </vt:variant>
      <vt:variant>
        <vt:lpwstr>_Toc479775582</vt:lpwstr>
      </vt:variant>
      <vt:variant>
        <vt:i4>1703999</vt:i4>
      </vt:variant>
      <vt:variant>
        <vt:i4>353</vt:i4>
      </vt:variant>
      <vt:variant>
        <vt:i4>0</vt:i4>
      </vt:variant>
      <vt:variant>
        <vt:i4>5</vt:i4>
      </vt:variant>
      <vt:variant>
        <vt:lpwstr/>
      </vt:variant>
      <vt:variant>
        <vt:lpwstr>_Toc479775581</vt:lpwstr>
      </vt:variant>
      <vt:variant>
        <vt:i4>1703999</vt:i4>
      </vt:variant>
      <vt:variant>
        <vt:i4>347</vt:i4>
      </vt:variant>
      <vt:variant>
        <vt:i4>0</vt:i4>
      </vt:variant>
      <vt:variant>
        <vt:i4>5</vt:i4>
      </vt:variant>
      <vt:variant>
        <vt:lpwstr/>
      </vt:variant>
      <vt:variant>
        <vt:lpwstr>_Toc479775580</vt:lpwstr>
      </vt:variant>
      <vt:variant>
        <vt:i4>1376319</vt:i4>
      </vt:variant>
      <vt:variant>
        <vt:i4>341</vt:i4>
      </vt:variant>
      <vt:variant>
        <vt:i4>0</vt:i4>
      </vt:variant>
      <vt:variant>
        <vt:i4>5</vt:i4>
      </vt:variant>
      <vt:variant>
        <vt:lpwstr/>
      </vt:variant>
      <vt:variant>
        <vt:lpwstr>_Toc479775579</vt:lpwstr>
      </vt:variant>
      <vt:variant>
        <vt:i4>1376319</vt:i4>
      </vt:variant>
      <vt:variant>
        <vt:i4>335</vt:i4>
      </vt:variant>
      <vt:variant>
        <vt:i4>0</vt:i4>
      </vt:variant>
      <vt:variant>
        <vt:i4>5</vt:i4>
      </vt:variant>
      <vt:variant>
        <vt:lpwstr/>
      </vt:variant>
      <vt:variant>
        <vt:lpwstr>_Toc479775578</vt:lpwstr>
      </vt:variant>
      <vt:variant>
        <vt:i4>1376319</vt:i4>
      </vt:variant>
      <vt:variant>
        <vt:i4>329</vt:i4>
      </vt:variant>
      <vt:variant>
        <vt:i4>0</vt:i4>
      </vt:variant>
      <vt:variant>
        <vt:i4>5</vt:i4>
      </vt:variant>
      <vt:variant>
        <vt:lpwstr/>
      </vt:variant>
      <vt:variant>
        <vt:lpwstr>_Toc479775577</vt:lpwstr>
      </vt:variant>
      <vt:variant>
        <vt:i4>1376319</vt:i4>
      </vt:variant>
      <vt:variant>
        <vt:i4>323</vt:i4>
      </vt:variant>
      <vt:variant>
        <vt:i4>0</vt:i4>
      </vt:variant>
      <vt:variant>
        <vt:i4>5</vt:i4>
      </vt:variant>
      <vt:variant>
        <vt:lpwstr/>
      </vt:variant>
      <vt:variant>
        <vt:lpwstr>_Toc479775576</vt:lpwstr>
      </vt:variant>
      <vt:variant>
        <vt:i4>1376319</vt:i4>
      </vt:variant>
      <vt:variant>
        <vt:i4>317</vt:i4>
      </vt:variant>
      <vt:variant>
        <vt:i4>0</vt:i4>
      </vt:variant>
      <vt:variant>
        <vt:i4>5</vt:i4>
      </vt:variant>
      <vt:variant>
        <vt:lpwstr/>
      </vt:variant>
      <vt:variant>
        <vt:lpwstr>_Toc479775575</vt:lpwstr>
      </vt:variant>
      <vt:variant>
        <vt:i4>1376319</vt:i4>
      </vt:variant>
      <vt:variant>
        <vt:i4>311</vt:i4>
      </vt:variant>
      <vt:variant>
        <vt:i4>0</vt:i4>
      </vt:variant>
      <vt:variant>
        <vt:i4>5</vt:i4>
      </vt:variant>
      <vt:variant>
        <vt:lpwstr/>
      </vt:variant>
      <vt:variant>
        <vt:lpwstr>_Toc479775574</vt:lpwstr>
      </vt:variant>
      <vt:variant>
        <vt:i4>1376319</vt:i4>
      </vt:variant>
      <vt:variant>
        <vt:i4>305</vt:i4>
      </vt:variant>
      <vt:variant>
        <vt:i4>0</vt:i4>
      </vt:variant>
      <vt:variant>
        <vt:i4>5</vt:i4>
      </vt:variant>
      <vt:variant>
        <vt:lpwstr/>
      </vt:variant>
      <vt:variant>
        <vt:lpwstr>_Toc479775573</vt:lpwstr>
      </vt:variant>
      <vt:variant>
        <vt:i4>1376319</vt:i4>
      </vt:variant>
      <vt:variant>
        <vt:i4>299</vt:i4>
      </vt:variant>
      <vt:variant>
        <vt:i4>0</vt:i4>
      </vt:variant>
      <vt:variant>
        <vt:i4>5</vt:i4>
      </vt:variant>
      <vt:variant>
        <vt:lpwstr/>
      </vt:variant>
      <vt:variant>
        <vt:lpwstr>_Toc479775572</vt:lpwstr>
      </vt:variant>
      <vt:variant>
        <vt:i4>1376319</vt:i4>
      </vt:variant>
      <vt:variant>
        <vt:i4>293</vt:i4>
      </vt:variant>
      <vt:variant>
        <vt:i4>0</vt:i4>
      </vt:variant>
      <vt:variant>
        <vt:i4>5</vt:i4>
      </vt:variant>
      <vt:variant>
        <vt:lpwstr/>
      </vt:variant>
      <vt:variant>
        <vt:lpwstr>_Toc479775571</vt:lpwstr>
      </vt:variant>
      <vt:variant>
        <vt:i4>1376319</vt:i4>
      </vt:variant>
      <vt:variant>
        <vt:i4>287</vt:i4>
      </vt:variant>
      <vt:variant>
        <vt:i4>0</vt:i4>
      </vt:variant>
      <vt:variant>
        <vt:i4>5</vt:i4>
      </vt:variant>
      <vt:variant>
        <vt:lpwstr/>
      </vt:variant>
      <vt:variant>
        <vt:lpwstr>_Toc479775570</vt:lpwstr>
      </vt:variant>
      <vt:variant>
        <vt:i4>1310783</vt:i4>
      </vt:variant>
      <vt:variant>
        <vt:i4>281</vt:i4>
      </vt:variant>
      <vt:variant>
        <vt:i4>0</vt:i4>
      </vt:variant>
      <vt:variant>
        <vt:i4>5</vt:i4>
      </vt:variant>
      <vt:variant>
        <vt:lpwstr/>
      </vt:variant>
      <vt:variant>
        <vt:lpwstr>_Toc479775569</vt:lpwstr>
      </vt:variant>
      <vt:variant>
        <vt:i4>1310783</vt:i4>
      </vt:variant>
      <vt:variant>
        <vt:i4>275</vt:i4>
      </vt:variant>
      <vt:variant>
        <vt:i4>0</vt:i4>
      </vt:variant>
      <vt:variant>
        <vt:i4>5</vt:i4>
      </vt:variant>
      <vt:variant>
        <vt:lpwstr/>
      </vt:variant>
      <vt:variant>
        <vt:lpwstr>_Toc479775568</vt:lpwstr>
      </vt:variant>
      <vt:variant>
        <vt:i4>1310783</vt:i4>
      </vt:variant>
      <vt:variant>
        <vt:i4>269</vt:i4>
      </vt:variant>
      <vt:variant>
        <vt:i4>0</vt:i4>
      </vt:variant>
      <vt:variant>
        <vt:i4>5</vt:i4>
      </vt:variant>
      <vt:variant>
        <vt:lpwstr/>
      </vt:variant>
      <vt:variant>
        <vt:lpwstr>_Toc479775567</vt:lpwstr>
      </vt:variant>
      <vt:variant>
        <vt:i4>1310783</vt:i4>
      </vt:variant>
      <vt:variant>
        <vt:i4>263</vt:i4>
      </vt:variant>
      <vt:variant>
        <vt:i4>0</vt:i4>
      </vt:variant>
      <vt:variant>
        <vt:i4>5</vt:i4>
      </vt:variant>
      <vt:variant>
        <vt:lpwstr/>
      </vt:variant>
      <vt:variant>
        <vt:lpwstr>_Toc479775566</vt:lpwstr>
      </vt:variant>
      <vt:variant>
        <vt:i4>1310783</vt:i4>
      </vt:variant>
      <vt:variant>
        <vt:i4>257</vt:i4>
      </vt:variant>
      <vt:variant>
        <vt:i4>0</vt:i4>
      </vt:variant>
      <vt:variant>
        <vt:i4>5</vt:i4>
      </vt:variant>
      <vt:variant>
        <vt:lpwstr/>
      </vt:variant>
      <vt:variant>
        <vt:lpwstr>_Toc479775565</vt:lpwstr>
      </vt:variant>
      <vt:variant>
        <vt:i4>1310783</vt:i4>
      </vt:variant>
      <vt:variant>
        <vt:i4>251</vt:i4>
      </vt:variant>
      <vt:variant>
        <vt:i4>0</vt:i4>
      </vt:variant>
      <vt:variant>
        <vt:i4>5</vt:i4>
      </vt:variant>
      <vt:variant>
        <vt:lpwstr/>
      </vt:variant>
      <vt:variant>
        <vt:lpwstr>_Toc479775564</vt:lpwstr>
      </vt:variant>
      <vt:variant>
        <vt:i4>1310783</vt:i4>
      </vt:variant>
      <vt:variant>
        <vt:i4>245</vt:i4>
      </vt:variant>
      <vt:variant>
        <vt:i4>0</vt:i4>
      </vt:variant>
      <vt:variant>
        <vt:i4>5</vt:i4>
      </vt:variant>
      <vt:variant>
        <vt:lpwstr/>
      </vt:variant>
      <vt:variant>
        <vt:lpwstr>_Toc479775563</vt:lpwstr>
      </vt:variant>
      <vt:variant>
        <vt:i4>1310783</vt:i4>
      </vt:variant>
      <vt:variant>
        <vt:i4>239</vt:i4>
      </vt:variant>
      <vt:variant>
        <vt:i4>0</vt:i4>
      </vt:variant>
      <vt:variant>
        <vt:i4>5</vt:i4>
      </vt:variant>
      <vt:variant>
        <vt:lpwstr/>
      </vt:variant>
      <vt:variant>
        <vt:lpwstr>_Toc479775562</vt:lpwstr>
      </vt:variant>
      <vt:variant>
        <vt:i4>1310783</vt:i4>
      </vt:variant>
      <vt:variant>
        <vt:i4>233</vt:i4>
      </vt:variant>
      <vt:variant>
        <vt:i4>0</vt:i4>
      </vt:variant>
      <vt:variant>
        <vt:i4>5</vt:i4>
      </vt:variant>
      <vt:variant>
        <vt:lpwstr/>
      </vt:variant>
      <vt:variant>
        <vt:lpwstr>_Toc479775561</vt:lpwstr>
      </vt:variant>
      <vt:variant>
        <vt:i4>1310783</vt:i4>
      </vt:variant>
      <vt:variant>
        <vt:i4>227</vt:i4>
      </vt:variant>
      <vt:variant>
        <vt:i4>0</vt:i4>
      </vt:variant>
      <vt:variant>
        <vt:i4>5</vt:i4>
      </vt:variant>
      <vt:variant>
        <vt:lpwstr/>
      </vt:variant>
      <vt:variant>
        <vt:lpwstr>_Toc479775560</vt:lpwstr>
      </vt:variant>
      <vt:variant>
        <vt:i4>1507391</vt:i4>
      </vt:variant>
      <vt:variant>
        <vt:i4>221</vt:i4>
      </vt:variant>
      <vt:variant>
        <vt:i4>0</vt:i4>
      </vt:variant>
      <vt:variant>
        <vt:i4>5</vt:i4>
      </vt:variant>
      <vt:variant>
        <vt:lpwstr/>
      </vt:variant>
      <vt:variant>
        <vt:lpwstr>_Toc479775559</vt:lpwstr>
      </vt:variant>
      <vt:variant>
        <vt:i4>1507391</vt:i4>
      </vt:variant>
      <vt:variant>
        <vt:i4>215</vt:i4>
      </vt:variant>
      <vt:variant>
        <vt:i4>0</vt:i4>
      </vt:variant>
      <vt:variant>
        <vt:i4>5</vt:i4>
      </vt:variant>
      <vt:variant>
        <vt:lpwstr/>
      </vt:variant>
      <vt:variant>
        <vt:lpwstr>_Toc479775558</vt:lpwstr>
      </vt:variant>
      <vt:variant>
        <vt:i4>1507391</vt:i4>
      </vt:variant>
      <vt:variant>
        <vt:i4>209</vt:i4>
      </vt:variant>
      <vt:variant>
        <vt:i4>0</vt:i4>
      </vt:variant>
      <vt:variant>
        <vt:i4>5</vt:i4>
      </vt:variant>
      <vt:variant>
        <vt:lpwstr/>
      </vt:variant>
      <vt:variant>
        <vt:lpwstr>_Toc479775557</vt:lpwstr>
      </vt:variant>
      <vt:variant>
        <vt:i4>1507391</vt:i4>
      </vt:variant>
      <vt:variant>
        <vt:i4>203</vt:i4>
      </vt:variant>
      <vt:variant>
        <vt:i4>0</vt:i4>
      </vt:variant>
      <vt:variant>
        <vt:i4>5</vt:i4>
      </vt:variant>
      <vt:variant>
        <vt:lpwstr/>
      </vt:variant>
      <vt:variant>
        <vt:lpwstr>_Toc479775556</vt:lpwstr>
      </vt:variant>
      <vt:variant>
        <vt:i4>1507391</vt:i4>
      </vt:variant>
      <vt:variant>
        <vt:i4>197</vt:i4>
      </vt:variant>
      <vt:variant>
        <vt:i4>0</vt:i4>
      </vt:variant>
      <vt:variant>
        <vt:i4>5</vt:i4>
      </vt:variant>
      <vt:variant>
        <vt:lpwstr/>
      </vt:variant>
      <vt:variant>
        <vt:lpwstr>_Toc479775555</vt:lpwstr>
      </vt:variant>
      <vt:variant>
        <vt:i4>1507391</vt:i4>
      </vt:variant>
      <vt:variant>
        <vt:i4>191</vt:i4>
      </vt:variant>
      <vt:variant>
        <vt:i4>0</vt:i4>
      </vt:variant>
      <vt:variant>
        <vt:i4>5</vt:i4>
      </vt:variant>
      <vt:variant>
        <vt:lpwstr/>
      </vt:variant>
      <vt:variant>
        <vt:lpwstr>_Toc479775554</vt:lpwstr>
      </vt:variant>
      <vt:variant>
        <vt:i4>1507391</vt:i4>
      </vt:variant>
      <vt:variant>
        <vt:i4>185</vt:i4>
      </vt:variant>
      <vt:variant>
        <vt:i4>0</vt:i4>
      </vt:variant>
      <vt:variant>
        <vt:i4>5</vt:i4>
      </vt:variant>
      <vt:variant>
        <vt:lpwstr/>
      </vt:variant>
      <vt:variant>
        <vt:lpwstr>_Toc479775553</vt:lpwstr>
      </vt:variant>
      <vt:variant>
        <vt:i4>1507391</vt:i4>
      </vt:variant>
      <vt:variant>
        <vt:i4>179</vt:i4>
      </vt:variant>
      <vt:variant>
        <vt:i4>0</vt:i4>
      </vt:variant>
      <vt:variant>
        <vt:i4>5</vt:i4>
      </vt:variant>
      <vt:variant>
        <vt:lpwstr/>
      </vt:variant>
      <vt:variant>
        <vt:lpwstr>_Toc479775552</vt:lpwstr>
      </vt:variant>
      <vt:variant>
        <vt:i4>1507391</vt:i4>
      </vt:variant>
      <vt:variant>
        <vt:i4>173</vt:i4>
      </vt:variant>
      <vt:variant>
        <vt:i4>0</vt:i4>
      </vt:variant>
      <vt:variant>
        <vt:i4>5</vt:i4>
      </vt:variant>
      <vt:variant>
        <vt:lpwstr/>
      </vt:variant>
      <vt:variant>
        <vt:lpwstr>_Toc479775551</vt:lpwstr>
      </vt:variant>
      <vt:variant>
        <vt:i4>1507391</vt:i4>
      </vt:variant>
      <vt:variant>
        <vt:i4>167</vt:i4>
      </vt:variant>
      <vt:variant>
        <vt:i4>0</vt:i4>
      </vt:variant>
      <vt:variant>
        <vt:i4>5</vt:i4>
      </vt:variant>
      <vt:variant>
        <vt:lpwstr/>
      </vt:variant>
      <vt:variant>
        <vt:lpwstr>_Toc479775550</vt:lpwstr>
      </vt:variant>
      <vt:variant>
        <vt:i4>1441855</vt:i4>
      </vt:variant>
      <vt:variant>
        <vt:i4>161</vt:i4>
      </vt:variant>
      <vt:variant>
        <vt:i4>0</vt:i4>
      </vt:variant>
      <vt:variant>
        <vt:i4>5</vt:i4>
      </vt:variant>
      <vt:variant>
        <vt:lpwstr/>
      </vt:variant>
      <vt:variant>
        <vt:lpwstr>_Toc479775549</vt:lpwstr>
      </vt:variant>
      <vt:variant>
        <vt:i4>1441855</vt:i4>
      </vt:variant>
      <vt:variant>
        <vt:i4>155</vt:i4>
      </vt:variant>
      <vt:variant>
        <vt:i4>0</vt:i4>
      </vt:variant>
      <vt:variant>
        <vt:i4>5</vt:i4>
      </vt:variant>
      <vt:variant>
        <vt:lpwstr/>
      </vt:variant>
      <vt:variant>
        <vt:lpwstr>_Toc479775548</vt:lpwstr>
      </vt:variant>
      <vt:variant>
        <vt:i4>1441855</vt:i4>
      </vt:variant>
      <vt:variant>
        <vt:i4>149</vt:i4>
      </vt:variant>
      <vt:variant>
        <vt:i4>0</vt:i4>
      </vt:variant>
      <vt:variant>
        <vt:i4>5</vt:i4>
      </vt:variant>
      <vt:variant>
        <vt:lpwstr/>
      </vt:variant>
      <vt:variant>
        <vt:lpwstr>_Toc479775547</vt:lpwstr>
      </vt:variant>
      <vt:variant>
        <vt:i4>1441855</vt:i4>
      </vt:variant>
      <vt:variant>
        <vt:i4>143</vt:i4>
      </vt:variant>
      <vt:variant>
        <vt:i4>0</vt:i4>
      </vt:variant>
      <vt:variant>
        <vt:i4>5</vt:i4>
      </vt:variant>
      <vt:variant>
        <vt:lpwstr/>
      </vt:variant>
      <vt:variant>
        <vt:lpwstr>_Toc479775546</vt:lpwstr>
      </vt:variant>
      <vt:variant>
        <vt:i4>1441855</vt:i4>
      </vt:variant>
      <vt:variant>
        <vt:i4>137</vt:i4>
      </vt:variant>
      <vt:variant>
        <vt:i4>0</vt:i4>
      </vt:variant>
      <vt:variant>
        <vt:i4>5</vt:i4>
      </vt:variant>
      <vt:variant>
        <vt:lpwstr/>
      </vt:variant>
      <vt:variant>
        <vt:lpwstr>_Toc479775545</vt:lpwstr>
      </vt:variant>
      <vt:variant>
        <vt:i4>1441855</vt:i4>
      </vt:variant>
      <vt:variant>
        <vt:i4>131</vt:i4>
      </vt:variant>
      <vt:variant>
        <vt:i4>0</vt:i4>
      </vt:variant>
      <vt:variant>
        <vt:i4>5</vt:i4>
      </vt:variant>
      <vt:variant>
        <vt:lpwstr/>
      </vt:variant>
      <vt:variant>
        <vt:lpwstr>_Toc479775544</vt:lpwstr>
      </vt:variant>
      <vt:variant>
        <vt:i4>1441855</vt:i4>
      </vt:variant>
      <vt:variant>
        <vt:i4>125</vt:i4>
      </vt:variant>
      <vt:variant>
        <vt:i4>0</vt:i4>
      </vt:variant>
      <vt:variant>
        <vt:i4>5</vt:i4>
      </vt:variant>
      <vt:variant>
        <vt:lpwstr/>
      </vt:variant>
      <vt:variant>
        <vt:lpwstr>_Toc479775543</vt:lpwstr>
      </vt:variant>
      <vt:variant>
        <vt:i4>1441855</vt:i4>
      </vt:variant>
      <vt:variant>
        <vt:i4>119</vt:i4>
      </vt:variant>
      <vt:variant>
        <vt:i4>0</vt:i4>
      </vt:variant>
      <vt:variant>
        <vt:i4>5</vt:i4>
      </vt:variant>
      <vt:variant>
        <vt:lpwstr/>
      </vt:variant>
      <vt:variant>
        <vt:lpwstr>_Toc479775542</vt:lpwstr>
      </vt:variant>
      <vt:variant>
        <vt:i4>1441855</vt:i4>
      </vt:variant>
      <vt:variant>
        <vt:i4>113</vt:i4>
      </vt:variant>
      <vt:variant>
        <vt:i4>0</vt:i4>
      </vt:variant>
      <vt:variant>
        <vt:i4>5</vt:i4>
      </vt:variant>
      <vt:variant>
        <vt:lpwstr/>
      </vt:variant>
      <vt:variant>
        <vt:lpwstr>_Toc479775541</vt:lpwstr>
      </vt:variant>
      <vt:variant>
        <vt:i4>1441855</vt:i4>
      </vt:variant>
      <vt:variant>
        <vt:i4>107</vt:i4>
      </vt:variant>
      <vt:variant>
        <vt:i4>0</vt:i4>
      </vt:variant>
      <vt:variant>
        <vt:i4>5</vt:i4>
      </vt:variant>
      <vt:variant>
        <vt:lpwstr/>
      </vt:variant>
      <vt:variant>
        <vt:lpwstr>_Toc479775540</vt:lpwstr>
      </vt:variant>
      <vt:variant>
        <vt:i4>1114175</vt:i4>
      </vt:variant>
      <vt:variant>
        <vt:i4>101</vt:i4>
      </vt:variant>
      <vt:variant>
        <vt:i4>0</vt:i4>
      </vt:variant>
      <vt:variant>
        <vt:i4>5</vt:i4>
      </vt:variant>
      <vt:variant>
        <vt:lpwstr/>
      </vt:variant>
      <vt:variant>
        <vt:lpwstr>_Toc479775539</vt:lpwstr>
      </vt:variant>
      <vt:variant>
        <vt:i4>1114175</vt:i4>
      </vt:variant>
      <vt:variant>
        <vt:i4>95</vt:i4>
      </vt:variant>
      <vt:variant>
        <vt:i4>0</vt:i4>
      </vt:variant>
      <vt:variant>
        <vt:i4>5</vt:i4>
      </vt:variant>
      <vt:variant>
        <vt:lpwstr/>
      </vt:variant>
      <vt:variant>
        <vt:lpwstr>_Toc479775538</vt:lpwstr>
      </vt:variant>
      <vt:variant>
        <vt:i4>1114175</vt:i4>
      </vt:variant>
      <vt:variant>
        <vt:i4>89</vt:i4>
      </vt:variant>
      <vt:variant>
        <vt:i4>0</vt:i4>
      </vt:variant>
      <vt:variant>
        <vt:i4>5</vt:i4>
      </vt:variant>
      <vt:variant>
        <vt:lpwstr/>
      </vt:variant>
      <vt:variant>
        <vt:lpwstr>_Toc479775537</vt:lpwstr>
      </vt:variant>
      <vt:variant>
        <vt:i4>1114175</vt:i4>
      </vt:variant>
      <vt:variant>
        <vt:i4>83</vt:i4>
      </vt:variant>
      <vt:variant>
        <vt:i4>0</vt:i4>
      </vt:variant>
      <vt:variant>
        <vt:i4>5</vt:i4>
      </vt:variant>
      <vt:variant>
        <vt:lpwstr/>
      </vt:variant>
      <vt:variant>
        <vt:lpwstr>_Toc479775536</vt:lpwstr>
      </vt:variant>
      <vt:variant>
        <vt:i4>1114175</vt:i4>
      </vt:variant>
      <vt:variant>
        <vt:i4>77</vt:i4>
      </vt:variant>
      <vt:variant>
        <vt:i4>0</vt:i4>
      </vt:variant>
      <vt:variant>
        <vt:i4>5</vt:i4>
      </vt:variant>
      <vt:variant>
        <vt:lpwstr/>
      </vt:variant>
      <vt:variant>
        <vt:lpwstr>_Toc479775535</vt:lpwstr>
      </vt:variant>
      <vt:variant>
        <vt:i4>1114175</vt:i4>
      </vt:variant>
      <vt:variant>
        <vt:i4>71</vt:i4>
      </vt:variant>
      <vt:variant>
        <vt:i4>0</vt:i4>
      </vt:variant>
      <vt:variant>
        <vt:i4>5</vt:i4>
      </vt:variant>
      <vt:variant>
        <vt:lpwstr/>
      </vt:variant>
      <vt:variant>
        <vt:lpwstr>_Toc479775534</vt:lpwstr>
      </vt:variant>
      <vt:variant>
        <vt:i4>1114175</vt:i4>
      </vt:variant>
      <vt:variant>
        <vt:i4>65</vt:i4>
      </vt:variant>
      <vt:variant>
        <vt:i4>0</vt:i4>
      </vt:variant>
      <vt:variant>
        <vt:i4>5</vt:i4>
      </vt:variant>
      <vt:variant>
        <vt:lpwstr/>
      </vt:variant>
      <vt:variant>
        <vt:lpwstr>_Toc479775533</vt:lpwstr>
      </vt:variant>
      <vt:variant>
        <vt:i4>1114175</vt:i4>
      </vt:variant>
      <vt:variant>
        <vt:i4>59</vt:i4>
      </vt:variant>
      <vt:variant>
        <vt:i4>0</vt:i4>
      </vt:variant>
      <vt:variant>
        <vt:i4>5</vt:i4>
      </vt:variant>
      <vt:variant>
        <vt:lpwstr/>
      </vt:variant>
      <vt:variant>
        <vt:lpwstr>_Toc479775532</vt:lpwstr>
      </vt:variant>
      <vt:variant>
        <vt:i4>1114175</vt:i4>
      </vt:variant>
      <vt:variant>
        <vt:i4>53</vt:i4>
      </vt:variant>
      <vt:variant>
        <vt:i4>0</vt:i4>
      </vt:variant>
      <vt:variant>
        <vt:i4>5</vt:i4>
      </vt:variant>
      <vt:variant>
        <vt:lpwstr/>
      </vt:variant>
      <vt:variant>
        <vt:lpwstr>_Toc479775531</vt:lpwstr>
      </vt:variant>
      <vt:variant>
        <vt:i4>1114175</vt:i4>
      </vt:variant>
      <vt:variant>
        <vt:i4>47</vt:i4>
      </vt:variant>
      <vt:variant>
        <vt:i4>0</vt:i4>
      </vt:variant>
      <vt:variant>
        <vt:i4>5</vt:i4>
      </vt:variant>
      <vt:variant>
        <vt:lpwstr/>
      </vt:variant>
      <vt:variant>
        <vt:lpwstr>_Toc479775530</vt:lpwstr>
      </vt:variant>
      <vt:variant>
        <vt:i4>1048639</vt:i4>
      </vt:variant>
      <vt:variant>
        <vt:i4>41</vt:i4>
      </vt:variant>
      <vt:variant>
        <vt:i4>0</vt:i4>
      </vt:variant>
      <vt:variant>
        <vt:i4>5</vt:i4>
      </vt:variant>
      <vt:variant>
        <vt:lpwstr/>
      </vt:variant>
      <vt:variant>
        <vt:lpwstr>_Toc479775529</vt:lpwstr>
      </vt:variant>
      <vt:variant>
        <vt:i4>1048639</vt:i4>
      </vt:variant>
      <vt:variant>
        <vt:i4>35</vt:i4>
      </vt:variant>
      <vt:variant>
        <vt:i4>0</vt:i4>
      </vt:variant>
      <vt:variant>
        <vt:i4>5</vt:i4>
      </vt:variant>
      <vt:variant>
        <vt:lpwstr/>
      </vt:variant>
      <vt:variant>
        <vt:lpwstr>_Toc479775528</vt:lpwstr>
      </vt:variant>
      <vt:variant>
        <vt:i4>1048639</vt:i4>
      </vt:variant>
      <vt:variant>
        <vt:i4>29</vt:i4>
      </vt:variant>
      <vt:variant>
        <vt:i4>0</vt:i4>
      </vt:variant>
      <vt:variant>
        <vt:i4>5</vt:i4>
      </vt:variant>
      <vt:variant>
        <vt:lpwstr/>
      </vt:variant>
      <vt:variant>
        <vt:lpwstr>_Toc479775527</vt:lpwstr>
      </vt:variant>
      <vt:variant>
        <vt:i4>1048639</vt:i4>
      </vt:variant>
      <vt:variant>
        <vt:i4>23</vt:i4>
      </vt:variant>
      <vt:variant>
        <vt:i4>0</vt:i4>
      </vt:variant>
      <vt:variant>
        <vt:i4>5</vt:i4>
      </vt:variant>
      <vt:variant>
        <vt:lpwstr/>
      </vt:variant>
      <vt:variant>
        <vt:lpwstr>_Toc479775526</vt:lpwstr>
      </vt:variant>
      <vt:variant>
        <vt:i4>1048639</vt:i4>
      </vt:variant>
      <vt:variant>
        <vt:i4>17</vt:i4>
      </vt:variant>
      <vt:variant>
        <vt:i4>0</vt:i4>
      </vt:variant>
      <vt:variant>
        <vt:i4>5</vt:i4>
      </vt:variant>
      <vt:variant>
        <vt:lpwstr/>
      </vt:variant>
      <vt:variant>
        <vt:lpwstr>_Toc479775525</vt:lpwstr>
      </vt:variant>
      <vt:variant>
        <vt:i4>7602295</vt:i4>
      </vt:variant>
      <vt:variant>
        <vt:i4>12</vt:i4>
      </vt:variant>
      <vt:variant>
        <vt:i4>0</vt:i4>
      </vt:variant>
      <vt:variant>
        <vt:i4>5</vt:i4>
      </vt:variant>
      <vt:variant>
        <vt:lpwstr>http://www.optransport.bg/</vt:lpwstr>
      </vt:variant>
      <vt:variant>
        <vt:lpwstr/>
      </vt:variant>
      <vt:variant>
        <vt:i4>6619241</vt:i4>
      </vt:variant>
      <vt:variant>
        <vt:i4>9</vt:i4>
      </vt:variant>
      <vt:variant>
        <vt:i4>0</vt:i4>
      </vt:variant>
      <vt:variant>
        <vt:i4>5</vt:i4>
      </vt:variant>
      <vt:variant>
        <vt:lpwstr>http://www.mtitc.government.bg/</vt:lpwstr>
      </vt:variant>
      <vt:variant>
        <vt:lpwstr/>
      </vt:variant>
      <vt:variant>
        <vt:i4>7471217</vt:i4>
      </vt:variant>
      <vt:variant>
        <vt:i4>6</vt:i4>
      </vt:variant>
      <vt:variant>
        <vt:i4>0</vt:i4>
      </vt:variant>
      <vt:variant>
        <vt:i4>5</vt:i4>
      </vt:variant>
      <vt:variant>
        <vt:lpwstr>http://www.optranspotr.bg/</vt:lpwstr>
      </vt:variant>
      <vt:variant>
        <vt:lpwstr/>
      </vt:variant>
      <vt:variant>
        <vt:i4>7864445</vt:i4>
      </vt:variant>
      <vt:variant>
        <vt:i4>3</vt:i4>
      </vt:variant>
      <vt:variant>
        <vt:i4>0</vt:i4>
      </vt:variant>
      <vt:variant>
        <vt:i4>5</vt:i4>
      </vt:variant>
      <vt:variant>
        <vt:lpwstr>http://www.eufunds.bg/</vt:lpwstr>
      </vt:variant>
      <vt:variant>
        <vt:lpwstr/>
      </vt:variant>
      <vt:variant>
        <vt:i4>7471205</vt:i4>
      </vt:variant>
      <vt:variant>
        <vt:i4>15</vt:i4>
      </vt:variant>
      <vt:variant>
        <vt:i4>0</vt:i4>
      </vt:variant>
      <vt:variant>
        <vt:i4>5</vt:i4>
      </vt:variant>
      <vt:variant>
        <vt:lpwstr>http://www.eufunds.bg/document/4354</vt:lpwstr>
      </vt:variant>
      <vt:variant>
        <vt:lpwstr/>
      </vt:variant>
      <vt:variant>
        <vt:i4>6946941</vt:i4>
      </vt:variant>
      <vt:variant>
        <vt:i4>12</vt:i4>
      </vt:variant>
      <vt:variant>
        <vt:i4>0</vt:i4>
      </vt:variant>
      <vt:variant>
        <vt:i4>5</vt:i4>
      </vt:variant>
      <vt:variant>
        <vt:lpwstr>http://eur-lex.europa.eu/LexUriServ/LexUriServ.do?uri=COM:2011:0144:FIN:BG:PDF</vt:lpwstr>
      </vt:variant>
      <vt:variant>
        <vt:lpwstr/>
      </vt:variant>
      <vt:variant>
        <vt:i4>2949232</vt:i4>
      </vt:variant>
      <vt:variant>
        <vt:i4>9</vt:i4>
      </vt:variant>
      <vt:variant>
        <vt:i4>0</vt:i4>
      </vt:variant>
      <vt:variant>
        <vt:i4>5</vt:i4>
      </vt:variant>
      <vt:variant>
        <vt:lpwstr>http://www.moew.government.bg/?show=19</vt:lpwstr>
      </vt:variant>
      <vt:variant>
        <vt:lpwstr/>
      </vt:variant>
      <vt:variant>
        <vt:i4>7471205</vt:i4>
      </vt:variant>
      <vt:variant>
        <vt:i4>6</vt:i4>
      </vt:variant>
      <vt:variant>
        <vt:i4>0</vt:i4>
      </vt:variant>
      <vt:variant>
        <vt:i4>5</vt:i4>
      </vt:variant>
      <vt:variant>
        <vt:lpwstr>http://www.eufunds.bg/document/4354</vt:lpwstr>
      </vt:variant>
      <vt:variant>
        <vt:lpwstr/>
      </vt:variant>
      <vt:variant>
        <vt:i4>7471205</vt:i4>
      </vt:variant>
      <vt:variant>
        <vt:i4>3</vt:i4>
      </vt:variant>
      <vt:variant>
        <vt:i4>0</vt:i4>
      </vt:variant>
      <vt:variant>
        <vt:i4>5</vt:i4>
      </vt:variant>
      <vt:variant>
        <vt:lpwstr>http://www.eufunds.bg/document/4354</vt:lpwstr>
      </vt:variant>
      <vt:variant>
        <vt:lpwstr/>
      </vt:variant>
      <vt:variant>
        <vt:i4>7602278</vt:i4>
      </vt:variant>
      <vt:variant>
        <vt:i4>0</vt:i4>
      </vt:variant>
      <vt:variant>
        <vt:i4>0</vt:i4>
      </vt:variant>
      <vt:variant>
        <vt:i4>5</vt:i4>
      </vt:variant>
      <vt:variant>
        <vt:lpwstr>http://www.eufunds.bg/document/1064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001</dc:creator>
  <cp:keywords/>
  <dc:description/>
  <cp:lastModifiedBy>Anna Petrova Teneva-Kamh</cp:lastModifiedBy>
  <cp:revision>16</cp:revision>
  <cp:lastPrinted>2023-01-27T14:24:00Z</cp:lastPrinted>
  <dcterms:created xsi:type="dcterms:W3CDTF">2023-07-17T10:23:00Z</dcterms:created>
  <dcterms:modified xsi:type="dcterms:W3CDTF">2023-07-20T08:25:00Z</dcterms:modified>
</cp:coreProperties>
</file>